
<file path=[Content_Types].xml><?xml version="1.0" encoding="utf-8"?>
<Types xmlns="http://schemas.openxmlformats.org/package/2006/content-types">
  <Default Extension="xlsx" ContentType="application/vnd.openxmlformats-officedocument.spreadsheetml.sheet"/>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44A101">
      <w:pPr>
        <w:spacing w:line="600" w:lineRule="exact"/>
        <w:jc w:val="center"/>
        <w:rPr>
          <w:rFonts w:hint="eastAsia" w:ascii="方正小标宋简体" w:hAnsi="宋体" w:eastAsia="方正小标宋简体"/>
          <w:sz w:val="72"/>
          <w:szCs w:val="72"/>
        </w:rPr>
      </w:pPr>
      <w:bookmarkStart w:id="0" w:name="_Toc15396475"/>
      <w:bookmarkStart w:id="1" w:name="_Toc15377193"/>
      <w:bookmarkStart w:id="2" w:name="_Toc15377425"/>
      <w:bookmarkStart w:id="3" w:name="_Toc15396597"/>
      <w:bookmarkStart w:id="4" w:name="_Toc15378441"/>
      <w:bookmarkStart w:id="5" w:name="_Toc15306267"/>
    </w:p>
    <w:p w14:paraId="565EEEC4">
      <w:pPr>
        <w:spacing w:before="93"/>
      </w:pPr>
    </w:p>
    <w:p w14:paraId="2B522FCF">
      <w:pPr>
        <w:spacing w:line="600" w:lineRule="exact"/>
        <w:jc w:val="center"/>
        <w:rPr>
          <w:rFonts w:hint="eastAsia" w:ascii="方正小标宋简体" w:hAnsi="宋体" w:eastAsia="方正小标宋简体"/>
          <w:sz w:val="72"/>
          <w:szCs w:val="72"/>
        </w:rPr>
      </w:pPr>
    </w:p>
    <w:p w14:paraId="4257F9C3">
      <w:pPr>
        <w:spacing w:line="600" w:lineRule="exact"/>
        <w:jc w:val="center"/>
        <w:rPr>
          <w:rFonts w:hint="eastAsia" w:ascii="方正小标宋简体" w:hAnsi="宋体" w:eastAsia="方正小标宋简体"/>
          <w:sz w:val="72"/>
          <w:szCs w:val="72"/>
        </w:rPr>
      </w:pPr>
    </w:p>
    <w:p w14:paraId="0D7AC888">
      <w:pPr>
        <w:adjustRightInd w:val="0"/>
        <w:snapToGrid w:val="0"/>
        <w:spacing w:line="360" w:lineRule="auto"/>
        <w:jc w:val="center"/>
        <w:outlineLvl w:val="0"/>
        <w:rPr>
          <w:rFonts w:hint="eastAsia" w:ascii="方正小标宋简体" w:hAnsi="方正小标宋简体" w:eastAsia="方正小标宋简体" w:cs="方正小标宋简体"/>
          <w:sz w:val="44"/>
          <w:szCs w:val="44"/>
        </w:rPr>
      </w:pPr>
      <w:bookmarkStart w:id="6" w:name="_Toc25863"/>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5</w:t>
      </w:r>
      <w:r>
        <w:rPr>
          <w:rFonts w:hint="eastAsia" w:ascii="方正小标宋简体" w:hAnsi="方正小标宋简体" w:eastAsia="方正小标宋简体" w:cs="方正小标宋简体"/>
          <w:sz w:val="44"/>
          <w:szCs w:val="44"/>
        </w:rPr>
        <w:t>年度</w:t>
      </w:r>
      <w:bookmarkEnd w:id="0"/>
      <w:bookmarkEnd w:id="1"/>
      <w:bookmarkEnd w:id="2"/>
      <w:bookmarkEnd w:id="3"/>
      <w:bookmarkEnd w:id="4"/>
      <w:bookmarkEnd w:id="6"/>
    </w:p>
    <w:bookmarkEnd w:id="5"/>
    <w:p w14:paraId="6914A81B">
      <w:pPr>
        <w:adjustRightInd w:val="0"/>
        <w:snapToGrid w:val="0"/>
        <w:spacing w:line="360" w:lineRule="auto"/>
        <w:jc w:val="center"/>
        <w:outlineLvl w:val="0"/>
        <w:rPr>
          <w:rFonts w:hint="eastAsia" w:ascii="方正小标宋简体" w:hAnsi="方正小标宋简体" w:eastAsia="方正小标宋简体" w:cs="方正小标宋简体"/>
          <w:sz w:val="44"/>
          <w:szCs w:val="44"/>
        </w:rPr>
      </w:pPr>
      <w:bookmarkStart w:id="7" w:name="_Toc32375"/>
      <w:bookmarkStart w:id="8" w:name="_Toc15377426"/>
      <w:bookmarkStart w:id="9" w:name="_Toc15396598"/>
      <w:bookmarkStart w:id="10" w:name="_Toc15377194"/>
      <w:bookmarkStart w:id="11" w:name="_Toc15396476"/>
      <w:bookmarkStart w:id="12" w:name="_Toc15378442"/>
      <w:bookmarkStart w:id="13" w:name="_Toc15306268"/>
      <w:r>
        <w:rPr>
          <w:rFonts w:hint="eastAsia" w:ascii="方正小标宋简体" w:hAnsi="方正小标宋简体" w:eastAsia="方正小标宋简体" w:cs="方正小标宋简体"/>
          <w:sz w:val="44"/>
          <w:szCs w:val="44"/>
        </w:rPr>
        <w:t>红原县民族宗教局</w:t>
      </w:r>
      <w:bookmarkEnd w:id="7"/>
    </w:p>
    <w:p w14:paraId="745118DE">
      <w:pPr>
        <w:adjustRightInd w:val="0"/>
        <w:snapToGrid w:val="0"/>
        <w:spacing w:line="360" w:lineRule="auto"/>
        <w:jc w:val="center"/>
        <w:outlineLvl w:val="0"/>
        <w:rPr>
          <w:rFonts w:hint="eastAsia" w:ascii="方正小标宋简体" w:hAnsi="方正小标宋简体" w:eastAsia="方正小标宋简体" w:cs="方正小标宋简体"/>
          <w:sz w:val="72"/>
          <w:szCs w:val="72"/>
        </w:rPr>
      </w:pPr>
      <w:bookmarkStart w:id="14" w:name="_Toc3027"/>
      <w:r>
        <w:rPr>
          <w:rFonts w:hint="eastAsia" w:ascii="方正小标宋简体" w:hAnsi="方正小标宋简体" w:eastAsia="方正小标宋简体" w:cs="方正小标宋简体"/>
          <w:sz w:val="44"/>
          <w:szCs w:val="44"/>
        </w:rPr>
        <w:t>部门决算</w:t>
      </w:r>
      <w:bookmarkEnd w:id="8"/>
      <w:bookmarkEnd w:id="9"/>
      <w:bookmarkEnd w:id="10"/>
      <w:bookmarkEnd w:id="11"/>
      <w:bookmarkEnd w:id="12"/>
      <w:bookmarkEnd w:id="13"/>
      <w:r>
        <w:rPr>
          <w:rFonts w:hint="eastAsia" w:ascii="方正小标宋简体" w:hAnsi="方正小标宋简体" w:eastAsia="方正小标宋简体" w:cs="方正小标宋简体"/>
          <w:sz w:val="44"/>
          <w:szCs w:val="44"/>
        </w:rPr>
        <w:t>公开编制说明</w:t>
      </w:r>
      <w:bookmarkEnd w:id="14"/>
    </w:p>
    <w:p w14:paraId="48523227">
      <w:pPr>
        <w:widowControl/>
        <w:jc w:val="center"/>
        <w:rPr>
          <w:rFonts w:hint="eastAsia" w:ascii="方正小标宋简体" w:hAnsi="宋体" w:eastAsia="方正小标宋简体"/>
          <w:sz w:val="36"/>
          <w:szCs w:val="36"/>
        </w:rPr>
      </w:pPr>
    </w:p>
    <w:p w14:paraId="152994C0">
      <w:pPr>
        <w:widowControl/>
        <w:jc w:val="center"/>
        <w:rPr>
          <w:rFonts w:hint="eastAsia" w:ascii="方正小标宋简体" w:hAnsi="宋体" w:eastAsia="方正小标宋简体"/>
          <w:sz w:val="36"/>
          <w:szCs w:val="36"/>
        </w:rPr>
      </w:pPr>
    </w:p>
    <w:p w14:paraId="35230489">
      <w:pPr>
        <w:widowControl/>
        <w:jc w:val="center"/>
        <w:rPr>
          <w:rFonts w:hint="eastAsia" w:ascii="方正小标宋简体" w:hAnsi="宋体" w:eastAsia="方正小标宋简体"/>
          <w:sz w:val="36"/>
          <w:szCs w:val="36"/>
        </w:rPr>
      </w:pPr>
    </w:p>
    <w:p w14:paraId="3600810B">
      <w:pPr>
        <w:widowControl/>
        <w:jc w:val="center"/>
        <w:rPr>
          <w:rFonts w:hint="eastAsia" w:ascii="方正小标宋简体" w:hAnsi="宋体" w:eastAsia="方正小标宋简体"/>
          <w:sz w:val="36"/>
          <w:szCs w:val="36"/>
        </w:rPr>
      </w:pPr>
    </w:p>
    <w:p w14:paraId="3E9992CE">
      <w:pPr>
        <w:widowControl/>
        <w:jc w:val="center"/>
        <w:rPr>
          <w:rFonts w:hint="eastAsia" w:ascii="方正小标宋简体" w:hAnsi="宋体" w:eastAsia="方正小标宋简体"/>
          <w:sz w:val="36"/>
          <w:szCs w:val="36"/>
        </w:rPr>
      </w:pPr>
    </w:p>
    <w:p w14:paraId="41C9E79B">
      <w:pPr>
        <w:widowControl/>
        <w:jc w:val="center"/>
        <w:rPr>
          <w:rFonts w:hint="eastAsia" w:ascii="方正小标宋简体" w:hAnsi="宋体" w:eastAsia="方正小标宋简体"/>
          <w:sz w:val="36"/>
          <w:szCs w:val="36"/>
        </w:rPr>
      </w:pPr>
    </w:p>
    <w:p w14:paraId="45022485">
      <w:pPr>
        <w:widowControl/>
        <w:jc w:val="center"/>
        <w:rPr>
          <w:rFonts w:hint="eastAsia" w:ascii="方正小标宋简体" w:hAnsi="宋体" w:eastAsia="方正小标宋简体"/>
          <w:sz w:val="36"/>
          <w:szCs w:val="36"/>
        </w:rPr>
      </w:pPr>
    </w:p>
    <w:p w14:paraId="27E14130">
      <w:pPr>
        <w:widowControl/>
        <w:jc w:val="center"/>
        <w:rPr>
          <w:rFonts w:hint="eastAsia" w:ascii="方正小标宋简体" w:hAnsi="宋体" w:eastAsia="方正小标宋简体"/>
          <w:sz w:val="36"/>
          <w:szCs w:val="36"/>
        </w:rPr>
      </w:pPr>
    </w:p>
    <w:p w14:paraId="43443B04">
      <w:pPr>
        <w:widowControl/>
        <w:jc w:val="center"/>
        <w:rPr>
          <w:rFonts w:hint="eastAsia" w:ascii="方正小标宋简体" w:hAnsi="宋体" w:eastAsia="方正小标宋简体"/>
          <w:sz w:val="36"/>
          <w:szCs w:val="36"/>
        </w:rPr>
      </w:pPr>
    </w:p>
    <w:p w14:paraId="79854033">
      <w:pPr>
        <w:widowControl/>
        <w:jc w:val="center"/>
        <w:rPr>
          <w:rFonts w:hint="eastAsia" w:ascii="方正小标宋简体" w:hAnsi="宋体" w:eastAsia="方正小标宋简体"/>
          <w:sz w:val="36"/>
          <w:szCs w:val="36"/>
        </w:rPr>
      </w:pPr>
    </w:p>
    <w:p w14:paraId="3578F75B">
      <w:pPr>
        <w:widowControl/>
        <w:jc w:val="center"/>
        <w:rPr>
          <w:rFonts w:hint="eastAsia" w:ascii="方正小标宋简体" w:hAnsi="宋体" w:eastAsia="方正小标宋简体"/>
          <w:sz w:val="36"/>
          <w:szCs w:val="36"/>
        </w:rPr>
      </w:pPr>
    </w:p>
    <w:p w14:paraId="11417D88">
      <w:pPr>
        <w:widowControl/>
        <w:ind w:right="75"/>
      </w:pPr>
      <w:r>
        <w:rPr>
          <w:shd w:val="clear" w:color="auto" w:fill="FFFFFF"/>
        </w:rPr>
        <w:t>保密审查情况：已审查，内容审定</w:t>
      </w:r>
    </w:p>
    <w:p w14:paraId="374DE45C">
      <w:pPr>
        <w:widowControl/>
        <w:rPr>
          <w:rFonts w:hint="eastAsia" w:ascii="黑体" w:hAnsi="黑体" w:eastAsia="方正小标宋简体"/>
          <w:sz w:val="48"/>
          <w:szCs w:val="48"/>
        </w:rPr>
      </w:pPr>
      <w:r>
        <w:rPr>
          <w:sz w:val="24"/>
          <w:shd w:val="clear" w:color="auto" w:fill="FFFFFF"/>
        </w:rPr>
        <w:t>部门主要负责人审签情况：已审签，同意对外公开</w:t>
      </w:r>
      <w:r>
        <w:rPr>
          <w:rFonts w:ascii="方正小标宋简体" w:hAnsi="宋体" w:eastAsia="方正小标宋简体"/>
          <w:sz w:val="36"/>
          <w:szCs w:val="36"/>
        </w:rPr>
        <w:br w:type="page"/>
      </w:r>
    </w:p>
    <w:p w14:paraId="0A3857A7">
      <w:pPr>
        <w:widowControl/>
        <w:jc w:val="center"/>
        <w:rPr>
          <w:rFonts w:hint="eastAsia" w:ascii="黑体" w:hAnsi="黑体" w:eastAsia="黑体" w:cstheme="minorBidi"/>
          <w:sz w:val="44"/>
          <w:szCs w:val="44"/>
        </w:rPr>
      </w:pPr>
      <w:r>
        <w:rPr>
          <w:rFonts w:hint="eastAsia" w:ascii="黑体" w:hAnsi="黑体" w:eastAsia="黑体" w:cstheme="minorBidi"/>
          <w:sz w:val="44"/>
          <w:szCs w:val="44"/>
        </w:rPr>
        <w:t>目录</w:t>
      </w:r>
    </w:p>
    <w:p w14:paraId="366C6C3B">
      <w:pPr>
        <w:rPr>
          <w:rFonts w:hint="eastAsia"/>
        </w:rPr>
      </w:pPr>
      <w:r>
        <w:rPr>
          <w:rFonts w:hint="eastAsia"/>
        </w:rPr>
        <w:t>公开时间：202</w:t>
      </w:r>
      <w:r>
        <w:rPr>
          <w:rFonts w:hint="eastAsia"/>
          <w:lang w:val="en-US" w:eastAsia="zh-CN"/>
        </w:rPr>
        <w:t>6</w:t>
      </w:r>
      <w:r>
        <w:rPr>
          <w:rFonts w:hint="eastAsia"/>
        </w:rPr>
        <w:t>年9月20日</w:t>
      </w:r>
    </w:p>
    <w:sdt>
      <w:sdtPr>
        <w:rPr>
          <w:rFonts w:ascii="宋体" w:hAnsi="宋体"/>
        </w:rPr>
        <w:id w:val="147456436"/>
        <w15:color w:val="DBDBDB"/>
        <w:docPartObj>
          <w:docPartGallery w:val="Table of Contents"/>
          <w:docPartUnique/>
        </w:docPartObj>
      </w:sdtPr>
      <w:sdtEndPr>
        <w:rPr>
          <w:rFonts w:ascii="宋体" w:hAnsi="宋体"/>
          <w:b/>
        </w:rPr>
      </w:sdtEndPr>
      <w:sdtContent>
        <w:p w14:paraId="277A0A6C">
          <w:pPr>
            <w:jc w:val="center"/>
          </w:pPr>
          <w:bookmarkStart w:id="15" w:name="_Toc15377196"/>
          <w:bookmarkStart w:id="16" w:name="_Toc15396599"/>
        </w:p>
        <w:p w14:paraId="4F59DB28">
          <w:pPr>
            <w:tabs>
              <w:tab w:val="right" w:leader="dot" w:pos="8306"/>
            </w:tabs>
            <w:rPr>
              <w:b/>
            </w:rPr>
          </w:pPr>
          <w:r>
            <w:fldChar w:fldCharType="begin"/>
          </w:r>
          <w:r>
            <w:instrText xml:space="preserve">TOC \o "1-2" \h \u </w:instrText>
          </w:r>
          <w:r>
            <w:fldChar w:fldCharType="separate"/>
          </w:r>
          <w:r>
            <w:fldChar w:fldCharType="begin"/>
          </w:r>
          <w:r>
            <w:instrText xml:space="preserve"> HYPERLINK \l "_Toc25863" </w:instrText>
          </w:r>
          <w:r>
            <w:fldChar w:fldCharType="separate"/>
          </w:r>
          <w:r>
            <w:rPr>
              <w:rFonts w:hint="eastAsia" w:ascii="方正小标宋简体" w:hAnsi="方正小标宋简体" w:eastAsia="方正小标宋简体" w:cs="方正小标宋简体"/>
              <w:b/>
              <w:szCs w:val="44"/>
              <w:lang w:eastAsia="zh-CN"/>
            </w:rPr>
            <w:t>2025年</w:t>
          </w:r>
          <w:r>
            <w:rPr>
              <w:rFonts w:hint="eastAsia" w:ascii="方正小标宋简体" w:hAnsi="方正小标宋简体" w:eastAsia="方正小标宋简体" w:cs="方正小标宋简体"/>
              <w:b/>
              <w:szCs w:val="44"/>
            </w:rPr>
            <w:t>度</w:t>
          </w:r>
          <w:r>
            <w:rPr>
              <w:b/>
            </w:rPr>
            <w:tab/>
          </w:r>
          <w:r>
            <w:rPr>
              <w:b/>
            </w:rPr>
            <w:fldChar w:fldCharType="begin"/>
          </w:r>
          <w:r>
            <w:rPr>
              <w:b/>
            </w:rPr>
            <w:instrText xml:space="preserve"> PAGEREF _Toc25863 \h </w:instrText>
          </w:r>
          <w:r>
            <w:rPr>
              <w:b/>
            </w:rPr>
            <w:fldChar w:fldCharType="separate"/>
          </w:r>
          <w:r>
            <w:rPr>
              <w:b/>
            </w:rPr>
            <w:t>1</w:t>
          </w:r>
          <w:r>
            <w:rPr>
              <w:b/>
            </w:rPr>
            <w:fldChar w:fldCharType="end"/>
          </w:r>
          <w:r>
            <w:rPr>
              <w:b/>
            </w:rPr>
            <w:fldChar w:fldCharType="end"/>
          </w:r>
        </w:p>
        <w:p w14:paraId="6FE791F5">
          <w:pPr>
            <w:tabs>
              <w:tab w:val="right" w:leader="dot" w:pos="8306"/>
            </w:tabs>
            <w:rPr>
              <w:b/>
            </w:rPr>
          </w:pPr>
          <w:r>
            <w:fldChar w:fldCharType="begin"/>
          </w:r>
          <w:r>
            <w:instrText xml:space="preserve"> HYPERLINK \l "_Toc32375" </w:instrText>
          </w:r>
          <w:r>
            <w:fldChar w:fldCharType="separate"/>
          </w:r>
          <w:r>
            <w:rPr>
              <w:rFonts w:hint="eastAsia" w:ascii="方正小标宋简体" w:hAnsi="方正小标宋简体" w:eastAsia="方正小标宋简体" w:cs="方正小标宋简体"/>
              <w:b/>
              <w:szCs w:val="44"/>
            </w:rPr>
            <w:t>红原县民族宗教局</w:t>
          </w:r>
          <w:r>
            <w:rPr>
              <w:b/>
            </w:rPr>
            <w:tab/>
          </w:r>
          <w:r>
            <w:rPr>
              <w:b/>
            </w:rPr>
            <w:fldChar w:fldCharType="begin"/>
          </w:r>
          <w:r>
            <w:rPr>
              <w:b/>
            </w:rPr>
            <w:instrText xml:space="preserve"> PAGEREF _Toc32375 \h </w:instrText>
          </w:r>
          <w:r>
            <w:rPr>
              <w:b/>
            </w:rPr>
            <w:fldChar w:fldCharType="separate"/>
          </w:r>
          <w:r>
            <w:rPr>
              <w:b/>
            </w:rPr>
            <w:t>1</w:t>
          </w:r>
          <w:r>
            <w:rPr>
              <w:b/>
            </w:rPr>
            <w:fldChar w:fldCharType="end"/>
          </w:r>
          <w:r>
            <w:rPr>
              <w:b/>
            </w:rPr>
            <w:fldChar w:fldCharType="end"/>
          </w:r>
        </w:p>
        <w:p w14:paraId="31646661">
          <w:pPr>
            <w:tabs>
              <w:tab w:val="right" w:leader="dot" w:pos="8306"/>
            </w:tabs>
            <w:rPr>
              <w:b/>
            </w:rPr>
          </w:pPr>
          <w:r>
            <w:fldChar w:fldCharType="begin"/>
          </w:r>
          <w:r>
            <w:instrText xml:space="preserve"> HYPERLINK \l "_Toc3027" </w:instrText>
          </w:r>
          <w:r>
            <w:fldChar w:fldCharType="separate"/>
          </w:r>
          <w:r>
            <w:rPr>
              <w:rFonts w:hint="eastAsia" w:ascii="方正小标宋简体" w:hAnsi="方正小标宋简体" w:eastAsia="方正小标宋简体" w:cs="方正小标宋简体"/>
              <w:b/>
              <w:szCs w:val="44"/>
            </w:rPr>
            <w:t>部门决算公开编制说明</w:t>
          </w:r>
          <w:r>
            <w:rPr>
              <w:b/>
            </w:rPr>
            <w:tab/>
          </w:r>
          <w:r>
            <w:rPr>
              <w:b/>
            </w:rPr>
            <w:fldChar w:fldCharType="begin"/>
          </w:r>
          <w:r>
            <w:rPr>
              <w:b/>
            </w:rPr>
            <w:instrText xml:space="preserve"> PAGEREF _Toc3027 \h </w:instrText>
          </w:r>
          <w:r>
            <w:rPr>
              <w:b/>
            </w:rPr>
            <w:fldChar w:fldCharType="separate"/>
          </w:r>
          <w:r>
            <w:rPr>
              <w:b/>
            </w:rPr>
            <w:t>1</w:t>
          </w:r>
          <w:r>
            <w:rPr>
              <w:b/>
            </w:rPr>
            <w:fldChar w:fldCharType="end"/>
          </w:r>
          <w:r>
            <w:rPr>
              <w:b/>
            </w:rPr>
            <w:fldChar w:fldCharType="end"/>
          </w:r>
        </w:p>
        <w:p w14:paraId="32DC1B7E">
          <w:pPr>
            <w:tabs>
              <w:tab w:val="right" w:leader="dot" w:pos="8306"/>
            </w:tabs>
            <w:rPr>
              <w:b/>
            </w:rPr>
          </w:pPr>
          <w:r>
            <w:fldChar w:fldCharType="begin"/>
          </w:r>
          <w:r>
            <w:instrText xml:space="preserve"> HYPERLINK \l "_Toc15783" </w:instrText>
          </w:r>
          <w:r>
            <w:fldChar w:fldCharType="separate"/>
          </w:r>
          <w:r>
            <w:rPr>
              <w:rFonts w:hint="eastAsia" w:ascii="黑体" w:hAnsi="黑体" w:eastAsia="黑体"/>
              <w:b/>
            </w:rPr>
            <w:t>第一部分 部门概况</w:t>
          </w:r>
          <w:r>
            <w:rPr>
              <w:b/>
            </w:rPr>
            <w:tab/>
          </w:r>
          <w:r>
            <w:rPr>
              <w:b/>
            </w:rPr>
            <w:fldChar w:fldCharType="begin"/>
          </w:r>
          <w:r>
            <w:rPr>
              <w:b/>
            </w:rPr>
            <w:instrText xml:space="preserve"> PAGEREF _Toc15783 \h </w:instrText>
          </w:r>
          <w:r>
            <w:rPr>
              <w:b/>
            </w:rPr>
            <w:fldChar w:fldCharType="separate"/>
          </w:r>
          <w:r>
            <w:rPr>
              <w:b/>
            </w:rPr>
            <w:t>3</w:t>
          </w:r>
          <w:r>
            <w:rPr>
              <w:b/>
            </w:rPr>
            <w:fldChar w:fldCharType="end"/>
          </w:r>
          <w:r>
            <w:rPr>
              <w:b/>
            </w:rPr>
            <w:fldChar w:fldCharType="end"/>
          </w:r>
        </w:p>
        <w:p w14:paraId="5A27CB77">
          <w:pPr>
            <w:tabs>
              <w:tab w:val="right" w:leader="dot" w:pos="8306"/>
            </w:tabs>
            <w:ind w:left="420"/>
          </w:pPr>
          <w:r>
            <w:fldChar w:fldCharType="begin"/>
          </w:r>
          <w:r>
            <w:instrText xml:space="preserve"> HYPERLINK \l "_Toc9633" </w:instrText>
          </w:r>
          <w:r>
            <w:fldChar w:fldCharType="separate"/>
          </w:r>
          <w:r>
            <w:rPr>
              <w:rFonts w:hint="eastAsia" w:ascii="黑体" w:hAnsi="黑体" w:eastAsia="黑体"/>
            </w:rPr>
            <w:t>一、 部门职责</w:t>
          </w:r>
          <w:r>
            <w:tab/>
          </w:r>
          <w:r>
            <w:fldChar w:fldCharType="begin"/>
          </w:r>
          <w:r>
            <w:instrText xml:space="preserve"> PAGEREF _Toc9633 \h </w:instrText>
          </w:r>
          <w:r>
            <w:fldChar w:fldCharType="separate"/>
          </w:r>
          <w:r>
            <w:t>3</w:t>
          </w:r>
          <w:r>
            <w:fldChar w:fldCharType="end"/>
          </w:r>
          <w:r>
            <w:fldChar w:fldCharType="end"/>
          </w:r>
        </w:p>
        <w:p w14:paraId="2845C170">
          <w:pPr>
            <w:tabs>
              <w:tab w:val="right" w:leader="dot" w:pos="8306"/>
            </w:tabs>
            <w:ind w:left="420"/>
          </w:pPr>
          <w:r>
            <w:fldChar w:fldCharType="begin"/>
          </w:r>
          <w:r>
            <w:instrText xml:space="preserve"> HYPERLINK \l "_Toc5061" </w:instrText>
          </w:r>
          <w:r>
            <w:fldChar w:fldCharType="separate"/>
          </w:r>
          <w:r>
            <w:rPr>
              <w:rFonts w:hint="eastAsia" w:ascii="黑体" w:eastAsia="黑体"/>
            </w:rPr>
            <w:t>二、</w:t>
          </w:r>
          <w:r>
            <w:rPr>
              <w:rFonts w:hint="eastAsia" w:ascii="黑体" w:hAnsi="黑体" w:eastAsia="黑体"/>
            </w:rPr>
            <w:t>机构设置</w:t>
          </w:r>
          <w:r>
            <w:tab/>
          </w:r>
          <w:r>
            <w:fldChar w:fldCharType="begin"/>
          </w:r>
          <w:r>
            <w:instrText xml:space="preserve"> PAGEREF _Toc5061 \h </w:instrText>
          </w:r>
          <w:r>
            <w:fldChar w:fldCharType="separate"/>
          </w:r>
          <w:r>
            <w:t>5</w:t>
          </w:r>
          <w:r>
            <w:fldChar w:fldCharType="end"/>
          </w:r>
          <w:r>
            <w:fldChar w:fldCharType="end"/>
          </w:r>
        </w:p>
        <w:p w14:paraId="4A2225F2">
          <w:pPr>
            <w:tabs>
              <w:tab w:val="right" w:leader="dot" w:pos="8306"/>
            </w:tabs>
            <w:rPr>
              <w:b/>
            </w:rPr>
          </w:pPr>
          <w:r>
            <w:fldChar w:fldCharType="begin"/>
          </w:r>
          <w:r>
            <w:instrText xml:space="preserve"> HYPERLINK \l "_Toc15315" </w:instrText>
          </w:r>
          <w:r>
            <w:fldChar w:fldCharType="separate"/>
          </w:r>
          <w:r>
            <w:rPr>
              <w:rFonts w:hint="eastAsia" w:ascii="黑体" w:hAnsi="黑体" w:eastAsia="黑体"/>
              <w:b/>
            </w:rPr>
            <w:t xml:space="preserve">第二部分 </w:t>
          </w:r>
          <w:r>
            <w:rPr>
              <w:rFonts w:hint="eastAsia" w:ascii="黑体" w:hAnsi="黑体" w:eastAsia="黑体"/>
              <w:b/>
              <w:lang w:eastAsia="zh-CN"/>
            </w:rPr>
            <w:t>2025年</w:t>
          </w:r>
          <w:r>
            <w:rPr>
              <w:rFonts w:hint="eastAsia" w:ascii="黑体" w:hAnsi="黑体" w:eastAsia="黑体"/>
              <w:b/>
            </w:rPr>
            <w:t>度</w:t>
          </w:r>
          <w:r>
            <w:rPr>
              <w:rFonts w:hint="eastAsia" w:ascii="黑体" w:hAnsi="黑体" w:eastAsia="黑体"/>
              <w:b/>
              <w:bCs/>
            </w:rPr>
            <w:t>部门决算情况说明</w:t>
          </w:r>
          <w:r>
            <w:rPr>
              <w:b/>
            </w:rPr>
            <w:tab/>
          </w:r>
          <w:r>
            <w:rPr>
              <w:b/>
            </w:rPr>
            <w:fldChar w:fldCharType="begin"/>
          </w:r>
          <w:r>
            <w:rPr>
              <w:b/>
            </w:rPr>
            <w:instrText xml:space="preserve"> PAGEREF _Toc15315 \h </w:instrText>
          </w:r>
          <w:r>
            <w:rPr>
              <w:b/>
            </w:rPr>
            <w:fldChar w:fldCharType="separate"/>
          </w:r>
          <w:r>
            <w:rPr>
              <w:b/>
            </w:rPr>
            <w:t>6</w:t>
          </w:r>
          <w:r>
            <w:rPr>
              <w:b/>
            </w:rPr>
            <w:fldChar w:fldCharType="end"/>
          </w:r>
          <w:r>
            <w:rPr>
              <w:b/>
            </w:rPr>
            <w:fldChar w:fldCharType="end"/>
          </w:r>
        </w:p>
        <w:p w14:paraId="490B5A8A">
          <w:pPr>
            <w:tabs>
              <w:tab w:val="right" w:leader="dot" w:pos="8306"/>
            </w:tabs>
            <w:ind w:left="420"/>
          </w:pPr>
          <w:r>
            <w:fldChar w:fldCharType="begin"/>
          </w:r>
          <w:r>
            <w:instrText xml:space="preserve"> HYPERLINK \l "_Toc32294" </w:instrText>
          </w:r>
          <w:r>
            <w:fldChar w:fldCharType="separate"/>
          </w:r>
          <w:r>
            <w:rPr>
              <w:rFonts w:ascii="黑体" w:hAnsi="黑体" w:eastAsia="黑体"/>
            </w:rPr>
            <w:t xml:space="preserve">一、 </w:t>
          </w:r>
          <w:r>
            <w:rPr>
              <w:rFonts w:hint="eastAsia" w:ascii="黑体" w:hAnsi="黑体" w:eastAsia="黑体"/>
              <w:szCs w:val="32"/>
            </w:rPr>
            <w:t>收</w:t>
          </w:r>
          <w:r>
            <w:rPr>
              <w:rFonts w:hint="eastAsia" w:ascii="黑体" w:hAnsi="黑体" w:eastAsia="黑体"/>
            </w:rPr>
            <w:t>入支出决算总体情况说明</w:t>
          </w:r>
          <w:r>
            <w:tab/>
          </w:r>
          <w:r>
            <w:fldChar w:fldCharType="begin"/>
          </w:r>
          <w:r>
            <w:instrText xml:space="preserve"> PAGEREF _Toc32294 \h </w:instrText>
          </w:r>
          <w:r>
            <w:fldChar w:fldCharType="separate"/>
          </w:r>
          <w:r>
            <w:t>6</w:t>
          </w:r>
          <w:r>
            <w:fldChar w:fldCharType="end"/>
          </w:r>
          <w:r>
            <w:fldChar w:fldCharType="end"/>
          </w:r>
        </w:p>
        <w:p w14:paraId="4DE8D6DE">
          <w:pPr>
            <w:tabs>
              <w:tab w:val="right" w:leader="dot" w:pos="8306"/>
            </w:tabs>
            <w:ind w:left="420"/>
          </w:pPr>
          <w:r>
            <w:fldChar w:fldCharType="begin"/>
          </w:r>
          <w:r>
            <w:instrText xml:space="preserve"> HYPERLINK \l "_Toc4583" </w:instrText>
          </w:r>
          <w:r>
            <w:fldChar w:fldCharType="separate"/>
          </w:r>
          <w:r>
            <w:rPr>
              <w:rFonts w:ascii="黑体" w:hAnsi="黑体" w:eastAsia="黑体"/>
            </w:rPr>
            <w:t xml:space="preserve">二、 </w:t>
          </w:r>
          <w:r>
            <w:rPr>
              <w:rFonts w:hint="eastAsia" w:ascii="黑体" w:hAnsi="黑体" w:eastAsia="黑体"/>
              <w:szCs w:val="32"/>
            </w:rPr>
            <w:t>收</w:t>
          </w:r>
          <w:r>
            <w:rPr>
              <w:rFonts w:hint="eastAsia" w:ascii="黑体" w:hAnsi="黑体" w:eastAsia="黑体"/>
            </w:rPr>
            <w:t>入决算情况说明</w:t>
          </w:r>
          <w:r>
            <w:tab/>
          </w:r>
          <w:r>
            <w:fldChar w:fldCharType="begin"/>
          </w:r>
          <w:r>
            <w:instrText xml:space="preserve"> PAGEREF _Toc4583 \h </w:instrText>
          </w:r>
          <w:r>
            <w:fldChar w:fldCharType="separate"/>
          </w:r>
          <w:r>
            <w:t>6</w:t>
          </w:r>
          <w:r>
            <w:fldChar w:fldCharType="end"/>
          </w:r>
          <w:r>
            <w:fldChar w:fldCharType="end"/>
          </w:r>
        </w:p>
        <w:p w14:paraId="050903D9">
          <w:pPr>
            <w:tabs>
              <w:tab w:val="right" w:leader="dot" w:pos="8306"/>
            </w:tabs>
            <w:ind w:left="420"/>
          </w:pPr>
          <w:r>
            <w:fldChar w:fldCharType="begin"/>
          </w:r>
          <w:r>
            <w:instrText xml:space="preserve"> HYPERLINK \l "_Toc26599" </w:instrText>
          </w:r>
          <w:r>
            <w:fldChar w:fldCharType="separate"/>
          </w:r>
          <w:r>
            <w:rPr>
              <w:rFonts w:hint="eastAsia" w:ascii="仿宋" w:hAnsi="仿宋" w:eastAsia="仿宋"/>
              <w:szCs w:val="32"/>
              <w:lang w:eastAsia="zh-CN"/>
            </w:rPr>
            <w:t>2025年</w:t>
          </w:r>
          <w:r>
            <w:rPr>
              <w:rFonts w:hint="eastAsia" w:ascii="仿宋" w:hAnsi="仿宋" w:eastAsia="仿宋"/>
              <w:szCs w:val="32"/>
            </w:rPr>
            <w:t>度本年收入合计</w:t>
          </w:r>
          <w:r>
            <w:rPr>
              <w:rFonts w:hint="eastAsia" w:eastAsia="仿宋"/>
              <w:szCs w:val="32"/>
              <w:lang w:eastAsia="zh-CN"/>
            </w:rPr>
            <w:t>477.94万元</w:t>
          </w:r>
          <w:r>
            <w:rPr>
              <w:rFonts w:hint="eastAsia" w:ascii="仿宋" w:hAnsi="仿宋" w:eastAsia="仿宋"/>
              <w:szCs w:val="32"/>
            </w:rPr>
            <w:t>，其中：一般公共预算财政拨款收入</w:t>
          </w:r>
          <w:r>
            <w:rPr>
              <w:rFonts w:hint="eastAsia" w:eastAsia="仿宋"/>
              <w:szCs w:val="32"/>
              <w:lang w:eastAsia="zh-CN"/>
            </w:rPr>
            <w:t>477.94万元</w:t>
          </w:r>
          <w:r>
            <w:rPr>
              <w:rFonts w:hint="eastAsia" w:ascii="仿宋" w:hAnsi="仿宋" w:eastAsia="仿宋"/>
              <w:szCs w:val="32"/>
            </w:rPr>
            <w:t>，占</w:t>
          </w:r>
          <w:r>
            <w:rPr>
              <w:szCs w:val="32"/>
            </w:rPr>
            <w:t>100</w:t>
          </w:r>
          <w:r>
            <w:rPr>
              <w:rFonts w:ascii="仿宋" w:hAnsi="仿宋" w:eastAsia="仿宋"/>
              <w:szCs w:val="32"/>
            </w:rPr>
            <w:t>%</w:t>
          </w:r>
          <w:r>
            <w:rPr>
              <w:rFonts w:hint="eastAsia" w:ascii="仿宋" w:hAnsi="仿宋" w:eastAsia="仿宋"/>
              <w:szCs w:val="32"/>
            </w:rPr>
            <w:t>；政府性基金预算财政拨款收入</w:t>
          </w:r>
          <w:r>
            <w:rPr>
              <w:szCs w:val="32"/>
            </w:rPr>
            <w:t>0</w:t>
          </w:r>
          <w:r>
            <w:rPr>
              <w:rFonts w:hint="eastAsia" w:ascii="仿宋" w:hAnsi="仿宋" w:eastAsia="仿宋"/>
              <w:szCs w:val="32"/>
            </w:rPr>
            <w:t>万元，占</w:t>
          </w:r>
          <w:r>
            <w:rPr>
              <w:szCs w:val="32"/>
            </w:rPr>
            <w:t>0</w:t>
          </w:r>
          <w:r>
            <w:rPr>
              <w:rFonts w:ascii="仿宋" w:hAnsi="仿宋" w:eastAsia="仿宋"/>
              <w:szCs w:val="32"/>
            </w:rPr>
            <w:t>%</w:t>
          </w:r>
          <w:r>
            <w:rPr>
              <w:rFonts w:hint="eastAsia" w:ascii="仿宋" w:hAnsi="仿宋" w:eastAsia="仿宋"/>
              <w:szCs w:val="32"/>
            </w:rPr>
            <w:t>；国有资本经营预算财政拨款收入</w:t>
          </w:r>
          <w:r>
            <w:rPr>
              <w:szCs w:val="32"/>
            </w:rPr>
            <w:t>0</w:t>
          </w:r>
          <w:r>
            <w:rPr>
              <w:rFonts w:hint="eastAsia" w:ascii="仿宋" w:hAnsi="仿宋" w:eastAsia="仿宋"/>
              <w:szCs w:val="32"/>
            </w:rPr>
            <w:t>万元，占</w:t>
          </w:r>
          <w:r>
            <w:rPr>
              <w:szCs w:val="32"/>
            </w:rPr>
            <w:t>0</w:t>
          </w:r>
          <w:r>
            <w:rPr>
              <w:rFonts w:ascii="仿宋" w:hAnsi="仿宋" w:eastAsia="仿宋"/>
              <w:szCs w:val="32"/>
            </w:rPr>
            <w:t>%</w:t>
          </w:r>
          <w:r>
            <w:rPr>
              <w:rFonts w:hint="eastAsia" w:ascii="仿宋" w:hAnsi="仿宋" w:eastAsia="仿宋"/>
              <w:szCs w:val="32"/>
            </w:rPr>
            <w:t>；上级补助收入</w:t>
          </w:r>
          <w:r>
            <w:rPr>
              <w:szCs w:val="32"/>
            </w:rPr>
            <w:t>0</w:t>
          </w:r>
          <w:r>
            <w:rPr>
              <w:rFonts w:hint="eastAsia" w:ascii="仿宋" w:hAnsi="仿宋" w:eastAsia="仿宋"/>
              <w:szCs w:val="32"/>
            </w:rPr>
            <w:t>万元，占</w:t>
          </w:r>
          <w:r>
            <w:rPr>
              <w:szCs w:val="32"/>
            </w:rPr>
            <w:t>0</w:t>
          </w:r>
          <w:r>
            <w:rPr>
              <w:rFonts w:ascii="仿宋" w:hAnsi="仿宋" w:eastAsia="仿宋"/>
              <w:szCs w:val="32"/>
            </w:rPr>
            <w:t>%</w:t>
          </w:r>
          <w:r>
            <w:rPr>
              <w:rFonts w:hint="eastAsia" w:ascii="仿宋" w:hAnsi="仿宋" w:eastAsia="仿宋"/>
              <w:szCs w:val="32"/>
            </w:rPr>
            <w:t>；事业收入</w:t>
          </w:r>
          <w:r>
            <w:rPr>
              <w:szCs w:val="32"/>
            </w:rPr>
            <w:t>0</w:t>
          </w:r>
          <w:r>
            <w:rPr>
              <w:rFonts w:hint="eastAsia" w:ascii="仿宋" w:hAnsi="仿宋" w:eastAsia="仿宋"/>
              <w:szCs w:val="32"/>
            </w:rPr>
            <w:t>万元，占</w:t>
          </w:r>
          <w:r>
            <w:rPr>
              <w:szCs w:val="32"/>
            </w:rPr>
            <w:t>0</w:t>
          </w:r>
          <w:r>
            <w:rPr>
              <w:rFonts w:ascii="仿宋" w:hAnsi="仿宋" w:eastAsia="仿宋"/>
              <w:szCs w:val="32"/>
            </w:rPr>
            <w:t>%</w:t>
          </w:r>
          <w:r>
            <w:rPr>
              <w:rFonts w:hint="eastAsia" w:ascii="仿宋" w:hAnsi="仿宋" w:eastAsia="仿宋"/>
              <w:szCs w:val="32"/>
            </w:rPr>
            <w:t>；经营收入</w:t>
          </w:r>
          <w:r>
            <w:rPr>
              <w:szCs w:val="32"/>
            </w:rPr>
            <w:t>0</w:t>
          </w:r>
          <w:r>
            <w:rPr>
              <w:rFonts w:hint="eastAsia" w:ascii="仿宋" w:hAnsi="仿宋" w:eastAsia="仿宋"/>
              <w:szCs w:val="32"/>
            </w:rPr>
            <w:t>万元，占</w:t>
          </w:r>
          <w:r>
            <w:rPr>
              <w:szCs w:val="32"/>
            </w:rPr>
            <w:t>0</w:t>
          </w:r>
          <w:r>
            <w:rPr>
              <w:rFonts w:ascii="仿宋" w:hAnsi="仿宋" w:eastAsia="仿宋"/>
              <w:szCs w:val="32"/>
            </w:rPr>
            <w:t>%</w:t>
          </w:r>
          <w:r>
            <w:rPr>
              <w:rFonts w:hint="eastAsia" w:ascii="仿宋" w:hAnsi="仿宋" w:eastAsia="仿宋"/>
              <w:szCs w:val="32"/>
            </w:rPr>
            <w:t>；附属单位上缴收入</w:t>
          </w:r>
          <w:r>
            <w:rPr>
              <w:szCs w:val="32"/>
            </w:rPr>
            <w:t>0</w:t>
          </w:r>
          <w:r>
            <w:rPr>
              <w:rFonts w:hint="eastAsia" w:ascii="仿宋" w:hAnsi="仿宋" w:eastAsia="仿宋"/>
              <w:szCs w:val="32"/>
            </w:rPr>
            <w:t>万元，占</w:t>
          </w:r>
          <w:r>
            <w:rPr>
              <w:szCs w:val="32"/>
            </w:rPr>
            <w:t>0</w:t>
          </w:r>
          <w:r>
            <w:rPr>
              <w:rFonts w:ascii="仿宋" w:hAnsi="仿宋" w:eastAsia="仿宋"/>
              <w:szCs w:val="32"/>
            </w:rPr>
            <w:t>%</w:t>
          </w:r>
          <w:r>
            <w:rPr>
              <w:rFonts w:hint="eastAsia" w:ascii="仿宋" w:hAnsi="仿宋" w:eastAsia="仿宋"/>
              <w:szCs w:val="32"/>
            </w:rPr>
            <w:t>；其他收入</w:t>
          </w:r>
          <w:r>
            <w:rPr>
              <w:szCs w:val="32"/>
            </w:rPr>
            <w:t>0</w:t>
          </w:r>
          <w:r>
            <w:rPr>
              <w:rFonts w:hint="eastAsia" w:ascii="仿宋" w:hAnsi="仿宋" w:eastAsia="仿宋"/>
              <w:szCs w:val="32"/>
            </w:rPr>
            <w:t>万元，占</w:t>
          </w:r>
          <w:r>
            <w:rPr>
              <w:szCs w:val="32"/>
            </w:rPr>
            <w:t>0</w:t>
          </w:r>
          <w:r>
            <w:rPr>
              <w:rFonts w:ascii="仿宋" w:hAnsi="仿宋" w:eastAsia="仿宋"/>
              <w:szCs w:val="32"/>
            </w:rPr>
            <w:t>%</w:t>
          </w:r>
          <w:r>
            <w:rPr>
              <w:rFonts w:hint="eastAsia" w:ascii="仿宋" w:hAnsi="仿宋" w:eastAsia="仿宋"/>
              <w:szCs w:val="32"/>
            </w:rPr>
            <w:t>。</w:t>
          </w:r>
          <w:r>
            <w:tab/>
          </w:r>
          <w:r>
            <w:fldChar w:fldCharType="begin"/>
          </w:r>
          <w:r>
            <w:instrText xml:space="preserve"> PAGEREF _Toc26599 \h </w:instrText>
          </w:r>
          <w:r>
            <w:fldChar w:fldCharType="separate"/>
          </w:r>
          <w:r>
            <w:t>6</w:t>
          </w:r>
          <w:r>
            <w:fldChar w:fldCharType="end"/>
          </w:r>
          <w:r>
            <w:fldChar w:fldCharType="end"/>
          </w:r>
        </w:p>
        <w:p w14:paraId="1F7692AD">
          <w:pPr>
            <w:tabs>
              <w:tab w:val="right" w:leader="dot" w:pos="8306"/>
            </w:tabs>
            <w:ind w:left="420"/>
          </w:pPr>
          <w:r>
            <w:fldChar w:fldCharType="begin"/>
          </w:r>
          <w:r>
            <w:instrText xml:space="preserve"> HYPERLINK \l "_Toc3535" </w:instrText>
          </w:r>
          <w:r>
            <w:fldChar w:fldCharType="separate"/>
          </w:r>
          <w:r>
            <w:rPr>
              <w:rFonts w:ascii="黑体" w:hAnsi="黑体" w:eastAsia="黑体"/>
            </w:rPr>
            <w:t xml:space="preserve">三、 </w:t>
          </w:r>
          <w:r>
            <w:rPr>
              <w:rFonts w:hint="eastAsia" w:ascii="黑体" w:hAnsi="黑体" w:eastAsia="黑体"/>
              <w:szCs w:val="32"/>
            </w:rPr>
            <w:t>支</w:t>
          </w:r>
          <w:r>
            <w:rPr>
              <w:rFonts w:hint="eastAsia" w:ascii="黑体" w:hAnsi="黑体" w:eastAsia="黑体"/>
            </w:rPr>
            <w:t>出决算情况说明</w:t>
          </w:r>
          <w:r>
            <w:tab/>
          </w:r>
          <w:r>
            <w:fldChar w:fldCharType="begin"/>
          </w:r>
          <w:r>
            <w:instrText xml:space="preserve"> PAGEREF _Toc3535 \h </w:instrText>
          </w:r>
          <w:r>
            <w:fldChar w:fldCharType="separate"/>
          </w:r>
          <w:r>
            <w:t>7</w:t>
          </w:r>
          <w:r>
            <w:fldChar w:fldCharType="end"/>
          </w:r>
          <w:r>
            <w:fldChar w:fldCharType="end"/>
          </w:r>
        </w:p>
        <w:p w14:paraId="13E0006E">
          <w:pPr>
            <w:tabs>
              <w:tab w:val="right" w:leader="dot" w:pos="8306"/>
            </w:tabs>
            <w:ind w:left="420"/>
          </w:pPr>
          <w:r>
            <w:fldChar w:fldCharType="begin"/>
          </w:r>
          <w:r>
            <w:instrText xml:space="preserve"> HYPERLINK \l "_Toc20819" </w:instrText>
          </w:r>
          <w:r>
            <w:fldChar w:fldCharType="separate"/>
          </w:r>
          <w:r>
            <w:rPr>
              <w:rFonts w:hint="eastAsia" w:ascii="仿宋" w:hAnsi="仿宋" w:eastAsia="仿宋"/>
              <w:szCs w:val="32"/>
              <w:lang w:eastAsia="zh-CN"/>
            </w:rPr>
            <w:t>2025年</w:t>
          </w:r>
          <w:r>
            <w:rPr>
              <w:rFonts w:hint="eastAsia" w:ascii="仿宋" w:hAnsi="仿宋" w:eastAsia="仿宋"/>
              <w:szCs w:val="32"/>
            </w:rPr>
            <w:t>度本年支出合计477.94万元，其中：基本支出</w:t>
          </w:r>
          <w:r>
            <w:rPr>
              <w:rFonts w:hint="eastAsia" w:eastAsia="仿宋"/>
              <w:szCs w:val="32"/>
              <w:lang w:eastAsia="zh-CN"/>
            </w:rPr>
            <w:t>414.14万元</w:t>
          </w:r>
          <w:r>
            <w:rPr>
              <w:rFonts w:hint="eastAsia" w:ascii="仿宋" w:hAnsi="仿宋" w:eastAsia="仿宋"/>
              <w:szCs w:val="32"/>
            </w:rPr>
            <w:t>，占</w:t>
          </w:r>
          <w:r>
            <w:rPr>
              <w:rFonts w:hint="eastAsia" w:eastAsia="仿宋"/>
              <w:szCs w:val="32"/>
              <w:lang w:val="en-US" w:eastAsia="zh-CN"/>
            </w:rPr>
            <w:t>86</w:t>
          </w:r>
          <w:r>
            <w:rPr>
              <w:rFonts w:hint="eastAsia" w:eastAsia="仿宋"/>
              <w:szCs w:val="32"/>
            </w:rPr>
            <w:t>.6</w:t>
          </w:r>
          <w:r>
            <w:rPr>
              <w:rFonts w:hint="eastAsia" w:eastAsia="仿宋"/>
              <w:szCs w:val="32"/>
              <w:lang w:val="en-US" w:eastAsia="zh-CN"/>
            </w:rPr>
            <w:t>5</w:t>
          </w:r>
          <w:r>
            <w:rPr>
              <w:rFonts w:ascii="仿宋" w:hAnsi="仿宋" w:eastAsia="仿宋"/>
              <w:szCs w:val="32"/>
            </w:rPr>
            <w:t>%</w:t>
          </w:r>
          <w:r>
            <w:rPr>
              <w:rFonts w:hint="eastAsia" w:ascii="仿宋" w:hAnsi="仿宋" w:eastAsia="仿宋"/>
              <w:szCs w:val="32"/>
            </w:rPr>
            <w:t>；项目支出63.80万元，占</w:t>
          </w:r>
          <w:r>
            <w:rPr>
              <w:rFonts w:hint="eastAsia" w:eastAsia="仿宋"/>
              <w:szCs w:val="32"/>
              <w:lang w:val="en-US" w:eastAsia="zh-CN"/>
            </w:rPr>
            <w:t>13</w:t>
          </w:r>
          <w:r>
            <w:rPr>
              <w:rFonts w:hint="eastAsia" w:eastAsia="仿宋"/>
              <w:szCs w:val="32"/>
            </w:rPr>
            <w:t>.3</w:t>
          </w:r>
          <w:r>
            <w:rPr>
              <w:rFonts w:hint="eastAsia" w:eastAsia="仿宋"/>
              <w:szCs w:val="32"/>
              <w:lang w:val="en-US" w:eastAsia="zh-CN"/>
            </w:rPr>
            <w:t>5</w:t>
          </w:r>
          <w:r>
            <w:rPr>
              <w:rFonts w:ascii="仿宋" w:hAnsi="仿宋" w:eastAsia="仿宋"/>
              <w:szCs w:val="32"/>
            </w:rPr>
            <w:t>%</w:t>
          </w:r>
          <w:r>
            <w:rPr>
              <w:rFonts w:hint="eastAsia" w:ascii="仿宋" w:hAnsi="仿宋" w:eastAsia="仿宋"/>
              <w:szCs w:val="32"/>
            </w:rPr>
            <w:t>；上缴上级支出</w:t>
          </w:r>
          <w:r>
            <w:rPr>
              <w:szCs w:val="32"/>
            </w:rPr>
            <w:t>0</w:t>
          </w:r>
          <w:r>
            <w:rPr>
              <w:rFonts w:hint="eastAsia" w:ascii="仿宋" w:hAnsi="仿宋" w:eastAsia="仿宋"/>
              <w:szCs w:val="32"/>
            </w:rPr>
            <w:t>万元，占</w:t>
          </w:r>
          <w:r>
            <w:rPr>
              <w:szCs w:val="32"/>
            </w:rPr>
            <w:t>0</w:t>
          </w:r>
          <w:r>
            <w:rPr>
              <w:rFonts w:ascii="仿宋" w:hAnsi="仿宋" w:eastAsia="仿宋"/>
              <w:szCs w:val="32"/>
            </w:rPr>
            <w:t>%</w:t>
          </w:r>
          <w:r>
            <w:rPr>
              <w:rFonts w:hint="eastAsia" w:ascii="仿宋" w:hAnsi="仿宋" w:eastAsia="仿宋"/>
              <w:szCs w:val="32"/>
            </w:rPr>
            <w:t>；经营支出</w:t>
          </w:r>
          <w:r>
            <w:rPr>
              <w:szCs w:val="32"/>
            </w:rPr>
            <w:t>0</w:t>
          </w:r>
          <w:r>
            <w:rPr>
              <w:rFonts w:hint="eastAsia" w:ascii="仿宋" w:hAnsi="仿宋" w:eastAsia="仿宋"/>
              <w:szCs w:val="32"/>
            </w:rPr>
            <w:t>万元，占</w:t>
          </w:r>
          <w:r>
            <w:rPr>
              <w:szCs w:val="32"/>
            </w:rPr>
            <w:t>0</w:t>
          </w:r>
          <w:r>
            <w:rPr>
              <w:rFonts w:ascii="仿宋" w:hAnsi="仿宋" w:eastAsia="仿宋"/>
              <w:szCs w:val="32"/>
            </w:rPr>
            <w:t>%</w:t>
          </w:r>
          <w:r>
            <w:rPr>
              <w:rFonts w:hint="eastAsia" w:ascii="仿宋" w:hAnsi="仿宋" w:eastAsia="仿宋"/>
              <w:szCs w:val="32"/>
            </w:rPr>
            <w:t>；对附属单位补助支出</w:t>
          </w:r>
          <w:r>
            <w:rPr>
              <w:szCs w:val="32"/>
            </w:rPr>
            <w:t>0</w:t>
          </w:r>
          <w:r>
            <w:rPr>
              <w:rFonts w:hint="eastAsia" w:ascii="仿宋" w:hAnsi="仿宋" w:eastAsia="仿宋"/>
              <w:szCs w:val="32"/>
            </w:rPr>
            <w:t>万元，占</w:t>
          </w:r>
          <w:r>
            <w:rPr>
              <w:szCs w:val="32"/>
            </w:rPr>
            <w:t>0</w:t>
          </w:r>
          <w:r>
            <w:rPr>
              <w:rFonts w:ascii="仿宋" w:hAnsi="仿宋" w:eastAsia="仿宋"/>
              <w:szCs w:val="32"/>
            </w:rPr>
            <w:t>%</w:t>
          </w:r>
          <w:r>
            <w:rPr>
              <w:rFonts w:hint="eastAsia" w:ascii="仿宋" w:hAnsi="仿宋" w:eastAsia="仿宋"/>
              <w:szCs w:val="32"/>
            </w:rPr>
            <w:t>。</w:t>
          </w:r>
          <w:r>
            <w:tab/>
          </w:r>
          <w:r>
            <w:fldChar w:fldCharType="begin"/>
          </w:r>
          <w:r>
            <w:instrText xml:space="preserve"> PAGEREF _Toc20819 \h </w:instrText>
          </w:r>
          <w:r>
            <w:fldChar w:fldCharType="separate"/>
          </w:r>
          <w:r>
            <w:t>7</w:t>
          </w:r>
          <w:r>
            <w:fldChar w:fldCharType="end"/>
          </w:r>
          <w:r>
            <w:fldChar w:fldCharType="end"/>
          </w:r>
        </w:p>
        <w:p w14:paraId="05EDED61">
          <w:pPr>
            <w:tabs>
              <w:tab w:val="right" w:leader="dot" w:pos="8306"/>
            </w:tabs>
            <w:ind w:left="420"/>
          </w:pPr>
          <w:r>
            <w:fldChar w:fldCharType="begin"/>
          </w:r>
          <w:r>
            <w:instrText xml:space="preserve"> HYPERLINK \l "_Toc8257" </w:instrText>
          </w:r>
          <w:r>
            <w:fldChar w:fldCharType="separate"/>
          </w:r>
          <w:r>
            <w:rPr>
              <w:rFonts w:hint="eastAsia" w:ascii="黑体" w:hAnsi="黑体" w:eastAsia="黑体"/>
              <w:szCs w:val="32"/>
            </w:rPr>
            <w:t>四、财</w:t>
          </w:r>
          <w:r>
            <w:rPr>
              <w:rFonts w:hint="eastAsia" w:ascii="黑体" w:hAnsi="黑体" w:eastAsia="黑体"/>
            </w:rPr>
            <w:t>政拨款收入支出决算总体情况说明</w:t>
          </w:r>
          <w:r>
            <w:tab/>
          </w:r>
          <w:r>
            <w:fldChar w:fldCharType="begin"/>
          </w:r>
          <w:r>
            <w:instrText xml:space="preserve"> PAGEREF _Toc8257 \h </w:instrText>
          </w:r>
          <w:r>
            <w:fldChar w:fldCharType="separate"/>
          </w:r>
          <w:r>
            <w:t>7</w:t>
          </w:r>
          <w:r>
            <w:fldChar w:fldCharType="end"/>
          </w:r>
          <w:r>
            <w:fldChar w:fldCharType="end"/>
          </w:r>
        </w:p>
        <w:p w14:paraId="063CC38E">
          <w:pPr>
            <w:tabs>
              <w:tab w:val="right" w:leader="dot" w:pos="8306"/>
            </w:tabs>
            <w:ind w:left="420"/>
          </w:pPr>
          <w:r>
            <w:fldChar w:fldCharType="begin"/>
          </w:r>
          <w:r>
            <w:instrText xml:space="preserve"> HYPERLINK \l "_Toc31607" </w:instrText>
          </w:r>
          <w:r>
            <w:fldChar w:fldCharType="separate"/>
          </w:r>
          <w:r>
            <w:rPr>
              <w:rFonts w:hint="eastAsia" w:ascii="黑体" w:hAnsi="黑体" w:eastAsia="黑体"/>
              <w:szCs w:val="32"/>
            </w:rPr>
            <w:t>五、一</w:t>
          </w:r>
          <w:r>
            <w:rPr>
              <w:rFonts w:hint="eastAsia" w:ascii="黑体" w:hAnsi="黑体" w:eastAsia="黑体"/>
            </w:rPr>
            <w:t>般公共预算财政拨款支出决算情况说明</w:t>
          </w:r>
          <w:r>
            <w:tab/>
          </w:r>
          <w:r>
            <w:fldChar w:fldCharType="begin"/>
          </w:r>
          <w:r>
            <w:instrText xml:space="preserve"> PAGEREF _Toc31607 \h </w:instrText>
          </w:r>
          <w:r>
            <w:fldChar w:fldCharType="separate"/>
          </w:r>
          <w:r>
            <w:t>8</w:t>
          </w:r>
          <w:r>
            <w:fldChar w:fldCharType="end"/>
          </w:r>
          <w:r>
            <w:fldChar w:fldCharType="end"/>
          </w:r>
        </w:p>
        <w:p w14:paraId="532E8834">
          <w:pPr>
            <w:tabs>
              <w:tab w:val="right" w:leader="dot" w:pos="8306"/>
            </w:tabs>
            <w:ind w:left="420"/>
          </w:pPr>
          <w:r>
            <w:fldChar w:fldCharType="begin"/>
          </w:r>
          <w:r>
            <w:instrText xml:space="preserve"> HYPERLINK \l "_Toc5250" </w:instrText>
          </w:r>
          <w:r>
            <w:fldChar w:fldCharType="separate"/>
          </w:r>
          <w:r>
            <w:rPr>
              <w:rFonts w:hint="eastAsia" w:ascii="黑体" w:eastAsia="黑体"/>
              <w:szCs w:val="32"/>
            </w:rPr>
            <w:t>六、</w:t>
          </w:r>
          <w:r>
            <w:rPr>
              <w:rFonts w:hint="eastAsia" w:ascii="黑体" w:hAnsi="黑体" w:eastAsia="黑体"/>
              <w:szCs w:val="32"/>
            </w:rPr>
            <w:t>一</w:t>
          </w:r>
          <w:r>
            <w:rPr>
              <w:rFonts w:hint="eastAsia" w:ascii="黑体" w:hAnsi="黑体" w:eastAsia="黑体"/>
            </w:rPr>
            <w:t>般公共预算财政拨款基本支出决算情况说明</w:t>
          </w:r>
          <w:r>
            <w:tab/>
          </w:r>
          <w:r>
            <w:fldChar w:fldCharType="begin"/>
          </w:r>
          <w:r>
            <w:instrText xml:space="preserve"> PAGEREF _Toc5250 \h </w:instrText>
          </w:r>
          <w:r>
            <w:fldChar w:fldCharType="separate"/>
          </w:r>
          <w:r>
            <w:t>11</w:t>
          </w:r>
          <w:r>
            <w:fldChar w:fldCharType="end"/>
          </w:r>
          <w:r>
            <w:fldChar w:fldCharType="end"/>
          </w:r>
        </w:p>
        <w:p w14:paraId="70FCF931">
          <w:pPr>
            <w:tabs>
              <w:tab w:val="right" w:leader="dot" w:pos="8306"/>
            </w:tabs>
            <w:ind w:left="420"/>
          </w:pPr>
          <w:r>
            <w:fldChar w:fldCharType="begin"/>
          </w:r>
          <w:r>
            <w:instrText xml:space="preserve"> HYPERLINK \l "_Toc329" </w:instrText>
          </w:r>
          <w:r>
            <w:fldChar w:fldCharType="separate"/>
          </w:r>
          <w:r>
            <w:rPr>
              <w:rFonts w:hint="eastAsia" w:ascii="黑体" w:eastAsia="黑体"/>
              <w:szCs w:val="32"/>
            </w:rPr>
            <w:t>七、</w:t>
          </w:r>
          <w:r>
            <w:rPr>
              <w:rFonts w:hint="eastAsia" w:ascii="黑体" w:hAnsi="黑体" w:eastAsia="黑体"/>
            </w:rPr>
            <w:t>财政拨款“三公”经费支出决算情况说明</w:t>
          </w:r>
          <w:r>
            <w:tab/>
          </w:r>
          <w:r>
            <w:fldChar w:fldCharType="begin"/>
          </w:r>
          <w:r>
            <w:instrText xml:space="preserve"> PAGEREF _Toc329 \h </w:instrText>
          </w:r>
          <w:r>
            <w:fldChar w:fldCharType="separate"/>
          </w:r>
          <w:r>
            <w:t>12</w:t>
          </w:r>
          <w:r>
            <w:fldChar w:fldCharType="end"/>
          </w:r>
          <w:r>
            <w:fldChar w:fldCharType="end"/>
          </w:r>
        </w:p>
        <w:p w14:paraId="100E2686">
          <w:pPr>
            <w:tabs>
              <w:tab w:val="right" w:leader="dot" w:pos="8306"/>
            </w:tabs>
            <w:ind w:left="420"/>
          </w:pPr>
          <w:r>
            <w:fldChar w:fldCharType="begin"/>
          </w:r>
          <w:r>
            <w:instrText xml:space="preserve"> HYPERLINK \l "_Toc11117" </w:instrText>
          </w:r>
          <w:r>
            <w:fldChar w:fldCharType="separate"/>
          </w:r>
          <w:r>
            <w:rPr>
              <w:rFonts w:hint="eastAsia" w:ascii="黑体" w:eastAsia="黑体"/>
              <w:szCs w:val="32"/>
            </w:rPr>
            <w:t>八、</w:t>
          </w:r>
          <w:r>
            <w:rPr>
              <w:rFonts w:hint="eastAsia" w:ascii="黑体" w:hAnsi="黑体" w:eastAsia="黑体"/>
            </w:rPr>
            <w:t>政府性基金预算支出决算情况说明</w:t>
          </w:r>
          <w:r>
            <w:tab/>
          </w:r>
          <w:r>
            <w:fldChar w:fldCharType="begin"/>
          </w:r>
          <w:r>
            <w:instrText xml:space="preserve"> PAGEREF _Toc11117 \h </w:instrText>
          </w:r>
          <w:r>
            <w:fldChar w:fldCharType="separate"/>
          </w:r>
          <w:r>
            <w:t>14</w:t>
          </w:r>
          <w:r>
            <w:fldChar w:fldCharType="end"/>
          </w:r>
          <w:r>
            <w:fldChar w:fldCharType="end"/>
          </w:r>
        </w:p>
        <w:p w14:paraId="61382D33">
          <w:pPr>
            <w:tabs>
              <w:tab w:val="right" w:leader="dot" w:pos="8306"/>
            </w:tabs>
            <w:ind w:left="420"/>
          </w:pPr>
          <w:r>
            <w:fldChar w:fldCharType="begin"/>
          </w:r>
          <w:r>
            <w:instrText xml:space="preserve"> HYPERLINK \l "_Toc21258" </w:instrText>
          </w:r>
          <w:r>
            <w:fldChar w:fldCharType="separate"/>
          </w:r>
          <w:r>
            <w:rPr>
              <w:rFonts w:hint="eastAsia" w:ascii="黑体" w:hAnsi="黑体" w:eastAsia="黑体"/>
            </w:rPr>
            <w:t>九、 国有资本经营预算支出决算情况说明</w:t>
          </w:r>
          <w:r>
            <w:tab/>
          </w:r>
          <w:r>
            <w:fldChar w:fldCharType="begin"/>
          </w:r>
          <w:r>
            <w:instrText xml:space="preserve"> PAGEREF _Toc21258 \h </w:instrText>
          </w:r>
          <w:r>
            <w:fldChar w:fldCharType="separate"/>
          </w:r>
          <w:r>
            <w:t>14</w:t>
          </w:r>
          <w:r>
            <w:fldChar w:fldCharType="end"/>
          </w:r>
          <w:r>
            <w:fldChar w:fldCharType="end"/>
          </w:r>
        </w:p>
        <w:p w14:paraId="618E72C4">
          <w:pPr>
            <w:tabs>
              <w:tab w:val="right" w:leader="dot" w:pos="8306"/>
            </w:tabs>
            <w:ind w:left="420"/>
          </w:pPr>
          <w:r>
            <w:fldChar w:fldCharType="begin"/>
          </w:r>
          <w:r>
            <w:instrText xml:space="preserve"> HYPERLINK \l "_Toc17349" </w:instrText>
          </w:r>
          <w:r>
            <w:fldChar w:fldCharType="separate"/>
          </w:r>
          <w:r>
            <w:rPr>
              <w:rFonts w:hint="eastAsia" w:ascii="黑体" w:hAnsi="黑体" w:eastAsia="黑体"/>
            </w:rPr>
            <w:t>十、 其他重要事项的情况说明</w:t>
          </w:r>
          <w:r>
            <w:tab/>
          </w:r>
          <w:r>
            <w:fldChar w:fldCharType="begin"/>
          </w:r>
          <w:r>
            <w:instrText xml:space="preserve"> PAGEREF _Toc17349 \h </w:instrText>
          </w:r>
          <w:r>
            <w:fldChar w:fldCharType="separate"/>
          </w:r>
          <w:r>
            <w:t>14</w:t>
          </w:r>
          <w:r>
            <w:fldChar w:fldCharType="end"/>
          </w:r>
          <w:r>
            <w:fldChar w:fldCharType="end"/>
          </w:r>
        </w:p>
        <w:p w14:paraId="17F9DD3D">
          <w:pPr>
            <w:tabs>
              <w:tab w:val="right" w:leader="dot" w:pos="8306"/>
            </w:tabs>
            <w:rPr>
              <w:b/>
            </w:rPr>
          </w:pPr>
          <w:r>
            <w:fldChar w:fldCharType="begin"/>
          </w:r>
          <w:r>
            <w:instrText xml:space="preserve"> HYPERLINK \l "_Toc28116" </w:instrText>
          </w:r>
          <w:r>
            <w:fldChar w:fldCharType="separate"/>
          </w:r>
          <w:r>
            <w:rPr>
              <w:rFonts w:hint="eastAsia"/>
              <w:b/>
            </w:rPr>
            <w:t>第三部分 名词解释</w:t>
          </w:r>
          <w:r>
            <w:rPr>
              <w:b/>
            </w:rPr>
            <w:tab/>
          </w:r>
          <w:r>
            <w:rPr>
              <w:b/>
            </w:rPr>
            <w:fldChar w:fldCharType="begin"/>
          </w:r>
          <w:r>
            <w:rPr>
              <w:b/>
            </w:rPr>
            <w:instrText xml:space="preserve"> PAGEREF _Toc28116 \h </w:instrText>
          </w:r>
          <w:r>
            <w:rPr>
              <w:b/>
            </w:rPr>
            <w:fldChar w:fldCharType="separate"/>
          </w:r>
          <w:r>
            <w:rPr>
              <w:b/>
            </w:rPr>
            <w:t>16</w:t>
          </w:r>
          <w:r>
            <w:rPr>
              <w:b/>
            </w:rPr>
            <w:fldChar w:fldCharType="end"/>
          </w:r>
          <w:r>
            <w:rPr>
              <w:b/>
            </w:rPr>
            <w:fldChar w:fldCharType="end"/>
          </w:r>
        </w:p>
        <w:p w14:paraId="21FD7203">
          <w:pPr>
            <w:tabs>
              <w:tab w:val="right" w:leader="dot" w:pos="8306"/>
            </w:tabs>
            <w:rPr>
              <w:b/>
            </w:rPr>
          </w:pPr>
          <w:r>
            <w:fldChar w:fldCharType="begin"/>
          </w:r>
          <w:r>
            <w:instrText xml:space="preserve"> HYPERLINK \l "_Toc8727" </w:instrText>
          </w:r>
          <w:r>
            <w:fldChar w:fldCharType="separate"/>
          </w:r>
          <w:r>
            <w:rPr>
              <w:rFonts w:hint="eastAsia" w:ascii="黑体" w:hAnsi="黑体" w:eastAsia="黑体"/>
              <w:b/>
            </w:rPr>
            <w:t>第四部分 附件</w:t>
          </w:r>
          <w:r>
            <w:rPr>
              <w:b/>
            </w:rPr>
            <w:tab/>
          </w:r>
          <w:r>
            <w:rPr>
              <w:b/>
            </w:rPr>
            <w:fldChar w:fldCharType="begin"/>
          </w:r>
          <w:r>
            <w:rPr>
              <w:b/>
            </w:rPr>
            <w:instrText xml:space="preserve"> PAGEREF _Toc8727 \h </w:instrText>
          </w:r>
          <w:r>
            <w:rPr>
              <w:b/>
            </w:rPr>
            <w:fldChar w:fldCharType="separate"/>
          </w:r>
          <w:r>
            <w:rPr>
              <w:b/>
            </w:rPr>
            <w:t>19</w:t>
          </w:r>
          <w:r>
            <w:rPr>
              <w:b/>
            </w:rPr>
            <w:fldChar w:fldCharType="end"/>
          </w:r>
          <w:r>
            <w:rPr>
              <w:b/>
            </w:rPr>
            <w:fldChar w:fldCharType="end"/>
          </w:r>
        </w:p>
        <w:p w14:paraId="6AB76F88">
          <w:pPr>
            <w:tabs>
              <w:tab w:val="right" w:leader="dot" w:pos="8306"/>
            </w:tabs>
            <w:rPr>
              <w:b/>
            </w:rPr>
          </w:pPr>
          <w:r>
            <w:fldChar w:fldCharType="begin"/>
          </w:r>
          <w:r>
            <w:instrText xml:space="preserve"> HYPERLINK \l "_Toc14445" </w:instrText>
          </w:r>
          <w:r>
            <w:fldChar w:fldCharType="separate"/>
          </w:r>
          <w:r>
            <w:rPr>
              <w:rFonts w:hint="eastAsia" w:ascii="黑体" w:hAnsi="黑体" w:eastAsia="黑体"/>
              <w:b/>
            </w:rPr>
            <w:t>第五部分 附表</w:t>
          </w:r>
          <w:r>
            <w:rPr>
              <w:b/>
            </w:rPr>
            <w:tab/>
          </w:r>
          <w:r>
            <w:rPr>
              <w:b/>
            </w:rPr>
            <w:fldChar w:fldCharType="begin"/>
          </w:r>
          <w:r>
            <w:rPr>
              <w:b/>
            </w:rPr>
            <w:instrText xml:space="preserve"> PAGEREF _Toc14445 \h </w:instrText>
          </w:r>
          <w:r>
            <w:rPr>
              <w:b/>
            </w:rPr>
            <w:fldChar w:fldCharType="separate"/>
          </w:r>
          <w:r>
            <w:rPr>
              <w:b/>
            </w:rPr>
            <w:t>36</w:t>
          </w:r>
          <w:r>
            <w:rPr>
              <w:b/>
            </w:rPr>
            <w:fldChar w:fldCharType="end"/>
          </w:r>
          <w:r>
            <w:rPr>
              <w:b/>
            </w:rPr>
            <w:fldChar w:fldCharType="end"/>
          </w:r>
        </w:p>
        <w:p w14:paraId="34D6CA84">
          <w:r>
            <w:rPr>
              <w:b/>
            </w:rPr>
            <w:fldChar w:fldCharType="end"/>
          </w:r>
        </w:p>
      </w:sdtContent>
    </w:sdt>
    <w:p w14:paraId="599DDBEA">
      <w:pPr>
        <w:widowControl/>
        <w:spacing w:line="440" w:lineRule="exact"/>
        <w:jc w:val="left"/>
        <w:rPr>
          <w:rFonts w:hint="eastAsia" w:ascii="仿宋" w:hAnsi="仿宋" w:eastAsia="仿宋"/>
          <w:bCs/>
          <w:kern w:val="44"/>
          <w:sz w:val="24"/>
        </w:rPr>
      </w:pPr>
      <w:r>
        <w:rPr>
          <w:rFonts w:ascii="仿宋" w:hAnsi="仿宋" w:eastAsia="仿宋"/>
          <w:b/>
          <w:sz w:val="24"/>
        </w:rPr>
        <w:br w:type="page"/>
      </w:r>
    </w:p>
    <w:p w14:paraId="45E50246">
      <w:pPr>
        <w:jc w:val="center"/>
        <w:rPr>
          <w:rFonts w:hint="eastAsia" w:ascii="黑体" w:hAnsi="黑体" w:eastAsia="黑体"/>
          <w:b/>
        </w:rPr>
      </w:pPr>
      <w:bookmarkStart w:id="17" w:name="_Toc15783"/>
      <w:r>
        <w:rPr>
          <w:rFonts w:hint="eastAsia" w:ascii="黑体" w:hAnsi="黑体" w:eastAsia="黑体"/>
          <w:b w:val="0"/>
        </w:rPr>
        <w:t xml:space="preserve">第一部分 </w:t>
      </w:r>
      <w:r>
        <w:rPr>
          <w:rFonts w:hint="eastAsia" w:ascii="黑体" w:hAnsi="黑体" w:eastAsia="黑体"/>
        </w:rPr>
        <w:t>部门概况</w:t>
      </w:r>
      <w:bookmarkEnd w:id="15"/>
      <w:bookmarkEnd w:id="16"/>
      <w:bookmarkEnd w:id="17"/>
    </w:p>
    <w:p w14:paraId="4F4692C9">
      <w:pPr>
        <w:numPr>
          <w:ilvl w:val="0"/>
          <w:numId w:val="0"/>
        </w:numPr>
        <w:rPr>
          <w:rFonts w:hint="eastAsia" w:ascii="黑体" w:hAnsi="黑体" w:eastAsia="黑体"/>
          <w:b w:val="0"/>
        </w:rPr>
      </w:pPr>
      <w:bookmarkStart w:id="18" w:name="_Toc9633"/>
      <w:r>
        <w:rPr>
          <w:rFonts w:hint="eastAsia" w:ascii="黑体" w:hAnsi="黑体" w:eastAsia="黑体"/>
          <w:b w:val="0"/>
        </w:rPr>
        <w:t>部门职责</w:t>
      </w:r>
      <w:bookmarkEnd w:id="18"/>
    </w:p>
    <w:p w14:paraId="117B2B7D">
      <w:pPr>
        <w:spacing w:line="560" w:lineRule="exact"/>
        <w:ind w:firstLine="640" w:firstLineChars="200"/>
        <w:rPr>
          <w:rFonts w:ascii="仿宋_GB2312" w:eastAsia="仿宋_GB2312"/>
          <w:sz w:val="32"/>
          <w:szCs w:val="32"/>
          <w:lang w:val="zh-CN"/>
        </w:rPr>
      </w:pPr>
      <w:r>
        <w:rPr>
          <w:rFonts w:hint="eastAsia" w:ascii="仿宋_GB2312" w:eastAsia="仿宋_GB2312"/>
          <w:sz w:val="32"/>
          <w:szCs w:val="32"/>
          <w:lang w:val="zh-CN"/>
        </w:rPr>
        <w:t>1、贯彻执行党和国家关于民族、宗教工作的方针、政策和法规，负责组织指导全县民族、宗教政策和法律法规及民族基本知识的宣传教育工作，提出有关民族、宗教工作的政策建议，当好县委、县政府民族、宗教工作方面的参谋助手，依法协调各民族间关系，会同处理民族关系中的重大事项，促进各民族共同团结奋斗、共同繁荣发展，维护民族团结、社会稳定和国家统一；</w:t>
      </w:r>
    </w:p>
    <w:p w14:paraId="6B1CE5B1">
      <w:pPr>
        <w:spacing w:line="560" w:lineRule="exact"/>
        <w:ind w:firstLine="640" w:firstLineChars="200"/>
        <w:rPr>
          <w:rFonts w:ascii="仿宋_GB2312" w:eastAsia="仿宋_GB2312"/>
          <w:sz w:val="32"/>
          <w:szCs w:val="32"/>
          <w:lang w:val="zh-CN"/>
        </w:rPr>
      </w:pPr>
      <w:r>
        <w:rPr>
          <w:rFonts w:hint="eastAsia" w:ascii="仿宋_GB2312" w:eastAsia="仿宋_GB2312"/>
          <w:sz w:val="32"/>
          <w:szCs w:val="32"/>
          <w:lang w:val="zh-CN"/>
        </w:rPr>
        <w:t>2、组织开展民族宗教政策、理论和民族宗教工作等重大课题的综合调研，掌握全县民族、宗教情况和动态，研究制定我县民族、宗教方面的规范性文件，并负责组织实施和监督检查，保障少数民族的合法权益，指导、督查、协调“一法两规定一条例”等民族法律法规的贯彻落实；</w:t>
      </w:r>
    </w:p>
    <w:p w14:paraId="0905AB6D">
      <w:pPr>
        <w:spacing w:line="560" w:lineRule="exact"/>
        <w:ind w:firstLine="640" w:firstLineChars="200"/>
        <w:rPr>
          <w:rFonts w:ascii="仿宋_GB2312" w:eastAsia="仿宋_GB2312"/>
          <w:sz w:val="32"/>
          <w:szCs w:val="32"/>
          <w:lang w:val="zh-CN"/>
        </w:rPr>
      </w:pPr>
      <w:r>
        <w:rPr>
          <w:rFonts w:hint="eastAsia" w:ascii="仿宋_GB2312" w:eastAsia="仿宋_GB2312"/>
          <w:sz w:val="32"/>
          <w:szCs w:val="32"/>
          <w:lang w:val="zh-CN"/>
        </w:rPr>
        <w:t>3、负责协调推动有关部门履行民族工作相关职责，对全县民族工作实施管理、指导，促进民族政策在经济发展和社会事业等相关领域的实施、衔接。参与制定全县社会经济和教育、文化、科技、卫生、体育等项事业发展的中长期规划和年度计划，促进建立和完善少数民族事业发展综合评价检测体系，推进民族事务服务体系和民族事务管理信息化建设；组织协调实施县委、县政府民生工程的相关工作，参与协调全县移民、扶贫开发等相关工作；</w:t>
      </w:r>
    </w:p>
    <w:p w14:paraId="5912AD39">
      <w:pPr>
        <w:spacing w:line="560" w:lineRule="exact"/>
        <w:ind w:firstLine="640" w:firstLineChars="200"/>
        <w:rPr>
          <w:rFonts w:ascii="仿宋_GB2312" w:eastAsia="仿宋_GB2312"/>
          <w:sz w:val="32"/>
          <w:szCs w:val="32"/>
          <w:lang w:val="zh-CN"/>
        </w:rPr>
      </w:pPr>
      <w:r>
        <w:rPr>
          <w:rFonts w:hint="eastAsia" w:ascii="仿宋_GB2312" w:eastAsia="仿宋_GB2312"/>
          <w:sz w:val="32"/>
          <w:szCs w:val="32"/>
          <w:lang w:val="zh-CN"/>
        </w:rPr>
        <w:t>4、依法加强对宗教事务的管理，保护公民宗教信仰自由，保护宗教教职人员履行正常的教务活动，保护宗教教团和宗教活动场所的合法权益，巩固和发展同宗教界人士进行爱国主义、社会主义、拥护祖国统一和民族团结的自我教育，引导宗教与社会主义社会相适应，团结和动员广大信教群众为改革开放和经济建设服务；</w:t>
      </w:r>
    </w:p>
    <w:p w14:paraId="1ADCF552">
      <w:pPr>
        <w:spacing w:line="560" w:lineRule="exact"/>
        <w:ind w:firstLine="640" w:firstLineChars="200"/>
        <w:rPr>
          <w:rFonts w:ascii="仿宋_GB2312" w:eastAsia="仿宋_GB2312"/>
          <w:sz w:val="32"/>
          <w:szCs w:val="32"/>
          <w:lang w:val="zh-CN"/>
        </w:rPr>
      </w:pPr>
      <w:r>
        <w:rPr>
          <w:rFonts w:hint="eastAsia" w:ascii="仿宋_GB2312" w:eastAsia="仿宋_GB2312"/>
          <w:sz w:val="32"/>
          <w:szCs w:val="32"/>
          <w:lang w:val="zh-CN"/>
        </w:rPr>
        <w:t>5、承办县委、县政府民族团结进步表彰活动，组织开展民族团结进步创建活动，负责组织协调全县民族工作领域有关对位和对港澳台的交流与合作，参与涉及民族事务的对外宣传工作，做好民族上层人士、宗教界人士参观及学习等各项管理工作，组织少数民族开展健康有益的文化、体育、爱国卫生及民俗活动；</w:t>
      </w:r>
    </w:p>
    <w:p w14:paraId="47F0C256">
      <w:pPr>
        <w:spacing w:line="560" w:lineRule="exact"/>
        <w:ind w:firstLine="640" w:firstLineChars="200"/>
        <w:rPr>
          <w:rFonts w:ascii="仿宋_GB2312" w:eastAsia="仿宋_GB2312"/>
          <w:sz w:val="32"/>
          <w:szCs w:val="32"/>
          <w:lang w:val="zh-CN"/>
        </w:rPr>
      </w:pPr>
      <w:r>
        <w:rPr>
          <w:rFonts w:hint="eastAsia" w:ascii="仿宋_GB2312" w:eastAsia="仿宋_GB2312"/>
          <w:sz w:val="32"/>
          <w:szCs w:val="32"/>
          <w:lang w:val="zh-CN"/>
        </w:rPr>
        <w:t>6、参与拟订全县少数民族人才队伍建设规划；会同有关部门做好少数民族干部的培养、教育和使用工作；</w:t>
      </w:r>
    </w:p>
    <w:p w14:paraId="39C036D4">
      <w:pPr>
        <w:spacing w:line="560" w:lineRule="exact"/>
        <w:ind w:firstLine="640" w:firstLineChars="200"/>
        <w:rPr>
          <w:rFonts w:ascii="仿宋_GB2312" w:eastAsia="仿宋_GB2312"/>
          <w:sz w:val="32"/>
          <w:szCs w:val="32"/>
          <w:lang w:val="zh-CN"/>
        </w:rPr>
      </w:pPr>
      <w:r>
        <w:rPr>
          <w:rFonts w:hint="eastAsia" w:ascii="仿宋_GB2312" w:eastAsia="仿宋_GB2312"/>
          <w:sz w:val="32"/>
          <w:szCs w:val="32"/>
          <w:lang w:val="zh-CN"/>
        </w:rPr>
        <w:t>7、积极争取少数民族发展专项资金项目，合理安排项目建设，做好项目资金的使用管理，加强监督检查；组织协调民族贸易、民族特需用品生产和民族地区对位写作；</w:t>
      </w:r>
    </w:p>
    <w:p w14:paraId="3B422A0E">
      <w:pPr>
        <w:spacing w:line="560" w:lineRule="exact"/>
        <w:ind w:firstLine="640" w:firstLineChars="200"/>
        <w:rPr>
          <w:rFonts w:ascii="仿宋_GB2312" w:eastAsia="仿宋_GB2312"/>
          <w:sz w:val="32"/>
          <w:szCs w:val="32"/>
          <w:lang w:val="zh-CN"/>
        </w:rPr>
      </w:pPr>
      <w:r>
        <w:rPr>
          <w:rFonts w:hint="eastAsia" w:ascii="仿宋_GB2312" w:eastAsia="仿宋_GB2312"/>
          <w:sz w:val="32"/>
          <w:szCs w:val="32"/>
          <w:lang w:val="zh-CN"/>
        </w:rPr>
        <w:t>8、引导宗教在法律、法规和政策范围内活动，预防和制止不法分子利用宗教进行的非法、违法活动；、抵制境内外敌对势力利用宗教对我进行的参透；</w:t>
      </w:r>
    </w:p>
    <w:p w14:paraId="4C319924">
      <w:pPr>
        <w:spacing w:line="560" w:lineRule="exact"/>
        <w:ind w:firstLine="640" w:firstLineChars="200"/>
        <w:rPr>
          <w:rFonts w:ascii="仿宋_GB2312" w:eastAsia="仿宋_GB2312"/>
          <w:sz w:val="32"/>
          <w:szCs w:val="32"/>
          <w:lang w:val="zh-CN"/>
        </w:rPr>
      </w:pPr>
      <w:r>
        <w:rPr>
          <w:rFonts w:hint="eastAsia" w:ascii="仿宋_GB2312" w:eastAsia="仿宋_GB2312"/>
          <w:sz w:val="32"/>
          <w:szCs w:val="32"/>
          <w:lang w:val="zh-CN"/>
        </w:rPr>
        <w:t>9、指导宗教团体在宪法、法律和政策允许的范围内按照独立自主、自办教会的原则，搞好自身建设；帮助宗教团体培养、教育宗教教职人员，做好有关培训组织工作；办理宗教团体需政府协助或协调的事务；</w:t>
      </w:r>
    </w:p>
    <w:p w14:paraId="4A252895">
      <w:pPr>
        <w:spacing w:line="560" w:lineRule="exact"/>
        <w:ind w:firstLine="640" w:firstLineChars="200"/>
        <w:rPr>
          <w:rFonts w:ascii="仿宋_GB2312" w:eastAsia="仿宋_GB2312"/>
          <w:sz w:val="32"/>
          <w:szCs w:val="32"/>
          <w:lang w:val="zh-CN"/>
        </w:rPr>
      </w:pPr>
      <w:r>
        <w:rPr>
          <w:rFonts w:hint="eastAsia" w:ascii="仿宋_GB2312" w:eastAsia="仿宋_GB2312"/>
          <w:sz w:val="32"/>
          <w:szCs w:val="32"/>
          <w:lang w:val="zh-CN"/>
        </w:rPr>
        <w:t>10、负责宣传贯彻国家关于少数民族语言文字方面的政策、法规并监督实施；指导管理藏语语言文字的学习使用、社会市面用文的检查、整顿及藏文翻译工作；指导少数民族语言文字的翻译、出版和少数民族古籍的收集、整理、出版工作，会同有关部门对少数民族题材文化作品（产品）进行审查；</w:t>
      </w:r>
    </w:p>
    <w:p w14:paraId="09A4C7C4">
      <w:pPr>
        <w:spacing w:line="560" w:lineRule="exact"/>
        <w:ind w:firstLine="640" w:firstLineChars="200"/>
        <w:rPr>
          <w:rFonts w:ascii="仿宋_GB2312" w:eastAsia="仿宋_GB2312"/>
          <w:sz w:val="32"/>
          <w:szCs w:val="32"/>
          <w:lang w:val="zh-CN"/>
        </w:rPr>
      </w:pPr>
      <w:r>
        <w:rPr>
          <w:rFonts w:hint="eastAsia" w:ascii="仿宋_GB2312" w:eastAsia="仿宋_GB2312"/>
          <w:sz w:val="32"/>
          <w:szCs w:val="32"/>
          <w:lang w:val="zh-CN"/>
        </w:rPr>
        <w:t>11、贯彻执行国家和省、州有关两项资金管理工作的政策和规定，依法管理两项资金投资的项目和资金，制定实施全县两项资金管理工作的具体办法和意见；对两项资金投资项目的审查、报批、实施、验收等全过程进行管理和监督；</w:t>
      </w:r>
    </w:p>
    <w:p w14:paraId="2C39AAFF">
      <w:pPr>
        <w:spacing w:line="560" w:lineRule="exact"/>
        <w:ind w:firstLine="640" w:firstLineChars="200"/>
        <w:rPr>
          <w:rFonts w:ascii="仿宋_GB2312" w:eastAsia="仿宋_GB2312"/>
          <w:sz w:val="32"/>
          <w:szCs w:val="32"/>
          <w:lang w:val="zh-CN"/>
        </w:rPr>
      </w:pPr>
      <w:r>
        <w:rPr>
          <w:rFonts w:hint="eastAsia" w:ascii="仿宋_GB2312" w:eastAsia="仿宋_GB2312"/>
          <w:sz w:val="32"/>
          <w:szCs w:val="32"/>
          <w:lang w:val="zh-CN"/>
        </w:rPr>
        <w:t>12、承办县委、县政府交办的其他事项。</w:t>
      </w:r>
    </w:p>
    <w:p w14:paraId="65DAE18F">
      <w:bookmarkStart w:id="19" w:name="_Toc5061"/>
      <w:bookmarkStart w:id="20" w:name="_Toc15377200"/>
      <w:bookmarkStart w:id="21" w:name="_Toc15396601"/>
      <w:r>
        <w:rPr>
          <w:rFonts w:hint="eastAsia" w:ascii="黑体" w:eastAsia="黑体"/>
          <w:b w:val="0"/>
        </w:rPr>
        <w:t>二、</w:t>
      </w:r>
      <w:r>
        <w:rPr>
          <w:rFonts w:hint="eastAsia" w:ascii="黑体" w:hAnsi="黑体" w:eastAsia="黑体"/>
          <w:b w:val="0"/>
        </w:rPr>
        <w:t>机</w:t>
      </w:r>
      <w:r>
        <w:rPr>
          <w:rFonts w:hint="eastAsia" w:ascii="黑体" w:hAnsi="黑体" w:eastAsia="黑体"/>
        </w:rPr>
        <w:t>构设置</w:t>
      </w:r>
      <w:bookmarkEnd w:id="19"/>
      <w:bookmarkEnd w:id="20"/>
      <w:bookmarkEnd w:id="21"/>
    </w:p>
    <w:p w14:paraId="1157D609">
      <w:pPr>
        <w:ind w:firstLine="800" w:firstLineChars="250"/>
        <w:rPr>
          <w:rFonts w:hint="eastAsia" w:ascii="仿宋" w:hAnsi="仿宋" w:eastAsia="仿宋"/>
          <w:sz w:val="32"/>
          <w:szCs w:val="32"/>
        </w:rPr>
      </w:pPr>
      <w:r>
        <w:rPr>
          <w:rFonts w:hint="eastAsia" w:ascii="仿宋" w:hAnsi="仿宋" w:eastAsia="仿宋"/>
          <w:sz w:val="32"/>
          <w:szCs w:val="32"/>
        </w:rPr>
        <w:t>红原县民族宗教局下属二级预算单位</w:t>
      </w:r>
      <w:r>
        <w:rPr>
          <w:rFonts w:hint="eastAsia" w:eastAsia="仿宋"/>
          <w:sz w:val="32"/>
          <w:szCs w:val="32"/>
        </w:rPr>
        <w:t>1</w:t>
      </w:r>
      <w:r>
        <w:rPr>
          <w:rFonts w:hint="eastAsia" w:ascii="仿宋" w:hAnsi="仿宋" w:eastAsia="仿宋"/>
          <w:sz w:val="32"/>
          <w:szCs w:val="32"/>
        </w:rPr>
        <w:t>个，其中行政单位0个，参照公务员法管理的事业单位</w:t>
      </w:r>
      <w:r>
        <w:rPr>
          <w:rFonts w:hint="eastAsia" w:ascii="仿宋" w:hAnsi="仿宋" w:eastAsia="仿宋"/>
          <w:bCs/>
          <w:sz w:val="32"/>
          <w:szCs w:val="32"/>
        </w:rPr>
        <w:t>1</w:t>
      </w:r>
      <w:r>
        <w:rPr>
          <w:rFonts w:hint="eastAsia" w:ascii="仿宋" w:hAnsi="仿宋" w:eastAsia="仿宋"/>
          <w:sz w:val="32"/>
          <w:szCs w:val="32"/>
        </w:rPr>
        <w:t>个，其他事业单位0个。</w:t>
      </w:r>
    </w:p>
    <w:p w14:paraId="028AF10A">
      <w:pPr>
        <w:adjustRightInd w:val="0"/>
        <w:snapToGrid w:val="0"/>
        <w:spacing w:before="93" w:line="600" w:lineRule="exact"/>
        <w:ind w:firstLine="640" w:firstLineChars="200"/>
        <w:rPr>
          <w:rFonts w:hint="eastAsia" w:ascii="仿宋" w:hAnsi="仿宋" w:eastAsia="仿宋"/>
          <w:sz w:val="32"/>
          <w:szCs w:val="32"/>
        </w:rPr>
      </w:pPr>
      <w:r>
        <w:rPr>
          <w:rFonts w:hint="eastAsia"/>
          <w:sz w:val="32"/>
          <w:lang w:val="zh-CN"/>
        </w:rPr>
        <w:t>我局人事核定行政编制</w:t>
      </w:r>
      <w:r>
        <w:rPr>
          <w:rFonts w:hint="eastAsia"/>
          <w:sz w:val="32"/>
        </w:rPr>
        <w:t>1</w:t>
      </w:r>
      <w:r>
        <w:rPr>
          <w:rFonts w:hint="eastAsia"/>
          <w:sz w:val="32"/>
          <w:lang w:val="en-US" w:eastAsia="zh-CN"/>
        </w:rPr>
        <w:t>4</w:t>
      </w:r>
      <w:r>
        <w:rPr>
          <w:rFonts w:hint="eastAsia"/>
          <w:sz w:val="32"/>
          <w:lang w:val="zh-CN"/>
        </w:rPr>
        <w:t>人，其中：行政工勤编制1人。是独立核算的机构，是独立编报预算的单位。2025年年末在职行政人数</w:t>
      </w:r>
      <w:r>
        <w:rPr>
          <w:rFonts w:hint="eastAsia"/>
          <w:sz w:val="32"/>
        </w:rPr>
        <w:t>1</w:t>
      </w:r>
      <w:r>
        <w:rPr>
          <w:rFonts w:hint="eastAsia"/>
          <w:sz w:val="32"/>
          <w:lang w:val="en-US" w:eastAsia="zh-CN"/>
        </w:rPr>
        <w:t>0</w:t>
      </w:r>
      <w:r>
        <w:rPr>
          <w:rFonts w:hint="eastAsia"/>
          <w:sz w:val="32"/>
          <w:lang w:val="zh-CN"/>
        </w:rPr>
        <w:t>人，其中：行政工勤在职人数1人。事业编制人数</w:t>
      </w:r>
      <w:r>
        <w:rPr>
          <w:rFonts w:hint="eastAsia"/>
          <w:sz w:val="32"/>
        </w:rPr>
        <w:t>4人，实有人数1</w:t>
      </w:r>
      <w:r>
        <w:rPr>
          <w:rFonts w:hint="eastAsia"/>
          <w:sz w:val="32"/>
          <w:lang w:val="en-US" w:eastAsia="zh-CN"/>
        </w:rPr>
        <w:t>4</w:t>
      </w:r>
      <w:r>
        <w:rPr>
          <w:rFonts w:hint="eastAsia"/>
          <w:sz w:val="32"/>
        </w:rPr>
        <w:t>人。</w:t>
      </w:r>
    </w:p>
    <w:p w14:paraId="6C5540B3">
      <w:pPr>
        <w:widowControl/>
        <w:jc w:val="left"/>
        <w:rPr>
          <w:rFonts w:hint="eastAsia" w:ascii="仿宋" w:hAnsi="仿宋" w:eastAsia="仿宋"/>
          <w:kern w:val="0"/>
          <w:sz w:val="32"/>
          <w:szCs w:val="32"/>
        </w:rPr>
      </w:pPr>
      <w:r>
        <w:rPr>
          <w:rFonts w:ascii="仿宋" w:hAnsi="仿宋" w:eastAsia="仿宋"/>
          <w:sz w:val="32"/>
          <w:szCs w:val="32"/>
        </w:rPr>
        <w:br w:type="page"/>
      </w:r>
    </w:p>
    <w:p w14:paraId="577CA1CA">
      <w:pPr>
        <w:ind w:right="440"/>
        <w:jc w:val="center"/>
        <w:rPr>
          <w:rFonts w:hint="eastAsia" w:ascii="黑体" w:hAnsi="黑体" w:eastAsia="黑体"/>
          <w:bCs/>
        </w:rPr>
      </w:pPr>
      <w:bookmarkStart w:id="22" w:name="_Toc15315"/>
      <w:bookmarkStart w:id="23" w:name="_Toc15396602"/>
      <w:bookmarkStart w:id="24" w:name="_Toc15377204"/>
      <w:r>
        <w:rPr>
          <w:rFonts w:hint="eastAsia" w:ascii="黑体" w:hAnsi="黑体" w:eastAsia="黑体"/>
          <w:b w:val="0"/>
        </w:rPr>
        <w:t xml:space="preserve">第二部分 </w:t>
      </w:r>
      <w:r>
        <w:rPr>
          <w:rFonts w:hint="eastAsia" w:ascii="黑体" w:hAnsi="黑体" w:eastAsia="黑体"/>
          <w:b w:val="0"/>
          <w:lang w:eastAsia="zh-CN"/>
        </w:rPr>
        <w:t>2025年</w:t>
      </w:r>
      <w:r>
        <w:rPr>
          <w:rFonts w:hint="eastAsia" w:ascii="黑体" w:hAnsi="黑体" w:eastAsia="黑体"/>
          <w:b w:val="0"/>
        </w:rPr>
        <w:t>度</w:t>
      </w:r>
      <w:r>
        <w:rPr>
          <w:rFonts w:hint="eastAsia" w:ascii="黑体" w:hAnsi="黑体" w:eastAsia="黑体"/>
          <w:bCs/>
        </w:rPr>
        <w:t>部门决算情况说明</w:t>
      </w:r>
      <w:bookmarkEnd w:id="22"/>
      <w:bookmarkEnd w:id="23"/>
      <w:bookmarkEnd w:id="24"/>
    </w:p>
    <w:p w14:paraId="7B97FC58"/>
    <w:p w14:paraId="25A48444">
      <w:pPr>
        <w:numPr>
          <w:ilvl w:val="0"/>
          <w:numId w:val="0"/>
        </w:numPr>
        <w:spacing w:line="600" w:lineRule="exact"/>
        <w:ind w:firstLineChars="0"/>
        <w:outlineLvl w:val="1"/>
        <w:rPr>
          <w:rFonts w:hint="eastAsia" w:ascii="黑体" w:hAnsi="黑体" w:eastAsia="黑体"/>
          <w:sz w:val="32"/>
          <w:szCs w:val="32"/>
        </w:rPr>
      </w:pPr>
      <w:bookmarkStart w:id="25" w:name="_Toc15396603"/>
      <w:bookmarkStart w:id="26" w:name="_Toc32294"/>
      <w:bookmarkStart w:id="27" w:name="_Toc15377205"/>
      <w:r>
        <w:rPr>
          <w:rFonts w:hint="eastAsia" w:ascii="黑体" w:hAnsi="黑体" w:eastAsia="黑体"/>
          <w:sz w:val="32"/>
          <w:szCs w:val="32"/>
        </w:rPr>
        <w:t>收入支出决算总体情况说明</w:t>
      </w:r>
      <w:bookmarkEnd w:id="25"/>
      <w:bookmarkEnd w:id="26"/>
      <w:bookmarkEnd w:id="27"/>
    </w:p>
    <w:p w14:paraId="16028349">
      <w:pPr>
        <w:spacing w:line="600" w:lineRule="exact"/>
        <w:ind w:firstLine="640" w:firstLineChars="200"/>
        <w:jc w:val="left"/>
        <w:rPr>
          <w:rFonts w:hint="eastAsia" w:ascii="仿宋" w:hAnsi="仿宋" w:eastAsia="仿宋"/>
          <w:sz w:val="32"/>
          <w:szCs w:val="32"/>
        </w:rPr>
      </w:pPr>
      <w:r>
        <w:rPr>
          <w:rFonts w:hint="eastAsia" w:ascii="仿宋" w:hAnsi="仿宋" w:eastAsia="仿宋"/>
          <w:sz w:val="32"/>
          <w:szCs w:val="32"/>
          <w:lang w:eastAsia="zh-CN"/>
        </w:rPr>
        <w:t>2025年</w:t>
      </w:r>
      <w:r>
        <w:rPr>
          <w:rFonts w:hint="eastAsia" w:ascii="仿宋" w:hAnsi="仿宋" w:eastAsia="仿宋"/>
          <w:sz w:val="32"/>
          <w:szCs w:val="32"/>
        </w:rPr>
        <w:t>度收、支总计均为</w:t>
      </w:r>
      <w:r>
        <w:rPr>
          <w:rFonts w:hint="eastAsia" w:ascii="仿宋" w:hAnsi="仿宋" w:eastAsia="仿宋"/>
          <w:sz w:val="32"/>
          <w:szCs w:val="32"/>
          <w:lang w:eastAsia="zh-CN"/>
        </w:rPr>
        <w:t>477.94万</w:t>
      </w:r>
      <w:r>
        <w:rPr>
          <w:rFonts w:hint="eastAsia" w:eastAsia="仿宋"/>
          <w:sz w:val="32"/>
          <w:szCs w:val="32"/>
          <w:lang w:eastAsia="zh-CN"/>
        </w:rPr>
        <w:t>元</w:t>
      </w:r>
      <w:r>
        <w:rPr>
          <w:rFonts w:hint="eastAsia"/>
          <w:sz w:val="32"/>
          <w:szCs w:val="32"/>
        </w:rPr>
        <w:t>。</w:t>
      </w:r>
      <w:r>
        <w:rPr>
          <w:rFonts w:hint="eastAsia" w:ascii="仿宋" w:hAnsi="仿宋" w:eastAsia="仿宋"/>
          <w:sz w:val="32"/>
          <w:szCs w:val="32"/>
        </w:rPr>
        <w:t>与202</w:t>
      </w:r>
      <w:r>
        <w:rPr>
          <w:rFonts w:hint="eastAsia" w:ascii="仿宋" w:hAnsi="仿宋" w:eastAsia="仿宋"/>
          <w:sz w:val="32"/>
          <w:szCs w:val="32"/>
          <w:lang w:val="en-US" w:eastAsia="zh-CN"/>
        </w:rPr>
        <w:t>4</w:t>
      </w:r>
      <w:r>
        <w:rPr>
          <w:rFonts w:hint="eastAsia" w:ascii="仿宋" w:hAnsi="仿宋" w:eastAsia="仿宋"/>
          <w:sz w:val="32"/>
          <w:szCs w:val="32"/>
        </w:rPr>
        <w:t>年度相比，收、支总计各</w:t>
      </w:r>
      <w:r>
        <w:rPr>
          <w:rFonts w:hint="eastAsia" w:ascii="仿宋" w:hAnsi="仿宋" w:eastAsia="仿宋"/>
          <w:sz w:val="32"/>
          <w:szCs w:val="32"/>
          <w:lang w:val="en-US" w:eastAsia="zh-CN"/>
        </w:rPr>
        <w:t>减少151.88万</w:t>
      </w:r>
      <w:r>
        <w:rPr>
          <w:rFonts w:hint="eastAsia" w:ascii="仿宋" w:hAnsi="仿宋" w:eastAsia="仿宋"/>
          <w:sz w:val="32"/>
          <w:szCs w:val="32"/>
        </w:rPr>
        <w:t>元，</w:t>
      </w:r>
      <w:r>
        <w:rPr>
          <w:rFonts w:hint="eastAsia" w:ascii="仿宋" w:hAnsi="仿宋" w:eastAsia="仿宋"/>
          <w:sz w:val="32"/>
          <w:szCs w:val="32"/>
          <w:lang w:val="en-US" w:eastAsia="zh-CN"/>
        </w:rPr>
        <w:t>减少24.12</w:t>
      </w:r>
      <w:r>
        <w:rPr>
          <w:rFonts w:hint="eastAsia" w:ascii="仿宋" w:hAnsi="仿宋" w:eastAsia="仿宋"/>
          <w:sz w:val="32"/>
          <w:szCs w:val="32"/>
        </w:rPr>
        <w:t>%。主要变动原因是项目资金</w:t>
      </w:r>
      <w:r>
        <w:rPr>
          <w:rFonts w:hint="eastAsia" w:ascii="仿宋" w:hAnsi="仿宋" w:eastAsia="仿宋"/>
          <w:sz w:val="32"/>
          <w:szCs w:val="32"/>
          <w:lang w:val="en-US" w:eastAsia="zh-CN"/>
        </w:rPr>
        <w:t>减少</w:t>
      </w:r>
      <w:r>
        <w:rPr>
          <w:rFonts w:hint="eastAsia" w:ascii="仿宋" w:hAnsi="仿宋" w:eastAsia="仿宋"/>
          <w:sz w:val="32"/>
          <w:szCs w:val="32"/>
        </w:rPr>
        <w:t>。</w:t>
      </w:r>
    </w:p>
    <w:p w14:paraId="0983FF36">
      <w:pPr>
        <w:spacing w:line="600" w:lineRule="exact"/>
        <w:ind w:firstLine="640" w:firstLineChars="200"/>
        <w:jc w:val="left"/>
        <w:rPr>
          <w:rFonts w:hint="eastAsia" w:ascii="仿宋" w:hAnsi="仿宋" w:eastAsia="仿宋"/>
          <w:sz w:val="32"/>
          <w:szCs w:val="32"/>
        </w:rPr>
      </w:pPr>
      <w:r>
        <w:rPr>
          <w:rFonts w:hint="eastAsia" w:ascii="仿宋" w:hAnsi="仿宋" w:eastAsia="仿宋"/>
          <w:sz w:val="32"/>
          <w:szCs w:val="32"/>
        </w:rPr>
        <w:t>（图1：收、支决算总计变动情况图）（柱状图）</w:t>
      </w:r>
    </w:p>
    <w:p w14:paraId="1294C85E">
      <w:pPr>
        <w:outlineLvl w:val="9"/>
        <w:rPr>
          <w:rFonts w:hint="eastAsia" w:ascii="仿宋_GB2312" w:eastAsia="仿宋_GB2312"/>
          <w:sz w:val="32"/>
          <w:szCs w:val="32"/>
          <w:lang w:eastAsia="zh-CN"/>
        </w:rPr>
      </w:pPr>
      <w:r>
        <w:rPr>
          <w:rFonts w:hint="eastAsia" w:ascii="仿宋_GB2312" w:eastAsia="仿宋_GB2312"/>
          <w:sz w:val="32"/>
          <w:szCs w:val="32"/>
          <w:lang w:eastAsia="zh-CN"/>
        </w:rPr>
        <w:drawing>
          <wp:inline distT="0" distB="0" distL="114300" distR="114300">
            <wp:extent cx="5080000" cy="3810000"/>
            <wp:effectExtent l="4445" t="4445" r="20955" b="14605"/>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C581268">
      <w:pPr>
        <w:numPr>
          <w:ilvl w:val="0"/>
          <w:numId w:val="0"/>
        </w:numPr>
        <w:spacing w:line="600" w:lineRule="exact"/>
        <w:ind w:firstLineChars="0"/>
        <w:outlineLvl w:val="1"/>
        <w:rPr>
          <w:rFonts w:hint="eastAsia" w:ascii="黑体" w:hAnsi="黑体" w:eastAsia="黑体"/>
          <w:sz w:val="32"/>
          <w:szCs w:val="32"/>
        </w:rPr>
      </w:pPr>
      <w:bookmarkStart w:id="28" w:name="_Toc4583"/>
      <w:bookmarkStart w:id="29" w:name="_Toc15377206"/>
      <w:bookmarkStart w:id="30" w:name="_Toc15396604"/>
      <w:r>
        <w:rPr>
          <w:rFonts w:hint="eastAsia" w:ascii="黑体" w:hAnsi="黑体" w:eastAsia="黑体"/>
          <w:sz w:val="32"/>
          <w:szCs w:val="32"/>
        </w:rPr>
        <w:t>收入决算情况说明</w:t>
      </w:r>
      <w:bookmarkEnd w:id="28"/>
      <w:bookmarkEnd w:id="29"/>
      <w:bookmarkEnd w:id="30"/>
    </w:p>
    <w:p w14:paraId="7EE61684">
      <w:pPr>
        <w:spacing w:line="600" w:lineRule="exact"/>
        <w:ind w:firstLine="640" w:firstLineChars="200"/>
        <w:jc w:val="left"/>
        <w:outlineLvl w:val="1"/>
        <w:rPr>
          <w:rFonts w:hint="eastAsia" w:ascii="仿宋" w:hAnsi="仿宋" w:eastAsia="仿宋"/>
          <w:sz w:val="32"/>
          <w:szCs w:val="32"/>
        </w:rPr>
      </w:pPr>
      <w:bookmarkStart w:id="31" w:name="_Toc26599"/>
      <w:r>
        <w:rPr>
          <w:rFonts w:hint="eastAsia" w:ascii="仿宋" w:hAnsi="仿宋" w:eastAsia="仿宋"/>
          <w:sz w:val="32"/>
          <w:szCs w:val="32"/>
          <w:lang w:eastAsia="zh-CN"/>
        </w:rPr>
        <w:t>2025年</w:t>
      </w:r>
      <w:r>
        <w:rPr>
          <w:rFonts w:hint="eastAsia" w:ascii="仿宋" w:hAnsi="仿宋" w:eastAsia="仿宋"/>
          <w:sz w:val="32"/>
          <w:szCs w:val="32"/>
        </w:rPr>
        <w:t>度本年收入合计</w:t>
      </w:r>
      <w:r>
        <w:rPr>
          <w:rFonts w:hint="eastAsia" w:eastAsia="仿宋"/>
          <w:sz w:val="32"/>
          <w:szCs w:val="32"/>
          <w:lang w:eastAsia="zh-CN"/>
        </w:rPr>
        <w:t>477.94万元</w:t>
      </w:r>
      <w:r>
        <w:rPr>
          <w:rFonts w:hint="eastAsia" w:ascii="仿宋" w:hAnsi="仿宋" w:eastAsia="仿宋"/>
          <w:sz w:val="32"/>
          <w:szCs w:val="32"/>
        </w:rPr>
        <w:t>，其中：一般公共预算财政拨款收入</w:t>
      </w:r>
      <w:r>
        <w:rPr>
          <w:rFonts w:hint="eastAsia" w:eastAsia="仿宋"/>
          <w:sz w:val="32"/>
          <w:szCs w:val="32"/>
          <w:lang w:eastAsia="zh-CN"/>
        </w:rPr>
        <w:t>477.94万元</w:t>
      </w:r>
      <w:r>
        <w:rPr>
          <w:rFonts w:hint="eastAsia" w:ascii="仿宋" w:hAnsi="仿宋" w:eastAsia="仿宋"/>
          <w:sz w:val="32"/>
          <w:szCs w:val="32"/>
        </w:rPr>
        <w:t>，占</w:t>
      </w:r>
      <w:r>
        <w:rPr>
          <w:sz w:val="32"/>
          <w:szCs w:val="32"/>
        </w:rPr>
        <w:t>100</w:t>
      </w:r>
      <w:r>
        <w:rPr>
          <w:rFonts w:ascii="仿宋" w:hAnsi="仿宋" w:eastAsia="仿宋"/>
          <w:sz w:val="32"/>
          <w:szCs w:val="32"/>
        </w:rPr>
        <w:t>%</w:t>
      </w:r>
      <w:r>
        <w:rPr>
          <w:rFonts w:hint="eastAsia" w:ascii="仿宋" w:hAnsi="仿宋" w:eastAsia="仿宋"/>
          <w:sz w:val="32"/>
          <w:szCs w:val="32"/>
        </w:rPr>
        <w:t>；政府性基金预算财政拨款收入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；国有资本经营预算财政拨款收入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；上级补助收入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；事业收入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；经营收入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；附属单位上缴收入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；其他收入</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w:t>
      </w:r>
      <w:bookmarkEnd w:id="31"/>
    </w:p>
    <w:p w14:paraId="1BCC1D20">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（图2：收入决算结构图）（饼状图）</w:t>
      </w:r>
    </w:p>
    <w:p w14:paraId="30EE0E24">
      <w:pPr>
        <w:outlineLvl w:val="9"/>
        <w:rPr>
          <w:rFonts w:ascii="仿宋_GB2312" w:eastAsia="仿宋_GB2312"/>
          <w:sz w:val="32"/>
          <w:szCs w:val="32"/>
        </w:rPr>
      </w:pPr>
      <w:r>
        <w:rPr>
          <w:rFonts w:hint="eastAsia" w:eastAsia="仿宋"/>
        </w:rPr>
        <w:drawing>
          <wp:inline distT="0" distB="0" distL="114300" distR="114300">
            <wp:extent cx="3526790" cy="2235835"/>
            <wp:effectExtent l="4445" t="4445" r="12065" b="762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BB33EFD">
      <w:pPr>
        <w:numPr>
          <w:ilvl w:val="0"/>
          <w:numId w:val="0"/>
        </w:numPr>
        <w:spacing w:line="600" w:lineRule="exact"/>
        <w:ind w:firstLineChars="0"/>
        <w:outlineLvl w:val="1"/>
        <w:rPr>
          <w:rFonts w:hint="eastAsia" w:ascii="黑体" w:hAnsi="黑体" w:eastAsia="黑体"/>
          <w:sz w:val="32"/>
          <w:szCs w:val="32"/>
        </w:rPr>
      </w:pPr>
      <w:bookmarkStart w:id="32" w:name="_Toc15377207"/>
      <w:bookmarkStart w:id="33" w:name="_Toc3535"/>
      <w:bookmarkStart w:id="34" w:name="_Toc15396605"/>
      <w:r>
        <w:rPr>
          <w:rFonts w:hint="eastAsia" w:ascii="黑体" w:hAnsi="黑体" w:eastAsia="黑体"/>
          <w:sz w:val="32"/>
          <w:szCs w:val="32"/>
        </w:rPr>
        <w:t>支出决算情况说明</w:t>
      </w:r>
      <w:bookmarkEnd w:id="32"/>
      <w:bookmarkEnd w:id="33"/>
      <w:bookmarkEnd w:id="34"/>
    </w:p>
    <w:p w14:paraId="616A7C9F">
      <w:pPr>
        <w:spacing w:line="600" w:lineRule="exact"/>
        <w:ind w:firstLine="640" w:firstLineChars="200"/>
        <w:jc w:val="left"/>
        <w:outlineLvl w:val="1"/>
        <w:rPr>
          <w:rFonts w:hint="eastAsia" w:ascii="仿宋" w:hAnsi="仿宋" w:eastAsia="仿宋"/>
          <w:sz w:val="32"/>
          <w:szCs w:val="32"/>
        </w:rPr>
      </w:pPr>
      <w:r>
        <w:rPr>
          <w:rFonts w:hint="eastAsia" w:ascii="仿宋" w:hAnsi="仿宋" w:eastAsia="仿宋"/>
          <w:sz w:val="32"/>
          <w:szCs w:val="32"/>
          <w:lang w:eastAsia="zh-CN"/>
        </w:rPr>
        <w:t>2025年</w:t>
      </w:r>
      <w:r>
        <w:rPr>
          <w:rFonts w:hint="eastAsia" w:ascii="仿宋" w:hAnsi="仿宋" w:eastAsia="仿宋"/>
          <w:sz w:val="32"/>
          <w:szCs w:val="32"/>
        </w:rPr>
        <w:t>度本年支出合计477.94万元，其中：基本支出</w:t>
      </w:r>
      <w:r>
        <w:rPr>
          <w:rFonts w:hint="eastAsia" w:ascii="仿宋" w:hAnsi="仿宋" w:eastAsia="仿宋"/>
          <w:sz w:val="32"/>
          <w:szCs w:val="32"/>
          <w:lang w:eastAsia="zh-CN"/>
        </w:rPr>
        <w:t>414.14万元</w:t>
      </w:r>
      <w:r>
        <w:rPr>
          <w:rFonts w:hint="eastAsia" w:ascii="仿宋" w:hAnsi="仿宋" w:eastAsia="仿宋"/>
          <w:sz w:val="32"/>
          <w:szCs w:val="32"/>
        </w:rPr>
        <w:t>，占</w:t>
      </w:r>
      <w:r>
        <w:rPr>
          <w:rFonts w:hint="eastAsia" w:ascii="仿宋" w:hAnsi="仿宋" w:eastAsia="仿宋"/>
          <w:sz w:val="32"/>
          <w:szCs w:val="32"/>
          <w:lang w:val="en-US" w:eastAsia="zh-CN"/>
        </w:rPr>
        <w:t>86</w:t>
      </w:r>
      <w:r>
        <w:rPr>
          <w:rFonts w:hint="eastAsia" w:ascii="仿宋" w:hAnsi="仿宋" w:eastAsia="仿宋"/>
          <w:sz w:val="32"/>
          <w:szCs w:val="32"/>
        </w:rPr>
        <w:t>.6</w:t>
      </w:r>
      <w:r>
        <w:rPr>
          <w:rFonts w:hint="eastAsia" w:ascii="仿宋" w:hAnsi="仿宋" w:eastAsia="仿宋"/>
          <w:sz w:val="32"/>
          <w:szCs w:val="32"/>
          <w:lang w:val="en-US" w:eastAsia="zh-CN"/>
        </w:rPr>
        <w:t>5</w:t>
      </w:r>
      <w:r>
        <w:rPr>
          <w:rFonts w:ascii="仿宋" w:hAnsi="仿宋" w:eastAsia="仿宋"/>
          <w:sz w:val="32"/>
          <w:szCs w:val="32"/>
        </w:rPr>
        <w:t>%</w:t>
      </w:r>
      <w:r>
        <w:rPr>
          <w:rFonts w:hint="eastAsia" w:ascii="仿宋" w:hAnsi="仿宋" w:eastAsia="仿宋"/>
          <w:sz w:val="32"/>
          <w:szCs w:val="32"/>
        </w:rPr>
        <w:t>；项目支出63.80万元，占</w:t>
      </w:r>
      <w:r>
        <w:rPr>
          <w:rFonts w:hint="eastAsia" w:ascii="仿宋" w:hAnsi="仿宋" w:eastAsia="仿宋"/>
          <w:sz w:val="32"/>
          <w:szCs w:val="32"/>
          <w:lang w:val="en-US" w:eastAsia="zh-CN"/>
        </w:rPr>
        <w:t>13</w:t>
      </w:r>
      <w:r>
        <w:rPr>
          <w:rFonts w:hint="eastAsia" w:ascii="仿宋" w:hAnsi="仿宋" w:eastAsia="仿宋"/>
          <w:sz w:val="32"/>
          <w:szCs w:val="32"/>
        </w:rPr>
        <w:t>.3</w:t>
      </w:r>
      <w:r>
        <w:rPr>
          <w:rFonts w:hint="eastAsia" w:ascii="仿宋" w:hAnsi="仿宋" w:eastAsia="仿宋"/>
          <w:sz w:val="32"/>
          <w:szCs w:val="32"/>
          <w:lang w:val="en-US" w:eastAsia="zh-CN"/>
        </w:rPr>
        <w:t>5</w:t>
      </w:r>
      <w:r>
        <w:rPr>
          <w:rFonts w:ascii="仿宋" w:hAnsi="仿宋" w:eastAsia="仿宋"/>
          <w:sz w:val="32"/>
          <w:szCs w:val="32"/>
        </w:rPr>
        <w:t>%</w:t>
      </w:r>
      <w:r>
        <w:rPr>
          <w:rFonts w:hint="eastAsia" w:ascii="仿宋" w:hAnsi="仿宋" w:eastAsia="仿宋"/>
          <w:sz w:val="32"/>
          <w:szCs w:val="32"/>
        </w:rPr>
        <w:t>；上缴上级支出</w:t>
      </w:r>
      <w:r>
        <w:rPr>
          <w:rFonts w:ascii="仿宋" w:hAnsi="仿宋" w:eastAsia="仿宋"/>
          <w:sz w:val="32"/>
          <w:szCs w:val="32"/>
        </w:rPr>
        <w:t>0</w:t>
      </w:r>
      <w:r>
        <w:rPr>
          <w:rFonts w:hint="eastAsia" w:ascii="仿宋" w:hAnsi="仿宋" w:eastAsia="仿宋"/>
          <w:sz w:val="32"/>
          <w:szCs w:val="32"/>
        </w:rPr>
        <w:t>万元，占</w:t>
      </w:r>
      <w:r>
        <w:rPr>
          <w:rFonts w:ascii="仿宋" w:hAnsi="仿宋" w:eastAsia="仿宋"/>
          <w:sz w:val="32"/>
          <w:szCs w:val="32"/>
        </w:rPr>
        <w:t>0%</w:t>
      </w:r>
      <w:r>
        <w:rPr>
          <w:rFonts w:hint="eastAsia" w:ascii="仿宋" w:hAnsi="仿宋" w:eastAsia="仿宋"/>
          <w:sz w:val="32"/>
          <w:szCs w:val="32"/>
        </w:rPr>
        <w:t>；经营支出</w:t>
      </w:r>
      <w:r>
        <w:rPr>
          <w:rFonts w:ascii="仿宋" w:hAnsi="仿宋" w:eastAsia="仿宋"/>
          <w:sz w:val="32"/>
          <w:szCs w:val="32"/>
        </w:rPr>
        <w:t>0</w:t>
      </w:r>
      <w:r>
        <w:rPr>
          <w:rFonts w:hint="eastAsia" w:ascii="仿宋" w:hAnsi="仿宋" w:eastAsia="仿宋"/>
          <w:sz w:val="32"/>
          <w:szCs w:val="32"/>
        </w:rPr>
        <w:t>万元，占</w:t>
      </w:r>
      <w:r>
        <w:rPr>
          <w:rFonts w:ascii="仿宋" w:hAnsi="仿宋" w:eastAsia="仿宋"/>
          <w:sz w:val="32"/>
          <w:szCs w:val="32"/>
        </w:rPr>
        <w:t>0%</w:t>
      </w:r>
      <w:r>
        <w:rPr>
          <w:rFonts w:hint="eastAsia" w:ascii="仿宋" w:hAnsi="仿宋" w:eastAsia="仿宋"/>
          <w:sz w:val="32"/>
          <w:szCs w:val="32"/>
        </w:rPr>
        <w:t>；对附属单位补助支出</w:t>
      </w:r>
      <w:r>
        <w:rPr>
          <w:rFonts w:ascii="仿宋" w:hAnsi="仿宋" w:eastAsia="仿宋"/>
          <w:sz w:val="32"/>
          <w:szCs w:val="32"/>
        </w:rPr>
        <w:t>0</w:t>
      </w:r>
      <w:r>
        <w:rPr>
          <w:rFonts w:hint="eastAsia" w:ascii="仿宋" w:hAnsi="仿宋" w:eastAsia="仿宋"/>
          <w:sz w:val="32"/>
          <w:szCs w:val="32"/>
        </w:rPr>
        <w:t>万元，占</w:t>
      </w:r>
      <w:r>
        <w:rPr>
          <w:rFonts w:ascii="仿宋" w:hAnsi="仿宋" w:eastAsia="仿宋"/>
          <w:sz w:val="32"/>
          <w:szCs w:val="32"/>
        </w:rPr>
        <w:t>0%</w:t>
      </w:r>
    </w:p>
    <w:p w14:paraId="73FB06F3">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（图3：477.94结构图）（饼状图）</w:t>
      </w:r>
    </w:p>
    <w:p w14:paraId="3A9C5A6D">
      <w:pPr>
        <w:outlineLvl w:val="9"/>
        <w:rPr>
          <w:rFonts w:hint="eastAsia" w:ascii="仿宋_GB2312" w:eastAsia="仿宋_GB2312"/>
          <w:sz w:val="32"/>
          <w:szCs w:val="32"/>
          <w:lang w:eastAsia="zh-CN"/>
        </w:rPr>
      </w:pPr>
      <w:r>
        <w:rPr>
          <w:rFonts w:hint="eastAsia" w:ascii="仿宋_GB2312" w:eastAsia="仿宋_GB2312"/>
          <w:sz w:val="32"/>
          <w:szCs w:val="32"/>
          <w:lang w:eastAsia="zh-CN"/>
        </w:rPr>
        <w:drawing>
          <wp:inline distT="0" distB="0" distL="114300" distR="114300">
            <wp:extent cx="3010535" cy="2268855"/>
            <wp:effectExtent l="4445" t="4445" r="13970" b="12700"/>
            <wp:docPr id="21" name="图表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4214C48">
      <w:pPr>
        <w:spacing w:line="600" w:lineRule="exact"/>
        <w:ind w:firstLine="640" w:firstLineChars="200"/>
        <w:outlineLvl w:val="1"/>
        <w:rPr>
          <w:rFonts w:hint="eastAsia" w:ascii="黑体" w:hAnsi="黑体" w:eastAsia="黑体"/>
          <w:sz w:val="32"/>
          <w:szCs w:val="32"/>
        </w:rPr>
      </w:pPr>
      <w:bookmarkStart w:id="35" w:name="_Toc15377208"/>
      <w:bookmarkStart w:id="36" w:name="_Toc15396606"/>
      <w:bookmarkStart w:id="37" w:name="_Toc8257"/>
      <w:r>
        <w:rPr>
          <w:rFonts w:hint="eastAsia" w:ascii="黑体" w:hAnsi="黑体" w:eastAsia="黑体"/>
          <w:sz w:val="32"/>
          <w:szCs w:val="32"/>
        </w:rPr>
        <w:t>四、财政拨款收入支出决算总体情况说明</w:t>
      </w:r>
      <w:bookmarkEnd w:id="35"/>
      <w:bookmarkEnd w:id="36"/>
      <w:bookmarkEnd w:id="37"/>
    </w:p>
    <w:p w14:paraId="306744B2">
      <w:pPr>
        <w:spacing w:line="600" w:lineRule="exact"/>
        <w:ind w:firstLine="640"/>
        <w:rPr>
          <w:rFonts w:hint="eastAsia" w:ascii="仿宋" w:hAnsi="仿宋" w:eastAsia="仿宋"/>
          <w:sz w:val="32"/>
          <w:szCs w:val="32"/>
        </w:rPr>
      </w:pPr>
      <w:r>
        <w:rPr>
          <w:rFonts w:hint="eastAsia" w:ascii="仿宋" w:hAnsi="仿宋" w:eastAsia="仿宋"/>
          <w:sz w:val="32"/>
          <w:szCs w:val="32"/>
          <w:lang w:eastAsia="zh-CN"/>
        </w:rPr>
        <w:t>2025年</w:t>
      </w:r>
      <w:r>
        <w:rPr>
          <w:rFonts w:hint="eastAsia" w:ascii="仿宋" w:hAnsi="仿宋" w:eastAsia="仿宋"/>
          <w:sz w:val="32"/>
          <w:szCs w:val="32"/>
        </w:rPr>
        <w:t>度财政拨款收、支总计均为</w:t>
      </w:r>
      <w:r>
        <w:rPr>
          <w:rFonts w:hint="eastAsia" w:ascii="仿宋" w:hAnsi="仿宋" w:eastAsia="仿宋"/>
          <w:sz w:val="32"/>
          <w:szCs w:val="32"/>
          <w:lang w:eastAsia="zh-CN"/>
        </w:rPr>
        <w:t>477.94万元</w:t>
      </w:r>
      <w:r>
        <w:rPr>
          <w:rFonts w:hint="eastAsia" w:ascii="仿宋" w:hAnsi="仿宋" w:eastAsia="仿宋"/>
          <w:sz w:val="32"/>
          <w:szCs w:val="32"/>
        </w:rPr>
        <w:t>。与202</w:t>
      </w:r>
      <w:r>
        <w:rPr>
          <w:rFonts w:hint="eastAsia" w:ascii="仿宋" w:hAnsi="仿宋" w:eastAsia="仿宋"/>
          <w:sz w:val="32"/>
          <w:szCs w:val="32"/>
          <w:lang w:val="en-US" w:eastAsia="zh-CN"/>
        </w:rPr>
        <w:t>4</w:t>
      </w:r>
      <w:r>
        <w:rPr>
          <w:rFonts w:hint="eastAsia" w:ascii="仿宋" w:hAnsi="仿宋" w:eastAsia="仿宋"/>
          <w:sz w:val="32"/>
          <w:szCs w:val="32"/>
        </w:rPr>
        <w:t>年度相比，财政拨款收、支总计各</w:t>
      </w:r>
      <w:r>
        <w:rPr>
          <w:rFonts w:hint="eastAsia" w:ascii="仿宋" w:hAnsi="仿宋" w:eastAsia="仿宋"/>
          <w:sz w:val="32"/>
          <w:szCs w:val="32"/>
          <w:lang w:val="en-US" w:eastAsia="zh-CN"/>
        </w:rPr>
        <w:t>减少151.88</w:t>
      </w:r>
      <w:r>
        <w:rPr>
          <w:rFonts w:hint="eastAsia" w:ascii="仿宋" w:hAnsi="仿宋" w:eastAsia="仿宋"/>
          <w:sz w:val="32"/>
          <w:szCs w:val="32"/>
        </w:rPr>
        <w:t>万元，</w:t>
      </w:r>
      <w:r>
        <w:rPr>
          <w:rFonts w:hint="eastAsia" w:ascii="仿宋" w:hAnsi="仿宋" w:eastAsia="仿宋"/>
          <w:sz w:val="32"/>
          <w:szCs w:val="32"/>
          <w:lang w:val="en-US" w:eastAsia="zh-CN"/>
        </w:rPr>
        <w:t>减少</w:t>
      </w:r>
      <w:r>
        <w:rPr>
          <w:rFonts w:hint="eastAsia" w:ascii="仿宋" w:hAnsi="仿宋" w:eastAsia="仿宋"/>
          <w:sz w:val="32"/>
          <w:szCs w:val="32"/>
        </w:rPr>
        <w:t>24.12%。主要变动原因项目资金</w:t>
      </w:r>
      <w:r>
        <w:rPr>
          <w:rFonts w:hint="eastAsia" w:ascii="仿宋" w:hAnsi="仿宋" w:eastAsia="仿宋"/>
          <w:sz w:val="32"/>
          <w:szCs w:val="32"/>
          <w:lang w:val="en-US" w:eastAsia="zh-CN"/>
        </w:rPr>
        <w:t>减少</w:t>
      </w:r>
      <w:r>
        <w:rPr>
          <w:rFonts w:hint="eastAsia" w:ascii="仿宋" w:hAnsi="仿宋" w:eastAsia="仿宋"/>
          <w:sz w:val="32"/>
          <w:szCs w:val="32"/>
        </w:rPr>
        <w:t>。</w:t>
      </w:r>
    </w:p>
    <w:p w14:paraId="22646DC1">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（图4：财政拨款收、支决算总计变动情况）（柱状图）</w:t>
      </w:r>
    </w:p>
    <w:p w14:paraId="2E3054A3">
      <w:pPr>
        <w:outlineLvl w:val="9"/>
        <w:rPr>
          <w:rFonts w:hint="eastAsia" w:ascii="仿宋" w:hAnsi="仿宋" w:eastAsia="仿宋"/>
          <w:sz w:val="32"/>
          <w:szCs w:val="32"/>
        </w:rPr>
      </w:pPr>
      <w:r>
        <w:rPr>
          <w:rFonts w:hint="eastAsia" w:ascii="仿宋_GB2312" w:eastAsia="仿宋_GB2312"/>
          <w:sz w:val="32"/>
          <w:szCs w:val="32"/>
          <w:lang w:eastAsia="zh-CN"/>
        </w:rPr>
        <w:drawing>
          <wp:inline distT="0" distB="0" distL="114300" distR="114300">
            <wp:extent cx="5080000" cy="3810000"/>
            <wp:effectExtent l="4445" t="4445" r="20955" b="1460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2907425">
      <w:pPr>
        <w:spacing w:line="600" w:lineRule="exact"/>
        <w:ind w:firstLine="640" w:firstLineChars="200"/>
        <w:outlineLvl w:val="1"/>
        <w:rPr>
          <w:rFonts w:hint="eastAsia" w:ascii="黑体" w:hAnsi="黑体" w:eastAsia="黑体"/>
          <w:sz w:val="32"/>
          <w:szCs w:val="32"/>
        </w:rPr>
      </w:pPr>
      <w:bookmarkStart w:id="38" w:name="_Toc15377209"/>
      <w:bookmarkStart w:id="39" w:name="_Toc15396607"/>
      <w:bookmarkStart w:id="40" w:name="_Toc31607"/>
      <w:r>
        <w:rPr>
          <w:rFonts w:hint="eastAsia" w:ascii="黑体" w:hAnsi="黑体" w:eastAsia="黑体"/>
          <w:sz w:val="32"/>
          <w:szCs w:val="32"/>
        </w:rPr>
        <w:t>五、一般公共预算财政拨款支出决算情况说明</w:t>
      </w:r>
      <w:bookmarkEnd w:id="38"/>
      <w:bookmarkEnd w:id="39"/>
      <w:bookmarkEnd w:id="40"/>
    </w:p>
    <w:p w14:paraId="45828A77">
      <w:pPr>
        <w:spacing w:line="600" w:lineRule="exact"/>
        <w:ind w:firstLine="643" w:firstLineChars="200"/>
        <w:outlineLvl w:val="2"/>
        <w:rPr>
          <w:rFonts w:hint="eastAsia" w:ascii="仿宋" w:hAnsi="仿宋" w:eastAsia="仿宋"/>
          <w:b/>
          <w:sz w:val="32"/>
          <w:szCs w:val="32"/>
        </w:rPr>
      </w:pPr>
      <w:bookmarkStart w:id="41" w:name="_Toc15377210"/>
      <w:r>
        <w:rPr>
          <w:rFonts w:hint="eastAsia" w:ascii="仿宋" w:hAnsi="仿宋" w:eastAsia="仿宋"/>
          <w:b/>
          <w:sz w:val="32"/>
          <w:szCs w:val="32"/>
        </w:rPr>
        <w:t>（一）一般公共预算财政拨款支出决算总体情况</w:t>
      </w:r>
      <w:bookmarkEnd w:id="41"/>
    </w:p>
    <w:p w14:paraId="630174D1">
      <w:pPr>
        <w:spacing w:line="600" w:lineRule="exact"/>
        <w:ind w:firstLine="640"/>
        <w:rPr>
          <w:rFonts w:hint="eastAsia" w:ascii="仿宋" w:hAnsi="仿宋" w:eastAsia="仿宋"/>
          <w:sz w:val="32"/>
          <w:szCs w:val="32"/>
        </w:rPr>
      </w:pPr>
      <w:r>
        <w:rPr>
          <w:rFonts w:hint="eastAsia" w:ascii="仿宋" w:hAnsi="仿宋" w:eastAsia="仿宋"/>
          <w:sz w:val="32"/>
          <w:szCs w:val="32"/>
          <w:lang w:eastAsia="zh-CN"/>
        </w:rPr>
        <w:t>2025年</w:t>
      </w:r>
      <w:r>
        <w:rPr>
          <w:rFonts w:hint="eastAsia" w:ascii="仿宋" w:hAnsi="仿宋" w:eastAsia="仿宋"/>
          <w:sz w:val="32"/>
          <w:szCs w:val="32"/>
        </w:rPr>
        <w:t>度财政拨款收、支总计均为</w:t>
      </w:r>
      <w:r>
        <w:rPr>
          <w:rFonts w:hint="eastAsia" w:ascii="仿宋" w:hAnsi="仿宋" w:eastAsia="仿宋"/>
          <w:sz w:val="32"/>
          <w:szCs w:val="32"/>
          <w:lang w:eastAsia="zh-CN"/>
        </w:rPr>
        <w:t>477.94万元</w:t>
      </w:r>
      <w:r>
        <w:rPr>
          <w:rFonts w:hint="eastAsia" w:ascii="仿宋" w:hAnsi="仿宋" w:eastAsia="仿宋"/>
          <w:sz w:val="32"/>
          <w:szCs w:val="32"/>
        </w:rPr>
        <w:t>。与202</w:t>
      </w:r>
      <w:r>
        <w:rPr>
          <w:rFonts w:hint="eastAsia" w:ascii="仿宋" w:hAnsi="仿宋" w:eastAsia="仿宋"/>
          <w:sz w:val="32"/>
          <w:szCs w:val="32"/>
          <w:lang w:val="en-US" w:eastAsia="zh-CN"/>
        </w:rPr>
        <w:t>4</w:t>
      </w:r>
      <w:r>
        <w:rPr>
          <w:rFonts w:hint="eastAsia" w:ascii="仿宋" w:hAnsi="仿宋" w:eastAsia="仿宋"/>
          <w:sz w:val="32"/>
          <w:szCs w:val="32"/>
        </w:rPr>
        <w:t>年度相比，财政拨款收、支总计各</w:t>
      </w:r>
      <w:r>
        <w:rPr>
          <w:rFonts w:hint="eastAsia" w:ascii="仿宋" w:hAnsi="仿宋" w:eastAsia="仿宋"/>
          <w:sz w:val="32"/>
          <w:szCs w:val="32"/>
          <w:lang w:val="en-US" w:eastAsia="zh-CN"/>
        </w:rPr>
        <w:t>减少151.88</w:t>
      </w:r>
      <w:r>
        <w:rPr>
          <w:rFonts w:hint="eastAsia" w:ascii="仿宋" w:hAnsi="仿宋" w:eastAsia="仿宋"/>
          <w:sz w:val="32"/>
          <w:szCs w:val="32"/>
        </w:rPr>
        <w:t>万元，</w:t>
      </w:r>
      <w:r>
        <w:rPr>
          <w:rFonts w:hint="eastAsia" w:ascii="仿宋" w:hAnsi="仿宋" w:eastAsia="仿宋"/>
          <w:sz w:val="32"/>
          <w:szCs w:val="32"/>
          <w:lang w:val="en-US" w:eastAsia="zh-CN"/>
        </w:rPr>
        <w:t>减少</w:t>
      </w:r>
      <w:r>
        <w:rPr>
          <w:rFonts w:hint="eastAsia" w:ascii="仿宋" w:hAnsi="仿宋" w:eastAsia="仿宋"/>
          <w:sz w:val="32"/>
          <w:szCs w:val="32"/>
        </w:rPr>
        <w:t>24.12%。主要变动原因项目资金</w:t>
      </w:r>
      <w:r>
        <w:rPr>
          <w:rFonts w:hint="eastAsia" w:ascii="仿宋" w:hAnsi="仿宋" w:eastAsia="仿宋"/>
          <w:sz w:val="32"/>
          <w:szCs w:val="32"/>
          <w:lang w:val="en-US" w:eastAsia="zh-CN"/>
        </w:rPr>
        <w:t>减少</w:t>
      </w:r>
      <w:r>
        <w:rPr>
          <w:rFonts w:hint="eastAsia" w:ascii="仿宋" w:hAnsi="仿宋" w:eastAsia="仿宋"/>
          <w:sz w:val="32"/>
          <w:szCs w:val="32"/>
        </w:rPr>
        <w:t>。</w:t>
      </w:r>
    </w:p>
    <w:p w14:paraId="35B368DC">
      <w:pPr>
        <w:spacing w:line="600" w:lineRule="exact"/>
        <w:ind w:firstLine="640" w:firstLineChars="200"/>
        <w:rPr>
          <w:rFonts w:hint="eastAsia" w:ascii="仿宋" w:hAnsi="仿宋" w:eastAsia="仿宋"/>
          <w:sz w:val="32"/>
          <w:szCs w:val="32"/>
        </w:rPr>
      </w:pPr>
      <w:r>
        <w:rPr>
          <w:rFonts w:hint="eastAsia" w:ascii="仿宋" w:hAnsi="仿宋" w:eastAsia="仿宋"/>
          <w:sz w:val="32"/>
          <w:szCs w:val="32"/>
        </w:rPr>
        <w:t>（图5：一般公共预算财政拨款支出决算变动情况）（柱状图）</w:t>
      </w:r>
    </w:p>
    <w:p w14:paraId="62294A13">
      <w:pPr>
        <w:outlineLvl w:val="9"/>
        <w:rPr>
          <w:rFonts w:hint="eastAsia" w:ascii="仿宋" w:hAnsi="仿宋" w:eastAsia="仿宋"/>
          <w:sz w:val="32"/>
          <w:szCs w:val="32"/>
          <w:lang w:eastAsia="zh-CN"/>
        </w:rPr>
      </w:pPr>
      <w:r>
        <w:rPr>
          <w:rFonts w:hint="eastAsia" w:ascii="仿宋" w:hAnsi="仿宋" w:eastAsia="仿宋"/>
          <w:sz w:val="32"/>
          <w:szCs w:val="32"/>
          <w:lang w:eastAsia="zh-CN"/>
        </w:rPr>
        <w:drawing>
          <wp:inline distT="0" distB="0" distL="114300" distR="114300">
            <wp:extent cx="5080000" cy="3810000"/>
            <wp:effectExtent l="4445" t="4445" r="20955" b="14605"/>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63D57F0">
      <w:pPr>
        <w:spacing w:line="600" w:lineRule="exact"/>
        <w:ind w:firstLine="643" w:firstLineChars="200"/>
        <w:rPr>
          <w:rFonts w:hint="eastAsia" w:ascii="仿宋" w:hAnsi="仿宋" w:eastAsia="仿宋"/>
          <w:b/>
          <w:sz w:val="32"/>
          <w:szCs w:val="32"/>
        </w:rPr>
      </w:pPr>
      <w:bookmarkStart w:id="42" w:name="_Toc15377211"/>
    </w:p>
    <w:p w14:paraId="167240D0">
      <w:pPr>
        <w:spacing w:line="600" w:lineRule="exact"/>
        <w:ind w:firstLine="643" w:firstLineChars="200"/>
        <w:outlineLvl w:val="2"/>
        <w:rPr>
          <w:rFonts w:hint="eastAsia" w:ascii="仿宋" w:hAnsi="仿宋" w:eastAsia="仿宋"/>
          <w:b/>
          <w:sz w:val="32"/>
          <w:szCs w:val="32"/>
        </w:rPr>
      </w:pPr>
      <w:r>
        <w:rPr>
          <w:rFonts w:hint="eastAsia" w:ascii="仿宋" w:hAnsi="仿宋" w:eastAsia="仿宋"/>
          <w:b/>
          <w:sz w:val="32"/>
          <w:szCs w:val="32"/>
        </w:rPr>
        <w:t>（二）一般公共预算财政拨款支出决算结构情况</w:t>
      </w:r>
      <w:bookmarkEnd w:id="42"/>
    </w:p>
    <w:p w14:paraId="008A9823">
      <w:pPr>
        <w:spacing w:line="600" w:lineRule="exact"/>
        <w:ind w:firstLine="640"/>
        <w:rPr>
          <w:rFonts w:hint="eastAsia" w:ascii="仿宋" w:hAnsi="仿宋" w:eastAsia="仿宋"/>
          <w:sz w:val="32"/>
          <w:szCs w:val="32"/>
          <w:lang w:eastAsia="zh-CN"/>
        </w:rPr>
      </w:pPr>
      <w:r>
        <w:rPr>
          <w:rFonts w:hint="eastAsia" w:ascii="仿宋" w:hAnsi="仿宋" w:eastAsia="仿宋"/>
          <w:sz w:val="32"/>
          <w:szCs w:val="32"/>
          <w:lang w:eastAsia="zh-CN"/>
        </w:rPr>
        <w:t>2025年度一般公共预算财政拨款支出477.94万元，主要用于以下方面:一般公共服务支出366.84万元，占</w:t>
      </w:r>
      <w:r>
        <w:rPr>
          <w:rFonts w:hint="eastAsia" w:ascii="仿宋" w:hAnsi="仿宋" w:eastAsia="仿宋"/>
          <w:sz w:val="32"/>
          <w:szCs w:val="32"/>
          <w:lang w:val="en-US" w:eastAsia="zh-CN"/>
        </w:rPr>
        <w:t>76.75</w:t>
      </w:r>
      <w:r>
        <w:rPr>
          <w:rFonts w:hint="eastAsia" w:ascii="仿宋" w:hAnsi="仿宋" w:eastAsia="仿宋"/>
          <w:sz w:val="32"/>
          <w:szCs w:val="32"/>
          <w:lang w:eastAsia="zh-CN"/>
        </w:rPr>
        <w:t>%；教育支出0万元，占0%；科学技术支出0万元，占0%；文化旅游体育与传媒支出0万元，占0%；社会保障和就业支出</w:t>
      </w:r>
      <w:r>
        <w:rPr>
          <w:rFonts w:hint="eastAsia" w:ascii="仿宋" w:hAnsi="仿宋" w:eastAsia="仿宋"/>
          <w:sz w:val="32"/>
          <w:szCs w:val="32"/>
          <w:lang w:val="en-US" w:eastAsia="zh-CN"/>
        </w:rPr>
        <w:t>57.01</w:t>
      </w:r>
      <w:r>
        <w:rPr>
          <w:rFonts w:hint="eastAsia" w:ascii="仿宋" w:hAnsi="仿宋" w:eastAsia="仿宋"/>
          <w:sz w:val="32"/>
          <w:szCs w:val="32"/>
          <w:lang w:eastAsia="zh-CN"/>
        </w:rPr>
        <w:t>万元，占</w:t>
      </w:r>
      <w:r>
        <w:rPr>
          <w:rFonts w:hint="eastAsia" w:ascii="仿宋" w:hAnsi="仿宋" w:eastAsia="仿宋"/>
          <w:sz w:val="32"/>
          <w:szCs w:val="32"/>
          <w:lang w:val="en-US" w:eastAsia="zh-CN"/>
        </w:rPr>
        <w:t>11.93</w:t>
      </w:r>
      <w:r>
        <w:rPr>
          <w:rFonts w:hint="eastAsia" w:ascii="仿宋" w:hAnsi="仿宋" w:eastAsia="仿宋"/>
          <w:sz w:val="32"/>
          <w:szCs w:val="32"/>
          <w:lang w:eastAsia="zh-CN"/>
        </w:rPr>
        <w:t>%</w:t>
      </w:r>
      <w:r>
        <w:rPr>
          <w:rFonts w:hint="eastAsia" w:ascii="仿宋" w:hAnsi="仿宋" w:eastAsia="仿宋"/>
          <w:sz w:val="32"/>
          <w:szCs w:val="32"/>
          <w:lang w:val="en-US" w:eastAsia="zh-CN"/>
        </w:rPr>
        <w:t xml:space="preserve"> </w:t>
      </w:r>
      <w:r>
        <w:rPr>
          <w:rFonts w:hint="eastAsia" w:ascii="仿宋" w:hAnsi="仿宋" w:eastAsia="仿宋"/>
          <w:sz w:val="32"/>
          <w:szCs w:val="32"/>
          <w:lang w:eastAsia="zh-CN"/>
        </w:rPr>
        <w:t>；卫生健康支出21.17万元，占</w:t>
      </w:r>
      <w:r>
        <w:rPr>
          <w:rFonts w:hint="eastAsia" w:ascii="仿宋" w:hAnsi="仿宋" w:eastAsia="仿宋"/>
          <w:sz w:val="32"/>
          <w:szCs w:val="32"/>
          <w:lang w:val="en-US" w:eastAsia="zh-CN"/>
        </w:rPr>
        <w:t>4.43</w:t>
      </w:r>
      <w:r>
        <w:rPr>
          <w:rFonts w:hint="eastAsia" w:ascii="仿宋" w:hAnsi="仿宋" w:eastAsia="仿宋"/>
          <w:sz w:val="32"/>
          <w:szCs w:val="32"/>
          <w:lang w:eastAsia="zh-CN"/>
        </w:rPr>
        <w:t>%；住房保障支出30.94</w:t>
      </w:r>
      <w:r>
        <w:rPr>
          <w:rFonts w:hint="eastAsia" w:ascii="仿宋" w:hAnsi="仿宋" w:eastAsia="仿宋"/>
          <w:sz w:val="32"/>
          <w:szCs w:val="32"/>
          <w:lang w:val="en-US" w:eastAsia="zh-CN"/>
        </w:rPr>
        <w:t xml:space="preserve"> </w:t>
      </w:r>
      <w:r>
        <w:rPr>
          <w:rFonts w:hint="eastAsia" w:ascii="仿宋" w:hAnsi="仿宋" w:eastAsia="仿宋"/>
          <w:sz w:val="32"/>
          <w:szCs w:val="32"/>
          <w:lang w:eastAsia="zh-CN"/>
        </w:rPr>
        <w:t>万元，占</w:t>
      </w:r>
      <w:r>
        <w:rPr>
          <w:rFonts w:hint="eastAsia" w:ascii="仿宋" w:hAnsi="仿宋" w:eastAsia="仿宋"/>
          <w:sz w:val="32"/>
          <w:szCs w:val="32"/>
          <w:lang w:val="en-US" w:eastAsia="zh-CN"/>
        </w:rPr>
        <w:t>6.47</w:t>
      </w:r>
      <w:r>
        <w:rPr>
          <w:rFonts w:hint="eastAsia" w:ascii="仿宋" w:hAnsi="仿宋" w:eastAsia="仿宋"/>
          <w:sz w:val="32"/>
          <w:szCs w:val="32"/>
          <w:lang w:eastAsia="zh-CN"/>
        </w:rPr>
        <w:t>%；农林水支出1.98万元，占</w:t>
      </w:r>
      <w:r>
        <w:rPr>
          <w:rFonts w:hint="eastAsia" w:ascii="仿宋" w:hAnsi="仿宋" w:eastAsia="仿宋"/>
          <w:sz w:val="32"/>
          <w:szCs w:val="32"/>
          <w:lang w:val="en-US" w:eastAsia="zh-CN"/>
        </w:rPr>
        <w:t>0.41</w:t>
      </w:r>
      <w:r>
        <w:rPr>
          <w:rFonts w:hint="eastAsia" w:ascii="仿宋" w:hAnsi="仿宋" w:eastAsia="仿宋"/>
          <w:sz w:val="32"/>
          <w:szCs w:val="32"/>
          <w:lang w:eastAsia="zh-CN"/>
        </w:rPr>
        <w:t>%</w:t>
      </w:r>
      <w:bookmarkStart w:id="70" w:name="_GoBack"/>
      <w:bookmarkEnd w:id="70"/>
      <w:r>
        <w:rPr>
          <w:rFonts w:hint="eastAsia" w:ascii="仿宋" w:hAnsi="仿宋" w:eastAsia="仿宋"/>
          <w:sz w:val="32"/>
          <w:szCs w:val="32"/>
          <w:lang w:eastAsia="zh-CN"/>
        </w:rPr>
        <w:t>。</w:t>
      </w:r>
    </w:p>
    <w:p w14:paraId="49747A01">
      <w:pPr>
        <w:spacing w:line="600" w:lineRule="exact"/>
        <w:ind w:firstLine="640"/>
        <w:rPr>
          <w:rFonts w:hint="eastAsia" w:ascii="仿宋" w:hAnsi="仿宋" w:eastAsia="仿宋"/>
          <w:sz w:val="32"/>
          <w:szCs w:val="32"/>
        </w:rPr>
      </w:pPr>
      <w:r>
        <w:rPr>
          <w:rFonts w:hint="eastAsia" w:ascii="仿宋" w:hAnsi="仿宋" w:eastAsia="仿宋"/>
          <w:sz w:val="32"/>
          <w:szCs w:val="32"/>
          <w:lang w:eastAsia="zh-CN"/>
        </w:rPr>
        <w:t>（图6：一</w:t>
      </w:r>
      <w:r>
        <w:rPr>
          <w:rFonts w:hint="eastAsia" w:ascii="仿宋" w:hAnsi="仿宋" w:eastAsia="仿宋"/>
          <w:sz w:val="32"/>
          <w:szCs w:val="32"/>
        </w:rPr>
        <w:t>般公共预算财政拨款支出决算结构）（饼状图）</w:t>
      </w:r>
    </w:p>
    <w:p w14:paraId="0AF992E3">
      <w:pPr>
        <w:jc w:val="center"/>
        <w:outlineLvl w:val="9"/>
        <w:rPr>
          <w:rFonts w:hint="eastAsia" w:eastAsia="仿宋"/>
          <w:lang w:eastAsia="zh-CN"/>
        </w:rPr>
      </w:pPr>
      <w:r>
        <w:rPr>
          <w:rFonts w:hint="eastAsia" w:eastAsia="仿宋"/>
          <w:lang w:eastAsia="zh-CN"/>
        </w:rPr>
        <w:drawing>
          <wp:inline distT="0" distB="0" distL="114300" distR="114300">
            <wp:extent cx="3483610" cy="2550160"/>
            <wp:effectExtent l="4445" t="4445" r="17145" b="17145"/>
            <wp:docPr id="22" name="图表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EE62A92">
      <w:pPr>
        <w:spacing w:line="600" w:lineRule="exact"/>
        <w:ind w:firstLine="643" w:firstLineChars="200"/>
        <w:outlineLvl w:val="2"/>
        <w:rPr>
          <w:rFonts w:hint="eastAsia" w:ascii="仿宋" w:hAnsi="仿宋" w:eastAsia="仿宋"/>
          <w:b/>
          <w:sz w:val="32"/>
          <w:szCs w:val="32"/>
        </w:rPr>
      </w:pPr>
      <w:bookmarkStart w:id="43" w:name="_Toc15377212"/>
      <w:r>
        <w:rPr>
          <w:rFonts w:hint="eastAsia" w:ascii="仿宋" w:hAnsi="仿宋" w:eastAsia="仿宋"/>
          <w:b/>
          <w:sz w:val="32"/>
          <w:szCs w:val="32"/>
        </w:rPr>
        <w:t>（三）一般公共预算财政拨款支出决算具体情况</w:t>
      </w:r>
      <w:bookmarkEnd w:id="43"/>
    </w:p>
    <w:p w14:paraId="47EAF359">
      <w:pPr>
        <w:spacing w:line="600" w:lineRule="exact"/>
        <w:ind w:firstLine="643" w:firstLineChars="200"/>
        <w:outlineLvl w:val="2"/>
        <w:rPr>
          <w:rFonts w:hint="eastAsia" w:ascii="仿宋" w:hAnsi="仿宋" w:eastAsia="仿宋"/>
          <w:bCs/>
          <w:sz w:val="32"/>
          <w:szCs w:val="32"/>
        </w:rPr>
      </w:pPr>
      <w:bookmarkStart w:id="44" w:name="_Toc15377213"/>
      <w:bookmarkStart w:id="45" w:name="_Toc15377444"/>
      <w:bookmarkStart w:id="46" w:name="_Toc15378460"/>
      <w:r>
        <w:rPr>
          <w:rFonts w:hint="eastAsia" w:ascii="仿宋" w:hAnsi="仿宋" w:eastAsia="仿宋"/>
          <w:b/>
          <w:sz w:val="32"/>
          <w:szCs w:val="32"/>
          <w:lang w:eastAsia="zh-CN"/>
        </w:rPr>
        <w:t>2025年</w:t>
      </w:r>
      <w:r>
        <w:rPr>
          <w:rFonts w:hint="eastAsia" w:ascii="仿宋" w:hAnsi="仿宋" w:eastAsia="仿宋"/>
          <w:b/>
          <w:sz w:val="32"/>
          <w:szCs w:val="32"/>
        </w:rPr>
        <w:t>度一般公共预算支出决算数为</w:t>
      </w:r>
      <w:r>
        <w:rPr>
          <w:rFonts w:hint="eastAsia" w:ascii="仿宋" w:hAnsi="仿宋" w:eastAsia="仿宋"/>
          <w:sz w:val="32"/>
          <w:szCs w:val="32"/>
          <w:lang w:eastAsia="zh-CN"/>
        </w:rPr>
        <w:t>477.94万元</w:t>
      </w:r>
      <w:r>
        <w:rPr>
          <w:rFonts w:hint="eastAsia" w:ascii="仿宋" w:hAnsi="仿宋" w:eastAsia="仿宋"/>
          <w:sz w:val="32"/>
          <w:szCs w:val="32"/>
        </w:rPr>
        <w:t>，</w:t>
      </w:r>
      <w:r>
        <w:rPr>
          <w:rFonts w:hint="eastAsia" w:ascii="仿宋" w:hAnsi="仿宋" w:eastAsia="仿宋"/>
          <w:bCs/>
          <w:sz w:val="32"/>
          <w:szCs w:val="32"/>
        </w:rPr>
        <w:t>完成预算100</w:t>
      </w:r>
      <w:r>
        <w:rPr>
          <w:rFonts w:ascii="仿宋" w:hAnsi="仿宋" w:eastAsia="仿宋"/>
          <w:bCs/>
          <w:sz w:val="32"/>
          <w:szCs w:val="32"/>
        </w:rPr>
        <w:t>%</w:t>
      </w:r>
      <w:r>
        <w:rPr>
          <w:rFonts w:hint="eastAsia" w:ascii="仿宋" w:hAnsi="仿宋" w:eastAsia="仿宋"/>
          <w:bCs/>
          <w:sz w:val="32"/>
          <w:szCs w:val="32"/>
        </w:rPr>
        <w:t>。其中：</w:t>
      </w:r>
      <w:bookmarkEnd w:id="44"/>
      <w:bookmarkEnd w:id="45"/>
      <w:bookmarkEnd w:id="46"/>
    </w:p>
    <w:p w14:paraId="00C1C83C">
      <w:pPr>
        <w:spacing w:line="600" w:lineRule="exact"/>
        <w:ind w:firstLine="640" w:firstLineChars="200"/>
        <w:rPr>
          <w:rFonts w:hint="eastAsia" w:ascii="仿宋" w:hAnsi="仿宋" w:eastAsia="仿宋"/>
          <w:bCs/>
          <w:sz w:val="32"/>
          <w:szCs w:val="32"/>
        </w:rPr>
      </w:pPr>
      <w:r>
        <w:rPr>
          <w:rFonts w:hint="eastAsia" w:ascii="仿宋" w:hAnsi="仿宋" w:eastAsia="仿宋"/>
          <w:bCs/>
          <w:sz w:val="32"/>
          <w:szCs w:val="32"/>
        </w:rPr>
        <w:t>1.一般公共服务201</w:t>
      </w:r>
      <w:r>
        <w:rPr>
          <w:rFonts w:ascii="仿宋" w:hAnsi="仿宋" w:eastAsia="仿宋"/>
          <w:bCs/>
          <w:sz w:val="32"/>
          <w:szCs w:val="32"/>
        </w:rPr>
        <w:t>:</w:t>
      </w:r>
      <w:r>
        <w:rPr>
          <w:rFonts w:ascii="仿宋" w:hAnsi="仿宋" w:eastAsia="仿宋"/>
          <w:b w:val="0"/>
          <w:bCs/>
          <w:sz w:val="32"/>
          <w:szCs w:val="32"/>
        </w:rPr>
        <w:t xml:space="preserve"> </w:t>
      </w:r>
      <w:r>
        <w:rPr>
          <w:rFonts w:hint="eastAsia" w:ascii="仿宋" w:hAnsi="仿宋" w:eastAsia="仿宋"/>
          <w:b w:val="0"/>
          <w:bCs/>
          <w:sz w:val="32"/>
          <w:szCs w:val="32"/>
        </w:rPr>
        <w:t>支出决算为</w:t>
      </w:r>
      <w:r>
        <w:rPr>
          <w:rFonts w:hint="eastAsia" w:ascii="仿宋" w:hAnsi="仿宋" w:eastAsia="仿宋"/>
          <w:sz w:val="32"/>
          <w:szCs w:val="32"/>
          <w:lang w:eastAsia="zh-CN"/>
        </w:rPr>
        <w:t>366.84</w:t>
      </w:r>
      <w:r>
        <w:rPr>
          <w:rFonts w:hint="eastAsia" w:ascii="仿宋" w:hAnsi="仿宋" w:eastAsia="仿宋"/>
          <w:b w:val="0"/>
          <w:bCs/>
          <w:sz w:val="32"/>
          <w:szCs w:val="32"/>
        </w:rPr>
        <w:t>万元，完成</w:t>
      </w:r>
      <w:r>
        <w:rPr>
          <w:rFonts w:hint="eastAsia" w:ascii="仿宋" w:hAnsi="仿宋" w:eastAsia="仿宋"/>
          <w:bCs/>
          <w:sz w:val="32"/>
          <w:szCs w:val="32"/>
        </w:rPr>
        <w:t>预算</w:t>
      </w:r>
      <w:r>
        <w:rPr>
          <w:rFonts w:hint="eastAsia" w:ascii="仿宋" w:hAnsi="仿宋" w:eastAsia="仿宋"/>
          <w:bCs/>
          <w:sz w:val="32"/>
          <w:szCs w:val="32"/>
          <w:lang w:val="en-US" w:eastAsia="zh-CN"/>
        </w:rPr>
        <w:t>76.75</w:t>
      </w:r>
      <w:r>
        <w:rPr>
          <w:rFonts w:hint="eastAsia" w:ascii="仿宋" w:hAnsi="仿宋" w:eastAsia="仿宋"/>
          <w:bCs/>
          <w:sz w:val="32"/>
          <w:szCs w:val="32"/>
          <w:lang w:eastAsia="zh-CN"/>
        </w:rPr>
        <w:t>%</w:t>
      </w:r>
      <w:r>
        <w:rPr>
          <w:rFonts w:hint="eastAsia" w:ascii="仿宋" w:hAnsi="仿宋" w:eastAsia="仿宋"/>
          <w:bCs/>
          <w:sz w:val="32"/>
          <w:szCs w:val="32"/>
        </w:rPr>
        <w:t>，决算数等于预算数。</w:t>
      </w:r>
    </w:p>
    <w:p w14:paraId="67DFFD5A">
      <w:pPr>
        <w:spacing w:line="600" w:lineRule="exact"/>
        <w:ind w:firstLine="640" w:firstLineChars="200"/>
        <w:rPr>
          <w:rFonts w:hint="eastAsia" w:ascii="仿宋" w:hAnsi="仿宋" w:eastAsia="仿宋"/>
          <w:bCs/>
          <w:sz w:val="32"/>
          <w:szCs w:val="32"/>
        </w:rPr>
      </w:pPr>
      <w:r>
        <w:rPr>
          <w:rFonts w:hint="eastAsia" w:ascii="仿宋" w:hAnsi="仿宋" w:eastAsia="仿宋"/>
          <w:bCs/>
          <w:sz w:val="32"/>
          <w:szCs w:val="32"/>
        </w:rPr>
        <w:t>行政运行2012301: 支出决算为237.39万元，完成预算</w:t>
      </w:r>
      <w:r>
        <w:rPr>
          <w:rFonts w:hint="eastAsia" w:ascii="仿宋" w:hAnsi="仿宋" w:eastAsia="仿宋"/>
          <w:bCs/>
          <w:sz w:val="32"/>
          <w:szCs w:val="32"/>
          <w:lang w:val="en-US" w:eastAsia="zh-CN"/>
        </w:rPr>
        <w:t>64.71</w:t>
      </w:r>
      <w:r>
        <w:rPr>
          <w:rFonts w:hint="eastAsia" w:ascii="仿宋" w:hAnsi="仿宋" w:eastAsia="仿宋"/>
          <w:bCs/>
          <w:sz w:val="32"/>
          <w:szCs w:val="32"/>
        </w:rPr>
        <w:t>%，决算数等于预算数。</w:t>
      </w:r>
    </w:p>
    <w:p w14:paraId="0D26D739">
      <w:pPr>
        <w:spacing w:line="600" w:lineRule="exact"/>
        <w:ind w:firstLine="640" w:firstLineChars="200"/>
        <w:rPr>
          <w:rFonts w:hint="eastAsia" w:ascii="仿宋" w:hAnsi="仿宋" w:eastAsia="仿宋"/>
          <w:bCs/>
          <w:sz w:val="32"/>
          <w:szCs w:val="32"/>
        </w:rPr>
      </w:pPr>
      <w:r>
        <w:rPr>
          <w:rFonts w:hint="eastAsia" w:ascii="仿宋" w:hAnsi="仿宋" w:eastAsia="仿宋"/>
          <w:bCs/>
          <w:sz w:val="32"/>
          <w:szCs w:val="32"/>
        </w:rPr>
        <w:t>一般行政管理事2012302: 支出决算为18.88万元，完成预算</w:t>
      </w:r>
      <w:r>
        <w:rPr>
          <w:rFonts w:hint="eastAsia" w:ascii="仿宋" w:hAnsi="仿宋" w:eastAsia="仿宋"/>
          <w:bCs/>
          <w:sz w:val="32"/>
          <w:szCs w:val="32"/>
          <w:lang w:val="en-US" w:eastAsia="zh-CN"/>
        </w:rPr>
        <w:t>5.13</w:t>
      </w:r>
      <w:r>
        <w:rPr>
          <w:rFonts w:hint="eastAsia" w:ascii="仿宋" w:hAnsi="仿宋" w:eastAsia="仿宋"/>
          <w:bCs/>
          <w:sz w:val="32"/>
          <w:szCs w:val="32"/>
        </w:rPr>
        <w:t>%，决算数等于预算数。</w:t>
      </w:r>
    </w:p>
    <w:p w14:paraId="0165D96E">
      <w:pPr>
        <w:spacing w:line="600" w:lineRule="exact"/>
        <w:ind w:firstLine="640" w:firstLineChars="200"/>
        <w:rPr>
          <w:rFonts w:hint="eastAsia" w:ascii="仿宋" w:hAnsi="仿宋" w:eastAsia="仿宋"/>
          <w:bCs/>
          <w:sz w:val="32"/>
          <w:szCs w:val="32"/>
        </w:rPr>
      </w:pPr>
      <w:r>
        <w:rPr>
          <w:rFonts w:hint="eastAsia" w:ascii="仿宋" w:hAnsi="仿宋" w:eastAsia="仿宋"/>
          <w:bCs/>
          <w:sz w:val="32"/>
          <w:szCs w:val="32"/>
        </w:rPr>
        <w:t>民族工作专项2012304: 支出决算为12.78万元，完成预算</w:t>
      </w:r>
      <w:r>
        <w:rPr>
          <w:rFonts w:hint="eastAsia" w:ascii="仿宋" w:hAnsi="仿宋" w:eastAsia="仿宋"/>
          <w:bCs/>
          <w:sz w:val="32"/>
          <w:szCs w:val="32"/>
          <w:lang w:val="en-US" w:eastAsia="zh-CN"/>
        </w:rPr>
        <w:t>3.47</w:t>
      </w:r>
      <w:r>
        <w:rPr>
          <w:rFonts w:hint="eastAsia" w:ascii="仿宋" w:hAnsi="仿宋" w:eastAsia="仿宋"/>
          <w:bCs/>
          <w:sz w:val="32"/>
          <w:szCs w:val="32"/>
        </w:rPr>
        <w:t>%，决算数等于预算数。</w:t>
      </w:r>
    </w:p>
    <w:p w14:paraId="579E8969">
      <w:pPr>
        <w:spacing w:line="600" w:lineRule="exact"/>
        <w:ind w:firstLine="640" w:firstLineChars="200"/>
        <w:rPr>
          <w:rFonts w:hint="eastAsia" w:ascii="仿宋" w:hAnsi="仿宋" w:eastAsia="仿宋"/>
          <w:bCs/>
          <w:sz w:val="32"/>
          <w:szCs w:val="32"/>
        </w:rPr>
      </w:pPr>
      <w:r>
        <w:rPr>
          <w:rFonts w:hint="eastAsia" w:ascii="仿宋" w:hAnsi="仿宋" w:eastAsia="仿宋"/>
          <w:bCs/>
          <w:sz w:val="32"/>
          <w:szCs w:val="32"/>
        </w:rPr>
        <w:t>事业运行2012350: 支出决算为67.63万元，完成预算</w:t>
      </w:r>
      <w:r>
        <w:rPr>
          <w:rFonts w:hint="eastAsia" w:ascii="仿宋" w:hAnsi="仿宋" w:eastAsia="仿宋"/>
          <w:bCs/>
          <w:sz w:val="32"/>
          <w:szCs w:val="32"/>
          <w:lang w:val="en-US" w:eastAsia="zh-CN"/>
        </w:rPr>
        <w:t>18.286</w:t>
      </w:r>
      <w:r>
        <w:rPr>
          <w:rFonts w:hint="eastAsia" w:ascii="仿宋" w:hAnsi="仿宋" w:eastAsia="仿宋"/>
          <w:bCs/>
          <w:sz w:val="32"/>
          <w:szCs w:val="32"/>
        </w:rPr>
        <w:t>%，决算数等于预算数。</w:t>
      </w:r>
    </w:p>
    <w:p w14:paraId="36127A52">
      <w:pPr>
        <w:spacing w:line="600" w:lineRule="exact"/>
        <w:ind w:firstLine="640" w:firstLineChars="200"/>
        <w:rPr>
          <w:rFonts w:hint="eastAsia" w:ascii="仿宋" w:hAnsi="仿宋" w:eastAsia="仿宋"/>
          <w:bCs/>
          <w:sz w:val="32"/>
          <w:szCs w:val="32"/>
        </w:rPr>
      </w:pPr>
      <w:r>
        <w:rPr>
          <w:rFonts w:hint="eastAsia" w:ascii="仿宋" w:hAnsi="仿宋" w:eastAsia="仿宋"/>
          <w:bCs/>
          <w:sz w:val="32"/>
          <w:szCs w:val="32"/>
        </w:rPr>
        <w:t>其他民族事务支出2012399: 支出决算为30.17万元，完成预算8</w:t>
      </w:r>
      <w:r>
        <w:rPr>
          <w:rFonts w:hint="eastAsia" w:ascii="仿宋" w:hAnsi="仿宋" w:eastAsia="仿宋"/>
          <w:bCs/>
          <w:sz w:val="32"/>
          <w:szCs w:val="32"/>
          <w:lang w:val="en-US" w:eastAsia="zh-CN"/>
        </w:rPr>
        <w:t>.</w:t>
      </w:r>
      <w:r>
        <w:rPr>
          <w:rFonts w:hint="eastAsia" w:ascii="仿宋" w:hAnsi="仿宋" w:eastAsia="仿宋"/>
          <w:bCs/>
          <w:sz w:val="32"/>
          <w:szCs w:val="32"/>
        </w:rPr>
        <w:t>1</w:t>
      </w:r>
      <w:r>
        <w:rPr>
          <w:rFonts w:hint="eastAsia" w:ascii="仿宋" w:hAnsi="仿宋" w:eastAsia="仿宋"/>
          <w:bCs/>
          <w:sz w:val="32"/>
          <w:szCs w:val="32"/>
          <w:lang w:val="en-US" w:eastAsia="zh-CN"/>
        </w:rPr>
        <w:t>4</w:t>
      </w:r>
      <w:r>
        <w:rPr>
          <w:rFonts w:hint="eastAsia" w:ascii="仿宋" w:hAnsi="仿宋" w:eastAsia="仿宋"/>
          <w:bCs/>
          <w:sz w:val="32"/>
          <w:szCs w:val="32"/>
        </w:rPr>
        <w:t>%，决算数等于预算数。</w:t>
      </w:r>
    </w:p>
    <w:p w14:paraId="35E83530">
      <w:pPr>
        <w:spacing w:line="600" w:lineRule="exact"/>
        <w:ind w:firstLine="640" w:firstLineChars="200"/>
        <w:rPr>
          <w:rFonts w:hint="eastAsia" w:ascii="仿宋" w:hAnsi="仿宋" w:eastAsia="仿宋"/>
          <w:bCs/>
          <w:sz w:val="32"/>
          <w:szCs w:val="32"/>
        </w:rPr>
      </w:pPr>
      <w:r>
        <w:rPr>
          <w:rFonts w:hint="eastAsia" w:ascii="仿宋" w:hAnsi="仿宋" w:eastAsia="仿宋"/>
          <w:bCs/>
          <w:sz w:val="32"/>
          <w:szCs w:val="32"/>
        </w:rPr>
        <w:t>2.社会保障和就业208: 支出决算为</w:t>
      </w:r>
      <w:r>
        <w:rPr>
          <w:rFonts w:hint="eastAsia" w:ascii="仿宋" w:hAnsi="仿宋" w:eastAsia="仿宋"/>
          <w:bCs/>
          <w:sz w:val="32"/>
          <w:szCs w:val="32"/>
          <w:lang w:val="en-US" w:eastAsia="zh-CN"/>
        </w:rPr>
        <w:t>57.01</w:t>
      </w:r>
      <w:r>
        <w:rPr>
          <w:rFonts w:hint="eastAsia" w:ascii="仿宋" w:hAnsi="仿宋" w:eastAsia="仿宋"/>
          <w:bCs/>
          <w:sz w:val="32"/>
          <w:szCs w:val="32"/>
          <w:lang w:eastAsia="zh-CN"/>
        </w:rPr>
        <w:t>万元，</w:t>
      </w:r>
      <w:r>
        <w:rPr>
          <w:rFonts w:hint="eastAsia" w:ascii="仿宋" w:hAnsi="仿宋" w:eastAsia="仿宋"/>
          <w:bCs/>
          <w:sz w:val="32"/>
          <w:szCs w:val="32"/>
        </w:rPr>
        <w:t>完成预算</w:t>
      </w:r>
      <w:r>
        <w:rPr>
          <w:rFonts w:hint="eastAsia" w:ascii="仿宋" w:hAnsi="仿宋" w:eastAsia="仿宋"/>
          <w:bCs/>
          <w:sz w:val="32"/>
          <w:szCs w:val="32"/>
          <w:lang w:val="en-US" w:eastAsia="zh-CN"/>
        </w:rPr>
        <w:t>11.93</w:t>
      </w:r>
      <w:r>
        <w:rPr>
          <w:rFonts w:hint="eastAsia" w:ascii="仿宋" w:hAnsi="仿宋" w:eastAsia="仿宋"/>
          <w:bCs/>
          <w:sz w:val="32"/>
          <w:szCs w:val="32"/>
          <w:lang w:eastAsia="zh-CN"/>
        </w:rPr>
        <w:t>%</w:t>
      </w:r>
      <w:r>
        <w:rPr>
          <w:rFonts w:hint="eastAsia" w:ascii="仿宋" w:hAnsi="仿宋" w:eastAsia="仿宋"/>
          <w:bCs/>
          <w:sz w:val="32"/>
          <w:szCs w:val="32"/>
        </w:rPr>
        <w:t>，决算数等于预算数。</w:t>
      </w:r>
    </w:p>
    <w:p w14:paraId="396237AE">
      <w:pPr>
        <w:ind w:firstLine="643" w:firstLineChars="200"/>
      </w:pPr>
      <w:r>
        <w:rPr>
          <w:rFonts w:hint="eastAsia" w:ascii="仿宋" w:hAnsi="仿宋" w:eastAsia="仿宋"/>
          <w:b/>
          <w:bCs/>
          <w:sz w:val="32"/>
          <w:szCs w:val="32"/>
        </w:rPr>
        <w:t>机关事业单位基本养老保险缴费支出2080505</w:t>
      </w:r>
      <w:r>
        <w:rPr>
          <w:rFonts w:ascii="仿宋" w:hAnsi="仿宋" w:eastAsia="仿宋"/>
          <w:b/>
          <w:bCs/>
          <w:sz w:val="32"/>
          <w:szCs w:val="32"/>
        </w:rPr>
        <w:t>:</w:t>
      </w:r>
      <w:r>
        <w:rPr>
          <w:rFonts w:ascii="仿宋" w:hAnsi="仿宋" w:eastAsia="仿宋"/>
          <w:bCs/>
          <w:sz w:val="32"/>
          <w:szCs w:val="32"/>
        </w:rPr>
        <w:t xml:space="preserve"> </w:t>
      </w:r>
      <w:r>
        <w:rPr>
          <w:rFonts w:hint="eastAsia" w:ascii="仿宋" w:hAnsi="仿宋" w:eastAsia="仿宋"/>
          <w:bCs/>
          <w:sz w:val="32"/>
          <w:szCs w:val="32"/>
        </w:rPr>
        <w:t>支出决算为</w:t>
      </w:r>
      <w:r>
        <w:rPr>
          <w:rFonts w:ascii="宋体" w:hAnsi="宋体" w:eastAsia="宋体" w:cs="宋体"/>
          <w:sz w:val="24"/>
          <w:szCs w:val="24"/>
        </w:rPr>
        <w:t>38.01</w:t>
      </w:r>
      <w:r>
        <w:rPr>
          <w:rFonts w:hint="eastAsia" w:ascii="仿宋" w:hAnsi="仿宋" w:eastAsia="仿宋"/>
          <w:bCs/>
          <w:sz w:val="32"/>
          <w:szCs w:val="32"/>
        </w:rPr>
        <w:t>万元，完成预算</w:t>
      </w:r>
      <w:r>
        <w:rPr>
          <w:rFonts w:hint="eastAsia" w:ascii="仿宋" w:hAnsi="仿宋" w:eastAsia="仿宋"/>
          <w:bCs/>
          <w:sz w:val="32"/>
          <w:szCs w:val="32"/>
          <w:lang w:val="en-US" w:eastAsia="zh-CN"/>
        </w:rPr>
        <w:t xml:space="preserve">66.67 </w:t>
      </w:r>
      <w:r>
        <w:rPr>
          <w:rFonts w:ascii="仿宋" w:hAnsi="仿宋" w:eastAsia="仿宋"/>
          <w:bCs/>
          <w:sz w:val="32"/>
          <w:szCs w:val="32"/>
        </w:rPr>
        <w:t>%</w:t>
      </w:r>
      <w:r>
        <w:rPr>
          <w:rFonts w:hint="eastAsia" w:ascii="仿宋" w:hAnsi="仿宋" w:eastAsia="仿宋"/>
          <w:bCs/>
          <w:sz w:val="32"/>
          <w:szCs w:val="32"/>
        </w:rPr>
        <w:t>，决算数等于预算数。</w:t>
      </w:r>
    </w:p>
    <w:p w14:paraId="6E8956DC">
      <w:pPr>
        <w:ind w:firstLine="640" w:firstLineChars="200"/>
      </w:pPr>
      <w:r>
        <w:rPr>
          <w:rFonts w:hint="eastAsia" w:ascii="仿宋" w:hAnsi="仿宋" w:eastAsia="仿宋"/>
          <w:bCs/>
          <w:sz w:val="32"/>
          <w:szCs w:val="32"/>
        </w:rPr>
        <w:t>机关事业单位职业年金缴费支出2080506</w:t>
      </w:r>
      <w:r>
        <w:rPr>
          <w:rFonts w:ascii="仿宋" w:hAnsi="仿宋" w:eastAsia="仿宋"/>
          <w:bCs/>
          <w:sz w:val="32"/>
          <w:szCs w:val="32"/>
        </w:rPr>
        <w:t>:</w:t>
      </w:r>
      <w:r>
        <w:rPr>
          <w:rFonts w:ascii="仿宋" w:hAnsi="仿宋" w:eastAsia="仿宋"/>
          <w:b w:val="0"/>
          <w:bCs/>
          <w:sz w:val="32"/>
          <w:szCs w:val="32"/>
        </w:rPr>
        <w:t xml:space="preserve"> </w:t>
      </w:r>
      <w:r>
        <w:rPr>
          <w:rFonts w:hint="eastAsia" w:ascii="仿宋" w:hAnsi="仿宋" w:eastAsia="仿宋"/>
          <w:b w:val="0"/>
          <w:bCs/>
          <w:sz w:val="32"/>
          <w:szCs w:val="32"/>
        </w:rPr>
        <w:t>支出决算为1</w:t>
      </w:r>
      <w:r>
        <w:rPr>
          <w:rFonts w:hint="eastAsia" w:ascii="仿宋" w:hAnsi="仿宋" w:eastAsia="仿宋"/>
          <w:b w:val="0"/>
          <w:bCs/>
          <w:sz w:val="32"/>
          <w:szCs w:val="32"/>
          <w:lang w:val="en-US" w:eastAsia="zh-CN"/>
        </w:rPr>
        <w:t>9</w:t>
      </w:r>
      <w:r>
        <w:rPr>
          <w:rFonts w:hint="eastAsia" w:ascii="仿宋" w:hAnsi="仿宋" w:eastAsia="仿宋"/>
          <w:b w:val="0"/>
          <w:bCs/>
          <w:sz w:val="32"/>
          <w:szCs w:val="32"/>
        </w:rPr>
        <w:t>万元，完成预算</w:t>
      </w:r>
      <w:r>
        <w:rPr>
          <w:rFonts w:hint="eastAsia" w:ascii="仿宋" w:hAnsi="仿宋" w:eastAsia="仿宋"/>
          <w:b w:val="0"/>
          <w:bCs/>
          <w:sz w:val="32"/>
          <w:szCs w:val="32"/>
          <w:lang w:val="en-US" w:eastAsia="zh-CN"/>
        </w:rPr>
        <w:t>33.33</w:t>
      </w:r>
      <w:r>
        <w:rPr>
          <w:rFonts w:ascii="仿宋" w:hAnsi="仿宋" w:eastAsia="仿宋"/>
          <w:b w:val="0"/>
          <w:bCs/>
          <w:sz w:val="32"/>
          <w:szCs w:val="32"/>
        </w:rPr>
        <w:t>%</w:t>
      </w:r>
      <w:r>
        <w:rPr>
          <w:rFonts w:hint="eastAsia" w:ascii="仿宋" w:hAnsi="仿宋" w:eastAsia="仿宋"/>
          <w:b w:val="0"/>
          <w:bCs/>
          <w:sz w:val="32"/>
          <w:szCs w:val="32"/>
        </w:rPr>
        <w:t>，决算数等于预算数。</w:t>
      </w:r>
    </w:p>
    <w:p w14:paraId="59B4AE37">
      <w:pPr>
        <w:spacing w:line="600" w:lineRule="exact"/>
        <w:ind w:firstLine="643" w:firstLineChars="200"/>
        <w:rPr>
          <w:rFonts w:hint="eastAsia" w:ascii="仿宋" w:hAnsi="仿宋" w:eastAsia="仿宋"/>
          <w:b w:val="0"/>
          <w:bCs/>
          <w:sz w:val="32"/>
          <w:szCs w:val="32"/>
        </w:rPr>
      </w:pPr>
      <w:r>
        <w:rPr>
          <w:rFonts w:hint="eastAsia" w:ascii="仿宋" w:hAnsi="仿宋" w:eastAsia="仿宋"/>
          <w:b/>
          <w:bCs/>
          <w:sz w:val="32"/>
          <w:szCs w:val="32"/>
        </w:rPr>
        <w:t>3.卫生健康210</w:t>
      </w:r>
      <w:r>
        <w:rPr>
          <w:rFonts w:ascii="仿宋" w:hAnsi="仿宋" w:eastAsia="仿宋"/>
          <w:bCs/>
          <w:sz w:val="32"/>
          <w:szCs w:val="32"/>
        </w:rPr>
        <w:t>:</w:t>
      </w:r>
      <w:r>
        <w:rPr>
          <w:rFonts w:hint="eastAsia" w:ascii="仿宋" w:hAnsi="仿宋" w:eastAsia="仿宋"/>
          <w:b w:val="0"/>
          <w:bCs/>
          <w:sz w:val="32"/>
          <w:szCs w:val="32"/>
        </w:rPr>
        <w:t>支出决算为</w:t>
      </w:r>
      <w:r>
        <w:rPr>
          <w:rFonts w:hint="eastAsia" w:ascii="仿宋" w:hAnsi="仿宋" w:eastAsia="仿宋"/>
          <w:b w:val="0"/>
          <w:bCs/>
          <w:sz w:val="32"/>
          <w:szCs w:val="32"/>
          <w:lang w:val="en-US" w:eastAsia="zh-CN"/>
        </w:rPr>
        <w:t>21.17</w:t>
      </w:r>
      <w:r>
        <w:rPr>
          <w:rFonts w:hint="eastAsia" w:ascii="仿宋" w:hAnsi="仿宋" w:eastAsia="仿宋"/>
          <w:b w:val="0"/>
          <w:bCs/>
          <w:sz w:val="32"/>
          <w:szCs w:val="32"/>
        </w:rPr>
        <w:t>万元，完成预算</w:t>
      </w:r>
      <w:r>
        <w:rPr>
          <w:rFonts w:hint="eastAsia" w:ascii="仿宋" w:hAnsi="仿宋" w:eastAsia="仿宋"/>
          <w:b w:val="0"/>
          <w:bCs/>
          <w:sz w:val="32"/>
          <w:szCs w:val="32"/>
          <w:lang w:val="en-US" w:eastAsia="zh-CN"/>
        </w:rPr>
        <w:t>4.43</w:t>
      </w:r>
      <w:r>
        <w:rPr>
          <w:rFonts w:ascii="仿宋" w:hAnsi="仿宋" w:eastAsia="仿宋"/>
          <w:b w:val="0"/>
          <w:bCs/>
          <w:sz w:val="32"/>
          <w:szCs w:val="32"/>
        </w:rPr>
        <w:t>%</w:t>
      </w:r>
      <w:r>
        <w:rPr>
          <w:rFonts w:hint="eastAsia" w:ascii="仿宋" w:hAnsi="仿宋" w:eastAsia="仿宋"/>
          <w:b w:val="0"/>
          <w:bCs/>
          <w:sz w:val="32"/>
          <w:szCs w:val="32"/>
        </w:rPr>
        <w:t>，决算数等于预算数的。</w:t>
      </w:r>
    </w:p>
    <w:p w14:paraId="1D0C1F7D">
      <w:pPr>
        <w:ind w:firstLine="640" w:firstLineChars="200"/>
      </w:pPr>
      <w:r>
        <w:rPr>
          <w:rFonts w:hint="eastAsia" w:ascii="仿宋" w:hAnsi="仿宋" w:eastAsia="仿宋"/>
          <w:bCs/>
          <w:sz w:val="32"/>
          <w:szCs w:val="32"/>
        </w:rPr>
        <w:t>行政单位医疗2101101</w:t>
      </w:r>
      <w:r>
        <w:rPr>
          <w:rFonts w:ascii="仿宋" w:hAnsi="仿宋" w:eastAsia="仿宋"/>
          <w:b/>
          <w:bCs/>
          <w:sz w:val="32"/>
          <w:szCs w:val="32"/>
        </w:rPr>
        <w:t>:</w:t>
      </w:r>
      <w:r>
        <w:rPr>
          <w:rFonts w:hint="eastAsia" w:ascii="仿宋" w:hAnsi="仿宋" w:eastAsia="仿宋"/>
          <w:bCs/>
          <w:sz w:val="32"/>
          <w:szCs w:val="32"/>
        </w:rPr>
        <w:t>支出决算为13.87万元，完成预算</w:t>
      </w:r>
      <w:r>
        <w:rPr>
          <w:rFonts w:hint="eastAsia" w:ascii="仿宋" w:hAnsi="仿宋" w:eastAsia="仿宋"/>
          <w:bCs/>
          <w:sz w:val="32"/>
          <w:szCs w:val="32"/>
          <w:lang w:val="en-US" w:eastAsia="zh-CN"/>
        </w:rPr>
        <w:t>65.51</w:t>
      </w:r>
      <w:r>
        <w:rPr>
          <w:rFonts w:ascii="仿宋" w:hAnsi="仿宋" w:eastAsia="仿宋"/>
          <w:bCs/>
          <w:sz w:val="32"/>
          <w:szCs w:val="32"/>
        </w:rPr>
        <w:t>%</w:t>
      </w:r>
      <w:r>
        <w:rPr>
          <w:rFonts w:hint="eastAsia" w:ascii="仿宋" w:hAnsi="仿宋" w:eastAsia="仿宋"/>
          <w:bCs/>
          <w:sz w:val="32"/>
          <w:szCs w:val="32"/>
        </w:rPr>
        <w:t>，决算数等于预算数的。</w:t>
      </w:r>
    </w:p>
    <w:p w14:paraId="299C56C4">
      <w:pPr>
        <w:ind w:firstLine="640" w:firstLineChars="200"/>
        <w:rPr>
          <w:rFonts w:hint="eastAsia" w:ascii="仿宋" w:hAnsi="仿宋" w:eastAsia="仿宋"/>
          <w:b w:val="0"/>
          <w:bCs/>
          <w:sz w:val="32"/>
          <w:szCs w:val="32"/>
        </w:rPr>
      </w:pPr>
      <w:r>
        <w:rPr>
          <w:rFonts w:hint="eastAsia" w:ascii="仿宋" w:hAnsi="仿宋" w:eastAsia="仿宋"/>
          <w:bCs/>
          <w:sz w:val="32"/>
          <w:szCs w:val="32"/>
        </w:rPr>
        <w:t>事业单位医疗2101102</w:t>
      </w:r>
      <w:r>
        <w:rPr>
          <w:rFonts w:ascii="仿宋" w:hAnsi="仿宋" w:eastAsia="仿宋"/>
          <w:bCs/>
          <w:sz w:val="32"/>
          <w:szCs w:val="32"/>
        </w:rPr>
        <w:t>:</w:t>
      </w:r>
      <w:r>
        <w:rPr>
          <w:rFonts w:hint="eastAsia" w:ascii="仿宋" w:hAnsi="仿宋" w:eastAsia="仿宋"/>
          <w:b w:val="0"/>
          <w:bCs/>
          <w:sz w:val="32"/>
          <w:szCs w:val="32"/>
        </w:rPr>
        <w:t>支出决算为4.12万元，完成预算</w:t>
      </w:r>
      <w:r>
        <w:rPr>
          <w:rFonts w:hint="eastAsia" w:ascii="仿宋" w:hAnsi="仿宋" w:eastAsia="仿宋"/>
          <w:b w:val="0"/>
          <w:bCs/>
          <w:sz w:val="32"/>
          <w:szCs w:val="32"/>
          <w:lang w:val="en-US" w:eastAsia="zh-CN"/>
        </w:rPr>
        <w:t>19.46</w:t>
      </w:r>
      <w:r>
        <w:rPr>
          <w:rFonts w:ascii="仿宋" w:hAnsi="仿宋" w:eastAsia="仿宋"/>
          <w:b w:val="0"/>
          <w:bCs/>
          <w:sz w:val="32"/>
          <w:szCs w:val="32"/>
        </w:rPr>
        <w:t>%</w:t>
      </w:r>
      <w:r>
        <w:rPr>
          <w:rFonts w:hint="eastAsia" w:ascii="仿宋" w:hAnsi="仿宋" w:eastAsia="仿宋"/>
          <w:b w:val="0"/>
          <w:bCs/>
          <w:sz w:val="32"/>
          <w:szCs w:val="32"/>
        </w:rPr>
        <w:t>，决算数等于预算数的。</w:t>
      </w:r>
    </w:p>
    <w:p w14:paraId="51D68C85">
      <w:pPr>
        <w:ind w:firstLine="643" w:firstLineChars="200"/>
        <w:rPr>
          <w:rFonts w:hint="eastAsia" w:ascii="仿宋" w:hAnsi="仿宋" w:eastAsia="仿宋"/>
          <w:bCs/>
          <w:sz w:val="32"/>
          <w:szCs w:val="32"/>
        </w:rPr>
      </w:pPr>
      <w:r>
        <w:rPr>
          <w:rFonts w:hint="eastAsia" w:ascii="仿宋" w:hAnsi="仿宋" w:eastAsia="仿宋"/>
          <w:b/>
          <w:bCs/>
          <w:sz w:val="32"/>
          <w:szCs w:val="32"/>
        </w:rPr>
        <w:t>公务员医疗补助2101103</w:t>
      </w:r>
      <w:r>
        <w:rPr>
          <w:rFonts w:ascii="仿宋" w:hAnsi="仿宋" w:eastAsia="仿宋"/>
          <w:b/>
          <w:bCs/>
          <w:sz w:val="32"/>
          <w:szCs w:val="32"/>
        </w:rPr>
        <w:t>:</w:t>
      </w:r>
      <w:r>
        <w:rPr>
          <w:rFonts w:hint="eastAsia" w:ascii="仿宋" w:hAnsi="仿宋" w:eastAsia="仿宋"/>
          <w:bCs/>
          <w:sz w:val="32"/>
          <w:szCs w:val="32"/>
        </w:rPr>
        <w:t>支出决算为2.45万元，完成预算</w:t>
      </w:r>
      <w:r>
        <w:rPr>
          <w:rFonts w:hint="eastAsia" w:ascii="仿宋" w:hAnsi="仿宋" w:eastAsia="仿宋"/>
          <w:bCs/>
          <w:sz w:val="32"/>
          <w:szCs w:val="32"/>
          <w:lang w:val="en-US" w:eastAsia="zh-CN"/>
        </w:rPr>
        <w:t>11.57</w:t>
      </w:r>
      <w:r>
        <w:rPr>
          <w:rFonts w:ascii="仿宋" w:hAnsi="仿宋" w:eastAsia="仿宋"/>
          <w:bCs/>
          <w:sz w:val="32"/>
          <w:szCs w:val="32"/>
        </w:rPr>
        <w:t>%</w:t>
      </w:r>
      <w:r>
        <w:rPr>
          <w:rFonts w:hint="eastAsia" w:ascii="仿宋" w:hAnsi="仿宋" w:eastAsia="仿宋"/>
          <w:bCs/>
          <w:sz w:val="32"/>
          <w:szCs w:val="32"/>
        </w:rPr>
        <w:t>，决算数等于预算数的。</w:t>
      </w:r>
    </w:p>
    <w:p w14:paraId="61A21095">
      <w:pPr>
        <w:ind w:firstLine="640" w:firstLineChars="200"/>
        <w:rPr>
          <w:rFonts w:hint="eastAsia" w:ascii="仿宋" w:hAnsi="仿宋" w:eastAsia="仿宋"/>
          <w:b w:val="0"/>
          <w:bCs/>
          <w:sz w:val="32"/>
          <w:szCs w:val="32"/>
        </w:rPr>
      </w:pPr>
      <w:r>
        <w:rPr>
          <w:rFonts w:hint="eastAsia" w:ascii="仿宋" w:hAnsi="仿宋" w:eastAsia="仿宋"/>
          <w:bCs/>
          <w:sz w:val="32"/>
          <w:szCs w:val="32"/>
        </w:rPr>
        <w:t>其他行政单位医疗支出2101199</w:t>
      </w:r>
      <w:r>
        <w:rPr>
          <w:rFonts w:ascii="仿宋" w:hAnsi="仿宋" w:eastAsia="仿宋"/>
          <w:bCs/>
          <w:sz w:val="32"/>
          <w:szCs w:val="32"/>
        </w:rPr>
        <w:t>:</w:t>
      </w:r>
      <w:r>
        <w:rPr>
          <w:rFonts w:hint="eastAsia" w:ascii="仿宋" w:hAnsi="仿宋" w:eastAsia="仿宋"/>
          <w:b w:val="0"/>
          <w:bCs/>
          <w:sz w:val="32"/>
          <w:szCs w:val="32"/>
        </w:rPr>
        <w:t>支出决算为0.74万元，完成预算</w:t>
      </w:r>
      <w:r>
        <w:rPr>
          <w:rFonts w:hint="eastAsia" w:ascii="仿宋" w:hAnsi="仿宋" w:eastAsia="仿宋"/>
          <w:b w:val="0"/>
          <w:bCs/>
          <w:sz w:val="32"/>
          <w:szCs w:val="32"/>
          <w:lang w:val="en-US" w:eastAsia="zh-CN"/>
        </w:rPr>
        <w:t>3.5</w:t>
      </w:r>
      <w:r>
        <w:rPr>
          <w:rFonts w:ascii="仿宋" w:hAnsi="仿宋" w:eastAsia="仿宋"/>
          <w:b w:val="0"/>
          <w:bCs/>
          <w:sz w:val="32"/>
          <w:szCs w:val="32"/>
        </w:rPr>
        <w:t>%</w:t>
      </w:r>
      <w:r>
        <w:rPr>
          <w:rFonts w:hint="eastAsia" w:ascii="仿宋" w:hAnsi="仿宋" w:eastAsia="仿宋"/>
          <w:b w:val="0"/>
          <w:bCs/>
          <w:sz w:val="32"/>
          <w:szCs w:val="32"/>
        </w:rPr>
        <w:t>，决算数等于预算数的。</w:t>
      </w:r>
    </w:p>
    <w:p w14:paraId="71996438">
      <w:pPr>
        <w:ind w:firstLine="640" w:firstLineChars="200"/>
      </w:pPr>
      <w:r>
        <w:rPr>
          <w:rFonts w:hint="eastAsia" w:ascii="仿宋" w:hAnsi="仿宋" w:eastAsia="仿宋"/>
          <w:bCs/>
          <w:sz w:val="32"/>
          <w:szCs w:val="32"/>
        </w:rPr>
        <w:t>4.农林水支出213</w:t>
      </w:r>
      <w:r>
        <w:rPr>
          <w:rFonts w:ascii="仿宋" w:hAnsi="仿宋" w:eastAsia="仿宋"/>
          <w:bCs/>
          <w:sz w:val="32"/>
          <w:szCs w:val="32"/>
        </w:rPr>
        <w:t>:</w:t>
      </w:r>
      <w:r>
        <w:rPr>
          <w:rFonts w:hint="eastAsia" w:ascii="仿宋" w:hAnsi="仿宋" w:eastAsia="仿宋"/>
          <w:b w:val="0"/>
          <w:bCs/>
          <w:sz w:val="32"/>
          <w:szCs w:val="32"/>
        </w:rPr>
        <w:t>支出决算为1.98万元，完成预算</w:t>
      </w:r>
      <w:r>
        <w:rPr>
          <w:rFonts w:hint="eastAsia" w:ascii="仿宋" w:hAnsi="仿宋" w:eastAsia="仿宋"/>
          <w:b w:val="0"/>
          <w:bCs/>
          <w:sz w:val="32"/>
          <w:szCs w:val="32"/>
          <w:lang w:val="en-US" w:eastAsia="zh-CN"/>
        </w:rPr>
        <w:t>0.41</w:t>
      </w:r>
      <w:r>
        <w:rPr>
          <w:rFonts w:ascii="仿宋" w:hAnsi="仿宋" w:eastAsia="仿宋"/>
          <w:b w:val="0"/>
          <w:bCs/>
          <w:sz w:val="32"/>
          <w:szCs w:val="32"/>
        </w:rPr>
        <w:t>%</w:t>
      </w:r>
      <w:r>
        <w:rPr>
          <w:rFonts w:hint="eastAsia" w:ascii="仿宋" w:hAnsi="仿宋" w:eastAsia="仿宋"/>
          <w:b w:val="0"/>
          <w:bCs/>
          <w:sz w:val="32"/>
          <w:szCs w:val="32"/>
        </w:rPr>
        <w:t>，决算数等于预算数的。</w:t>
      </w:r>
    </w:p>
    <w:p w14:paraId="11143F3B">
      <w:pPr>
        <w:ind w:firstLine="640" w:firstLineChars="200"/>
      </w:pPr>
      <w:r>
        <w:rPr>
          <w:rFonts w:hint="eastAsia" w:ascii="仿宋" w:hAnsi="仿宋" w:eastAsia="仿宋"/>
          <w:bCs/>
          <w:sz w:val="32"/>
          <w:szCs w:val="32"/>
        </w:rPr>
        <w:t>其他巩固脱贫攻坚成果衔接乡村振兴支出2130599</w:t>
      </w:r>
      <w:r>
        <w:rPr>
          <w:rFonts w:ascii="仿宋" w:hAnsi="仿宋" w:eastAsia="仿宋"/>
          <w:bCs/>
          <w:sz w:val="32"/>
          <w:szCs w:val="32"/>
        </w:rPr>
        <w:t>:</w:t>
      </w:r>
      <w:r>
        <w:rPr>
          <w:rFonts w:hint="eastAsia" w:ascii="仿宋" w:hAnsi="仿宋" w:eastAsia="仿宋"/>
          <w:b w:val="0"/>
          <w:bCs/>
          <w:sz w:val="32"/>
          <w:szCs w:val="32"/>
        </w:rPr>
        <w:t>支出决算为1.98万元，完成预算</w:t>
      </w:r>
      <w:r>
        <w:rPr>
          <w:rFonts w:hint="eastAsia" w:ascii="仿宋" w:hAnsi="仿宋" w:eastAsia="仿宋"/>
          <w:b w:val="0"/>
          <w:bCs/>
          <w:sz w:val="32"/>
          <w:szCs w:val="32"/>
          <w:lang w:val="en-US" w:eastAsia="zh-CN"/>
        </w:rPr>
        <w:t>100</w:t>
      </w:r>
      <w:r>
        <w:rPr>
          <w:rFonts w:ascii="仿宋" w:hAnsi="仿宋" w:eastAsia="仿宋"/>
          <w:b w:val="0"/>
          <w:bCs/>
          <w:sz w:val="32"/>
          <w:szCs w:val="32"/>
        </w:rPr>
        <w:t>%</w:t>
      </w:r>
      <w:r>
        <w:rPr>
          <w:rFonts w:hint="eastAsia" w:ascii="仿宋" w:hAnsi="仿宋" w:eastAsia="仿宋"/>
          <w:b w:val="0"/>
          <w:bCs/>
          <w:sz w:val="32"/>
          <w:szCs w:val="32"/>
        </w:rPr>
        <w:t>，决算数等于预算数的。</w:t>
      </w:r>
    </w:p>
    <w:p w14:paraId="55C2BDCA">
      <w:pPr>
        <w:ind w:firstLine="640" w:firstLineChars="200"/>
      </w:pPr>
      <w:r>
        <w:rPr>
          <w:rFonts w:hint="eastAsia" w:ascii="仿宋" w:hAnsi="仿宋" w:eastAsia="仿宋"/>
          <w:bCs/>
          <w:sz w:val="32"/>
          <w:szCs w:val="32"/>
        </w:rPr>
        <w:t>5.住房保障支出221</w:t>
      </w:r>
      <w:r>
        <w:rPr>
          <w:rFonts w:ascii="仿宋" w:hAnsi="仿宋" w:eastAsia="仿宋"/>
          <w:bCs/>
          <w:sz w:val="32"/>
          <w:szCs w:val="32"/>
        </w:rPr>
        <w:t>:</w:t>
      </w:r>
      <w:r>
        <w:rPr>
          <w:rFonts w:hint="eastAsia" w:ascii="仿宋" w:hAnsi="仿宋" w:eastAsia="仿宋"/>
          <w:b w:val="0"/>
          <w:bCs/>
          <w:sz w:val="32"/>
          <w:szCs w:val="32"/>
        </w:rPr>
        <w:t>支出决算为30.94万元，完成预算</w:t>
      </w:r>
      <w:r>
        <w:rPr>
          <w:rFonts w:hint="eastAsia" w:ascii="仿宋" w:hAnsi="仿宋" w:eastAsia="仿宋"/>
          <w:b w:val="0"/>
          <w:bCs/>
          <w:sz w:val="32"/>
          <w:szCs w:val="32"/>
          <w:lang w:val="en-US" w:eastAsia="zh-CN"/>
        </w:rPr>
        <w:t>6.28</w:t>
      </w:r>
      <w:r>
        <w:rPr>
          <w:rFonts w:ascii="仿宋" w:hAnsi="仿宋" w:eastAsia="仿宋"/>
          <w:b w:val="0"/>
          <w:bCs/>
          <w:sz w:val="32"/>
          <w:szCs w:val="32"/>
        </w:rPr>
        <w:t>%</w:t>
      </w:r>
      <w:r>
        <w:rPr>
          <w:rFonts w:hint="eastAsia" w:ascii="仿宋" w:hAnsi="仿宋" w:eastAsia="仿宋"/>
          <w:b w:val="0"/>
          <w:bCs/>
          <w:sz w:val="32"/>
          <w:szCs w:val="32"/>
        </w:rPr>
        <w:t>，决算数等于预算数的。</w:t>
      </w:r>
    </w:p>
    <w:p w14:paraId="57829E89">
      <w:pPr>
        <w:ind w:firstLine="640" w:firstLineChars="200"/>
      </w:pPr>
      <w:r>
        <w:rPr>
          <w:rFonts w:hint="eastAsia" w:ascii="仿宋" w:hAnsi="仿宋" w:eastAsia="仿宋"/>
          <w:bCs/>
          <w:sz w:val="32"/>
          <w:szCs w:val="32"/>
        </w:rPr>
        <w:t>住房公积金2210201</w:t>
      </w:r>
      <w:r>
        <w:rPr>
          <w:rFonts w:ascii="仿宋" w:hAnsi="仿宋" w:eastAsia="仿宋"/>
          <w:bCs/>
          <w:sz w:val="32"/>
          <w:szCs w:val="32"/>
        </w:rPr>
        <w:t>:</w:t>
      </w:r>
      <w:r>
        <w:rPr>
          <w:rFonts w:hint="eastAsia" w:ascii="仿宋" w:hAnsi="仿宋" w:eastAsia="仿宋"/>
          <w:b w:val="0"/>
          <w:bCs/>
          <w:sz w:val="32"/>
          <w:szCs w:val="32"/>
        </w:rPr>
        <w:t>支出决算为30.94万元，完成预算</w:t>
      </w:r>
      <w:r>
        <w:rPr>
          <w:rFonts w:hint="eastAsia" w:ascii="仿宋" w:hAnsi="仿宋" w:eastAsia="仿宋"/>
          <w:b w:val="0"/>
          <w:bCs/>
          <w:sz w:val="32"/>
          <w:szCs w:val="32"/>
          <w:lang w:val="en-US" w:eastAsia="zh-CN"/>
        </w:rPr>
        <w:t>100</w:t>
      </w:r>
      <w:r>
        <w:rPr>
          <w:rFonts w:ascii="仿宋" w:hAnsi="仿宋" w:eastAsia="仿宋"/>
          <w:b w:val="0"/>
          <w:bCs/>
          <w:sz w:val="32"/>
          <w:szCs w:val="32"/>
        </w:rPr>
        <w:t>%</w:t>
      </w:r>
      <w:r>
        <w:rPr>
          <w:rFonts w:hint="eastAsia" w:ascii="仿宋" w:hAnsi="仿宋" w:eastAsia="仿宋"/>
          <w:b w:val="0"/>
          <w:bCs/>
          <w:sz w:val="32"/>
          <w:szCs w:val="32"/>
        </w:rPr>
        <w:t>，决算数等于预算数的。</w:t>
      </w:r>
    </w:p>
    <w:p w14:paraId="44D5A162">
      <w:pPr>
        <w:tabs>
          <w:tab w:val="right" w:pos="8306"/>
        </w:tabs>
        <w:spacing w:line="600" w:lineRule="exact"/>
        <w:ind w:firstLine="640"/>
        <w:outlineLvl w:val="1"/>
        <w:rPr>
          <w:color w:val="FF0000"/>
        </w:rPr>
      </w:pPr>
      <w:bookmarkStart w:id="47" w:name="_Toc5250"/>
      <w:bookmarkStart w:id="48" w:name="_Toc15377214"/>
      <w:bookmarkStart w:id="49" w:name="_Toc15396608"/>
      <w:r>
        <w:rPr>
          <w:rFonts w:hint="eastAsia" w:ascii="黑体" w:eastAsia="黑体"/>
          <w:color w:val="000000" w:themeColor="text1"/>
          <w:sz w:val="32"/>
          <w:szCs w:val="32"/>
        </w:rPr>
        <w:t>六、一般公共预算财政拨款基本支出决算情况说明</w:t>
      </w:r>
      <w:bookmarkEnd w:id="47"/>
      <w:bookmarkEnd w:id="48"/>
      <w:bookmarkEnd w:id="49"/>
      <w:r>
        <w:rPr>
          <w:rFonts w:ascii="黑体" w:hAnsi="黑体" w:eastAsia="黑体"/>
          <w:b w:val="0"/>
          <w:color w:val="000000" w:themeColor="text1"/>
        </w:rPr>
        <w:tab/>
      </w:r>
    </w:p>
    <w:p w14:paraId="26EA9D8B">
      <w:pPr>
        <w:ind w:firstLine="640" w:firstLineChars="200"/>
        <w:rPr>
          <w:rFonts w:hint="eastAsia" w:ascii="仿宋" w:hAnsi="仿宋" w:eastAsia="仿宋"/>
          <w:b w:val="0"/>
          <w:bCs/>
          <w:sz w:val="32"/>
          <w:szCs w:val="32"/>
        </w:rPr>
      </w:pPr>
      <w:r>
        <w:rPr>
          <w:rFonts w:hint="eastAsia" w:ascii="仿宋" w:hAnsi="仿宋" w:eastAsia="仿宋"/>
          <w:b w:val="0"/>
          <w:bCs/>
          <w:sz w:val="32"/>
          <w:szCs w:val="32"/>
          <w:lang w:eastAsia="zh-CN"/>
        </w:rPr>
        <w:t>2025年</w:t>
      </w:r>
      <w:r>
        <w:rPr>
          <w:rFonts w:hint="eastAsia" w:ascii="仿宋" w:hAnsi="仿宋" w:eastAsia="仿宋"/>
          <w:b w:val="0"/>
          <w:bCs/>
          <w:sz w:val="32"/>
          <w:szCs w:val="32"/>
        </w:rPr>
        <w:t>度一般公共预算财政拨款基本支出</w:t>
      </w:r>
      <w:r>
        <w:rPr>
          <w:rFonts w:hint="eastAsia" w:ascii="仿宋" w:hAnsi="仿宋" w:eastAsia="仿宋"/>
          <w:b w:val="0"/>
          <w:bCs/>
          <w:sz w:val="32"/>
          <w:szCs w:val="32"/>
          <w:lang w:eastAsia="zh-CN"/>
        </w:rPr>
        <w:t>477.94万元</w:t>
      </w:r>
      <w:r>
        <w:rPr>
          <w:rFonts w:hint="eastAsia" w:ascii="仿宋" w:hAnsi="仿宋" w:eastAsia="仿宋"/>
          <w:b w:val="0"/>
          <w:bCs/>
          <w:sz w:val="32"/>
          <w:szCs w:val="32"/>
        </w:rPr>
        <w:t>，其中：</w:t>
      </w:r>
    </w:p>
    <w:p w14:paraId="3F324BC5">
      <w:pPr>
        <w:spacing w:line="600" w:lineRule="exact"/>
        <w:ind w:firstLine="645"/>
        <w:rPr>
          <w:rFonts w:hint="eastAsia" w:ascii="仿宋" w:hAnsi="仿宋" w:eastAsia="仿宋"/>
          <w:sz w:val="32"/>
          <w:szCs w:val="32"/>
        </w:rPr>
      </w:pPr>
      <w:r>
        <w:rPr>
          <w:rFonts w:hint="eastAsia" w:ascii="仿宋" w:hAnsi="仿宋" w:eastAsia="仿宋"/>
          <w:sz w:val="32"/>
          <w:szCs w:val="32"/>
        </w:rPr>
        <w:t>人员经费</w:t>
      </w:r>
      <w:r>
        <w:rPr>
          <w:rFonts w:hint="eastAsia" w:ascii="仿宋" w:hAnsi="仿宋" w:eastAsia="仿宋"/>
          <w:sz w:val="32"/>
          <w:szCs w:val="32"/>
          <w:lang w:val="en-US" w:eastAsia="zh-CN"/>
        </w:rPr>
        <w:t>402.56</w:t>
      </w:r>
      <w:r>
        <w:rPr>
          <w:rFonts w:hint="eastAsia" w:ascii="仿宋" w:hAnsi="仿宋" w:eastAsia="仿宋"/>
          <w:sz w:val="32"/>
          <w:szCs w:val="32"/>
        </w:rPr>
        <w:t>万元，主要包括：基本工资</w:t>
      </w:r>
      <w:r>
        <w:rPr>
          <w:rFonts w:hint="eastAsia" w:ascii="仿宋" w:hAnsi="仿宋" w:eastAsia="仿宋"/>
          <w:sz w:val="32"/>
          <w:szCs w:val="32"/>
          <w:lang w:val="en-US" w:eastAsia="zh-CN"/>
        </w:rPr>
        <w:t>76.01</w:t>
      </w:r>
      <w:r>
        <w:rPr>
          <w:rFonts w:hint="eastAsia" w:ascii="仿宋" w:hAnsi="仿宋" w:eastAsia="仿宋"/>
          <w:sz w:val="32"/>
          <w:szCs w:val="32"/>
        </w:rPr>
        <w:t>万元、津贴补贴</w:t>
      </w:r>
      <w:r>
        <w:rPr>
          <w:rFonts w:hint="eastAsia" w:ascii="仿宋" w:hAnsi="仿宋" w:eastAsia="仿宋"/>
          <w:sz w:val="32"/>
          <w:szCs w:val="32"/>
          <w:lang w:val="en-US" w:eastAsia="zh-CN"/>
        </w:rPr>
        <w:t>91.61</w:t>
      </w:r>
      <w:r>
        <w:rPr>
          <w:rFonts w:hint="eastAsia" w:ascii="仿宋" w:hAnsi="仿宋" w:eastAsia="仿宋"/>
          <w:sz w:val="32"/>
          <w:szCs w:val="32"/>
        </w:rPr>
        <w:t>万元、奖金</w:t>
      </w:r>
      <w:r>
        <w:rPr>
          <w:rFonts w:hint="eastAsia" w:ascii="仿宋" w:hAnsi="仿宋" w:eastAsia="仿宋"/>
          <w:sz w:val="32"/>
          <w:szCs w:val="32"/>
          <w:lang w:val="en-US" w:eastAsia="zh-CN"/>
        </w:rPr>
        <w:t>78.92</w:t>
      </w:r>
      <w:r>
        <w:rPr>
          <w:rFonts w:hint="eastAsia" w:ascii="仿宋" w:hAnsi="仿宋" w:eastAsia="仿宋"/>
          <w:sz w:val="32"/>
          <w:szCs w:val="32"/>
        </w:rPr>
        <w:t>万元、伙食补助费0万元、绩效工资</w:t>
      </w:r>
      <w:r>
        <w:rPr>
          <w:rFonts w:hint="eastAsia" w:ascii="仿宋" w:hAnsi="仿宋" w:eastAsia="仿宋"/>
          <w:sz w:val="32"/>
          <w:szCs w:val="32"/>
          <w:lang w:val="en-US" w:eastAsia="zh-CN"/>
        </w:rPr>
        <w:t>13.38</w:t>
      </w:r>
      <w:r>
        <w:rPr>
          <w:rFonts w:hint="eastAsia" w:ascii="仿宋" w:hAnsi="仿宋" w:eastAsia="仿宋"/>
          <w:sz w:val="32"/>
          <w:szCs w:val="32"/>
        </w:rPr>
        <w:t>万元、机关事业单位基本养老保险缴费</w:t>
      </w:r>
      <w:r>
        <w:rPr>
          <w:rFonts w:hint="eastAsia" w:ascii="仿宋" w:hAnsi="仿宋" w:eastAsia="仿宋"/>
          <w:sz w:val="32"/>
          <w:szCs w:val="32"/>
          <w:lang w:val="en-US" w:eastAsia="zh-CN"/>
        </w:rPr>
        <w:t>38.01</w:t>
      </w:r>
      <w:r>
        <w:rPr>
          <w:rFonts w:hint="eastAsia" w:ascii="仿宋" w:hAnsi="仿宋" w:eastAsia="仿宋"/>
          <w:sz w:val="32"/>
          <w:szCs w:val="32"/>
        </w:rPr>
        <w:t>万元、职业年金缴费</w:t>
      </w:r>
      <w:r>
        <w:rPr>
          <w:rFonts w:hint="eastAsia" w:ascii="仿宋" w:hAnsi="仿宋" w:eastAsia="仿宋"/>
          <w:sz w:val="32"/>
          <w:szCs w:val="32"/>
          <w:lang w:val="en-US" w:eastAsia="zh-CN"/>
        </w:rPr>
        <w:t>19</w:t>
      </w:r>
      <w:r>
        <w:rPr>
          <w:rFonts w:hint="eastAsia" w:ascii="仿宋" w:hAnsi="仿宋" w:eastAsia="仿宋"/>
          <w:sz w:val="32"/>
          <w:szCs w:val="32"/>
        </w:rPr>
        <w:t>万元、职工基本医疗保险缴费</w:t>
      </w:r>
      <w:r>
        <w:rPr>
          <w:rFonts w:hint="eastAsia" w:ascii="仿宋" w:hAnsi="仿宋" w:eastAsia="仿宋"/>
          <w:sz w:val="32"/>
          <w:szCs w:val="32"/>
          <w:lang w:val="en-US" w:eastAsia="zh-CN"/>
        </w:rPr>
        <w:t>17.99</w:t>
      </w:r>
      <w:r>
        <w:rPr>
          <w:rFonts w:hint="eastAsia" w:ascii="仿宋" w:hAnsi="仿宋" w:eastAsia="仿宋"/>
          <w:sz w:val="32"/>
          <w:szCs w:val="32"/>
        </w:rPr>
        <w:t>万元、公务员医疗保险缴费</w:t>
      </w:r>
      <w:r>
        <w:rPr>
          <w:rFonts w:hint="eastAsia" w:ascii="仿宋" w:hAnsi="仿宋" w:eastAsia="仿宋"/>
          <w:sz w:val="32"/>
          <w:szCs w:val="32"/>
          <w:lang w:val="en-US" w:eastAsia="zh-CN"/>
        </w:rPr>
        <w:t>3.19</w:t>
      </w:r>
      <w:r>
        <w:rPr>
          <w:rFonts w:hint="eastAsia" w:ascii="仿宋" w:hAnsi="仿宋" w:eastAsia="仿宋"/>
          <w:sz w:val="32"/>
          <w:szCs w:val="32"/>
        </w:rPr>
        <w:t>万元、其他社会保障缴费</w:t>
      </w:r>
      <w:r>
        <w:rPr>
          <w:rFonts w:hint="eastAsia" w:ascii="仿宋" w:hAnsi="仿宋" w:eastAsia="仿宋"/>
          <w:sz w:val="32"/>
          <w:szCs w:val="32"/>
          <w:lang w:val="en-US" w:eastAsia="zh-CN"/>
        </w:rPr>
        <w:t>0.86</w:t>
      </w:r>
      <w:r>
        <w:rPr>
          <w:rFonts w:hint="eastAsia" w:ascii="仿宋" w:hAnsi="仿宋" w:eastAsia="仿宋"/>
          <w:sz w:val="32"/>
          <w:szCs w:val="32"/>
        </w:rPr>
        <w:t>万元、医疗费</w:t>
      </w:r>
      <w:r>
        <w:rPr>
          <w:rFonts w:hint="eastAsia" w:ascii="仿宋" w:hAnsi="仿宋" w:eastAsia="仿宋"/>
          <w:sz w:val="32"/>
          <w:szCs w:val="32"/>
          <w:lang w:val="en-US" w:eastAsia="zh-CN"/>
        </w:rPr>
        <w:t>3.26</w:t>
      </w:r>
      <w:r>
        <w:rPr>
          <w:rFonts w:hint="eastAsia" w:ascii="仿宋" w:hAnsi="仿宋" w:eastAsia="仿宋"/>
          <w:sz w:val="32"/>
          <w:szCs w:val="32"/>
        </w:rPr>
        <w:t>万元、其他工资福利支出0万元、离休费0万元、退休费0万元、抚恤金0万元、生活补助</w:t>
      </w:r>
      <w:r>
        <w:rPr>
          <w:rFonts w:hint="eastAsia" w:ascii="仿宋" w:hAnsi="仿宋" w:eastAsia="仿宋"/>
          <w:sz w:val="32"/>
          <w:szCs w:val="32"/>
          <w:lang w:val="en-US" w:eastAsia="zh-CN"/>
        </w:rPr>
        <w:t>29.09</w:t>
      </w:r>
      <w:r>
        <w:rPr>
          <w:rFonts w:hint="eastAsia" w:ascii="仿宋" w:hAnsi="仿宋" w:eastAsia="仿宋"/>
          <w:sz w:val="32"/>
          <w:szCs w:val="32"/>
        </w:rPr>
        <w:t>万元、医疗费补助</w:t>
      </w:r>
      <w:r>
        <w:rPr>
          <w:rFonts w:hint="eastAsia" w:ascii="仿宋" w:hAnsi="仿宋" w:eastAsia="仿宋"/>
          <w:sz w:val="32"/>
          <w:szCs w:val="32"/>
          <w:lang w:val="en-US" w:eastAsia="zh-CN"/>
        </w:rPr>
        <w:t>0.3</w:t>
      </w:r>
      <w:r>
        <w:rPr>
          <w:rFonts w:hint="eastAsia" w:ascii="仿宋" w:hAnsi="仿宋" w:eastAsia="仿宋"/>
          <w:sz w:val="32"/>
          <w:szCs w:val="32"/>
        </w:rPr>
        <w:t>万元、奖励金0万元、住房公积金</w:t>
      </w:r>
      <w:r>
        <w:rPr>
          <w:rFonts w:hint="eastAsia" w:ascii="仿宋" w:hAnsi="仿宋" w:eastAsia="仿宋"/>
          <w:sz w:val="32"/>
          <w:szCs w:val="32"/>
          <w:lang w:val="en-US" w:eastAsia="zh-CN"/>
        </w:rPr>
        <w:t>30.94</w:t>
      </w:r>
      <w:r>
        <w:rPr>
          <w:rFonts w:hint="eastAsia" w:ascii="仿宋" w:hAnsi="仿宋" w:eastAsia="仿宋"/>
          <w:sz w:val="32"/>
          <w:szCs w:val="32"/>
        </w:rPr>
        <w:t>万元、其他对个人和家庭的补助支出等。</w:t>
      </w:r>
      <w:r>
        <w:rPr>
          <w:rFonts w:ascii="仿宋" w:hAnsi="仿宋" w:eastAsia="仿宋"/>
          <w:sz w:val="32"/>
          <w:szCs w:val="32"/>
        </w:rPr>
        <w:br w:type="textWrapping"/>
      </w:r>
      <w:r>
        <w:rPr>
          <w:rFonts w:hint="eastAsia" w:ascii="仿宋" w:hAnsi="仿宋" w:eastAsia="仿宋"/>
          <w:sz w:val="32"/>
          <w:szCs w:val="32"/>
        </w:rPr>
        <w:t>　　公用经</w:t>
      </w:r>
      <w:r>
        <w:rPr>
          <w:rFonts w:hint="eastAsia" w:ascii="仿宋" w:hAnsi="仿宋" w:eastAsia="仿宋"/>
          <w:sz w:val="32"/>
          <w:szCs w:val="32"/>
          <w:lang w:val="en-US" w:eastAsia="zh-CN"/>
        </w:rPr>
        <w:t>费75.37 万</w:t>
      </w:r>
      <w:r>
        <w:rPr>
          <w:rFonts w:hint="eastAsia" w:ascii="仿宋" w:hAnsi="仿宋" w:eastAsia="仿宋"/>
          <w:sz w:val="32"/>
          <w:szCs w:val="32"/>
        </w:rPr>
        <w:t>元，主要包括：办公费</w:t>
      </w:r>
      <w:r>
        <w:rPr>
          <w:rFonts w:hint="eastAsia" w:ascii="仿宋" w:hAnsi="仿宋" w:eastAsia="仿宋"/>
          <w:sz w:val="32"/>
          <w:szCs w:val="32"/>
          <w:lang w:val="en-US" w:eastAsia="zh-CN"/>
        </w:rPr>
        <w:t>11.26</w:t>
      </w:r>
      <w:r>
        <w:rPr>
          <w:rFonts w:hint="eastAsia" w:ascii="仿宋" w:hAnsi="仿宋" w:eastAsia="仿宋"/>
          <w:sz w:val="32"/>
          <w:szCs w:val="32"/>
        </w:rPr>
        <w:t>万元、印刷费</w:t>
      </w:r>
      <w:r>
        <w:rPr>
          <w:rFonts w:hint="eastAsia" w:ascii="仿宋" w:hAnsi="仿宋" w:eastAsia="仿宋"/>
          <w:sz w:val="32"/>
          <w:szCs w:val="32"/>
          <w:lang w:val="en-US" w:eastAsia="zh-CN"/>
        </w:rPr>
        <w:t>15.96</w:t>
      </w:r>
      <w:r>
        <w:rPr>
          <w:rFonts w:hint="eastAsia" w:ascii="仿宋" w:hAnsi="仿宋" w:eastAsia="仿宋"/>
          <w:sz w:val="32"/>
          <w:szCs w:val="32"/>
        </w:rPr>
        <w:t>万元、咨询费0万元、手续费0.12万元、水费</w:t>
      </w:r>
      <w:r>
        <w:rPr>
          <w:rFonts w:hint="eastAsia" w:ascii="仿宋" w:hAnsi="仿宋" w:eastAsia="仿宋"/>
          <w:sz w:val="32"/>
          <w:szCs w:val="32"/>
          <w:lang w:val="en-US" w:eastAsia="zh-CN"/>
        </w:rPr>
        <w:t xml:space="preserve">  0.18</w:t>
      </w:r>
      <w:r>
        <w:rPr>
          <w:rFonts w:hint="eastAsia" w:ascii="仿宋" w:hAnsi="仿宋" w:eastAsia="仿宋"/>
          <w:sz w:val="32"/>
          <w:szCs w:val="32"/>
        </w:rPr>
        <w:t>万元、电费</w:t>
      </w:r>
      <w:r>
        <w:rPr>
          <w:rFonts w:hint="eastAsia" w:ascii="仿宋" w:hAnsi="仿宋" w:eastAsia="仿宋"/>
          <w:sz w:val="32"/>
          <w:szCs w:val="32"/>
          <w:lang w:val="en-US" w:eastAsia="zh-CN"/>
        </w:rPr>
        <w:t>0.6</w:t>
      </w:r>
      <w:r>
        <w:rPr>
          <w:rFonts w:hint="eastAsia" w:ascii="仿宋" w:hAnsi="仿宋" w:eastAsia="仿宋"/>
          <w:sz w:val="32"/>
          <w:szCs w:val="32"/>
        </w:rPr>
        <w:t>万元、邮电费</w:t>
      </w:r>
      <w:r>
        <w:rPr>
          <w:rFonts w:hint="eastAsia" w:ascii="仿宋" w:hAnsi="仿宋" w:eastAsia="仿宋"/>
          <w:sz w:val="32"/>
          <w:szCs w:val="32"/>
          <w:lang w:val="en-US" w:eastAsia="zh-CN"/>
        </w:rPr>
        <w:t>5.42</w:t>
      </w:r>
      <w:r>
        <w:rPr>
          <w:rFonts w:hint="eastAsia" w:ascii="仿宋" w:hAnsi="仿宋" w:eastAsia="仿宋"/>
          <w:sz w:val="32"/>
          <w:szCs w:val="32"/>
        </w:rPr>
        <w:t>万元、取暖费0.47万元、物业管理费0万元、差旅费</w:t>
      </w:r>
      <w:r>
        <w:rPr>
          <w:rFonts w:hint="eastAsia" w:ascii="仿宋" w:hAnsi="仿宋" w:eastAsia="仿宋"/>
          <w:sz w:val="32"/>
          <w:szCs w:val="32"/>
          <w:lang w:val="en-US" w:eastAsia="zh-CN"/>
        </w:rPr>
        <w:t>8.43</w:t>
      </w:r>
      <w:r>
        <w:rPr>
          <w:rFonts w:hint="eastAsia" w:ascii="仿宋" w:hAnsi="仿宋" w:eastAsia="仿宋"/>
          <w:sz w:val="32"/>
          <w:szCs w:val="32"/>
        </w:rPr>
        <w:t>万元、因公出国（境）费用0万元、维修（护）费3.96万元、租赁费0万元、会议费0.11万元、培训费</w:t>
      </w:r>
      <w:r>
        <w:rPr>
          <w:rFonts w:hint="eastAsia" w:ascii="仿宋" w:hAnsi="仿宋" w:eastAsia="仿宋"/>
          <w:sz w:val="32"/>
          <w:szCs w:val="32"/>
          <w:lang w:val="en-US" w:eastAsia="zh-CN"/>
        </w:rPr>
        <w:t>0.02</w:t>
      </w:r>
      <w:r>
        <w:rPr>
          <w:rFonts w:hint="eastAsia" w:ascii="仿宋" w:hAnsi="仿宋" w:eastAsia="仿宋"/>
          <w:sz w:val="32"/>
          <w:szCs w:val="32"/>
        </w:rPr>
        <w:t>万元、公务接待费0万元、劳务费0万元、委托业务费</w:t>
      </w:r>
      <w:r>
        <w:rPr>
          <w:rFonts w:hint="eastAsia" w:ascii="仿宋" w:hAnsi="仿宋" w:eastAsia="仿宋"/>
          <w:sz w:val="32"/>
          <w:szCs w:val="32"/>
          <w:lang w:val="en-US" w:eastAsia="zh-CN"/>
        </w:rPr>
        <w:t>14.8</w:t>
      </w:r>
      <w:r>
        <w:rPr>
          <w:rFonts w:hint="eastAsia" w:ascii="仿宋" w:hAnsi="仿宋" w:eastAsia="仿宋"/>
          <w:sz w:val="32"/>
          <w:szCs w:val="32"/>
        </w:rPr>
        <w:t>万元、工会经费</w:t>
      </w:r>
      <w:r>
        <w:rPr>
          <w:rFonts w:hint="eastAsia" w:ascii="仿宋" w:hAnsi="仿宋" w:eastAsia="仿宋"/>
          <w:sz w:val="32"/>
          <w:szCs w:val="32"/>
          <w:lang w:val="en-US" w:eastAsia="zh-CN"/>
        </w:rPr>
        <w:t xml:space="preserve"> 2.75</w:t>
      </w:r>
      <w:r>
        <w:rPr>
          <w:rFonts w:hint="eastAsia" w:ascii="仿宋" w:hAnsi="仿宋" w:eastAsia="仿宋"/>
          <w:sz w:val="32"/>
          <w:szCs w:val="32"/>
        </w:rPr>
        <w:t>万元、福利费2.6万元、公务用车运行维护费</w:t>
      </w:r>
      <w:r>
        <w:rPr>
          <w:rFonts w:hint="eastAsia" w:ascii="仿宋" w:hAnsi="仿宋" w:eastAsia="仿宋"/>
          <w:sz w:val="32"/>
          <w:szCs w:val="32"/>
          <w:lang w:val="en-US" w:eastAsia="zh-CN"/>
        </w:rPr>
        <w:t>3.54</w:t>
      </w:r>
      <w:r>
        <w:rPr>
          <w:rFonts w:hint="eastAsia" w:ascii="仿宋" w:hAnsi="仿宋" w:eastAsia="仿宋"/>
          <w:sz w:val="32"/>
          <w:szCs w:val="32"/>
        </w:rPr>
        <w:t>万元、其他交通费0万元、税金及附加费用0万元、其他商品和服务支出5.15万元、办公设备购置0万元、专用设备购置0万元、信息网络及软件购置更新0万元、其他资本性支出等。</w:t>
      </w:r>
    </w:p>
    <w:p w14:paraId="2DAEB5FA">
      <w:pPr>
        <w:spacing w:line="600" w:lineRule="exact"/>
        <w:ind w:firstLine="640"/>
        <w:outlineLvl w:val="1"/>
        <w:rPr>
          <w:rFonts w:hint="eastAsia" w:ascii="黑体" w:eastAsia="黑体"/>
          <w:color w:val="000000" w:themeColor="text1"/>
          <w:sz w:val="32"/>
          <w:szCs w:val="32"/>
        </w:rPr>
      </w:pPr>
      <w:bookmarkStart w:id="50" w:name="_Toc15377215"/>
      <w:bookmarkStart w:id="51" w:name="_Toc329"/>
      <w:bookmarkStart w:id="52" w:name="_Toc15396609"/>
      <w:r>
        <w:rPr>
          <w:rFonts w:hint="eastAsia" w:ascii="黑体" w:eastAsia="黑体"/>
          <w:color w:val="000000" w:themeColor="text1"/>
          <w:sz w:val="32"/>
          <w:szCs w:val="32"/>
        </w:rPr>
        <w:t>七、财政拨款“三公”经费支出决算情况说明</w:t>
      </w:r>
      <w:bookmarkEnd w:id="50"/>
      <w:bookmarkEnd w:id="51"/>
      <w:bookmarkEnd w:id="52"/>
    </w:p>
    <w:p w14:paraId="33E1E3EC">
      <w:pPr>
        <w:spacing w:line="600" w:lineRule="exact"/>
        <w:ind w:firstLine="640"/>
        <w:outlineLvl w:val="2"/>
        <w:rPr>
          <w:rFonts w:hint="eastAsia" w:ascii="仿宋" w:hAnsi="仿宋" w:eastAsia="仿宋"/>
          <w:b/>
          <w:color w:val="000000" w:themeColor="text1"/>
          <w:sz w:val="32"/>
          <w:szCs w:val="32"/>
        </w:rPr>
      </w:pPr>
      <w:bookmarkStart w:id="53" w:name="_Toc15377216"/>
      <w:r>
        <w:rPr>
          <w:rFonts w:hint="eastAsia" w:ascii="仿宋" w:hAnsi="仿宋" w:eastAsia="仿宋"/>
          <w:b/>
          <w:color w:val="000000" w:themeColor="text1"/>
          <w:sz w:val="32"/>
          <w:szCs w:val="32"/>
        </w:rPr>
        <w:t>（一）“三公”经费财政拨款支出决算总体情况说明</w:t>
      </w:r>
      <w:bookmarkEnd w:id="53"/>
    </w:p>
    <w:p w14:paraId="6CBAC473">
      <w:pPr>
        <w:spacing w:line="600" w:lineRule="exact"/>
        <w:ind w:firstLine="640"/>
        <w:rPr>
          <w:rFonts w:hint="eastAsia" w:ascii="仿宋" w:hAnsi="仿宋" w:eastAsia="仿宋"/>
          <w:b/>
          <w:color w:val="000000" w:themeColor="text1"/>
          <w:sz w:val="32"/>
          <w:szCs w:val="32"/>
        </w:rPr>
      </w:pPr>
      <w:r>
        <w:rPr>
          <w:rFonts w:hint="eastAsia" w:ascii="仿宋" w:hAnsi="仿宋" w:eastAsia="仿宋"/>
          <w:color w:val="000000" w:themeColor="text1"/>
          <w:sz w:val="32"/>
          <w:szCs w:val="32"/>
          <w:lang w:eastAsia="zh-CN"/>
        </w:rPr>
        <w:t>2025年</w:t>
      </w:r>
      <w:r>
        <w:rPr>
          <w:rFonts w:hint="eastAsia" w:ascii="仿宋" w:hAnsi="仿宋" w:eastAsia="仿宋"/>
          <w:color w:val="000000" w:themeColor="text1"/>
          <w:sz w:val="32"/>
          <w:szCs w:val="32"/>
        </w:rPr>
        <w:t>度“三公”经费财政拨款支出决算为</w:t>
      </w:r>
      <w:r>
        <w:rPr>
          <w:rFonts w:hint="eastAsia" w:eastAsia="仿宋"/>
          <w:color w:val="000000" w:themeColor="text1"/>
          <w:sz w:val="32"/>
          <w:szCs w:val="32"/>
          <w:lang w:val="en-US" w:eastAsia="zh-CN"/>
        </w:rPr>
        <w:t>3.54</w:t>
      </w:r>
      <w:r>
        <w:rPr>
          <w:rFonts w:hint="eastAsia" w:ascii="仿宋" w:hAnsi="仿宋" w:eastAsia="仿宋"/>
          <w:color w:val="000000" w:themeColor="text1"/>
          <w:sz w:val="32"/>
          <w:szCs w:val="32"/>
        </w:rPr>
        <w:t>万元，完成预算</w:t>
      </w:r>
      <w:r>
        <w:rPr>
          <w:rFonts w:hint="eastAsia" w:eastAsia="仿宋"/>
          <w:color w:val="000000" w:themeColor="text1"/>
          <w:sz w:val="32"/>
          <w:szCs w:val="32"/>
          <w:lang w:val="en-US" w:eastAsia="zh-CN"/>
        </w:rPr>
        <w:t>60</w:t>
      </w:r>
      <w:r>
        <w:rPr>
          <w:rFonts w:hint="eastAsia" w:eastAsia="仿宋"/>
          <w:color w:val="000000" w:themeColor="text1"/>
          <w:sz w:val="32"/>
          <w:szCs w:val="32"/>
        </w:rPr>
        <w:t>.</w:t>
      </w:r>
      <w:r>
        <w:rPr>
          <w:rFonts w:hint="eastAsia" w:eastAsia="仿宋"/>
          <w:color w:val="000000" w:themeColor="text1"/>
          <w:sz w:val="32"/>
          <w:szCs w:val="32"/>
          <w:lang w:val="en-US" w:eastAsia="zh-CN"/>
        </w:rPr>
        <w:t>41</w:t>
      </w:r>
      <w:r>
        <w:rPr>
          <w:rFonts w:ascii="仿宋" w:hAnsi="仿宋" w:eastAsia="仿宋"/>
          <w:color w:val="000000" w:themeColor="text1"/>
          <w:sz w:val="32"/>
          <w:szCs w:val="32"/>
        </w:rPr>
        <w:t>%</w:t>
      </w:r>
      <w:r>
        <w:rPr>
          <w:rFonts w:hint="eastAsia" w:ascii="仿宋" w:hAnsi="仿宋" w:eastAsia="仿宋"/>
          <w:color w:val="000000" w:themeColor="text1"/>
          <w:sz w:val="32"/>
          <w:szCs w:val="32"/>
        </w:rPr>
        <w:t>，较上年度增加-</w:t>
      </w:r>
      <w:r>
        <w:rPr>
          <w:rFonts w:hint="eastAsia" w:ascii="仿宋" w:hAnsi="仿宋" w:eastAsia="仿宋"/>
          <w:color w:val="000000" w:themeColor="text1"/>
          <w:sz w:val="32"/>
          <w:szCs w:val="32"/>
          <w:lang w:val="en-US" w:eastAsia="zh-CN"/>
        </w:rPr>
        <w:t>0.63</w:t>
      </w:r>
      <w:r>
        <w:rPr>
          <w:rFonts w:hint="eastAsia" w:ascii="仿宋" w:hAnsi="仿宋" w:eastAsia="仿宋"/>
          <w:color w:val="000000" w:themeColor="text1"/>
          <w:sz w:val="32"/>
          <w:szCs w:val="32"/>
        </w:rPr>
        <w:t>万元，增长-</w:t>
      </w:r>
      <w:r>
        <w:rPr>
          <w:rFonts w:hint="eastAsia" w:ascii="仿宋" w:hAnsi="仿宋" w:eastAsia="仿宋"/>
          <w:color w:val="000000" w:themeColor="text1"/>
          <w:sz w:val="32"/>
          <w:szCs w:val="32"/>
          <w:lang w:val="en-US" w:eastAsia="zh-CN"/>
        </w:rPr>
        <w:t xml:space="preserve"> 15.11%</w:t>
      </w:r>
      <w:r>
        <w:rPr>
          <w:rFonts w:hint="eastAsia" w:ascii="仿宋" w:hAnsi="仿宋" w:eastAsia="仿宋"/>
          <w:color w:val="000000" w:themeColor="text1"/>
          <w:sz w:val="32"/>
          <w:szCs w:val="32"/>
        </w:rPr>
        <w:t>。决算数小于预算数的主要原因是</w:t>
      </w:r>
      <w:r>
        <w:rPr>
          <w:rFonts w:hint="eastAsia" w:ascii="仿宋" w:hAnsi="仿宋" w:eastAsia="仿宋"/>
          <w:color w:val="000000" w:themeColor="text1"/>
          <w:sz w:val="32"/>
          <w:szCs w:val="32"/>
          <w:lang w:val="en-US" w:eastAsia="zh-CN"/>
        </w:rPr>
        <w:t>优化公务出行安排实际支出较预算有所减少</w:t>
      </w:r>
      <w:r>
        <w:rPr>
          <w:rFonts w:hint="eastAsia" w:ascii="仿宋" w:hAnsi="仿宋" w:eastAsia="仿宋"/>
          <w:color w:val="000000" w:themeColor="text1"/>
          <w:sz w:val="32"/>
          <w:szCs w:val="32"/>
        </w:rPr>
        <w:t>。</w:t>
      </w:r>
    </w:p>
    <w:p w14:paraId="5CED9879">
      <w:pPr>
        <w:spacing w:line="600" w:lineRule="exact"/>
        <w:ind w:firstLine="640"/>
        <w:outlineLvl w:val="2"/>
        <w:rPr>
          <w:rFonts w:hint="eastAsia" w:ascii="仿宋" w:hAnsi="仿宋" w:eastAsia="仿宋"/>
          <w:b/>
          <w:sz w:val="32"/>
          <w:szCs w:val="32"/>
        </w:rPr>
      </w:pPr>
      <w:bookmarkStart w:id="54" w:name="_Toc15377217"/>
      <w:r>
        <w:rPr>
          <w:rFonts w:hint="eastAsia" w:ascii="仿宋" w:hAnsi="仿宋" w:eastAsia="仿宋"/>
          <w:b/>
          <w:sz w:val="32"/>
          <w:szCs w:val="32"/>
        </w:rPr>
        <w:t>（二）“三公”经费财政拨款支出决算具体情况说明</w:t>
      </w:r>
      <w:bookmarkEnd w:id="54"/>
    </w:p>
    <w:p w14:paraId="3B7AD593">
      <w:pPr>
        <w:spacing w:line="600" w:lineRule="exact"/>
        <w:ind w:firstLine="640"/>
        <w:rPr>
          <w:rFonts w:hint="eastAsia" w:ascii="仿宋" w:hAnsi="仿宋" w:eastAsia="仿宋"/>
          <w:sz w:val="32"/>
          <w:szCs w:val="32"/>
        </w:rPr>
      </w:pPr>
      <w:r>
        <w:rPr>
          <w:rFonts w:hint="eastAsia" w:ascii="仿宋" w:hAnsi="仿宋" w:eastAsia="仿宋"/>
          <w:sz w:val="32"/>
          <w:szCs w:val="32"/>
          <w:lang w:eastAsia="zh-CN"/>
        </w:rPr>
        <w:t>2025年</w:t>
      </w:r>
      <w:r>
        <w:rPr>
          <w:rFonts w:hint="eastAsia" w:ascii="仿宋" w:hAnsi="仿宋" w:eastAsia="仿宋"/>
          <w:sz w:val="32"/>
          <w:szCs w:val="32"/>
        </w:rPr>
        <w:t>度“三公”经费财政拨款支出决算中，因公出国（境）费支出决算</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；公务用车购置及运行维护费支出决算</w:t>
      </w:r>
      <w:r>
        <w:rPr>
          <w:rFonts w:hint="eastAsia" w:eastAsia="仿宋"/>
          <w:sz w:val="32"/>
          <w:szCs w:val="32"/>
        </w:rPr>
        <w:t>3.54</w:t>
      </w:r>
      <w:r>
        <w:rPr>
          <w:rFonts w:hint="eastAsia" w:ascii="仿宋" w:hAnsi="仿宋" w:eastAsia="仿宋"/>
          <w:sz w:val="32"/>
          <w:szCs w:val="32"/>
        </w:rPr>
        <w:t>万元，占</w:t>
      </w:r>
      <w:r>
        <w:rPr>
          <w:sz w:val="32"/>
          <w:szCs w:val="32"/>
        </w:rPr>
        <w:t>100</w:t>
      </w:r>
      <w:r>
        <w:rPr>
          <w:rFonts w:ascii="仿宋" w:hAnsi="仿宋" w:eastAsia="仿宋"/>
          <w:sz w:val="32"/>
          <w:szCs w:val="32"/>
        </w:rPr>
        <w:t>%</w:t>
      </w:r>
      <w:r>
        <w:rPr>
          <w:rFonts w:hint="eastAsia" w:ascii="仿宋" w:hAnsi="仿宋" w:eastAsia="仿宋"/>
          <w:sz w:val="32"/>
          <w:szCs w:val="32"/>
        </w:rPr>
        <w:t>；公务接待费支出决算</w:t>
      </w:r>
      <w:r>
        <w:rPr>
          <w:sz w:val="32"/>
          <w:szCs w:val="32"/>
        </w:rPr>
        <w:t>0</w:t>
      </w:r>
      <w:r>
        <w:rPr>
          <w:rFonts w:hint="eastAsia" w:ascii="仿宋" w:hAnsi="仿宋" w:eastAsia="仿宋"/>
          <w:sz w:val="32"/>
          <w:szCs w:val="32"/>
        </w:rPr>
        <w:t>万元，占</w:t>
      </w:r>
      <w:r>
        <w:rPr>
          <w:sz w:val="32"/>
          <w:szCs w:val="32"/>
        </w:rPr>
        <w:t>0</w:t>
      </w:r>
      <w:r>
        <w:rPr>
          <w:rFonts w:ascii="仿宋" w:hAnsi="仿宋" w:eastAsia="仿宋"/>
          <w:sz w:val="32"/>
          <w:szCs w:val="32"/>
        </w:rPr>
        <w:t>%</w:t>
      </w:r>
      <w:r>
        <w:rPr>
          <w:rFonts w:hint="eastAsia" w:ascii="仿宋" w:hAnsi="仿宋" w:eastAsia="仿宋"/>
          <w:sz w:val="32"/>
          <w:szCs w:val="32"/>
        </w:rPr>
        <w:t>。具体情况如下：</w:t>
      </w:r>
    </w:p>
    <w:p w14:paraId="181DBEB1">
      <w:pPr>
        <w:spacing w:line="600" w:lineRule="exact"/>
        <w:ind w:firstLine="640"/>
        <w:rPr>
          <w:rFonts w:hint="eastAsia" w:ascii="仿宋" w:hAnsi="仿宋" w:eastAsia="仿宋"/>
          <w:sz w:val="32"/>
          <w:szCs w:val="32"/>
        </w:rPr>
      </w:pPr>
      <w:r>
        <w:rPr>
          <w:rFonts w:hint="eastAsia" w:ascii="仿宋" w:hAnsi="仿宋" w:eastAsia="仿宋"/>
          <w:sz w:val="32"/>
          <w:szCs w:val="32"/>
        </w:rPr>
        <w:t>（图7：“三公”经费财政拨款支出结构）（饼状图）</w:t>
      </w:r>
    </w:p>
    <w:p w14:paraId="092B4453">
      <w:pPr>
        <w:outlineLvl w:val="9"/>
        <w:rPr>
          <w:rFonts w:hint="eastAsia" w:eastAsia="仿宋"/>
          <w:lang w:eastAsia="zh-CN"/>
        </w:rPr>
      </w:pPr>
      <w:r>
        <w:rPr>
          <w:rFonts w:hint="eastAsia" w:eastAsia="仿宋"/>
          <w:lang w:eastAsia="zh-CN"/>
        </w:rPr>
        <w:drawing>
          <wp:inline distT="0" distB="0" distL="114300" distR="114300">
            <wp:extent cx="2912110" cy="2036445"/>
            <wp:effectExtent l="4445" t="5080" r="17145" b="15875"/>
            <wp:docPr id="23" name="图表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000FB16">
      <w:pPr>
        <w:outlineLvl w:val="9"/>
        <w:rPr>
          <w:rFonts w:eastAsia="仿宋"/>
        </w:rPr>
      </w:pPr>
    </w:p>
    <w:p w14:paraId="7D69E387">
      <w:pPr>
        <w:outlineLvl w:val="9"/>
        <w:rPr>
          <w:rFonts w:eastAsia="仿宋"/>
        </w:rPr>
      </w:pPr>
    </w:p>
    <w:p w14:paraId="5CE320BB">
      <w:pPr>
        <w:outlineLvl w:val="9"/>
        <w:rPr>
          <w:rFonts w:eastAsia="仿宋"/>
        </w:rPr>
      </w:pPr>
    </w:p>
    <w:p w14:paraId="5CC806A5">
      <w:pPr>
        <w:spacing w:line="600" w:lineRule="exact"/>
        <w:ind w:firstLine="640"/>
        <w:rPr>
          <w:rFonts w:ascii="仿宋_GB2312" w:eastAsia="仿宋_GB2312"/>
          <w:sz w:val="32"/>
          <w:szCs w:val="32"/>
        </w:rPr>
      </w:pPr>
      <w:r>
        <w:rPr>
          <w:rFonts w:ascii="仿宋_GB2312" w:eastAsia="仿宋_GB2312"/>
          <w:b/>
          <w:sz w:val="32"/>
          <w:szCs w:val="32"/>
        </w:rPr>
        <w:t>1.</w:t>
      </w:r>
      <w:r>
        <w:rPr>
          <w:rFonts w:hint="eastAsia" w:ascii="仿宋_GB2312" w:eastAsia="仿宋_GB2312"/>
          <w:b/>
          <w:sz w:val="32"/>
          <w:szCs w:val="32"/>
        </w:rPr>
        <w:t>因公出国（境）经费支出</w:t>
      </w:r>
      <w:r>
        <w:rPr>
          <w:sz w:val="32"/>
          <w:szCs w:val="32"/>
        </w:rPr>
        <w:t>0</w:t>
      </w:r>
      <w:r>
        <w:rPr>
          <w:rFonts w:hint="eastAsia" w:ascii="仿宋_GB2312" w:eastAsia="仿宋_GB2312"/>
          <w:sz w:val="32"/>
          <w:szCs w:val="32"/>
        </w:rPr>
        <w:t>万元，</w:t>
      </w:r>
      <w:r>
        <w:rPr>
          <w:rFonts w:hint="eastAsia" w:ascii="仿宋" w:hAnsi="仿宋" w:eastAsia="仿宋"/>
          <w:b w:val="0"/>
          <w:bCs/>
          <w:sz w:val="32"/>
          <w:szCs w:val="32"/>
        </w:rPr>
        <w:t>完成预算</w:t>
      </w:r>
      <w:r>
        <w:rPr>
          <w:sz w:val="32"/>
          <w:szCs w:val="32"/>
        </w:rPr>
        <w:t>0</w:t>
      </w:r>
      <w:r>
        <w:rPr>
          <w:rFonts w:ascii="仿宋" w:hAnsi="仿宋" w:eastAsia="仿宋"/>
          <w:b w:val="0"/>
          <w:bCs/>
          <w:sz w:val="32"/>
          <w:szCs w:val="32"/>
        </w:rPr>
        <w:t>%</w:t>
      </w:r>
      <w:r>
        <w:rPr>
          <w:rFonts w:hint="eastAsia" w:ascii="仿宋" w:hAnsi="仿宋" w:eastAsia="仿宋"/>
          <w:b w:val="0"/>
          <w:bCs/>
          <w:sz w:val="32"/>
          <w:szCs w:val="32"/>
        </w:rPr>
        <w:t>。</w:t>
      </w:r>
      <w:r>
        <w:rPr>
          <w:rFonts w:hint="eastAsia" w:ascii="仿宋_GB2312" w:eastAsia="仿宋_GB2312"/>
          <w:sz w:val="32"/>
          <w:szCs w:val="32"/>
        </w:rPr>
        <w:t>全年安排因公出国（境）团组</w:t>
      </w:r>
      <w:r>
        <w:rPr>
          <w:sz w:val="32"/>
          <w:szCs w:val="32"/>
        </w:rPr>
        <w:t>0</w:t>
      </w:r>
      <w:r>
        <w:rPr>
          <w:rFonts w:hint="eastAsia" w:ascii="仿宋_GB2312" w:eastAsia="仿宋_GB2312"/>
          <w:sz w:val="32"/>
          <w:szCs w:val="32"/>
        </w:rPr>
        <w:t>次，出国（境）</w:t>
      </w:r>
      <w:r>
        <w:rPr>
          <w:sz w:val="32"/>
          <w:szCs w:val="32"/>
        </w:rPr>
        <w:t>0</w:t>
      </w:r>
      <w:r>
        <w:rPr>
          <w:rFonts w:hint="eastAsia" w:ascii="仿宋_GB2312" w:eastAsia="仿宋_GB2312"/>
          <w:sz w:val="32"/>
          <w:szCs w:val="32"/>
        </w:rPr>
        <w:t>人。因公出国（境）支出决算比</w:t>
      </w:r>
      <w:r>
        <w:rPr>
          <w:rFonts w:hint="eastAsia" w:ascii="仿宋_GB2312" w:eastAsia="仿宋_GB2312"/>
          <w:sz w:val="32"/>
          <w:szCs w:val="32"/>
          <w:lang w:eastAsia="zh-CN"/>
        </w:rPr>
        <w:t>2024年</w:t>
      </w:r>
      <w:r>
        <w:rPr>
          <w:rFonts w:hint="eastAsia" w:ascii="仿宋_GB2312" w:eastAsia="仿宋_GB2312"/>
          <w:sz w:val="32"/>
          <w:szCs w:val="32"/>
        </w:rPr>
        <w:t>增加</w:t>
      </w:r>
      <w:r>
        <w:rPr>
          <w:rFonts w:ascii="仿宋_GB2312" w:eastAsia="仿宋_GB2312"/>
          <w:sz w:val="32"/>
          <w:szCs w:val="32"/>
        </w:rPr>
        <w:t>/</w:t>
      </w:r>
      <w:r>
        <w:rPr>
          <w:rFonts w:hint="eastAsia" w:ascii="仿宋_GB2312" w:eastAsia="仿宋_GB2312"/>
          <w:sz w:val="32"/>
          <w:szCs w:val="32"/>
        </w:rPr>
        <w:t>减少0万元，增长</w:t>
      </w:r>
      <w:r>
        <w:rPr>
          <w:rFonts w:ascii="仿宋_GB2312" w:eastAsia="仿宋_GB2312"/>
          <w:sz w:val="32"/>
          <w:szCs w:val="32"/>
        </w:rPr>
        <w:t>/</w:t>
      </w:r>
      <w:r>
        <w:rPr>
          <w:rFonts w:hint="eastAsia" w:ascii="仿宋_GB2312" w:eastAsia="仿宋_GB2312"/>
          <w:sz w:val="32"/>
          <w:szCs w:val="32"/>
        </w:rPr>
        <w:t>下降0</w:t>
      </w:r>
      <w:r>
        <w:rPr>
          <w:rFonts w:ascii="仿宋_GB2312" w:eastAsia="仿宋_GB2312"/>
          <w:sz w:val="32"/>
          <w:szCs w:val="32"/>
        </w:rPr>
        <w:t>%</w:t>
      </w:r>
      <w:r>
        <w:rPr>
          <w:rFonts w:hint="eastAsia" w:ascii="仿宋_GB2312" w:eastAsia="仿宋_GB2312"/>
          <w:sz w:val="32"/>
          <w:szCs w:val="32"/>
        </w:rPr>
        <w:t>。</w:t>
      </w:r>
    </w:p>
    <w:p w14:paraId="1193F12F">
      <w:pPr>
        <w:spacing w:line="600" w:lineRule="exact"/>
        <w:ind w:firstLine="640"/>
        <w:rPr>
          <w:rFonts w:hint="eastAsia" w:ascii="仿宋_GB2312" w:eastAsia="仿宋_GB2312"/>
          <w:sz w:val="32"/>
          <w:szCs w:val="32"/>
        </w:rPr>
      </w:pPr>
      <w:r>
        <w:rPr>
          <w:rFonts w:ascii="仿宋_GB2312" w:eastAsia="仿宋_GB2312"/>
          <w:b/>
          <w:sz w:val="32"/>
          <w:szCs w:val="32"/>
        </w:rPr>
        <w:t>2.</w:t>
      </w:r>
      <w:r>
        <w:rPr>
          <w:rFonts w:hint="eastAsia" w:ascii="仿宋_GB2312" w:eastAsia="仿宋_GB2312"/>
          <w:b/>
          <w:sz w:val="32"/>
          <w:szCs w:val="32"/>
        </w:rPr>
        <w:t>公务用车购置及运行维护费支出</w:t>
      </w:r>
      <w:r>
        <w:rPr>
          <w:rFonts w:hint="eastAsia" w:eastAsia="仿宋"/>
          <w:sz w:val="32"/>
          <w:szCs w:val="32"/>
        </w:rPr>
        <w:t>3.54</w:t>
      </w:r>
      <w:r>
        <w:rPr>
          <w:rFonts w:hint="eastAsia" w:ascii="仿宋_GB2312" w:eastAsia="仿宋_GB2312"/>
          <w:sz w:val="32"/>
          <w:szCs w:val="32"/>
        </w:rPr>
        <w:t>万元,</w:t>
      </w:r>
      <w:r>
        <w:rPr>
          <w:rFonts w:hint="eastAsia" w:ascii="仿宋" w:hAnsi="仿宋" w:eastAsia="仿宋"/>
          <w:b w:val="0"/>
          <w:bCs/>
          <w:sz w:val="32"/>
          <w:szCs w:val="32"/>
        </w:rPr>
        <w:t>完成预算</w:t>
      </w:r>
      <w:r>
        <w:rPr>
          <w:rFonts w:hint="eastAsia" w:eastAsia="仿宋"/>
          <w:color w:val="000000" w:themeColor="text1"/>
          <w:sz w:val="32"/>
          <w:szCs w:val="32"/>
          <w:lang w:val="en-US" w:eastAsia="zh-CN"/>
        </w:rPr>
        <w:t>60</w:t>
      </w:r>
      <w:r>
        <w:rPr>
          <w:rFonts w:hint="eastAsia" w:eastAsia="仿宋"/>
          <w:color w:val="000000" w:themeColor="text1"/>
          <w:sz w:val="32"/>
          <w:szCs w:val="32"/>
        </w:rPr>
        <w:t>.</w:t>
      </w:r>
      <w:r>
        <w:rPr>
          <w:rFonts w:hint="eastAsia" w:eastAsia="仿宋"/>
          <w:color w:val="000000" w:themeColor="text1"/>
          <w:sz w:val="32"/>
          <w:szCs w:val="32"/>
          <w:lang w:val="en-US" w:eastAsia="zh-CN"/>
        </w:rPr>
        <w:t>41</w:t>
      </w:r>
      <w:r>
        <w:rPr>
          <w:rFonts w:ascii="仿宋" w:hAnsi="仿宋" w:eastAsia="仿宋"/>
          <w:color w:val="000000" w:themeColor="text1"/>
          <w:sz w:val="32"/>
          <w:szCs w:val="32"/>
        </w:rPr>
        <w:t>%</w:t>
      </w:r>
      <w:r>
        <w:rPr>
          <w:rFonts w:hint="eastAsia" w:ascii="仿宋" w:hAnsi="仿宋" w:eastAsia="仿宋"/>
          <w:b w:val="0"/>
          <w:bCs/>
          <w:sz w:val="32"/>
          <w:szCs w:val="32"/>
        </w:rPr>
        <w:t>。</w:t>
      </w:r>
      <w:r>
        <w:rPr>
          <w:rFonts w:hint="eastAsia" w:ascii="仿宋_GB2312" w:eastAsia="仿宋_GB2312"/>
          <w:sz w:val="32"/>
          <w:szCs w:val="32"/>
        </w:rPr>
        <w:t>公务用车购置及运行维护费支出决算比202</w:t>
      </w:r>
      <w:r>
        <w:rPr>
          <w:rFonts w:hint="eastAsia" w:ascii="仿宋_GB2312" w:eastAsia="仿宋_GB2312"/>
          <w:sz w:val="32"/>
          <w:szCs w:val="32"/>
          <w:lang w:val="en-US" w:eastAsia="zh-CN"/>
        </w:rPr>
        <w:t>4</w:t>
      </w:r>
      <w:r>
        <w:rPr>
          <w:rFonts w:hint="eastAsia" w:ascii="仿宋_GB2312" w:eastAsia="仿宋_GB2312"/>
          <w:sz w:val="32"/>
          <w:szCs w:val="32"/>
        </w:rPr>
        <w:t>年度</w:t>
      </w:r>
      <w:r>
        <w:rPr>
          <w:rFonts w:hint="eastAsia" w:ascii="仿宋" w:hAnsi="仿宋" w:eastAsia="仿宋"/>
          <w:color w:val="000000" w:themeColor="text1"/>
          <w:sz w:val="32"/>
          <w:szCs w:val="32"/>
        </w:rPr>
        <w:t>增长-</w:t>
      </w:r>
      <w:r>
        <w:rPr>
          <w:rFonts w:hint="eastAsia" w:ascii="仿宋" w:hAnsi="仿宋" w:eastAsia="仿宋"/>
          <w:color w:val="000000" w:themeColor="text1"/>
          <w:sz w:val="32"/>
          <w:szCs w:val="32"/>
          <w:lang w:val="en-US" w:eastAsia="zh-CN"/>
        </w:rPr>
        <w:t xml:space="preserve"> 15.11%</w:t>
      </w:r>
      <w:r>
        <w:rPr>
          <w:rFonts w:hint="eastAsia" w:ascii="仿宋_GB2312" w:eastAsia="仿宋_GB2312"/>
          <w:sz w:val="32"/>
          <w:szCs w:val="32"/>
        </w:rPr>
        <w:t>，</w:t>
      </w:r>
      <w:r>
        <w:rPr>
          <w:rFonts w:hint="eastAsia" w:ascii="仿宋" w:hAnsi="仿宋" w:eastAsia="仿宋"/>
          <w:color w:val="000000" w:themeColor="text1"/>
          <w:sz w:val="32"/>
          <w:szCs w:val="32"/>
        </w:rPr>
        <w:t>增长-</w:t>
      </w:r>
      <w:r>
        <w:rPr>
          <w:rFonts w:hint="eastAsia" w:ascii="仿宋" w:hAnsi="仿宋" w:eastAsia="仿宋"/>
          <w:color w:val="000000" w:themeColor="text1"/>
          <w:sz w:val="32"/>
          <w:szCs w:val="32"/>
          <w:lang w:val="en-US" w:eastAsia="zh-CN"/>
        </w:rPr>
        <w:t xml:space="preserve"> 15.11%</w:t>
      </w:r>
      <w:r>
        <w:rPr>
          <w:rFonts w:hint="eastAsia" w:ascii="仿宋_GB2312" w:eastAsia="仿宋_GB2312"/>
          <w:sz w:val="32"/>
          <w:szCs w:val="32"/>
        </w:rPr>
        <w:t>。</w:t>
      </w:r>
      <w:r>
        <w:rPr>
          <w:rFonts w:hint="eastAsia" w:ascii="仿宋" w:hAnsi="仿宋" w:eastAsia="仿宋"/>
          <w:color w:val="000000" w:themeColor="text1"/>
          <w:sz w:val="32"/>
          <w:szCs w:val="32"/>
        </w:rPr>
        <w:t>主要原因是</w:t>
      </w:r>
      <w:r>
        <w:rPr>
          <w:rFonts w:hint="eastAsia" w:ascii="仿宋" w:hAnsi="仿宋" w:eastAsia="仿宋"/>
          <w:color w:val="000000" w:themeColor="text1"/>
          <w:sz w:val="32"/>
          <w:szCs w:val="32"/>
          <w:lang w:val="en-US" w:eastAsia="zh-CN"/>
        </w:rPr>
        <w:t>优化公务出行安排，实际支出较预算有所减少</w:t>
      </w:r>
      <w:r>
        <w:rPr>
          <w:rFonts w:hint="eastAsia" w:ascii="仿宋" w:hAnsi="仿宋" w:eastAsia="仿宋"/>
          <w:color w:val="000000" w:themeColor="text1"/>
          <w:sz w:val="32"/>
          <w:szCs w:val="32"/>
        </w:rPr>
        <w:t>。</w:t>
      </w:r>
    </w:p>
    <w:p w14:paraId="10C8ED1C">
      <w:pPr>
        <w:spacing w:line="600" w:lineRule="exact"/>
        <w:ind w:firstLine="640" w:firstLineChars="200"/>
        <w:rPr>
          <w:rFonts w:ascii="仿宋_GB2312" w:eastAsia="仿宋_GB2312"/>
          <w:b/>
          <w:sz w:val="32"/>
          <w:szCs w:val="32"/>
        </w:rPr>
      </w:pPr>
      <w:r>
        <w:rPr>
          <w:rFonts w:hint="eastAsia" w:ascii="仿宋_GB2312" w:eastAsia="仿宋_GB2312"/>
          <w:sz w:val="32"/>
          <w:szCs w:val="32"/>
        </w:rPr>
        <w:t>其中：</w:t>
      </w:r>
      <w:r>
        <w:rPr>
          <w:rFonts w:hint="eastAsia" w:ascii="仿宋_GB2312" w:eastAsia="仿宋_GB2312"/>
          <w:b/>
          <w:sz w:val="32"/>
          <w:szCs w:val="32"/>
        </w:rPr>
        <w:t>公务用车购置支出</w:t>
      </w:r>
      <w:r>
        <w:rPr>
          <w:rFonts w:hint="eastAsia" w:eastAsia="仿宋_GB2312"/>
          <w:sz w:val="32"/>
          <w:szCs w:val="32"/>
        </w:rPr>
        <w:t>0</w:t>
      </w:r>
      <w:r>
        <w:rPr>
          <w:rFonts w:hint="eastAsia" w:ascii="仿宋_GB2312" w:eastAsia="仿宋_GB2312"/>
          <w:sz w:val="32"/>
          <w:szCs w:val="32"/>
        </w:rPr>
        <w:t>万元。全年按规定更新购置公务用车0辆，其中：轿车0辆、金额0万元，越野车辆、金额0万元，载客汽车0辆、金额0万元。截至</w:t>
      </w:r>
      <w:r>
        <w:rPr>
          <w:rFonts w:hint="eastAsia" w:ascii="仿宋_GB2312" w:eastAsia="仿宋_GB2312"/>
          <w:sz w:val="32"/>
          <w:szCs w:val="32"/>
          <w:lang w:eastAsia="zh-CN"/>
        </w:rPr>
        <w:t>2025年</w:t>
      </w:r>
      <w:r>
        <w:rPr>
          <w:rFonts w:ascii="仿宋_GB2312" w:eastAsia="仿宋_GB2312"/>
          <w:sz w:val="32"/>
          <w:szCs w:val="32"/>
        </w:rPr>
        <w:t>12</w:t>
      </w:r>
      <w:r>
        <w:rPr>
          <w:rFonts w:hint="eastAsia" w:ascii="仿宋_GB2312" w:eastAsia="仿宋_GB2312"/>
          <w:sz w:val="32"/>
          <w:szCs w:val="32"/>
        </w:rPr>
        <w:t>月31日，单位共有公务用车1辆，其中：轿车0辆、越野车1辆、载客汽车0辆。</w:t>
      </w:r>
    </w:p>
    <w:p w14:paraId="373CF4D4">
      <w:pPr>
        <w:spacing w:line="600" w:lineRule="exact"/>
        <w:ind w:firstLine="640"/>
        <w:rPr>
          <w:rFonts w:ascii="仿宋_GB2312" w:eastAsia="仿宋_GB2312"/>
          <w:sz w:val="32"/>
          <w:szCs w:val="32"/>
        </w:rPr>
      </w:pPr>
      <w:r>
        <w:rPr>
          <w:rFonts w:hint="eastAsia" w:ascii="仿宋_GB2312" w:eastAsia="仿宋_GB2312"/>
          <w:b/>
          <w:sz w:val="32"/>
          <w:szCs w:val="32"/>
        </w:rPr>
        <w:t>公务用车运行维护费支出</w:t>
      </w:r>
      <w:r>
        <w:rPr>
          <w:rFonts w:hint="eastAsia" w:eastAsia="仿宋"/>
          <w:sz w:val="32"/>
          <w:szCs w:val="32"/>
        </w:rPr>
        <w:t>3.54</w:t>
      </w:r>
      <w:r>
        <w:rPr>
          <w:rFonts w:hint="eastAsia" w:ascii="仿宋_GB2312" w:eastAsia="仿宋_GB2312"/>
          <w:sz w:val="32"/>
          <w:szCs w:val="32"/>
        </w:rPr>
        <w:t>万元。主要用于燃料费、维修费等支出。（具体工作）等所需的公务用车燃料费、维修费、过路过桥费、保险费等支出。</w:t>
      </w:r>
    </w:p>
    <w:p w14:paraId="594B3752">
      <w:pPr>
        <w:spacing w:line="600" w:lineRule="exact"/>
        <w:ind w:firstLine="640"/>
        <w:rPr>
          <w:rFonts w:ascii="仿宋_GB2312" w:eastAsia="仿宋_GB2312"/>
          <w:sz w:val="32"/>
          <w:szCs w:val="32"/>
        </w:rPr>
      </w:pPr>
      <w:r>
        <w:rPr>
          <w:rFonts w:ascii="仿宋_GB2312" w:eastAsia="仿宋_GB2312"/>
          <w:b/>
          <w:sz w:val="32"/>
          <w:szCs w:val="32"/>
        </w:rPr>
        <w:t>3.</w:t>
      </w:r>
      <w:r>
        <w:rPr>
          <w:rFonts w:hint="eastAsia" w:ascii="仿宋_GB2312" w:eastAsia="仿宋_GB2312"/>
          <w:b/>
          <w:sz w:val="32"/>
          <w:szCs w:val="32"/>
        </w:rPr>
        <w:t>公务接待费支出</w:t>
      </w:r>
      <w:r>
        <w:rPr>
          <w:sz w:val="32"/>
          <w:szCs w:val="32"/>
        </w:rPr>
        <w:t>0</w:t>
      </w:r>
      <w:r>
        <w:rPr>
          <w:rFonts w:hint="eastAsia" w:ascii="仿宋_GB2312" w:eastAsia="仿宋_GB2312"/>
          <w:sz w:val="32"/>
          <w:szCs w:val="32"/>
        </w:rPr>
        <w:t>万元，</w:t>
      </w:r>
      <w:r>
        <w:rPr>
          <w:rFonts w:hint="eastAsia" w:ascii="仿宋" w:hAnsi="仿宋" w:eastAsia="仿宋"/>
          <w:b w:val="0"/>
          <w:bCs/>
          <w:sz w:val="32"/>
          <w:szCs w:val="32"/>
        </w:rPr>
        <w:t>完成预算</w:t>
      </w:r>
      <w:r>
        <w:rPr>
          <w:sz w:val="32"/>
          <w:szCs w:val="32"/>
        </w:rPr>
        <w:t>0%</w:t>
      </w:r>
      <w:r>
        <w:rPr>
          <w:rFonts w:hint="eastAsia" w:ascii="仿宋" w:hAnsi="仿宋" w:eastAsia="仿宋"/>
          <w:b w:val="0"/>
          <w:bCs/>
          <w:sz w:val="32"/>
          <w:szCs w:val="32"/>
        </w:rPr>
        <w:t>。</w:t>
      </w:r>
      <w:r>
        <w:rPr>
          <w:rFonts w:hint="eastAsia" w:ascii="仿宋_GB2312" w:eastAsia="仿宋_GB2312"/>
          <w:sz w:val="32"/>
          <w:szCs w:val="32"/>
        </w:rPr>
        <w:t>公务接待费支出决算比202</w:t>
      </w:r>
      <w:r>
        <w:rPr>
          <w:rFonts w:hint="eastAsia" w:ascii="仿宋_GB2312" w:eastAsia="仿宋_GB2312"/>
          <w:sz w:val="32"/>
          <w:szCs w:val="32"/>
          <w:lang w:val="en-US" w:eastAsia="zh-CN"/>
        </w:rPr>
        <w:t>4</w:t>
      </w:r>
      <w:r>
        <w:rPr>
          <w:rFonts w:hint="eastAsia" w:ascii="仿宋_GB2312" w:eastAsia="仿宋_GB2312"/>
          <w:sz w:val="32"/>
          <w:szCs w:val="32"/>
        </w:rPr>
        <w:t>年度减少0万元，下降0</w:t>
      </w:r>
      <w:r>
        <w:rPr>
          <w:rFonts w:ascii="仿宋_GB2312" w:eastAsia="仿宋_GB2312"/>
          <w:sz w:val="32"/>
          <w:szCs w:val="32"/>
        </w:rPr>
        <w:t>%</w:t>
      </w:r>
      <w:r>
        <w:rPr>
          <w:rFonts w:hint="eastAsia" w:ascii="仿宋_GB2312" w:eastAsia="仿宋_GB2312"/>
          <w:sz w:val="32"/>
          <w:szCs w:val="32"/>
        </w:rPr>
        <w:t>。主要原因是厉行节约。</w:t>
      </w:r>
    </w:p>
    <w:p w14:paraId="3E545BE1">
      <w:pPr>
        <w:spacing w:line="600" w:lineRule="exact"/>
        <w:ind w:firstLine="640"/>
        <w:rPr>
          <w:rFonts w:ascii="仿宋_GB2312" w:eastAsia="仿宋_GB2312"/>
          <w:sz w:val="32"/>
          <w:szCs w:val="32"/>
        </w:rPr>
      </w:pPr>
      <w:r>
        <w:rPr>
          <w:rFonts w:hint="eastAsia" w:ascii="仿宋" w:hAnsi="仿宋" w:eastAsia="仿宋"/>
          <w:b/>
          <w:sz w:val="32"/>
          <w:szCs w:val="32"/>
        </w:rPr>
        <w:t>国内公务接待支出0</w:t>
      </w:r>
      <w:r>
        <w:rPr>
          <w:rFonts w:hint="eastAsia" w:ascii="仿宋_GB2312" w:eastAsia="仿宋_GB2312"/>
          <w:sz w:val="32"/>
          <w:szCs w:val="32"/>
        </w:rPr>
        <w:t>万元，主要用于(执行公务、开展业务活动开支的交通费、住宿费、用餐费等)。国内公务接待0批次，0人次（不包括陪同人员），共计支出0万元，具体内容包括：（接待具体项目、金额）。</w:t>
      </w:r>
    </w:p>
    <w:p w14:paraId="3E06F2D5">
      <w:pPr>
        <w:spacing w:line="600" w:lineRule="exact"/>
        <w:ind w:firstLine="643" w:firstLineChars="200"/>
        <w:rPr>
          <w:rFonts w:ascii="黑体" w:eastAsia="黑体"/>
          <w:sz w:val="32"/>
          <w:szCs w:val="32"/>
        </w:rPr>
      </w:pPr>
      <w:r>
        <w:rPr>
          <w:rFonts w:hint="eastAsia" w:ascii="仿宋" w:hAnsi="仿宋" w:eastAsia="仿宋"/>
          <w:b/>
          <w:sz w:val="32"/>
          <w:szCs w:val="32"/>
        </w:rPr>
        <w:t>外事接待支出0</w:t>
      </w:r>
      <w:r>
        <w:rPr>
          <w:rFonts w:hint="eastAsia" w:ascii="仿宋_GB2312" w:eastAsia="仿宋_GB2312"/>
          <w:sz w:val="32"/>
          <w:szCs w:val="32"/>
        </w:rPr>
        <w:t>万元，主要用于接待（具体项目）。外事接待0批次，0人次（不包括陪同人员），共计支出0万元。</w:t>
      </w:r>
      <w:bookmarkStart w:id="55" w:name="_Toc15377218"/>
      <w:bookmarkStart w:id="56" w:name="_Toc15396610"/>
    </w:p>
    <w:p w14:paraId="6142E3A4">
      <w:pPr>
        <w:spacing w:line="600" w:lineRule="exact"/>
        <w:ind w:firstLine="640"/>
        <w:outlineLvl w:val="1"/>
        <w:rPr>
          <w:rFonts w:hint="eastAsia" w:ascii="黑体" w:eastAsia="黑体"/>
          <w:sz w:val="32"/>
          <w:szCs w:val="32"/>
        </w:rPr>
      </w:pPr>
      <w:bookmarkStart w:id="57" w:name="_Toc11117"/>
      <w:r>
        <w:rPr>
          <w:rFonts w:hint="eastAsia" w:ascii="黑体" w:eastAsia="黑体"/>
          <w:sz w:val="32"/>
          <w:szCs w:val="32"/>
        </w:rPr>
        <w:t>八、政府性基金预算支出决算情况说明</w:t>
      </w:r>
      <w:bookmarkEnd w:id="55"/>
      <w:bookmarkEnd w:id="56"/>
      <w:bookmarkEnd w:id="57"/>
    </w:p>
    <w:p w14:paraId="6E7F3D8D">
      <w:pPr>
        <w:spacing w:line="600" w:lineRule="exact"/>
        <w:ind w:firstLine="640"/>
        <w:rPr>
          <w:rFonts w:ascii="仿宋_GB2312" w:eastAsia="仿宋_GB2312"/>
          <w:sz w:val="32"/>
          <w:szCs w:val="32"/>
        </w:rPr>
      </w:pPr>
      <w:r>
        <w:rPr>
          <w:rFonts w:hint="eastAsia" w:ascii="仿宋_GB2312" w:eastAsia="仿宋_GB2312"/>
          <w:sz w:val="32"/>
          <w:szCs w:val="32"/>
          <w:lang w:eastAsia="zh-CN"/>
        </w:rPr>
        <w:t>2025年</w:t>
      </w:r>
      <w:r>
        <w:rPr>
          <w:rFonts w:hint="eastAsia" w:ascii="仿宋_GB2312" w:eastAsia="仿宋_GB2312"/>
          <w:sz w:val="32"/>
          <w:szCs w:val="32"/>
        </w:rPr>
        <w:t>度年初无政府性基金预算财政拨款收入。</w:t>
      </w:r>
    </w:p>
    <w:p w14:paraId="1BB9A38E">
      <w:pPr>
        <w:spacing w:line="600" w:lineRule="exact"/>
        <w:ind w:firstLine="640"/>
        <w:outlineLvl w:val="1"/>
        <w:rPr>
          <w:rFonts w:hint="eastAsia" w:ascii="黑体" w:eastAsia="黑体"/>
          <w:sz w:val="32"/>
          <w:szCs w:val="32"/>
        </w:rPr>
      </w:pPr>
      <w:bookmarkStart w:id="58" w:name="_Toc15396611"/>
      <w:bookmarkStart w:id="59" w:name="_Toc15377219"/>
      <w:bookmarkStart w:id="60" w:name="_Toc21258"/>
      <w:r>
        <w:rPr>
          <w:rFonts w:hint="eastAsia" w:ascii="黑体" w:eastAsia="黑体"/>
          <w:sz w:val="32"/>
          <w:szCs w:val="32"/>
        </w:rPr>
        <w:t>国有资本经营预算支出决算情况说明</w:t>
      </w:r>
      <w:bookmarkEnd w:id="58"/>
      <w:bookmarkEnd w:id="59"/>
      <w:bookmarkEnd w:id="60"/>
    </w:p>
    <w:p w14:paraId="3DFE4880">
      <w:pPr>
        <w:spacing w:line="600" w:lineRule="exact"/>
        <w:ind w:firstLine="640"/>
        <w:rPr>
          <w:rFonts w:hint="eastAsia" w:ascii="方正小标宋简体" w:hAnsi="方正小标宋简体" w:eastAsia="方正小标宋简体" w:cs="方正小标宋简体"/>
          <w:sz w:val="44"/>
          <w:szCs w:val="44"/>
        </w:rPr>
      </w:pPr>
      <w:r>
        <w:rPr>
          <w:rFonts w:hint="eastAsia" w:ascii="仿宋_GB2312" w:eastAsia="仿宋_GB2312"/>
          <w:sz w:val="32"/>
          <w:szCs w:val="32"/>
          <w:lang w:eastAsia="zh-CN"/>
        </w:rPr>
        <w:t>2025年</w:t>
      </w:r>
      <w:r>
        <w:rPr>
          <w:rFonts w:hint="eastAsia" w:ascii="仿宋_GB2312" w:eastAsia="仿宋_GB2312"/>
          <w:sz w:val="32"/>
          <w:szCs w:val="32"/>
        </w:rPr>
        <w:t>度年初无国有资本经营预算财政拨款收入。</w:t>
      </w:r>
    </w:p>
    <w:p w14:paraId="7D67168B">
      <w:pPr>
        <w:spacing w:line="600" w:lineRule="exact"/>
        <w:ind w:firstLine="640"/>
        <w:outlineLvl w:val="1"/>
        <w:rPr>
          <w:rFonts w:hint="eastAsia" w:ascii="黑体" w:eastAsia="黑体"/>
          <w:sz w:val="32"/>
          <w:szCs w:val="32"/>
        </w:rPr>
      </w:pPr>
      <w:bookmarkStart w:id="61" w:name="_Toc15396612"/>
      <w:bookmarkStart w:id="62" w:name="_Toc15377221"/>
      <w:bookmarkStart w:id="63" w:name="_Toc17349"/>
      <w:r>
        <w:rPr>
          <w:rFonts w:hint="eastAsia" w:ascii="黑体" w:eastAsia="黑体"/>
          <w:sz w:val="32"/>
          <w:szCs w:val="32"/>
        </w:rPr>
        <w:t>其他重要事项的情况说明</w:t>
      </w:r>
      <w:bookmarkEnd w:id="61"/>
      <w:bookmarkEnd w:id="62"/>
      <w:bookmarkEnd w:id="63"/>
    </w:p>
    <w:p w14:paraId="07974DD1">
      <w:pPr>
        <w:spacing w:line="600" w:lineRule="exact"/>
        <w:ind w:firstLine="643" w:firstLineChars="200"/>
        <w:outlineLvl w:val="2"/>
        <w:rPr>
          <w:rFonts w:hint="eastAsia" w:ascii="仿宋" w:hAnsi="仿宋" w:eastAsia="仿宋"/>
          <w:color w:val="000000" w:themeColor="text1"/>
          <w:sz w:val="32"/>
          <w:szCs w:val="32"/>
        </w:rPr>
      </w:pPr>
      <w:bookmarkStart w:id="64" w:name="_Toc15377222"/>
      <w:r>
        <w:rPr>
          <w:rFonts w:hint="eastAsia" w:ascii="仿宋" w:hAnsi="仿宋" w:eastAsia="仿宋"/>
          <w:b/>
          <w:color w:val="000000" w:themeColor="text1"/>
          <w:sz w:val="32"/>
          <w:szCs w:val="32"/>
        </w:rPr>
        <w:t>（一）机关运行经费支出情况</w:t>
      </w:r>
      <w:bookmarkEnd w:id="64"/>
    </w:p>
    <w:p w14:paraId="18446CF3">
      <w:pPr>
        <w:spacing w:line="600" w:lineRule="exact"/>
        <w:ind w:firstLine="640" w:firstLineChars="200"/>
        <w:rPr>
          <w:rFonts w:hint="eastAsia" w:ascii="仿宋" w:hAnsi="仿宋" w:eastAsia="仿宋"/>
          <w:b/>
          <w:color w:val="000000" w:themeColor="text1"/>
          <w:sz w:val="32"/>
          <w:szCs w:val="32"/>
        </w:rPr>
      </w:pPr>
      <w:r>
        <w:rPr>
          <w:rFonts w:hint="eastAsia" w:ascii="仿宋_GB2312" w:eastAsia="仿宋_GB2312"/>
          <w:color w:val="000000" w:themeColor="text1"/>
          <w:sz w:val="32"/>
          <w:szCs w:val="32"/>
          <w:lang w:eastAsia="zh-CN"/>
        </w:rPr>
        <w:t>2025年</w:t>
      </w:r>
      <w:r>
        <w:rPr>
          <w:rFonts w:hint="eastAsia" w:ascii="仿宋_GB2312" w:eastAsia="仿宋_GB2312"/>
          <w:color w:val="000000" w:themeColor="text1"/>
          <w:sz w:val="32"/>
          <w:szCs w:val="32"/>
        </w:rPr>
        <w:t>度，红原县民族宗教局机关运行经费支出</w:t>
      </w:r>
      <w:r>
        <w:rPr>
          <w:rFonts w:hint="eastAsia" w:eastAsia="仿宋_GB2312"/>
          <w:color w:val="000000" w:themeColor="text1"/>
          <w:sz w:val="32"/>
          <w:szCs w:val="32"/>
        </w:rPr>
        <w:t>30.26</w:t>
      </w:r>
      <w:r>
        <w:rPr>
          <w:rFonts w:hint="eastAsia" w:ascii="仿宋_GB2312" w:eastAsia="仿宋_GB2312"/>
          <w:color w:val="000000" w:themeColor="text1"/>
          <w:sz w:val="32"/>
          <w:szCs w:val="32"/>
        </w:rPr>
        <w:t>万元，比</w:t>
      </w:r>
      <w:r>
        <w:rPr>
          <w:rFonts w:hint="eastAsia" w:ascii="仿宋_GB2312" w:eastAsia="仿宋_GB2312"/>
          <w:color w:val="000000" w:themeColor="text1"/>
          <w:sz w:val="32"/>
          <w:szCs w:val="32"/>
          <w:lang w:eastAsia="zh-CN"/>
        </w:rPr>
        <w:t>2024年</w:t>
      </w:r>
      <w:r>
        <w:rPr>
          <w:rFonts w:hint="eastAsia" w:ascii="仿宋_GB2312" w:eastAsia="仿宋_GB2312"/>
          <w:color w:val="000000" w:themeColor="text1"/>
          <w:sz w:val="32"/>
          <w:szCs w:val="32"/>
        </w:rPr>
        <w:t>度</w:t>
      </w:r>
      <w:r>
        <w:rPr>
          <w:rFonts w:hint="eastAsia" w:ascii="仿宋_GB2312" w:eastAsia="仿宋_GB2312"/>
          <w:color w:val="000000" w:themeColor="text1"/>
          <w:sz w:val="32"/>
          <w:szCs w:val="32"/>
          <w:lang w:val="en-US" w:eastAsia="zh-CN"/>
        </w:rPr>
        <w:t>增加</w:t>
      </w:r>
      <w:r>
        <w:rPr>
          <w:rFonts w:hint="eastAsia" w:ascii="仿宋_GB2312" w:eastAsia="仿宋_GB2312"/>
          <w:color w:val="000000" w:themeColor="text1"/>
          <w:sz w:val="32"/>
          <w:szCs w:val="32"/>
        </w:rPr>
        <w:t>3.46万元，</w:t>
      </w:r>
      <w:r>
        <w:rPr>
          <w:rFonts w:hint="eastAsia" w:ascii="仿宋_GB2312" w:eastAsia="仿宋_GB2312"/>
          <w:color w:val="000000" w:themeColor="text1"/>
          <w:sz w:val="32"/>
          <w:szCs w:val="32"/>
          <w:lang w:val="en-US" w:eastAsia="zh-CN"/>
        </w:rPr>
        <w:t>上升12.91</w:t>
      </w:r>
      <w:r>
        <w:rPr>
          <w:rFonts w:ascii="仿宋_GB2312" w:eastAsia="仿宋_GB2312"/>
          <w:color w:val="000000" w:themeColor="text1"/>
          <w:sz w:val="32"/>
          <w:szCs w:val="32"/>
        </w:rPr>
        <w:t>%</w:t>
      </w:r>
      <w:r>
        <w:rPr>
          <w:rFonts w:hint="eastAsia" w:ascii="仿宋_GB2312" w:eastAsia="仿宋_GB2312"/>
          <w:color w:val="000000" w:themeColor="text1"/>
          <w:sz w:val="32"/>
          <w:szCs w:val="32"/>
        </w:rPr>
        <w:t>。主要原因是</w:t>
      </w:r>
      <w:r>
        <w:rPr>
          <w:rFonts w:hint="eastAsia" w:ascii="仿宋_GB2312" w:eastAsia="仿宋_GB2312"/>
          <w:color w:val="000000" w:themeColor="text1"/>
          <w:sz w:val="32"/>
          <w:szCs w:val="32"/>
          <w:lang w:val="en-US" w:eastAsia="zh-CN"/>
        </w:rPr>
        <w:t>相关业务活动增加</w:t>
      </w:r>
      <w:r>
        <w:rPr>
          <w:rFonts w:hint="eastAsia" w:ascii="仿宋_GB2312" w:eastAsia="仿宋_GB2312"/>
          <w:color w:val="000000" w:themeColor="text1"/>
          <w:sz w:val="32"/>
          <w:szCs w:val="32"/>
        </w:rPr>
        <w:t>。</w:t>
      </w:r>
    </w:p>
    <w:p w14:paraId="514E4B4B">
      <w:pPr>
        <w:autoSpaceDE w:val="0"/>
        <w:autoSpaceDN w:val="0"/>
        <w:adjustRightInd w:val="0"/>
        <w:spacing w:line="600" w:lineRule="exact"/>
        <w:ind w:firstLine="643" w:firstLineChars="200"/>
        <w:jc w:val="left"/>
        <w:outlineLvl w:val="2"/>
        <w:rPr>
          <w:rFonts w:hint="eastAsia" w:ascii="仿宋" w:hAnsi="仿宋" w:eastAsia="仿宋"/>
          <w:b/>
          <w:sz w:val="32"/>
          <w:szCs w:val="32"/>
        </w:rPr>
      </w:pPr>
      <w:bookmarkStart w:id="65" w:name="_Toc15377223"/>
      <w:r>
        <w:rPr>
          <w:rFonts w:hint="eastAsia" w:ascii="仿宋" w:hAnsi="仿宋" w:eastAsia="仿宋"/>
          <w:b/>
          <w:color w:val="000000" w:themeColor="text1"/>
          <w:sz w:val="32"/>
          <w:szCs w:val="32"/>
        </w:rPr>
        <w:t>（二）政府采购</w:t>
      </w:r>
      <w:r>
        <w:rPr>
          <w:rFonts w:hint="eastAsia" w:ascii="仿宋" w:hAnsi="仿宋" w:eastAsia="仿宋"/>
          <w:b/>
          <w:sz w:val="32"/>
          <w:szCs w:val="32"/>
        </w:rPr>
        <w:t>支出情况</w:t>
      </w:r>
      <w:bookmarkEnd w:id="65"/>
    </w:p>
    <w:p w14:paraId="1B96E4BF">
      <w:pPr>
        <w:spacing w:line="600" w:lineRule="exact"/>
        <w:ind w:firstLine="640" w:firstLineChars="200"/>
        <w:rPr>
          <w:rFonts w:ascii="仿宋_GB2312" w:eastAsia="仿宋_GB2312"/>
          <w:sz w:val="32"/>
          <w:szCs w:val="32"/>
          <w:highlight w:val="none"/>
        </w:rPr>
      </w:pPr>
      <w:r>
        <w:rPr>
          <w:rFonts w:hint="eastAsia" w:ascii="仿宋_GB2312" w:eastAsia="仿宋_GB2312"/>
          <w:sz w:val="32"/>
          <w:szCs w:val="32"/>
          <w:highlight w:val="none"/>
          <w:lang w:eastAsia="zh-CN"/>
        </w:rPr>
        <w:t>2025年</w:t>
      </w:r>
      <w:r>
        <w:rPr>
          <w:rFonts w:hint="eastAsia" w:ascii="仿宋_GB2312" w:eastAsia="仿宋_GB2312"/>
          <w:sz w:val="32"/>
          <w:szCs w:val="32"/>
          <w:highlight w:val="none"/>
        </w:rPr>
        <w:t>度，红原县民族宗教局政府采购支出总额</w:t>
      </w:r>
      <w:r>
        <w:rPr>
          <w:rFonts w:hint="eastAsia" w:eastAsia="仿宋_GB2312"/>
          <w:sz w:val="32"/>
          <w:szCs w:val="32"/>
          <w:highlight w:val="none"/>
          <w:lang w:val="en-US" w:eastAsia="zh-CN"/>
        </w:rPr>
        <w:t>1.14</w:t>
      </w:r>
      <w:r>
        <w:rPr>
          <w:rFonts w:hint="eastAsia" w:ascii="仿宋_GB2312" w:eastAsia="仿宋_GB2312"/>
          <w:sz w:val="32"/>
          <w:szCs w:val="32"/>
          <w:highlight w:val="none"/>
        </w:rPr>
        <w:t>万元，其中：政府采购货物支出</w:t>
      </w:r>
      <w:r>
        <w:rPr>
          <w:sz w:val="32"/>
          <w:szCs w:val="32"/>
          <w:highlight w:val="none"/>
        </w:rPr>
        <w:t>0</w:t>
      </w:r>
      <w:r>
        <w:rPr>
          <w:rFonts w:hint="eastAsia" w:ascii="仿宋_GB2312" w:eastAsia="仿宋_GB2312"/>
          <w:sz w:val="32"/>
          <w:szCs w:val="32"/>
          <w:highlight w:val="none"/>
        </w:rPr>
        <w:t>万元、政府采购工程支出</w:t>
      </w:r>
      <w:r>
        <w:rPr>
          <w:rFonts w:hint="eastAsia" w:eastAsia="仿宋_GB2312"/>
          <w:sz w:val="32"/>
          <w:szCs w:val="32"/>
          <w:highlight w:val="none"/>
          <w:lang w:val="en-US" w:eastAsia="zh-CN"/>
        </w:rPr>
        <w:t>1.15</w:t>
      </w:r>
      <w:r>
        <w:rPr>
          <w:rFonts w:hint="eastAsia" w:ascii="仿宋_GB2312" w:eastAsia="仿宋_GB2312"/>
          <w:sz w:val="32"/>
          <w:szCs w:val="32"/>
          <w:highlight w:val="none"/>
        </w:rPr>
        <w:t>万元、政府采购服务支出</w:t>
      </w:r>
      <w:r>
        <w:rPr>
          <w:sz w:val="32"/>
          <w:szCs w:val="32"/>
          <w:highlight w:val="none"/>
        </w:rPr>
        <w:t>0</w:t>
      </w:r>
      <w:r>
        <w:rPr>
          <w:rFonts w:hint="eastAsia" w:ascii="仿宋_GB2312" w:eastAsia="仿宋_GB2312"/>
          <w:sz w:val="32"/>
          <w:szCs w:val="32"/>
          <w:highlight w:val="none"/>
        </w:rPr>
        <w:t>万元。授予中小企业合同金额</w:t>
      </w:r>
      <w:r>
        <w:rPr>
          <w:sz w:val="32"/>
          <w:szCs w:val="32"/>
          <w:highlight w:val="none"/>
        </w:rPr>
        <w:t>0</w:t>
      </w:r>
      <w:r>
        <w:rPr>
          <w:rFonts w:hint="eastAsia" w:ascii="仿宋_GB2312" w:eastAsia="仿宋_GB2312"/>
          <w:sz w:val="32"/>
          <w:szCs w:val="32"/>
          <w:highlight w:val="none"/>
        </w:rPr>
        <w:t>万元，占政府采购支出总额的</w:t>
      </w:r>
      <w:r>
        <w:rPr>
          <w:sz w:val="32"/>
          <w:szCs w:val="32"/>
          <w:highlight w:val="none"/>
        </w:rPr>
        <w:t>0</w:t>
      </w:r>
      <w:r>
        <w:rPr>
          <w:rFonts w:ascii="仿宋_GB2312" w:eastAsia="仿宋_GB2312"/>
          <w:sz w:val="32"/>
          <w:szCs w:val="32"/>
          <w:highlight w:val="none"/>
        </w:rPr>
        <w:t>%</w:t>
      </w:r>
      <w:r>
        <w:rPr>
          <w:rFonts w:hint="eastAsia" w:ascii="仿宋_GB2312" w:eastAsia="仿宋_GB2312"/>
          <w:sz w:val="32"/>
          <w:szCs w:val="32"/>
          <w:highlight w:val="none"/>
        </w:rPr>
        <w:t>，其中：授予小微企业合同金额</w:t>
      </w:r>
      <w:r>
        <w:rPr>
          <w:sz w:val="32"/>
          <w:szCs w:val="32"/>
          <w:highlight w:val="none"/>
        </w:rPr>
        <w:t>0</w:t>
      </w:r>
      <w:r>
        <w:rPr>
          <w:rFonts w:hint="eastAsia" w:ascii="仿宋_GB2312" w:eastAsia="仿宋_GB2312"/>
          <w:sz w:val="32"/>
          <w:szCs w:val="32"/>
          <w:highlight w:val="none"/>
        </w:rPr>
        <w:t>万元，占政府采购支出总额的</w:t>
      </w:r>
      <w:r>
        <w:rPr>
          <w:sz w:val="32"/>
          <w:szCs w:val="32"/>
          <w:highlight w:val="none"/>
        </w:rPr>
        <w:t>0</w:t>
      </w:r>
      <w:r>
        <w:rPr>
          <w:rFonts w:ascii="仿宋_GB2312" w:eastAsia="仿宋_GB2312"/>
          <w:sz w:val="32"/>
          <w:szCs w:val="32"/>
          <w:highlight w:val="none"/>
        </w:rPr>
        <w:t>%</w:t>
      </w:r>
      <w:r>
        <w:rPr>
          <w:rFonts w:hint="eastAsia" w:ascii="仿宋_GB2312" w:eastAsia="仿宋_GB2312"/>
          <w:sz w:val="32"/>
          <w:szCs w:val="32"/>
          <w:highlight w:val="none"/>
        </w:rPr>
        <w:t>。</w:t>
      </w:r>
    </w:p>
    <w:p w14:paraId="294FF84A">
      <w:pPr>
        <w:autoSpaceDE w:val="0"/>
        <w:autoSpaceDN w:val="0"/>
        <w:adjustRightInd w:val="0"/>
        <w:spacing w:line="600" w:lineRule="exact"/>
        <w:ind w:firstLine="643" w:firstLineChars="200"/>
        <w:jc w:val="left"/>
        <w:outlineLvl w:val="2"/>
        <w:rPr>
          <w:rFonts w:hint="eastAsia" w:ascii="仿宋" w:hAnsi="仿宋" w:eastAsia="仿宋"/>
          <w:b/>
          <w:sz w:val="32"/>
          <w:szCs w:val="32"/>
        </w:rPr>
      </w:pPr>
      <w:bookmarkStart w:id="66" w:name="_Toc15377224"/>
      <w:r>
        <w:rPr>
          <w:rFonts w:hint="eastAsia" w:ascii="仿宋" w:hAnsi="仿宋" w:eastAsia="仿宋"/>
          <w:b/>
          <w:sz w:val="32"/>
          <w:szCs w:val="32"/>
        </w:rPr>
        <w:t>（三）国有资产占有使用情况</w:t>
      </w:r>
      <w:bookmarkEnd w:id="66"/>
    </w:p>
    <w:p w14:paraId="2CFF7FAD">
      <w:pPr>
        <w:autoSpaceDE w:val="0"/>
        <w:autoSpaceDN w:val="0"/>
        <w:adjustRightInd w:val="0"/>
        <w:spacing w:line="600" w:lineRule="exact"/>
        <w:ind w:firstLine="640" w:firstLineChars="200"/>
        <w:jc w:val="left"/>
        <w:rPr>
          <w:rFonts w:ascii="仿宋_GB2312" w:eastAsia="仿宋_GB2312"/>
          <w:sz w:val="32"/>
          <w:szCs w:val="32"/>
        </w:rPr>
      </w:pPr>
      <w:r>
        <w:rPr>
          <w:rFonts w:hint="eastAsia" w:ascii="仿宋_GB2312" w:eastAsia="仿宋_GB2312"/>
          <w:sz w:val="32"/>
          <w:szCs w:val="32"/>
        </w:rPr>
        <w:t>截至</w:t>
      </w:r>
      <w:r>
        <w:rPr>
          <w:rFonts w:hint="eastAsia" w:ascii="仿宋_GB2312" w:eastAsia="仿宋_GB2312"/>
          <w:sz w:val="32"/>
          <w:szCs w:val="32"/>
          <w:lang w:eastAsia="zh-CN"/>
        </w:rPr>
        <w:t>2025年</w:t>
      </w:r>
      <w:r>
        <w:rPr>
          <w:rFonts w:ascii="仿宋_GB2312" w:eastAsia="仿宋_GB2312"/>
          <w:sz w:val="32"/>
          <w:szCs w:val="32"/>
        </w:rPr>
        <w:t>12</w:t>
      </w:r>
      <w:r>
        <w:rPr>
          <w:rFonts w:hint="eastAsia" w:ascii="仿宋_GB2312" w:eastAsia="仿宋_GB2312"/>
          <w:sz w:val="32"/>
          <w:szCs w:val="32"/>
        </w:rPr>
        <w:t>月</w:t>
      </w:r>
      <w:r>
        <w:rPr>
          <w:rFonts w:ascii="仿宋_GB2312" w:eastAsia="仿宋_GB2312"/>
          <w:sz w:val="32"/>
          <w:szCs w:val="32"/>
        </w:rPr>
        <w:t>31</w:t>
      </w:r>
      <w:r>
        <w:rPr>
          <w:rFonts w:hint="eastAsia" w:ascii="仿宋_GB2312" w:eastAsia="仿宋_GB2312"/>
          <w:sz w:val="32"/>
          <w:szCs w:val="32"/>
        </w:rPr>
        <w:t>日，红原县民族宗教局共有车辆1辆，其中：主要领导干部用车0辆、机要通信用车0辆、应急保障用车1辆、其他用车0辆，其他用车主要是用于公务用车燃料费、维修费、过路过桥费、保险费等支出。单价</w:t>
      </w:r>
      <w:r>
        <w:rPr>
          <w:rFonts w:ascii="仿宋_GB2312" w:eastAsia="仿宋_GB2312"/>
          <w:sz w:val="32"/>
          <w:szCs w:val="32"/>
        </w:rPr>
        <w:t>100</w:t>
      </w:r>
      <w:r>
        <w:rPr>
          <w:rFonts w:hint="eastAsia" w:ascii="仿宋_GB2312" w:eastAsia="仿宋_GB2312"/>
          <w:sz w:val="32"/>
          <w:szCs w:val="32"/>
        </w:rPr>
        <w:t>万元以上设备（不含车辆）</w:t>
      </w:r>
      <w:r>
        <w:rPr>
          <w:sz w:val="32"/>
          <w:szCs w:val="32"/>
        </w:rPr>
        <w:t>0</w:t>
      </w:r>
      <w:r>
        <w:rPr>
          <w:rFonts w:hint="eastAsia" w:ascii="仿宋_GB2312" w:eastAsia="仿宋_GB2312"/>
          <w:sz w:val="32"/>
          <w:szCs w:val="32"/>
        </w:rPr>
        <w:t>台（套）。</w:t>
      </w:r>
    </w:p>
    <w:p w14:paraId="44F6725C">
      <w:pPr>
        <w:autoSpaceDE w:val="0"/>
        <w:autoSpaceDN w:val="0"/>
        <w:adjustRightInd w:val="0"/>
        <w:spacing w:line="600" w:lineRule="exact"/>
        <w:ind w:firstLine="643" w:firstLineChars="200"/>
        <w:jc w:val="left"/>
        <w:outlineLvl w:val="2"/>
        <w:rPr>
          <w:rFonts w:hint="eastAsia" w:ascii="仿宋" w:hAnsi="仿宋" w:eastAsia="仿宋"/>
          <w:b/>
          <w:sz w:val="32"/>
          <w:szCs w:val="32"/>
        </w:rPr>
      </w:pPr>
      <w:r>
        <w:rPr>
          <w:rFonts w:hint="eastAsia" w:ascii="仿宋" w:hAnsi="仿宋" w:eastAsia="仿宋"/>
          <w:b/>
          <w:sz w:val="32"/>
          <w:szCs w:val="32"/>
        </w:rPr>
        <w:t>（四）预算绩效管理情况</w:t>
      </w:r>
    </w:p>
    <w:p w14:paraId="7487B7A3">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根据预算绩效管理要求，本部门在</w:t>
      </w:r>
      <w:r>
        <w:rPr>
          <w:rFonts w:hint="eastAsia" w:ascii="仿宋_GB2312" w:hAnsi="仿宋_GB2312" w:eastAsia="仿宋_GB2312" w:cs="仿宋_GB2312"/>
          <w:sz w:val="32"/>
          <w:szCs w:val="32"/>
          <w:lang w:eastAsia="zh-CN"/>
        </w:rPr>
        <w:t>2025年</w:t>
      </w:r>
      <w:r>
        <w:rPr>
          <w:rFonts w:hint="eastAsia" w:ascii="仿宋_GB2312" w:hAnsi="仿宋_GB2312" w:eastAsia="仿宋_GB2312" w:cs="仿宋_GB2312"/>
          <w:sz w:val="32"/>
          <w:szCs w:val="32"/>
        </w:rPr>
        <w:t>度预算编制阶段，组织对“民族团结创建经费”、“</w:t>
      </w:r>
      <w:r>
        <w:rPr>
          <w:rFonts w:hint="eastAsia" w:ascii="仿宋_GB2312" w:hAnsi="仿宋_GB2312" w:eastAsia="仿宋_GB2312" w:cs="仿宋_GB2312"/>
          <w:sz w:val="32"/>
          <w:szCs w:val="32"/>
          <w:lang w:val="en-US" w:eastAsia="zh-CN"/>
        </w:rPr>
        <w:t>寺庙精准化管理专网经费</w:t>
      </w:r>
      <w:r>
        <w:rPr>
          <w:rFonts w:hint="eastAsia" w:ascii="仿宋_GB2312" w:hAnsi="仿宋_GB2312" w:eastAsia="仿宋_GB2312" w:cs="仿宋_GB2312"/>
          <w:sz w:val="32"/>
          <w:szCs w:val="32"/>
        </w:rPr>
        <w:t>”、“健康饮茶.送茶入户项目”等</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个项目开展了预算事前绩效评估，对</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个项目编制了绩效目标，预算执行过程中，选取</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个项目开展绩效监控。</w:t>
      </w:r>
    </w:p>
    <w:p w14:paraId="664E1609">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组织对</w:t>
      </w:r>
      <w:r>
        <w:rPr>
          <w:rFonts w:hint="eastAsia" w:ascii="仿宋_GB2312" w:hAnsi="仿宋_GB2312" w:eastAsia="仿宋_GB2312" w:cs="仿宋_GB2312"/>
          <w:sz w:val="32"/>
          <w:szCs w:val="32"/>
          <w:lang w:eastAsia="zh-CN"/>
        </w:rPr>
        <w:t>2025年</w:t>
      </w:r>
      <w:r>
        <w:rPr>
          <w:rFonts w:hint="eastAsia" w:ascii="仿宋_GB2312" w:hAnsi="仿宋_GB2312" w:eastAsia="仿宋_GB2312" w:cs="仿宋_GB2312"/>
          <w:sz w:val="32"/>
          <w:szCs w:val="32"/>
        </w:rPr>
        <w:t>度一般公共预算、政府性基金预算、国有资本经营预算、社会保险基金预算以及资本资产、债券资金等全面开展绩效自评，形成部门整体（含部门预算项目）绩效自评报告，部门整体（含部门预算项目）绩效自评得分为95分，绩效自评综述：（1）部门预算严格按照上级部门预算编制通知和有关要求，结合单位具体工作及县级相关规定编制，按时完成基础、项目报送工作，我单位预算按时在红原县门户网站公开。</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xml:space="preserve">   （2）严格执行支出预算，“三公经费”本着节约、高效的原则严格控制支出。</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t xml:space="preserve">   （3）认真开展部门绩效评价工作，绩效评价规章制度逐渐健全;严格按照相关法律、法规进行会计核算，严格资金管理，专款专用，资金拨付严格按相关程序报批后支付。认真开展部门整体绩效评价工作，绩效评价工作正逐步完善。</w:t>
      </w:r>
    </w:p>
    <w:p w14:paraId="570CE979">
      <w:pPr>
        <w:jc w:val="center"/>
      </w:pPr>
      <w:bookmarkStart w:id="67" w:name="_Toc28116"/>
      <w:r>
        <w:rPr>
          <w:rFonts w:hint="eastAsia"/>
        </w:rPr>
        <w:t>第三部分 名词解释</w:t>
      </w:r>
      <w:bookmarkEnd w:id="67"/>
    </w:p>
    <w:p w14:paraId="0BE5C0E1"/>
    <w:p w14:paraId="12403A7D">
      <w:pPr>
        <w:ind w:firstLine="640" w:firstLineChars="200"/>
        <w:rPr>
          <w:rFonts w:ascii="仿宋_GB2312" w:eastAsia="仿宋_GB2312"/>
          <w:sz w:val="32"/>
          <w:szCs w:val="32"/>
        </w:rPr>
      </w:pPr>
      <w:r>
        <w:rPr>
          <w:rFonts w:hint="eastAsia" w:ascii="仿宋_GB2312" w:eastAsia="仿宋_GB2312"/>
          <w:sz w:val="32"/>
          <w:szCs w:val="32"/>
        </w:rPr>
        <w:t>1.财政拨款收入：指单位从同级财政部门取得的财政预算资金。</w:t>
      </w:r>
    </w:p>
    <w:p w14:paraId="269FFB54">
      <w:pPr>
        <w:ind w:firstLine="640" w:firstLineChars="200"/>
        <w:rPr>
          <w:rFonts w:ascii="仿宋_GB2312" w:eastAsia="仿宋_GB2312"/>
          <w:sz w:val="32"/>
          <w:szCs w:val="32"/>
        </w:rPr>
      </w:pPr>
      <w:r>
        <w:rPr>
          <w:rFonts w:hint="eastAsia" w:ascii="仿宋_GB2312" w:eastAsia="仿宋_GB2312"/>
          <w:sz w:val="32"/>
          <w:szCs w:val="32"/>
        </w:rPr>
        <w:t>2.事业收入：指事业单位开展专业业务活动及辅助活动取得的收入。</w:t>
      </w:r>
    </w:p>
    <w:p w14:paraId="6FB621FB">
      <w:pPr>
        <w:ind w:firstLine="640" w:firstLineChars="200"/>
        <w:rPr>
          <w:rFonts w:ascii="仿宋_GB2312" w:eastAsia="仿宋_GB2312"/>
          <w:sz w:val="32"/>
          <w:szCs w:val="32"/>
        </w:rPr>
      </w:pPr>
      <w:r>
        <w:rPr>
          <w:rFonts w:hint="eastAsia" w:ascii="仿宋_GB2312" w:eastAsia="仿宋_GB2312"/>
          <w:sz w:val="32"/>
          <w:szCs w:val="32"/>
        </w:rPr>
        <w:t>3.经营收入：指事业单位在专业业务活动及其辅助活动之外开展非独立核算经营活动取得的收入。</w:t>
      </w:r>
    </w:p>
    <w:p w14:paraId="2C2AFB11">
      <w:pPr>
        <w:ind w:firstLine="640" w:firstLineChars="200"/>
        <w:rPr>
          <w:rFonts w:ascii="仿宋_GB2312" w:eastAsia="仿宋_GB2312"/>
          <w:sz w:val="32"/>
          <w:szCs w:val="32"/>
        </w:rPr>
      </w:pPr>
      <w:r>
        <w:rPr>
          <w:rFonts w:hint="eastAsia" w:ascii="仿宋_GB2312" w:eastAsia="仿宋_GB2312"/>
          <w:sz w:val="32"/>
          <w:szCs w:val="32"/>
        </w:rPr>
        <w:t>4.其他收入：指单位取得的除上述收入以外的各项收入。</w:t>
      </w:r>
    </w:p>
    <w:p w14:paraId="31F48E7F">
      <w:pPr>
        <w:ind w:firstLine="640" w:firstLineChars="200"/>
        <w:rPr>
          <w:rFonts w:ascii="仿宋_GB2312" w:eastAsia="仿宋_GB2312"/>
          <w:sz w:val="32"/>
          <w:szCs w:val="32"/>
        </w:rPr>
      </w:pPr>
      <w:r>
        <w:rPr>
          <w:rFonts w:hint="eastAsia" w:ascii="仿宋_GB2312" w:eastAsia="仿宋_GB2312"/>
          <w:sz w:val="32"/>
          <w:szCs w:val="32"/>
        </w:rPr>
        <w:t xml:space="preserve">5.使用非财政拨款结余（含专用结余）：指事业单位使用以前年度积累的非财政拨款结余弥补当年收支差额的金额。 </w:t>
      </w:r>
    </w:p>
    <w:p w14:paraId="315EDEA0">
      <w:pPr>
        <w:ind w:firstLine="640" w:firstLineChars="200"/>
        <w:rPr>
          <w:rFonts w:ascii="仿宋_GB2312" w:eastAsia="仿宋_GB2312"/>
          <w:sz w:val="32"/>
          <w:szCs w:val="32"/>
        </w:rPr>
      </w:pPr>
      <w:r>
        <w:rPr>
          <w:rFonts w:hint="eastAsia" w:ascii="仿宋_GB2312" w:eastAsia="仿宋_GB2312"/>
          <w:sz w:val="32"/>
          <w:szCs w:val="32"/>
        </w:rPr>
        <w:t xml:space="preserve">6.年初结转和结余：指以前年度尚未完成、结转到本年按有关规定继续使用的资金。 </w:t>
      </w:r>
    </w:p>
    <w:p w14:paraId="56E4724E">
      <w:pPr>
        <w:ind w:firstLine="640" w:firstLineChars="200"/>
        <w:rPr>
          <w:rFonts w:ascii="仿宋_GB2312" w:eastAsia="仿宋_GB2312"/>
          <w:sz w:val="32"/>
          <w:szCs w:val="32"/>
        </w:rPr>
      </w:pPr>
      <w:r>
        <w:rPr>
          <w:rFonts w:hint="eastAsia" w:ascii="仿宋_GB2312" w:eastAsia="仿宋_GB2312"/>
          <w:sz w:val="32"/>
          <w:szCs w:val="32"/>
        </w:rPr>
        <w:t>7.结余分配：指事业单位按照会计制度规定缴纳的所得税、提取的专用结余以及转入非财政拨款结余的金额等。</w:t>
      </w:r>
    </w:p>
    <w:p w14:paraId="2FD3D98D">
      <w:pPr>
        <w:ind w:firstLine="640" w:firstLineChars="200"/>
        <w:rPr>
          <w:rFonts w:ascii="仿宋_GB2312" w:eastAsia="仿宋_GB2312"/>
          <w:sz w:val="32"/>
          <w:szCs w:val="32"/>
        </w:rPr>
      </w:pPr>
      <w:r>
        <w:rPr>
          <w:rFonts w:hint="eastAsia" w:ascii="仿宋_GB2312" w:eastAsia="仿宋_GB2312"/>
          <w:sz w:val="32"/>
          <w:szCs w:val="32"/>
        </w:rPr>
        <w:t>8.年末结转和结余：指单位按有关规定结转到下年或以后年度继续使用的资金。</w:t>
      </w:r>
    </w:p>
    <w:p w14:paraId="5CAC9019">
      <w:pPr>
        <w:ind w:firstLine="640" w:firstLineChars="200"/>
        <w:rPr>
          <w:rFonts w:ascii="仿宋_GB2312" w:eastAsia="仿宋_GB2312"/>
          <w:sz w:val="32"/>
          <w:szCs w:val="32"/>
        </w:rPr>
      </w:pPr>
      <w:r>
        <w:rPr>
          <w:rFonts w:hint="eastAsia" w:ascii="仿宋_GB2312" w:eastAsia="仿宋_GB2312"/>
          <w:sz w:val="32"/>
          <w:szCs w:val="32"/>
        </w:rPr>
        <w:t>9.一般公共服务（类）…（款）…（项）：指……。</w:t>
      </w:r>
    </w:p>
    <w:p w14:paraId="73443D8E">
      <w:pPr>
        <w:ind w:firstLine="640" w:firstLineChars="200"/>
        <w:rPr>
          <w:rFonts w:ascii="仿宋_GB2312" w:eastAsia="仿宋_GB2312"/>
          <w:sz w:val="32"/>
          <w:szCs w:val="32"/>
        </w:rPr>
      </w:pPr>
      <w:r>
        <w:rPr>
          <w:rFonts w:hint="eastAsia" w:ascii="仿宋_GB2312" w:eastAsia="仿宋_GB2312"/>
          <w:sz w:val="32"/>
          <w:szCs w:val="32"/>
        </w:rPr>
        <w:t>10.外交（类）…（款）…（项）：指……。</w:t>
      </w:r>
    </w:p>
    <w:p w14:paraId="4B6B0054">
      <w:pPr>
        <w:ind w:firstLine="640" w:firstLineChars="200"/>
        <w:rPr>
          <w:rFonts w:ascii="仿宋_GB2312" w:eastAsia="仿宋_GB2312"/>
          <w:sz w:val="32"/>
          <w:szCs w:val="32"/>
        </w:rPr>
      </w:pPr>
      <w:r>
        <w:rPr>
          <w:rFonts w:hint="eastAsia" w:ascii="仿宋_GB2312" w:eastAsia="仿宋_GB2312"/>
          <w:sz w:val="32"/>
          <w:szCs w:val="32"/>
        </w:rPr>
        <w:t>11.公共安全（类）…（款）…（项）：指……。</w:t>
      </w:r>
    </w:p>
    <w:p w14:paraId="41C168FB">
      <w:pPr>
        <w:ind w:firstLine="640" w:firstLineChars="200"/>
        <w:rPr>
          <w:rFonts w:ascii="仿宋_GB2312" w:eastAsia="仿宋_GB2312"/>
          <w:sz w:val="32"/>
          <w:szCs w:val="32"/>
        </w:rPr>
      </w:pPr>
      <w:r>
        <w:rPr>
          <w:rFonts w:hint="eastAsia" w:ascii="仿宋_GB2312" w:eastAsia="仿宋_GB2312"/>
          <w:sz w:val="32"/>
          <w:szCs w:val="32"/>
        </w:rPr>
        <w:t>12.教育（类）…（款）…（项）：指……。</w:t>
      </w:r>
    </w:p>
    <w:p w14:paraId="42780F0A">
      <w:pPr>
        <w:ind w:firstLine="640" w:firstLineChars="200"/>
        <w:rPr>
          <w:rFonts w:ascii="仿宋_GB2312" w:eastAsia="仿宋_GB2312"/>
          <w:sz w:val="32"/>
          <w:szCs w:val="32"/>
        </w:rPr>
      </w:pPr>
      <w:r>
        <w:rPr>
          <w:rFonts w:hint="eastAsia" w:ascii="仿宋_GB2312" w:eastAsia="仿宋_GB2312"/>
          <w:sz w:val="32"/>
          <w:szCs w:val="32"/>
        </w:rPr>
        <w:t>13.科学技术（类）…（款）…（项）：指……。</w:t>
      </w:r>
    </w:p>
    <w:p w14:paraId="16B4BD60">
      <w:pPr>
        <w:ind w:firstLine="640" w:firstLineChars="200"/>
        <w:rPr>
          <w:rFonts w:ascii="仿宋_GB2312" w:eastAsia="仿宋_GB2312"/>
          <w:sz w:val="32"/>
          <w:szCs w:val="32"/>
        </w:rPr>
      </w:pPr>
      <w:r>
        <w:rPr>
          <w:rFonts w:hint="eastAsia" w:ascii="仿宋_GB2312" w:eastAsia="仿宋_GB2312"/>
          <w:sz w:val="32"/>
          <w:szCs w:val="32"/>
        </w:rPr>
        <w:t>14.文化旅游体育与传媒（类）…（款）…（项）：指……。</w:t>
      </w:r>
    </w:p>
    <w:p w14:paraId="27DC8BE0">
      <w:pPr>
        <w:ind w:firstLine="640" w:firstLineChars="200"/>
        <w:rPr>
          <w:rFonts w:ascii="仿宋_GB2312" w:eastAsia="仿宋_GB2312"/>
          <w:sz w:val="32"/>
          <w:szCs w:val="32"/>
        </w:rPr>
      </w:pPr>
      <w:r>
        <w:rPr>
          <w:rFonts w:hint="eastAsia" w:ascii="仿宋_GB2312" w:eastAsia="仿宋_GB2312"/>
          <w:sz w:val="32"/>
          <w:szCs w:val="32"/>
        </w:rPr>
        <w:t>15.社会保障和就业（类）…（款）…（项）：指……。</w:t>
      </w:r>
    </w:p>
    <w:p w14:paraId="77D5796F">
      <w:pPr>
        <w:ind w:firstLine="640" w:firstLineChars="200"/>
        <w:rPr>
          <w:rFonts w:ascii="仿宋_GB2312" w:eastAsia="仿宋_GB2312"/>
          <w:sz w:val="32"/>
          <w:szCs w:val="32"/>
        </w:rPr>
      </w:pPr>
      <w:r>
        <w:rPr>
          <w:rFonts w:hint="eastAsia" w:ascii="仿宋_GB2312" w:eastAsia="仿宋_GB2312"/>
          <w:sz w:val="32"/>
          <w:szCs w:val="32"/>
        </w:rPr>
        <w:t>16.卫生健康（类）…（款）…（项）：指……。</w:t>
      </w:r>
    </w:p>
    <w:p w14:paraId="5AD4DB78">
      <w:pPr>
        <w:ind w:firstLine="640" w:firstLineChars="200"/>
        <w:rPr>
          <w:rFonts w:ascii="仿宋_GB2312" w:eastAsia="仿宋_GB2312"/>
          <w:sz w:val="32"/>
          <w:szCs w:val="32"/>
        </w:rPr>
      </w:pPr>
      <w:r>
        <w:rPr>
          <w:rFonts w:hint="eastAsia" w:ascii="仿宋_GB2312" w:eastAsia="仿宋_GB2312"/>
          <w:sz w:val="32"/>
          <w:szCs w:val="32"/>
        </w:rPr>
        <w:t>17.节能环保（类）…（款）…（项）：指……。</w:t>
      </w:r>
    </w:p>
    <w:p w14:paraId="043EE111">
      <w:pPr>
        <w:ind w:firstLine="640" w:firstLineChars="200"/>
        <w:rPr>
          <w:rFonts w:ascii="仿宋_GB2312" w:eastAsia="仿宋_GB2312"/>
          <w:sz w:val="32"/>
          <w:szCs w:val="32"/>
        </w:rPr>
      </w:pPr>
      <w:r>
        <w:rPr>
          <w:rFonts w:hint="eastAsia" w:ascii="仿宋_GB2312" w:eastAsia="仿宋_GB2312"/>
          <w:sz w:val="32"/>
          <w:szCs w:val="32"/>
        </w:rPr>
        <w:t>18.城乡社区（类）…（款）…（项）：指……。</w:t>
      </w:r>
    </w:p>
    <w:p w14:paraId="40CBC1D0">
      <w:pPr>
        <w:ind w:firstLine="640" w:firstLineChars="200"/>
        <w:rPr>
          <w:rFonts w:ascii="仿宋_GB2312" w:eastAsia="仿宋_GB2312"/>
          <w:sz w:val="32"/>
          <w:szCs w:val="32"/>
        </w:rPr>
      </w:pPr>
      <w:r>
        <w:rPr>
          <w:rFonts w:hint="eastAsia" w:ascii="仿宋_GB2312" w:eastAsia="仿宋_GB2312"/>
          <w:sz w:val="32"/>
          <w:szCs w:val="32"/>
        </w:rPr>
        <w:t>19.农林水（类）…（款）…（项）：指……。</w:t>
      </w:r>
    </w:p>
    <w:p w14:paraId="2EB889CD">
      <w:pPr>
        <w:ind w:firstLine="640" w:firstLineChars="200"/>
        <w:rPr>
          <w:rFonts w:ascii="仿宋_GB2312" w:eastAsia="仿宋_GB2312"/>
          <w:sz w:val="32"/>
          <w:szCs w:val="32"/>
        </w:rPr>
      </w:pPr>
      <w:r>
        <w:rPr>
          <w:rFonts w:hint="eastAsia" w:ascii="仿宋_GB2312" w:eastAsia="仿宋_GB2312"/>
          <w:sz w:val="32"/>
          <w:szCs w:val="32"/>
        </w:rPr>
        <w:t>20.交通运输（类）…（款）…（项）：指……。</w:t>
      </w:r>
    </w:p>
    <w:p w14:paraId="71D2976C">
      <w:pPr>
        <w:ind w:firstLine="640" w:firstLineChars="200"/>
        <w:rPr>
          <w:rFonts w:ascii="仿宋_GB2312" w:eastAsia="仿宋_GB2312"/>
          <w:sz w:val="32"/>
          <w:szCs w:val="32"/>
        </w:rPr>
      </w:pPr>
      <w:r>
        <w:rPr>
          <w:rFonts w:hint="eastAsia" w:ascii="仿宋_GB2312" w:eastAsia="仿宋_GB2312"/>
          <w:sz w:val="32"/>
          <w:szCs w:val="32"/>
        </w:rPr>
        <w:t>21.资源勘探工业信息等（类）…（款）…（项）：指……。</w:t>
      </w:r>
    </w:p>
    <w:p w14:paraId="3406AF93">
      <w:pPr>
        <w:ind w:firstLine="640" w:firstLineChars="200"/>
        <w:rPr>
          <w:rFonts w:ascii="仿宋_GB2312" w:eastAsia="仿宋_GB2312"/>
          <w:sz w:val="32"/>
          <w:szCs w:val="32"/>
        </w:rPr>
      </w:pPr>
      <w:r>
        <w:rPr>
          <w:rFonts w:hint="eastAsia" w:ascii="仿宋_GB2312" w:eastAsia="仿宋_GB2312"/>
          <w:sz w:val="32"/>
          <w:szCs w:val="32"/>
        </w:rPr>
        <w:t>22.商业服务业（类）…（款）…（项）：指……。</w:t>
      </w:r>
    </w:p>
    <w:p w14:paraId="7BD7289F">
      <w:pPr>
        <w:ind w:firstLine="640" w:firstLineChars="200"/>
        <w:rPr>
          <w:rFonts w:ascii="仿宋_GB2312" w:eastAsia="仿宋_GB2312"/>
          <w:sz w:val="32"/>
          <w:szCs w:val="32"/>
        </w:rPr>
      </w:pPr>
      <w:r>
        <w:rPr>
          <w:rFonts w:hint="eastAsia" w:ascii="仿宋_GB2312" w:eastAsia="仿宋_GB2312"/>
          <w:sz w:val="32"/>
          <w:szCs w:val="32"/>
        </w:rPr>
        <w:t>23.金融（类）…（款）…（项）：指……。</w:t>
      </w:r>
    </w:p>
    <w:p w14:paraId="64E0459A">
      <w:pPr>
        <w:ind w:firstLine="640" w:firstLineChars="200"/>
        <w:rPr>
          <w:rFonts w:ascii="仿宋_GB2312" w:eastAsia="仿宋_GB2312"/>
          <w:sz w:val="32"/>
          <w:szCs w:val="32"/>
        </w:rPr>
      </w:pPr>
      <w:r>
        <w:rPr>
          <w:rFonts w:hint="eastAsia" w:ascii="仿宋_GB2312" w:eastAsia="仿宋_GB2312"/>
          <w:sz w:val="32"/>
          <w:szCs w:val="32"/>
        </w:rPr>
        <w:t>24.自然资源海洋气象等（类）…（款）…（项）：指……。</w:t>
      </w:r>
    </w:p>
    <w:p w14:paraId="1A5D4115">
      <w:pPr>
        <w:ind w:firstLine="640" w:firstLineChars="200"/>
        <w:rPr>
          <w:rFonts w:ascii="仿宋_GB2312" w:eastAsia="仿宋_GB2312"/>
          <w:sz w:val="32"/>
          <w:szCs w:val="32"/>
        </w:rPr>
      </w:pPr>
      <w:r>
        <w:rPr>
          <w:rFonts w:hint="eastAsia" w:ascii="仿宋_GB2312" w:eastAsia="仿宋_GB2312"/>
          <w:sz w:val="32"/>
          <w:szCs w:val="32"/>
        </w:rPr>
        <w:t>25.住房保障（类）…（款）…（项）：指……。</w:t>
      </w:r>
    </w:p>
    <w:p w14:paraId="153E9E7B">
      <w:pPr>
        <w:ind w:firstLine="640" w:firstLineChars="200"/>
        <w:rPr>
          <w:rFonts w:ascii="仿宋_GB2312" w:eastAsia="仿宋_GB2312"/>
          <w:sz w:val="32"/>
          <w:szCs w:val="32"/>
        </w:rPr>
      </w:pPr>
      <w:r>
        <w:rPr>
          <w:rFonts w:hint="eastAsia" w:ascii="仿宋_GB2312" w:eastAsia="仿宋_GB2312"/>
          <w:sz w:val="32"/>
          <w:szCs w:val="32"/>
        </w:rPr>
        <w:t>26.粮油物资储备（类）…（款）…（项）：指……。</w:t>
      </w:r>
    </w:p>
    <w:p w14:paraId="18698A7B">
      <w:pPr>
        <w:ind w:firstLine="640" w:firstLineChars="200"/>
        <w:rPr>
          <w:rFonts w:ascii="仿宋_GB2312" w:eastAsia="仿宋_GB2312"/>
          <w:sz w:val="32"/>
          <w:szCs w:val="32"/>
        </w:rPr>
      </w:pPr>
      <w:r>
        <w:rPr>
          <w:rFonts w:hint="eastAsia" w:ascii="仿宋_GB2312" w:eastAsia="仿宋_GB2312"/>
          <w:sz w:val="32"/>
          <w:szCs w:val="32"/>
        </w:rPr>
        <w:t>27.基本支出：指为保障机构正常运转、完成日常工作任务而发生的人员支出和公用支出。</w:t>
      </w:r>
    </w:p>
    <w:p w14:paraId="6914E30F">
      <w:pPr>
        <w:ind w:firstLine="640" w:firstLineChars="200"/>
        <w:rPr>
          <w:rFonts w:ascii="仿宋_GB2312" w:eastAsia="仿宋_GB2312"/>
          <w:sz w:val="32"/>
          <w:szCs w:val="32"/>
        </w:rPr>
      </w:pPr>
      <w:r>
        <w:rPr>
          <w:rFonts w:hint="eastAsia" w:ascii="仿宋_GB2312" w:eastAsia="仿宋_GB2312"/>
          <w:sz w:val="32"/>
          <w:szCs w:val="32"/>
        </w:rPr>
        <w:t xml:space="preserve">28.项目支出：指在基本支出之外为完成特定行政任务和事业发展目标所发生的支出。 </w:t>
      </w:r>
    </w:p>
    <w:p w14:paraId="77BE5194">
      <w:pPr>
        <w:ind w:firstLine="640" w:firstLineChars="200"/>
        <w:rPr>
          <w:rFonts w:ascii="仿宋_GB2312" w:eastAsia="仿宋_GB2312"/>
          <w:sz w:val="32"/>
          <w:szCs w:val="32"/>
        </w:rPr>
      </w:pPr>
      <w:r>
        <w:rPr>
          <w:rFonts w:hint="eastAsia" w:ascii="仿宋_GB2312" w:eastAsia="仿宋_GB2312"/>
          <w:sz w:val="32"/>
          <w:szCs w:val="32"/>
        </w:rPr>
        <w:t>29.经营支出：指事业单位在专业业务活动及其辅助活动之外开展非独立核算经营活动发生的支出。</w:t>
      </w:r>
    </w:p>
    <w:p w14:paraId="6459111B">
      <w:pPr>
        <w:ind w:firstLine="640" w:firstLineChars="200"/>
        <w:rPr>
          <w:rFonts w:ascii="仿宋_GB2312" w:eastAsia="仿宋_GB2312"/>
          <w:sz w:val="32"/>
          <w:szCs w:val="32"/>
        </w:rPr>
      </w:pPr>
      <w:r>
        <w:rPr>
          <w:rFonts w:hint="eastAsia" w:ascii="仿宋_GB2312" w:eastAsia="仿宋_GB2312"/>
          <w:sz w:val="32"/>
          <w:szCs w:val="32"/>
        </w:rPr>
        <w:t>30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11E2C105">
      <w:pPr>
        <w:ind w:firstLine="640" w:firstLineChars="200"/>
        <w:rPr>
          <w:rFonts w:ascii="仿宋_GB2312" w:eastAsia="仿宋_GB2312"/>
          <w:sz w:val="32"/>
          <w:szCs w:val="32"/>
        </w:rPr>
      </w:pPr>
      <w:r>
        <w:rPr>
          <w:rFonts w:hint="eastAsia" w:ascii="仿宋_GB2312" w:eastAsia="仿宋_GB2312"/>
          <w:sz w:val="32"/>
          <w:szCs w:val="32"/>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1F5DFFF7">
      <w:pPr>
        <w:ind w:firstLine="643" w:firstLineChars="200"/>
        <w:rPr>
          <w:rFonts w:hint="eastAsia" w:ascii="仿宋" w:hAnsi="仿宋" w:eastAsia="仿宋"/>
          <w:b/>
          <w:sz w:val="32"/>
          <w:szCs w:val="32"/>
        </w:rPr>
      </w:pPr>
      <w:r>
        <w:rPr>
          <w:rFonts w:ascii="仿宋" w:hAnsi="仿宋" w:eastAsia="仿宋"/>
          <w:b/>
          <w:sz w:val="32"/>
          <w:szCs w:val="32"/>
        </w:rPr>
        <w:br w:type="page"/>
      </w:r>
    </w:p>
    <w:p w14:paraId="759A748E">
      <w:pPr>
        <w:jc w:val="center"/>
        <w:rPr>
          <w:rFonts w:hint="eastAsia" w:ascii="黑体" w:hAnsi="黑体" w:eastAsia="黑体"/>
          <w:b w:val="0"/>
        </w:rPr>
      </w:pPr>
      <w:bookmarkStart w:id="68" w:name="_Toc8727"/>
      <w:r>
        <w:rPr>
          <w:rFonts w:hint="eastAsia" w:ascii="黑体" w:hAnsi="黑体" w:eastAsia="黑体"/>
          <w:b w:val="0"/>
        </w:rPr>
        <w:t>第四部分 附件</w:t>
      </w:r>
      <w:bookmarkEnd w:id="68"/>
    </w:p>
    <w:p w14:paraId="600A0E31"/>
    <w:p w14:paraId="69DD396A">
      <w:pPr>
        <w:rPr>
          <w:rFonts w:hint="eastAsia" w:ascii="黑体" w:hAnsi="黑体" w:eastAsia="黑体"/>
          <w:sz w:val="32"/>
          <w:szCs w:val="32"/>
        </w:rPr>
      </w:pPr>
      <w:r>
        <w:rPr>
          <w:rFonts w:hint="eastAsia" w:ascii="黑体" w:hAnsi="黑体" w:eastAsia="黑体"/>
          <w:sz w:val="32"/>
          <w:szCs w:val="32"/>
        </w:rPr>
        <w:t>附件1</w:t>
      </w:r>
    </w:p>
    <w:p w14:paraId="123DF110">
      <w:pPr>
        <w:jc w:val="center"/>
        <w:rPr>
          <w:rFonts w:hint="eastAsia" w:ascii="方正小标宋简体" w:hAnsi="方正小标宋简体" w:eastAsia="方正小标宋简体"/>
          <w:sz w:val="44"/>
          <w:szCs w:val="44"/>
        </w:rPr>
      </w:pPr>
      <w:r>
        <w:rPr>
          <w:rFonts w:hint="eastAsia" w:ascii="方正小标宋简体" w:hAnsi="方正小标宋简体" w:eastAsia="方正小标宋简体"/>
          <w:sz w:val="44"/>
          <w:szCs w:val="44"/>
        </w:rPr>
        <w:t>部门预算绩效评价报告</w:t>
      </w:r>
    </w:p>
    <w:p w14:paraId="101ADC45"/>
    <w:p w14:paraId="45ED32EF">
      <w:pPr>
        <w:rPr>
          <w:rFonts w:hint="eastAsia" w:ascii="黑体" w:hAnsi="黑体" w:eastAsia="黑体"/>
          <w:sz w:val="32"/>
          <w:szCs w:val="32"/>
        </w:rPr>
      </w:pPr>
      <w:r>
        <w:rPr>
          <w:rFonts w:hint="eastAsia" w:ascii="黑体" w:hAnsi="黑体" w:eastAsia="黑体"/>
          <w:sz w:val="32"/>
          <w:szCs w:val="32"/>
        </w:rPr>
        <w:t>一、部门（单位）基本情况</w:t>
      </w:r>
    </w:p>
    <w:p w14:paraId="1291A0B7">
      <w:pPr>
        <w:ind w:firstLine="643" w:firstLineChars="200"/>
        <w:rPr>
          <w:rFonts w:ascii="楷体_GB2312" w:eastAsia="楷体_GB2312"/>
          <w:b/>
          <w:sz w:val="32"/>
          <w:szCs w:val="32"/>
        </w:rPr>
      </w:pPr>
      <w:r>
        <w:rPr>
          <w:rFonts w:hint="eastAsia" w:ascii="楷体_GB2312" w:eastAsia="楷体_GB2312"/>
          <w:b/>
          <w:sz w:val="32"/>
          <w:szCs w:val="32"/>
        </w:rPr>
        <w:t>（一）机构组成。</w:t>
      </w:r>
    </w:p>
    <w:p w14:paraId="31FF1EF1">
      <w:pPr>
        <w:ind w:firstLine="640" w:firstLineChars="200"/>
        <w:rPr>
          <w:rFonts w:ascii="仿宋_GB2312" w:eastAsia="仿宋_GB2312"/>
          <w:sz w:val="32"/>
          <w:lang w:val="zh-CN"/>
        </w:rPr>
      </w:pPr>
      <w:r>
        <w:rPr>
          <w:rFonts w:hint="eastAsia" w:ascii="仿宋_GB2312" w:eastAsia="仿宋_GB2312"/>
          <w:sz w:val="32"/>
          <w:lang w:val="zh-CN"/>
        </w:rPr>
        <w:t>红原县民族宗教局是行政单位，执行行政单位会计制度，我局下属二级决算单位</w:t>
      </w:r>
      <w:r>
        <w:rPr>
          <w:rFonts w:hint="eastAsia" w:ascii="仿宋_GB2312"/>
          <w:sz w:val="32"/>
        </w:rPr>
        <w:t>1</w:t>
      </w:r>
      <w:r>
        <w:rPr>
          <w:rFonts w:hint="eastAsia" w:ascii="仿宋_GB2312" w:eastAsia="仿宋_GB2312"/>
          <w:sz w:val="32"/>
          <w:lang w:val="zh-CN"/>
        </w:rPr>
        <w:t>个，其中行政单位</w:t>
      </w:r>
      <w:r>
        <w:rPr>
          <w:rFonts w:hint="eastAsia" w:ascii="仿宋_GB2312"/>
          <w:sz w:val="32"/>
        </w:rPr>
        <w:t>1</w:t>
      </w:r>
      <w:r>
        <w:rPr>
          <w:rFonts w:hint="eastAsia" w:ascii="仿宋_GB2312" w:eastAsia="仿宋_GB2312"/>
          <w:sz w:val="32"/>
          <w:lang w:val="zh-CN"/>
        </w:rPr>
        <w:t>个，参照公务员法管理的事业单位</w:t>
      </w:r>
      <w:r>
        <w:rPr>
          <w:rFonts w:hint="eastAsia" w:ascii="仿宋_GB2312"/>
          <w:sz w:val="32"/>
        </w:rPr>
        <w:t>1</w:t>
      </w:r>
      <w:r>
        <w:rPr>
          <w:rFonts w:hint="eastAsia" w:ascii="仿宋_GB2312" w:eastAsia="仿宋_GB2312"/>
          <w:sz w:val="32"/>
          <w:lang w:val="zh-CN"/>
        </w:rPr>
        <w:t>个，其他事业单位0个。</w:t>
      </w:r>
    </w:p>
    <w:p w14:paraId="1B16DD4C">
      <w:pPr>
        <w:numPr>
          <w:ilvl w:val="0"/>
          <w:numId w:val="0"/>
        </w:numPr>
        <w:spacing w:before="93" w:line="576" w:lineRule="exact"/>
        <w:ind w:firstLine="643" w:firstLineChars="200"/>
        <w:rPr>
          <w:rFonts w:ascii="楷体_GB2312" w:eastAsia="楷体_GB2312"/>
          <w:b/>
          <w:sz w:val="32"/>
          <w:szCs w:val="32"/>
        </w:rPr>
      </w:pPr>
      <w:r>
        <w:rPr>
          <w:rFonts w:hint="eastAsia" w:ascii="楷体_GB2312" w:eastAsia="楷体_GB2312"/>
          <w:b/>
          <w:sz w:val="32"/>
          <w:szCs w:val="32"/>
        </w:rPr>
        <w:t>机构职能。</w:t>
      </w:r>
    </w:p>
    <w:p w14:paraId="7A1C98CA">
      <w:pPr>
        <w:ind w:firstLine="640" w:firstLineChars="200"/>
        <w:rPr>
          <w:rFonts w:ascii="仿宋_GB2312" w:eastAsia="仿宋_GB2312"/>
          <w:sz w:val="32"/>
          <w:lang w:val="zh-CN"/>
        </w:rPr>
      </w:pPr>
      <w:r>
        <w:rPr>
          <w:rFonts w:hint="eastAsia" w:ascii="仿宋_GB2312" w:eastAsia="仿宋_GB2312"/>
          <w:sz w:val="32"/>
          <w:lang w:val="zh-CN"/>
        </w:rPr>
        <w:t>1、贯彻执行党和国家关于民族、宗教工作的方针、政策和法规，负责组织指导全县民族、宗教政策和法律法规及民族基本知识的宣传教育工作，提出有关民族、宗教工作的政策建议，当好县委、县政府民族、宗教工作方面的参谋助手，依法协调各民族间关系，会同处理民族关系中的重大事项，促进各民族共同团结奋斗、共同繁荣发展，维护民族团结、社会稳定和国家统一；</w:t>
      </w:r>
    </w:p>
    <w:p w14:paraId="6C2DD021">
      <w:pPr>
        <w:ind w:firstLine="640" w:firstLineChars="200"/>
        <w:rPr>
          <w:rFonts w:ascii="仿宋_GB2312" w:eastAsia="仿宋_GB2312"/>
          <w:sz w:val="32"/>
          <w:lang w:val="zh-CN"/>
        </w:rPr>
      </w:pPr>
      <w:r>
        <w:rPr>
          <w:rFonts w:hint="eastAsia" w:ascii="仿宋_GB2312" w:eastAsia="仿宋_GB2312"/>
          <w:sz w:val="32"/>
          <w:lang w:val="zh-CN"/>
        </w:rPr>
        <w:t>2、组织开展民族宗教政策、理论和民族宗教工作等重大课题的综合调研，掌握全县民族、宗教情况和动态，研究制定我县民族、宗教方面的规范性文件，并负责组织实施和监督检查，保障少数民族的合法权益，指导、督查、协调“一法两规定一条例”等民族法律法规的贯彻落实；</w:t>
      </w:r>
    </w:p>
    <w:p w14:paraId="30082641">
      <w:pPr>
        <w:ind w:firstLine="640" w:firstLineChars="200"/>
        <w:rPr>
          <w:rFonts w:ascii="仿宋_GB2312" w:eastAsia="仿宋_GB2312"/>
          <w:sz w:val="32"/>
          <w:lang w:val="zh-CN"/>
        </w:rPr>
      </w:pPr>
      <w:r>
        <w:rPr>
          <w:rFonts w:hint="eastAsia" w:ascii="仿宋_GB2312" w:eastAsia="仿宋_GB2312"/>
          <w:sz w:val="32"/>
          <w:lang w:val="zh-CN"/>
        </w:rPr>
        <w:t>3、负责协调推动有关部门履行民族工作相关职责，对全县民族工作实施管理、指导，促进民族政策在经济发展和社会事业等相关领域的实施、衔接。参与制定全县社会经济和教育、文化、科技、卫生、体育等项事业发展的中长期规划和年度计划，促进建立和完善少数民族事业发展综合评价检测体系，推进民族事务服务体系和民族事务管理信息化建设；组织协调实施县委、县政府民生工程的相关工作，参与协调全县移民、扶贫开发等相关工作；</w:t>
      </w:r>
    </w:p>
    <w:p w14:paraId="5F013513">
      <w:pPr>
        <w:ind w:firstLine="640" w:firstLineChars="200"/>
        <w:rPr>
          <w:rFonts w:ascii="仿宋_GB2312" w:eastAsia="仿宋_GB2312"/>
          <w:sz w:val="32"/>
          <w:lang w:val="zh-CN"/>
        </w:rPr>
      </w:pPr>
      <w:r>
        <w:rPr>
          <w:rFonts w:hint="eastAsia" w:ascii="仿宋_GB2312" w:eastAsia="仿宋_GB2312"/>
          <w:sz w:val="32"/>
          <w:lang w:val="zh-CN"/>
        </w:rPr>
        <w:t>4、依法加强对宗教事务的管理，保护公民宗教信仰自由，保护宗教教职人员履行正常的教务活动，保护宗教教团和宗教活动场所的合法权益，巩固和发展同宗教界人士进行爱国主义、社会主义、拥护祖国统一和民族团结的自我教育，引导宗教与社会主义社会相适应，团结和动员广大信教群众为改革开放和经济建设服务；</w:t>
      </w:r>
    </w:p>
    <w:p w14:paraId="2C543000">
      <w:pPr>
        <w:ind w:firstLine="640" w:firstLineChars="200"/>
        <w:rPr>
          <w:rFonts w:ascii="仿宋_GB2312" w:eastAsia="仿宋_GB2312"/>
          <w:sz w:val="32"/>
          <w:lang w:val="zh-CN"/>
        </w:rPr>
      </w:pPr>
      <w:r>
        <w:rPr>
          <w:rFonts w:hint="eastAsia" w:ascii="仿宋_GB2312" w:eastAsia="仿宋_GB2312"/>
          <w:sz w:val="32"/>
          <w:lang w:val="zh-CN"/>
        </w:rPr>
        <w:t>5、承办县委、县政府民族团结进步表彰活动，组织开展民族团结进步创建活动，负责组织协调全县民族工作领域有关对位和对港澳台的交流与合作，参与涉及民族事务的对外宣传工作，做好民族上层人士、宗教界人士参观及学习等各项管理工作，组织少数民族开展健康有益的文化、体育、爱国卫生及民俗活动；</w:t>
      </w:r>
    </w:p>
    <w:p w14:paraId="68573ACE">
      <w:pPr>
        <w:ind w:firstLine="640" w:firstLineChars="200"/>
        <w:rPr>
          <w:rFonts w:ascii="仿宋_GB2312" w:eastAsia="仿宋_GB2312"/>
          <w:sz w:val="32"/>
          <w:lang w:val="zh-CN"/>
        </w:rPr>
      </w:pPr>
      <w:r>
        <w:rPr>
          <w:rFonts w:hint="eastAsia" w:ascii="仿宋_GB2312" w:eastAsia="仿宋_GB2312"/>
          <w:sz w:val="32"/>
          <w:lang w:val="zh-CN"/>
        </w:rPr>
        <w:t>6、参与拟订全县少数民族人才队伍建设规划；会同有关部门做好少数民族干部的培养、教育和使用工作；</w:t>
      </w:r>
    </w:p>
    <w:p w14:paraId="45EAC473">
      <w:pPr>
        <w:ind w:firstLine="640" w:firstLineChars="200"/>
        <w:rPr>
          <w:rFonts w:ascii="仿宋_GB2312" w:eastAsia="仿宋_GB2312"/>
          <w:sz w:val="32"/>
          <w:lang w:val="zh-CN"/>
        </w:rPr>
      </w:pPr>
      <w:r>
        <w:rPr>
          <w:rFonts w:hint="eastAsia" w:ascii="仿宋_GB2312" w:eastAsia="仿宋_GB2312"/>
          <w:sz w:val="32"/>
          <w:lang w:val="zh-CN"/>
        </w:rPr>
        <w:t>7、积极争取少数民族发展专项资金项目，合理安排项目建设，做好项目资金的使用管理，加强监督检查；组织协调民族贸易、民族特需用品生产和民族地区对位写作；</w:t>
      </w:r>
    </w:p>
    <w:p w14:paraId="392DC7F1">
      <w:pPr>
        <w:ind w:firstLine="640" w:firstLineChars="200"/>
        <w:rPr>
          <w:rFonts w:ascii="仿宋_GB2312" w:eastAsia="仿宋_GB2312"/>
          <w:sz w:val="32"/>
          <w:lang w:val="zh-CN"/>
        </w:rPr>
      </w:pPr>
      <w:r>
        <w:rPr>
          <w:rFonts w:hint="eastAsia" w:ascii="仿宋_GB2312" w:eastAsia="仿宋_GB2312"/>
          <w:sz w:val="32"/>
          <w:lang w:val="zh-CN"/>
        </w:rPr>
        <w:t>8、引导宗教在法律、法规和政策范围内活动，预防和制止不法分子利用宗教进行的非法、违法活动；、抵制境内外敌对势力利用宗教对我进行的参透；</w:t>
      </w:r>
    </w:p>
    <w:p w14:paraId="017E59E9">
      <w:pPr>
        <w:ind w:firstLine="640" w:firstLineChars="200"/>
        <w:rPr>
          <w:rFonts w:ascii="仿宋_GB2312" w:eastAsia="仿宋_GB2312"/>
          <w:sz w:val="32"/>
          <w:lang w:val="zh-CN"/>
        </w:rPr>
      </w:pPr>
      <w:r>
        <w:rPr>
          <w:rFonts w:hint="eastAsia" w:ascii="仿宋_GB2312" w:eastAsia="仿宋_GB2312"/>
          <w:sz w:val="32"/>
          <w:lang w:val="zh-CN"/>
        </w:rPr>
        <w:t>9、指导宗教团体在宪法、法律和政策允许的范围内按照独立自主、自办教会的原则，搞好自身建设；帮助宗教团体培养、教育宗教教职人员，做好有关培训组织工作；办理宗教团体需政府协助或协调的事务；</w:t>
      </w:r>
    </w:p>
    <w:p w14:paraId="75057CC1">
      <w:pPr>
        <w:ind w:firstLine="640" w:firstLineChars="200"/>
        <w:rPr>
          <w:rFonts w:ascii="仿宋_GB2312" w:eastAsia="仿宋_GB2312"/>
          <w:sz w:val="32"/>
          <w:lang w:val="zh-CN"/>
        </w:rPr>
      </w:pPr>
      <w:r>
        <w:rPr>
          <w:rFonts w:hint="eastAsia" w:ascii="仿宋_GB2312" w:eastAsia="仿宋_GB2312"/>
          <w:sz w:val="32"/>
          <w:lang w:val="zh-CN"/>
        </w:rPr>
        <w:t>10、负责宣传贯彻国家关于少数民族语言文字方面的政策、法规并监督实施；指导管理藏语语言文字的学习使用、社会市面用文的检查、整顿及藏文翻译工作；指导少数民族语言文字的翻译、出版和少数民族古籍的收集、整理、出版工作，会同有关部门对少数民族题材文化作品（产品）进行审查；</w:t>
      </w:r>
    </w:p>
    <w:p w14:paraId="36FB951E">
      <w:pPr>
        <w:ind w:firstLine="640" w:firstLineChars="200"/>
        <w:rPr>
          <w:rFonts w:ascii="仿宋_GB2312" w:eastAsia="仿宋_GB2312"/>
          <w:sz w:val="32"/>
          <w:lang w:val="zh-CN"/>
        </w:rPr>
      </w:pPr>
      <w:r>
        <w:rPr>
          <w:rFonts w:hint="eastAsia" w:ascii="仿宋_GB2312" w:eastAsia="仿宋_GB2312"/>
          <w:sz w:val="32"/>
          <w:lang w:val="zh-CN"/>
        </w:rPr>
        <w:t>11、贯彻执行国家和省、州有关两项资金管理工作的政策和规定，依法管理两项资金投资的项目和资金，制定实施全县两项资金管理工作的具体办法和意见；对两项资金投资项目的审查、报批、实施、验收等全过程进行管理和监督；</w:t>
      </w:r>
    </w:p>
    <w:p w14:paraId="7AFFD8FB">
      <w:pPr>
        <w:ind w:firstLine="640" w:firstLineChars="200"/>
        <w:rPr>
          <w:rFonts w:ascii="楷体_GB2312" w:eastAsia="楷体_GB2312"/>
          <w:b/>
          <w:sz w:val="32"/>
          <w:szCs w:val="32"/>
        </w:rPr>
      </w:pPr>
      <w:r>
        <w:rPr>
          <w:rFonts w:hint="eastAsia" w:ascii="仿宋_GB2312" w:eastAsia="仿宋_GB2312"/>
          <w:sz w:val="32"/>
          <w:lang w:val="zh-CN"/>
        </w:rPr>
        <w:t>12、承办县委、县政府交办的其他事项。</w:t>
      </w:r>
    </w:p>
    <w:p w14:paraId="18A00E1A">
      <w:pPr>
        <w:ind w:firstLine="643" w:firstLineChars="200"/>
        <w:rPr>
          <w:rFonts w:ascii="楷体_GB2312" w:eastAsia="楷体_GB2312"/>
          <w:b/>
          <w:sz w:val="32"/>
          <w:szCs w:val="32"/>
        </w:rPr>
      </w:pPr>
      <w:r>
        <w:rPr>
          <w:rFonts w:hint="eastAsia" w:ascii="楷体_GB2312" w:eastAsia="楷体_GB2312"/>
          <w:b/>
          <w:sz w:val="32"/>
          <w:szCs w:val="32"/>
        </w:rPr>
        <w:t>（三）人员概况。</w:t>
      </w:r>
    </w:p>
    <w:p w14:paraId="34BF7D20">
      <w:pPr>
        <w:ind w:firstLine="640" w:firstLineChars="200"/>
        <w:rPr>
          <w:rFonts w:ascii="仿宋_GB2312" w:eastAsia="仿宋_GB2312"/>
          <w:sz w:val="32"/>
          <w:szCs w:val="32"/>
        </w:rPr>
      </w:pPr>
      <w:r>
        <w:rPr>
          <w:rFonts w:hint="eastAsia" w:ascii="仿宋_GB2312" w:eastAsia="仿宋_GB2312"/>
          <w:sz w:val="32"/>
          <w:lang w:val="zh-CN"/>
        </w:rPr>
        <w:t>我局人事核定行政编制</w:t>
      </w:r>
      <w:r>
        <w:rPr>
          <w:rFonts w:hint="eastAsia" w:ascii="仿宋_GB2312"/>
          <w:sz w:val="32"/>
        </w:rPr>
        <w:t>1</w:t>
      </w:r>
      <w:r>
        <w:rPr>
          <w:rFonts w:hint="eastAsia" w:ascii="仿宋_GB2312"/>
          <w:sz w:val="32"/>
          <w:lang w:val="en-US" w:eastAsia="zh-CN"/>
        </w:rPr>
        <w:t>4</w:t>
      </w:r>
      <w:r>
        <w:rPr>
          <w:rFonts w:hint="eastAsia" w:ascii="仿宋_GB2312" w:eastAsia="仿宋_GB2312"/>
          <w:sz w:val="32"/>
          <w:lang w:val="zh-CN"/>
        </w:rPr>
        <w:t>人，其中：行政工勤编制1人。是独立核算的机构，是独立编报预算的单位。2024年年末在职行政人数</w:t>
      </w:r>
      <w:r>
        <w:rPr>
          <w:rFonts w:hint="eastAsia" w:ascii="仿宋_GB2312"/>
          <w:sz w:val="32"/>
        </w:rPr>
        <w:t>1</w:t>
      </w:r>
      <w:r>
        <w:rPr>
          <w:rFonts w:hint="eastAsia" w:ascii="仿宋_GB2312"/>
          <w:sz w:val="32"/>
          <w:lang w:val="en-US" w:eastAsia="zh-CN"/>
        </w:rPr>
        <w:t>0</w:t>
      </w:r>
      <w:r>
        <w:rPr>
          <w:rFonts w:hint="eastAsia" w:ascii="仿宋_GB2312" w:eastAsia="仿宋_GB2312"/>
          <w:sz w:val="32"/>
          <w:lang w:val="zh-CN"/>
        </w:rPr>
        <w:t>人，其中：行政工勤在职人数1人。事业编制人数</w:t>
      </w:r>
      <w:r>
        <w:rPr>
          <w:rFonts w:hint="eastAsia" w:ascii="仿宋_GB2312"/>
          <w:sz w:val="32"/>
        </w:rPr>
        <w:t>4</w:t>
      </w:r>
      <w:r>
        <w:rPr>
          <w:rFonts w:hint="eastAsia" w:ascii="仿宋_GB2312" w:eastAsia="仿宋_GB2312"/>
          <w:sz w:val="32"/>
        </w:rPr>
        <w:t>人，实有人数</w:t>
      </w:r>
      <w:r>
        <w:rPr>
          <w:rFonts w:hint="eastAsia" w:ascii="仿宋_GB2312"/>
          <w:sz w:val="32"/>
        </w:rPr>
        <w:t>1</w:t>
      </w:r>
      <w:r>
        <w:rPr>
          <w:rFonts w:hint="eastAsia" w:ascii="仿宋_GB2312"/>
          <w:sz w:val="32"/>
          <w:lang w:val="en-US" w:eastAsia="zh-CN"/>
        </w:rPr>
        <w:t>4</w:t>
      </w:r>
      <w:r>
        <w:rPr>
          <w:rFonts w:hint="eastAsia" w:ascii="仿宋_GB2312" w:eastAsia="仿宋_GB2312"/>
          <w:sz w:val="32"/>
        </w:rPr>
        <w:t>人。</w:t>
      </w:r>
    </w:p>
    <w:p w14:paraId="391CF382">
      <w:pPr>
        <w:rPr>
          <w:rFonts w:hint="eastAsia" w:ascii="黑体" w:hAnsi="黑体" w:eastAsia="黑体"/>
          <w:sz w:val="32"/>
          <w:szCs w:val="32"/>
        </w:rPr>
      </w:pPr>
      <w:r>
        <w:rPr>
          <w:rFonts w:hint="eastAsia" w:ascii="黑体" w:hAnsi="黑体" w:eastAsia="黑体"/>
          <w:sz w:val="32"/>
          <w:szCs w:val="32"/>
        </w:rPr>
        <w:t>二、部门资金收支情况</w:t>
      </w:r>
    </w:p>
    <w:p w14:paraId="4485DAB9">
      <w:pPr>
        <w:ind w:firstLine="643" w:firstLineChars="200"/>
        <w:rPr>
          <w:rFonts w:ascii="楷体_GB2312" w:eastAsia="楷体_GB2312"/>
          <w:b/>
          <w:sz w:val="32"/>
          <w:szCs w:val="32"/>
        </w:rPr>
      </w:pPr>
      <w:r>
        <w:rPr>
          <w:rFonts w:hint="eastAsia" w:ascii="楷体_GB2312" w:eastAsia="楷体_GB2312"/>
          <w:b/>
          <w:sz w:val="32"/>
          <w:szCs w:val="32"/>
        </w:rPr>
        <w:t>（一）收入情况。</w:t>
      </w:r>
    </w:p>
    <w:p w14:paraId="21B73C08">
      <w:pPr>
        <w:ind w:firstLine="640" w:firstLineChars="200"/>
        <w:rPr>
          <w:rFonts w:ascii="仿宋_GB2312" w:eastAsia="仿宋_GB2312"/>
          <w:sz w:val="32"/>
          <w:szCs w:val="32"/>
        </w:rPr>
      </w:pPr>
      <w:r>
        <w:rPr>
          <w:rFonts w:hint="eastAsia" w:ascii="仿宋_GB2312" w:hAnsi="仿宋" w:eastAsia="仿宋_GB2312"/>
          <w:sz w:val="32"/>
          <w:szCs w:val="32"/>
        </w:rPr>
        <w:t>本单位</w:t>
      </w:r>
      <w:r>
        <w:rPr>
          <w:rFonts w:hint="eastAsia" w:ascii="仿宋_GB2312" w:hAnsi="仿宋" w:eastAsia="仿宋_GB2312"/>
          <w:sz w:val="32"/>
          <w:szCs w:val="32"/>
          <w:lang w:eastAsia="zh-CN"/>
        </w:rPr>
        <w:t>2025年</w:t>
      </w:r>
      <w:r>
        <w:rPr>
          <w:rFonts w:hint="eastAsia" w:ascii="仿宋_GB2312" w:hAnsi="仿宋" w:eastAsia="仿宋_GB2312"/>
          <w:sz w:val="32"/>
          <w:szCs w:val="32"/>
        </w:rPr>
        <w:t>收入全年预算数为</w:t>
      </w:r>
      <w:r>
        <w:rPr>
          <w:rFonts w:hint="eastAsia" w:ascii="仿宋_GB2312" w:hAnsi="仿宋" w:eastAsia="仿宋_GB2312"/>
          <w:sz w:val="32"/>
          <w:szCs w:val="32"/>
          <w:lang w:eastAsia="zh-CN"/>
        </w:rPr>
        <w:t>527.05万元</w:t>
      </w:r>
      <w:r>
        <w:rPr>
          <w:rFonts w:hint="eastAsia" w:ascii="仿宋_GB2312" w:hAnsi="仿宋" w:eastAsia="仿宋_GB2312"/>
          <w:sz w:val="32"/>
          <w:szCs w:val="32"/>
        </w:rPr>
        <w:t>，收入决算数为</w:t>
      </w:r>
      <w:r>
        <w:rPr>
          <w:rFonts w:hint="eastAsia" w:ascii="仿宋_GB2312" w:hAnsi="仿宋" w:eastAsia="仿宋_GB2312"/>
          <w:sz w:val="32"/>
          <w:szCs w:val="32"/>
          <w:lang w:eastAsia="zh-CN"/>
        </w:rPr>
        <w:t>477.94万元</w:t>
      </w:r>
      <w:r>
        <w:rPr>
          <w:rFonts w:hint="eastAsia" w:ascii="仿宋_GB2312" w:hAnsi="仿宋" w:eastAsia="仿宋_GB2312"/>
          <w:sz w:val="32"/>
          <w:szCs w:val="32"/>
        </w:rPr>
        <w:t>，预算完成度为93.23%</w:t>
      </w:r>
      <w:r>
        <w:rPr>
          <w:rFonts w:hint="eastAsia" w:ascii="仿宋_GB2312" w:hAnsi="仿宋"/>
          <w:sz w:val="32"/>
          <w:szCs w:val="32"/>
        </w:rPr>
        <w:t>。</w:t>
      </w:r>
      <w:r>
        <w:rPr>
          <w:rFonts w:hint="eastAsia" w:eastAsia="仿宋_GB2312"/>
          <w:sz w:val="32"/>
          <w:szCs w:val="32"/>
          <w:lang w:val="zh-CN"/>
        </w:rPr>
        <w:t>2025年</w:t>
      </w:r>
      <w:r>
        <w:rPr>
          <w:rFonts w:hint="eastAsia"/>
          <w:sz w:val="32"/>
          <w:szCs w:val="32"/>
        </w:rPr>
        <w:t>总</w:t>
      </w:r>
      <w:r>
        <w:rPr>
          <w:rFonts w:hint="eastAsia" w:eastAsia="仿宋_GB2312"/>
          <w:sz w:val="32"/>
          <w:szCs w:val="32"/>
          <w:lang w:val="zh-CN"/>
        </w:rPr>
        <w:t>收入</w:t>
      </w:r>
      <w:r>
        <w:rPr>
          <w:rFonts w:hint="eastAsia" w:eastAsia="仿宋_GB2312"/>
          <w:sz w:val="32"/>
          <w:szCs w:val="32"/>
          <w:lang w:eastAsia="zh-CN"/>
        </w:rPr>
        <w:t>477.94万元</w:t>
      </w:r>
      <w:r>
        <w:rPr>
          <w:rFonts w:hint="eastAsia" w:eastAsia="仿宋_GB2312"/>
          <w:sz w:val="32"/>
          <w:szCs w:val="32"/>
          <w:lang w:val="zh-CN"/>
        </w:rPr>
        <w:t>，其中：财政拨款收入</w:t>
      </w:r>
      <w:r>
        <w:rPr>
          <w:rFonts w:hint="eastAsia"/>
          <w:sz w:val="32"/>
          <w:szCs w:val="32"/>
        </w:rPr>
        <w:t>5</w:t>
      </w:r>
      <w:r>
        <w:rPr>
          <w:rFonts w:hint="eastAsia"/>
          <w:sz w:val="32"/>
          <w:szCs w:val="32"/>
          <w:lang w:eastAsia="zh-CN"/>
        </w:rPr>
        <w:t>477.94万元</w:t>
      </w:r>
      <w:r>
        <w:rPr>
          <w:rFonts w:hint="eastAsia" w:eastAsia="仿宋_GB2312"/>
          <w:sz w:val="32"/>
          <w:szCs w:val="32"/>
          <w:lang w:val="zh-CN"/>
        </w:rPr>
        <w:t>，占</w:t>
      </w:r>
      <w:r>
        <w:rPr>
          <w:rFonts w:hint="eastAsia" w:eastAsia="仿宋_GB2312"/>
          <w:sz w:val="32"/>
          <w:szCs w:val="32"/>
        </w:rPr>
        <w:t>100</w:t>
      </w:r>
      <w:r>
        <w:rPr>
          <w:rFonts w:hint="eastAsia" w:eastAsia="仿宋_GB2312"/>
          <w:sz w:val="32"/>
          <w:szCs w:val="32"/>
          <w:lang w:val="zh-CN"/>
        </w:rPr>
        <w:t>%</w:t>
      </w:r>
      <w:r>
        <w:rPr>
          <w:rFonts w:hint="eastAsia"/>
          <w:sz w:val="32"/>
          <w:szCs w:val="32"/>
        </w:rPr>
        <w:t>。</w:t>
      </w:r>
    </w:p>
    <w:p w14:paraId="596045C1">
      <w:pPr>
        <w:numPr>
          <w:ilvl w:val="0"/>
          <w:numId w:val="0"/>
        </w:numPr>
        <w:spacing w:line="560" w:lineRule="exact"/>
        <w:ind w:firstLine="643" w:firstLineChars="200"/>
        <w:rPr>
          <w:rFonts w:ascii="楷体_GB2312" w:eastAsia="楷体_GB2312"/>
          <w:b/>
          <w:sz w:val="32"/>
          <w:szCs w:val="32"/>
        </w:rPr>
      </w:pPr>
      <w:r>
        <w:rPr>
          <w:rFonts w:hint="eastAsia" w:ascii="楷体_GB2312" w:eastAsia="楷体_GB2312"/>
          <w:b/>
          <w:sz w:val="32"/>
          <w:szCs w:val="32"/>
        </w:rPr>
        <w:t>支出情况。</w:t>
      </w:r>
    </w:p>
    <w:p w14:paraId="14B70A3C">
      <w:pPr>
        <w:spacing w:line="560" w:lineRule="exact"/>
        <w:ind w:firstLine="640" w:firstLineChars="200"/>
        <w:rPr>
          <w:rFonts w:hint="eastAsia" w:ascii="仿宋_GB2312" w:eastAsia="仿宋_GB2312"/>
          <w:sz w:val="32"/>
          <w:lang w:val="zh-CN"/>
        </w:rPr>
      </w:pPr>
      <w:r>
        <w:rPr>
          <w:rFonts w:hint="eastAsia" w:ascii="仿宋_GB2312" w:eastAsia="仿宋_GB2312"/>
          <w:sz w:val="32"/>
          <w:lang w:val="zh-CN"/>
        </w:rPr>
        <w:t>本单位</w:t>
      </w:r>
      <w:r>
        <w:rPr>
          <w:rFonts w:hint="eastAsia" w:ascii="仿宋_GB2312" w:eastAsia="仿宋_GB2312"/>
          <w:sz w:val="32"/>
          <w:lang w:eastAsia="zh-CN"/>
        </w:rPr>
        <w:t>2025年</w:t>
      </w:r>
      <w:r>
        <w:rPr>
          <w:rFonts w:hint="eastAsia" w:ascii="仿宋_GB2312" w:eastAsia="仿宋_GB2312"/>
          <w:sz w:val="32"/>
        </w:rPr>
        <w:t>支出</w:t>
      </w:r>
      <w:r>
        <w:rPr>
          <w:rFonts w:hint="eastAsia" w:ascii="仿宋_GB2312" w:eastAsia="仿宋_GB2312"/>
          <w:sz w:val="32"/>
          <w:lang w:val="zh-CN"/>
        </w:rPr>
        <w:t>全年预算数为527.05万元，</w:t>
      </w:r>
      <w:r>
        <w:rPr>
          <w:rFonts w:hint="eastAsia" w:ascii="仿宋_GB2312" w:eastAsia="仿宋_GB2312"/>
          <w:sz w:val="32"/>
        </w:rPr>
        <w:t>支出</w:t>
      </w:r>
      <w:r>
        <w:rPr>
          <w:rFonts w:hint="eastAsia" w:ascii="仿宋_GB2312" w:eastAsia="仿宋_GB2312"/>
          <w:sz w:val="32"/>
          <w:lang w:val="zh-CN"/>
        </w:rPr>
        <w:t>决算数为</w:t>
      </w:r>
      <w:r>
        <w:rPr>
          <w:rFonts w:hint="eastAsia" w:ascii="仿宋_GB2312" w:eastAsia="仿宋_GB2312"/>
          <w:sz w:val="32"/>
          <w:lang w:eastAsia="zh-CN"/>
        </w:rPr>
        <w:t>477.94万元</w:t>
      </w:r>
      <w:r>
        <w:rPr>
          <w:rFonts w:hint="eastAsia" w:ascii="仿宋_GB2312" w:eastAsia="仿宋_GB2312"/>
          <w:sz w:val="32"/>
          <w:lang w:val="zh-CN"/>
        </w:rPr>
        <w:t>，预算完成度为</w:t>
      </w:r>
      <w:r>
        <w:rPr>
          <w:rFonts w:hint="eastAsia" w:ascii="仿宋_GB2312" w:eastAsia="仿宋_GB2312"/>
          <w:sz w:val="32"/>
        </w:rPr>
        <w:t>9</w:t>
      </w:r>
      <w:r>
        <w:rPr>
          <w:rFonts w:hint="eastAsia" w:ascii="仿宋_GB2312" w:eastAsia="仿宋_GB2312"/>
          <w:sz w:val="32"/>
          <w:lang w:val="en-US" w:eastAsia="zh-CN"/>
        </w:rPr>
        <w:t>0</w:t>
      </w:r>
      <w:r>
        <w:rPr>
          <w:rFonts w:hint="eastAsia" w:ascii="仿宋_GB2312" w:eastAsia="仿宋_GB2312"/>
          <w:sz w:val="32"/>
        </w:rPr>
        <w:t>.</w:t>
      </w:r>
      <w:r>
        <w:rPr>
          <w:rFonts w:hint="eastAsia" w:ascii="仿宋_GB2312" w:eastAsia="仿宋_GB2312"/>
          <w:sz w:val="32"/>
          <w:lang w:val="en-US" w:eastAsia="zh-CN"/>
        </w:rPr>
        <w:t>68</w:t>
      </w:r>
      <w:r>
        <w:rPr>
          <w:rFonts w:hint="eastAsia" w:ascii="仿宋_GB2312" w:eastAsia="仿宋_GB2312"/>
          <w:sz w:val="32"/>
          <w:lang w:val="zh-CN"/>
        </w:rPr>
        <w:t>%。2025年支出合计</w:t>
      </w:r>
      <w:r>
        <w:rPr>
          <w:rFonts w:hint="eastAsia" w:ascii="仿宋_GB2312" w:eastAsia="仿宋_GB2312"/>
          <w:sz w:val="32"/>
          <w:lang w:eastAsia="zh-CN"/>
        </w:rPr>
        <w:t>477.94万元</w:t>
      </w:r>
      <w:r>
        <w:rPr>
          <w:rFonts w:hint="eastAsia" w:ascii="仿宋_GB2312" w:eastAsia="仿宋_GB2312"/>
          <w:sz w:val="32"/>
          <w:lang w:val="zh-CN"/>
        </w:rPr>
        <w:t>，其中：一般公共服务支出366.84万元，占</w:t>
      </w:r>
      <w:r>
        <w:rPr>
          <w:rFonts w:hint="eastAsia" w:ascii="仿宋_GB2312" w:eastAsia="仿宋_GB2312"/>
          <w:sz w:val="32"/>
          <w:lang w:val="en-US" w:eastAsia="zh-CN"/>
        </w:rPr>
        <w:t>76.75</w:t>
      </w:r>
      <w:r>
        <w:rPr>
          <w:rFonts w:hint="eastAsia" w:ascii="仿宋_GB2312" w:eastAsia="仿宋_GB2312"/>
          <w:sz w:val="32"/>
          <w:lang w:val="zh-CN"/>
        </w:rPr>
        <w:t>%；</w:t>
      </w:r>
      <w:r>
        <w:rPr>
          <w:rFonts w:hint="eastAsia" w:ascii="仿宋" w:hAnsi="仿宋" w:eastAsia="仿宋"/>
          <w:sz w:val="32"/>
          <w:szCs w:val="32"/>
          <w:lang w:eastAsia="zh-CN"/>
        </w:rPr>
        <w:t>社会保障和就业支出</w:t>
      </w:r>
      <w:r>
        <w:rPr>
          <w:rFonts w:hint="eastAsia" w:ascii="仿宋" w:hAnsi="仿宋" w:eastAsia="仿宋"/>
          <w:sz w:val="32"/>
          <w:szCs w:val="32"/>
          <w:lang w:val="en-US" w:eastAsia="zh-CN"/>
        </w:rPr>
        <w:t>57.01</w:t>
      </w:r>
      <w:r>
        <w:rPr>
          <w:rFonts w:hint="eastAsia" w:ascii="仿宋" w:hAnsi="仿宋" w:eastAsia="仿宋"/>
          <w:sz w:val="32"/>
          <w:szCs w:val="32"/>
          <w:lang w:eastAsia="zh-CN"/>
        </w:rPr>
        <w:t>万元，占</w:t>
      </w:r>
      <w:r>
        <w:rPr>
          <w:rFonts w:hint="eastAsia" w:ascii="仿宋" w:hAnsi="仿宋" w:eastAsia="仿宋"/>
          <w:sz w:val="32"/>
          <w:szCs w:val="32"/>
          <w:lang w:val="en-US" w:eastAsia="zh-CN"/>
        </w:rPr>
        <w:t>11.93</w:t>
      </w:r>
      <w:r>
        <w:rPr>
          <w:rFonts w:hint="eastAsia" w:ascii="仿宋" w:hAnsi="仿宋" w:eastAsia="仿宋"/>
          <w:sz w:val="32"/>
          <w:szCs w:val="32"/>
          <w:lang w:eastAsia="zh-CN"/>
        </w:rPr>
        <w:t>%</w:t>
      </w:r>
      <w:r>
        <w:rPr>
          <w:rFonts w:hint="eastAsia" w:ascii="仿宋" w:hAnsi="仿宋" w:eastAsia="仿宋"/>
          <w:sz w:val="32"/>
          <w:szCs w:val="32"/>
          <w:lang w:val="en-US" w:eastAsia="zh-CN"/>
        </w:rPr>
        <w:t xml:space="preserve"> </w:t>
      </w:r>
      <w:r>
        <w:rPr>
          <w:rFonts w:hint="eastAsia" w:ascii="仿宋_GB2312" w:eastAsia="仿宋_GB2312"/>
          <w:sz w:val="32"/>
          <w:lang w:val="zh-CN"/>
        </w:rPr>
        <w:t>；</w:t>
      </w:r>
      <w:r>
        <w:rPr>
          <w:rFonts w:hint="eastAsia" w:ascii="仿宋" w:hAnsi="仿宋" w:eastAsia="仿宋"/>
          <w:sz w:val="32"/>
          <w:szCs w:val="32"/>
          <w:lang w:eastAsia="zh-CN"/>
        </w:rPr>
        <w:t>卫生健康支出21.17万元，占</w:t>
      </w:r>
      <w:r>
        <w:rPr>
          <w:rFonts w:hint="eastAsia" w:ascii="仿宋" w:hAnsi="仿宋" w:eastAsia="仿宋"/>
          <w:sz w:val="32"/>
          <w:szCs w:val="32"/>
          <w:lang w:val="en-US" w:eastAsia="zh-CN"/>
        </w:rPr>
        <w:t>4.43</w:t>
      </w:r>
      <w:r>
        <w:rPr>
          <w:rFonts w:hint="eastAsia" w:ascii="仿宋" w:hAnsi="仿宋" w:eastAsia="仿宋"/>
          <w:sz w:val="32"/>
          <w:szCs w:val="32"/>
          <w:lang w:eastAsia="zh-CN"/>
        </w:rPr>
        <w:t>%</w:t>
      </w:r>
      <w:r>
        <w:rPr>
          <w:rFonts w:hint="eastAsia" w:ascii="仿宋_GB2312" w:eastAsia="仿宋_GB2312"/>
          <w:sz w:val="32"/>
          <w:lang w:val="zh-CN"/>
        </w:rPr>
        <w:t>；</w:t>
      </w:r>
      <w:r>
        <w:rPr>
          <w:rFonts w:hint="eastAsia" w:ascii="仿宋" w:hAnsi="仿宋" w:eastAsia="仿宋"/>
          <w:sz w:val="32"/>
          <w:szCs w:val="32"/>
          <w:lang w:eastAsia="zh-CN"/>
        </w:rPr>
        <w:t>住房保障支出30.94</w:t>
      </w:r>
      <w:r>
        <w:rPr>
          <w:rFonts w:hint="eastAsia" w:ascii="仿宋" w:hAnsi="仿宋" w:eastAsia="仿宋"/>
          <w:sz w:val="32"/>
          <w:szCs w:val="32"/>
          <w:lang w:val="en-US" w:eastAsia="zh-CN"/>
        </w:rPr>
        <w:t xml:space="preserve"> </w:t>
      </w:r>
      <w:r>
        <w:rPr>
          <w:rFonts w:hint="eastAsia" w:ascii="仿宋" w:hAnsi="仿宋" w:eastAsia="仿宋"/>
          <w:sz w:val="32"/>
          <w:szCs w:val="32"/>
          <w:lang w:eastAsia="zh-CN"/>
        </w:rPr>
        <w:t>万元，占</w:t>
      </w:r>
      <w:r>
        <w:rPr>
          <w:rFonts w:hint="eastAsia" w:ascii="仿宋" w:hAnsi="仿宋" w:eastAsia="仿宋"/>
          <w:sz w:val="32"/>
          <w:szCs w:val="32"/>
          <w:lang w:val="en-US" w:eastAsia="zh-CN"/>
        </w:rPr>
        <w:t>6.47</w:t>
      </w:r>
      <w:r>
        <w:rPr>
          <w:rFonts w:hint="eastAsia" w:ascii="仿宋" w:hAnsi="仿宋" w:eastAsia="仿宋"/>
          <w:sz w:val="32"/>
          <w:szCs w:val="32"/>
          <w:lang w:eastAsia="zh-CN"/>
        </w:rPr>
        <w:t>%</w:t>
      </w:r>
      <w:r>
        <w:rPr>
          <w:rFonts w:hint="eastAsia" w:ascii="仿宋_GB2312" w:eastAsia="仿宋_GB2312"/>
          <w:sz w:val="32"/>
          <w:lang w:val="zh-CN"/>
        </w:rPr>
        <w:t>；</w:t>
      </w:r>
      <w:r>
        <w:rPr>
          <w:rFonts w:hint="eastAsia" w:ascii="仿宋" w:hAnsi="仿宋" w:eastAsia="仿宋"/>
          <w:sz w:val="32"/>
          <w:szCs w:val="32"/>
          <w:lang w:eastAsia="zh-CN"/>
        </w:rPr>
        <w:t>农林水支出1.98万元，占</w:t>
      </w:r>
      <w:r>
        <w:rPr>
          <w:rFonts w:hint="eastAsia" w:ascii="仿宋" w:hAnsi="仿宋" w:eastAsia="仿宋"/>
          <w:sz w:val="32"/>
          <w:szCs w:val="32"/>
          <w:lang w:val="en-US" w:eastAsia="zh-CN"/>
        </w:rPr>
        <w:t>0.41</w:t>
      </w:r>
      <w:r>
        <w:rPr>
          <w:rFonts w:hint="eastAsia" w:ascii="仿宋" w:hAnsi="仿宋" w:eastAsia="仿宋"/>
          <w:sz w:val="32"/>
          <w:szCs w:val="32"/>
          <w:lang w:eastAsia="zh-CN"/>
        </w:rPr>
        <w:t>%</w:t>
      </w:r>
      <w:r>
        <w:rPr>
          <w:rFonts w:hint="eastAsia" w:ascii="仿宋_GB2312" w:eastAsia="仿宋_GB2312"/>
          <w:sz w:val="32"/>
          <w:lang w:val="zh-CN"/>
        </w:rPr>
        <w:t>。</w:t>
      </w:r>
    </w:p>
    <w:p w14:paraId="6527052B">
      <w:pPr>
        <w:numPr>
          <w:ilvl w:val="0"/>
          <w:numId w:val="0"/>
        </w:numPr>
        <w:ind w:firstLine="643" w:firstLineChars="200"/>
        <w:rPr>
          <w:rFonts w:ascii="楷体_GB2312" w:eastAsia="楷体_GB2312"/>
          <w:b/>
          <w:sz w:val="32"/>
          <w:szCs w:val="32"/>
        </w:rPr>
      </w:pPr>
      <w:r>
        <w:rPr>
          <w:rFonts w:hint="eastAsia" w:ascii="楷体_GB2312" w:eastAsia="楷体_GB2312"/>
          <w:b/>
          <w:sz w:val="32"/>
          <w:szCs w:val="32"/>
        </w:rPr>
        <w:t>结余分配和结转结余情况。</w:t>
      </w:r>
    </w:p>
    <w:p w14:paraId="4F0954B0">
      <w:pPr>
        <w:spacing w:line="560" w:lineRule="exact"/>
        <w:ind w:firstLine="960" w:firstLineChars="300"/>
        <w:rPr>
          <w:rFonts w:ascii="仿宋_GB2312" w:eastAsia="仿宋_GB2312"/>
          <w:sz w:val="32"/>
          <w:lang w:val="zh-CN"/>
        </w:rPr>
      </w:pPr>
      <w:r>
        <w:rPr>
          <w:rFonts w:hint="eastAsia" w:ascii="仿宋_GB2312" w:eastAsia="仿宋_GB2312"/>
          <w:sz w:val="32"/>
        </w:rPr>
        <w:t>红原县民族宗教局</w:t>
      </w:r>
      <w:r>
        <w:rPr>
          <w:rFonts w:hint="eastAsia" w:ascii="仿宋_GB2312" w:eastAsia="仿宋_GB2312"/>
          <w:sz w:val="32"/>
          <w:lang w:eastAsia="zh-CN"/>
        </w:rPr>
        <w:t>2025年</w:t>
      </w:r>
      <w:r>
        <w:rPr>
          <w:rFonts w:hint="eastAsia" w:ascii="仿宋_GB2312" w:eastAsia="仿宋_GB2312"/>
          <w:sz w:val="32"/>
        </w:rPr>
        <w:t>决算报表</w:t>
      </w:r>
      <w:r>
        <w:rPr>
          <w:rFonts w:ascii="仿宋_GB2312" w:eastAsia="仿宋_GB2312"/>
          <w:sz w:val="32"/>
        </w:rPr>
        <w:t>结转结余</w:t>
      </w:r>
      <w:r>
        <w:rPr>
          <w:rFonts w:hint="eastAsia" w:ascii="仿宋_GB2312" w:eastAsia="仿宋_GB2312"/>
          <w:sz w:val="32"/>
        </w:rPr>
        <w:t>为0元</w:t>
      </w:r>
      <w:r>
        <w:rPr>
          <w:rFonts w:ascii="仿宋_GB2312" w:eastAsia="仿宋_GB2312"/>
          <w:sz w:val="32"/>
        </w:rPr>
        <w:t>。</w:t>
      </w:r>
    </w:p>
    <w:p w14:paraId="08447F51">
      <w:pPr>
        <w:rPr>
          <w:rFonts w:hint="eastAsia" w:ascii="黑体" w:hAnsi="黑体" w:eastAsia="黑体"/>
          <w:sz w:val="32"/>
          <w:szCs w:val="32"/>
        </w:rPr>
      </w:pPr>
      <w:r>
        <w:rPr>
          <w:rFonts w:hint="eastAsia" w:ascii="黑体" w:hAnsi="黑体" w:eastAsia="黑体"/>
          <w:sz w:val="32"/>
          <w:szCs w:val="32"/>
        </w:rPr>
        <w:t>三、部门预算绩效分析</w:t>
      </w:r>
    </w:p>
    <w:p w14:paraId="158E5A39">
      <w:pPr>
        <w:rPr>
          <w:rFonts w:ascii="仿宋_GB2312" w:eastAsia="仿宋_GB2312"/>
          <w:sz w:val="32"/>
          <w:szCs w:val="32"/>
        </w:rPr>
      </w:pPr>
      <w:r>
        <w:rPr>
          <w:rFonts w:hint="eastAsia" w:ascii="楷体_GB2312" w:eastAsia="楷体_GB2312"/>
          <w:b/>
          <w:sz w:val="32"/>
          <w:szCs w:val="32"/>
        </w:rPr>
        <w:t>（一）部门预算总体绩效分析。</w:t>
      </w:r>
      <w:r>
        <w:rPr>
          <w:rFonts w:hint="eastAsia" w:ascii="仿宋_GB2312" w:eastAsia="仿宋_GB2312"/>
          <w:sz w:val="32"/>
          <w:szCs w:val="32"/>
        </w:rPr>
        <w:t>根据部门预算绩效评价指标体系“总体绩效”涉及二、三级指标进行逐项绩效分析并评分，依次包括履职效能、预算管理、财务管理、资产管理、采购管理等情况。</w:t>
      </w:r>
    </w:p>
    <w:p w14:paraId="0E19540F">
      <w:pPr>
        <w:spacing w:line="578" w:lineRule="exact"/>
        <w:ind w:firstLine="640" w:firstLineChars="200"/>
        <w:rPr>
          <w:rFonts w:hint="eastAsia" w:ascii="楷体_GB2312" w:hAnsi="楷体_GB2312" w:eastAsia="楷体_GB2312" w:cs="楷体_GB2312"/>
          <w:color w:val="000000"/>
          <w:kern w:val="0"/>
          <w:sz w:val="32"/>
          <w:szCs w:val="32"/>
          <w:shd w:val="clear" w:color="auto" w:fill="FFFFFF"/>
          <w:lang w:val="zh-CN"/>
        </w:rPr>
      </w:pPr>
      <w:r>
        <w:rPr>
          <w:rFonts w:hint="eastAsia" w:ascii="楷体_GB2312" w:hAnsi="楷体_GB2312" w:eastAsia="楷体_GB2312" w:cs="楷体_GB2312"/>
          <w:color w:val="000000"/>
          <w:kern w:val="0"/>
          <w:sz w:val="32"/>
          <w:szCs w:val="32"/>
          <w:shd w:val="clear" w:color="auto" w:fill="FFFFFF"/>
        </w:rPr>
        <w:t>1.</w:t>
      </w:r>
      <w:r>
        <w:rPr>
          <w:rFonts w:hint="eastAsia" w:ascii="楷体_GB2312" w:hAnsi="楷体_GB2312" w:eastAsia="楷体_GB2312" w:cs="楷体_GB2312"/>
          <w:color w:val="000000"/>
          <w:kern w:val="0"/>
          <w:sz w:val="32"/>
          <w:szCs w:val="32"/>
          <w:shd w:val="clear" w:color="auto" w:fill="FFFFFF"/>
          <w:lang w:val="zh-CN"/>
        </w:rPr>
        <w:t>履职</w:t>
      </w:r>
      <w:r>
        <w:rPr>
          <w:rFonts w:hint="eastAsia" w:ascii="楷体_GB2312" w:hAnsi="楷体_GB2312" w:eastAsia="楷体_GB2312" w:cs="楷体_GB2312"/>
          <w:color w:val="000000"/>
          <w:kern w:val="0"/>
          <w:sz w:val="32"/>
          <w:szCs w:val="32"/>
          <w:shd w:val="clear" w:color="auto" w:fill="FFFFFF"/>
        </w:rPr>
        <w:t>效能</w:t>
      </w:r>
      <w:r>
        <w:rPr>
          <w:rFonts w:hint="eastAsia" w:ascii="楷体_GB2312" w:hAnsi="楷体_GB2312" w:eastAsia="楷体_GB2312" w:cs="楷体_GB2312"/>
          <w:color w:val="000000"/>
          <w:kern w:val="0"/>
          <w:sz w:val="32"/>
          <w:szCs w:val="32"/>
          <w:shd w:val="clear" w:color="auto" w:fill="FFFFFF"/>
          <w:lang w:val="zh-CN"/>
        </w:rPr>
        <w:t>。</w:t>
      </w:r>
    </w:p>
    <w:p w14:paraId="7B57D436">
      <w:pPr>
        <w:ind w:firstLine="640" w:firstLineChars="200"/>
        <w:rPr>
          <w:rFonts w:ascii="仿宋_GB2312" w:eastAsia="仿宋_GB2312"/>
          <w:sz w:val="32"/>
          <w:szCs w:val="32"/>
        </w:rPr>
      </w:pPr>
      <w:r>
        <w:rPr>
          <w:rFonts w:hint="eastAsia" w:ascii="仿宋_GB2312" w:eastAsia="仿宋_GB2312"/>
          <w:sz w:val="32"/>
          <w:szCs w:val="32"/>
        </w:rPr>
        <w:t>产出指标：数量指标，民族团结示范点建设数量，≥5处，全年完成值应保尽保。</w:t>
      </w:r>
    </w:p>
    <w:p w14:paraId="29A1F32C">
      <w:pPr>
        <w:ind w:firstLine="640" w:firstLineChars="200"/>
        <w:rPr>
          <w:rFonts w:ascii="仿宋_GB2312" w:eastAsia="仿宋_GB2312"/>
          <w:sz w:val="32"/>
          <w:szCs w:val="32"/>
        </w:rPr>
      </w:pPr>
      <w:r>
        <w:rPr>
          <w:rFonts w:hint="eastAsia" w:ascii="仿宋_GB2312" w:eastAsia="仿宋_GB2312"/>
          <w:sz w:val="32"/>
          <w:szCs w:val="32"/>
        </w:rPr>
        <w:t>产出指标：质量指标，两资项目验收合格率，≥100%，全年完成值100%。</w:t>
      </w:r>
    </w:p>
    <w:p w14:paraId="2F52CE08">
      <w:pPr>
        <w:ind w:firstLine="640" w:firstLineChars="200"/>
        <w:rPr>
          <w:rFonts w:ascii="仿宋_GB2312" w:eastAsia="仿宋_GB2312"/>
          <w:sz w:val="32"/>
          <w:szCs w:val="32"/>
        </w:rPr>
      </w:pPr>
      <w:r>
        <w:rPr>
          <w:rFonts w:hint="eastAsia" w:ascii="仿宋_GB2312" w:eastAsia="仿宋_GB2312"/>
          <w:sz w:val="32"/>
          <w:szCs w:val="32"/>
        </w:rPr>
        <w:t>产出指标：时效指标，创建、两资、宗教工作完成时效，≤1年，全年完成值应保尽保。</w:t>
      </w:r>
    </w:p>
    <w:p w14:paraId="5693D56B">
      <w:pPr>
        <w:ind w:firstLine="640" w:firstLineChars="200"/>
        <w:rPr>
          <w:rFonts w:ascii="仿宋_GB2312" w:eastAsia="仿宋_GB2312"/>
          <w:sz w:val="32"/>
          <w:szCs w:val="32"/>
        </w:rPr>
      </w:pPr>
      <w:r>
        <w:rPr>
          <w:rFonts w:hint="eastAsia" w:ascii="仿宋_GB2312" w:eastAsia="仿宋_GB2312"/>
          <w:sz w:val="32"/>
          <w:szCs w:val="32"/>
        </w:rPr>
        <w:t>效益指标：社会效益指标，落实国家政策、服务民生大众，定性指标，效果显著。</w:t>
      </w:r>
    </w:p>
    <w:p w14:paraId="07BEEEDC">
      <w:pPr>
        <w:ind w:firstLine="640" w:firstLineChars="200"/>
        <w:rPr>
          <w:rFonts w:ascii="仿宋_GB2312" w:eastAsia="仿宋_GB2312"/>
          <w:sz w:val="32"/>
          <w:szCs w:val="32"/>
        </w:rPr>
      </w:pPr>
      <w:r>
        <w:rPr>
          <w:rFonts w:hint="eastAsia" w:ascii="仿宋_GB2312" w:eastAsia="仿宋_GB2312"/>
          <w:sz w:val="32"/>
          <w:szCs w:val="32"/>
        </w:rPr>
        <w:t>满意度指标：服务对象满意度指标，群众满意度，≥95%，全年完成值100%。</w:t>
      </w:r>
    </w:p>
    <w:p w14:paraId="686F614B">
      <w:pPr>
        <w:spacing w:line="578" w:lineRule="exact"/>
        <w:ind w:firstLine="640" w:firstLineChars="200"/>
        <w:rPr>
          <w:rFonts w:hint="eastAsia" w:ascii="楷体_GB2312" w:hAnsi="楷体_GB2312" w:eastAsia="楷体_GB2312" w:cs="楷体_GB2312"/>
          <w:color w:val="000000"/>
          <w:kern w:val="0"/>
          <w:sz w:val="32"/>
          <w:szCs w:val="32"/>
          <w:shd w:val="clear" w:color="auto" w:fill="FFFFFF"/>
          <w:lang w:val="zh-CN"/>
        </w:rPr>
      </w:pPr>
      <w:r>
        <w:rPr>
          <w:rFonts w:hint="eastAsia" w:ascii="楷体_GB2312" w:hAnsi="楷体_GB2312" w:eastAsia="楷体_GB2312" w:cs="楷体_GB2312"/>
          <w:color w:val="000000"/>
          <w:kern w:val="0"/>
          <w:sz w:val="32"/>
          <w:szCs w:val="32"/>
          <w:shd w:val="clear" w:color="auto" w:fill="FFFFFF"/>
        </w:rPr>
        <w:t>2.</w:t>
      </w:r>
      <w:r>
        <w:rPr>
          <w:rFonts w:hint="eastAsia" w:ascii="楷体_GB2312" w:hAnsi="楷体_GB2312" w:eastAsia="楷体_GB2312" w:cs="楷体_GB2312"/>
          <w:color w:val="000000"/>
          <w:kern w:val="0"/>
          <w:sz w:val="32"/>
          <w:szCs w:val="32"/>
          <w:shd w:val="clear" w:color="auto" w:fill="FFFFFF"/>
          <w:lang w:val="zh-CN"/>
        </w:rPr>
        <w:t>预算管理。</w:t>
      </w:r>
    </w:p>
    <w:p w14:paraId="0B0C654A">
      <w:pPr>
        <w:ind w:firstLine="640" w:firstLineChars="200"/>
        <w:rPr>
          <w:rFonts w:ascii="仿宋_GB2312" w:eastAsia="仿宋_GB2312"/>
          <w:sz w:val="32"/>
          <w:szCs w:val="32"/>
        </w:rPr>
      </w:pPr>
      <w:r>
        <w:rPr>
          <w:rFonts w:hint="eastAsia" w:ascii="仿宋_GB2312" w:eastAsia="仿宋_GB2312"/>
          <w:sz w:val="32"/>
          <w:szCs w:val="32"/>
          <w:lang w:val="zh-CN"/>
        </w:rPr>
        <w:t>预算编制质量：实际收入与预算收入无差异，实际支出与预算支出无差异。所有应纳入预算的项目被涵盖</w:t>
      </w:r>
      <w:r>
        <w:rPr>
          <w:rFonts w:hint="eastAsia" w:ascii="仿宋_GB2312" w:eastAsia="仿宋_GB2312"/>
          <w:sz w:val="32"/>
          <w:szCs w:val="32"/>
        </w:rPr>
        <w:t>100%，预算分配与单位的年度总体目标相匹配。预算编制符合法律法规和内部政策制度。</w:t>
      </w:r>
    </w:p>
    <w:p w14:paraId="5C4261E8">
      <w:pPr>
        <w:ind w:firstLine="640" w:firstLineChars="200"/>
        <w:rPr>
          <w:rFonts w:ascii="仿宋_GB2312" w:eastAsia="仿宋_GB2312"/>
          <w:sz w:val="32"/>
          <w:szCs w:val="32"/>
          <w:lang w:val="zh-CN"/>
        </w:rPr>
      </w:pPr>
      <w:r>
        <w:rPr>
          <w:rFonts w:hint="eastAsia" w:ascii="仿宋_GB2312" w:eastAsia="仿宋_GB2312"/>
          <w:sz w:val="32"/>
          <w:szCs w:val="32"/>
          <w:lang w:val="zh-CN"/>
        </w:rPr>
        <w:t>单位收入统筹：</w:t>
      </w:r>
      <w:r>
        <w:rPr>
          <w:rFonts w:hint="eastAsia" w:ascii="仿宋_GB2312" w:eastAsia="仿宋_GB2312"/>
          <w:sz w:val="32"/>
          <w:szCs w:val="32"/>
        </w:rPr>
        <w:t>本单位</w:t>
      </w:r>
      <w:r>
        <w:rPr>
          <w:rFonts w:hint="eastAsia" w:ascii="仿宋_GB2312" w:eastAsia="仿宋_GB2312"/>
          <w:sz w:val="32"/>
          <w:szCs w:val="32"/>
          <w:lang w:eastAsia="zh-CN"/>
        </w:rPr>
        <w:t>2025年</w:t>
      </w:r>
      <w:r>
        <w:rPr>
          <w:rFonts w:hint="eastAsia" w:ascii="仿宋_GB2312" w:eastAsia="仿宋_GB2312"/>
          <w:sz w:val="32"/>
          <w:szCs w:val="32"/>
        </w:rPr>
        <w:t>收入全年预算数为</w:t>
      </w:r>
      <w:r>
        <w:rPr>
          <w:rFonts w:hint="eastAsia" w:ascii="仿宋_GB2312" w:eastAsia="仿宋_GB2312"/>
          <w:sz w:val="32"/>
          <w:szCs w:val="32"/>
          <w:lang w:eastAsia="zh-CN"/>
        </w:rPr>
        <w:t>527.05万元</w:t>
      </w:r>
      <w:r>
        <w:rPr>
          <w:rFonts w:hint="eastAsia" w:ascii="仿宋_GB2312" w:eastAsia="仿宋_GB2312"/>
          <w:sz w:val="32"/>
          <w:szCs w:val="32"/>
        </w:rPr>
        <w:t>，收入决算数为</w:t>
      </w:r>
      <w:r>
        <w:rPr>
          <w:rFonts w:hint="eastAsia" w:ascii="仿宋_GB2312" w:eastAsia="仿宋_GB2312"/>
          <w:sz w:val="32"/>
          <w:szCs w:val="32"/>
          <w:lang w:eastAsia="zh-CN"/>
        </w:rPr>
        <w:t>477.94万元</w:t>
      </w:r>
      <w:r>
        <w:rPr>
          <w:rFonts w:hint="eastAsia" w:ascii="仿宋_GB2312" w:eastAsia="仿宋_GB2312"/>
          <w:sz w:val="32"/>
          <w:szCs w:val="32"/>
        </w:rPr>
        <w:t>，预算完成度为</w:t>
      </w:r>
      <w:r>
        <w:rPr>
          <w:rFonts w:hint="eastAsia" w:ascii="仿宋_GB2312" w:eastAsia="仿宋_GB2312"/>
          <w:sz w:val="32"/>
          <w:lang w:val="zh-CN"/>
        </w:rPr>
        <w:t>为</w:t>
      </w:r>
      <w:r>
        <w:rPr>
          <w:rFonts w:hint="eastAsia" w:ascii="仿宋_GB2312" w:eastAsia="仿宋_GB2312"/>
          <w:sz w:val="32"/>
        </w:rPr>
        <w:t>9</w:t>
      </w:r>
      <w:r>
        <w:rPr>
          <w:rFonts w:hint="eastAsia" w:ascii="仿宋_GB2312" w:eastAsia="仿宋_GB2312"/>
          <w:sz w:val="32"/>
          <w:lang w:val="en-US" w:eastAsia="zh-CN"/>
        </w:rPr>
        <w:t>0</w:t>
      </w:r>
      <w:r>
        <w:rPr>
          <w:rFonts w:hint="eastAsia" w:ascii="仿宋_GB2312" w:eastAsia="仿宋_GB2312"/>
          <w:sz w:val="32"/>
        </w:rPr>
        <w:t>.</w:t>
      </w:r>
      <w:r>
        <w:rPr>
          <w:rFonts w:hint="eastAsia" w:ascii="仿宋_GB2312" w:eastAsia="仿宋_GB2312"/>
          <w:sz w:val="32"/>
          <w:lang w:val="en-US" w:eastAsia="zh-CN"/>
        </w:rPr>
        <w:t>68</w:t>
      </w:r>
      <w:r>
        <w:rPr>
          <w:rFonts w:hint="eastAsia" w:ascii="仿宋_GB2312" w:eastAsia="仿宋_GB2312"/>
          <w:sz w:val="32"/>
          <w:lang w:val="zh-CN"/>
        </w:rPr>
        <w:t>%</w:t>
      </w:r>
      <w:r>
        <w:rPr>
          <w:rFonts w:hint="eastAsia" w:ascii="仿宋_GB2312" w:eastAsia="仿宋_GB2312"/>
          <w:sz w:val="32"/>
          <w:szCs w:val="32"/>
        </w:rPr>
        <w:t>。</w:t>
      </w:r>
      <w:r>
        <w:rPr>
          <w:rFonts w:hint="eastAsia" w:ascii="仿宋_GB2312" w:eastAsia="仿宋_GB2312"/>
          <w:sz w:val="32"/>
          <w:szCs w:val="32"/>
          <w:lang w:val="zh-CN"/>
        </w:rPr>
        <w:t>2025年度总收入</w:t>
      </w:r>
      <w:r>
        <w:rPr>
          <w:rFonts w:hint="eastAsia" w:ascii="仿宋_GB2312" w:eastAsia="仿宋_GB2312"/>
          <w:sz w:val="32"/>
          <w:szCs w:val="32"/>
          <w:lang w:eastAsia="zh-CN"/>
        </w:rPr>
        <w:t>477.94万元</w:t>
      </w:r>
      <w:r>
        <w:rPr>
          <w:rFonts w:hint="eastAsia" w:ascii="仿宋_GB2312" w:eastAsia="仿宋_GB2312"/>
          <w:sz w:val="32"/>
          <w:szCs w:val="32"/>
          <w:lang w:val="zh-CN"/>
        </w:rPr>
        <w:t>，其中：财政拨款收入</w:t>
      </w:r>
      <w:r>
        <w:rPr>
          <w:rFonts w:hint="eastAsia" w:ascii="仿宋_GB2312" w:eastAsia="仿宋_GB2312"/>
          <w:sz w:val="32"/>
          <w:szCs w:val="32"/>
          <w:lang w:eastAsia="zh-CN"/>
        </w:rPr>
        <w:t>477.94万元</w:t>
      </w:r>
      <w:r>
        <w:rPr>
          <w:rFonts w:hint="eastAsia" w:ascii="仿宋_GB2312" w:eastAsia="仿宋_GB2312"/>
          <w:sz w:val="32"/>
          <w:szCs w:val="32"/>
          <w:lang w:val="zh-CN"/>
        </w:rPr>
        <w:t>，占</w:t>
      </w:r>
      <w:r>
        <w:rPr>
          <w:rFonts w:hint="eastAsia" w:ascii="仿宋_GB2312" w:eastAsia="仿宋_GB2312"/>
          <w:sz w:val="32"/>
          <w:szCs w:val="32"/>
        </w:rPr>
        <w:t>100</w:t>
      </w:r>
      <w:r>
        <w:rPr>
          <w:rFonts w:hint="eastAsia" w:ascii="仿宋_GB2312" w:eastAsia="仿宋_GB2312"/>
          <w:sz w:val="32"/>
          <w:szCs w:val="32"/>
          <w:lang w:val="zh-CN"/>
        </w:rPr>
        <w:t>%；政府性基金预算财政拨款</w:t>
      </w:r>
      <w:r>
        <w:rPr>
          <w:rFonts w:hint="eastAsia" w:ascii="仿宋_GB2312" w:eastAsia="仿宋_GB2312"/>
          <w:sz w:val="32"/>
          <w:szCs w:val="32"/>
        </w:rPr>
        <w:t>0</w:t>
      </w:r>
      <w:r>
        <w:rPr>
          <w:rFonts w:hint="eastAsia" w:ascii="仿宋_GB2312" w:eastAsia="仿宋_GB2312"/>
          <w:sz w:val="32"/>
          <w:szCs w:val="32"/>
          <w:lang w:val="zh-CN"/>
        </w:rPr>
        <w:t>万元，占</w:t>
      </w:r>
      <w:r>
        <w:rPr>
          <w:rFonts w:hint="eastAsia" w:ascii="仿宋_GB2312" w:eastAsia="仿宋_GB2312"/>
          <w:sz w:val="32"/>
          <w:szCs w:val="32"/>
        </w:rPr>
        <w:t>0</w:t>
      </w:r>
      <w:r>
        <w:rPr>
          <w:rFonts w:hint="eastAsia" w:ascii="仿宋_GB2312" w:eastAsia="仿宋_GB2312"/>
          <w:sz w:val="32"/>
          <w:szCs w:val="32"/>
          <w:lang w:val="zh-CN"/>
        </w:rPr>
        <w:t>%；其他收入</w:t>
      </w:r>
      <w:r>
        <w:rPr>
          <w:rFonts w:hint="eastAsia" w:ascii="仿宋_GB2312" w:eastAsia="仿宋_GB2312"/>
          <w:sz w:val="32"/>
          <w:szCs w:val="32"/>
        </w:rPr>
        <w:t>0</w:t>
      </w:r>
      <w:r>
        <w:rPr>
          <w:rFonts w:hint="eastAsia" w:ascii="仿宋_GB2312" w:eastAsia="仿宋_GB2312"/>
          <w:sz w:val="32"/>
          <w:szCs w:val="32"/>
          <w:lang w:val="zh-CN"/>
        </w:rPr>
        <w:t>万元，占</w:t>
      </w:r>
      <w:r>
        <w:rPr>
          <w:rFonts w:hint="eastAsia" w:ascii="仿宋_GB2312" w:eastAsia="仿宋_GB2312"/>
          <w:sz w:val="32"/>
          <w:szCs w:val="32"/>
        </w:rPr>
        <w:t>0</w:t>
      </w:r>
      <w:r>
        <w:rPr>
          <w:rFonts w:hint="eastAsia" w:ascii="仿宋_GB2312" w:eastAsia="仿宋_GB2312"/>
          <w:sz w:val="32"/>
          <w:szCs w:val="32"/>
          <w:lang w:val="zh-CN"/>
        </w:rPr>
        <w:t>%；上级补助收入0万元，占0%；事业收入0万元，占0%；经营收入0万元，占0%；附属单位上缴收入0万元，占0%；上年项目支出结转和结余</w:t>
      </w:r>
      <w:r>
        <w:rPr>
          <w:rFonts w:hint="eastAsia" w:ascii="仿宋_GB2312" w:eastAsia="仿宋_GB2312"/>
          <w:sz w:val="32"/>
          <w:szCs w:val="32"/>
        </w:rPr>
        <w:t>0</w:t>
      </w:r>
      <w:r>
        <w:rPr>
          <w:rFonts w:hint="eastAsia" w:ascii="仿宋_GB2312" w:eastAsia="仿宋_GB2312"/>
          <w:sz w:val="32"/>
          <w:szCs w:val="32"/>
          <w:lang w:val="zh-CN"/>
        </w:rPr>
        <w:t>万元，占</w:t>
      </w:r>
      <w:r>
        <w:rPr>
          <w:rFonts w:hint="eastAsia" w:ascii="仿宋_GB2312" w:eastAsia="仿宋_GB2312"/>
          <w:sz w:val="32"/>
          <w:szCs w:val="32"/>
        </w:rPr>
        <w:t>0</w:t>
      </w:r>
      <w:r>
        <w:rPr>
          <w:rFonts w:hint="eastAsia" w:ascii="仿宋_GB2312" w:eastAsia="仿宋_GB2312"/>
          <w:sz w:val="32"/>
          <w:szCs w:val="32"/>
          <w:lang w:val="zh-CN"/>
        </w:rPr>
        <w:t>%。</w:t>
      </w:r>
    </w:p>
    <w:p w14:paraId="60C1129D">
      <w:pPr>
        <w:ind w:firstLine="640" w:firstLineChars="200"/>
        <w:rPr>
          <w:rFonts w:ascii="仿宋_GB2312" w:eastAsia="仿宋_GB2312"/>
          <w:sz w:val="32"/>
          <w:szCs w:val="32"/>
        </w:rPr>
      </w:pPr>
      <w:r>
        <w:rPr>
          <w:rFonts w:hint="eastAsia" w:ascii="仿宋_GB2312" w:eastAsia="仿宋_GB2312"/>
          <w:sz w:val="32"/>
          <w:szCs w:val="32"/>
          <w:lang w:val="zh-CN"/>
        </w:rPr>
        <w:t>支出执行进度：</w:t>
      </w:r>
      <w:r>
        <w:rPr>
          <w:rFonts w:hint="eastAsia" w:ascii="仿宋_GB2312" w:eastAsia="仿宋_GB2312"/>
          <w:sz w:val="32"/>
          <w:szCs w:val="32"/>
          <w:lang w:eastAsia="zh-CN"/>
        </w:rPr>
        <w:t>2025年</w:t>
      </w:r>
      <w:r>
        <w:rPr>
          <w:rFonts w:hint="eastAsia" w:ascii="仿宋_GB2312" w:eastAsia="仿宋_GB2312"/>
          <w:sz w:val="32"/>
          <w:szCs w:val="32"/>
        </w:rPr>
        <w:t>度支出全年预算数为</w:t>
      </w:r>
      <w:r>
        <w:rPr>
          <w:rFonts w:hint="eastAsia" w:ascii="仿宋_GB2312" w:eastAsia="仿宋_GB2312"/>
          <w:sz w:val="32"/>
          <w:szCs w:val="32"/>
          <w:lang w:eastAsia="zh-CN"/>
        </w:rPr>
        <w:t>527.05万元</w:t>
      </w:r>
      <w:r>
        <w:rPr>
          <w:rFonts w:hint="eastAsia" w:ascii="仿宋_GB2312" w:eastAsia="仿宋_GB2312"/>
          <w:sz w:val="32"/>
          <w:szCs w:val="32"/>
        </w:rPr>
        <w:t>，支出决算数为</w:t>
      </w:r>
      <w:r>
        <w:rPr>
          <w:rFonts w:hint="eastAsia" w:ascii="仿宋_GB2312" w:eastAsia="仿宋_GB2312"/>
          <w:sz w:val="32"/>
          <w:szCs w:val="32"/>
          <w:lang w:eastAsia="zh-CN"/>
        </w:rPr>
        <w:t>477.94万元</w:t>
      </w:r>
      <w:r>
        <w:rPr>
          <w:rFonts w:hint="eastAsia" w:ascii="仿宋_GB2312" w:eastAsia="仿宋_GB2312"/>
          <w:sz w:val="32"/>
          <w:szCs w:val="32"/>
        </w:rPr>
        <w:t>，预算完成度为</w:t>
      </w:r>
      <w:r>
        <w:rPr>
          <w:rFonts w:hint="eastAsia" w:ascii="仿宋_GB2312" w:eastAsia="仿宋_GB2312"/>
          <w:sz w:val="32"/>
        </w:rPr>
        <w:t>9</w:t>
      </w:r>
      <w:r>
        <w:rPr>
          <w:rFonts w:hint="eastAsia" w:ascii="仿宋_GB2312" w:eastAsia="仿宋_GB2312"/>
          <w:sz w:val="32"/>
          <w:lang w:val="en-US" w:eastAsia="zh-CN"/>
        </w:rPr>
        <w:t>0</w:t>
      </w:r>
      <w:r>
        <w:rPr>
          <w:rFonts w:hint="eastAsia" w:ascii="仿宋_GB2312" w:eastAsia="仿宋_GB2312"/>
          <w:sz w:val="32"/>
        </w:rPr>
        <w:t>.</w:t>
      </w:r>
      <w:r>
        <w:rPr>
          <w:rFonts w:hint="eastAsia" w:ascii="仿宋_GB2312" w:eastAsia="仿宋_GB2312"/>
          <w:sz w:val="32"/>
          <w:lang w:val="en-US" w:eastAsia="zh-CN"/>
        </w:rPr>
        <w:t>68</w:t>
      </w:r>
      <w:r>
        <w:rPr>
          <w:rFonts w:hint="eastAsia" w:ascii="仿宋_GB2312" w:eastAsia="仿宋_GB2312"/>
          <w:sz w:val="32"/>
          <w:lang w:val="zh-CN"/>
        </w:rPr>
        <w:t>%</w:t>
      </w:r>
      <w:r>
        <w:rPr>
          <w:rFonts w:hint="eastAsia" w:ascii="仿宋_GB2312" w:eastAsia="仿宋_GB2312"/>
          <w:sz w:val="32"/>
          <w:szCs w:val="32"/>
        </w:rPr>
        <w:t>，执行进度</w:t>
      </w:r>
      <w:r>
        <w:rPr>
          <w:rFonts w:hint="eastAsia" w:ascii="仿宋_GB2312" w:eastAsia="仿宋_GB2312"/>
          <w:sz w:val="32"/>
        </w:rPr>
        <w:t>9</w:t>
      </w:r>
      <w:r>
        <w:rPr>
          <w:rFonts w:hint="eastAsia" w:ascii="仿宋_GB2312" w:eastAsia="仿宋_GB2312"/>
          <w:sz w:val="32"/>
          <w:lang w:val="en-US" w:eastAsia="zh-CN"/>
        </w:rPr>
        <w:t>0</w:t>
      </w:r>
      <w:r>
        <w:rPr>
          <w:rFonts w:hint="eastAsia" w:ascii="仿宋_GB2312" w:eastAsia="仿宋_GB2312"/>
          <w:sz w:val="32"/>
        </w:rPr>
        <w:t>.</w:t>
      </w:r>
      <w:r>
        <w:rPr>
          <w:rFonts w:hint="eastAsia" w:ascii="仿宋_GB2312" w:eastAsia="仿宋_GB2312"/>
          <w:sz w:val="32"/>
          <w:lang w:val="en-US" w:eastAsia="zh-CN"/>
        </w:rPr>
        <w:t>68</w:t>
      </w:r>
      <w:r>
        <w:rPr>
          <w:rFonts w:hint="eastAsia" w:ascii="仿宋_GB2312" w:eastAsia="仿宋_GB2312"/>
          <w:sz w:val="32"/>
          <w:lang w:val="zh-CN"/>
        </w:rPr>
        <w:t>%</w:t>
      </w:r>
      <w:r>
        <w:rPr>
          <w:rFonts w:hint="eastAsia" w:ascii="仿宋_GB2312" w:eastAsia="仿宋_GB2312"/>
          <w:sz w:val="32"/>
          <w:szCs w:val="32"/>
        </w:rPr>
        <w:t>。</w:t>
      </w:r>
    </w:p>
    <w:p w14:paraId="54EFFECF">
      <w:pPr>
        <w:ind w:firstLine="640" w:firstLineChars="200"/>
        <w:rPr>
          <w:rFonts w:hint="eastAsia" w:ascii="楷体_GB2312" w:hAnsi="楷体_GB2312" w:eastAsia="楷体_GB2312" w:cs="楷体_GB2312"/>
          <w:color w:val="000000"/>
          <w:kern w:val="0"/>
          <w:sz w:val="32"/>
          <w:szCs w:val="32"/>
          <w:shd w:val="clear" w:color="auto" w:fill="FFFFFF"/>
          <w:lang w:val="zh-CN"/>
        </w:rPr>
      </w:pPr>
      <w:r>
        <w:rPr>
          <w:rFonts w:hint="eastAsia" w:ascii="仿宋_GB2312" w:eastAsia="仿宋_GB2312"/>
          <w:sz w:val="32"/>
          <w:szCs w:val="32"/>
          <w:lang w:val="zh-CN"/>
        </w:rPr>
        <w:t>预算年终结余：无。</w:t>
      </w:r>
    </w:p>
    <w:p w14:paraId="42104A1D">
      <w:pPr>
        <w:adjustRightInd w:val="0"/>
        <w:snapToGrid w:val="0"/>
        <w:spacing w:line="578" w:lineRule="exact"/>
        <w:ind w:firstLine="640" w:firstLineChars="200"/>
        <w:jc w:val="left"/>
        <w:rPr>
          <w:rFonts w:eastAsia="仿宋_GB2312"/>
          <w:sz w:val="32"/>
          <w:szCs w:val="32"/>
          <w:lang w:val="zh-CN"/>
        </w:rPr>
      </w:pPr>
      <w:r>
        <w:rPr>
          <w:rFonts w:hint="eastAsia" w:ascii="楷体_GB2312" w:hAnsi="楷体_GB2312" w:eastAsia="楷体_GB2312" w:cs="楷体_GB2312"/>
          <w:color w:val="000000"/>
          <w:kern w:val="0"/>
          <w:sz w:val="32"/>
          <w:szCs w:val="32"/>
          <w:shd w:val="clear" w:color="auto" w:fill="FFFFFF"/>
        </w:rPr>
        <w:t>3.</w:t>
      </w:r>
      <w:r>
        <w:rPr>
          <w:rFonts w:hint="eastAsia" w:ascii="楷体_GB2312" w:hAnsi="楷体_GB2312" w:eastAsia="楷体_GB2312" w:cs="楷体_GB2312"/>
          <w:color w:val="000000"/>
          <w:kern w:val="0"/>
          <w:sz w:val="32"/>
          <w:szCs w:val="32"/>
          <w:shd w:val="clear" w:color="auto" w:fill="FFFFFF"/>
          <w:lang w:val="zh-CN"/>
        </w:rPr>
        <w:t>财务管理。</w:t>
      </w:r>
      <w:r>
        <w:rPr>
          <w:rFonts w:hint="eastAsia" w:eastAsia="仿宋_GB2312"/>
          <w:sz w:val="32"/>
          <w:szCs w:val="32"/>
          <w:lang w:val="zh-CN"/>
        </w:rPr>
        <w:t>围绕财务管理制度、财务岗位设置、资金使用规范进行绩效分析。</w:t>
      </w:r>
    </w:p>
    <w:p w14:paraId="4044B750">
      <w:pPr>
        <w:adjustRightInd w:val="0"/>
        <w:snapToGrid w:val="0"/>
        <w:spacing w:line="578" w:lineRule="exact"/>
        <w:ind w:firstLine="640" w:firstLineChars="200"/>
        <w:contextualSpacing/>
        <w:jc w:val="left"/>
        <w:rPr>
          <w:rFonts w:hint="eastAsia" w:ascii="仿宋" w:hAnsi="仿宋" w:eastAsia="仿宋" w:cs="仿宋"/>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lang w:val="zh-CN"/>
        </w:rPr>
        <w:t>执行国家有关财务法律法规的同时，建立健全内部财务管理制度，按照党风廉政建设的要求，全体干部职工廉洁奉公、忠于职守。禁止利用职权和职务上的便利谋取不正当的利益。制定了相关规章制度，加强了项目资金的管理和监督，杜绝违规违法事件的发生。本着勤俭节约原则，管理好用好每笔资金。财务活动接受审计、财政、纪检监察等部门的监督检查，无存在违规进行资产购置，擅自处置财产、对外投资，财政票据管理、使用不规范等问题，按照规定保管会计档案，并建立完善的内部控制制度和监督制度。</w:t>
      </w:r>
    </w:p>
    <w:p w14:paraId="6ED568D5">
      <w:pPr>
        <w:adjustRightInd w:val="0"/>
        <w:snapToGrid w:val="0"/>
        <w:spacing w:line="578" w:lineRule="exact"/>
        <w:ind w:firstLine="640" w:firstLineChars="200"/>
        <w:contextualSpacing/>
        <w:jc w:val="left"/>
        <w:rPr>
          <w:rFonts w:hint="eastAsia" w:ascii="仿宋" w:hAnsi="仿宋" w:eastAsia="仿宋" w:cs="仿宋"/>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lang w:val="zh-CN"/>
        </w:rPr>
        <w:t>根据本单位工作实际，在建立并实施内部监督和控制制度过程中，建立和完善各项制度的同时，相关人员在工作过程中严格遵守这些规章制度，有效地实施了内部监督和控制，保证了会计工作的真实性、完整性以及单位财产的安全，加强了对本单位财产物资的监督和管理，杜绝了各种漏洞的发生，达到了以下四点要求：</w:t>
      </w:r>
    </w:p>
    <w:p w14:paraId="636E4734">
      <w:pPr>
        <w:adjustRightInd w:val="0"/>
        <w:snapToGrid w:val="0"/>
        <w:spacing w:line="578" w:lineRule="exact"/>
        <w:ind w:firstLine="640" w:firstLineChars="200"/>
        <w:contextualSpacing/>
        <w:jc w:val="left"/>
        <w:rPr>
          <w:rFonts w:hint="eastAsia" w:ascii="仿宋" w:hAnsi="仿宋" w:eastAsia="仿宋" w:cs="仿宋"/>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rPr>
        <w:t>A</w:t>
      </w:r>
      <w:r>
        <w:rPr>
          <w:rFonts w:hint="eastAsia" w:ascii="仿宋" w:hAnsi="仿宋" w:eastAsia="仿宋" w:cs="仿宋"/>
          <w:color w:val="000000"/>
          <w:kern w:val="0"/>
          <w:sz w:val="32"/>
          <w:szCs w:val="32"/>
          <w:shd w:val="clear" w:color="auto" w:fill="FFFFFF"/>
          <w:lang w:val="zh-CN"/>
        </w:rPr>
        <w:t>、明确了记账人员与审批人员、经办人员的职责权限，使其相互分离、相互制约，以明确责任，防止舞弊，各项业务事项得以有序进行。</w:t>
      </w:r>
    </w:p>
    <w:p w14:paraId="499EB8F4">
      <w:pPr>
        <w:adjustRightInd w:val="0"/>
        <w:snapToGrid w:val="0"/>
        <w:spacing w:line="578" w:lineRule="exact"/>
        <w:ind w:firstLine="640" w:firstLineChars="200"/>
        <w:contextualSpacing/>
        <w:jc w:val="left"/>
        <w:rPr>
          <w:rFonts w:hint="eastAsia" w:ascii="仿宋" w:hAnsi="仿宋" w:eastAsia="仿宋" w:cs="仿宋"/>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rPr>
        <w:t>B</w:t>
      </w:r>
      <w:r>
        <w:rPr>
          <w:rFonts w:hint="eastAsia" w:ascii="仿宋" w:hAnsi="仿宋" w:eastAsia="仿宋" w:cs="仿宋"/>
          <w:color w:val="000000"/>
          <w:kern w:val="0"/>
          <w:sz w:val="32"/>
          <w:szCs w:val="32"/>
          <w:shd w:val="clear" w:color="auto" w:fill="FFFFFF"/>
          <w:lang w:val="zh-CN"/>
        </w:rPr>
        <w:t>、明确了财务收支审批程序和审批人的权限和责任，规范了各项资金的使用，提高了资金使用效益。</w:t>
      </w:r>
    </w:p>
    <w:p w14:paraId="092C4C1C">
      <w:pPr>
        <w:adjustRightInd w:val="0"/>
        <w:snapToGrid w:val="0"/>
        <w:spacing w:line="578" w:lineRule="exact"/>
        <w:ind w:firstLine="640" w:firstLineChars="200"/>
        <w:contextualSpacing/>
        <w:jc w:val="left"/>
        <w:rPr>
          <w:rFonts w:hint="eastAsia" w:ascii="仿宋" w:hAnsi="仿宋" w:eastAsia="仿宋" w:cs="仿宋"/>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rPr>
        <w:t>C</w:t>
      </w:r>
      <w:r>
        <w:rPr>
          <w:rFonts w:hint="eastAsia" w:ascii="仿宋" w:hAnsi="仿宋" w:eastAsia="仿宋" w:cs="仿宋"/>
          <w:color w:val="000000"/>
          <w:kern w:val="0"/>
          <w:sz w:val="32"/>
          <w:szCs w:val="32"/>
          <w:shd w:val="clear" w:color="auto" w:fill="FFFFFF"/>
          <w:lang w:val="zh-CN"/>
        </w:rPr>
        <w:t>、明确经费支出的范围和开支标准，采取各种有效措施控制经费开支，杜绝了浪费现象的发生。</w:t>
      </w:r>
    </w:p>
    <w:p w14:paraId="46B70387">
      <w:pPr>
        <w:ind w:firstLine="640" w:firstLineChars="200"/>
        <w:rPr>
          <w:lang w:val="zh-CN"/>
        </w:rPr>
      </w:pPr>
      <w:r>
        <w:rPr>
          <w:rFonts w:hint="eastAsia" w:ascii="仿宋" w:hAnsi="仿宋" w:eastAsia="仿宋" w:cs="仿宋"/>
          <w:color w:val="000000"/>
          <w:kern w:val="0"/>
          <w:sz w:val="32"/>
          <w:szCs w:val="32"/>
          <w:shd w:val="clear" w:color="auto" w:fill="FFFFFF"/>
        </w:rPr>
        <w:t>D</w:t>
      </w:r>
      <w:r>
        <w:rPr>
          <w:rFonts w:hint="eastAsia" w:ascii="仿宋" w:hAnsi="仿宋" w:eastAsia="仿宋" w:cs="仿宋"/>
          <w:color w:val="000000"/>
          <w:kern w:val="0"/>
          <w:sz w:val="32"/>
          <w:szCs w:val="32"/>
          <w:shd w:val="clear" w:color="auto" w:fill="FFFFFF"/>
          <w:lang w:val="zh-CN"/>
        </w:rPr>
        <w:t>、明确账务处理程序，根据机关事业单位会计制度的规定，确定单位会计科目和明细科目的设置和使用范围；确定本单位会计凭证格式、填制要求、审核要求、传递程序、保管要求等；确定本单位的总账、明细账、银行存款日记账、各种辅助账等的设置、格式、登记、对账、结算、改错等要求，确保会计核算准确无误。</w:t>
      </w:r>
    </w:p>
    <w:p w14:paraId="49410F8A">
      <w:pPr>
        <w:adjustRightInd w:val="0"/>
        <w:snapToGrid w:val="0"/>
        <w:spacing w:line="578" w:lineRule="exact"/>
        <w:ind w:firstLine="640" w:firstLineChars="200"/>
        <w:contextualSpacing/>
        <w:jc w:val="left"/>
        <w:rPr>
          <w:rFonts w:hint="eastAsia" w:ascii="楷体_GB2312" w:hAnsi="楷体_GB2312" w:eastAsia="楷体_GB2312" w:cs="楷体_GB2312"/>
          <w:color w:val="000000"/>
          <w:kern w:val="0"/>
          <w:sz w:val="32"/>
          <w:szCs w:val="32"/>
          <w:shd w:val="clear" w:color="auto" w:fill="FFFFFF"/>
          <w:lang w:val="zh-CN"/>
        </w:rPr>
      </w:pPr>
      <w:r>
        <w:rPr>
          <w:rFonts w:hint="eastAsia" w:ascii="楷体_GB2312" w:hAnsi="楷体_GB2312" w:eastAsia="楷体_GB2312" w:cs="楷体_GB2312"/>
          <w:color w:val="000000"/>
          <w:kern w:val="0"/>
          <w:sz w:val="32"/>
          <w:szCs w:val="32"/>
          <w:shd w:val="clear" w:color="auto" w:fill="FFFFFF"/>
        </w:rPr>
        <w:t>4.</w:t>
      </w:r>
      <w:r>
        <w:rPr>
          <w:rFonts w:hint="eastAsia" w:ascii="楷体_GB2312" w:hAnsi="楷体_GB2312" w:eastAsia="楷体_GB2312" w:cs="楷体_GB2312"/>
          <w:color w:val="000000"/>
          <w:kern w:val="0"/>
          <w:sz w:val="32"/>
          <w:szCs w:val="32"/>
          <w:shd w:val="clear" w:color="auto" w:fill="FFFFFF"/>
          <w:lang w:val="zh-CN"/>
        </w:rPr>
        <w:t>资产管理。</w:t>
      </w:r>
    </w:p>
    <w:p w14:paraId="1BD6BE92">
      <w:pPr>
        <w:adjustRightInd w:val="0"/>
        <w:snapToGrid w:val="0"/>
        <w:spacing w:line="578" w:lineRule="exact"/>
        <w:ind w:firstLine="640" w:firstLineChars="200"/>
        <w:contextualSpacing/>
        <w:jc w:val="left"/>
        <w:rPr>
          <w:rFonts w:hint="eastAsia" w:ascii="仿宋" w:hAnsi="仿宋" w:eastAsia="仿宋" w:cs="仿宋"/>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lang w:val="zh-CN"/>
        </w:rPr>
        <w:t>人均资产变化率：无变化。</w:t>
      </w:r>
    </w:p>
    <w:p w14:paraId="45782715">
      <w:pPr>
        <w:adjustRightInd w:val="0"/>
        <w:snapToGrid w:val="0"/>
        <w:spacing w:line="578" w:lineRule="exact"/>
        <w:ind w:firstLine="640" w:firstLineChars="200"/>
        <w:contextualSpacing/>
        <w:jc w:val="left"/>
        <w:rPr>
          <w:rFonts w:hint="eastAsia" w:ascii="仿宋" w:hAnsi="仿宋" w:eastAsia="仿宋" w:cs="仿宋"/>
          <w:color w:val="000000"/>
          <w:kern w:val="0"/>
          <w:sz w:val="32"/>
          <w:szCs w:val="32"/>
          <w:shd w:val="clear" w:color="auto" w:fill="FFFFFF"/>
        </w:rPr>
      </w:pPr>
      <w:r>
        <w:rPr>
          <w:rFonts w:hint="eastAsia" w:ascii="仿宋" w:hAnsi="仿宋" w:eastAsia="仿宋" w:cs="仿宋"/>
          <w:color w:val="000000"/>
          <w:kern w:val="0"/>
          <w:sz w:val="32"/>
          <w:szCs w:val="32"/>
          <w:shd w:val="clear" w:color="auto" w:fill="FFFFFF"/>
          <w:lang w:val="zh-CN"/>
        </w:rPr>
        <w:t>资产利用率：</w:t>
      </w:r>
      <w:r>
        <w:rPr>
          <w:rFonts w:hint="eastAsia" w:ascii="仿宋" w:hAnsi="仿宋" w:eastAsia="仿宋" w:cs="仿宋"/>
          <w:color w:val="000000"/>
          <w:kern w:val="0"/>
          <w:sz w:val="32"/>
          <w:szCs w:val="32"/>
          <w:shd w:val="clear" w:color="auto" w:fill="FFFFFF"/>
        </w:rPr>
        <w:t>100%。</w:t>
      </w:r>
    </w:p>
    <w:p w14:paraId="1BFEE8D8">
      <w:pPr>
        <w:adjustRightInd w:val="0"/>
        <w:snapToGrid w:val="0"/>
        <w:spacing w:line="578" w:lineRule="exact"/>
        <w:ind w:firstLine="640" w:firstLineChars="200"/>
        <w:contextualSpacing/>
        <w:jc w:val="left"/>
        <w:rPr>
          <w:rFonts w:hint="eastAsia" w:ascii="仿宋" w:hAnsi="仿宋" w:eastAsia="仿宋" w:cs="仿宋"/>
          <w:color w:val="000000"/>
          <w:kern w:val="0"/>
          <w:sz w:val="32"/>
          <w:szCs w:val="32"/>
          <w:shd w:val="clear" w:color="auto" w:fill="FFFFFF"/>
        </w:rPr>
      </w:pPr>
      <w:r>
        <w:rPr>
          <w:rFonts w:hint="eastAsia" w:ascii="仿宋" w:hAnsi="仿宋" w:eastAsia="仿宋" w:cs="仿宋"/>
          <w:color w:val="000000"/>
          <w:kern w:val="0"/>
          <w:sz w:val="32"/>
          <w:szCs w:val="32"/>
          <w:shd w:val="clear" w:color="auto" w:fill="FFFFFF"/>
          <w:lang w:val="zh-CN"/>
        </w:rPr>
        <w:t>资产盘活率：</w:t>
      </w:r>
      <w:r>
        <w:rPr>
          <w:rFonts w:hint="eastAsia" w:ascii="仿宋" w:hAnsi="仿宋" w:eastAsia="仿宋" w:cs="仿宋"/>
          <w:color w:val="000000"/>
          <w:kern w:val="0"/>
          <w:sz w:val="32"/>
          <w:szCs w:val="32"/>
          <w:shd w:val="clear" w:color="auto" w:fill="FFFFFF"/>
        </w:rPr>
        <w:t>95%。</w:t>
      </w:r>
    </w:p>
    <w:p w14:paraId="119D25C9">
      <w:pPr>
        <w:adjustRightInd w:val="0"/>
        <w:snapToGrid w:val="0"/>
        <w:spacing w:line="578" w:lineRule="exact"/>
        <w:ind w:firstLine="640" w:firstLineChars="200"/>
        <w:jc w:val="left"/>
        <w:rPr>
          <w:rFonts w:hint="eastAsia" w:ascii="楷体_GB2312" w:hAnsi="楷体_GB2312" w:eastAsia="楷体_GB2312" w:cs="楷体_GB2312"/>
          <w:color w:val="000000"/>
          <w:kern w:val="0"/>
          <w:sz w:val="32"/>
          <w:szCs w:val="32"/>
          <w:shd w:val="clear" w:color="auto" w:fill="FFFFFF"/>
          <w:lang w:val="zh-CN"/>
        </w:rPr>
      </w:pPr>
      <w:r>
        <w:rPr>
          <w:rFonts w:hint="eastAsia" w:ascii="仿宋" w:hAnsi="仿宋" w:eastAsia="仿宋" w:cs="仿宋"/>
          <w:color w:val="000000"/>
          <w:kern w:val="0"/>
          <w:sz w:val="32"/>
          <w:szCs w:val="32"/>
          <w:shd w:val="clear" w:color="auto" w:fill="FFFFFF"/>
          <w:lang w:val="zh-CN"/>
        </w:rPr>
        <w:t>单位资产管理由办公室总负责，使用人具体负责管理，对不能继续使用的资产由使用人交回办公室并提出申请，由办公室提供材料交给财务室按照相关程序统一购置。财政所每年对单位资产进行一次集中清理，对不能使用的资产及时报相关部门进行报废处理。</w:t>
      </w:r>
    </w:p>
    <w:p w14:paraId="780F0A50">
      <w:pPr>
        <w:numPr>
          <w:ilvl w:val="0"/>
          <w:numId w:val="0"/>
        </w:numPr>
        <w:adjustRightInd w:val="0"/>
        <w:snapToGrid w:val="0"/>
        <w:spacing w:line="578" w:lineRule="exact"/>
        <w:ind w:firstLine="640" w:firstLineChars="200"/>
        <w:jc w:val="left"/>
        <w:rPr>
          <w:rFonts w:eastAsia="仿宋_GB2312"/>
          <w:sz w:val="32"/>
          <w:szCs w:val="32"/>
          <w:lang w:val="zh-CN"/>
        </w:rPr>
      </w:pPr>
      <w:r>
        <w:rPr>
          <w:rFonts w:hint="eastAsia" w:ascii="楷体_GB2312" w:hAnsi="楷体_GB2312" w:eastAsia="楷体_GB2312" w:cs="楷体_GB2312"/>
          <w:color w:val="000000"/>
          <w:kern w:val="0"/>
          <w:sz w:val="32"/>
          <w:szCs w:val="32"/>
          <w:shd w:val="clear" w:color="auto" w:fill="FFFFFF"/>
          <w:lang w:val="zh-CN"/>
        </w:rPr>
        <w:t>采购管理。</w:t>
      </w:r>
      <w:r>
        <w:rPr>
          <w:rFonts w:hint="eastAsia" w:eastAsia="仿宋_GB2312"/>
          <w:sz w:val="32"/>
          <w:szCs w:val="32"/>
          <w:lang w:val="zh-CN"/>
        </w:rPr>
        <w:t>围绕支持中小企业发展、采购执行率进行绩效分析。</w:t>
      </w:r>
    </w:p>
    <w:p w14:paraId="4E83D6A3">
      <w:pPr>
        <w:ind w:firstLine="640" w:firstLineChars="200"/>
        <w:rPr>
          <w:lang w:val="zh-CN"/>
        </w:rPr>
      </w:pPr>
      <w:r>
        <w:rPr>
          <w:rFonts w:hint="eastAsia" w:ascii="仿宋" w:hAnsi="仿宋" w:eastAsia="仿宋" w:cs="仿宋"/>
          <w:color w:val="000000"/>
          <w:kern w:val="0"/>
          <w:sz w:val="32"/>
          <w:szCs w:val="32"/>
          <w:shd w:val="clear" w:color="auto" w:fill="FFFFFF"/>
          <w:lang w:val="zh-CN"/>
        </w:rPr>
        <w:t>采购项目必须按规定程序报批，要求必须落实统一采购预算资金；</w:t>
      </w:r>
      <w:r>
        <w:rPr>
          <w:rFonts w:hint="eastAsia" w:ascii="仿宋" w:hAnsi="仿宋" w:eastAsia="仿宋" w:cs="仿宋"/>
          <w:color w:val="000000"/>
          <w:kern w:val="0"/>
          <w:sz w:val="32"/>
          <w:szCs w:val="32"/>
          <w:shd w:val="clear" w:color="auto" w:fill="FFFFFF"/>
        </w:rPr>
        <w:t>一</w:t>
      </w:r>
      <w:r>
        <w:rPr>
          <w:rFonts w:hint="eastAsia" w:ascii="仿宋" w:hAnsi="仿宋" w:eastAsia="仿宋" w:cs="仿宋"/>
          <w:color w:val="000000"/>
          <w:kern w:val="0"/>
          <w:sz w:val="32"/>
          <w:szCs w:val="32"/>
          <w:shd w:val="clear" w:color="auto" w:fill="FFFFFF"/>
          <w:lang w:val="zh-CN"/>
        </w:rPr>
        <w:t>是坚持按《政府采购管理办法》规定的条件，确定采购方式；</w:t>
      </w:r>
      <w:r>
        <w:rPr>
          <w:rFonts w:hint="eastAsia" w:ascii="仿宋" w:hAnsi="仿宋" w:eastAsia="仿宋" w:cs="仿宋"/>
          <w:color w:val="000000"/>
          <w:kern w:val="0"/>
          <w:sz w:val="32"/>
          <w:szCs w:val="32"/>
          <w:shd w:val="clear" w:color="auto" w:fill="FFFFFF"/>
        </w:rPr>
        <w:t>二</w:t>
      </w:r>
      <w:r>
        <w:rPr>
          <w:rFonts w:hint="eastAsia" w:ascii="仿宋" w:hAnsi="仿宋" w:eastAsia="仿宋" w:cs="仿宋"/>
          <w:color w:val="000000"/>
          <w:kern w:val="0"/>
          <w:sz w:val="32"/>
          <w:szCs w:val="32"/>
          <w:shd w:val="clear" w:color="auto" w:fill="FFFFFF"/>
          <w:lang w:val="zh-CN"/>
        </w:rPr>
        <w:t>是坚持回避制度，与统一采购工作有利害关系的人员不得进入评委。在具体管理过程中，要坚持信息公开；资格审查标准公开；合同条款公开；评标标准、方法公开。</w:t>
      </w:r>
    </w:p>
    <w:p w14:paraId="7D7320DE">
      <w:pPr>
        <w:ind w:firstLine="643" w:firstLineChars="200"/>
        <w:rPr>
          <w:rFonts w:eastAsia="仿宋_GB2312"/>
          <w:sz w:val="32"/>
          <w:szCs w:val="32"/>
          <w:lang w:val="zh-CN"/>
        </w:rPr>
      </w:pPr>
      <w:r>
        <w:rPr>
          <w:rFonts w:hint="eastAsia" w:ascii="楷体_GB2312" w:eastAsia="楷体_GB2312"/>
          <w:b/>
          <w:sz w:val="32"/>
          <w:szCs w:val="32"/>
        </w:rPr>
        <w:t>（二）部门预算项目绩效分析。</w:t>
      </w:r>
      <w:r>
        <w:rPr>
          <w:rFonts w:hint="eastAsia" w:eastAsia="仿宋_GB2312"/>
          <w:sz w:val="32"/>
          <w:szCs w:val="32"/>
          <w:lang w:val="zh-CN"/>
        </w:rPr>
        <w:t>填报以下数据，并根据部门预算绩效评价指标体系“项目绩效”涉及二、三级指标进行逐项绩效分析并评分，依次包括项目决策、项目执行、目标实现等情况。</w:t>
      </w:r>
    </w:p>
    <w:p w14:paraId="2BBEE519">
      <w:pPr>
        <w:ind w:firstLine="640" w:firstLineChars="200"/>
        <w:rPr>
          <w:rFonts w:eastAsia="仿宋_GB2312"/>
          <w:color w:val="auto"/>
          <w:sz w:val="32"/>
          <w:szCs w:val="32"/>
          <w:lang w:val="zh-CN"/>
        </w:rPr>
      </w:pPr>
      <w:r>
        <w:rPr>
          <w:rFonts w:hint="eastAsia" w:eastAsia="仿宋_GB2312"/>
          <w:color w:val="auto"/>
          <w:sz w:val="32"/>
          <w:szCs w:val="32"/>
          <w:lang w:val="zh-CN"/>
        </w:rPr>
        <w:t>常年项目绩效分析。该类项目总数2个，涉及预算总金额   13.4万元，1—12月预算执行总体进度为</w:t>
      </w:r>
      <w:r>
        <w:rPr>
          <w:rFonts w:hint="eastAsia" w:eastAsia="仿宋_GB2312"/>
          <w:color w:val="auto"/>
          <w:sz w:val="32"/>
          <w:szCs w:val="32"/>
          <w:lang w:val="en-US" w:eastAsia="zh-CN"/>
        </w:rPr>
        <w:t>99.1</w:t>
      </w:r>
      <w:r>
        <w:rPr>
          <w:rFonts w:hint="eastAsia" w:eastAsia="仿宋_GB2312"/>
          <w:color w:val="auto"/>
          <w:sz w:val="32"/>
          <w:szCs w:val="32"/>
          <w:lang w:val="zh-CN"/>
        </w:rPr>
        <w:t>%，其中：预算结余率大于10%的项目共计0个。</w:t>
      </w:r>
    </w:p>
    <w:p w14:paraId="7CB38455">
      <w:pPr>
        <w:ind w:firstLine="640" w:firstLineChars="200"/>
        <w:rPr>
          <w:rFonts w:eastAsia="仿宋_GB2312"/>
          <w:sz w:val="32"/>
          <w:szCs w:val="32"/>
          <w:lang w:val="zh-CN"/>
        </w:rPr>
      </w:pPr>
      <w:r>
        <w:rPr>
          <w:rFonts w:hint="eastAsia" w:eastAsia="仿宋_GB2312"/>
          <w:sz w:val="32"/>
          <w:szCs w:val="32"/>
          <w:lang w:val="zh-CN"/>
        </w:rPr>
        <w:t>阶段（含一次性）项目绩效分析。该类项目总数</w:t>
      </w:r>
      <w:r>
        <w:rPr>
          <w:rFonts w:hint="eastAsia" w:eastAsia="仿宋_GB2312"/>
          <w:sz w:val="32"/>
          <w:szCs w:val="32"/>
          <w:lang w:val="en-US" w:eastAsia="zh-CN"/>
        </w:rPr>
        <w:t>7</w:t>
      </w:r>
      <w:r>
        <w:rPr>
          <w:rFonts w:hint="eastAsia" w:eastAsia="仿宋_GB2312"/>
          <w:sz w:val="32"/>
          <w:szCs w:val="32"/>
          <w:lang w:val="zh-CN"/>
        </w:rPr>
        <w:t>个，涉及预算总金额</w:t>
      </w:r>
      <w:r>
        <w:rPr>
          <w:rFonts w:hint="eastAsia" w:eastAsia="仿宋_GB2312"/>
          <w:sz w:val="32"/>
          <w:szCs w:val="32"/>
          <w:lang w:val="en-US" w:eastAsia="zh-CN"/>
        </w:rPr>
        <w:t>68.88</w:t>
      </w:r>
      <w:r>
        <w:rPr>
          <w:rFonts w:hint="eastAsia" w:eastAsia="仿宋_GB2312"/>
          <w:sz w:val="32"/>
          <w:szCs w:val="32"/>
          <w:lang w:val="zh-CN"/>
        </w:rPr>
        <w:t>万元，1—12月预算执行总体进度为</w:t>
      </w:r>
      <w:r>
        <w:rPr>
          <w:rFonts w:hint="eastAsia" w:eastAsia="仿宋_GB2312"/>
          <w:sz w:val="32"/>
          <w:szCs w:val="32"/>
          <w:lang w:val="en-US" w:eastAsia="zh-CN"/>
        </w:rPr>
        <w:t>74.07</w:t>
      </w:r>
      <w:r>
        <w:rPr>
          <w:rFonts w:hint="eastAsia" w:eastAsia="仿宋_GB2312"/>
          <w:sz w:val="32"/>
          <w:szCs w:val="32"/>
          <w:lang w:val="zh-CN"/>
        </w:rPr>
        <w:t>%，其中：预算结余率大于10%的项目共计</w:t>
      </w:r>
      <w:r>
        <w:rPr>
          <w:rFonts w:hint="eastAsia" w:eastAsia="仿宋_GB2312"/>
          <w:sz w:val="32"/>
          <w:szCs w:val="32"/>
          <w:lang w:val="en-US" w:eastAsia="zh-CN"/>
        </w:rPr>
        <w:t>3</w:t>
      </w:r>
      <w:r>
        <w:rPr>
          <w:rFonts w:hint="eastAsia" w:eastAsia="仿宋_GB2312"/>
          <w:sz w:val="32"/>
          <w:szCs w:val="32"/>
          <w:lang w:val="zh-CN"/>
        </w:rPr>
        <w:t>个。</w:t>
      </w:r>
    </w:p>
    <w:p w14:paraId="59256665">
      <w:pPr>
        <w:numPr>
          <w:ilvl w:val="0"/>
          <w:numId w:val="0"/>
        </w:numPr>
        <w:adjustRightInd w:val="0"/>
        <w:snapToGrid w:val="0"/>
        <w:spacing w:line="578" w:lineRule="exact"/>
        <w:ind w:firstLine="640" w:firstLineChars="200"/>
        <w:contextualSpacing/>
        <w:jc w:val="left"/>
        <w:rPr>
          <w:rFonts w:hint="eastAsia" w:ascii="楷体_GB2312" w:hAnsi="楷体_GB2312" w:eastAsia="楷体_GB2312" w:cs="楷体_GB2312"/>
          <w:color w:val="000000"/>
          <w:kern w:val="0"/>
          <w:sz w:val="32"/>
          <w:szCs w:val="32"/>
          <w:shd w:val="clear" w:color="auto" w:fill="FFFFFF"/>
        </w:rPr>
      </w:pPr>
      <w:r>
        <w:rPr>
          <w:rFonts w:hint="eastAsia" w:ascii="楷体_GB2312" w:hAnsi="楷体_GB2312" w:eastAsia="楷体_GB2312" w:cs="楷体_GB2312"/>
          <w:color w:val="000000"/>
          <w:kern w:val="0"/>
          <w:sz w:val="32"/>
          <w:szCs w:val="32"/>
          <w:shd w:val="clear" w:color="auto" w:fill="FFFFFF"/>
        </w:rPr>
        <w:t>项目决策。</w:t>
      </w:r>
    </w:p>
    <w:p w14:paraId="051740B3">
      <w:pPr>
        <w:ind w:firstLine="640" w:firstLineChars="200"/>
        <w:rPr>
          <w:rFonts w:eastAsia="仿宋_GB2312"/>
          <w:sz w:val="32"/>
          <w:szCs w:val="32"/>
        </w:rPr>
      </w:pPr>
      <w:r>
        <w:rPr>
          <w:rFonts w:hint="eastAsia" w:eastAsia="仿宋_GB2312"/>
          <w:sz w:val="32"/>
          <w:szCs w:val="32"/>
          <w:lang w:val="zh-CN"/>
        </w:rPr>
        <w:t>决策程序：</w:t>
      </w:r>
      <w:r>
        <w:rPr>
          <w:rFonts w:hint="eastAsia" w:eastAsia="仿宋_GB2312"/>
          <w:sz w:val="32"/>
          <w:szCs w:val="32"/>
        </w:rPr>
        <w:t>加强对领导机关、领导干部特别是各级领导班子主要负责人的监督。认真检查党的路线、方针、政策和决议的执行情况，监督民主集中制及领导班子议事规则落实情况，反属重大决策、重要干部任免、重大项目安排和大额度资金的使用，必须由领导班子集体作出决定。</w:t>
      </w:r>
    </w:p>
    <w:p w14:paraId="5701C85E">
      <w:pPr>
        <w:ind w:firstLine="640" w:firstLineChars="200"/>
        <w:rPr>
          <w:rFonts w:eastAsia="仿宋_GB2312"/>
          <w:sz w:val="32"/>
          <w:szCs w:val="32"/>
          <w:lang w:val="zh-CN"/>
        </w:rPr>
      </w:pPr>
      <w:r>
        <w:rPr>
          <w:rFonts w:hint="eastAsia" w:eastAsia="仿宋_GB2312"/>
          <w:sz w:val="32"/>
          <w:szCs w:val="32"/>
          <w:lang w:val="zh-CN"/>
        </w:rPr>
        <w:t>目标设置：履行政治领导责任，做好理论武装何思想政治工作，负责学习、宣传、贯彻执行党的理论和路线方针政策，贯彻落实党中央、省委、州委和县委的，决策部署，发挥好把方向、管大局、保落实;提高退役军人思想政治、管理保障和安置优抚等法律法规，拟定退役军人工作政策并组织实施，褒扬彰显退役军人为党、国家和人民牺牲奉献的精神风范和价值导向;</w:t>
      </w:r>
    </w:p>
    <w:p w14:paraId="34F14568">
      <w:pPr>
        <w:ind w:firstLine="640" w:firstLineChars="200"/>
        <w:rPr>
          <w:rFonts w:eastAsia="仿宋_GB2312"/>
          <w:sz w:val="32"/>
          <w:szCs w:val="32"/>
          <w:lang w:val="zh-CN"/>
        </w:rPr>
      </w:pPr>
      <w:r>
        <w:rPr>
          <w:rFonts w:hint="eastAsia" w:eastAsia="仿宋_GB2312"/>
          <w:sz w:val="32"/>
          <w:szCs w:val="32"/>
          <w:lang w:val="zh-CN"/>
        </w:rPr>
        <w:t>项目入库：</w:t>
      </w:r>
      <w:r>
        <w:rPr>
          <w:rFonts w:hint="eastAsia" w:eastAsia="仿宋_GB2312"/>
          <w:sz w:val="32"/>
          <w:szCs w:val="32"/>
        </w:rPr>
        <w:t>严格</w:t>
      </w:r>
      <w:r>
        <w:rPr>
          <w:rFonts w:hint="eastAsia" w:eastAsia="仿宋_GB2312"/>
          <w:sz w:val="32"/>
          <w:szCs w:val="32"/>
          <w:lang w:val="zh-CN"/>
        </w:rPr>
        <w:t>按照程序以及要求，项目在资金使用前必须进行项目入库。</w:t>
      </w:r>
    </w:p>
    <w:p w14:paraId="4118214A">
      <w:pPr>
        <w:numPr>
          <w:ilvl w:val="0"/>
          <w:numId w:val="0"/>
        </w:numPr>
        <w:ind w:firstLine="640" w:firstLineChars="200"/>
        <w:rPr>
          <w:rFonts w:hint="eastAsia" w:ascii="楷体_GB2312" w:hAnsi="楷体_GB2312" w:eastAsia="楷体_GB2312" w:cs="楷体_GB2312"/>
          <w:color w:val="000000"/>
          <w:kern w:val="0"/>
          <w:sz w:val="32"/>
          <w:szCs w:val="32"/>
          <w:shd w:val="clear" w:color="auto" w:fill="FFFFFF"/>
        </w:rPr>
      </w:pPr>
      <w:r>
        <w:rPr>
          <w:rFonts w:hint="eastAsia" w:ascii="楷体_GB2312" w:hAnsi="楷体_GB2312" w:eastAsia="楷体_GB2312" w:cs="楷体_GB2312"/>
          <w:color w:val="000000"/>
          <w:kern w:val="0"/>
          <w:sz w:val="32"/>
          <w:szCs w:val="32"/>
          <w:shd w:val="clear" w:color="auto" w:fill="FFFFFF"/>
        </w:rPr>
        <w:t>项目执行。</w:t>
      </w:r>
    </w:p>
    <w:p w14:paraId="19068F06">
      <w:pPr>
        <w:spacing w:line="560" w:lineRule="exact"/>
        <w:ind w:firstLine="640" w:firstLineChars="200"/>
        <w:rPr>
          <w:rFonts w:hint="eastAsia" w:eastAsia="仿宋_GB2312"/>
          <w:color w:val="FF0000"/>
          <w:sz w:val="32"/>
          <w:szCs w:val="32"/>
          <w:lang w:val="zh-CN"/>
        </w:rPr>
      </w:pPr>
      <w:r>
        <w:rPr>
          <w:rFonts w:hint="eastAsia" w:eastAsia="仿宋_GB2312"/>
          <w:sz w:val="32"/>
          <w:szCs w:val="32"/>
          <w:lang w:val="zh-CN" w:eastAsia="zh-CN"/>
        </w:rPr>
        <w:t>2025年</w:t>
      </w:r>
      <w:r>
        <w:rPr>
          <w:rFonts w:hint="eastAsia" w:eastAsia="仿宋_GB2312"/>
          <w:sz w:val="32"/>
          <w:szCs w:val="32"/>
          <w:lang w:val="zh-CN"/>
        </w:rPr>
        <w:t>预算决算总收入</w:t>
      </w:r>
      <w:r>
        <w:rPr>
          <w:rFonts w:hint="eastAsia" w:eastAsia="仿宋_GB2312"/>
          <w:sz w:val="32"/>
          <w:szCs w:val="32"/>
          <w:lang w:val="zh-CN" w:eastAsia="zh-CN"/>
        </w:rPr>
        <w:t>477.94万元</w:t>
      </w:r>
      <w:r>
        <w:rPr>
          <w:rFonts w:hint="eastAsia" w:eastAsia="仿宋_GB2312"/>
          <w:sz w:val="32"/>
          <w:szCs w:val="32"/>
          <w:lang w:val="zh-CN"/>
        </w:rPr>
        <w:t>，</w:t>
      </w:r>
      <w:r>
        <w:rPr>
          <w:rFonts w:hint="eastAsia" w:eastAsia="仿宋_GB2312"/>
          <w:sz w:val="32"/>
          <w:szCs w:val="32"/>
          <w:lang w:val="zh-CN" w:eastAsia="zh-CN"/>
        </w:rPr>
        <w:t>2025年</w:t>
      </w:r>
      <w:r>
        <w:rPr>
          <w:rFonts w:hint="eastAsia" w:eastAsia="仿宋_GB2312"/>
          <w:sz w:val="32"/>
          <w:szCs w:val="32"/>
          <w:lang w:val="zh-CN"/>
        </w:rPr>
        <w:t>支出合计</w:t>
      </w:r>
      <w:r>
        <w:rPr>
          <w:rFonts w:hint="eastAsia" w:eastAsia="仿宋_GB2312"/>
          <w:sz w:val="32"/>
          <w:szCs w:val="32"/>
          <w:lang w:val="zh-CN" w:eastAsia="zh-CN"/>
        </w:rPr>
        <w:t>477.94万元</w:t>
      </w:r>
      <w:r>
        <w:rPr>
          <w:rFonts w:hint="eastAsia" w:eastAsia="仿宋_GB2312"/>
          <w:sz w:val="32"/>
          <w:szCs w:val="32"/>
          <w:lang w:val="zh-CN"/>
        </w:rPr>
        <w:t>，资金使用率100%。其中：一般公共服务支出</w:t>
      </w:r>
      <w:r>
        <w:rPr>
          <w:rFonts w:hint="eastAsia" w:eastAsia="仿宋_GB2312"/>
          <w:sz w:val="32"/>
          <w:szCs w:val="32"/>
          <w:lang w:val="zh-CN" w:eastAsia="zh-CN"/>
        </w:rPr>
        <w:t>366.84</w:t>
      </w:r>
      <w:r>
        <w:rPr>
          <w:rFonts w:hint="eastAsia" w:eastAsia="仿宋_GB2312"/>
          <w:sz w:val="32"/>
          <w:szCs w:val="32"/>
          <w:lang w:val="zh-CN"/>
        </w:rPr>
        <w:t>万元，占</w:t>
      </w:r>
      <w:r>
        <w:rPr>
          <w:rFonts w:hint="eastAsia" w:eastAsia="仿宋_GB2312"/>
          <w:sz w:val="32"/>
          <w:szCs w:val="32"/>
          <w:lang w:val="en-US" w:eastAsia="zh-CN"/>
        </w:rPr>
        <w:t>76.75</w:t>
      </w:r>
      <w:r>
        <w:rPr>
          <w:rFonts w:hint="eastAsia" w:eastAsia="仿宋_GB2312"/>
          <w:sz w:val="32"/>
          <w:szCs w:val="32"/>
          <w:lang w:val="zh-CN"/>
        </w:rPr>
        <w:t>%；社会保障和就业支出</w:t>
      </w:r>
      <w:r>
        <w:rPr>
          <w:rFonts w:hint="eastAsia" w:eastAsia="仿宋_GB2312"/>
          <w:sz w:val="32"/>
          <w:szCs w:val="32"/>
          <w:lang w:val="en-US" w:eastAsia="zh-CN"/>
        </w:rPr>
        <w:t>57.01</w:t>
      </w:r>
      <w:r>
        <w:rPr>
          <w:rFonts w:hint="eastAsia" w:eastAsia="仿宋_GB2312"/>
          <w:sz w:val="32"/>
          <w:szCs w:val="32"/>
          <w:lang w:val="zh-CN" w:eastAsia="zh-CN"/>
        </w:rPr>
        <w:t>万</w:t>
      </w:r>
      <w:r>
        <w:rPr>
          <w:rFonts w:hint="eastAsia" w:ascii="仿宋" w:hAnsi="仿宋" w:eastAsia="仿宋"/>
          <w:sz w:val="32"/>
          <w:szCs w:val="32"/>
          <w:lang w:eastAsia="zh-CN"/>
        </w:rPr>
        <w:t>元，占</w:t>
      </w:r>
      <w:r>
        <w:rPr>
          <w:rFonts w:hint="eastAsia" w:ascii="仿宋" w:hAnsi="仿宋" w:eastAsia="仿宋"/>
          <w:sz w:val="32"/>
          <w:szCs w:val="32"/>
          <w:lang w:val="en-US" w:eastAsia="zh-CN"/>
        </w:rPr>
        <w:t>11.93</w:t>
      </w:r>
      <w:r>
        <w:rPr>
          <w:rFonts w:hint="eastAsia" w:ascii="仿宋" w:hAnsi="仿宋" w:eastAsia="仿宋"/>
          <w:sz w:val="32"/>
          <w:szCs w:val="32"/>
          <w:lang w:eastAsia="zh-CN"/>
        </w:rPr>
        <w:t>%</w:t>
      </w:r>
      <w:r>
        <w:rPr>
          <w:rFonts w:hint="eastAsia" w:ascii="仿宋" w:hAnsi="仿宋" w:eastAsia="仿宋"/>
          <w:sz w:val="32"/>
          <w:szCs w:val="32"/>
          <w:lang w:val="en-US" w:eastAsia="zh-CN"/>
        </w:rPr>
        <w:t xml:space="preserve"> </w:t>
      </w:r>
      <w:r>
        <w:rPr>
          <w:rFonts w:hint="eastAsia" w:ascii="仿宋_GB2312" w:eastAsia="仿宋_GB2312"/>
          <w:sz w:val="32"/>
          <w:lang w:val="zh-CN"/>
        </w:rPr>
        <w:t>；</w:t>
      </w:r>
      <w:r>
        <w:rPr>
          <w:rFonts w:hint="eastAsia" w:ascii="仿宋" w:hAnsi="仿宋" w:eastAsia="仿宋"/>
          <w:sz w:val="32"/>
          <w:szCs w:val="32"/>
          <w:lang w:eastAsia="zh-CN"/>
        </w:rPr>
        <w:t>卫生健康支出21.17万元，占</w:t>
      </w:r>
      <w:r>
        <w:rPr>
          <w:rFonts w:hint="eastAsia" w:ascii="仿宋" w:hAnsi="仿宋" w:eastAsia="仿宋"/>
          <w:sz w:val="32"/>
          <w:szCs w:val="32"/>
          <w:lang w:val="en-US" w:eastAsia="zh-CN"/>
        </w:rPr>
        <w:t>4.43</w:t>
      </w:r>
      <w:r>
        <w:rPr>
          <w:rFonts w:hint="eastAsia" w:ascii="仿宋" w:hAnsi="仿宋" w:eastAsia="仿宋"/>
          <w:sz w:val="32"/>
          <w:szCs w:val="32"/>
          <w:lang w:eastAsia="zh-CN"/>
        </w:rPr>
        <w:t>%</w:t>
      </w:r>
      <w:r>
        <w:rPr>
          <w:rFonts w:hint="eastAsia" w:ascii="仿宋_GB2312" w:eastAsia="仿宋_GB2312"/>
          <w:sz w:val="32"/>
          <w:lang w:val="zh-CN"/>
        </w:rPr>
        <w:t>；</w:t>
      </w:r>
      <w:r>
        <w:rPr>
          <w:rFonts w:hint="eastAsia" w:ascii="仿宋" w:hAnsi="仿宋" w:eastAsia="仿宋"/>
          <w:sz w:val="32"/>
          <w:szCs w:val="32"/>
          <w:lang w:eastAsia="zh-CN"/>
        </w:rPr>
        <w:t>住房保障支出30.94</w:t>
      </w:r>
      <w:r>
        <w:rPr>
          <w:rFonts w:hint="eastAsia" w:ascii="仿宋" w:hAnsi="仿宋" w:eastAsia="仿宋"/>
          <w:sz w:val="32"/>
          <w:szCs w:val="32"/>
          <w:lang w:val="en-US" w:eastAsia="zh-CN"/>
        </w:rPr>
        <w:t xml:space="preserve"> </w:t>
      </w:r>
      <w:r>
        <w:rPr>
          <w:rFonts w:hint="eastAsia" w:ascii="仿宋" w:hAnsi="仿宋" w:eastAsia="仿宋"/>
          <w:sz w:val="32"/>
          <w:szCs w:val="32"/>
          <w:lang w:eastAsia="zh-CN"/>
        </w:rPr>
        <w:t>万元，占</w:t>
      </w:r>
      <w:r>
        <w:rPr>
          <w:rFonts w:hint="eastAsia" w:ascii="仿宋" w:hAnsi="仿宋" w:eastAsia="仿宋"/>
          <w:sz w:val="32"/>
          <w:szCs w:val="32"/>
          <w:lang w:val="en-US" w:eastAsia="zh-CN"/>
        </w:rPr>
        <w:t>6.47</w:t>
      </w:r>
      <w:r>
        <w:rPr>
          <w:rFonts w:hint="eastAsia" w:ascii="仿宋" w:hAnsi="仿宋" w:eastAsia="仿宋"/>
          <w:sz w:val="32"/>
          <w:szCs w:val="32"/>
          <w:lang w:eastAsia="zh-CN"/>
        </w:rPr>
        <w:t>%</w:t>
      </w:r>
      <w:r>
        <w:rPr>
          <w:rFonts w:hint="eastAsia" w:ascii="仿宋_GB2312" w:eastAsia="仿宋_GB2312"/>
          <w:sz w:val="32"/>
          <w:lang w:val="zh-CN"/>
        </w:rPr>
        <w:t>；</w:t>
      </w:r>
      <w:r>
        <w:rPr>
          <w:rFonts w:hint="eastAsia" w:ascii="仿宋" w:hAnsi="仿宋" w:eastAsia="仿宋"/>
          <w:sz w:val="32"/>
          <w:szCs w:val="32"/>
          <w:lang w:eastAsia="zh-CN"/>
        </w:rPr>
        <w:t>农林水支出1.98万元，占</w:t>
      </w:r>
      <w:r>
        <w:rPr>
          <w:rFonts w:hint="eastAsia" w:ascii="仿宋" w:hAnsi="仿宋" w:eastAsia="仿宋"/>
          <w:sz w:val="32"/>
          <w:szCs w:val="32"/>
          <w:lang w:val="en-US" w:eastAsia="zh-CN"/>
        </w:rPr>
        <w:t>0.41</w:t>
      </w:r>
      <w:r>
        <w:rPr>
          <w:rFonts w:hint="eastAsia" w:ascii="仿宋" w:hAnsi="仿宋" w:eastAsia="仿宋"/>
          <w:sz w:val="32"/>
          <w:szCs w:val="32"/>
          <w:lang w:eastAsia="zh-CN"/>
        </w:rPr>
        <w:t>%</w:t>
      </w:r>
      <w:r>
        <w:rPr>
          <w:rFonts w:hint="eastAsia" w:ascii="仿宋_GB2312" w:eastAsia="仿宋_GB2312"/>
          <w:sz w:val="32"/>
          <w:lang w:val="zh-CN"/>
        </w:rPr>
        <w:t>。</w:t>
      </w:r>
    </w:p>
    <w:p w14:paraId="0C14B476">
      <w:pPr>
        <w:ind w:firstLine="640" w:firstLineChars="200"/>
        <w:rPr>
          <w:rFonts w:eastAsia="仿宋_GB2312"/>
          <w:sz w:val="32"/>
          <w:szCs w:val="32"/>
          <w:lang w:val="zh-CN"/>
        </w:rPr>
      </w:pPr>
      <w:r>
        <w:rPr>
          <w:rFonts w:hint="eastAsia" w:ascii="楷体_GB2312" w:hAnsi="楷体_GB2312" w:eastAsia="楷体_GB2312" w:cs="楷体_GB2312"/>
          <w:color w:val="000000"/>
          <w:kern w:val="0"/>
          <w:sz w:val="32"/>
          <w:szCs w:val="32"/>
          <w:shd w:val="clear" w:color="auto" w:fill="FFFFFF"/>
        </w:rPr>
        <w:t>3.目标实现。</w:t>
      </w:r>
      <w:r>
        <w:rPr>
          <w:rFonts w:hint="eastAsia" w:eastAsia="仿宋_GB2312"/>
          <w:sz w:val="32"/>
          <w:szCs w:val="32"/>
          <w:lang w:val="zh-CN"/>
        </w:rPr>
        <w:t>围绕目标完成、目标偏离、实现效果进行绩效分析。</w:t>
      </w:r>
    </w:p>
    <w:p w14:paraId="1DA9D418">
      <w:pPr>
        <w:adjustRightInd w:val="0"/>
        <w:snapToGrid w:val="0"/>
        <w:spacing w:line="578" w:lineRule="exact"/>
        <w:ind w:firstLine="640" w:firstLineChars="200"/>
        <w:contextualSpacing/>
        <w:jc w:val="left"/>
        <w:rPr>
          <w:rFonts w:eastAsia="仿宋_GB2312"/>
          <w:sz w:val="32"/>
          <w:szCs w:val="32"/>
          <w:lang w:val="zh-CN"/>
        </w:rPr>
      </w:pPr>
      <w:r>
        <w:rPr>
          <w:rFonts w:hint="eastAsia" w:eastAsia="仿宋_GB2312"/>
          <w:sz w:val="32"/>
          <w:szCs w:val="32"/>
          <w:lang w:eastAsia="zh-CN"/>
        </w:rPr>
        <w:t>2025年</w:t>
      </w:r>
      <w:r>
        <w:rPr>
          <w:rFonts w:hint="eastAsia" w:eastAsia="仿宋_GB2312"/>
          <w:sz w:val="32"/>
          <w:szCs w:val="32"/>
          <w:lang w:val="zh-CN"/>
        </w:rPr>
        <w:t>我</w:t>
      </w:r>
      <w:r>
        <w:rPr>
          <w:rFonts w:hint="eastAsia" w:eastAsia="仿宋_GB2312"/>
          <w:sz w:val="32"/>
          <w:szCs w:val="32"/>
        </w:rPr>
        <w:t>单位目标完成100%，未偏离目标。</w:t>
      </w:r>
      <w:r>
        <w:rPr>
          <w:rFonts w:hint="eastAsia" w:eastAsia="仿宋_GB2312"/>
          <w:sz w:val="32"/>
          <w:szCs w:val="32"/>
          <w:lang w:val="zh-CN"/>
        </w:rPr>
        <w:t>履行政治领导责任，做好理论武装和思想政治工作，负责学习、宣传、贯彻执行党的理论和路线方针政策，贯彻落实党中央、省委、州委、县委的决策部署，发挥好把方向、管大局、保落实;负责组织指导全县民族、宗教政策和法律法规及民族基本知识的宣传教育工作，提出有关民族、宗教工作的政策建议，当好县委、县政府民族、宗教工作方面的参谋助手，依法协调各民族间关系，会同处理民族关系中的重大事项，促进各民族共同团结奋斗、共同繁荣发展，维护民族团结、社会稳定和国家统一;</w:t>
      </w:r>
    </w:p>
    <w:p w14:paraId="0A2174A1">
      <w:pPr>
        <w:widowControl/>
        <w:numPr>
          <w:ilvl w:val="0"/>
          <w:numId w:val="0"/>
        </w:numPr>
        <w:adjustRightInd w:val="0"/>
        <w:snapToGrid w:val="0"/>
        <w:spacing w:line="578" w:lineRule="exact"/>
        <w:ind w:firstLine="643" w:firstLineChars="200"/>
        <w:contextualSpacing/>
        <w:jc w:val="left"/>
        <w:rPr>
          <w:rFonts w:ascii="楷体_GB2312" w:eastAsia="楷体_GB2312"/>
          <w:b/>
          <w:sz w:val="32"/>
          <w:szCs w:val="32"/>
        </w:rPr>
      </w:pPr>
      <w:r>
        <w:rPr>
          <w:rFonts w:hint="eastAsia" w:ascii="楷体_GB2312" w:eastAsia="楷体_GB2312"/>
          <w:b/>
          <w:sz w:val="32"/>
          <w:szCs w:val="32"/>
        </w:rPr>
        <w:t>重点领域绩效分析。</w:t>
      </w:r>
    </w:p>
    <w:p w14:paraId="554F4ED9">
      <w:pPr>
        <w:adjustRightInd w:val="0"/>
        <w:snapToGrid w:val="0"/>
        <w:spacing w:line="578" w:lineRule="exact"/>
        <w:ind w:firstLine="640" w:firstLineChars="200"/>
        <w:contextualSpacing/>
        <w:jc w:val="left"/>
        <w:rPr>
          <w:rFonts w:eastAsia="仿宋_GB2312"/>
          <w:sz w:val="32"/>
          <w:szCs w:val="32"/>
        </w:rPr>
      </w:pPr>
      <w:r>
        <w:rPr>
          <w:rFonts w:hint="eastAsia" w:eastAsia="仿宋_GB2312"/>
          <w:sz w:val="32"/>
          <w:szCs w:val="32"/>
        </w:rPr>
        <w:t>我单位</w:t>
      </w:r>
      <w:r>
        <w:rPr>
          <w:rFonts w:hint="eastAsia" w:eastAsia="仿宋_GB2312"/>
          <w:sz w:val="32"/>
          <w:szCs w:val="32"/>
          <w:lang w:eastAsia="zh-CN"/>
        </w:rPr>
        <w:t>2025年</w:t>
      </w:r>
      <w:r>
        <w:rPr>
          <w:rFonts w:hint="eastAsia" w:eastAsia="仿宋_GB2312"/>
          <w:sz w:val="32"/>
          <w:szCs w:val="32"/>
        </w:rPr>
        <w:t>未涉及重点领域事项。</w:t>
      </w:r>
    </w:p>
    <w:p w14:paraId="58870A76">
      <w:pPr>
        <w:numPr>
          <w:ilvl w:val="0"/>
          <w:numId w:val="0"/>
        </w:numPr>
        <w:ind w:firstLine="643" w:firstLineChars="200"/>
        <w:rPr>
          <w:rFonts w:ascii="楷体_GB2312" w:eastAsia="楷体_GB2312"/>
          <w:b/>
          <w:sz w:val="32"/>
          <w:szCs w:val="32"/>
        </w:rPr>
      </w:pPr>
      <w:r>
        <w:rPr>
          <w:rFonts w:hint="eastAsia" w:ascii="楷体_GB2312" w:eastAsia="楷体_GB2312"/>
          <w:b/>
          <w:sz w:val="32"/>
          <w:szCs w:val="32"/>
        </w:rPr>
        <w:t>绩效结果应用情况。</w:t>
      </w:r>
    </w:p>
    <w:p w14:paraId="4F9A5F6C">
      <w:pPr>
        <w:ind w:firstLine="640" w:firstLineChars="200"/>
        <w:rPr>
          <w:rFonts w:eastAsia="仿宋_GB2312"/>
          <w:sz w:val="32"/>
          <w:szCs w:val="32"/>
          <w:lang w:val="zh-CN"/>
        </w:rPr>
      </w:pPr>
      <w:r>
        <w:rPr>
          <w:rFonts w:hint="eastAsia" w:eastAsia="仿宋_GB2312"/>
          <w:sz w:val="32"/>
          <w:szCs w:val="32"/>
          <w:lang w:val="zh-CN"/>
        </w:rPr>
        <w:t>我</w:t>
      </w:r>
      <w:r>
        <w:rPr>
          <w:rFonts w:hint="eastAsia" w:eastAsia="仿宋_GB2312"/>
          <w:sz w:val="32"/>
          <w:szCs w:val="32"/>
        </w:rPr>
        <w:t>单位</w:t>
      </w:r>
      <w:r>
        <w:rPr>
          <w:rFonts w:hint="eastAsia" w:eastAsia="仿宋_GB2312"/>
          <w:sz w:val="32"/>
          <w:szCs w:val="32"/>
          <w:lang w:val="zh-CN"/>
        </w:rPr>
        <w:t>部门绩效结果应用到了下一年的绩效目标设定与调整。根据支出预决算，为下一年度的预算提供了基础预算数据。优化了</w:t>
      </w:r>
      <w:r>
        <w:rPr>
          <w:rFonts w:hint="eastAsia" w:eastAsia="仿宋_GB2312"/>
          <w:sz w:val="32"/>
          <w:szCs w:val="32"/>
        </w:rPr>
        <w:t>单位</w:t>
      </w:r>
      <w:r>
        <w:rPr>
          <w:rFonts w:hint="eastAsia" w:eastAsia="仿宋_GB2312"/>
          <w:sz w:val="32"/>
          <w:szCs w:val="32"/>
          <w:lang w:val="zh-CN"/>
        </w:rPr>
        <w:t>资金的使用率。保障了机关日常正常运转，专项资金保障了</w:t>
      </w:r>
      <w:r>
        <w:rPr>
          <w:rFonts w:hint="eastAsia" w:eastAsia="仿宋_GB2312"/>
          <w:sz w:val="32"/>
          <w:szCs w:val="32"/>
        </w:rPr>
        <w:t>民族团结创建及宗教事务管理</w:t>
      </w:r>
      <w:r>
        <w:rPr>
          <w:rFonts w:hint="eastAsia" w:eastAsia="仿宋_GB2312"/>
          <w:sz w:val="32"/>
          <w:szCs w:val="32"/>
          <w:lang w:val="zh-CN"/>
        </w:rPr>
        <w:t>，同时在维护少数民族地区的社会稳定，提高人民生活水平，改善人民生活质量等方面有着极其重要的意义，有力促进了社会和谐发展，为全县及乡镇的经济发展作出了应有的贡献，</w:t>
      </w:r>
      <w:r>
        <w:rPr>
          <w:rFonts w:hint="eastAsia" w:eastAsia="仿宋_GB2312"/>
          <w:sz w:val="32"/>
          <w:szCs w:val="32"/>
          <w:lang w:eastAsia="zh-CN"/>
        </w:rPr>
        <w:t>2025年</w:t>
      </w:r>
      <w:r>
        <w:rPr>
          <w:rFonts w:hint="eastAsia" w:eastAsia="仿宋_GB2312"/>
          <w:sz w:val="32"/>
          <w:szCs w:val="32"/>
        </w:rPr>
        <w:t>预算及决算已在政府信息公开网站进行了公开。</w:t>
      </w:r>
    </w:p>
    <w:p w14:paraId="0B7AD4E6">
      <w:pPr>
        <w:ind w:firstLine="640" w:firstLineChars="200"/>
        <w:rPr>
          <w:rFonts w:hint="eastAsia" w:ascii="黑体" w:hAnsi="黑体" w:eastAsia="黑体"/>
          <w:sz w:val="32"/>
          <w:szCs w:val="32"/>
        </w:rPr>
      </w:pPr>
      <w:r>
        <w:rPr>
          <w:rFonts w:hint="eastAsia" w:ascii="黑体" w:hAnsi="黑体" w:eastAsia="黑体"/>
          <w:sz w:val="32"/>
          <w:szCs w:val="32"/>
        </w:rPr>
        <w:t>四、评价结论及建议</w:t>
      </w:r>
    </w:p>
    <w:p w14:paraId="31FC37AE">
      <w:pPr>
        <w:ind w:firstLine="643" w:firstLineChars="200"/>
        <w:rPr>
          <w:rFonts w:ascii="楷体_GB2312" w:eastAsia="楷体_GB2312"/>
          <w:b/>
          <w:sz w:val="32"/>
          <w:szCs w:val="32"/>
        </w:rPr>
      </w:pPr>
      <w:r>
        <w:rPr>
          <w:rFonts w:hint="eastAsia" w:ascii="楷体_GB2312" w:eastAsia="楷体_GB2312"/>
          <w:b/>
          <w:sz w:val="32"/>
          <w:szCs w:val="32"/>
        </w:rPr>
        <w:t>（一）评价结论。</w:t>
      </w:r>
    </w:p>
    <w:p w14:paraId="7B8C4DE3">
      <w:pPr>
        <w:ind w:firstLine="640" w:firstLineChars="200"/>
        <w:rPr>
          <w:rFonts w:hint="eastAsia" w:ascii="仿宋_GB2312" w:hAnsi="宋体" w:eastAsia="仿宋_GB2312"/>
          <w:sz w:val="32"/>
          <w:lang w:val="zh-CN"/>
        </w:rPr>
      </w:pPr>
      <w:r>
        <w:rPr>
          <w:rFonts w:hint="eastAsia" w:ascii="仿宋_GB2312" w:hAnsi="宋体" w:eastAsia="仿宋_GB2312"/>
          <w:sz w:val="32"/>
          <w:lang w:val="zh-CN"/>
        </w:rPr>
        <w:t>我</w:t>
      </w:r>
      <w:r>
        <w:rPr>
          <w:rFonts w:hint="eastAsia" w:ascii="仿宋_GB2312" w:hAnsi="宋体" w:eastAsia="仿宋_GB2312"/>
          <w:sz w:val="32"/>
        </w:rPr>
        <w:t>单位</w:t>
      </w:r>
      <w:r>
        <w:rPr>
          <w:rFonts w:hint="eastAsia" w:ascii="仿宋_GB2312" w:hAnsi="宋体" w:eastAsia="仿宋_GB2312"/>
          <w:sz w:val="32"/>
          <w:lang w:val="zh-CN"/>
        </w:rPr>
        <w:t>部门支出预算，保障了机关日常正常运转，专项资金保障了</w:t>
      </w:r>
      <w:r>
        <w:rPr>
          <w:rFonts w:hint="eastAsia" w:ascii="仿宋_GB2312" w:hAnsi="宋体" w:eastAsia="仿宋_GB2312"/>
          <w:sz w:val="32"/>
        </w:rPr>
        <w:t>民族团结创建及宗教事务管理</w:t>
      </w:r>
      <w:r>
        <w:rPr>
          <w:rFonts w:hint="eastAsia" w:ascii="仿宋_GB2312" w:hAnsi="宋体" w:eastAsia="仿宋_GB2312"/>
          <w:sz w:val="32"/>
          <w:lang w:val="zh-CN"/>
        </w:rPr>
        <w:t>，同时在维护少数民族地区的社会稳定，提高人民生活水平，改善人民生活质量等方面有着极其重要的意义，有力促进了社会和谐发展，为全县及乡镇的经济发展作出了应有的贡献，部门整体支出绩效自评等级为优秀。</w:t>
      </w:r>
    </w:p>
    <w:p w14:paraId="7E08DC29">
      <w:pPr>
        <w:numPr>
          <w:ilvl w:val="0"/>
          <w:numId w:val="0"/>
        </w:numPr>
        <w:autoSpaceDE w:val="0"/>
        <w:spacing w:line="560" w:lineRule="exact"/>
        <w:ind w:firstLine="643" w:firstLineChars="200"/>
        <w:jc w:val="left"/>
        <w:rPr>
          <w:rFonts w:ascii="楷体_GB2312" w:eastAsia="楷体_GB2312"/>
          <w:b/>
          <w:sz w:val="32"/>
          <w:szCs w:val="32"/>
        </w:rPr>
      </w:pPr>
      <w:r>
        <w:rPr>
          <w:rFonts w:hint="eastAsia" w:ascii="楷体_GB2312" w:eastAsia="楷体_GB2312"/>
          <w:b/>
          <w:sz w:val="32"/>
          <w:szCs w:val="32"/>
        </w:rPr>
        <w:t>存在问题。</w:t>
      </w:r>
    </w:p>
    <w:p w14:paraId="644BB552">
      <w:pPr>
        <w:autoSpaceDE w:val="0"/>
        <w:spacing w:line="560" w:lineRule="exact"/>
        <w:ind w:firstLine="640" w:firstLineChars="200"/>
        <w:jc w:val="left"/>
        <w:rPr>
          <w:rFonts w:hint="eastAsia" w:ascii="仿宋_GB2312" w:hAnsi="仿宋" w:eastAsia="仿宋_GB2312" w:cs="仿宋_GB2312"/>
          <w:color w:val="000000"/>
          <w:kern w:val="0"/>
          <w:sz w:val="32"/>
          <w:szCs w:val="32"/>
          <w:lang w:val="zh-CN" w:bidi="ar"/>
        </w:rPr>
      </w:pPr>
      <w:r>
        <w:rPr>
          <w:rFonts w:hint="eastAsia" w:ascii="仿宋_GB2312" w:hAnsi="仿宋" w:eastAsia="仿宋_GB2312" w:cs="仿宋_GB2312"/>
          <w:color w:val="000000"/>
          <w:kern w:val="0"/>
          <w:sz w:val="32"/>
          <w:szCs w:val="32"/>
          <w:lang w:bidi="ar"/>
        </w:rPr>
        <w:t>由于财政支出的多样性和复杂性，绩效评价指标体系设置难度大，即使可以量化，但实际操作中很多项目间缺乏可比性且指标本身也在逐步变化，需要逐步完善。</w:t>
      </w:r>
      <w:r>
        <w:rPr>
          <w:rFonts w:hint="eastAsia" w:ascii="仿宋_GB2312" w:hAnsi="仿宋" w:eastAsia="仿宋_GB2312" w:cs="仿宋_GB2312"/>
          <w:color w:val="000000"/>
          <w:kern w:val="0"/>
          <w:sz w:val="32"/>
          <w:szCs w:val="32"/>
          <w:lang w:bidi="ar"/>
        </w:rPr>
        <w:br w:type="textWrapping"/>
      </w:r>
      <w:r>
        <w:rPr>
          <w:rFonts w:hint="eastAsia" w:ascii="仿宋_GB2312" w:hAnsi="仿宋" w:cs="仿宋_GB2312"/>
          <w:color w:val="000000"/>
          <w:kern w:val="0"/>
          <w:sz w:val="32"/>
          <w:szCs w:val="32"/>
          <w:lang w:bidi="ar"/>
        </w:rPr>
        <w:t xml:space="preserve">    </w:t>
      </w:r>
      <w:r>
        <w:rPr>
          <w:rFonts w:hint="eastAsia" w:ascii="仿宋_GB2312" w:hAnsi="仿宋" w:eastAsia="仿宋_GB2312" w:cs="仿宋_GB2312"/>
          <w:color w:val="000000"/>
          <w:kern w:val="0"/>
          <w:sz w:val="32"/>
          <w:szCs w:val="32"/>
          <w:lang w:bidi="ar"/>
        </w:rPr>
        <w:t>在平时工作推进过程中，缺乏技术人员进行专业指导及培训，工作推进存在一定困难，预算编制还需更加精准。</w:t>
      </w:r>
    </w:p>
    <w:p w14:paraId="6A0126AF">
      <w:pPr>
        <w:numPr>
          <w:ilvl w:val="0"/>
          <w:numId w:val="0"/>
        </w:numPr>
        <w:autoSpaceDE w:val="0"/>
        <w:spacing w:line="560" w:lineRule="exact"/>
        <w:ind w:firstLine="643" w:firstLineChars="200"/>
        <w:jc w:val="left"/>
        <w:rPr>
          <w:rFonts w:ascii="楷体_GB2312" w:eastAsia="楷体_GB2312"/>
          <w:b/>
          <w:sz w:val="32"/>
          <w:szCs w:val="32"/>
        </w:rPr>
      </w:pPr>
      <w:r>
        <w:rPr>
          <w:rFonts w:hint="eastAsia" w:ascii="楷体_GB2312" w:eastAsia="楷体_GB2312"/>
          <w:b/>
          <w:sz w:val="32"/>
          <w:szCs w:val="32"/>
        </w:rPr>
        <w:t>改进建议。</w:t>
      </w:r>
    </w:p>
    <w:p w14:paraId="502B24B0">
      <w:pPr>
        <w:autoSpaceDE w:val="0"/>
        <w:spacing w:line="560" w:lineRule="exact"/>
        <w:ind w:firstLine="640" w:firstLineChars="200"/>
        <w:jc w:val="left"/>
        <w:rPr>
          <w:rFonts w:hint="eastAsia" w:ascii="仿宋_GB2312" w:hAnsi="仿宋" w:eastAsia="仿宋_GB2312" w:cs="仿宋_GB2312"/>
          <w:color w:val="000000"/>
          <w:kern w:val="0"/>
          <w:sz w:val="32"/>
          <w:szCs w:val="32"/>
          <w:lang w:bidi="ar"/>
        </w:rPr>
      </w:pPr>
      <w:r>
        <w:rPr>
          <w:rFonts w:hint="eastAsia" w:ascii="仿宋_GB2312" w:hAnsi="仿宋" w:eastAsia="仿宋_GB2312" w:cs="仿宋_GB2312"/>
          <w:color w:val="000000"/>
          <w:kern w:val="0"/>
          <w:sz w:val="32"/>
          <w:szCs w:val="32"/>
          <w:lang w:bidi="ar"/>
        </w:rPr>
        <w:t>1.通过各种途径加强绩效管理学习，科学合理编制预算，严格执行预算。</w:t>
      </w:r>
    </w:p>
    <w:p w14:paraId="10171BB1">
      <w:pPr>
        <w:autoSpaceDE w:val="0"/>
        <w:spacing w:line="560" w:lineRule="exact"/>
        <w:ind w:firstLine="640" w:firstLineChars="200"/>
        <w:jc w:val="left"/>
        <w:rPr>
          <w:rFonts w:hint="eastAsia" w:ascii="仿宋_GB2312" w:hAnsi="仿宋" w:eastAsia="仿宋_GB2312" w:cs="仿宋_GB2312"/>
          <w:color w:val="000000"/>
          <w:kern w:val="0"/>
          <w:sz w:val="32"/>
          <w:szCs w:val="32"/>
          <w:lang w:val="zh-CN" w:bidi="ar"/>
        </w:rPr>
      </w:pPr>
      <w:r>
        <w:rPr>
          <w:rFonts w:hint="eastAsia" w:ascii="仿宋_GB2312" w:hAnsi="仿宋" w:eastAsia="仿宋_GB2312" w:cs="仿宋_GB2312"/>
          <w:color w:val="000000"/>
          <w:kern w:val="0"/>
          <w:sz w:val="32"/>
          <w:szCs w:val="32"/>
          <w:lang w:bidi="ar"/>
        </w:rPr>
        <w:t>2.规范账务处理，提高财务信息质量。</w:t>
      </w:r>
    </w:p>
    <w:p w14:paraId="0683E195">
      <w:pPr>
        <w:ind w:firstLine="640" w:firstLineChars="200"/>
        <w:rPr>
          <w:rFonts w:eastAsia="仿宋_GB2312"/>
          <w:sz w:val="32"/>
          <w:szCs w:val="32"/>
          <w:lang w:val="zh-CN"/>
        </w:rPr>
      </w:pPr>
    </w:p>
    <w:p w14:paraId="2E40011C">
      <w:pPr>
        <w:ind w:firstLine="640" w:firstLineChars="200"/>
        <w:rPr>
          <w:rFonts w:hint="eastAsia" w:asciiTheme="minorEastAsia" w:hAnsiTheme="minorEastAsia" w:eastAsiaTheme="minorEastAsia"/>
          <w:sz w:val="32"/>
          <w:szCs w:val="32"/>
          <w:lang w:val="zh-CN"/>
        </w:rPr>
      </w:pPr>
    </w:p>
    <w:p w14:paraId="4B203053">
      <w:pPr>
        <w:ind w:firstLine="640" w:firstLineChars="200"/>
        <w:rPr>
          <w:rFonts w:hint="eastAsia" w:asciiTheme="minorEastAsia" w:hAnsiTheme="minorEastAsia" w:eastAsiaTheme="minorEastAsia"/>
          <w:sz w:val="32"/>
          <w:szCs w:val="32"/>
          <w:lang w:val="zh-CN"/>
        </w:rPr>
      </w:pPr>
      <w:r>
        <w:rPr>
          <w:rFonts w:hint="eastAsia" w:asciiTheme="minorEastAsia" w:hAnsiTheme="minorEastAsia" w:eastAsiaTheme="minorEastAsia"/>
          <w:sz w:val="32"/>
          <w:szCs w:val="32"/>
          <w:lang w:val="zh-CN"/>
        </w:rPr>
        <w:t>附表：</w:t>
      </w:r>
      <w:r>
        <w:rPr>
          <w:rFonts w:hint="eastAsia" w:asciiTheme="minorEastAsia" w:hAnsiTheme="minorEastAsia" w:eastAsiaTheme="minorEastAsia"/>
          <w:sz w:val="32"/>
          <w:szCs w:val="32"/>
        </w:rPr>
        <w:t>部门</w:t>
      </w:r>
      <w:r>
        <w:rPr>
          <w:rFonts w:hint="eastAsia" w:asciiTheme="minorEastAsia" w:hAnsiTheme="minorEastAsia" w:eastAsiaTheme="minorEastAsia"/>
          <w:sz w:val="32"/>
          <w:szCs w:val="32"/>
          <w:lang w:val="zh-CN"/>
        </w:rPr>
        <w:t>预算项目支出绩效自评表（</w:t>
      </w:r>
      <w:r>
        <w:rPr>
          <w:rFonts w:hint="eastAsia" w:asciiTheme="minorEastAsia" w:hAnsiTheme="minorEastAsia"/>
          <w:sz w:val="32"/>
          <w:szCs w:val="32"/>
          <w:lang w:val="zh-CN"/>
        </w:rPr>
        <w:t>2025年</w:t>
      </w:r>
      <w:r>
        <w:rPr>
          <w:rFonts w:hint="eastAsia" w:asciiTheme="minorEastAsia" w:hAnsiTheme="minorEastAsia" w:eastAsiaTheme="minorEastAsia"/>
          <w:sz w:val="32"/>
          <w:szCs w:val="32"/>
          <w:lang w:val="zh-CN"/>
        </w:rPr>
        <w:t>度）</w:t>
      </w:r>
    </w:p>
    <w:p w14:paraId="6CE457D7">
      <w:pPr>
        <w:ind w:firstLine="420" w:firstLineChars="200"/>
      </w:pPr>
      <w:r>
        <w:drawing>
          <wp:inline distT="0" distB="0" distL="114300" distR="114300">
            <wp:extent cx="5273040" cy="3674745"/>
            <wp:effectExtent l="0" t="0" r="3810" b="1905"/>
            <wp:docPr id="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pic:cNvPicPr>
                      <a:picLocks noChangeAspect="1"/>
                    </pic:cNvPicPr>
                  </pic:nvPicPr>
                  <pic:blipFill>
                    <a:blip r:embed="rId13"/>
                    <a:stretch>
                      <a:fillRect/>
                    </a:stretch>
                  </pic:blipFill>
                  <pic:spPr>
                    <a:xfrm>
                      <a:off x="0" y="0"/>
                      <a:ext cx="5273040" cy="3674745"/>
                    </a:xfrm>
                    <a:prstGeom prst="rect">
                      <a:avLst/>
                    </a:prstGeom>
                    <a:noFill/>
                    <a:ln>
                      <a:noFill/>
                    </a:ln>
                  </pic:spPr>
                </pic:pic>
              </a:graphicData>
            </a:graphic>
          </wp:inline>
        </w:drawing>
      </w:r>
    </w:p>
    <w:p w14:paraId="54B6486C">
      <w:pPr>
        <w:ind w:firstLine="420" w:firstLineChars="200"/>
      </w:pPr>
    </w:p>
    <w:p w14:paraId="6EC98B4D">
      <w:pPr>
        <w:ind w:firstLine="420" w:firstLineChars="200"/>
      </w:pPr>
      <w:r>
        <w:drawing>
          <wp:inline distT="0" distB="0" distL="114300" distR="114300">
            <wp:extent cx="5269230" cy="3394075"/>
            <wp:effectExtent l="0" t="0" r="7620" b="15875"/>
            <wp:docPr id="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
                    <pic:cNvPicPr>
                      <a:picLocks noChangeAspect="1"/>
                    </pic:cNvPicPr>
                  </pic:nvPicPr>
                  <pic:blipFill>
                    <a:blip r:embed="rId14"/>
                    <a:stretch>
                      <a:fillRect/>
                    </a:stretch>
                  </pic:blipFill>
                  <pic:spPr>
                    <a:xfrm>
                      <a:off x="0" y="0"/>
                      <a:ext cx="5269230" cy="3394075"/>
                    </a:xfrm>
                    <a:prstGeom prst="rect">
                      <a:avLst/>
                    </a:prstGeom>
                    <a:noFill/>
                    <a:ln>
                      <a:noFill/>
                    </a:ln>
                  </pic:spPr>
                </pic:pic>
              </a:graphicData>
            </a:graphic>
          </wp:inline>
        </w:drawing>
      </w:r>
    </w:p>
    <w:p w14:paraId="22865BE6">
      <w:pPr>
        <w:ind w:firstLine="420" w:firstLineChars="200"/>
        <w:rPr>
          <w:rFonts w:hint="default"/>
          <w:lang w:val="en-US"/>
        </w:rPr>
      </w:pPr>
    </w:p>
    <w:p w14:paraId="6602412B">
      <w:pPr>
        <w:ind w:firstLine="420" w:firstLineChars="200"/>
      </w:pPr>
    </w:p>
    <w:p w14:paraId="07930EB4">
      <w:pPr>
        <w:ind w:firstLine="420" w:firstLineChars="200"/>
      </w:pPr>
      <w:r>
        <w:drawing>
          <wp:inline distT="0" distB="0" distL="114300" distR="114300">
            <wp:extent cx="5269865" cy="3582670"/>
            <wp:effectExtent l="0" t="0" r="6985" b="17780"/>
            <wp:docPr id="2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
                    <pic:cNvPicPr>
                      <a:picLocks noChangeAspect="1"/>
                    </pic:cNvPicPr>
                  </pic:nvPicPr>
                  <pic:blipFill>
                    <a:blip r:embed="rId15"/>
                    <a:stretch>
                      <a:fillRect/>
                    </a:stretch>
                  </pic:blipFill>
                  <pic:spPr>
                    <a:xfrm>
                      <a:off x="0" y="0"/>
                      <a:ext cx="5269865" cy="3582670"/>
                    </a:xfrm>
                    <a:prstGeom prst="rect">
                      <a:avLst/>
                    </a:prstGeom>
                    <a:noFill/>
                    <a:ln>
                      <a:noFill/>
                    </a:ln>
                  </pic:spPr>
                </pic:pic>
              </a:graphicData>
            </a:graphic>
          </wp:inline>
        </w:drawing>
      </w:r>
    </w:p>
    <w:p w14:paraId="276634A1">
      <w:pPr>
        <w:ind w:firstLine="420" w:firstLineChars="200"/>
      </w:pPr>
    </w:p>
    <w:p w14:paraId="33758AAC">
      <w:pPr>
        <w:ind w:firstLine="420" w:firstLineChars="200"/>
      </w:pPr>
      <w:r>
        <w:drawing>
          <wp:inline distT="0" distB="0" distL="114300" distR="114300">
            <wp:extent cx="5273040" cy="3298825"/>
            <wp:effectExtent l="0" t="0" r="3810" b="15875"/>
            <wp:docPr id="2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4"/>
                    <pic:cNvPicPr>
                      <a:picLocks noChangeAspect="1"/>
                    </pic:cNvPicPr>
                  </pic:nvPicPr>
                  <pic:blipFill>
                    <a:blip r:embed="rId16"/>
                    <a:stretch>
                      <a:fillRect/>
                    </a:stretch>
                  </pic:blipFill>
                  <pic:spPr>
                    <a:xfrm>
                      <a:off x="0" y="0"/>
                      <a:ext cx="5273040" cy="3298825"/>
                    </a:xfrm>
                    <a:prstGeom prst="rect">
                      <a:avLst/>
                    </a:prstGeom>
                    <a:noFill/>
                    <a:ln>
                      <a:noFill/>
                    </a:ln>
                  </pic:spPr>
                </pic:pic>
              </a:graphicData>
            </a:graphic>
          </wp:inline>
        </w:drawing>
      </w:r>
    </w:p>
    <w:p w14:paraId="76A9E6A1">
      <w:pPr>
        <w:ind w:firstLine="420" w:firstLineChars="200"/>
      </w:pPr>
      <w:r>
        <w:drawing>
          <wp:inline distT="0" distB="0" distL="114300" distR="114300">
            <wp:extent cx="5269230" cy="4609465"/>
            <wp:effectExtent l="0" t="0" r="7620" b="635"/>
            <wp:docPr id="2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
                    <pic:cNvPicPr>
                      <a:picLocks noChangeAspect="1"/>
                    </pic:cNvPicPr>
                  </pic:nvPicPr>
                  <pic:blipFill>
                    <a:blip r:embed="rId17"/>
                    <a:stretch>
                      <a:fillRect/>
                    </a:stretch>
                  </pic:blipFill>
                  <pic:spPr>
                    <a:xfrm>
                      <a:off x="0" y="0"/>
                      <a:ext cx="5269230" cy="4609465"/>
                    </a:xfrm>
                    <a:prstGeom prst="rect">
                      <a:avLst/>
                    </a:prstGeom>
                    <a:noFill/>
                    <a:ln>
                      <a:noFill/>
                    </a:ln>
                  </pic:spPr>
                </pic:pic>
              </a:graphicData>
            </a:graphic>
          </wp:inline>
        </w:drawing>
      </w:r>
    </w:p>
    <w:p w14:paraId="3D4C4D1A">
      <w:pPr>
        <w:ind w:firstLine="420" w:firstLineChars="200"/>
        <w:rPr>
          <w:rFonts w:hint="default"/>
          <w:lang w:val="en-US"/>
        </w:rPr>
      </w:pPr>
      <w:r>
        <w:drawing>
          <wp:inline distT="0" distB="0" distL="114300" distR="114300">
            <wp:extent cx="5273040" cy="3539490"/>
            <wp:effectExtent l="0" t="0" r="3810" b="3810"/>
            <wp:docPr id="2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6"/>
                    <pic:cNvPicPr>
                      <a:picLocks noChangeAspect="1"/>
                    </pic:cNvPicPr>
                  </pic:nvPicPr>
                  <pic:blipFill>
                    <a:blip r:embed="rId18"/>
                    <a:stretch>
                      <a:fillRect/>
                    </a:stretch>
                  </pic:blipFill>
                  <pic:spPr>
                    <a:xfrm>
                      <a:off x="0" y="0"/>
                      <a:ext cx="5273040" cy="3539490"/>
                    </a:xfrm>
                    <a:prstGeom prst="rect">
                      <a:avLst/>
                    </a:prstGeom>
                    <a:noFill/>
                    <a:ln>
                      <a:noFill/>
                    </a:ln>
                  </pic:spPr>
                </pic:pic>
              </a:graphicData>
            </a:graphic>
          </wp:inline>
        </w:drawing>
      </w:r>
      <w:r>
        <w:drawing>
          <wp:inline distT="0" distB="0" distL="114300" distR="114300">
            <wp:extent cx="5270500" cy="3639820"/>
            <wp:effectExtent l="0" t="0" r="6350" b="17780"/>
            <wp:docPr id="3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7"/>
                    <pic:cNvPicPr>
                      <a:picLocks noChangeAspect="1"/>
                    </pic:cNvPicPr>
                  </pic:nvPicPr>
                  <pic:blipFill>
                    <a:blip r:embed="rId19"/>
                    <a:stretch>
                      <a:fillRect/>
                    </a:stretch>
                  </pic:blipFill>
                  <pic:spPr>
                    <a:xfrm>
                      <a:off x="0" y="0"/>
                      <a:ext cx="5270500" cy="3639820"/>
                    </a:xfrm>
                    <a:prstGeom prst="rect">
                      <a:avLst/>
                    </a:prstGeom>
                    <a:noFill/>
                    <a:ln>
                      <a:noFill/>
                    </a:ln>
                  </pic:spPr>
                </pic:pic>
              </a:graphicData>
            </a:graphic>
          </wp:inline>
        </w:drawing>
      </w:r>
      <w:r>
        <w:drawing>
          <wp:inline distT="0" distB="0" distL="114300" distR="114300">
            <wp:extent cx="5273675" cy="3379470"/>
            <wp:effectExtent l="0" t="0" r="3175" b="11430"/>
            <wp:docPr id="3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8"/>
                    <pic:cNvPicPr>
                      <a:picLocks noChangeAspect="1"/>
                    </pic:cNvPicPr>
                  </pic:nvPicPr>
                  <pic:blipFill>
                    <a:blip r:embed="rId20"/>
                    <a:stretch>
                      <a:fillRect/>
                    </a:stretch>
                  </pic:blipFill>
                  <pic:spPr>
                    <a:xfrm>
                      <a:off x="0" y="0"/>
                      <a:ext cx="5273675" cy="3379470"/>
                    </a:xfrm>
                    <a:prstGeom prst="rect">
                      <a:avLst/>
                    </a:prstGeom>
                    <a:noFill/>
                    <a:ln>
                      <a:noFill/>
                    </a:ln>
                  </pic:spPr>
                </pic:pic>
              </a:graphicData>
            </a:graphic>
          </wp:inline>
        </w:drawing>
      </w:r>
    </w:p>
    <w:p w14:paraId="2D1E0EB0">
      <w:pPr>
        <w:ind w:firstLine="420" w:firstLineChars="200"/>
      </w:pPr>
    </w:p>
    <w:p w14:paraId="0EB13A39">
      <w:pPr>
        <w:ind w:firstLine="420" w:firstLineChars="200"/>
      </w:pPr>
    </w:p>
    <w:p w14:paraId="230BC6FC">
      <w:pPr>
        <w:ind w:firstLine="420" w:firstLineChars="200"/>
      </w:pPr>
    </w:p>
    <w:p w14:paraId="604CC2BC">
      <w:pPr>
        <w:ind w:firstLine="420" w:firstLineChars="200"/>
      </w:pPr>
    </w:p>
    <w:p w14:paraId="13B1B4EE">
      <w:pPr>
        <w:ind w:firstLine="420" w:firstLineChars="200"/>
      </w:pPr>
    </w:p>
    <w:p w14:paraId="2C7186C0">
      <w:pPr>
        <w:ind w:firstLine="420" w:firstLineChars="200"/>
      </w:pPr>
    </w:p>
    <w:p w14:paraId="51CA5F8D">
      <w:pPr>
        <w:ind w:firstLine="420" w:firstLineChars="200"/>
      </w:pPr>
    </w:p>
    <w:p w14:paraId="23E78727">
      <w:pPr>
        <w:ind w:firstLine="420" w:firstLineChars="200"/>
      </w:pPr>
    </w:p>
    <w:p w14:paraId="202C6B47">
      <w:pPr>
        <w:ind w:firstLine="420" w:firstLineChars="200"/>
        <w:rPr>
          <w:lang w:val="zh-CN"/>
        </w:rPr>
      </w:pPr>
    </w:p>
    <w:p w14:paraId="49B71549">
      <w:pPr>
        <w:jc w:val="center"/>
        <w:rPr>
          <w:rFonts w:hint="eastAsia" w:ascii="黑体" w:hAnsi="黑体" w:eastAsia="黑体"/>
        </w:rPr>
      </w:pPr>
      <w:bookmarkStart w:id="69" w:name="_Toc14445"/>
      <w:r>
        <w:rPr>
          <w:rFonts w:hint="eastAsia" w:ascii="黑体" w:hAnsi="黑体" w:eastAsia="黑体"/>
        </w:rPr>
        <w:t>第五部分 附表</w:t>
      </w:r>
      <w:bookmarkEnd w:id="69"/>
    </w:p>
    <w:p w14:paraId="1B1F8FC0">
      <w:pPr>
        <w:rPr>
          <w:rFonts w:hint="eastAsia" w:ascii="仿宋" w:hAnsi="仿宋" w:eastAsia="仿宋"/>
          <w:sz w:val="32"/>
          <w:szCs w:val="32"/>
        </w:rPr>
      </w:pPr>
      <w:r>
        <w:rPr>
          <w:rFonts w:hint="eastAsia" w:ascii="仿宋" w:hAnsi="仿宋" w:eastAsia="仿宋"/>
          <w:sz w:val="32"/>
          <w:szCs w:val="32"/>
        </w:rPr>
        <w:t>一、收入支出决算总表</w:t>
      </w:r>
    </w:p>
    <w:p w14:paraId="5F4B17CE">
      <w:pPr>
        <w:rPr>
          <w:rFonts w:hint="eastAsia" w:ascii="仿宋" w:hAnsi="仿宋" w:eastAsia="仿宋"/>
          <w:sz w:val="32"/>
          <w:szCs w:val="32"/>
        </w:rPr>
      </w:pPr>
      <w:r>
        <w:rPr>
          <w:rFonts w:hint="eastAsia" w:ascii="仿宋" w:hAnsi="仿宋" w:eastAsia="仿宋"/>
          <w:sz w:val="32"/>
          <w:szCs w:val="32"/>
        </w:rPr>
        <w:t>二、收入决算表</w:t>
      </w:r>
    </w:p>
    <w:p w14:paraId="1C6B6211">
      <w:pPr>
        <w:rPr>
          <w:rFonts w:hint="eastAsia" w:ascii="仿宋" w:hAnsi="仿宋" w:eastAsia="仿宋"/>
          <w:sz w:val="32"/>
          <w:szCs w:val="32"/>
        </w:rPr>
      </w:pPr>
      <w:r>
        <w:rPr>
          <w:rFonts w:hint="eastAsia" w:ascii="仿宋" w:hAnsi="仿宋" w:eastAsia="仿宋"/>
          <w:sz w:val="32"/>
          <w:szCs w:val="32"/>
        </w:rPr>
        <w:t>三、支出决算表</w:t>
      </w:r>
    </w:p>
    <w:p w14:paraId="3C95B1C4">
      <w:pPr>
        <w:rPr>
          <w:rFonts w:hint="eastAsia" w:ascii="仿宋" w:hAnsi="仿宋" w:eastAsia="仿宋"/>
          <w:sz w:val="32"/>
          <w:szCs w:val="32"/>
        </w:rPr>
      </w:pPr>
      <w:r>
        <w:rPr>
          <w:rFonts w:hint="eastAsia" w:ascii="仿宋" w:hAnsi="仿宋" w:eastAsia="仿宋"/>
          <w:sz w:val="32"/>
          <w:szCs w:val="32"/>
        </w:rPr>
        <w:t>四、财政拨款收入支出决算总表</w:t>
      </w:r>
    </w:p>
    <w:p w14:paraId="253DD072">
      <w:pPr>
        <w:rPr>
          <w:rFonts w:hint="eastAsia" w:ascii="仿宋" w:hAnsi="仿宋" w:eastAsia="仿宋"/>
          <w:sz w:val="32"/>
          <w:szCs w:val="32"/>
        </w:rPr>
      </w:pPr>
      <w:r>
        <w:rPr>
          <w:rFonts w:hint="eastAsia" w:ascii="仿宋" w:hAnsi="仿宋" w:eastAsia="仿宋"/>
          <w:sz w:val="32"/>
          <w:szCs w:val="32"/>
        </w:rPr>
        <w:t>五、财政拨款支出决算明细表</w:t>
      </w:r>
    </w:p>
    <w:p w14:paraId="7F637722">
      <w:pPr>
        <w:rPr>
          <w:rFonts w:hint="eastAsia" w:ascii="仿宋" w:hAnsi="仿宋" w:eastAsia="仿宋"/>
          <w:sz w:val="32"/>
          <w:szCs w:val="32"/>
        </w:rPr>
      </w:pPr>
      <w:r>
        <w:rPr>
          <w:rFonts w:hint="eastAsia" w:ascii="仿宋" w:hAnsi="仿宋" w:eastAsia="仿宋"/>
          <w:sz w:val="32"/>
          <w:szCs w:val="32"/>
        </w:rPr>
        <w:t>六、一般公共预算财政拨款支出决算表</w:t>
      </w:r>
    </w:p>
    <w:p w14:paraId="5F70DBE1">
      <w:pPr>
        <w:rPr>
          <w:rFonts w:hint="eastAsia" w:ascii="仿宋" w:hAnsi="仿宋" w:eastAsia="仿宋"/>
          <w:sz w:val="32"/>
          <w:szCs w:val="32"/>
        </w:rPr>
      </w:pPr>
      <w:r>
        <w:rPr>
          <w:rFonts w:hint="eastAsia" w:ascii="仿宋" w:hAnsi="仿宋" w:eastAsia="仿宋"/>
          <w:sz w:val="32"/>
          <w:szCs w:val="32"/>
        </w:rPr>
        <w:t>七、一般公共预算财政拨款支出决算明细表</w:t>
      </w:r>
    </w:p>
    <w:p w14:paraId="3AA13182">
      <w:pPr>
        <w:rPr>
          <w:rFonts w:hint="eastAsia" w:ascii="仿宋" w:hAnsi="仿宋" w:eastAsia="仿宋"/>
          <w:sz w:val="32"/>
          <w:szCs w:val="32"/>
        </w:rPr>
      </w:pPr>
      <w:r>
        <w:rPr>
          <w:rFonts w:hint="eastAsia" w:ascii="仿宋" w:hAnsi="仿宋" w:eastAsia="仿宋"/>
          <w:sz w:val="32"/>
          <w:szCs w:val="32"/>
        </w:rPr>
        <w:t>八、一般公共预算财政拨款基本支出决算表</w:t>
      </w:r>
    </w:p>
    <w:p w14:paraId="572BDF20">
      <w:pPr>
        <w:rPr>
          <w:rFonts w:hint="eastAsia" w:ascii="仿宋" w:hAnsi="仿宋" w:eastAsia="仿宋"/>
          <w:sz w:val="32"/>
          <w:szCs w:val="32"/>
        </w:rPr>
      </w:pPr>
      <w:r>
        <w:rPr>
          <w:rFonts w:hint="eastAsia" w:ascii="仿宋" w:hAnsi="仿宋" w:eastAsia="仿宋"/>
          <w:sz w:val="32"/>
          <w:szCs w:val="32"/>
        </w:rPr>
        <w:t>九、一般公共预算财政拨款项目支出决算表</w:t>
      </w:r>
    </w:p>
    <w:p w14:paraId="1242E40C">
      <w:pPr>
        <w:rPr>
          <w:rFonts w:hint="eastAsia" w:ascii="仿宋" w:hAnsi="仿宋" w:eastAsia="仿宋"/>
          <w:sz w:val="32"/>
          <w:szCs w:val="32"/>
        </w:rPr>
      </w:pPr>
      <w:r>
        <w:rPr>
          <w:rFonts w:hint="eastAsia" w:ascii="仿宋" w:hAnsi="仿宋" w:eastAsia="仿宋"/>
          <w:sz w:val="32"/>
          <w:szCs w:val="32"/>
        </w:rPr>
        <w:t>十、政府性基金预算财政拨款收入支出决算表</w:t>
      </w:r>
    </w:p>
    <w:p w14:paraId="77953FEB">
      <w:pPr>
        <w:rPr>
          <w:rFonts w:hint="eastAsia" w:ascii="仿宋" w:hAnsi="仿宋" w:eastAsia="仿宋"/>
          <w:sz w:val="32"/>
          <w:szCs w:val="32"/>
        </w:rPr>
      </w:pPr>
      <w:r>
        <w:rPr>
          <w:rFonts w:hint="eastAsia" w:ascii="仿宋" w:hAnsi="仿宋" w:eastAsia="仿宋"/>
          <w:sz w:val="32"/>
          <w:szCs w:val="32"/>
        </w:rPr>
        <w:t>十一、国有资本经营预算财政拨款收入支出决算表</w:t>
      </w:r>
    </w:p>
    <w:p w14:paraId="3B17AF91">
      <w:pPr>
        <w:rPr>
          <w:rFonts w:hint="eastAsia" w:ascii="仿宋" w:hAnsi="仿宋" w:eastAsia="仿宋"/>
          <w:sz w:val="32"/>
          <w:szCs w:val="32"/>
        </w:rPr>
      </w:pPr>
      <w:r>
        <w:rPr>
          <w:rFonts w:hint="eastAsia" w:ascii="仿宋" w:hAnsi="仿宋" w:eastAsia="仿宋"/>
          <w:sz w:val="32"/>
          <w:szCs w:val="32"/>
        </w:rPr>
        <w:t>十二、国有资本经营预算财政拨款支出决算表</w:t>
      </w:r>
    </w:p>
    <w:p w14:paraId="17BCC25D">
      <w:pPr>
        <w:rPr>
          <w:rFonts w:hint="eastAsia" w:ascii="仿宋" w:hAnsi="仿宋" w:eastAsia="仿宋"/>
          <w:sz w:val="32"/>
          <w:szCs w:val="32"/>
        </w:rPr>
      </w:pPr>
      <w:r>
        <w:rPr>
          <w:rFonts w:hint="eastAsia" w:ascii="仿宋" w:hAnsi="仿宋" w:eastAsia="仿宋"/>
          <w:sz w:val="32"/>
          <w:szCs w:val="32"/>
        </w:rPr>
        <w:t>十三、财政拨款“三公”经费支出决算表</w:t>
      </w:r>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Microsoft Himalaya">
    <w:panose1 w:val="01010100010101010101"/>
    <w:charset w:val="00"/>
    <w:family w:val="auto"/>
    <w:pitch w:val="default"/>
    <w:sig w:usb0="80000003" w:usb1="00010000" w:usb2="0000004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14:paraId="1E3DE54A">
        <w:pPr>
          <w:jc w:val="center"/>
        </w:pPr>
        <w:r>
          <w:fldChar w:fldCharType="begin"/>
        </w:r>
        <w:r>
          <w:instrText xml:space="preserve">PAGE   \* MERGEFORMAT</w:instrText>
        </w:r>
        <w:r>
          <w:fldChar w:fldCharType="separate"/>
        </w:r>
        <w:r>
          <w:rPr>
            <w:lang w:val="zh-CN"/>
          </w:rPr>
          <w:t>23</w:t>
        </w:r>
        <w:r>
          <w:fldChar w:fldCharType="end"/>
        </w:r>
      </w:p>
    </w:sdtContent>
  </w:sdt>
  <w:p w14:paraId="78F6619B"/>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46BE1">
    <w:pPr>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splitPgBreakAndParaMark/>
    <w:compatSetting w:name="compatibilityMode" w:uri="http://schemas.microsoft.com/office/word" w:val="12"/>
  </w:compat>
  <w:rsids>
    <w:rsidRoot w:val="00000000"/>
    <w:rsid w:val="00133DFB"/>
    <w:rsid w:val="004A3B64"/>
    <w:rsid w:val="0210689E"/>
    <w:rsid w:val="022F22EA"/>
    <w:rsid w:val="042678E6"/>
    <w:rsid w:val="04394E9A"/>
    <w:rsid w:val="05B40329"/>
    <w:rsid w:val="090C38C7"/>
    <w:rsid w:val="0A7603D4"/>
    <w:rsid w:val="0A967E1D"/>
    <w:rsid w:val="0B764219"/>
    <w:rsid w:val="0EF077E3"/>
    <w:rsid w:val="0F1C7805"/>
    <w:rsid w:val="101365DB"/>
    <w:rsid w:val="11642D13"/>
    <w:rsid w:val="11911C6A"/>
    <w:rsid w:val="126B1F99"/>
    <w:rsid w:val="132C4129"/>
    <w:rsid w:val="1355372E"/>
    <w:rsid w:val="156A123A"/>
    <w:rsid w:val="16A42B69"/>
    <w:rsid w:val="171B2DF6"/>
    <w:rsid w:val="1B843281"/>
    <w:rsid w:val="1EFC3D53"/>
    <w:rsid w:val="20F01DF5"/>
    <w:rsid w:val="22072683"/>
    <w:rsid w:val="226C4A9D"/>
    <w:rsid w:val="24735B16"/>
    <w:rsid w:val="247E43D6"/>
    <w:rsid w:val="248D3007"/>
    <w:rsid w:val="24D825C6"/>
    <w:rsid w:val="26590D17"/>
    <w:rsid w:val="2A384366"/>
    <w:rsid w:val="2C574B33"/>
    <w:rsid w:val="2E8C6FC1"/>
    <w:rsid w:val="2F2E05CB"/>
    <w:rsid w:val="2F533798"/>
    <w:rsid w:val="2F7476C6"/>
    <w:rsid w:val="30016D99"/>
    <w:rsid w:val="316E68DF"/>
    <w:rsid w:val="33534372"/>
    <w:rsid w:val="335A04B2"/>
    <w:rsid w:val="337F0597"/>
    <w:rsid w:val="33D91BE6"/>
    <w:rsid w:val="359C6171"/>
    <w:rsid w:val="37926DB0"/>
    <w:rsid w:val="387E2AEE"/>
    <w:rsid w:val="38A77FEB"/>
    <w:rsid w:val="3D34527D"/>
    <w:rsid w:val="3E7115C6"/>
    <w:rsid w:val="3F7A55CD"/>
    <w:rsid w:val="3FEB44A0"/>
    <w:rsid w:val="403B6E31"/>
    <w:rsid w:val="40974EA3"/>
    <w:rsid w:val="40EE64A1"/>
    <w:rsid w:val="41691ACD"/>
    <w:rsid w:val="41761B14"/>
    <w:rsid w:val="45A37BD4"/>
    <w:rsid w:val="46A17769"/>
    <w:rsid w:val="47667BD2"/>
    <w:rsid w:val="48226DC3"/>
    <w:rsid w:val="485F5DC5"/>
    <w:rsid w:val="49026D11"/>
    <w:rsid w:val="4BB41B04"/>
    <w:rsid w:val="4CC8688D"/>
    <w:rsid w:val="4D9D6A41"/>
    <w:rsid w:val="525A0016"/>
    <w:rsid w:val="55FF1B9A"/>
    <w:rsid w:val="56492D4F"/>
    <w:rsid w:val="57EC0A5E"/>
    <w:rsid w:val="583F158D"/>
    <w:rsid w:val="58A83FC4"/>
    <w:rsid w:val="59DD6C91"/>
    <w:rsid w:val="5C412967"/>
    <w:rsid w:val="5DBD4456"/>
    <w:rsid w:val="5EFD7A6E"/>
    <w:rsid w:val="60CD282F"/>
    <w:rsid w:val="614A1A89"/>
    <w:rsid w:val="62B67873"/>
    <w:rsid w:val="647B43E6"/>
    <w:rsid w:val="64E21195"/>
    <w:rsid w:val="65912065"/>
    <w:rsid w:val="68F45576"/>
    <w:rsid w:val="692F0E34"/>
    <w:rsid w:val="6B5D5CA1"/>
    <w:rsid w:val="6B9D2161"/>
    <w:rsid w:val="6BBE57BD"/>
    <w:rsid w:val="6CE31E33"/>
    <w:rsid w:val="71515A17"/>
    <w:rsid w:val="71991237"/>
    <w:rsid w:val="72A03324"/>
    <w:rsid w:val="7302044E"/>
    <w:rsid w:val="758C5D9E"/>
    <w:rsid w:val="75F55F78"/>
    <w:rsid w:val="76470B40"/>
    <w:rsid w:val="765D669E"/>
    <w:rsid w:val="76AB32F7"/>
    <w:rsid w:val="77F41009"/>
    <w:rsid w:val="7AEA4018"/>
    <w:rsid w:val="7FD118D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image" Target="media/image8.png"/><Relationship Id="rId2" Type="http://schemas.openxmlformats.org/officeDocument/2006/relationships/settings" Target="settings.xml"/><Relationship Id="rId19" Type="http://schemas.openxmlformats.org/officeDocument/2006/relationships/image" Target="media/image7.png"/><Relationship Id="rId18" Type="http://schemas.openxmlformats.org/officeDocument/2006/relationships/image" Target="media/image6.png"/><Relationship Id="rId17" Type="http://schemas.openxmlformats.org/officeDocument/2006/relationships/image" Target="media/image5.png"/><Relationship Id="rId16" Type="http://schemas.openxmlformats.org/officeDocument/2006/relationships/image" Target="media/image4.png"/><Relationship Id="rId15" Type="http://schemas.openxmlformats.org/officeDocument/2006/relationships/image" Target="media/image3.png"/><Relationship Id="rId14" Type="http://schemas.openxmlformats.org/officeDocument/2006/relationships/image" Target="media/image2.png"/><Relationship Id="rId13" Type="http://schemas.openxmlformats.org/officeDocument/2006/relationships/image" Target="media/image1.png"/><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6.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4.xlsx"/></Relationships>
</file>

<file path=word/charts/_rels/chart7.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424375"/>
          <c:y val="0.0181666666666667"/>
        </c:manualLayout>
      </c:layout>
      <c:overlay val="0"/>
      <c:spPr>
        <a:noFill/>
        <a:ln>
          <a:noFill/>
        </a:ln>
        <a:effectLst/>
      </c:spPr>
      <c:tx>
        <c:rich>
          <a:bodyPr/>
          <a:lstStyle/>
          <a:p>
            <a:pPr>
              <a:defRPr/>
            </a:pPr>
          </a:p>
        </c:rich>
      </c:tx>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2024年</c:v>
                </c:pt>
                <c:pt idx="1">
                  <c:v>2025年</c:v>
                </c:pt>
              </c:strCache>
            </c:strRef>
          </c:cat>
          <c:val>
            <c:numRef>
              <c:f>Sheet1!$B$2:$B$5</c:f>
              <c:numCache>
                <c:formatCode>General</c:formatCode>
                <c:ptCount val="4"/>
                <c:pt idx="0">
                  <c:v>629.82</c:v>
                </c:pt>
                <c:pt idx="1">
                  <c:v>477.94</c:v>
                </c:pt>
              </c:numCache>
            </c:numRef>
          </c:val>
        </c:ser>
        <c:ser>
          <c:idx val="1"/>
          <c:order val="1"/>
          <c:tx>
            <c:strRef>
              <c:f>Sheet1!$C$1</c:f>
              <c:strCache>
                <c:ptCount val="1"/>
                <c:pt idx="0">
                  <c:v>支出</c:v>
                </c:pt>
              </c:strCache>
            </c:strRef>
          </c:tx>
          <c:spPr>
            <a:solidFill>
              <a:schemeClr val="accent2"/>
            </a:solidFill>
            <a:ln>
              <a:noFill/>
            </a:ln>
            <a:effectLst/>
          </c:spPr>
          <c:invertIfNegative val="0"/>
          <c:dLbls>
            <c:delete val="1"/>
          </c:dLbls>
          <c:cat>
            <c:strRef>
              <c:f>Sheet1!$A$2:$A$5</c:f>
              <c:strCache>
                <c:ptCount val="4"/>
                <c:pt idx="0">
                  <c:v>2024年</c:v>
                </c:pt>
                <c:pt idx="1">
                  <c:v>2025年</c:v>
                </c:pt>
              </c:strCache>
            </c:strRef>
          </c:cat>
          <c:val>
            <c:numRef>
              <c:f>Sheet1!$C$2:$C$5</c:f>
              <c:numCache>
                <c:formatCode>General</c:formatCode>
                <c:ptCount val="4"/>
                <c:pt idx="0">
                  <c:v>629.82</c:v>
                </c:pt>
                <c:pt idx="1">
                  <c:v>477.94</c:v>
                </c:pt>
              </c:numCache>
            </c:numRef>
          </c:val>
        </c:ser>
        <c:ser>
          <c:idx val="2"/>
          <c:order val="2"/>
          <c:tx>
            <c:strRef>
              <c:f>Sheet1!$D$1</c:f>
              <c:strCache>
                <c:ptCount val="1"/>
                <c:pt idx="0">
                  <c:v/>
                </c:pt>
              </c:strCache>
            </c:strRef>
          </c:tx>
          <c:spPr>
            <a:solidFill>
              <a:schemeClr val="accent3"/>
            </a:solidFill>
            <a:ln>
              <a:noFill/>
            </a:ln>
            <a:effectLst/>
          </c:spPr>
          <c:invertIfNegative val="0"/>
          <c:dLbls>
            <c:delete val="1"/>
          </c:dLbls>
          <c:cat>
            <c:strRef>
              <c:f>Sheet1!$A$2:$A$5</c:f>
              <c:strCache>
                <c:ptCount val="4"/>
                <c:pt idx="0">
                  <c:v>2024年</c:v>
                </c:pt>
                <c:pt idx="1">
                  <c:v>2025年</c:v>
                </c:pt>
              </c:strCache>
            </c:strRef>
          </c:cat>
          <c:val>
            <c:numRef>
              <c:f>Sheet1!$D$2:$D$5</c:f>
              <c:numCache>
                <c:formatCode>General</c:formatCode>
                <c:ptCount val="4"/>
              </c:numCache>
            </c:numRef>
          </c:val>
        </c:ser>
        <c:dLbls>
          <c:showLegendKey val="0"/>
          <c:showVal val="0"/>
          <c:showCatName val="0"/>
          <c:showSerName val="0"/>
          <c:showPercent val="0"/>
          <c:showBubbleSize val="0"/>
        </c:dLbls>
        <c:gapWidth val="219"/>
        <c:overlap val="-27"/>
        <c:axId val="620447492"/>
        <c:axId val="599401070"/>
      </c:barChart>
      <c:catAx>
        <c:axId val="620447492"/>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99401070"/>
        <c:crosses val="autoZero"/>
        <c:auto val="1"/>
        <c:lblAlgn val="ctr"/>
        <c:lblOffset val="100"/>
        <c:noMultiLvlLbl val="0"/>
      </c:catAx>
      <c:valAx>
        <c:axId val="599401070"/>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20447492"/>
        <c:crosses val="autoZero"/>
        <c:crossBetween val="between"/>
      </c:valAx>
      <c:spPr>
        <a:noFill/>
        <a:ln>
          <a:noFill/>
        </a:ln>
        <a:effectLst/>
      </c:spPr>
    </c:plotArea>
    <c:legend>
      <c:legendPos val="b"/>
      <c:layout>
        <c:manualLayout>
          <c:xMode val="edge"/>
          <c:yMode val="edge"/>
          <c:x val="0.408625"/>
          <c:y val="0.9245"/>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89aa091b-095f-4ddd-8ec7-0237cdf3e69b}"/>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本年度财政拨款收入</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Lbl>
              <c:idx val="0"/>
              <c:layout>
                <c:manualLayout>
                  <c:x val="0.0059409681796187"/>
                  <c:y val="-0.106156749909169"/>
                </c:manualLayout>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rPr lang="en-US" altLang="zh-CN"/>
                      <a:t>477.94</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一般公共预算财政拨款收入</c:v>
                </c:pt>
              </c:strCache>
            </c:strRef>
          </c:cat>
          <c:val>
            <c:numRef>
              <c:f>Sheet1!$B$2:$B$5</c:f>
              <c:numCache>
                <c:formatCode>General</c:formatCode>
                <c:ptCount val="4"/>
                <c:pt idx="0">
                  <c:v>629.82</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一般公共预算财政拨款收入</c:v>
                </c:pt>
              </c:strCache>
            </c:strRef>
          </c:cat>
          <c:val>
            <c:numRef>
              <c:f>Sheet1!$C$2:$C$5</c:f>
              <c:numCache>
                <c:formatCode>General</c:formatCode>
                <c:ptCount val="4"/>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82465182-deab-45e2-8be6-7d8f5e2362f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2025年支出决算</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414.14</c:v>
                </c:pt>
                <c:pt idx="1">
                  <c:v>63.8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f1c98f8-445a-44c2-80f1-4158186836d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424375"/>
          <c:y val="0.0181666666666667"/>
        </c:manualLayout>
      </c:layout>
      <c:overlay val="0"/>
      <c:spPr>
        <a:noFill/>
        <a:ln>
          <a:noFill/>
        </a:ln>
        <a:effectLst/>
      </c:spPr>
      <c:tx>
        <c:rich>
          <a:bodyPr/>
          <a:lstStyle/>
          <a:p>
            <a:pPr>
              <a:defRPr/>
            </a:pPr>
          </a:p>
        </c:rich>
      </c:tx>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delete val="1"/>
          </c:dLbls>
          <c:cat>
            <c:strRef>
              <c:f>Sheet1!$A$2:$A$5</c:f>
              <c:strCache>
                <c:ptCount val="4"/>
                <c:pt idx="0">
                  <c:v>2024年</c:v>
                </c:pt>
                <c:pt idx="1">
                  <c:v>2025年</c:v>
                </c:pt>
              </c:strCache>
            </c:strRef>
          </c:cat>
          <c:val>
            <c:numRef>
              <c:f>Sheet1!$B$2:$B$5</c:f>
              <c:numCache>
                <c:formatCode>General</c:formatCode>
                <c:ptCount val="4"/>
                <c:pt idx="0">
                  <c:v>629.82</c:v>
                </c:pt>
                <c:pt idx="1">
                  <c:v>477.94</c:v>
                </c:pt>
              </c:numCache>
            </c:numRef>
          </c:val>
        </c:ser>
        <c:ser>
          <c:idx val="1"/>
          <c:order val="1"/>
          <c:tx>
            <c:strRef>
              <c:f>Sheet1!$C$1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2024年</c:v>
                </c:pt>
                <c:pt idx="1">
                  <c:v>2025年</c:v>
                </c:pt>
              </c:strCache>
            </c:strRef>
          </c:cat>
          <c:val>
            <c:numRef>
              <c:f>Sheet1!$C$2:$C$5</c:f>
              <c:numCache>
                <c:formatCode>General</c:formatCode>
                <c:ptCount val="4"/>
                <c:pt idx="0">
                  <c:v>629.82</c:v>
                </c:pt>
                <c:pt idx="1">
                  <c:v>477.94</c:v>
                </c:pt>
              </c:numCache>
            </c:numRef>
          </c:val>
        </c:ser>
        <c:ser>
          <c:idx val="2"/>
          <c:order val="2"/>
          <c:tx>
            <c:strRef>
              <c:f>Sheet1!$D$1</c:f>
              <c:strCache>
                <c:ptCount val="1"/>
                <c:pt idx="0">
                  <c:v/>
                </c:pt>
              </c:strCache>
            </c:strRef>
          </c:tx>
          <c:spPr>
            <a:solidFill>
              <a:schemeClr val="accent3"/>
            </a:solidFill>
            <a:ln>
              <a:noFill/>
            </a:ln>
            <a:effectLst/>
          </c:spPr>
          <c:invertIfNegative val="0"/>
          <c:dLbls>
            <c:delete val="1"/>
          </c:dLbls>
          <c:cat>
            <c:strRef>
              <c:f>Sheet1!$A$2:$A$5</c:f>
              <c:strCache>
                <c:ptCount val="4"/>
                <c:pt idx="0">
                  <c:v>2024年</c:v>
                </c:pt>
                <c:pt idx="1">
                  <c:v>2025年</c:v>
                </c:pt>
              </c:strCache>
            </c:strRef>
          </c:cat>
          <c:val>
            <c:numRef>
              <c:f>Sheet1!$D$2:$D$5</c:f>
              <c:numCache>
                <c:formatCode>General</c:formatCode>
                <c:ptCount val="4"/>
              </c:numCache>
            </c:numRef>
          </c:val>
        </c:ser>
        <c:dLbls>
          <c:showLegendKey val="0"/>
          <c:showVal val="0"/>
          <c:showCatName val="0"/>
          <c:showSerName val="0"/>
          <c:showPercent val="0"/>
          <c:showBubbleSize val="0"/>
        </c:dLbls>
        <c:gapWidth val="219"/>
        <c:overlap val="-27"/>
        <c:axId val="620447492"/>
        <c:axId val="599401070"/>
      </c:barChart>
      <c:catAx>
        <c:axId val="620447492"/>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99401070"/>
        <c:crosses val="autoZero"/>
        <c:auto val="1"/>
        <c:lblAlgn val="ctr"/>
        <c:lblOffset val="100"/>
        <c:noMultiLvlLbl val="0"/>
      </c:catAx>
      <c:valAx>
        <c:axId val="599401070"/>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20447492"/>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866c07f-eff2-4a22-8170-55b26d199b10}"/>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
        <c:rich>
          <a:bodyPr/>
          <a:lstStyle/>
          <a:p>
            <a:pPr>
              <a:defRPr/>
            </a:pPr>
          </a:p>
        </c:rich>
      </c:tx>
    </c:title>
    <c:autoTitleDeleted val="0"/>
    <c:plotArea>
      <c:layout>
        <c:manualLayout>
          <c:layoutTarget val="inner"/>
          <c:xMode val="edge"/>
          <c:yMode val="edge"/>
          <c:x val="0.070075"/>
          <c:y val="0.128833333333333"/>
          <c:w val="0.905175"/>
          <c:h val="0.7924"/>
        </c:manualLayout>
      </c:layout>
      <c:barChart>
        <c:barDir val="col"/>
        <c:grouping val="clustered"/>
        <c:varyColors val="0"/>
        <c:ser>
          <c:idx val="0"/>
          <c:order val="0"/>
          <c:tx>
            <c:strRef>
              <c:f>Sheet1!$B$1</c:f>
              <c:strCache>
                <c:ptCount val="1"/>
                <c:pt idx="0">
                  <c:v>系列 1</c:v>
                </c:pt>
              </c:strCache>
            </c:strRef>
          </c:tx>
          <c:spPr>
            <a:solidFill>
              <a:schemeClr val="accent1"/>
            </a:solidFill>
            <a:ln>
              <a:noFill/>
            </a:ln>
            <a:effectLst/>
          </c:spPr>
          <c:invertIfNegative val="0"/>
          <c:dLbls>
            <c:dLbl>
              <c:idx val="0"/>
              <c:layout/>
              <c:dLblPos val="outEnd"/>
              <c:showLegendKey val="0"/>
              <c:showVal val="1"/>
              <c:showCatName val="0"/>
              <c:showSerName val="0"/>
              <c:showPercent val="0"/>
              <c:showBubbleSize val="0"/>
              <c:extLst>
                <c:ext xmlns:c15="http://schemas.microsoft.com/office/drawing/2012/chart" uri="{CE6537A1-D6FC-4f65-9D91-7224C49458BB}"/>
              </c:extLst>
            </c:dLbl>
            <c:dLbl>
              <c:idx val="1"/>
              <c:layout/>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0"/>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2024年</c:v>
                </c:pt>
                <c:pt idx="1">
                  <c:v>2025年</c:v>
                </c:pt>
              </c:strCache>
            </c:strRef>
          </c:cat>
          <c:val>
            <c:numRef>
              <c:f>Sheet1!$B$2:$B$3</c:f>
              <c:numCache>
                <c:formatCode>General</c:formatCode>
                <c:ptCount val="2"/>
                <c:pt idx="0">
                  <c:v>629.82</c:v>
                </c:pt>
                <c:pt idx="1">
                  <c:v>477.94</c:v>
                </c:pt>
              </c:numCache>
            </c:numRef>
          </c:val>
        </c:ser>
        <c:ser>
          <c:idx val="1"/>
          <c:order val="1"/>
          <c:tx>
            <c:strRef>
              <c:f>Sheet1!#REF!</c:f>
              <c:strCache>
                <c:ptCount val="1"/>
                <c:pt idx="0">
                  <c:v/>
                </c:pt>
              </c:strCache>
            </c:strRef>
          </c:tx>
          <c:spPr>
            <a:solidFill>
              <a:schemeClr val="accent2"/>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2024年</c:v>
                </c:pt>
                <c:pt idx="1">
                  <c:v>2025年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694111427"/>
        <c:axId val="85721876"/>
      </c:barChart>
      <c:catAx>
        <c:axId val="694111427"/>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5721876"/>
        <c:crosses val="autoZero"/>
        <c:auto val="1"/>
        <c:lblAlgn val="ctr"/>
        <c:lblOffset val="100"/>
        <c:noMultiLvlLbl val="0"/>
      </c:catAx>
      <c:valAx>
        <c:axId val="85721876"/>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94111427"/>
        <c:crosses val="autoZero"/>
        <c:crossBetween val="between"/>
      </c:valAx>
      <c:spPr>
        <a:noFill/>
        <a:ln>
          <a:noFill/>
        </a:ln>
        <a:effectLst/>
      </c:spPr>
    </c:plotArea>
    <c:plotVisOnly val="1"/>
    <c:dispBlanksAs val="gap"/>
    <c:showDLblsOverMax val="0"/>
    <c:extLst>
      <c:ext uri="{0b15fc19-7d7d-44ad-8c2d-2c3a37ce22c3}">
        <chartProps xmlns="https://web.wps.cn/et/2018/main" chartId="{30dd0ab7-7d48-47c8-bd07-75e202dbdd49}"/>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本年度财政支出</a:t>
            </a:r>
          </a:p>
        </c:rich>
      </c:tx>
      <c:layout/>
      <c:overlay val="0"/>
      <c:spPr>
        <a:noFill/>
        <a:ln>
          <a:noFill/>
        </a:ln>
        <a:effectLst/>
      </c:spPr>
    </c:title>
    <c:autoTitleDeleted val="0"/>
    <c:plotArea>
      <c:layout/>
      <c:pieChart>
        <c:varyColors val="1"/>
        <c:ser>
          <c:idx val="0"/>
          <c:order val="0"/>
          <c:tx>
            <c:strRef>
              <c:f>Sheet1!$B$1</c:f>
              <c:strCache>
                <c:ptCount val="1"/>
                <c:pt idx="0">
                  <c:v>万元</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一般公共服务</c:v>
                </c:pt>
                <c:pt idx="1">
                  <c:v>社会保障和就业支出</c:v>
                </c:pt>
                <c:pt idx="2">
                  <c:v>卫生健康支出</c:v>
                </c:pt>
                <c:pt idx="3">
                  <c:v>住房保障支出</c:v>
                </c:pt>
                <c:pt idx="4">
                  <c:v>农林水支出支出</c:v>
                </c:pt>
              </c:strCache>
            </c:strRef>
          </c:cat>
          <c:val>
            <c:numRef>
              <c:f>Sheet1!$B$2:$B$6</c:f>
              <c:numCache>
                <c:formatCode>General</c:formatCode>
                <c:ptCount val="5"/>
                <c:pt idx="0">
                  <c:v>366.84</c:v>
                </c:pt>
                <c:pt idx="1">
                  <c:v>57.01</c:v>
                </c:pt>
                <c:pt idx="2">
                  <c:v>21.17</c:v>
                </c:pt>
                <c:pt idx="3">
                  <c:v>30.94</c:v>
                </c:pt>
                <c:pt idx="4">
                  <c:v>1.98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a7dd84a-8f02-4834-8dbc-53e0d295d34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万元</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因公出国（境）费支出</c:v>
                </c:pt>
                <c:pt idx="1">
                  <c:v>公务用车购置及运行维护费支出</c:v>
                </c:pt>
                <c:pt idx="2">
                  <c:v>公务接待费支出决算</c:v>
                </c:pt>
              </c:strCache>
            </c:strRef>
          </c:cat>
          <c:val>
            <c:numRef>
              <c:f>Sheet1!$B$2:$B$4</c:f>
              <c:numCache>
                <c:formatCode>General</c:formatCode>
                <c:ptCount val="3"/>
                <c:pt idx="0">
                  <c:v>0</c:v>
                </c:pt>
                <c:pt idx="1">
                  <c:v>3.54</c:v>
                </c:pt>
                <c:pt idx="2">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a119ede-2328-45d0-811e-3625940777c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35</Pages>
  <Words>58</Words>
  <Characters>61</Characters>
  <TotalTime>4</TotalTime>
  <ScaleCrop>false</ScaleCrop>
  <LinksUpToDate>false</LinksUpToDate>
  <CharactersWithSpaces>61</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2026-10-28T09:32:00Z</dcterms:created>
  <dc:creator>Administrator</dc:creator>
  <cp:lastModifiedBy>Ancient Secret </cp:lastModifiedBy>
  <dcterms:modified xsi:type="dcterms:W3CDTF">2026-10-28T14:51:47Z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eyJoZGlkIjoiYmVjODUxZWIzMGIwNGFmYzdhODgzMTU0MzE1MDE2NjIiLCJ1c2VySWQiOiI2OTg4NzMwMDIifQ==</vt:lpwstr>
  </property>
  <property fmtid="{D5CDD505-2E9C-101B-9397-08002B2CF9AE}" pid="3" name="KSOProductBuildVer">
    <vt:lpwstr>2052-12.1.0.29161</vt:lpwstr>
  </property>
  <property fmtid="{D5CDD505-2E9C-101B-9397-08002B2CF9AE}" pid="4" name="ICV">
    <vt:lpwstr>3C2337007C85476190C648707651DA8E_12</vt:lpwstr>
  </property>
</Properties>
</file>