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ascii="Times New Roman" w:hAnsi="Times New Roman" w:eastAsia="方正小标宋简体" w:cs="Times New Roman"/>
          <w:color w:val="auto"/>
          <w:kern w:val="2"/>
          <w:sz w:val="72"/>
          <w:szCs w:val="72"/>
          <w:highlight w:val="none"/>
          <w:lang w:val="en-US" w:eastAsia="zh-CN" w:bidi="ar-SA"/>
        </w:rPr>
      </w:pPr>
      <w:bookmarkStart w:id="0" w:name="_Toc15377425"/>
      <w:bookmarkStart w:id="1" w:name="_Toc15378441"/>
      <w:bookmarkStart w:id="2" w:name="_Toc15396597"/>
      <w:bookmarkStart w:id="3" w:name="_Toc15306267"/>
      <w:bookmarkStart w:id="4" w:name="_Toc15396475"/>
      <w:bookmarkStart w:id="5" w:name="_Toc15377193"/>
    </w:p>
    <w:p>
      <w:pPr>
        <w:pStyle w:val="2"/>
        <w:rPr>
          <w:rFonts w:hint="eastAsia" w:ascii="Times New Roman" w:hAnsi="Times New Roman" w:eastAsia="方正小标宋简体" w:cs="Times New Roman"/>
          <w:color w:val="auto"/>
          <w:kern w:val="2"/>
          <w:sz w:val="72"/>
          <w:szCs w:val="72"/>
          <w:highlight w:val="none"/>
          <w:lang w:val="en-US" w:eastAsia="zh-CN" w:bidi="ar-SA"/>
        </w:rPr>
      </w:pPr>
    </w:p>
    <w:p>
      <w:pPr>
        <w:pStyle w:val="2"/>
        <w:rPr>
          <w:rFonts w:hint="eastAsia" w:ascii="Times New Roman" w:hAnsi="Times New Roman" w:eastAsia="方正小标宋简体" w:cs="Times New Roman"/>
          <w:color w:val="auto"/>
          <w:kern w:val="2"/>
          <w:sz w:val="72"/>
          <w:szCs w:val="72"/>
          <w:highlight w:val="none"/>
          <w:lang w:val="en-US" w:eastAsia="zh-CN" w:bidi="ar-SA"/>
        </w:rPr>
      </w:pPr>
    </w:p>
    <w:p>
      <w:pPr>
        <w:adjustRightInd w:val="0"/>
        <w:snapToGrid w:val="0"/>
        <w:spacing w:line="360" w:lineRule="auto"/>
        <w:jc w:val="center"/>
        <w:outlineLvl w:val="0"/>
        <w:rPr>
          <w:rFonts w:hint="eastAsia" w:ascii="方正小标宋简体" w:hAnsi="Times New Roman" w:eastAsia="方正小标宋简体" w:cs="方正小标宋简体"/>
          <w:sz w:val="72"/>
          <w:szCs w:val="72"/>
          <w:lang w:val="en-US" w:eastAsia="zh-CN"/>
        </w:rPr>
      </w:pPr>
      <w:r>
        <w:rPr>
          <w:rFonts w:hint="eastAsia" w:ascii="方正小标宋简体" w:hAnsi="Times New Roman" w:eastAsia="方正小标宋简体" w:cs="方正小标宋简体"/>
          <w:sz w:val="72"/>
          <w:szCs w:val="72"/>
          <w:lang w:val="en-US" w:eastAsia="zh-CN"/>
        </w:rPr>
        <w:t>20</w:t>
      </w:r>
      <w:r>
        <w:rPr>
          <w:rFonts w:hint="eastAsia" w:ascii="方正小标宋简体" w:eastAsia="方正小标宋简体" w:cs="方正小标宋简体"/>
          <w:sz w:val="72"/>
          <w:szCs w:val="72"/>
          <w:lang w:val="en-US" w:eastAsia="zh-CN"/>
        </w:rPr>
        <w:t>25</w:t>
      </w:r>
      <w:r>
        <w:rPr>
          <w:rFonts w:hint="eastAsia" w:ascii="方正小标宋简体" w:hAnsi="Times New Roman" w:eastAsia="方正小标宋简体" w:cs="方正小标宋简体"/>
          <w:sz w:val="72"/>
          <w:szCs w:val="72"/>
          <w:lang w:val="en-US" w:eastAsia="zh-CN"/>
        </w:rPr>
        <w:t>年度</w:t>
      </w:r>
    </w:p>
    <w:p>
      <w:pPr>
        <w:adjustRightInd w:val="0"/>
        <w:snapToGrid w:val="0"/>
        <w:spacing w:line="360" w:lineRule="auto"/>
        <w:jc w:val="center"/>
        <w:outlineLvl w:val="0"/>
        <w:rPr>
          <w:rFonts w:hint="eastAsia" w:ascii="方正小标宋简体" w:hAnsi="Times New Roman" w:eastAsia="方正小标宋简体" w:cs="方正小标宋简体"/>
          <w:sz w:val="72"/>
          <w:szCs w:val="72"/>
          <w:lang w:val="en-US" w:eastAsia="zh-CN"/>
        </w:rPr>
      </w:pPr>
      <w:r>
        <w:rPr>
          <w:rFonts w:hint="eastAsia" w:ascii="方正小标宋简体" w:hAnsi="Times New Roman" w:eastAsia="方正小标宋简体" w:cs="方正小标宋简体"/>
          <w:sz w:val="72"/>
          <w:szCs w:val="72"/>
          <w:lang w:val="en-US" w:eastAsia="zh-CN"/>
        </w:rPr>
        <w:t>阿坝州红原县江茸乡小学决算</w:t>
      </w:r>
    </w:p>
    <w:p>
      <w:pPr>
        <w:adjustRightInd w:val="0"/>
        <w:snapToGrid w:val="0"/>
        <w:spacing w:line="360" w:lineRule="auto"/>
        <w:jc w:val="center"/>
        <w:outlineLvl w:val="0"/>
        <w:rPr>
          <w:rFonts w:ascii="方正小标宋简体" w:eastAsia="方正小标宋简体"/>
          <w:sz w:val="52"/>
          <w:szCs w:val="52"/>
        </w:rPr>
      </w:pPr>
      <w:r>
        <w:rPr>
          <w:rFonts w:hint="eastAsia" w:ascii="方正小标宋简体" w:eastAsia="方正小标宋简体"/>
          <w:sz w:val="52"/>
          <w:szCs w:val="52"/>
        </w:rPr>
        <w:t>(单位公开范本)</w:t>
      </w:r>
    </w:p>
    <w:p>
      <w:pPr>
        <w:pStyle w:val="2"/>
        <w:rPr>
          <w:rFonts w:hint="eastAsia"/>
          <w:lang w:val="en-US" w:eastAsia="zh-CN"/>
        </w:rPr>
      </w:pPr>
    </w:p>
    <w:p>
      <w:pPr>
        <w:spacing w:line="600" w:lineRule="exact"/>
        <w:jc w:val="center"/>
        <w:outlineLvl w:val="0"/>
        <w:rPr>
          <w:rFonts w:ascii="Times New Roman" w:hAnsi="Times New Roman" w:eastAsia="方正小标宋简体"/>
          <w:color w:val="auto"/>
          <w:sz w:val="72"/>
          <w:szCs w:val="72"/>
          <w:highlight w:val="none"/>
        </w:rPr>
      </w:pPr>
    </w:p>
    <w:p>
      <w:pPr>
        <w:pStyle w:val="2"/>
        <w:rPr>
          <w:rFonts w:ascii="Times New Roman" w:hAnsi="Times New Roman" w:eastAsia="方正小标宋简体"/>
          <w:color w:val="auto"/>
          <w:sz w:val="72"/>
          <w:szCs w:val="72"/>
          <w:highlight w:val="none"/>
        </w:rPr>
      </w:pPr>
    </w:p>
    <w:p>
      <w:pPr>
        <w:pStyle w:val="2"/>
        <w:rPr>
          <w:rFonts w:ascii="Times New Roman" w:hAnsi="Times New Roman" w:eastAsia="方正小标宋简体"/>
          <w:color w:val="auto"/>
          <w:sz w:val="72"/>
          <w:szCs w:val="72"/>
          <w:highlight w:val="none"/>
        </w:rPr>
      </w:pPr>
    </w:p>
    <w:p>
      <w:pPr>
        <w:pStyle w:val="2"/>
        <w:spacing w:beforeLines="0"/>
        <w:jc w:val="center"/>
        <w:rPr>
          <w:rFonts w:hint="eastAsia" w:ascii="Times New Roman" w:hAnsi="Times New Roman" w:eastAsia="仿宋_GB2312"/>
          <w:lang w:eastAsia="zh-CN"/>
        </w:rPr>
        <w:sectPr>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bookmarkStart w:id="6" w:name="_Hlk113547609"/>
      <w:r>
        <w:rPr>
          <w:rFonts w:hint="eastAsia" w:cs="仿宋_GB2312"/>
          <w:sz w:val="32"/>
          <w:szCs w:val="32"/>
        </w:rPr>
        <w:t>已经保密审查、内容审定，同意对外公</w:t>
      </w:r>
      <w:bookmarkEnd w:id="6"/>
      <w:r>
        <w:rPr>
          <w:rFonts w:hint="eastAsia" w:cs="仿宋_GB2312"/>
          <w:sz w:val="32"/>
          <w:szCs w:val="32"/>
          <w:lang w:eastAsia="zh-CN"/>
        </w:rPr>
        <w:t>开</w:t>
      </w:r>
    </w:p>
    <w:bookmarkEnd w:id="0"/>
    <w:bookmarkEnd w:id="1"/>
    <w:bookmarkEnd w:id="2"/>
    <w:bookmarkEnd w:id="3"/>
    <w:bookmarkEnd w:id="4"/>
    <w:bookmarkEnd w:id="5"/>
    <w:p>
      <w:pPr>
        <w:widowControl/>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pPr>
        <w:widowControl/>
        <w:jc w:val="center"/>
        <w:rPr>
          <w:rFonts w:ascii="Times New Roman" w:hAnsi="Times New Roman" w:eastAsia="黑体" w:cstheme="minorBidi"/>
          <w:color w:val="auto"/>
          <w:sz w:val="28"/>
          <w:szCs w:val="28"/>
          <w:highlight w:val="none"/>
        </w:rPr>
      </w:pPr>
    </w:p>
    <w:p>
      <w:pPr>
        <w:pStyle w:val="12"/>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25</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11</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 20</w:t>
      </w:r>
      <w:r>
        <w:rPr>
          <w:rFonts w:hint="eastAsia" w:ascii="Times New Roman" w:hAnsi="Times New Roman" w:eastAsia="仿宋_GB2312" w:cs="仿宋_GB2312"/>
          <w:color w:val="auto"/>
          <w:sz w:val="32"/>
          <w:szCs w:val="32"/>
          <w:highlight w:val="none"/>
        </w:rPr>
        <w:t>日</w:t>
      </w:r>
    </w:p>
    <w:p>
      <w:pPr>
        <w:rPr>
          <w:rFonts w:ascii="Times New Roman" w:hAnsi="Times New Roman"/>
          <w:color w:val="auto"/>
          <w:highlight w:val="none"/>
        </w:rPr>
      </w:pP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宋体" w:cs="Times New Roman"/>
          <w:b/>
          <w:bCs/>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第一部分 单位概况</w:t>
      </w:r>
    </w:p>
    <w:p>
      <w:pPr>
        <w:pStyle w:val="14"/>
        <w:adjustRightInd w:val="0"/>
        <w:snapToGrid w:val="0"/>
        <w:spacing w:line="440" w:lineRule="exact"/>
        <w:ind w:left="42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一、职能简介</w:t>
      </w:r>
    </w:p>
    <w:p>
      <w:pPr>
        <w:pStyle w:val="14"/>
        <w:adjustRightInd w:val="0"/>
        <w:snapToGrid w:val="0"/>
        <w:spacing w:line="440" w:lineRule="exact"/>
        <w:ind w:left="42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二、</w:t>
      </w:r>
      <w:r>
        <w:rPr>
          <w:rFonts w:hint="eastAsia" w:cs="Times New Roman"/>
          <w:kern w:val="2"/>
          <w:sz w:val="24"/>
          <w:szCs w:val="24"/>
          <w:lang w:val="en-US" w:eastAsia="zh-CN" w:bidi="ar-SA"/>
        </w:rPr>
        <w:t>2025</w:t>
      </w:r>
      <w:r>
        <w:rPr>
          <w:rFonts w:hint="eastAsia" w:ascii="Times New Roman" w:hAnsi="Times New Roman" w:eastAsia="宋体" w:cs="Times New Roman"/>
          <w:kern w:val="2"/>
          <w:sz w:val="24"/>
          <w:szCs w:val="24"/>
          <w:lang w:val="en-US" w:eastAsia="zh-CN" w:bidi="ar-SA"/>
        </w:rPr>
        <w:t>年重点工作完成情况</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宋体" w:cs="Times New Roman"/>
          <w:b/>
          <w:bCs/>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第二部分 2025年度单位决算情况说明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jc w:val="left"/>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一、收入支出决算总体情况说明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jc w:val="left"/>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二、收入决算情况说明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jc w:val="left"/>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三、支出决算情况说明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jc w:val="left"/>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四、财政拨款收入支出决算总体情况说明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jc w:val="left"/>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五、一般公共预算财政拨款支出决算情况说明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jc w:val="left"/>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六、一般公共预算财政拨款基本支出决算情况说明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jc w:val="left"/>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七、财政拨款“三公”经费支出决算情况说明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jc w:val="left"/>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八、政府性基金预算支出决算情况说明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jc w:val="left"/>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九、国有资本经营预算支出决算情况说明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jc w:val="left"/>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十、其他重要事项的情况说明</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宋体" w:cs="Times New Roman"/>
          <w:b/>
          <w:bCs/>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第三部分 名词解释</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宋体" w:cs="Times New Roman"/>
          <w:b/>
          <w:bCs/>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第四部分 附件</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宋体" w:cs="Times New Roman"/>
          <w:b/>
          <w:bCs/>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第五部分 附表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562" w:firstLineChars="200"/>
        <w:jc w:val="left"/>
        <w:textAlignment w:val="auto"/>
        <w:rPr>
          <w:rFonts w:hint="eastAsia" w:ascii="Times New Roman" w:hAnsi="Times New Roman" w:eastAsia="仿宋_GB2312" w:cs="仿宋_GB2312"/>
          <w:b/>
          <w:bCs/>
          <w:color w:val="auto"/>
          <w:sz w:val="28"/>
          <w:szCs w:val="28"/>
          <w:highlight w:val="none"/>
          <w:lang w:eastAsia="zh-CN"/>
        </w:rPr>
      </w:pPr>
      <w:r>
        <w:rPr>
          <w:rFonts w:hint="eastAsia" w:ascii="Times New Roman" w:hAnsi="Times New Roman" w:eastAsia="仿宋_GB2312" w:cs="仿宋_GB2312"/>
          <w:b/>
          <w:bCs/>
          <w:color w:val="auto"/>
          <w:sz w:val="28"/>
          <w:szCs w:val="28"/>
          <w:highlight w:val="none"/>
          <w:lang w:eastAsia="zh-CN"/>
        </w:rPr>
        <w:t>（</w:t>
      </w:r>
      <w:r>
        <w:rPr>
          <w:rFonts w:hint="eastAsia" w:ascii="Times New Roman" w:hAnsi="Times New Roman" w:eastAsia="仿宋_GB2312" w:cs="仿宋_GB2312"/>
          <w:b/>
          <w:bCs/>
          <w:color w:val="auto"/>
          <w:sz w:val="28"/>
          <w:szCs w:val="28"/>
          <w:highlight w:val="none"/>
        </w:rPr>
        <w:t>注：请部门根据实际注明页码</w:t>
      </w:r>
      <w:r>
        <w:rPr>
          <w:rFonts w:hint="eastAsia" w:ascii="Times New Roman" w:hAnsi="Times New Roman" w:eastAsia="仿宋_GB2312" w:cs="仿宋_GB2312"/>
          <w:b/>
          <w:bCs/>
          <w:color w:val="auto"/>
          <w:sz w:val="28"/>
          <w:szCs w:val="28"/>
          <w:highlight w:val="none"/>
          <w:lang w:eastAsia="zh-CN"/>
        </w:rPr>
        <w:t>）</w:t>
      </w:r>
    </w:p>
    <w:p>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7" w:name="_Toc15377196"/>
      <w:bookmarkStart w:id="8" w:name="_Toc15396599"/>
      <w:r>
        <w:rPr>
          <w:rFonts w:hint="eastAsia" w:ascii="Times New Roman" w:hAnsi="Times New Roman" w:eastAsia="仿宋_GB2312" w:cs="仿宋_GB2312"/>
          <w:b/>
          <w:color w:val="auto"/>
          <w:sz w:val="32"/>
          <w:szCs w:val="32"/>
          <w:highlight w:val="none"/>
        </w:rPr>
        <w:br w:type="page"/>
      </w:r>
    </w:p>
    <w:p>
      <w:pPr>
        <w:pStyle w:val="3"/>
        <w:jc w:val="center"/>
        <w:rPr>
          <w:rStyle w:val="28"/>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eastAsia="zh-CN"/>
        </w:rPr>
        <w:t>单位</w:t>
      </w:r>
      <w:r>
        <w:rPr>
          <w:rStyle w:val="28"/>
          <w:rFonts w:hint="eastAsia" w:ascii="Times New Roman" w:hAnsi="Times New Roman" w:eastAsia="方正小标宋简体" w:cs="方正小标宋简体"/>
          <w:b w:val="0"/>
          <w:bCs w:val="0"/>
          <w:color w:val="auto"/>
          <w:highlight w:val="none"/>
        </w:rPr>
        <w:t>概况</w:t>
      </w:r>
      <w:bookmarkEnd w:id="7"/>
      <w:bookmarkEnd w:id="8"/>
    </w:p>
    <w:p>
      <w:pPr>
        <w:widowControl/>
        <w:jc w:val="left"/>
        <w:rPr>
          <w:rFonts w:ascii="Times New Roman" w:hAnsi="Times New Roman" w:eastAsia="黑体"/>
          <w:color w:val="auto"/>
          <w:sz w:val="32"/>
          <w:szCs w:val="32"/>
          <w:highlight w:val="none"/>
        </w:rPr>
      </w:pPr>
    </w:p>
    <w:p>
      <w:pPr>
        <w:pStyle w:val="4"/>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职责简介</w:t>
      </w:r>
    </w:p>
    <w:p>
      <w:pPr>
        <w:ind w:firstLine="800" w:firstLineChars="25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小学义务教育的实施，促进基础教育发展，培养学生高尚的思想道德情操，丰富的科学文化知识，良好的身体素质，促进学生全面发展，业务范围是从事小学教育</w:t>
      </w:r>
      <w:r>
        <w:rPr>
          <w:rFonts w:hint="eastAsia" w:ascii="仿宋_GB2312" w:hAnsi="仿宋_GB2312" w:eastAsia="仿宋_GB2312" w:cs="仿宋_GB2312"/>
          <w:color w:val="auto"/>
          <w:sz w:val="32"/>
          <w:szCs w:val="32"/>
          <w:highlight w:val="none"/>
          <w:lang w:eastAsia="zh-CN"/>
        </w:rPr>
        <w:t>。</w:t>
      </w:r>
    </w:p>
    <w:p>
      <w:pPr>
        <w:pStyle w:val="4"/>
        <w:rPr>
          <w:rFonts w:ascii="黑体" w:eastAsia="黑体"/>
          <w:b w:val="0"/>
        </w:rPr>
      </w:pPr>
      <w:r>
        <w:rPr>
          <w:rFonts w:hint="eastAsia" w:ascii="黑体" w:eastAsia="黑体"/>
          <w:b w:val="0"/>
        </w:rPr>
        <w:t>二、</w:t>
      </w:r>
      <w:r>
        <w:rPr>
          <w:rFonts w:hint="eastAsia" w:ascii="黑体" w:eastAsia="黑体"/>
          <w:b w:val="0"/>
          <w:lang w:eastAsia="zh-CN"/>
        </w:rPr>
        <w:t>2025</w:t>
      </w:r>
      <w:r>
        <w:rPr>
          <w:rFonts w:hint="eastAsia" w:ascii="黑体" w:eastAsia="黑体"/>
          <w:b w:val="0"/>
        </w:rPr>
        <w:t>年重点工作完成情况</w:t>
      </w:r>
    </w:p>
    <w:p>
      <w:pPr>
        <w:pStyle w:val="2"/>
        <w:adjustRightInd w:val="0"/>
        <w:snapToGrid w:val="0"/>
        <w:spacing w:before="93" w:line="560" w:lineRule="exact"/>
        <w:ind w:firstLine="640" w:firstLineChars="200"/>
        <w:rPr>
          <w:rFonts w:hint="eastAsia"/>
          <w:bCs/>
          <w:color w:val="000000"/>
          <w:sz w:val="32"/>
          <w:szCs w:val="32"/>
        </w:rPr>
      </w:pPr>
      <w:r>
        <w:rPr>
          <w:rFonts w:hint="eastAsia"/>
          <w:bCs/>
          <w:color w:val="000000"/>
          <w:sz w:val="32"/>
          <w:szCs w:val="32"/>
        </w:rPr>
        <w:t>我校今年根据财政资金的安排情况，加强了资金的管理，合理用于教育事业，对我校贫困学生实行帮扶。资金合理合法使用。</w:t>
      </w:r>
      <w:bookmarkStart w:id="9" w:name="_Toc15377204"/>
      <w:bookmarkStart w:id="10" w:name="_Toc15396602"/>
    </w:p>
    <w:p>
      <w:pPr>
        <w:pStyle w:val="3"/>
        <w:jc w:val="center"/>
        <w:rPr>
          <w:rFonts w:ascii="Times New Roman" w:hAnsi="Times New Roman"/>
          <w:color w:val="auto"/>
          <w:highlight w:val="none"/>
        </w:rPr>
      </w:pPr>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w:t>
      </w:r>
      <w:r>
        <w:rPr>
          <w:rFonts w:hint="eastAsia" w:ascii="Times New Roman" w:hAnsi="Times New Roman" w:eastAsia="方正小标宋简体" w:cs="方正小标宋简体"/>
          <w:b w:val="0"/>
          <w:color w:val="auto"/>
          <w:highlight w:val="none"/>
          <w:lang w:val="en-US" w:eastAsia="zh-CN"/>
        </w:rPr>
        <w:t>年度</w:t>
      </w:r>
      <w:r>
        <w:rPr>
          <w:rFonts w:hint="eastAsia" w:ascii="Times New Roman" w:hAnsi="Times New Roman" w:eastAsia="方正小标宋简体" w:cs="方正小标宋简体"/>
          <w:b w:val="0"/>
          <w:color w:val="auto"/>
          <w:highlight w:val="none"/>
        </w:rPr>
        <w:t>部门决算情况说明</w:t>
      </w:r>
      <w:bookmarkEnd w:id="9"/>
      <w:bookmarkEnd w:id="10"/>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11" w:name="_Toc15377205"/>
      <w:bookmarkStart w:id="12"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29"/>
          <w:rFonts w:hint="eastAsia" w:ascii="Times New Roman" w:hAnsi="Times New Roman" w:eastAsia="黑体"/>
          <w:b w:val="0"/>
          <w:color w:val="auto"/>
          <w:highlight w:val="none"/>
        </w:rPr>
        <w:t>入支出决算总体情况说明</w:t>
      </w:r>
      <w:bookmarkEnd w:id="11"/>
      <w:bookmarkEnd w:id="12"/>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w:t>
      </w:r>
      <w:r>
        <w:rPr>
          <w:rFonts w:hint="eastAsia" w:ascii="Times New Roman" w:hAnsi="Times New Roman" w:eastAsia="仿宋_GB2312" w:cs="仿宋_GB2312"/>
          <w:color w:val="auto"/>
          <w:sz w:val="32"/>
          <w:szCs w:val="32"/>
          <w:highlight w:val="none"/>
          <w:lang w:eastAsia="zh-CN"/>
        </w:rPr>
        <w:t>年度收入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均为427.95</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eastAsia="zh-CN"/>
        </w:rPr>
        <w:t>2024</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eastAsia="仿宋_GB2312" w:cs="仿宋_GB2312"/>
          <w:color w:val="auto"/>
          <w:sz w:val="32"/>
          <w:szCs w:val="32"/>
          <w:highlight w:val="none"/>
          <w:lang w:eastAsia="zh-CN"/>
        </w:rPr>
        <w:t>均</w:t>
      </w:r>
      <w:r>
        <w:rPr>
          <w:rFonts w:hint="eastAsia" w:ascii="Times New Roman" w:hAnsi="Times New Roman" w:eastAsia="仿宋_GB2312" w:cs="仿宋_GB2312"/>
          <w:color w:val="auto"/>
          <w:sz w:val="32"/>
          <w:szCs w:val="32"/>
          <w:highlight w:val="none"/>
        </w:rPr>
        <w:t>增加</w:t>
      </w:r>
      <w:r>
        <w:rPr>
          <w:rFonts w:hint="eastAsia" w:eastAsia="仿宋_GB2312" w:cs="仿宋_GB2312"/>
          <w:color w:val="auto"/>
          <w:sz w:val="32"/>
          <w:szCs w:val="32"/>
          <w:highlight w:val="none"/>
          <w:lang w:val="en-US" w:eastAsia="zh-CN"/>
        </w:rPr>
        <w:t>70.37</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19.68</w:t>
      </w:r>
      <w:r>
        <w:rPr>
          <w:rFonts w:hint="eastAsia" w:ascii="Times New Roman" w:hAnsi="Times New Roman" w:eastAsia="仿宋_GB2312" w:cs="仿宋_GB2312"/>
          <w:color w:val="auto"/>
          <w:sz w:val="32"/>
          <w:szCs w:val="32"/>
          <w:highlight w:val="none"/>
        </w:rPr>
        <w:t>%。主要变动原因是</w:t>
      </w:r>
      <w:r>
        <w:rPr>
          <w:rFonts w:ascii="仿宋" w:eastAsia="仿宋"/>
          <w:color w:val="000000"/>
          <w:sz w:val="32"/>
          <w:szCs w:val="32"/>
        </w:rPr>
        <w:t>人均工资有所增长，年度考核奖随工资发放，各类保险基数增长，人员经费收支相应增加。</w:t>
      </w:r>
    </w:p>
    <w:p>
      <w:pPr>
        <w:pStyle w:val="2"/>
        <w:rPr>
          <w:rFonts w:hint="eastAsia"/>
        </w:rPr>
      </w:pPr>
      <w:r>
        <w:drawing>
          <wp:inline distT="0" distB="0" distL="114300" distR="114300">
            <wp:extent cx="5271135" cy="2619375"/>
            <wp:effectExtent l="4445" t="4445" r="12700" b="12700"/>
            <wp:docPr id="1138"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pStyle w:val="2"/>
        <w:spacing w:before="93"/>
        <w:ind w:firstLine="480" w:firstLineChars="150"/>
        <w:rPr>
          <w:rFonts w:hint="eastAsia" w:ascii="Times New Roman" w:hAnsi="Times New Roman" w:eastAsia="仿宋_GB2312" w:cs="仿宋_GB2312"/>
          <w:color w:val="auto"/>
          <w:sz w:val="32"/>
          <w:szCs w:val="32"/>
          <w:highlight w:val="none"/>
        </w:rPr>
      </w:pPr>
      <w:r>
        <w:rPr>
          <w:rFonts w:hint="eastAsia" w:ascii="仿宋" w:eastAsia="仿宋"/>
          <w:sz w:val="32"/>
          <w:szCs w:val="32"/>
        </w:rPr>
        <w:t>（图</w:t>
      </w:r>
      <w:r>
        <w:rPr>
          <w:rFonts w:ascii="仿宋" w:eastAsia="仿宋"/>
          <w:sz w:val="32"/>
          <w:szCs w:val="32"/>
        </w:rPr>
        <w:t>1</w:t>
      </w:r>
      <w:r>
        <w:rPr>
          <w:rFonts w:hint="eastAsia" w:ascii="仿宋" w:eastAsia="仿宋"/>
          <w:sz w:val="32"/>
          <w:szCs w:val="32"/>
        </w:rPr>
        <w:t>：收、支决算总计变动情况图）（柱状图）</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3" w:name="_Toc15396604"/>
      <w:bookmarkStart w:id="14" w:name="_Toc15377206"/>
      <w:r>
        <w:rPr>
          <w:rFonts w:hint="eastAsia" w:ascii="Times New Roman" w:hAnsi="Times New Roman" w:eastAsia="黑体"/>
          <w:color w:val="auto"/>
          <w:sz w:val="32"/>
          <w:szCs w:val="32"/>
          <w:highlight w:val="none"/>
          <w:lang w:eastAsia="zh-CN"/>
        </w:rPr>
        <w:t>二、收入决算情况说明</w:t>
      </w:r>
      <w:bookmarkEnd w:id="13"/>
      <w:bookmarkEnd w:id="14"/>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2025年度本年收入合计</w:t>
      </w:r>
      <w:r>
        <w:rPr>
          <w:rFonts w:hint="eastAsia" w:ascii="Times New Roman" w:hAnsi="Times New Roman" w:eastAsia="仿宋_GB2312" w:cs="仿宋_GB2312"/>
          <w:color w:val="auto"/>
          <w:sz w:val="32"/>
          <w:szCs w:val="32"/>
          <w:highlight w:val="none"/>
          <w:lang w:eastAsia="zh-CN"/>
        </w:rPr>
        <w:t>427.95</w:t>
      </w:r>
      <w:r>
        <w:rPr>
          <w:rFonts w:hint="eastAsia" w:ascii="仿宋_GB2312" w:hAnsi="仿宋_GB2312" w:eastAsia="仿宋_GB2312" w:cs="仿宋_GB2312"/>
          <w:sz w:val="32"/>
          <w:szCs w:val="32"/>
        </w:rPr>
        <w:t>万元，其中：一般公共预算财政拨款收入</w:t>
      </w:r>
      <w:r>
        <w:rPr>
          <w:rFonts w:hint="eastAsia" w:ascii="Times New Roman" w:hAnsi="Times New Roman" w:eastAsia="仿宋_GB2312" w:cs="仿宋_GB2312"/>
          <w:color w:val="auto"/>
          <w:sz w:val="32"/>
          <w:szCs w:val="32"/>
          <w:highlight w:val="none"/>
          <w:lang w:eastAsia="zh-CN"/>
        </w:rPr>
        <w:t>424.95</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lang w:val="en-US" w:eastAsia="zh-CN"/>
        </w:rPr>
        <w:t>99.3</w:t>
      </w:r>
      <w:r>
        <w:rPr>
          <w:rFonts w:hint="eastAsia" w:ascii="仿宋_GB2312" w:hAnsi="仿宋_GB2312"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color w:val="auto"/>
          <w:sz w:val="32"/>
          <w:szCs w:val="32"/>
          <w:highlight w:val="none"/>
          <w:lang w:val="en-US" w:eastAsia="zh-CN"/>
        </w:rPr>
        <w:t>0.7</w:t>
      </w:r>
      <w:r>
        <w:rPr>
          <w:rFonts w:hint="eastAsia" w:ascii="仿宋_GB2312" w:hAnsi="仿宋_GB2312"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r>
        <w:drawing>
          <wp:anchor distT="0" distB="0" distL="114300" distR="114300" simplePos="0" relativeHeight="251661312" behindDoc="0" locked="0" layoutInCell="1" allowOverlap="1">
            <wp:simplePos x="0" y="0"/>
            <wp:positionH relativeFrom="column">
              <wp:posOffset>271145</wp:posOffset>
            </wp:positionH>
            <wp:positionV relativeFrom="paragraph">
              <wp:posOffset>88265</wp:posOffset>
            </wp:positionV>
            <wp:extent cx="4680585" cy="2853055"/>
            <wp:effectExtent l="4445" t="4445" r="8890" b="7620"/>
            <wp:wrapNone/>
            <wp:docPr id="1139"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hint="eastAsia" w:ascii="Times New Roman" w:hAnsi="Times New Roman" w:eastAsia="仿宋_GB2312" w:cs="仿宋_GB2312"/>
          <w:b/>
          <w:bCs/>
          <w:color w:val="auto"/>
          <w:sz w:val="32"/>
          <w:szCs w:val="32"/>
          <w:highlight w:val="none"/>
          <w:lang w:eastAsia="zh-CN"/>
        </w:rPr>
        <w:t>（注：仅罗列本</w:t>
      </w:r>
      <w:r>
        <w:rPr>
          <w:rFonts w:hint="eastAsia" w:eastAsia="仿宋_GB2312" w:cs="仿宋_GB2312"/>
          <w:b/>
          <w:bCs/>
          <w:color w:val="auto"/>
          <w:sz w:val="32"/>
          <w:szCs w:val="32"/>
          <w:highlight w:val="none"/>
          <w:lang w:eastAsia="zh-CN"/>
        </w:rPr>
        <w:t>单位</w:t>
      </w:r>
      <w:r>
        <w:rPr>
          <w:rFonts w:hint="eastAsia" w:ascii="Times New Roman" w:hAnsi="Times New Roman" w:eastAsia="仿宋_GB2312" w:cs="仿宋_GB2312"/>
          <w:b/>
          <w:bCs/>
          <w:color w:val="auto"/>
          <w:sz w:val="32"/>
          <w:szCs w:val="32"/>
          <w:highlight w:val="none"/>
          <w:lang w:eastAsia="zh-CN"/>
        </w:rPr>
        <w:t>涉及的收入）</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pPr>
        <w:ind w:firstLine="800" w:firstLineChars="250"/>
        <w:rPr>
          <w:rFonts w:hint="eastAsia" w:ascii="Times New Roman" w:hAnsi="Times New Roman" w:eastAsia="仿宋_GB2312" w:cs="仿宋_GB2312"/>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15" w:name="_Toc15377207"/>
      <w:bookmarkStart w:id="16" w:name="_Toc15396605"/>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29"/>
          <w:rFonts w:hint="eastAsia" w:ascii="Times New Roman" w:hAnsi="Times New Roman" w:eastAsia="黑体"/>
          <w:b w:val="0"/>
          <w:color w:val="auto"/>
          <w:highlight w:val="none"/>
        </w:rPr>
        <w:t>出决算情况说明</w:t>
      </w:r>
      <w:bookmarkEnd w:id="15"/>
      <w:bookmarkEnd w:id="16"/>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2025年度本年支出合计</w:t>
      </w:r>
      <w:r>
        <w:rPr>
          <w:rFonts w:hint="eastAsia" w:ascii="仿宋_GB2312" w:hAnsi="仿宋_GB2312" w:eastAsia="仿宋_GB2312" w:cs="仿宋_GB2312"/>
          <w:color w:val="auto"/>
          <w:sz w:val="32"/>
          <w:szCs w:val="32"/>
          <w:highlight w:val="none"/>
          <w:lang w:val="en-US" w:eastAsia="zh-CN"/>
        </w:rPr>
        <w:t>427.95</w:t>
      </w:r>
      <w:r>
        <w:rPr>
          <w:rFonts w:hint="eastAsia" w:ascii="仿宋_GB2312" w:hAnsi="仿宋_GB2312" w:eastAsia="仿宋_GB2312" w:cs="仿宋_GB2312"/>
          <w:color w:val="auto"/>
          <w:sz w:val="32"/>
          <w:szCs w:val="32"/>
          <w:highlight w:val="none"/>
          <w:lang w:eastAsia="zh-CN"/>
        </w:rPr>
        <w:t>万元，其中：基本支出</w:t>
      </w:r>
      <w:r>
        <w:rPr>
          <w:rFonts w:hint="eastAsia" w:ascii="仿宋_GB2312" w:hAnsi="仿宋_GB2312" w:eastAsia="仿宋_GB2312" w:cs="仿宋_GB2312"/>
          <w:color w:val="auto"/>
          <w:sz w:val="32"/>
          <w:szCs w:val="32"/>
          <w:highlight w:val="none"/>
          <w:lang w:val="en-US" w:eastAsia="zh-CN"/>
        </w:rPr>
        <w:t>395.89</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val="en-US" w:eastAsia="zh-CN"/>
        </w:rPr>
        <w:t>2.51</w:t>
      </w:r>
      <w:r>
        <w:rPr>
          <w:rFonts w:hint="eastAsia" w:ascii="仿宋_GB2312" w:hAnsi="仿宋_GB2312"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32.06</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lang w:val="en-US" w:eastAsia="zh-CN"/>
        </w:rPr>
        <w:t>7.49</w:t>
      </w:r>
      <w:r>
        <w:rPr>
          <w:rFonts w:hint="eastAsia" w:ascii="仿宋_GB2312" w:hAnsi="仿宋_GB2312"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（注：仅罗列本</w:t>
      </w:r>
      <w:r>
        <w:rPr>
          <w:rFonts w:hint="eastAsia" w:eastAsia="仿宋_GB2312" w:cs="仿宋_GB2312"/>
          <w:b/>
          <w:bCs/>
          <w:color w:val="auto"/>
          <w:sz w:val="32"/>
          <w:szCs w:val="32"/>
          <w:highlight w:val="none"/>
          <w:lang w:eastAsia="zh-CN"/>
        </w:rPr>
        <w:t>单位</w:t>
      </w:r>
      <w:r>
        <w:rPr>
          <w:rFonts w:hint="eastAsia" w:ascii="Times New Roman" w:hAnsi="Times New Roman" w:eastAsia="仿宋_GB2312" w:cs="仿宋_GB2312"/>
          <w:b/>
          <w:bCs/>
          <w:color w:val="auto"/>
          <w:sz w:val="32"/>
          <w:szCs w:val="32"/>
          <w:highlight w:val="none"/>
          <w:lang w:eastAsia="zh-CN"/>
        </w:rPr>
        <w:t>涉及的支出）</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r>
        <w:drawing>
          <wp:anchor distT="0" distB="0" distL="114300" distR="114300" simplePos="0" relativeHeight="251662336" behindDoc="0" locked="0" layoutInCell="1" allowOverlap="1">
            <wp:simplePos x="0" y="0"/>
            <wp:positionH relativeFrom="column">
              <wp:posOffset>-376555</wp:posOffset>
            </wp:positionH>
            <wp:positionV relativeFrom="paragraph">
              <wp:posOffset>12065</wp:posOffset>
            </wp:positionV>
            <wp:extent cx="5760720" cy="2740025"/>
            <wp:effectExtent l="4445" t="4445" r="10795" b="13970"/>
            <wp:wrapNone/>
            <wp:docPr id="1140"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pPr>
        <w:rPr>
          <w:rFonts w:hint="eastAsia" w:ascii="Times New Roman" w:hAnsi="Times New Roman" w:eastAsia="仿宋_GB2312" w:cs="仿宋_GB2312"/>
          <w:color w:val="auto"/>
          <w:sz w:val="32"/>
          <w:szCs w:val="32"/>
          <w:highlight w:val="none"/>
          <w:lang w:eastAsia="zh-CN"/>
        </w:rPr>
      </w:pPr>
    </w:p>
    <w:p>
      <w:pPr>
        <w:spacing w:line="600" w:lineRule="exact"/>
        <w:ind w:firstLine="640" w:firstLineChars="200"/>
        <w:outlineLvl w:val="1"/>
        <w:rPr>
          <w:rStyle w:val="29"/>
          <w:rFonts w:ascii="Times New Roman" w:hAnsi="Times New Roman" w:eastAsia="黑体"/>
          <w:b w:val="0"/>
          <w:color w:val="auto"/>
          <w:highlight w:val="none"/>
        </w:rPr>
      </w:pPr>
      <w:bookmarkStart w:id="17" w:name="_Toc15396606"/>
      <w:bookmarkStart w:id="18" w:name="_Toc15377208"/>
      <w:r>
        <w:rPr>
          <w:rFonts w:hint="eastAsia" w:ascii="Times New Roman" w:hAnsi="Times New Roman" w:eastAsia="黑体"/>
          <w:color w:val="auto"/>
          <w:sz w:val="32"/>
          <w:szCs w:val="32"/>
          <w:highlight w:val="none"/>
        </w:rPr>
        <w:t>四、财</w:t>
      </w:r>
      <w:r>
        <w:rPr>
          <w:rStyle w:val="29"/>
          <w:rFonts w:hint="eastAsia" w:ascii="Times New Roman" w:hAnsi="Times New Roman" w:eastAsia="黑体"/>
          <w:b w:val="0"/>
          <w:color w:val="auto"/>
          <w:highlight w:val="none"/>
        </w:rPr>
        <w:t>政拨款收入支出决算总体情况说明</w:t>
      </w:r>
      <w:bookmarkEnd w:id="17"/>
      <w:bookmarkEnd w:id="18"/>
    </w:p>
    <w:p>
      <w:pPr>
        <w:spacing w:line="600" w:lineRule="exact"/>
        <w:ind w:firstLine="640"/>
        <w:rPr>
          <w:rFonts w:ascii="仿宋" w:eastAsia="仿宋"/>
          <w:color w:val="000000"/>
          <w:sz w:val="32"/>
          <w:szCs w:val="32"/>
        </w:rPr>
      </w:pPr>
      <w:r>
        <w:rPr>
          <w:rFonts w:hint="eastAsia" w:eastAsia="仿宋_GB2312" w:cs="仿宋_GB2312"/>
          <w:color w:val="auto"/>
          <w:kern w:val="2"/>
          <w:sz w:val="32"/>
          <w:szCs w:val="32"/>
          <w:highlight w:val="none"/>
          <w:lang w:val="en-US" w:eastAsia="zh-CN" w:bidi="ar-SA"/>
        </w:rPr>
        <w:t>2025</w:t>
      </w:r>
      <w:r>
        <w:rPr>
          <w:rFonts w:hint="eastAsia" w:ascii="Times New Roman" w:hAnsi="Times New Roman" w:eastAsia="仿宋_GB2312" w:cs="仿宋_GB2312"/>
          <w:color w:val="auto"/>
          <w:kern w:val="2"/>
          <w:sz w:val="32"/>
          <w:szCs w:val="32"/>
          <w:highlight w:val="none"/>
          <w:lang w:val="en-US" w:eastAsia="zh-CN" w:bidi="ar-SA"/>
        </w:rPr>
        <w:t>年度财政拨款收入、支出总计均为</w:t>
      </w:r>
      <w:r>
        <w:rPr>
          <w:rFonts w:hint="eastAsia" w:ascii="仿宋_GB2312" w:hAnsi="仿宋_GB2312" w:eastAsia="仿宋_GB2312" w:cs="仿宋_GB2312"/>
          <w:color w:val="auto"/>
          <w:sz w:val="32"/>
          <w:szCs w:val="32"/>
          <w:highlight w:val="none"/>
          <w:lang w:val="en-US" w:eastAsia="zh-CN"/>
        </w:rPr>
        <w:t>427.95</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年度相比，财政拨款收入总计增加</w:t>
      </w:r>
      <w:r>
        <w:rPr>
          <w:rFonts w:hint="eastAsia" w:eastAsia="仿宋_GB2312" w:cs="仿宋_GB2312"/>
          <w:color w:val="auto"/>
          <w:kern w:val="2"/>
          <w:sz w:val="32"/>
          <w:szCs w:val="32"/>
          <w:highlight w:val="none"/>
          <w:lang w:val="en-US" w:eastAsia="zh-CN" w:bidi="ar-SA"/>
        </w:rPr>
        <w:t>70.37</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sz w:val="32"/>
          <w:szCs w:val="32"/>
          <w:highlight w:val="none"/>
          <w:lang w:val="en-US" w:eastAsia="zh-CN"/>
        </w:rPr>
        <w:t>19.68</w:t>
      </w:r>
      <w:r>
        <w:rPr>
          <w:rFonts w:hint="eastAsia" w:ascii="Times New Roman" w:hAnsi="Times New Roman" w:eastAsia="仿宋_GB2312" w:cs="仿宋_GB2312"/>
          <w:color w:val="auto"/>
          <w:sz w:val="32"/>
          <w:szCs w:val="32"/>
          <w:highlight w:val="none"/>
        </w:rPr>
        <w:t>%</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支出总计增加</w:t>
      </w:r>
      <w:r>
        <w:rPr>
          <w:rFonts w:hint="eastAsia" w:eastAsia="仿宋_GB2312" w:cs="仿宋_GB2312"/>
          <w:color w:val="auto"/>
          <w:kern w:val="2"/>
          <w:sz w:val="32"/>
          <w:szCs w:val="32"/>
          <w:highlight w:val="none"/>
          <w:lang w:val="en-US" w:eastAsia="zh-CN" w:bidi="ar-SA"/>
        </w:rPr>
        <w:t>70.37</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sz w:val="32"/>
          <w:szCs w:val="32"/>
          <w:highlight w:val="none"/>
          <w:lang w:val="en-US" w:eastAsia="zh-CN"/>
        </w:rPr>
        <w:t>19.68</w:t>
      </w:r>
      <w:r>
        <w:rPr>
          <w:rFonts w:hint="eastAsia" w:ascii="Times New Roman" w:hAnsi="Times New Roman" w:eastAsia="仿宋_GB2312" w:cs="仿宋_GB2312"/>
          <w:color w:val="auto"/>
          <w:sz w:val="32"/>
          <w:szCs w:val="32"/>
          <w:highlight w:val="none"/>
        </w:rPr>
        <w:t>%</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ascii="仿宋" w:eastAsia="仿宋"/>
          <w:color w:val="000000"/>
          <w:sz w:val="32"/>
          <w:szCs w:val="32"/>
        </w:rPr>
        <w:t>人均工资有所增长，年度考核奖随工资发放，各类保险基数增长，人员经费收支相应增加。</w:t>
      </w:r>
    </w:p>
    <w:p>
      <w:pPr>
        <w:spacing w:line="600" w:lineRule="exact"/>
        <w:ind w:firstLine="640"/>
        <w:rPr>
          <w:rFonts w:ascii="仿宋" w:eastAsia="仿宋"/>
          <w:color w:val="000000"/>
          <w:sz w:val="32"/>
          <w:szCs w:val="32"/>
        </w:rPr>
      </w:pPr>
    </w:p>
    <w:p>
      <w:pPr>
        <w:pStyle w:val="2"/>
      </w:pPr>
    </w:p>
    <w:p>
      <w:pPr>
        <w:spacing w:line="600" w:lineRule="exact"/>
        <w:ind w:firstLine="640"/>
        <w:rPr>
          <w:rFonts w:ascii="仿宋" w:eastAsia="仿宋"/>
          <w:color w:val="000000"/>
          <w:sz w:val="32"/>
          <w:szCs w:val="32"/>
        </w:rPr>
      </w:pPr>
    </w:p>
    <w:p>
      <w:pPr>
        <w:spacing w:line="600" w:lineRule="exact"/>
        <w:ind w:firstLine="640"/>
        <w:rPr>
          <w:rFonts w:ascii="仿宋" w:eastAsia="仿宋"/>
          <w:color w:val="000000"/>
          <w:sz w:val="32"/>
          <w:szCs w:val="32"/>
        </w:rPr>
      </w:pPr>
    </w:p>
    <w:p>
      <w:pPr>
        <w:spacing w:line="600" w:lineRule="exact"/>
        <w:ind w:firstLine="640"/>
        <w:rPr>
          <w:rFonts w:ascii="仿宋" w:eastAsia="仿宋"/>
          <w:color w:val="000000"/>
          <w:sz w:val="32"/>
          <w:szCs w:val="32"/>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drawing>
          <wp:anchor distT="0" distB="0" distL="114300" distR="114300" simplePos="0" relativeHeight="251663360" behindDoc="0" locked="0" layoutInCell="1" allowOverlap="1">
            <wp:simplePos x="0" y="0"/>
            <wp:positionH relativeFrom="column">
              <wp:posOffset>410845</wp:posOffset>
            </wp:positionH>
            <wp:positionV relativeFrom="paragraph">
              <wp:posOffset>-2449195</wp:posOffset>
            </wp:positionV>
            <wp:extent cx="4572000" cy="2743200"/>
            <wp:effectExtent l="4445" t="4445" r="10795" b="10795"/>
            <wp:wrapNone/>
            <wp:docPr id="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firstLineChars="200"/>
        <w:outlineLvl w:val="1"/>
        <w:rPr>
          <w:rStyle w:val="29"/>
          <w:rFonts w:ascii="Times New Roman" w:hAnsi="Times New Roman" w:eastAsia="黑体"/>
          <w:b w:val="0"/>
          <w:color w:val="auto"/>
          <w:highlight w:val="none"/>
        </w:rPr>
      </w:pPr>
      <w:bookmarkStart w:id="19" w:name="_Toc15377209"/>
      <w:bookmarkStart w:id="20"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般公共预算财政拨款支出决算情况说明</w:t>
      </w:r>
      <w:bookmarkEnd w:id="19"/>
      <w:bookmarkEnd w:id="20"/>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1"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1"/>
    </w:p>
    <w:p>
      <w:pPr>
        <w:spacing w:line="600" w:lineRule="exact"/>
        <w:ind w:firstLine="640"/>
        <w:rPr>
          <w:rFonts w:ascii="仿宋" w:eastAsia="仿宋"/>
          <w:color w:val="000000"/>
          <w:sz w:val="32"/>
          <w:szCs w:val="32"/>
        </w:rPr>
      </w:pPr>
      <w:r>
        <w:rPr>
          <w:rFonts w:hint="eastAsia" w:ascii="仿宋_GB2312" w:hAnsi="仿宋_GB2312" w:eastAsia="仿宋_GB2312" w:cs="仿宋_GB2312"/>
          <w:color w:val="auto"/>
          <w:kern w:val="2"/>
          <w:sz w:val="32"/>
          <w:szCs w:val="32"/>
          <w:highlight w:val="none"/>
          <w:lang w:val="en-US" w:eastAsia="zh-CN" w:bidi="ar-SA"/>
        </w:rPr>
        <w:t>2025年度一般公共预算财政拨款支出</w:t>
      </w:r>
      <w:r>
        <w:rPr>
          <w:rFonts w:hint="eastAsia" w:ascii="仿宋_GB2312" w:hAnsi="仿宋_GB2312" w:eastAsia="仿宋_GB2312" w:cs="仿宋_GB2312"/>
          <w:sz w:val="32"/>
          <w:szCs w:val="32"/>
        </w:rPr>
        <w:t>424.95</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lang w:val="en-US" w:eastAsia="zh-CN"/>
        </w:rPr>
        <w:t>99.3</w:t>
      </w:r>
      <w:r>
        <w:rPr>
          <w:rFonts w:hint="eastAsia" w:ascii="仿宋_GB2312" w:hAnsi="仿宋_GB2312" w:eastAsia="仿宋_GB2312" w:cs="仿宋_GB2312"/>
          <w:color w:val="auto"/>
          <w:kern w:val="2"/>
          <w:sz w:val="32"/>
          <w:szCs w:val="32"/>
          <w:highlight w:val="none"/>
          <w:lang w:val="en-US" w:eastAsia="zh-CN" w:bidi="ar-SA"/>
        </w:rPr>
        <w:t>%。与2024年度相比，一般公共预算财政拨款支出增加67.37万元，</w:t>
      </w:r>
      <w:r>
        <w:rPr>
          <w:rFonts w:hint="eastAsia" w:ascii="Times New Roman" w:hAnsi="Times New Roman" w:eastAsia="仿宋_GB2312" w:cs="仿宋_GB2312"/>
          <w:color w:val="auto"/>
          <w:kern w:val="2"/>
          <w:sz w:val="32"/>
          <w:szCs w:val="32"/>
          <w:highlight w:val="none"/>
          <w:lang w:val="en-US" w:eastAsia="zh-CN" w:bidi="ar-SA"/>
        </w:rPr>
        <w:t>增长</w:t>
      </w:r>
      <w:r>
        <w:rPr>
          <w:rFonts w:hint="eastAsia" w:eastAsia="仿宋_GB2312" w:cs="仿宋_GB2312"/>
          <w:color w:val="auto"/>
          <w:kern w:val="2"/>
          <w:sz w:val="32"/>
          <w:szCs w:val="32"/>
          <w:highlight w:val="none"/>
          <w:lang w:val="en-US" w:eastAsia="zh-CN" w:bidi="ar-SA"/>
        </w:rPr>
        <w:t>18.84</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color w:val="auto"/>
          <w:kern w:val="2"/>
          <w:sz w:val="32"/>
          <w:szCs w:val="32"/>
          <w:highlight w:val="none"/>
          <w:lang w:val="en-US" w:eastAsia="zh-CN" w:bidi="ar-SA"/>
        </w:rPr>
        <w:t>。主要变动原因是</w:t>
      </w:r>
      <w:r>
        <w:rPr>
          <w:rFonts w:ascii="仿宋" w:eastAsia="仿宋"/>
          <w:color w:val="000000"/>
          <w:sz w:val="32"/>
          <w:szCs w:val="32"/>
        </w:rPr>
        <w:t>人均工资有所增长，年度考核奖随工资发放，各类保险基数增长，人员经费收支相应增加。</w:t>
      </w:r>
    </w:p>
    <w:p>
      <w:pPr>
        <w:pStyle w:val="2"/>
        <w:rPr>
          <w:rFonts w:ascii="仿宋" w:eastAsia="仿宋"/>
          <w:color w:val="000000"/>
          <w:sz w:val="32"/>
          <w:szCs w:val="32"/>
        </w:rPr>
      </w:pPr>
    </w:p>
    <w:p>
      <w:pPr>
        <w:pStyle w:val="2"/>
        <w:rPr>
          <w:rFonts w:ascii="仿宋" w:eastAsia="仿宋"/>
          <w:color w:val="000000"/>
          <w:sz w:val="32"/>
          <w:szCs w:val="32"/>
        </w:rPr>
      </w:pPr>
    </w:p>
    <w:p>
      <w:pPr>
        <w:pStyle w:val="2"/>
        <w:rPr>
          <w:rFonts w:ascii="仿宋" w:eastAsia="仿宋"/>
          <w:color w:val="000000"/>
          <w:sz w:val="32"/>
          <w:szCs w:val="32"/>
        </w:rPr>
      </w:pPr>
    </w:p>
    <w:p>
      <w:pPr>
        <w:pStyle w:val="2"/>
        <w:rPr>
          <w:rFonts w:ascii="仿宋" w:eastAsia="仿宋"/>
          <w:color w:val="000000"/>
          <w:sz w:val="32"/>
          <w:szCs w:val="32"/>
        </w:rPr>
      </w:pPr>
    </w:p>
    <w:p>
      <w:pPr>
        <w:pStyle w:val="2"/>
        <w:rPr>
          <w:rFonts w:hint="eastAsia" w:ascii="仿宋" w:eastAsia="仿宋"/>
          <w:color w:val="000000"/>
          <w:sz w:val="32"/>
          <w:szCs w:val="32"/>
          <w:lang w:val="en-US" w:eastAsia="zh-CN"/>
        </w:rPr>
      </w:pPr>
      <w:r>
        <w:drawing>
          <wp:inline distT="0" distB="0" distL="114300" distR="114300">
            <wp:extent cx="5248910" cy="3169920"/>
            <wp:effectExtent l="4445" t="4445" r="19685" b="10795"/>
            <wp:docPr id="1235"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2"/>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w:t>
      </w:r>
      <w:r>
        <w:rPr>
          <w:rFonts w:hint="eastAsia" w:ascii="仿宋_GB2312" w:hAnsi="仿宋_GB2312" w:eastAsia="仿宋_GB2312" w:cs="仿宋_GB2312"/>
          <w:sz w:val="32"/>
          <w:szCs w:val="32"/>
        </w:rPr>
        <w:t>424.95</w:t>
      </w:r>
      <w:r>
        <w:rPr>
          <w:rFonts w:hint="eastAsia" w:ascii="仿宋_GB2312" w:hAnsi="仿宋_GB2312"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%；教育支出</w:t>
      </w:r>
      <w:r>
        <w:rPr>
          <w:rFonts w:hint="eastAsia" w:eastAsia="仿宋_GB2312" w:cs="仿宋_GB2312"/>
          <w:color w:val="auto"/>
          <w:kern w:val="2"/>
          <w:sz w:val="32"/>
          <w:szCs w:val="32"/>
          <w:highlight w:val="none"/>
          <w:lang w:val="en-US" w:eastAsia="zh-CN" w:bidi="ar-SA"/>
        </w:rPr>
        <w:t>320.15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75.34</w:t>
      </w:r>
      <w:r>
        <w:rPr>
          <w:rFonts w:hint="eastAsia" w:ascii="Times New Roman" w:hAnsi="Times New Roman" w:eastAsia="仿宋_GB2312" w:cs="仿宋_GB2312"/>
          <w:color w:val="auto"/>
          <w:kern w:val="2"/>
          <w:sz w:val="32"/>
          <w:szCs w:val="32"/>
          <w:highlight w:val="none"/>
          <w:lang w:val="en-US" w:eastAsia="zh-CN" w:bidi="ar-SA"/>
        </w:rPr>
        <w:t>%；科学技术支出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%；文化旅游体育与传媒支出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53.49</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12.59</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20.54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4.83</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30.77</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7.24</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w:t>
      </w:r>
      <w:r>
        <w:rPr>
          <w:rFonts w:hint="eastAsia" w:eastAsia="仿宋_GB2312" w:cs="仿宋_GB2312"/>
          <w:b/>
          <w:bCs/>
          <w:color w:val="auto"/>
          <w:kern w:val="2"/>
          <w:sz w:val="32"/>
          <w:szCs w:val="32"/>
          <w:highlight w:val="none"/>
          <w:lang w:val="en-US" w:eastAsia="zh-CN" w:bidi="ar-SA"/>
        </w:rPr>
        <w:t>单位</w:t>
      </w:r>
      <w:r>
        <w:rPr>
          <w:rFonts w:hint="eastAsia" w:ascii="Times New Roman" w:hAnsi="Times New Roman" w:eastAsia="仿宋_GB2312" w:cs="仿宋_GB2312"/>
          <w:b/>
          <w:bCs/>
          <w:color w:val="auto"/>
          <w:kern w:val="2"/>
          <w:sz w:val="32"/>
          <w:szCs w:val="32"/>
          <w:highlight w:val="none"/>
          <w:lang w:val="en-US" w:eastAsia="zh-CN" w:bidi="ar-SA"/>
        </w:rPr>
        <w:t>涉及的全部功能分类科目，至类级）</w:t>
      </w:r>
    </w:p>
    <w:p>
      <w:pPr>
        <w:pStyle w:val="2"/>
        <w:rPr>
          <w:rFonts w:hint="eastAsia" w:ascii="Times New Roman" w:hAnsi="Times New Roman" w:eastAsia="仿宋_GB2312" w:cs="仿宋_GB2312"/>
          <w:b/>
          <w:bCs/>
          <w:color w:val="auto"/>
          <w:kern w:val="2"/>
          <w:sz w:val="32"/>
          <w:szCs w:val="32"/>
          <w:highlight w:val="none"/>
          <w:lang w:val="en-US" w:eastAsia="zh-CN" w:bidi="ar-SA"/>
        </w:rPr>
      </w:pPr>
    </w:p>
    <w:p>
      <w:pPr>
        <w:pStyle w:val="2"/>
        <w:rPr>
          <w:rFonts w:hint="eastAsia" w:ascii="Times New Roman" w:hAnsi="Times New Roman" w:eastAsia="仿宋_GB2312" w:cs="仿宋_GB2312"/>
          <w:b/>
          <w:bCs/>
          <w:color w:val="auto"/>
          <w:kern w:val="2"/>
          <w:sz w:val="32"/>
          <w:szCs w:val="32"/>
          <w:highlight w:val="none"/>
          <w:lang w:val="en-US" w:eastAsia="zh-CN" w:bidi="ar-SA"/>
        </w:rPr>
      </w:pPr>
    </w:p>
    <w:p>
      <w:pPr>
        <w:pStyle w:val="2"/>
        <w:rPr>
          <w:rFonts w:hint="eastAsia" w:ascii="Times New Roman" w:hAnsi="Times New Roman" w:eastAsia="仿宋_GB2312" w:cs="仿宋_GB2312"/>
          <w:b/>
          <w:bCs/>
          <w:color w:val="auto"/>
          <w:kern w:val="2"/>
          <w:sz w:val="32"/>
          <w:szCs w:val="32"/>
          <w:highlight w:val="none"/>
          <w:lang w:val="en-US" w:eastAsia="zh-CN" w:bidi="ar-SA"/>
        </w:rPr>
      </w:pPr>
      <w:r>
        <w:drawing>
          <wp:inline distT="0" distB="0" distL="114300" distR="114300">
            <wp:extent cx="5043805" cy="2994660"/>
            <wp:effectExtent l="4445" t="4445" r="11430" b="18415"/>
            <wp:docPr id="1236"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pPr>
        <w:pStyle w:val="2"/>
        <w:rPr>
          <w:rFonts w:hint="eastAsia" w:ascii="Times New Roman" w:hAnsi="Times New Roman" w:eastAsia="仿宋_GB2312" w:cs="仿宋_GB2312"/>
          <w:b/>
          <w:bCs/>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3"/>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4" w:name="_Toc15377444"/>
      <w:bookmarkStart w:id="25" w:name="_Toc15377213"/>
      <w:bookmarkStart w:id="26" w:name="_Toc15378460"/>
      <w:r>
        <w:rPr>
          <w:rFonts w:hint="eastAsia" w:eastAsia="仿宋_GB2312" w:cs="仿宋_GB2312"/>
          <w:color w:val="auto"/>
          <w:kern w:val="2"/>
          <w:sz w:val="32"/>
          <w:szCs w:val="32"/>
          <w:highlight w:val="none"/>
          <w:lang w:val="en-US" w:eastAsia="zh-CN" w:bidi="ar-SA"/>
        </w:rPr>
        <w:t>2025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年度一般公共预算财政拨款支出决算数为</w:t>
      </w:r>
      <w:r>
        <w:rPr>
          <w:rFonts w:hint="eastAsia" w:ascii="仿宋_GB2312" w:hAnsi="仿宋_GB2312" w:eastAsia="仿宋_GB2312" w:cs="仿宋_GB2312"/>
          <w:sz w:val="32"/>
          <w:szCs w:val="32"/>
        </w:rPr>
        <w:t>424.95</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4"/>
      <w:bookmarkEnd w:id="25"/>
      <w:bookmarkEnd w:id="26"/>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.教育</w:t>
      </w:r>
      <w:r>
        <w:rPr>
          <w:rStyle w:val="17"/>
          <w:rFonts w:hint="eastAsia" w:ascii="仿宋" w:eastAsia="仿宋"/>
          <w:bCs/>
          <w:sz w:val="32"/>
          <w:szCs w:val="32"/>
        </w:rPr>
        <w:t>2050202</w:t>
      </w:r>
      <w:r>
        <w:rPr>
          <w:rFonts w:hint="eastAsia" w:ascii="Times New Roman" w:hAnsi="Times New Roman" w:eastAsia="仿宋_GB2312" w:cs="仿宋_GB2312"/>
          <w:color w:val="auto"/>
          <w:kern w:val="2"/>
          <w:sz w:val="32"/>
          <w:szCs w:val="32"/>
          <w:highlight w:val="none"/>
          <w:lang w:val="en-US" w:eastAsia="zh-CN" w:bidi="ar-SA"/>
        </w:rPr>
        <w:t>: 支出决算为</w:t>
      </w:r>
      <w:r>
        <w:rPr>
          <w:rFonts w:hint="eastAsia" w:eastAsia="仿宋_GB2312" w:cs="仿宋_GB2312"/>
          <w:color w:val="auto"/>
          <w:kern w:val="2"/>
          <w:sz w:val="32"/>
          <w:szCs w:val="32"/>
          <w:highlight w:val="none"/>
          <w:lang w:val="en-US" w:eastAsia="zh-CN" w:bidi="ar-SA"/>
        </w:rPr>
        <w:t>320.15</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en-US" w:eastAsia="zh-CN" w:bidi="ar-SA"/>
        </w:rPr>
        <w:t>.社会保障和就业</w:t>
      </w:r>
      <w:r>
        <w:rPr>
          <w:rStyle w:val="17"/>
          <w:rFonts w:hint="eastAsia" w:ascii="仿宋" w:eastAsia="仿宋"/>
          <w:bCs/>
          <w:sz w:val="32"/>
          <w:szCs w:val="32"/>
        </w:rPr>
        <w:t>2050202</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53.49</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.卫生健康</w:t>
      </w:r>
      <w:r>
        <w:rPr>
          <w:rStyle w:val="17"/>
          <w:rFonts w:hint="eastAsia" w:ascii="仿宋" w:eastAsia="仿宋"/>
          <w:bCs/>
          <w:sz w:val="32"/>
          <w:szCs w:val="32"/>
        </w:rPr>
        <w:t>2050202</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20.54</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firstLineChars="200"/>
        <w:rPr>
          <w:rStyle w:val="17"/>
          <w:rFonts w:hint="eastAsia" w:ascii="仿宋" w:eastAsia="仿宋"/>
          <w:b w:val="0"/>
          <w:bCs/>
          <w:sz w:val="32"/>
          <w:szCs w:val="32"/>
          <w:lang w:val="en-US" w:eastAsia="zh-CN"/>
        </w:rPr>
      </w:pPr>
      <w:r>
        <w:rPr>
          <w:rFonts w:hint="eastAsia" w:ascii="Times New Roman" w:hAnsi="Times New Roman" w:eastAsia="仿宋_GB2312" w:cs="仿宋_GB2312"/>
          <w:color w:val="auto"/>
          <w:kern w:val="2"/>
          <w:sz w:val="32"/>
          <w:szCs w:val="32"/>
          <w:highlight w:val="none"/>
          <w:lang w:val="en-US" w:eastAsia="zh-CN" w:bidi="ar-SA"/>
        </w:rPr>
        <w:t>4.住房保障支出</w:t>
      </w:r>
      <w:r>
        <w:rPr>
          <w:rStyle w:val="17"/>
          <w:rFonts w:hint="eastAsia" w:ascii="仿宋" w:eastAsia="仿宋"/>
          <w:bCs/>
          <w:sz w:val="32"/>
          <w:szCs w:val="32"/>
        </w:rPr>
        <w:t>2050202</w:t>
      </w:r>
      <w:r>
        <w:rPr>
          <w:rStyle w:val="17"/>
          <w:rFonts w:ascii="仿宋" w:eastAsia="仿宋"/>
          <w:bCs/>
          <w:sz w:val="32"/>
          <w:szCs w:val="32"/>
        </w:rPr>
        <w:t>:</w:t>
      </w:r>
      <w:r>
        <w:rPr>
          <w:rStyle w:val="17"/>
          <w:rFonts w:hint="eastAsia" w:ascii="仿宋" w:eastAsia="仿宋"/>
          <w:b w:val="0"/>
          <w:bCs/>
          <w:sz w:val="32"/>
          <w:szCs w:val="32"/>
        </w:rPr>
        <w:t>支出决算为30.77万元，完成预算100</w:t>
      </w:r>
      <w:r>
        <w:rPr>
          <w:rStyle w:val="17"/>
          <w:rFonts w:ascii="仿宋" w:eastAsia="仿宋"/>
          <w:b w:val="0"/>
          <w:bCs/>
          <w:sz w:val="32"/>
          <w:szCs w:val="32"/>
        </w:rPr>
        <w:t>%</w:t>
      </w:r>
      <w:r>
        <w:rPr>
          <w:rStyle w:val="17"/>
          <w:rFonts w:hint="eastAsia" w:ascii="仿宋" w:eastAsia="仿宋"/>
          <w:b w:val="0"/>
          <w:bCs/>
          <w:sz w:val="32"/>
          <w:szCs w:val="32"/>
          <w:lang w:val="en-US" w:eastAsia="zh-CN"/>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28"/>
          <w:szCs w:val="28"/>
          <w:highlight w:val="none"/>
          <w:lang w:val="en-US" w:eastAsia="zh-CN" w:bidi="ar-SA"/>
        </w:rPr>
        <w:t>（注：仅罗列本</w:t>
      </w:r>
      <w:r>
        <w:rPr>
          <w:rFonts w:hint="eastAsia" w:eastAsia="仿宋_GB2312" w:cs="仿宋_GB2312"/>
          <w:b/>
          <w:bCs/>
          <w:color w:val="auto"/>
          <w:kern w:val="2"/>
          <w:sz w:val="28"/>
          <w:szCs w:val="28"/>
          <w:highlight w:val="none"/>
          <w:lang w:val="en-US" w:eastAsia="zh-CN" w:bidi="ar-SA"/>
        </w:rPr>
        <w:t>单位</w:t>
      </w:r>
      <w:r>
        <w:rPr>
          <w:rFonts w:hint="eastAsia" w:ascii="Times New Roman" w:hAnsi="Times New Roman" w:eastAsia="仿宋_GB2312" w:cs="仿宋_GB2312"/>
          <w:b/>
          <w:bCs/>
          <w:color w:val="auto"/>
          <w:kern w:val="2"/>
          <w:sz w:val="28"/>
          <w:szCs w:val="28"/>
          <w:highlight w:val="none"/>
          <w:lang w:val="en-US" w:eastAsia="zh-CN" w:bidi="ar-SA"/>
        </w:rPr>
        <w:t>涉及的全部功能分类科目，至项级</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eastAsia="仿宋_GB2312" w:cs="仿宋_GB2312"/>
          <w:b/>
          <w:bCs/>
          <w:color w:val="auto"/>
          <w:kern w:val="2"/>
          <w:sz w:val="32"/>
          <w:szCs w:val="32"/>
          <w:highlight w:val="none"/>
          <w:lang w:val="en-US" w:eastAsia="zh-CN" w:bidi="ar-SA"/>
        </w:rPr>
        <w:t>）</w:t>
      </w:r>
    </w:p>
    <w:p>
      <w:pPr>
        <w:tabs>
          <w:tab w:val="right" w:pos="8306"/>
        </w:tabs>
        <w:spacing w:line="600" w:lineRule="exact"/>
        <w:ind w:firstLine="640"/>
        <w:outlineLvl w:val="1"/>
        <w:rPr>
          <w:rStyle w:val="29"/>
          <w:rFonts w:ascii="Times New Roman" w:hAnsi="Times New Roman"/>
          <w:color w:val="auto"/>
          <w:highlight w:val="none"/>
        </w:rPr>
      </w:pPr>
      <w:bookmarkStart w:id="27" w:name="_Toc15396608"/>
      <w:bookmarkStart w:id="28"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般公共预算财政拨款基本支出决算情况说明</w:t>
      </w:r>
      <w:bookmarkEnd w:id="27"/>
      <w:bookmarkEnd w:id="28"/>
      <w:r>
        <w:rPr>
          <w:rStyle w:val="29"/>
          <w:rFonts w:ascii="Times New Roman" w:hAnsi="Times New Roman" w:eastAsia="黑体"/>
          <w:b w:val="0"/>
          <w:color w:val="auto"/>
          <w:highlight w:val="none"/>
        </w:rPr>
        <w:tab/>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w:t>
      </w:r>
      <w:r>
        <w:rPr>
          <w:rFonts w:hint="eastAsia" w:ascii="Times New Roman" w:hAnsi="Times New Roman" w:eastAsia="仿宋_GB2312" w:cs="仿宋_GB2312"/>
          <w:color w:val="auto"/>
          <w:kern w:val="2"/>
          <w:sz w:val="32"/>
          <w:szCs w:val="32"/>
          <w:highlight w:val="none"/>
          <w:lang w:val="en-US" w:eastAsia="zh-CN" w:bidi="ar-SA"/>
        </w:rPr>
        <w:t>年度一般公共预算财政拨款基本支出</w:t>
      </w:r>
      <w:r>
        <w:rPr>
          <w:rFonts w:hint="eastAsia" w:ascii="仿宋_GB2312" w:hAnsi="仿宋_GB2312" w:eastAsia="仿宋_GB2312" w:cs="仿宋_GB2312"/>
          <w:sz w:val="32"/>
          <w:szCs w:val="32"/>
        </w:rPr>
        <w:t>386.06</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386.06</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元，主要包括：基本工资</w:t>
      </w:r>
      <w:r>
        <w:rPr>
          <w:rFonts w:hint="eastAsia" w:eastAsia="仿宋_GB2312" w:cs="仿宋_GB2312"/>
          <w:color w:val="auto"/>
          <w:kern w:val="2"/>
          <w:sz w:val="32"/>
          <w:szCs w:val="32"/>
          <w:highlight w:val="none"/>
          <w:lang w:val="en-US" w:eastAsia="zh-CN" w:bidi="ar-SA"/>
        </w:rPr>
        <w:t>71.48万元</w:t>
      </w:r>
      <w:r>
        <w:rPr>
          <w:rFonts w:hint="eastAsia" w:ascii="Times New Roman" w:hAnsi="Times New Roman" w:eastAsia="仿宋_GB2312" w:cs="仿宋_GB2312"/>
          <w:color w:val="auto"/>
          <w:kern w:val="2"/>
          <w:sz w:val="32"/>
          <w:szCs w:val="32"/>
          <w:highlight w:val="none"/>
          <w:lang w:val="en-US" w:eastAsia="zh-CN" w:bidi="ar-SA"/>
        </w:rPr>
        <w:t>、津贴补贴</w:t>
      </w:r>
      <w:r>
        <w:rPr>
          <w:rFonts w:hint="eastAsia" w:eastAsia="仿宋_GB2312" w:cs="仿宋_GB2312"/>
          <w:color w:val="auto"/>
          <w:kern w:val="2"/>
          <w:sz w:val="32"/>
          <w:szCs w:val="32"/>
          <w:highlight w:val="none"/>
          <w:lang w:val="en-US" w:eastAsia="zh-CN" w:bidi="ar-SA"/>
        </w:rPr>
        <w:t>82.3万元</w:t>
      </w:r>
      <w:r>
        <w:rPr>
          <w:rFonts w:hint="eastAsia" w:ascii="Times New Roman" w:hAnsi="Times New Roman" w:eastAsia="仿宋_GB2312" w:cs="仿宋_GB2312"/>
          <w:color w:val="auto"/>
          <w:kern w:val="2"/>
          <w:sz w:val="32"/>
          <w:szCs w:val="32"/>
          <w:highlight w:val="none"/>
          <w:lang w:val="en-US" w:eastAsia="zh-CN" w:bidi="ar-SA"/>
        </w:rPr>
        <w:t>、奖金</w:t>
      </w:r>
      <w:r>
        <w:rPr>
          <w:rFonts w:hint="eastAsia" w:eastAsia="仿宋_GB2312" w:cs="仿宋_GB2312"/>
          <w:color w:val="auto"/>
          <w:kern w:val="2"/>
          <w:sz w:val="32"/>
          <w:szCs w:val="32"/>
          <w:highlight w:val="none"/>
          <w:lang w:val="en-US" w:eastAsia="zh-CN" w:bidi="ar-SA"/>
        </w:rPr>
        <w:t>75.21万元</w:t>
      </w:r>
      <w:r>
        <w:rPr>
          <w:rFonts w:hint="eastAsia" w:ascii="Times New Roman" w:hAnsi="Times New Roman" w:eastAsia="仿宋_GB2312" w:cs="仿宋_GB2312"/>
          <w:color w:val="auto"/>
          <w:kern w:val="2"/>
          <w:sz w:val="32"/>
          <w:szCs w:val="32"/>
          <w:highlight w:val="none"/>
          <w:lang w:val="en-US" w:eastAsia="zh-CN" w:bidi="ar-SA"/>
        </w:rPr>
        <w:t>、伙食补助费</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、绩效工资</w:t>
      </w:r>
      <w:r>
        <w:rPr>
          <w:rFonts w:hint="eastAsia" w:eastAsia="仿宋_GB2312" w:cs="仿宋_GB2312"/>
          <w:color w:val="auto"/>
          <w:kern w:val="2"/>
          <w:sz w:val="32"/>
          <w:szCs w:val="32"/>
          <w:highlight w:val="none"/>
          <w:lang w:val="en-US" w:eastAsia="zh-CN" w:bidi="ar-SA"/>
        </w:rPr>
        <w:t>49.56万元</w:t>
      </w:r>
      <w:r>
        <w:rPr>
          <w:rFonts w:hint="eastAsia" w:ascii="Times New Roman" w:hAnsi="Times New Roman" w:eastAsia="仿宋_GB2312" w:cs="仿宋_GB2312"/>
          <w:color w:val="auto"/>
          <w:kern w:val="2"/>
          <w:sz w:val="32"/>
          <w:szCs w:val="32"/>
          <w:highlight w:val="none"/>
          <w:lang w:val="en-US" w:eastAsia="zh-CN" w:bidi="ar-SA"/>
        </w:rPr>
        <w:t>、机关事业单位基本养老保险缴费</w:t>
      </w:r>
      <w:r>
        <w:rPr>
          <w:rFonts w:hint="eastAsia" w:eastAsia="仿宋_GB2312" w:cs="仿宋_GB2312"/>
          <w:color w:val="auto"/>
          <w:kern w:val="2"/>
          <w:sz w:val="32"/>
          <w:szCs w:val="32"/>
          <w:highlight w:val="none"/>
          <w:lang w:val="en-US" w:eastAsia="zh-CN" w:bidi="ar-SA"/>
        </w:rPr>
        <w:t>35.98万元</w:t>
      </w:r>
      <w:r>
        <w:rPr>
          <w:rFonts w:hint="eastAsia" w:ascii="Times New Roman" w:hAnsi="Times New Roman" w:eastAsia="仿宋_GB2312" w:cs="仿宋_GB2312"/>
          <w:color w:val="auto"/>
          <w:kern w:val="2"/>
          <w:sz w:val="32"/>
          <w:szCs w:val="32"/>
          <w:highlight w:val="none"/>
          <w:lang w:val="en-US" w:eastAsia="zh-CN" w:bidi="ar-SA"/>
        </w:rPr>
        <w:t>、职业年金缴费</w:t>
      </w:r>
      <w:r>
        <w:rPr>
          <w:rFonts w:hint="eastAsia" w:eastAsia="仿宋_GB2312" w:cs="仿宋_GB2312"/>
          <w:color w:val="auto"/>
          <w:kern w:val="2"/>
          <w:sz w:val="32"/>
          <w:szCs w:val="32"/>
          <w:highlight w:val="none"/>
          <w:lang w:val="en-US" w:eastAsia="zh-CN" w:bidi="ar-SA"/>
        </w:rPr>
        <w:t>17.5万元</w:t>
      </w:r>
      <w:r>
        <w:rPr>
          <w:rFonts w:hint="eastAsia" w:ascii="Times New Roman" w:hAnsi="Times New Roman" w:eastAsia="仿宋_GB2312" w:cs="仿宋_GB2312"/>
          <w:color w:val="auto"/>
          <w:kern w:val="2"/>
          <w:sz w:val="32"/>
          <w:szCs w:val="32"/>
          <w:highlight w:val="none"/>
          <w:lang w:val="en-US" w:eastAsia="zh-CN" w:bidi="ar-SA"/>
        </w:rPr>
        <w:t>、其他社会保障缴费</w:t>
      </w:r>
      <w:r>
        <w:rPr>
          <w:rFonts w:hint="eastAsia" w:eastAsia="仿宋_GB2312" w:cs="仿宋_GB2312"/>
          <w:color w:val="auto"/>
          <w:kern w:val="2"/>
          <w:sz w:val="32"/>
          <w:szCs w:val="32"/>
          <w:highlight w:val="none"/>
          <w:lang w:val="en-US" w:eastAsia="zh-CN" w:bidi="ar-SA"/>
        </w:rPr>
        <w:t>1.75万元</w:t>
      </w:r>
      <w:r>
        <w:rPr>
          <w:rFonts w:hint="eastAsia" w:ascii="Times New Roman" w:hAnsi="Times New Roman" w:eastAsia="仿宋_GB2312" w:cs="仿宋_GB2312"/>
          <w:color w:val="auto"/>
          <w:kern w:val="2"/>
          <w:sz w:val="32"/>
          <w:szCs w:val="32"/>
          <w:highlight w:val="none"/>
          <w:lang w:val="en-US" w:eastAsia="zh-CN" w:bidi="ar-SA"/>
        </w:rPr>
        <w:t>、其他工资福利支出</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 w:eastAsia="仿宋"/>
          <w:sz w:val="32"/>
          <w:szCs w:val="32"/>
        </w:rPr>
        <w:t>职工基本医疗保险缴费</w:t>
      </w:r>
      <w:r>
        <w:rPr>
          <w:rFonts w:hint="eastAsia" w:ascii="仿宋" w:eastAsia="仿宋"/>
          <w:sz w:val="32"/>
          <w:szCs w:val="32"/>
          <w:lang w:val="en-US" w:eastAsia="zh-CN"/>
        </w:rPr>
        <w:t>17.89</w:t>
      </w:r>
      <w:r>
        <w:rPr>
          <w:rFonts w:hint="eastAsia" w:ascii="仿宋" w:eastAsia="仿宋"/>
          <w:sz w:val="32"/>
          <w:szCs w:val="32"/>
        </w:rPr>
        <w:t>万元</w:t>
      </w:r>
      <w:r>
        <w:rPr>
          <w:rFonts w:hint="eastAsia" w:ascii="仿宋" w:eastAsia="仿宋"/>
          <w:sz w:val="32"/>
          <w:szCs w:val="32"/>
          <w:lang w:eastAsia="zh-CN"/>
        </w:rPr>
        <w:t>、</w:t>
      </w:r>
      <w:r>
        <w:rPr>
          <w:rFonts w:hint="eastAsia" w:ascii="仿宋" w:eastAsia="仿宋"/>
          <w:sz w:val="32"/>
          <w:szCs w:val="32"/>
        </w:rPr>
        <w:t>公务员医疗补助缴费</w:t>
      </w:r>
      <w:r>
        <w:rPr>
          <w:rFonts w:hint="eastAsia" w:ascii="仿宋" w:eastAsia="仿宋"/>
          <w:sz w:val="32"/>
          <w:szCs w:val="32"/>
          <w:lang w:val="en-US" w:eastAsia="zh-CN"/>
        </w:rPr>
        <w:t>2.65</w:t>
      </w:r>
      <w:r>
        <w:rPr>
          <w:rFonts w:hint="eastAsia" w:ascii="仿宋" w:eastAsia="仿宋"/>
          <w:sz w:val="32"/>
          <w:szCs w:val="32"/>
        </w:rPr>
        <w:t>万元</w:t>
      </w:r>
      <w:r>
        <w:rPr>
          <w:rFonts w:hint="eastAsia" w:ascii="仿宋" w:eastAsia="仿宋"/>
          <w:sz w:val="32"/>
          <w:szCs w:val="32"/>
          <w:lang w:eastAsia="zh-CN"/>
        </w:rPr>
        <w:t>、</w:t>
      </w:r>
      <w:r>
        <w:rPr>
          <w:rFonts w:hint="eastAsia" w:ascii="Times New Roman" w:hAnsi="Times New Roman" w:eastAsia="仿宋_GB2312" w:cs="仿宋_GB2312"/>
          <w:color w:val="auto"/>
          <w:kern w:val="2"/>
          <w:sz w:val="32"/>
          <w:szCs w:val="32"/>
          <w:highlight w:val="none"/>
          <w:lang w:val="en-US" w:eastAsia="zh-CN" w:bidi="ar-SA"/>
        </w:rPr>
        <w:t>离休费</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、退休费</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、抚恤金</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、生活补助</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、医疗费补助</w:t>
      </w:r>
      <w:r>
        <w:rPr>
          <w:rFonts w:hint="eastAsia" w:eastAsia="仿宋_GB2312" w:cs="仿宋_GB2312"/>
          <w:color w:val="auto"/>
          <w:kern w:val="2"/>
          <w:sz w:val="32"/>
          <w:szCs w:val="32"/>
          <w:highlight w:val="none"/>
          <w:lang w:val="en-US" w:eastAsia="zh-CN" w:bidi="ar-SA"/>
        </w:rPr>
        <w:t>0.95万元</w:t>
      </w:r>
      <w:r>
        <w:rPr>
          <w:rFonts w:hint="eastAsia" w:ascii="Times New Roman" w:hAnsi="Times New Roman" w:eastAsia="仿宋_GB2312" w:cs="仿宋_GB2312"/>
          <w:color w:val="auto"/>
          <w:kern w:val="2"/>
          <w:sz w:val="32"/>
          <w:szCs w:val="32"/>
          <w:highlight w:val="none"/>
          <w:lang w:val="en-US" w:eastAsia="zh-CN" w:bidi="ar-SA"/>
        </w:rPr>
        <w:t>、奖励金</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、住房公积金</w:t>
      </w:r>
      <w:r>
        <w:rPr>
          <w:rFonts w:hint="eastAsia" w:eastAsia="仿宋_GB2312" w:cs="仿宋_GB2312"/>
          <w:color w:val="auto"/>
          <w:kern w:val="2"/>
          <w:sz w:val="32"/>
          <w:szCs w:val="32"/>
          <w:highlight w:val="none"/>
          <w:lang w:val="en-US" w:eastAsia="zh-CN" w:bidi="ar-SA"/>
        </w:rPr>
        <w:t>30.77万元</w:t>
      </w:r>
      <w:r>
        <w:rPr>
          <w:rFonts w:hint="eastAsia" w:ascii="Times New Roman" w:hAnsi="Times New Roman" w:eastAsia="仿宋_GB2312" w:cs="仿宋_GB2312"/>
          <w:color w:val="auto"/>
          <w:kern w:val="2"/>
          <w:sz w:val="32"/>
          <w:szCs w:val="32"/>
          <w:highlight w:val="none"/>
          <w:lang w:val="en-US" w:eastAsia="zh-CN" w:bidi="ar-SA"/>
        </w:rPr>
        <w:t>、其他对个人和家庭的补助支出</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9.83</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元，主要包括：办公费</w:t>
      </w:r>
      <w:r>
        <w:rPr>
          <w:rFonts w:hint="eastAsia" w:eastAsia="仿宋_GB2312" w:cs="仿宋_GB2312"/>
          <w:color w:val="auto"/>
          <w:kern w:val="2"/>
          <w:sz w:val="32"/>
          <w:szCs w:val="32"/>
          <w:highlight w:val="none"/>
          <w:lang w:val="en-US" w:eastAsia="zh-CN" w:bidi="ar-SA"/>
        </w:rPr>
        <w:t>2.12万元</w:t>
      </w:r>
      <w:r>
        <w:rPr>
          <w:rFonts w:hint="eastAsia" w:ascii="Times New Roman" w:hAnsi="Times New Roman" w:eastAsia="仿宋_GB2312" w:cs="仿宋_GB2312"/>
          <w:color w:val="auto"/>
          <w:kern w:val="2"/>
          <w:sz w:val="32"/>
          <w:szCs w:val="32"/>
          <w:highlight w:val="none"/>
          <w:lang w:val="en-US" w:eastAsia="zh-CN" w:bidi="ar-SA"/>
        </w:rPr>
        <w:t>、、工会经费</w:t>
      </w:r>
      <w:r>
        <w:rPr>
          <w:rFonts w:hint="eastAsia" w:eastAsia="仿宋_GB2312" w:cs="仿宋_GB2312"/>
          <w:color w:val="auto"/>
          <w:kern w:val="2"/>
          <w:sz w:val="32"/>
          <w:szCs w:val="32"/>
          <w:highlight w:val="none"/>
          <w:lang w:val="en-US" w:eastAsia="zh-CN" w:bidi="ar-SA"/>
        </w:rPr>
        <w:t>2.74万元、</w:t>
      </w:r>
      <w:r>
        <w:rPr>
          <w:rFonts w:hint="eastAsia" w:ascii="Times New Roman" w:hAnsi="Times New Roman" w:eastAsia="仿宋_GB2312" w:cs="仿宋_GB2312"/>
          <w:color w:val="auto"/>
          <w:kern w:val="2"/>
          <w:sz w:val="32"/>
          <w:szCs w:val="32"/>
          <w:highlight w:val="none"/>
          <w:lang w:val="en-US" w:eastAsia="zh-CN" w:bidi="ar-SA"/>
        </w:rPr>
        <w:t>印刷费、咨询费、手续费、水费、电费、邮电费、取暖费、物业管理费、差旅费、因公出国（境）费用、维修（护）费、租赁费、会议费、培训费、公务接待费、劳务费、委托业务费、福利费、公务用车运行维护费、其他交通费、税金及附加费用、其他商品和服务支出、办公设备购置、专用设备购置、信息网络及软件购置更新、其他资本性支出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outlineLvl w:val="1"/>
        <w:rPr>
          <w:rStyle w:val="29"/>
          <w:rFonts w:ascii="Times New Roman" w:hAnsi="Times New Roman" w:eastAsia="黑体"/>
          <w:b w:val="0"/>
          <w:color w:val="auto"/>
          <w:highlight w:val="none"/>
        </w:rPr>
      </w:pPr>
      <w:bookmarkStart w:id="29" w:name="_Toc15396609"/>
      <w:bookmarkStart w:id="30" w:name="_Toc15377215"/>
      <w:r>
        <w:rPr>
          <w:rFonts w:hint="eastAsia" w:ascii="Times New Roman" w:hAnsi="Times New Roman" w:eastAsia="黑体"/>
          <w:color w:val="auto"/>
          <w:sz w:val="32"/>
          <w:szCs w:val="32"/>
          <w:highlight w:val="none"/>
        </w:rPr>
        <w:t>七、</w:t>
      </w:r>
      <w:r>
        <w:rPr>
          <w:rStyle w:val="29"/>
          <w:rFonts w:hint="eastAsia" w:ascii="Times New Roman" w:hAnsi="Times New Roman" w:eastAsia="黑体"/>
          <w:b w:val="0"/>
          <w:color w:val="auto"/>
          <w:highlight w:val="none"/>
        </w:rPr>
        <w:t>财政拨款</w:t>
      </w:r>
      <w:r>
        <w:rPr>
          <w:rStyle w:val="29"/>
          <w:rFonts w:hint="eastAsia" w:ascii="Times New Roman" w:hAnsi="Times New Roman" w:eastAsia="黑体"/>
          <w:color w:val="auto"/>
          <w:highlight w:val="none"/>
        </w:rPr>
        <w:t>“</w:t>
      </w:r>
      <w:r>
        <w:rPr>
          <w:rStyle w:val="29"/>
          <w:rFonts w:hint="eastAsia" w:ascii="Times New Roman" w:hAnsi="Times New Roman" w:eastAsia="黑体"/>
          <w:b w:val="0"/>
          <w:color w:val="auto"/>
          <w:highlight w:val="none"/>
        </w:rPr>
        <w:t>三公”经费支出决算情况说明</w:t>
      </w:r>
      <w:bookmarkEnd w:id="29"/>
      <w:bookmarkEnd w:id="30"/>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1" w:name="_Toc15377216"/>
      <w:r>
        <w:rPr>
          <w:rFonts w:hint="eastAsia" w:ascii="Times New Roman" w:hAnsi="Times New Roman" w:eastAsia="楷体_GB2312" w:cs="楷体_GB2312"/>
          <w:b/>
          <w:color w:val="auto"/>
          <w:sz w:val="32"/>
          <w:szCs w:val="32"/>
          <w:highlight w:val="none"/>
        </w:rPr>
        <w:t>（一）“三公”经费财政拨款支出决算总体情况说明</w:t>
      </w:r>
      <w:bookmarkEnd w:id="31"/>
    </w:p>
    <w:p>
      <w:pPr>
        <w:spacing w:line="600" w:lineRule="exact"/>
        <w:ind w:firstLine="640"/>
        <w:rPr>
          <w:rFonts w:hint="eastAsia" w:ascii="Times New Roman" w:hAnsi="Times New Roman" w:eastAsia="楷体_GB2312" w:cs="楷体_GB2312"/>
          <w:b/>
          <w:color w:val="auto"/>
          <w:sz w:val="32"/>
          <w:szCs w:val="32"/>
          <w:highlight w:val="none"/>
        </w:rPr>
      </w:pPr>
      <w:r>
        <w:rPr>
          <w:rFonts w:hint="eastAsia" w:eastAsia="仿宋_GB2312" w:cs="仿宋_GB2312"/>
          <w:color w:val="auto"/>
          <w:kern w:val="2"/>
          <w:sz w:val="32"/>
          <w:szCs w:val="32"/>
          <w:highlight w:val="none"/>
          <w:lang w:val="en-US" w:eastAsia="zh-CN" w:bidi="ar-SA"/>
        </w:rPr>
        <w:t>2025</w:t>
      </w:r>
      <w:r>
        <w:rPr>
          <w:rFonts w:hint="eastAsia" w:ascii="Times New Roman" w:hAnsi="Times New Roman" w:eastAsia="仿宋_GB2312" w:cs="仿宋_GB2312"/>
          <w:color w:val="auto"/>
          <w:kern w:val="2"/>
          <w:sz w:val="32"/>
          <w:szCs w:val="32"/>
          <w:highlight w:val="none"/>
          <w:lang w:val="en-US" w:eastAsia="zh-CN" w:bidi="ar-SA"/>
        </w:rPr>
        <w:t>年度“三公”经费财政拨款支出决算为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bookmarkStart w:id="32" w:name="_Toc15377217"/>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（二）“三公”经费财政拨款支出决算具体情况说明</w:t>
      </w:r>
      <w:bookmarkEnd w:id="32"/>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2025年度“三公”经费财政拨款支出决算中，因公出国（境）费支出决算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万元，占0%；公务用车购置及运行维护费支出决算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万元，占0%；公务接待费支出决算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万元，占0%。.</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全年安排因公出国（境）团</w:t>
      </w:r>
      <w:r>
        <w:rPr>
          <w:rFonts w:hint="eastAsia" w:ascii="仿宋_GB2312" w:hAnsi="仿宋_GB2312" w:eastAsia="仿宋_GB2312" w:cs="仿宋_GB2312"/>
          <w:color w:val="auto"/>
          <w:kern w:val="2"/>
          <w:sz w:val="32"/>
          <w:szCs w:val="32"/>
          <w:highlight w:val="none"/>
          <w:lang w:val="en-US" w:eastAsia="zh-CN" w:bidi="ar-SA"/>
        </w:rPr>
        <w:t>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人</w:t>
      </w:r>
      <w:r>
        <w:rPr>
          <w:rFonts w:hint="eastAsia" w:ascii="Times New Roman" w:hAnsi="Times New Roman" w:eastAsia="仿宋_GB2312" w:cs="仿宋_GB2312"/>
          <w:color w:val="auto"/>
          <w:kern w:val="2"/>
          <w:sz w:val="32"/>
          <w:szCs w:val="32"/>
          <w:highlight w:val="none"/>
          <w:lang w:val="en-US" w:eastAsia="zh-CN" w:bidi="ar-SA"/>
        </w:rPr>
        <w:t>。因公出国（境）支出决算比</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年度增加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辆，其中：轿车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辆、金额</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万元，越野车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辆、金额</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万元，载客汽车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辆、金额</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万元。截至</w:t>
      </w:r>
      <w:r>
        <w:rPr>
          <w:rFonts w:hint="eastAsia" w:eastAsia="仿宋_GB2312" w:cs="仿宋_GB2312"/>
          <w:color w:val="auto"/>
          <w:kern w:val="2"/>
          <w:sz w:val="32"/>
          <w:szCs w:val="32"/>
          <w:highlight w:val="none"/>
          <w:lang w:val="en-US" w:eastAsia="zh-CN" w:bidi="ar-SA"/>
        </w:rPr>
        <w:t>2025</w:t>
      </w:r>
      <w:r>
        <w:rPr>
          <w:rFonts w:hint="eastAsia" w:ascii="Times New Roman" w:hAnsi="Times New Roman" w:eastAsia="仿宋_GB2312" w:cs="仿宋_GB2312"/>
          <w:color w:val="auto"/>
          <w:kern w:val="2"/>
          <w:sz w:val="32"/>
          <w:szCs w:val="32"/>
          <w:highlight w:val="none"/>
          <w:lang w:val="en-US" w:eastAsia="zh-CN" w:bidi="ar-SA"/>
        </w:rPr>
        <w:t>年12月31日，单位共有公务用车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辆，其中：轿车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辆、越野车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辆、载客汽车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万元。所需的公务用车燃料费、维修费、过路过桥费、保险费等支出。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年度增加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元，(执行公务、开展业务活动开支的交通费、住宿费、用餐费等)。国内公务接</w:t>
      </w:r>
      <w:r>
        <w:rPr>
          <w:rFonts w:hint="eastAsia" w:ascii="仿宋_GB2312" w:hAnsi="仿宋_GB2312" w:eastAsia="仿宋_GB2312" w:cs="仿宋_GB2312"/>
          <w:color w:val="auto"/>
          <w:kern w:val="2"/>
          <w:sz w:val="32"/>
          <w:szCs w:val="32"/>
          <w:highlight w:val="none"/>
          <w:lang w:val="en-US" w:eastAsia="zh-CN" w:bidi="ar-SA"/>
        </w:rPr>
        <w:t>待</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万元。外事接待</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人次（不包括陪同人员），共计支出0万</w:t>
      </w:r>
      <w:r>
        <w:rPr>
          <w:rFonts w:hint="eastAsia" w:ascii="Times New Roman" w:hAnsi="Times New Roman" w:eastAsia="仿宋_GB2312" w:cs="仿宋_GB2312"/>
          <w:color w:val="auto"/>
          <w:kern w:val="2"/>
          <w:sz w:val="32"/>
          <w:szCs w:val="32"/>
          <w:highlight w:val="none"/>
          <w:lang w:val="en-US" w:eastAsia="zh-CN" w:bidi="ar-SA"/>
        </w:rPr>
        <w:t>元。</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3" w:name="_Toc15377218"/>
      <w:bookmarkStart w:id="34" w:name="_Toc15396610"/>
    </w:p>
    <w:p>
      <w:pPr>
        <w:spacing w:line="600" w:lineRule="exact"/>
        <w:ind w:firstLine="640"/>
        <w:outlineLvl w:val="1"/>
        <w:rPr>
          <w:rStyle w:val="29"/>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29"/>
          <w:rFonts w:hint="eastAsia" w:ascii="Times New Roman" w:hAnsi="Times New Roman" w:eastAsia="黑体"/>
          <w:b w:val="0"/>
          <w:color w:val="auto"/>
          <w:highlight w:val="none"/>
        </w:rPr>
        <w:t>政府性基金预算支出决算情况说明</w:t>
      </w:r>
      <w:bookmarkEnd w:id="33"/>
      <w:bookmarkEnd w:id="34"/>
    </w:p>
    <w:p>
      <w:pPr>
        <w:numPr>
          <w:ilvl w:val="0"/>
          <w:numId w:val="0"/>
        </w:numPr>
        <w:spacing w:line="600" w:lineRule="exact"/>
        <w:ind w:left="630" w:leftChars="0"/>
        <w:outlineLvl w:val="1"/>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2025年度政府性基金预算财政拨款支出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bookmarkStart w:id="35" w:name="_Toc15396611"/>
      <w:bookmarkStart w:id="36" w:name="_Toc15377219"/>
    </w:p>
    <w:p>
      <w:pPr>
        <w:numPr>
          <w:ilvl w:val="0"/>
          <w:numId w:val="0"/>
        </w:numPr>
        <w:spacing w:line="600" w:lineRule="exact"/>
        <w:ind w:left="630" w:leftChars="0"/>
        <w:outlineLvl w:val="1"/>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ind w:left="630" w:leftChars="0"/>
        <w:outlineLvl w:val="1"/>
        <w:rPr>
          <w:rStyle w:val="29"/>
          <w:rFonts w:ascii="Times New Roman" w:hAnsi="Times New Roman" w:eastAsia="黑体"/>
          <w:b w:val="0"/>
          <w:color w:val="auto"/>
          <w:highlight w:val="none"/>
        </w:rPr>
      </w:pPr>
      <w:r>
        <w:rPr>
          <w:rStyle w:val="29"/>
          <w:rFonts w:hint="eastAsia" w:ascii="Times New Roman" w:hAnsi="Times New Roman" w:eastAsia="黑体"/>
          <w:b w:val="0"/>
          <w:color w:val="auto"/>
          <w:highlight w:val="none"/>
          <w:lang w:eastAsia="zh-CN"/>
        </w:rPr>
        <w:t>九、</w:t>
      </w:r>
      <w:r>
        <w:rPr>
          <w:rStyle w:val="29"/>
          <w:rFonts w:hint="eastAsia" w:ascii="Times New Roman" w:hAnsi="Times New Roman" w:eastAsia="黑体"/>
          <w:b w:val="0"/>
          <w:color w:val="auto"/>
          <w:highlight w:val="none"/>
        </w:rPr>
        <w:t>国有资本经营预算支出决算情况说明</w:t>
      </w:r>
      <w:bookmarkEnd w:id="35"/>
      <w:bookmarkEnd w:id="36"/>
    </w:p>
    <w:p>
      <w:pPr>
        <w:spacing w:line="600" w:lineRule="exact"/>
        <w:ind w:firstLine="640"/>
        <w:rPr>
          <w:rFonts w:hint="eastAsia" w:ascii="仿宋_GB2312" w:hAnsi="仿宋_GB2312"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w:t>
      </w:r>
      <w:r>
        <w:rPr>
          <w:rFonts w:hint="eastAsia" w:ascii="Times New Roman" w:hAnsi="Times New Roman" w:eastAsia="仿宋_GB2312" w:cs="仿宋_GB2312"/>
          <w:color w:val="auto"/>
          <w:kern w:val="2"/>
          <w:sz w:val="32"/>
          <w:szCs w:val="32"/>
          <w:highlight w:val="none"/>
          <w:lang w:val="en-US" w:eastAsia="zh-CN" w:bidi="ar-SA"/>
        </w:rPr>
        <w:t>年度国有资本经营预算财政拨款支出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w:t>
      </w:r>
    </w:p>
    <w:p>
      <w:pPr>
        <w:pStyle w:val="2"/>
        <w:rPr>
          <w:rFonts w:hint="eastAsia"/>
          <w:lang w:val="en-US" w:eastAsia="zh-CN"/>
        </w:rPr>
      </w:pPr>
    </w:p>
    <w:p>
      <w:pPr>
        <w:numPr>
          <w:ilvl w:val="0"/>
          <w:numId w:val="0"/>
        </w:numPr>
        <w:spacing w:line="600" w:lineRule="exact"/>
        <w:ind w:left="630" w:leftChars="0"/>
        <w:outlineLvl w:val="1"/>
        <w:rPr>
          <w:rStyle w:val="29"/>
          <w:rFonts w:hint="eastAsia" w:ascii="Times New Roman" w:hAnsi="Times New Roman" w:eastAsia="黑体"/>
          <w:b w:val="0"/>
          <w:color w:val="auto"/>
          <w:highlight w:val="none"/>
        </w:rPr>
      </w:pPr>
      <w:bookmarkStart w:id="37" w:name="_Toc15396612"/>
      <w:bookmarkStart w:id="38" w:name="_Toc15377221"/>
      <w:r>
        <w:rPr>
          <w:rStyle w:val="29"/>
          <w:rFonts w:hint="eastAsia" w:ascii="Times New Roman" w:hAnsi="Times New Roman" w:eastAsia="黑体"/>
          <w:b w:val="0"/>
          <w:color w:val="auto"/>
          <w:highlight w:val="none"/>
          <w:lang w:eastAsia="zh-CN"/>
        </w:rPr>
        <w:t>十、</w:t>
      </w:r>
      <w:r>
        <w:rPr>
          <w:rStyle w:val="29"/>
          <w:rFonts w:hint="eastAsia" w:ascii="Times New Roman" w:hAnsi="Times New Roman" w:eastAsia="黑体"/>
          <w:b w:val="0"/>
          <w:color w:val="auto"/>
          <w:highlight w:val="none"/>
        </w:rPr>
        <w:t>其他重要事项的情况说明</w:t>
      </w:r>
      <w:bookmarkEnd w:id="37"/>
      <w:bookmarkEnd w:id="38"/>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9" w:name="_Toc15377222"/>
      <w:r>
        <w:rPr>
          <w:rFonts w:hint="eastAsia" w:ascii="Times New Roman" w:hAnsi="Times New Roman" w:eastAsia="楷体_GB2312" w:cs="楷体_GB2312"/>
          <w:b/>
          <w:color w:val="auto"/>
          <w:sz w:val="32"/>
          <w:szCs w:val="32"/>
          <w:highlight w:val="none"/>
        </w:rPr>
        <w:t>（一）机关运行经费支出情况</w:t>
      </w:r>
      <w:bookmarkEnd w:id="39"/>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ascii="仿宋_GB2312" w:hAnsi="仿宋_GB2312"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红原县江茸乡小学</w:t>
      </w:r>
      <w:r>
        <w:rPr>
          <w:rFonts w:hint="eastAsia" w:ascii="仿宋_GB2312" w:hAnsi="仿宋_GB2312"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元，比</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年度增加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3"/>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（二）政府采购支出情况</w:t>
      </w:r>
      <w:bookmarkEnd w:id="40"/>
    </w:p>
    <w:p>
      <w:pPr>
        <w:spacing w:line="600" w:lineRule="exact"/>
        <w:ind w:firstLine="64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w:t>
      </w:r>
      <w:r>
        <w:rPr>
          <w:rFonts w:hint="eastAsia" w:ascii="仿宋_GB2312" w:hAnsi="仿宋_GB2312" w:eastAsia="仿宋_GB2312" w:cs="仿宋_GB2312"/>
          <w:sz w:val="32"/>
          <w:szCs w:val="32"/>
        </w:rPr>
        <w:t>红原县江茸乡小学</w:t>
      </w:r>
      <w:r>
        <w:rPr>
          <w:rFonts w:hint="eastAsia" w:ascii="仿宋_GB2312" w:hAnsi="仿宋_GB2312"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4"/>
      <w:r>
        <w:rPr>
          <w:rFonts w:hint="eastAsia" w:ascii="Times New Roman" w:hAnsi="Times New Roman" w:eastAsia="楷体_GB2312" w:cs="楷体_GB2312"/>
          <w:b/>
          <w:color w:val="auto"/>
          <w:sz w:val="32"/>
          <w:szCs w:val="32"/>
          <w:highlight w:val="none"/>
        </w:rPr>
        <w:t>（三）国有资产占有使用情况</w:t>
      </w:r>
      <w:bookmarkEnd w:id="41"/>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截至2025年12月31日，</w:t>
      </w:r>
      <w:r>
        <w:rPr>
          <w:rFonts w:hint="eastAsia" w:ascii="仿宋_GB2312" w:hAnsi="仿宋_GB2312" w:eastAsia="仿宋_GB2312" w:cs="仿宋_GB2312"/>
          <w:sz w:val="32"/>
          <w:szCs w:val="32"/>
        </w:rPr>
        <w:t>红原县江茸乡小学</w:t>
      </w:r>
      <w:r>
        <w:rPr>
          <w:rFonts w:hint="eastAsia" w:ascii="仿宋_GB2312" w:hAnsi="仿宋_GB2312"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辆，其中：主要负责人用车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辆，其他用车主要是用于……。单价100万元（含）以上设备（不含车辆）</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台（套）</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根据预算绩效管理要求，本单位在年初预算编制阶段，由学校领导牵头召开会议，制定学校规章制度，通过会议明确各处职责，学校开展考勤制度，确保执行，强化绩效，公开透明的公开化，管好用好财政资金更好的使用绩效。绩效考核作为资金管理与分配的核心依据，根据</w:t>
      </w:r>
      <w:r>
        <w:rPr>
          <w:rFonts w:hint="eastAsia" w:ascii="仿宋_GB2312" w:eastAsia="仿宋_GB2312" w:cs="仿宋"/>
          <w:color w:val="000000"/>
          <w:kern w:val="0"/>
          <w:sz w:val="32"/>
          <w:szCs w:val="32"/>
          <w:lang w:val="zh-CN"/>
        </w:rPr>
        <w:t>工作规划和重点工作</w:t>
      </w:r>
      <w:r>
        <w:rPr>
          <w:rFonts w:hint="eastAsia" w:ascii="仿宋_GB2312" w:eastAsia="仿宋_GB2312" w:cs="仿宋"/>
          <w:color w:val="000000"/>
          <w:kern w:val="0"/>
          <w:sz w:val="32"/>
          <w:szCs w:val="32"/>
        </w:rPr>
        <w:t>规划</w:t>
      </w:r>
      <w:r>
        <w:rPr>
          <w:rFonts w:hint="eastAsia" w:ascii="仿宋_GB2312" w:eastAsia="仿宋_GB2312" w:cs="仿宋"/>
          <w:color w:val="000000"/>
          <w:kern w:val="0"/>
          <w:sz w:val="32"/>
          <w:szCs w:val="32"/>
          <w:lang w:val="zh-CN"/>
        </w:rPr>
        <w:t>，积极履行职责，强化本单位预算管理，</w:t>
      </w:r>
      <w:r>
        <w:rPr>
          <w:rFonts w:hint="eastAsia" w:ascii="仿宋_GB2312" w:eastAsia="仿宋_GB2312" w:cs="仿宋"/>
          <w:color w:val="000000"/>
          <w:kern w:val="0"/>
          <w:sz w:val="32"/>
          <w:szCs w:val="32"/>
        </w:rPr>
        <w:t>单位进一步提高预算绩效管理认识，学校建立内部绩效评价工作考核制度，年终对有关业务的绩效评价工作开展情况进行考核，作为年终工作目标量化考核内容之一。强化以“绩效为中心、对支出结果负责、对社会公众负责”的理念，在绩效目标编制方面，数量目标和质量目标量化不细，效益目标编制不完整等方面加以了改善。加强预算绩效动态监控管理，加强相关人员的业务培训，进一步提高预算绩效评价质量。</w:t>
      </w:r>
    </w:p>
    <w:p>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在绩效目标编制方面，加强预算绩效动态监控管理，加强相关人员的业务培训，进一步提高预算绩效评价质量。积极履行职责，强化本单位预算管理，较好地完成年初绩效工作。</w:t>
      </w:r>
    </w:p>
    <w:p>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绩效管理机制工作不断推进，学校绩效目标编制方面，针对绩效目标设置指向不清、预算和目标匹配不足，目标编制不完整等方面加以了改善。目前单位绩效评价结果还停留在反映情况、找问题、提建议层面，评价结果和预算安排有机结合的机制尚未真正建立，还在逐步搭建，要进一步提高预算绩效管理认识，更好的实施绩效管理工作。</w:t>
      </w:r>
    </w:p>
    <w:p>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本部门按要求对</w:t>
      </w:r>
      <w:r>
        <w:rPr>
          <w:rFonts w:hint="eastAsia" w:ascii="仿宋_GB2312" w:eastAsia="仿宋_GB2312" w:cs="仿宋"/>
          <w:color w:val="000000"/>
          <w:kern w:val="0"/>
          <w:sz w:val="32"/>
          <w:szCs w:val="32"/>
          <w:lang w:eastAsia="zh-CN"/>
        </w:rPr>
        <w:t>202</w:t>
      </w:r>
      <w:r>
        <w:rPr>
          <w:rFonts w:hint="eastAsia" w:ascii="仿宋_GB2312" w:eastAsia="仿宋_GB2312" w:cs="仿宋"/>
          <w:color w:val="000000"/>
          <w:kern w:val="0"/>
          <w:sz w:val="32"/>
          <w:szCs w:val="32"/>
          <w:lang w:val="en-US" w:eastAsia="zh-CN"/>
        </w:rPr>
        <w:t>5</w:t>
      </w:r>
      <w:r>
        <w:rPr>
          <w:rFonts w:hint="eastAsia" w:ascii="仿宋_GB2312" w:eastAsia="仿宋_GB2312" w:cs="仿宋"/>
          <w:color w:val="000000"/>
          <w:kern w:val="0"/>
          <w:sz w:val="32"/>
          <w:szCs w:val="32"/>
        </w:rPr>
        <w:t>年部门整体支出绩效评价情况开展自评，《红原县</w:t>
      </w:r>
      <w:r>
        <w:rPr>
          <w:rFonts w:hint="eastAsia" w:ascii="仿宋_GB2312" w:eastAsia="仿宋_GB2312" w:cs="仿宋"/>
          <w:color w:val="000000"/>
          <w:kern w:val="0"/>
          <w:sz w:val="32"/>
          <w:szCs w:val="32"/>
          <w:lang w:eastAsia="zh-CN"/>
        </w:rPr>
        <w:t>江茸乡</w:t>
      </w:r>
      <w:r>
        <w:rPr>
          <w:rFonts w:hint="eastAsia" w:ascii="仿宋_GB2312" w:eastAsia="仿宋_GB2312" w:cs="仿宋"/>
          <w:color w:val="000000"/>
          <w:kern w:val="0"/>
          <w:sz w:val="32"/>
          <w:szCs w:val="32"/>
        </w:rPr>
        <w:t>小学</w:t>
      </w:r>
      <w:r>
        <w:rPr>
          <w:rFonts w:hint="eastAsia" w:ascii="仿宋_GB2312" w:eastAsia="仿宋_GB2312" w:cs="仿宋"/>
          <w:color w:val="000000"/>
          <w:kern w:val="0"/>
          <w:sz w:val="32"/>
          <w:szCs w:val="32"/>
          <w:lang w:eastAsia="zh-CN"/>
        </w:rPr>
        <w:t>202</w:t>
      </w:r>
      <w:r>
        <w:rPr>
          <w:rFonts w:hint="eastAsia" w:ascii="仿宋_GB2312" w:eastAsia="仿宋_GB2312" w:cs="仿宋"/>
          <w:color w:val="000000"/>
          <w:kern w:val="0"/>
          <w:sz w:val="32"/>
          <w:szCs w:val="32"/>
          <w:lang w:val="en-US" w:eastAsia="zh-CN"/>
        </w:rPr>
        <w:t>5</w:t>
      </w:r>
      <w:bookmarkStart w:id="61" w:name="_GoBack"/>
      <w:bookmarkEnd w:id="61"/>
      <w:r>
        <w:rPr>
          <w:rFonts w:hint="eastAsia" w:ascii="仿宋_GB2312" w:eastAsia="仿宋_GB2312" w:cs="仿宋"/>
          <w:color w:val="000000"/>
          <w:kern w:val="0"/>
          <w:sz w:val="32"/>
          <w:szCs w:val="32"/>
        </w:rPr>
        <w:t>年部门整体支出绩效评价报告》见附件1</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2" w:name="_Toc15377225"/>
      <w:bookmarkStart w:id="43" w:name="_Toc15396613"/>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2"/>
      <w:bookmarkEnd w:id="43"/>
    </w:p>
    <w:p>
      <w:pPr>
        <w:spacing w:line="600" w:lineRule="exact"/>
        <w:jc w:val="left"/>
        <w:rPr>
          <w:rFonts w:ascii="Times New Roman" w:hAnsi="Times New Roman"/>
          <w:b/>
          <w:color w:val="auto"/>
          <w:sz w:val="44"/>
          <w:szCs w:val="44"/>
          <w:highlight w:val="none"/>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2.事业收入：指事业单位开展专业业务活动及辅助活动取得的收入。如……（二级预算单位事业收入情况）等。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3.经营收入：指事业单位在专业业务活动及其辅助活动之外开展非独立核算经营活动取得的收入。如……（二级预算单位经营收入情况）等。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4.其他收入：指单位取得的除上述收入以外的各项收入。主要是……（收入类型）等。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6.年初结转和结余：指以前年度尚未完成、结转到本年按有关规定继续使用的资金。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9.教育</w:t>
      </w:r>
      <w:r>
        <w:rPr>
          <w:rFonts w:ascii="仿宋_GB2312" w:eastAsia="仿宋_GB2312"/>
          <w:color w:val="000000"/>
          <w:sz w:val="32"/>
          <w:szCs w:val="32"/>
        </w:rPr>
        <w:t>2050201：制学前教育收入；2050202</w:t>
      </w:r>
      <w:r>
        <w:rPr>
          <w:rFonts w:hint="eastAsia" w:ascii="仿宋_GB2312" w:eastAsia="仿宋_GB2312"/>
          <w:color w:val="000000"/>
          <w:sz w:val="32"/>
          <w:szCs w:val="32"/>
        </w:rPr>
        <w:t>：指小学教育收入；</w:t>
      </w:r>
      <w:r>
        <w:rPr>
          <w:rFonts w:ascii="仿宋_GB2312" w:eastAsia="仿宋_GB2312"/>
          <w:color w:val="000000"/>
          <w:sz w:val="32"/>
          <w:szCs w:val="32"/>
        </w:rPr>
        <w:t>2050299</w:t>
      </w:r>
      <w:r>
        <w:rPr>
          <w:rFonts w:hint="eastAsia" w:ascii="仿宋_GB2312" w:eastAsia="仿宋_GB2312"/>
          <w:color w:val="000000"/>
          <w:sz w:val="32"/>
          <w:szCs w:val="32"/>
        </w:rPr>
        <w:t>：指其他普通教育支出</w:t>
      </w:r>
      <w:r>
        <w:rPr>
          <w:rFonts w:ascii="仿宋_GB2312" w:eastAsia="仿宋_GB2312"/>
          <w:color w:val="000000"/>
          <w:sz w:val="32"/>
          <w:szCs w:val="32"/>
        </w:rPr>
        <w:t>；</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10</w:t>
      </w:r>
      <w:r>
        <w:rPr>
          <w:rFonts w:ascii="仿宋_GB2312" w:eastAsia="仿宋_GB2312"/>
          <w:color w:val="000000"/>
          <w:sz w:val="32"/>
          <w:szCs w:val="32"/>
        </w:rPr>
        <w:t>.</w:t>
      </w:r>
      <w:r>
        <w:rPr>
          <w:rFonts w:hint="eastAsia" w:ascii="仿宋_GB2312" w:eastAsia="仿宋_GB2312"/>
          <w:color w:val="000000"/>
          <w:sz w:val="32"/>
          <w:szCs w:val="32"/>
        </w:rPr>
        <w:t>社会保障和就业</w:t>
      </w:r>
      <w:r>
        <w:rPr>
          <w:rFonts w:ascii="仿宋_GB2312" w:eastAsia="仿宋_GB2312"/>
          <w:color w:val="000000"/>
          <w:sz w:val="32"/>
          <w:szCs w:val="32"/>
        </w:rPr>
        <w:t>2080505</w:t>
      </w:r>
      <w:r>
        <w:rPr>
          <w:rFonts w:hint="eastAsia" w:ascii="仿宋_GB2312" w:eastAsia="仿宋_GB2312"/>
          <w:color w:val="000000"/>
          <w:sz w:val="32"/>
          <w:szCs w:val="32"/>
        </w:rPr>
        <w:t>：</w:t>
      </w:r>
      <w:r>
        <w:rPr>
          <w:rFonts w:ascii="仿宋_GB2312" w:eastAsia="仿宋_GB2312"/>
          <w:color w:val="000000"/>
          <w:sz w:val="32"/>
          <w:szCs w:val="32"/>
        </w:rPr>
        <w:t xml:space="preserve"> </w:t>
      </w:r>
      <w:r>
        <w:rPr>
          <w:rFonts w:hint="eastAsia" w:ascii="仿宋_GB2312" w:eastAsia="仿宋_GB2312"/>
          <w:color w:val="000000"/>
          <w:sz w:val="32"/>
          <w:szCs w:val="32"/>
        </w:rPr>
        <w:t>指机关事业单位基本养老保险；</w:t>
      </w:r>
      <w:r>
        <w:rPr>
          <w:rFonts w:ascii="仿宋_GB2312" w:eastAsia="仿宋_GB2312"/>
          <w:color w:val="000000"/>
          <w:sz w:val="32"/>
          <w:szCs w:val="32"/>
        </w:rPr>
        <w:t>2080506</w:t>
      </w:r>
      <w:r>
        <w:rPr>
          <w:rFonts w:hint="eastAsia" w:ascii="仿宋_GB2312" w:eastAsia="仿宋_GB2312"/>
          <w:color w:val="000000"/>
          <w:sz w:val="32"/>
          <w:szCs w:val="32"/>
        </w:rPr>
        <w:t>：指机关事业单位职业年金缴费支出。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11</w:t>
      </w:r>
      <w:r>
        <w:rPr>
          <w:rFonts w:ascii="仿宋_GB2312" w:eastAsia="仿宋_GB2312"/>
          <w:color w:val="000000"/>
          <w:sz w:val="32"/>
          <w:szCs w:val="32"/>
        </w:rPr>
        <w:t>.</w:t>
      </w:r>
      <w:r>
        <w:rPr>
          <w:rFonts w:hint="eastAsia" w:ascii="仿宋_GB2312" w:eastAsia="仿宋_GB2312"/>
          <w:color w:val="000000"/>
          <w:sz w:val="32"/>
          <w:szCs w:val="32"/>
        </w:rPr>
        <w:t>医疗卫生与计划生育</w:t>
      </w:r>
      <w:r>
        <w:rPr>
          <w:rFonts w:ascii="仿宋_GB2312" w:eastAsia="仿宋_GB2312"/>
          <w:color w:val="000000"/>
          <w:sz w:val="32"/>
          <w:szCs w:val="32"/>
        </w:rPr>
        <w:t>2101102</w:t>
      </w:r>
      <w:r>
        <w:rPr>
          <w:rFonts w:hint="eastAsia" w:ascii="仿宋_GB2312" w:eastAsia="仿宋_GB2312"/>
          <w:color w:val="000000"/>
          <w:sz w:val="32"/>
          <w:szCs w:val="32"/>
        </w:rPr>
        <w:t>：指事业单位医疗；</w:t>
      </w:r>
      <w:r>
        <w:rPr>
          <w:rFonts w:ascii="仿宋_GB2312" w:eastAsia="仿宋_GB2312"/>
          <w:color w:val="000000"/>
          <w:sz w:val="32"/>
          <w:szCs w:val="32"/>
        </w:rPr>
        <w:t>2101199;</w:t>
      </w:r>
      <w:r>
        <w:rPr>
          <w:rFonts w:hint="eastAsia" w:ascii="仿宋_GB2312" w:eastAsia="仿宋_GB2312"/>
          <w:color w:val="000000"/>
          <w:sz w:val="32"/>
          <w:szCs w:val="32"/>
        </w:rPr>
        <w:t>指其他行政事业单位医疗支出。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12</w:t>
      </w:r>
      <w:r>
        <w:rPr>
          <w:rFonts w:ascii="仿宋_GB2312" w:eastAsia="仿宋_GB2312"/>
          <w:color w:val="000000"/>
          <w:sz w:val="32"/>
          <w:szCs w:val="32"/>
        </w:rPr>
        <w:t>.</w:t>
      </w:r>
      <w:r>
        <w:rPr>
          <w:rFonts w:hint="eastAsia" w:ascii="仿宋_GB2312" w:eastAsia="仿宋_GB2312"/>
          <w:color w:val="000000"/>
          <w:sz w:val="32"/>
          <w:szCs w:val="32"/>
        </w:rPr>
        <w:t>住房保障</w:t>
      </w:r>
      <w:r>
        <w:rPr>
          <w:rFonts w:ascii="仿宋_GB2312" w:eastAsia="仿宋_GB2312"/>
          <w:color w:val="000000"/>
          <w:sz w:val="32"/>
          <w:szCs w:val="32"/>
        </w:rPr>
        <w:t>2210201</w:t>
      </w:r>
      <w:r>
        <w:rPr>
          <w:rFonts w:hint="eastAsia" w:ascii="仿宋_GB2312" w:eastAsia="仿宋_GB2312"/>
          <w:color w:val="000000"/>
          <w:sz w:val="32"/>
          <w:szCs w:val="32"/>
        </w:rPr>
        <w:t>：指住房公积金。</w:t>
      </w:r>
    </w:p>
    <w:p>
      <w:pPr>
        <w:ind w:firstLine="640" w:firstLineChars="200"/>
        <w:rPr>
          <w:rFonts w:ascii="仿宋_GB2312" w:eastAsia="仿宋_GB2312"/>
          <w:color w:val="000000"/>
          <w:sz w:val="32"/>
          <w:szCs w:val="32"/>
        </w:rPr>
      </w:pPr>
      <w:r>
        <w:rPr>
          <w:rFonts w:ascii="仿宋_GB2312" w:eastAsia="仿宋_GB2312"/>
          <w:color w:val="000000"/>
          <w:sz w:val="32"/>
          <w:szCs w:val="32"/>
        </w:rPr>
        <w:t>13.</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ascii="仿宋_GB2312" w:eastAsia="仿宋_GB2312"/>
          <w:color w:val="000000"/>
          <w:sz w:val="32"/>
          <w:szCs w:val="32"/>
        </w:rPr>
        <w:t>14.</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ind w:firstLine="640" w:firstLineChars="200"/>
        <w:rPr>
          <w:rFonts w:hint="eastAsia" w:ascii="仿宋_GB2312" w:eastAsia="仿宋_GB2312"/>
          <w:color w:val="000000"/>
          <w:sz w:val="32"/>
          <w:szCs w:val="32"/>
        </w:rPr>
      </w:pPr>
      <w:r>
        <w:rPr>
          <w:rFonts w:ascii="仿宋_GB2312" w:eastAsia="仿宋_GB2312"/>
          <w:color w:val="000000"/>
          <w:sz w:val="32"/>
          <w:szCs w:val="32"/>
        </w:rPr>
        <w:t>15.</w:t>
      </w:r>
      <w:r>
        <w:rPr>
          <w:rFonts w:hint="eastAsia" w:ascii="仿宋_GB2312" w:eastAsia="仿宋_GB2312"/>
          <w:color w:val="000000"/>
          <w:sz w:val="32"/>
          <w:szCs w:val="32"/>
        </w:rPr>
        <w:t>经营支出：指事业单位在专业业务活动及其辅助活动之外开展非独立核算经营活动发生的支出。</w:t>
      </w:r>
    </w:p>
    <w:p>
      <w:pPr>
        <w:pStyle w:val="26"/>
        <w:spacing w:line="560" w:lineRule="exact"/>
        <w:ind w:firstLine="640" w:firstLineChars="200"/>
        <w:rPr>
          <w:rFonts w:ascii="仿宋_GB2312" w:eastAsia="仿宋_GB2312"/>
          <w:sz w:val="32"/>
          <w:szCs w:val="32"/>
        </w:rPr>
      </w:pPr>
      <w:r>
        <w:rPr>
          <w:rFonts w:ascii="仿宋_GB2312" w:eastAsia="仿宋_GB2312"/>
          <w:sz w:val="32"/>
          <w:szCs w:val="32"/>
        </w:rPr>
        <w:t>16.</w:t>
      </w:r>
      <w:r>
        <w:rPr>
          <w:rFonts w:hint="eastAsia" w:ascii="仿宋_GB2312" w:eastAsia="仿宋_GB2312"/>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6"/>
        <w:spacing w:line="560" w:lineRule="exact"/>
        <w:ind w:firstLine="640" w:firstLineChars="200"/>
      </w:pPr>
      <w:r>
        <w:rPr>
          <w:rFonts w:ascii="仿宋_GB2312" w:eastAsia="仿宋_GB2312"/>
          <w:sz w:val="32"/>
          <w:szCs w:val="32"/>
        </w:rPr>
        <w:t>17.</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（注：名词解释部分请根据各部门实际列支情况罗列，并根据本部门职责职能增减名词解释内容）</w:t>
      </w:r>
    </w:p>
    <w:p>
      <w:pPr>
        <w:spacing w:line="600" w:lineRule="exact"/>
        <w:jc w:val="center"/>
        <w:rPr>
          <w:rStyle w:val="28"/>
          <w:rFonts w:hint="eastAsia" w:ascii="Times New Roman" w:hAnsi="Times New Roman" w:eastAsia="黑体"/>
          <w:b w:val="0"/>
          <w:color w:val="auto"/>
          <w:highlight w:val="none"/>
          <w:lang w:eastAsia="zh-CN"/>
        </w:rPr>
      </w:pPr>
      <w:bookmarkStart w:id="44" w:name="_Toc15377226"/>
      <w:r>
        <w:rPr>
          <w:rFonts w:hint="eastAsia" w:ascii="Times New Roman" w:hAnsi="Times New Roman" w:eastAsia="仿宋_GB2312" w:cs="仿宋_GB2312"/>
          <w:color w:val="auto"/>
          <w:kern w:val="2"/>
          <w:sz w:val="32"/>
          <w:szCs w:val="32"/>
          <w:highlight w:val="none"/>
          <w:lang w:val="en-US" w:eastAsia="zh-CN" w:bidi="ar-SA"/>
        </w:rPr>
        <w:br w:type="page"/>
      </w:r>
      <w:bookmarkStart w:id="45" w:name="_Toc15396614"/>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5"/>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r>
        <w:rPr>
          <w:rFonts w:hint="default" w:ascii="Times New Roman" w:hAnsi="Times New Roman" w:eastAsia="方正小标宋简体" w:cs="Times New Roman"/>
          <w:b w:val="0"/>
          <w:bCs/>
          <w:sz w:val="44"/>
          <w:szCs w:val="44"/>
          <w:highlight w:val="none"/>
          <w:shd w:val="clear" w:color="auto" w:fill="FFFFFF"/>
        </w:rPr>
        <w:t>部门</w:t>
      </w:r>
      <w:r>
        <w:rPr>
          <w:rFonts w:hint="default" w:ascii="Times New Roman" w:hAnsi="Times New Roman" w:eastAsia="方正小标宋简体" w:cs="Times New Roman"/>
          <w:b w:val="0"/>
          <w:bCs/>
          <w:sz w:val="44"/>
          <w:szCs w:val="44"/>
          <w:highlight w:val="none"/>
          <w:shd w:val="clear" w:color="auto" w:fill="FFFFFF"/>
          <w:lang w:eastAsia="zh-CN"/>
        </w:rPr>
        <w:t>预算</w:t>
      </w:r>
      <w:r>
        <w:rPr>
          <w:rFonts w:hint="default" w:ascii="Times New Roman" w:hAnsi="Times New Roman" w:eastAsia="方正小标宋简体" w:cs="Times New Roman"/>
          <w:b w:val="0"/>
          <w:bCs/>
          <w:sz w:val="44"/>
          <w:szCs w:val="44"/>
          <w:highlight w:val="none"/>
          <w:shd w:val="clear" w:color="auto" w:fill="FFFFFF"/>
        </w:rPr>
        <w:t>绩效</w:t>
      </w:r>
      <w:r>
        <w:rPr>
          <w:rFonts w:hint="eastAsia" w:ascii="Times New Roman" w:hAnsi="Times New Roman" w:eastAsia="方正小标宋简体" w:cs="Times New Roman"/>
          <w:b w:val="0"/>
          <w:bCs/>
          <w:sz w:val="44"/>
          <w:szCs w:val="44"/>
          <w:highlight w:val="none"/>
          <w:shd w:val="clear" w:color="auto" w:fill="FFFFFF"/>
          <w:lang w:eastAsia="zh-CN"/>
        </w:rPr>
        <w:t>评价</w:t>
      </w:r>
      <w:r>
        <w:rPr>
          <w:rFonts w:hint="default" w:ascii="Times New Roman" w:hAnsi="Times New Roman" w:eastAsia="方正小标宋简体" w:cs="Times New Roman"/>
          <w:b w:val="0"/>
          <w:bCs/>
          <w:sz w:val="44"/>
          <w:szCs w:val="44"/>
          <w:highlight w:val="none"/>
          <w:shd w:val="clear" w:color="auto" w:fill="FFFFFF"/>
        </w:rPr>
        <w:t>报告范本</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仿宋_GB2312" w:cs="Times New Roman"/>
          <w:sz w:val="32"/>
          <w:szCs w:val="32"/>
          <w:highlight w:val="none"/>
          <w:shd w:val="clear" w:color="auto" w:fill="FFFFFF"/>
        </w:rPr>
      </w:pPr>
      <w:r>
        <w:rPr>
          <w:rFonts w:hint="default" w:ascii="Times New Roman" w:hAnsi="Times New Roman" w:eastAsia="仿宋_GB2312" w:cs="Times New Roman"/>
          <w:sz w:val="32"/>
          <w:szCs w:val="32"/>
          <w:highlight w:val="none"/>
          <w:shd w:val="clear" w:color="auto" w:fill="FFFFFF"/>
        </w:rPr>
        <w:t>（报告范围包括机关和下属单位）</w:t>
      </w:r>
    </w:p>
    <w:p>
      <w:pPr>
        <w:keepNext w:val="0"/>
        <w:keepLines w:val="0"/>
        <w:pageBreakBefore w:val="0"/>
        <w:widowControl/>
        <w:kinsoku/>
        <w:wordWrap/>
        <w:overflowPunct/>
        <w:topLinePunct w:val="0"/>
        <w:autoSpaceDE/>
        <w:autoSpaceDN/>
        <w:bidi w:val="0"/>
        <w:adjustRightInd w:val="0"/>
        <w:snapToGrid w:val="0"/>
        <w:spacing w:line="578" w:lineRule="exact"/>
        <w:ind w:firstLine="48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cs="Times New Roman"/>
          <w:szCs w:val="32"/>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r>
        <w:rPr>
          <w:rFonts w:hint="eastAsia" w:ascii="Times New Roman" w:hAnsi="Times New Roman" w:eastAsia="仿宋_GB2312" w:cs="仿宋_GB2312"/>
          <w:color w:val="auto"/>
          <w:kern w:val="2"/>
          <w:sz w:val="32"/>
          <w:szCs w:val="32"/>
          <w:highlight w:val="none"/>
          <w:lang w:val="en-US" w:eastAsia="zh-CN" w:bidi="ar-SA"/>
        </w:rPr>
        <w:t>***内设</w:t>
      </w:r>
      <w:r>
        <w:rPr>
          <w:rFonts w:hint="default" w:ascii="Times New Roman" w:hAnsi="Times New Roman" w:eastAsia="仿宋_GB2312" w:cs="仿宋_GB2312"/>
          <w:color w:val="auto"/>
          <w:kern w:val="2"/>
          <w:sz w:val="32"/>
          <w:szCs w:val="32"/>
          <w:highlight w:val="none"/>
          <w:lang w:val="en-US" w:eastAsia="zh-CN" w:bidi="ar-SA"/>
        </w:rPr>
        <w:t>处室</w:t>
      </w:r>
      <w:r>
        <w:rPr>
          <w:rFonts w:hint="eastAsia" w:ascii="Times New Roman" w:hAnsi="Times New Roman" w:eastAsia="仿宋_GB2312" w:cs="仿宋_GB2312"/>
          <w:color w:val="auto"/>
          <w:kern w:val="2"/>
          <w:sz w:val="32"/>
          <w:szCs w:val="32"/>
          <w:highlight w:val="none"/>
          <w:lang w:val="en-US" w:eastAsia="zh-CN" w:bidi="ar-SA"/>
        </w:rPr>
        <w:t>及下属单位情况</w:t>
      </w:r>
      <w:r>
        <w:rPr>
          <w:rFonts w:hint="default" w:ascii="Times New Roman" w:hAnsi="Times New Roman" w:eastAsia="仿宋_GB2312" w:cs="仿宋_GB2312"/>
          <w:color w:val="auto"/>
          <w:kern w:val="2"/>
          <w:sz w:val="32"/>
          <w:szCs w:val="32"/>
          <w:highlight w:val="none"/>
          <w:lang w:val="en-US" w:eastAsia="zh-CN" w:bidi="ar-SA"/>
        </w:rPr>
        <w:t>。</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楷体_GB2312"/>
          <w:b/>
          <w:color w:val="auto"/>
          <w:sz w:val="32"/>
          <w:szCs w:val="32"/>
          <w:highlight w:val="none"/>
          <w:lang w:val="zh-CN"/>
        </w:rPr>
        <w:t>（二）机构职能</w:t>
      </w:r>
      <w:r>
        <w:rPr>
          <w:rFonts w:hint="eastAsia" w:ascii="Times New Roman" w:hAnsi="Times New Roman" w:eastAsia="楷体_GB2312" w:cs="楷体_GB2312"/>
          <w:b/>
          <w:color w:val="auto"/>
          <w:sz w:val="32"/>
          <w:szCs w:val="32"/>
          <w:highlight w:val="none"/>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职责和功能。</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cs="Times New Roman"/>
          <w:szCs w:val="32"/>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default" w:ascii="Times New Roman" w:hAnsi="Times New Roman" w:eastAsia="仿宋_GB2312" w:cs="Times New Roman"/>
          <w:sz w:val="32"/>
          <w:szCs w:val="32"/>
          <w:lang w:val="en-US" w:eastAsia="zh-CN"/>
        </w:rPr>
        <w:t>截至</w:t>
      </w:r>
      <w:r>
        <w:rPr>
          <w:rFonts w:hint="eastAsia" w:eastAsia="仿宋_GB2312" w:cs="Times New Roman"/>
          <w:sz w:val="32"/>
          <w:szCs w:val="32"/>
          <w:lang w:val="en-US" w:eastAsia="zh-CN"/>
        </w:rPr>
        <w:t>2025</w:t>
      </w:r>
      <w:r>
        <w:rPr>
          <w:rFonts w:hint="default" w:ascii="Times New Roman" w:hAnsi="Times New Roman" w:eastAsia="仿宋_GB2312" w:cs="Times New Roman"/>
          <w:sz w:val="32"/>
          <w:szCs w:val="32"/>
          <w:lang w:val="en-US" w:eastAsia="zh-CN"/>
        </w:rPr>
        <w:t>年末，</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Times New Roman"/>
          <w:sz w:val="32"/>
          <w:szCs w:val="32"/>
          <w:lang w:val="en-US" w:eastAsia="zh-CN"/>
        </w:rPr>
        <w:t>及下属单位编制</w:t>
      </w:r>
      <w:r>
        <w:rPr>
          <w:rFonts w:hint="eastAsia" w:ascii="Times New Roman" w:hAnsi="Times New Roman" w:eastAsia="仿宋_GB2312" w:cs="Times New Roman"/>
          <w:sz w:val="32"/>
          <w:szCs w:val="32"/>
          <w:lang w:val="en-US" w:eastAsia="zh-CN"/>
        </w:rPr>
        <w:t>情况、</w:t>
      </w:r>
      <w:r>
        <w:rPr>
          <w:rFonts w:hint="default" w:ascii="Times New Roman" w:hAnsi="Times New Roman" w:eastAsia="仿宋_GB2312" w:cs="Times New Roman"/>
          <w:sz w:val="32"/>
          <w:szCs w:val="32"/>
          <w:lang w:val="en-US" w:eastAsia="zh-CN"/>
        </w:rPr>
        <w:t>年末实有人数</w:t>
      </w:r>
      <w:r>
        <w:rPr>
          <w:rFonts w:hint="eastAsia" w:ascii="Times New Roman" w:hAnsi="Times New Roman" w:eastAsia="仿宋_GB2312" w:cs="Times New Roman"/>
          <w:sz w:val="32"/>
          <w:szCs w:val="32"/>
          <w:lang w:val="en-US" w:eastAsia="zh-CN"/>
        </w:rPr>
        <w:t>情况。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en-US"/>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Times New Roman"/>
          <w:sz w:val="32"/>
          <w:szCs w:val="32"/>
          <w:lang w:val="en-US" w:eastAsia="zh-CN"/>
        </w:rPr>
        <w:t>2025</w:t>
      </w:r>
      <w:r>
        <w:rPr>
          <w:rFonts w:hint="eastAsia" w:ascii="Times New Roman" w:hAnsi="Times New Roman" w:eastAsia="仿宋_GB2312" w:cs="Times New Roman"/>
          <w:sz w:val="32"/>
          <w:szCs w:val="32"/>
          <w:lang w:val="en-US" w:eastAsia="zh-CN"/>
        </w:rPr>
        <w:t>年年初预算收入情况、决算报表收入情况。</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cs="Times New Roman"/>
          <w:szCs w:val="32"/>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Times New Roman"/>
          <w:sz w:val="32"/>
          <w:szCs w:val="32"/>
          <w:lang w:val="en-US" w:eastAsia="zh-CN"/>
        </w:rPr>
        <w:t>2025</w:t>
      </w:r>
      <w:r>
        <w:rPr>
          <w:rFonts w:hint="eastAsia" w:ascii="Times New Roman" w:hAnsi="Times New Roman" w:eastAsia="仿宋_GB2312" w:cs="Times New Roman"/>
          <w:sz w:val="32"/>
          <w:szCs w:val="32"/>
          <w:lang w:val="en-US" w:eastAsia="zh-CN"/>
        </w:rPr>
        <w:t>年年初预算支出情况、决算报表支出情况。</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Times New Roman"/>
          <w:sz w:val="32"/>
          <w:szCs w:val="32"/>
          <w:lang w:val="en-US" w:eastAsia="zh-CN"/>
        </w:rPr>
        <w:t>2025</w:t>
      </w:r>
      <w:r>
        <w:rPr>
          <w:rFonts w:hint="eastAsia" w:ascii="Times New Roman" w:hAnsi="Times New Roman" w:eastAsia="仿宋_GB2312" w:cs="Times New Roman"/>
          <w:sz w:val="32"/>
          <w:szCs w:val="32"/>
          <w:lang w:val="en-US" w:eastAsia="zh-CN"/>
        </w:rPr>
        <w:t>年决算报表</w:t>
      </w:r>
      <w:r>
        <w:rPr>
          <w:rFonts w:hint="default" w:ascii="Times New Roman" w:hAnsi="Times New Roman" w:eastAsia="仿宋_GB2312" w:cs="Times New Roman"/>
          <w:sz w:val="32"/>
          <w:szCs w:val="32"/>
          <w:lang w:val="en-US" w:eastAsia="zh-CN"/>
        </w:rPr>
        <w:t>结转结余</w:t>
      </w:r>
      <w:r>
        <w:rPr>
          <w:rFonts w:hint="eastAsia" w:ascii="Times New Roman" w:hAnsi="Times New Roman" w:eastAsia="仿宋_GB2312" w:cs="Times New Roman"/>
          <w:sz w:val="32"/>
          <w:szCs w:val="32"/>
          <w:lang w:val="en-US" w:eastAsia="zh-CN"/>
        </w:rPr>
        <w:t>情况</w:t>
      </w:r>
      <w:r>
        <w:rPr>
          <w:rFonts w:hint="default" w:ascii="Times New Roman" w:hAnsi="Times New Roman" w:eastAsia="仿宋_GB2312" w:cs="Times New Roman"/>
          <w:sz w:val="32"/>
          <w:szCs w:val="32"/>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总体绩效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，依次包括履职效能、预算管理、财务管理、资产管理、采购管理等情况。</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履职效能。部门整体绩效目标中选定3-5个核心职能目标，对职能目标完成效果情况绩效分析。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预算管理</w:t>
      </w:r>
      <w:r>
        <w:rPr>
          <w:rFonts w:hint="eastAsia" w:ascii="Times New Roman" w:hAnsi="Times New Roman" w:eastAsia="仿宋_GB2312" w:cs="仿宋_GB2312"/>
          <w:color w:val="auto"/>
          <w:kern w:val="2"/>
          <w:sz w:val="32"/>
          <w:szCs w:val="32"/>
          <w:highlight w:val="none"/>
          <w:lang w:val="zh-CN" w:eastAsia="zh-CN" w:bidi="ar-SA"/>
        </w:rPr>
        <w:t>。围绕预算编制质量、单位收入统筹、支出执行进度、预算年终结余、严控一般性支出</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default" w:ascii="Times New Roman" w:hAnsi="Times New Roman" w:eastAsia="仿宋_GB2312" w:cs="仿宋_GB2312"/>
          <w:color w:val="auto"/>
          <w:kern w:val="2"/>
          <w:sz w:val="32"/>
          <w:szCs w:val="32"/>
          <w:highlight w:val="none"/>
          <w:lang w:val="zh-CN" w:eastAsia="zh-CN" w:bidi="ar-SA"/>
        </w:rPr>
        <w:t>财务管理</w:t>
      </w:r>
      <w:r>
        <w:rPr>
          <w:rFonts w:hint="eastAsia" w:ascii="Times New Roman" w:hAnsi="Times New Roman" w:eastAsia="仿宋_GB2312" w:cs="仿宋_GB2312"/>
          <w:color w:val="auto"/>
          <w:kern w:val="2"/>
          <w:sz w:val="32"/>
          <w:szCs w:val="32"/>
          <w:highlight w:val="none"/>
          <w:lang w:val="zh-CN" w:eastAsia="zh-CN" w:bidi="ar-SA"/>
        </w:rPr>
        <w:t>。围绕财务管理制度、财务岗位设置、资金使用规范</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4.</w:t>
      </w:r>
      <w:r>
        <w:rPr>
          <w:rFonts w:hint="default" w:ascii="Times New Roman" w:hAnsi="Times New Roman" w:eastAsia="仿宋_GB2312" w:cs="仿宋_GB2312"/>
          <w:color w:val="auto"/>
          <w:kern w:val="2"/>
          <w:sz w:val="32"/>
          <w:szCs w:val="32"/>
          <w:highlight w:val="none"/>
          <w:lang w:val="zh-CN" w:eastAsia="zh-CN" w:bidi="ar-SA"/>
        </w:rPr>
        <w:t>资产管理</w:t>
      </w:r>
      <w:r>
        <w:rPr>
          <w:rFonts w:hint="eastAsia" w:ascii="Times New Roman" w:hAnsi="Times New Roman" w:eastAsia="仿宋_GB2312" w:cs="仿宋_GB2312"/>
          <w:color w:val="auto"/>
          <w:kern w:val="2"/>
          <w:sz w:val="32"/>
          <w:szCs w:val="32"/>
          <w:highlight w:val="none"/>
          <w:lang w:val="zh-CN" w:eastAsia="zh-CN" w:bidi="ar-SA"/>
        </w:rPr>
        <w:t>。围绕人均资产变化率、资产利用率、资产盘活率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5.</w:t>
      </w:r>
      <w:r>
        <w:rPr>
          <w:rFonts w:hint="default" w:ascii="Times New Roman" w:hAnsi="Times New Roman" w:eastAsia="仿宋_GB2312" w:cs="仿宋_GB2312"/>
          <w:color w:val="auto"/>
          <w:kern w:val="2"/>
          <w:sz w:val="32"/>
          <w:szCs w:val="32"/>
          <w:highlight w:val="none"/>
          <w:lang w:val="zh-CN" w:eastAsia="zh-CN" w:bidi="ar-SA"/>
        </w:rPr>
        <w:t>采购管理</w:t>
      </w:r>
      <w:r>
        <w:rPr>
          <w:rFonts w:hint="eastAsia" w:ascii="Times New Roman" w:hAnsi="Times New Roman" w:eastAsia="仿宋_GB2312" w:cs="仿宋_GB2312"/>
          <w:color w:val="auto"/>
          <w:kern w:val="2"/>
          <w:sz w:val="32"/>
          <w:szCs w:val="32"/>
          <w:highlight w:val="none"/>
          <w:lang w:val="zh-CN" w:eastAsia="zh-CN" w:bidi="ar-SA"/>
        </w:rPr>
        <w:t>。围绕支持中小企业发展、采购执行率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r>
        <w:rPr>
          <w:rFonts w:hint="eastAsia" w:ascii="Times New Roman" w:hAnsi="Times New Roman" w:eastAsia="仿宋_GB2312" w:cs="仿宋_GB2312"/>
          <w:color w:val="auto"/>
          <w:kern w:val="2"/>
          <w:sz w:val="32"/>
          <w:szCs w:val="32"/>
          <w:highlight w:val="none"/>
          <w:lang w:val="zh-CN" w:eastAsia="zh-CN" w:bidi="ar-SA"/>
        </w:rPr>
        <w:t>填报以下数据，并</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项目绩效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，依次包括项目</w:t>
      </w:r>
      <w:r>
        <w:rPr>
          <w:rFonts w:hint="default" w:ascii="Times New Roman" w:hAnsi="Times New Roman" w:eastAsia="仿宋_GB2312" w:cs="仿宋_GB2312"/>
          <w:color w:val="auto"/>
          <w:kern w:val="2"/>
          <w:sz w:val="32"/>
          <w:szCs w:val="32"/>
          <w:highlight w:val="none"/>
          <w:lang w:val="en-US" w:eastAsia="zh-CN" w:bidi="ar-SA"/>
        </w:rPr>
        <w:t>决策、项目执行、目标实现等情况</w:t>
      </w:r>
      <w:r>
        <w:rPr>
          <w:rFonts w:hint="eastAsia" w:ascii="Times New Roman" w:hAnsi="Times New Roman" w:eastAsia="仿宋_GB2312" w:cs="仿宋_GB2312"/>
          <w:color w:val="auto"/>
          <w:kern w:val="2"/>
          <w:sz w:val="32"/>
          <w:szCs w:val="32"/>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常年项目绩效分析。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阶段</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一次性</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项目决策。围绕决策程序、目标设置、项目入库</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2.项目执行</w:t>
      </w:r>
      <w:r>
        <w:rPr>
          <w:rFonts w:hint="eastAsia" w:ascii="Times New Roman" w:hAnsi="Times New Roman" w:eastAsia="仿宋_GB2312" w:cs="仿宋_GB2312"/>
          <w:color w:val="auto"/>
          <w:kern w:val="2"/>
          <w:sz w:val="32"/>
          <w:szCs w:val="32"/>
          <w:highlight w:val="none"/>
          <w:lang w:val="zh-CN" w:eastAsia="zh-CN" w:bidi="ar-SA"/>
        </w:rPr>
        <w:t>。围绕资金执行同向、项目调整、执行结果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zh-CN" w:eastAsia="zh-CN" w:bidi="ar-SA"/>
        </w:rPr>
        <w:t>目标实现。围绕目标完成、目标偏离、实现效果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pPr>
        <w:keepNext w:val="0"/>
        <w:keepLines w:val="0"/>
        <w:pageBreakBefore w:val="0"/>
        <w:widowControl w:val="0"/>
        <w:kinsoku/>
        <w:wordWrap/>
        <w:overflowPunct/>
        <w:topLinePunct w:val="0"/>
        <w:autoSpaceDE/>
        <w:autoSpaceDN/>
        <w:bidi w:val="0"/>
        <w:snapToGrid w:val="0"/>
        <w:spacing w:line="600" w:lineRule="exact"/>
        <w:ind w:firstLine="640" w:firstLineChars="200"/>
        <w:textAlignment w:val="auto"/>
        <w:rPr>
          <w:rFonts w:hint="eastAsia"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省级部门对</w:t>
      </w:r>
      <w:r>
        <w:rPr>
          <w:rFonts w:hint="eastAsia" w:eastAsia="仿宋_GB2312" w:cs="Times New Roman"/>
          <w:sz w:val="32"/>
          <w:szCs w:val="32"/>
          <w:highlight w:val="none"/>
          <w:lang w:val="en-US" w:eastAsia="zh-CN"/>
        </w:rPr>
        <w:t>2025</w:t>
      </w:r>
      <w:r>
        <w:rPr>
          <w:rFonts w:hint="default" w:ascii="Times New Roman" w:hAnsi="Times New Roman" w:eastAsia="仿宋_GB2312" w:cs="Times New Roman"/>
          <w:sz w:val="32"/>
          <w:szCs w:val="32"/>
          <w:highlight w:val="none"/>
          <w:lang w:val="en-US" w:eastAsia="zh-CN"/>
        </w:rPr>
        <w:t>年度一般公共预算、政府性基金预算、国有资本经营预算安排的常年项目、阶段项目绩效目标完成情况，以及债券资金、政府购买服务有关情况进行梳理阐述</w:t>
      </w:r>
      <w:r>
        <w:rPr>
          <w:rFonts w:hint="eastAsia" w:ascii="Times New Roman" w:hAnsi="Times New Roman" w:eastAsia="仿宋_GB2312" w:cs="Times New Roman"/>
          <w:sz w:val="32"/>
          <w:szCs w:val="32"/>
          <w:highlight w:val="none"/>
          <w:lang w:val="en-US" w:eastAsia="zh-CN"/>
        </w:rPr>
        <w:t>。</w:t>
      </w:r>
    </w:p>
    <w:p>
      <w:pPr>
        <w:keepNext w:val="0"/>
        <w:keepLines w:val="0"/>
        <w:pageBreakBefore w:val="0"/>
        <w:widowControl w:val="0"/>
        <w:kinsoku/>
        <w:wordWrap/>
        <w:overflowPunct/>
        <w:topLinePunct w:val="0"/>
        <w:autoSpaceDE/>
        <w:autoSpaceDN/>
        <w:bidi w:val="0"/>
        <w:snapToGrid w:val="0"/>
        <w:spacing w:line="600" w:lineRule="exact"/>
        <w:ind w:firstLine="643" w:firstLineChars="200"/>
        <w:textAlignment w:val="auto"/>
        <w:rPr>
          <w:rFonts w:hint="default" w:ascii="Times New Roman" w:hAnsi="Times New Roman" w:eastAsia="仿宋_GB2312" w:cs="Times New Roman"/>
          <w:sz w:val="32"/>
          <w:szCs w:val="32"/>
          <w:highlight w:val="none"/>
          <w:u w:val="none"/>
          <w:lang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eastAsia="楷体_GB2312" w:cs="Times New Roman"/>
          <w:b/>
          <w:bCs/>
          <w:color w:val="000000"/>
          <w:kern w:val="0"/>
          <w:sz w:val="32"/>
          <w:szCs w:val="32"/>
          <w:highlight w:val="none"/>
          <w:shd w:val="clear" w:color="auto" w:fill="FFFFFF"/>
          <w:lang w:val="en-US" w:eastAsia="zh-CN"/>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Times New Roman"/>
          <w:sz w:val="32"/>
          <w:szCs w:val="32"/>
          <w:highlight w:val="none"/>
          <w:u w:val="none"/>
          <w:lang w:val="zh-CN" w:eastAsia="zh-CN" w:bidi="ar"/>
        </w:rPr>
        <w:t>围绕内部应用情况、</w:t>
      </w:r>
      <w:r>
        <w:rPr>
          <w:rFonts w:hint="default" w:ascii="Times New Roman" w:hAnsi="Times New Roman" w:eastAsia="仿宋_GB2312" w:cs="Times New Roman"/>
          <w:sz w:val="32"/>
          <w:szCs w:val="32"/>
          <w:highlight w:val="none"/>
          <w:u w:val="none"/>
          <w:lang w:val="zh-CN" w:eastAsia="zh-CN" w:bidi="ar"/>
        </w:rPr>
        <w:t>信息公开情况</w:t>
      </w:r>
      <w:r>
        <w:rPr>
          <w:rFonts w:hint="eastAsia" w:ascii="Times New Roman" w:hAnsi="Times New Roman" w:eastAsia="仿宋_GB2312" w:cs="Times New Roman"/>
          <w:sz w:val="32"/>
          <w:szCs w:val="32"/>
          <w:highlight w:val="none"/>
          <w:u w:val="none"/>
          <w:lang w:val="zh-CN" w:eastAsia="zh-CN" w:bidi="ar"/>
        </w:rPr>
        <w:t>、</w:t>
      </w:r>
      <w:r>
        <w:rPr>
          <w:rFonts w:hint="default" w:ascii="Times New Roman" w:hAnsi="Times New Roman" w:eastAsia="仿宋_GB2312" w:cs="Times New Roman"/>
          <w:sz w:val="32"/>
          <w:szCs w:val="32"/>
          <w:highlight w:val="none"/>
          <w:u w:val="none"/>
          <w:lang w:val="zh-CN" w:eastAsia="zh-CN" w:bidi="ar"/>
        </w:rPr>
        <w:t>整改反馈情况</w:t>
      </w:r>
      <w:r>
        <w:rPr>
          <w:rFonts w:hint="eastAsia" w:ascii="Times New Roman" w:hAnsi="Times New Roman" w:eastAsia="仿宋_GB2312" w:cs="Times New Roman"/>
          <w:sz w:val="32"/>
          <w:szCs w:val="32"/>
          <w:highlight w:val="none"/>
          <w:u w:val="none"/>
          <w:lang w:val="zh-CN" w:eastAsia="zh-CN" w:bidi="ar"/>
        </w:rPr>
        <w:t>进行分析。</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r>
        <w:rPr>
          <w:rFonts w:hint="eastAsia" w:ascii="Times New Roman" w:hAnsi="Times New Roman" w:eastAsia="仿宋_GB2312" w:cs="Times New Roman"/>
          <w:sz w:val="32"/>
          <w:szCs w:val="32"/>
          <w:u w:val="none"/>
          <w:lang w:val="en-US" w:eastAsia="zh-CN" w:bidi="ar"/>
        </w:rPr>
        <w:t>简要阐述部门预算绩效自评总体结论，其中必须包含自评得分。</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（二）存在问题。</w:t>
      </w:r>
      <w:r>
        <w:rPr>
          <w:rFonts w:hint="eastAsia" w:ascii="Times New Roman" w:hAnsi="Times New Roman" w:eastAsia="仿宋_GB2312" w:cs="Times New Roman"/>
          <w:sz w:val="32"/>
          <w:szCs w:val="32"/>
          <w:u w:val="none"/>
          <w:lang w:val="en-US" w:eastAsia="zh-CN" w:bidi="ar"/>
        </w:rPr>
        <w:t>简要阐述部门预算绩效自评发现的主要问题。</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u w:val="none"/>
          <w:lang w:val="en"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（三）改进建议。</w:t>
      </w:r>
      <w:r>
        <w:rPr>
          <w:rFonts w:hint="eastAsia" w:ascii="Times New Roman" w:hAnsi="Times New Roman" w:eastAsia="仿宋_GB2312" w:cs="Times New Roman"/>
          <w:sz w:val="32"/>
          <w:szCs w:val="32"/>
          <w:u w:val="none"/>
          <w:lang w:val="en-US" w:eastAsia="zh-CN" w:bidi="ar"/>
        </w:rPr>
        <w:t>简要阐述</w:t>
      </w:r>
      <w:bookmarkStart w:id="46" w:name="_Hlk110546638"/>
      <w:r>
        <w:rPr>
          <w:rFonts w:hint="eastAsia" w:ascii="Times New Roman" w:hAnsi="Times New Roman" w:eastAsia="仿宋_GB2312" w:cs="Times New Roman"/>
          <w:sz w:val="32"/>
          <w:szCs w:val="32"/>
          <w:u w:val="none"/>
          <w:lang w:val="en" w:eastAsia="zh-CN" w:bidi="ar"/>
        </w:rPr>
        <w:t>预算安排、完善政策、改进管理等方面的</w:t>
      </w:r>
      <w:r>
        <w:rPr>
          <w:rFonts w:hint="eastAsia" w:ascii="Times New Roman" w:hAnsi="Times New Roman" w:eastAsia="仿宋_GB2312" w:cs="Times New Roman"/>
          <w:sz w:val="32"/>
          <w:szCs w:val="32"/>
          <w:u w:val="none"/>
          <w:lang w:val="en-US" w:eastAsia="zh-CN" w:bidi="ar"/>
        </w:rPr>
        <w:t>措施</w:t>
      </w:r>
      <w:r>
        <w:rPr>
          <w:rFonts w:hint="eastAsia" w:ascii="Times New Roman" w:hAnsi="Times New Roman" w:eastAsia="仿宋_GB2312" w:cs="Times New Roman"/>
          <w:sz w:val="32"/>
          <w:szCs w:val="32"/>
          <w:u w:val="none"/>
          <w:lang w:val="en" w:eastAsia="zh-CN" w:bidi="ar"/>
        </w:rPr>
        <w:t>建议，其中</w:t>
      </w:r>
      <w:r>
        <w:rPr>
          <w:rFonts w:hint="eastAsia" w:ascii="Times New Roman" w:hAnsi="Times New Roman" w:eastAsia="仿宋_GB2312" w:cs="Times New Roman"/>
          <w:sz w:val="32"/>
          <w:szCs w:val="32"/>
          <w:u w:val="none"/>
          <w:lang w:val="en-US" w:eastAsia="zh-CN" w:bidi="ar"/>
        </w:rPr>
        <w:t>必须对应评价发现的主要问题一一提出措施建议。</w:t>
      </w:r>
    </w:p>
    <w:bookmarkEnd w:id="46"/>
    <w:p>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w:t>
      </w:r>
      <w:r>
        <w:rPr>
          <w:rFonts w:hint="eastAsia" w:ascii="Times New Roman" w:hAnsi="Times New Roman" w:eastAsia="仿宋_GB2312" w:cs="Times New Roman"/>
          <w:kern w:val="2"/>
          <w:sz w:val="32"/>
          <w:szCs w:val="32"/>
          <w:u w:val="none"/>
          <w:lang w:val="en-US" w:eastAsia="zh-CN" w:bidi="ar"/>
        </w:rPr>
        <w:t>年度）</w:t>
      </w:r>
    </w:p>
    <w:p>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（注：按照绩效自评工作安排，各部门已在预算管理一体化系统绩效自评模块上传“部门预算项目支出绩效自评表（</w:t>
      </w:r>
      <w:r>
        <w:rPr>
          <w:rFonts w:hint="eastAsia" w:ascii="Times New Roman" w:eastAsia="仿宋_GB2312" w:cs="仿宋_GB2312"/>
          <w:b w:val="0"/>
          <w:bCs w:val="0"/>
          <w:kern w:val="0"/>
          <w:position w:val="0"/>
          <w:sz w:val="32"/>
          <w:szCs w:val="32"/>
          <w:highlight w:val="none"/>
          <w:lang w:val="en-US" w:eastAsia="zh-CN" w:bidi="ar-SA"/>
        </w:rPr>
        <w:t>2025</w:t>
      </w:r>
      <w:r>
        <w:rPr>
          <w:rFonts w:hint="eastAsia" w:ascii="Times New Roman" w:hAnsi="Times New Roman" w:eastAsia="仿宋_GB2312" w:cs="仿宋_GB2312"/>
          <w:b w:val="0"/>
          <w:bCs w:val="0"/>
          <w:kern w:val="0"/>
          <w:position w:val="0"/>
          <w:sz w:val="32"/>
          <w:szCs w:val="32"/>
          <w:highlight w:val="none"/>
          <w:lang w:val="en-US" w:eastAsia="zh-CN" w:bidi="ar-SA"/>
        </w:rPr>
        <w:t>年度）”，该表格应作为附表予以公开）</w:t>
      </w:r>
    </w:p>
    <w:p>
      <w:pPr>
        <w:pStyle w:val="7"/>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pPr>
        <w:pStyle w:val="2"/>
        <w:rPr>
          <w:rFonts w:hint="eastAsia" w:ascii="Times New Roman" w:hAnsi="Times New Roman" w:cs="宋体"/>
          <w:color w:val="FF0000"/>
          <w:kern w:val="0"/>
          <w:sz w:val="32"/>
          <w:szCs w:val="32"/>
          <w:highlight w:val="yellow"/>
          <w:shd w:val="clear" w:color="auto" w:fill="FFFFFF"/>
          <w:lang w:val="zh-CN"/>
        </w:rPr>
      </w:pPr>
    </w:p>
    <w:p>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pPr>
        <w:pStyle w:val="2"/>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pPr>
        <w:pStyle w:val="3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pPr>
        <w:pStyle w:val="3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r>
        <w:rPr>
          <w:rFonts w:hint="eastAsia" w:ascii="Times New Roman" w:hAnsi="Times New Roman" w:eastAsia="方正小标宋简体" w:cs="方正小标宋简体"/>
          <w:color w:val="auto"/>
          <w:kern w:val="2"/>
          <w:sz w:val="44"/>
          <w:szCs w:val="44"/>
          <w:highlight w:val="none"/>
          <w:lang w:val="en-US" w:eastAsia="zh-CN"/>
        </w:rPr>
        <w:t>专项预算项目绩效评价报告范本</w:t>
      </w:r>
    </w:p>
    <w:p>
      <w:pPr>
        <w:pStyle w:val="34"/>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Times New Roman" w:hAnsi="Times New Roman"/>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eastAsia="黑体"/>
          <w:sz w:val="32"/>
          <w:szCs w:val="32"/>
          <w:highlight w:val="none"/>
          <w:lang w:val="zh-CN"/>
        </w:rPr>
      </w:pPr>
      <w:r>
        <w:rPr>
          <w:rFonts w:hint="eastAsia" w:ascii="Times New Roman" w:hAnsi="Times New Roman" w:eastAsia="黑体"/>
          <w:sz w:val="32"/>
          <w:szCs w:val="32"/>
          <w:highlight w:val="none"/>
        </w:rPr>
        <w:t>一、</w:t>
      </w:r>
      <w:r>
        <w:rPr>
          <w:rFonts w:hint="eastAsia" w:ascii="Times New Roman" w:hAnsi="Times New Roman" w:eastAsia="黑体"/>
          <w:sz w:val="32"/>
          <w:szCs w:val="32"/>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Times New Roman" w:hAnsi="Times New Roman" w:eastAsia="仿宋_GB2312" w:cs="仿宋_GB2312"/>
          <w:color w:val="auto"/>
          <w:kern w:val="0"/>
          <w:sz w:val="32"/>
          <w:szCs w:val="32"/>
          <w:highlight w:val="none"/>
          <w:u w:val="none"/>
          <w:shd w:val="clear" w:color="auto" w:fill="FFFFFF"/>
          <w:lang w:val="zh-CN"/>
        </w:rPr>
      </w:pPr>
      <w:r>
        <w:rPr>
          <w:rFonts w:hint="eastAsia" w:ascii="Times New Roman" w:hAnsi="Times New Roman" w:eastAsia="楷体_GB2312"/>
          <w:b/>
          <w:color w:val="auto"/>
          <w:sz w:val="32"/>
          <w:szCs w:val="32"/>
          <w:highlight w:val="none"/>
          <w:u w:val="none"/>
          <w:lang w:val="zh-CN"/>
        </w:rPr>
        <w:t>（一）设立背景及基本情况。</w:t>
      </w:r>
      <w:r>
        <w:rPr>
          <w:rFonts w:hint="eastAsia" w:ascii="Times New Roman" w:hAnsi="Times New Roman" w:eastAsia="仿宋_GB2312" w:cs="仿宋_GB2312"/>
          <w:b w:val="0"/>
          <w:bCs w:val="0"/>
          <w:kern w:val="0"/>
          <w:position w:val="0"/>
          <w:sz w:val="32"/>
          <w:szCs w:val="32"/>
          <w:highlight w:val="none"/>
          <w:lang w:val="en-US" w:eastAsia="zh-CN" w:bidi="ar-SA"/>
        </w:rPr>
        <w:t>项目设立原因及背景，</w:t>
      </w:r>
      <w:r>
        <w:rPr>
          <w:rFonts w:hint="eastAsia" w:ascii="Times New Roman" w:hAnsi="Times New Roman" w:eastAsia="仿宋_GB2312" w:cs="仿宋_GB2312"/>
          <w:b w:val="0"/>
          <w:bCs w:val="0"/>
          <w:kern w:val="0"/>
          <w:position w:val="0"/>
          <w:sz w:val="32"/>
          <w:szCs w:val="32"/>
          <w:highlight w:val="none"/>
          <w:lang w:val="zh-CN" w:eastAsia="zh-CN" w:bidi="ar-SA"/>
        </w:rPr>
        <w:t>项目立项、资金申报的依据，项目主要内容</w:t>
      </w:r>
      <w:r>
        <w:rPr>
          <w:rFonts w:hint="eastAsia" w:ascii="Times New Roman" w:hAnsi="Times New Roman" w:eastAsia="仿宋_GB2312" w:cs="仿宋_GB2312"/>
          <w:b w:val="0"/>
          <w:bCs w:val="0"/>
          <w:kern w:val="0"/>
          <w:position w:val="0"/>
          <w:sz w:val="32"/>
          <w:szCs w:val="32"/>
          <w:highlight w:val="none"/>
          <w:lang w:val="en-US" w:eastAsia="zh-CN" w:bidi="ar-SA"/>
        </w:rPr>
        <w:t>。</w:t>
      </w:r>
      <w:r>
        <w:rPr>
          <w:rFonts w:hint="eastAsia" w:ascii="Times New Roman" w:hAnsi="Times New Roman" w:eastAsia="仿宋_GB2312" w:cs="仿宋_GB2312"/>
          <w:b w:val="0"/>
          <w:bCs w:val="0"/>
          <w:kern w:val="0"/>
          <w:position w:val="0"/>
          <w:sz w:val="32"/>
          <w:szCs w:val="32"/>
          <w:highlight w:val="none"/>
          <w:lang w:val="zh-CN" w:eastAsia="zh-CN" w:bidi="ar-SA"/>
        </w:rPr>
        <w:t>主管部门职能</w:t>
      </w:r>
      <w:r>
        <w:rPr>
          <w:rFonts w:hint="eastAsia" w:ascii="Times New Roman" w:hAnsi="Times New Roman" w:eastAsia="仿宋_GB2312" w:cs="仿宋_GB2312"/>
          <w:color w:val="auto"/>
          <w:kern w:val="0"/>
          <w:sz w:val="32"/>
          <w:szCs w:val="32"/>
          <w:highlight w:val="none"/>
          <w:u w:val="none"/>
          <w:shd w:val="clear" w:color="auto" w:fill="FFFFFF"/>
          <w:lang w:val="zh-CN"/>
        </w:rPr>
        <w:t>。</w:t>
      </w:r>
    </w:p>
    <w:p>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w:t>
      </w:r>
      <w:r>
        <w:rPr>
          <w:rFonts w:hint="eastAsia"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r>
        <w:rPr>
          <w:rFonts w:hint="eastAsia" w:ascii="Times New Roman" w:hAnsi="Times New Roman" w:eastAsia="楷体_GB2312" w:cs="Times New Roman"/>
          <w:b/>
          <w:color w:val="auto"/>
          <w:sz w:val="32"/>
          <w:szCs w:val="32"/>
          <w:highlight w:val="none"/>
          <w:u w:val="none"/>
          <w:lang w:val="en-US" w:eastAsia="zh-CN"/>
        </w:rPr>
        <w:t>。</w:t>
      </w:r>
      <w:r>
        <w:rPr>
          <w:rFonts w:hint="eastAsia" w:ascii="Times New Roman" w:hAnsi="Times New Roman" w:eastAsia="仿宋_GB2312" w:cs="仿宋_GB2312"/>
          <w:b w:val="0"/>
          <w:bCs w:val="0"/>
          <w:kern w:val="0"/>
          <w:position w:val="0"/>
          <w:sz w:val="32"/>
          <w:szCs w:val="32"/>
          <w:highlight w:val="none"/>
          <w:lang w:val="en-US" w:eastAsia="zh-CN" w:bidi="ar-SA"/>
        </w:rPr>
        <w:t>项目资金</w:t>
      </w:r>
      <w:r>
        <w:rPr>
          <w:rFonts w:hint="eastAsia" w:ascii="Times New Roman" w:hAnsi="Times New Roman" w:eastAsia="仿宋_GB2312" w:cs="仿宋_GB2312"/>
          <w:b w:val="0"/>
          <w:bCs w:val="0"/>
          <w:kern w:val="0"/>
          <w:position w:val="0"/>
          <w:sz w:val="32"/>
          <w:szCs w:val="32"/>
          <w:highlight w:val="none"/>
          <w:lang w:val="zh-CN" w:eastAsia="zh-CN" w:bidi="ar-SA"/>
        </w:rPr>
        <w:t>管理办法制定情况，项目实施目的和主要工作任务，项目支持方向。</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eastAsia" w:ascii="Times New Roman" w:hAnsi="Times New Roman" w:eastAsia="楷体_GB2312" w:cs="Times New Roman"/>
          <w:b/>
          <w:color w:val="auto"/>
          <w:sz w:val="32"/>
          <w:szCs w:val="32"/>
          <w:highlight w:val="none"/>
          <w:u w:val="none"/>
          <w:lang w:val="zh-CN" w:eastAsia="zh-CN"/>
        </w:rPr>
        <w:t>。</w:t>
      </w:r>
      <w:r>
        <w:rPr>
          <w:rFonts w:hint="eastAsia" w:ascii="Times New Roman" w:hAnsi="Times New Roman" w:eastAsia="仿宋_GB2312" w:cs="仿宋_GB2312"/>
          <w:b w:val="0"/>
          <w:bCs w:val="0"/>
          <w:kern w:val="0"/>
          <w:position w:val="0"/>
          <w:sz w:val="32"/>
          <w:szCs w:val="32"/>
          <w:highlight w:val="none"/>
          <w:lang w:val="zh-CN" w:eastAsia="zh-CN" w:bidi="ar-SA"/>
        </w:rPr>
        <w:t>项目预算安排情况，项目资金分配原则及考虑因素，项目资金分配情况。</w:t>
      </w:r>
    </w:p>
    <w:p>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（四）项目绩效目标设置。</w:t>
      </w:r>
      <w:r>
        <w:rPr>
          <w:rFonts w:hint="eastAsia" w:ascii="Times New Roman" w:hAnsi="Times New Roman" w:eastAsia="仿宋_GB2312" w:cs="仿宋_GB2312"/>
          <w:b w:val="0"/>
          <w:bCs w:val="0"/>
          <w:kern w:val="0"/>
          <w:position w:val="0"/>
          <w:sz w:val="32"/>
          <w:szCs w:val="32"/>
          <w:highlight w:val="none"/>
          <w:lang w:val="zh-CN" w:eastAsia="zh-CN" w:bidi="ar-SA"/>
        </w:rPr>
        <w:t>项目整体、区域和具体绩效目标设置情况，项目自评工作开展情况。</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Times New Roman" w:hAnsi="Times New Roman" w:eastAsia="黑体"/>
          <w:sz w:val="32"/>
          <w:szCs w:val="32"/>
          <w:highlight w:val="none"/>
          <w:lang w:eastAsia="zh-CN"/>
        </w:rPr>
      </w:pPr>
      <w:r>
        <w:rPr>
          <w:rFonts w:hint="eastAsia" w:ascii="Times New Roman" w:hAnsi="Times New Roman" w:eastAsia="黑体"/>
          <w:sz w:val="32"/>
          <w:szCs w:val="32"/>
          <w:highlight w:val="none"/>
        </w:rPr>
        <w:t>二、</w:t>
      </w:r>
      <w:r>
        <w:rPr>
          <w:rFonts w:hint="eastAsia" w:ascii="Times New Roman" w:hAnsi="Times New Roman" w:eastAsia="黑体"/>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（一）评价目的。</w:t>
      </w:r>
      <w:r>
        <w:rPr>
          <w:rFonts w:hint="eastAsia" w:ascii="Times New Roman" w:hAnsi="Times New Roman" w:eastAsia="仿宋_GB2312" w:cs="仿宋_GB2312"/>
          <w:b w:val="0"/>
          <w:bCs w:val="0"/>
          <w:kern w:val="0"/>
          <w:position w:val="0"/>
          <w:sz w:val="32"/>
          <w:szCs w:val="32"/>
          <w:highlight w:val="none"/>
          <w:lang w:val="zh-CN" w:eastAsia="zh-CN" w:bidi="ar-SA"/>
        </w:rPr>
        <w:t>通过项目绩效自评要实现的目的。</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（二）预设问题及评价重点。</w:t>
      </w:r>
      <w:r>
        <w:rPr>
          <w:rFonts w:hint="eastAsia" w:ascii="Times New Roman" w:hAnsi="Times New Roman" w:eastAsia="仿宋_GB2312" w:cs="仿宋_GB2312"/>
          <w:b w:val="0"/>
          <w:bCs w:val="0"/>
          <w:kern w:val="0"/>
          <w:position w:val="0"/>
          <w:sz w:val="32"/>
          <w:szCs w:val="32"/>
          <w:highlight w:val="none"/>
          <w:lang w:val="zh-CN" w:eastAsia="zh-CN" w:bidi="ar-SA"/>
        </w:rPr>
        <w:t>按照绩效评价指标体系，对资金支出使用全过程及其实施效果进行综合评价和判断。</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楷体_GB2312"/>
          <w:b/>
          <w:color w:val="auto"/>
          <w:sz w:val="32"/>
          <w:szCs w:val="32"/>
          <w:highlight w:val="none"/>
          <w:u w:val="none"/>
          <w:lang w:val="zh-CN"/>
        </w:rPr>
      </w:pPr>
      <w:r>
        <w:rPr>
          <w:rFonts w:hint="eastAsia" w:ascii="Times New Roman" w:hAnsi="Times New Roman" w:eastAsia="楷体_GB2312"/>
          <w:b/>
          <w:color w:val="auto"/>
          <w:sz w:val="32"/>
          <w:szCs w:val="32"/>
          <w:highlight w:val="none"/>
          <w:u w:val="none"/>
          <w:lang w:val="zh-CN"/>
        </w:rPr>
        <w:t>（三）评价选点。</w:t>
      </w:r>
      <w:r>
        <w:rPr>
          <w:rFonts w:hint="eastAsia" w:ascii="Times New Roman" w:hAnsi="Times New Roman" w:eastAsia="仿宋_GB2312" w:cs="仿宋_GB2312"/>
          <w:b w:val="0"/>
          <w:color w:val="auto"/>
          <w:kern w:val="0"/>
          <w:sz w:val="32"/>
          <w:szCs w:val="32"/>
          <w:highlight w:val="none"/>
          <w:u w:val="none"/>
          <w:lang w:val="zh-CN"/>
        </w:rPr>
        <w:t>项目绩效自评所抽样点位情况。每个专项预算项目应选取专项资金分配涉及市县总数的20%、总计不超过20个的市县点位进行实地踏勘，且点位清单应作为自评附表。</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（四）评价方法。</w:t>
      </w:r>
      <w:r>
        <w:rPr>
          <w:rFonts w:hint="eastAsia" w:ascii="Times New Roman" w:hAnsi="Times New Roman" w:eastAsia="仿宋_GB2312" w:cs="仿宋_GB2312"/>
          <w:b w:val="0"/>
          <w:bCs w:val="0"/>
          <w:kern w:val="0"/>
          <w:position w:val="0"/>
          <w:sz w:val="32"/>
          <w:szCs w:val="32"/>
          <w:highlight w:val="none"/>
          <w:lang w:val="zh-CN" w:eastAsia="zh-CN" w:bidi="ar-SA"/>
        </w:rPr>
        <w:t>根据项目情况和评价重点，用来收集相关材料和开展具体评价的方法。包括：采用成本效益分析法、标杆管理法、案卷研究法、单位自评法、实地勘察法、问卷调查法、座谈调研法等多种方法。</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bCs/>
          <w:lang w:eastAsia="zh-CN"/>
        </w:rPr>
      </w:pPr>
      <w:r>
        <w:rPr>
          <w:rFonts w:hint="eastAsia" w:ascii="Times New Roman" w:hAnsi="Times New Roman" w:eastAsia="楷体_GB2312"/>
          <w:b/>
          <w:color w:val="auto"/>
          <w:sz w:val="32"/>
          <w:szCs w:val="32"/>
          <w:highlight w:val="none"/>
          <w:u w:val="none"/>
          <w:lang w:val="zh-CN"/>
        </w:rPr>
        <w:t>（五）评价组织。</w:t>
      </w:r>
      <w:r>
        <w:rPr>
          <w:rFonts w:hint="eastAsia" w:ascii="Times New Roman" w:hAnsi="Times New Roman" w:eastAsia="仿宋_GB2312" w:cs="仿宋_GB2312"/>
          <w:b w:val="0"/>
          <w:bCs w:val="0"/>
          <w:kern w:val="0"/>
          <w:position w:val="0"/>
          <w:sz w:val="32"/>
          <w:szCs w:val="32"/>
          <w:highlight w:val="none"/>
          <w:lang w:val="zh-CN" w:eastAsia="zh-CN" w:bidi="ar-SA"/>
        </w:rPr>
        <w:t>评价组人员构成和职责分工。</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color w:val="auto"/>
          <w:sz w:val="32"/>
          <w:szCs w:val="32"/>
          <w:highlight w:val="none"/>
          <w:u w:val="none"/>
          <w:lang w:val="zh-CN"/>
        </w:rPr>
      </w:pPr>
      <w:r>
        <w:rPr>
          <w:rFonts w:hint="eastAsia" w:ascii="Times New Roman" w:hAnsi="Times New Roman" w:eastAsia="黑体"/>
          <w:color w:val="auto"/>
          <w:sz w:val="32"/>
          <w:szCs w:val="32"/>
          <w:highlight w:val="none"/>
          <w:u w:val="none"/>
        </w:rPr>
        <w:t>三、</w:t>
      </w:r>
      <w:r>
        <w:rPr>
          <w:rFonts w:hint="eastAsia" w:ascii="Times New Roman" w:hAnsi="Times New Roman" w:eastAsia="黑体"/>
          <w:color w:val="auto"/>
          <w:sz w:val="32"/>
          <w:szCs w:val="32"/>
          <w:highlight w:val="none"/>
          <w:u w:val="none"/>
          <w:lang w:eastAsia="zh-CN"/>
        </w:rPr>
        <w:t>绩效分析</w:t>
      </w:r>
      <w:r>
        <w:rPr>
          <w:rFonts w:hint="eastAsia" w:ascii="Times New Roman" w:hAnsi="Times New Roman"/>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default" w:ascii="Times New Roman" w:hAnsi="Times New Roman" w:eastAsia="仿宋_GB2312" w:cs="仿宋_GB2312"/>
          <w:b w:val="0"/>
          <w:bCs w:val="0"/>
          <w:kern w:val="0"/>
          <w:position w:val="0"/>
          <w:sz w:val="32"/>
          <w:szCs w:val="32"/>
          <w:highlight w:val="none"/>
          <w:lang w:val="zh-CN" w:eastAsia="zh-CN" w:bidi="ar-SA"/>
        </w:rPr>
        <w:t>根据</w:t>
      </w:r>
      <w:r>
        <w:rPr>
          <w:rFonts w:hint="eastAsia" w:ascii="Times New Roman" w:hAnsi="Times New Roman" w:eastAsia="仿宋_GB2312" w:cs="仿宋_GB2312"/>
          <w:b w:val="0"/>
          <w:bCs w:val="0"/>
          <w:kern w:val="0"/>
          <w:position w:val="0"/>
          <w:sz w:val="32"/>
          <w:szCs w:val="32"/>
          <w:highlight w:val="none"/>
          <w:lang w:val="zh-CN" w:eastAsia="zh-CN" w:bidi="ar-SA"/>
        </w:rPr>
        <w:t>项目</w:t>
      </w:r>
      <w:r>
        <w:rPr>
          <w:rFonts w:hint="default" w:ascii="Times New Roman" w:hAnsi="Times New Roman" w:eastAsia="仿宋_GB2312" w:cs="仿宋_GB2312"/>
          <w:b w:val="0"/>
          <w:bCs w:val="0"/>
          <w:kern w:val="0"/>
          <w:position w:val="0"/>
          <w:sz w:val="32"/>
          <w:szCs w:val="32"/>
          <w:highlight w:val="none"/>
          <w:lang w:val="zh-CN" w:eastAsia="zh-CN" w:bidi="ar-SA"/>
        </w:rPr>
        <w:t>预算绩效评价指标体系</w:t>
      </w:r>
      <w:r>
        <w:rPr>
          <w:rFonts w:hint="eastAsia" w:ascii="Times New Roman" w:hAnsi="Times New Roman" w:eastAsia="仿宋_GB2312" w:cs="仿宋_GB2312"/>
          <w:b w:val="0"/>
          <w:bCs w:val="0"/>
          <w:kern w:val="0"/>
          <w:position w:val="0"/>
          <w:sz w:val="32"/>
          <w:szCs w:val="32"/>
          <w:highlight w:val="none"/>
          <w:lang w:val="zh-CN" w:eastAsia="zh-CN" w:bidi="ar-SA"/>
        </w:rPr>
        <w:t>通用指标、专用指标、个性指标</w:t>
      </w:r>
      <w:r>
        <w:rPr>
          <w:rFonts w:hint="default" w:ascii="Times New Roman" w:hAnsi="Times New Roman" w:eastAsia="仿宋_GB2312" w:cs="仿宋_GB2312"/>
          <w:b w:val="0"/>
          <w:bCs w:val="0"/>
          <w:kern w:val="0"/>
          <w:position w:val="0"/>
          <w:sz w:val="32"/>
          <w:szCs w:val="32"/>
          <w:highlight w:val="none"/>
          <w:lang w:val="zh-CN" w:eastAsia="zh-CN" w:bidi="ar-SA"/>
        </w:rPr>
        <w:t>涉及</w:t>
      </w:r>
      <w:r>
        <w:rPr>
          <w:rFonts w:hint="eastAsia" w:ascii="Times New Roman" w:hAnsi="Times New Roman" w:eastAsia="仿宋_GB2312" w:cs="仿宋_GB2312"/>
          <w:b w:val="0"/>
          <w:bCs w:val="0"/>
          <w:kern w:val="0"/>
          <w:position w:val="0"/>
          <w:sz w:val="32"/>
          <w:szCs w:val="32"/>
          <w:highlight w:val="none"/>
          <w:lang w:val="zh-CN" w:eastAsia="zh-CN" w:bidi="ar-SA"/>
        </w:rPr>
        <w:t>二、三级</w:t>
      </w:r>
      <w:r>
        <w:rPr>
          <w:rFonts w:hint="default" w:ascii="Times New Roman" w:hAnsi="Times New Roman" w:eastAsia="仿宋_GB2312" w:cs="仿宋_GB2312"/>
          <w:b w:val="0"/>
          <w:bCs w:val="0"/>
          <w:kern w:val="0"/>
          <w:position w:val="0"/>
          <w:sz w:val="32"/>
          <w:szCs w:val="32"/>
          <w:highlight w:val="none"/>
          <w:lang w:val="zh-CN" w:eastAsia="zh-CN" w:bidi="ar-SA"/>
        </w:rPr>
        <w:t>指标进行</w:t>
      </w:r>
      <w:r>
        <w:rPr>
          <w:rFonts w:hint="eastAsia" w:ascii="Times New Roman" w:hAnsi="Times New Roman" w:eastAsia="仿宋_GB2312" w:cs="仿宋_GB2312"/>
          <w:b w:val="0"/>
          <w:bCs w:val="0"/>
          <w:kern w:val="0"/>
          <w:position w:val="0"/>
          <w:sz w:val="32"/>
          <w:szCs w:val="32"/>
          <w:highlight w:val="none"/>
          <w:lang w:val="zh-CN" w:eastAsia="zh-CN" w:bidi="ar-SA"/>
        </w:rPr>
        <w:t>逐项</w:t>
      </w:r>
      <w:r>
        <w:rPr>
          <w:rFonts w:hint="default" w:ascii="Times New Roman" w:hAnsi="Times New Roman" w:eastAsia="仿宋_GB2312" w:cs="仿宋_GB2312"/>
          <w:b w:val="0"/>
          <w:bCs w:val="0"/>
          <w:kern w:val="0"/>
          <w:position w:val="0"/>
          <w:sz w:val="32"/>
          <w:szCs w:val="32"/>
          <w:highlight w:val="none"/>
          <w:lang w:val="zh-CN" w:eastAsia="zh-CN" w:bidi="ar-SA"/>
        </w:rPr>
        <w:t>绩效分析</w:t>
      </w:r>
      <w:r>
        <w:rPr>
          <w:rFonts w:hint="eastAsia" w:ascii="Times New Roman" w:hAnsi="Times New Roman" w:eastAsia="仿宋_GB2312" w:cs="仿宋_GB2312"/>
          <w:b w:val="0"/>
          <w:bCs w:val="0"/>
          <w:kern w:val="0"/>
          <w:position w:val="0"/>
          <w:sz w:val="32"/>
          <w:szCs w:val="32"/>
          <w:highlight w:val="none"/>
          <w:lang w:val="zh-CN" w:eastAsia="zh-CN" w:bidi="ar-SA"/>
        </w:rPr>
        <w:t>并评分</w:t>
      </w:r>
      <w:r>
        <w:rPr>
          <w:rFonts w:hint="eastAsia" w:ascii="Times New Roman" w:hAnsi="Times New Roman" w:eastAsia="仿宋_GB2312" w:cs="仿宋_GB2312"/>
          <w:b w:val="0"/>
          <w:bCs w:val="0"/>
          <w:kern w:val="0"/>
          <w:position w:val="0"/>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楷体_GB2312" w:cs="Times New Roman"/>
          <w:b/>
          <w:color w:val="auto"/>
          <w:sz w:val="32"/>
          <w:szCs w:val="32"/>
          <w:highlight w:val="none"/>
          <w:u w:val="none"/>
          <w:lang w:val="en-US" w:eastAsia="zh-CN"/>
        </w:rPr>
      </w:pPr>
      <w:r>
        <w:rPr>
          <w:rFonts w:hint="eastAsia" w:ascii="Times New Roman" w:hAnsi="Times New Roman" w:eastAsia="楷体_GB2312" w:cs="Times New Roman"/>
          <w:b/>
          <w:color w:val="auto"/>
          <w:sz w:val="32"/>
          <w:szCs w:val="32"/>
          <w:highlight w:val="none"/>
          <w:u w:val="none"/>
          <w:lang w:val="zh-CN"/>
        </w:rPr>
        <w:t>（一）</w:t>
      </w:r>
      <w:r>
        <w:rPr>
          <w:rFonts w:hint="eastAsia"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1.</w:t>
      </w:r>
      <w:r>
        <w:rPr>
          <w:rFonts w:hint="eastAsia" w:ascii="Times New Roman" w:hAnsi="Times New Roman" w:eastAsia="仿宋_GB2312" w:cs="仿宋_GB2312"/>
          <w:b w:val="0"/>
          <w:bCs w:val="0"/>
          <w:kern w:val="0"/>
          <w:position w:val="0"/>
          <w:sz w:val="32"/>
          <w:szCs w:val="32"/>
          <w:highlight w:val="none"/>
          <w:lang w:val="zh-CN" w:eastAsia="zh-CN" w:bidi="ar-SA"/>
        </w:rPr>
        <w:t>项目决策。围绕决策程序、规划论证、资金投向进行绩效分析。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2.</w:t>
      </w:r>
      <w:r>
        <w:rPr>
          <w:rFonts w:hint="eastAsia" w:ascii="Times New Roman" w:hAnsi="Times New Roman" w:eastAsia="仿宋_GB2312" w:cs="仿宋_GB2312"/>
          <w:b w:val="0"/>
          <w:bCs w:val="0"/>
          <w:kern w:val="0"/>
          <w:position w:val="0"/>
          <w:sz w:val="32"/>
          <w:szCs w:val="32"/>
          <w:highlight w:val="none"/>
          <w:lang w:val="zh-CN" w:eastAsia="zh-CN" w:bidi="ar-SA"/>
        </w:rPr>
        <w:t>项目管理。围绕制度办法、分配管理、绩效监管进行绩效分析。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3.项目实施。</w:t>
      </w:r>
      <w:r>
        <w:rPr>
          <w:rFonts w:hint="eastAsia" w:ascii="Times New Roman" w:hAnsi="Times New Roman" w:eastAsia="仿宋_GB2312" w:cs="仿宋_GB2312"/>
          <w:b w:val="0"/>
          <w:bCs w:val="0"/>
          <w:kern w:val="0"/>
          <w:position w:val="0"/>
          <w:sz w:val="32"/>
          <w:szCs w:val="32"/>
          <w:highlight w:val="none"/>
          <w:lang w:val="zh-CN" w:eastAsia="zh-CN" w:bidi="ar-SA"/>
        </w:rPr>
        <w:t>围绕预算执行、资金使用进行绩效分析。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4.项目结果。围绕</w:t>
      </w:r>
      <w:r>
        <w:rPr>
          <w:rFonts w:hint="eastAsia" w:ascii="Times New Roman" w:hAnsi="Times New Roman" w:eastAsia="仿宋_GB2312" w:cs="仿宋_GB2312"/>
          <w:b w:val="0"/>
          <w:bCs w:val="0"/>
          <w:kern w:val="0"/>
          <w:position w:val="0"/>
          <w:sz w:val="32"/>
          <w:szCs w:val="32"/>
          <w:highlight w:val="none"/>
          <w:lang w:val="zh-CN" w:eastAsia="zh-CN" w:bidi="ar-SA"/>
        </w:rPr>
        <w:t>目标完成、完成时效进行绩效分析。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rPr>
        <w:t>（二）</w:t>
      </w:r>
      <w:r>
        <w:rPr>
          <w:rFonts w:hint="eastAsia"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r>
        <w:rPr>
          <w:rFonts w:hint="eastAsia" w:ascii="Times New Roman" w:hAnsi="Times New Roman" w:eastAsia="仿宋_GB2312" w:cs="仿宋_GB2312"/>
          <w:b w:val="0"/>
          <w:bCs w:val="0"/>
          <w:kern w:val="0"/>
          <w:position w:val="0"/>
          <w:sz w:val="32"/>
          <w:szCs w:val="32"/>
          <w:highlight w:val="none"/>
          <w:lang w:val="zh-CN" w:eastAsia="zh-CN" w:bidi="ar-SA"/>
        </w:rPr>
        <w:t>根据</w:t>
      </w:r>
      <w:r>
        <w:rPr>
          <w:rFonts w:hint="eastAsia" w:ascii="Times New Roman" w:hAnsi="Times New Roman" w:eastAsia="仿宋_GB2312" w:cs="仿宋_GB2312"/>
          <w:b w:val="0"/>
          <w:bCs w:val="0"/>
          <w:kern w:val="0"/>
          <w:position w:val="0"/>
          <w:sz w:val="32"/>
          <w:szCs w:val="32"/>
          <w:highlight w:val="none"/>
          <w:lang w:val="en-US" w:eastAsia="zh-CN" w:bidi="ar-SA"/>
        </w:rPr>
        <w:t>专项预算项目资金支持对象选择所属指标进行绩效分析。支持对象</w:t>
      </w:r>
      <w:r>
        <w:rPr>
          <w:rFonts w:hint="eastAsia" w:ascii="Times New Roman" w:hAnsi="Times New Roman" w:eastAsia="仿宋_GB2312" w:cs="仿宋_GB2312"/>
          <w:b w:val="0"/>
          <w:bCs w:val="0"/>
          <w:kern w:val="0"/>
          <w:position w:val="0"/>
          <w:sz w:val="32"/>
          <w:szCs w:val="32"/>
          <w:highlight w:val="none"/>
          <w:lang w:val="zh-CN" w:eastAsia="zh-CN" w:bidi="ar-SA"/>
        </w:rPr>
        <w:t>包括产业发展、民生保障、基础设施、行政运转等方面。</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1.产业发展。围绕符合性、成长性、经济性进行绩效分析。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2.</w:t>
      </w:r>
      <w:r>
        <w:rPr>
          <w:rFonts w:hint="eastAsia" w:ascii="Times New Roman" w:hAnsi="Times New Roman" w:eastAsia="仿宋_GB2312" w:cs="仿宋_GB2312"/>
          <w:b w:val="0"/>
          <w:bCs w:val="0"/>
          <w:kern w:val="0"/>
          <w:position w:val="0"/>
          <w:sz w:val="32"/>
          <w:szCs w:val="32"/>
          <w:highlight w:val="none"/>
          <w:lang w:val="zh-CN" w:eastAsia="zh-CN" w:bidi="ar-SA"/>
        </w:rPr>
        <w:t>民生保障。</w:t>
      </w:r>
      <w:r>
        <w:rPr>
          <w:rFonts w:hint="eastAsia" w:ascii="Times New Roman" w:hAnsi="Times New Roman" w:eastAsia="仿宋_GB2312" w:cs="仿宋_GB2312"/>
          <w:b w:val="0"/>
          <w:bCs w:val="0"/>
          <w:kern w:val="0"/>
          <w:position w:val="0"/>
          <w:sz w:val="32"/>
          <w:szCs w:val="32"/>
          <w:highlight w:val="none"/>
          <w:lang w:val="en-US" w:eastAsia="zh-CN" w:bidi="ar-SA"/>
        </w:rPr>
        <w:t>围绕区域均衡性、对象精准性、标准合理性、群众满意度进行绩效分析。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3.基础设施。在建项目围绕工程进度和资金拨付进行绩效分析；建成项目围绕项目验收、功能实现、后续管护进行</w:t>
      </w:r>
      <w:r>
        <w:rPr>
          <w:rFonts w:hint="eastAsia" w:ascii="Times New Roman" w:hAnsi="Times New Roman" w:eastAsia="仿宋_GB2312" w:cs="仿宋_GB2312"/>
          <w:b w:val="0"/>
          <w:bCs w:val="0"/>
          <w:kern w:val="0"/>
          <w:position w:val="0"/>
          <w:sz w:val="32"/>
          <w:szCs w:val="32"/>
          <w:highlight w:val="none"/>
          <w:lang w:val="zh-CN" w:eastAsia="zh-CN" w:bidi="ar-SA"/>
        </w:rPr>
        <w:t>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w:t>
      </w:r>
      <w:r>
        <w:rPr>
          <w:rFonts w:hint="eastAsia" w:ascii="Times New Roman" w:hAnsi="Times New Roman" w:eastAsia="仿宋_GB2312" w:cs="仿宋_GB2312"/>
          <w:b w:val="0"/>
          <w:bCs w:val="0"/>
          <w:kern w:val="0"/>
          <w:position w:val="0"/>
          <w:sz w:val="32"/>
          <w:szCs w:val="32"/>
          <w:highlight w:val="none"/>
          <w:lang w:val="zh-CN" w:eastAsia="zh-CN" w:bidi="ar-SA"/>
        </w:rPr>
        <w:t>行政运转。围绕用途合规性、程序合规性、标准合规性进行绩效分析。</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cs="Times New Roman"/>
          <w:b/>
          <w:color w:val="auto"/>
          <w:sz w:val="32"/>
          <w:szCs w:val="32"/>
          <w:highlight w:val="none"/>
          <w:u w:val="none"/>
          <w:lang w:val="zh-CN"/>
        </w:rPr>
        <w:t>（三）</w:t>
      </w:r>
      <w:r>
        <w:rPr>
          <w:rFonts w:hint="eastAsia"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r>
        <w:rPr>
          <w:rFonts w:hint="eastAsia" w:ascii="Times New Roman" w:hAnsi="Times New Roman" w:eastAsia="仿宋_GB2312" w:cs="仿宋_GB2312"/>
          <w:b w:val="0"/>
          <w:bCs w:val="0"/>
          <w:kern w:val="0"/>
          <w:position w:val="0"/>
          <w:sz w:val="32"/>
          <w:szCs w:val="32"/>
          <w:highlight w:val="none"/>
          <w:lang w:val="zh-CN" w:eastAsia="zh-CN" w:bidi="ar-SA"/>
        </w:rPr>
        <w:t>根据项目个性自行设定部分指标，反映该项指标执行完成情况。</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四、评价结论</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简要阐述专项预算项目绩效自评总体结论，包含评价总分、</w:t>
      </w:r>
      <w:r>
        <w:rPr>
          <w:rFonts w:hint="eastAsia" w:ascii="Times New Roman" w:hAnsi="Times New Roman" w:eastAsia="仿宋_GB2312" w:cs="仿宋_GB2312"/>
          <w:b w:val="0"/>
          <w:bCs w:val="0"/>
          <w:kern w:val="0"/>
          <w:position w:val="0"/>
          <w:sz w:val="32"/>
          <w:szCs w:val="32"/>
          <w:highlight w:val="none"/>
          <w:lang w:val="zh-CN" w:eastAsia="zh-CN" w:bidi="ar-SA"/>
        </w:rPr>
        <w:t>项目实施情况。</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五、存在主要问题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简要阐述专项预算项目绩效自评发现的主要问题。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zh-CN" w:eastAsia="zh-CN" w:bidi="ar-SA"/>
        </w:rPr>
      </w:pPr>
      <w:r>
        <w:rPr>
          <w:rFonts w:hint="eastAsia" w:ascii="黑体" w:hAnsi="黑体" w:eastAsia="黑体" w:cs="黑体"/>
          <w:b w:val="0"/>
          <w:bCs w:val="0"/>
          <w:kern w:val="0"/>
          <w:position w:val="0"/>
          <w:sz w:val="32"/>
          <w:szCs w:val="32"/>
          <w:highlight w:val="none"/>
          <w:lang w:val="zh-CN" w:eastAsia="zh-CN" w:bidi="ar-SA"/>
        </w:rPr>
        <w:t>六、改进建议</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简要阐述专项预算项目在</w:t>
      </w:r>
      <w:r>
        <w:rPr>
          <w:rFonts w:hint="eastAsia" w:ascii="Times New Roman" w:hAnsi="Times New Roman" w:eastAsia="仿宋_GB2312" w:cs="仿宋_GB2312"/>
          <w:b w:val="0"/>
          <w:bCs w:val="0"/>
          <w:kern w:val="0"/>
          <w:position w:val="0"/>
          <w:sz w:val="32"/>
          <w:szCs w:val="32"/>
          <w:highlight w:val="none"/>
          <w:lang w:val="en" w:eastAsia="zh-CN" w:bidi="ar-SA"/>
        </w:rPr>
        <w:t>预算安排、完善政策、改进管理等方面的</w:t>
      </w:r>
      <w:r>
        <w:rPr>
          <w:rFonts w:hint="eastAsia" w:ascii="Times New Roman" w:hAnsi="Times New Roman" w:eastAsia="仿宋_GB2312" w:cs="仿宋_GB2312"/>
          <w:b w:val="0"/>
          <w:bCs w:val="0"/>
          <w:kern w:val="0"/>
          <w:position w:val="0"/>
          <w:sz w:val="32"/>
          <w:szCs w:val="32"/>
          <w:highlight w:val="none"/>
          <w:lang w:val="en-US" w:eastAsia="zh-CN" w:bidi="ar-SA"/>
        </w:rPr>
        <w:t>措施</w:t>
      </w:r>
      <w:r>
        <w:rPr>
          <w:rFonts w:hint="eastAsia" w:ascii="Times New Roman" w:hAnsi="Times New Roman" w:eastAsia="仿宋_GB2312" w:cs="仿宋_GB2312"/>
          <w:b w:val="0"/>
          <w:bCs w:val="0"/>
          <w:kern w:val="0"/>
          <w:position w:val="0"/>
          <w:sz w:val="32"/>
          <w:szCs w:val="32"/>
          <w:highlight w:val="none"/>
          <w:lang w:val="en" w:eastAsia="zh-CN" w:bidi="ar-SA"/>
        </w:rPr>
        <w:t>建议，其中</w:t>
      </w:r>
      <w:r>
        <w:rPr>
          <w:rFonts w:hint="eastAsia" w:ascii="Times New Roman" w:hAnsi="Times New Roman" w:eastAsia="仿宋_GB2312" w:cs="仿宋_GB2312"/>
          <w:b w:val="0"/>
          <w:bCs w:val="0"/>
          <w:kern w:val="0"/>
          <w:position w:val="0"/>
          <w:sz w:val="32"/>
          <w:szCs w:val="32"/>
          <w:highlight w:val="none"/>
          <w:lang w:val="en-US" w:eastAsia="zh-CN" w:bidi="ar-SA"/>
        </w:rPr>
        <w:t>必须对应评价发现的主要问题一一提出措施建议。</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w:t>
      </w:r>
      <w:r>
        <w:rPr>
          <w:rFonts w:hint="eastAsia" w:eastAsia="仿宋_GB2312" w:cs="仿宋_GB2312"/>
          <w:b w:val="0"/>
          <w:bCs w:val="0"/>
          <w:kern w:val="0"/>
          <w:position w:val="0"/>
          <w:sz w:val="32"/>
          <w:szCs w:val="32"/>
          <w:highlight w:val="none"/>
          <w:lang w:val="en-US" w:eastAsia="zh-CN" w:bidi="ar-SA"/>
        </w:rPr>
        <w:t>注：</w:t>
      </w:r>
      <w:r>
        <w:rPr>
          <w:rFonts w:hint="eastAsia" w:ascii="Times New Roman" w:hAnsi="Times New Roman" w:eastAsia="仿宋_GB2312" w:cs="仿宋_GB2312"/>
          <w:b w:val="0"/>
          <w:bCs w:val="0"/>
          <w:kern w:val="0"/>
          <w:position w:val="0"/>
          <w:sz w:val="32"/>
          <w:szCs w:val="32"/>
          <w:highlight w:val="none"/>
          <w:lang w:val="en-US" w:eastAsia="zh-CN" w:bidi="ar-SA"/>
        </w:rPr>
        <w:t>以上绩效自评报告，除涉密敏感内容外，原则上都应予以公开）</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bookmarkStart w:id="47" w:name="_Toc15396618"/>
      <w:r>
        <w:rPr>
          <w:rFonts w:hint="eastAsia" w:ascii="Times New Roman" w:hAnsi="Times New Roman" w:eastAsia="仿宋_GB2312" w:cs="仿宋_GB2312"/>
          <w:b w:val="0"/>
          <w:bCs w:val="0"/>
          <w:kern w:val="0"/>
          <w:position w:val="0"/>
          <w:sz w:val="32"/>
          <w:szCs w:val="32"/>
          <w:highlight w:val="none"/>
          <w:lang w:val="en-US" w:eastAsia="zh-CN" w:bidi="ar-SA"/>
        </w:rPr>
        <w:br w:type="page"/>
      </w:r>
    </w:p>
    <w:p>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8"/>
          <w:rFonts w:hint="eastAsia" w:ascii="Times New Roman" w:hAnsi="Times New Roman" w:eastAsia="黑体"/>
          <w:b w:val="0"/>
          <w:color w:val="auto"/>
          <w:highlight w:val="none"/>
        </w:rPr>
        <w:t>五部分 附表</w:t>
      </w:r>
      <w:bookmarkEnd w:id="44"/>
      <w:bookmarkEnd w:id="47"/>
      <w:bookmarkStart w:id="48" w:name="_Toc1539661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8"/>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49" w:name="_Toc15396620"/>
      <w:r>
        <w:rPr>
          <w:rFonts w:hint="eastAsia" w:ascii="Times New Roman" w:hAnsi="Times New Roman" w:eastAsia="仿宋_GB2312" w:cs="仿宋_GB2312"/>
          <w:color w:val="auto"/>
          <w:sz w:val="32"/>
          <w:szCs w:val="32"/>
          <w:highlight w:val="none"/>
        </w:rPr>
        <w:t>二、收入决算表</w:t>
      </w:r>
      <w:bookmarkEnd w:id="4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1"/>
      <w:r>
        <w:rPr>
          <w:rFonts w:hint="eastAsia" w:ascii="Times New Roman" w:hAnsi="Times New Roman" w:eastAsia="仿宋_GB2312" w:cs="仿宋_GB2312"/>
          <w:color w:val="auto"/>
          <w:sz w:val="32"/>
          <w:szCs w:val="32"/>
          <w:highlight w:val="none"/>
        </w:rPr>
        <w:t>三、支出决算表</w:t>
      </w:r>
      <w:bookmarkEnd w:id="50"/>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2"/>
      <w:r>
        <w:rPr>
          <w:rFonts w:hint="eastAsia" w:ascii="Times New Roman" w:hAnsi="Times New Roman" w:eastAsia="仿宋_GB2312" w:cs="仿宋_GB2312"/>
          <w:color w:val="auto"/>
          <w:sz w:val="32"/>
          <w:szCs w:val="32"/>
          <w:highlight w:val="none"/>
        </w:rPr>
        <w:t>四、财政拨款收入支出决算总表</w:t>
      </w:r>
      <w:bookmarkEnd w:id="51"/>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3"/>
      <w:r>
        <w:rPr>
          <w:rFonts w:hint="eastAsia" w:ascii="Times New Roman" w:hAnsi="Times New Roman" w:eastAsia="仿宋_GB2312" w:cs="仿宋_GB2312"/>
          <w:color w:val="auto"/>
          <w:sz w:val="32"/>
          <w:szCs w:val="32"/>
          <w:highlight w:val="none"/>
        </w:rPr>
        <w:t>五、财政拨款支出决算明细表</w:t>
      </w:r>
      <w:bookmarkEnd w:id="52"/>
      <w:bookmarkStart w:id="53" w:name="_Toc1539662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3"/>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4" w:name="_Toc15396625"/>
      <w:r>
        <w:rPr>
          <w:rFonts w:hint="eastAsia" w:ascii="Times New Roman" w:hAnsi="Times New Roman" w:eastAsia="仿宋_GB2312" w:cs="仿宋_GB2312"/>
          <w:color w:val="auto"/>
          <w:sz w:val="32"/>
          <w:szCs w:val="32"/>
          <w:highlight w:val="none"/>
        </w:rPr>
        <w:t>七、一般公共预算财政拨款支出决算明细表</w:t>
      </w:r>
      <w:bookmarkEnd w:id="5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6"/>
      <w:r>
        <w:rPr>
          <w:rFonts w:hint="eastAsia" w:ascii="Times New Roman" w:hAnsi="Times New Roman" w:eastAsia="仿宋_GB2312" w:cs="仿宋_GB2312"/>
          <w:color w:val="auto"/>
          <w:sz w:val="32"/>
          <w:szCs w:val="32"/>
          <w:highlight w:val="none"/>
        </w:rPr>
        <w:t>八、一般公共预算财政拨款基本支出决算表</w:t>
      </w:r>
      <w:bookmarkEnd w:id="55"/>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7"/>
      <w:r>
        <w:rPr>
          <w:rFonts w:hint="eastAsia" w:ascii="Times New Roman" w:hAnsi="Times New Roman" w:eastAsia="仿宋_GB2312" w:cs="仿宋_GB2312"/>
          <w:color w:val="auto"/>
          <w:sz w:val="32"/>
          <w:szCs w:val="32"/>
          <w:highlight w:val="none"/>
        </w:rPr>
        <w:t>九、一般公共预算财政拨款项目支出决算表</w:t>
      </w:r>
      <w:bookmarkEnd w:id="56"/>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8"/>
      <w:r>
        <w:rPr>
          <w:rFonts w:hint="eastAsia" w:ascii="Times New Roman" w:hAnsi="Times New Roman" w:eastAsia="仿宋_GB2312" w:cs="仿宋_GB2312"/>
          <w:color w:val="auto"/>
          <w:sz w:val="32"/>
          <w:szCs w:val="32"/>
          <w:highlight w:val="none"/>
        </w:rPr>
        <w:t>十、</w:t>
      </w:r>
      <w:bookmarkEnd w:id="57"/>
      <w:r>
        <w:rPr>
          <w:rFonts w:hint="eastAsia" w:ascii="Times New Roman" w:hAnsi="Times New Roman" w:eastAsia="仿宋_GB2312" w:cs="仿宋_GB2312"/>
          <w:color w:val="auto"/>
          <w:sz w:val="32"/>
          <w:szCs w:val="32"/>
          <w:highlight w:val="none"/>
        </w:rPr>
        <w:t>政府性基金预算财政拨款收入支出决算表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9"/>
      <w:r>
        <w:rPr>
          <w:rFonts w:hint="eastAsia" w:ascii="Times New Roman" w:hAnsi="Times New Roman" w:eastAsia="仿宋_GB2312" w:cs="仿宋_GB2312"/>
          <w:color w:val="auto"/>
          <w:sz w:val="32"/>
          <w:szCs w:val="32"/>
          <w:highlight w:val="none"/>
        </w:rPr>
        <w:t>十一、</w:t>
      </w:r>
      <w:bookmarkEnd w:id="58"/>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30"/>
      <w:r>
        <w:rPr>
          <w:rFonts w:hint="eastAsia" w:ascii="Times New Roman" w:hAnsi="Times New Roman" w:eastAsia="仿宋_GB2312" w:cs="仿宋_GB2312"/>
          <w:color w:val="auto"/>
          <w:sz w:val="32"/>
          <w:szCs w:val="32"/>
          <w:highlight w:val="none"/>
        </w:rPr>
        <w:t>十二、</w:t>
      </w:r>
      <w:bookmarkEnd w:id="59"/>
      <w:r>
        <w:rPr>
          <w:rFonts w:hint="eastAsia" w:ascii="Times New Roman" w:hAnsi="Times New Roman" w:eastAsia="仿宋_GB2312" w:cs="仿宋_GB2312"/>
          <w:color w:val="auto"/>
          <w:sz w:val="32"/>
          <w:szCs w:val="32"/>
          <w:highlight w:val="none"/>
          <w:lang w:eastAsia="zh-CN"/>
        </w:rPr>
        <w:t>国有资本经营预算财政拨款支出决算表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0" w:name="_Toc15396631"/>
      <w:r>
        <w:rPr>
          <w:rFonts w:hint="eastAsia" w:ascii="Times New Roman" w:hAnsi="Times New Roman" w:eastAsia="仿宋_GB2312" w:cs="仿宋_GB2312"/>
          <w:color w:val="auto"/>
          <w:sz w:val="32"/>
          <w:szCs w:val="32"/>
          <w:highlight w:val="none"/>
        </w:rPr>
        <w:t>十三、</w:t>
      </w:r>
      <w:bookmarkEnd w:id="60"/>
      <w:r>
        <w:rPr>
          <w:rFonts w:hint="eastAsia" w:ascii="Times New Roman" w:hAnsi="Times New Roman" w:eastAsia="仿宋_GB2312" w:cs="仿宋_GB2312"/>
          <w:color w:val="auto"/>
          <w:sz w:val="32"/>
          <w:szCs w:val="32"/>
          <w:highlight w:val="none"/>
          <w:lang w:eastAsia="zh-CN"/>
        </w:rPr>
        <w:t>财政拨款“三公”经费支出决算表</w:t>
      </w:r>
    </w:p>
    <w:p>
      <w:pPr>
        <w:rPr>
          <w:rFonts w:hint="eastAsia" w:ascii="Times New Roman" w:hAnsi="Times New Roman"/>
          <w:lang w:eastAsia="zh-CN"/>
        </w:rPr>
      </w:pPr>
    </w:p>
    <w:sectPr>
      <w:footerReference r:id="rId6" w:type="first"/>
      <w:footerReference r:id="rId5" w:type="default"/>
      <w:pgSz w:w="11906" w:h="16838"/>
      <w:pgMar w:top="1440" w:right="1800" w:bottom="1440" w:left="1800"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BB2042"/>
    <w:multiLevelType w:val="singleLevel"/>
    <w:tmpl w:val="6CBB2042"/>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C67F61"/>
    <w:rsid w:val="02FEBE30"/>
    <w:rsid w:val="04916F1E"/>
    <w:rsid w:val="061E35DE"/>
    <w:rsid w:val="066E0107"/>
    <w:rsid w:val="07996F6E"/>
    <w:rsid w:val="07DFD8BA"/>
    <w:rsid w:val="09867E8F"/>
    <w:rsid w:val="0A2032A3"/>
    <w:rsid w:val="0CA8290A"/>
    <w:rsid w:val="0D35B1ED"/>
    <w:rsid w:val="0E254B6B"/>
    <w:rsid w:val="0F98263C"/>
    <w:rsid w:val="101860EC"/>
    <w:rsid w:val="101F47CC"/>
    <w:rsid w:val="10C055FF"/>
    <w:rsid w:val="11694EBD"/>
    <w:rsid w:val="11772AA4"/>
    <w:rsid w:val="118107EC"/>
    <w:rsid w:val="12E24EE2"/>
    <w:rsid w:val="13D50BC4"/>
    <w:rsid w:val="14B17F78"/>
    <w:rsid w:val="165E0673"/>
    <w:rsid w:val="16B831D5"/>
    <w:rsid w:val="16BB723D"/>
    <w:rsid w:val="17E50567"/>
    <w:rsid w:val="186504BB"/>
    <w:rsid w:val="18E815C1"/>
    <w:rsid w:val="19A445FC"/>
    <w:rsid w:val="1BE8440E"/>
    <w:rsid w:val="1D155CEE"/>
    <w:rsid w:val="1D1638FE"/>
    <w:rsid w:val="1E312DEB"/>
    <w:rsid w:val="1E740ACF"/>
    <w:rsid w:val="1FF35744"/>
    <w:rsid w:val="1FF6BC77"/>
    <w:rsid w:val="20267453"/>
    <w:rsid w:val="2186353C"/>
    <w:rsid w:val="23860B96"/>
    <w:rsid w:val="240371BF"/>
    <w:rsid w:val="244F3473"/>
    <w:rsid w:val="24C97D99"/>
    <w:rsid w:val="25A718F0"/>
    <w:rsid w:val="25BB59F6"/>
    <w:rsid w:val="260F557C"/>
    <w:rsid w:val="26970054"/>
    <w:rsid w:val="281408E2"/>
    <w:rsid w:val="29FD04D3"/>
    <w:rsid w:val="2BFF7BC6"/>
    <w:rsid w:val="2C8A61B5"/>
    <w:rsid w:val="2DF04E50"/>
    <w:rsid w:val="2E586DFA"/>
    <w:rsid w:val="2F040D46"/>
    <w:rsid w:val="2F6B035B"/>
    <w:rsid w:val="2FAE5751"/>
    <w:rsid w:val="2FB1A395"/>
    <w:rsid w:val="2FD9A7D8"/>
    <w:rsid w:val="2FDBF714"/>
    <w:rsid w:val="30AB6865"/>
    <w:rsid w:val="319F7F4E"/>
    <w:rsid w:val="32BD1EF1"/>
    <w:rsid w:val="3304709D"/>
    <w:rsid w:val="33A773CB"/>
    <w:rsid w:val="349D6851"/>
    <w:rsid w:val="36AA5135"/>
    <w:rsid w:val="36BE0DA7"/>
    <w:rsid w:val="376B6AA6"/>
    <w:rsid w:val="376D39B2"/>
    <w:rsid w:val="37E16F03"/>
    <w:rsid w:val="37F53A3B"/>
    <w:rsid w:val="389B6C89"/>
    <w:rsid w:val="38D469F0"/>
    <w:rsid w:val="39627CCD"/>
    <w:rsid w:val="397BAF1F"/>
    <w:rsid w:val="3AB79AF3"/>
    <w:rsid w:val="3AE834C0"/>
    <w:rsid w:val="3B7EF35A"/>
    <w:rsid w:val="3B9FDB6C"/>
    <w:rsid w:val="3BF5BC2F"/>
    <w:rsid w:val="3C975BD4"/>
    <w:rsid w:val="3CEBA265"/>
    <w:rsid w:val="3D98207C"/>
    <w:rsid w:val="3DEE7CF3"/>
    <w:rsid w:val="3E740A63"/>
    <w:rsid w:val="3E78745D"/>
    <w:rsid w:val="3EE17838"/>
    <w:rsid w:val="3F55381A"/>
    <w:rsid w:val="3F7F7599"/>
    <w:rsid w:val="3FF4CAE0"/>
    <w:rsid w:val="3FF7B227"/>
    <w:rsid w:val="44E268DA"/>
    <w:rsid w:val="450D13D7"/>
    <w:rsid w:val="45506656"/>
    <w:rsid w:val="486A6C7A"/>
    <w:rsid w:val="4A627F82"/>
    <w:rsid w:val="4A6A1AC5"/>
    <w:rsid w:val="4B0E749A"/>
    <w:rsid w:val="4B1C2819"/>
    <w:rsid w:val="4B2477C4"/>
    <w:rsid w:val="4B4F25DA"/>
    <w:rsid w:val="4BE068DB"/>
    <w:rsid w:val="4D577224"/>
    <w:rsid w:val="4DBF1CEB"/>
    <w:rsid w:val="4DF0007C"/>
    <w:rsid w:val="4EAB630A"/>
    <w:rsid w:val="4ECE2238"/>
    <w:rsid w:val="4F833267"/>
    <w:rsid w:val="4FE9BD67"/>
    <w:rsid w:val="4FFB052F"/>
    <w:rsid w:val="537E6D0A"/>
    <w:rsid w:val="53F74C96"/>
    <w:rsid w:val="55170BA8"/>
    <w:rsid w:val="553218C9"/>
    <w:rsid w:val="567E1AA5"/>
    <w:rsid w:val="56E47B74"/>
    <w:rsid w:val="57175D52"/>
    <w:rsid w:val="57BD3DD4"/>
    <w:rsid w:val="5AF92295"/>
    <w:rsid w:val="5B250254"/>
    <w:rsid w:val="5BDD79E6"/>
    <w:rsid w:val="5BF561CA"/>
    <w:rsid w:val="5BFF5DFC"/>
    <w:rsid w:val="5CD71FC4"/>
    <w:rsid w:val="5D1F11B5"/>
    <w:rsid w:val="5D695134"/>
    <w:rsid w:val="5DAE1B18"/>
    <w:rsid w:val="5DE7D9E5"/>
    <w:rsid w:val="5ECEC941"/>
    <w:rsid w:val="5FBF9FF3"/>
    <w:rsid w:val="5FCD4E2C"/>
    <w:rsid w:val="5FEF394A"/>
    <w:rsid w:val="5FF67715"/>
    <w:rsid w:val="62BF3928"/>
    <w:rsid w:val="63B3701E"/>
    <w:rsid w:val="647F5392"/>
    <w:rsid w:val="65E66580"/>
    <w:rsid w:val="664B1D71"/>
    <w:rsid w:val="664B4E8E"/>
    <w:rsid w:val="67277B67"/>
    <w:rsid w:val="67AA3209"/>
    <w:rsid w:val="68115F48"/>
    <w:rsid w:val="681D1F05"/>
    <w:rsid w:val="698D0931"/>
    <w:rsid w:val="6A7FE5F3"/>
    <w:rsid w:val="6B053271"/>
    <w:rsid w:val="6BDD78B3"/>
    <w:rsid w:val="6C4A05C8"/>
    <w:rsid w:val="6C8742B8"/>
    <w:rsid w:val="6DBF5E93"/>
    <w:rsid w:val="6DFF077E"/>
    <w:rsid w:val="6E714EF0"/>
    <w:rsid w:val="6E7E3605"/>
    <w:rsid w:val="6E7FDCC7"/>
    <w:rsid w:val="6ED6A62E"/>
    <w:rsid w:val="6EE00B15"/>
    <w:rsid w:val="6F6FB3EB"/>
    <w:rsid w:val="6F8731EA"/>
    <w:rsid w:val="6FCE6052"/>
    <w:rsid w:val="6FD57C00"/>
    <w:rsid w:val="6FEFFFD8"/>
    <w:rsid w:val="6FF5CC65"/>
    <w:rsid w:val="6FFB47EC"/>
    <w:rsid w:val="6FFF034A"/>
    <w:rsid w:val="70484440"/>
    <w:rsid w:val="712A28F1"/>
    <w:rsid w:val="715C0E4B"/>
    <w:rsid w:val="71992E7C"/>
    <w:rsid w:val="72233669"/>
    <w:rsid w:val="72734D90"/>
    <w:rsid w:val="73160E6D"/>
    <w:rsid w:val="7332FE48"/>
    <w:rsid w:val="73AB61DA"/>
    <w:rsid w:val="73AD73D5"/>
    <w:rsid w:val="73B6EB34"/>
    <w:rsid w:val="73FA497D"/>
    <w:rsid w:val="744731E5"/>
    <w:rsid w:val="74BBD01D"/>
    <w:rsid w:val="74ED5379"/>
    <w:rsid w:val="75DEEEC2"/>
    <w:rsid w:val="75E32345"/>
    <w:rsid w:val="76E3355F"/>
    <w:rsid w:val="76FF5125"/>
    <w:rsid w:val="776F6FFA"/>
    <w:rsid w:val="778769C8"/>
    <w:rsid w:val="77A75DCA"/>
    <w:rsid w:val="77DC22F5"/>
    <w:rsid w:val="783E271A"/>
    <w:rsid w:val="78616DE9"/>
    <w:rsid w:val="78E875D7"/>
    <w:rsid w:val="79086DAD"/>
    <w:rsid w:val="79741F42"/>
    <w:rsid w:val="79D7FD79"/>
    <w:rsid w:val="79EE5BA4"/>
    <w:rsid w:val="7A1449EF"/>
    <w:rsid w:val="7A894339"/>
    <w:rsid w:val="7AD284E8"/>
    <w:rsid w:val="7AFF7572"/>
    <w:rsid w:val="7B6C7DFB"/>
    <w:rsid w:val="7BBFBED0"/>
    <w:rsid w:val="7BC3E394"/>
    <w:rsid w:val="7C1F3737"/>
    <w:rsid w:val="7CBFC87B"/>
    <w:rsid w:val="7CFE0F48"/>
    <w:rsid w:val="7D272ABC"/>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link w:val="25"/>
    <w:qFormat/>
    <w:uiPriority w:val="99"/>
    <w:pPr>
      <w:spacing w:beforeLines="30"/>
    </w:pPr>
    <w:rPr>
      <w:rFonts w:ascii="仿宋_GB2312" w:eastAsia="仿宋_GB2312"/>
      <w:kern w:val="0"/>
      <w:sz w:val="30"/>
    </w:r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unhideWhenUsed/>
    <w:qFormat/>
    <w:uiPriority w:val="99"/>
    <w:pPr>
      <w:ind w:firstLine="420" w:firstLineChars="200"/>
    </w:p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1"/>
    <w:semiHidden/>
    <w:unhideWhenUsed/>
    <w:qFormat/>
    <w:uiPriority w:val="99"/>
    <w:rPr>
      <w:sz w:val="18"/>
      <w:szCs w:val="18"/>
    </w:rPr>
  </w:style>
  <w:style w:type="paragraph" w:styleId="10">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7"/>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Char"/>
    <w:link w:val="11"/>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Char"/>
    <w:link w:val="10"/>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Char"/>
    <w:link w:val="2"/>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6"/>
    <w:link w:val="3"/>
    <w:qFormat/>
    <w:uiPriority w:val="9"/>
    <w:rPr>
      <w:rFonts w:ascii="Times New Roman" w:hAnsi="Times New Roman"/>
      <w:b/>
      <w:bCs/>
      <w:kern w:val="44"/>
      <w:sz w:val="44"/>
      <w:szCs w:val="44"/>
    </w:rPr>
  </w:style>
  <w:style w:type="character" w:customStyle="1" w:styleId="29">
    <w:name w:val="标题 2 Char"/>
    <w:basedOn w:val="16"/>
    <w:link w:val="4"/>
    <w:qFormat/>
    <w:uiPriority w:val="9"/>
    <w:rPr>
      <w:rFonts w:asciiTheme="majorHAnsi" w:hAnsiTheme="majorHAnsi" w:eastAsiaTheme="majorEastAsia" w:cstheme="majorBidi"/>
      <w:b/>
      <w:bCs/>
      <w:kern w:val="2"/>
      <w:sz w:val="32"/>
      <w:szCs w:val="32"/>
    </w:rPr>
  </w:style>
  <w:style w:type="paragraph" w:customStyle="1" w:styleId="30">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Char"/>
    <w:basedOn w:val="16"/>
    <w:link w:val="9"/>
    <w:semiHidden/>
    <w:qFormat/>
    <w:uiPriority w:val="99"/>
    <w:rPr>
      <w:rFonts w:ascii="Times New Roman" w:hAnsi="Times New Roman"/>
      <w:kern w:val="2"/>
      <w:sz w:val="18"/>
      <w:szCs w:val="18"/>
    </w:rPr>
  </w:style>
  <w:style w:type="character" w:customStyle="1" w:styleId="32">
    <w:name w:val="标题 3 Char"/>
    <w:basedOn w:val="16"/>
    <w:link w:val="5"/>
    <w:qFormat/>
    <w:uiPriority w:val="9"/>
    <w:rPr>
      <w:rFonts w:ascii="Times New Roman" w:hAnsi="Times New Roman"/>
      <w:b/>
      <w:bCs/>
      <w:kern w:val="2"/>
      <w:sz w:val="32"/>
      <w:szCs w:val="32"/>
    </w:rPr>
  </w:style>
  <w:style w:type="paragraph" w:customStyle="1" w:styleId="33">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H:\2025&#24180;\2024&#24180;&#20915;&#31639;&#25968;&#25454;\&#22270;&#34920;(1).xls"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H:\2025&#24180;\2024&#24180;&#20915;&#31639;&#25968;&#25454;\&#22270;&#34920;(1).xls"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H:\2025&#24180;\2024&#24180;&#20915;&#31639;&#25968;&#25454;\&#22270;&#34920;(1).xls"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H:\2025&#24180;\2024&#24180;&#20915;&#31639;&#25968;&#25454;\&#22270;&#34920;(1).xls"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G:\&#22270;&#34920;(2).xls"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G:\&#22270;&#34920;(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收、支决算总计变动情况图</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
          <c:y val="-0.01075"/>
        </c:manualLayout>
      </c:layout>
      <c:overlay val="0"/>
      <c:spPr>
        <a:noFill/>
        <a:ln>
          <a:noFill/>
        </a:ln>
        <a:effectLst/>
      </c:spPr>
    </c:title>
    <c:autoTitleDeleted val="0"/>
    <c:plotArea>
      <c:layout>
        <c:manualLayout>
          <c:layoutTarget val="inner"/>
          <c:xMode val="edge"/>
          <c:yMode val="edge"/>
          <c:x val="0.15075"/>
          <c:y val="0.20046750524109"/>
          <c:w val="0.83525"/>
          <c:h val="0.595"/>
        </c:manualLayout>
      </c:layout>
      <c:barChart>
        <c:barDir val="col"/>
        <c:grouping val="clustered"/>
        <c:varyColors val="0"/>
        <c:ser>
          <c:idx val="0"/>
          <c:order val="0"/>
          <c:tx>
            <c:strRef>
              <c:f>'[图表(1).xls]Sheet1'!$A$2</c:f>
              <c:strCache>
                <c:ptCount val="1"/>
                <c:pt idx="0">
                  <c:v>      本年收入合计</c:v>
                </c:pt>
              </c:strCache>
            </c:strRef>
          </c:tx>
          <c:spPr>
            <a:solidFill>
              <a:schemeClr val="accent1"/>
            </a:solidFill>
            <a:ln>
              <a:noFill/>
            </a:ln>
            <a:effectLst/>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cap="flat" cmpd="sng" algn="ctr">
                      <a:solidFill>
                        <a:schemeClr val="tx1">
                          <a:shade val="95000"/>
                          <a:satMod val="105000"/>
                        </a:schemeClr>
                      </a:solidFill>
                      <a:prstDash val="solid"/>
                      <a:round/>
                    </a:ln>
                    <a:effectLst/>
                  </c:spPr>
                </c15:leaderLines>
              </c:ext>
            </c:extLst>
          </c:dLbls>
          <c:cat>
            <c:strRef>
              <c:f>'[图表(1).xls]Sheet1'!$B$1:$C$1</c:f>
              <c:strCache>
                <c:ptCount val="2"/>
                <c:pt idx="0">
                  <c:v>2024年</c:v>
                </c:pt>
                <c:pt idx="1">
                  <c:v>2025年</c:v>
                </c:pt>
              </c:strCache>
            </c:strRef>
          </c:cat>
          <c:val>
            <c:numRef>
              <c:f>'[图表(1).xls]Sheet1'!$B$2:$C$2</c:f>
              <c:numCache>
                <c:formatCode>General</c:formatCode>
                <c:ptCount val="2"/>
                <c:pt idx="0">
                  <c:v>357.58</c:v>
                </c:pt>
                <c:pt idx="1">
                  <c:v>427.95</c:v>
                </c:pt>
              </c:numCache>
            </c:numRef>
          </c:val>
        </c:ser>
        <c:ser>
          <c:idx val="1"/>
          <c:order val="1"/>
          <c:tx>
            <c:strRef>
              <c:f>'[图表(1).xls]Sheet1'!$A$3</c:f>
              <c:strCache>
                <c:ptCount val="1"/>
                <c:pt idx="0">
                  <c:v>      本年支出合计</c:v>
                </c:pt>
              </c:strCache>
            </c:strRef>
          </c:tx>
          <c:spPr>
            <a:solidFill>
              <a:schemeClr val="accent3"/>
            </a:solidFill>
            <a:ln>
              <a:noFill/>
            </a:ln>
            <a:effectLst/>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cap="flat" cmpd="sng" algn="ctr">
                      <a:solidFill>
                        <a:schemeClr val="tx1">
                          <a:shade val="95000"/>
                          <a:satMod val="105000"/>
                        </a:schemeClr>
                      </a:solidFill>
                      <a:prstDash val="solid"/>
                      <a:round/>
                    </a:ln>
                    <a:effectLst/>
                  </c:spPr>
                </c15:leaderLines>
              </c:ext>
            </c:extLst>
          </c:dLbls>
          <c:cat>
            <c:strRef>
              <c:f>'[图表(1).xls]Sheet1'!$B$1:$C$1</c:f>
              <c:strCache>
                <c:ptCount val="2"/>
                <c:pt idx="0">
                  <c:v>2024年</c:v>
                </c:pt>
                <c:pt idx="1">
                  <c:v>2025年</c:v>
                </c:pt>
              </c:strCache>
            </c:strRef>
          </c:cat>
          <c:val>
            <c:numRef>
              <c:f>'[图表(1).xls]Sheet1'!$B$3:$C$3</c:f>
              <c:numCache>
                <c:formatCode>General</c:formatCode>
                <c:ptCount val="2"/>
                <c:pt idx="0">
                  <c:v>357.58</c:v>
                </c:pt>
                <c:pt idx="1">
                  <c:v>427.95</c:v>
                </c:pt>
              </c:numCache>
            </c:numRef>
          </c:val>
        </c:ser>
        <c:dLbls>
          <c:showLegendKey val="0"/>
          <c:showVal val="0"/>
          <c:showCatName val="0"/>
          <c:showSerName val="0"/>
          <c:showPercent val="0"/>
          <c:showBubbleSize val="0"/>
        </c:dLbls>
        <c:gapWidth val="219"/>
        <c:overlap val="-10"/>
        <c:axId val="275592547"/>
        <c:axId val="900630853"/>
      </c:barChart>
      <c:catAx>
        <c:axId val="275592547"/>
        <c:scaling>
          <c:orientation val="minMax"/>
        </c:scaling>
        <c:delete val="0"/>
        <c:axPos val="b"/>
        <c:majorTickMark val="none"/>
        <c:minorTickMark val="none"/>
        <c:tickLblPos val="nextTo"/>
        <c:spPr>
          <a:noFill/>
          <a:ln w="3175" cap="flat" cmpd="sng" algn="ctr">
            <a:solidFill>
              <a:srgbClr val="F2F2F2">
                <a:alpha val="100000"/>
              </a:srgbClr>
            </a:solidFill>
            <a:prstDash val="solid"/>
            <a:round/>
          </a:ln>
          <a:effectLst/>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900630853"/>
        <c:crosses val="autoZero"/>
        <c:auto val="1"/>
        <c:lblAlgn val="ctr"/>
        <c:lblOffset val="100"/>
        <c:noMultiLvlLbl val="0"/>
      </c:catAx>
      <c:valAx>
        <c:axId val="900630853"/>
        <c:scaling>
          <c:orientation val="minMax"/>
        </c:scaling>
        <c:delete val="0"/>
        <c:axPos val="l"/>
        <c:majorGridlines>
          <c:spPr>
            <a:ln w="3175" cap="flat" cmpd="sng" algn="ctr">
              <a:solidFill>
                <a:srgbClr val="F2F2F2">
                  <a:alpha val="100000"/>
                </a:srgb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275592547"/>
        <c:crosses val="autoZero"/>
        <c:crossBetween val="between"/>
      </c:valAx>
      <c:spPr>
        <a:noFill/>
        <a:ln w="3175">
          <a:noFill/>
        </a:ln>
        <a:effectLst/>
      </c:spPr>
    </c:plotArea>
    <c:legend>
      <c:legendPos val="r"/>
      <c:layout>
        <c:manualLayout>
          <c:xMode val="edge"/>
          <c:yMode val="edge"/>
          <c:x val="0.33475"/>
          <c:y val="0.8645"/>
          <c:w val="0.326006942885465"/>
          <c:h val="0.10062893081761"/>
        </c:manualLayout>
      </c:layout>
      <c:overlay val="0"/>
      <c:spPr>
        <a:noFill/>
        <a:ln w="12700">
          <a:noFill/>
        </a:ln>
        <a:effectLst/>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chart>
  <c:spPr>
    <a:solidFill>
      <a:srgbClr val="FFFFFF">
        <a:alpha val="100000"/>
      </a:srgbClr>
    </a:solidFill>
    <a:ln w="3175" cap="flat" cmpd="sng" algn="ctr">
      <a:solidFill>
        <a:srgbClr val="FFFFFF">
          <a:alpha val="100000"/>
        </a:srgbClr>
      </a:solidFill>
      <a:prstDash val="solid"/>
      <a:round/>
    </a:ln>
    <a:effectLst/>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收入决算结构图</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2"/>
          <c:y val="-0.01075"/>
        </c:manualLayout>
      </c:layout>
      <c:overlay val="0"/>
      <c:spPr>
        <a:noFill/>
        <a:ln>
          <a:noFill/>
        </a:ln>
        <a:effectLst/>
      </c:spPr>
    </c:title>
    <c:autoTitleDeleted val="0"/>
    <c:plotArea>
      <c:layout>
        <c:manualLayout>
          <c:layoutTarget val="inner"/>
          <c:xMode val="edge"/>
          <c:yMode val="edge"/>
          <c:x val="0.11475"/>
          <c:y val="0.2055"/>
          <c:w val="0.4215"/>
          <c:h val="0.70375"/>
        </c:manualLayout>
      </c:layout>
      <c:pieChart>
        <c:varyColors val="1"/>
        <c:ser>
          <c:idx val="0"/>
          <c:order val="0"/>
          <c:spPr/>
          <c:explosion val="0"/>
          <c:dPt>
            <c:idx val="0"/>
            <c:bubble3D val="0"/>
            <c:explosion val="0"/>
            <c:spPr>
              <a:solidFill>
                <a:schemeClr val="accent1"/>
              </a:solidFill>
              <a:ln>
                <a:noFill/>
              </a:ln>
              <a:effectLst/>
            </c:spPr>
          </c:dPt>
          <c:dPt>
            <c:idx val="1"/>
            <c:bubble3D val="0"/>
            <c:explosion val="0"/>
            <c:spPr>
              <a:solidFill>
                <a:schemeClr val="accent3"/>
              </a:solidFill>
              <a:ln>
                <a:noFill/>
              </a:ln>
              <a:effectLst/>
            </c:spPr>
          </c:dPt>
          <c:dPt>
            <c:idx val="2"/>
            <c:bubble3D val="0"/>
            <c:explosion val="0"/>
            <c:spPr>
              <a:solidFill>
                <a:schemeClr val="accent5"/>
              </a:solidFill>
              <a:ln>
                <a:noFill/>
              </a:ln>
              <a:effectLst/>
            </c:spPr>
          </c:dPt>
          <c:dLbls>
            <c:dLbl>
              <c:idx val="0"/>
              <c:layout>
                <c:manualLayout>
                  <c:x val="4.52755132451285"/>
                  <c:y val="104.45216135865"/>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8.86489915566854"/>
                  <c:y val="20.6607494945566"/>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399.6196131015"/>
                  <c:y val="383.740087583958"/>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a:effectLst/>
                  </c:spPr>
                </c15:leaderLines>
              </c:ext>
            </c:extLst>
          </c:dLbls>
          <c:cat>
            <c:strRef>
              <c:f>'[图表(1).xls]Sheet1'!$G$1:$H$1</c:f>
              <c:strCache>
                <c:ptCount val="2"/>
                <c:pt idx="0">
                  <c:v>一般公共预算财政拨款收入</c:v>
                </c:pt>
                <c:pt idx="1">
                  <c:v>政府基金</c:v>
                </c:pt>
              </c:strCache>
            </c:strRef>
          </c:cat>
          <c:val>
            <c:numRef>
              <c:f>'[图表(1).xls]Sheet1'!$G$2:$I$2</c:f>
              <c:numCache>
                <c:formatCode>General</c:formatCode>
                <c:ptCount val="3"/>
                <c:pt idx="0">
                  <c:v>424.95</c:v>
                </c:pt>
                <c:pt idx="1">
                  <c:v>3</c:v>
                </c:pt>
              </c:numCache>
            </c:numRef>
          </c:val>
        </c:ser>
        <c:dLbls>
          <c:showLegendKey val="0"/>
          <c:showVal val="0"/>
          <c:showCatName val="0"/>
          <c:showSerName val="0"/>
          <c:showPercent val="0"/>
          <c:showBubbleSize val="0"/>
          <c:showLeaderLines val="1"/>
        </c:dLbls>
        <c:firstSliceAng val="0"/>
      </c:pieChart>
      <c:spPr>
        <a:noFill/>
        <a:ln w="3175">
          <a:noFill/>
        </a:ln>
        <a:effectLst/>
      </c:spPr>
    </c:plotArea>
    <c:legend>
      <c:legendPos val="r"/>
      <c:legendEntry>
        <c:idx val="2"/>
        <c:delete val="1"/>
      </c:legendEntry>
      <c:layout>
        <c:manualLayout>
          <c:xMode val="edge"/>
          <c:yMode val="edge"/>
          <c:x val="0.64975"/>
          <c:y val="0.43525"/>
          <c:w val="0.322930800542741"/>
          <c:h val="0.189552575426077"/>
        </c:manualLayout>
      </c:layout>
      <c:overlay val="0"/>
      <c:spPr>
        <a:solidFill>
          <a:srgbClr val="FFFFFF">
            <a:alpha val="100000"/>
          </a:srgbClr>
        </a:solidFill>
        <a:ln w="12700">
          <a:noFill/>
        </a:ln>
        <a:effectLst/>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a:effectLst/>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支出决算结构图</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15"/>
          <c:y val="-0.01075"/>
        </c:manualLayout>
      </c:layout>
      <c:overlay val="0"/>
      <c:spPr>
        <a:noFill/>
        <a:ln>
          <a:noFill/>
        </a:ln>
        <a:effectLst/>
      </c:spPr>
    </c:title>
    <c:autoTitleDeleted val="0"/>
    <c:plotArea>
      <c:layout/>
      <c:pieChart>
        <c:varyColors val="1"/>
        <c:ser>
          <c:idx val="0"/>
          <c:order val="0"/>
          <c:spPr/>
          <c:explosion val="0"/>
          <c:dPt>
            <c:idx val="0"/>
            <c:bubble3D val="0"/>
            <c:explosion val="0"/>
            <c:spPr>
              <a:solidFill>
                <a:schemeClr val="accent1"/>
              </a:solidFill>
              <a:ln>
                <a:noFill/>
              </a:ln>
              <a:effectLst/>
            </c:spPr>
          </c:dPt>
          <c:dPt>
            <c:idx val="1"/>
            <c:bubble3D val="0"/>
            <c:explosion val="0"/>
            <c:spPr>
              <a:solidFill>
                <a:schemeClr val="accent3"/>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a:effectLst/>
                  </c:spPr>
                </c15:leaderLines>
              </c:ext>
            </c:extLst>
          </c:dLbls>
          <c:cat>
            <c:strRef>
              <c:f>'[图表(1).xls]Sheet1'!$A$22:$B$22</c:f>
              <c:strCache>
                <c:ptCount val="2"/>
                <c:pt idx="0">
                  <c:v>基本支出</c:v>
                </c:pt>
                <c:pt idx="1">
                  <c:v>项目支出</c:v>
                </c:pt>
              </c:strCache>
            </c:strRef>
          </c:cat>
          <c:val>
            <c:numRef>
              <c:f>'[图表(1).xls]Sheet1'!$A$23:$B$23</c:f>
              <c:numCache>
                <c:formatCode>General</c:formatCode>
                <c:ptCount val="2"/>
                <c:pt idx="0">
                  <c:v>395.89</c:v>
                </c:pt>
                <c:pt idx="1">
                  <c:v>32.06</c:v>
                </c:pt>
              </c:numCache>
            </c:numRef>
          </c:val>
        </c:ser>
        <c:dLbls>
          <c:showLegendKey val="0"/>
          <c:showVal val="0"/>
          <c:showCatName val="0"/>
          <c:showSerName val="0"/>
          <c:showPercent val="0"/>
          <c:showBubbleSize val="0"/>
          <c:showLeaderLines val="1"/>
        </c:dLbls>
        <c:firstSliceAng val="0"/>
      </c:pieChart>
      <c:spPr>
        <a:noFill/>
        <a:ln w="3175">
          <a:noFill/>
        </a:ln>
        <a:effectLst/>
      </c:spPr>
    </c:plotArea>
    <c:legend>
      <c:legendPos val="r"/>
      <c:layout>
        <c:manualLayout>
          <c:xMode val="edge"/>
          <c:yMode val="edge"/>
          <c:x val="0.891"/>
          <c:y val="0.46325"/>
          <c:w val="0.0925244477540718"/>
          <c:h val="0.155168800476148"/>
        </c:manualLayout>
      </c:layout>
      <c:overlay val="0"/>
      <c:spPr>
        <a:solidFill>
          <a:srgbClr val="FFFFFF">
            <a:alpha val="100000"/>
          </a:srgbClr>
        </a:solidFill>
        <a:ln w="12700">
          <a:noFill/>
        </a:ln>
        <a:effectLst/>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a:effectLst/>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财政拨款收、支决算总计变动情况</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
          <c:y val="-0.01425"/>
        </c:manualLayout>
      </c:layout>
      <c:overlay val="0"/>
      <c:spPr>
        <a:noFill/>
        <a:ln>
          <a:noFill/>
        </a:ln>
        <a:effectLst/>
      </c:spPr>
    </c:title>
    <c:autoTitleDeleted val="0"/>
    <c:plotArea>
      <c:layout/>
      <c:barChart>
        <c:barDir val="col"/>
        <c:grouping val="clustered"/>
        <c:varyColors val="0"/>
        <c:ser>
          <c:idx val="0"/>
          <c:order val="0"/>
          <c:tx>
            <c:strRef>
              <c:f>'[图表(1).xls]Sheet1'!$G$23</c:f>
              <c:strCache>
                <c:ptCount val="1"/>
                <c:pt idx="0">
                  <c:v>      本年财政拨款收入合计</c:v>
                </c:pt>
              </c:strCache>
            </c:strRef>
          </c:tx>
          <c:spPr>
            <a:solidFill>
              <a:schemeClr val="accent1"/>
            </a:solidFill>
            <a:ln>
              <a:noFill/>
            </a:ln>
            <a:effectLst/>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cap="flat" cmpd="sng" algn="ctr">
                      <a:solidFill>
                        <a:schemeClr val="tx1">
                          <a:shade val="95000"/>
                          <a:satMod val="105000"/>
                        </a:schemeClr>
                      </a:solidFill>
                      <a:prstDash val="solid"/>
                      <a:round/>
                    </a:ln>
                    <a:effectLst/>
                  </c:spPr>
                </c15:leaderLines>
              </c:ext>
            </c:extLst>
          </c:dLbls>
          <c:cat>
            <c:strRef>
              <c:f>'[图表(1).xls]Sheet1'!$H$22:$I$22</c:f>
              <c:strCache>
                <c:ptCount val="2"/>
                <c:pt idx="0">
                  <c:v>2024年</c:v>
                </c:pt>
                <c:pt idx="1">
                  <c:v>2025</c:v>
                </c:pt>
              </c:strCache>
            </c:strRef>
          </c:cat>
          <c:val>
            <c:numRef>
              <c:f>'[图表(1).xls]Sheet1'!$H$23:$I$23</c:f>
              <c:numCache>
                <c:formatCode>General</c:formatCode>
                <c:ptCount val="2"/>
                <c:pt idx="0">
                  <c:v>357.58</c:v>
                </c:pt>
                <c:pt idx="1">
                  <c:v>427.95</c:v>
                </c:pt>
              </c:numCache>
            </c:numRef>
          </c:val>
        </c:ser>
        <c:ser>
          <c:idx val="1"/>
          <c:order val="1"/>
          <c:tx>
            <c:strRef>
              <c:f>'[图表(1).xls]Sheet1'!$G$24</c:f>
              <c:strCache>
                <c:ptCount val="1"/>
                <c:pt idx="0">
                  <c:v>      本年财政拨款支出合计</c:v>
                </c:pt>
              </c:strCache>
            </c:strRef>
          </c:tx>
          <c:spPr>
            <a:solidFill>
              <a:schemeClr val="accent3"/>
            </a:solidFill>
            <a:ln>
              <a:noFill/>
            </a:ln>
            <a:effectLst/>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cap="flat" cmpd="sng" algn="ctr">
                      <a:solidFill>
                        <a:schemeClr val="tx1">
                          <a:shade val="95000"/>
                          <a:satMod val="105000"/>
                        </a:schemeClr>
                      </a:solidFill>
                      <a:prstDash val="solid"/>
                      <a:round/>
                    </a:ln>
                    <a:effectLst/>
                  </c:spPr>
                </c15:leaderLines>
              </c:ext>
            </c:extLst>
          </c:dLbls>
          <c:cat>
            <c:strRef>
              <c:f>'[图表(1).xls]Sheet1'!$H$22:$I$22</c:f>
              <c:strCache>
                <c:ptCount val="2"/>
                <c:pt idx="0">
                  <c:v>2024年</c:v>
                </c:pt>
                <c:pt idx="1">
                  <c:v>2025</c:v>
                </c:pt>
              </c:strCache>
            </c:strRef>
          </c:cat>
          <c:val>
            <c:numRef>
              <c:f>'[图表(1).xls]Sheet1'!$H$24:$I$24</c:f>
              <c:numCache>
                <c:formatCode>General</c:formatCode>
                <c:ptCount val="2"/>
                <c:pt idx="0">
                  <c:v>357.58</c:v>
                </c:pt>
                <c:pt idx="1">
                  <c:v>427.95</c:v>
                </c:pt>
              </c:numCache>
            </c:numRef>
          </c:val>
        </c:ser>
        <c:dLbls>
          <c:showLegendKey val="0"/>
          <c:showVal val="0"/>
          <c:showCatName val="0"/>
          <c:showSerName val="0"/>
          <c:showPercent val="0"/>
          <c:showBubbleSize val="0"/>
        </c:dLbls>
        <c:gapWidth val="219"/>
        <c:overlap val="-10"/>
        <c:axId val="828969641"/>
        <c:axId val="188366432"/>
      </c:barChart>
      <c:catAx>
        <c:axId val="828969641"/>
        <c:scaling>
          <c:orientation val="minMax"/>
        </c:scaling>
        <c:delete val="0"/>
        <c:axPos val="b"/>
        <c:majorTickMark val="none"/>
        <c:minorTickMark val="none"/>
        <c:tickLblPos val="nextTo"/>
        <c:spPr>
          <a:noFill/>
          <a:ln w="3175" cap="flat" cmpd="sng" algn="ctr">
            <a:solidFill>
              <a:srgbClr val="000000">
                <a:alpha val="100000"/>
              </a:srgbClr>
            </a:solidFill>
            <a:prstDash val="solid"/>
            <a:round/>
          </a:ln>
          <a:effectLst/>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188366432"/>
        <c:crosses val="autoZero"/>
        <c:auto val="1"/>
        <c:lblAlgn val="ctr"/>
        <c:lblOffset val="100"/>
        <c:noMultiLvlLbl val="0"/>
      </c:catAx>
      <c:valAx>
        <c:axId val="188366432"/>
        <c:scaling>
          <c:orientation val="minMax"/>
        </c:scaling>
        <c:delete val="0"/>
        <c:axPos val="l"/>
        <c:majorGridlines>
          <c:spPr>
            <a:ln w="3175" cap="flat" cmpd="sng" algn="ctr">
              <a:solidFill>
                <a:srgbClr val="000000">
                  <a:alpha val="100000"/>
                </a:srgb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828969641"/>
        <c:crosses val="autoZero"/>
        <c:crossBetween val="between"/>
      </c:valAx>
      <c:spPr>
        <a:noFill/>
        <a:ln w="3175">
          <a:noFill/>
        </a:ln>
        <a:effectLst/>
      </c:spPr>
    </c:plotArea>
    <c:legend>
      <c:legendPos val="b"/>
      <c:layout>
        <c:manualLayout>
          <c:xMode val="edge"/>
          <c:yMode val="edge"/>
          <c:x val="0.1895"/>
          <c:y val="0.8645"/>
          <c:w val="0.62075"/>
          <c:h val="0.104"/>
        </c:manualLayout>
      </c:layout>
      <c:overlay val="0"/>
      <c:spPr>
        <a:noFill/>
        <a:ln w="12700">
          <a:noFill/>
        </a:ln>
        <a:effectLst/>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chart>
  <c:spPr>
    <a:solidFill>
      <a:srgbClr val="FFFFFF">
        <a:alpha val="100000"/>
      </a:srgbClr>
    </a:solidFill>
    <a:ln w="3175" cap="flat" cmpd="sng" algn="ctr">
      <a:solidFill>
        <a:srgbClr val="FFFFFF">
          <a:alpha val="100000"/>
        </a:srgbClr>
      </a:solidFill>
      <a:prstDash val="solid"/>
      <a:round/>
    </a:ln>
    <a:effectLst/>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一般公共预算财政拨款支出决算变动情况</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00175"/>
          <c:y val="-0.01075"/>
        </c:manualLayout>
      </c:layout>
      <c:overlay val="0"/>
      <c:spPr>
        <a:noFill/>
        <a:ln>
          <a:noFill/>
        </a:ln>
        <a:effectLst/>
      </c:spPr>
    </c:title>
    <c:autoTitleDeleted val="0"/>
    <c:plotArea>
      <c:layout>
        <c:manualLayout>
          <c:layoutTarget val="inner"/>
          <c:xMode val="edge"/>
          <c:yMode val="edge"/>
          <c:x val="0.121050084684249"/>
          <c:y val="0.172149122807018"/>
          <c:w val="0.854149528187757"/>
          <c:h val="0.621798245614035"/>
        </c:manualLayout>
      </c:layout>
      <c:barChart>
        <c:barDir val="col"/>
        <c:grouping val="clustered"/>
        <c:varyColors val="0"/>
        <c:ser>
          <c:idx val="0"/>
          <c:order val="0"/>
          <c:tx>
            <c:strRef>
              <c:f>'[图表(2).xls]Sheet1'!$A$44</c:f>
              <c:strCache>
                <c:ptCount val="1"/>
                <c:pt idx="0">
                  <c:v>一般公共预算财政拨款支出</c:v>
                </c:pt>
              </c:strCache>
            </c:strRef>
          </c:tx>
          <c:spPr>
            <a:solidFill>
              <a:schemeClr val="accent1"/>
            </a:solidFill>
            <a:ln>
              <a:noFill/>
            </a:ln>
            <a:effectLst/>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cap="flat" cmpd="sng" algn="ctr">
                      <a:solidFill>
                        <a:schemeClr val="tx1">
                          <a:shade val="95000"/>
                          <a:satMod val="105000"/>
                        </a:schemeClr>
                      </a:solidFill>
                      <a:prstDash val="solid"/>
                      <a:round/>
                    </a:ln>
                    <a:effectLst/>
                  </c:spPr>
                </c15:leaderLines>
              </c:ext>
            </c:extLst>
          </c:dLbls>
          <c:cat>
            <c:strRef>
              <c:f>'[图表(2).xls]Sheet1'!$B$43:$C$43</c:f>
              <c:strCache>
                <c:ptCount val="2"/>
                <c:pt idx="0">
                  <c:v>2024年</c:v>
                </c:pt>
                <c:pt idx="1">
                  <c:v>2025年</c:v>
                </c:pt>
              </c:strCache>
            </c:strRef>
          </c:cat>
          <c:val>
            <c:numRef>
              <c:f>'[图表(2).xls]Sheet1'!$B$44:$C$44</c:f>
              <c:numCache>
                <c:formatCode>#,##0.00</c:formatCode>
                <c:ptCount val="2"/>
                <c:pt idx="0">
                  <c:v>357.58</c:v>
                </c:pt>
                <c:pt idx="1" c:formatCode="General">
                  <c:v>424.95</c:v>
                </c:pt>
              </c:numCache>
            </c:numRef>
          </c:val>
        </c:ser>
        <c:dLbls>
          <c:showLegendKey val="0"/>
          <c:showVal val="0"/>
          <c:showCatName val="0"/>
          <c:showSerName val="0"/>
          <c:showPercent val="0"/>
          <c:showBubbleSize val="0"/>
        </c:dLbls>
        <c:gapWidth val="219"/>
        <c:overlap val="-10"/>
        <c:axId val="609463215"/>
        <c:axId val="342226721"/>
      </c:barChart>
      <c:catAx>
        <c:axId val="609463215"/>
        <c:scaling>
          <c:orientation val="minMax"/>
        </c:scaling>
        <c:delete val="0"/>
        <c:axPos val="b"/>
        <c:majorTickMark val="none"/>
        <c:minorTickMark val="none"/>
        <c:tickLblPos val="nextTo"/>
        <c:spPr>
          <a:noFill/>
          <a:ln w="3175" cap="flat" cmpd="sng" algn="ctr">
            <a:solidFill>
              <a:srgbClr val="000000">
                <a:alpha val="100000"/>
              </a:srgbClr>
            </a:solidFill>
            <a:prstDash val="solid"/>
            <a:round/>
          </a:ln>
          <a:effectLst/>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342226721"/>
        <c:crosses val="autoZero"/>
        <c:auto val="1"/>
        <c:lblAlgn val="ctr"/>
        <c:lblOffset val="100"/>
        <c:noMultiLvlLbl val="0"/>
      </c:catAx>
      <c:valAx>
        <c:axId val="342226721"/>
        <c:scaling>
          <c:orientation val="minMax"/>
        </c:scaling>
        <c:delete val="0"/>
        <c:axPos val="l"/>
        <c:majorGridlines>
          <c:spPr>
            <a:ln w="3175" cap="flat" cmpd="sng" algn="ctr">
              <a:solidFill>
                <a:srgbClr val="000000">
                  <a:alpha val="100000"/>
                </a:srgbClr>
              </a:solidFill>
              <a:prstDash val="solid"/>
              <a:round/>
            </a:ln>
            <a:effectLst/>
          </c:spPr>
        </c:majorGridlines>
        <c:numFmt formatCode="#,##0.00" sourceLinked="1"/>
        <c:majorTickMark val="none"/>
        <c:minorTickMark val="none"/>
        <c:tickLblPos val="nextTo"/>
        <c:spPr>
          <a:noFill/>
          <a:ln w="12700" cap="flat" cmpd="sng" algn="ctr">
            <a:noFill/>
            <a:prstDash val="solid"/>
            <a:round/>
          </a:ln>
          <a:effectLst/>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609463215"/>
        <c:crosses val="autoZero"/>
        <c:crossBetween val="between"/>
      </c:valAx>
      <c:spPr>
        <a:noFill/>
        <a:ln w="3175">
          <a:noFill/>
        </a:ln>
        <a:effectLst/>
      </c:spPr>
    </c:plotArea>
    <c:legend>
      <c:legendPos val="r"/>
      <c:layout>
        <c:manualLayout>
          <c:xMode val="edge"/>
          <c:yMode val="edge"/>
          <c:x val="0.39875"/>
          <c:y val="0.723"/>
          <c:w val="0.3"/>
          <c:h val="0.26575"/>
        </c:manualLayout>
      </c:layout>
      <c:overlay val="0"/>
      <c:spPr>
        <a:noFill/>
        <a:ln w="12700">
          <a:noFill/>
        </a:ln>
        <a:effectLst/>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chart>
  <c:spPr>
    <a:solidFill>
      <a:srgbClr val="FFFFFF">
        <a:alpha val="100000"/>
      </a:srgbClr>
    </a:solidFill>
    <a:ln w="3175" cap="flat" cmpd="sng" algn="ctr">
      <a:solidFill>
        <a:srgbClr val="FFFFFF">
          <a:alpha val="100000"/>
        </a:srgbClr>
      </a:solidFill>
      <a:prstDash val="solid"/>
      <a:round/>
    </a:ln>
    <a:effectLst/>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一般公共预算财政拨款支出决算结构</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2"/>
          <c:y val="0.889"/>
        </c:manualLayout>
      </c:layout>
      <c:overlay val="0"/>
      <c:spPr>
        <a:noFill/>
        <a:ln>
          <a:noFill/>
        </a:ln>
        <a:effectLst/>
      </c:spPr>
    </c:title>
    <c:autoTitleDeleted val="0"/>
    <c:plotArea>
      <c:layout/>
      <c:pieChart>
        <c:varyColors val="1"/>
        <c:ser>
          <c:idx val="0"/>
          <c:order val="0"/>
          <c:spPr/>
          <c:explosion val="0"/>
          <c:dPt>
            <c:idx val="0"/>
            <c:bubble3D val="0"/>
            <c:explosion val="0"/>
            <c:spPr>
              <a:solidFill>
                <a:schemeClr val="accent1"/>
              </a:solidFill>
              <a:ln>
                <a:noFill/>
              </a:ln>
              <a:effectLst/>
            </c:spPr>
          </c:dPt>
          <c:dPt>
            <c:idx val="1"/>
            <c:bubble3D val="0"/>
            <c:explosion val="0"/>
            <c:spPr>
              <a:solidFill>
                <a:schemeClr val="accent3"/>
              </a:solidFill>
              <a:ln>
                <a:noFill/>
              </a:ln>
              <a:effectLst/>
            </c:spPr>
          </c:dPt>
          <c:dPt>
            <c:idx val="2"/>
            <c:bubble3D val="0"/>
            <c:explosion val="0"/>
            <c:spPr>
              <a:solidFill>
                <a:schemeClr val="accent5"/>
              </a:solidFill>
              <a:ln>
                <a:noFill/>
              </a:ln>
              <a:effectLst/>
            </c:spPr>
          </c:dPt>
          <c:dPt>
            <c:idx val="3"/>
            <c:bubble3D val="0"/>
            <c:explosion val="0"/>
            <c:spPr>
              <a:solidFill>
                <a:schemeClr val="accent1">
                  <a:lumMod val="60000"/>
                </a:schemeClr>
              </a:solidFill>
              <a:ln>
                <a:noFill/>
              </a:ln>
              <a:effectLst/>
            </c:spPr>
          </c:dPt>
          <c:dLbls>
            <c:dLbl>
              <c:idx val="0"/>
              <c:layout>
                <c:manualLayout>
                  <c:x val="0.0615011336293887"/>
                  <c:y val="-0.0365839190411225"/>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114462107699565"/>
                  <c:y val="0.0398397182623823"/>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356837401749068"/>
                  <c:y val="-0.0281265329515699"/>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a:effectLst/>
                  </c:spPr>
                </c15:leaderLines>
              </c:ext>
            </c:extLst>
          </c:dLbls>
          <c:cat>
            <c:strRef>
              <c:f>'[图表(2).xls]Sheet1'!$A$64:$D$64</c:f>
              <c:strCache>
                <c:ptCount val="4"/>
                <c:pt idx="0">
                  <c:v>教育支出</c:v>
                </c:pt>
                <c:pt idx="1">
                  <c:v>社会保障和就业支出</c:v>
                </c:pt>
                <c:pt idx="2">
                  <c:v>医疗卫生与计划生育支出</c:v>
                </c:pt>
                <c:pt idx="3">
                  <c:v>住房保障支出</c:v>
                </c:pt>
              </c:strCache>
            </c:strRef>
          </c:cat>
          <c:val>
            <c:numRef>
              <c:f>'[图表(2).xls]Sheet1'!$A$65:$D$65</c:f>
              <c:numCache>
                <c:formatCode>General</c:formatCode>
                <c:ptCount val="4"/>
                <c:pt idx="0">
                  <c:v>320.15</c:v>
                </c:pt>
                <c:pt idx="1">
                  <c:v>53.49</c:v>
                </c:pt>
                <c:pt idx="2">
                  <c:v>20.54</c:v>
                </c:pt>
                <c:pt idx="3">
                  <c:v>30.77</c:v>
                </c:pt>
              </c:numCache>
            </c:numRef>
          </c:val>
        </c:ser>
        <c:dLbls>
          <c:showLegendKey val="0"/>
          <c:showVal val="0"/>
          <c:showCatName val="0"/>
          <c:showSerName val="0"/>
          <c:showPercent val="0"/>
          <c:showBubbleSize val="0"/>
          <c:showLeaderLines val="1"/>
        </c:dLbls>
        <c:firstSliceAng val="0"/>
      </c:pieChart>
      <c:spPr>
        <a:noFill/>
        <a:ln w="3175">
          <a:noFill/>
        </a:ln>
        <a:effectLst/>
      </c:spPr>
    </c:plotArea>
    <c:legend>
      <c:legendPos val="r"/>
      <c:layout>
        <c:manualLayout>
          <c:xMode val="edge"/>
          <c:yMode val="edge"/>
          <c:x val="0.78825"/>
          <c:y val="0.3175"/>
          <c:w val="0.19425"/>
          <c:h val="0.264"/>
        </c:manualLayout>
      </c:layout>
      <c:overlay val="0"/>
      <c:spPr>
        <a:solidFill>
          <a:srgbClr val="FFFFFF">
            <a:alpha val="100000"/>
          </a:srgbClr>
        </a:solidFill>
        <a:ln w="12700">
          <a:noFill/>
        </a:ln>
        <a:effectLst/>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a:effectLst/>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23</Pages>
  <Words>1299</Words>
  <Characters>7410</Characters>
  <Lines>61</Lines>
  <Paragraphs>17</Paragraphs>
  <TotalTime>20</TotalTime>
  <ScaleCrop>false</ScaleCrop>
  <LinksUpToDate>false</LinksUpToDate>
  <CharactersWithSpaces>8692</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Administrator</cp:lastModifiedBy>
  <cp:lastPrinted>2025-08-06T17:34:00Z</cp:lastPrinted>
  <dcterms:modified xsi:type="dcterms:W3CDTF">2026-10-20T07:46:19Z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04787F2533EB45DC91BCDE4AB213247F</vt:lpwstr>
  </property>
</Properties>
</file>