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settings.xml" ContentType="application/vnd.openxmlformats-officedocument.wordprocessingml.setting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24"/>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jc w:val="center"/>
        <w:textAlignment w:val="auto"/>
        <w:rPr>
          <w:rFonts w:ascii="方正小标宋简体" w:eastAsia="方正小标宋简体" w:cs="方正小标宋简体" w:hint="eastAsia"/>
          <w:kern w:val="0"/>
          <w:sz w:val="44"/>
          <w:szCs w:val="44"/>
        </w:rPr>
      </w:pPr>
      <w:r>
        <w:rPr>
          <w:rStyle w:val="25"/>
          <w:rFonts w:ascii="方正小标宋简体" w:eastAsia="方正小标宋简体" w:cs="方正小标宋简体" w:hint="eastAsia"/>
          <w:b/>
          <w:bCs/>
          <w:sz w:val="44"/>
          <w:szCs w:val="44"/>
          <w:shd w:val="clear" w:color="auto" w:fill="FFFFFF"/>
        </w:rPr>
        <w:t>202</w:t>
      </w:r>
      <w:r>
        <w:rPr>
          <w:rStyle w:val="25"/>
          <w:rFonts w:ascii="方正小标宋简体" w:eastAsia="方正小标宋简体" w:cs="方正小标宋简体" w:hint="eastAsia"/>
          <w:b/>
          <w:bCs/>
          <w:sz w:val="44"/>
          <w:szCs w:val="44"/>
          <w:shd w:val="clear" w:color="auto" w:fill="FFFFFF"/>
          <w:lang w:val="en-US" w:eastAsia="zh-CN"/>
        </w:rPr>
        <w:t>5</w:t>
      </w:r>
      <w:r>
        <w:rPr>
          <w:rStyle w:val="25"/>
          <w:rFonts w:ascii="方正小标宋简体" w:eastAsia="方正小标宋简体" w:cs="方正小标宋简体" w:hint="eastAsia"/>
          <w:b/>
          <w:bCs/>
          <w:sz w:val="44"/>
          <w:szCs w:val="44"/>
          <w:shd w:val="clear" w:color="auto" w:fill="FFFFFF"/>
        </w:rPr>
        <w:t>年度</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jc w:val="center"/>
        <w:textAlignment w:val="auto"/>
        <w:rPr>
          <w:rStyle w:val="25"/>
          <w:rFonts w:ascii="方正小标宋简体" w:eastAsia="方正小标宋简体" w:cs="方正小标宋简体" w:hint="eastAsia"/>
          <w:b/>
          <w:bCs/>
          <w:sz w:val="44"/>
          <w:szCs w:val="44"/>
          <w:shd w:val="clear" w:color="auto" w:fill="FFFFFF"/>
        </w:rPr>
      </w:pPr>
      <w:r>
        <w:rPr>
          <w:rStyle w:val="25"/>
          <w:rFonts w:ascii="方正小标宋简体" w:eastAsia="方正小标宋简体" w:cs="方正小标宋简体" w:hint="eastAsia"/>
          <w:b/>
          <w:bCs/>
          <w:sz w:val="44"/>
          <w:szCs w:val="44"/>
          <w:shd w:val="clear" w:color="auto" w:fill="FFFFFF"/>
        </w:rPr>
        <w:t>阿坝州红原县文</w:t>
      </w:r>
      <w:r>
        <w:rPr>
          <w:rStyle w:val="25"/>
          <w:rFonts w:ascii="方正小标宋简体" w:eastAsia="方正小标宋简体" w:cs="方正小标宋简体" w:hint="eastAsia"/>
          <w:b/>
          <w:bCs/>
          <w:sz w:val="44"/>
          <w:szCs w:val="44"/>
          <w:shd w:val="clear" w:color="auto" w:fill="FFFFFF"/>
          <w:lang w:eastAsia="zh-CN"/>
        </w:rPr>
        <w:t>广体旅</w:t>
      </w:r>
      <w:r>
        <w:rPr>
          <w:rStyle w:val="25"/>
          <w:rFonts w:ascii="方正小标宋简体" w:eastAsia="方正小标宋简体" w:cs="方正小标宋简体" w:hint="eastAsia"/>
          <w:b/>
          <w:bCs/>
          <w:sz w:val="44"/>
          <w:szCs w:val="44"/>
          <w:shd w:val="clear" w:color="auto" w:fill="FFFFFF"/>
        </w:rPr>
        <w:t>局（汇总）</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jc w:val="center"/>
        <w:textAlignment w:val="auto"/>
        <w:rPr>
          <w:rFonts w:ascii="方正小标宋简体" w:eastAsia="方正小标宋简体" w:cs="方正小标宋简体" w:hint="eastAsia"/>
          <w:kern w:val="0"/>
          <w:sz w:val="44"/>
          <w:szCs w:val="44"/>
        </w:rPr>
      </w:pPr>
      <w:r>
        <w:rPr>
          <w:rStyle w:val="25"/>
          <w:rFonts w:ascii="方正小标宋简体" w:eastAsia="方正小标宋简体" w:cs="方正小标宋简体" w:hint="eastAsia"/>
          <w:b/>
          <w:bCs/>
          <w:sz w:val="44"/>
          <w:szCs w:val="44"/>
          <w:shd w:val="clear" w:color="auto" w:fill="FFFFFF"/>
        </w:rPr>
        <w:t>部门决算</w:t>
      </w:r>
    </w:p>
    <w:p>
      <w:pPr>
        <w:pStyle w:val="24"/>
        <w:keepNext w:val="0"/>
        <w:keepLines w:val="0"/>
        <w:widowControl/>
        <w:suppressLineNumbers w:val="0"/>
        <w:autoSpaceDE w:val="0"/>
        <w:autoSpaceDN/>
        <w:spacing w:before="0" w:beforeAutospacing="0"/>
        <w:ind w:left="0"/>
        <w:jc w:val="center"/>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center"/>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center"/>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center"/>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center"/>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both"/>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both"/>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both"/>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left"/>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保密审查情况：已审查，内容审定</w:t>
      </w:r>
    </w:p>
    <w:p>
      <w:pPr>
        <w:pStyle w:val="24"/>
        <w:keepNext w:val="0"/>
        <w:keepLines w:val="0"/>
        <w:widowControl/>
        <w:suppressLineNumbers w:val="0"/>
        <w:autoSpaceDE w:val="0"/>
        <w:autoSpaceDN/>
        <w:spacing w:before="0" w:beforeAutospacing="0"/>
        <w:ind w:left="0"/>
        <w:jc w:val="left"/>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 xml:space="preserve">   部门主要负责人审签情况：已审签，同意对外公开</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jc w:val="center"/>
        <w:textAlignment w:val="auto"/>
        <w:rPr>
          <w:rStyle w:val="25"/>
          <w:rFonts w:ascii="方正小标宋简体" w:eastAsia="方正小标宋简体" w:cs="方正小标宋简体" w:hint="eastAsia"/>
          <w:b w:val="0"/>
          <w:bCs w:val="0"/>
          <w:sz w:val="44"/>
          <w:szCs w:val="44"/>
          <w:shd w:val="clear" w:color="auto" w:fill="FFFFFF"/>
        </w:rPr>
      </w:pP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jc w:val="center"/>
        <w:textAlignment w:val="auto"/>
        <w:rPr>
          <w:rStyle w:val="25"/>
          <w:rFonts w:ascii="方正小标宋简体" w:eastAsia="方正小标宋简体" w:cs="方正小标宋简体" w:hint="eastAsia"/>
          <w:b w:val="0"/>
          <w:bCs w:val="0"/>
          <w:sz w:val="44"/>
          <w:szCs w:val="44"/>
          <w:shd w:val="clear" w:color="auto" w:fill="FFFFFF"/>
        </w:rPr>
      </w:pP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jc w:val="center"/>
        <w:textAlignment w:val="auto"/>
        <w:rPr>
          <w:rStyle w:val="25"/>
          <w:rFonts w:ascii="方正小标宋简体" w:eastAsia="方正小标宋简体" w:cs="方正小标宋简体" w:hint="eastAsia"/>
          <w:b w:val="0"/>
          <w:bCs w:val="0"/>
          <w:sz w:val="44"/>
          <w:szCs w:val="44"/>
          <w:shd w:val="clear" w:color="auto" w:fill="FFFFFF"/>
        </w:rPr>
      </w:pP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jc w:val="center"/>
        <w:textAlignment w:val="auto"/>
        <w:rPr>
          <w:rFonts w:ascii="方正小标宋简体" w:eastAsia="方正小标宋简体" w:cs="方正小标宋简体" w:hint="eastAsia"/>
          <w:b w:val="0"/>
          <w:bCs w:val="0"/>
          <w:kern w:val="0"/>
          <w:sz w:val="44"/>
          <w:szCs w:val="44"/>
        </w:rPr>
      </w:pPr>
      <w:r>
        <w:rPr>
          <w:rStyle w:val="25"/>
          <w:rFonts w:ascii="方正小标宋简体" w:eastAsia="方正小标宋简体" w:cs="方正小标宋简体" w:hint="eastAsia"/>
          <w:b w:val="0"/>
          <w:bCs w:val="0"/>
          <w:sz w:val="44"/>
          <w:szCs w:val="44"/>
          <w:shd w:val="clear" w:color="auto" w:fill="FFFFFF"/>
        </w:rPr>
        <w:t>目      录</w:t>
      </w:r>
    </w:p>
    <w:p>
      <w:pPr>
        <w:pStyle w:val="21"/>
        <w:keepNext w:val="0"/>
        <w:keepLines w:val="0"/>
        <w:widowControl/>
        <w:suppressLineNumbers w:val="0"/>
        <w:adjustRightInd w:val="0"/>
        <w:snapToGrid w:val="0"/>
        <w:spacing w:before="0" w:beforeAutospacing="0" w:line="570" w:lineRule="exact"/>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第一部分</w:t>
      </w:r>
      <w:r>
        <w:rPr>
          <w:rFonts w:ascii="仿宋_GB2312" w:eastAsia="仿宋_GB2312" w:cs="宋体" w:hint="eastAsia"/>
          <w:kern w:val="0"/>
          <w:sz w:val="24"/>
          <w:szCs w:val="24"/>
        </w:rPr>
        <w:t xml:space="preserve"> </w:t>
      </w:r>
      <w:r>
        <w:rPr>
          <w:rFonts w:ascii="仿宋_GB2312" w:eastAsia="仿宋_GB2312" w:cs="仿宋_GB2312" w:hint="eastAsia"/>
          <w:kern w:val="0"/>
          <w:sz w:val="24"/>
          <w:szCs w:val="24"/>
        </w:rPr>
        <w:t>部门概况</w:t>
      </w:r>
    </w:p>
    <w:p>
      <w:pPr>
        <w:pStyle w:val="22"/>
        <w:keepNext w:val="0"/>
        <w:keepLines w:val="0"/>
        <w:widowControl/>
        <w:suppressLineNumbers w:val="0"/>
        <w:adjustRightInd w:val="0"/>
        <w:snapToGrid w:val="0"/>
        <w:spacing w:line="570" w:lineRule="exact"/>
        <w:ind w:leftChars="200" w:left="480"/>
        <w:jc w:val="left"/>
        <w:rPr>
          <w:rFonts w:ascii="仿宋_GB2312" w:eastAsia="仿宋_GB2312" w:cs="宋体" w:hint="eastAsia"/>
          <w:kern w:val="0"/>
          <w:sz w:val="24"/>
          <w:szCs w:val="24"/>
        </w:rPr>
      </w:pPr>
      <w:r>
        <w:rPr>
          <w:rFonts w:ascii="仿宋_GB2312" w:eastAsia="仿宋_GB2312" w:cs="仿宋_GB2312" w:hint="eastAsia"/>
          <w:kern w:val="0"/>
          <w:sz w:val="24"/>
          <w:szCs w:val="24"/>
        </w:rPr>
        <w:t>一、基本职能及主要工作........................................3</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二、机构设置..................................................8</w:t>
      </w:r>
    </w:p>
    <w:p>
      <w:pPr>
        <w:pStyle w:val="21"/>
        <w:keepNext w:val="0"/>
        <w:keepLines w:val="0"/>
        <w:widowControl/>
        <w:suppressLineNumbers w:val="0"/>
        <w:adjustRightInd w:val="0"/>
        <w:snapToGrid w:val="0"/>
        <w:spacing w:before="0" w:beforeAutospacing="0" w:line="570" w:lineRule="exact"/>
        <w:jc w:val="left"/>
        <w:rPr>
          <w:rFonts w:ascii="仿宋_GB2312" w:eastAsia="仿宋_GB2312" w:cs="宋体" w:hint="eastAsia"/>
          <w:kern w:val="0"/>
          <w:sz w:val="24"/>
          <w:szCs w:val="24"/>
        </w:rPr>
      </w:pPr>
      <w:r>
        <w:rPr>
          <w:rFonts w:ascii="仿宋_GB2312" w:eastAsia="仿宋_GB2312" w:cs="仿宋_GB2312" w:hint="eastAsia"/>
          <w:kern w:val="0"/>
          <w:sz w:val="24"/>
          <w:szCs w:val="24"/>
        </w:rPr>
        <w:t>第二部分度部门决算情况说明</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一、收入支出决算总体情况说明..................................9</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二、收入决算情况说明..........................................9</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三、支出决算情况说明.........................................10</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四、财政拨款收入支出决算总体情况说明.........................11</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五、一般公共预算财政拨款支出决算情况说明.....................12</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六、一般公共预算财政拨款基本支出决算情况说明.................15</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七、“三公”经费财政拨款支出决算情况说明.....................15</w:t>
      </w:r>
    </w:p>
    <w:p>
      <w:pPr>
        <w:pStyle w:val="22"/>
        <w:keepNext w:val="0"/>
        <w:keepLines w:val="0"/>
        <w:widowControl/>
        <w:suppressLineNumbers w:val="0"/>
        <w:adjustRightInd w:val="0"/>
        <w:snapToGrid w:val="0"/>
        <w:spacing w:line="570" w:lineRule="exact"/>
        <w:ind w:leftChars="200" w:left="480"/>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八、政府性基金预算支出决算情况说明...........................16</w:t>
      </w:r>
    </w:p>
    <w:p>
      <w:pPr>
        <w:pStyle w:val="22"/>
        <w:keepNext w:val="0"/>
        <w:keepLines w:val="0"/>
        <w:widowControl/>
        <w:suppressLineNumbers w:val="0"/>
        <w:adjustRightInd w:val="0"/>
        <w:snapToGrid w:val="0"/>
        <w:spacing w:line="570" w:lineRule="exact"/>
        <w:ind w:leftChars="0" w:left="0"/>
        <w:jc w:val="left"/>
        <w:rPr>
          <w:rFonts w:ascii="宋体" w:eastAsia="宋体" w:cs="宋体" w:hint="eastAsia"/>
          <w:kern w:val="0"/>
          <w:sz w:val="24"/>
          <w:szCs w:val="24"/>
        </w:rPr>
      </w:pPr>
      <w:r>
        <w:rPr>
          <w:rFonts w:ascii="仿宋_GB2312" w:eastAsia="仿宋_GB2312" w:cs="仿宋_GB2312" w:hint="eastAsia"/>
          <w:kern w:val="0"/>
          <w:sz w:val="24"/>
          <w:szCs w:val="24"/>
        </w:rPr>
        <w:t>九、</w:t>
      </w:r>
      <w:r>
        <w:rPr>
          <w:rFonts w:ascii="仿宋_GB2312" w:eastAsia="仿宋_GB2312" w:cs="宋体" w:hint="eastAsia"/>
          <w:kern w:val="0"/>
          <w:sz w:val="24"/>
          <w:szCs w:val="24"/>
        </w:rPr>
        <w:t xml:space="preserve"> </w:t>
      </w:r>
      <w:r>
        <w:rPr>
          <w:rFonts w:ascii="仿宋_GB2312" w:eastAsia="仿宋_GB2312" w:cs="仿宋_GB2312" w:hint="eastAsia"/>
          <w:kern w:val="0"/>
          <w:sz w:val="24"/>
          <w:szCs w:val="24"/>
        </w:rPr>
        <w:t>国有资本经营预算支出决算情况说明.........................16</w:t>
      </w:r>
    </w:p>
    <w:p>
      <w:pPr>
        <w:keepNext w:val="0"/>
        <w:keepLines w:val="0"/>
        <w:widowControl/>
        <w:suppressLineNumbers w:val="0"/>
        <w:rPr>
          <w:rFonts w:ascii="宋体" w:eastAsia="宋体" w:cs="宋体" w:hint="eastAsia"/>
          <w:kern w:val="0"/>
          <w:sz w:val="24"/>
          <w:szCs w:val="24"/>
        </w:rPr>
      </w:pPr>
      <w:r>
        <w:rPr>
          <w:rFonts w:ascii="宋体" w:eastAsia="宋体" w:cs="宋体" w:hint="eastAsia"/>
          <w:kern w:val="0"/>
          <w:sz w:val="24"/>
          <w:szCs w:val="24"/>
        </w:rPr>
        <w:t xml:space="preserve"> </w:t>
      </w:r>
    </w:p>
    <w:p>
      <w:pPr>
        <w:keepNext w:val="0"/>
        <w:keepLines w:val="0"/>
        <w:widowControl/>
        <w:numPr>
          <w:ilvl w:val="0"/>
          <w:numId w:val="1"/>
        </w:numPr>
        <w:suppressLineNumbers w:val="0"/>
        <w:ind w:left="480" w:firstLine="0"/>
        <w:rPr>
          <w:rFonts w:ascii="仿宋_GB2312" w:eastAsia="仿宋_GB2312" w:cs="宋体" w:hint="eastAsia"/>
          <w:kern w:val="0"/>
          <w:sz w:val="24"/>
          <w:szCs w:val="24"/>
        </w:rPr>
      </w:pPr>
      <w:r>
        <w:rPr>
          <w:rFonts w:ascii="仿宋_GB2312" w:eastAsia="仿宋_GB2312" w:cs="仿宋_GB2312" w:hint="eastAsia"/>
          <w:kern w:val="0"/>
          <w:sz w:val="24"/>
          <w:szCs w:val="24"/>
        </w:rPr>
        <w:t>其他重要事项的情况说明...................................17</w:t>
      </w:r>
    </w:p>
    <w:p>
      <w:pPr>
        <w:pStyle w:val="26"/>
        <w:keepNext w:val="0"/>
        <w:keepLines w:val="0"/>
        <w:widowControl/>
        <w:numPr>
          <w:ilvl w:val="0"/>
          <w:numId w:val="1"/>
        </w:numPr>
        <w:suppressLineNumbers w:val="0"/>
        <w:ind w:left="480" w:firstLine="0"/>
        <w:rPr>
          <w:rFonts w:ascii="Arial" w:eastAsia="宋体" w:cs="宋体" w:hAnsi="Arial"/>
          <w:kern w:val="0"/>
          <w:sz w:val="24"/>
          <w:szCs w:val="24"/>
        </w:rPr>
      </w:pPr>
      <w:r>
        <w:rPr>
          <w:rFonts w:ascii="宋体" w:eastAsia="宋体" w:cs="宋体" w:hint="eastAsia"/>
          <w:kern w:val="0"/>
          <w:sz w:val="24"/>
          <w:szCs w:val="24"/>
        </w:rPr>
        <w:t>预算绩效管理情况</w:t>
      </w:r>
      <w:r>
        <w:rPr>
          <w:rFonts w:ascii="仿宋_GB2312" w:eastAsia="仿宋_GB2312" w:cs="仿宋_GB2312" w:hint="eastAsia"/>
          <w:kern w:val="0"/>
          <w:sz w:val="24"/>
          <w:szCs w:val="24"/>
        </w:rPr>
        <w:t>.......................................18</w:t>
      </w:r>
    </w:p>
    <w:p>
      <w:pPr>
        <w:pStyle w:val="21"/>
        <w:keepNext w:val="0"/>
        <w:keepLines w:val="0"/>
        <w:widowControl/>
        <w:suppressLineNumbers w:val="0"/>
        <w:adjustRightInd w:val="0"/>
        <w:snapToGrid w:val="0"/>
        <w:spacing w:before="0" w:beforeAutospacing="0" w:line="570" w:lineRule="exact"/>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第三部分</w:t>
      </w:r>
      <w:r>
        <w:rPr>
          <w:rFonts w:ascii="仿宋_GB2312" w:eastAsia="仿宋_GB2312" w:cs="宋体" w:hint="eastAsia"/>
          <w:kern w:val="0"/>
          <w:sz w:val="24"/>
          <w:szCs w:val="24"/>
        </w:rPr>
        <w:t xml:space="preserve"> </w:t>
      </w:r>
      <w:r>
        <w:rPr>
          <w:rFonts w:ascii="仿宋_GB2312" w:eastAsia="仿宋_GB2312" w:cs="仿宋_GB2312" w:hint="eastAsia"/>
          <w:kern w:val="0"/>
          <w:sz w:val="24"/>
          <w:szCs w:val="24"/>
        </w:rPr>
        <w:t>名词解释................................................40</w:t>
      </w:r>
    </w:p>
    <w:p>
      <w:pPr>
        <w:pStyle w:val="21"/>
        <w:keepNext w:val="0"/>
        <w:keepLines w:val="0"/>
        <w:widowControl/>
        <w:suppressLineNumbers w:val="0"/>
        <w:adjustRightInd w:val="0"/>
        <w:snapToGrid w:val="0"/>
        <w:spacing w:before="0" w:beforeAutospacing="0" w:line="570" w:lineRule="exact"/>
        <w:jc w:val="left"/>
        <w:rPr>
          <w:rFonts w:ascii="仿宋_GB2312" w:eastAsia="仿宋_GB2312" w:cs="Times New Roman" w:hint="eastAsia"/>
          <w:kern w:val="0"/>
          <w:sz w:val="24"/>
          <w:szCs w:val="24"/>
        </w:rPr>
      </w:pPr>
      <w:r>
        <w:rPr>
          <w:rFonts w:ascii="仿宋_GB2312" w:eastAsia="仿宋_GB2312" w:cs="仿宋_GB2312" w:hint="eastAsia"/>
          <w:kern w:val="0"/>
          <w:sz w:val="24"/>
          <w:szCs w:val="24"/>
        </w:rPr>
        <w:t>第四部分</w:t>
      </w:r>
      <w:r>
        <w:rPr>
          <w:rFonts w:ascii="仿宋_GB2312" w:eastAsia="仿宋_GB2312" w:cs="宋体" w:hint="eastAsia"/>
          <w:kern w:val="0"/>
          <w:sz w:val="24"/>
          <w:szCs w:val="24"/>
        </w:rPr>
        <w:t xml:space="preserve"> </w:t>
      </w:r>
      <w:r>
        <w:rPr>
          <w:rFonts w:ascii="仿宋_GB2312" w:eastAsia="仿宋_GB2312" w:cs="仿宋_GB2312" w:hint="eastAsia"/>
          <w:kern w:val="0"/>
          <w:sz w:val="24"/>
          <w:szCs w:val="24"/>
        </w:rPr>
        <w:t>绩效评价报告............................................43</w:t>
      </w:r>
    </w:p>
    <w:p>
      <w:pPr>
        <w:pStyle w:val="24"/>
        <w:keepNext w:val="0"/>
        <w:keepLines w:val="0"/>
        <w:widowControl/>
        <w:suppressLineNumbers w:val="0"/>
        <w:autoSpaceDE w:val="0"/>
        <w:autoSpaceDN/>
        <w:spacing w:before="0" w:beforeAutospacing="0"/>
        <w:ind w:left="0"/>
        <w:jc w:val="left"/>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left"/>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widowControl/>
        <w:suppressLineNumbers w:val="0"/>
        <w:autoSpaceDE w:val="0"/>
        <w:autoSpaceDN/>
        <w:spacing w:before="0" w:beforeAutospacing="0"/>
        <w:ind w:left="0"/>
        <w:jc w:val="left"/>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 xml:space="preserve"> </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76" w:lineRule="exact"/>
        <w:ind w:left="0"/>
        <w:jc w:val="center"/>
        <w:textAlignment w:val="auto"/>
        <w:rPr>
          <w:rFonts w:ascii="黑体" w:eastAsia="黑体" w:cs="黑体" w:hint="eastAsia"/>
          <w:kern w:val="0"/>
          <w:sz w:val="32"/>
          <w:szCs w:val="32"/>
        </w:rPr>
      </w:pPr>
      <w:r>
        <w:rPr>
          <w:rStyle w:val="25"/>
          <w:rFonts w:ascii="黑体" w:eastAsia="黑体" w:cs="黑体" w:hint="eastAsia"/>
          <w:b/>
          <w:bCs/>
          <w:sz w:val="32"/>
          <w:szCs w:val="32"/>
          <w:shd w:val="clear" w:color="auto" w:fill="FFFFFF"/>
        </w:rPr>
        <w:t>第一部分</w:t>
      </w:r>
      <w:r>
        <w:rPr>
          <w:rStyle w:val="25"/>
          <w:rFonts w:ascii="黑体" w:eastAsia="黑体" w:cs="黑体" w:hint="eastAsia"/>
          <w:b/>
          <w:bCs/>
          <w:sz w:val="32"/>
          <w:szCs w:val="32"/>
          <w:shd w:val="clear" w:color="auto" w:fill="FFFFFF"/>
          <w:lang w:val="en-US" w:eastAsia="zh-CN"/>
        </w:rPr>
        <w:t xml:space="preserve">  </w:t>
      </w:r>
      <w:r>
        <w:rPr>
          <w:rStyle w:val="25"/>
          <w:rFonts w:ascii="黑体" w:eastAsia="黑体" w:cs="黑体" w:hint="eastAsia"/>
          <w:b/>
          <w:bCs/>
          <w:sz w:val="32"/>
          <w:szCs w:val="32"/>
          <w:shd w:val="clear" w:color="auto" w:fill="FFFFFF"/>
        </w:rPr>
        <w:t xml:space="preserve"> 部门概况</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76" w:lineRule="exact"/>
        <w:ind w:left="0"/>
        <w:jc w:val="left"/>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76" w:lineRule="exact"/>
        <w:ind w:left="0"/>
        <w:jc w:val="left"/>
        <w:textAlignment w:val="auto"/>
        <w:rPr>
          <w:rFonts w:ascii="黑体" w:eastAsia="黑体" w:cs="黑体" w:hint="eastAsia"/>
          <w:b/>
          <w:bCs/>
          <w:kern w:val="0"/>
          <w:sz w:val="32"/>
          <w:szCs w:val="32"/>
        </w:rPr>
      </w:pPr>
      <w:r>
        <w:rPr>
          <w:rStyle w:val="25"/>
          <w:rFonts w:ascii="黑体" w:eastAsia="黑体" w:cs="黑体" w:hint="eastAsia"/>
          <w:b/>
          <w:bCs/>
          <w:sz w:val="32"/>
          <w:szCs w:val="32"/>
          <w:shd w:val="clear" w:color="auto" w:fill="FFFFFF"/>
        </w:rPr>
        <w:t>一、基本职能及主要工作</w:t>
      </w:r>
    </w:p>
    <w:p>
      <w:pPr>
        <w:keepNext w:val="0"/>
        <w:keepLines w:val="0"/>
        <w:pageBreakBefore w:val="0"/>
        <w:widowControl/>
        <w:suppressLineNumbers w:val="0"/>
        <w:kinsoku/>
        <w:wordWrap/>
        <w:overflowPunct/>
        <w:topLinePunct w:val="0"/>
        <w:autoSpaceDN/>
        <w:bidi w:val="0"/>
        <w:spacing w:line="576" w:lineRule="exact"/>
        <w:ind w:left="0" w:firstLineChars="200" w:firstLine="640"/>
        <w:textAlignment w:val="auto"/>
        <w:rPr>
          <w:rFonts w:ascii="楷体_GB2312" w:eastAsia="楷体_GB2312" w:cs="楷体_GB2312" w:hint="eastAsia"/>
          <w:b/>
          <w:bCs/>
          <w:kern w:val="0"/>
          <w:sz w:val="32"/>
          <w:szCs w:val="32"/>
          <w:shd w:val="clear" w:color="auto" w:fill="FFFFFF"/>
        </w:rPr>
      </w:pPr>
      <w:r>
        <w:rPr>
          <w:rFonts w:ascii="楷体_GB2312" w:eastAsia="楷体_GB2312" w:cs="楷体_GB2312" w:hint="eastAsia"/>
          <w:b/>
          <w:bCs/>
          <w:kern w:val="0"/>
          <w:sz w:val="32"/>
          <w:szCs w:val="32"/>
          <w:shd w:val="clear" w:color="auto" w:fill="FFFFFF"/>
        </w:rPr>
        <w:t>（一）主要职能。</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1.拟订文化、广电、体育和旅游政策措施，拟订全县网络视听节目服务管理的政策措施。起草文化、广电、体育和旅游自治法规、规范性文件草案，负责本部门依法行政工作，</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2.加强广播电视阵地建设，把握正确的舆论导向和创作导向。负责利用广播电视加强党和政府的声音传播力，抢占舆论高地，强化舆论反制，巩固意识形态阵地。研究制定全县广播电视宣传工作计划，组织实施广播电视的重大宣传和报道工作，负责对广播电视节目审查把关，把握正确的舆论导向，发挥舆论监督作用;负责制订全县广播电视事业发展规划，组织实施广播电视工程项目建设;负责全县广播电视的技术开发、设备选型和配置，负责建设、维护、管理广播电视网络和公共设施，保证线路畅通和设备正常运行;负责本县级广播电视人才的培训、培养、引进和使用工作，建立统分结合、机动灵活、因事设岗、精干高效的管理体制。</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3.推进文化、广电、体育、旅游体制机制改革。组织推动全县文化、广电、体育事业和旅游业发展，拟订发展规划并组织实施。推进文化、广电、体育和旅游产业融合发展，促进文化、广电、体育和旅游与相关产业融合发展。</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4.组织实施全县文化、广电、体育和旅游资源的普查保护与利用。管理全县性重大文化、广电、体育和旅游活动，组织全县重点文化、广电、体育和旅游设施建设。</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5.组织实施全县文化、广电、体育和旅游整体形象推广促进文化、广电、体育和旅游产业市场推广和对外合作交流。制定文化、广电、体育和旅游市场开发战略并组织实施，推进全域旅游。负责管理文化、广电、体育和旅游国内外交流合作与宣传推广工作，组织大型文化、广电、体育和旅游对外及对港澳台交流活动。</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6.负责对全县各类广播电视机构进行业务指导和行业监管，会同有关部门对网络视听节目服务机构进行管理。组织实施广播电视节目评价工作，监督管理、审查广播电视和网络视听节目的内容和质量，指导、监管广播电视广告播放。</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7.负责指导推进电视剧行业发展和创作生产。推进广播电视与新媒体技术新业态融合发展、推进广电网与电信网、互联网三网融合。负责广播电视节目传输覆盖、检测和安全播出的监督管理，指导、推进应急广播体系建设。</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8.弘扬优秀传统文化，推动红原本地特色文化传承发展。指导管理辖区内文艺事业，把握正确的创作导向，推动文化艺术创作生产，扶持体现社会主义核心价值观、具有导向性代表性示范性的文化艺术作品，推动各门类艺术、各艺术品种发展。</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9.负责公共文化、广电和体育事业发展，推进全县公共文化、广电、体育服务体系建设和旅游公共服务建设，深入实施惠民工程，统筹推进文化、广电、体育和旅游基本公共服务标准化、均等化。</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10.负责文化、广电、体育和旅游行业信息化、标准化建设，推进文化、广电和旅游科技创新。负责全县体育科研、技术攻关和成果推广。</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11.负责非物质文化遗产保护工作，推动非物质文化遗产的传承、普及、弘扬和振兴。</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12.管理和指导全县文物保护、利用和考古工作，组织开展文物资源调查工作。协调、指导和监督全县文物安全工作履行文物行政督察职能。负责全县世界文化遗产保护和管理工作协同相关部门开展世界文化与自然遗产、历史文化名村(镇)申报和管理工作。负责全县文物和博物馆公共服务体系建设。</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13.贯彻落实全民健身计划，建立和完善全民健身服务体系，指导和开展群众性体育活动。负责社会体育指导员培训、国民体质监测和高危体育项目管理。负责挖掘、传承、保护全县少数民族传统体育项目。协助体育彩票销售的监督管理。</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14.指导体育训练和运动员队伍建设，协调运动员社会保障工作，统筹组织全县综合性运动会、组织参加县内外体育竞赛和综合性运动会。负责反兴奋剂监督工作。</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15.负责拟订全县青少年(学校)体育工作发展规划并组织实施。负责青少年体育锻炼标准的组织实施，指导辖区内体育学校的建设和青少年业余训练及相关活动。</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16.推动全县文化、广电、体育和旅游市场发展，对全州文化、广电、体育和旅游市场依法进行行业监管，依法规范文化、广电、体育和旅游市场。推进文化、广电、体育和旅游行业信用体系建设。</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17.负责全县旅游景区管理机构、文旅企业的行业管理和标准化建设。</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18.统筹指导全县文化、广电、体育、旅游市场综合行政执法，规范文化、广电、体育、旅游行政执法，组织查处全县性、跨区域文化、文物、广电、体育、旅游等违法行为，督查督办大案要案。</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19.负责文化、广电、体育和旅游行业安全生产工作的综合协调与监督管理，制定职责范围内的安全生产年度监督检查计划并组织实施。依法履行行业职业健康监管职责，承担职责范围内生态环境保护、公共机构节能减排、审批服务便民化等工作。负责本系统“放管服”改革，承担本部门权责清单制度建设、动态调整等工作。</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76" w:lineRule="exact"/>
        <w:ind w:firstLineChars="200" w:firstLine="640"/>
        <w:jc w:val="both"/>
        <w:rPr>
          <w:rFonts w:ascii="仿宋_GB2312" w:eastAsia="仿宋_GB2312" w:hint="eastAsia"/>
          <w:vanish w:val="0"/>
          <w:kern w:val="0"/>
          <w:sz w:val="32"/>
          <w:szCs w:val="32"/>
        </w:rPr>
      </w:pPr>
      <w:r>
        <w:rPr>
          <w:rFonts w:ascii="仿宋_GB2312" w:eastAsia="仿宋_GB2312" w:hint="eastAsia"/>
          <w:vanish w:val="0"/>
          <w:kern w:val="0"/>
          <w:sz w:val="32"/>
          <w:szCs w:val="32"/>
        </w:rPr>
        <w:t>20.完成县委、县政府交办的其他任务。</w:t>
      </w:r>
    </w:p>
    <w:p>
      <w:pPr>
        <w:keepNext w:val="0"/>
        <w:keepLines w:val="0"/>
        <w:pageBreakBefore w:val="0"/>
        <w:widowControl/>
        <w:suppressLineNumbers w:val="0"/>
        <w:kinsoku/>
        <w:wordWrap/>
        <w:overflowPunct/>
        <w:topLinePunct w:val="0"/>
        <w:autoSpaceDN/>
        <w:bidi w:val="0"/>
        <w:spacing w:line="576" w:lineRule="exact"/>
        <w:ind w:left="0" w:firstLineChars="200" w:firstLine="640"/>
        <w:textAlignment w:val="auto"/>
        <w:rPr>
          <w:rFonts w:ascii="楷体_GB2312" w:eastAsia="楷体_GB2312" w:cs="楷体_GB2312" w:hint="eastAsia"/>
          <w:b/>
          <w:bCs/>
          <w:kern w:val="0"/>
          <w:sz w:val="32"/>
          <w:szCs w:val="32"/>
          <w:shd w:val="clear" w:color="auto" w:fill="FFFFFF"/>
        </w:rPr>
      </w:pPr>
      <w:r>
        <w:rPr>
          <w:rFonts w:ascii="楷体_GB2312" w:eastAsia="楷体_GB2312" w:cs="楷体_GB2312" w:hint="eastAsia"/>
          <w:b/>
          <w:bCs/>
          <w:kern w:val="0"/>
          <w:sz w:val="32"/>
          <w:szCs w:val="32"/>
          <w:shd w:val="clear" w:color="auto" w:fill="FFFFFF"/>
        </w:rPr>
        <w:t>（二）202</w:t>
      </w:r>
      <w:r>
        <w:rPr>
          <w:rFonts w:ascii="楷体_GB2312" w:eastAsia="楷体_GB2312" w:cs="楷体_GB2312" w:hint="eastAsia"/>
          <w:b/>
          <w:bCs/>
          <w:kern w:val="0"/>
          <w:sz w:val="32"/>
          <w:szCs w:val="32"/>
          <w:shd w:val="clear" w:color="auto" w:fill="FFFFFF"/>
          <w:lang w:val="en-US" w:eastAsia="zh-CN"/>
        </w:rPr>
        <w:t>5</w:t>
      </w:r>
      <w:r>
        <w:rPr>
          <w:rFonts w:ascii="楷体_GB2312" w:eastAsia="楷体_GB2312" w:cs="楷体_GB2312" w:hint="eastAsia"/>
          <w:b/>
          <w:bCs/>
          <w:kern w:val="0"/>
          <w:sz w:val="32"/>
          <w:szCs w:val="32"/>
          <w:shd w:val="clear" w:color="auto" w:fill="FFFFFF"/>
        </w:rPr>
        <w:t>年重点工作完成情况。</w:t>
      </w:r>
    </w:p>
    <w:p>
      <w:pPr>
        <w:keepNext w:val="0"/>
        <w:keepLines w:val="0"/>
        <w:pageBreakBefore w:val="0"/>
        <w:widowControl/>
        <w:suppressLineNumbers w:val="0"/>
        <w:kinsoku/>
        <w:wordWrap/>
        <w:overflowPunct/>
        <w:topLinePunct w:val="0"/>
        <w:autoSpaceDE/>
        <w:autoSpaceDN/>
        <w:bidi w:val="0"/>
        <w:adjustRightInd/>
        <w:snapToGrid/>
        <w:spacing w:line="576" w:lineRule="exact"/>
        <w:ind w:left="0" w:firstLineChars="200" w:firstLine="640"/>
        <w:jc w:val="left"/>
        <w:textAlignment w:val="auto"/>
        <w:rPr>
          <w:rFonts w:ascii="Times New Roman" w:eastAsia="仿宋_GB2312" w:cs="仿宋_GB2312" w:hAnsi="Times New Roman" w:hint="eastAsia"/>
          <w:caps w:val="0"/>
          <w:smallCaps w:val="0"/>
          <w:color w:val="auto"/>
          <w:kern w:val="0"/>
          <w:sz w:val="32"/>
          <w:szCs w:val="32"/>
          <w:vertAlign w:val="baseline"/>
          <w:lang w:val="en-US" w:eastAsia="zh-CN"/>
        </w:rPr>
      </w:pPr>
      <w:r>
        <w:rPr>
          <w:rFonts w:ascii="Times New Roman" w:eastAsia="仿宋_GB2312" w:cs="仿宋_GB2312" w:hAnsi="Times New Roman" w:hint="eastAsia"/>
          <w:caps w:val="0"/>
          <w:smallCaps w:val="0"/>
          <w:color w:val="auto"/>
          <w:kern w:val="0"/>
          <w:sz w:val="32"/>
          <w:szCs w:val="32"/>
          <w:vertAlign w:val="baseline"/>
          <w:lang w:val="en-US" w:eastAsia="zh-CN"/>
        </w:rPr>
        <w:t>2025年聚焦公共服务、遗产保护、产业发展、全民健身等核心任务，以重大项目为支撑，以特色活动为抓手，推动文广体旅各项工作取得阶段性成效，为县域经济社会发展注入强劲动力。</w:t>
      </w:r>
    </w:p>
    <w:p>
      <w:pPr>
        <w:pStyle w:val="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jc w:val="both"/>
        <w:textAlignment w:val="auto"/>
        <w:rPr>
          <w:rFonts w:ascii="楷体_GB2312" w:eastAsia="楷体_GB2312" w:cs="楷体_GB2312" w:hint="eastAsia"/>
          <w:caps w:val="0"/>
          <w:smallCaps w:val="0"/>
          <w:color w:val="auto"/>
          <w:kern w:val="0"/>
          <w:sz w:val="32"/>
          <w:szCs w:val="32"/>
          <w:vertAlign w:val="baseline"/>
          <w:lang w:val="en-US" w:eastAsia="zh-CN"/>
        </w:rPr>
      </w:pPr>
      <w:r>
        <w:rPr>
          <w:rFonts w:ascii="楷体_GB2312" w:eastAsia="楷体_GB2312" w:cs="楷体_GB2312" w:hint="eastAsia"/>
          <w:caps w:val="0"/>
          <w:smallCaps w:val="0"/>
          <w:color w:val="auto"/>
          <w:kern w:val="0"/>
          <w:sz w:val="32"/>
          <w:szCs w:val="32"/>
          <w:vertAlign w:val="baseline"/>
          <w:lang w:val="en-US" w:eastAsia="zh-CN"/>
        </w:rPr>
        <w:t>完善公共文化服务体系，惠民效能持续释放。</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Chars="200" w:firstLine="640"/>
        <w:jc w:val="both"/>
        <w:textAlignment w:val="auto"/>
        <w:rPr>
          <w:rFonts w:ascii="Times New Roman" w:eastAsia="仿宋_GB2312" w:cs="仿宋_GB2312" w:hAnsi="Times New Roman" w:hint="eastAsia"/>
          <w:caps w:val="0"/>
          <w:smallCaps w:val="0"/>
          <w:color w:val="auto"/>
          <w:kern w:val="0"/>
          <w:sz w:val="32"/>
          <w:szCs w:val="32"/>
          <w:vertAlign w:val="baseline"/>
          <w:lang w:val="en-US" w:eastAsia="zh-CN"/>
        </w:rPr>
      </w:pPr>
      <w:r>
        <w:rPr>
          <w:rFonts w:ascii="Times New Roman" w:eastAsia="仿宋_GB2312" w:cs="仿宋_GB2312" w:hAnsi="Times New Roman" w:hint="eastAsia"/>
          <w:b w:val="0"/>
          <w:bCs/>
          <w:caps w:val="0"/>
          <w:smallCaps w:val="0"/>
          <w:color w:val="auto"/>
          <w:kern w:val="0"/>
          <w:sz w:val="32"/>
          <w:szCs w:val="32"/>
          <w:vertAlign w:val="baseline"/>
          <w:lang w:val="en-US" w:eastAsia="zh-CN"/>
        </w:rPr>
        <w:t>以保障群众基本文化权益为核心，不断优化服务供给，提升公共文化服务均等化、专业化水平。落实民生资金使用，</w:t>
      </w:r>
      <w:r>
        <w:rPr>
          <w:rFonts w:ascii="仿宋_GB2312" w:eastAsia="仿宋_GB2312" w:cs="仿宋_GB2312" w:hint="eastAsia"/>
          <w:b w:val="0"/>
          <w:bCs/>
          <w:caps w:val="0"/>
          <w:smallCaps w:val="0"/>
          <w:color w:val="auto"/>
          <w:kern w:val="0"/>
          <w:sz w:val="32"/>
          <w:szCs w:val="32"/>
          <w:vertAlign w:val="baseline"/>
          <w:lang w:val="en-US" w:eastAsia="zh-CN"/>
        </w:rPr>
        <w:t>依据“两馆”免费开放资金管理办法，规范县级场馆及乡镇综合服务中心资金使用审核流程，确保免费开放资金精准投放、效益最大化。全年持续提供文献借阅、艺术培训、展览展示等免费服务，服务群众超4万人次。文化供给丰富多元，截至目前累计开展“送戏下乡”“送文化下乡”等惠民活动60余场次，覆盖全县所有乡镇，通过藏戏展演、锅庄教学、文艺汇演等形式，让牧民群众在家门口享受文化盛宴。同时组织本土文艺团队走出红原，赴浙江永嘉县、成都、重庆、青海等地开展展演交流，促进地域文化交融互鉴。</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firstLineChars="200" w:firstLine="640"/>
        <w:textAlignment w:val="auto"/>
        <w:rPr>
          <w:rFonts w:ascii="楷体_GB2312" w:eastAsia="楷体_GB2312" w:cs="楷体_GB2312" w:hint="eastAsia"/>
          <w:caps w:val="0"/>
          <w:smallCaps w:val="0"/>
          <w:color w:val="auto"/>
          <w:kern w:val="0"/>
          <w:sz w:val="32"/>
          <w:szCs w:val="32"/>
          <w:vertAlign w:val="baseline"/>
          <w:lang w:val="en-US" w:eastAsia="zh-CN"/>
        </w:rPr>
      </w:pPr>
      <w:r>
        <w:rPr>
          <w:rFonts w:ascii="楷体_GB2312" w:eastAsia="楷体_GB2312" w:cs="楷体_GB2312" w:hint="eastAsia"/>
          <w:caps w:val="0"/>
          <w:smallCaps w:val="0"/>
          <w:color w:val="auto"/>
          <w:kern w:val="0"/>
          <w:sz w:val="32"/>
          <w:szCs w:val="32"/>
          <w:vertAlign w:val="baseline"/>
          <w:lang w:val="en-US" w:eastAsia="zh-CN"/>
        </w:rPr>
        <w:t>2.加强文化遗产保护传承，民族根脉不断延续。</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firstLineChars="200" w:firstLine="640"/>
        <w:textAlignment w:val="auto"/>
        <w:rPr>
          <w:rFonts w:ascii="Times New Roman" w:eastAsia="仿宋_GB2312" w:cs="仿宋_GB2312" w:hAnsi="Times New Roman" w:hint="eastAsia"/>
          <w:caps w:val="0"/>
          <w:smallCaps w:val="0"/>
          <w:color w:val="auto"/>
          <w:kern w:val="0"/>
          <w:sz w:val="32"/>
          <w:szCs w:val="32"/>
          <w:vertAlign w:val="baseline"/>
          <w:lang w:val="en-US" w:eastAsia="zh-CN"/>
        </w:rPr>
      </w:pPr>
      <w:r>
        <w:rPr>
          <w:rFonts w:ascii="Times New Roman" w:eastAsia="仿宋_GB2312" w:cs="仿宋_GB2312" w:hAnsi="Times New Roman" w:hint="eastAsia"/>
          <w:b w:val="0"/>
          <w:bCs/>
          <w:caps w:val="0"/>
          <w:smallCaps w:val="0"/>
          <w:color w:val="auto"/>
          <w:kern w:val="0"/>
          <w:sz w:val="32"/>
          <w:szCs w:val="32"/>
          <w:vertAlign w:val="baseline"/>
          <w:lang w:val="en-US" w:eastAsia="zh-CN"/>
        </w:rPr>
        <w:t>坚持“保护为主、抢救第一、合理利用、传承发展”方针，扎实推进文物保护与非遗传承工作，守护高原文化瑰宝。与各乡镇签订文物安全责任书，构建“县乡联动”文物安全防控网络，有效防范化解文物盗窃、损毁等安全风险。有序推进全国第四次文物普查，完成县保实有名录、“三普”消失文物的核查上报工作，实现全县文物复查全覆盖。</w:t>
      </w:r>
      <w:r>
        <w:rPr>
          <w:rFonts w:ascii="仿宋_GB2312" w:eastAsia="仿宋_GB2312" w:cs="仿宋_GB2312" w:hint="eastAsia"/>
          <w:b w:val="0"/>
          <w:bCs/>
          <w:caps w:val="0"/>
          <w:smallCaps w:val="0"/>
          <w:color w:val="auto"/>
          <w:kern w:val="0"/>
          <w:sz w:val="32"/>
          <w:szCs w:val="32"/>
          <w:vertAlign w:val="baseline"/>
          <w:lang w:val="en-US" w:eastAsia="zh-CN"/>
        </w:rPr>
        <w:t>成功完成39名第八批县级非物质文化遗产代表性传承人的征集、推荐与公示工作；麦洼藏戏成功申报为第七批省级非遗；我县牦牛绒手工制作非遗工坊获评第三批四川省优秀非遗工坊；红原县邛钦马术演艺有限责任公司(红原民间马术队)被州委评为“非遗保护传承与创新发展激励单位”，红原县阿拉巴扎非遗工坊、红原县壤口席郎丘佩药香生产工坊被州委评为“阿坝州优秀非遗工坊”，非遗保护成果显著。</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jc w:val="both"/>
        <w:textAlignment w:val="auto"/>
        <w:rPr>
          <w:rFonts w:ascii="楷体_GB2312" w:eastAsia="楷体_GB2312" w:cs="楷体_GB2312" w:hint="eastAsia"/>
          <w:caps w:val="0"/>
          <w:smallCaps w:val="0"/>
          <w:color w:val="auto"/>
          <w:kern w:val="0"/>
          <w:sz w:val="32"/>
          <w:szCs w:val="32"/>
          <w:vertAlign w:val="baseline"/>
          <w:lang w:val="en-US" w:eastAsia="zh-CN"/>
        </w:rPr>
      </w:pPr>
      <w:r>
        <w:rPr>
          <w:rFonts w:ascii="楷体_GB2312" w:eastAsia="楷体_GB2312" w:cs="楷体_GB2312" w:hint="eastAsia"/>
          <w:caps w:val="0"/>
          <w:smallCaps w:val="0"/>
          <w:color w:val="auto"/>
          <w:kern w:val="0"/>
          <w:sz w:val="32"/>
          <w:szCs w:val="32"/>
          <w:vertAlign w:val="baseline"/>
          <w:lang w:val="en-US" w:eastAsia="zh-CN"/>
        </w:rPr>
        <w:t>3.拓宽引客引流渠道，文旅产业稳步提升。</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jc w:val="both"/>
        <w:textAlignment w:val="auto"/>
        <w:rPr>
          <w:rFonts w:ascii="Times New Roman" w:eastAsia="仿宋_GB2312" w:cs="仿宋_GB2312" w:hAnsi="Times New Roman" w:hint="eastAsia"/>
          <w:caps w:val="0"/>
          <w:smallCaps w:val="0"/>
          <w:color w:val="auto"/>
          <w:kern w:val="0"/>
          <w:sz w:val="32"/>
          <w:szCs w:val="32"/>
          <w:vertAlign w:val="baseline"/>
          <w:lang w:val="en-US" w:eastAsia="zh-CN"/>
        </w:rPr>
      </w:pPr>
      <w:r>
        <w:rPr>
          <w:rFonts w:ascii="仿宋_GB2312" w:eastAsia="仿宋_GB2312" w:cs="仿宋_GB2312" w:hint="eastAsia"/>
          <w:b w:val="0"/>
          <w:bCs/>
          <w:caps w:val="0"/>
          <w:smallCaps w:val="0"/>
          <w:color w:val="auto"/>
          <w:kern w:val="0"/>
          <w:sz w:val="32"/>
          <w:szCs w:val="32"/>
          <w:vertAlign w:val="baseline"/>
          <w:lang w:val="en-US" w:eastAsia="zh-CN"/>
        </w:rPr>
        <w:t>以核心IP打造为引领，通过活动造势、品牌推广、服务升级，推动旅游市场持续复苏，文旅产业成为县域经济重要增长极。产业规模持续扩大，1-11月全县接待游客335万人次，实现旅游综合收入27.94亿元，同比分别增长12%和10.9%。创新推出“骑着骏马游草原”核心IP，规划打造7条经典旅游路线，将草原风光、非遗民俗、高原美食等元素与旅游深度融合，丰富游客体验维度。重大活动引爆市场，依据《红原县2025年雅克系列重大文旅活动推进工作实施方案》，7-8月成功举办自驾中国阿龙路越野活动、童话公路自行车赛、第八届雅克音乐季、2025全国射御运动会红原站、红原牦牛文化节等系列活动。活动期间接待游客48.56万人次，实现旅游收入3.8亿元，同比分别增长55%和58.3%，其中雅克音乐季以“爱红原·AI雅克·爱上红军长征走过的大草原”为主题，融合AI交互、无人机表演等科技元素，线上曝光量超10亿次。服务品牌深入人心，打造“好客红原”服务品牌，旅游旺季在景区设立志愿服务点，组织本土文艺团队开展非遗展演；举办“好客之州—全民服务旅游提能大讲堂”“文旅产业高质量发展专题培训”等活动，200余名从业人员参加州级宣传营销能力提升培训，服务专业化水平显著提升。宣传推广多维发力，参与“天下九寨沟 大美阿坝州”全国行北京站、上海站、温州站推介活动，发布最新文旅宣传片；运营微信公众号、视频号、抖音、小红书等新媒体账号，截至目前累计发布推文及视频480余条，总浏览量超1.1亿次，有效扩大红原文旅知名度与影响力。</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textAlignment w:val="auto"/>
        <w:rPr>
          <w:rFonts w:ascii="楷体_GB2312" w:eastAsia="楷体_GB2312" w:cs="楷体_GB2312" w:hint="eastAsia"/>
          <w:caps w:val="0"/>
          <w:smallCaps w:val="0"/>
          <w:color w:val="auto"/>
          <w:kern w:val="0"/>
          <w:sz w:val="32"/>
          <w:szCs w:val="32"/>
          <w:vertAlign w:val="baseline"/>
          <w:lang w:val="en-US" w:eastAsia="zh-CN"/>
        </w:rPr>
      </w:pPr>
      <w:r>
        <w:rPr>
          <w:rFonts w:ascii="楷体_GB2312" w:eastAsia="楷体_GB2312" w:cs="楷体_GB2312" w:hint="eastAsia"/>
          <w:caps w:val="0"/>
          <w:smallCaps w:val="0"/>
          <w:color w:val="auto"/>
          <w:kern w:val="0"/>
          <w:sz w:val="32"/>
          <w:szCs w:val="32"/>
          <w:vertAlign w:val="baseline"/>
          <w:lang w:val="en-US" w:eastAsia="zh-CN"/>
        </w:rPr>
        <w:t>4.做深做实全民健身，体育事业蓬勃发展。</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textAlignment w:val="auto"/>
        <w:rPr>
          <w:rFonts w:ascii="仿宋_GB2312" w:eastAsia="仿宋_GB2312" w:cs="仿宋_GB2312" w:hint="eastAsia"/>
          <w:b w:val="0"/>
          <w:bCs/>
          <w:caps w:val="0"/>
          <w:smallCaps w:val="0"/>
          <w:color w:val="auto"/>
          <w:kern w:val="0"/>
          <w:sz w:val="32"/>
          <w:szCs w:val="32"/>
          <w:vertAlign w:val="baseline"/>
          <w:lang w:val="en-US" w:eastAsia="zh-CN"/>
        </w:rPr>
      </w:pPr>
      <w:r>
        <w:rPr>
          <w:rFonts w:ascii="Times New Roman" w:eastAsia="仿宋_GB2312" w:cs="仿宋_GB2312" w:hAnsi="Times New Roman" w:hint="eastAsia"/>
          <w:b w:val="0"/>
          <w:bCs/>
          <w:caps w:val="0"/>
          <w:smallCaps w:val="0"/>
          <w:color w:val="auto"/>
          <w:kern w:val="0"/>
          <w:sz w:val="32"/>
          <w:szCs w:val="32"/>
          <w:vertAlign w:val="baseline"/>
          <w:lang w:val="en-US" w:eastAsia="zh-CN"/>
        </w:rPr>
        <w:t>以完善体育设施、举办品牌赛事为抓手，推动全民健身与竞技体育协同发展，增强群众身体素质。</w:t>
      </w:r>
      <w:r>
        <w:rPr>
          <w:rFonts w:ascii="仿宋_GB2312" w:eastAsia="仿宋_GB2312" w:cs="仿宋_GB2312" w:hint="eastAsia"/>
          <w:b w:val="0"/>
          <w:bCs/>
          <w:caps w:val="0"/>
          <w:smallCaps w:val="0"/>
          <w:color w:val="auto"/>
          <w:kern w:val="0"/>
          <w:sz w:val="32"/>
          <w:szCs w:val="32"/>
          <w:vertAlign w:val="baseline"/>
          <w:lang w:val="en-US" w:eastAsia="zh-CN"/>
        </w:rPr>
        <w:t>体育设施不断完善，完成县全民健身中心维修维护，补充采购乡镇（村）篮球框架等体育器材，为群众健身提供硬件保障。赛事成绩硕果累累，在2025年四川“百城千乡万村”系列赛事中，斩获阿坝县第四届“莲宝叶则杯”川甘青篮球明星邀请赛第一名、州第三届全民健身运动会走跑（5KM）及拔河比赛双冠军，荣获第二届“腊子口和谐杯”五省区高原篮球邀请赛冠军。成功举办首届全国射御运动会红原站、雅克杯第十八届赛马大赛（650匹马参赛，吸引游客6.5万人次，直播观看55万+次）及第二十一届“雅克杯”农牧民篮球赛，营造浓厚体育氛围。</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firstLineChars="200" w:firstLine="640"/>
        <w:textAlignment w:val="auto"/>
        <w:rPr>
          <w:rFonts w:ascii="楷体_GB2312" w:eastAsia="楷体_GB2312" w:cs="楷体_GB2312" w:hint="eastAsia"/>
          <w:caps w:val="0"/>
          <w:smallCaps w:val="0"/>
          <w:color w:val="auto"/>
          <w:kern w:val="0"/>
          <w:sz w:val="32"/>
          <w:szCs w:val="32"/>
          <w:vertAlign w:val="baseline"/>
          <w:lang w:val="en-US" w:eastAsia="zh-CN"/>
        </w:rPr>
      </w:pPr>
      <w:r>
        <w:rPr>
          <w:rFonts w:ascii="楷体_GB2312" w:eastAsia="楷体_GB2312" w:cs="楷体_GB2312" w:hint="eastAsia"/>
          <w:caps w:val="0"/>
          <w:smallCaps w:val="0"/>
          <w:color w:val="auto"/>
          <w:kern w:val="0"/>
          <w:sz w:val="32"/>
          <w:szCs w:val="32"/>
          <w:vertAlign w:val="baseline"/>
          <w:lang w:val="en-US" w:eastAsia="zh-CN"/>
        </w:rPr>
        <w:t>5.推进重点项目建设，发展基础持续夯实。</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textAlignment w:val="auto"/>
        <w:rPr>
          <w:rFonts w:ascii="仿宋_GB2312" w:eastAsia="仿宋_GB2312" w:cs="仿宋_GB2312" w:hint="eastAsia"/>
          <w:b w:val="0"/>
          <w:bCs/>
          <w:caps w:val="0"/>
          <w:smallCaps w:val="0"/>
          <w:color w:val="auto"/>
          <w:kern w:val="0"/>
          <w:sz w:val="32"/>
          <w:szCs w:val="32"/>
          <w:vertAlign w:val="baseline"/>
          <w:lang w:val="en-US" w:eastAsia="zh-CN"/>
        </w:rPr>
      </w:pPr>
      <w:r>
        <w:rPr>
          <w:rFonts w:ascii="仿宋_GB2312" w:eastAsia="仿宋_GB2312" w:cs="仿宋_GB2312" w:hint="eastAsia"/>
          <w:b w:val="0"/>
          <w:bCs/>
          <w:caps w:val="0"/>
          <w:smallCaps w:val="0"/>
          <w:color w:val="auto"/>
          <w:kern w:val="0"/>
          <w:sz w:val="32"/>
          <w:szCs w:val="32"/>
          <w:vertAlign w:val="baseline"/>
          <w:lang w:val="en-US" w:eastAsia="zh-CN"/>
        </w:rPr>
        <w:t>2025年实施重点项目9个，总投资7330万元，其中2024年续建项目3个（总投资4455万元）、2025年新开工项目6个（总投资2875万元），项目建设有序推进。新开工项目：“绵阿手牵手·万人上红原”项目已完成合同既定服务内容并于2025年11月7日完成验收，总进度达100%；“骑着骏马游草原”设施提档升级项目于2025年11月11日完成竣工验收，总进度达100%；红原县农文体旅融合示范项目已完成挂网招标，计划12月18日开标并及时开展货物生产及相关工作；红原县旅游节点基础设施提升改造项目已于2025年10月27日完成竣工验收，总进度达100%；IP打造项目已拨付预付款60%，正按合同服务内容有序开展相关服务内容；红原县月亮湾4A级景区提升项目已于8月20日竣工。续建项目圆满收官：全域旅游景观节点打造（二期）于2025年9月12日完成竣工验收，计划12月底前完成资金拨付；安曲镇牧旅融合项目8月12日竣工。</w:t>
      </w:r>
    </w:p>
    <w:p>
      <w:pPr>
        <w:pStyle w:val="3"/>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576" w:lineRule="exact"/>
        <w:ind w:left="0" w:firstLineChars="200" w:firstLine="640"/>
        <w:textAlignment w:val="auto"/>
      </w:pPr>
      <w:r>
        <w:rPr>
          <w:rFonts w:ascii="楷体_GB2312" w:eastAsia="楷体_GB2312" w:cs="楷体_GB2312" w:hint="eastAsia"/>
          <w:caps w:val="0"/>
          <w:smallCaps w:val="0"/>
          <w:color w:val="auto"/>
          <w:kern w:val="0"/>
          <w:sz w:val="32"/>
          <w:szCs w:val="32"/>
          <w:vertAlign w:val="baseline"/>
          <w:lang w:val="en-US" w:eastAsia="zh-CN"/>
        </w:rPr>
        <w:t>规范文旅市场秩序，发展环境持续优化。</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right="0" w:firstLineChars="200" w:firstLine="640"/>
        <w:textAlignment w:val="auto"/>
      </w:pPr>
      <w:r>
        <w:rPr>
          <w:rFonts w:ascii="仿宋_GB2312" w:eastAsia="仿宋_GB2312" w:cs="仿宋_GB2312" w:hint="eastAsia"/>
          <w:b w:val="0"/>
          <w:bCs/>
          <w:caps w:val="0"/>
          <w:smallCaps w:val="0"/>
          <w:color w:val="auto"/>
          <w:kern w:val="0"/>
          <w:sz w:val="32"/>
          <w:szCs w:val="32"/>
          <w:vertAlign w:val="baseline"/>
          <w:lang w:val="en-US" w:eastAsia="zh-CN"/>
        </w:rPr>
        <w:t>以执法监管为保障、安全防控为底线，营造规范有序、安全放心的文旅市场环境。执法监管常态化，累计出动执法人员434人次，检查文旅企业216家次，发放宣传资料800份，引导经营者依法依规经营，市场秩序持续规范。安全防控无死角，深化文旅领域安全专项整治，常态化开展安全检查，筑牢安全生产防线。完成129人马术旅游技术安全培训，122人取得社会体育指导员证书，夯实马产业安全基础。投诉处置高效化，全年受理涉旅投诉77宗（座机投诉28宗、12345平台投诉49宗）、信访案件2宗，处理率、结案率均达100%，游客满意度99%，未发生恶性投诉及重大安全事故。</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76" w:lineRule="exact"/>
        <w:ind w:left="0" w:firstLineChars="200" w:firstLine="640"/>
        <w:jc w:val="left"/>
        <w:textAlignment w:val="auto"/>
        <w:rPr>
          <w:rFonts w:ascii="黑体" w:eastAsia="黑体" w:cs="黑体" w:hint="eastAsia"/>
          <w:kern w:val="0"/>
          <w:sz w:val="32"/>
          <w:szCs w:val="32"/>
        </w:rPr>
      </w:pPr>
      <w:r>
        <w:rPr>
          <w:rStyle w:val="25"/>
          <w:rFonts w:ascii="黑体" w:eastAsia="黑体" w:cs="黑体" w:hint="eastAsia"/>
          <w:b/>
          <w:bCs/>
          <w:sz w:val="32"/>
          <w:szCs w:val="32"/>
          <w:shd w:val="clear" w:color="auto" w:fill="FFFFFF"/>
        </w:rPr>
        <w:t>二、机构设置</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after="0" w:afterAutospacing="0" w:line="560" w:lineRule="exact"/>
        <w:ind w:firstLineChars="200" w:firstLine="640"/>
        <w:jc w:val="both"/>
        <w:rPr>
          <w:rFonts w:ascii="仿宋_GB2312" w:eastAsia="仿宋_GB2312" w:cs="宋体" w:hint="eastAsia"/>
          <w:vanish w:val="0"/>
          <w:kern w:val="0"/>
          <w:sz w:val="32"/>
          <w:szCs w:val="32"/>
        </w:rPr>
      </w:pPr>
      <w:r>
        <w:rPr>
          <w:rFonts w:ascii="仿宋_GB2312" w:eastAsia="仿宋_GB2312" w:hint="eastAsia"/>
          <w:vanish w:val="0"/>
          <w:kern w:val="0"/>
          <w:sz w:val="32"/>
          <w:szCs w:val="32"/>
        </w:rPr>
        <w:t>红原县文化广播电视体育和旅游局下属二级单位4个，其中行政单位0个，参照公务员法管理的事业单位1个，其他事业单位3个。</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spacing w:line="560" w:lineRule="exact"/>
        <w:ind w:left="0" w:firstLineChars="200" w:firstLine="640"/>
        <w:jc w:val="both"/>
        <w:rPr>
          <w:rFonts w:ascii="仿宋_GB2312" w:eastAsia="仿宋_GB2312"/>
          <w:sz w:val="32"/>
          <w:szCs w:val="32"/>
        </w:rPr>
      </w:pPr>
      <w:r>
        <w:rPr>
          <w:rFonts w:ascii="仿宋_GB2312" w:eastAsia="仿宋_GB2312" w:hint="eastAsia"/>
          <w:vanish w:val="0"/>
          <w:kern w:val="0"/>
          <w:sz w:val="32"/>
          <w:szCs w:val="32"/>
        </w:rPr>
        <w:t xml:space="preserve">本单位本年度纳入本套决算编制范围的独立编制机构共3个，比上年增加0个，独立核算机构数共1个，比上年增加0个。 </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76" w:lineRule="exact"/>
        <w:ind w:left="0" w:firstLineChars="200" w:firstLine="640"/>
        <w:jc w:val="left"/>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rPr>
        <w:t>本单位人员编制共计</w:t>
      </w:r>
      <w:r>
        <w:rPr>
          <w:rFonts w:ascii="仿宋_GB2312" w:eastAsia="仿宋_GB2312" w:cs="仿宋_GB2312" w:hint="eastAsia"/>
          <w:kern w:val="0"/>
          <w:sz w:val="32"/>
          <w:szCs w:val="32"/>
          <w:lang w:val="en-US" w:eastAsia="zh-CN"/>
        </w:rPr>
        <w:t>43</w:t>
      </w:r>
      <w:r>
        <w:rPr>
          <w:rFonts w:ascii="仿宋_GB2312" w:eastAsia="仿宋_GB2312" w:cs="仿宋_GB2312" w:hint="eastAsia"/>
          <w:kern w:val="0"/>
          <w:sz w:val="32"/>
          <w:szCs w:val="32"/>
        </w:rPr>
        <w:t>人。202</w:t>
      </w:r>
      <w:r>
        <w:rPr>
          <w:rFonts w:ascii="仿宋_GB2312" w:eastAsia="仿宋_GB2312" w:cs="仿宋_GB2312" w:hint="eastAsia"/>
          <w:kern w:val="0"/>
          <w:sz w:val="32"/>
          <w:szCs w:val="32"/>
          <w:lang w:val="en-US" w:eastAsia="zh-CN"/>
        </w:rPr>
        <w:t>5</w:t>
      </w:r>
      <w:r>
        <w:rPr>
          <w:rFonts w:ascii="仿宋_GB2312" w:eastAsia="仿宋_GB2312" w:cs="仿宋_GB2312" w:hint="eastAsia"/>
          <w:kern w:val="0"/>
          <w:sz w:val="32"/>
          <w:szCs w:val="32"/>
        </w:rPr>
        <w:t>年人员调动</w:t>
      </w:r>
      <w:r>
        <w:rPr>
          <w:rFonts w:ascii="仿宋_GB2312" w:eastAsia="仿宋_GB2312" w:cs="仿宋_GB2312" w:hint="eastAsia"/>
          <w:kern w:val="0"/>
          <w:sz w:val="32"/>
          <w:szCs w:val="32"/>
          <w:lang w:val="en-US" w:eastAsia="zh-CN"/>
        </w:rPr>
        <w:t>11</w:t>
      </w:r>
      <w:r>
        <w:rPr>
          <w:rFonts w:ascii="仿宋_GB2312" w:eastAsia="仿宋_GB2312" w:cs="仿宋_GB2312" w:hint="eastAsia"/>
          <w:kern w:val="0"/>
          <w:sz w:val="32"/>
          <w:szCs w:val="32"/>
        </w:rPr>
        <w:t xml:space="preserve">人。 </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hint="eastAsia"/>
          <w:lang w:val="en-US" w:eastAsia="zh-CN"/>
        </w:rPr>
        <w:sectPr>
          <w:pgSz w:w="11915" w:h="16851"/>
          <w:pgMar w:top="1440" w:right="1800" w:bottom="1440" w:left="1800" w:header="851" w:footer="992" w:gutter="0"/>
          <w:docGrid w:type="lines" w:linePitch="312" w:charSpace="0"/>
        </w:sect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center"/>
        <w:textAlignment w:val="auto"/>
        <w:rPr>
          <w:rFonts w:ascii="黑体" w:eastAsia="黑体" w:cs="黑体" w:hint="eastAsia"/>
          <w:kern w:val="0"/>
          <w:sz w:val="32"/>
          <w:szCs w:val="32"/>
        </w:rPr>
      </w:pPr>
      <w:r>
        <w:rPr>
          <w:rStyle w:val="25"/>
          <w:rFonts w:ascii="黑体" w:eastAsia="黑体" w:cs="黑体" w:hint="eastAsia"/>
          <w:b/>
          <w:bCs/>
          <w:sz w:val="32"/>
          <w:szCs w:val="32"/>
          <w:shd w:val="clear" w:color="auto" w:fill="FFFFFF"/>
        </w:rPr>
        <w:t>第二部分 202</w:t>
      </w:r>
      <w:r>
        <w:rPr>
          <w:rStyle w:val="25"/>
          <w:rFonts w:ascii="黑体" w:eastAsia="黑体" w:cs="黑体" w:hint="eastAsia"/>
          <w:b/>
          <w:bCs/>
          <w:sz w:val="32"/>
          <w:szCs w:val="32"/>
          <w:shd w:val="clear" w:color="auto" w:fill="FFFFFF"/>
          <w:lang w:val="en-US" w:eastAsia="zh-CN"/>
        </w:rPr>
        <w:t>5</w:t>
      </w:r>
      <w:r>
        <w:rPr>
          <w:rStyle w:val="25"/>
          <w:rFonts w:ascii="黑体" w:eastAsia="黑体" w:cs="黑体" w:hint="eastAsia"/>
          <w:b/>
          <w:bCs/>
          <w:sz w:val="32"/>
          <w:szCs w:val="32"/>
          <w:shd w:val="clear" w:color="auto" w:fill="FFFFFF"/>
        </w:rPr>
        <w:t>年度部门决算情况说明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center"/>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 xml:space="preserve"> </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Fonts w:ascii="黑体" w:eastAsia="黑体" w:cs="黑体" w:hint="eastAsia"/>
          <w:kern w:val="0"/>
          <w:sz w:val="32"/>
          <w:szCs w:val="32"/>
        </w:rPr>
      </w:pPr>
      <w:r>
        <w:rPr>
          <w:rStyle w:val="25"/>
          <w:rFonts w:ascii="黑体" w:eastAsia="黑体" w:cs="黑体" w:hint="eastAsia"/>
          <w:b/>
          <w:bCs/>
          <w:sz w:val="32"/>
          <w:szCs w:val="32"/>
          <w:shd w:val="clear" w:color="auto" w:fill="FFFFFF"/>
        </w:rPr>
        <w:t>一、收入支出决算总体情况说明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年度收、支总计</w:t>
      </w:r>
      <w:r>
        <w:rPr>
          <w:rFonts w:ascii="仿宋_GB2312" w:eastAsia="仿宋_GB2312" w:cs="仿宋_GB2312" w:hint="eastAsia"/>
          <w:kern w:val="0"/>
          <w:sz w:val="32"/>
          <w:szCs w:val="32"/>
          <w:shd w:val="clear" w:color="auto" w:fill="FFFFFF"/>
          <w:lang w:val="en-US" w:eastAsia="zh-CN"/>
        </w:rPr>
        <w:t>5,639.88</w:t>
      </w:r>
      <w:r>
        <w:rPr>
          <w:rFonts w:ascii="仿宋_GB2312" w:eastAsia="仿宋_GB2312" w:cs="仿宋_GB2312" w:hint="eastAsia"/>
          <w:kern w:val="0"/>
          <w:sz w:val="32"/>
          <w:szCs w:val="32"/>
          <w:shd w:val="clear" w:color="auto" w:fill="FFFFFF"/>
        </w:rPr>
        <w:t>万元。与202</w:t>
      </w:r>
      <w:r>
        <w:rPr>
          <w:rFonts w:ascii="仿宋_GB2312" w:eastAsia="仿宋_GB2312" w:cs="仿宋_GB2312" w:hint="eastAsia"/>
          <w:kern w:val="0"/>
          <w:sz w:val="32"/>
          <w:szCs w:val="32"/>
          <w:shd w:val="clear" w:color="auto" w:fill="FFFFFF"/>
          <w:lang w:val="en-US" w:eastAsia="zh-CN"/>
        </w:rPr>
        <w:t>4</w:t>
      </w:r>
      <w:r>
        <w:rPr>
          <w:rFonts w:ascii="仿宋_GB2312" w:eastAsia="仿宋_GB2312" w:cs="仿宋_GB2312" w:hint="eastAsia"/>
          <w:kern w:val="0"/>
          <w:sz w:val="32"/>
          <w:szCs w:val="32"/>
          <w:shd w:val="clear" w:color="auto" w:fill="FFFFFF"/>
        </w:rPr>
        <w:t>年相比，收、支总计</w:t>
      </w:r>
      <w:r>
        <w:rPr>
          <w:rFonts w:ascii="仿宋_GB2312" w:eastAsia="仿宋_GB2312" w:cs="仿宋_GB2312" w:hint="eastAsia"/>
          <w:kern w:val="0"/>
          <w:sz w:val="32"/>
          <w:szCs w:val="32"/>
          <w:shd w:val="clear" w:color="auto" w:fill="FFFFFF"/>
          <w:lang w:val="en-US" w:eastAsia="zh-CN"/>
        </w:rPr>
        <w:t>各减少</w:t>
      </w:r>
      <w:r>
        <w:rPr>
          <w:rFonts w:ascii="仿宋_GB2312" w:eastAsia="仿宋_GB2312" w:cs="仿宋_GB2312" w:hint="eastAsia"/>
          <w:kern w:val="0"/>
          <w:sz w:val="32"/>
          <w:szCs w:val="32"/>
          <w:shd w:val="clear" w:color="auto" w:fill="FFFFFF"/>
        </w:rPr>
        <w:t>1</w:t>
      </w:r>
      <w:r>
        <w:rPr>
          <w:rFonts w:ascii="仿宋_GB2312" w:eastAsia="仿宋_GB2312" w:cs="仿宋_GB2312" w:hint="eastAsia"/>
          <w:kern w:val="0"/>
          <w:sz w:val="32"/>
          <w:szCs w:val="32"/>
          <w:shd w:val="clear" w:color="auto" w:fill="FFFFFF"/>
          <w:lang w:val="en-US" w:eastAsia="zh-CN"/>
        </w:rPr>
        <w:t>94.67</w:t>
      </w:r>
      <w:r>
        <w:rPr>
          <w:rFonts w:ascii="仿宋_GB2312" w:eastAsia="仿宋_GB2312" w:cs="仿宋_GB2312" w:hint="eastAsia"/>
          <w:kern w:val="0"/>
          <w:sz w:val="32"/>
          <w:szCs w:val="32"/>
          <w:shd w:val="clear" w:color="auto" w:fill="FFFFFF"/>
        </w:rPr>
        <w:t>万元，</w:t>
      </w:r>
      <w:r>
        <w:rPr>
          <w:rFonts w:ascii="仿宋_GB2312" w:eastAsia="仿宋_GB2312" w:cs="仿宋_GB2312" w:hint="eastAsia"/>
          <w:kern w:val="0"/>
          <w:sz w:val="32"/>
          <w:szCs w:val="32"/>
          <w:shd w:val="clear" w:color="auto" w:fill="FFFFFF"/>
          <w:lang w:val="en-US" w:eastAsia="zh-CN"/>
        </w:rPr>
        <w:t>下降3.34</w:t>
      </w:r>
      <w:r>
        <w:rPr>
          <w:rFonts w:ascii="仿宋_GB2312" w:eastAsia="仿宋_GB2312" w:cs="仿宋_GB2312" w:hint="eastAsia"/>
          <w:kern w:val="0"/>
          <w:sz w:val="32"/>
          <w:szCs w:val="32"/>
          <w:shd w:val="clear" w:color="auto" w:fill="FFFFFF"/>
        </w:rPr>
        <w:t>%。主要变动原因是202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年项目</w:t>
      </w:r>
      <w:r>
        <w:rPr>
          <w:rFonts w:ascii="仿宋_GB2312" w:eastAsia="仿宋_GB2312" w:cs="仿宋_GB2312" w:hint="eastAsia"/>
          <w:kern w:val="0"/>
          <w:sz w:val="32"/>
          <w:szCs w:val="32"/>
          <w:shd w:val="clear" w:color="auto" w:fill="FFFFFF"/>
          <w:lang w:val="en-US" w:eastAsia="zh-CN"/>
        </w:rPr>
        <w:t>支出减少</w:t>
      </w:r>
      <w:r>
        <w:rPr>
          <w:rFonts w:ascii="仿宋_GB2312" w:eastAsia="仿宋_GB2312" w:cs="仿宋_GB2312" w:hint="eastAsia"/>
          <w:kern w:val="0"/>
          <w:sz w:val="32"/>
          <w:szCs w:val="32"/>
          <w:shd w:val="clear" w:color="auto" w:fill="FFFFFF"/>
        </w:rPr>
        <w:t>。</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p>
    <w:p>
      <w:r>
        <w:drawing>
          <wp:anchor distT="0" distB="0" distL="114300" distR="114300" simplePos="0" relativeHeight="21" behindDoc="0" locked="0" layoutInCell="1" hidden="0" allowOverlap="1">
            <wp:simplePos x="0" y="0"/>
            <wp:positionH relativeFrom="column">
              <wp:posOffset>44449</wp:posOffset>
            </wp:positionH>
            <wp:positionV relativeFrom="paragraph">
              <wp:posOffset>13335</wp:posOffset>
            </wp:positionV>
            <wp:extent cx="4857750" cy="2711449"/>
            <wp:effectExtent l="0" t="0" r="21" b="9"/>
            <wp:wrapSquare wrapText="bothSides"/>
            <wp:docPr id="1" name="图表 1"/>
            <wp:cNvGraphicFramePr>
              <a:graphicFrameLocks noChangeAspect="0"/>
            </wp:cNvGraphicFramePr>
            <a:graphic>
              <a:graphicData uri="http://schemas.openxmlformats.org/drawingml/2006/chart">
                <c:chart xmlns:c="http://schemas.openxmlformats.org/drawingml/2006/chart" r:id="rId3"/>
              </a:graphicData>
            </a:graphic>
          </wp:anchor>
        </w:drawing>
      </w:r>
    </w:p>
    <w:p>
      <w:pPr>
        <w:bidi w:val="0"/>
        <w:rPr>
          <w:rFonts w:ascii="宋体" w:eastAsia="宋体" w:cs="宋体" w:hint="eastAsia"/>
          <w:kern w:val="0"/>
          <w:sz w:val="24"/>
          <w:szCs w:val="24"/>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4"/>
        <w:keepNext w:val="0"/>
        <w:keepLines w:val="0"/>
        <w:pageBreakBefore w:val="0"/>
        <w:widowControl/>
        <w:suppressLineNumbers w:val="0"/>
        <w:kinsoku/>
        <w:wordWrap/>
        <w:overflowPunct/>
        <w:topLinePunct w:val="0"/>
        <w:autoSpaceDE w:val="0"/>
        <w:autoSpaceDN/>
        <w:spacing w:before="0" w:beforeAutospacing="0" w:after="0" w:afterAutospacing="0" w:line="560" w:lineRule="exact"/>
        <w:ind w:left="0"/>
        <w:jc w:val="center"/>
        <w:rPr>
          <w:rFonts w:ascii="仿宋_GB2312" w:eastAsia="仿宋_GB2312" w:cs="仿宋_GB2312"/>
          <w:sz w:val="32"/>
          <w:szCs w:val="32"/>
          <w:shd w:val="clear" w:color="auto" w:fill="FFFFFF"/>
        </w:rPr>
      </w:pPr>
      <w:r>
        <w:rPr>
          <w:rFonts w:ascii="仿宋_GB2312" w:eastAsia="仿宋_GB2312" w:cs="仿宋_GB2312" w:hint="eastAsia"/>
          <w:kern w:val="0"/>
          <w:sz w:val="32"/>
          <w:szCs w:val="32"/>
          <w:shd w:val="clear" w:color="auto" w:fill="FFFFFF"/>
        </w:rPr>
        <w:t>（图1：收、支决算总计变动情况图）（柱状图）</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76"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二、收入决算情况说明</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76" w:lineRule="exact"/>
        <w:ind w:left="0" w:firstLineChars="200" w:firstLine="640"/>
        <w:jc w:val="left"/>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年本年收入合计5</w:t>
      </w:r>
      <w:r>
        <w:rPr>
          <w:rFonts w:ascii="仿宋_GB2312" w:eastAsia="仿宋_GB2312" w:cs="仿宋_GB2312" w:hint="eastAsia"/>
          <w:kern w:val="0"/>
          <w:sz w:val="32"/>
          <w:szCs w:val="32"/>
          <w:shd w:val="clear" w:color="auto" w:fill="FFFFFF"/>
          <w:lang w:val="en-US" w:eastAsia="zh-CN"/>
        </w:rPr>
        <w:t>,</w:t>
      </w:r>
      <w:r>
        <w:rPr>
          <w:rFonts w:ascii="仿宋_GB2312" w:eastAsia="仿宋_GB2312" w:cs="仿宋_GB2312" w:hint="eastAsia"/>
          <w:kern w:val="0"/>
          <w:sz w:val="32"/>
          <w:szCs w:val="32"/>
          <w:shd w:val="clear" w:color="auto" w:fill="FFFFFF"/>
        </w:rPr>
        <w:t>639.88万元，其中：一般公共预算财政拨款收入</w:t>
      </w:r>
      <w:r>
        <w:rPr>
          <w:rFonts w:ascii="仿宋_GB2312" w:eastAsia="仿宋_GB2312" w:cs="仿宋_GB2312" w:hint="eastAsia"/>
          <w:kern w:val="0"/>
          <w:sz w:val="32"/>
          <w:szCs w:val="32"/>
          <w:shd w:val="clear" w:color="auto" w:fill="FFFFFF"/>
          <w:lang w:val="en-US" w:eastAsia="zh-CN"/>
        </w:rPr>
        <w:t>5,115.15</w:t>
      </w:r>
      <w:r>
        <w:rPr>
          <w:rFonts w:ascii="仿宋_GB2312" w:eastAsia="仿宋_GB2312" w:cs="仿宋_GB2312" w:hint="eastAsia"/>
          <w:kern w:val="0"/>
          <w:sz w:val="32"/>
          <w:szCs w:val="32"/>
          <w:shd w:val="clear" w:color="auto" w:fill="FFFFFF"/>
        </w:rPr>
        <w:t>万元，占9</w:t>
      </w:r>
      <w:r>
        <w:rPr>
          <w:rFonts w:ascii="仿宋_GB2312" w:eastAsia="仿宋_GB2312" w:cs="仿宋_GB2312" w:hint="eastAsia"/>
          <w:kern w:val="0"/>
          <w:sz w:val="32"/>
          <w:szCs w:val="32"/>
          <w:shd w:val="clear" w:color="auto" w:fill="FFFFFF"/>
          <w:lang w:val="en-US" w:eastAsia="zh-CN"/>
        </w:rPr>
        <w:t>0</w:t>
      </w:r>
      <w:r>
        <w:rPr>
          <w:rFonts w:ascii="仿宋_GB2312" w:eastAsia="仿宋_GB2312" w:cs="仿宋_GB2312" w:hint="eastAsia"/>
          <w:kern w:val="0"/>
          <w:sz w:val="32"/>
          <w:szCs w:val="32"/>
          <w:shd w:val="clear" w:color="auto" w:fill="FFFFFF"/>
        </w:rPr>
        <w:t>.</w:t>
      </w:r>
      <w:r>
        <w:rPr>
          <w:rFonts w:ascii="仿宋_GB2312" w:eastAsia="仿宋_GB2312" w:cs="仿宋_GB2312" w:hint="eastAsia"/>
          <w:kern w:val="0"/>
          <w:sz w:val="32"/>
          <w:szCs w:val="32"/>
          <w:shd w:val="clear" w:color="auto" w:fill="FFFFFF"/>
          <w:lang w:val="en-US" w:eastAsia="zh-CN"/>
        </w:rPr>
        <w:t>69</w:t>
      </w:r>
      <w:r>
        <w:rPr>
          <w:rFonts w:ascii="仿宋_GB2312" w:eastAsia="仿宋_GB2312" w:cs="仿宋_GB2312" w:hint="eastAsia"/>
          <w:kern w:val="0"/>
          <w:sz w:val="32"/>
          <w:szCs w:val="32"/>
          <w:shd w:val="clear" w:color="auto" w:fill="FFFFFF"/>
        </w:rPr>
        <w:t>%；政府性基金预算财政拨款收入</w:t>
      </w:r>
      <w:r>
        <w:rPr>
          <w:rFonts w:ascii="仿宋_GB2312" w:eastAsia="仿宋_GB2312" w:cs="仿宋_GB2312" w:hint="eastAsia"/>
          <w:kern w:val="0"/>
          <w:sz w:val="32"/>
          <w:szCs w:val="32"/>
          <w:shd w:val="clear" w:color="auto" w:fill="FFFFFF"/>
          <w:lang w:val="en-US" w:eastAsia="zh-CN"/>
        </w:rPr>
        <w:t>524.73</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9</w:t>
      </w:r>
      <w:r>
        <w:rPr>
          <w:rFonts w:ascii="仿宋_GB2312" w:eastAsia="仿宋_GB2312" w:cs="仿宋_GB2312" w:hint="eastAsia"/>
          <w:kern w:val="0"/>
          <w:sz w:val="32"/>
          <w:szCs w:val="32"/>
          <w:shd w:val="clear" w:color="auto" w:fill="FFFFFF"/>
        </w:rPr>
        <w:t>.</w:t>
      </w:r>
      <w:r>
        <w:rPr>
          <w:rFonts w:ascii="仿宋_GB2312" w:eastAsia="仿宋_GB2312" w:cs="仿宋_GB2312" w:hint="eastAsia"/>
          <w:kern w:val="0"/>
          <w:sz w:val="32"/>
          <w:szCs w:val="32"/>
          <w:shd w:val="clear" w:color="auto" w:fill="FFFFFF"/>
          <w:lang w:val="en-US" w:eastAsia="zh-CN"/>
        </w:rPr>
        <w:t>31</w:t>
      </w:r>
      <w:r>
        <w:rPr>
          <w:rFonts w:ascii="仿宋_GB2312" w:eastAsia="仿宋_GB2312" w:cs="仿宋_GB2312" w:hint="eastAsia"/>
          <w:kern w:val="0"/>
          <w:sz w:val="32"/>
          <w:szCs w:val="32"/>
          <w:shd w:val="clear" w:color="auto" w:fill="FFFFFF"/>
        </w:rPr>
        <w:t>%；国有资本经营预算财政拨款收入0.00万元，占0.00%;上级补助收入0.00万元，占0.00%；事业收入0.00万元，占0.00%；经营收入0.00万元，占0.00%；附属单位上缴收入0.00万元，占0.00%；其他收入0.00万元，占0.00%。</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76" w:lineRule="exact"/>
        <w:ind w:left="0" w:firstLineChars="200" w:firstLine="480"/>
        <w:jc w:val="left"/>
        <w:textAlignment w:val="auto"/>
        <w:rPr>
          <w:rFonts w:hint="eastAsia"/>
          <w:lang w:val="en-US" w:eastAsia="zh-CN"/>
        </w:rPr>
      </w:pPr>
      <w:r>
        <w:drawing>
          <wp:anchor distT="0" distB="0" distL="114300" distR="114300" simplePos="0" relativeHeight="23" behindDoc="0" locked="0" layoutInCell="1" hidden="0" allowOverlap="1">
            <wp:simplePos x="0" y="0"/>
            <wp:positionH relativeFrom="column">
              <wp:posOffset>20320</wp:posOffset>
            </wp:positionH>
            <wp:positionV relativeFrom="paragraph">
              <wp:posOffset>431165</wp:posOffset>
            </wp:positionV>
            <wp:extent cx="5015865" cy="2814320"/>
            <wp:effectExtent l="0" t="0" r="19" b="11"/>
            <wp:wrapSquare wrapText="bothSides"/>
            <wp:docPr id="2" name="图表 2"/>
            <wp:cNvGraphicFramePr>
              <a:graphicFrameLocks noChangeAspect="0"/>
            </wp:cNvGraphicFramePr>
            <a:graphic>
              <a:graphicData uri="http://schemas.openxmlformats.org/drawingml/2006/chart">
                <c:chart xmlns:c="http://schemas.openxmlformats.org/drawingml/2006/chart" r:id="rId4"/>
              </a:graphicData>
            </a:graphic>
          </wp:anchor>
        </w:drawing>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400" w:firstLine="1280"/>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（图2：收入决算结构图）（饼状图）</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400" w:firstLine="1280"/>
        <w:jc w:val="both"/>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三、支出决算情况说明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年本年支出合计5,</w:t>
      </w:r>
      <w:r>
        <w:rPr>
          <w:rFonts w:ascii="仿宋_GB2312" w:eastAsia="仿宋_GB2312" w:cs="仿宋_GB2312" w:hint="eastAsia"/>
          <w:kern w:val="0"/>
          <w:sz w:val="32"/>
          <w:szCs w:val="32"/>
          <w:shd w:val="clear" w:color="auto" w:fill="FFFFFF"/>
          <w:lang w:val="en-US" w:eastAsia="zh-CN"/>
        </w:rPr>
        <w:t>639.88</w:t>
      </w:r>
      <w:r>
        <w:rPr>
          <w:rFonts w:ascii="仿宋_GB2312" w:eastAsia="仿宋_GB2312" w:cs="仿宋_GB2312" w:hint="eastAsia"/>
          <w:kern w:val="0"/>
          <w:sz w:val="32"/>
          <w:szCs w:val="32"/>
          <w:shd w:val="clear" w:color="auto" w:fill="FFFFFF"/>
        </w:rPr>
        <w:t>万元，其中：基本支出</w:t>
      </w:r>
      <w:r>
        <w:rPr>
          <w:rFonts w:ascii="仿宋_GB2312" w:eastAsia="仿宋_GB2312" w:cs="仿宋_GB2312" w:hint="eastAsia"/>
          <w:kern w:val="0"/>
          <w:sz w:val="32"/>
          <w:szCs w:val="32"/>
          <w:shd w:val="clear" w:color="auto" w:fill="FFFFFF"/>
          <w:lang w:val="en-US" w:eastAsia="zh-CN"/>
        </w:rPr>
        <w:t>1,002.28</w:t>
      </w:r>
      <w:r>
        <w:rPr>
          <w:rFonts w:ascii="仿宋_GB2312" w:eastAsia="仿宋_GB2312" w:cs="仿宋_GB2312" w:hint="eastAsia"/>
          <w:kern w:val="0"/>
          <w:sz w:val="32"/>
          <w:szCs w:val="32"/>
          <w:shd w:val="clear" w:color="auto" w:fill="FFFFFF"/>
        </w:rPr>
        <w:t>万元，占1</w:t>
      </w:r>
      <w:r>
        <w:rPr>
          <w:rFonts w:ascii="仿宋_GB2312" w:eastAsia="仿宋_GB2312" w:cs="仿宋_GB2312" w:hint="eastAsia"/>
          <w:kern w:val="0"/>
          <w:sz w:val="32"/>
          <w:szCs w:val="32"/>
          <w:shd w:val="clear" w:color="auto" w:fill="FFFFFF"/>
          <w:lang w:val="en-US" w:eastAsia="zh-CN"/>
        </w:rPr>
        <w:t>7.77</w:t>
      </w:r>
      <w:r>
        <w:rPr>
          <w:rFonts w:ascii="仿宋_GB2312" w:eastAsia="仿宋_GB2312" w:cs="仿宋_GB2312" w:hint="eastAsia"/>
          <w:kern w:val="0"/>
          <w:sz w:val="32"/>
          <w:szCs w:val="32"/>
          <w:shd w:val="clear" w:color="auto" w:fill="FFFFFF"/>
        </w:rPr>
        <w:t>%；项目支出</w:t>
      </w:r>
      <w:r>
        <w:rPr>
          <w:rFonts w:ascii="仿宋_GB2312" w:eastAsia="仿宋_GB2312" w:cs="仿宋_GB2312" w:hint="eastAsia"/>
          <w:kern w:val="0"/>
          <w:sz w:val="32"/>
          <w:szCs w:val="32"/>
          <w:shd w:val="clear" w:color="auto" w:fill="FFFFFF"/>
          <w:lang w:val="en-US" w:eastAsia="zh-CN"/>
        </w:rPr>
        <w:t>4,637.60</w:t>
      </w:r>
      <w:r>
        <w:rPr>
          <w:rFonts w:ascii="仿宋_GB2312" w:eastAsia="仿宋_GB2312" w:cs="仿宋_GB2312" w:hint="eastAsia"/>
          <w:kern w:val="0"/>
          <w:sz w:val="32"/>
          <w:szCs w:val="32"/>
          <w:shd w:val="clear" w:color="auto" w:fill="FFFFFF"/>
        </w:rPr>
        <w:t>万元，占8</w:t>
      </w:r>
      <w:r>
        <w:rPr>
          <w:rFonts w:ascii="仿宋_GB2312" w:eastAsia="仿宋_GB2312" w:cs="仿宋_GB2312" w:hint="eastAsia"/>
          <w:kern w:val="0"/>
          <w:sz w:val="32"/>
          <w:szCs w:val="32"/>
          <w:shd w:val="clear" w:color="auto" w:fill="FFFFFF"/>
          <w:lang w:val="en-US" w:eastAsia="zh-CN"/>
        </w:rPr>
        <w:t>2.23</w:t>
      </w:r>
      <w:r>
        <w:rPr>
          <w:rFonts w:ascii="仿宋_GB2312" w:eastAsia="仿宋_GB2312" w:cs="仿宋_GB2312" w:hint="eastAsia"/>
          <w:kern w:val="0"/>
          <w:sz w:val="32"/>
          <w:szCs w:val="32"/>
          <w:shd w:val="clear" w:color="auto" w:fill="FFFFFF"/>
        </w:rPr>
        <w:t>%；上缴上级支出0.00万元，占0.00%；经营支出0.00万元，占0.00%；对附属单位补助支出0.00万元，占0.00%。</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p>
    <w:p>
      <w:pPr>
        <w:pStyle w:val="17"/>
      </w:pPr>
      <w:r>
        <w:drawing>
          <wp:anchor distT="0" distB="0" distL="114300" distR="114300" simplePos="0" relativeHeight="25" behindDoc="0" locked="0" layoutInCell="1" hidden="0" allowOverlap="1">
            <wp:simplePos x="0" y="0"/>
            <wp:positionH relativeFrom="column">
              <wp:posOffset>123825</wp:posOffset>
            </wp:positionH>
            <wp:positionV relativeFrom="paragraph">
              <wp:posOffset>10160</wp:posOffset>
            </wp:positionV>
            <wp:extent cx="5032375" cy="2766695"/>
            <wp:effectExtent l="0" t="0" r="13" b="11"/>
            <wp:wrapSquare wrapText="bothSides"/>
            <wp:docPr id="3" name="图表 3"/>
            <wp:cNvGraphicFramePr>
              <a:graphicFrameLocks noChangeAspect="0"/>
            </wp:cNvGraphicFramePr>
            <a:graphic>
              <a:graphicData uri="http://schemas.openxmlformats.org/drawingml/2006/chart">
                <c:chart xmlns:c="http://schemas.openxmlformats.org/drawingml/2006/chart" r:id="rId5"/>
              </a:graphicData>
            </a:graphic>
          </wp:anchor>
        </w:drawing>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center"/>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（图3：支出决算结构图）（柱状图）</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四、财政拨款收入支出决算总体情况说明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年财政拨款收、支总计占5</w:t>
      </w:r>
      <w:r>
        <w:rPr>
          <w:rFonts w:ascii="仿宋_GB2312" w:eastAsia="仿宋_GB2312" w:cs="仿宋_GB2312" w:hint="eastAsia"/>
          <w:kern w:val="0"/>
          <w:sz w:val="32"/>
          <w:szCs w:val="32"/>
          <w:shd w:val="clear" w:color="auto" w:fill="FFFFFF"/>
          <w:lang w:val="en-US" w:eastAsia="zh-CN"/>
        </w:rPr>
        <w:t>,639.88</w:t>
      </w:r>
      <w:r>
        <w:rPr>
          <w:rFonts w:ascii="仿宋_GB2312" w:eastAsia="仿宋_GB2312" w:cs="仿宋_GB2312" w:hint="eastAsia"/>
          <w:kern w:val="0"/>
          <w:sz w:val="32"/>
          <w:szCs w:val="32"/>
          <w:shd w:val="clear" w:color="auto" w:fill="FFFFFF"/>
        </w:rPr>
        <w:t>万元。与202</w:t>
      </w:r>
      <w:r>
        <w:rPr>
          <w:rFonts w:ascii="仿宋_GB2312" w:eastAsia="仿宋_GB2312" w:cs="仿宋_GB2312" w:hint="eastAsia"/>
          <w:kern w:val="0"/>
          <w:sz w:val="32"/>
          <w:szCs w:val="32"/>
          <w:shd w:val="clear" w:color="auto" w:fill="FFFFFF"/>
          <w:lang w:val="en-US" w:eastAsia="zh-CN"/>
        </w:rPr>
        <w:t>4</w:t>
      </w:r>
      <w:r>
        <w:rPr>
          <w:rFonts w:ascii="仿宋_GB2312" w:eastAsia="仿宋_GB2312" w:cs="仿宋_GB2312" w:hint="eastAsia"/>
          <w:kern w:val="0"/>
          <w:sz w:val="32"/>
          <w:szCs w:val="32"/>
          <w:shd w:val="clear" w:color="auto" w:fill="FFFFFF"/>
        </w:rPr>
        <w:t>年相比，财政拨款收、支总计各</w:t>
      </w:r>
      <w:r>
        <w:rPr>
          <w:rFonts w:ascii="仿宋_GB2312" w:eastAsia="仿宋_GB2312" w:cs="仿宋_GB2312" w:hint="eastAsia"/>
          <w:kern w:val="0"/>
          <w:sz w:val="32"/>
          <w:szCs w:val="32"/>
          <w:shd w:val="clear" w:color="auto" w:fill="FFFFFF"/>
          <w:lang w:val="en-US" w:eastAsia="zh-CN"/>
        </w:rPr>
        <w:t>减少</w:t>
      </w:r>
      <w:r>
        <w:rPr>
          <w:rFonts w:ascii="仿宋_GB2312" w:eastAsia="仿宋_GB2312" w:cs="仿宋_GB2312" w:hint="eastAsia"/>
          <w:kern w:val="0"/>
          <w:sz w:val="32"/>
          <w:szCs w:val="32"/>
          <w:shd w:val="clear" w:color="auto" w:fill="FFFFFF"/>
        </w:rPr>
        <w:t>1</w:t>
      </w:r>
      <w:r>
        <w:rPr>
          <w:rFonts w:ascii="仿宋_GB2312" w:eastAsia="仿宋_GB2312" w:cs="仿宋_GB2312" w:hint="eastAsia"/>
          <w:kern w:val="0"/>
          <w:sz w:val="32"/>
          <w:szCs w:val="32"/>
          <w:shd w:val="clear" w:color="auto" w:fill="FFFFFF"/>
          <w:lang w:val="en-US" w:eastAsia="zh-CN"/>
        </w:rPr>
        <w:t>94.67</w:t>
      </w:r>
      <w:r>
        <w:rPr>
          <w:rFonts w:ascii="仿宋_GB2312" w:eastAsia="仿宋_GB2312" w:cs="仿宋_GB2312" w:hint="eastAsia"/>
          <w:kern w:val="0"/>
          <w:sz w:val="32"/>
          <w:szCs w:val="32"/>
          <w:shd w:val="clear" w:color="auto" w:fill="FFFFFF"/>
        </w:rPr>
        <w:t>万元，</w:t>
      </w:r>
      <w:r>
        <w:rPr>
          <w:rFonts w:ascii="仿宋_GB2312" w:eastAsia="仿宋_GB2312" w:cs="仿宋_GB2312" w:hint="eastAsia"/>
          <w:kern w:val="0"/>
          <w:sz w:val="32"/>
          <w:szCs w:val="32"/>
          <w:shd w:val="clear" w:color="auto" w:fill="FFFFFF"/>
          <w:lang w:val="en-US" w:eastAsia="zh-CN"/>
        </w:rPr>
        <w:t>下降3.34</w:t>
      </w:r>
      <w:r>
        <w:rPr>
          <w:rFonts w:ascii="仿宋_GB2312" w:eastAsia="仿宋_GB2312" w:cs="仿宋_GB2312" w:hint="eastAsia"/>
          <w:kern w:val="0"/>
          <w:sz w:val="32"/>
          <w:szCs w:val="32"/>
          <w:shd w:val="clear" w:color="auto" w:fill="FFFFFF"/>
        </w:rPr>
        <w:t>%。主要变动原因是202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年项目</w:t>
      </w:r>
      <w:r>
        <w:rPr>
          <w:rFonts w:ascii="仿宋_GB2312" w:eastAsia="仿宋_GB2312" w:cs="仿宋_GB2312" w:hint="eastAsia"/>
          <w:kern w:val="0"/>
          <w:sz w:val="32"/>
          <w:szCs w:val="32"/>
          <w:shd w:val="clear" w:color="auto" w:fill="FFFFFF"/>
          <w:lang w:val="en-US" w:eastAsia="zh-CN"/>
        </w:rPr>
        <w:t>支出减少</w:t>
      </w:r>
      <w:r>
        <w:rPr>
          <w:rFonts w:ascii="仿宋_GB2312" w:eastAsia="仿宋_GB2312" w:cs="仿宋_GB2312" w:hint="eastAsia"/>
          <w:kern w:val="0"/>
          <w:sz w:val="32"/>
          <w:szCs w:val="32"/>
          <w:shd w:val="clear" w:color="auto" w:fill="FFFFFF"/>
        </w:rPr>
        <w:t>。</w:t>
      </w:r>
    </w:p>
    <w:p>
      <w:pPr>
        <w:pStyle w:val="17"/>
      </w:pPr>
      <w:r>
        <w:drawing>
          <wp:anchor distT="0" distB="0" distL="114300" distR="114300" simplePos="0" relativeHeight="27" behindDoc="0" locked="0" layoutInCell="1" hidden="0" allowOverlap="1">
            <wp:simplePos x="0" y="0"/>
            <wp:positionH relativeFrom="column">
              <wp:posOffset>4445</wp:posOffset>
            </wp:positionH>
            <wp:positionV relativeFrom="paragraph">
              <wp:posOffset>10160</wp:posOffset>
            </wp:positionV>
            <wp:extent cx="4826000" cy="2632710"/>
            <wp:effectExtent l="0" t="0" r="42" b="41"/>
            <wp:wrapSquare wrapText="bothSides"/>
            <wp:docPr id="4" name="图表 1"/>
            <wp:cNvGraphicFramePr>
              <a:graphicFrameLocks noChangeAspect="0"/>
            </wp:cNvGraphicFramePr>
            <a:graphic>
              <a:graphicData uri="http://schemas.openxmlformats.org/drawingml/2006/chart">
                <c:chart xmlns:c="http://schemas.openxmlformats.org/drawingml/2006/chart" r:id="rId6"/>
              </a:graphicData>
            </a:graphic>
          </wp:anchor>
        </w:drawing>
      </w:r>
    </w:p>
    <w:p>
      <w:pPr>
        <w:bidi w:val="0"/>
        <w:rPr>
          <w:rFonts w:hint="eastAsia"/>
          <w:lang w:val="en-US" w:eastAsia="zh-CN"/>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（图4：财政拨款收、支决算总计变动情况）（柱状图）</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五、一般公共预算财政拨款支出决算情况说明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left"/>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（一）一般公共预算财政拨款支出决算总体情况</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left"/>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年一般公共预算财政拨款支出5,</w:t>
      </w:r>
      <w:r>
        <w:rPr>
          <w:rFonts w:ascii="仿宋_GB2312" w:eastAsia="仿宋_GB2312" w:cs="仿宋_GB2312" w:hint="eastAsia"/>
          <w:kern w:val="0"/>
          <w:sz w:val="32"/>
          <w:szCs w:val="32"/>
          <w:shd w:val="clear" w:color="auto" w:fill="FFFFFF"/>
          <w:lang w:val="en-US" w:eastAsia="zh-CN"/>
        </w:rPr>
        <w:t>115.15</w:t>
      </w:r>
      <w:r>
        <w:rPr>
          <w:rFonts w:ascii="仿宋_GB2312" w:eastAsia="仿宋_GB2312" w:cs="仿宋_GB2312" w:hint="eastAsia"/>
          <w:kern w:val="0"/>
          <w:sz w:val="32"/>
          <w:szCs w:val="32"/>
          <w:shd w:val="clear" w:color="auto" w:fill="FFFFFF"/>
        </w:rPr>
        <w:t>万元，占本年支出合计的9</w:t>
      </w:r>
      <w:r>
        <w:rPr>
          <w:rFonts w:ascii="仿宋_GB2312" w:eastAsia="仿宋_GB2312" w:cs="仿宋_GB2312" w:hint="eastAsia"/>
          <w:kern w:val="0"/>
          <w:sz w:val="32"/>
          <w:szCs w:val="32"/>
          <w:shd w:val="clear" w:color="auto" w:fill="FFFFFF"/>
          <w:lang w:val="en-US" w:eastAsia="zh-CN"/>
        </w:rPr>
        <w:t>0.69</w:t>
      </w:r>
      <w:r>
        <w:rPr>
          <w:rFonts w:ascii="仿宋_GB2312" w:eastAsia="仿宋_GB2312" w:cs="仿宋_GB2312" w:hint="eastAsia"/>
          <w:kern w:val="0"/>
          <w:sz w:val="32"/>
          <w:szCs w:val="32"/>
          <w:shd w:val="clear" w:color="auto" w:fill="FFFFFF"/>
        </w:rPr>
        <w:t>%。与202</w:t>
      </w:r>
      <w:r>
        <w:rPr>
          <w:rFonts w:ascii="仿宋_GB2312" w:eastAsia="仿宋_GB2312" w:cs="仿宋_GB2312" w:hint="eastAsia"/>
          <w:kern w:val="0"/>
          <w:sz w:val="32"/>
          <w:szCs w:val="32"/>
          <w:shd w:val="clear" w:color="auto" w:fill="FFFFFF"/>
          <w:lang w:val="en-US" w:eastAsia="zh-CN"/>
        </w:rPr>
        <w:t>4</w:t>
      </w:r>
      <w:r>
        <w:rPr>
          <w:rFonts w:ascii="仿宋_GB2312" w:eastAsia="仿宋_GB2312" w:cs="仿宋_GB2312" w:hint="eastAsia"/>
          <w:kern w:val="0"/>
          <w:sz w:val="32"/>
          <w:szCs w:val="32"/>
          <w:shd w:val="clear" w:color="auto" w:fill="FFFFFF"/>
        </w:rPr>
        <w:t>年相比，一般公共预算财政拨款</w:t>
      </w:r>
      <w:r>
        <w:rPr>
          <w:rFonts w:ascii="仿宋_GB2312" w:eastAsia="仿宋_GB2312" w:cs="仿宋_GB2312" w:hint="eastAsia"/>
          <w:kern w:val="0"/>
          <w:sz w:val="32"/>
          <w:szCs w:val="32"/>
          <w:shd w:val="clear" w:color="auto" w:fill="FFFFFF"/>
          <w:lang w:val="en-US" w:eastAsia="zh-CN"/>
        </w:rPr>
        <w:t>减少719.00</w:t>
      </w:r>
      <w:r>
        <w:rPr>
          <w:rFonts w:ascii="仿宋_GB2312" w:eastAsia="仿宋_GB2312" w:cs="仿宋_GB2312" w:hint="eastAsia"/>
          <w:kern w:val="0"/>
          <w:sz w:val="32"/>
          <w:szCs w:val="32"/>
          <w:shd w:val="clear" w:color="auto" w:fill="FFFFFF"/>
        </w:rPr>
        <w:t>万元，</w:t>
      </w:r>
      <w:r>
        <w:rPr>
          <w:rFonts w:ascii="仿宋_GB2312" w:eastAsia="仿宋_GB2312" w:cs="仿宋_GB2312" w:hint="eastAsia"/>
          <w:kern w:val="0"/>
          <w:sz w:val="32"/>
          <w:szCs w:val="32"/>
          <w:shd w:val="clear" w:color="auto" w:fill="FFFFFF"/>
          <w:lang w:val="en-US" w:eastAsia="zh-CN"/>
        </w:rPr>
        <w:t>下降12.32</w:t>
      </w:r>
      <w:r>
        <w:rPr>
          <w:rFonts w:ascii="仿宋_GB2312" w:eastAsia="仿宋_GB2312" w:cs="仿宋_GB2312" w:hint="eastAsia"/>
          <w:kern w:val="0"/>
          <w:sz w:val="32"/>
          <w:szCs w:val="32"/>
          <w:shd w:val="clear" w:color="auto" w:fill="FFFFFF"/>
        </w:rPr>
        <w:t>%。主要变动原因是202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年项目</w:t>
      </w:r>
      <w:r>
        <w:rPr>
          <w:rFonts w:ascii="仿宋_GB2312" w:eastAsia="仿宋_GB2312" w:cs="仿宋_GB2312" w:hint="eastAsia"/>
          <w:kern w:val="0"/>
          <w:sz w:val="32"/>
          <w:szCs w:val="32"/>
          <w:shd w:val="clear" w:color="auto" w:fill="FFFFFF"/>
          <w:lang w:val="en-US" w:eastAsia="zh-CN"/>
        </w:rPr>
        <w:t>支出减少</w:t>
      </w:r>
      <w:r>
        <w:rPr>
          <w:rFonts w:ascii="仿宋_GB2312" w:eastAsia="仿宋_GB2312" w:cs="仿宋_GB2312" w:hint="eastAsia"/>
          <w:kern w:val="0"/>
          <w:sz w:val="32"/>
          <w:szCs w:val="32"/>
          <w:shd w:val="clear" w:color="auto" w:fill="FFFFFF"/>
        </w:rPr>
        <w:t>.</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left"/>
        <w:textAlignment w:val="auto"/>
        <w:rPr>
          <w:rFonts w:ascii="仿宋_GB2312" w:eastAsia="仿宋_GB2312" w:cs="仿宋_GB2312" w:hint="eastAsia"/>
          <w:kern w:val="0"/>
          <w:sz w:val="32"/>
          <w:szCs w:val="32"/>
          <w:shd w:val="clear" w:color="auto" w:fill="FFFFFF"/>
        </w:rPr>
      </w:pPr>
    </w:p>
    <w:p>
      <w:pPr>
        <w:bidi w:val="0"/>
        <w:jc w:val="left"/>
      </w:pPr>
      <w:r>
        <w:drawing>
          <wp:inline distT="0" distB="0" distL="114300" distR="114300">
            <wp:extent cx="5142230" cy="2743200"/>
            <wp:effectExtent l="0" t="0" r="0" b="0"/>
            <wp:docPr id="5" name="图表 1"/>
            <wp:cNvGraphicFramePr>
              <a:graphicFrameLocks noChangeAspect="0"/>
            </wp:cNvGraphicFramePr>
            <a:graphic>
              <a:graphicData uri="http://schemas.openxmlformats.org/drawingml/2006/chart">
                <c:chart xmlns:c="http://schemas.openxmlformats.org/drawingml/2006/chart" r:id="rId7"/>
              </a:graphicData>
            </a:graphic>
          </wp:inline>
        </w:drawing>
      </w:r>
    </w:p>
    <w:p>
      <w:pPr>
        <w:bidi w:val="0"/>
        <w:rPr>
          <w:rFonts w:ascii="宋体" w:eastAsia="宋体" w:cs="宋体" w:hint="eastAsia"/>
          <w:kern w:val="0"/>
          <w:sz w:val="24"/>
          <w:szCs w:val="24"/>
          <w:lang w:val="en-US" w:eastAsia="zh-CN"/>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center"/>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（图5：一般公共预算财政拨款支出决算变动情况图）</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jc w:val="center"/>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（柱状图）</w:t>
      </w:r>
    </w:p>
    <w:p>
      <w:pPr>
        <w:bidi w:val="0"/>
        <w:ind w:firstLine="409"/>
        <w:jc w:val="center"/>
        <w:rPr>
          <w:rFonts w:hint="eastAsia"/>
          <w:lang w:val="en-US" w:eastAsia="zh-CN"/>
        </w:rPr>
      </w:pP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left"/>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（二）一般公共预算财政拨款支出决算结构情况</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年一般公共预算财政拨款支出5</w:t>
      </w:r>
      <w:r>
        <w:rPr>
          <w:rFonts w:ascii="仿宋_GB2312" w:eastAsia="仿宋_GB2312" w:cs="仿宋_GB2312" w:hint="eastAsia"/>
          <w:kern w:val="0"/>
          <w:sz w:val="32"/>
          <w:szCs w:val="32"/>
          <w:shd w:val="clear" w:color="auto" w:fill="FFFFFF"/>
          <w:lang w:val="en-US" w:eastAsia="zh-CN"/>
        </w:rPr>
        <w:t>,115.15</w:t>
      </w:r>
      <w:r>
        <w:rPr>
          <w:rFonts w:ascii="仿宋_GB2312" w:eastAsia="仿宋_GB2312" w:cs="仿宋_GB2312" w:hint="eastAsia"/>
          <w:kern w:val="0"/>
          <w:sz w:val="32"/>
          <w:szCs w:val="32"/>
          <w:shd w:val="clear" w:color="auto" w:fill="FFFFFF"/>
        </w:rPr>
        <w:t>万元，主要用于以下方面:</w:t>
      </w:r>
      <w:r>
        <w:rPr>
          <w:rStyle w:val="25"/>
          <w:rFonts w:ascii="仿宋_GB2312" w:eastAsia="仿宋_GB2312" w:cs="仿宋_GB2312" w:hint="eastAsia"/>
          <w:b/>
          <w:bCs/>
          <w:sz w:val="32"/>
          <w:szCs w:val="32"/>
          <w:shd w:val="clear" w:color="auto" w:fill="FFFFFF"/>
        </w:rPr>
        <w:t>文化旅游体育与传媒（类）</w:t>
      </w:r>
      <w:r>
        <w:rPr>
          <w:rFonts w:ascii="仿宋_GB2312" w:eastAsia="仿宋_GB2312" w:cs="仿宋_GB2312" w:hint="eastAsia"/>
          <w:kern w:val="0"/>
          <w:sz w:val="32"/>
          <w:szCs w:val="32"/>
          <w:shd w:val="clear" w:color="auto" w:fill="FFFFFF"/>
        </w:rPr>
        <w:t>支出</w:t>
      </w:r>
      <w:r>
        <w:rPr>
          <w:rFonts w:ascii="仿宋_GB2312" w:eastAsia="仿宋_GB2312" w:cs="仿宋_GB2312" w:hint="eastAsia"/>
          <w:kern w:val="0"/>
          <w:sz w:val="32"/>
          <w:szCs w:val="32"/>
          <w:shd w:val="clear" w:color="auto" w:fill="FFFFFF"/>
          <w:lang w:val="en-US" w:eastAsia="zh-CN"/>
        </w:rPr>
        <w:t>4,506.30</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8</w:t>
      </w:r>
      <w:r>
        <w:rPr>
          <w:rFonts w:ascii="仿宋_GB2312" w:eastAsia="仿宋_GB2312" w:cs="仿宋_GB2312" w:hint="eastAsia"/>
          <w:kern w:val="0"/>
          <w:sz w:val="32"/>
          <w:szCs w:val="32"/>
          <w:shd w:val="clear" w:color="auto" w:fill="FFFFFF"/>
        </w:rPr>
        <w:t>8.</w:t>
      </w:r>
      <w:r>
        <w:rPr>
          <w:rFonts w:ascii="仿宋_GB2312" w:eastAsia="仿宋_GB2312" w:cs="仿宋_GB2312" w:hint="eastAsia"/>
          <w:kern w:val="0"/>
          <w:sz w:val="32"/>
          <w:szCs w:val="32"/>
          <w:shd w:val="clear" w:color="auto" w:fill="FFFFFF"/>
          <w:lang w:val="en-US" w:eastAsia="zh-CN"/>
        </w:rPr>
        <w:t>09</w:t>
      </w:r>
      <w:r>
        <w:rPr>
          <w:rFonts w:ascii="仿宋_GB2312" w:eastAsia="仿宋_GB2312" w:cs="仿宋_GB2312" w:hint="eastAsia"/>
          <w:kern w:val="0"/>
          <w:sz w:val="32"/>
          <w:szCs w:val="32"/>
          <w:shd w:val="clear" w:color="auto" w:fill="FFFFFF"/>
        </w:rPr>
        <w:t>%；</w:t>
      </w:r>
      <w:r>
        <w:rPr>
          <w:rStyle w:val="25"/>
          <w:rFonts w:ascii="仿宋_GB2312" w:eastAsia="仿宋_GB2312" w:cs="仿宋_GB2312" w:hint="eastAsia"/>
          <w:b/>
          <w:bCs/>
          <w:sz w:val="32"/>
          <w:szCs w:val="32"/>
          <w:shd w:val="clear" w:color="auto" w:fill="FFFFFF"/>
        </w:rPr>
        <w:t>社会保障和就业（类）</w:t>
      </w:r>
      <w:r>
        <w:rPr>
          <w:rFonts w:ascii="仿宋_GB2312" w:eastAsia="仿宋_GB2312" w:cs="仿宋_GB2312" w:hint="eastAsia"/>
          <w:kern w:val="0"/>
          <w:sz w:val="32"/>
          <w:szCs w:val="32"/>
          <w:shd w:val="clear" w:color="auto" w:fill="FFFFFF"/>
        </w:rPr>
        <w:t>支出</w:t>
      </w:r>
      <w:r>
        <w:rPr>
          <w:rFonts w:ascii="仿宋_GB2312" w:eastAsia="仿宋_GB2312" w:cs="仿宋_GB2312" w:hint="eastAsia"/>
          <w:kern w:val="0"/>
          <w:sz w:val="32"/>
          <w:szCs w:val="32"/>
          <w:shd w:val="clear" w:color="auto" w:fill="FFFFFF"/>
          <w:lang w:val="en-US" w:eastAsia="zh-CN"/>
        </w:rPr>
        <w:t>142.02</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2</w:t>
      </w:r>
      <w:r>
        <w:rPr>
          <w:rFonts w:ascii="仿宋_GB2312" w:eastAsia="仿宋_GB2312" w:cs="仿宋_GB2312" w:hint="eastAsia"/>
          <w:kern w:val="0"/>
          <w:sz w:val="32"/>
          <w:szCs w:val="32"/>
          <w:shd w:val="clear" w:color="auto" w:fill="FFFFFF"/>
        </w:rPr>
        <w:t>.</w:t>
      </w:r>
      <w:r>
        <w:rPr>
          <w:rFonts w:ascii="仿宋_GB2312" w:eastAsia="仿宋_GB2312" w:cs="仿宋_GB2312" w:hint="eastAsia"/>
          <w:kern w:val="0"/>
          <w:sz w:val="32"/>
          <w:szCs w:val="32"/>
          <w:shd w:val="clear" w:color="auto" w:fill="FFFFFF"/>
          <w:lang w:val="en-US" w:eastAsia="zh-CN"/>
        </w:rPr>
        <w:t>77</w:t>
      </w:r>
      <w:r>
        <w:rPr>
          <w:rFonts w:ascii="仿宋_GB2312" w:eastAsia="仿宋_GB2312" w:cs="仿宋_GB2312" w:hint="eastAsia"/>
          <w:kern w:val="0"/>
          <w:sz w:val="32"/>
          <w:szCs w:val="32"/>
          <w:shd w:val="clear" w:color="auto" w:fill="FFFFFF"/>
        </w:rPr>
        <w:t>%；</w:t>
      </w:r>
      <w:r>
        <w:rPr>
          <w:rStyle w:val="25"/>
          <w:rFonts w:ascii="仿宋_GB2312" w:eastAsia="仿宋_GB2312" w:cs="仿宋_GB2312" w:hint="eastAsia"/>
          <w:b/>
          <w:bCs/>
          <w:sz w:val="32"/>
          <w:szCs w:val="32"/>
          <w:shd w:val="clear" w:color="auto" w:fill="FFFFFF"/>
        </w:rPr>
        <w:t>卫生健康支出（类）</w:t>
      </w:r>
      <w:r>
        <w:rPr>
          <w:rStyle w:val="25"/>
          <w:rFonts w:ascii="仿宋_GB2312" w:eastAsia="仿宋_GB2312" w:cs="仿宋_GB2312" w:hint="eastAsia"/>
          <w:b w:val="0"/>
          <w:bCs w:val="0"/>
          <w:sz w:val="32"/>
          <w:szCs w:val="32"/>
          <w:shd w:val="clear" w:color="auto" w:fill="FFFFFF"/>
        </w:rPr>
        <w:t>支出</w:t>
      </w:r>
      <w:r>
        <w:rPr>
          <w:rStyle w:val="25"/>
          <w:rFonts w:ascii="仿宋_GB2312" w:eastAsia="仿宋_GB2312" w:cs="仿宋_GB2312" w:hint="eastAsia"/>
          <w:b w:val="0"/>
          <w:bCs w:val="0"/>
          <w:sz w:val="32"/>
          <w:szCs w:val="32"/>
          <w:shd w:val="clear" w:color="auto" w:fill="FFFFFF"/>
          <w:lang w:val="en-US" w:eastAsia="zh-CN"/>
        </w:rPr>
        <w:t>52.38</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1</w:t>
      </w:r>
      <w:r>
        <w:rPr>
          <w:rFonts w:ascii="仿宋_GB2312" w:eastAsia="仿宋_GB2312" w:cs="仿宋_GB2312" w:hint="eastAsia"/>
          <w:kern w:val="0"/>
          <w:sz w:val="32"/>
          <w:szCs w:val="32"/>
          <w:shd w:val="clear" w:color="auto" w:fill="FFFFFF"/>
        </w:rPr>
        <w:t>.</w:t>
      </w:r>
      <w:r>
        <w:rPr>
          <w:rFonts w:ascii="仿宋_GB2312" w:eastAsia="仿宋_GB2312" w:cs="仿宋_GB2312" w:hint="eastAsia"/>
          <w:kern w:val="0"/>
          <w:sz w:val="32"/>
          <w:szCs w:val="32"/>
          <w:shd w:val="clear" w:color="auto" w:fill="FFFFFF"/>
          <w:lang w:val="en-US" w:eastAsia="zh-CN"/>
        </w:rPr>
        <w:t>02</w:t>
      </w:r>
      <w:r>
        <w:rPr>
          <w:rFonts w:ascii="仿宋_GB2312" w:eastAsia="仿宋_GB2312" w:cs="仿宋_GB2312" w:hint="eastAsia"/>
          <w:kern w:val="0"/>
          <w:sz w:val="32"/>
          <w:szCs w:val="32"/>
          <w:shd w:val="clear" w:color="auto" w:fill="FFFFFF"/>
        </w:rPr>
        <w:t>%；</w:t>
      </w:r>
      <w:r>
        <w:rPr>
          <w:rStyle w:val="25"/>
          <w:rFonts w:ascii="仿宋_GB2312" w:eastAsia="仿宋_GB2312" w:cs="仿宋_GB2312" w:hint="eastAsia"/>
          <w:b/>
          <w:bCs/>
          <w:sz w:val="32"/>
          <w:szCs w:val="32"/>
          <w:shd w:val="clear" w:color="auto" w:fill="FFFFFF"/>
        </w:rPr>
        <w:t>农林水支出（类）</w:t>
      </w:r>
      <w:r>
        <w:rPr>
          <w:rFonts w:ascii="仿宋_GB2312" w:eastAsia="仿宋_GB2312" w:cs="仿宋_GB2312" w:hint="eastAsia"/>
          <w:kern w:val="0"/>
          <w:sz w:val="32"/>
          <w:szCs w:val="32"/>
          <w:shd w:val="clear" w:color="auto" w:fill="FFFFFF"/>
        </w:rPr>
        <w:t>支出3</w:t>
      </w:r>
      <w:r>
        <w:rPr>
          <w:rFonts w:ascii="仿宋_GB2312" w:eastAsia="仿宋_GB2312" w:cs="仿宋_GB2312" w:hint="eastAsia"/>
          <w:kern w:val="0"/>
          <w:sz w:val="32"/>
          <w:szCs w:val="32"/>
          <w:shd w:val="clear" w:color="auto" w:fill="FFFFFF"/>
          <w:lang w:val="en-US" w:eastAsia="zh-CN"/>
        </w:rPr>
        <w:t>7.50</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0.73</w:t>
      </w:r>
      <w:r>
        <w:rPr>
          <w:rFonts w:ascii="仿宋_GB2312" w:eastAsia="仿宋_GB2312" w:cs="仿宋_GB2312" w:hint="eastAsia"/>
          <w:kern w:val="0"/>
          <w:sz w:val="32"/>
          <w:szCs w:val="32"/>
          <w:shd w:val="clear" w:color="auto" w:fill="FFFFFF"/>
        </w:rPr>
        <w:t>%；</w:t>
      </w:r>
      <w:r>
        <w:rPr>
          <w:rStyle w:val="25"/>
          <w:rFonts w:ascii="仿宋_GB2312" w:eastAsia="仿宋_GB2312" w:cs="仿宋_GB2312" w:hint="eastAsia"/>
          <w:b/>
          <w:bCs/>
          <w:sz w:val="32"/>
          <w:szCs w:val="32"/>
          <w:shd w:val="clear" w:color="auto" w:fill="FFFFFF"/>
        </w:rPr>
        <w:t>住房保障支出（类）</w:t>
      </w:r>
      <w:r>
        <w:rPr>
          <w:rStyle w:val="25"/>
          <w:rFonts w:ascii="仿宋_GB2312" w:eastAsia="仿宋_GB2312" w:cs="仿宋_GB2312" w:hint="eastAsia"/>
          <w:b w:val="0"/>
          <w:bCs w:val="0"/>
          <w:sz w:val="32"/>
          <w:szCs w:val="32"/>
          <w:shd w:val="clear" w:color="auto" w:fill="FFFFFF"/>
        </w:rPr>
        <w:t>支出</w:t>
      </w:r>
      <w:r>
        <w:rPr>
          <w:rStyle w:val="25"/>
          <w:rFonts w:ascii="仿宋_GB2312" w:eastAsia="仿宋_GB2312" w:cs="仿宋_GB2312" w:hint="eastAsia"/>
          <w:b w:val="0"/>
          <w:bCs w:val="0"/>
          <w:sz w:val="32"/>
          <w:szCs w:val="32"/>
          <w:shd w:val="clear" w:color="auto" w:fill="FFFFFF"/>
          <w:lang w:val="en-US" w:eastAsia="zh-CN"/>
        </w:rPr>
        <w:t>74.23</w:t>
      </w:r>
      <w:r>
        <w:rPr>
          <w:rFonts w:ascii="仿宋_GB2312" w:eastAsia="仿宋_GB2312" w:cs="仿宋_GB2312" w:hint="eastAsia"/>
          <w:kern w:val="0"/>
          <w:sz w:val="32"/>
          <w:szCs w:val="32"/>
          <w:shd w:val="clear" w:color="auto" w:fill="FFFFFF"/>
        </w:rPr>
        <w:t>万元，占1.</w:t>
      </w:r>
      <w:r>
        <w:rPr>
          <w:rFonts w:ascii="仿宋_GB2312" w:eastAsia="仿宋_GB2312" w:cs="仿宋_GB2312" w:hint="eastAsia"/>
          <w:kern w:val="0"/>
          <w:sz w:val="32"/>
          <w:szCs w:val="32"/>
          <w:shd w:val="clear" w:color="auto" w:fill="FFFFFF"/>
          <w:lang w:val="en-US" w:eastAsia="zh-CN"/>
        </w:rPr>
        <w:t>45</w:t>
      </w:r>
      <w:r>
        <w:rPr>
          <w:rFonts w:ascii="仿宋_GB2312" w:eastAsia="仿宋_GB2312" w:cs="仿宋_GB2312" w:hint="eastAsia"/>
          <w:kern w:val="0"/>
          <w:sz w:val="32"/>
          <w:szCs w:val="32"/>
          <w:shd w:val="clear" w:color="auto" w:fill="FFFFFF"/>
        </w:rPr>
        <w:t xml:space="preserve">%； </w:t>
      </w:r>
    </w:p>
    <w:p>
      <w:pPr>
        <w:bidi w:val="0"/>
        <w:ind w:firstLine="234"/>
        <w:jc w:val="left"/>
      </w:pPr>
    </w:p>
    <w:p>
      <w:pPr>
        <w:pStyle w:val="17"/>
        <w:rPr>
          <w:rFonts w:hint="eastAsia"/>
          <w:lang w:val="en-US" w:eastAsia="zh-CN"/>
        </w:rPr>
      </w:pPr>
      <w:r>
        <w:drawing>
          <wp:inline distT="0" distB="0" distL="114300" distR="114300">
            <wp:extent cx="4826000" cy="2743200"/>
            <wp:effectExtent l="0" t="0" r="0" b="0"/>
            <wp:docPr id="6" name="图表 5"/>
            <wp:cNvGraphicFramePr>
              <a:graphicFrameLocks noChangeAspect="0"/>
            </wp:cNvGraphicFramePr>
            <a:graphic>
              <a:graphicData uri="http://schemas.openxmlformats.org/drawingml/2006/chart">
                <c:chart xmlns:c="http://schemas.openxmlformats.org/drawingml/2006/chart" r:id="rId8"/>
              </a:graphicData>
            </a:graphic>
          </wp:inline>
        </w:drawing>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（图6：一般公共预算财政拨款支出决算结构）（饼状图）</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left"/>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（三）一般公共预算财政拨款支出决算具体情况</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left"/>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年一般公共预算支出决算数为5</w:t>
      </w:r>
      <w:r>
        <w:rPr>
          <w:rFonts w:ascii="仿宋_GB2312" w:eastAsia="仿宋_GB2312" w:cs="仿宋_GB2312" w:hint="eastAsia"/>
          <w:kern w:val="0"/>
          <w:sz w:val="32"/>
          <w:szCs w:val="32"/>
          <w:shd w:val="clear" w:color="auto" w:fill="FFFFFF"/>
          <w:lang w:val="en-US" w:eastAsia="zh-CN"/>
        </w:rPr>
        <w:t>115.15</w:t>
      </w:r>
      <w:r>
        <w:rPr>
          <w:rFonts w:ascii="仿宋_GB2312" w:eastAsia="仿宋_GB2312" w:cs="仿宋_GB2312" w:hint="eastAsia"/>
          <w:kern w:val="0"/>
          <w:sz w:val="32"/>
          <w:szCs w:val="32"/>
          <w:shd w:val="clear" w:color="auto" w:fill="FFFFFF"/>
        </w:rPr>
        <w:t>万元，其中：</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2070102—一般行政管理事务支出</w:t>
      </w:r>
      <w:r>
        <w:rPr>
          <w:rFonts w:ascii="仿宋_GB2312" w:eastAsia="仿宋_GB2312" w:cs="仿宋_GB2312" w:hint="eastAsia"/>
          <w:color w:val="000000"/>
          <w:kern w:val="0"/>
          <w:sz w:val="32"/>
          <w:szCs w:val="32"/>
          <w:lang w:val="en-US" w:eastAsia="zh-CN"/>
        </w:rPr>
        <w:t>30.05</w:t>
      </w:r>
      <w:r>
        <w:rPr>
          <w:rFonts w:ascii="仿宋_GB2312" w:eastAsia="仿宋_GB2312" w:cs="仿宋_GB2312" w:hint="eastAsia"/>
          <w:color w:val="000000"/>
          <w:kern w:val="0"/>
          <w:sz w:val="32"/>
          <w:szCs w:val="32"/>
        </w:rPr>
        <w:t>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2070104—图书馆支出171.72万元；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2070107—艺术表演团体支出40.00万元；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2070111—文化创作与保护支出312.3</w:t>
      </w:r>
      <w:r>
        <w:rPr>
          <w:rFonts w:ascii="仿宋_GB2312" w:eastAsia="仿宋_GB2312" w:cs="仿宋_GB2312" w:hint="eastAsia"/>
          <w:color w:val="000000"/>
          <w:kern w:val="0"/>
          <w:sz w:val="32"/>
          <w:szCs w:val="32"/>
          <w:lang w:val="en-US" w:eastAsia="zh-CN"/>
        </w:rPr>
        <w:t>0</w:t>
      </w:r>
      <w:r>
        <w:rPr>
          <w:rFonts w:ascii="仿宋_GB2312" w:eastAsia="仿宋_GB2312" w:cs="仿宋_GB2312" w:hint="eastAsia"/>
          <w:color w:val="000000"/>
          <w:kern w:val="0"/>
          <w:sz w:val="32"/>
          <w:szCs w:val="32"/>
        </w:rPr>
        <w:t>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2070113—旅游宣传439.62万元；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2070199—其他文化和旅游支出2341.86万元；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2070307-体育场馆支出15.04万元；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2070899—其他广播电视支出35.88万元；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2079999—其他文化体育与传媒支出204.41万元。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b w:val="0"/>
          <w:bCs/>
          <w:color w:val="000000"/>
          <w:kern w:val="0"/>
          <w:sz w:val="32"/>
          <w:szCs w:val="32"/>
        </w:rPr>
      </w:pPr>
      <w:r>
        <w:rPr>
          <w:rStyle w:val="27"/>
          <w:rFonts w:ascii="仿宋_GB2312" w:eastAsia="仿宋_GB2312" w:cs="仿宋_GB2312" w:hint="eastAsia"/>
          <w:b/>
          <w:bCs/>
          <w:color w:val="000000"/>
          <w:sz w:val="32"/>
          <w:szCs w:val="32"/>
        </w:rPr>
        <w:t>2.农林水213:支出决算为</w:t>
      </w:r>
      <w:r>
        <w:rPr>
          <w:rStyle w:val="27"/>
          <w:rFonts w:ascii="仿宋_GB2312" w:eastAsia="仿宋_GB2312" w:cs="仿宋_GB2312" w:hint="eastAsia"/>
          <w:b/>
          <w:bCs/>
          <w:color w:val="000000"/>
          <w:sz w:val="32"/>
          <w:szCs w:val="32"/>
          <w:lang w:val="en-US" w:eastAsia="zh-CN"/>
        </w:rPr>
        <w:t>37.50</w:t>
      </w:r>
      <w:r>
        <w:rPr>
          <w:rStyle w:val="27"/>
          <w:rFonts w:ascii="仿宋_GB2312" w:eastAsia="仿宋_GB2312" w:cs="仿宋_GB2312" w:hint="eastAsia"/>
          <w:b/>
          <w:bCs/>
          <w:color w:val="000000"/>
          <w:sz w:val="32"/>
          <w:szCs w:val="32"/>
        </w:rPr>
        <w:t>万元，完成预算100%，决算数等于预算数。</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Style w:val="27"/>
          <w:rFonts w:ascii="仿宋_GB2312" w:eastAsia="仿宋_GB2312" w:cs="仿宋_GB2312" w:hint="eastAsia"/>
          <w:b w:val="0"/>
          <w:bCs w:val="0"/>
          <w:color w:val="000000"/>
          <w:sz w:val="32"/>
          <w:szCs w:val="32"/>
        </w:rPr>
      </w:pPr>
      <w:r>
        <w:rPr>
          <w:rStyle w:val="27"/>
          <w:rFonts w:ascii="仿宋_GB2312" w:eastAsia="仿宋_GB2312" w:cs="仿宋_GB2312" w:hint="eastAsia"/>
          <w:b w:val="0"/>
          <w:bCs w:val="0"/>
          <w:color w:val="000000"/>
          <w:sz w:val="32"/>
          <w:szCs w:val="32"/>
        </w:rPr>
        <w:t>2130504—农村基础设施建设支出37.5万元；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200" w:firstLine="640"/>
        <w:jc w:val="both"/>
        <w:textAlignment w:val="auto"/>
        <w:rPr>
          <w:rFonts w:ascii="仿宋_GB2312" w:eastAsia="仿宋_GB2312" w:cs="仿宋_GB2312" w:hint="eastAsia"/>
          <w:b w:val="0"/>
          <w:bCs/>
          <w:color w:val="000000"/>
          <w:kern w:val="0"/>
          <w:sz w:val="32"/>
          <w:szCs w:val="32"/>
        </w:rPr>
      </w:pPr>
      <w:r>
        <w:rPr>
          <w:rStyle w:val="27"/>
          <w:rFonts w:ascii="仿宋_GB2312" w:eastAsia="仿宋_GB2312" w:cs="仿宋_GB2312" w:hint="eastAsia"/>
          <w:b/>
          <w:bCs/>
          <w:color w:val="000000"/>
          <w:sz w:val="32"/>
          <w:szCs w:val="32"/>
        </w:rPr>
        <w:t>3.社会保障和就业208:支出决算为142.02万元，完成预算100%，决算数等于预算数。</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645"/>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2080505—机关事业单位基本养老保险缴费支出94.63万元；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firstLine="645"/>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2080506—机关事业单位职业年金缴费支出</w:t>
      </w:r>
      <w:r>
        <w:rPr>
          <w:rFonts w:ascii="仿宋_GB2312" w:eastAsia="仿宋_GB2312" w:cs="仿宋_GB2312" w:hint="eastAsia"/>
          <w:color w:val="000000"/>
          <w:kern w:val="0"/>
          <w:sz w:val="32"/>
          <w:szCs w:val="32"/>
          <w:lang w:val="en-US" w:eastAsia="zh-CN"/>
        </w:rPr>
        <w:t>47.39</w:t>
      </w:r>
      <w:r>
        <w:rPr>
          <w:rFonts w:ascii="仿宋_GB2312" w:eastAsia="仿宋_GB2312" w:cs="仿宋_GB2312" w:hint="eastAsia"/>
          <w:color w:val="000000"/>
          <w:kern w:val="0"/>
          <w:sz w:val="32"/>
          <w:szCs w:val="32"/>
        </w:rPr>
        <w:t>万元。</w:t>
      </w:r>
    </w:p>
    <w:p>
      <w:pPr>
        <w:pStyle w:val="28"/>
        <w:keepNext w:val="0"/>
        <w:keepLines w:val="0"/>
        <w:pageBreakBefore w:val="0"/>
        <w:widowControl/>
        <w:suppressLineNumbers w:val="0"/>
        <w:kinsoku/>
        <w:wordWrap/>
        <w:overflowPunct/>
        <w:topLinePunct w:val="0"/>
        <w:autoSpaceDE w:val="0"/>
        <w:autoSpaceDN/>
        <w:bidi w:val="0"/>
        <w:spacing w:after="0" w:afterAutospacing="0" w:line="560" w:lineRule="exact"/>
        <w:ind w:left="0" w:firstLineChars="0" w:firstLine="480"/>
        <w:jc w:val="both"/>
        <w:textAlignment w:val="auto"/>
        <w:rPr>
          <w:rFonts w:ascii="仿宋_GB2312" w:eastAsia="仿宋_GB2312" w:cs="仿宋_GB2312" w:hint="eastAsia"/>
          <w:b w:val="0"/>
          <w:bCs/>
          <w:color w:val="000000"/>
          <w:kern w:val="0"/>
          <w:sz w:val="32"/>
          <w:szCs w:val="32"/>
        </w:rPr>
      </w:pPr>
      <w:r>
        <w:rPr>
          <w:rStyle w:val="27"/>
          <w:rFonts w:ascii="仿宋_GB2312" w:eastAsia="仿宋_GB2312" w:cs="仿宋_GB2312" w:hint="eastAsia"/>
          <w:b/>
          <w:bCs/>
          <w:color w:val="000000"/>
          <w:sz w:val="32"/>
          <w:szCs w:val="32"/>
        </w:rPr>
        <w:t>4.医疗卫生与计划生育210:支出决算为52.38万元，完成预算100%，决算数等于预算数。</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2101101—行政单位医疗支出28.77万元；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2101102—事业单位医疗支出13.58万元；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2101103—公务员医疗补助支出6.88万元；</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2101199—其他行政事业单位医疗支出3.15万元。</w:t>
      </w:r>
    </w:p>
    <w:p>
      <w:pPr>
        <w:pStyle w:val="28"/>
        <w:keepNext w:val="0"/>
        <w:keepLines w:val="0"/>
        <w:pageBreakBefore w:val="0"/>
        <w:widowControl/>
        <w:numPr>
          <w:ilvl w:val="0"/>
          <w:numId w:val="4"/>
        </w:numPr>
        <w:suppressLineNumbers w:val="0"/>
        <w:kinsoku/>
        <w:wordWrap/>
        <w:overflowPunct/>
        <w:topLinePunct w:val="0"/>
        <w:autoSpaceDE w:val="0"/>
        <w:autoSpaceDN/>
        <w:bidi w:val="0"/>
        <w:spacing w:after="0" w:afterAutospacing="0" w:line="560" w:lineRule="exact"/>
        <w:ind w:left="0" w:right="0" w:firstLineChars="200" w:firstLine="640"/>
        <w:jc w:val="both"/>
        <w:textAlignment w:val="auto"/>
        <w:rPr>
          <w:rFonts w:ascii="仿宋_GB2312" w:eastAsia="仿宋_GB2312" w:cs="仿宋_GB2312" w:hint="eastAsia"/>
          <w:b/>
          <w:bCs/>
          <w:color w:val="000000"/>
          <w:sz w:val="32"/>
          <w:szCs w:val="32"/>
        </w:rPr>
      </w:pPr>
      <w:r>
        <w:rPr>
          <w:rFonts w:ascii="仿宋_GB2312" w:eastAsia="仿宋_GB2312" w:cs="仿宋_GB2312" w:hint="eastAsia"/>
          <w:b/>
          <w:bCs w:val="0"/>
          <w:color w:val="000000"/>
          <w:kern w:val="0"/>
          <w:sz w:val="32"/>
          <w:szCs w:val="32"/>
        </w:rPr>
        <w:t>住房保障221：</w:t>
      </w:r>
      <w:r>
        <w:rPr>
          <w:rStyle w:val="27"/>
          <w:rFonts w:ascii="仿宋_GB2312" w:eastAsia="仿宋_GB2312" w:cs="仿宋_GB2312" w:hint="eastAsia"/>
          <w:b/>
          <w:bCs/>
          <w:color w:val="000000"/>
          <w:sz w:val="32"/>
          <w:szCs w:val="32"/>
        </w:rPr>
        <w:t>支出决算为74.23万元，完成预算100%，决算数等于预算数。</w:t>
      </w:r>
    </w:p>
    <w:p>
      <w:pPr>
        <w:keepNext w:val="0"/>
        <w:keepLines w:val="0"/>
        <w:pageBreakBefore w:val="0"/>
        <w:widowControl/>
        <w:suppressLineNumbers w:val="0"/>
        <w:kinsoku/>
        <w:wordWrap/>
        <w:overflowPunct/>
        <w:topLinePunct w:val="0"/>
        <w:autoSpaceDE w:val="0"/>
        <w:autoSpaceDN/>
        <w:bidi w:val="0"/>
        <w:spacing w:after="0" w:afterAutospacing="0" w:line="560" w:lineRule="exact"/>
        <w:ind w:left="0"/>
        <w:jc w:val="both"/>
        <w:textAlignment w:val="auto"/>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2210201-住房公积金支出74.23万元。</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 xml:space="preserve">六、一般公共预算财政拨款基本支出决算情况说明    </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left"/>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年一般公共预算财政拨款基本支出</w:t>
      </w:r>
      <w:r>
        <w:rPr>
          <w:rFonts w:ascii="仿宋_GB2312" w:eastAsia="仿宋_GB2312" w:cs="仿宋_GB2312" w:hint="eastAsia"/>
          <w:kern w:val="0"/>
          <w:sz w:val="32"/>
          <w:szCs w:val="32"/>
          <w:shd w:val="clear" w:color="auto" w:fill="FFFFFF"/>
          <w:lang w:val="en-US" w:eastAsia="zh-CN"/>
        </w:rPr>
        <w:t>1002.28</w:t>
      </w:r>
      <w:r>
        <w:rPr>
          <w:rFonts w:ascii="仿宋_GB2312" w:eastAsia="仿宋_GB2312" w:cs="仿宋_GB2312" w:hint="eastAsia"/>
          <w:kern w:val="0"/>
          <w:sz w:val="32"/>
          <w:szCs w:val="32"/>
          <w:shd w:val="clear" w:color="auto" w:fill="FFFFFF"/>
        </w:rPr>
        <w:t>万元，其中：人员经费</w:t>
      </w:r>
      <w:r>
        <w:rPr>
          <w:rFonts w:ascii="仿宋_GB2312" w:eastAsia="仿宋_GB2312" w:cs="仿宋_GB2312" w:hint="eastAsia"/>
          <w:kern w:val="0"/>
          <w:sz w:val="32"/>
          <w:szCs w:val="32"/>
          <w:shd w:val="clear" w:color="auto" w:fill="FFFFFF"/>
          <w:lang w:val="en-US" w:eastAsia="zh-CN"/>
        </w:rPr>
        <w:t>937.56</w:t>
      </w:r>
      <w:r>
        <w:rPr>
          <w:rFonts w:ascii="仿宋_GB2312" w:eastAsia="仿宋_GB2312" w:cs="仿宋_GB2312" w:hint="eastAsia"/>
          <w:kern w:val="0"/>
          <w:sz w:val="32"/>
          <w:szCs w:val="32"/>
          <w:shd w:val="clear" w:color="auto" w:fill="FFFFFF"/>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日常公用经费64.72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七、“三公”经费财政拨款支出决算情况说明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楷体_GB2312" w:eastAsia="楷体_GB2312" w:cs="楷体_GB2312" w:hint="eastAsia"/>
          <w:b/>
          <w:bCs/>
          <w:kern w:val="0"/>
          <w:sz w:val="32"/>
          <w:szCs w:val="32"/>
        </w:rPr>
      </w:pPr>
      <w:r>
        <w:rPr>
          <w:rStyle w:val="25"/>
          <w:rFonts w:ascii="楷体_GB2312" w:eastAsia="楷体_GB2312" w:cs="楷体_GB2312" w:hint="eastAsia"/>
          <w:b/>
          <w:bCs/>
          <w:sz w:val="32"/>
          <w:szCs w:val="32"/>
          <w:shd w:val="clear" w:color="auto" w:fill="FFFFFF"/>
        </w:rPr>
        <w:t>（一）“三公”经费财政拨款支出决算总体情况说明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年“三公”经费财政拨款支出决算为7.</w:t>
      </w:r>
      <w:r>
        <w:rPr>
          <w:rFonts w:ascii="仿宋_GB2312" w:eastAsia="仿宋_GB2312" w:cs="仿宋_GB2312" w:hint="eastAsia"/>
          <w:kern w:val="0"/>
          <w:sz w:val="32"/>
          <w:szCs w:val="32"/>
          <w:shd w:val="clear" w:color="auto" w:fill="FFFFFF"/>
          <w:lang w:val="en-US" w:eastAsia="zh-CN"/>
        </w:rPr>
        <w:t>21</w:t>
      </w:r>
      <w:r>
        <w:rPr>
          <w:rFonts w:ascii="仿宋_GB2312" w:eastAsia="仿宋_GB2312" w:cs="仿宋_GB2312" w:hint="eastAsia"/>
          <w:kern w:val="0"/>
          <w:sz w:val="32"/>
          <w:szCs w:val="32"/>
          <w:shd w:val="clear" w:color="auto" w:fill="FFFFFF"/>
        </w:rPr>
        <w:t>万元，完成预算</w:t>
      </w:r>
      <w:r>
        <w:rPr>
          <w:rFonts w:ascii="仿宋_GB2312" w:eastAsia="仿宋_GB2312" w:cs="仿宋_GB2312" w:hint="eastAsia"/>
          <w:kern w:val="0"/>
          <w:sz w:val="32"/>
          <w:szCs w:val="32"/>
          <w:shd w:val="clear" w:color="auto" w:fill="FFFFFF"/>
          <w:lang w:val="en-US" w:eastAsia="zh-CN"/>
        </w:rPr>
        <w:t>99.99</w:t>
      </w:r>
      <w:r>
        <w:rPr>
          <w:rFonts w:ascii="仿宋_GB2312" w:eastAsia="仿宋_GB2312" w:cs="仿宋_GB2312" w:hint="eastAsia"/>
          <w:kern w:val="0"/>
          <w:sz w:val="32"/>
          <w:szCs w:val="32"/>
          <w:shd w:val="clear" w:color="auto" w:fill="FFFFFF"/>
        </w:rPr>
        <w:t>%。</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楷体_GB2312" w:eastAsia="楷体_GB2312" w:cs="楷体_GB2312" w:hint="eastAsia"/>
          <w:b/>
          <w:bCs/>
          <w:kern w:val="0"/>
          <w:sz w:val="32"/>
          <w:szCs w:val="32"/>
        </w:rPr>
      </w:pPr>
      <w:r>
        <w:rPr>
          <w:rStyle w:val="25"/>
          <w:rFonts w:ascii="楷体_GB2312" w:eastAsia="楷体_GB2312" w:cs="楷体_GB2312" w:hint="eastAsia"/>
          <w:b/>
          <w:bCs/>
          <w:sz w:val="32"/>
          <w:szCs w:val="32"/>
          <w:shd w:val="clear" w:color="auto" w:fill="FFFFFF"/>
        </w:rPr>
        <w:t>（二）“三公”经费财政拨款支出决算具体情况说明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年“三公”经费财政拨款支出决算中，因公出国（境）费支出决算0.00万元，占0.00%；公务用车购置及运行维护费支出决算7.2</w:t>
      </w:r>
      <w:r>
        <w:rPr>
          <w:rFonts w:ascii="仿宋_GB2312" w:eastAsia="仿宋_GB2312" w:cs="仿宋_GB2312" w:hint="eastAsia"/>
          <w:kern w:val="0"/>
          <w:sz w:val="32"/>
          <w:szCs w:val="32"/>
          <w:shd w:val="clear" w:color="auto" w:fill="FFFFFF"/>
          <w:lang w:val="en-US" w:eastAsia="zh-CN"/>
        </w:rPr>
        <w:t>1</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100.00</w:t>
      </w:r>
      <w:r>
        <w:rPr>
          <w:rFonts w:ascii="仿宋_GB2312" w:eastAsia="仿宋_GB2312" w:cs="仿宋_GB2312" w:hint="eastAsia"/>
          <w:kern w:val="0"/>
          <w:sz w:val="32"/>
          <w:szCs w:val="32"/>
          <w:shd w:val="clear" w:color="auto" w:fill="FFFFFF"/>
        </w:rPr>
        <w:t>%；公务接待费支出决算</w:t>
      </w:r>
      <w:r>
        <w:rPr>
          <w:rFonts w:ascii="仿宋_GB2312" w:eastAsia="仿宋_GB2312" w:cs="仿宋_GB2312" w:hint="eastAsia"/>
          <w:kern w:val="0"/>
          <w:sz w:val="32"/>
          <w:szCs w:val="32"/>
          <w:shd w:val="clear" w:color="auto" w:fill="FFFFFF"/>
          <w:lang w:val="en-US" w:eastAsia="zh-CN"/>
        </w:rPr>
        <w:t>0.00</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0.00</w:t>
      </w:r>
      <w:r>
        <w:rPr>
          <w:rFonts w:ascii="仿宋_GB2312" w:eastAsia="仿宋_GB2312" w:cs="仿宋_GB2312" w:hint="eastAsia"/>
          <w:kern w:val="0"/>
          <w:sz w:val="32"/>
          <w:szCs w:val="32"/>
          <w:shd w:val="clear" w:color="auto" w:fill="FFFFFF"/>
        </w:rPr>
        <w:t xml:space="preserve">%。具体情况如下： </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1.因公出国（境）经费支出</w:t>
      </w:r>
      <w:r>
        <w:rPr>
          <w:rFonts w:ascii="仿宋_GB2312" w:eastAsia="仿宋_GB2312" w:cs="仿宋_GB2312" w:hint="eastAsia"/>
          <w:kern w:val="0"/>
          <w:sz w:val="32"/>
          <w:szCs w:val="32"/>
          <w:shd w:val="clear" w:color="auto" w:fill="FFFFFF"/>
        </w:rPr>
        <w:t>0.00</w:t>
      </w:r>
      <w:r>
        <w:rPr>
          <w:rStyle w:val="25"/>
          <w:rFonts w:ascii="仿宋_GB2312" w:eastAsia="仿宋_GB2312" w:cs="仿宋_GB2312" w:hint="eastAsia"/>
          <w:b/>
          <w:bCs/>
          <w:sz w:val="32"/>
          <w:szCs w:val="32"/>
          <w:shd w:val="clear" w:color="auto" w:fill="FFFFFF"/>
        </w:rPr>
        <w:t>万元，完成预算</w:t>
      </w:r>
      <w:r>
        <w:rPr>
          <w:rFonts w:ascii="仿宋_GB2312" w:eastAsia="仿宋_GB2312" w:cs="仿宋_GB2312" w:hint="eastAsia"/>
          <w:kern w:val="0"/>
          <w:sz w:val="32"/>
          <w:szCs w:val="32"/>
          <w:shd w:val="clear" w:color="auto" w:fill="FFFFFF"/>
        </w:rPr>
        <w:t>0.00</w:t>
      </w:r>
      <w:r>
        <w:rPr>
          <w:rStyle w:val="25"/>
          <w:rFonts w:ascii="仿宋_GB2312" w:eastAsia="仿宋_GB2312" w:cs="仿宋_GB2312" w:hint="eastAsia"/>
          <w:b/>
          <w:bCs/>
          <w:sz w:val="32"/>
          <w:szCs w:val="32"/>
          <w:shd w:val="clear" w:color="auto" w:fill="FFFFFF"/>
        </w:rPr>
        <w:t>%。</w:t>
      </w:r>
      <w:r>
        <w:rPr>
          <w:rFonts w:ascii="仿宋_GB2312" w:eastAsia="仿宋_GB2312" w:cs="仿宋_GB2312" w:hint="eastAsia"/>
          <w:kern w:val="0"/>
          <w:sz w:val="32"/>
          <w:szCs w:val="32"/>
          <w:shd w:val="clear" w:color="auto" w:fill="FFFFFF"/>
        </w:rPr>
        <w:t>全年安排因公出国（境）团组0个，出国（境）0人。</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2.公务用车购置及运行维护费支出</w:t>
      </w:r>
      <w:r>
        <w:rPr>
          <w:rFonts w:ascii="仿宋_GB2312" w:eastAsia="仿宋_GB2312" w:cs="仿宋_GB2312" w:hint="eastAsia"/>
          <w:kern w:val="0"/>
          <w:sz w:val="32"/>
          <w:szCs w:val="32"/>
          <w:shd w:val="clear" w:color="auto" w:fill="FFFFFF"/>
        </w:rPr>
        <w:t>7.2</w:t>
      </w:r>
      <w:r>
        <w:rPr>
          <w:rFonts w:ascii="仿宋_GB2312" w:eastAsia="仿宋_GB2312" w:cs="仿宋_GB2312" w:hint="eastAsia"/>
          <w:kern w:val="0"/>
          <w:sz w:val="32"/>
          <w:szCs w:val="32"/>
          <w:shd w:val="clear" w:color="auto" w:fill="FFFFFF"/>
          <w:lang w:val="en-US" w:eastAsia="zh-CN"/>
        </w:rPr>
        <w:t>1</w:t>
      </w:r>
      <w:r>
        <w:rPr>
          <w:rStyle w:val="25"/>
          <w:rFonts w:ascii="仿宋_GB2312" w:eastAsia="仿宋_GB2312" w:cs="仿宋_GB2312" w:hint="eastAsia"/>
          <w:b/>
          <w:bCs/>
          <w:sz w:val="32"/>
          <w:szCs w:val="32"/>
          <w:shd w:val="clear" w:color="auto" w:fill="FFFFFF"/>
        </w:rPr>
        <w:t>万元,完成预算</w:t>
      </w:r>
      <w:r>
        <w:rPr>
          <w:rStyle w:val="25"/>
          <w:rFonts w:ascii="仿宋_GB2312" w:eastAsia="仿宋_GB2312" w:cs="仿宋_GB2312" w:hint="eastAsia"/>
          <w:b/>
          <w:bCs/>
          <w:sz w:val="32"/>
          <w:szCs w:val="32"/>
          <w:shd w:val="clear" w:color="auto" w:fill="FFFFFF"/>
          <w:lang w:val="en-US" w:eastAsia="zh-CN"/>
        </w:rPr>
        <w:t>99.99</w:t>
      </w:r>
      <w:r>
        <w:rPr>
          <w:rStyle w:val="25"/>
          <w:rFonts w:ascii="仿宋_GB2312" w:eastAsia="仿宋_GB2312" w:cs="仿宋_GB2312" w:hint="eastAsia"/>
          <w:b/>
          <w:bCs/>
          <w:sz w:val="32"/>
          <w:szCs w:val="32"/>
          <w:shd w:val="clear" w:color="auto" w:fill="FFFFFF"/>
        </w:rPr>
        <w:t>%</w:t>
      </w:r>
      <w:r>
        <w:rPr>
          <w:rFonts w:ascii="仿宋_GB2312" w:eastAsia="仿宋_GB2312" w:cs="仿宋_GB2312" w:hint="eastAsia"/>
          <w:kern w:val="0"/>
          <w:sz w:val="32"/>
          <w:szCs w:val="32"/>
          <w:shd w:val="clear" w:color="auto" w:fill="FFFFFF"/>
        </w:rPr>
        <w:t>。截至202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年12月底，单位共有公务用车2辆，其中：应急保障用车2辆。</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公务用车运行维护费支出</w:t>
      </w:r>
      <w:r>
        <w:rPr>
          <w:rFonts w:ascii="仿宋_GB2312" w:eastAsia="仿宋_GB2312" w:cs="仿宋_GB2312" w:hint="eastAsia"/>
          <w:kern w:val="0"/>
          <w:sz w:val="32"/>
          <w:szCs w:val="32"/>
          <w:shd w:val="clear" w:color="auto" w:fill="FFFFFF"/>
        </w:rPr>
        <w:t>7.2</w:t>
      </w:r>
      <w:r>
        <w:rPr>
          <w:rFonts w:ascii="仿宋_GB2312" w:eastAsia="仿宋_GB2312" w:cs="仿宋_GB2312" w:hint="eastAsia"/>
          <w:kern w:val="0"/>
          <w:sz w:val="32"/>
          <w:szCs w:val="32"/>
          <w:shd w:val="clear" w:color="auto" w:fill="FFFFFF"/>
          <w:lang w:val="en-US" w:eastAsia="zh-CN"/>
        </w:rPr>
        <w:t>1</w:t>
      </w:r>
      <w:r>
        <w:rPr>
          <w:rStyle w:val="25"/>
          <w:rFonts w:ascii="仿宋_GB2312" w:eastAsia="仿宋_GB2312" w:cs="仿宋_GB2312" w:hint="eastAsia"/>
          <w:b/>
          <w:bCs/>
          <w:sz w:val="32"/>
          <w:szCs w:val="32"/>
          <w:shd w:val="clear" w:color="auto" w:fill="FFFFFF"/>
        </w:rPr>
        <w:t>万元。</w:t>
      </w:r>
      <w:r>
        <w:rPr>
          <w:rFonts w:ascii="仿宋_GB2312" w:eastAsia="仿宋_GB2312" w:cs="仿宋_GB2312" w:hint="eastAsia"/>
          <w:kern w:val="0"/>
          <w:sz w:val="32"/>
          <w:szCs w:val="32"/>
          <w:shd w:val="clear" w:color="auto" w:fill="FFFFFF"/>
        </w:rPr>
        <w:t>主要用于日常工作所需的公务用车燃料费、维修费、过路过桥费、保险费等支出。</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3.公务接待费支出</w:t>
      </w:r>
      <w:r>
        <w:rPr>
          <w:rFonts w:ascii="仿宋_GB2312" w:eastAsia="仿宋_GB2312" w:cs="仿宋_GB2312" w:hint="eastAsia"/>
          <w:kern w:val="0"/>
          <w:sz w:val="32"/>
          <w:szCs w:val="32"/>
          <w:shd w:val="clear" w:color="auto" w:fill="FFFFFF"/>
        </w:rPr>
        <w:t>0.00</w:t>
      </w:r>
      <w:r>
        <w:rPr>
          <w:rStyle w:val="25"/>
          <w:rFonts w:ascii="仿宋_GB2312" w:eastAsia="仿宋_GB2312" w:cs="仿宋_GB2312" w:hint="eastAsia"/>
          <w:b/>
          <w:bCs/>
          <w:sz w:val="32"/>
          <w:szCs w:val="32"/>
          <w:shd w:val="clear" w:color="auto" w:fill="FFFFFF"/>
        </w:rPr>
        <w:t>万元，完成预算</w:t>
      </w:r>
      <w:r>
        <w:rPr>
          <w:rFonts w:ascii="仿宋_GB2312" w:eastAsia="仿宋_GB2312" w:cs="仿宋_GB2312" w:hint="eastAsia"/>
          <w:kern w:val="0"/>
          <w:sz w:val="32"/>
          <w:szCs w:val="32"/>
          <w:shd w:val="clear" w:color="auto" w:fill="FFFFFF"/>
        </w:rPr>
        <w:t>0.00</w:t>
      </w:r>
      <w:r>
        <w:rPr>
          <w:rStyle w:val="25"/>
          <w:rFonts w:ascii="仿宋_GB2312" w:eastAsia="仿宋_GB2312" w:cs="仿宋_GB2312" w:hint="eastAsia"/>
          <w:b/>
          <w:bCs/>
          <w:sz w:val="32"/>
          <w:szCs w:val="32"/>
          <w:shd w:val="clear" w:color="auto" w:fill="FFFFFF"/>
        </w:rPr>
        <w:t>%。</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Style w:val="25"/>
          <w:rFonts w:ascii="仿宋_GB2312" w:eastAsia="仿宋_GB2312" w:cs="仿宋_GB2312" w:hint="eastAsia"/>
          <w:b/>
          <w:bCs/>
          <w:sz w:val="32"/>
          <w:szCs w:val="32"/>
          <w:shd w:val="clear" w:color="auto" w:fill="FFFFFF"/>
        </w:rPr>
        <w:t>国内公务接待支出</w:t>
      </w:r>
      <w:r>
        <w:rPr>
          <w:rFonts w:ascii="仿宋_GB2312" w:eastAsia="仿宋_GB2312" w:cs="仿宋_GB2312" w:hint="eastAsia"/>
          <w:kern w:val="0"/>
          <w:sz w:val="32"/>
          <w:szCs w:val="32"/>
          <w:shd w:val="clear" w:color="auto" w:fill="FFFFFF"/>
        </w:rPr>
        <w:t>0</w:t>
      </w:r>
      <w:r>
        <w:rPr>
          <w:rFonts w:ascii="仿宋_GB2312" w:eastAsia="仿宋_GB2312" w:cs="仿宋_GB2312" w:hint="eastAsia"/>
          <w:kern w:val="0"/>
          <w:sz w:val="32"/>
          <w:szCs w:val="32"/>
          <w:shd w:val="clear" w:color="auto" w:fill="FFFFFF"/>
          <w:lang w:val="en-US" w:eastAsia="zh-CN"/>
        </w:rPr>
        <w:t>.00</w:t>
      </w:r>
      <w:r>
        <w:rPr>
          <w:rFonts w:ascii="仿宋_GB2312" w:eastAsia="仿宋_GB2312" w:cs="仿宋_GB2312" w:hint="eastAsia"/>
          <w:kern w:val="0"/>
          <w:sz w:val="32"/>
          <w:szCs w:val="32"/>
          <w:shd w:val="clear" w:color="auto" w:fill="FFFFFF"/>
        </w:rPr>
        <w:t>万元，主要用于(执行公务、开展业务活动开支的交通费、住宿费、用餐费等)。共计支出0.</w:t>
      </w:r>
      <w:r>
        <w:rPr>
          <w:rFonts w:ascii="仿宋_GB2312" w:eastAsia="仿宋_GB2312" w:cs="仿宋_GB2312" w:hint="eastAsia"/>
          <w:kern w:val="0"/>
          <w:sz w:val="32"/>
          <w:szCs w:val="32"/>
          <w:shd w:val="clear" w:color="auto" w:fill="FFFFFF"/>
          <w:lang w:val="en-US" w:eastAsia="zh-CN"/>
        </w:rPr>
        <w:t>00</w:t>
      </w:r>
      <w:r>
        <w:rPr>
          <w:rFonts w:ascii="仿宋_GB2312" w:eastAsia="仿宋_GB2312" w:cs="仿宋_GB2312" w:hint="eastAsia"/>
          <w:kern w:val="0"/>
          <w:sz w:val="32"/>
          <w:szCs w:val="32"/>
          <w:shd w:val="clear" w:color="auto" w:fill="FFFFFF"/>
        </w:rPr>
        <w:t>万元。</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八、政府性基金预算支出决算情况说明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年政府性基金预算拨款支出524.73万元。</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九、国有资本经营预算支出决算情况说明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 xml:space="preserve">年国有资本经营预算拨款支出0.00万元。 </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left="0"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十、其他重要事项的情况说明</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楷体_GB2312" w:eastAsia="楷体_GB2312" w:cs="楷体_GB2312" w:hint="eastAsia"/>
          <w:b/>
          <w:bCs/>
          <w:kern w:val="0"/>
          <w:sz w:val="32"/>
          <w:szCs w:val="32"/>
          <w:shd w:val="clear" w:color="auto" w:fill="FFFFFF"/>
        </w:rPr>
      </w:pPr>
      <w:r>
        <w:rPr>
          <w:rFonts w:ascii="楷体_GB2312" w:eastAsia="楷体_GB2312" w:cs="楷体_GB2312" w:hint="eastAsia"/>
          <w:b/>
          <w:bCs/>
          <w:kern w:val="0"/>
          <w:sz w:val="32"/>
          <w:szCs w:val="32"/>
          <w:shd w:val="clear" w:color="auto" w:fill="FFFFFF"/>
        </w:rPr>
        <w:t>（一）机关运行经费支出情况</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年，阿坝州红原县文</w:t>
      </w:r>
      <w:r>
        <w:rPr>
          <w:rFonts w:ascii="仿宋_GB2312" w:eastAsia="仿宋_GB2312" w:cs="仿宋_GB2312" w:hint="eastAsia"/>
          <w:kern w:val="0"/>
          <w:sz w:val="32"/>
          <w:szCs w:val="32"/>
          <w:shd w:val="clear" w:color="auto" w:fill="FFFFFF"/>
          <w:lang w:val="en-US" w:eastAsia="zh-CN"/>
        </w:rPr>
        <w:t>广体旅</w:t>
      </w:r>
      <w:r>
        <w:rPr>
          <w:rFonts w:ascii="仿宋_GB2312" w:eastAsia="仿宋_GB2312" w:cs="仿宋_GB2312" w:hint="eastAsia"/>
          <w:kern w:val="0"/>
          <w:sz w:val="32"/>
          <w:szCs w:val="32"/>
          <w:shd w:val="clear" w:color="auto" w:fill="FFFFFF"/>
        </w:rPr>
        <w:t>局（汇总）机关运行经费支出42.32万元，比202</w:t>
      </w:r>
      <w:r>
        <w:rPr>
          <w:rFonts w:ascii="仿宋_GB2312" w:eastAsia="仿宋_GB2312" w:cs="仿宋_GB2312" w:hint="eastAsia"/>
          <w:kern w:val="0"/>
          <w:sz w:val="32"/>
          <w:szCs w:val="32"/>
          <w:shd w:val="clear" w:color="auto" w:fill="FFFFFF"/>
          <w:lang w:val="en-US" w:eastAsia="zh-CN"/>
        </w:rPr>
        <w:t>4</w:t>
      </w:r>
      <w:r>
        <w:rPr>
          <w:rFonts w:ascii="仿宋_GB2312" w:eastAsia="仿宋_GB2312" w:cs="仿宋_GB2312" w:hint="eastAsia"/>
          <w:kern w:val="0"/>
          <w:sz w:val="32"/>
          <w:szCs w:val="32"/>
          <w:shd w:val="clear" w:color="auto" w:fill="FFFFFF"/>
        </w:rPr>
        <w:t>年增加11.24万元，</w:t>
      </w:r>
      <w:r>
        <w:rPr>
          <w:rFonts w:ascii="仿宋_GB2312" w:eastAsia="仿宋_GB2312" w:cs="仿宋_GB2312" w:hint="eastAsia"/>
          <w:kern w:val="0"/>
          <w:sz w:val="32"/>
          <w:szCs w:val="32"/>
          <w:shd w:val="clear" w:color="auto" w:fill="FFFFFF"/>
          <w:lang w:val="en-US" w:eastAsia="zh-CN"/>
        </w:rPr>
        <w:t>增长36.14%。</w:t>
      </w:r>
      <w:r>
        <w:rPr>
          <w:rFonts w:ascii="仿宋_GB2312" w:eastAsia="仿宋_GB2312" w:cs="仿宋_GB2312" w:hint="eastAsia"/>
          <w:kern w:val="0"/>
          <w:sz w:val="32"/>
          <w:szCs w:val="32"/>
          <w:shd w:val="clear" w:color="auto" w:fill="FFFFFF"/>
        </w:rPr>
        <w:t>主要原因是单位人员</w:t>
      </w:r>
      <w:r>
        <w:rPr>
          <w:rFonts w:ascii="仿宋_GB2312" w:eastAsia="仿宋_GB2312" w:cs="仿宋_GB2312" w:hint="eastAsia"/>
          <w:kern w:val="0"/>
          <w:sz w:val="32"/>
          <w:szCs w:val="32"/>
          <w:shd w:val="clear" w:color="auto" w:fill="FFFFFF"/>
          <w:lang w:val="en-US" w:eastAsia="zh-CN"/>
        </w:rPr>
        <w:t>增加</w:t>
      </w:r>
      <w:r>
        <w:rPr>
          <w:rFonts w:ascii="仿宋_GB2312" w:eastAsia="仿宋_GB2312" w:cs="仿宋_GB2312" w:hint="eastAsia"/>
          <w:kern w:val="0"/>
          <w:sz w:val="32"/>
          <w:szCs w:val="32"/>
          <w:shd w:val="clear" w:color="auto" w:fill="FFFFFF"/>
        </w:rPr>
        <w:t>，机关运行经费</w:t>
      </w:r>
      <w:r>
        <w:rPr>
          <w:rFonts w:ascii="仿宋_GB2312" w:eastAsia="仿宋_GB2312" w:cs="仿宋_GB2312" w:hint="eastAsia"/>
          <w:kern w:val="0"/>
          <w:sz w:val="32"/>
          <w:szCs w:val="32"/>
          <w:shd w:val="clear" w:color="auto" w:fill="FFFFFF"/>
          <w:lang w:val="en-US" w:eastAsia="zh-CN"/>
        </w:rPr>
        <w:t>增长</w:t>
      </w:r>
      <w:r>
        <w:rPr>
          <w:rFonts w:ascii="仿宋_GB2312" w:eastAsia="仿宋_GB2312" w:cs="仿宋_GB2312" w:hint="eastAsia"/>
          <w:kern w:val="0"/>
          <w:sz w:val="32"/>
          <w:szCs w:val="32"/>
          <w:shd w:val="clear" w:color="auto" w:fill="FFFFFF"/>
        </w:rPr>
        <w:t>。</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楷体_GB2312" w:eastAsia="楷体_GB2312" w:cs="楷体_GB2312" w:hint="eastAsia"/>
          <w:b/>
          <w:bCs/>
          <w:kern w:val="0"/>
          <w:sz w:val="32"/>
          <w:szCs w:val="32"/>
          <w:shd w:val="clear" w:color="auto" w:fill="FFFFFF"/>
        </w:rPr>
      </w:pPr>
      <w:r>
        <w:rPr>
          <w:rFonts w:ascii="楷体_GB2312" w:eastAsia="楷体_GB2312" w:cs="楷体_GB2312" w:hint="eastAsia"/>
          <w:b/>
          <w:bCs/>
          <w:kern w:val="0"/>
          <w:sz w:val="32"/>
          <w:szCs w:val="32"/>
          <w:shd w:val="clear" w:color="auto" w:fill="FFFFFF"/>
        </w:rPr>
        <w:t>（二）政府采购支出情况</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年，阿坝州红原县文</w:t>
      </w:r>
      <w:r>
        <w:rPr>
          <w:rFonts w:ascii="仿宋_GB2312" w:eastAsia="仿宋_GB2312" w:cs="仿宋_GB2312" w:hint="eastAsia"/>
          <w:kern w:val="0"/>
          <w:sz w:val="32"/>
          <w:szCs w:val="32"/>
          <w:shd w:val="clear" w:color="auto" w:fill="FFFFFF"/>
          <w:lang w:val="en-US" w:eastAsia="zh-CN"/>
        </w:rPr>
        <w:t>广体旅</w:t>
      </w:r>
      <w:r>
        <w:rPr>
          <w:rFonts w:ascii="仿宋_GB2312" w:eastAsia="仿宋_GB2312" w:cs="仿宋_GB2312" w:hint="eastAsia"/>
          <w:kern w:val="0"/>
          <w:sz w:val="32"/>
          <w:szCs w:val="32"/>
          <w:shd w:val="clear" w:color="auto" w:fill="FFFFFF"/>
        </w:rPr>
        <w:t>局（汇总）政府采购支出总额1,</w:t>
      </w:r>
      <w:r>
        <w:rPr>
          <w:rFonts w:ascii="仿宋_GB2312" w:eastAsia="仿宋_GB2312" w:cs="仿宋_GB2312" w:hint="eastAsia"/>
          <w:kern w:val="0"/>
          <w:sz w:val="32"/>
          <w:szCs w:val="32"/>
          <w:shd w:val="clear" w:color="auto" w:fill="FFFFFF"/>
          <w:lang w:val="en-US" w:eastAsia="zh-CN"/>
        </w:rPr>
        <w:t>824.28</w:t>
      </w:r>
      <w:r>
        <w:rPr>
          <w:rFonts w:ascii="仿宋_GB2312" w:eastAsia="仿宋_GB2312" w:cs="仿宋_GB2312" w:hint="eastAsia"/>
          <w:kern w:val="0"/>
          <w:sz w:val="32"/>
          <w:szCs w:val="32"/>
          <w:shd w:val="clear" w:color="auto" w:fill="FFFFFF"/>
        </w:rPr>
        <w:t>万元。</w:t>
      </w:r>
    </w:p>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ind w:left="0" w:firstLineChars="200" w:firstLine="640"/>
        <w:jc w:val="both"/>
        <w:textAlignment w:val="auto"/>
        <w:rPr>
          <w:rFonts w:ascii="楷体_GB2312" w:eastAsia="楷体_GB2312" w:cs="楷体_GB2312" w:hint="eastAsia"/>
          <w:b/>
          <w:bCs/>
          <w:kern w:val="0"/>
          <w:sz w:val="32"/>
          <w:szCs w:val="32"/>
          <w:shd w:val="clear" w:color="auto" w:fill="FFFFFF"/>
        </w:rPr>
      </w:pPr>
      <w:r>
        <w:rPr>
          <w:rFonts w:ascii="楷体_GB2312" w:eastAsia="楷体_GB2312" w:cs="楷体_GB2312" w:hint="eastAsia"/>
          <w:b/>
          <w:bCs/>
          <w:kern w:val="0"/>
          <w:sz w:val="32"/>
          <w:szCs w:val="32"/>
          <w:shd w:val="clear" w:color="auto" w:fill="FFFFFF"/>
        </w:rPr>
        <w:t>（三）国有资产占有使用情况</w:t>
      </w:r>
    </w:p>
    <w:p>
      <w:pPr>
        <w:pStyle w:val="24"/>
        <w:keepNext w:val="0"/>
        <w:keepLines w:val="0"/>
        <w:pageBreakBefore w:val="0"/>
        <w:widowControl/>
        <w:suppressLineNumbers w:val="0"/>
        <w:kinsoku/>
        <w:wordWrap/>
        <w:overflowPunct/>
        <w:topLinePunct w:val="0"/>
        <w:autoSpaceDE w:val="0"/>
        <w:autoSpaceDN/>
        <w:spacing w:before="0" w:beforeAutospacing="0" w:after="0" w:afterAutospacing="0" w:line="560" w:lineRule="exact"/>
        <w:ind w:left="0" w:firstLineChars="200" w:firstLine="640"/>
        <w:jc w:val="both"/>
        <w:rPr>
          <w:rFonts w:ascii="仿宋_GB2312" w:eastAsia="仿宋_GB2312" w:cs="仿宋_GB2312"/>
          <w:sz w:val="32"/>
          <w:szCs w:val="32"/>
          <w:shd w:val="clear" w:color="auto" w:fill="FFFFFF"/>
        </w:rPr>
      </w:pPr>
      <w:r>
        <w:rPr>
          <w:rFonts w:ascii="仿宋_GB2312" w:eastAsia="仿宋_GB2312" w:cs="仿宋_GB2312" w:hint="eastAsia"/>
          <w:kern w:val="0"/>
          <w:sz w:val="32"/>
          <w:szCs w:val="32"/>
          <w:shd w:val="clear" w:color="auto" w:fill="FFFFFF"/>
        </w:rPr>
        <w:t>截至202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年12月31日，阿坝州红原县文</w:t>
      </w:r>
      <w:r>
        <w:rPr>
          <w:rFonts w:ascii="仿宋_GB2312" w:eastAsia="仿宋_GB2312" w:cs="仿宋_GB2312" w:hint="eastAsia"/>
          <w:kern w:val="0"/>
          <w:sz w:val="32"/>
          <w:szCs w:val="32"/>
          <w:shd w:val="clear" w:color="auto" w:fill="FFFFFF"/>
          <w:lang w:val="en-US" w:eastAsia="zh-CN"/>
        </w:rPr>
        <w:t>广体旅</w:t>
      </w:r>
      <w:r>
        <w:rPr>
          <w:rFonts w:ascii="仿宋_GB2312" w:eastAsia="仿宋_GB2312" w:cs="仿宋_GB2312" w:hint="eastAsia"/>
          <w:kern w:val="0"/>
          <w:sz w:val="32"/>
          <w:szCs w:val="32"/>
          <w:shd w:val="clear" w:color="auto" w:fill="FFFFFF"/>
        </w:rPr>
        <w:t>局（汇总）共有车辆2辆，其中：主要领导干部用车0辆、机要通信用车0辆、应急保障用车2辆、执法执勤用车0辆、特种专业技术用车0辆、离退休干部用车0辆、其他用车0辆。单价50万元以上通用设备1台（套），单价100万元以上专用设备0台（套）。</w:t>
      </w:r>
    </w:p>
    <w:p>
      <w:pPr>
        <w:pStyle w:val="2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60" w:lineRule="exact"/>
        <w:ind w:firstLineChars="200" w:firstLine="640"/>
        <w:jc w:val="left"/>
        <w:textAlignment w:val="auto"/>
        <w:rPr>
          <w:rStyle w:val="25"/>
          <w:rFonts w:ascii="黑体" w:eastAsia="黑体" w:cs="黑体" w:hint="eastAsia"/>
          <w:b/>
          <w:bCs/>
          <w:sz w:val="32"/>
          <w:szCs w:val="32"/>
          <w:shd w:val="clear" w:color="auto" w:fill="FFFFFF"/>
        </w:rPr>
      </w:pPr>
      <w:r>
        <w:rPr>
          <w:rStyle w:val="25"/>
          <w:rFonts w:ascii="黑体" w:eastAsia="黑体" w:cs="黑体" w:hint="eastAsia"/>
          <w:b/>
          <w:bCs/>
          <w:sz w:val="32"/>
          <w:szCs w:val="32"/>
          <w:shd w:val="clear" w:color="auto" w:fill="FFFFFF"/>
        </w:rPr>
        <w:t>十一、预算绩效管理情况。</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kern w:val="0"/>
          <w:sz w:val="32"/>
          <w:szCs w:val="32"/>
          <w:shd w:val="clear" w:color="auto" w:fill="FFFFFF"/>
          <w:lang w:val="en-US" w:eastAsia="zh-CN"/>
        </w:rPr>
      </w:pPr>
      <w:r>
        <w:rPr>
          <w:rFonts w:ascii="仿宋_GB2312" w:eastAsia="仿宋_GB2312" w:cs="仿宋_GB2312" w:hint="eastAsia"/>
          <w:kern w:val="0"/>
          <w:sz w:val="32"/>
          <w:szCs w:val="32"/>
          <w:shd w:val="clear" w:color="auto" w:fill="FFFFFF"/>
          <w:lang w:val="en-US" w:eastAsia="zh-CN"/>
        </w:rPr>
        <w:t>1.项目绩效目标完成情况。2025年度中央支持地方公共文化服务体系建设补助资金下达预算数为151.64万元(阿州财教〔2025〕8号。年度总体绩效目标：依托中央财政补助资金完善红原县公共文化服务体系，开展基层文化活动直录播、线上文化信息推送等工作，提升县域公共文化服务供给能力和服务水平，满足群众文化需求。</w:t>
      </w:r>
    </w:p>
    <w:p>
      <w:pPr>
        <w:pStyle w:val="2"/>
        <w:keepNext/>
        <w:keepLines/>
        <w:pageBreakBefore w:val="0"/>
        <w:widowControl w:val="0"/>
        <w:numPr>
          <w:ilvl w:val="0"/>
          <w:numId w:val="0"/>
        </w:numPr>
        <w:kinsoku/>
        <w:wordWrap/>
        <w:overflowPunct/>
        <w:topLinePunct w:val="0"/>
        <w:autoSpaceDE/>
        <w:autoSpaceDN/>
        <w:bidi w:val="0"/>
        <w:adjustRightInd/>
        <w:snapToGrid/>
        <w:spacing w:line="600" w:lineRule="exact"/>
        <w:ind w:left="-13" w:firstLineChars="200" w:firstLine="640"/>
        <w:textAlignment w:val="auto"/>
        <w:rPr>
          <w:rFonts w:ascii="仿宋_GB2312" w:eastAsia="仿宋_GB2312" w:cs="仿宋_GB2312" w:hint="eastAsia"/>
          <w:b w:val="0"/>
          <w:bCs w:val="0"/>
          <w:kern w:val="0"/>
          <w:sz w:val="32"/>
          <w:szCs w:val="32"/>
          <w:shd w:val="clear" w:color="auto" w:fill="FFFFFF"/>
          <w:lang w:val="en-US" w:eastAsia="zh-CN"/>
        </w:rPr>
      </w:pPr>
      <w:r>
        <w:rPr>
          <w:rFonts w:ascii="仿宋_GB2312" w:eastAsia="仿宋_GB2312" w:cs="仿宋_GB2312" w:hint="eastAsia"/>
          <w:b w:val="0"/>
          <w:bCs w:val="0"/>
          <w:kern w:val="0"/>
          <w:sz w:val="32"/>
          <w:szCs w:val="32"/>
          <w:shd w:val="clear" w:color="auto" w:fill="FFFFFF"/>
          <w:lang w:val="en-US" w:eastAsia="zh-CN"/>
        </w:rPr>
        <w:t>资金分配紧扣项目核心任务，重点保障基层活动直录播、线上信息推送等工作；严格执行国库集中支付制度，依据合同、进度及验收报告支付，手续完备、流程规范；实行专账管理、专款专用，支出均有合法票据支撑，无挤占、挪用、超预算支出情况；事前明确绩效目标，事中开展绩效监控，事后完成自评，健全内部管理制度并强化全过程监管，确保财政资金安全高效使用。项目资金主要用于保障红原县公共图书馆、文化馆及各乡镇文化站免费开放后的运营工作。在县级层面，资金既用于公共图书馆、文化馆的日常运转保障，比如支付电费、取暖费、宽带及网费等基础开支，也用于场馆硬件维护，涵盖图书馆、文化馆屋顶修缮、文化宫基础设施维修等</w:t>
      </w:r>
    </w:p>
    <w:p>
      <w:pPr>
        <w:keepNext w:val="0"/>
        <w:keepLines w:val="0"/>
        <w:pageBreakBefore w:val="0"/>
        <w:widowControl w:val="0"/>
        <w:kinsoku/>
        <w:wordWrap/>
        <w:overflowPunct/>
        <w:topLinePunct w:val="0"/>
        <w:autoSpaceDE/>
        <w:autoSpaceDN/>
        <w:bidi w:val="0"/>
        <w:adjustRightInd/>
        <w:snapToGrid/>
        <w:ind w:firstLineChars="200" w:firstLine="640"/>
        <w:textAlignment w:val="auto"/>
        <w:rPr>
          <w:rFonts w:ascii="仿宋_GB2312" w:eastAsia="仿宋_GB2312" w:cs="仿宋_GB2312" w:hint="eastAsia"/>
          <w:kern w:val="0"/>
          <w:sz w:val="32"/>
          <w:szCs w:val="32"/>
          <w:shd w:val="clear" w:color="auto" w:fill="FFFFFF"/>
          <w:lang w:val="en-US" w:eastAsia="zh-CN"/>
        </w:rPr>
      </w:pPr>
      <w:r>
        <w:rPr>
          <w:rFonts w:ascii="仿宋_GB2312" w:eastAsia="仿宋_GB2312" w:cs="仿宋_GB2312" w:hint="eastAsia"/>
          <w:kern w:val="0"/>
          <w:sz w:val="32"/>
          <w:szCs w:val="32"/>
          <w:shd w:val="clear" w:color="auto" w:fill="FFFFFF"/>
          <w:lang w:val="en-US" w:eastAsia="zh-CN"/>
        </w:rPr>
        <w:t>2.第十三届牦牛文化活动开幕式服务项目绩效目标完成情况综述。根据《红原县财政局关于下达红原县2025年黄河流域生态保护和高质量发展资金（第一批）的通知》（红财函〔2025〕203号）文件，</w:t>
      </w:r>
      <w:bookmarkStart w:id="0" w:name="_Toc11358149"/>
      <w:bookmarkStart w:id="1" w:name="_Toc11358047"/>
      <w:bookmarkStart w:id="2" w:name="_Toc11358257"/>
      <w:bookmarkStart w:id="3" w:name="_Toc11358041"/>
      <w:bookmarkStart w:id="4" w:name="_Toc11358125"/>
      <w:bookmarkStart w:id="5" w:name="_Toc11358498"/>
      <w:bookmarkStart w:id="6" w:name="_Toc11358059"/>
      <w:bookmarkStart w:id="7" w:name="_Toc11358564"/>
      <w:bookmarkStart w:id="8" w:name="_Toc11357693"/>
      <w:bookmarkStart w:id="9" w:name="_Toc11357747"/>
      <w:bookmarkStart w:id="10" w:name="_Toc11358474"/>
      <w:bookmarkStart w:id="11" w:name="_Toc11357831"/>
      <w:bookmarkStart w:id="12" w:name="_Toc11358161"/>
      <w:bookmarkStart w:id="13" w:name="_Toc11358570"/>
      <w:bookmarkStart w:id="14" w:name="_Toc11357915"/>
      <w:bookmarkStart w:id="15" w:name="_Toc11357969"/>
      <w:bookmarkStart w:id="16" w:name="_Toc11358011"/>
      <w:bookmarkStart w:id="17" w:name="_Toc11357717"/>
      <w:bookmarkStart w:id="18" w:name="_Toc11357771"/>
      <w:bookmarkStart w:id="19" w:name="_Toc11358035"/>
      <w:bookmarkStart w:id="20" w:name="_Toc11358179"/>
      <w:bookmarkStart w:id="21" w:name="_Toc11358408"/>
      <w:bookmarkStart w:id="22" w:name="_Toc11357723"/>
      <w:bookmarkStart w:id="23" w:name="_Toc11358360"/>
      <w:bookmarkStart w:id="24" w:name="_Toc11358203"/>
      <w:bookmarkStart w:id="25" w:name="_Toc11358269"/>
      <w:bookmarkStart w:id="26" w:name="_Toc11357687"/>
      <w:bookmarkStart w:id="27" w:name="_Toc11357813"/>
      <w:bookmarkStart w:id="28" w:name="_Toc11357759"/>
      <w:bookmarkStart w:id="29" w:name="_Toc11357619"/>
      <w:bookmarkStart w:id="30" w:name="_Toc11358522"/>
      <w:bookmarkStart w:id="31" w:name="_Toc11358330"/>
      <w:bookmarkStart w:id="32" w:name="_Toc11357903"/>
      <w:bookmarkStart w:id="33" w:name="_Toc11358263"/>
      <w:bookmarkStart w:id="34" w:name="_Toc11358336"/>
      <w:bookmarkStart w:id="35" w:name="_Toc11357765"/>
      <w:bookmarkStart w:id="36" w:name="_Toc11357897"/>
      <w:bookmarkStart w:id="37" w:name="_Toc11357987"/>
      <w:bookmarkStart w:id="38" w:name="_Toc11357975"/>
      <w:bookmarkStart w:id="39" w:name="_Toc11358239"/>
      <w:bookmarkStart w:id="40" w:name="_Toc11357801"/>
      <w:bookmarkStart w:id="41" w:name="_Toc11358251"/>
      <w:bookmarkStart w:id="42" w:name="_Toc11358504"/>
      <w:bookmarkStart w:id="43" w:name="_Toc11358468"/>
      <w:bookmarkStart w:id="44" w:name="_Toc11358492"/>
      <w:bookmarkStart w:id="45" w:name="_Toc11357625"/>
      <w:bookmarkStart w:id="46" w:name="_Toc11358486"/>
      <w:bookmarkStart w:id="47" w:name="_Toc11358510"/>
      <w:bookmarkStart w:id="48" w:name="_Toc11358029"/>
      <w:bookmarkStart w:id="49" w:name="_Toc11358155"/>
      <w:bookmarkStart w:id="50" w:name="_Toc11357957"/>
      <w:bookmarkStart w:id="51" w:name="_Toc11357613"/>
      <w:bookmarkStart w:id="52" w:name="_Toc11357861"/>
      <w:bookmarkStart w:id="53" w:name="_Toc11358071"/>
      <w:bookmarkStart w:id="54" w:name="_Toc11358372"/>
      <w:bookmarkStart w:id="55" w:name="_Toc11358390"/>
      <w:bookmarkStart w:id="56" w:name="_Toc11357639"/>
      <w:bookmarkStart w:id="57" w:name="_Toc11358185"/>
      <w:bookmarkStart w:id="58" w:name="_Toc11357927"/>
      <w:bookmarkStart w:id="59" w:name="_Toc11358312"/>
      <w:bookmarkStart w:id="60" w:name="_Toc11357879"/>
      <w:bookmarkStart w:id="61" w:name="_Toc11358017"/>
      <w:bookmarkStart w:id="62" w:name="_Toc11357981"/>
      <w:bookmarkStart w:id="63" w:name="_Toc11357651"/>
      <w:bookmarkStart w:id="64" w:name="_Toc11358137"/>
      <w:bookmarkStart w:id="65" w:name="_Toc11358552"/>
      <w:bookmarkStart w:id="66" w:name="_Toc11358167"/>
      <w:bookmarkStart w:id="67" w:name="_Toc11358342"/>
      <w:bookmarkStart w:id="68" w:name="_Toc11357951"/>
      <w:bookmarkStart w:id="69" w:name="_Toc11358131"/>
      <w:bookmarkStart w:id="70" w:name="_Toc11358354"/>
      <w:bookmarkStart w:id="71" w:name="_Toc11357873"/>
      <w:bookmarkStart w:id="72" w:name="_Toc11357939"/>
      <w:bookmarkStart w:id="73" w:name="_Toc11358540"/>
      <w:bookmarkStart w:id="74" w:name="_Toc11358053"/>
      <w:bookmarkStart w:id="75" w:name="_Toc11358197"/>
      <w:bookmarkStart w:id="76" w:name="_Toc11358534"/>
      <w:bookmarkStart w:id="77" w:name="_Toc11358065"/>
      <w:bookmarkStart w:id="78" w:name="_Toc11358402"/>
      <w:bookmarkStart w:id="79" w:name="_Toc11357933"/>
      <w:bookmarkStart w:id="80" w:name="_Toc11358396"/>
      <w:bookmarkStart w:id="81" w:name="_Toc11358426"/>
      <w:bookmarkStart w:id="82" w:name="_Toc11357837"/>
      <w:bookmarkStart w:id="83" w:name="_Toc11357669"/>
      <w:bookmarkStart w:id="84" w:name="_Toc11357921"/>
      <w:bookmarkStart w:id="85" w:name="_Toc11357807"/>
      <w:bookmarkStart w:id="86" w:name="_Toc11358576"/>
      <w:bookmarkStart w:id="87" w:name="_Toc11358414"/>
      <w:bookmarkStart w:id="88" w:name="_Toc11358528"/>
      <w:bookmarkStart w:id="89" w:name="_Toc11358089"/>
      <w:bookmarkStart w:id="90" w:name="_Toc11357753"/>
      <w:bookmarkStart w:id="91" w:name="_Toc11358275"/>
      <w:bookmarkStart w:id="92" w:name="_Toc11357699"/>
      <w:bookmarkStart w:id="93" w:name="_Toc11358083"/>
      <w:bookmarkStart w:id="94" w:name="_Toc11357633"/>
      <w:bookmarkStart w:id="95" w:name="_Toc11357795"/>
      <w:bookmarkStart w:id="96" w:name="_Toc11358420"/>
      <w:bookmarkStart w:id="97" w:name="_Toc11357963"/>
      <w:bookmarkStart w:id="98" w:name="_Toc11357783"/>
      <w:bookmarkStart w:id="99" w:name="_Toc11358023"/>
      <w:bookmarkStart w:id="100" w:name="_Toc11357657"/>
      <w:bookmarkStart w:id="101" w:name="_Toc11358221"/>
      <w:bookmarkStart w:id="102" w:name="_Toc11358546"/>
      <w:bookmarkStart w:id="103" w:name="_Toc11357849"/>
      <w:bookmarkStart w:id="104" w:name="_Toc11357825"/>
      <w:bookmarkStart w:id="105" w:name="_Toc11358456"/>
      <w:bookmarkStart w:id="106" w:name="_Toc11357741"/>
      <w:bookmarkStart w:id="107" w:name="_Toc11358366"/>
      <w:bookmarkStart w:id="108" w:name="_Toc11358209"/>
      <w:bookmarkStart w:id="109" w:name="_Toc11358119"/>
      <w:bookmarkStart w:id="110" w:name="_Toc11357711"/>
      <w:bookmarkStart w:id="111" w:name="_Toc11357819"/>
      <w:bookmarkStart w:id="112" w:name="_Toc11358480"/>
      <w:bookmarkStart w:id="113" w:name="_Toc11358005"/>
      <w:bookmarkStart w:id="114" w:name="_Toc11357885"/>
      <w:bookmarkStart w:id="115" w:name="_Toc11358516"/>
      <w:bookmarkStart w:id="116" w:name="_Toc11358348"/>
      <w:bookmarkStart w:id="117" w:name="_Toc11358444"/>
      <w:bookmarkStart w:id="118" w:name="_Toc11358306"/>
      <w:bookmarkStart w:id="119" w:name="_Toc11358215"/>
      <w:bookmarkStart w:id="120" w:name="_Toc11357777"/>
      <w:bookmarkStart w:id="121" w:name="_Toc11357909"/>
      <w:bookmarkStart w:id="122" w:name="_Toc11358378"/>
      <w:bookmarkStart w:id="123" w:name="_Toc11357705"/>
      <w:bookmarkStart w:id="124" w:name="_Toc11358143"/>
      <w:bookmarkStart w:id="125" w:name="_Toc11358324"/>
      <w:bookmarkStart w:id="126" w:name="_Toc11357867"/>
      <w:bookmarkStart w:id="127" w:name="_Toc11358432"/>
      <w:bookmarkStart w:id="128" w:name="_Toc11358173"/>
      <w:bookmarkStart w:id="129" w:name="_Toc11357999"/>
      <w:bookmarkStart w:id="130" w:name="_Toc11358245"/>
      <w:bookmarkStart w:id="131" w:name="_Toc11357675"/>
      <w:bookmarkStart w:id="132" w:name="_Toc11358318"/>
      <w:bookmarkStart w:id="133" w:name="_Toc11358101"/>
      <w:bookmarkStart w:id="134" w:name="_Toc11358107"/>
      <w:bookmarkStart w:id="135" w:name="_Toc11358233"/>
      <w:bookmarkStart w:id="136" w:name="_Toc11358191"/>
      <w:bookmarkStart w:id="137" w:name="_Toc11357729"/>
      <w:bookmarkStart w:id="138" w:name="_Toc11357789"/>
      <w:bookmarkStart w:id="139" w:name="_Toc11358450"/>
      <w:bookmarkStart w:id="140" w:name="_Toc11358281"/>
      <w:bookmarkStart w:id="141" w:name="_Toc11358558"/>
      <w:bookmarkStart w:id="142" w:name="_Toc11357891"/>
      <w:bookmarkStart w:id="143" w:name="_Toc11358287"/>
      <w:bookmarkStart w:id="144" w:name="_Toc11357663"/>
      <w:bookmarkStart w:id="145" w:name="_Toc11358113"/>
      <w:bookmarkStart w:id="146" w:name="_Toc11358438"/>
      <w:bookmarkStart w:id="147" w:name="_Toc11358293"/>
      <w:bookmarkStart w:id="148" w:name="_Toc11358077"/>
      <w:bookmarkStart w:id="149" w:name="_Toc11357681"/>
      <w:bookmarkStart w:id="150" w:name="_Toc11357993"/>
      <w:bookmarkStart w:id="151" w:name="_Toc11357945"/>
      <w:bookmarkStart w:id="152" w:name="_Toc1135784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ascii="仿宋_GB2312" w:eastAsia="仿宋_GB2312" w:cs="仿宋_GB2312" w:hint="eastAsia"/>
          <w:kern w:val="0"/>
          <w:sz w:val="32"/>
          <w:szCs w:val="32"/>
          <w:shd w:val="clear" w:color="auto" w:fill="FFFFFF"/>
          <w:lang w:val="en-US" w:eastAsia="zh-CN"/>
        </w:rPr>
        <w:t>第十三届牦牛文化活动开幕式服务采购项目安排预算总额219万元，实际到位资金219万元。根据项目辅助明细账，截至2025年12月31日，项目实际支出219万元，资金使用率为100%。项目以参加牦牛文化节开幕式暨中国藏族山歌展演为核心内容，通过特色文化展演、民族文化交流、品牌宣传推广等形式，展现地方民俗魅力与文化特色，提升区域文旅品牌影响力，带动地方文旅经济发展。</w:t>
      </w:r>
    </w:p>
    <w:p>
      <w:pPr>
        <w:keepNext w:val="0"/>
        <w:keepLines w:val="0"/>
        <w:pageBreakBefore w:val="0"/>
        <w:widowControl w:val="0"/>
        <w:kinsoku/>
        <w:wordWrap/>
        <w:overflowPunct/>
        <w:topLinePunct w:val="0"/>
        <w:autoSpaceDE/>
        <w:autoSpaceDN/>
        <w:bidi w:val="0"/>
        <w:adjustRightInd/>
        <w:snapToGrid/>
        <w:ind w:firstLineChars="200" w:firstLine="640"/>
        <w:textAlignment w:val="auto"/>
        <w:rPr>
          <w:rFonts w:ascii="仿宋_GB2312" w:eastAsia="仿宋_GB2312" w:cs="仿宋_GB2312" w:hint="eastAsia"/>
          <w:kern w:val="0"/>
          <w:sz w:val="32"/>
          <w:szCs w:val="32"/>
          <w:shd w:val="clear" w:color="auto" w:fill="FFFFFF"/>
          <w:lang w:val="en-US" w:eastAsia="zh-CN"/>
        </w:rPr>
      </w:pPr>
      <w:r>
        <w:rPr>
          <w:rFonts w:ascii="仿宋_GB2312" w:eastAsia="仿宋_GB2312" w:cs="仿宋_GB2312" w:hint="eastAsia"/>
          <w:kern w:val="0"/>
          <w:sz w:val="32"/>
          <w:szCs w:val="32"/>
          <w:shd w:val="clear" w:color="auto" w:fill="FFFFFF"/>
          <w:lang w:val="en-US" w:eastAsia="zh-CN"/>
        </w:rPr>
        <w:t>本项目实施时间拟定为2025年8月上旬，服务内容主要包括牦牛文化节开幕式活动组织、中国藏族山歌展演执行、活动策划、场地布置、人员邀请、宣传推广、设备租赁、安全保障及后勤服务等。项目预算资金219万元，资金来源为财政预算安排，项目实施主体为红原县文体旅局，由相关单位按程序组织采购与执行。</w:t>
      </w:r>
    </w:p>
    <w:p>
      <w:pPr>
        <w:pStyle w:val="15"/>
        <w:pageBreakBefore w:val="0"/>
        <w:widowControl w:val="0"/>
        <w:kinsoku/>
        <w:wordWrap/>
        <w:overflowPunct/>
        <w:topLinePunct w:val="0"/>
        <w:autoSpaceDE/>
        <w:autoSpaceDN/>
        <w:bidi w:val="0"/>
        <w:snapToGrid/>
        <w:spacing w:line="600" w:lineRule="exact"/>
        <w:textAlignment w:val="auto"/>
        <w:rPr>
          <w:rFonts w:ascii="仿宋_GB2312" w:eastAsia="仿宋_GB2312" w:cs="仿宋_GB2312" w:hint="eastAsia"/>
          <w:kern w:val="0"/>
          <w:sz w:val="32"/>
          <w:szCs w:val="32"/>
          <w:shd w:val="clear" w:color="auto" w:fill="FFFFFF"/>
          <w:lang w:val="en-US" w:eastAsia="zh-CN"/>
        </w:rPr>
      </w:pPr>
      <w:r>
        <w:rPr>
          <w:rFonts w:ascii="仿宋_GB2312" w:eastAsia="仿宋_GB2312" w:cs="仿宋_GB2312" w:hint="eastAsia"/>
          <w:kern w:val="0"/>
          <w:sz w:val="32"/>
          <w:szCs w:val="32"/>
          <w:shd w:val="clear" w:color="auto" w:fill="FFFFFF"/>
          <w:lang w:val="en-US" w:eastAsia="zh-CN"/>
        </w:rPr>
        <w:t>资金分配原则主要考虑项目建设的重要性、紧迫性及预期效益，优先保障核心体验项目和关键配套设施建设。目前，第十三届牦牛文化活动开幕式服务采购项目资金主要用于开幕式展演服务费用、宣传推广服务费用、项目执行与服务保障费用、安全保障与应急服务费用及其他与本项目直接相关的服务支出等。</w:t>
      </w:r>
    </w:p>
    <w:p>
      <w:pPr>
        <w:keepNext w:val="0"/>
        <w:keepLines w:val="0"/>
        <w:widowControl/>
        <w:suppressLineNumbers w:val="0"/>
        <w:spacing w:line="570" w:lineRule="exact"/>
        <w:jc w:val="both"/>
        <w:rPr>
          <w:rFonts w:ascii="仿宋_GB2312" w:eastAsia="仿宋_GB2312" w:cs="仿宋_GB2312" w:hint="eastAsia"/>
          <w:kern w:val="0"/>
          <w:sz w:val="32"/>
          <w:szCs w:val="32"/>
        </w:rPr>
      </w:pPr>
      <w:r>
        <w:rPr>
          <w:rFonts w:ascii="仿宋_GB2312" w:eastAsia="仿宋_GB2312" w:cs="仿宋_GB2312" w:hint="eastAsia"/>
          <w:kern w:val="0"/>
          <w:sz w:val="32"/>
          <w:szCs w:val="32"/>
        </w:rPr>
        <w:t xml:space="preserve"> </w:t>
      </w:r>
    </w:p>
    <w:p>
      <w:pPr>
        <w:keepNext w:val="0"/>
        <w:keepLines w:val="0"/>
        <w:widowControl/>
        <w:suppressLineNumbers w:val="0"/>
        <w:spacing w:line="570" w:lineRule="exact"/>
        <w:jc w:val="both"/>
        <w:rPr>
          <w:rFonts w:ascii="仿宋_GB2312" w:eastAsia="仿宋_GB2312" w:cs="仿宋_GB2312" w:hint="eastAsia"/>
          <w:b w:val="0"/>
          <w:bCs/>
          <w:color w:val="auto"/>
          <w:kern w:val="0"/>
          <w:sz w:val="24"/>
          <w:szCs w:val="24"/>
        </w:rPr>
      </w:pPr>
    </w:p>
    <w:p>
      <w:pPr>
        <w:bidi w:val="0"/>
        <w:jc w:val="left"/>
        <w:rPr>
          <w:rFonts w:hint="eastAsia"/>
        </w:rPr>
      </w:pPr>
    </w:p>
    <w:p>
      <w:pPr>
        <w:pStyle w:val="17"/>
        <w:rPr>
          <w:rFonts w:hint="eastAsia"/>
        </w:rPr>
      </w:pPr>
    </w:p>
    <w:tbl>
      <w:tblPr>
        <w:tblpPr w:leftFromText="180" w:rightFromText="180" w:vertAnchor="text" w:horzAnchor="page" w:tblpX="1145" w:tblpY="875"/>
        <w:tblOverlap w:val="never"/>
        <w:tblW w:w="96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Pr>
      <w:tblGrid>
        <w:gridCol w:w="240"/>
        <w:gridCol w:w="337"/>
        <w:gridCol w:w="475"/>
        <w:gridCol w:w="2106"/>
        <w:gridCol w:w="1440"/>
        <w:gridCol w:w="1323"/>
        <w:gridCol w:w="1127"/>
        <w:gridCol w:w="2560"/>
      </w:tblGrid>
      <w:tr>
        <w:trPr>
          <w:trHeight w:val="527"/>
        </w:trPr>
        <w:tc>
          <w:tcPr>
            <w:tcW w:w="9608" w:type="dxa"/>
            <w:gridSpan w:val="8"/>
            <w:tcBorders>
              <w:top w:val="nil"/>
              <w:left w:val="nil"/>
              <w:bottom w:val="single" w:sz="4" w:space="0" w:color="auto"/>
              <w:right w:val="nil"/>
            </w:tcBorders>
            <w:noWrap/>
          </w:tcPr>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cs="宋体"/>
                <w:color w:val="000000"/>
                <w:sz w:val="18"/>
                <w:lang w:val="en-US" w:eastAsia="zh-CN"/>
              </w:rPr>
            </w:pPr>
          </w:p>
          <w:p>
            <w:pPr>
              <w:autoSpaceDE w:val="0"/>
              <w:autoSpaceDN w:val="0"/>
              <w:spacing w:before="120" w:after="0" w:line="233" w:lineRule="exact"/>
              <w:jc w:val="center"/>
              <w:rPr>
                <w:rFonts w:ascii="宋体" w:eastAsia="宋体" w:hint="eastAsia"/>
                <w:color w:val="000000"/>
                <w:sz w:val="18"/>
                <w:lang w:val="en-US" w:eastAsia="zh-CN"/>
              </w:rPr>
            </w:pPr>
            <w:r>
              <w:rPr>
                <w:rFonts w:ascii="宋体" w:eastAsia="宋体" w:cs="宋体" w:hint="eastAsia"/>
                <w:color w:val="000000"/>
                <w:sz w:val="18"/>
                <w:lang w:val="en-US" w:eastAsia="zh-CN"/>
              </w:rPr>
              <w:t>项目支出绩效目标完成情况表</w:t>
            </w:r>
          </w:p>
        </w:tc>
      </w:tr>
      <w:tr>
        <w:trPr>
          <w:trHeight w:val="593"/>
        </w:trPr>
        <w:tc>
          <w:tcPr>
            <w:tcW w:w="1052" w:type="dxa"/>
            <w:gridSpan w:val="3"/>
            <w:tcBorders>
              <w:top w:val="single" w:sz="4" w:space="0" w:color="auto"/>
              <w:left w:val="single" w:sz="4" w:space="0" w:color="auto"/>
              <w:bottom w:val="single" w:sz="4" w:space="0" w:color="auto"/>
              <w:right w:val="single" w:sz="4" w:space="0" w:color="000000"/>
            </w:tcBorders>
            <w:noWrap/>
          </w:tcPr>
          <w:p>
            <w:pPr>
              <w:autoSpaceDE w:val="0"/>
              <w:autoSpaceDN w:val="0"/>
              <w:spacing w:before="120" w:after="0" w:line="233" w:lineRule="exact"/>
              <w:jc w:val="center"/>
              <w:rPr>
                <w:sz w:val="18"/>
              </w:rPr>
            </w:pPr>
            <w:r>
              <w:rPr>
                <w:rFonts w:ascii="宋体" w:eastAsia="宋体" w:hint="eastAsia"/>
                <w:color w:val="000000"/>
                <w:sz w:val="18"/>
              </w:rPr>
              <w:t>转移支付（项目）名称</w:t>
            </w:r>
          </w:p>
        </w:tc>
        <w:tc>
          <w:tcPr>
            <w:tcW w:w="8556" w:type="dxa"/>
            <w:gridSpan w:val="5"/>
            <w:tcBorders>
              <w:top w:val="single" w:sz="4" w:space="0" w:color="auto"/>
              <w:left w:val="single" w:sz="4" w:space="0" w:color="000000"/>
              <w:bottom w:val="single" w:sz="4" w:space="0" w:color="auto"/>
              <w:right w:val="single" w:sz="4" w:space="0" w:color="auto"/>
            </w:tcBorders>
            <w:noWrap/>
            <w:vAlign w:val="center"/>
          </w:tcPr>
          <w:p>
            <w:pPr>
              <w:autoSpaceDE w:val="0"/>
              <w:autoSpaceDN w:val="0"/>
              <w:spacing w:before="120" w:after="0" w:line="233" w:lineRule="exact"/>
              <w:jc w:val="center"/>
              <w:rPr>
                <w:rFonts w:ascii="宋体" w:eastAsia="宋体" w:hint="eastAsia"/>
                <w:color w:val="000000"/>
                <w:sz w:val="21"/>
              </w:rPr>
            </w:pPr>
            <w:r>
              <w:rPr>
                <w:rFonts w:ascii="宋体" w:eastAsia="宋体" w:hint="eastAsia"/>
                <w:color w:val="000000"/>
                <w:sz w:val="18"/>
                <w:lang w:val="en-US" w:eastAsia="zh-CN"/>
              </w:rPr>
              <w:t>2025年中央财政公共文化服务体系建设补助资金</w:t>
            </w:r>
          </w:p>
        </w:tc>
      </w:tr>
      <w:tr>
        <w:trPr>
          <w:trHeight w:val="507"/>
        </w:trPr>
        <w:tc>
          <w:tcPr>
            <w:tcW w:w="1052" w:type="dxa"/>
            <w:gridSpan w:val="3"/>
            <w:tcBorders>
              <w:top w:val="single" w:sz="4" w:space="0" w:color="auto"/>
              <w:left w:val="single" w:sz="4" w:space="0" w:color="000000"/>
              <w:bottom w:val="single" w:sz="4" w:space="0" w:color="000000"/>
              <w:right w:val="single" w:sz="4" w:space="0" w:color="000000"/>
            </w:tcBorders>
            <w:noWrap/>
          </w:tcPr>
          <w:p>
            <w:pPr>
              <w:autoSpaceDE w:val="0"/>
              <w:autoSpaceDN w:val="0"/>
              <w:spacing w:before="0" w:after="0" w:line="233" w:lineRule="exact"/>
              <w:jc w:val="both"/>
              <w:rPr>
                <w:sz w:val="18"/>
              </w:rPr>
            </w:pPr>
            <w:r>
              <w:rPr>
                <w:rFonts w:ascii="宋体" w:eastAsia="宋体" w:hint="eastAsia"/>
                <w:color w:val="000000"/>
                <w:sz w:val="18"/>
              </w:rPr>
              <w:t>中央主管部门</w:t>
            </w:r>
          </w:p>
        </w:tc>
        <w:tc>
          <w:tcPr>
            <w:tcW w:w="8556" w:type="dxa"/>
            <w:gridSpan w:val="5"/>
            <w:tcBorders>
              <w:top w:val="single" w:sz="4" w:space="0" w:color="auto"/>
              <w:left w:val="single" w:sz="4" w:space="0" w:color="000000"/>
              <w:bottom w:val="single" w:sz="4" w:space="0" w:color="000000"/>
              <w:right w:val="single" w:sz="4" w:space="0" w:color="000000"/>
            </w:tcBorders>
            <w:noWrap/>
            <w:vAlign w:val="center"/>
          </w:tcPr>
          <w:tbl>
            <w:tblPr>
              <w:jc w:val="left"/>
              <w:tblInd w:w="-20" w:type="dxa"/>
              <w:tblW w:w="10035" w:type="dxa"/>
              <w:tblBorders>
                <w:top w:val="none" w:sz="0" w:space="0" w:color="auto"/>
                <w:left w:val="none" w:sz="0" w:space="0" w:color="auto"/>
                <w:bottom w:val="none" w:sz="0" w:space="0" w:color="auto"/>
                <w:right w:val="none" w:sz="0" w:space="0" w:color="auto"/>
              </w:tblBorders>
              <w:shd w:val="clear" w:color="auto" w:fill="auto"/>
              <w:tblLayout w:type="fixed"/>
              <w:tblCellMar>
                <w:top w:w="0" w:type="dxa"/>
                <w:left w:w="108" w:type="dxa"/>
                <w:bottom w:w="0" w:type="dxa"/>
                <w:right w:w="108" w:type="dxa"/>
              </w:tblCellMar>
            </w:tblPr>
            <w:tblGrid>
              <w:gridCol w:w="10041"/>
            </w:tblGrid>
            <w:tr>
              <w:trPr>
                <w:trHeight w:val="480"/>
              </w:trPr>
              <w:tc>
                <w:tcPr>
                  <w:tcW w:w="1004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autoSpaceDE w:val="0"/>
                    <w:autoSpaceDN w:val="0"/>
                    <w:spacing w:before="120" w:after="0" w:line="233" w:lineRule="exact"/>
                    <w:jc w:val="center"/>
                    <w:rPr>
                      <w:rFonts w:ascii="宋体" w:eastAsia="宋体" w:hint="eastAsia"/>
                      <w:color w:val="000000"/>
                      <w:sz w:val="18"/>
                    </w:rPr>
                  </w:pPr>
                  <w:r>
                    <w:rPr>
                      <w:rFonts w:ascii="宋体" w:eastAsia="宋体" w:hint="eastAsia"/>
                      <w:color w:val="000000"/>
                      <w:sz w:val="18"/>
                      <w:lang w:val="en-US" w:eastAsia="zh-CN"/>
                    </w:rPr>
                    <w:t>中华人民共和国文化和旅游部</w:t>
                  </w:r>
                </w:p>
              </w:tc>
            </w:tr>
          </w:tbl>
          <w:p>
            <w:pPr>
              <w:autoSpaceDE w:val="0"/>
              <w:autoSpaceDN w:val="0"/>
              <w:spacing w:before="120" w:after="0" w:line="233" w:lineRule="exact"/>
              <w:jc w:val="center"/>
              <w:rPr>
                <w:rFonts w:ascii="宋体" w:eastAsia="宋体" w:hint="eastAsia"/>
                <w:color w:val="000000"/>
                <w:sz w:val="18"/>
              </w:rPr>
            </w:pPr>
          </w:p>
        </w:tc>
      </w:tr>
      <w:tr>
        <w:trPr>
          <w:trHeight w:val="361"/>
        </w:trPr>
        <w:tc>
          <w:tcPr>
            <w:tcW w:w="1052" w:type="dxa"/>
            <w:gridSpan w:val="3"/>
            <w:tcBorders>
              <w:top w:val="single" w:sz="4" w:space="0" w:color="000000"/>
              <w:left w:val="single" w:sz="4" w:space="0" w:color="000000"/>
              <w:bottom w:val="single" w:sz="4" w:space="0" w:color="000000"/>
              <w:right w:val="single" w:sz="4" w:space="0" w:color="000000"/>
            </w:tcBorders>
            <w:noWrap/>
          </w:tcPr>
          <w:p>
            <w:pPr>
              <w:autoSpaceDE w:val="0"/>
              <w:autoSpaceDN w:val="0"/>
              <w:spacing w:before="20" w:after="0" w:line="233" w:lineRule="exact"/>
              <w:jc w:val="both"/>
              <w:rPr>
                <w:sz w:val="18"/>
              </w:rPr>
            </w:pPr>
            <w:r>
              <w:rPr>
                <w:rFonts w:ascii="宋体" w:eastAsia="宋体" w:hint="eastAsia"/>
                <w:color w:val="000000"/>
                <w:sz w:val="18"/>
              </w:rPr>
              <w:t>地方主管部门</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120" w:after="0" w:line="233" w:lineRule="exact"/>
              <w:jc w:val="center"/>
              <w:rPr>
                <w:rFonts w:ascii="宋体" w:eastAsia="宋体" w:hint="eastAsia"/>
                <w:color w:val="000000"/>
                <w:sz w:val="18"/>
              </w:rPr>
            </w:pPr>
            <w:r>
              <w:rPr>
                <w:rFonts w:ascii="宋体" w:eastAsia="宋体" w:hint="eastAsia"/>
                <w:color w:val="000000"/>
                <w:sz w:val="18"/>
                <w:lang w:val="en-US" w:eastAsia="zh-CN"/>
              </w:rPr>
              <w:t>四川省文化和旅游厅</w:t>
            </w:r>
          </w:p>
        </w:tc>
        <w:tc>
          <w:tcPr>
            <w:tcW w:w="1323"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120" w:after="0" w:line="233" w:lineRule="exact"/>
              <w:jc w:val="center"/>
              <w:rPr>
                <w:rFonts w:ascii="宋体" w:eastAsia="宋体" w:hint="eastAsia"/>
                <w:color w:val="000000"/>
                <w:sz w:val="18"/>
              </w:rPr>
            </w:pPr>
            <w:r>
              <w:rPr>
                <w:rFonts w:ascii="宋体" w:eastAsia="宋体" w:hint="eastAsia"/>
                <w:color w:val="000000"/>
                <w:sz w:val="18"/>
              </w:rPr>
              <w:t>资金使用单位</w:t>
            </w:r>
          </w:p>
        </w:tc>
        <w:tc>
          <w:tcPr>
            <w:tcW w:w="3687"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120" w:after="0" w:line="233" w:lineRule="exact"/>
              <w:jc w:val="center"/>
              <w:rPr>
                <w:rFonts w:ascii="宋体" w:eastAsia="宋体" w:hint="eastAsia"/>
                <w:color w:val="000000"/>
                <w:sz w:val="18"/>
                <w:lang w:val="en-US" w:eastAsia="zh-CN"/>
              </w:rPr>
            </w:pPr>
            <w:r>
              <w:rPr>
                <w:rFonts w:ascii="宋体" w:eastAsia="宋体" w:hint="eastAsia"/>
                <w:color w:val="000000"/>
                <w:sz w:val="18"/>
                <w:lang w:val="en-US" w:eastAsia="zh-CN"/>
              </w:rPr>
              <w:t>红原县文化广播电视体育和旅游局</w:t>
            </w:r>
          </w:p>
        </w:tc>
      </w:tr>
      <w:tr>
        <w:trPr>
          <w:trHeight w:val="507"/>
        </w:trPr>
        <w:tc>
          <w:tcPr>
            <w:tcW w:w="1052" w:type="dxa"/>
            <w:gridSpan w:val="3"/>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199" w:after="0" w:line="233" w:lineRule="exact"/>
              <w:jc w:val="both"/>
              <w:rPr>
                <w:sz w:val="18"/>
              </w:rPr>
            </w:pPr>
            <w:r>
              <w:rPr>
                <w:rFonts w:ascii="宋体" w:eastAsia="宋体" w:hint="eastAsia"/>
                <w:color w:val="000000"/>
                <w:sz w:val="18"/>
              </w:rPr>
              <w:t>资金投入情况</w:t>
            </w:r>
          </w:p>
          <w:p>
            <w:pPr>
              <w:autoSpaceDE w:val="0"/>
              <w:autoSpaceDN w:val="0"/>
              <w:spacing w:before="0" w:after="0" w:line="233" w:lineRule="exact"/>
              <w:jc w:val="both"/>
              <w:rPr>
                <w:sz w:val="18"/>
              </w:rPr>
            </w:pPr>
            <w:r>
              <w:rPr>
                <w:rFonts w:ascii="宋体" w:eastAsia="宋体" w:hint="eastAsia"/>
                <w:color w:val="000000"/>
                <w:sz w:val="18"/>
              </w:rPr>
              <w:t>（万元）</w:t>
            </w:r>
          </w:p>
        </w:tc>
        <w:tc>
          <w:tcPr>
            <w:tcW w:w="2106"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p>
        </w:tc>
        <w:tc>
          <w:tcPr>
            <w:tcW w:w="1440"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140" w:after="0" w:line="233" w:lineRule="exact"/>
              <w:jc w:val="center"/>
              <w:rPr>
                <w:sz w:val="18"/>
              </w:rPr>
            </w:pPr>
            <w:r>
              <w:rPr>
                <w:rFonts w:ascii="宋体" w:eastAsia="宋体" w:hint="eastAsia"/>
                <w:color w:val="000000"/>
                <w:sz w:val="18"/>
              </w:rPr>
              <w:t>全年预算数（</w:t>
            </w:r>
            <w:r>
              <w:rPr>
                <w:rFonts w:ascii="Calibri" w:eastAsia="Calibri" w:hAnsi="Calibri" w:hint="eastAsia"/>
                <w:color w:val="000000"/>
                <w:sz w:val="18"/>
              </w:rPr>
              <w:t>A</w:t>
            </w:r>
            <w:r>
              <w:rPr>
                <w:rFonts w:ascii="宋体" w:eastAsia="宋体" w:hint="eastAsia"/>
                <w:color w:val="000000"/>
                <w:sz w:val="18"/>
              </w:rPr>
              <w:t>）</w:t>
            </w:r>
          </w:p>
        </w:tc>
        <w:tc>
          <w:tcPr>
            <w:tcW w:w="2450" w:type="dxa"/>
            <w:gridSpan w:val="2"/>
            <w:tcBorders>
              <w:top w:val="single" w:sz="4" w:space="0" w:color="000000"/>
              <w:left w:val="single" w:sz="4" w:space="0" w:color="000000"/>
              <w:bottom w:val="single" w:sz="4" w:space="0" w:color="000000"/>
              <w:right w:val="single" w:sz="4" w:space="0" w:color="000000"/>
            </w:tcBorders>
            <w:noWrap/>
          </w:tcPr>
          <w:p>
            <w:pPr>
              <w:autoSpaceDE w:val="0"/>
              <w:autoSpaceDN w:val="0"/>
              <w:spacing w:before="140" w:after="0" w:line="233" w:lineRule="exact"/>
              <w:jc w:val="center"/>
              <w:rPr>
                <w:sz w:val="18"/>
              </w:rPr>
            </w:pPr>
            <w:r>
              <w:rPr>
                <w:rFonts w:ascii="宋体" w:eastAsia="宋体" w:hint="eastAsia"/>
                <w:color w:val="000000"/>
                <w:sz w:val="18"/>
              </w:rPr>
              <w:t>全年执行数（</w:t>
            </w:r>
            <w:r>
              <w:rPr>
                <w:rFonts w:ascii="Calibri" w:eastAsia="Calibri" w:hAnsi="Calibri" w:hint="eastAsia"/>
                <w:color w:val="000000"/>
                <w:sz w:val="18"/>
              </w:rPr>
              <w:t>B</w:t>
            </w:r>
            <w:r>
              <w:rPr>
                <w:rFonts w:ascii="宋体" w:eastAsia="宋体" w:hint="eastAsia"/>
                <w:color w:val="000000"/>
                <w:sz w:val="18"/>
              </w:rPr>
              <w:t>）</w:t>
            </w:r>
          </w:p>
        </w:tc>
        <w:tc>
          <w:tcPr>
            <w:tcW w:w="2560"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66" w:after="0" w:line="233" w:lineRule="exact"/>
              <w:jc w:val="center"/>
              <w:rPr>
                <w:sz w:val="18"/>
              </w:rPr>
            </w:pPr>
            <w:r>
              <w:rPr>
                <w:rFonts w:ascii="宋体" w:eastAsia="宋体" w:hint="eastAsia"/>
                <w:color w:val="000000"/>
                <w:sz w:val="18"/>
              </w:rPr>
              <w:t>预算执行率</w:t>
            </w:r>
          </w:p>
          <w:p>
            <w:pPr>
              <w:autoSpaceDE w:val="0"/>
              <w:autoSpaceDN w:val="0"/>
              <w:spacing w:before="0" w:after="0" w:line="160" w:lineRule="exact"/>
              <w:ind w:firstLine="560"/>
              <w:jc w:val="both"/>
              <w:rPr>
                <w:sz w:val="18"/>
              </w:rPr>
            </w:pPr>
            <w:r>
              <w:rPr>
                <w:rFonts w:ascii="Calibri" w:eastAsia="Calibri" w:hAnsi="Calibri" w:hint="eastAsia"/>
                <w:color w:val="000000"/>
                <w:sz w:val="18"/>
              </w:rPr>
              <w:t>(B/Ax100%)</w:t>
            </w:r>
          </w:p>
        </w:tc>
      </w:tr>
      <w:tr>
        <w:trPr>
          <w:trHeight w:val="328"/>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ind w:firstLine="60"/>
              <w:jc w:val="both"/>
              <w:rPr>
                <w:sz w:val="18"/>
              </w:rPr>
            </w:pPr>
            <w:r>
              <w:rPr>
                <w:rFonts w:ascii="宋体" w:eastAsia="宋体" w:hint="eastAsia"/>
                <w:color w:val="000000"/>
                <w:sz w:val="18"/>
              </w:rPr>
              <w:t>年度资金总额：</w:t>
            </w:r>
          </w:p>
        </w:tc>
        <w:tc>
          <w:tcPr>
            <w:tcW w:w="144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color w:val="000000"/>
                <w:sz w:val="21"/>
                <w:lang w:val="en-US" w:eastAsia="zh-CN"/>
              </w:rPr>
            </w:pPr>
            <w:r>
              <w:rPr>
                <w:rFonts w:ascii="宋体" w:eastAsia="宋体" w:hint="eastAsia"/>
                <w:color w:val="000000"/>
                <w:sz w:val="21"/>
                <w:lang w:val="en-US" w:eastAsia="zh-CN"/>
              </w:rPr>
              <w:t>151.64</w:t>
            </w:r>
          </w:p>
        </w:tc>
        <w:tc>
          <w:tcPr>
            <w:tcW w:w="2450"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color w:val="000000"/>
                <w:sz w:val="21"/>
                <w:lang w:val="en-US" w:eastAsia="zh-CN"/>
              </w:rPr>
            </w:pPr>
            <w:r>
              <w:rPr>
                <w:rFonts w:ascii="宋体" w:eastAsia="宋体" w:hint="eastAsia"/>
                <w:color w:val="000000"/>
                <w:sz w:val="21"/>
                <w:lang w:val="en-US" w:eastAsia="zh-CN"/>
              </w:rPr>
              <w:t>71.94</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color w:val="000000"/>
                <w:sz w:val="21"/>
                <w:lang w:val="en-US" w:eastAsia="zh-CN"/>
              </w:rPr>
            </w:pPr>
            <w:r>
              <w:rPr>
                <w:rFonts w:ascii="宋体" w:eastAsia="宋体" w:hint="eastAsia"/>
                <w:color w:val="000000"/>
                <w:sz w:val="21"/>
                <w:lang w:val="en-US" w:eastAsia="zh-CN"/>
              </w:rPr>
              <w:t>47.44%</w:t>
            </w:r>
          </w:p>
        </w:tc>
      </w:tr>
      <w:tr>
        <w:trPr>
          <w:trHeight w:val="328"/>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40" w:after="0" w:line="233" w:lineRule="exact"/>
              <w:ind w:firstLine="140"/>
              <w:jc w:val="both"/>
              <w:rPr>
                <w:sz w:val="18"/>
              </w:rPr>
            </w:pPr>
            <w:r>
              <w:rPr>
                <w:rFonts w:ascii="宋体" w:eastAsia="宋体" w:hint="eastAsia"/>
                <w:color w:val="000000"/>
                <w:sz w:val="18"/>
              </w:rPr>
              <w:t>其中：中央财政资金</w:t>
            </w:r>
          </w:p>
        </w:tc>
        <w:tc>
          <w:tcPr>
            <w:tcW w:w="144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color w:val="000000"/>
                <w:sz w:val="21"/>
                <w:lang w:val="en-US" w:eastAsia="zh-CN"/>
              </w:rPr>
            </w:pPr>
            <w:r>
              <w:rPr>
                <w:rFonts w:ascii="宋体" w:eastAsia="宋体" w:hint="eastAsia"/>
                <w:color w:val="000000"/>
                <w:sz w:val="21"/>
                <w:lang w:val="en-US" w:eastAsia="zh-CN"/>
              </w:rPr>
              <w:t>151.64</w:t>
            </w:r>
          </w:p>
        </w:tc>
        <w:tc>
          <w:tcPr>
            <w:tcW w:w="2450"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color w:val="000000"/>
                <w:sz w:val="21"/>
                <w:lang w:val="en-US" w:eastAsia="zh-CN"/>
              </w:rPr>
            </w:pPr>
            <w:r>
              <w:rPr>
                <w:rFonts w:ascii="宋体" w:eastAsia="宋体" w:hint="eastAsia"/>
                <w:color w:val="000000"/>
                <w:sz w:val="21"/>
                <w:lang w:val="en-US" w:eastAsia="zh-CN"/>
              </w:rPr>
              <w:t>71.94</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color w:val="000000"/>
                <w:sz w:val="21"/>
                <w:lang w:val="en-US" w:eastAsia="zh-CN"/>
              </w:rPr>
            </w:pPr>
            <w:r>
              <w:rPr>
                <w:rFonts w:ascii="宋体" w:eastAsia="宋体" w:hint="eastAsia"/>
                <w:color w:val="000000"/>
                <w:sz w:val="21"/>
                <w:lang w:val="en-US" w:eastAsia="zh-CN"/>
              </w:rPr>
              <w:t>47.44%</w:t>
            </w:r>
          </w:p>
        </w:tc>
      </w:tr>
      <w:tr>
        <w:trPr>
          <w:trHeight w:val="328"/>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40" w:after="0" w:line="233" w:lineRule="exact"/>
              <w:ind w:firstLine="680"/>
              <w:jc w:val="both"/>
              <w:rPr>
                <w:sz w:val="18"/>
              </w:rPr>
            </w:pPr>
            <w:r>
              <w:rPr>
                <w:rFonts w:ascii="宋体" w:eastAsia="宋体" w:hint="eastAsia"/>
                <w:color w:val="000000"/>
                <w:sz w:val="18"/>
              </w:rPr>
              <w:t>地方财政资金</w:t>
            </w:r>
          </w:p>
        </w:tc>
        <w:tc>
          <w:tcPr>
            <w:tcW w:w="144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p>
        </w:tc>
        <w:tc>
          <w:tcPr>
            <w:tcW w:w="2450"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p>
        </w:tc>
      </w:tr>
      <w:tr>
        <w:trPr>
          <w:trHeight w:val="308"/>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ind w:firstLine="740"/>
              <w:jc w:val="both"/>
              <w:rPr>
                <w:sz w:val="18"/>
              </w:rPr>
            </w:pPr>
            <w:r>
              <w:rPr>
                <w:rFonts w:ascii="宋体" w:eastAsia="宋体" w:hint="eastAsia"/>
                <w:color w:val="000000"/>
                <w:sz w:val="18"/>
              </w:rPr>
              <w:t>其他资金</w:t>
            </w:r>
          </w:p>
        </w:tc>
        <w:tc>
          <w:tcPr>
            <w:tcW w:w="144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c>
          <w:tcPr>
            <w:tcW w:w="2450"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328"/>
        </w:trPr>
        <w:tc>
          <w:tcPr>
            <w:tcW w:w="1052" w:type="dxa"/>
            <w:gridSpan w:val="3"/>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206" w:after="0" w:line="233" w:lineRule="exact"/>
              <w:jc w:val="both"/>
              <w:rPr>
                <w:sz w:val="18"/>
              </w:rPr>
            </w:pPr>
            <w:r>
              <w:rPr>
                <w:rFonts w:ascii="宋体" w:eastAsia="宋体" w:hint="eastAsia"/>
                <w:color w:val="000000"/>
                <w:sz w:val="18"/>
              </w:rPr>
              <w:t>资金管理情况</w:t>
            </w:r>
          </w:p>
        </w:tc>
        <w:tc>
          <w:tcPr>
            <w:tcW w:w="2106"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c>
          <w:tcPr>
            <w:tcW w:w="3890" w:type="dxa"/>
            <w:gridSpan w:val="3"/>
            <w:tcBorders>
              <w:top w:val="single" w:sz="4" w:space="0" w:color="000000"/>
              <w:left w:val="single" w:sz="4" w:space="0" w:color="000000"/>
              <w:bottom w:val="single" w:sz="4" w:space="0" w:color="000000"/>
              <w:right w:val="single" w:sz="4" w:space="0" w:color="000000"/>
            </w:tcBorders>
            <w:noWrap/>
          </w:tcPr>
          <w:p>
            <w:pPr>
              <w:autoSpaceDE w:val="0"/>
              <w:autoSpaceDN w:val="0"/>
              <w:spacing w:before="20" w:after="0" w:line="233" w:lineRule="exact"/>
              <w:ind w:firstLine="1620"/>
              <w:jc w:val="both"/>
              <w:rPr>
                <w:sz w:val="18"/>
              </w:rPr>
            </w:pPr>
            <w:r>
              <w:rPr>
                <w:rFonts w:ascii="宋体" w:eastAsia="宋体" w:hint="eastAsia"/>
                <w:color w:val="000000"/>
                <w:sz w:val="18"/>
              </w:rPr>
              <w:t>情况说明</w:t>
            </w:r>
          </w:p>
        </w:tc>
        <w:tc>
          <w:tcPr>
            <w:tcW w:w="2560"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ind w:firstLine="200"/>
              <w:jc w:val="both"/>
              <w:rPr>
                <w:sz w:val="18"/>
              </w:rPr>
            </w:pPr>
            <w:r>
              <w:rPr>
                <w:rFonts w:ascii="宋体" w:eastAsia="宋体" w:hint="eastAsia"/>
                <w:color w:val="000000"/>
                <w:sz w:val="18"/>
              </w:rPr>
              <w:t>存在问题和改进措施</w:t>
            </w:r>
          </w:p>
        </w:tc>
      </w:tr>
      <w:tr>
        <w:trPr>
          <w:trHeight w:val="1091"/>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6" w:after="0" w:line="233" w:lineRule="exact"/>
              <w:ind w:firstLine="40"/>
              <w:jc w:val="both"/>
              <w:rPr>
                <w:sz w:val="18"/>
              </w:rPr>
            </w:pPr>
            <w:r>
              <w:rPr>
                <w:rFonts w:ascii="宋体" w:eastAsia="宋体" w:hint="eastAsia"/>
                <w:color w:val="000000"/>
                <w:sz w:val="18"/>
              </w:rPr>
              <w:t>分配科学性</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21"/>
              </w:rPr>
              <w:t>资金分配紧扣项目核心任务，重点保障基层活动直录播、线上信息推送等工作，与年度重点高度契合。</w:t>
            </w:r>
          </w:p>
          <w:p>
            <w:pPr>
              <w:autoSpaceDE w:val="0"/>
              <w:autoSpaceDN w:val="0"/>
              <w:spacing w:before="0" w:after="0" w:line="272" w:lineRule="exact"/>
              <w:jc w:val="center"/>
              <w:rPr>
                <w:rFonts w:ascii="宋体" w:eastAsia="宋体" w:hint="eastAsia"/>
                <w:color w:val="000000"/>
                <w:sz w:val="21"/>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551"/>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46" w:after="0" w:line="233" w:lineRule="exact"/>
              <w:ind w:firstLine="40"/>
              <w:jc w:val="both"/>
              <w:rPr>
                <w:sz w:val="18"/>
              </w:rPr>
            </w:pPr>
            <w:r>
              <w:rPr>
                <w:rFonts w:ascii="宋体" w:eastAsia="宋体" w:hint="eastAsia"/>
                <w:color w:val="000000"/>
                <w:sz w:val="18"/>
              </w:rPr>
              <w:t>下达及时性</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21"/>
              </w:rPr>
              <w:t>中央及地方资金均按预算管理要求及时下达，无滞留、截留情况，保障项目顺利启动。</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551"/>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ind w:firstLine="40"/>
              <w:jc w:val="both"/>
              <w:rPr>
                <w:sz w:val="18"/>
              </w:rPr>
            </w:pPr>
            <w:r>
              <w:rPr>
                <w:rFonts w:ascii="宋体" w:eastAsia="宋体" w:hint="eastAsia"/>
                <w:color w:val="000000"/>
                <w:sz w:val="18"/>
              </w:rPr>
              <w:t>拨付合规性</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21"/>
              </w:rPr>
              <w:t>严格执行国库集中支付制度，依据合同、进度及验收报告支付，手续完备、流程规范。</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p>
        </w:tc>
      </w:tr>
      <w:tr>
        <w:trPr>
          <w:trHeight w:val="551"/>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ind w:firstLine="40"/>
              <w:jc w:val="both"/>
              <w:rPr>
                <w:sz w:val="18"/>
              </w:rPr>
            </w:pPr>
            <w:r>
              <w:rPr>
                <w:rFonts w:ascii="宋体" w:eastAsia="宋体" w:hint="eastAsia"/>
                <w:color w:val="000000"/>
                <w:sz w:val="18"/>
              </w:rPr>
              <w:t>使用规范性</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21"/>
              </w:rPr>
              <w:t>实行专账管理、专款专用，支出均有合法票据支撑，未发生挤占、挪用等问题。</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328"/>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40" w:after="0" w:line="233" w:lineRule="exact"/>
              <w:ind w:firstLine="40"/>
              <w:jc w:val="both"/>
              <w:rPr>
                <w:sz w:val="18"/>
              </w:rPr>
            </w:pPr>
            <w:r>
              <w:rPr>
                <w:rFonts w:ascii="宋体" w:eastAsia="宋体" w:hint="eastAsia"/>
                <w:color w:val="000000"/>
                <w:sz w:val="18"/>
              </w:rPr>
              <w:t>执行准确性</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21"/>
              </w:rPr>
              <w:t>无超预算支出。</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527"/>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ind w:firstLine="40"/>
              <w:jc w:val="both"/>
              <w:rPr>
                <w:sz w:val="18"/>
              </w:rPr>
            </w:pPr>
            <w:r>
              <w:rPr>
                <w:rFonts w:ascii="宋体" w:eastAsia="宋体" w:hint="eastAsia"/>
                <w:color w:val="000000"/>
                <w:sz w:val="18"/>
              </w:rPr>
              <w:t>预算绩效管理情况</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r>
              <w:rPr>
                <w:rFonts w:ascii="宋体" w:eastAsia="宋体" w:hint="eastAsia"/>
                <w:color w:val="000000"/>
                <w:sz w:val="21"/>
              </w:rPr>
              <w:t>事前明确绩效目标，事中开展绩效监控，事后完成自评，各项指标超额完成。</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551"/>
        </w:trPr>
        <w:tc>
          <w:tcPr>
            <w:tcW w:w="1052" w:type="dxa"/>
            <w:gridSpan w:val="3"/>
            <w:vMerge/>
            <w:tcBorders>
              <w:top w:val="single" w:sz="4" w:space="0" w:color="000000"/>
              <w:left w:val="single" w:sz="4" w:space="0" w:color="000000"/>
              <w:bottom w:val="single" w:sz="4" w:space="0" w:color="000000"/>
              <w:right w:val="single" w:sz="4" w:space="0" w:color="000000"/>
            </w:tcBorders>
            <w:noWrap/>
          </w:tcPr>
          <w:p/>
        </w:tc>
        <w:tc>
          <w:tcPr>
            <w:tcW w:w="2106"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6" w:after="0" w:line="233" w:lineRule="exact"/>
              <w:ind w:firstLine="60"/>
              <w:jc w:val="both"/>
              <w:rPr>
                <w:sz w:val="18"/>
              </w:rPr>
            </w:pPr>
            <w:r>
              <w:rPr>
                <w:rFonts w:ascii="宋体" w:eastAsia="宋体" w:hint="eastAsia"/>
                <w:color w:val="000000"/>
                <w:sz w:val="18"/>
              </w:rPr>
              <w:t>支出责任履行情况</w:t>
            </w:r>
          </w:p>
        </w:tc>
        <w:tc>
          <w:tcPr>
            <w:tcW w:w="389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21"/>
              </w:rPr>
              <w:t>健全内部管理制度，强化全过程监管，确保财政资金安全高效使用。</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60" w:lineRule="exact"/>
              <w:jc w:val="center"/>
              <w:rPr>
                <w:rFonts w:ascii="宋体" w:eastAsia="宋体" w:hint="eastAsia"/>
                <w:color w:val="000000"/>
                <w:sz w:val="21"/>
              </w:rPr>
            </w:pPr>
          </w:p>
        </w:tc>
      </w:tr>
      <w:tr>
        <w:trPr>
          <w:trHeight w:val="328"/>
        </w:trPr>
        <w:tc>
          <w:tcPr>
            <w:tcW w:w="240"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66" w:after="0" w:line="272" w:lineRule="exact"/>
              <w:jc w:val="right"/>
              <w:rPr>
                <w:rFonts w:ascii="宋体" w:eastAsia="宋体" w:hint="eastAsia"/>
                <w:color w:val="000000"/>
                <w:sz w:val="21"/>
              </w:rPr>
            </w:pPr>
            <w:r>
              <w:rPr>
                <w:rFonts w:ascii="宋体" w:eastAsia="宋体" w:hint="eastAsia"/>
                <w:color w:val="000000"/>
                <w:sz w:val="21"/>
              </w:rPr>
              <w:t>总体目标</w:t>
            </w:r>
          </w:p>
          <w:p>
            <w:pPr>
              <w:autoSpaceDE w:val="0"/>
              <w:autoSpaceDN w:val="0"/>
              <w:spacing w:before="66" w:after="0" w:line="272" w:lineRule="exact"/>
              <w:jc w:val="right"/>
              <w:rPr>
                <w:rFonts w:ascii="宋体" w:eastAsia="宋体" w:hint="eastAsia"/>
                <w:color w:val="000000"/>
                <w:sz w:val="21"/>
              </w:rPr>
            </w:pPr>
            <w:r>
              <w:rPr>
                <w:rFonts w:ascii="宋体" w:eastAsia="宋体" w:hint="eastAsia"/>
                <w:color w:val="000000"/>
                <w:sz w:val="21"/>
              </w:rPr>
              <w:t>完成</w:t>
            </w:r>
          </w:p>
          <w:p>
            <w:pPr>
              <w:autoSpaceDE w:val="0"/>
              <w:autoSpaceDN w:val="0"/>
              <w:spacing w:before="66" w:after="0" w:line="272" w:lineRule="exact"/>
              <w:jc w:val="right"/>
              <w:rPr>
                <w:sz w:val="18"/>
              </w:rPr>
            </w:pPr>
            <w:r>
              <w:rPr>
                <w:rFonts w:ascii="宋体" w:eastAsia="宋体" w:hint="eastAsia"/>
                <w:color w:val="000000"/>
                <w:sz w:val="21"/>
              </w:rPr>
              <w:t>情况</w:t>
            </w:r>
          </w:p>
        </w:tc>
        <w:tc>
          <w:tcPr>
            <w:tcW w:w="4358" w:type="dxa"/>
            <w:gridSpan w:val="4"/>
            <w:tcBorders>
              <w:top w:val="single" w:sz="4" w:space="0" w:color="000000"/>
              <w:left w:val="single" w:sz="4" w:space="0" w:color="000000"/>
              <w:bottom w:val="single" w:sz="4" w:space="0" w:color="000000"/>
              <w:right w:val="single" w:sz="4" w:space="0" w:color="000000"/>
            </w:tcBorders>
            <w:noWrap/>
          </w:tcPr>
          <w:p>
            <w:pPr>
              <w:autoSpaceDE w:val="0"/>
              <w:autoSpaceDN w:val="0"/>
              <w:spacing w:before="26" w:after="0" w:line="233" w:lineRule="exact"/>
              <w:jc w:val="center"/>
              <w:rPr>
                <w:sz w:val="18"/>
              </w:rPr>
            </w:pPr>
            <w:r>
              <w:rPr>
                <w:rFonts w:ascii="宋体" w:eastAsia="宋体" w:hint="eastAsia"/>
                <w:color w:val="000000"/>
                <w:sz w:val="18"/>
              </w:rPr>
              <w:t>总体目标</w:t>
            </w:r>
          </w:p>
        </w:tc>
        <w:tc>
          <w:tcPr>
            <w:tcW w:w="5010" w:type="dxa"/>
            <w:gridSpan w:val="3"/>
            <w:tcBorders>
              <w:top w:val="single" w:sz="4" w:space="0" w:color="000000"/>
              <w:left w:val="single" w:sz="4" w:space="0" w:color="000000"/>
              <w:bottom w:val="single" w:sz="4" w:space="0" w:color="000000"/>
              <w:right w:val="single" w:sz="4" w:space="0" w:color="000000"/>
            </w:tcBorders>
            <w:noWrap/>
          </w:tcPr>
          <w:p>
            <w:pPr>
              <w:autoSpaceDE w:val="0"/>
              <w:autoSpaceDN w:val="0"/>
              <w:spacing w:before="40" w:after="0" w:line="233" w:lineRule="exact"/>
              <w:jc w:val="center"/>
              <w:rPr>
                <w:sz w:val="18"/>
              </w:rPr>
            </w:pPr>
            <w:r>
              <w:rPr>
                <w:rFonts w:ascii="宋体" w:eastAsia="宋体" w:hint="eastAsia"/>
                <w:color w:val="000000"/>
                <w:sz w:val="18"/>
              </w:rPr>
              <w:t>全年实际完成情况</w:t>
            </w:r>
          </w:p>
        </w:tc>
      </w:tr>
      <w:tr>
        <w:trPr>
          <w:trHeight w:val="2041"/>
        </w:trPr>
        <w:tc>
          <w:tcPr>
            <w:tcW w:w="240" w:type="dxa"/>
            <w:vMerge/>
            <w:tcBorders>
              <w:top w:val="single" w:sz="4" w:space="0" w:color="000000"/>
              <w:left w:val="single" w:sz="4" w:space="0" w:color="000000"/>
              <w:bottom w:val="single" w:sz="4" w:space="0" w:color="000000"/>
              <w:right w:val="single" w:sz="4" w:space="0" w:color="000000"/>
            </w:tcBorders>
            <w:noWrap/>
          </w:tcPr>
          <w:p/>
        </w:tc>
        <w:tc>
          <w:tcPr>
            <w:tcW w:w="4358" w:type="dxa"/>
            <w:gridSpan w:val="4"/>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hint="eastAsia"/>
                <w:color w:val="000000"/>
                <w:sz w:val="21"/>
              </w:rPr>
            </w:pPr>
            <w:r>
              <w:rPr>
                <w:rFonts w:ascii="宋体" w:eastAsia="宋体" w:hint="eastAsia"/>
                <w:color w:val="000000"/>
                <w:sz w:val="18"/>
              </w:rPr>
              <w:t>依托中央财政补助资金，完善红原县公共文化服务体系，开展基层文化活动直录播、线上文化信息推送等工作，提升县域公共文化服务供给能力和服务水平，满足群众文化需求。</w:t>
            </w:r>
          </w:p>
        </w:tc>
        <w:tc>
          <w:tcPr>
            <w:tcW w:w="5010" w:type="dxa"/>
            <w:gridSpan w:val="3"/>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0" w:after="0" w:line="272" w:lineRule="exact"/>
              <w:jc w:val="center"/>
              <w:rPr>
                <w:rFonts w:ascii="宋体" w:eastAsia="宋体"/>
                <w:color w:val="000000"/>
                <w:sz w:val="21"/>
                <w:lang w:val="en-US"/>
              </w:rPr>
            </w:pPr>
            <w:r>
              <w:rPr>
                <w:rFonts w:ascii="宋体" w:eastAsia="宋体"/>
                <w:color w:val="000000"/>
                <w:sz w:val="18"/>
                <w:lang w:val="en-US"/>
              </w:rPr>
              <w:t>已完成既定基层文化活动直录播、线上信息推送等核心工作，公共文化服务供给渠道进一步拓宽，群众文化需求得到有效回应；因部分项目推进受实施条件影响，资金执行率暂为47.44%，后续将加快项目落地，提升资金使用效率。</w:t>
            </w:r>
          </w:p>
        </w:tc>
      </w:tr>
      <w:tr>
        <w:trPr>
          <w:trHeight w:val="632"/>
        </w:trPr>
        <w:tc>
          <w:tcPr>
            <w:tcW w:w="240"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66" w:after="0" w:line="272" w:lineRule="exact"/>
              <w:ind w:firstLine="220"/>
              <w:jc w:val="both"/>
              <w:rPr>
                <w:sz w:val="21"/>
              </w:rPr>
            </w:pPr>
            <w:r>
              <w:rPr>
                <w:rFonts w:ascii="宋体" w:eastAsia="宋体" w:hint="eastAsia"/>
                <w:color w:val="000000"/>
                <w:sz w:val="21"/>
              </w:rPr>
              <w:t>绩</w:t>
            </w:r>
          </w:p>
          <w:p>
            <w:pPr>
              <w:autoSpaceDE w:val="0"/>
              <w:autoSpaceDN w:val="0"/>
              <w:spacing w:before="0" w:after="0" w:line="260" w:lineRule="exact"/>
              <w:ind w:firstLine="220"/>
              <w:jc w:val="both"/>
              <w:rPr>
                <w:sz w:val="21"/>
              </w:rPr>
            </w:pPr>
            <w:r>
              <w:rPr>
                <w:rFonts w:ascii="宋体" w:eastAsia="宋体" w:hint="eastAsia"/>
                <w:color w:val="000000"/>
                <w:sz w:val="21"/>
              </w:rPr>
              <w:t>效</w:t>
            </w:r>
          </w:p>
          <w:p>
            <w:pPr>
              <w:autoSpaceDE w:val="0"/>
              <w:autoSpaceDN w:val="0"/>
              <w:spacing w:before="0" w:after="0" w:line="260" w:lineRule="exact"/>
              <w:ind w:firstLine="220"/>
              <w:jc w:val="both"/>
              <w:rPr>
                <w:sz w:val="21"/>
              </w:rPr>
            </w:pPr>
            <w:r>
              <w:rPr>
                <w:rFonts w:ascii="宋体" w:eastAsia="宋体" w:hint="eastAsia"/>
                <w:color w:val="000000"/>
                <w:sz w:val="21"/>
              </w:rPr>
              <w:t>指</w:t>
            </w:r>
          </w:p>
          <w:p>
            <w:pPr>
              <w:autoSpaceDE w:val="0"/>
              <w:autoSpaceDN w:val="0"/>
              <w:spacing w:before="0" w:after="0" w:line="240" w:lineRule="exact"/>
              <w:ind w:firstLine="220"/>
              <w:jc w:val="both"/>
              <w:rPr>
                <w:sz w:val="21"/>
              </w:rPr>
            </w:pPr>
            <w:r>
              <w:rPr>
                <w:rFonts w:ascii="宋体" w:eastAsia="宋体" w:hint="eastAsia"/>
                <w:color w:val="000000"/>
                <w:sz w:val="21"/>
              </w:rPr>
              <w:t>标</w:t>
            </w:r>
          </w:p>
        </w:tc>
        <w:tc>
          <w:tcPr>
            <w:tcW w:w="337"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45" w:after="0" w:line="207" w:lineRule="exact"/>
              <w:jc w:val="center"/>
              <w:rPr>
                <w:sz w:val="16"/>
              </w:rPr>
            </w:pPr>
            <w:r>
              <w:rPr>
                <w:rFonts w:ascii="宋体" w:eastAsia="宋体" w:hint="eastAsia"/>
                <w:color w:val="000000"/>
                <w:sz w:val="16"/>
              </w:rPr>
              <w:t>一级指标</w:t>
            </w:r>
          </w:p>
        </w:tc>
        <w:tc>
          <w:tcPr>
            <w:tcW w:w="475"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160" w:after="0" w:line="233" w:lineRule="exact"/>
              <w:jc w:val="center"/>
              <w:rPr>
                <w:sz w:val="18"/>
              </w:rPr>
            </w:pPr>
            <w:r>
              <w:rPr>
                <w:rFonts w:ascii="宋体" w:eastAsia="宋体" w:hint="eastAsia"/>
                <w:color w:val="000000"/>
                <w:sz w:val="18"/>
              </w:rPr>
              <w:t>二级指标</w:t>
            </w:r>
          </w:p>
        </w:tc>
        <w:tc>
          <w:tcPr>
            <w:tcW w:w="3546" w:type="dxa"/>
            <w:gridSpan w:val="2"/>
            <w:tcBorders>
              <w:top w:val="single" w:sz="4" w:space="0" w:color="000000"/>
              <w:left w:val="single" w:sz="4" w:space="0" w:color="000000"/>
              <w:bottom w:val="single" w:sz="4" w:space="0" w:color="000000"/>
              <w:right w:val="single" w:sz="4" w:space="0" w:color="000000"/>
            </w:tcBorders>
            <w:noWrap/>
          </w:tcPr>
          <w:p>
            <w:pPr>
              <w:autoSpaceDE w:val="0"/>
              <w:autoSpaceDN w:val="0"/>
              <w:spacing w:before="160" w:after="0" w:line="233" w:lineRule="exact"/>
              <w:jc w:val="center"/>
              <w:rPr>
                <w:sz w:val="18"/>
              </w:rPr>
            </w:pPr>
            <w:r>
              <w:rPr>
                <w:rFonts w:ascii="宋体" w:eastAsia="宋体" w:hint="eastAsia"/>
                <w:color w:val="000000"/>
                <w:sz w:val="18"/>
              </w:rPr>
              <w:t>三级指标</w:t>
            </w:r>
          </w:p>
        </w:tc>
        <w:tc>
          <w:tcPr>
            <w:tcW w:w="1323"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160" w:after="0" w:line="233" w:lineRule="exact"/>
              <w:ind w:firstLine="400"/>
              <w:jc w:val="both"/>
              <w:rPr>
                <w:sz w:val="18"/>
              </w:rPr>
            </w:pPr>
            <w:r>
              <w:rPr>
                <w:rFonts w:ascii="宋体" w:eastAsia="宋体" w:hint="eastAsia"/>
                <w:color w:val="000000"/>
                <w:sz w:val="18"/>
              </w:rPr>
              <w:t>指标值</w:t>
            </w:r>
          </w:p>
        </w:tc>
        <w:tc>
          <w:tcPr>
            <w:tcW w:w="1127"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20" w:after="0" w:line="220" w:lineRule="exact"/>
              <w:ind w:left="360" w:hanging="280"/>
              <w:jc w:val="both"/>
              <w:rPr>
                <w:sz w:val="18"/>
              </w:rPr>
            </w:pPr>
            <w:r>
              <w:rPr>
                <w:rFonts w:ascii="宋体" w:eastAsia="宋体" w:hint="eastAsia"/>
                <w:color w:val="000000"/>
                <w:sz w:val="18"/>
              </w:rPr>
              <w:t>全年实际完成值</w:t>
            </w:r>
          </w:p>
        </w:tc>
        <w:tc>
          <w:tcPr>
            <w:tcW w:w="2560"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140" w:after="0" w:line="233" w:lineRule="exact"/>
              <w:ind w:firstLine="80"/>
              <w:jc w:val="both"/>
              <w:rPr>
                <w:sz w:val="18"/>
              </w:rPr>
            </w:pPr>
            <w:r>
              <w:rPr>
                <w:rFonts w:ascii="宋体" w:eastAsia="宋体" w:hint="eastAsia"/>
                <w:color w:val="000000"/>
                <w:sz w:val="18"/>
              </w:rPr>
              <w:t>未完成原因和改进措施</w:t>
            </w:r>
          </w:p>
        </w:tc>
      </w:tr>
      <w:tr>
        <w:trPr>
          <w:trHeight w:val="483"/>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58" w:after="0" w:line="272" w:lineRule="exact"/>
              <w:ind w:firstLine="160"/>
              <w:jc w:val="both"/>
              <w:rPr>
                <w:sz w:val="21"/>
              </w:rPr>
            </w:pPr>
            <w:r>
              <w:rPr>
                <w:rFonts w:ascii="宋体" w:eastAsia="宋体" w:hint="eastAsia"/>
                <w:color w:val="000000"/>
                <w:sz w:val="21"/>
              </w:rPr>
              <w:t>产</w:t>
            </w:r>
          </w:p>
          <w:p>
            <w:pPr>
              <w:autoSpaceDE w:val="0"/>
              <w:autoSpaceDN w:val="0"/>
              <w:spacing w:before="0" w:after="0" w:line="260" w:lineRule="exact"/>
              <w:ind w:firstLine="180"/>
              <w:jc w:val="both"/>
              <w:rPr>
                <w:sz w:val="21"/>
              </w:rPr>
            </w:pPr>
            <w:r>
              <w:rPr>
                <w:rFonts w:ascii="宋体" w:eastAsia="宋体" w:hint="eastAsia"/>
                <w:color w:val="000000"/>
                <w:sz w:val="21"/>
              </w:rPr>
              <w:t>出</w:t>
            </w:r>
          </w:p>
          <w:p>
            <w:pPr>
              <w:autoSpaceDE w:val="0"/>
              <w:autoSpaceDN w:val="0"/>
              <w:spacing w:before="0" w:after="0" w:line="260" w:lineRule="exact"/>
              <w:ind w:firstLine="160"/>
              <w:jc w:val="both"/>
              <w:rPr>
                <w:sz w:val="21"/>
              </w:rPr>
            </w:pPr>
            <w:r>
              <w:rPr>
                <w:rFonts w:ascii="宋体" w:eastAsia="宋体" w:hint="eastAsia"/>
                <w:color w:val="000000"/>
                <w:sz w:val="21"/>
              </w:rPr>
              <w:t>指</w:t>
            </w:r>
          </w:p>
          <w:p>
            <w:pPr>
              <w:autoSpaceDE w:val="0"/>
              <w:autoSpaceDN w:val="0"/>
              <w:spacing w:before="0" w:after="0" w:line="240" w:lineRule="exact"/>
              <w:ind w:firstLine="160"/>
              <w:jc w:val="both"/>
              <w:rPr>
                <w:sz w:val="21"/>
              </w:rPr>
            </w:pPr>
            <w:r>
              <w:rPr>
                <w:rFonts w:ascii="宋体" w:eastAsia="宋体" w:hint="eastAsia"/>
                <w:color w:val="000000"/>
                <w:sz w:val="21"/>
              </w:rPr>
              <w:t>标</w:t>
            </w: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46" w:after="0" w:line="233" w:lineRule="exact"/>
              <w:jc w:val="center"/>
              <w:rPr>
                <w:sz w:val="18"/>
              </w:rPr>
            </w:pPr>
            <w:r>
              <w:rPr>
                <w:rFonts w:ascii="宋体" w:eastAsia="宋体" w:hint="eastAsia"/>
                <w:color w:val="000000"/>
                <w:sz w:val="18"/>
              </w:rPr>
              <w:t>数量指标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color w:val="000000"/>
                <w:sz w:val="18"/>
                <w:lang w:val="en-US" w:eastAsia="zh-CN"/>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color w:val="000000"/>
                <w:sz w:val="18"/>
                <w:lang w:val="en-US" w:eastAsia="zh-CN"/>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434"/>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color w:val="000000"/>
                <w:sz w:val="18"/>
                <w:lang w:val="en-US" w:eastAsia="zh-CN"/>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公共文化服务线上覆盖村居数</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≥10个</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color w:val="000000"/>
                <w:sz w:val="18"/>
                <w:lang w:val="en-US" w:eastAsia="zh-CN"/>
              </w:rPr>
            </w:pPr>
            <w:r>
              <w:rPr>
                <w:rFonts w:ascii="宋体" w:eastAsia="宋体" w:hint="eastAsia"/>
                <w:color w:val="000000"/>
                <w:sz w:val="18"/>
                <w:lang w:val="en-US" w:eastAsia="zh-CN"/>
              </w:rPr>
              <w:t>10个</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26" w:after="0" w:line="233" w:lineRule="exact"/>
              <w:jc w:val="center"/>
              <w:rPr>
                <w:sz w:val="18"/>
              </w:rPr>
            </w:pPr>
            <w:r>
              <w:rPr>
                <w:rFonts w:ascii="宋体" w:eastAsia="宋体" w:hint="eastAsia"/>
                <w:color w:val="000000"/>
                <w:sz w:val="18"/>
              </w:rPr>
              <w:t>质量指标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资金使用合规率</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46" w:after="0" w:line="233" w:lineRule="exact"/>
              <w:jc w:val="center"/>
              <w:rPr>
                <w:sz w:val="18"/>
              </w:rPr>
            </w:pPr>
            <w:r>
              <w:rPr>
                <w:rFonts w:ascii="宋体" w:eastAsia="宋体" w:hint="eastAsia"/>
                <w:color w:val="000000"/>
                <w:sz w:val="18"/>
              </w:rPr>
              <w:t>时效指标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color w:val="000000"/>
                <w:sz w:val="18"/>
                <w:lang w:val="en-US" w:eastAsia="zh-CN"/>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lang w:val="en-US" w:eastAsia="zh-CN"/>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1445"/>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年度计划项目开工率</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≥80%</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75%</w:t>
            </w:r>
          </w:p>
        </w:tc>
        <w:tc>
          <w:tcPr>
            <w:tcW w:w="2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autoSpaceDE w:val="0"/>
              <w:autoSpaceDN w:val="0"/>
              <w:spacing w:before="46" w:after="0" w:line="233" w:lineRule="exact"/>
              <w:jc w:val="center"/>
              <w:rPr>
                <w:rFonts w:ascii="宋体" w:eastAsia="宋体" w:cs="宋体" w:hint="eastAsia"/>
                <w:i w:val="0"/>
                <w:iCs w:val="0"/>
                <w:color w:val="000000"/>
                <w:sz w:val="22"/>
                <w:szCs w:val="22"/>
                <w:u w:val="none"/>
              </w:rPr>
            </w:pPr>
            <w:r>
              <w:rPr>
                <w:rFonts w:ascii="宋体" w:eastAsia="宋体" w:hint="eastAsia"/>
                <w:color w:val="000000"/>
                <w:sz w:val="18"/>
                <w:lang w:val="en-US" w:eastAsia="zh-CN"/>
              </w:rPr>
              <w:t>未完成原因：部分项目因县域地理条件、施工筹备等因素导致开工延迟；改进措施：提前开展项目实地调研，优化施工筹备流程，安排专人跟进项目进度，加快未开工项目落地。</w:t>
            </w: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33" w:lineRule="exact"/>
              <w:ind w:firstLine="0"/>
              <w:jc w:val="both"/>
              <w:rPr>
                <w:rFonts w:ascii="宋体" w:eastAsia="宋体" w:hint="eastAsia"/>
                <w:color w:val="000000"/>
                <w:sz w:val="18"/>
              </w:rPr>
            </w:pPr>
          </w:p>
          <w:p>
            <w:pPr>
              <w:autoSpaceDE w:val="0"/>
              <w:autoSpaceDN w:val="0"/>
              <w:spacing w:before="46" w:after="0" w:line="233" w:lineRule="exact"/>
              <w:jc w:val="center"/>
              <w:rPr>
                <w:sz w:val="18"/>
              </w:rPr>
            </w:pPr>
            <w:r>
              <w:rPr>
                <w:rFonts w:ascii="宋体" w:eastAsia="宋体" w:hint="eastAsia"/>
                <w:color w:val="000000"/>
                <w:sz w:val="18"/>
              </w:rPr>
              <w:t>成本指标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带动县域文化相关消费（万元）</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≥50</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68</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36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180" w:lineRule="exact"/>
              <w:ind w:firstLine="280"/>
              <w:jc w:val="both"/>
              <w:rPr>
                <w:sz w:val="18"/>
              </w:rPr>
            </w:pPr>
            <w:r>
              <w:rPr>
                <w:rFonts w:ascii="Calibri" w:eastAsia="Calibri" w:hAnsi="Calibri" w:hint="eastAsia"/>
                <w:color w:val="000000"/>
                <w:sz w:val="18"/>
              </w:rPr>
              <w:t>······</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县域群众公共文化活动参与人次</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≥1000人次</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1560人次</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0" w:after="0" w:line="272" w:lineRule="exact"/>
              <w:ind w:firstLine="0"/>
              <w:jc w:val="both"/>
              <w:rPr>
                <w:rFonts w:ascii="宋体" w:eastAsia="宋体" w:hint="eastAsia"/>
                <w:color w:val="000000"/>
                <w:sz w:val="21"/>
              </w:rPr>
            </w:pPr>
          </w:p>
          <w:p>
            <w:pPr>
              <w:autoSpaceDE w:val="0"/>
              <w:autoSpaceDN w:val="0"/>
              <w:spacing w:before="38" w:after="0" w:line="272" w:lineRule="exact"/>
              <w:ind w:firstLine="180"/>
              <w:jc w:val="both"/>
              <w:rPr>
                <w:sz w:val="21"/>
              </w:rPr>
            </w:pPr>
            <w:r>
              <w:rPr>
                <w:rFonts w:ascii="宋体" w:eastAsia="宋体" w:hint="eastAsia"/>
                <w:color w:val="000000"/>
                <w:sz w:val="21"/>
              </w:rPr>
              <w:t>效</w:t>
            </w:r>
          </w:p>
          <w:p>
            <w:pPr>
              <w:autoSpaceDE w:val="0"/>
              <w:autoSpaceDN w:val="0"/>
              <w:spacing w:before="0" w:after="0" w:line="260" w:lineRule="exact"/>
              <w:ind w:firstLine="180"/>
              <w:jc w:val="both"/>
              <w:rPr>
                <w:sz w:val="21"/>
              </w:rPr>
            </w:pPr>
            <w:r>
              <w:rPr>
                <w:rFonts w:ascii="宋体" w:eastAsia="宋体" w:hint="eastAsia"/>
                <w:color w:val="000000"/>
                <w:sz w:val="21"/>
              </w:rPr>
              <w:t>益</w:t>
            </w:r>
          </w:p>
          <w:p>
            <w:pPr>
              <w:autoSpaceDE w:val="0"/>
              <w:autoSpaceDN w:val="0"/>
              <w:spacing w:before="0" w:after="0" w:line="240" w:lineRule="exact"/>
              <w:ind w:firstLine="180"/>
              <w:jc w:val="both"/>
              <w:rPr>
                <w:sz w:val="21"/>
              </w:rPr>
            </w:pPr>
            <w:r>
              <w:rPr>
                <w:rFonts w:ascii="宋体" w:eastAsia="宋体" w:hint="eastAsia"/>
                <w:color w:val="000000"/>
                <w:sz w:val="21"/>
              </w:rPr>
              <w:t>指</w:t>
            </w:r>
          </w:p>
          <w:p>
            <w:pPr>
              <w:autoSpaceDE w:val="0"/>
              <w:autoSpaceDN w:val="0"/>
              <w:spacing w:before="0" w:after="0" w:line="240" w:lineRule="exact"/>
              <w:ind w:firstLine="180"/>
              <w:jc w:val="both"/>
              <w:rPr>
                <w:sz w:val="21"/>
              </w:rPr>
            </w:pPr>
            <w:r>
              <w:rPr>
                <w:rFonts w:ascii="宋体" w:eastAsia="宋体" w:hint="eastAsia"/>
                <w:color w:val="000000"/>
                <w:sz w:val="21"/>
              </w:rPr>
              <w:t>标</w:t>
            </w: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186" w:after="0" w:line="233" w:lineRule="exact"/>
              <w:jc w:val="center"/>
              <w:rPr>
                <w:sz w:val="18"/>
              </w:rPr>
            </w:pPr>
            <w:r>
              <w:rPr>
                <w:rFonts w:ascii="宋体" w:eastAsia="宋体" w:hint="eastAsia"/>
                <w:color w:val="000000"/>
                <w:sz w:val="18"/>
              </w:rPr>
              <w:t>经济效益</w:t>
            </w:r>
          </w:p>
          <w:p>
            <w:pPr>
              <w:autoSpaceDE w:val="0"/>
              <w:autoSpaceDN w:val="0"/>
              <w:spacing w:before="0" w:after="0" w:line="220" w:lineRule="exact"/>
              <w:jc w:val="center"/>
              <w:rPr>
                <w:sz w:val="18"/>
              </w:rPr>
            </w:pPr>
            <w:r>
              <w:rPr>
                <w:rFonts w:ascii="宋体" w:eastAsia="宋体" w:hint="eastAsia"/>
                <w:color w:val="000000"/>
                <w:sz w:val="18"/>
              </w:rPr>
              <w:t>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公共文化服务开展过程中绿色环保执行率</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303"/>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166" w:after="0" w:line="233" w:lineRule="exact"/>
              <w:jc w:val="center"/>
              <w:rPr>
                <w:sz w:val="18"/>
              </w:rPr>
            </w:pPr>
            <w:r>
              <w:rPr>
                <w:rFonts w:ascii="宋体" w:eastAsia="宋体" w:hint="eastAsia"/>
                <w:color w:val="000000"/>
                <w:sz w:val="18"/>
              </w:rPr>
              <w:t>社会效益</w:t>
            </w:r>
          </w:p>
          <w:p>
            <w:pPr>
              <w:autoSpaceDE w:val="0"/>
              <w:autoSpaceDN w:val="0"/>
              <w:spacing w:before="46" w:after="0" w:line="233" w:lineRule="exact"/>
              <w:jc w:val="center"/>
              <w:rPr>
                <w:sz w:val="18"/>
              </w:rPr>
            </w:pPr>
            <w:r>
              <w:rPr>
                <w:rFonts w:ascii="宋体" w:eastAsia="宋体" w:hint="eastAsia"/>
                <w:color w:val="000000"/>
                <w:sz w:val="18"/>
              </w:rPr>
              <w:t>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color w:val="000000"/>
                <w:sz w:val="18"/>
                <w:lang w:val="en-US" w:eastAsia="zh-CN"/>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color w:val="000000"/>
                <w:sz w:val="18"/>
                <w:lang w:val="en-US" w:eastAsia="zh-CN"/>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341"/>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基层文化工作者对资金使用及工作开展满意度</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≥90%</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90%</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146" w:after="0" w:line="233" w:lineRule="exact"/>
              <w:jc w:val="center"/>
              <w:rPr>
                <w:sz w:val="18"/>
              </w:rPr>
            </w:pPr>
            <w:r>
              <w:rPr>
                <w:rFonts w:ascii="宋体" w:eastAsia="宋体" w:hint="eastAsia"/>
                <w:color w:val="000000"/>
                <w:sz w:val="18"/>
              </w:rPr>
              <w:t>生态效益</w:t>
            </w:r>
          </w:p>
          <w:p>
            <w:pPr>
              <w:autoSpaceDE w:val="0"/>
              <w:autoSpaceDN w:val="0"/>
              <w:spacing w:before="0" w:after="0" w:line="233" w:lineRule="exact"/>
              <w:jc w:val="center"/>
              <w:rPr>
                <w:sz w:val="18"/>
              </w:rPr>
            </w:pPr>
            <w:r>
              <w:rPr>
                <w:rFonts w:ascii="宋体" w:eastAsia="宋体" w:hint="eastAsia"/>
                <w:color w:val="000000"/>
                <w:sz w:val="18"/>
              </w:rPr>
              <w:t>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166" w:after="0" w:line="233" w:lineRule="exact"/>
              <w:jc w:val="both"/>
              <w:rPr>
                <w:sz w:val="18"/>
              </w:rPr>
            </w:pPr>
            <w:r>
              <w:rPr>
                <w:rFonts w:ascii="宋体" w:eastAsia="宋体" w:hint="eastAsia"/>
                <w:color w:val="000000"/>
                <w:sz w:val="18"/>
              </w:rPr>
              <w:t>可持续影响</w:t>
            </w:r>
          </w:p>
          <w:p>
            <w:pPr>
              <w:autoSpaceDE w:val="0"/>
              <w:autoSpaceDN w:val="0"/>
              <w:spacing w:before="46" w:after="0" w:line="233" w:lineRule="exact"/>
              <w:jc w:val="center"/>
              <w:rPr>
                <w:sz w:val="18"/>
              </w:rPr>
            </w:pPr>
            <w:r>
              <w:rPr>
                <w:rFonts w:ascii="宋体" w:eastAsia="宋体" w:hint="eastAsia"/>
                <w:color w:val="000000"/>
                <w:sz w:val="18"/>
              </w:rPr>
              <w:t>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573"/>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资金使用合规率</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100%</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180" w:lineRule="exact"/>
              <w:jc w:val="center"/>
              <w:rPr>
                <w:sz w:val="18"/>
              </w:rPr>
            </w:pPr>
            <w:r>
              <w:rPr>
                <w:rFonts w:ascii="Calibri" w:eastAsia="Calibri" w:hAnsi="Calibri" w:hint="eastAsia"/>
                <w:color w:val="000000"/>
                <w:sz w:val="18"/>
              </w:rPr>
              <w:t>······</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13" w:lineRule="exact"/>
              <w:ind w:left="100" w:right="20" w:hanging="20"/>
              <w:jc w:val="both"/>
              <w:rPr>
                <w:sz w:val="18"/>
              </w:rPr>
            </w:pPr>
            <w:r>
              <w:rPr>
                <w:rFonts w:ascii="宋体" w:eastAsia="宋体" w:hint="eastAsia"/>
                <w:color w:val="000000"/>
                <w:sz w:val="18"/>
              </w:rPr>
              <w:t>满意度指</w:t>
            </w:r>
          </w:p>
          <w:p>
            <w:pPr>
              <w:autoSpaceDE w:val="0"/>
              <w:autoSpaceDN w:val="0"/>
              <w:spacing w:before="0" w:after="0" w:line="220" w:lineRule="exact"/>
              <w:ind w:firstLine="180"/>
              <w:jc w:val="both"/>
              <w:rPr>
                <w:sz w:val="18"/>
              </w:rPr>
            </w:pPr>
            <w:r>
              <w:rPr>
                <w:rFonts w:ascii="宋体" w:eastAsia="宋体" w:hint="eastAsia"/>
                <w:color w:val="000000"/>
                <w:sz w:val="18"/>
              </w:rPr>
              <w:t>标</w:t>
            </w:r>
          </w:p>
        </w:tc>
        <w:tc>
          <w:tcPr>
            <w:tcW w:w="475" w:type="dxa"/>
            <w:vMerge w:val="restart"/>
            <w:tcBorders>
              <w:top w:val="single" w:sz="4" w:space="0" w:color="000000"/>
              <w:left w:val="single" w:sz="4" w:space="0" w:color="000000"/>
              <w:bottom w:val="single" w:sz="4" w:space="0" w:color="000000"/>
              <w:right w:val="single" w:sz="4" w:space="0" w:color="000000"/>
            </w:tcBorders>
            <w:noWrap/>
          </w:tcPr>
          <w:p>
            <w:pPr>
              <w:autoSpaceDE w:val="0"/>
              <w:autoSpaceDN w:val="0"/>
              <w:spacing w:before="166" w:after="0" w:line="233" w:lineRule="exact"/>
              <w:jc w:val="center"/>
              <w:rPr>
                <w:sz w:val="18"/>
              </w:rPr>
            </w:pPr>
            <w:r>
              <w:rPr>
                <w:rFonts w:ascii="宋体" w:eastAsia="宋体" w:hint="eastAsia"/>
                <w:color w:val="000000"/>
                <w:sz w:val="18"/>
              </w:rPr>
              <w:t>服务对象</w:t>
            </w:r>
          </w:p>
          <w:p>
            <w:pPr>
              <w:autoSpaceDE w:val="0"/>
              <w:autoSpaceDN w:val="0"/>
              <w:spacing w:before="46" w:after="0" w:line="233" w:lineRule="exact"/>
              <w:ind w:firstLine="120"/>
              <w:jc w:val="both"/>
              <w:rPr>
                <w:sz w:val="18"/>
              </w:rPr>
            </w:pPr>
            <w:r>
              <w:rPr>
                <w:rFonts w:ascii="宋体" w:eastAsia="宋体" w:hint="eastAsia"/>
                <w:color w:val="000000"/>
                <w:sz w:val="18"/>
              </w:rPr>
              <w:t>满意度指标</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群众对公共文化服务整体满意度</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r>
              <w:rPr>
                <w:rFonts w:ascii="宋体" w:eastAsia="宋体" w:hint="eastAsia"/>
                <w:color w:val="000000"/>
                <w:sz w:val="18"/>
                <w:lang w:val="en-US" w:eastAsia="zh-CN"/>
              </w:rPr>
              <w:t>≥85%</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color w:val="000000"/>
                <w:sz w:val="18"/>
                <w:lang w:val="en-US" w:eastAsia="zh-CN"/>
              </w:rPr>
            </w:pPr>
            <w:r>
              <w:rPr>
                <w:rFonts w:ascii="宋体" w:eastAsia="宋体" w:hint="eastAsia"/>
                <w:color w:val="000000"/>
                <w:sz w:val="18"/>
                <w:lang w:val="en-US" w:eastAsia="zh-CN"/>
              </w:rPr>
              <w:t>93%</w:t>
            </w: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288"/>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46" w:after="0" w:line="233" w:lineRule="exact"/>
              <w:jc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804"/>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vMerge/>
            <w:tcBorders>
              <w:top w:val="single" w:sz="4" w:space="0" w:color="000000"/>
              <w:left w:val="single" w:sz="4" w:space="0" w:color="000000"/>
              <w:bottom w:val="single" w:sz="4" w:space="0" w:color="000000"/>
              <w:right w:val="single" w:sz="4" w:space="0" w:color="000000"/>
            </w:tcBorders>
            <w:noWrap/>
          </w:tcP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r>
              <w:rPr>
                <w:rFonts w:ascii="宋体" w:eastAsia="宋体" w:cs="宋体" w:hint="eastAsia"/>
                <w:i w:val="0"/>
                <w:iCs w:val="0"/>
                <w:color w:val="000000"/>
                <w:kern w:val="0"/>
                <w:sz w:val="22"/>
                <w:szCs w:val="22"/>
                <w:u w:val="none"/>
                <w:lang w:val="en-US" w:eastAsia="zh-CN"/>
              </w:rPr>
              <w:t>）</w:t>
            </w:r>
          </w:p>
        </w:tc>
        <w:tc>
          <w:tcPr>
            <w:tcW w:w="1323"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r>
        <w:trPr>
          <w:trHeight w:val="330"/>
        </w:trPr>
        <w:tc>
          <w:tcPr>
            <w:tcW w:w="240" w:type="dxa"/>
            <w:vMerge/>
            <w:tcBorders>
              <w:top w:val="single" w:sz="4" w:space="0" w:color="000000"/>
              <w:left w:val="single" w:sz="4" w:space="0" w:color="000000"/>
              <w:bottom w:val="single" w:sz="4" w:space="0" w:color="000000"/>
              <w:right w:val="single" w:sz="4" w:space="0" w:color="000000"/>
            </w:tcBorders>
            <w:noWrap/>
          </w:tcPr>
          <w:p/>
        </w:tc>
        <w:tc>
          <w:tcPr>
            <w:tcW w:w="337" w:type="dxa"/>
            <w:vMerge/>
            <w:tcBorders>
              <w:top w:val="single" w:sz="4" w:space="0" w:color="000000"/>
              <w:left w:val="single" w:sz="4" w:space="0" w:color="000000"/>
              <w:bottom w:val="single" w:sz="4" w:space="0" w:color="000000"/>
              <w:right w:val="single" w:sz="4" w:space="0" w:color="000000"/>
            </w:tcBorders>
            <w:noWrap/>
          </w:tcPr>
          <w:p/>
        </w:tc>
        <w:tc>
          <w:tcPr>
            <w:tcW w:w="475" w:type="dxa"/>
            <w:tcBorders>
              <w:top w:val="single" w:sz="4" w:space="0" w:color="000000"/>
              <w:left w:val="single" w:sz="4" w:space="0" w:color="000000"/>
              <w:bottom w:val="single" w:sz="4" w:space="0" w:color="000000"/>
              <w:right w:val="single" w:sz="4" w:space="0" w:color="000000"/>
            </w:tcBorders>
            <w:noWrap/>
          </w:tcPr>
          <w:p>
            <w:pPr>
              <w:autoSpaceDE w:val="0"/>
              <w:autoSpaceDN w:val="0"/>
              <w:spacing w:before="0" w:after="0" w:line="220" w:lineRule="exact"/>
              <w:jc w:val="center"/>
              <w:rPr>
                <w:sz w:val="18"/>
              </w:rPr>
            </w:pPr>
            <w:r>
              <w:rPr>
                <w:rFonts w:ascii="Calibri" w:eastAsia="Calibri" w:hAnsi="Calibri" w:hint="eastAsia"/>
                <w:color w:val="000000"/>
                <w:sz w:val="18"/>
              </w:rPr>
              <w:t>......</w:t>
            </w:r>
          </w:p>
        </w:tc>
        <w:tc>
          <w:tcPr>
            <w:tcW w:w="3546"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1323"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宋体" w:eastAsia="宋体" w:hint="eastAsia"/>
                <w:color w:val="000000"/>
                <w:sz w:val="18"/>
              </w:rPr>
            </w:pPr>
          </w:p>
        </w:tc>
        <w:tc>
          <w:tcPr>
            <w:tcW w:w="2560" w:type="dxa"/>
            <w:tcBorders>
              <w:top w:val="single" w:sz="4" w:space="0" w:color="000000"/>
              <w:left w:val="single" w:sz="4" w:space="0" w:color="000000"/>
              <w:bottom w:val="single" w:sz="4" w:space="0" w:color="000000"/>
              <w:right w:val="single" w:sz="4" w:space="0" w:color="000000"/>
            </w:tcBorders>
            <w:noWrap/>
            <w:vAlign w:val="center"/>
          </w:tcPr>
          <w:p>
            <w:pPr>
              <w:autoSpaceDE w:val="0"/>
              <w:autoSpaceDN w:val="0"/>
              <w:spacing w:before="6" w:after="0" w:line="233" w:lineRule="exact"/>
              <w:ind w:firstLine="60"/>
              <w:jc w:val="both"/>
              <w:rPr>
                <w:rFonts w:ascii="宋体" w:eastAsia="宋体" w:hint="eastAsia"/>
                <w:color w:val="000000"/>
                <w:sz w:val="18"/>
              </w:rPr>
            </w:pPr>
          </w:p>
        </w:tc>
      </w:tr>
    </w:tbl>
    <w:p>
      <w:pPr>
        <w:autoSpaceDE w:val="0"/>
        <w:autoSpaceDN w:val="0"/>
        <w:spacing w:before="0" w:after="0" w:line="420" w:lineRule="exact"/>
        <w:jc w:val="center"/>
        <w:rPr>
          <w:rFonts w:ascii="Calibri" w:eastAsia="Calibri" w:hAnsi="Calibri" w:hint="eastAsia"/>
          <w:color w:val="000000"/>
          <w:sz w:val="18"/>
        </w:rPr>
      </w:pPr>
      <w:r>
        <w:rPr>
          <w:rFonts w:ascii="Calibri" w:eastAsia="Calibri" w:hAnsi="Calibri" w:hint="eastAsia"/>
          <w:color w:val="000000"/>
          <w:sz w:val="18"/>
        </w:rPr>
        <w:t>（2025</w:t>
      </w:r>
      <w:r>
        <w:rPr>
          <w:rFonts w:ascii="宋体" w:eastAsia="宋体" w:hint="eastAsia"/>
          <w:color w:val="000000"/>
          <w:sz w:val="18"/>
        </w:rPr>
        <w:t>年度</w:t>
      </w:r>
      <w:r>
        <w:rPr>
          <w:rFonts w:ascii="Calibri" w:eastAsia="Calibri" w:hAnsi="Calibri" w:hint="eastAsia"/>
          <w:color w:val="000000"/>
          <w:sz w:val="18"/>
        </w:rPr>
        <w:t>）</w:t>
      </w:r>
    </w:p>
    <w:p>
      <w:pPr>
        <w:pStyle w:val="17"/>
        <w:rPr>
          <w:rFonts w:ascii="Calibri" w:eastAsia="Calibri" w:hAnsi="Calibri" w:hint="eastAsia"/>
          <w:color w:val="000000"/>
          <w:sz w:val="18"/>
        </w:rPr>
      </w:pPr>
    </w:p>
    <w:p>
      <w:pPr>
        <w:rPr>
          <w:rFonts w:ascii="Calibri" w:eastAsia="Calibri" w:hAnsi="Calibri" w:hint="eastAsia"/>
          <w:color w:val="000000"/>
          <w:sz w:val="18"/>
        </w:rPr>
      </w:pPr>
    </w:p>
    <w:p>
      <w:pPr>
        <w:pStyle w:val="17"/>
        <w:rPr>
          <w:rFonts w:ascii="Calibri" w:eastAsia="Calibri" w:hAnsi="Calibri" w:hint="eastAsia"/>
          <w:color w:val="000000"/>
          <w:sz w:val="18"/>
        </w:rPr>
      </w:pPr>
    </w:p>
    <w:p>
      <w:pPr>
        <w:rPr>
          <w:rFonts w:ascii="Calibri" w:eastAsia="Calibri" w:hAnsi="Calibri" w:hint="eastAsia"/>
          <w:color w:val="000000"/>
          <w:sz w:val="18"/>
        </w:rPr>
      </w:pPr>
    </w:p>
    <w:p>
      <w:pPr>
        <w:pStyle w:val="17"/>
        <w:rPr>
          <w:rFonts w:ascii="Calibri" w:eastAsia="Calibri" w:hAnsi="Calibri" w:hint="eastAsia"/>
          <w:color w:val="000000"/>
          <w:sz w:val="18"/>
        </w:rPr>
      </w:pPr>
    </w:p>
    <w:p>
      <w:pPr>
        <w:rPr>
          <w:rFonts w:ascii="Calibri" w:eastAsia="Calibri" w:hAnsi="Calibri" w:hint="eastAsia"/>
          <w:color w:val="000000"/>
          <w:sz w:val="18"/>
        </w:rPr>
      </w:pPr>
    </w:p>
    <w:p>
      <w:pPr>
        <w:pStyle w:val="17"/>
        <w:rPr>
          <w:rFonts w:ascii="Calibri" w:eastAsia="Calibri" w:hAnsi="Calibri" w:hint="eastAsia"/>
          <w:color w:val="000000"/>
          <w:sz w:val="18"/>
        </w:rPr>
      </w:pPr>
    </w:p>
    <w:p>
      <w:pPr>
        <w:rPr>
          <w:rFonts w:ascii="Calibri" w:eastAsia="Calibri" w:hAnsi="Calibri" w:hint="eastAsia"/>
          <w:color w:val="000000"/>
          <w:sz w:val="18"/>
        </w:rPr>
      </w:pPr>
    </w:p>
    <w:p>
      <w:pPr>
        <w:pStyle w:val="17"/>
      </w:pPr>
    </w:p>
    <w:tbl>
      <w:tblPr>
        <w:jc w:val="center"/>
        <w:tblW w:w="9507" w:type="dxa"/>
        <w:tblBorders>
          <w:top w:val="none" w:sz="0" w:space="0" w:color="auto"/>
          <w:left w:val="none" w:sz="0" w:space="0" w:color="auto"/>
          <w:bottom w:val="none" w:sz="0" w:space="0" w:color="auto"/>
          <w:right w:val="none" w:sz="0" w:space="0" w:color="auto"/>
        </w:tblBorders>
        <w:tblLayout w:type="fixed"/>
        <w:tblCellMar>
          <w:top w:w="15" w:type="dxa"/>
          <w:left w:w="15" w:type="dxa"/>
          <w:bottom w:w="15" w:type="dxa"/>
          <w:right w:w="15" w:type="dxa"/>
        </w:tblCellMar>
      </w:tblPr>
      <w:tblGrid>
        <w:gridCol w:w="861"/>
        <w:gridCol w:w="586"/>
        <w:gridCol w:w="799"/>
        <w:gridCol w:w="764"/>
        <w:gridCol w:w="1182"/>
        <w:gridCol w:w="1752"/>
        <w:gridCol w:w="1632"/>
        <w:gridCol w:w="1931"/>
      </w:tblGrid>
      <w:tr>
        <w:trPr>
          <w:trHeight w:val="285"/>
        </w:trPr>
        <w:tc>
          <w:tcPr>
            <w:tcW w:w="9507" w:type="dxa"/>
            <w:gridSpan w:val="8"/>
            <w:tcBorders>
              <w:top w:val="nil"/>
              <w:left w:val="nil"/>
              <w:bottom w:val="nil"/>
              <w:right w:val="nil"/>
            </w:tcBorders>
            <w:noWrap/>
            <w:vAlign w:val="center"/>
          </w:tcPr>
          <w:p>
            <w:pPr>
              <w:keepNext w:val="0"/>
              <w:keepLines w:val="0"/>
              <w:widowControl/>
              <w:suppressLineNumbers w:val="0"/>
              <w:jc w:val="center"/>
              <w:textAlignment w:val="center"/>
              <w:rPr>
                <w:rFonts w:ascii="仿宋_GB2312" w:eastAsia="仿宋_GB2312" w:cs="仿宋_GB2312"/>
                <w:b w:val="0"/>
                <w:bCs/>
                <w:color w:val="auto"/>
                <w:kern w:val="0"/>
                <w:sz w:val="24"/>
                <w:szCs w:val="24"/>
              </w:rPr>
            </w:pPr>
          </w:p>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auto"/>
                <w:kern w:val="0"/>
                <w:sz w:val="24"/>
                <w:szCs w:val="24"/>
              </w:rPr>
              <w:t>项目支出绩效目标完成情况表</w:t>
            </w:r>
          </w:p>
        </w:tc>
      </w:tr>
      <w:tr>
        <w:trPr>
          <w:trHeight w:val="285"/>
        </w:trPr>
        <w:tc>
          <w:tcPr>
            <w:tcW w:w="2246"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项目名称</w:t>
            </w:r>
          </w:p>
        </w:tc>
        <w:tc>
          <w:tcPr>
            <w:tcW w:w="7261" w:type="dxa"/>
            <w:gridSpan w:val="5"/>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lang w:val="en-US" w:eastAsia="zh-CN"/>
              </w:rPr>
              <w:t>第十三届牦牛文化活动开幕式服务</w:t>
            </w:r>
            <w:r>
              <w:rPr>
                <w:rFonts w:ascii="仿宋_GB2312" w:eastAsia="仿宋_GB2312" w:cs="仿宋_GB2312" w:hint="eastAsia"/>
                <w:b w:val="0"/>
                <w:bCs/>
                <w:color w:val="000000"/>
                <w:kern w:val="0"/>
                <w:sz w:val="24"/>
                <w:szCs w:val="24"/>
              </w:rPr>
              <w:t>项目</w:t>
            </w:r>
          </w:p>
        </w:tc>
      </w:tr>
      <w:tr>
        <w:trPr>
          <w:trHeight w:val="285"/>
        </w:trPr>
        <w:tc>
          <w:tcPr>
            <w:tcW w:w="2246"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预算单位</w:t>
            </w:r>
          </w:p>
        </w:tc>
        <w:tc>
          <w:tcPr>
            <w:tcW w:w="7261" w:type="dxa"/>
            <w:gridSpan w:val="5"/>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红原县文化体育和旅游局</w:t>
            </w:r>
          </w:p>
        </w:tc>
      </w:tr>
      <w:tr>
        <w:trPr>
          <w:trHeight w:val="285"/>
        </w:trPr>
        <w:tc>
          <w:tcPr>
            <w:tcW w:w="861" w:type="dxa"/>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预算执行情况(万元</w:t>
            </w:r>
          </w:p>
        </w:tc>
        <w:tc>
          <w:tcPr>
            <w:tcW w:w="1385"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预算数:</w:t>
            </w:r>
          </w:p>
        </w:tc>
        <w:tc>
          <w:tcPr>
            <w:tcW w:w="1946"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b w:val="0"/>
                <w:bCs/>
                <w:color w:val="000000"/>
                <w:kern w:val="0"/>
                <w:sz w:val="24"/>
                <w:szCs w:val="24"/>
                <w:lang w:val="en-US" w:eastAsia="zh-CN"/>
              </w:rPr>
            </w:pPr>
            <w:r>
              <w:rPr>
                <w:rFonts w:ascii="仿宋_GB2312" w:eastAsia="仿宋_GB2312" w:cs="仿宋_GB2312" w:hint="eastAsia"/>
                <w:b w:val="0"/>
                <w:bCs/>
                <w:color w:val="000000"/>
                <w:kern w:val="0"/>
                <w:sz w:val="24"/>
                <w:szCs w:val="24"/>
                <w:lang w:val="en-US" w:eastAsia="zh-CN"/>
              </w:rPr>
              <w:t>219</w:t>
            </w:r>
          </w:p>
        </w:tc>
        <w:tc>
          <w:tcPr>
            <w:tcW w:w="175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执行数:</w:t>
            </w:r>
          </w:p>
        </w:tc>
        <w:tc>
          <w:tcPr>
            <w:tcW w:w="3563"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lang w:val="en-US" w:eastAsia="zh-CN"/>
              </w:rPr>
              <w:t>219</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1385"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其中-财政拨款:</w:t>
            </w:r>
          </w:p>
        </w:tc>
        <w:tc>
          <w:tcPr>
            <w:tcW w:w="1946"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lang w:val="en-US" w:eastAsia="zh-CN"/>
              </w:rPr>
              <w:t>219</w:t>
            </w:r>
          </w:p>
        </w:tc>
        <w:tc>
          <w:tcPr>
            <w:tcW w:w="175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其中-财政拨款:</w:t>
            </w:r>
          </w:p>
        </w:tc>
        <w:tc>
          <w:tcPr>
            <w:tcW w:w="3563"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lang w:val="en-US" w:eastAsia="zh-CN"/>
              </w:rPr>
              <w:t>219</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1385"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其它资金:</w:t>
            </w:r>
          </w:p>
        </w:tc>
        <w:tc>
          <w:tcPr>
            <w:tcW w:w="1946"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c>
          <w:tcPr>
            <w:tcW w:w="175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其它资金:</w:t>
            </w:r>
          </w:p>
        </w:tc>
        <w:tc>
          <w:tcPr>
            <w:tcW w:w="3563"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285"/>
        </w:trPr>
        <w:tc>
          <w:tcPr>
            <w:tcW w:w="861" w:type="dxa"/>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年度目标完成情况</w:t>
            </w:r>
          </w:p>
        </w:tc>
        <w:tc>
          <w:tcPr>
            <w:tcW w:w="2149" w:type="dxa"/>
            <w:gridSpan w:val="3"/>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预期目标</w:t>
            </w:r>
          </w:p>
        </w:tc>
        <w:tc>
          <w:tcPr>
            <w:tcW w:w="6497" w:type="dxa"/>
            <w:gridSpan w:val="4"/>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实际完成目标</w:t>
            </w:r>
          </w:p>
        </w:tc>
      </w:tr>
      <w:tr>
        <w:trPr>
          <w:trHeight w:val="1920"/>
        </w:trPr>
        <w:tc>
          <w:tcPr>
            <w:tcW w:w="861" w:type="dxa"/>
            <w:vMerge/>
            <w:tcBorders>
              <w:top w:val="nil"/>
              <w:left w:val="single" w:sz="4" w:space="0" w:color="000000"/>
              <w:bottom w:val="single" w:sz="4" w:space="0" w:color="000000"/>
              <w:right w:val="single" w:sz="4" w:space="0" w:color="000000"/>
            </w:tcBorders>
            <w:noWrap/>
            <w:vAlign w:val="center"/>
          </w:tcPr>
          <w:p/>
        </w:tc>
        <w:tc>
          <w:tcPr>
            <w:tcW w:w="2149" w:type="dxa"/>
            <w:gridSpan w:val="3"/>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lang w:val="en-US" w:eastAsia="zh-CN"/>
              </w:rPr>
            </w:pPr>
            <w:r>
              <w:rPr>
                <w:rFonts w:ascii="仿宋_GB2312" w:eastAsia="仿宋_GB2312" w:cs="仿宋_GB2312" w:hint="eastAsia"/>
                <w:b w:val="0"/>
                <w:bCs/>
                <w:color w:val="000000"/>
                <w:kern w:val="0"/>
                <w:sz w:val="24"/>
                <w:szCs w:val="24"/>
                <w:lang w:val="en-US" w:eastAsia="zh-CN"/>
              </w:rPr>
              <w:t xml:space="preserve">  第十三届牦牛文化活动开幕式服务采购项目实施内容、服务标准、实施周期、宣传推广及预期效益规划清晰明确，资金投向与活动开展需求精准匹配，既能充分展现牦牛文化与藏族山歌非遗特色，又能有效提升红原县文旅品牌影响力、带动旅游消费增长，项目规划科学合理、贴合县域实际、实施必要性充分。</w:t>
            </w:r>
          </w:p>
          <w:p>
            <w:pPr>
              <w:keepNext w:val="0"/>
              <w:keepLines w:val="0"/>
              <w:widowControl/>
              <w:suppressLineNumbers w:val="0"/>
              <w:jc w:val="center"/>
              <w:rPr>
                <w:rFonts w:ascii="仿宋_GB2312" w:eastAsia="仿宋_GB2312" w:cs="仿宋_GB2312" w:hint="eastAsia"/>
                <w:b w:val="0"/>
                <w:bCs/>
                <w:color w:val="000000"/>
                <w:kern w:val="0"/>
                <w:sz w:val="24"/>
                <w:szCs w:val="24"/>
              </w:rPr>
            </w:pPr>
          </w:p>
        </w:tc>
        <w:tc>
          <w:tcPr>
            <w:tcW w:w="6497" w:type="dxa"/>
            <w:gridSpan w:val="4"/>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ind w:firstLineChars="200" w:firstLine="480"/>
              <w:jc w:val="left"/>
              <w:rPr>
                <w:rFonts w:ascii="仿宋_GB2312" w:eastAsia="仿宋_GB2312" w:cs="仿宋_GB2312" w:hint="eastAsia"/>
                <w:b w:val="0"/>
                <w:bCs/>
                <w:color w:val="000000"/>
                <w:kern w:val="0"/>
                <w:sz w:val="24"/>
                <w:szCs w:val="24"/>
                <w:lang w:val="en-US" w:eastAsia="zh-CN"/>
              </w:rPr>
            </w:pPr>
            <w:r>
              <w:rPr>
                <w:rFonts w:ascii="仿宋_GB2312" w:eastAsia="仿宋_GB2312" w:cs="仿宋_GB2312" w:hint="eastAsia"/>
                <w:b w:val="0"/>
                <w:bCs/>
                <w:color w:val="000000"/>
                <w:kern w:val="0"/>
                <w:sz w:val="24"/>
                <w:szCs w:val="24"/>
                <w:lang w:val="en-US" w:eastAsia="zh-CN"/>
              </w:rPr>
              <w:t>项目资金主要用于保障第十三届牦牛文化活动开幕式及中国藏族山歌展演的全流程服务，支持方向包括：开幕式及展演活动的策划组织、节目编排、演出团队邀约与执行；活动场地搭建、舞台设备租赁、现场布置及运行保障；活动宣传推广、媒体联动、品牌传播等营销服务；活动安全保障、应急处置、后勤服务等配套支出；其他与开幕式及展演活动直接相关的必要服务支出。</w:t>
            </w:r>
          </w:p>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624"/>
        </w:trPr>
        <w:tc>
          <w:tcPr>
            <w:tcW w:w="861" w:type="dxa"/>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绩效指标完成情况</w:t>
            </w:r>
          </w:p>
        </w:tc>
        <w:tc>
          <w:tcPr>
            <w:tcW w:w="586"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一级指标</w:t>
            </w: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二级指标</w:t>
            </w:r>
          </w:p>
        </w:tc>
        <w:tc>
          <w:tcPr>
            <w:tcW w:w="764" w:type="dxa"/>
            <w:vMerge w:val="restart"/>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三级指标</w:t>
            </w:r>
          </w:p>
        </w:tc>
        <w:tc>
          <w:tcPr>
            <w:tcW w:w="2934" w:type="dxa"/>
            <w:gridSpan w:val="2"/>
            <w:vMerge w:val="restart"/>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指标评价内容</w:t>
            </w:r>
          </w:p>
        </w:tc>
        <w:tc>
          <w:tcPr>
            <w:tcW w:w="1632" w:type="dxa"/>
            <w:vMerge w:val="restart"/>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预期指标值(包含数字及文字描述)</w:t>
            </w:r>
          </w:p>
        </w:tc>
        <w:tc>
          <w:tcPr>
            <w:tcW w:w="1931" w:type="dxa"/>
            <w:vMerge w:val="restart"/>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实际完成指标值(包含数字及文字描述)</w:t>
            </w:r>
          </w:p>
        </w:tc>
      </w:tr>
      <w:tr>
        <w:trPr>
          <w:trHeight w:val="624"/>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vMerge/>
            <w:tcBorders>
              <w:top w:val="single" w:sz="4" w:space="0" w:color="000000"/>
              <w:left w:val="nil"/>
              <w:bottom w:val="single" w:sz="4" w:space="0" w:color="000000"/>
              <w:right w:val="single" w:sz="4" w:space="0" w:color="000000"/>
            </w:tcBorders>
            <w:noWrap/>
            <w:vAlign w:val="center"/>
          </w:tcPr>
          <w:p/>
        </w:tc>
        <w:tc>
          <w:tcPr>
            <w:tcW w:w="2934" w:type="dxa"/>
            <w:gridSpan w:val="2"/>
            <w:vMerge/>
            <w:tcBorders>
              <w:top w:val="single" w:sz="4" w:space="0" w:color="000000"/>
              <w:left w:val="nil"/>
              <w:bottom w:val="single" w:sz="4" w:space="0" w:color="000000"/>
              <w:right w:val="single" w:sz="4" w:space="0" w:color="000000"/>
            </w:tcBorders>
            <w:noWrap/>
            <w:vAlign w:val="center"/>
          </w:tcPr>
          <w:p/>
        </w:tc>
        <w:tc>
          <w:tcPr>
            <w:tcW w:w="1632" w:type="dxa"/>
            <w:vMerge/>
            <w:tcBorders>
              <w:top w:val="single" w:sz="4" w:space="0" w:color="000000"/>
              <w:left w:val="nil"/>
              <w:bottom w:val="single" w:sz="4" w:space="0" w:color="000000"/>
              <w:right w:val="single" w:sz="4" w:space="0" w:color="000000"/>
            </w:tcBorders>
            <w:noWrap/>
            <w:vAlign w:val="center"/>
          </w:tcPr>
          <w:p/>
        </w:tc>
        <w:tc>
          <w:tcPr>
            <w:tcW w:w="1931" w:type="dxa"/>
            <w:vMerge/>
            <w:tcBorders>
              <w:top w:val="single" w:sz="4" w:space="0" w:color="000000"/>
              <w:left w:val="nil"/>
              <w:bottom w:val="single" w:sz="4" w:space="0" w:color="000000"/>
              <w:right w:val="single" w:sz="4" w:space="0" w:color="000000"/>
            </w:tcBorders>
            <w:noWrap/>
            <w:vAlign w:val="center"/>
          </w:tcPr>
          <w:p/>
        </w:tc>
      </w:tr>
      <w:tr>
        <w:trPr>
          <w:trHeight w:val="312"/>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vMerge/>
            <w:tcBorders>
              <w:top w:val="single" w:sz="4" w:space="0" w:color="000000"/>
              <w:left w:val="nil"/>
              <w:bottom w:val="single" w:sz="4" w:space="0" w:color="000000"/>
              <w:right w:val="single" w:sz="4" w:space="0" w:color="000000"/>
            </w:tcBorders>
            <w:noWrap/>
            <w:vAlign w:val="center"/>
          </w:tcPr>
          <w:p/>
        </w:tc>
        <w:tc>
          <w:tcPr>
            <w:tcW w:w="2934" w:type="dxa"/>
            <w:gridSpan w:val="2"/>
            <w:vMerge/>
            <w:tcBorders>
              <w:top w:val="single" w:sz="4" w:space="0" w:color="000000"/>
              <w:left w:val="nil"/>
              <w:bottom w:val="single" w:sz="4" w:space="0" w:color="000000"/>
              <w:right w:val="single" w:sz="4" w:space="0" w:color="000000"/>
            </w:tcBorders>
            <w:noWrap/>
            <w:vAlign w:val="center"/>
          </w:tcPr>
          <w:p/>
        </w:tc>
        <w:tc>
          <w:tcPr>
            <w:tcW w:w="1632" w:type="dxa"/>
            <w:vMerge/>
            <w:tcBorders>
              <w:top w:val="single" w:sz="4" w:space="0" w:color="000000"/>
              <w:left w:val="nil"/>
              <w:bottom w:val="single" w:sz="4" w:space="0" w:color="000000"/>
              <w:right w:val="single" w:sz="4" w:space="0" w:color="000000"/>
            </w:tcBorders>
            <w:noWrap/>
            <w:vAlign w:val="center"/>
          </w:tcPr>
          <w:p/>
        </w:tc>
        <w:tc>
          <w:tcPr>
            <w:tcW w:w="1931" w:type="dxa"/>
            <w:vMerge/>
            <w:tcBorders>
              <w:top w:val="single" w:sz="4" w:space="0" w:color="000000"/>
              <w:left w:val="nil"/>
              <w:bottom w:val="single" w:sz="4" w:space="0" w:color="000000"/>
              <w:right w:val="single" w:sz="4" w:space="0" w:color="000000"/>
            </w:tcBorders>
            <w:noWrap/>
            <w:vAlign w:val="center"/>
          </w:tcPr>
          <w:p/>
        </w:tc>
      </w:tr>
      <w:tr>
        <w:trPr>
          <w:trHeight w:val="76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项目决策</w:t>
            </w: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绩效目标</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目标内容</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项目预期提供的产品、服务、效益或其他目标明确,即绩效目标实际明确个数/应当明确个数×100%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r>
      <w:tr>
        <w:trPr>
          <w:trHeight w:val="64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进度计划</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项目计划实施进度明确</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明确</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明确</w:t>
            </w:r>
          </w:p>
        </w:tc>
      </w:tr>
      <w:tr>
        <w:trPr>
          <w:trHeight w:val="69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目标匹配</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绩效目标设定符合实际需求的抽样项目点个数/抽样项目点总数×100%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r>
      <w:tr>
        <w:trPr>
          <w:trHeight w:val="76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决策依据</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政策依据</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项目符合党中央、国务院和省委、省政府决策部署；符合当前经济社会发展需要</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实施规划</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连续性项目根据需要制定中长期实施规划</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有</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有</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vMerge/>
            <w:tcBorders>
              <w:top w:val="nil"/>
              <w:left w:val="nil"/>
              <w:bottom w:val="single" w:sz="4" w:space="0" w:color="000000"/>
              <w:right w:val="single" w:sz="4" w:space="0" w:color="000000"/>
            </w:tcBorders>
            <w:noWrap/>
            <w:vAlign w:val="center"/>
          </w:tcP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实施规划符合实际，并根据情况变化适时调整</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管理制度</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制定项目资金管理办法</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有</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有</w:t>
            </w:r>
          </w:p>
        </w:tc>
      </w:tr>
      <w:tr>
        <w:trPr>
          <w:trHeight w:val="75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vMerge/>
            <w:tcBorders>
              <w:top w:val="nil"/>
              <w:left w:val="nil"/>
              <w:bottom w:val="single" w:sz="4" w:space="0" w:color="000000"/>
              <w:right w:val="single" w:sz="4" w:space="0" w:color="000000"/>
            </w:tcBorders>
            <w:noWrap/>
            <w:vAlign w:val="center"/>
          </w:tcP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项目资金分配决策程序明确</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明确</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明确</w:t>
            </w:r>
          </w:p>
        </w:tc>
      </w:tr>
      <w:tr>
        <w:trPr>
          <w:trHeight w:val="82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资金分配</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分配方法</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资金分配方法是否科学合理</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是</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是</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分配过程</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分配过程符合相关规定</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r>
      <w:tr>
        <w:trPr>
          <w:trHeight w:val="76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分配结果</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审核把关</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符合申报条件的抽样项目点个数/抽样项目点总数×100%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r>
      <w:tr>
        <w:trPr>
          <w:trHeight w:val="102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资金集中</w:t>
            </w:r>
          </w:p>
        </w:tc>
        <w:tc>
          <w:tcPr>
            <w:tcW w:w="118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集中</w:t>
            </w:r>
          </w:p>
        </w:tc>
        <w:tc>
          <w:tcPr>
            <w:tcW w:w="175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73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（均衡）</w:t>
            </w:r>
          </w:p>
        </w:tc>
        <w:tc>
          <w:tcPr>
            <w:tcW w:w="118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均衡</w:t>
            </w:r>
          </w:p>
        </w:tc>
        <w:tc>
          <w:tcPr>
            <w:tcW w:w="175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合理</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合理</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54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项目管理</w:t>
            </w: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资金到位</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分配时效</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县级主管部门按规定及时分配资金</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及时</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及时</w:t>
            </w:r>
          </w:p>
        </w:tc>
      </w:tr>
      <w:tr>
        <w:trPr>
          <w:trHeight w:val="115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资金拨付</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按规定及时拨付资金</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及时</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及时</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资金管理</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使用范围</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资金使用是否合规</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是</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是</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支付依据</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资金支付依据符合规定，即支付依旧合规资金量/资金总量×100%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90≤x&lt;100%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90≤x&lt;100%</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开支标准</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资金开支标准符合规定，即开支标准合规资金量/资金总量×100%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90≤x&lt;100%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90≤x&lt;100%</w:t>
            </w:r>
          </w:p>
        </w:tc>
      </w:tr>
      <w:tr>
        <w:trPr>
          <w:trHeight w:val="73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财务管理</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财务制度</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财务制度健全，管理规范</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规范</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规范</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会计核算</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会计核算规范</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规范</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规范</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组织实施（4分）</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项目调整</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项目调整严格履行相关手续</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履行</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履行</w:t>
            </w:r>
          </w:p>
        </w:tc>
      </w:tr>
      <w:tr>
        <w:trPr>
          <w:trHeight w:val="85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投资变更</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项目投资变更额/项目总投入×100%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x≤5%</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x≤5%</w:t>
            </w:r>
          </w:p>
        </w:tc>
      </w:tr>
      <w:tr>
        <w:trPr>
          <w:trHeight w:val="76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制度执行</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严格执行项目有关制度规定</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严格</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严格</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项目绩效</w:t>
            </w: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项目完成</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完成数量</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实际完成任务量/绩效目标设定任务量×100%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x=100%</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完成质量</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符合绩效目标设定的验收标准，达到行业基准水平</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符合</w:t>
            </w:r>
          </w:p>
        </w:tc>
      </w:tr>
      <w:tr>
        <w:trPr>
          <w:trHeight w:val="79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完成时效</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（实际完成时间-绩效目标设定完成时间）/绩效目标设定完成时间×100%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x≤0</w:t>
            </w:r>
          </w:p>
        </w:tc>
      </w:tr>
      <w:tr>
        <w:trPr>
          <w:trHeight w:val="28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完成成本</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（实际完成成本-预计完成成本）/预计完成成本×100%</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x≤0</w:t>
            </w:r>
          </w:p>
        </w:tc>
      </w:tr>
      <w:tr>
        <w:trPr>
          <w:trHeight w:val="72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项目效益</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经济效益</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反映相关产出对经济社会发展带来的影响和效果，根据项目实际细化具体指标。</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735"/>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社会效益</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游客对当地文化知晓率提升</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定量</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10%</w:t>
            </w:r>
          </w:p>
        </w:tc>
      </w:tr>
      <w:tr>
        <w:trPr>
          <w:trHeight w:val="72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生态效益</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反映相关产出对自然环境带来的影响和效果，根据项目实际细化具体指标。</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75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vMerge/>
            <w:tcBorders>
              <w:top w:val="nil"/>
              <w:left w:val="nil"/>
              <w:bottom w:val="single" w:sz="4" w:space="0" w:color="000000"/>
              <w:right w:val="single" w:sz="4" w:space="0" w:color="000000"/>
            </w:tcBorders>
            <w:noWrap/>
            <w:vAlign w:val="center"/>
          </w:tcP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可持续效益</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bottom"/>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反映相关产出带来影响的可持续期限，根据项目实际细化具体指标。</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p>
        </w:tc>
      </w:tr>
      <w:tr>
        <w:trPr>
          <w:trHeight w:val="1080"/>
        </w:trPr>
        <w:tc>
          <w:tcPr>
            <w:tcW w:w="861" w:type="dxa"/>
            <w:vMerge/>
            <w:tcBorders>
              <w:top w:val="nil"/>
              <w:left w:val="single" w:sz="4" w:space="0" w:color="000000"/>
              <w:bottom w:val="single" w:sz="4" w:space="0" w:color="000000"/>
              <w:right w:val="single" w:sz="4" w:space="0" w:color="000000"/>
            </w:tcBorders>
            <w:noWrap/>
            <w:vAlign w:val="center"/>
          </w:tcPr>
          <w:p/>
        </w:tc>
        <w:tc>
          <w:tcPr>
            <w:tcW w:w="586" w:type="dxa"/>
            <w:vMerge/>
            <w:tcBorders>
              <w:top w:val="nil"/>
              <w:left w:val="nil"/>
              <w:bottom w:val="single" w:sz="4" w:space="0" w:color="000000"/>
              <w:right w:val="single" w:sz="4" w:space="0" w:color="000000"/>
            </w:tcBorders>
            <w:noWrap/>
            <w:vAlign w:val="center"/>
          </w:tcPr>
          <w:p/>
        </w:tc>
        <w:tc>
          <w:tcPr>
            <w:tcW w:w="799"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满意度</w:t>
            </w:r>
          </w:p>
        </w:tc>
        <w:tc>
          <w:tcPr>
            <w:tcW w:w="764"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服务对象满意度</w:t>
            </w:r>
          </w:p>
        </w:tc>
        <w:tc>
          <w:tcPr>
            <w:tcW w:w="2934" w:type="dxa"/>
            <w:gridSpan w:val="2"/>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反映服务对象或项目受益人对相关产出及其影响的认可程度，根据项目实际细化具体指标。</w:t>
            </w:r>
          </w:p>
        </w:tc>
        <w:tc>
          <w:tcPr>
            <w:tcW w:w="1632"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100%</w:t>
            </w:r>
          </w:p>
        </w:tc>
        <w:tc>
          <w:tcPr>
            <w:tcW w:w="1931" w:type="dxa"/>
            <w:tcBorders>
              <w:top w:val="single" w:sz="4" w:space="0" w:color="000000"/>
              <w:left w:val="nil"/>
              <w:bottom w:val="single" w:sz="4" w:space="0" w:color="000000"/>
              <w:right w:val="single" w:sz="4" w:space="0" w:color="000000"/>
            </w:tcBorders>
            <w:noWrap/>
            <w:vAlign w:val="center"/>
          </w:tcPr>
          <w:p>
            <w:pPr>
              <w:keepNext w:val="0"/>
              <w:keepLines w:val="0"/>
              <w:widowControl/>
              <w:suppressLineNumbers w:val="0"/>
              <w:jc w:val="center"/>
              <w:rPr>
                <w:rFonts w:ascii="仿宋_GB2312" w:eastAsia="仿宋_GB2312" w:cs="仿宋_GB2312" w:hint="eastAsia"/>
                <w:b w:val="0"/>
                <w:bCs/>
                <w:color w:val="000000"/>
                <w:kern w:val="0"/>
                <w:sz w:val="24"/>
                <w:szCs w:val="24"/>
              </w:rPr>
            </w:pPr>
            <w:r>
              <w:rPr>
                <w:rFonts w:ascii="仿宋_GB2312" w:eastAsia="仿宋_GB2312" w:cs="仿宋_GB2312" w:hint="eastAsia"/>
                <w:b w:val="0"/>
                <w:bCs/>
                <w:color w:val="000000"/>
                <w:kern w:val="0"/>
                <w:sz w:val="24"/>
                <w:szCs w:val="24"/>
              </w:rPr>
              <w:t>100%</w:t>
            </w:r>
          </w:p>
        </w:tc>
      </w:tr>
    </w:tbl>
    <w:p>
      <w:pPr>
        <w:pStyle w:val="24"/>
        <w:keepNext w:val="0"/>
        <w:keepLines w:val="0"/>
        <w:pageBreakBefore w:val="0"/>
        <w:widowControl/>
        <w:suppressLineNumbers w:val="0"/>
        <w:kinsoku/>
        <w:wordWrap/>
        <w:overflowPunct/>
        <w:topLinePunct w:val="0"/>
        <w:autoSpaceDE w:val="0"/>
        <w:autoSpaceDN/>
        <w:bidi w:val="0"/>
        <w:spacing w:before="0" w:beforeAutospacing="0" w:after="0" w:afterAutospacing="0" w:line="560" w:lineRule="exact"/>
        <w:jc w:val="both"/>
        <w:textAlignment w:val="auto"/>
        <w:rPr>
          <w:rFonts w:ascii="仿宋_GB2312" w:eastAsia="仿宋_GB2312" w:cs="仿宋_GB2312" w:hint="eastAsia"/>
          <w:kern w:val="0"/>
          <w:sz w:val="32"/>
          <w:szCs w:val="32"/>
          <w:shd w:val="clear" w:color="auto" w:fill="FFFFFF"/>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bidi w:val="0"/>
        <w:ind w:firstLine="372"/>
        <w:jc w:val="left"/>
        <w:rPr>
          <w:rFonts w:hint="eastAsia"/>
          <w:lang w:val="en-US" w:eastAsia="zh-CN"/>
        </w:rPr>
      </w:pPr>
    </w:p>
    <w:p>
      <w:pPr>
        <w:keepNext w:val="0"/>
        <w:keepLines w:val="0"/>
        <w:pageBreakBefore w:val="0"/>
        <w:widowControl/>
        <w:suppressLineNumbers w:val="0"/>
        <w:tabs>
          <w:tab w:val="left" w:pos="0"/>
        </w:tabs>
        <w:wordWrap/>
        <w:overflowPunct/>
        <w:topLinePunct w:val="0"/>
        <w:bidi w:val="0"/>
        <w:spacing w:before="0" w:after="0" w:afterAutospacing="0" w:line="560" w:lineRule="exact"/>
        <w:ind w:left="0" w:right="0" w:firstLineChars="150" w:firstLine="480"/>
        <w:jc w:val="center"/>
        <w:outlineLvl w:val="0"/>
        <w:rPr>
          <w:rFonts w:ascii="黑体" w:eastAsia="黑体" w:cs="黑体"/>
          <w:b/>
          <w:bCs w:val="0"/>
          <w:color w:val="000000"/>
          <w:kern w:val="0"/>
          <w:sz w:val="32"/>
          <w:szCs w:val="32"/>
          <w:lang w:val="en-US" w:eastAsia="zh-CN"/>
        </w:rPr>
      </w:pPr>
    </w:p>
    <w:p>
      <w:pPr>
        <w:keepNext w:val="0"/>
        <w:keepLines w:val="0"/>
        <w:pageBreakBefore w:val="0"/>
        <w:widowControl/>
        <w:suppressLineNumbers w:val="0"/>
        <w:tabs>
          <w:tab w:val="left" w:pos="0"/>
        </w:tabs>
        <w:wordWrap/>
        <w:overflowPunct/>
        <w:topLinePunct w:val="0"/>
        <w:bidi w:val="0"/>
        <w:spacing w:before="0" w:after="0" w:afterAutospacing="0" w:line="560" w:lineRule="exact"/>
        <w:ind w:left="0" w:right="0" w:firstLineChars="150" w:firstLine="480"/>
        <w:jc w:val="center"/>
        <w:outlineLvl w:val="0"/>
        <w:rPr>
          <w:rFonts w:ascii="黑体" w:eastAsia="黑体" w:cs="黑体" w:hint="eastAsia"/>
          <w:b/>
          <w:bCs w:val="0"/>
          <w:color w:val="000000"/>
          <w:kern w:val="0"/>
          <w:sz w:val="32"/>
          <w:szCs w:val="32"/>
        </w:rPr>
      </w:pPr>
      <w:r>
        <w:rPr>
          <w:rFonts w:ascii="黑体" w:eastAsia="黑体" w:cs="黑体" w:hint="eastAsia"/>
          <w:b/>
          <w:bCs w:val="0"/>
          <w:color w:val="000000"/>
          <w:kern w:val="0"/>
          <w:sz w:val="32"/>
          <w:szCs w:val="32"/>
          <w:lang w:val="en-US" w:eastAsia="zh-CN"/>
        </w:rPr>
        <w:t xml:space="preserve">第三部分  </w:t>
      </w:r>
      <w:r>
        <w:rPr>
          <w:rFonts w:ascii="黑体" w:eastAsia="黑体" w:cs="黑体" w:hint="eastAsia"/>
          <w:b/>
          <w:bCs w:val="0"/>
          <w:color w:val="000000"/>
          <w:kern w:val="0"/>
          <w:sz w:val="32"/>
          <w:szCs w:val="32"/>
        </w:rPr>
        <w:t>名</w:t>
      </w:r>
      <w:r>
        <w:rPr>
          <w:rStyle w:val="29"/>
          <w:rFonts w:ascii="黑体" w:eastAsia="黑体" w:cs="黑体" w:hint="eastAsia"/>
          <w:b/>
          <w:bCs w:val="0"/>
          <w:kern w:val="44"/>
          <w:sz w:val="32"/>
          <w:szCs w:val="32"/>
        </w:rPr>
        <w:t>词解释</w:t>
      </w:r>
    </w:p>
    <w:p>
      <w:pPr>
        <w:pStyle w:val="26"/>
        <w:keepNext w:val="0"/>
        <w:keepLines w:val="0"/>
        <w:pageBreakBefore w:val="0"/>
        <w:widowControl/>
        <w:suppressLineNumbers w:val="0"/>
        <w:wordWrap/>
        <w:overflowPunct/>
        <w:topLinePunct w:val="0"/>
        <w:bidi w:val="0"/>
        <w:spacing w:before="0" w:after="0" w:afterAutospacing="0" w:line="560" w:lineRule="exact"/>
        <w:ind w:left="0"/>
        <w:rPr>
          <w:rFonts w:ascii="Arial" w:eastAsia="宋体" w:cs="宋体" w:hAnsi="Arial" w:hint="eastAsia"/>
          <w:kern w:val="0"/>
          <w:sz w:val="24"/>
          <w:szCs w:val="24"/>
        </w:rPr>
      </w:pPr>
      <w:r>
        <w:rPr>
          <w:rFonts w:ascii="Arial" w:eastAsia="宋体" w:cs="宋体" w:hAnsi="Arial" w:hint="eastAsia"/>
          <w:kern w:val="0"/>
          <w:sz w:val="24"/>
          <w:szCs w:val="24"/>
        </w:rPr>
        <w:t xml:space="preserve"> </w:t>
      </w:r>
    </w:p>
    <w:p>
      <w:pPr>
        <w:pStyle w:val="30"/>
        <w:keepNext w:val="0"/>
        <w:keepLines w:val="0"/>
        <w:pageBreakBefore w:val="0"/>
        <w:widowControl w:val="0"/>
        <w:suppressLineNumbers w:val="0"/>
        <w:kinsoku/>
        <w:wordWrap/>
        <w:overflowPunct/>
        <w:topLinePunct w:val="0"/>
        <w:autoSpaceDE w:val="0"/>
        <w:autoSpaceDN w:val="0"/>
        <w:bidi w:val="0"/>
        <w:adjustRightInd w:val="0"/>
        <w:snapToGrid/>
        <w:spacing w:before="0" w:after="0" w:afterAutospacing="0" w:line="560" w:lineRule="exact"/>
        <w:ind w:left="0" w:firstLineChars="200" w:firstLine="640"/>
        <w:jc w:val="both"/>
        <w:textAlignment w:val="auto"/>
        <w:rPr>
          <w:rFonts w:ascii="仿宋_GB2312" w:eastAsia="仿宋_GB2312" w:cs="仿宋" w:hint="eastAsia"/>
          <w:color w:val="000000"/>
          <w:kern w:val="0"/>
          <w:sz w:val="32"/>
          <w:szCs w:val="32"/>
        </w:rPr>
      </w:pPr>
      <w:r>
        <w:rPr>
          <w:rFonts w:ascii="仿宋_GB2312" w:eastAsia="仿宋_GB2312" w:cs="仿宋_GB2312" w:hint="eastAsia"/>
          <w:b/>
          <w:bCs/>
          <w:color w:val="000000"/>
          <w:kern w:val="0"/>
          <w:sz w:val="32"/>
          <w:szCs w:val="32"/>
        </w:rPr>
        <w:t>1.财政拨款收入：</w:t>
      </w:r>
      <w:r>
        <w:rPr>
          <w:rFonts w:ascii="仿宋_GB2312" w:eastAsia="仿宋_GB2312" w:cs="仿宋_GB2312" w:hint="eastAsia"/>
          <w:color w:val="000000"/>
          <w:kern w:val="0"/>
          <w:sz w:val="32"/>
          <w:szCs w:val="32"/>
        </w:rPr>
        <w:t>指单位从同级财政部门取得的财政预算资金。</w:t>
      </w:r>
    </w:p>
    <w:p>
      <w:pPr>
        <w:pStyle w:val="30"/>
        <w:keepNext w:val="0"/>
        <w:keepLines w:val="0"/>
        <w:pageBreakBefore w:val="0"/>
        <w:widowControl w:val="0"/>
        <w:suppressLineNumbers w:val="0"/>
        <w:kinsoku/>
        <w:wordWrap/>
        <w:overflowPunct/>
        <w:topLinePunct w:val="0"/>
        <w:autoSpaceDE w:val="0"/>
        <w:autoSpaceDN w:val="0"/>
        <w:bidi w:val="0"/>
        <w:adjustRightInd w:val="0"/>
        <w:snapToGrid/>
        <w:spacing w:before="0" w:after="0" w:afterAutospacing="0" w:line="560" w:lineRule="exact"/>
        <w:ind w:left="0" w:firstLineChars="200" w:firstLine="640"/>
        <w:jc w:val="both"/>
        <w:textAlignment w:val="auto"/>
        <w:rPr>
          <w:rFonts w:ascii="仿宋_GB2312" w:eastAsia="仿宋_GB2312" w:cs="仿宋" w:hint="eastAsia"/>
          <w:color w:val="000000"/>
          <w:kern w:val="0"/>
          <w:sz w:val="32"/>
          <w:szCs w:val="32"/>
        </w:rPr>
      </w:pPr>
      <w:r>
        <w:rPr>
          <w:rFonts w:ascii="仿宋_GB2312" w:eastAsia="仿宋_GB2312" w:cs="仿宋_GB2312" w:hint="eastAsia"/>
          <w:b/>
          <w:bCs/>
          <w:color w:val="000000"/>
          <w:kern w:val="0"/>
          <w:sz w:val="32"/>
          <w:szCs w:val="32"/>
        </w:rPr>
        <w:t>2.事业收入：</w:t>
      </w:r>
      <w:r>
        <w:rPr>
          <w:rFonts w:ascii="仿宋_GB2312" w:eastAsia="仿宋_GB2312" w:cs="仿宋_GB2312" w:hint="eastAsia"/>
          <w:color w:val="000000"/>
          <w:kern w:val="0"/>
          <w:sz w:val="32"/>
          <w:szCs w:val="32"/>
        </w:rPr>
        <w:t>指事业单位开展专业业务活动及辅助活动取得的收入。</w:t>
      </w:r>
    </w:p>
    <w:p>
      <w:pPr>
        <w:pStyle w:val="30"/>
        <w:keepNext w:val="0"/>
        <w:keepLines w:val="0"/>
        <w:pageBreakBefore w:val="0"/>
        <w:widowControl w:val="0"/>
        <w:suppressLineNumbers w:val="0"/>
        <w:kinsoku/>
        <w:wordWrap/>
        <w:overflowPunct/>
        <w:topLinePunct w:val="0"/>
        <w:autoSpaceDE w:val="0"/>
        <w:autoSpaceDN w:val="0"/>
        <w:bidi w:val="0"/>
        <w:adjustRightInd w:val="0"/>
        <w:snapToGrid/>
        <w:spacing w:before="0" w:after="0" w:afterAutospacing="0" w:line="560" w:lineRule="exact"/>
        <w:ind w:left="0" w:firstLineChars="200" w:firstLine="640"/>
        <w:jc w:val="both"/>
        <w:textAlignment w:val="auto"/>
        <w:rPr>
          <w:rFonts w:ascii="仿宋_GB2312" w:eastAsia="仿宋_GB2312" w:cs="仿宋" w:hint="eastAsia"/>
          <w:color w:val="000000"/>
          <w:kern w:val="0"/>
          <w:sz w:val="32"/>
          <w:szCs w:val="32"/>
        </w:rPr>
      </w:pPr>
      <w:r>
        <w:rPr>
          <w:rFonts w:ascii="仿宋_GB2312" w:eastAsia="仿宋_GB2312" w:cs="仿宋_GB2312" w:hint="eastAsia"/>
          <w:b/>
          <w:bCs/>
          <w:color w:val="000000"/>
          <w:kern w:val="0"/>
          <w:sz w:val="32"/>
          <w:szCs w:val="32"/>
        </w:rPr>
        <w:t>3.其他收入：</w:t>
      </w:r>
      <w:r>
        <w:rPr>
          <w:rFonts w:ascii="仿宋_GB2312" w:eastAsia="仿宋_GB2312" w:cs="仿宋_GB2312" w:hint="eastAsia"/>
          <w:color w:val="000000"/>
          <w:kern w:val="0"/>
          <w:sz w:val="32"/>
          <w:szCs w:val="32"/>
        </w:rPr>
        <w:t xml:space="preserve">指单位取得的除上述收入以外的各项收入。 </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00"/>
          <w:kern w:val="0"/>
          <w:sz w:val="32"/>
          <w:szCs w:val="32"/>
        </w:rPr>
      </w:pPr>
      <w:r>
        <w:rPr>
          <w:rFonts w:ascii="仿宋" w:eastAsia="仿宋" w:cs="仿宋" w:hint="eastAsia"/>
          <w:b/>
          <w:bCs/>
          <w:color w:val="000000"/>
          <w:kern w:val="0"/>
          <w:sz w:val="32"/>
          <w:szCs w:val="32"/>
        </w:rPr>
        <w:t>4.文化体育与传媒（207）文化（01）一般行政管理事务（02）：</w:t>
      </w:r>
      <w:r>
        <w:rPr>
          <w:rFonts w:ascii="仿宋" w:eastAsia="仿宋" w:cs="仿宋" w:hint="eastAsia"/>
          <w:color w:val="000000"/>
          <w:kern w:val="0"/>
          <w:sz w:val="32"/>
          <w:szCs w:val="32"/>
        </w:rPr>
        <w:t>指行政单位（包括实行公务员管理的事业单位）未单独设置项级科目的其他项目支出。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文化体育与传媒（207）文化（01）图书馆（04）指：图书馆的支出。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文化体育与传媒（207）文化（01）艺术表演团体（07）指：文化及其他部门主管的剧院、团等艺术表演团体的支出。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文化体育与传媒（207）文化（01）群众文化（09）指：群众文化方面的支出，包括基层文化馆（站）、群众艺术馆支出等。</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文化体育与传媒（207）文化（01）文化创作与保护（11）指：鼓励文学、艺术创作和民族民间传统文化保护方面的支出。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文化体育与传媒（207）文化（01）其他文化支出（99）指：除上述项目以外的其他用于文化方面的支出。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文化体育与传媒（207）体育（03）行政运行（01）指：行政单位（包括实行公务员管理的事业单位）的基本支出。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文化体育与传媒（207）体育（03）一般行政管理事务（02）指：行政单位（包括实行公务员管理的事业单位）未单独设置项级科目的其他项目支出。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文化体育与传媒（207）体育（03）体育场馆（07）指：体育场馆建设及维护方面支出。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文化体育与传媒（207）体育（03）其他体育支出（99）指：除上述项目以外的其他用于体育方面的支出。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文化体育与传媒（207）新闻出版广播影视（04）其他新闻出版广播影视支出（99）指：除上述项目以外的其他用于新闻出版广播影视方面的支出。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文化体育与传媒（207）其他文化体育与传媒支出（99）文化产业发展专项支出（03）指：支持文化产业发展专项支出。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宋体" w:eastAsia="宋体" w:cs="宋体" w:hint="eastAsia"/>
          <w:color w:val="000000"/>
          <w:kern w:val="0"/>
          <w:sz w:val="24"/>
          <w:szCs w:val="24"/>
        </w:rPr>
      </w:pPr>
      <w:r>
        <w:rPr>
          <w:rFonts w:ascii="仿宋" w:eastAsia="仿宋" w:cs="仿宋" w:hint="eastAsia"/>
          <w:color w:val="000000"/>
          <w:kern w:val="0"/>
          <w:sz w:val="32"/>
          <w:szCs w:val="32"/>
        </w:rPr>
        <w:t>文化体育与传媒（207）其他文化体育与传媒支出（99）其他文化体育与传媒支出（99）指：除上述项目以外的其他用于文化体育与传媒方面的支出。</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5.社会保障和就业（208）行政事业单位离退休（05）机关事业单位基本养老保险缴费支出（05）：指机关事业单位实施养老保险制度由单位缴纳的基本养老保险费支出。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仿宋" w:eastAsia="仿宋" w:cs="宋体" w:hint="eastAsia"/>
          <w:color w:val="000000"/>
          <w:kern w:val="0"/>
          <w:sz w:val="32"/>
          <w:szCs w:val="32"/>
        </w:rPr>
      </w:pPr>
      <w:r>
        <w:rPr>
          <w:rFonts w:ascii="仿宋" w:eastAsia="仿宋" w:cs="仿宋" w:hint="eastAsia"/>
          <w:color w:val="000000"/>
          <w:kern w:val="0"/>
          <w:sz w:val="32"/>
          <w:szCs w:val="32"/>
        </w:rPr>
        <w:t>社会保障和就业（208）行政事业单位离退休（05）机关事业单位职业年金缴费支出（06）：指机关事业单位实施养老保险制度由单位实际缴纳的职业年金支出。</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00"/>
          <w:kern w:val="0"/>
          <w:sz w:val="32"/>
          <w:szCs w:val="32"/>
        </w:rPr>
      </w:pPr>
      <w:r>
        <w:rPr>
          <w:rFonts w:ascii="仿宋" w:eastAsia="仿宋" w:cs="仿宋" w:hint="eastAsia"/>
          <w:b/>
          <w:bCs/>
          <w:color w:val="000000"/>
          <w:kern w:val="0"/>
          <w:sz w:val="32"/>
          <w:szCs w:val="32"/>
        </w:rPr>
        <w:t>6.医疗卫生与计划生育（210）行政事业单位医疗（11）行政单位医疗（01）：</w:t>
      </w:r>
      <w:r>
        <w:rPr>
          <w:rFonts w:ascii="仿宋" w:eastAsia="仿宋" w:cs="仿宋" w:hint="eastAsia"/>
          <w:color w:val="000000"/>
          <w:kern w:val="0"/>
          <w:sz w:val="32"/>
          <w:szCs w:val="32"/>
        </w:rPr>
        <w:t>指财政部门集中安排的行政单位基本医疗保险缴费经费，未参加医疗保险的行政单位的公费医疗费，按国家规定享受离休人员、红军老战士待遇人员的医疗经费。</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宋体" w:eastAsia="宋体" w:cs="宋体" w:hint="eastAsia"/>
          <w:color w:val="000000"/>
          <w:kern w:val="0"/>
          <w:sz w:val="24"/>
          <w:szCs w:val="24"/>
        </w:rPr>
      </w:pPr>
      <w:r>
        <w:rPr>
          <w:rFonts w:ascii="仿宋" w:eastAsia="仿宋" w:cs="仿宋" w:hint="eastAsia"/>
          <w:color w:val="000000"/>
          <w:kern w:val="0"/>
          <w:sz w:val="32"/>
          <w:szCs w:val="32"/>
        </w:rPr>
        <w:t>医疗卫生与计划生育（210）行政事业单位医疗（11）公务员医疗补助（03）指：财政部门集中安排的公务员医疗补助经费。</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00"/>
          <w:kern w:val="0"/>
          <w:sz w:val="32"/>
          <w:szCs w:val="32"/>
        </w:rPr>
      </w:pPr>
      <w:r>
        <w:rPr>
          <w:rFonts w:ascii="仿宋" w:eastAsia="仿宋" w:cs="仿宋" w:hint="eastAsia"/>
          <w:b/>
          <w:bCs/>
          <w:color w:val="000000"/>
          <w:kern w:val="0"/>
          <w:sz w:val="32"/>
          <w:szCs w:val="32"/>
        </w:rPr>
        <w:t>7.农林水（213）扶贫（05）农村基础设施建设（04）：</w:t>
      </w:r>
      <w:r>
        <w:rPr>
          <w:rFonts w:ascii="仿宋" w:eastAsia="仿宋" w:cs="仿宋" w:hint="eastAsia"/>
          <w:color w:val="000000"/>
          <w:kern w:val="0"/>
          <w:sz w:val="32"/>
          <w:szCs w:val="32"/>
        </w:rPr>
        <w:t>指用于农村贫困地区乡村道路、住房、基本农田、水利设施、人畜饮水、生态环境保护等生产生活条件改善方面的支出。</w:t>
      </w:r>
    </w:p>
    <w:p>
      <w:pPr>
        <w:pStyle w:val="23"/>
        <w:keepNext w:val="0"/>
        <w:keepLines w:val="0"/>
        <w:pageBreakBefore w:val="0"/>
        <w:widowControl/>
        <w:suppressLineNumbers w:val="0"/>
        <w:kinsoku/>
        <w:wordWrap/>
        <w:overflowPunct/>
        <w:topLinePunct w:val="0"/>
        <w:bidi w:val="0"/>
        <w:snapToGrid/>
        <w:spacing w:before="0" w:after="0" w:afterAutospacing="0" w:line="560" w:lineRule="exact"/>
        <w:ind w:leftChars="0" w:left="0" w:firstLineChars="200" w:firstLine="640"/>
        <w:jc w:val="both"/>
        <w:textAlignment w:val="auto"/>
        <w:rPr>
          <w:rFonts w:ascii="宋体" w:eastAsia="宋体" w:cs="宋体" w:hint="eastAsia"/>
          <w:color w:val="000000"/>
          <w:kern w:val="0"/>
          <w:sz w:val="24"/>
          <w:szCs w:val="24"/>
        </w:rPr>
      </w:pPr>
      <w:r>
        <w:rPr>
          <w:rFonts w:ascii="仿宋" w:eastAsia="仿宋" w:cs="仿宋" w:hint="eastAsia"/>
          <w:color w:val="000000"/>
          <w:kern w:val="0"/>
          <w:sz w:val="32"/>
          <w:szCs w:val="32"/>
        </w:rPr>
        <w:t>农林水（213）扶贫（05）生产发展（05）指：用于农村贫困地区发展种植业、养殖业、畜牧业、农副产品加工、林果地建设等生产发展项目以及相关技术推广等方面的项目支出。</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FF"/>
          <w:kern w:val="0"/>
          <w:sz w:val="32"/>
          <w:szCs w:val="32"/>
        </w:rPr>
      </w:pPr>
      <w:r>
        <w:rPr>
          <w:rFonts w:ascii="仿宋" w:eastAsia="仿宋" w:cs="仿宋" w:hint="eastAsia"/>
          <w:b/>
          <w:bCs/>
          <w:color w:val="000000"/>
          <w:kern w:val="0"/>
          <w:sz w:val="32"/>
          <w:szCs w:val="32"/>
        </w:rPr>
        <w:t>8.住房保障（221）住房改革支出（02）住房公积金（01）：</w:t>
      </w:r>
      <w:r>
        <w:rPr>
          <w:rFonts w:ascii="仿宋" w:eastAsia="仿宋" w:cs="仿宋" w:hint="eastAsia"/>
          <w:color w:val="000000"/>
          <w:kern w:val="0"/>
          <w:sz w:val="32"/>
          <w:szCs w:val="32"/>
        </w:rPr>
        <w:t>指行政事业单位按人力资源和社会保障部、财政部规定的基本工资和津贴补贴以及规定比例为职工缴纳的住房公积金</w:t>
      </w:r>
      <w:r>
        <w:rPr>
          <w:rFonts w:ascii="仿宋" w:eastAsia="仿宋" w:cs="仿宋" w:hint="eastAsia"/>
          <w:color w:val="0000FF"/>
          <w:kern w:val="0"/>
          <w:sz w:val="32"/>
          <w:szCs w:val="32"/>
        </w:rPr>
        <w:t>。</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00"/>
          <w:kern w:val="0"/>
          <w:sz w:val="32"/>
          <w:szCs w:val="32"/>
        </w:rPr>
      </w:pPr>
      <w:r>
        <w:rPr>
          <w:rFonts w:ascii="仿宋" w:eastAsia="仿宋" w:cs="仿宋" w:hint="eastAsia"/>
          <w:b/>
          <w:bCs/>
          <w:color w:val="000000"/>
          <w:kern w:val="0"/>
          <w:sz w:val="32"/>
          <w:szCs w:val="32"/>
        </w:rPr>
        <w:t>9.其他支出（229）彩票公益金及对应专项债务收入安排的支出（60）用于体育事业的彩票公益金支出（03）：</w:t>
      </w:r>
      <w:r>
        <w:rPr>
          <w:rFonts w:ascii="仿宋" w:eastAsia="仿宋" w:cs="仿宋" w:hint="eastAsia"/>
          <w:color w:val="000000"/>
          <w:kern w:val="0"/>
          <w:sz w:val="32"/>
          <w:szCs w:val="32"/>
        </w:rPr>
        <w:t>指用于体育事业的彩票公益金支出。</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FF"/>
          <w:kern w:val="0"/>
          <w:sz w:val="32"/>
          <w:szCs w:val="32"/>
        </w:rPr>
      </w:pPr>
      <w:r>
        <w:rPr>
          <w:rFonts w:ascii="仿宋" w:eastAsia="仿宋" w:cs="仿宋" w:hint="eastAsia"/>
          <w:color w:val="000000"/>
          <w:kern w:val="0"/>
          <w:sz w:val="32"/>
          <w:szCs w:val="32"/>
        </w:rPr>
        <w:t>其他支出（229）其他支出（99）其他支出（01）指：除上述项目以外的其他不能划分到具体功能科目中的支出项目。</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 w:eastAsia="仿宋" w:cs="宋体" w:hint="eastAsia"/>
          <w:color w:val="000000"/>
          <w:kern w:val="0"/>
          <w:sz w:val="32"/>
          <w:szCs w:val="32"/>
        </w:rPr>
      </w:pPr>
      <w:r>
        <w:rPr>
          <w:rFonts w:ascii="仿宋" w:eastAsia="仿宋" w:cs="仿宋" w:hint="eastAsia"/>
          <w:b/>
          <w:bCs/>
          <w:color w:val="000000"/>
          <w:kern w:val="0"/>
          <w:sz w:val="32"/>
          <w:szCs w:val="32"/>
        </w:rPr>
        <w:t>10.基本支出：</w:t>
      </w:r>
      <w:r>
        <w:rPr>
          <w:rFonts w:ascii="仿宋" w:eastAsia="仿宋" w:cs="仿宋" w:hint="eastAsia"/>
          <w:color w:val="000000"/>
          <w:kern w:val="0"/>
          <w:sz w:val="32"/>
          <w:szCs w:val="32"/>
        </w:rPr>
        <w:t>指为保障机构正常运转、完成日常工作任务而发生的人员支出和公用支出。</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_GB2312" w:eastAsia="仿宋_GB2312" w:cs="宋体" w:hint="eastAsia"/>
          <w:color w:val="000000"/>
          <w:kern w:val="0"/>
          <w:sz w:val="32"/>
          <w:szCs w:val="32"/>
        </w:rPr>
      </w:pPr>
      <w:r>
        <w:rPr>
          <w:rFonts w:ascii="仿宋_GB2312" w:eastAsia="仿宋_GB2312" w:cs="仿宋_GB2312" w:hint="eastAsia"/>
          <w:b/>
          <w:bCs/>
          <w:color w:val="000000"/>
          <w:kern w:val="0"/>
          <w:sz w:val="32"/>
          <w:szCs w:val="32"/>
        </w:rPr>
        <w:t>11.基本支出：</w:t>
      </w:r>
      <w:r>
        <w:rPr>
          <w:rFonts w:ascii="仿宋_GB2312" w:eastAsia="仿宋_GB2312" w:cs="仿宋_GB2312" w:hint="eastAsia"/>
          <w:color w:val="000000"/>
          <w:kern w:val="0"/>
          <w:sz w:val="32"/>
          <w:szCs w:val="32"/>
        </w:rPr>
        <w:t>指为保障机构正常运转、完成日常工作任务而发生的人员支出和公用支出。</w:t>
      </w:r>
    </w:p>
    <w:p>
      <w:pPr>
        <w:keepNext w:val="0"/>
        <w:keepLines w:val="0"/>
        <w:pageBreakBefore w:val="0"/>
        <w:widowControl/>
        <w:suppressLineNumbers w:val="0"/>
        <w:kinsoku/>
        <w:wordWrap/>
        <w:overflowPunct/>
        <w:topLinePunct w:val="0"/>
        <w:bidi w:val="0"/>
        <w:snapToGrid/>
        <w:spacing w:before="0" w:after="0" w:afterAutospacing="0" w:line="560" w:lineRule="exact"/>
        <w:ind w:left="0" w:firstLineChars="200" w:firstLine="640"/>
        <w:jc w:val="both"/>
        <w:textAlignment w:val="auto"/>
        <w:rPr>
          <w:rFonts w:ascii="仿宋_GB2312" w:eastAsia="仿宋_GB2312" w:cs="宋体" w:hint="eastAsia"/>
          <w:color w:val="000000"/>
          <w:kern w:val="0"/>
          <w:sz w:val="32"/>
          <w:szCs w:val="32"/>
        </w:rPr>
      </w:pPr>
      <w:r>
        <w:rPr>
          <w:rFonts w:ascii="仿宋_GB2312" w:eastAsia="仿宋_GB2312" w:cs="仿宋_GB2312" w:hint="eastAsia"/>
          <w:b/>
          <w:bCs/>
          <w:color w:val="000000"/>
          <w:kern w:val="0"/>
          <w:sz w:val="32"/>
          <w:szCs w:val="32"/>
        </w:rPr>
        <w:t>12.项目支出：</w:t>
      </w:r>
      <w:r>
        <w:rPr>
          <w:rFonts w:ascii="仿宋_GB2312" w:eastAsia="仿宋_GB2312" w:cs="仿宋_GB2312" w:hint="eastAsia"/>
          <w:color w:val="000000"/>
          <w:kern w:val="0"/>
          <w:sz w:val="32"/>
          <w:szCs w:val="32"/>
        </w:rPr>
        <w:t xml:space="preserve">指在基本支出之外为完成特定行政任务和事业发展目标所发生的支出。 </w:t>
      </w:r>
    </w:p>
    <w:p>
      <w:pPr>
        <w:pStyle w:val="30"/>
        <w:keepNext w:val="0"/>
        <w:keepLines w:val="0"/>
        <w:pageBreakBefore w:val="0"/>
        <w:widowControl w:val="0"/>
        <w:suppressLineNumbers w:val="0"/>
        <w:kinsoku/>
        <w:wordWrap/>
        <w:overflowPunct/>
        <w:topLinePunct w:val="0"/>
        <w:autoSpaceDE w:val="0"/>
        <w:autoSpaceDN w:val="0"/>
        <w:bidi w:val="0"/>
        <w:adjustRightInd w:val="0"/>
        <w:snapToGrid/>
        <w:spacing w:before="0" w:after="0" w:afterAutospacing="0" w:line="560" w:lineRule="exact"/>
        <w:ind w:left="0" w:firstLineChars="200" w:firstLine="640"/>
        <w:jc w:val="both"/>
        <w:textAlignment w:val="auto"/>
        <w:rPr>
          <w:rFonts w:ascii="仿宋_GB2312" w:eastAsia="仿宋_GB2312" w:cs="仿宋" w:hint="eastAsia"/>
          <w:color w:val="000000"/>
          <w:kern w:val="0"/>
          <w:sz w:val="32"/>
          <w:szCs w:val="32"/>
        </w:rPr>
      </w:pPr>
      <w:r>
        <w:rPr>
          <w:rFonts w:ascii="仿宋_GB2312" w:eastAsia="仿宋_GB2312" w:cs="仿宋_GB2312" w:hint="eastAsia"/>
          <w:b/>
          <w:bCs/>
          <w:color w:val="000000"/>
          <w:kern w:val="0"/>
          <w:sz w:val="32"/>
          <w:szCs w:val="32"/>
        </w:rPr>
        <w:t>13.“三公”经费：</w:t>
      </w:r>
      <w:r>
        <w:rPr>
          <w:rFonts w:ascii="仿宋_GB2312" w:eastAsia="仿宋_GB2312" w:cs="仿宋_GB2312" w:hint="eastAsia"/>
          <w:color w:val="000000"/>
          <w:kern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30"/>
        <w:keepNext w:val="0"/>
        <w:keepLines w:val="0"/>
        <w:pageBreakBefore w:val="0"/>
        <w:widowControl w:val="0"/>
        <w:suppressLineNumbers w:val="0"/>
        <w:kinsoku/>
        <w:wordWrap/>
        <w:overflowPunct/>
        <w:topLinePunct w:val="0"/>
        <w:autoSpaceDE w:val="0"/>
        <w:autoSpaceDN w:val="0"/>
        <w:bidi w:val="0"/>
        <w:adjustRightInd w:val="0"/>
        <w:snapToGrid/>
        <w:spacing w:before="0" w:after="0" w:afterAutospacing="0" w:line="560" w:lineRule="exact"/>
        <w:ind w:left="0" w:firstLineChars="200" w:firstLine="640"/>
        <w:jc w:val="both"/>
        <w:textAlignment w:val="auto"/>
        <w:rPr>
          <w:rFonts w:ascii="仿宋_GB2312" w:eastAsia="仿宋_GB2312" w:cs="仿宋" w:hint="eastAsia"/>
          <w:color w:val="000000"/>
          <w:kern w:val="0"/>
          <w:sz w:val="32"/>
          <w:szCs w:val="32"/>
        </w:rPr>
      </w:pPr>
      <w:r>
        <w:rPr>
          <w:rFonts w:ascii="仿宋_GB2312" w:eastAsia="仿宋_GB2312" w:cs="仿宋_GB2312" w:hint="eastAsia"/>
          <w:b/>
          <w:bCs/>
          <w:color w:val="000000"/>
          <w:kern w:val="0"/>
          <w:sz w:val="32"/>
          <w:szCs w:val="32"/>
        </w:rPr>
        <w:t>14.机关运行经费：</w:t>
      </w:r>
      <w:r>
        <w:rPr>
          <w:rFonts w:ascii="仿宋_GB2312" w:eastAsia="仿宋_GB2312" w:cs="仿宋_GB2312" w:hint="eastAsia"/>
          <w:color w:val="000000"/>
          <w:kern w:val="0"/>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30"/>
        <w:keepNext w:val="0"/>
        <w:keepLines w:val="0"/>
        <w:pageBreakBefore w:val="0"/>
        <w:widowControl w:val="0"/>
        <w:suppressLineNumbers w:val="0"/>
        <w:kinsoku/>
        <w:wordWrap/>
        <w:overflowPunct/>
        <w:topLinePunct w:val="0"/>
        <w:autoSpaceDE w:val="0"/>
        <w:autoSpaceDN w:val="0"/>
        <w:bidi w:val="0"/>
        <w:adjustRightInd w:val="0"/>
        <w:snapToGrid/>
        <w:spacing w:before="0" w:after="0" w:afterAutospacing="0" w:line="560" w:lineRule="exact"/>
        <w:ind w:left="0" w:firstLineChars="200" w:firstLine="640"/>
        <w:jc w:val="both"/>
        <w:textAlignment w:val="auto"/>
        <w:rPr>
          <w:rFonts w:ascii="仿宋_GB2312" w:eastAsia="仿宋_GB2312" w:cs="仿宋" w:hint="eastAsia"/>
          <w:color w:val="000000"/>
          <w:kern w:val="0"/>
          <w:sz w:val="32"/>
          <w:szCs w:val="32"/>
        </w:rPr>
      </w:pPr>
      <w:r>
        <w:rPr>
          <w:rFonts w:ascii="仿宋_GB2312" w:eastAsia="仿宋_GB2312" w:cs="仿宋" w:hint="eastAsia"/>
          <w:color w:val="000000"/>
          <w:kern w:val="0"/>
          <w:sz w:val="32"/>
          <w:szCs w:val="32"/>
        </w:rPr>
        <w:t xml:space="preserve"> </w:t>
      </w:r>
    </w:p>
    <w:p>
      <w:pPr>
        <w:pStyle w:val="30"/>
        <w:keepNext w:val="0"/>
        <w:keepLines w:val="0"/>
        <w:pageBreakBefore w:val="0"/>
        <w:widowControl w:val="0"/>
        <w:suppressLineNumbers w:val="0"/>
        <w:wordWrap/>
        <w:overflowPunct/>
        <w:topLinePunct w:val="0"/>
        <w:autoSpaceDE w:val="0"/>
        <w:autoSpaceDN w:val="0"/>
        <w:bidi w:val="0"/>
        <w:spacing w:before="0" w:after="0" w:afterAutospacing="0" w:line="560" w:lineRule="exact"/>
        <w:ind w:left="0" w:firstLineChars="200" w:firstLine="640"/>
        <w:jc w:val="both"/>
        <w:rPr>
          <w:rFonts w:ascii="仿宋_GB2312" w:eastAsia="仿宋_GB2312" w:cs="仿宋" w:hint="eastAsia"/>
          <w:color w:val="000000"/>
          <w:kern w:val="0"/>
          <w:sz w:val="32"/>
          <w:szCs w:val="32"/>
        </w:rPr>
      </w:pPr>
      <w:r>
        <w:rPr>
          <w:rFonts w:ascii="仿宋_GB2312" w:eastAsia="仿宋_GB2312" w:cs="仿宋" w:hint="eastAsia"/>
          <w:color w:val="000000"/>
          <w:kern w:val="0"/>
          <w:sz w:val="32"/>
          <w:szCs w:val="32"/>
        </w:rPr>
        <w:t xml:space="preserve"> </w:t>
      </w:r>
    </w:p>
    <w:p>
      <w:pPr>
        <w:pStyle w:val="30"/>
        <w:keepNext w:val="0"/>
        <w:keepLines w:val="0"/>
        <w:pageBreakBefore w:val="0"/>
        <w:widowControl w:val="0"/>
        <w:suppressLineNumbers w:val="0"/>
        <w:wordWrap/>
        <w:overflowPunct/>
        <w:topLinePunct w:val="0"/>
        <w:autoSpaceDE w:val="0"/>
        <w:autoSpaceDN w:val="0"/>
        <w:bidi w:val="0"/>
        <w:spacing w:before="0" w:after="0" w:afterAutospacing="0" w:line="560" w:lineRule="exact"/>
        <w:ind w:left="0" w:firstLineChars="200" w:firstLine="640"/>
        <w:jc w:val="both"/>
        <w:rPr>
          <w:rFonts w:ascii="仿宋_GB2312" w:eastAsia="仿宋_GB2312" w:cs="仿宋" w:hint="eastAsia"/>
          <w:color w:val="000000"/>
          <w:kern w:val="0"/>
          <w:sz w:val="32"/>
          <w:szCs w:val="32"/>
        </w:rPr>
      </w:pPr>
    </w:p>
    <w:p>
      <w:pPr>
        <w:pStyle w:val="30"/>
        <w:keepNext w:val="0"/>
        <w:keepLines w:val="0"/>
        <w:pageBreakBefore w:val="0"/>
        <w:widowControl w:val="0"/>
        <w:suppressLineNumbers w:val="0"/>
        <w:wordWrap/>
        <w:overflowPunct/>
        <w:topLinePunct w:val="0"/>
        <w:autoSpaceDE w:val="0"/>
        <w:autoSpaceDN w:val="0"/>
        <w:bidi w:val="0"/>
        <w:spacing w:before="0" w:after="0" w:afterAutospacing="0" w:line="560" w:lineRule="exact"/>
        <w:ind w:left="0" w:firstLineChars="200" w:firstLine="640"/>
        <w:jc w:val="both"/>
        <w:rPr>
          <w:rFonts w:ascii="仿宋_GB2312" w:eastAsia="仿宋_GB2312" w:cs="仿宋" w:hint="eastAsia"/>
          <w:color w:val="000000"/>
          <w:kern w:val="0"/>
          <w:sz w:val="32"/>
          <w:szCs w:val="32"/>
        </w:rPr>
      </w:pPr>
    </w:p>
    <w:p>
      <w:pPr>
        <w:pStyle w:val="30"/>
        <w:keepNext w:val="0"/>
        <w:keepLines w:val="0"/>
        <w:pageBreakBefore w:val="0"/>
        <w:widowControl w:val="0"/>
        <w:suppressLineNumbers w:val="0"/>
        <w:wordWrap/>
        <w:overflowPunct/>
        <w:topLinePunct w:val="0"/>
        <w:autoSpaceDE w:val="0"/>
        <w:autoSpaceDN w:val="0"/>
        <w:bidi w:val="0"/>
        <w:spacing w:before="0" w:after="0" w:afterAutospacing="0" w:line="560" w:lineRule="exact"/>
        <w:ind w:left="0" w:firstLineChars="200" w:firstLine="640"/>
        <w:jc w:val="both"/>
        <w:rPr>
          <w:rFonts w:ascii="仿宋_GB2312" w:eastAsia="仿宋_GB2312" w:cs="仿宋" w:hint="eastAsia"/>
          <w:color w:val="000000"/>
          <w:kern w:val="0"/>
          <w:sz w:val="32"/>
          <w:szCs w:val="32"/>
        </w:rPr>
      </w:pPr>
    </w:p>
    <w:p>
      <w:pPr>
        <w:pStyle w:val="30"/>
        <w:keepNext w:val="0"/>
        <w:keepLines w:val="0"/>
        <w:pageBreakBefore w:val="0"/>
        <w:widowControl w:val="0"/>
        <w:suppressLineNumbers w:val="0"/>
        <w:wordWrap/>
        <w:overflowPunct/>
        <w:topLinePunct w:val="0"/>
        <w:autoSpaceDE w:val="0"/>
        <w:autoSpaceDN w:val="0"/>
        <w:bidi w:val="0"/>
        <w:spacing w:before="0" w:after="0" w:afterAutospacing="0" w:line="560" w:lineRule="exact"/>
        <w:ind w:left="0" w:firstLineChars="200" w:firstLine="640"/>
        <w:jc w:val="both"/>
        <w:rPr>
          <w:rFonts w:ascii="仿宋_GB2312" w:eastAsia="仿宋_GB2312" w:cs="仿宋" w:hint="eastAsia"/>
          <w:color w:val="000000"/>
          <w:kern w:val="0"/>
          <w:sz w:val="32"/>
          <w:szCs w:val="32"/>
        </w:rPr>
      </w:pPr>
    </w:p>
    <w:p>
      <w:pPr>
        <w:keepNext w:val="0"/>
        <w:keepLines w:val="0"/>
        <w:pageBreakBefore w:val="0"/>
        <w:widowControl/>
        <w:suppressLineNumbers w:val="0"/>
        <w:tabs>
          <w:tab w:val="left" w:pos="0"/>
        </w:tabs>
        <w:wordWrap/>
        <w:overflowPunct/>
        <w:topLinePunct w:val="0"/>
        <w:bidi w:val="0"/>
        <w:spacing w:before="0" w:after="0" w:afterAutospacing="0" w:line="560" w:lineRule="exact"/>
        <w:ind w:right="0"/>
        <w:jc w:val="center"/>
        <w:outlineLvl w:val="0"/>
        <w:rPr>
          <w:rFonts w:ascii="方正小标宋简体" w:eastAsia="方正小标宋简体" w:cs="方正小标宋简体" w:hint="eastAsia"/>
          <w:b w:val="0"/>
          <w:bCs/>
          <w:kern w:val="44"/>
          <w:sz w:val="44"/>
          <w:szCs w:val="44"/>
        </w:rPr>
      </w:pPr>
      <w:r>
        <w:rPr>
          <w:rFonts w:ascii="方正小标宋简体" w:eastAsia="方正小标宋简体" w:cs="方正小标宋简体" w:hint="eastAsia"/>
          <w:b w:val="0"/>
          <w:bCs/>
          <w:kern w:val="44"/>
          <w:sz w:val="44"/>
          <w:szCs w:val="44"/>
          <w:lang w:val="en-US" w:eastAsia="zh-CN"/>
        </w:rPr>
        <w:t>第四部分</w:t>
      </w:r>
      <w:r>
        <w:rPr>
          <w:rStyle w:val="29"/>
          <w:rFonts w:ascii="方正小标宋简体" w:eastAsia="方正小标宋简体" w:cs="方正小标宋简体" w:hint="eastAsia"/>
          <w:b w:val="0"/>
          <w:bCs/>
          <w:kern w:val="44"/>
          <w:sz w:val="44"/>
          <w:szCs w:val="44"/>
        </w:rPr>
        <w:t>附件</w:t>
      </w:r>
    </w:p>
    <w:p>
      <w:pPr>
        <w:pStyle w:val="26"/>
        <w:keepNext w:val="0"/>
        <w:keepLines w:val="0"/>
        <w:pageBreakBefore w:val="0"/>
        <w:widowControl/>
        <w:suppressLineNumbers w:val="0"/>
        <w:wordWrap/>
        <w:overflowPunct/>
        <w:topLinePunct w:val="0"/>
        <w:bidi w:val="0"/>
        <w:spacing w:before="0" w:after="0" w:afterAutospacing="0" w:line="560" w:lineRule="exact"/>
        <w:ind w:left="0" w:right="0"/>
        <w:jc w:val="center"/>
        <w:rPr>
          <w:rFonts w:ascii="方正小标宋简体" w:eastAsia="方正小标宋简体" w:cs="方正小标宋简体"/>
          <w:b w:val="0"/>
          <w:bCs/>
          <w:kern w:val="0"/>
          <w:sz w:val="44"/>
          <w:szCs w:val="44"/>
        </w:rPr>
      </w:pPr>
      <w:r>
        <w:rPr>
          <w:rFonts w:ascii="方正小标宋简体" w:eastAsia="方正小标宋简体" w:cs="方正小标宋简体" w:hint="eastAsia"/>
          <w:b w:val="0"/>
          <w:bCs/>
          <w:kern w:val="0"/>
          <w:sz w:val="44"/>
          <w:szCs w:val="44"/>
        </w:rPr>
        <w:t>红原县文化</w:t>
      </w:r>
      <w:r>
        <w:rPr>
          <w:rFonts w:ascii="方正小标宋简体" w:eastAsia="方正小标宋简体" w:cs="方正小标宋简体" w:hint="eastAsia"/>
          <w:b w:val="0"/>
          <w:bCs/>
          <w:kern w:val="0"/>
          <w:sz w:val="44"/>
          <w:szCs w:val="44"/>
          <w:lang w:val="en-US" w:eastAsia="zh-CN"/>
        </w:rPr>
        <w:t>广播电视</w:t>
      </w:r>
      <w:r>
        <w:rPr>
          <w:rFonts w:ascii="方正小标宋简体" w:eastAsia="方正小标宋简体" w:cs="方正小标宋简体" w:hint="eastAsia"/>
          <w:b w:val="0"/>
          <w:bCs/>
          <w:kern w:val="0"/>
          <w:sz w:val="44"/>
          <w:szCs w:val="44"/>
        </w:rPr>
        <w:t>体育和旅游局</w:t>
      </w:r>
    </w:p>
    <w:p>
      <w:pPr>
        <w:pStyle w:val="26"/>
        <w:keepNext w:val="0"/>
        <w:keepLines w:val="0"/>
        <w:pageBreakBefore w:val="0"/>
        <w:widowControl/>
        <w:suppressLineNumbers w:val="0"/>
        <w:wordWrap/>
        <w:overflowPunct/>
        <w:topLinePunct w:val="0"/>
        <w:bidi w:val="0"/>
        <w:spacing w:before="0" w:after="0" w:afterAutospacing="0" w:line="560" w:lineRule="exact"/>
        <w:ind w:left="0" w:right="0"/>
        <w:jc w:val="center"/>
        <w:rPr>
          <w:rFonts w:ascii="方正小标宋简体" w:eastAsia="方正小标宋简体" w:cs="方正小标宋简体" w:hint="eastAsia"/>
          <w:b w:val="0"/>
          <w:bCs/>
          <w:kern w:val="0"/>
          <w:sz w:val="44"/>
          <w:szCs w:val="44"/>
        </w:rPr>
      </w:pPr>
      <w:r>
        <w:rPr>
          <w:rFonts w:ascii="方正小标宋简体" w:eastAsia="方正小标宋简体" w:cs="方正小标宋简体" w:hint="eastAsia"/>
          <w:b w:val="0"/>
          <w:bCs/>
          <w:kern w:val="0"/>
          <w:sz w:val="44"/>
          <w:szCs w:val="44"/>
        </w:rPr>
        <w:t>202</w:t>
      </w:r>
      <w:r>
        <w:rPr>
          <w:rFonts w:ascii="方正小标宋简体" w:eastAsia="方正小标宋简体" w:cs="方正小标宋简体" w:hint="eastAsia"/>
          <w:b w:val="0"/>
          <w:bCs/>
          <w:kern w:val="0"/>
          <w:sz w:val="44"/>
          <w:szCs w:val="44"/>
          <w:lang w:val="en-US" w:eastAsia="zh-CN"/>
        </w:rPr>
        <w:t>5</w:t>
      </w:r>
      <w:r>
        <w:rPr>
          <w:rFonts w:ascii="方正小标宋简体" w:eastAsia="方正小标宋简体" w:cs="方正小标宋简体" w:hint="eastAsia"/>
          <w:b w:val="0"/>
          <w:bCs/>
          <w:kern w:val="0"/>
          <w:sz w:val="44"/>
          <w:szCs w:val="44"/>
        </w:rPr>
        <w:t>年整体支出绩效报告</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 w:eastAsia="仿宋" w:cs="宋体" w:hint="eastAsia"/>
          <w:color w:val="000000"/>
          <w:kern w:val="0"/>
          <w:sz w:val="32"/>
          <w:szCs w:val="32"/>
        </w:rPr>
      </w:pPr>
      <w:r>
        <w:rPr>
          <w:rFonts w:ascii="仿宋" w:eastAsia="仿宋" w:cs="宋体" w:hint="eastAsia"/>
          <w:color w:val="000000"/>
          <w:kern w:val="0"/>
          <w:sz w:val="32"/>
          <w:szCs w:val="32"/>
        </w:rPr>
        <w:t xml:space="preserve"> </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黑体" w:eastAsia="黑体" w:cs="黑体" w:hint="eastAsia"/>
          <w:b/>
          <w:bCs/>
          <w:kern w:val="0"/>
          <w:sz w:val="32"/>
          <w:szCs w:val="32"/>
        </w:rPr>
      </w:pPr>
      <w:r>
        <w:rPr>
          <w:rFonts w:ascii="黑体" w:eastAsia="黑体" w:cs="黑体" w:hint="eastAsia"/>
          <w:b/>
          <w:bCs/>
          <w:kern w:val="0"/>
          <w:sz w:val="32"/>
          <w:szCs w:val="32"/>
        </w:rPr>
        <w:t>一、部门概况</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(一)机构组成</w:t>
      </w:r>
    </w:p>
    <w:p>
      <w:pPr>
        <w:keepNext w:val="0"/>
        <w:keepLines w:val="0"/>
        <w:pageBreakBefore w:val="0"/>
        <w:widowControl/>
        <w:suppressLineNumbers w:val="0"/>
        <w:wordWrap/>
        <w:overflowPunct/>
        <w:topLinePunct w:val="0"/>
        <w:bidi w:val="0"/>
        <w:spacing w:before="0" w:after="0" w:afterAutospacing="0" w:line="560" w:lineRule="exact"/>
        <w:ind w:left="0" w:firstLineChars="200" w:firstLine="640"/>
        <w:jc w:val="both"/>
        <w:outlineLvl w:val="0"/>
        <w:rPr>
          <w:rFonts w:ascii="仿宋_GB2312" w:eastAsia="仿宋_GB2312" w:cs="仿宋_GB2312" w:hint="eastAsia"/>
          <w:kern w:val="0"/>
          <w:sz w:val="32"/>
          <w:szCs w:val="32"/>
        </w:rPr>
      </w:pPr>
      <w:r>
        <w:rPr>
          <w:rFonts w:ascii="仿宋_GB2312" w:eastAsia="仿宋_GB2312" w:cs="仿宋_GB2312" w:hint="eastAsia"/>
          <w:bCs/>
          <w:kern w:val="0"/>
          <w:sz w:val="32"/>
          <w:szCs w:val="32"/>
        </w:rPr>
        <w:t>是</w:t>
      </w:r>
      <w:r>
        <w:rPr>
          <w:rFonts w:ascii="仿宋_GB2312" w:eastAsia="仿宋_GB2312" w:cs="仿宋_GB2312" w:hint="eastAsia"/>
          <w:kern w:val="0"/>
          <w:sz w:val="32"/>
          <w:szCs w:val="32"/>
        </w:rPr>
        <w:t>独立核算的机构，是独立编报预算的行政单位。</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（二）机构职能</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（一）基本职能</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1.拟订文化、广电、体育和旅游政策措施，拟订全县网络视听节目服务管理的政策措施。起草文化、广电、体育和旅游自治法规、规范性文件草案，负责本部门依法行政工作，</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2.加强广播电视阵地建设，把握正确的舆论导向和创作导向。负责利用广播电视加强党和政府的声音传播力，抢占舆论高地，强化舆论反制，巩固意识形态阵地。研究制定全县广播电视宣传工作计划，组织实施广播电视的重大宣传和报道工作，负责对广播电视节目审查把关，把握正确的舆论导向，发挥舆论监督作用;负责制订全县广播电视事业发展规划，组织实施广播电视工程项目建设;负责全县广播电视的技术开发、设备选型和配置，负责建设、维护、管理广播电视网络和公共设施，保证线路畅通和设备正常运行;负责本县级广播电视人才的培训、培养、引进和使用工作，建立统分结合、机动灵活、因事设岗、精干高效的管理体制。</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3.推进文化、广电、体育、旅游体制机制改革。组织推动全县文化、广电、体育事业和旅游业发展，拟订发展规划并组织实施。推进文化、广电、体育和旅游产业融合发展，促进文化、广电、体育和旅游与相关产业融合发展。</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4.组织实施全县文化、广电、体育和旅游资源的普查保护与利用。管理全县性重大文化、广电、体育和旅游活动，组织全县重点文化、广电、体育和旅游设施建设。</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5.组织实施全县文化、广电、体育和旅游整体形象推广促进文化、广电、体育和旅游产业市场推广和对外合作交流。制定文化、广电、体育和旅游市场开发战略并组织实施，推进全域旅游。负责管理文化、广电、体育和旅游国内外交流合作与宣传推广工作，组织大型文化、广电、体育和旅游对外及对港澳台交流活动。</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6.负责对全县各类广播电视机构进行业务指导和行业监管，会同有关部门对网络视听节目服务机构进行管理。组织实施广播电视节目评价工作，监督管理、审查广播电视和网络视听节目的内容和质量，指导、监管广播电视广告播放。</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7.负责指导推进电视剧行业发展和创作生产。推进广播电视与新媒体技术新业态融合发展、推进广电网与电信网、互联网三网融合。负责广播电视节目传输覆盖、检测和安全播出的监督管理，指导、推进应急广播体系建设。</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8.弘扬优秀传统文化，推动红原本地特色文化传承发展。指导管理辖区内文艺事业，把握正确的创作导向，推动文化艺术创作生产，扶持体现社会主义核心价值观、具有导向性代表性示范性的文化艺术作品，推动各门类艺术、各艺术品种发展。</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9.负责公共文化、广电和体育事业发展，推进全县公共文化、广电、体育服务体系建设和旅游公共服务建设，深入实施惠民工程，统筹推进文化、广电、体育和旅游基本公共服务标准化、均等化。</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10.负责文化、广电、体育和旅游行业信息化、标准化建设，推进文化、广电和旅游科技创新。负责全县体育科研、技术攻关和成果推广。</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11.负责非物质文化遗产保护工作，推动非物质文化遗产的传承、普及、弘扬和振兴。</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12.管理和指导全县文物保护、利用和考古工作，组织开展文物资源调查工作。协调、指导和监督全县文物安全工作履行文物行政督察职能。负责全县世界文化遗产保护和管理工作协同相关部门开展世界文化与自然遗产、历史文化名村(镇)申报和管理工作。负责全县文物和博物馆公共服务体系建设。</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13.贯彻落实全民健身计划，建立和完善全民健身服务体系，指导和开展群众性体育活动。负责社会体育指导员培训、国民体质监测和高危体育项目管理。负责挖掘、传承、保护全县少数民族传统体育项目。协助体育彩票销售的监督管理。</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14.指导体育训练和运动员队伍建设，协调运动员社会保障工作，统筹组织全县综合性运动会、组织参加县内外体育竞赛和综合性运动会。负责反兴奋剂监督工作。</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15.负责拟订全县青少年(学校)体育工作发展规划并组织实施。负责青少年体育锻炼标准的组织实施，指导辖区内体育学校的建设和青少年业余训练及相关活动。</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16.推动全县文化、广电、体育和旅游市场发展，对全州文化、广电、体育和旅游市场依法进行行业监管，依法规范文化、广电、体育和旅游市场。推进文化、广电、体育和旅游行业信用体系建设。</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17.负责全县旅游景区管理机构、文旅企业的行业管理和标准化建设。</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18.统筹指导全县文化、广电、体育、旅游市场综合行政执法，规范文化、广电、体育、旅游行政执法，组织查处全县性、跨区域文化、文物、广电、体育、旅游等违法行为，督查督办大案要案。</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19.负责文化、广电、体育和旅游行业安全生产工作的综合协调与监督管理，制定职责范围内的安全生产年度监督检查计划并组织实施。依法履行行业职业健康监管职责，承担职责范围内生态环境保护、公共机构节能减排、审批服务便民化等工作。负责本系统“放管服”改革，承担本部门权责清单制度建设、动态调整等工作。</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楷体_GB2312"/>
          <w:kern w:val="0"/>
          <w:sz w:val="32"/>
          <w:szCs w:val="32"/>
        </w:rPr>
      </w:pPr>
      <w:r>
        <w:rPr>
          <w:rFonts w:ascii="仿宋_GB2312" w:eastAsia="仿宋_GB2312" w:cs="楷体_GB2312"/>
          <w:kern w:val="0"/>
          <w:sz w:val="32"/>
          <w:szCs w:val="32"/>
        </w:rPr>
        <w:t>20.完成县委、县政府交办的其他任务。</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（三）人员概况</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仿宋_GB2312" w:hint="eastAsia"/>
          <w:bCs/>
          <w:color w:val="auto"/>
          <w:kern w:val="0"/>
          <w:sz w:val="32"/>
          <w:szCs w:val="32"/>
        </w:rPr>
      </w:pPr>
      <w:r>
        <w:rPr>
          <w:rFonts w:ascii="仿宋_GB2312" w:eastAsia="仿宋_GB2312" w:cs="仿宋_GB2312" w:hint="eastAsia"/>
          <w:bCs/>
          <w:color w:val="auto"/>
          <w:kern w:val="0"/>
          <w:sz w:val="32"/>
          <w:szCs w:val="32"/>
        </w:rPr>
        <w:t>截止202</w:t>
      </w:r>
      <w:r>
        <w:rPr>
          <w:rFonts w:ascii="仿宋_GB2312" w:eastAsia="仿宋_GB2312" w:cs="仿宋_GB2312" w:hint="eastAsia"/>
          <w:bCs/>
          <w:color w:val="auto"/>
          <w:kern w:val="0"/>
          <w:sz w:val="32"/>
          <w:szCs w:val="32"/>
          <w:lang w:val="en-US" w:eastAsia="zh-CN"/>
        </w:rPr>
        <w:t>5</w:t>
      </w:r>
      <w:r>
        <w:rPr>
          <w:rFonts w:ascii="仿宋_GB2312" w:eastAsia="仿宋_GB2312" w:cs="仿宋_GB2312" w:hint="eastAsia"/>
          <w:bCs/>
          <w:color w:val="auto"/>
          <w:kern w:val="0"/>
          <w:sz w:val="32"/>
          <w:szCs w:val="32"/>
        </w:rPr>
        <w:t>年底我局核定编制</w:t>
      </w:r>
      <w:r>
        <w:rPr>
          <w:rFonts w:ascii="仿宋_GB2312" w:eastAsia="仿宋_GB2312" w:cs="仿宋_GB2312" w:hint="eastAsia"/>
          <w:bCs/>
          <w:color w:val="auto"/>
          <w:kern w:val="0"/>
          <w:sz w:val="32"/>
          <w:szCs w:val="32"/>
          <w:lang w:val="en-US" w:eastAsia="zh-CN"/>
        </w:rPr>
        <w:t>43</w:t>
      </w:r>
      <w:r>
        <w:rPr>
          <w:rFonts w:ascii="仿宋_GB2312" w:eastAsia="仿宋_GB2312" w:cs="仿宋_GB2312" w:hint="eastAsia"/>
          <w:bCs/>
          <w:color w:val="auto"/>
          <w:kern w:val="0"/>
          <w:sz w:val="32"/>
          <w:szCs w:val="32"/>
        </w:rPr>
        <w:t>人，在职：行政</w:t>
      </w:r>
      <w:r>
        <w:rPr>
          <w:rFonts w:ascii="仿宋_GB2312" w:eastAsia="仿宋_GB2312" w:cs="仿宋_GB2312" w:hint="eastAsia"/>
          <w:bCs/>
          <w:color w:val="auto"/>
          <w:kern w:val="0"/>
          <w:sz w:val="32"/>
          <w:szCs w:val="32"/>
          <w:lang w:val="en-US" w:eastAsia="zh-CN"/>
        </w:rPr>
        <w:t>9</w:t>
      </w:r>
      <w:r>
        <w:rPr>
          <w:rFonts w:ascii="仿宋_GB2312" w:eastAsia="仿宋_GB2312" w:cs="仿宋_GB2312" w:hint="eastAsia"/>
          <w:bCs/>
          <w:color w:val="auto"/>
          <w:kern w:val="0"/>
          <w:sz w:val="32"/>
          <w:szCs w:val="32"/>
        </w:rPr>
        <w:t>人，行政工勤</w:t>
      </w:r>
      <w:r>
        <w:rPr>
          <w:rFonts w:ascii="仿宋_GB2312" w:eastAsia="仿宋_GB2312" w:cs="仿宋_GB2312" w:hint="eastAsia"/>
          <w:bCs/>
          <w:color w:val="auto"/>
          <w:kern w:val="0"/>
          <w:sz w:val="32"/>
          <w:szCs w:val="32"/>
          <w:lang w:val="en-US" w:eastAsia="zh-CN"/>
        </w:rPr>
        <w:t>2</w:t>
      </w:r>
      <w:r>
        <w:rPr>
          <w:rFonts w:ascii="仿宋_GB2312" w:eastAsia="仿宋_GB2312" w:cs="仿宋_GB2312" w:hint="eastAsia"/>
          <w:bCs/>
          <w:color w:val="auto"/>
          <w:kern w:val="0"/>
          <w:sz w:val="32"/>
          <w:szCs w:val="32"/>
        </w:rPr>
        <w:t>人，参公工勤7人，参公</w:t>
      </w:r>
      <w:r>
        <w:rPr>
          <w:rFonts w:ascii="仿宋_GB2312" w:eastAsia="仿宋_GB2312" w:cs="仿宋_GB2312" w:hint="eastAsia"/>
          <w:bCs/>
          <w:color w:val="auto"/>
          <w:kern w:val="0"/>
          <w:sz w:val="32"/>
          <w:szCs w:val="32"/>
          <w:lang w:val="en-US" w:eastAsia="zh-CN"/>
        </w:rPr>
        <w:t>11</w:t>
      </w:r>
      <w:r>
        <w:rPr>
          <w:rFonts w:ascii="仿宋_GB2312" w:eastAsia="仿宋_GB2312" w:cs="仿宋_GB2312" w:hint="eastAsia"/>
          <w:bCs/>
          <w:color w:val="auto"/>
          <w:kern w:val="0"/>
          <w:sz w:val="32"/>
          <w:szCs w:val="32"/>
        </w:rPr>
        <w:t>人，事业14人。</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黑体" w:eastAsia="黑体" w:cs="黑体" w:hint="eastAsia"/>
          <w:b/>
          <w:bCs/>
          <w:color w:val="000000"/>
          <w:kern w:val="0"/>
          <w:sz w:val="32"/>
          <w:szCs w:val="32"/>
        </w:rPr>
      </w:pPr>
      <w:r>
        <w:rPr>
          <w:rFonts w:ascii="黑体" w:eastAsia="黑体" w:cs="黑体" w:hint="eastAsia"/>
          <w:b/>
          <w:bCs/>
          <w:color w:val="000000"/>
          <w:kern w:val="0"/>
          <w:sz w:val="32"/>
          <w:szCs w:val="32"/>
        </w:rPr>
        <w:t>二、部门财政资金收支情况</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（一）部门财政资金收入情况</w:t>
      </w:r>
    </w:p>
    <w:p>
      <w:pPr>
        <w:pStyle w:val="24"/>
        <w:keepNext w:val="0"/>
        <w:keepLines w:val="0"/>
        <w:pageBreakBefore w:val="0"/>
        <w:widowControl/>
        <w:suppressLineNumbers w:val="0"/>
        <w:wordWrap/>
        <w:overflowPunct/>
        <w:topLinePunct w:val="0"/>
        <w:autoSpaceDE w:val="0"/>
        <w:autoSpaceDN/>
        <w:bidi w:val="0"/>
        <w:spacing w:before="0" w:beforeAutospacing="0" w:after="0" w:afterAutospacing="0" w:line="560" w:lineRule="exact"/>
        <w:ind w:left="0" w:firstLineChars="200" w:firstLine="640"/>
        <w:jc w:val="both"/>
        <w:rPr>
          <w:rFonts w:ascii="仿宋_GB2312" w:eastAsia="仿宋_GB2312" w:cs="仿宋_GB2312" w:hint="eastAsia"/>
          <w:kern w:val="0"/>
          <w:sz w:val="32"/>
          <w:szCs w:val="32"/>
          <w:shd w:val="clear" w:color="auto" w:fill="FFFFFF"/>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年本年收入合计5,</w:t>
      </w:r>
      <w:r>
        <w:rPr>
          <w:rFonts w:ascii="仿宋_GB2312" w:eastAsia="仿宋_GB2312" w:cs="仿宋_GB2312" w:hint="eastAsia"/>
          <w:kern w:val="0"/>
          <w:sz w:val="32"/>
          <w:szCs w:val="32"/>
          <w:shd w:val="clear" w:color="auto" w:fill="FFFFFF"/>
          <w:lang w:val="en-US" w:eastAsia="zh-CN"/>
        </w:rPr>
        <w:t>639.88</w:t>
      </w:r>
      <w:r>
        <w:rPr>
          <w:rFonts w:ascii="仿宋_GB2312" w:eastAsia="仿宋_GB2312" w:cs="仿宋_GB2312" w:hint="eastAsia"/>
          <w:kern w:val="0"/>
          <w:sz w:val="32"/>
          <w:szCs w:val="32"/>
          <w:shd w:val="clear" w:color="auto" w:fill="FFFFFF"/>
        </w:rPr>
        <w:t>万元，其中：一般公共预算财政拨款收入</w:t>
      </w:r>
      <w:r>
        <w:rPr>
          <w:rFonts w:ascii="仿宋_GB2312" w:eastAsia="仿宋_GB2312" w:cs="仿宋_GB2312" w:hint="eastAsia"/>
          <w:kern w:val="0"/>
          <w:sz w:val="32"/>
          <w:szCs w:val="32"/>
          <w:shd w:val="clear" w:color="auto" w:fill="FFFFFF"/>
          <w:lang w:val="en-US" w:eastAsia="zh-CN"/>
        </w:rPr>
        <w:t>5,115.15</w:t>
      </w:r>
      <w:r>
        <w:rPr>
          <w:rFonts w:ascii="仿宋_GB2312" w:eastAsia="仿宋_GB2312" w:cs="仿宋_GB2312" w:hint="eastAsia"/>
          <w:kern w:val="0"/>
          <w:sz w:val="32"/>
          <w:szCs w:val="32"/>
          <w:shd w:val="clear" w:color="auto" w:fill="FFFFFF"/>
        </w:rPr>
        <w:t>万元，占9</w:t>
      </w:r>
      <w:r>
        <w:rPr>
          <w:rFonts w:ascii="仿宋_GB2312" w:eastAsia="仿宋_GB2312" w:cs="仿宋_GB2312" w:hint="eastAsia"/>
          <w:kern w:val="0"/>
          <w:sz w:val="32"/>
          <w:szCs w:val="32"/>
          <w:shd w:val="clear" w:color="auto" w:fill="FFFFFF"/>
          <w:lang w:val="en-US" w:eastAsia="zh-CN"/>
        </w:rPr>
        <w:t>0</w:t>
      </w:r>
      <w:r>
        <w:rPr>
          <w:rFonts w:ascii="仿宋_GB2312" w:eastAsia="仿宋_GB2312" w:cs="仿宋_GB2312" w:hint="eastAsia"/>
          <w:kern w:val="0"/>
          <w:sz w:val="32"/>
          <w:szCs w:val="32"/>
          <w:shd w:val="clear" w:color="auto" w:fill="FFFFFF"/>
        </w:rPr>
        <w:t>.</w:t>
      </w:r>
      <w:r>
        <w:rPr>
          <w:rFonts w:ascii="仿宋_GB2312" w:eastAsia="仿宋_GB2312" w:cs="仿宋_GB2312" w:hint="eastAsia"/>
          <w:kern w:val="0"/>
          <w:sz w:val="32"/>
          <w:szCs w:val="32"/>
          <w:shd w:val="clear" w:color="auto" w:fill="FFFFFF"/>
          <w:lang w:val="en-US" w:eastAsia="zh-CN"/>
        </w:rPr>
        <w:t>69</w:t>
      </w:r>
      <w:r>
        <w:rPr>
          <w:rFonts w:ascii="仿宋_GB2312" w:eastAsia="仿宋_GB2312" w:cs="仿宋_GB2312" w:hint="eastAsia"/>
          <w:kern w:val="0"/>
          <w:sz w:val="32"/>
          <w:szCs w:val="32"/>
          <w:shd w:val="clear" w:color="auto" w:fill="FFFFFF"/>
        </w:rPr>
        <w:t>%；政府性基金预算财政拨款收入</w:t>
      </w:r>
      <w:r>
        <w:rPr>
          <w:rFonts w:ascii="仿宋_GB2312" w:eastAsia="仿宋_GB2312" w:cs="仿宋_GB2312" w:hint="eastAsia"/>
          <w:kern w:val="0"/>
          <w:sz w:val="32"/>
          <w:szCs w:val="32"/>
          <w:shd w:val="clear" w:color="auto" w:fill="FFFFFF"/>
          <w:lang w:val="en-US" w:eastAsia="zh-CN"/>
        </w:rPr>
        <w:t>524.73</w:t>
      </w:r>
      <w:r>
        <w:rPr>
          <w:rFonts w:ascii="仿宋_GB2312" w:eastAsia="仿宋_GB2312" w:cs="仿宋_GB2312" w:hint="eastAsia"/>
          <w:kern w:val="0"/>
          <w:sz w:val="32"/>
          <w:szCs w:val="32"/>
          <w:shd w:val="clear" w:color="auto" w:fill="FFFFFF"/>
        </w:rPr>
        <w:t>万元，占</w:t>
      </w:r>
      <w:r>
        <w:rPr>
          <w:rFonts w:ascii="仿宋_GB2312" w:eastAsia="仿宋_GB2312" w:cs="仿宋_GB2312" w:hint="eastAsia"/>
          <w:kern w:val="0"/>
          <w:sz w:val="32"/>
          <w:szCs w:val="32"/>
          <w:shd w:val="clear" w:color="auto" w:fill="FFFFFF"/>
          <w:lang w:val="en-US" w:eastAsia="zh-CN"/>
        </w:rPr>
        <w:t>9</w:t>
      </w:r>
      <w:r>
        <w:rPr>
          <w:rFonts w:ascii="仿宋_GB2312" w:eastAsia="仿宋_GB2312" w:cs="仿宋_GB2312" w:hint="eastAsia"/>
          <w:kern w:val="0"/>
          <w:sz w:val="32"/>
          <w:szCs w:val="32"/>
          <w:shd w:val="clear" w:color="auto" w:fill="FFFFFF"/>
        </w:rPr>
        <w:t>.</w:t>
      </w:r>
      <w:r>
        <w:rPr>
          <w:rFonts w:ascii="仿宋_GB2312" w:eastAsia="仿宋_GB2312" w:cs="仿宋_GB2312" w:hint="eastAsia"/>
          <w:kern w:val="0"/>
          <w:sz w:val="32"/>
          <w:szCs w:val="32"/>
          <w:shd w:val="clear" w:color="auto" w:fill="FFFFFF"/>
          <w:lang w:val="en-US" w:eastAsia="zh-CN"/>
        </w:rPr>
        <w:t>31</w:t>
      </w:r>
      <w:r>
        <w:rPr>
          <w:rFonts w:ascii="仿宋_GB2312" w:eastAsia="仿宋_GB2312" w:cs="仿宋_GB2312" w:hint="eastAsia"/>
          <w:kern w:val="0"/>
          <w:sz w:val="32"/>
          <w:szCs w:val="32"/>
          <w:shd w:val="clear" w:color="auto" w:fill="FFFFFF"/>
        </w:rPr>
        <w:t>%；国有资本经营预算财政拨款收入0.00万元，占0.00%;上级补助收入0.00万元，占0.00%；事业收入0.00万元，占0.00%；经营收入0.00万元，占0.00%；附属单位上缴收入0.00万元，占0.00%；其他收入0.00万元，占0.00%。</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（二）部门财政资金支出情况</w:t>
      </w:r>
    </w:p>
    <w:p>
      <w:pPr>
        <w:pStyle w:val="24"/>
        <w:keepNext w:val="0"/>
        <w:keepLines w:val="0"/>
        <w:pageBreakBefore w:val="0"/>
        <w:widowControl/>
        <w:suppressLineNumbers w:val="0"/>
        <w:wordWrap/>
        <w:overflowPunct/>
        <w:topLinePunct w:val="0"/>
        <w:autoSpaceDE w:val="0"/>
        <w:autoSpaceDN/>
        <w:bidi w:val="0"/>
        <w:spacing w:before="0" w:beforeAutospacing="0" w:after="0" w:afterAutospacing="0" w:line="560" w:lineRule="exact"/>
        <w:ind w:left="0" w:firstLineChars="200" w:firstLine="640"/>
        <w:jc w:val="both"/>
        <w:rPr>
          <w:rFonts w:ascii="仿宋_GB2312" w:eastAsia="仿宋_GB2312" w:cs="仿宋_GB2312" w:hint="eastAsia"/>
          <w:color w:val="000000"/>
          <w:kern w:val="0"/>
          <w:sz w:val="32"/>
          <w:szCs w:val="32"/>
        </w:rPr>
      </w:pPr>
      <w:r>
        <w:rPr>
          <w:rFonts w:ascii="仿宋_GB2312" w:eastAsia="仿宋_GB2312" w:cs="仿宋_GB2312" w:hint="eastAsia"/>
          <w:kern w:val="0"/>
          <w:sz w:val="32"/>
          <w:szCs w:val="32"/>
          <w:shd w:val="clear" w:color="auto" w:fill="FFFFFF"/>
        </w:rPr>
        <w:t>202</w:t>
      </w:r>
      <w:r>
        <w:rPr>
          <w:rFonts w:ascii="仿宋_GB2312" w:eastAsia="仿宋_GB2312" w:cs="仿宋_GB2312" w:hint="eastAsia"/>
          <w:kern w:val="0"/>
          <w:sz w:val="32"/>
          <w:szCs w:val="32"/>
          <w:shd w:val="clear" w:color="auto" w:fill="FFFFFF"/>
          <w:lang w:val="en-US" w:eastAsia="zh-CN"/>
        </w:rPr>
        <w:t>5</w:t>
      </w:r>
      <w:r>
        <w:rPr>
          <w:rFonts w:ascii="仿宋_GB2312" w:eastAsia="仿宋_GB2312" w:cs="仿宋_GB2312" w:hint="eastAsia"/>
          <w:kern w:val="0"/>
          <w:sz w:val="32"/>
          <w:szCs w:val="32"/>
          <w:shd w:val="clear" w:color="auto" w:fill="FFFFFF"/>
        </w:rPr>
        <w:t>年本年支出合计5</w:t>
      </w:r>
      <w:r>
        <w:rPr>
          <w:rFonts w:ascii="仿宋_GB2312" w:eastAsia="仿宋_GB2312" w:cs="仿宋_GB2312" w:hint="eastAsia"/>
          <w:kern w:val="0"/>
          <w:sz w:val="32"/>
          <w:szCs w:val="32"/>
          <w:shd w:val="clear" w:color="auto" w:fill="FFFFFF"/>
          <w:lang w:val="en-US" w:eastAsia="zh-CN"/>
        </w:rPr>
        <w:t>,639.88</w:t>
      </w:r>
      <w:r>
        <w:rPr>
          <w:rFonts w:ascii="仿宋_GB2312" w:eastAsia="仿宋_GB2312" w:cs="仿宋_GB2312" w:hint="eastAsia"/>
          <w:kern w:val="0"/>
          <w:sz w:val="32"/>
          <w:szCs w:val="32"/>
          <w:shd w:val="clear" w:color="auto" w:fill="FFFFFF"/>
        </w:rPr>
        <w:t>万元，其中：基本支出1</w:t>
      </w:r>
      <w:r>
        <w:rPr>
          <w:rFonts w:ascii="仿宋_GB2312" w:eastAsia="仿宋_GB2312" w:cs="仿宋_GB2312" w:hint="eastAsia"/>
          <w:kern w:val="0"/>
          <w:sz w:val="32"/>
          <w:szCs w:val="32"/>
          <w:shd w:val="clear" w:color="auto" w:fill="FFFFFF"/>
          <w:lang w:val="en-US" w:eastAsia="zh-CN"/>
        </w:rPr>
        <w:t>,</w:t>
      </w:r>
      <w:r>
        <w:rPr>
          <w:rFonts w:ascii="仿宋_GB2312" w:eastAsia="仿宋_GB2312" w:cs="仿宋_GB2312" w:hint="eastAsia"/>
          <w:kern w:val="0"/>
          <w:sz w:val="32"/>
          <w:szCs w:val="32"/>
          <w:shd w:val="clear" w:color="auto" w:fill="FFFFFF"/>
        </w:rPr>
        <w:t>002.28万元，占1</w:t>
      </w:r>
      <w:r>
        <w:rPr>
          <w:rFonts w:ascii="仿宋_GB2312" w:eastAsia="仿宋_GB2312" w:cs="仿宋_GB2312" w:hint="eastAsia"/>
          <w:kern w:val="0"/>
          <w:sz w:val="32"/>
          <w:szCs w:val="32"/>
          <w:shd w:val="clear" w:color="auto" w:fill="FFFFFF"/>
          <w:lang w:val="en-US" w:eastAsia="zh-CN"/>
        </w:rPr>
        <w:t>7.77</w:t>
      </w:r>
      <w:r>
        <w:rPr>
          <w:rFonts w:ascii="仿宋_GB2312" w:eastAsia="仿宋_GB2312" w:cs="仿宋_GB2312" w:hint="eastAsia"/>
          <w:kern w:val="0"/>
          <w:sz w:val="32"/>
          <w:szCs w:val="32"/>
          <w:shd w:val="clear" w:color="auto" w:fill="FFFFFF"/>
        </w:rPr>
        <w:t>%；项目支出4</w:t>
      </w:r>
      <w:r>
        <w:rPr>
          <w:rFonts w:ascii="仿宋_GB2312" w:eastAsia="仿宋_GB2312" w:cs="仿宋_GB2312" w:hint="eastAsia"/>
          <w:kern w:val="0"/>
          <w:sz w:val="32"/>
          <w:szCs w:val="32"/>
          <w:shd w:val="clear" w:color="auto" w:fill="FFFFFF"/>
          <w:lang w:val="en-US" w:eastAsia="zh-CN"/>
        </w:rPr>
        <w:t>,</w:t>
      </w:r>
      <w:r>
        <w:rPr>
          <w:rFonts w:ascii="仿宋_GB2312" w:eastAsia="仿宋_GB2312" w:cs="仿宋_GB2312" w:hint="eastAsia"/>
          <w:kern w:val="0"/>
          <w:sz w:val="32"/>
          <w:szCs w:val="32"/>
          <w:shd w:val="clear" w:color="auto" w:fill="FFFFFF"/>
        </w:rPr>
        <w:t>637.6万元，占8</w:t>
      </w:r>
      <w:r>
        <w:rPr>
          <w:rFonts w:ascii="仿宋_GB2312" w:eastAsia="仿宋_GB2312" w:cs="仿宋_GB2312" w:hint="eastAsia"/>
          <w:kern w:val="0"/>
          <w:sz w:val="32"/>
          <w:szCs w:val="32"/>
          <w:shd w:val="clear" w:color="auto" w:fill="FFFFFF"/>
          <w:lang w:val="en-US" w:eastAsia="zh-CN"/>
        </w:rPr>
        <w:t>2.23</w:t>
      </w:r>
      <w:r>
        <w:rPr>
          <w:rFonts w:ascii="仿宋_GB2312" w:eastAsia="仿宋_GB2312" w:cs="仿宋_GB2312" w:hint="eastAsia"/>
          <w:kern w:val="0"/>
          <w:sz w:val="32"/>
          <w:szCs w:val="32"/>
          <w:shd w:val="clear" w:color="auto" w:fill="FFFFFF"/>
        </w:rPr>
        <w:t>%；上缴上级支出0.00万元，占0.00%；经营支出0.00万元，占0.00%；对附属单位补助支出0.00万元，占0.00%。</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黑体" w:eastAsia="黑体" w:cs="黑体" w:hint="eastAsia"/>
          <w:b/>
          <w:bCs/>
          <w:color w:val="000000"/>
          <w:kern w:val="0"/>
          <w:sz w:val="32"/>
          <w:szCs w:val="32"/>
        </w:rPr>
      </w:pPr>
      <w:r>
        <w:rPr>
          <w:rFonts w:ascii="黑体" w:eastAsia="黑体" w:cs="黑体" w:hint="eastAsia"/>
          <w:b/>
          <w:bCs/>
          <w:color w:val="000000"/>
          <w:kern w:val="0"/>
          <w:sz w:val="32"/>
          <w:szCs w:val="32"/>
        </w:rPr>
        <w:t>三、部门财政支出管理情况</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（一）预算编制情况</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我局202</w:t>
      </w:r>
      <w:r>
        <w:rPr>
          <w:rFonts w:ascii="仿宋_GB2312" w:eastAsia="仿宋_GB2312" w:cs="仿宋_GB2312" w:hint="eastAsia"/>
          <w:color w:val="000000"/>
          <w:kern w:val="0"/>
          <w:sz w:val="32"/>
          <w:szCs w:val="32"/>
          <w:lang w:val="en-US" w:eastAsia="zh-CN"/>
        </w:rPr>
        <w:t>5</w:t>
      </w:r>
      <w:r>
        <w:rPr>
          <w:rFonts w:ascii="仿宋_GB2312" w:eastAsia="仿宋_GB2312" w:cs="仿宋_GB2312" w:hint="eastAsia"/>
          <w:color w:val="000000"/>
          <w:kern w:val="0"/>
          <w:sz w:val="32"/>
          <w:szCs w:val="32"/>
        </w:rPr>
        <w:t>年预算编制严格按照县财政《关于编制202</w:t>
      </w:r>
      <w:r>
        <w:rPr>
          <w:rFonts w:ascii="仿宋_GB2312" w:eastAsia="仿宋_GB2312" w:cs="仿宋_GB2312" w:hint="eastAsia"/>
          <w:color w:val="000000"/>
          <w:kern w:val="0"/>
          <w:sz w:val="32"/>
          <w:szCs w:val="32"/>
          <w:lang w:val="en-US" w:eastAsia="zh-CN"/>
        </w:rPr>
        <w:t>5</w:t>
      </w:r>
      <w:r>
        <w:rPr>
          <w:rFonts w:ascii="仿宋_GB2312" w:eastAsia="仿宋_GB2312" w:cs="仿宋_GB2312" w:hint="eastAsia"/>
          <w:color w:val="000000"/>
          <w:kern w:val="0"/>
          <w:sz w:val="32"/>
          <w:szCs w:val="32"/>
        </w:rPr>
        <w:t>年县本级预算通知》相关精神，认真学习《预算法》及其实施条例等预算编制的法律、法规，掌握预算编制想相关政策，及时与县编办等部门核对人员编制、实有人数、工资、车辆等信息，并实时更新单位基础信息数据库，准确编制部门预算，全面完整地反映部门真实收入情况。基本支出预算包括人员经费和日常公用经费两部分，采取人员经费按标准，公用经费按定额的方法客观编制基本支出预算。</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（二）执行管理情况</w:t>
      </w:r>
    </w:p>
    <w:p>
      <w:pPr>
        <w:keepNext w:val="0"/>
        <w:keepLines w:val="0"/>
        <w:pageBreakBefore w:val="0"/>
        <w:widowControl/>
        <w:suppressLineNumbers w:val="0"/>
        <w:wordWrap/>
        <w:overflowPunct/>
        <w:topLinePunct w:val="0"/>
        <w:bidi w:val="0"/>
        <w:spacing w:before="0" w:after="0" w:afterAutospacing="0" w:line="560" w:lineRule="exact"/>
        <w:ind w:left="0" w:firstLineChars="200" w:firstLine="640"/>
        <w:jc w:val="both"/>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202</w:t>
      </w:r>
      <w:r>
        <w:rPr>
          <w:rFonts w:ascii="仿宋_GB2312" w:eastAsia="仿宋_GB2312" w:cs="仿宋_GB2312" w:hint="eastAsia"/>
          <w:color w:val="000000"/>
          <w:kern w:val="0"/>
          <w:sz w:val="32"/>
          <w:szCs w:val="32"/>
          <w:lang w:val="en-US" w:eastAsia="zh-CN"/>
        </w:rPr>
        <w:t>5</w:t>
      </w:r>
      <w:r>
        <w:rPr>
          <w:rFonts w:ascii="仿宋_GB2312" w:eastAsia="仿宋_GB2312" w:cs="仿宋_GB2312" w:hint="eastAsia"/>
          <w:color w:val="000000"/>
          <w:kern w:val="0"/>
          <w:sz w:val="32"/>
          <w:szCs w:val="32"/>
        </w:rPr>
        <w:t>年度“三公”经费财政拨款支出决算中，因公出国（境）费支出决算0元，占0%。公务用车购置及运行维护费支出决算7.2</w:t>
      </w:r>
      <w:r>
        <w:rPr>
          <w:rFonts w:ascii="仿宋_GB2312" w:eastAsia="仿宋_GB2312" w:cs="仿宋_GB2312" w:hint="eastAsia"/>
          <w:color w:val="000000"/>
          <w:kern w:val="0"/>
          <w:sz w:val="32"/>
          <w:szCs w:val="32"/>
          <w:lang w:val="en-US" w:eastAsia="zh-CN"/>
        </w:rPr>
        <w:t>1</w:t>
      </w:r>
      <w:r>
        <w:rPr>
          <w:rFonts w:ascii="仿宋_GB2312" w:eastAsia="仿宋_GB2312" w:cs="仿宋_GB2312" w:hint="eastAsia"/>
          <w:color w:val="000000"/>
          <w:kern w:val="0"/>
          <w:sz w:val="32"/>
          <w:szCs w:val="32"/>
        </w:rPr>
        <w:t>元，占99.</w:t>
      </w:r>
      <w:r>
        <w:rPr>
          <w:rFonts w:ascii="仿宋_GB2312" w:eastAsia="仿宋_GB2312" w:cs="仿宋_GB2312" w:hint="eastAsia"/>
          <w:color w:val="000000"/>
          <w:kern w:val="0"/>
          <w:sz w:val="32"/>
          <w:szCs w:val="32"/>
          <w:lang w:val="en-US" w:eastAsia="zh-CN"/>
        </w:rPr>
        <w:t>99</w:t>
      </w:r>
      <w:r>
        <w:rPr>
          <w:rFonts w:ascii="仿宋_GB2312" w:eastAsia="仿宋_GB2312" w:cs="仿宋_GB2312" w:hint="eastAsia"/>
          <w:color w:val="000000"/>
          <w:kern w:val="0"/>
          <w:sz w:val="32"/>
          <w:szCs w:val="32"/>
        </w:rPr>
        <w:t>%；公务接待费支出决算0</w:t>
      </w:r>
      <w:r>
        <w:rPr>
          <w:rFonts w:ascii="仿宋_GB2312" w:eastAsia="仿宋_GB2312" w:cs="仿宋_GB2312" w:hint="eastAsia"/>
          <w:color w:val="000000"/>
          <w:kern w:val="0"/>
          <w:sz w:val="32"/>
          <w:szCs w:val="32"/>
          <w:lang w:val="en-US" w:eastAsia="zh-CN"/>
        </w:rPr>
        <w:t>.00</w:t>
      </w:r>
      <w:r>
        <w:rPr>
          <w:rFonts w:ascii="仿宋_GB2312" w:eastAsia="仿宋_GB2312" w:cs="仿宋_GB2312" w:hint="eastAsia"/>
          <w:color w:val="000000"/>
          <w:kern w:val="0"/>
          <w:sz w:val="32"/>
          <w:szCs w:val="32"/>
        </w:rPr>
        <w:t>万元，占0.</w:t>
      </w:r>
      <w:r>
        <w:rPr>
          <w:rFonts w:ascii="仿宋_GB2312" w:eastAsia="仿宋_GB2312" w:cs="仿宋_GB2312" w:hint="eastAsia"/>
          <w:color w:val="000000"/>
          <w:kern w:val="0"/>
          <w:sz w:val="32"/>
          <w:szCs w:val="32"/>
          <w:lang w:val="en-US" w:eastAsia="zh-CN"/>
        </w:rPr>
        <w:t>00</w:t>
      </w:r>
      <w:r>
        <w:rPr>
          <w:rFonts w:ascii="仿宋_GB2312" w:eastAsia="仿宋_GB2312" w:cs="仿宋_GB2312" w:hint="eastAsia"/>
          <w:color w:val="000000"/>
          <w:kern w:val="0"/>
          <w:sz w:val="32"/>
          <w:szCs w:val="32"/>
        </w:rPr>
        <w:t>%。具体情况如下：</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仿宋_GB2312" w:hint="eastAsia"/>
          <w:bCs/>
          <w:color w:val="000000"/>
          <w:kern w:val="0"/>
          <w:sz w:val="32"/>
          <w:szCs w:val="32"/>
        </w:rPr>
      </w:pPr>
      <w:r>
        <w:rPr>
          <w:rFonts w:ascii="仿宋_GB2312" w:eastAsia="仿宋_GB2312" w:cs="仿宋_GB2312" w:hint="eastAsia"/>
          <w:bCs/>
          <w:color w:val="000000"/>
          <w:kern w:val="0"/>
          <w:sz w:val="32"/>
          <w:szCs w:val="32"/>
        </w:rPr>
        <w:t>202</w:t>
      </w:r>
      <w:r>
        <w:rPr>
          <w:rFonts w:ascii="仿宋_GB2312" w:eastAsia="仿宋_GB2312" w:cs="仿宋_GB2312" w:hint="eastAsia"/>
          <w:bCs/>
          <w:color w:val="000000"/>
          <w:kern w:val="0"/>
          <w:sz w:val="32"/>
          <w:szCs w:val="32"/>
          <w:lang w:val="en-US" w:eastAsia="zh-CN"/>
        </w:rPr>
        <w:t>5</w:t>
      </w:r>
      <w:r>
        <w:rPr>
          <w:rFonts w:ascii="仿宋_GB2312" w:eastAsia="仿宋_GB2312" w:cs="仿宋_GB2312" w:hint="eastAsia"/>
          <w:bCs/>
          <w:color w:val="000000"/>
          <w:kern w:val="0"/>
          <w:sz w:val="32"/>
          <w:szCs w:val="32"/>
        </w:rPr>
        <w:t>年我单位严格执行新的《预算法》，切实按照中央八项规定、省委九项规定、市委十项规定的管理制度，坚决执行财经和财务规章制度，按照《财务管理规定》、《财产管理规定》、《公务接待费管理规定》、《差旅费、会议费、培训费管理规定》、《公务用车管理办法》等规章制度管理本单位的财务收支活动，进一步明确了本单位财政预算资金的审批手续和拨付程序、机关行政运行经费报审手续和报销程序，加强了财务管理，规范了收支行为，保证了本单位财务管理工作规范有序进行。</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（三）综合管理情况</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我局在执行有关法律法规、财经纪律、财务规章制度的同时，结合自身实际情况，制度相关财务制度、政府采购管理制度、项目管理制度等。内控制度健全并执行良好，并及时向社会公开了本部门的预、决算，依法接受财政监督。</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（四）整体绩效</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仿宋_GB2312" w:hint="eastAsia"/>
          <w:color w:val="000000"/>
          <w:kern w:val="0"/>
          <w:sz w:val="32"/>
          <w:szCs w:val="32"/>
        </w:rPr>
      </w:pPr>
      <w:r>
        <w:rPr>
          <w:rFonts w:ascii="仿宋_GB2312" w:eastAsia="仿宋_GB2312" w:cs="仿宋_GB2312" w:hint="eastAsia"/>
          <w:color w:val="000000"/>
          <w:kern w:val="0"/>
          <w:sz w:val="32"/>
          <w:szCs w:val="32"/>
        </w:rPr>
        <w:t>202</w:t>
      </w:r>
      <w:r>
        <w:rPr>
          <w:rFonts w:ascii="仿宋_GB2312" w:eastAsia="仿宋_GB2312" w:cs="仿宋_GB2312" w:hint="eastAsia"/>
          <w:color w:val="000000"/>
          <w:kern w:val="0"/>
          <w:sz w:val="32"/>
          <w:szCs w:val="32"/>
          <w:lang w:val="en-US" w:eastAsia="zh-CN"/>
        </w:rPr>
        <w:t>5</w:t>
      </w:r>
      <w:r>
        <w:rPr>
          <w:rFonts w:ascii="仿宋_GB2312" w:eastAsia="仿宋_GB2312" w:cs="仿宋_GB2312" w:hint="eastAsia"/>
          <w:color w:val="000000"/>
          <w:kern w:val="0"/>
          <w:sz w:val="32"/>
          <w:szCs w:val="32"/>
        </w:rPr>
        <w:t>年度我单位年初根据工作规划和重点工作规划，围绕全面建成小康社会的发展蓝图，积极履行职责，强化本单位预算管理，较好地完成了年初工作目标。通过加强预算收支管理，不断建立健全内部管理制度，梳理内部管理流程。部门整体预算支出管理情况得到提升。</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黑体" w:eastAsia="黑体" w:cs="黑体" w:hint="eastAsia"/>
          <w:b/>
          <w:bCs/>
          <w:color w:val="000000"/>
          <w:kern w:val="0"/>
          <w:sz w:val="32"/>
          <w:szCs w:val="32"/>
        </w:rPr>
      </w:pPr>
      <w:r>
        <w:rPr>
          <w:rFonts w:ascii="黑体" w:eastAsia="黑体" w:cs="黑体" w:hint="eastAsia"/>
          <w:b/>
          <w:bCs/>
          <w:color w:val="000000"/>
          <w:kern w:val="0"/>
          <w:sz w:val="32"/>
          <w:szCs w:val="32"/>
        </w:rPr>
        <w:t>四、存在的问题及建议</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（一）存在的问题</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仿宋_GB2312" w:eastAsia="仿宋_GB2312" w:cs="仿宋_GB2312" w:hint="eastAsia"/>
          <w:color w:val="000000"/>
          <w:kern w:val="0"/>
          <w:sz w:val="32"/>
          <w:szCs w:val="32"/>
        </w:rPr>
      </w:pPr>
      <w:r>
        <w:rPr>
          <w:rFonts w:ascii="仿宋_GB2312" w:eastAsia="仿宋_GB2312" w:cs="仿宋_GB2312" w:hint="eastAsia"/>
          <w:b/>
          <w:bCs/>
          <w:color w:val="333333"/>
          <w:kern w:val="0"/>
          <w:sz w:val="32"/>
          <w:szCs w:val="32"/>
          <w:shd w:val="clear" w:color="auto" w:fill="FFFFFF"/>
        </w:rPr>
        <w:t>一是</w:t>
      </w:r>
      <w:r>
        <w:rPr>
          <w:rFonts w:ascii="仿宋_GB2312" w:eastAsia="仿宋_GB2312" w:cs="仿宋_GB2312" w:hint="eastAsia"/>
          <w:color w:val="333333"/>
          <w:kern w:val="0"/>
          <w:sz w:val="32"/>
          <w:szCs w:val="32"/>
          <w:shd w:val="clear" w:color="auto" w:fill="FFFFFF"/>
        </w:rPr>
        <w:t>应加强公务卡使用力度，保证资金的合理使用；</w:t>
      </w:r>
      <w:r>
        <w:rPr>
          <w:rFonts w:ascii="仿宋_GB2312" w:eastAsia="仿宋_GB2312" w:cs="仿宋_GB2312" w:hint="eastAsia"/>
          <w:b/>
          <w:bCs/>
          <w:color w:val="333333"/>
          <w:kern w:val="0"/>
          <w:sz w:val="32"/>
          <w:szCs w:val="32"/>
          <w:shd w:val="clear" w:color="auto" w:fill="FFFFFF"/>
        </w:rPr>
        <w:t>二是</w:t>
      </w:r>
      <w:r>
        <w:rPr>
          <w:rFonts w:ascii="仿宋_GB2312" w:eastAsia="仿宋_GB2312" w:cs="仿宋_GB2312" w:hint="eastAsia"/>
          <w:color w:val="333333"/>
          <w:kern w:val="0"/>
          <w:sz w:val="32"/>
          <w:szCs w:val="32"/>
          <w:shd w:val="clear" w:color="auto" w:fill="FFFFFF"/>
        </w:rPr>
        <w:t>了解财政各项规定，严格按照规定执行，做好费用报销审核工作；</w:t>
      </w:r>
      <w:r>
        <w:rPr>
          <w:rFonts w:ascii="仿宋_GB2312" w:eastAsia="仿宋_GB2312" w:cs="仿宋_GB2312" w:hint="eastAsia"/>
          <w:b/>
          <w:bCs/>
          <w:color w:val="333333"/>
          <w:kern w:val="0"/>
          <w:sz w:val="32"/>
          <w:szCs w:val="32"/>
          <w:shd w:val="clear" w:color="auto" w:fill="FFFFFF"/>
        </w:rPr>
        <w:t>三是</w:t>
      </w:r>
      <w:r>
        <w:rPr>
          <w:rFonts w:ascii="仿宋_GB2312" w:eastAsia="仿宋_GB2312" w:cs="仿宋_GB2312" w:hint="eastAsia"/>
          <w:color w:val="333333"/>
          <w:kern w:val="0"/>
          <w:sz w:val="32"/>
          <w:szCs w:val="32"/>
          <w:shd w:val="clear" w:color="auto" w:fill="FFFFFF"/>
        </w:rPr>
        <w:t>推进项目资金的使用进度，提高资金使用效率；</w:t>
      </w:r>
      <w:r>
        <w:rPr>
          <w:rFonts w:ascii="仿宋_GB2312" w:eastAsia="仿宋_GB2312" w:cs="仿宋_GB2312" w:hint="eastAsia"/>
          <w:b/>
          <w:bCs/>
          <w:color w:val="333333"/>
          <w:kern w:val="0"/>
          <w:sz w:val="32"/>
          <w:szCs w:val="32"/>
          <w:shd w:val="clear" w:color="auto" w:fill="FFFFFF"/>
        </w:rPr>
        <w:t>四是</w:t>
      </w:r>
      <w:r>
        <w:rPr>
          <w:rFonts w:ascii="仿宋_GB2312" w:eastAsia="仿宋_GB2312" w:cs="仿宋_GB2312" w:hint="eastAsia"/>
          <w:color w:val="333333"/>
          <w:kern w:val="0"/>
          <w:sz w:val="32"/>
          <w:szCs w:val="32"/>
          <w:shd w:val="clear" w:color="auto" w:fill="FFFFFF"/>
        </w:rPr>
        <w:t>加强制度建设，将行动落实到实处。</w:t>
      </w:r>
    </w:p>
    <w:p>
      <w:pPr>
        <w:keepNext w:val="0"/>
        <w:keepLines w:val="0"/>
        <w:pageBreakBefore w:val="0"/>
        <w:widowControl/>
        <w:suppressLineNumbers w:val="0"/>
        <w:wordWrap/>
        <w:overflowPunct/>
        <w:topLinePunct w:val="0"/>
        <w:bidi w:val="0"/>
        <w:adjustRightInd w:val="0"/>
        <w:snapToGrid w:val="0"/>
        <w:spacing w:before="0" w:after="0" w:afterAutospacing="0" w:line="560" w:lineRule="exact"/>
        <w:ind w:left="0" w:firstLineChars="200" w:firstLine="640"/>
        <w:jc w:val="both"/>
        <w:rPr>
          <w:rFonts w:ascii="楷体_GB2312" w:eastAsia="楷体_GB2312" w:cs="楷体_GB2312" w:hint="eastAsia"/>
          <w:b/>
          <w:bCs/>
          <w:kern w:val="0"/>
          <w:sz w:val="32"/>
          <w:szCs w:val="32"/>
        </w:rPr>
      </w:pPr>
      <w:r>
        <w:rPr>
          <w:rFonts w:ascii="楷体_GB2312" w:eastAsia="楷体_GB2312" w:cs="楷体_GB2312" w:hint="eastAsia"/>
          <w:b/>
          <w:bCs/>
          <w:kern w:val="0"/>
          <w:sz w:val="32"/>
          <w:szCs w:val="32"/>
        </w:rPr>
        <w:t>(二)改进建议</w:t>
      </w:r>
    </w:p>
    <w:p>
      <w:pPr>
        <w:keepNext w:val="0"/>
        <w:keepLines w:val="0"/>
        <w:pageBreakBefore w:val="0"/>
        <w:widowControl/>
        <w:suppressLineNumbers w:val="0"/>
        <w:wordWrap/>
        <w:overflowPunct/>
        <w:topLinePunct w:val="0"/>
        <w:bidi w:val="0"/>
        <w:spacing w:before="0" w:after="0" w:afterAutospacing="0" w:line="560" w:lineRule="exact"/>
        <w:ind w:left="0" w:firstLineChars="200" w:firstLine="640"/>
        <w:jc w:val="both"/>
        <w:rPr>
          <w:rFonts w:ascii="仿宋_GB2312" w:eastAsia="仿宋_GB2312" w:cs="仿宋_GB2312" w:hint="eastAsia"/>
          <w:kern w:val="0"/>
          <w:sz w:val="32"/>
          <w:szCs w:val="32"/>
        </w:rPr>
      </w:pPr>
      <w:r>
        <w:rPr>
          <w:rFonts w:ascii="仿宋_GB2312" w:eastAsia="仿宋_GB2312" w:cs="仿宋_GB2312" w:hint="eastAsia"/>
          <w:kern w:val="0"/>
          <w:sz w:val="32"/>
          <w:szCs w:val="32"/>
        </w:rPr>
        <w:t>加强内控制度建设力度，建立内控长效机制，严格财务管理，加强财务监督，坚持厉行节约，控制“三公经费”支出，严格管理现金支出，加强财务人员业务培训，提高业务水平。</w:t>
      </w: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r>
        <w:rPr>
          <w:rFonts w:ascii="仿宋_GB2312" w:eastAsia="仿宋_GB2312" w:cs="仿宋" w:hint="eastAsia"/>
          <w:color w:val="000000"/>
          <w:kern w:val="0"/>
          <w:sz w:val="32"/>
          <w:szCs w:val="32"/>
        </w:rPr>
        <w:t xml:space="preserve"> </w:t>
      </w: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eastAsia="仿宋_GB2312" w:cs="仿宋"/>
          <w:color w:val="000000"/>
          <w:kern w:val="0"/>
          <w:sz w:val="32"/>
          <w:szCs w:val="32"/>
        </w:rPr>
      </w:pPr>
    </w:p>
    <w:p>
      <w:pPr>
        <w:keepNext w:val="0"/>
        <w:keepLines w:val="0"/>
        <w:pageBreakBefore w:val="0"/>
        <w:widowControl w:val="0"/>
        <w:kinsoku/>
        <w:wordWrap/>
        <w:overflowPunct/>
        <w:topLinePunct w:val="0"/>
        <w:autoSpaceDE/>
        <w:autoSpaceDN/>
        <w:bidi w:val="0"/>
        <w:spacing w:line="560" w:lineRule="exact"/>
        <w:jc w:val="center"/>
        <w:textAlignment w:val="auto"/>
        <w:rPr>
          <w:rFonts w:ascii="方正小标宋简体" w:eastAsia="方正小标宋简体" w:cs="方正小标宋简体" w:hint="eastAsia"/>
          <w:b w:val="0"/>
          <w:bCs/>
          <w:kern w:val="0"/>
          <w:sz w:val="44"/>
          <w:szCs w:val="44"/>
        </w:rPr>
      </w:pPr>
      <w:r>
        <w:rPr>
          <w:rFonts w:ascii="方正小标宋简体" w:eastAsia="方正小标宋简体" w:cs="方正小标宋简体" w:hint="eastAsia"/>
          <w:b w:val="0"/>
          <w:bCs/>
          <w:sz w:val="44"/>
          <w:szCs w:val="44"/>
          <w:lang w:eastAsia="zh-CN"/>
        </w:rPr>
        <w:t>红原县</w:t>
      </w:r>
      <w:r>
        <w:rPr>
          <w:rFonts w:ascii="方正小标宋简体" w:eastAsia="方正小标宋简体" w:cs="方正小标宋简体" w:hint="eastAsia"/>
          <w:b w:val="0"/>
          <w:bCs/>
          <w:kern w:val="0"/>
          <w:sz w:val="44"/>
          <w:szCs w:val="44"/>
        </w:rPr>
        <w:t>文化</w:t>
      </w:r>
      <w:r>
        <w:rPr>
          <w:rFonts w:ascii="方正小标宋简体" w:eastAsia="方正小标宋简体" w:cs="方正小标宋简体" w:hint="eastAsia"/>
          <w:b w:val="0"/>
          <w:bCs/>
          <w:kern w:val="0"/>
          <w:sz w:val="44"/>
          <w:szCs w:val="44"/>
          <w:lang w:val="en-US" w:eastAsia="zh-CN"/>
        </w:rPr>
        <w:t>广播电视</w:t>
      </w:r>
      <w:r>
        <w:rPr>
          <w:rFonts w:ascii="方正小标宋简体" w:eastAsia="方正小标宋简体" w:cs="方正小标宋简体" w:hint="eastAsia"/>
          <w:b w:val="0"/>
          <w:bCs/>
          <w:kern w:val="0"/>
          <w:sz w:val="44"/>
          <w:szCs w:val="44"/>
        </w:rPr>
        <w:t>体育和旅游局</w:t>
      </w:r>
    </w:p>
    <w:p>
      <w:pPr>
        <w:keepNext w:val="0"/>
        <w:keepLines w:val="0"/>
        <w:pageBreakBefore w:val="0"/>
        <w:widowControl w:val="0"/>
        <w:kinsoku/>
        <w:wordWrap/>
        <w:overflowPunct/>
        <w:topLinePunct w:val="0"/>
        <w:autoSpaceDE/>
        <w:autoSpaceDN/>
        <w:bidi w:val="0"/>
        <w:spacing w:line="560" w:lineRule="exact"/>
        <w:jc w:val="center"/>
        <w:textAlignment w:val="auto"/>
        <w:rPr>
          <w:rFonts w:ascii="黑体" w:eastAsia="黑体" w:cs="黑体" w:hint="eastAsia"/>
          <w:bCs/>
          <w:sz w:val="32"/>
          <w:szCs w:val="32"/>
        </w:rPr>
      </w:pPr>
      <w:r>
        <w:rPr>
          <w:rFonts w:ascii="方正小标宋简体" w:eastAsia="方正小标宋简体" w:cs="方正小标宋简体" w:hint="eastAsia"/>
          <w:b w:val="0"/>
          <w:bCs/>
          <w:sz w:val="44"/>
          <w:szCs w:val="44"/>
        </w:rPr>
        <w:t>202</w:t>
      </w:r>
      <w:r>
        <w:rPr>
          <w:rFonts w:ascii="方正小标宋简体" w:eastAsia="方正小标宋简体" w:cs="方正小标宋简体" w:hint="eastAsia"/>
          <w:b w:val="0"/>
          <w:bCs/>
          <w:sz w:val="44"/>
          <w:szCs w:val="44"/>
          <w:lang w:val="en-US" w:eastAsia="zh-CN"/>
        </w:rPr>
        <w:t>5</w:t>
      </w:r>
      <w:r>
        <w:rPr>
          <w:rFonts w:ascii="方正小标宋简体" w:eastAsia="方正小标宋简体" w:cs="方正小标宋简体" w:hint="eastAsia"/>
          <w:b w:val="0"/>
          <w:bCs/>
          <w:sz w:val="44"/>
          <w:szCs w:val="44"/>
        </w:rPr>
        <w:t>年度中央支持地方公共文化服务体系建设补助资金绩效自评报告</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黑体" w:eastAsia="黑体" w:cs="黑体"/>
          <w:bCs/>
          <w:sz w:val="32"/>
          <w:szCs w:val="32"/>
        </w:rPr>
      </w:pPr>
      <w:r>
        <w:rPr>
          <w:rFonts w:ascii="黑体" w:eastAsia="黑体" w:cs="黑体" w:hint="eastAsia"/>
          <w:bCs/>
          <w:sz w:val="32"/>
          <w:szCs w:val="32"/>
        </w:rPr>
        <w:t>一、绩效目标分解下达情况</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kern w:val="0"/>
          <w:sz w:val="32"/>
          <w:szCs w:val="32"/>
        </w:rPr>
      </w:pPr>
      <w:r>
        <w:rPr>
          <w:rFonts w:ascii="仿宋_GB2312" w:hAnsi="仿宋_GB2312" w:hint="eastAsia"/>
          <w:sz w:val="32"/>
          <w:szCs w:val="32"/>
          <w:lang w:val="en-US" w:eastAsia="zh-CN"/>
        </w:rPr>
        <w:t>2</w:t>
      </w:r>
      <w:r>
        <w:rPr>
          <w:rFonts w:ascii="仿宋_GB2312" w:eastAsia="仿宋_GB2312" w:cs="仿宋_GB2312" w:hint="eastAsia"/>
          <w:kern w:val="0"/>
          <w:sz w:val="32"/>
          <w:szCs w:val="32"/>
          <w:lang w:val="en-US" w:eastAsia="zh-CN"/>
        </w:rPr>
        <w:t>025</w:t>
      </w:r>
      <w:r>
        <w:rPr>
          <w:rFonts w:ascii="仿宋_GB2312" w:eastAsia="仿宋_GB2312" w:cs="仿宋_GB2312" w:hint="eastAsia"/>
          <w:kern w:val="0"/>
          <w:sz w:val="32"/>
          <w:szCs w:val="32"/>
        </w:rPr>
        <w:t>年度</w:t>
      </w:r>
      <w:r>
        <w:rPr>
          <w:rFonts w:ascii="仿宋_GB2312" w:eastAsia="仿宋_GB2312" w:cs="仿宋_GB2312" w:hint="eastAsia"/>
          <w:kern w:val="0"/>
          <w:sz w:val="32"/>
          <w:szCs w:val="32"/>
          <w:lang w:eastAsia="zh-CN"/>
        </w:rPr>
        <w:t>中央支持地方公共文化服务体系建设补助资金</w:t>
      </w:r>
      <w:r>
        <w:rPr>
          <w:rFonts w:ascii="仿宋_GB2312" w:eastAsia="仿宋_GB2312" w:cs="仿宋_GB2312" w:hint="eastAsia"/>
          <w:kern w:val="0"/>
          <w:sz w:val="32"/>
          <w:szCs w:val="32"/>
        </w:rPr>
        <w:t>下达预算数为</w:t>
      </w:r>
      <w:r>
        <w:rPr>
          <w:rFonts w:ascii="仿宋_GB2312" w:eastAsia="仿宋_GB2312" w:cs="仿宋_GB2312" w:hint="eastAsia"/>
          <w:kern w:val="0"/>
          <w:sz w:val="32"/>
          <w:szCs w:val="32"/>
          <w:lang w:val="en-US" w:eastAsia="zh-CN"/>
        </w:rPr>
        <w:t>151.64</w:t>
      </w:r>
      <w:r>
        <w:rPr>
          <w:rFonts w:ascii="仿宋_GB2312" w:eastAsia="仿宋_GB2312" w:cs="仿宋_GB2312" w:hint="eastAsia"/>
          <w:kern w:val="0"/>
          <w:sz w:val="32"/>
          <w:szCs w:val="32"/>
        </w:rPr>
        <w:t>万元(阿州财教〔</w:t>
      </w:r>
      <w:r>
        <w:rPr>
          <w:rFonts w:ascii="仿宋_GB2312" w:eastAsia="仿宋_GB2312" w:cs="仿宋_GB2312" w:hint="eastAsia"/>
          <w:kern w:val="0"/>
          <w:sz w:val="32"/>
          <w:szCs w:val="32"/>
          <w:lang w:val="en-US" w:eastAsia="zh-CN"/>
        </w:rPr>
        <w:t>2025</w:t>
      </w:r>
      <w:r>
        <w:rPr>
          <w:rFonts w:ascii="仿宋_GB2312" w:eastAsia="仿宋_GB2312" w:cs="仿宋_GB2312" w:hint="eastAsia"/>
          <w:kern w:val="0"/>
          <w:sz w:val="32"/>
          <w:szCs w:val="32"/>
        </w:rPr>
        <w:t>〕</w:t>
      </w:r>
      <w:r>
        <w:rPr>
          <w:rFonts w:ascii="仿宋_GB2312" w:eastAsia="仿宋_GB2312" w:cs="仿宋_GB2312" w:hint="eastAsia"/>
          <w:kern w:val="0"/>
          <w:sz w:val="32"/>
          <w:szCs w:val="32"/>
          <w:lang w:val="en-US" w:eastAsia="zh-CN"/>
        </w:rPr>
        <w:t>8</w:t>
      </w:r>
      <w:r>
        <w:rPr>
          <w:rFonts w:ascii="仿宋_GB2312" w:eastAsia="仿宋_GB2312" w:cs="仿宋_GB2312" w:hint="eastAsia"/>
          <w:kern w:val="0"/>
          <w:sz w:val="32"/>
          <w:szCs w:val="32"/>
        </w:rPr>
        <w:t>号。年度总体绩效目标</w:t>
      </w:r>
      <w:r>
        <w:rPr>
          <w:rFonts w:ascii="仿宋_GB2312" w:eastAsia="仿宋_GB2312" w:cs="仿宋_GB2312" w:hint="eastAsia"/>
          <w:kern w:val="0"/>
          <w:sz w:val="32"/>
          <w:szCs w:val="32"/>
          <w:lang w:eastAsia="zh-CN"/>
        </w:rPr>
        <w:t>：</w:t>
      </w:r>
      <w:r>
        <w:rPr>
          <w:rFonts w:ascii="仿宋_GB2312" w:eastAsia="仿宋_GB2312" w:cs="仿宋_GB2312" w:hint="eastAsia"/>
          <w:kern w:val="0"/>
          <w:sz w:val="32"/>
          <w:szCs w:val="32"/>
        </w:rPr>
        <w:t>年度总体绩效目标：依托中央财政补助资金完善红原县公共文化服务体系，开展基层文化活动直录播、线上文化信息推送等工作，提升县域公共文化服务供给能力和服务水平，满足群众文化需求。</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黑体" w:eastAsia="黑体" w:cs="黑体"/>
          <w:bCs/>
          <w:sz w:val="32"/>
          <w:szCs w:val="32"/>
        </w:rPr>
      </w:pPr>
      <w:r>
        <w:rPr>
          <w:rFonts w:ascii="仿宋_GB2312" w:hAnsi="仿宋_GB2312" w:hint="eastAsia"/>
          <w:sz w:val="32"/>
          <w:szCs w:val="32"/>
          <w:lang w:val="en-US" w:eastAsia="zh-CN"/>
        </w:rPr>
        <w:t xml:space="preserve"> </w:t>
      </w:r>
      <w:r>
        <w:rPr>
          <w:rFonts w:ascii="黑体" w:eastAsia="黑体" w:cs="黑体" w:hint="eastAsia"/>
          <w:bCs/>
          <w:sz w:val="32"/>
          <w:szCs w:val="32"/>
        </w:rPr>
        <w:t>二、绩效目标完成情况分析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楷体_GB2312" w:eastAsia="楷体_GB2312" w:cs="楷体_GB2312" w:hint="eastAsia"/>
          <w:b/>
          <w:bCs/>
          <w:sz w:val="32"/>
          <w:szCs w:val="32"/>
        </w:rPr>
      </w:pPr>
      <w:r>
        <w:rPr>
          <w:rFonts w:ascii="楷体_GB2312" w:eastAsia="楷体_GB2312" w:cs="楷体_GB2312" w:hint="eastAsia"/>
          <w:b/>
          <w:bCs/>
          <w:sz w:val="32"/>
          <w:szCs w:val="32"/>
        </w:rPr>
        <w:t>（一）资金投入情况分析。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b/>
          <w:bCs/>
          <w:sz w:val="32"/>
          <w:szCs w:val="32"/>
        </w:rPr>
      </w:pPr>
      <w:r>
        <w:rPr>
          <w:rFonts w:ascii="仿宋_GB2312" w:eastAsia="仿宋_GB2312" w:cs="仿宋_GB2312" w:hint="eastAsia"/>
          <w:b/>
          <w:bCs/>
          <w:sz w:val="32"/>
          <w:szCs w:val="32"/>
        </w:rPr>
        <w:t>1.项目资金名称</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b w:val="0"/>
          <w:bCs w:val="0"/>
          <w:sz w:val="32"/>
          <w:szCs w:val="32"/>
          <w:lang w:eastAsia="zh-CN"/>
        </w:rPr>
      </w:pPr>
      <w:r>
        <w:rPr>
          <w:rFonts w:ascii="仿宋_GB2312" w:eastAsia="仿宋_GB2312" w:cs="仿宋_GB2312" w:hint="eastAsia"/>
          <w:kern w:val="0"/>
          <w:sz w:val="32"/>
          <w:szCs w:val="32"/>
          <w:lang w:val="en-US" w:eastAsia="zh-CN"/>
        </w:rPr>
        <w:t>2025年中央支持地方公共文化服务体系建设补助资金（阿州财教〔2025〕8号）。</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b/>
          <w:bCs/>
          <w:sz w:val="32"/>
          <w:szCs w:val="32"/>
        </w:rPr>
      </w:pPr>
      <w:r>
        <w:rPr>
          <w:rFonts w:ascii="仿宋_GB2312" w:cs="仿宋_GB2312" w:hAnsi="仿宋_GB2312" w:hint="eastAsia"/>
          <w:b/>
          <w:bCs/>
          <w:sz w:val="32"/>
          <w:szCs w:val="32"/>
          <w:lang w:val="en-US" w:eastAsia="zh-CN"/>
        </w:rPr>
        <w:t>2.</w:t>
      </w:r>
      <w:r>
        <w:rPr>
          <w:rFonts w:ascii="仿宋_GB2312" w:eastAsia="仿宋_GB2312" w:cs="仿宋_GB2312" w:hint="eastAsia"/>
          <w:b/>
          <w:bCs/>
          <w:sz w:val="32"/>
          <w:szCs w:val="32"/>
        </w:rPr>
        <w:t>项目资金执行情况分析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项目资金下达151.64万，截至2025年12月共拨付资金71.94万元，项目资金拨付率达47.44%。</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b/>
          <w:bCs/>
          <w:sz w:val="32"/>
          <w:szCs w:val="32"/>
        </w:rPr>
      </w:pPr>
      <w:r>
        <w:rPr>
          <w:rFonts w:ascii="仿宋_GB2312" w:eastAsia="仿宋_GB2312" w:cs="仿宋_GB2312" w:hint="eastAsia"/>
          <w:b/>
          <w:bCs/>
          <w:sz w:val="32"/>
          <w:szCs w:val="32"/>
        </w:rPr>
        <w:t>3.项目资金管理情况分析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资金分配紧扣项目核心任务，重点保障基层活动直录播、线上信息推送等工作；严格执行国库集中支付制度，依据合同、进度及验收报告支付，手续完备、流程规范；实行专账管理、专款专用，支出均有合法票据支撑，无挤占、挪用、超预算支出情况；事前明确绩效目标，事中开展绩效监控，事后完成自评，健全内部管理制度并强化全过程监管，确保财政资金安全高效使用。</w:t>
      </w:r>
    </w:p>
    <w:p>
      <w:pPr>
        <w:keepNext w:val="0"/>
        <w:keepLines w:val="0"/>
        <w:pageBreakBefore w:val="0"/>
        <w:widowControl w:val="0"/>
        <w:numPr>
          <w:ilvl w:val="0"/>
          <w:numId w:val="5"/>
        </w:numPr>
        <w:kinsoku/>
        <w:wordWrap/>
        <w:overflowPunct/>
        <w:topLinePunct w:val="0"/>
        <w:autoSpaceDE/>
        <w:autoSpaceDN/>
        <w:bidi w:val="0"/>
        <w:adjustRightInd/>
        <w:snapToGrid/>
        <w:spacing w:line="576" w:lineRule="exact"/>
        <w:ind w:left="0" w:firstLineChars="200" w:firstLine="640"/>
        <w:textAlignment w:val="auto"/>
        <w:outlineLvl w:val="0"/>
        <w:rPr>
          <w:rFonts w:ascii="楷体_GB2312" w:eastAsia="楷体_GB2312" w:cs="楷体_GB2312" w:hint="eastAsia"/>
          <w:b/>
          <w:bCs/>
          <w:sz w:val="32"/>
          <w:szCs w:val="32"/>
        </w:rPr>
      </w:pPr>
      <w:r>
        <w:rPr>
          <w:rFonts w:ascii="楷体_GB2312" w:eastAsia="楷体_GB2312" w:cs="楷体_GB2312" w:hint="eastAsia"/>
          <w:b/>
          <w:bCs/>
          <w:sz w:val="32"/>
          <w:szCs w:val="32"/>
        </w:rPr>
        <w:t>总体绩效目标完成情况分析。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年度总体绩效目标：依托中央财政补助资金完善红原县公共文化服务体系，开展基层文化活动直录播、线上文化信息推送等工作，提升县域公共文化服务供给能力和服务水平，满足群众文化需求。</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outlineLvl w:val="0"/>
        <w:rPr>
          <w:rFonts w:ascii="仿宋_GB2312" w:eastAsia="仿宋_GB2312" w:cs="仿宋_GB2312"/>
          <w:kern w:val="0"/>
          <w:sz w:val="32"/>
          <w:szCs w:val="32"/>
          <w:lang w:val="en-US" w:eastAsia="zh-CN"/>
        </w:rPr>
      </w:pPr>
      <w:r>
        <w:rPr>
          <w:rFonts w:ascii="仿宋_GB2312" w:eastAsia="仿宋_GB2312" w:cs="仿宋_GB2312" w:hint="eastAsia"/>
          <w:kern w:val="0"/>
          <w:sz w:val="32"/>
          <w:szCs w:val="32"/>
          <w:lang w:val="en-US" w:eastAsia="zh-CN"/>
        </w:rPr>
        <w:t xml:space="preserve">实际完成情况：已完成既定基层文化活动直录播、线上信息推送等核心工作，公共文化服务供给渠道进一步拓宽，群众文化需求得到有效回应；因部分项目推进受县域地理条件、施工筹备等实施条件影响，资金执行率暂为47.44%，相关未落地项目正加快推进。  </w:t>
      </w:r>
    </w:p>
    <w:p>
      <w:pPr>
        <w:keepNext w:val="0"/>
        <w:keepLines w:val="0"/>
        <w:pageBreakBefore w:val="0"/>
        <w:widowControl w:val="0"/>
        <w:kinsoku/>
        <w:wordWrap/>
        <w:overflowPunct/>
        <w:topLinePunct w:val="0"/>
        <w:autoSpaceDE/>
        <w:autoSpaceDN/>
        <w:bidi w:val="0"/>
        <w:adjustRightInd/>
        <w:snapToGrid/>
        <w:spacing w:line="576" w:lineRule="exact"/>
        <w:ind w:left="0" w:firstLineChars="200" w:firstLine="640"/>
        <w:textAlignment w:val="auto"/>
        <w:outlineLvl w:val="0"/>
        <w:rPr>
          <w:rFonts w:ascii="仿宋_GB2312" w:hAnsi="仿宋_GB2312" w:hint="eastAsia"/>
          <w:sz w:val="32"/>
          <w:szCs w:val="32"/>
        </w:rPr>
      </w:pPr>
      <w:r>
        <w:rPr>
          <w:rFonts w:ascii="楷体_GB2312" w:eastAsia="楷体_GB2312" w:cs="楷体_GB2312" w:hint="eastAsia"/>
          <w:b/>
          <w:bCs/>
          <w:sz w:val="32"/>
          <w:szCs w:val="32"/>
          <w:lang w:eastAsia="zh-CN"/>
        </w:rPr>
        <w:t>（三）</w:t>
      </w:r>
      <w:r>
        <w:rPr>
          <w:rFonts w:ascii="楷体_GB2312" w:eastAsia="楷体_GB2312" w:cs="楷体_GB2312" w:hint="eastAsia"/>
          <w:b/>
          <w:bCs/>
          <w:sz w:val="32"/>
          <w:szCs w:val="32"/>
        </w:rPr>
        <w:t>绩效指标完成情况分析。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cs="仿宋_GB2312" w:hAnsi="仿宋_GB2312" w:hint="eastAsia"/>
          <w:b/>
          <w:bCs/>
          <w:sz w:val="32"/>
          <w:szCs w:val="32"/>
          <w:shd w:val="clear" w:color="auto" w:fill="FFFFFF"/>
          <w:lang w:eastAsia="zh-CN"/>
        </w:rPr>
        <w:t>（</w:t>
      </w:r>
      <w:r>
        <w:rPr>
          <w:rFonts w:ascii="仿宋_GB2312" w:eastAsia="仿宋_GB2312" w:cs="仿宋_GB2312" w:hint="eastAsia"/>
          <w:b/>
          <w:bCs/>
          <w:sz w:val="32"/>
          <w:szCs w:val="32"/>
          <w:shd w:val="clear" w:color="auto" w:fill="FFFFFF"/>
        </w:rPr>
        <w:t>1）数量指标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hAnsi="仿宋_GB2312" w:hint="eastAsia"/>
          <w:sz w:val="32"/>
          <w:szCs w:val="32"/>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公共文化服务线上覆盖村居数≥10个。</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10个。</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县域群众公共文化活动参与人次≥1000人次。</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1560人次。</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（2）质量指标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资金使用合规率100%。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100%。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（3）时效指标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年度计划项目开工率≥80%。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75%。</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（4）成本指标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带动县域文化相关消费≥50万元。</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68万元。</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2. 效益指标完成情况分析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（1）经济效益指标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带动县域文化相关消费超预期完成，有效拉动县域文化消费市场发展。</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（2）社会效益指标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基层文化工作者对资金使用及工作开展满意度≥90%。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全年</w:t>
      </w:r>
      <w:r>
        <w:rPr>
          <w:rFonts w:ascii="仿宋_GB2312" w:eastAsia="仿宋_GB2312" w:cs="仿宋_GB2312" w:hint="eastAsia"/>
          <w:kern w:val="0"/>
          <w:sz w:val="32"/>
          <w:szCs w:val="32"/>
          <w:lang w:val="en-US" w:eastAsia="zh-CN"/>
        </w:rPr>
        <w:t>实际</w:t>
      </w:r>
      <w:r>
        <w:rPr>
          <w:rFonts w:ascii="仿宋_GB2312" w:eastAsia="仿宋_GB2312" w:cs="仿宋_GB2312" w:hint="eastAsia"/>
          <w:b/>
          <w:bCs/>
          <w:sz w:val="32"/>
          <w:szCs w:val="32"/>
          <w:shd w:val="clear" w:color="auto" w:fill="FFFFFF"/>
        </w:rPr>
        <w:t>完成：</w:t>
      </w:r>
      <w:r>
        <w:rPr>
          <w:rFonts w:ascii="仿宋_GB2312" w:hAnsi="仿宋_GB2312" w:hint="eastAsia"/>
          <w:sz w:val="32"/>
          <w:szCs w:val="32"/>
        </w:rPr>
        <w:t>90%；</w:t>
      </w:r>
      <w:r>
        <w:rPr>
          <w:rFonts w:ascii="仿宋_GB2312" w:eastAsia="仿宋_GB2312" w:cs="仿宋_GB2312" w:hint="eastAsia"/>
          <w:kern w:val="0"/>
          <w:sz w:val="32"/>
          <w:szCs w:val="32"/>
          <w:lang w:val="en-US" w:eastAsia="zh-CN"/>
        </w:rPr>
        <w:t>公共文化服务供给能力和水平显著提升，基层文化传播与服务覆盖面进一步扩大。</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（3）生态效益指标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公共文化服务开展过程中绿色环保执行率100%。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100%。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（4）可持续影响指标</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资金使用合规率100%。</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b/>
          <w:bCs/>
          <w:sz w:val="32"/>
          <w:szCs w:val="32"/>
          <w:shd w:val="clear" w:color="auto" w:fill="FFFFFF"/>
        </w:rPr>
        <w:t>全年实际完成：</w:t>
      </w:r>
      <w:r>
        <w:rPr>
          <w:rFonts w:ascii="仿宋_GB2312" w:eastAsia="仿宋_GB2312" w:cs="仿宋_GB2312" w:hint="eastAsia"/>
          <w:kern w:val="0"/>
          <w:sz w:val="32"/>
          <w:szCs w:val="32"/>
          <w:lang w:val="en-US" w:eastAsia="zh-CN"/>
        </w:rPr>
        <w:t>100%；公共文化服务体系建设持续完善，为县域公共文化事业长远发展奠定基础。</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3. 群众满意度指标分析</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指标：</w:t>
      </w:r>
      <w:r>
        <w:rPr>
          <w:rFonts w:ascii="仿宋_GB2312" w:eastAsia="仿宋_GB2312" w:cs="仿宋_GB2312" w:hint="eastAsia"/>
          <w:kern w:val="0"/>
          <w:sz w:val="32"/>
          <w:szCs w:val="32"/>
          <w:lang w:val="en-US" w:eastAsia="zh-CN"/>
        </w:rPr>
        <w:t>群众对公共文化服务整体满意度≥85%。</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b/>
          <w:bCs/>
          <w:sz w:val="32"/>
          <w:szCs w:val="32"/>
          <w:shd w:val="clear" w:color="auto" w:fill="FFFFFF"/>
        </w:rPr>
      </w:pPr>
      <w:r>
        <w:rPr>
          <w:rFonts w:ascii="仿宋_GB2312" w:eastAsia="仿宋_GB2312" w:cs="仿宋_GB2312" w:hint="eastAsia"/>
          <w:b/>
          <w:bCs/>
          <w:sz w:val="32"/>
          <w:szCs w:val="32"/>
          <w:shd w:val="clear" w:color="auto" w:fill="FFFFFF"/>
        </w:rPr>
        <w:t>全年实际完成：</w:t>
      </w:r>
      <w:r>
        <w:rPr>
          <w:rFonts w:ascii="仿宋_GB2312" w:hAnsi="仿宋_GB2312" w:hint="eastAsia"/>
          <w:sz w:val="32"/>
          <w:szCs w:val="32"/>
        </w:rPr>
        <w:t>93%。</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hAnsi="仿宋_GB2312"/>
          <w:sz w:val="32"/>
          <w:szCs w:val="32"/>
        </w:rPr>
      </w:pPr>
      <w:r>
        <w:rPr>
          <w:rFonts w:ascii="黑体" w:eastAsia="黑体" w:cs="黑体" w:hint="eastAsia"/>
          <w:bCs/>
          <w:sz w:val="32"/>
          <w:szCs w:val="32"/>
        </w:rPr>
        <w:t>三、偏离绩效目标的原因和下一步改进措施</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（一）偏离绩效目标的原因</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年度计划项目开工率未达预期（实际75%，目标≥80%）、资金预算执行率偏低（47.44%），主要原因是部分项目受县域地理条件、施工筹备等因素影响导致开工延迟，项目推进进度未达预期进而影响资金拨付进度。</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（二）下一步改进措施</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1. 针对项目开工延迟问题，提前开展项目实地调研，充分考量县域地理等实际实施条件，优化施工筹备全流程，安排专人跟进项目进度，加快未开工项目落地实施。</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2. 以项目开工进度为抓手，按照国库集中支付制度及项目实施进度，及时办理资金拨付手续，提升资金预算执行率，确保财政资金高效落地。</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3. 持续强化项目全过程监管，做好绩效监控与动态调整，及时解决项目推进中的各类问题，保障各项绩效目标全面完成。</w:t>
      </w:r>
    </w:p>
    <w:p>
      <w:pPr>
        <w:keepNext w:val="0"/>
        <w:keepLines w:val="0"/>
        <w:pageBreakBefore w:val="0"/>
        <w:widowControl w:val="0"/>
        <w:numPr>
          <w:ilvl w:val="0"/>
          <w:numId w:val="6"/>
        </w:numPr>
        <w:kinsoku/>
        <w:wordWrap/>
        <w:overflowPunct/>
        <w:topLinePunct w:val="0"/>
        <w:autoSpaceDE/>
        <w:autoSpaceDN/>
        <w:bidi w:val="0"/>
        <w:adjustRightInd/>
        <w:snapToGrid/>
        <w:spacing w:line="576" w:lineRule="exact"/>
        <w:ind w:left="0" w:firstLineChars="200" w:firstLine="640"/>
        <w:textAlignment w:val="auto"/>
        <w:rPr>
          <w:rFonts w:ascii="黑体" w:eastAsia="黑体" w:cs="黑体" w:hint="eastAsia"/>
          <w:bCs/>
          <w:sz w:val="32"/>
          <w:szCs w:val="32"/>
        </w:rPr>
      </w:pPr>
      <w:r>
        <w:rPr>
          <w:rFonts w:ascii="黑体" w:eastAsia="黑体" w:cs="黑体" w:hint="eastAsia"/>
          <w:bCs/>
          <w:sz w:val="32"/>
          <w:szCs w:val="32"/>
        </w:rPr>
        <w:t>绩效自评结果拟应用和公开情况</w:t>
      </w:r>
    </w:p>
    <w:p>
      <w:pPr>
        <w:keepNext w:val="0"/>
        <w:keepLines w:val="0"/>
        <w:pageBreakBefore w:val="0"/>
        <w:widowControl w:val="0"/>
        <w:kinsoku/>
        <w:wordWrap/>
        <w:overflowPunct/>
        <w:topLinePunct w:val="0"/>
        <w:autoSpaceDE/>
        <w:autoSpaceDN/>
        <w:bidi w:val="0"/>
        <w:adjustRightInd/>
        <w:snapToGrid/>
        <w:spacing w:line="576" w:lineRule="exact"/>
        <w:ind w:firstLineChars="200" w:firstLine="640"/>
        <w:textAlignment w:val="auto"/>
        <w:rPr>
          <w:rFonts w:ascii="仿宋_GB2312" w:eastAsia="仿宋_GB2312" w:cs="仿宋_GB2312" w:hint="eastAsia"/>
          <w:kern w:val="0"/>
          <w:sz w:val="32"/>
          <w:szCs w:val="32"/>
          <w:lang w:val="en-US" w:eastAsia="zh-CN"/>
        </w:rPr>
      </w:pPr>
      <w:r>
        <w:rPr>
          <w:rFonts w:ascii="仿宋_GB2312" w:eastAsia="仿宋_GB2312" w:cs="仿宋_GB2312" w:hint="eastAsia"/>
          <w:kern w:val="0"/>
          <w:sz w:val="32"/>
          <w:szCs w:val="32"/>
          <w:lang w:val="en-US" w:eastAsia="zh-CN"/>
        </w:rPr>
        <w:t>本次绩效自评结果将作为后续公共文化服务体系建设补助资金申报、项目规划及资金管理的重要依据，同时按相关要求对自评结果进行公开，接受社会监督。</w:t>
      </w:r>
    </w:p>
    <w:p>
      <w:pPr>
        <w:pStyle w:val="17"/>
        <w:rPr>
          <w:rFonts w:hint="eastAsia"/>
          <w:lang w:val="en-US" w:eastAsia="zh-CN"/>
        </w:rPr>
      </w:pPr>
    </w:p>
    <w:p>
      <w:pPr>
        <w:keepNext w:val="0"/>
        <w:keepLines w:val="0"/>
        <w:pageBreakBefore w:val="0"/>
        <w:widowControl/>
        <w:kinsoku/>
        <w:wordWrap/>
        <w:overflowPunct/>
        <w:topLinePunct w:val="0"/>
        <w:autoSpaceDE/>
        <w:autoSpaceDN/>
        <w:bidi w:val="0"/>
        <w:adjustRightInd w:val="0"/>
        <w:snapToGrid w:val="0"/>
        <w:spacing w:before="0" w:after="0" w:afterAutospacing="0" w:line="560" w:lineRule="exact"/>
        <w:ind w:left="0" w:firstLineChars="200" w:firstLine="640"/>
        <w:contextualSpacing/>
        <w:jc w:val="both"/>
        <w:textAlignment w:val="auto"/>
        <w:rPr>
          <w:rFonts w:ascii="仿宋_GB2312" w:eastAsia="仿宋_GB2312" w:cs="仿宋_GB2312" w:hint="eastAsia"/>
          <w:color w:val="auto"/>
          <w:kern w:val="0"/>
          <w:sz w:val="32"/>
          <w:szCs w:val="32"/>
          <w:u w:val="none"/>
          <w:shd w:val="clear" w:color="auto" w:fill="FFFFFF"/>
          <w:lang w:val="en-US" w:eastAsia="zh-CN"/>
          <w:highlight w:val="auto"/>
        </w:rPr>
      </w:pPr>
      <w:r>
        <w:rPr>
          <w:rFonts w:ascii="仿宋_GB2312" w:eastAsia="仿宋_GB2312" w:cs="仿宋_GB2312" w:hint="eastAsia"/>
          <w:color w:val="auto"/>
          <w:kern w:val="0"/>
          <w:sz w:val="32"/>
          <w:szCs w:val="32"/>
          <w:u w:val="none"/>
          <w:shd w:val="clear" w:color="auto" w:fill="FFFFFF"/>
          <w:lang w:val="en-US" w:eastAsia="zh-CN"/>
          <w:highlight w:val="auto"/>
        </w:rPr>
        <w:t>附表：1.项目资金分配涉及所有点位自评得分情况表</w:t>
      </w:r>
    </w:p>
    <w:p>
      <w:pPr>
        <w:keepNext w:val="0"/>
        <w:keepLines w:val="0"/>
        <w:pageBreakBefore w:val="0"/>
        <w:widowControl/>
        <w:kinsoku/>
        <w:wordWrap/>
        <w:overflowPunct/>
        <w:topLinePunct w:val="0"/>
        <w:autoSpaceDE/>
        <w:autoSpaceDN/>
        <w:bidi w:val="0"/>
        <w:adjustRightInd w:val="0"/>
        <w:snapToGrid w:val="0"/>
        <w:spacing w:before="0" w:after="0" w:afterAutospacing="0" w:line="560" w:lineRule="exact"/>
        <w:ind w:left="0" w:firstLineChars="500" w:firstLine="1600"/>
        <w:contextualSpacing/>
        <w:jc w:val="both"/>
        <w:textAlignment w:val="auto"/>
        <w:rPr>
          <w:rFonts w:ascii="仿宋_GB2312" w:eastAsia="仿宋_GB2312" w:cs="仿宋_GB2312" w:hint="eastAsia"/>
          <w:color w:val="auto"/>
          <w:kern w:val="0"/>
          <w:sz w:val="32"/>
          <w:szCs w:val="32"/>
          <w:u w:val="none"/>
          <w:shd w:val="clear" w:color="auto" w:fill="FFFFFF"/>
          <w:lang w:val="en-US" w:eastAsia="zh-CN"/>
          <w:highlight w:val="auto"/>
        </w:rPr>
      </w:pPr>
      <w:r>
        <w:rPr>
          <w:rFonts w:ascii="仿宋_GB2312" w:eastAsia="仿宋_GB2312" w:cs="仿宋_GB2312" w:hint="eastAsia"/>
          <w:color w:val="auto"/>
          <w:kern w:val="0"/>
          <w:sz w:val="32"/>
          <w:szCs w:val="32"/>
          <w:u w:val="none"/>
          <w:shd w:val="clear" w:color="auto" w:fill="FFFFFF"/>
          <w:lang w:val="en-US" w:eastAsia="zh-CN"/>
          <w:highlight w:val="auto"/>
        </w:rPr>
        <w:t>2.专项预算项目绩效目标完成情况自评表</w:t>
      </w:r>
    </w:p>
    <w:p>
      <w:pPr>
        <w:keepNext w:val="0"/>
        <w:keepLines w:val="0"/>
        <w:pageBreakBefore w:val="0"/>
        <w:widowControl/>
        <w:kinsoku/>
        <w:wordWrap/>
        <w:overflowPunct/>
        <w:topLinePunct w:val="0"/>
        <w:autoSpaceDE/>
        <w:autoSpaceDN/>
        <w:bidi w:val="0"/>
        <w:adjustRightInd w:val="0"/>
        <w:snapToGrid w:val="0"/>
        <w:spacing w:before="0" w:line="560" w:lineRule="exact"/>
        <w:ind w:left="0" w:firstLineChars="200" w:firstLine="640"/>
        <w:contextualSpacing/>
        <w:jc w:val="both"/>
        <w:textAlignment w:val="auto"/>
        <w:rPr>
          <w:rFonts w:ascii="仿宋_GB2312" w:eastAsia="仿宋_GB2312" w:cs="仿宋_GB2312" w:hint="eastAsia"/>
          <w:sz w:val="32"/>
          <w:szCs w:val="32"/>
          <w:lang w:val="en-US" w:eastAsia="zh-CN"/>
        </w:rPr>
      </w:pPr>
      <w:r>
        <w:rPr>
          <w:rFonts w:ascii="仿宋_GB2312" w:eastAsia="仿宋_GB2312" w:cs="仿宋_GB2312" w:hint="eastAsia"/>
          <w:kern w:val="2"/>
          <w:sz w:val="32"/>
          <w:szCs w:val="32"/>
          <w:lang w:val="en-US" w:eastAsia="zh-CN" w:bidi="ar-SA"/>
        </w:rPr>
        <w:t xml:space="preserve"> </w:t>
      </w:r>
    </w:p>
    <w:p>
      <w:pPr>
        <w:bidi w:val="0"/>
        <w:rPr>
          <w:rFonts w:hint="eastAsia"/>
          <w:lang w:val="en-US" w:eastAsia="zh-CN"/>
        </w:rPr>
      </w:pPr>
    </w:p>
    <w:p>
      <w:pPr>
        <w:spacing w:before="42"/>
      </w:pPr>
    </w:p>
    <w:p>
      <w:pPr>
        <w:spacing w:before="42"/>
      </w:pPr>
    </w:p>
    <w:p>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rPr>
          <w:rFonts w:ascii="黑体" w:eastAsia="黑体" w:cs="黑体" w:hint="eastAsia"/>
          <w:b w:val="0"/>
          <w:bCs w:val="0"/>
          <w:color w:val="auto"/>
          <w:kern w:val="0"/>
          <w:sz w:val="32"/>
          <w:szCs w:val="32"/>
          <w:u w:val="none"/>
          <w:shd w:val="clear" w:color="auto" w:fill="FFFFFF"/>
          <w:lang w:val="zh-CN" w:eastAsia="zh-CN"/>
          <w:highlight w:val="auto"/>
        </w:rPr>
      </w:pPr>
      <w:r>
        <w:rPr>
          <w:rFonts w:ascii="黑体" w:eastAsia="黑体" w:cs="黑体" w:hint="eastAsia"/>
          <w:b w:val="0"/>
          <w:bCs w:val="0"/>
          <w:color w:val="auto"/>
          <w:kern w:val="0"/>
          <w:sz w:val="32"/>
          <w:szCs w:val="32"/>
          <w:u w:val="none"/>
          <w:shd w:val="clear" w:color="auto" w:fill="FFFFFF"/>
          <w:lang w:val="zh-CN" w:eastAsia="zh-CN"/>
          <w:highlight w:val="auto"/>
        </w:rPr>
        <w:t>附表</w:t>
      </w:r>
      <w:r>
        <w:rPr>
          <w:rFonts w:ascii="黑体" w:eastAsia="黑体" w:cs="黑体" w:hint="eastAsia"/>
          <w:b w:val="0"/>
          <w:bCs w:val="0"/>
          <w:color w:val="auto"/>
          <w:kern w:val="0"/>
          <w:sz w:val="32"/>
          <w:szCs w:val="32"/>
          <w:u w:val="none"/>
          <w:shd w:val="clear" w:color="auto" w:fill="FFFFFF"/>
          <w:lang w:val="en-US" w:eastAsia="zh-CN"/>
          <w:highlight w:val="auto"/>
        </w:rPr>
        <w:t>1</w:t>
      </w:r>
    </w:p>
    <w:p>
      <w:pPr>
        <w:keepNext w:val="0"/>
        <w:keepLines w:val="0"/>
        <w:pageBreakBefore w:val="0"/>
        <w:kinsoku/>
        <w:wordWrap/>
        <w:overflowPunct/>
        <w:topLinePunct w:val="0"/>
        <w:autoSpaceDE/>
        <w:autoSpaceDN/>
        <w:bidi w:val="0"/>
        <w:spacing w:line="578" w:lineRule="exact"/>
        <w:ind w:left="0"/>
        <w:jc w:val="center"/>
        <w:textAlignment w:val="auto"/>
        <w:rPr>
          <w:rFonts w:ascii="方正小标宋_GBK" w:eastAsia="方正小标宋_GBK" w:cs="方正小标宋_GBK" w:hint="eastAsia"/>
          <w:b w:val="0"/>
          <w:bCs w:val="0"/>
          <w:color w:val="auto"/>
          <w:sz w:val="40"/>
          <w:szCs w:val="40"/>
          <w:u w:val="none"/>
          <w:lang w:val="en-US" w:eastAsia="zh-CN"/>
          <w:highlight w:val="auto"/>
        </w:rPr>
      </w:pPr>
      <w:r>
        <w:rPr>
          <w:rFonts w:ascii="方正小标宋_GBK" w:eastAsia="方正小标宋_GBK" w:cs="方正小标宋_GBK" w:hint="eastAsia"/>
          <w:b w:val="0"/>
          <w:bCs w:val="0"/>
          <w:color w:val="auto"/>
          <w:sz w:val="40"/>
          <w:szCs w:val="40"/>
          <w:u w:val="none"/>
          <w:lang w:val="en-US" w:eastAsia="zh-CN"/>
          <w:highlight w:val="auto"/>
        </w:rPr>
        <w:t>项目资金分配涉及所有点位自评得分情况表</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23"/>
        <w:gridCol w:w="3843"/>
        <w:gridCol w:w="2861"/>
        <w:gridCol w:w="993"/>
      </w:tblGrid>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vertAlign w:val="baseline"/>
                <w:lang w:val="en-US" w:eastAsia="zh-CN"/>
                <w:highlight w:val="auto"/>
              </w:rPr>
            </w:pPr>
            <w:r>
              <w:rPr>
                <w:rFonts w:ascii="仿宋_GB2312" w:eastAsia="仿宋_GB2312" w:cs="仿宋_GB2312" w:hint="eastAsia"/>
                <w:b w:val="0"/>
                <w:bCs w:val="0"/>
                <w:color w:val="auto"/>
                <w:sz w:val="24"/>
                <w:szCs w:val="24"/>
                <w:u w:val="none"/>
                <w:vertAlign w:val="baseline"/>
                <w:lang w:val="en-US" w:eastAsia="zh-CN"/>
                <w:highlight w:val="auto"/>
              </w:rPr>
              <w:t>序号</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vertAlign w:val="baseline"/>
                <w:lang w:eastAsia="zh-CN"/>
                <w:highlight w:val="auto"/>
              </w:rPr>
            </w:pPr>
            <w:r>
              <w:rPr>
                <w:rFonts w:ascii="仿宋_GB2312" w:eastAsia="仿宋_GB2312" w:cs="仿宋_GB2312" w:hint="eastAsia"/>
                <w:b w:val="0"/>
                <w:bCs w:val="0"/>
                <w:color w:val="auto"/>
                <w:sz w:val="24"/>
                <w:szCs w:val="24"/>
                <w:u w:val="none"/>
                <w:vertAlign w:val="baseline"/>
                <w:lang w:val="en-US" w:eastAsia="zh-CN"/>
                <w:highlight w:val="auto"/>
              </w:rPr>
              <w:t>项目资金末端分配点位</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vertAlign w:val="baseline"/>
                <w:lang w:val="en-US" w:eastAsia="zh-CN"/>
                <w:highlight w:val="auto"/>
              </w:rPr>
            </w:pPr>
            <w:r>
              <w:rPr>
                <w:rFonts w:ascii="仿宋_GB2312" w:eastAsia="仿宋_GB2312" w:cs="仿宋_GB2312" w:hint="eastAsia"/>
                <w:b w:val="0"/>
                <w:bCs w:val="0"/>
                <w:color w:val="auto"/>
                <w:sz w:val="24"/>
                <w:szCs w:val="24"/>
                <w:u w:val="none"/>
                <w:vertAlign w:val="baseline"/>
                <w:lang w:eastAsia="zh-CN"/>
                <w:highlight w:val="auto"/>
              </w:rPr>
              <w:t>自评得分（百分制）</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vertAlign w:val="baseline"/>
                <w:lang w:val="en-US" w:eastAsia="zh-CN"/>
                <w:highlight w:val="auto"/>
              </w:rPr>
            </w:pPr>
            <w:r>
              <w:rPr>
                <w:rFonts w:ascii="仿宋_GB2312" w:eastAsia="仿宋_GB2312" w:cs="仿宋_GB2312" w:hint="eastAsia"/>
                <w:b w:val="0"/>
                <w:bCs w:val="0"/>
                <w:color w:val="auto"/>
                <w:sz w:val="24"/>
                <w:szCs w:val="24"/>
                <w:u w:val="none"/>
                <w:vertAlign w:val="baseline"/>
                <w:lang w:val="en-US" w:eastAsia="zh-CN"/>
                <w:highlight w:val="auto"/>
              </w:rPr>
              <w:t>备注</w:t>
            </w:r>
          </w:p>
        </w:tc>
      </w:tr>
      <w:tr>
        <w:trPr>
          <w:trHeight w:hRule="exact" w:val="251"/>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1</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 w:eastAsia="仿宋" w:cs="仿宋" w:hint="eastAsia"/>
                <w:b w:val="0"/>
                <w:bCs w:val="0"/>
                <w:lang w:val="en-US" w:eastAsia="zh-CN"/>
                <w:highlight w:val="auto"/>
              </w:rPr>
              <w:t>统筹开展县级公共图书馆免费开放</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firstLineChars="400" w:firstLine="96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_GB2312" w:eastAsia="仿宋_GB2312" w:cs="仿宋_GB2312" w:hint="eastAsia"/>
                <w:color w:val="auto"/>
                <w:sz w:val="24"/>
                <w:szCs w:val="24"/>
                <w:u w:val="none"/>
                <w:vertAlign w:val="baseline"/>
                <w:lang w:eastAsia="zh-CN"/>
                <w:highlight w:val="auto"/>
              </w:rPr>
              <w:t xml:space="preserve">90 优 </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2</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color w:val="auto"/>
                <w:sz w:val="24"/>
                <w:szCs w:val="24"/>
                <w:u w:val="none"/>
                <w:vertAlign w:val="baseline"/>
                <w:lang w:val="en-US" w:eastAsia="zh-CN"/>
                <w:highlight w:val="auto"/>
              </w:rPr>
            </w:pPr>
            <w:r>
              <w:rPr>
                <w:rFonts w:ascii="仿宋" w:eastAsia="仿宋" w:cs="仿宋" w:hint="eastAsia"/>
                <w:b w:val="0"/>
                <w:bCs w:val="0"/>
                <w:lang w:val="en-US" w:eastAsia="zh-CN"/>
                <w:highlight w:val="auto"/>
              </w:rPr>
              <w:t>统筹开展县级公共文化馆免费开放</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firstLineChars="400" w:firstLine="96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_GB2312" w:eastAsia="仿宋_GB2312" w:cs="仿宋_GB2312" w:hint="eastAsia"/>
                <w:color w:val="auto"/>
                <w:sz w:val="24"/>
                <w:szCs w:val="24"/>
                <w:u w:val="none"/>
                <w:vertAlign w:val="baseline"/>
                <w:lang w:val="en-US" w:eastAsia="zh-CN"/>
                <w:highlight w:val="auto"/>
              </w:rPr>
              <w:t>92</w:t>
            </w:r>
            <w:r>
              <w:rPr>
                <w:rFonts w:ascii="仿宋_GB2312" w:eastAsia="仿宋_GB2312" w:cs="仿宋_GB2312" w:hint="eastAsia"/>
                <w:color w:val="auto"/>
                <w:sz w:val="24"/>
                <w:szCs w:val="24"/>
                <w:u w:val="none"/>
                <w:vertAlign w:val="baseline"/>
                <w:lang w:eastAsia="zh-CN"/>
                <w:highlight w:val="auto"/>
              </w:rPr>
              <w:t xml:space="preserve"> 优 </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3</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 w:eastAsia="仿宋" w:cs="仿宋" w:hint="eastAsia"/>
                <w:b w:val="0"/>
                <w:bCs w:val="0"/>
                <w:lang w:val="en-US" w:eastAsia="zh-CN"/>
                <w:highlight w:val="auto"/>
              </w:rPr>
              <w:t>各乡镇文化站免费开放活动</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firstLineChars="400" w:firstLine="96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_GB2312" w:eastAsia="仿宋_GB2312" w:cs="仿宋_GB2312" w:hint="eastAsia"/>
                <w:color w:val="auto"/>
                <w:sz w:val="24"/>
                <w:szCs w:val="24"/>
                <w:u w:val="none"/>
                <w:vertAlign w:val="baseline"/>
                <w:lang w:eastAsia="zh-CN"/>
                <w:highlight w:val="auto"/>
              </w:rPr>
              <w:t xml:space="preserve">88 良 </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4</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 w:eastAsia="仿宋" w:cs="仿宋" w:hint="eastAsia"/>
                <w:b w:val="0"/>
                <w:bCs w:val="0"/>
                <w:lang w:val="en-US" w:eastAsia="zh-CN"/>
                <w:highlight w:val="auto"/>
              </w:rPr>
              <w:t>文化馆屋顶修缮</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_GB2312" w:eastAsia="仿宋_GB2312" w:cs="仿宋_GB2312" w:hint="eastAsia"/>
                <w:color w:val="auto"/>
                <w:sz w:val="24"/>
                <w:szCs w:val="24"/>
                <w:u w:val="none"/>
                <w:vertAlign w:val="baseline"/>
                <w:lang w:eastAsia="zh-CN"/>
                <w:highlight w:val="auto"/>
              </w:rPr>
              <w:t xml:space="preserve"> </w:t>
            </w:r>
            <w:r>
              <w:rPr>
                <w:rFonts w:ascii="仿宋_GB2312" w:eastAsia="仿宋_GB2312" w:cs="仿宋_GB2312" w:hint="eastAsia"/>
                <w:color w:val="auto"/>
                <w:sz w:val="24"/>
                <w:szCs w:val="24"/>
                <w:u w:val="none"/>
                <w:vertAlign w:val="baseline"/>
                <w:lang w:val="en-US" w:eastAsia="zh-CN"/>
                <w:highlight w:val="auto"/>
              </w:rPr>
              <w:t xml:space="preserve">       </w:t>
            </w:r>
            <w:r>
              <w:rPr>
                <w:rFonts w:ascii="仿宋_GB2312" w:eastAsia="仿宋_GB2312" w:cs="仿宋_GB2312" w:hint="eastAsia"/>
                <w:color w:val="auto"/>
                <w:sz w:val="24"/>
                <w:szCs w:val="24"/>
                <w:u w:val="none"/>
                <w:vertAlign w:val="baseline"/>
                <w:lang w:eastAsia="zh-CN"/>
                <w:highlight w:val="auto"/>
              </w:rPr>
              <w:t>8</w:t>
            </w:r>
            <w:r>
              <w:rPr>
                <w:rFonts w:ascii="仿宋_GB2312" w:eastAsia="仿宋_GB2312" w:cs="仿宋_GB2312" w:hint="eastAsia"/>
                <w:color w:val="auto"/>
                <w:sz w:val="24"/>
                <w:szCs w:val="24"/>
                <w:u w:val="none"/>
                <w:vertAlign w:val="baseline"/>
                <w:lang w:val="en-US" w:eastAsia="zh-CN"/>
                <w:highlight w:val="auto"/>
              </w:rPr>
              <w:t>5</w:t>
            </w:r>
            <w:r>
              <w:rPr>
                <w:rFonts w:ascii="仿宋_GB2312" w:eastAsia="仿宋_GB2312" w:cs="仿宋_GB2312" w:hint="eastAsia"/>
                <w:color w:val="auto"/>
                <w:sz w:val="24"/>
                <w:szCs w:val="24"/>
                <w:u w:val="none"/>
                <w:vertAlign w:val="baseline"/>
                <w:lang w:eastAsia="zh-CN"/>
                <w:highlight w:val="auto"/>
              </w:rPr>
              <w:t xml:space="preserve"> 中</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5</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_GB2312" w:eastAsia="仿宋_GB2312" w:cs="仿宋_GB2312" w:hint="eastAsia"/>
                <w:color w:val="auto"/>
                <w:sz w:val="24"/>
                <w:szCs w:val="24"/>
                <w:u w:val="none"/>
                <w:vertAlign w:val="baseline"/>
                <w:lang w:eastAsia="zh-CN"/>
                <w:highlight w:val="auto"/>
              </w:rPr>
              <w:t>公共服务区域</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r>
              <w:rPr>
                <w:rFonts w:ascii="仿宋_GB2312" w:eastAsia="仿宋_GB2312" w:cs="仿宋_GB2312" w:hint="eastAsia"/>
                <w:color w:val="auto"/>
                <w:sz w:val="24"/>
                <w:szCs w:val="24"/>
                <w:u w:val="none"/>
                <w:vertAlign w:val="baseline"/>
                <w:lang w:eastAsia="zh-CN"/>
                <w:highlight w:val="auto"/>
              </w:rPr>
              <w:t xml:space="preserve">  </w:t>
            </w:r>
            <w:r>
              <w:rPr>
                <w:rFonts w:ascii="仿宋_GB2312" w:eastAsia="仿宋_GB2312" w:cs="仿宋_GB2312" w:hint="eastAsia"/>
                <w:color w:val="auto"/>
                <w:sz w:val="24"/>
                <w:szCs w:val="24"/>
                <w:u w:val="none"/>
                <w:vertAlign w:val="baseline"/>
                <w:lang w:val="en-US" w:eastAsia="zh-CN"/>
                <w:highlight w:val="auto"/>
              </w:rPr>
              <w:t xml:space="preserve">      89 </w:t>
            </w:r>
            <w:r>
              <w:rPr>
                <w:rFonts w:ascii="仿宋_GB2312" w:eastAsia="仿宋_GB2312" w:cs="仿宋_GB2312" w:hint="eastAsia"/>
                <w:color w:val="auto"/>
                <w:sz w:val="24"/>
                <w:szCs w:val="24"/>
                <w:u w:val="none"/>
                <w:vertAlign w:val="baseline"/>
                <w:lang w:eastAsia="zh-CN"/>
                <w:highlight w:val="auto"/>
              </w:rPr>
              <w:t>中</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6</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7</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b w:val="0"/>
                <w:bCs w:val="0"/>
                <w:color w:val="auto"/>
                <w:sz w:val="24"/>
                <w:szCs w:val="24"/>
                <w:u w:val="none"/>
                <w:lang w:val="en-US" w:eastAsia="zh-CN"/>
                <w:highlight w:val="auto"/>
              </w:rPr>
            </w:pPr>
            <w:r>
              <w:rPr>
                <w:rFonts w:ascii="仿宋_GB2312" w:eastAsia="仿宋_GB2312" w:cs="仿宋_GB2312" w:hint="eastAsia"/>
                <w:b w:val="0"/>
                <w:bCs w:val="0"/>
                <w:color w:val="auto"/>
                <w:sz w:val="24"/>
                <w:szCs w:val="24"/>
                <w:u w:val="none"/>
                <w:lang w:val="en-US" w:eastAsia="zh-CN"/>
                <w:highlight w:val="auto"/>
              </w:rPr>
              <w:t>8</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仿宋_GB2312" w:eastAsia="仿宋_GB2312" w:cs="仿宋_GB2312" w:hint="eastAsia"/>
                <w:color w:val="auto"/>
                <w:sz w:val="24"/>
                <w:szCs w:val="24"/>
                <w:u w:val="none"/>
                <w:lang w:val="en-US" w:eastAsia="zh-CN"/>
                <w:highlight w:val="auto"/>
              </w:rPr>
            </w:pPr>
            <w:r>
              <w:rPr>
                <w:rFonts w:ascii="仿宋_GB2312" w:eastAsia="仿宋_GB2312" w:cs="仿宋_GB2312" w:hint="eastAsia"/>
                <w:color w:val="auto"/>
                <w:sz w:val="24"/>
                <w:szCs w:val="24"/>
                <w:u w:val="none"/>
                <w:lang w:val="en-US" w:eastAsia="zh-CN"/>
                <w:highlight w:val="auto"/>
              </w:rPr>
              <w:t>……</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仿宋_GB2312" w:eastAsia="仿宋_GB2312" w:cs="仿宋_GB2312" w:hint="eastAsia"/>
                <w:color w:val="auto"/>
                <w:sz w:val="24"/>
                <w:szCs w:val="24"/>
                <w:u w:val="none"/>
                <w:vertAlign w:val="baseline"/>
                <w:lang w:val="en-US" w:eastAsia="zh-CN"/>
                <w:highlight w:val="auto"/>
              </w:rPr>
            </w:pPr>
          </w:p>
        </w:tc>
      </w:tr>
    </w:tbl>
    <w:p>
      <w:pPr>
        <w:keepNext w:val="0"/>
        <w:keepLines w:val="0"/>
        <w:pageBreakBefore w:val="0"/>
        <w:widowControl w:val="0"/>
        <w:kinsoku/>
        <w:wordWrap/>
        <w:overflowPunct/>
        <w:topLinePunct w:val="0"/>
        <w:autoSpaceDE/>
        <w:autoSpaceDN/>
        <w:bidi w:val="0"/>
        <w:adjustRightInd/>
        <w:snapToGrid/>
        <w:spacing w:line="400" w:lineRule="exact"/>
        <w:ind w:left="0" w:firstLine="0"/>
        <w:jc w:val="left"/>
        <w:textAlignment w:val="auto"/>
        <w:rPr>
          <w:rFonts w:ascii="仿宋_GB2312" w:eastAsia="仿宋_GB2312" w:cs="仿宋_GB2312" w:hint="eastAsia"/>
          <w:b w:val="0"/>
          <w:bCs w:val="0"/>
          <w:color w:val="auto"/>
          <w:sz w:val="24"/>
          <w:szCs w:val="24"/>
          <w:u w:val="none"/>
          <w:vertAlign w:val="baseline"/>
          <w:lang w:val="en-US" w:eastAsia="zh-CN"/>
          <w:highlight w:val="auto"/>
        </w:rPr>
      </w:pPr>
      <w:r>
        <w:rPr>
          <w:rFonts w:ascii="仿宋_GB2312" w:eastAsia="仿宋_GB2312" w:cs="仿宋_GB2312" w:hint="eastAsia"/>
          <w:b w:val="0"/>
          <w:bCs w:val="0"/>
          <w:color w:val="auto"/>
          <w:sz w:val="24"/>
          <w:szCs w:val="24"/>
          <w:u w:val="none"/>
          <w:vertAlign w:val="baseline"/>
          <w:lang w:val="en-US" w:eastAsia="zh-CN"/>
          <w:highlight w:val="auto"/>
        </w:rPr>
        <w:t>备注：1.项目资金末端分配点位包括州本级、县（市）、州级部门下属单位及一次性单位等。</w:t>
      </w:r>
    </w:p>
    <w:p>
      <w:pPr>
        <w:keepNext w:val="0"/>
        <w:keepLines w:val="0"/>
        <w:pageBreakBefore w:val="0"/>
        <w:widowControl w:val="0"/>
        <w:kinsoku/>
        <w:wordWrap/>
        <w:overflowPunct/>
        <w:topLinePunct w:val="0"/>
        <w:autoSpaceDE/>
        <w:autoSpaceDN/>
        <w:bidi w:val="0"/>
        <w:adjustRightInd/>
        <w:snapToGrid/>
        <w:spacing w:line="400" w:lineRule="exact"/>
        <w:ind w:left="0" w:firstLineChars="300" w:firstLine="720"/>
        <w:jc w:val="left"/>
        <w:textAlignment w:val="auto"/>
        <w:rPr>
          <w:rFonts w:ascii="仿宋_GB2312" w:eastAsia="仿宋_GB2312" w:cs="仿宋_GB2312" w:hint="eastAsia"/>
          <w:b w:val="0"/>
          <w:bCs w:val="0"/>
          <w:color w:val="auto"/>
          <w:sz w:val="24"/>
          <w:szCs w:val="24"/>
          <w:u w:val="none"/>
          <w:vertAlign w:val="baseline"/>
          <w:lang w:val="en-US" w:eastAsia="zh-CN"/>
          <w:highlight w:val="auto"/>
        </w:rPr>
      </w:pPr>
      <w:r>
        <w:rPr>
          <w:rFonts w:ascii="仿宋_GB2312" w:eastAsia="仿宋_GB2312" w:cs="仿宋_GB2312" w:hint="eastAsia"/>
          <w:b w:val="0"/>
          <w:bCs w:val="0"/>
          <w:color w:val="auto"/>
          <w:sz w:val="24"/>
          <w:szCs w:val="24"/>
          <w:u w:val="none"/>
          <w:vertAlign w:val="baseline"/>
          <w:lang w:val="en-US" w:eastAsia="zh-CN"/>
          <w:highlight w:val="auto"/>
        </w:rPr>
        <w:t>2.自评得分（百分制）从高到低划分为优、良、中、差四个档次，各个档次数量占比分别为20%、20%、55%、5%，且不同档次间得分分值应体现差异化，同档次得分分值相同的比例不超过该档次总数量的10%。</w:t>
      </w:r>
    </w:p>
    <w:p>
      <w:pPr>
        <w:rPr>
          <w:rFonts w:ascii="Times New Roman" w:eastAsia="仿宋_GB2312" w:cs="Times New Roman" w:hAnsi="Times New Roman" w:hint="eastAsia"/>
          <w:kern w:val="2"/>
          <w:sz w:val="32"/>
          <w:szCs w:val="24"/>
          <w:lang w:val="en-US" w:eastAsia="zh-CN" w:bidi="ar-SA"/>
          <w:highlight w:val="auto"/>
        </w:rPr>
      </w:pPr>
      <w:r>
        <w:rPr>
          <w:rFonts w:ascii="Times New Roman" w:eastAsia="仿宋_GB2312" w:cs="Times New Roman" w:hAnsi="Times New Roman" w:hint="eastAsia"/>
          <w:kern w:val="2"/>
          <w:sz w:val="32"/>
          <w:szCs w:val="24"/>
          <w:lang w:val="en-US" w:eastAsia="zh-CN" w:bidi="ar-SA"/>
          <w:highlight w:val="auto"/>
        </w:rPr>
        <w:br w:type="page"/>
      </w:r>
    </w:p>
    <w:p>
      <w:pPr>
        <w:pStyle w:val="23"/>
        <w:keepNext w:val="0"/>
        <w:keepLines w:val="0"/>
        <w:pageBreakBefore w:val="0"/>
        <w:kinsoku/>
        <w:wordWrap/>
        <w:overflowPunct/>
        <w:topLinePunct w:val="0"/>
        <w:autoSpaceDE/>
        <w:autoSpaceDN/>
        <w:bidi w:val="0"/>
        <w:spacing w:after="0" w:line="578" w:lineRule="exact"/>
        <w:ind w:leftChars="0" w:left="0" w:firstLineChars="0" w:firstLine="0"/>
        <w:rPr>
          <w:rFonts w:ascii="Times New Roman" w:eastAsia="黑体" w:cs="Times New Roman" w:hAnsi="Times New Roman"/>
          <w:kern w:val="2"/>
          <w:sz w:val="32"/>
          <w:szCs w:val="24"/>
          <w:lang w:val="en-US" w:eastAsia="zh-CN" w:bidi="ar-SA"/>
          <w:highlight w:val="auto"/>
        </w:rPr>
      </w:pPr>
      <w:r>
        <w:rPr>
          <w:rFonts w:ascii="Times New Roman" w:eastAsia="黑体" w:cs="Times New Roman" w:hAnsi="Times New Roman"/>
          <w:kern w:val="2"/>
          <w:sz w:val="32"/>
          <w:szCs w:val="24"/>
          <w:lang w:val="en-US" w:eastAsia="zh-CN" w:bidi="ar-SA"/>
          <w:highlight w:val="auto"/>
        </w:rPr>
        <w:t>附表2</w:t>
      </w:r>
    </w:p>
    <w:tbl>
      <w:tblPr>
        <w:jc w:val="center"/>
        <w:tblW w:w="10233" w:type="dxa"/>
        <w:tblBorders>
          <w:top w:val="none" w:sz="0" w:space="0" w:color="auto"/>
          <w:left w:val="none" w:sz="0" w:space="0" w:color="auto"/>
          <w:bottom w:val="none" w:sz="0" w:space="0" w:color="auto"/>
          <w:right w:val="none" w:sz="0" w:space="0" w:color="auto"/>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rPr>
          <w:trHeight w:val="576"/>
        </w:trPr>
        <w:tc>
          <w:tcPr>
            <w:tcW w:w="10233" w:type="dxa"/>
            <w:gridSpan w:val="9"/>
            <w:tcBorders>
              <w:top w:val="nil"/>
              <w:left w:val="nil"/>
              <w:bottom w:val="nil"/>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jc w:val="center"/>
              <w:textAlignment w:val="center"/>
              <w:rPr>
                <w:rFonts w:ascii="黑体" w:eastAsia="黑体" w:cs="黑体"/>
                <w:i w:val="0"/>
                <w:color w:val="000000"/>
                <w:sz w:val="30"/>
                <w:szCs w:val="30"/>
                <w:u w:val="none"/>
              </w:rPr>
            </w:pPr>
            <w:r>
              <w:rPr>
                <w:rFonts w:ascii="方正小标宋简体" w:eastAsia="方正小标宋简体" w:cs="方正小标宋简体" w:hint="eastAsia"/>
                <w:i w:val="0"/>
                <w:color w:val="000000"/>
                <w:kern w:val="0"/>
                <w:sz w:val="40"/>
                <w:szCs w:val="40"/>
                <w:u w:val="none"/>
                <w:lang w:val="en-US" w:eastAsia="zh-CN"/>
              </w:rPr>
              <w:t>专项预算项目绩效目标完成情况自评表</w:t>
            </w:r>
          </w:p>
        </w:tc>
      </w:tr>
      <w:tr>
        <w:trPr>
          <w:trHeight w:val="23"/>
        </w:trPr>
        <w:tc>
          <w:tcPr>
            <w:tcW w:w="4295" w:type="dxa"/>
            <w:gridSpan w:val="4"/>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项目名称</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2025年中央财政公共文化服务体系建设补助资金</w:t>
            </w:r>
          </w:p>
        </w:tc>
      </w:tr>
      <w:tr>
        <w:trPr>
          <w:trHeight w:val="23"/>
        </w:trPr>
        <w:tc>
          <w:tcPr>
            <w:tcW w:w="4295" w:type="dxa"/>
            <w:gridSpan w:val="4"/>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预算单位</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hint="eastAsia"/>
                <w:i w:val="0"/>
                <w:color w:val="000000"/>
                <w:sz w:val="24"/>
                <w:szCs w:val="24"/>
                <w:u w:val="none"/>
              </w:rPr>
            </w:pPr>
            <w:r>
              <w:rPr>
                <w:rFonts w:ascii="宋体" w:eastAsia="宋体" w:cs="宋体" w:hint="eastAsia"/>
                <w:i w:val="0"/>
                <w:color w:val="000000"/>
                <w:sz w:val="24"/>
                <w:szCs w:val="24"/>
                <w:u w:val="none"/>
              </w:rPr>
              <w:t>红原县文化广播电视体育和旅游局</w:t>
            </w:r>
          </w:p>
        </w:tc>
      </w:tr>
      <w:tr>
        <w:trPr>
          <w:trHeight w:val="23"/>
        </w:trPr>
        <w:tc>
          <w:tcPr>
            <w:tcW w:w="4295" w:type="dxa"/>
            <w:gridSpan w:val="4"/>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项目类型</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公共文化服务体系类</w:t>
            </w:r>
          </w:p>
        </w:tc>
      </w:tr>
      <w:tr>
        <w:trPr>
          <w:trHeight w:val="23"/>
        </w:trPr>
        <w:tc>
          <w:tcPr>
            <w:tcW w:w="652" w:type="dxa"/>
            <w:vMerge w:val="restar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 概况</w:t>
            </w: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常年项目）</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阿州财教〔2025〕8号</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资金管理办法（名称、文号）</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阿州财教〔2025〕8号</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绩效分配方式</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t>£</w:t>
            </w:r>
            <w:r>
              <w:rPr>
                <w:rFonts w:ascii="宋体" w:eastAsia="宋体" w:cs="宋体"/>
                <w:i w:val="0"/>
                <w:color w:val="000000"/>
                <w:kern w:val="0"/>
                <w:sz w:val="24"/>
                <w:szCs w:val="24"/>
                <w:u w:val="none"/>
                <w:lang w:val="en-US" w:eastAsia="zh-CN"/>
              </w:rPr>
              <w:t>因素法</w:t>
            </w:r>
          </w:p>
        </w:tc>
        <w:tc>
          <w:tcPr>
            <w:tcW w:w="203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sym w:font="Wingdings 2" w:char="52"/>
            </w:r>
            <w:r>
              <w:rPr>
                <w:rFonts w:ascii="Wingdings 2" w:eastAsia="Wingdings 2" w:cs="Wingdings 2" w:hAnsi="Wingdings 2"/>
                <w:i w:val="0"/>
                <w:color w:val="000000"/>
                <w:kern w:val="0"/>
                <w:sz w:val="24"/>
                <w:szCs w:val="24"/>
                <w:u w:val="none"/>
                <w:lang w:val="en-US" w:eastAsia="zh-CN"/>
              </w:rPr>
              <w:t>项目法</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t>£</w:t>
            </w:r>
            <w:r>
              <w:rPr>
                <w:rFonts w:ascii="宋体" w:eastAsia="宋体" w:cs="宋体"/>
                <w:i w:val="0"/>
                <w:color w:val="000000"/>
                <w:kern w:val="0"/>
                <w:sz w:val="24"/>
                <w:szCs w:val="24"/>
                <w:u w:val="none"/>
                <w:lang w:val="en-US" w:eastAsia="zh-CN"/>
              </w:rPr>
              <w:t>据实据效</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t>£</w:t>
            </w:r>
            <w:r>
              <w:rPr>
                <w:rFonts w:ascii="宋体" w:eastAsia="宋体" w:cs="宋体"/>
                <w:i w:val="0"/>
                <w:color w:val="000000"/>
                <w:kern w:val="0"/>
                <w:sz w:val="24"/>
                <w:szCs w:val="24"/>
                <w:u w:val="none"/>
                <w:lang w:val="en-US" w:eastAsia="zh-CN"/>
              </w:rPr>
              <w:t>因素法与项目法相结合</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立项依据</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阿州财教〔2025〕8号</w:t>
            </w:r>
          </w:p>
        </w:tc>
      </w:tr>
      <w:tr>
        <w:trPr>
          <w:trHeight w:val="424"/>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使用范围</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项目资金主要用于保障红原县公共图书馆、文化馆及各乡镇文化站免费开放后的运营工作。</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申报（补助）条件</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rPr>
              <w:t>符合</w:t>
            </w:r>
            <w:r>
              <w:rPr>
                <w:rFonts w:ascii="宋体" w:eastAsia="宋体" w:cs="宋体" w:hint="eastAsia"/>
                <w:i w:val="0"/>
                <w:color w:val="000000"/>
                <w:sz w:val="24"/>
                <w:szCs w:val="24"/>
                <w:u w:val="none"/>
                <w:lang w:eastAsia="zh-CN"/>
              </w:rPr>
              <w:t>我县</w:t>
            </w:r>
            <w:r>
              <w:rPr>
                <w:rFonts w:ascii="宋体" w:eastAsia="宋体" w:cs="宋体" w:hint="eastAsia"/>
                <w:i w:val="0"/>
                <w:color w:val="000000"/>
                <w:sz w:val="24"/>
                <w:szCs w:val="24"/>
                <w:u w:val="none"/>
              </w:rPr>
              <w:t xml:space="preserve">文旅产业发展规划，具备项目实施的基本条件等  </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项目起止年限</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hint="eastAsia"/>
                <w:i w:val="0"/>
                <w:color w:val="000000"/>
                <w:sz w:val="24"/>
                <w:szCs w:val="24"/>
                <w:u w:val="none"/>
              </w:rPr>
            </w:pPr>
            <w:r>
              <w:rPr>
                <w:rFonts w:ascii="宋体" w:eastAsia="宋体" w:cs="宋体" w:hint="eastAsia"/>
                <w:i w:val="0"/>
                <w:color w:val="000000"/>
                <w:sz w:val="24"/>
                <w:szCs w:val="24"/>
                <w:u w:val="none"/>
              </w:rPr>
              <w:t>中长期规划</w:t>
            </w:r>
          </w:p>
        </w:tc>
      </w:tr>
      <w:tr>
        <w:trPr>
          <w:trHeight w:val="23"/>
        </w:trPr>
        <w:tc>
          <w:tcPr>
            <w:tcW w:w="1733" w:type="dxa"/>
            <w:gridSpan w:val="2"/>
            <w:vMerge w:val="restar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（万元）</w:t>
            </w:r>
          </w:p>
        </w:tc>
        <w:tc>
          <w:tcPr>
            <w:tcW w:w="256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 xml:space="preserve">  年度资金总额：</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tabs>
                <w:tab w:val="left" w:pos="707"/>
              </w:tabs>
              <w:kinsoku/>
              <w:wordWrap/>
              <w:overflowPunct/>
              <w:topLinePunct w:val="0"/>
              <w:autoSpaceDE/>
              <w:autoSpaceDN/>
              <w:bidi w:val="0"/>
              <w:adjustRightInd/>
              <w:snapToGrid/>
              <w:spacing w:line="300" w:lineRule="exact"/>
              <w:ind w:left="0"/>
              <w:jc w:val="left"/>
              <w:rPr>
                <w:rFonts w:ascii="宋体" w:eastAsia="宋体" w:cs="宋体"/>
                <w:i w:val="0"/>
                <w:color w:val="000000"/>
                <w:sz w:val="24"/>
                <w:szCs w:val="24"/>
                <w:u w:val="none"/>
                <w:lang w:val="en-US" w:eastAsia="zh-CN"/>
              </w:rPr>
            </w:pPr>
            <w:r>
              <w:rPr>
                <w:rFonts w:cs="宋体" w:hint="eastAsia"/>
                <w:i w:val="0"/>
                <w:color w:val="000000"/>
                <w:sz w:val="24"/>
                <w:szCs w:val="24"/>
                <w:u w:val="none"/>
                <w:lang w:val="en-US" w:eastAsia="zh-CN"/>
              </w:rPr>
              <w:t>151.64</w:t>
            </w:r>
            <w:r>
              <w:rPr>
                <w:rFonts w:ascii="宋体" w:eastAsia="宋体" w:cs="宋体" w:hint="eastAsia"/>
                <w:i w:val="0"/>
                <w:color w:val="000000"/>
                <w:sz w:val="24"/>
                <w:szCs w:val="24"/>
                <w:u w:val="none"/>
                <w:lang w:val="en-US" w:eastAsia="zh-CN"/>
              </w:rPr>
              <w:t>万（壹佰伍拾壹点陆肆万）</w:t>
            </w:r>
          </w:p>
        </w:tc>
      </w:tr>
      <w:tr>
        <w:trPr>
          <w:trHeight w:val="23"/>
        </w:trPr>
        <w:tc>
          <w:tcPr>
            <w:tcW w:w="1733" w:type="dxa"/>
            <w:gridSpan w:val="2"/>
            <w:vMerge/>
            <w:tcBorders>
              <w:top w:val="single" w:sz="4" w:space="0" w:color="000000"/>
              <w:left w:val="single" w:sz="4" w:space="0" w:color="000000"/>
              <w:bottom w:val="single" w:sz="4" w:space="0" w:color="000000"/>
              <w:right w:val="single" w:sz="4" w:space="0" w:color="000000"/>
            </w:tcBorders>
            <w:noWrap/>
            <w:vAlign w:val="center"/>
          </w:tcPr>
          <w:p/>
        </w:tc>
        <w:tc>
          <w:tcPr>
            <w:tcW w:w="256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 xml:space="preserve">     </w:t>
            </w:r>
            <w:r>
              <w:rPr>
                <w:rFonts w:ascii="宋体" w:eastAsia="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其中：财政拨款</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tabs>
                <w:tab w:val="left" w:pos="996"/>
              </w:tabs>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lang w:eastAsia="zh-CN"/>
              </w:rPr>
            </w:pPr>
            <w:r>
              <w:rPr>
                <w:rFonts w:cs="宋体" w:hint="eastAsia"/>
                <w:i w:val="0"/>
                <w:color w:val="000000"/>
                <w:sz w:val="24"/>
                <w:szCs w:val="24"/>
                <w:u w:val="none"/>
                <w:lang w:val="en-US" w:eastAsia="zh-CN"/>
              </w:rPr>
              <w:t>151.64</w:t>
            </w:r>
            <w:r>
              <w:rPr>
                <w:rFonts w:ascii="宋体" w:eastAsia="宋体" w:cs="宋体" w:hint="eastAsia"/>
                <w:i w:val="0"/>
                <w:color w:val="000000"/>
                <w:sz w:val="24"/>
                <w:szCs w:val="24"/>
                <w:u w:val="none"/>
                <w:lang w:val="en-US" w:eastAsia="zh-CN"/>
              </w:rPr>
              <w:t>万（壹佰伍拾壹点陆肆万）</w:t>
            </w:r>
          </w:p>
        </w:tc>
      </w:tr>
      <w:tr>
        <w:trPr>
          <w:trHeight w:val="23"/>
        </w:trPr>
        <w:tc>
          <w:tcPr>
            <w:tcW w:w="1733" w:type="dxa"/>
            <w:gridSpan w:val="2"/>
            <w:vMerge/>
            <w:tcBorders>
              <w:top w:val="single" w:sz="4" w:space="0" w:color="000000"/>
              <w:left w:val="single" w:sz="4" w:space="0" w:color="000000"/>
              <w:bottom w:val="single" w:sz="4" w:space="0" w:color="000000"/>
              <w:right w:val="single" w:sz="4" w:space="0" w:color="000000"/>
            </w:tcBorders>
            <w:noWrap/>
            <w:vAlign w:val="center"/>
          </w:tcPr>
          <w:p/>
        </w:tc>
        <w:tc>
          <w:tcPr>
            <w:tcW w:w="256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 xml:space="preserve">            其他资金</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right"/>
              <w:rPr>
                <w:rFonts w:ascii="宋体" w:eastAsia="宋体" w:cs="宋体" w:hint="eastAsia"/>
                <w:i w:val="0"/>
                <w:color w:val="000000"/>
                <w:sz w:val="24"/>
                <w:szCs w:val="24"/>
                <w:u w:val="none"/>
              </w:rPr>
            </w:pPr>
          </w:p>
        </w:tc>
      </w:tr>
      <w:tr>
        <w:trPr>
          <w:trHeight w:val="23"/>
        </w:trPr>
        <w:tc>
          <w:tcPr>
            <w:tcW w:w="652" w:type="dxa"/>
            <w:vMerge w:val="restar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总体 目标</w:t>
            </w:r>
          </w:p>
        </w:tc>
        <w:tc>
          <w:tcPr>
            <w:tcW w:w="9581" w:type="dxa"/>
            <w:gridSpan w:val="8"/>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年度目标</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9581" w:type="dxa"/>
            <w:gridSpan w:val="8"/>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hint="eastAsia"/>
                <w:i w:val="0"/>
                <w:color w:val="000000"/>
                <w:sz w:val="24"/>
                <w:szCs w:val="24"/>
                <w:u w:val="none"/>
                <w:lang w:eastAsia="zh-CN"/>
              </w:rPr>
            </w:pPr>
            <w:r>
              <w:rPr>
                <w:rFonts w:ascii="宋体" w:eastAsia="宋体" w:cs="宋体" w:hint="eastAsia"/>
                <w:i w:val="0"/>
                <w:color w:val="000000"/>
                <w:sz w:val="24"/>
                <w:szCs w:val="24"/>
                <w:u w:val="none"/>
                <w:lang w:val="en-US" w:eastAsia="zh-CN"/>
              </w:rPr>
              <w:t>项目整体目标为专项资金用于2025年公共图书馆、美术馆、文化感免费开放。</w:t>
            </w:r>
          </w:p>
        </w:tc>
      </w:tr>
      <w:tr>
        <w:trPr>
          <w:trHeight w:val="545"/>
        </w:trPr>
        <w:tc>
          <w:tcPr>
            <w:tcW w:w="652" w:type="dxa"/>
            <w:vMerge w:val="restart"/>
            <w:tcBorders>
              <w:top w:val="single" w:sz="4" w:space="0" w:color="000000"/>
              <w:left w:val="single" w:sz="4" w:space="0" w:color="000000"/>
              <w:bottom w:val="single" w:sz="4" w:space="0" w:color="000000"/>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绩效 指标</w:t>
            </w: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一级指标</w:t>
            </w:r>
          </w:p>
        </w:tc>
        <w:tc>
          <w:tcPr>
            <w:tcW w:w="1250"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br/>
              <w:t>二级指标</w:t>
            </w:r>
          </w:p>
        </w:tc>
        <w:tc>
          <w:tcPr>
            <w:tcW w:w="1312"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br/>
              <w:t>三级指标</w:t>
            </w:r>
          </w:p>
        </w:tc>
        <w:tc>
          <w:tcPr>
            <w:tcW w:w="1127"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指标性质</w:t>
            </w:r>
          </w:p>
        </w:tc>
        <w:tc>
          <w:tcPr>
            <w:tcW w:w="97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历史参考值</w:t>
            </w: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指标值</w:t>
            </w:r>
          </w:p>
        </w:tc>
        <w:tc>
          <w:tcPr>
            <w:tcW w:w="938"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度量</w:t>
              <w:br/>
              <w:t>单位</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实际完成指标值</w:t>
            </w:r>
          </w:p>
        </w:tc>
      </w:tr>
      <w:tr>
        <w:trPr>
          <w:trHeight w:val="715"/>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数量指标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2025年公共图书馆、文化馆(站)免费开放</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2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处</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图书馆及文化馆免费开放</w:t>
            </w:r>
          </w:p>
        </w:tc>
      </w:tr>
      <w:tr>
        <w:trPr>
          <w:trHeight w:val="834"/>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质量指标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2025年公共</w:t>
              <w:br/>
              <w:t>图书馆、文化馆</w:t>
              <w:br/>
              <w:t>(站)免费开放</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1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年</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1年</w:t>
            </w:r>
          </w:p>
        </w:tc>
      </w:tr>
      <w:tr>
        <w:trPr>
          <w:trHeight w:val="647"/>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时效指标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2025年公共图书馆、文化馆</w:t>
              <w:br/>
              <w:t>(站)免费开放</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100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100%</w:t>
            </w:r>
          </w:p>
        </w:tc>
      </w:tr>
      <w:tr>
        <w:trPr>
          <w:trHeight w:val="48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效益指标</w:t>
            </w:r>
          </w:p>
        </w:tc>
        <w:tc>
          <w:tcPr>
            <w:tcW w:w="1250"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社会效益</w:t>
              <w:br/>
              <w:t>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开展文化</w:t>
              <w:br/>
              <w:t>活动</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1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场次</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100%</w:t>
            </w:r>
          </w:p>
        </w:tc>
      </w:tr>
      <w:tr>
        <w:trPr>
          <w:trHeight w:val="628"/>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效益指标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可持续发</w:t>
              <w:br/>
              <w:t>展指标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提升两馆</w:t>
              <w:br/>
              <w:t>正面形象</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95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≥95%</w:t>
            </w:r>
          </w:p>
        </w:tc>
      </w:tr>
      <w:tr>
        <w:trPr>
          <w:trHeight w:val="508"/>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满意度指标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服务对象</w:t>
              <w:br/>
              <w:t>满意度指</w:t>
              <w:br/>
              <w:t>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群众满意度</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95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≥95%</w:t>
            </w:r>
          </w:p>
        </w:tc>
      </w:tr>
      <w:tr>
        <w:trPr>
          <w:trHeight w:val="2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一级指标</w:t>
            </w:r>
          </w:p>
        </w:tc>
        <w:tc>
          <w:tcPr>
            <w:tcW w:w="1250"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br/>
              <w:t>二级指标</w:t>
            </w:r>
          </w:p>
        </w:tc>
        <w:tc>
          <w:tcPr>
            <w:tcW w:w="1312"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br/>
              <w:t>三级指标</w:t>
            </w:r>
          </w:p>
        </w:tc>
        <w:tc>
          <w:tcPr>
            <w:tcW w:w="1127"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指标性质</w:t>
            </w:r>
          </w:p>
        </w:tc>
        <w:tc>
          <w:tcPr>
            <w:tcW w:w="97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历史参考值</w:t>
            </w: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指标值</w:t>
            </w:r>
          </w:p>
        </w:tc>
        <w:tc>
          <w:tcPr>
            <w:tcW w:w="938"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度量</w:t>
              <w:br/>
              <w:t>单位</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完成值</w:t>
            </w:r>
          </w:p>
        </w:tc>
      </w:tr>
      <w:tr>
        <w:trPr>
          <w:trHeight w:val="920"/>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数量指标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2025年公共图书馆、文化馆(站)免费开放</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2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处</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图书馆及文化馆免费开放</w:t>
            </w:r>
          </w:p>
        </w:tc>
      </w:tr>
      <w:tr>
        <w:trPr>
          <w:trHeight w:val="2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nil"/>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质量指标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2025年公共</w:t>
              <w:br/>
              <w:t>图书馆、文化馆</w:t>
              <w:br/>
              <w:t>(站)免费开放</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1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年</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1年</w:t>
            </w:r>
          </w:p>
        </w:tc>
      </w:tr>
      <w:tr>
        <w:trPr>
          <w:trHeight w:val="2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nil"/>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时效指标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2025年公共图书馆、文化馆</w:t>
              <w:br/>
              <w:t>(站)免费开放</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100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100%</w:t>
            </w:r>
          </w:p>
        </w:tc>
      </w:tr>
      <w:tr>
        <w:trPr>
          <w:trHeight w:val="2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nil"/>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效益指标</w:t>
            </w:r>
          </w:p>
        </w:tc>
        <w:tc>
          <w:tcPr>
            <w:tcW w:w="1250" w:type="dxa"/>
            <w:tcBorders>
              <w:top w:val="single" w:sz="4" w:space="0" w:color="000000"/>
              <w:left w:val="single" w:sz="4" w:space="0" w:color="000000"/>
              <w:bottom w:val="nil"/>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社会效益</w:t>
              <w:br/>
              <w:t>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开展文化</w:t>
              <w:br/>
              <w:t>活动</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1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场次</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100%</w:t>
            </w:r>
          </w:p>
        </w:tc>
      </w:tr>
      <w:tr>
        <w:trPr>
          <w:trHeight w:val="2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效益指标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可持续发</w:t>
              <w:br/>
              <w:t>展指标</w:t>
            </w:r>
          </w:p>
        </w:tc>
        <w:tc>
          <w:tcPr>
            <w:tcW w:w="1312" w:type="dxa"/>
            <w:tcBorders>
              <w:top w:val="single" w:sz="4" w:space="0" w:color="000000"/>
              <w:left w:val="nil"/>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提升两馆</w:t>
              <w:br/>
              <w:t>正面形象</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 xml:space="preserve">95 </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≥95%</w:t>
            </w:r>
          </w:p>
        </w:tc>
      </w:tr>
    </w:tbl>
    <w:p>
      <w:pPr>
        <w:bidi w:val="0"/>
        <w:jc w:val="left"/>
        <w:rPr>
          <w:rFonts w:hint="eastAsia"/>
          <w:lang w:val="en-US" w:eastAsia="zh-CN"/>
        </w:rPr>
      </w:pPr>
    </w:p>
    <w:p>
      <w:pPr>
        <w:pStyle w:val="32"/>
      </w:pPr>
    </w:p>
    <w:p/>
    <w:p/>
    <w:p/>
    <w:p/>
    <w:p/>
    <w:p/>
    <w:p/>
    <w:p/>
    <w:p/>
    <w:p/>
    <w:p/>
    <w:p/>
    <w:p/>
    <w:p/>
    <w:p/>
    <w:p/>
    <w:p>
      <w:pPr>
        <w:keepNext w:val="0"/>
        <w:keepLines w:val="0"/>
        <w:pageBreakBefore w:val="0"/>
        <w:widowControl/>
        <w:kinsoku w:val="0"/>
        <w:wordWrap/>
        <w:overflowPunct/>
        <w:topLinePunct w:val="0"/>
        <w:autoSpaceDE w:val="0"/>
        <w:autoSpaceDN w:val="0"/>
        <w:bidi w:val="0"/>
        <w:adjustRightInd w:val="0"/>
        <w:snapToGrid w:val="0"/>
        <w:spacing w:before="0" w:line="560" w:lineRule="exact"/>
        <w:jc w:val="center"/>
        <w:textAlignment w:val="baseline"/>
        <w:rPr>
          <w:rFonts w:ascii="方正小标宋简体" w:eastAsia="方正小标宋简体" w:cs="方正小标宋简体" w:hint="eastAsia"/>
          <w:snapToGrid w:val="0"/>
          <w:color w:val="000000"/>
          <w:spacing w:val="9"/>
          <w:kern w:val="0"/>
          <w:sz w:val="44"/>
          <w:szCs w:val="44"/>
        </w:rPr>
      </w:pPr>
      <w:r>
        <w:rPr>
          <w:rFonts w:ascii="方正小标宋简体" w:eastAsia="方正小标宋简体" w:cs="方正小标宋简体" w:hint="eastAsia"/>
          <w:snapToGrid w:val="0"/>
          <w:color w:val="000000"/>
          <w:spacing w:val="9"/>
          <w:kern w:val="0"/>
          <w:sz w:val="44"/>
          <w:szCs w:val="44"/>
        </w:rPr>
        <w:t>红原县文化广播电视体育和旅游局</w:t>
      </w:r>
    </w:p>
    <w:p>
      <w:pPr>
        <w:tabs>
          <w:tab w:val="left" w:pos="4354"/>
        </w:tabs>
        <w:rPr>
          <w:rFonts w:ascii="方正小标宋简体" w:eastAsia="方正小标宋简体" w:cs="方正小标宋简体" w:hint="eastAsia"/>
          <w:bCs/>
          <w:color w:val="auto"/>
          <w:kern w:val="0"/>
          <w:sz w:val="44"/>
          <w:szCs w:val="44"/>
          <w:lang w:val="en-US" w:eastAsia="zh-CN"/>
        </w:rPr>
      </w:pPr>
      <w:r>
        <w:rPr>
          <w:rFonts w:ascii="方正小标宋简体" w:eastAsia="方正小标宋简体" w:cs="方正小标宋简体" w:hint="eastAsia"/>
          <w:snapToGrid w:val="0"/>
          <w:color w:val="000000"/>
          <w:spacing w:val="9"/>
          <w:kern w:val="0"/>
          <w:sz w:val="44"/>
          <w:szCs w:val="44"/>
        </w:rPr>
        <w:t>202</w:t>
      </w:r>
      <w:r>
        <w:rPr>
          <w:rFonts w:ascii="方正小标宋简体" w:eastAsia="方正小标宋简体" w:cs="方正小标宋简体" w:hint="eastAsia"/>
          <w:snapToGrid w:val="0"/>
          <w:color w:val="000000"/>
          <w:spacing w:val="9"/>
          <w:kern w:val="0"/>
          <w:sz w:val="44"/>
          <w:szCs w:val="44"/>
          <w:lang w:val="en-US" w:eastAsia="zh-CN"/>
        </w:rPr>
        <w:t>5</w:t>
      </w:r>
      <w:r>
        <w:rPr>
          <w:rFonts w:ascii="方正小标宋简体" w:eastAsia="方正小标宋简体" w:cs="方正小标宋简体" w:hint="eastAsia"/>
          <w:snapToGrid w:val="0"/>
          <w:color w:val="000000"/>
          <w:spacing w:val="9"/>
          <w:kern w:val="0"/>
          <w:sz w:val="44"/>
          <w:szCs w:val="44"/>
        </w:rPr>
        <w:t>年</w:t>
      </w:r>
      <w:r>
        <w:rPr>
          <w:rFonts w:ascii="方正小标宋简体" w:eastAsia="方正小标宋简体" w:cs="方正小标宋简体" w:hint="eastAsia"/>
          <w:bCs/>
          <w:color w:val="auto"/>
          <w:kern w:val="0"/>
          <w:sz w:val="44"/>
          <w:szCs w:val="44"/>
          <w:lang w:val="en-US" w:eastAsia="zh-CN"/>
        </w:rPr>
        <w:t>第十三届牦牛文化活动开幕式服务</w:t>
      </w:r>
    </w:p>
    <w:p>
      <w:pPr>
        <w:keepNext w:val="0"/>
        <w:keepLines w:val="0"/>
        <w:pageBreakBefore w:val="0"/>
        <w:widowControl/>
        <w:kinsoku w:val="0"/>
        <w:wordWrap/>
        <w:overflowPunct/>
        <w:topLinePunct w:val="0"/>
        <w:autoSpaceDE w:val="0"/>
        <w:autoSpaceDN w:val="0"/>
        <w:bidi w:val="0"/>
        <w:adjustRightInd w:val="0"/>
        <w:snapToGrid w:val="0"/>
        <w:spacing w:before="0" w:line="560" w:lineRule="exact"/>
        <w:jc w:val="center"/>
        <w:textAlignment w:val="baseline"/>
        <w:rPr>
          <w:rFonts w:ascii="方正小标宋简体" w:eastAsia="方正小标宋简体" w:cs="方正小标宋简体" w:hint="eastAsia"/>
          <w:snapToGrid w:val="0"/>
          <w:color w:val="000000"/>
          <w:spacing w:val="9"/>
          <w:kern w:val="0"/>
          <w:sz w:val="44"/>
          <w:szCs w:val="44"/>
        </w:rPr>
      </w:pPr>
      <w:r>
        <w:rPr>
          <w:rFonts w:ascii="方正小标宋简体" w:eastAsia="方正小标宋简体" w:cs="方正小标宋简体" w:hint="eastAsia"/>
          <w:snapToGrid w:val="0"/>
          <w:color w:val="000000"/>
          <w:spacing w:val="9"/>
          <w:kern w:val="0"/>
          <w:sz w:val="44"/>
          <w:szCs w:val="44"/>
          <w:lang w:val="en-US" w:eastAsia="zh-CN"/>
        </w:rPr>
        <w:t>项目</w:t>
      </w:r>
      <w:r>
        <w:rPr>
          <w:rFonts w:ascii="方正小标宋简体" w:eastAsia="方正小标宋简体" w:cs="方正小标宋简体" w:hint="eastAsia"/>
          <w:bCs/>
          <w:color w:val="auto"/>
          <w:kern w:val="0"/>
          <w:sz w:val="44"/>
          <w:szCs w:val="44"/>
        </w:rPr>
        <w:t>支出绩效自评报告</w:t>
      </w:r>
    </w:p>
    <w:p/>
    <w:p>
      <w:pPr>
        <w:pStyle w:val="1"/>
        <w:pageBreakBefore w:val="0"/>
        <w:widowControl w:val="0"/>
        <w:numPr>
          <w:ilvl w:val="0"/>
          <w:numId w:val="0"/>
        </w:numPr>
        <w:kinsoku/>
        <w:wordWrap/>
        <w:overflowPunct/>
        <w:topLinePunct w:val="0"/>
        <w:autoSpaceDE/>
        <w:autoSpaceDN/>
        <w:bidi w:val="0"/>
        <w:snapToGrid/>
        <w:spacing w:line="600" w:lineRule="exact"/>
        <w:ind w:left="0" w:firstLineChars="200" w:firstLine="640"/>
        <w:textAlignment w:val="auto"/>
        <w:rPr>
          <w:rFonts w:ascii="黑体" w:eastAsia="黑体" w:cs="黑体" w:hint="eastAsia"/>
          <w:b/>
          <w:bCs/>
          <w:color w:val="auto"/>
          <w:highlight w:val="auto"/>
        </w:rPr>
      </w:pPr>
      <w:bookmarkStart w:id="153" w:name="_Toc22830"/>
      <w:r>
        <w:rPr>
          <w:rFonts w:ascii="黑体" w:eastAsia="黑体" w:cs="黑体" w:hint="eastAsia"/>
          <w:b/>
          <w:bCs/>
          <w:i w:val="0"/>
          <w:iCs w:val="0"/>
          <w:caps w:val="0"/>
          <w:smallCaps w:val="0"/>
          <w:strike w:val="0"/>
          <w:dstrike w:val="0"/>
          <w:vanish w:val="0"/>
          <w:color w:val="000000"/>
          <w:spacing w:val="0"/>
          <w:kern w:val="0"/>
          <w:position w:val="0"/>
          <w:sz w:val="32"/>
          <w:szCs w:val="44"/>
          <w:u w:val="none"/>
          <w:vertAlign w:val="baseline"/>
          <w:lang w:val="zh-CN" w:eastAsia="zh-CN" w:bidi="ar-SA"/>
          <w:highlight w:val="auto"/>
        </w:rPr>
        <w:t>一、</w:t>
      </w:r>
      <w:r>
        <w:rPr>
          <w:rFonts w:ascii="黑体" w:eastAsia="黑体" w:cs="黑体" w:hint="eastAsia"/>
          <w:b/>
          <w:bCs/>
          <w:color w:val="auto"/>
          <w:highlight w:val="auto"/>
        </w:rPr>
        <w:t>项目</w:t>
      </w:r>
      <w:r>
        <w:rPr>
          <w:rFonts w:ascii="黑体" w:eastAsia="黑体" w:cs="黑体" w:hint="eastAsia"/>
          <w:b/>
          <w:bCs/>
          <w:color w:val="auto"/>
          <w:lang w:val="en-US" w:eastAsia="zh-CN"/>
          <w:highlight w:val="auto"/>
        </w:rPr>
        <w:t>概</w:t>
      </w:r>
      <w:r>
        <w:rPr>
          <w:rFonts w:ascii="黑体" w:eastAsia="黑体" w:cs="黑体" w:hint="eastAsia"/>
          <w:b/>
          <w:bCs/>
          <w:color w:val="auto"/>
          <w:highlight w:val="auto"/>
        </w:rPr>
        <w:t>况</w:t>
      </w:r>
      <w:bookmarkEnd w:id="153"/>
    </w:p>
    <w:p>
      <w:pPr>
        <w:pStyle w:val="2"/>
        <w:keepNext/>
        <w:keepLines/>
        <w:pageBreakBefore w:val="0"/>
        <w:widowControl w:val="0"/>
        <w:numPr>
          <w:ilvl w:val="0"/>
          <w:numId w:val="0"/>
        </w:numPr>
        <w:kinsoku/>
        <w:wordWrap/>
        <w:overflowPunct/>
        <w:topLinePunct w:val="0"/>
        <w:autoSpaceDE/>
        <w:autoSpaceDN/>
        <w:bidi w:val="0"/>
        <w:adjustRightInd/>
        <w:snapToGrid/>
        <w:spacing w:line="600" w:lineRule="exact"/>
        <w:ind w:left="-13" w:firstLineChars="200" w:firstLine="640"/>
        <w:textAlignment w:val="auto"/>
        <w:rPr>
          <w:rFonts w:ascii="仿宋" w:eastAsia="仿宋" w:cs="仿宋" w:hint="eastAsia"/>
          <w:color w:val="auto"/>
          <w:sz w:val="32"/>
          <w:szCs w:val="48"/>
          <w:lang w:val="en-US" w:eastAsia="zh-CN"/>
          <w:highlight w:val="auto"/>
        </w:rPr>
      </w:pPr>
      <w:bookmarkStart w:id="154" w:name="_Toc3314"/>
      <w:bookmarkStart w:id="155" w:name="_Toc14789"/>
      <w:bookmarkStart w:id="156" w:name="_Toc9131"/>
      <w:r>
        <w:rPr>
          <w:rFonts w:ascii="仿宋" w:eastAsia="仿宋" w:cs="仿宋" w:hint="eastAsia"/>
          <w:b/>
          <w:bCs/>
          <w:color w:val="auto"/>
          <w:kern w:val="2"/>
          <w:sz w:val="32"/>
          <w:szCs w:val="48"/>
          <w:lang w:val="en-US" w:eastAsia="zh-CN" w:bidi="ar-SA"/>
          <w:highlight w:val="auto"/>
        </w:rPr>
        <w:t>（一）</w:t>
      </w:r>
      <w:r>
        <w:rPr>
          <w:rFonts w:ascii="仿宋" w:eastAsia="仿宋" w:cs="仿宋" w:hint="eastAsia"/>
          <w:color w:val="auto"/>
          <w:sz w:val="32"/>
          <w:szCs w:val="48"/>
          <w:lang w:val="en-US" w:eastAsia="zh-CN"/>
          <w:highlight w:val="auto"/>
        </w:rPr>
        <w:t>设立背景及基本情况</w:t>
      </w:r>
      <w:bookmarkEnd w:id="154"/>
      <w:bookmarkEnd w:id="155"/>
      <w:bookmarkEnd w:id="156"/>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为深入挖掘弘扬牦牛文化内涵，推动民族文化传承保护与创新发展，促进红原县文化旅游产业深度融合，特实施第十三届牦牛文化活动开幕式服务采购项目。</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项目以参加牦牛文化节开幕式暨中国藏族山歌展演为核心内容，通过特色文化展演、民族文化交流、品牌宣传推广等形式，展现地方民俗魅力与文化特色，提升区域文旅品牌影响力，带动地方文旅经济发展。</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sz w:val="32"/>
          <w:szCs w:val="32"/>
          <w:lang w:val="en-US" w:eastAsia="zh-CN"/>
        </w:rPr>
      </w:pPr>
      <w:r>
        <w:rPr>
          <w:rFonts w:ascii="仿宋_GB2312" w:eastAsia="仿宋_GB2312" w:cs="仿宋_GB2312" w:hint="eastAsia"/>
          <w:kern w:val="0"/>
          <w:sz w:val="32"/>
          <w:szCs w:val="32"/>
          <w:lang w:val="en-US" w:eastAsia="zh-CN" w:bidi="ar-SA"/>
          <w:highlight w:val="auto"/>
        </w:rPr>
        <w:t>本项目实施时间拟定为2025年8月上旬，服务内容主要包括牦牛文化节开幕式活动组织、中国藏族山歌展演执行、活动策划、场地布置、人员邀请、宣传推广、设备租赁、安全保障及后勤服务等。项目预算资金219万元，资金来源为财政预算安排，项目实施主体为红原县文体旅局，由相关单位按程序组织采购与执行。</w:t>
      </w:r>
    </w:p>
    <w:p>
      <w:pPr>
        <w:pStyle w:val="2"/>
        <w:keepNext/>
        <w:keepLines/>
        <w:pageBreakBefore w:val="0"/>
        <w:widowControl w:val="0"/>
        <w:numPr>
          <w:ilvl w:val="0"/>
          <w:numId w:val="0"/>
        </w:numPr>
        <w:kinsoku/>
        <w:wordWrap/>
        <w:overflowPunct/>
        <w:topLinePunct w:val="0"/>
        <w:autoSpaceDE/>
        <w:autoSpaceDN/>
        <w:bidi w:val="0"/>
        <w:adjustRightInd/>
        <w:snapToGrid/>
        <w:spacing w:line="560" w:lineRule="exact"/>
        <w:ind w:left="-13" w:firstLineChars="200" w:firstLine="640"/>
        <w:textAlignment w:val="auto"/>
        <w:rPr>
          <w:rFonts w:ascii="仿宋_GB2312" w:eastAsia="仿宋_GB2312" w:cs="仿宋_GB2312" w:hint="eastAsia"/>
          <w:color w:val="auto"/>
          <w:sz w:val="32"/>
          <w:szCs w:val="32"/>
          <w:lang w:val="en-US" w:eastAsia="zh-CN"/>
          <w:highlight w:val="auto"/>
        </w:rPr>
      </w:pPr>
      <w:bookmarkStart w:id="157" w:name="_Toc30940"/>
      <w:r>
        <w:rPr>
          <w:rFonts w:ascii="仿宋_GB2312" w:eastAsia="仿宋_GB2312" w:cs="仿宋_GB2312" w:hint="eastAsia"/>
          <w:b/>
          <w:bCs/>
          <w:color w:val="auto"/>
          <w:kern w:val="2"/>
          <w:sz w:val="32"/>
          <w:szCs w:val="32"/>
          <w:lang w:val="en-US" w:eastAsia="zh-CN" w:bidi="ar-SA"/>
          <w:highlight w:val="auto"/>
        </w:rPr>
        <w:t>（二）</w:t>
      </w:r>
      <w:r>
        <w:rPr>
          <w:rFonts w:ascii="仿宋_GB2312" w:eastAsia="仿宋_GB2312" w:cs="仿宋_GB2312" w:hint="eastAsia"/>
          <w:color w:val="auto"/>
          <w:sz w:val="32"/>
          <w:szCs w:val="32"/>
          <w:lang w:val="en-US" w:eastAsia="zh-CN"/>
          <w:highlight w:val="auto"/>
        </w:rPr>
        <w:t>实施目的及支持方向</w:t>
      </w:r>
      <w:bookmarkStart w:id="158" w:name="_GoBack"/>
      <w:bookmarkEnd w:id="157"/>
      <w:bookmarkEnd w:id="158"/>
    </w:p>
    <w:p>
      <w:pPr>
        <w:pStyle w:val="2"/>
        <w:keepNext/>
        <w:keepLines/>
        <w:pageBreakBefore w:val="0"/>
        <w:widowControl w:val="0"/>
        <w:numPr>
          <w:ilvl w:val="0"/>
          <w:numId w:val="0"/>
        </w:numPr>
        <w:kinsoku/>
        <w:wordWrap/>
        <w:overflowPunct/>
        <w:topLinePunct w:val="0"/>
        <w:autoSpaceDE/>
        <w:autoSpaceDN/>
        <w:bidi w:val="0"/>
        <w:adjustRightInd/>
        <w:snapToGrid/>
        <w:spacing w:line="560" w:lineRule="exact"/>
        <w:ind w:left="-13"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1.实施目的</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一是文化传承与品牌塑造：通过参加第十三届牦牛文化活动开幕式及中国藏族山歌展演，深入挖掘、展示红原县牦牛文化与藏族山歌等特色民族文化资源，推动地方传统文化的活态传承与创新发展，打造具有辨识度的县域文旅品牌IP。</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二是文旅融合与经济带动：以重大文旅活动为抓手，吸引游客到红，提升区域文旅知名度与吸引力，带动旅游消费及相关产业发展，助力红原县黄河流域生态保护和高质量发展。</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三是公共文化服务提升：通过高质量的文化展演活动，丰富群众精神文化生活，提升公共文化服务供给水平，增强群众文化获得感与幸福感。</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en-US" w:eastAsia="zh-CN" w:bidi="ar-SA"/>
          <w:highlight w:val="auto"/>
        </w:rPr>
        <w:t>2.支持方向</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bookmarkStart w:id="159" w:name="_Toc26359"/>
      <w:r>
        <w:rPr>
          <w:rFonts w:ascii="仿宋_GB2312" w:eastAsia="仿宋_GB2312" w:cs="仿宋_GB2312" w:hint="eastAsia"/>
          <w:kern w:val="0"/>
          <w:sz w:val="32"/>
          <w:szCs w:val="32"/>
          <w:lang w:val="en-US" w:eastAsia="zh-CN" w:bidi="ar-SA"/>
          <w:highlight w:val="auto"/>
        </w:rPr>
        <w:t>项目资金主要用于保障第十三届牦牛文化活动开幕式及中国藏族山歌展演的全流程服务，支持方向包括：开幕式及展演活动的策划组织、节目编排、演出团队邀约与执行；活动场地搭建、舞台设备租赁、现场布置及运行保障；活动宣传推广、媒体联动、品牌传播等营销服务；活动安全保障、应急处置、后勤服务等配套支出；</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其他与开幕式及展演活动直接相关的必要服务支出。</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en-US" w:eastAsia="zh-CN" w:bidi="ar-SA"/>
          <w:highlight w:val="auto"/>
        </w:rPr>
        <w:t>（三）预算安排及分配管理</w:t>
      </w:r>
      <w:bookmarkEnd w:id="159"/>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en-US" w:eastAsia="zh-CN" w:bidi="ar-SA"/>
          <w:highlight w:val="auto"/>
        </w:rPr>
        <w:t>1.预算安排</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根据《红原县财政局关于下达红原县2025年黄河流域生态保护和高质量发展资金（第一批）的通知》（红财函〔2025〕203号）文件，第十三届牦牛文化活动开幕式服务采购项目安排预算总额219万元，实际到位资金219万元。</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en-US" w:eastAsia="zh-CN" w:bidi="ar-SA"/>
          <w:highlight w:val="auto"/>
        </w:rPr>
        <w:t>2.项目资金使用情况</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根据项目辅助明细账，截至2025年12月31日，项目实际支出219万元，资金使用率为100%。第十三届牦牛文化活动开幕式服务采购项目资金主要用于开幕式展演服务费用、宣传推广服务费用、项目执行与服务保障费用、安全保障与应急服务费用及其他与本项目直接相关的服务支出等。具体资金支出情况如下。</w:t>
      </w:r>
    </w:p>
    <w:p>
      <w:pPr>
        <w:pStyle w:val="37"/>
        <w:pageBreakBefore w:val="0"/>
        <w:widowControl w:val="0"/>
        <w:kinsoku/>
        <w:wordWrap/>
        <w:overflowPunct/>
        <w:topLinePunct w:val="0"/>
        <w:autoSpaceDE/>
        <w:autoSpaceDN/>
        <w:bidi w:val="0"/>
        <w:snapToGrid/>
        <w:spacing w:line="600" w:lineRule="exact"/>
        <w:ind w:left="0" w:firstLineChars="200" w:firstLine="560"/>
        <w:jc w:val="center"/>
        <w:textAlignment w:val="auto"/>
        <w:outlineLvl w:val="9"/>
        <w:rPr>
          <w:rFonts w:ascii="仿宋" w:eastAsia="仿宋" w:cs="仿宋" w:hint="eastAsia"/>
          <w:b/>
          <w:bCs/>
          <w:color w:val="auto"/>
          <w:sz w:val="28"/>
          <w:lang w:val="en-US" w:eastAsia="zh-CN"/>
          <w:highlight w:val="auto"/>
        </w:rPr>
      </w:pPr>
      <w:r>
        <w:rPr>
          <w:rFonts w:ascii="仿宋" w:eastAsia="仿宋" w:cs="仿宋" w:hint="eastAsia"/>
          <w:b/>
          <w:bCs/>
          <w:color w:val="auto"/>
          <w:sz w:val="28"/>
          <w:lang w:val="en-US" w:eastAsia="zh-CN"/>
          <w:highlight w:val="auto"/>
        </w:rPr>
        <w:t>项目资金支出明细表</w:t>
      </w:r>
    </w:p>
    <w:tbl>
      <w:tblPr>
        <w:jc w:val="left"/>
        <w:tblInd w:w="0" w:type="dx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04"/>
        <w:gridCol w:w="2365"/>
        <w:gridCol w:w="2142"/>
        <w:gridCol w:w="1404"/>
      </w:tblGrid>
      <w:tr>
        <w:trPr>
          <w:trHeight w:val="485"/>
          <w:tblHeader/>
        </w:trPr>
        <w:tc>
          <w:tcPr>
            <w:tcW w:w="1487"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highlight w:val="auto"/>
              </w:rPr>
            </w:pPr>
            <w:r>
              <w:rPr>
                <w:rFonts w:ascii="仿宋" w:eastAsia="仿宋" w:cs="仿宋" w:hint="eastAsia"/>
                <w:b/>
                <w:bCs w:val="0"/>
                <w:lang w:val="en-US" w:eastAsia="zh-CN"/>
                <w:highlight w:val="auto"/>
              </w:rPr>
              <w:t>摘要</w:t>
            </w:r>
          </w:p>
        </w:tc>
        <w:tc>
          <w:tcPr>
            <w:tcW w:w="1405"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highlight w:val="auto"/>
              </w:rPr>
            </w:pPr>
            <w:r>
              <w:rPr>
                <w:rFonts w:ascii="仿宋" w:eastAsia="仿宋" w:cs="仿宋" w:hint="eastAsia"/>
                <w:b/>
                <w:bCs w:val="0"/>
                <w:lang w:val="en-US" w:eastAsia="zh-CN"/>
                <w:highlight w:val="auto"/>
              </w:rPr>
              <w:t>支出金额（万元）</w:t>
            </w:r>
          </w:p>
        </w:tc>
        <w:tc>
          <w:tcPr>
            <w:tcW w:w="1272"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highlight w:val="auto"/>
              </w:rPr>
            </w:pPr>
            <w:r>
              <w:rPr>
                <w:rFonts w:ascii="仿宋" w:eastAsia="仿宋" w:cs="仿宋" w:hint="eastAsia"/>
                <w:b/>
                <w:bCs w:val="0"/>
                <w:lang w:val="en-US" w:eastAsia="zh-CN"/>
                <w:highlight w:val="auto"/>
              </w:rPr>
              <w:t>支付时间</w:t>
            </w:r>
          </w:p>
        </w:tc>
        <w:tc>
          <w:tcPr>
            <w:tcW w:w="834"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lang w:val="en-US" w:eastAsia="zh-CN"/>
                <w:highlight w:val="auto"/>
              </w:rPr>
            </w:pPr>
            <w:r>
              <w:rPr>
                <w:rFonts w:ascii="仿宋" w:eastAsia="仿宋" w:cs="仿宋" w:hint="eastAsia"/>
                <w:b/>
                <w:bCs w:val="0"/>
                <w:lang w:val="en-US" w:eastAsia="zh-CN"/>
                <w:highlight w:val="auto"/>
              </w:rPr>
              <w:t>资金使用率</w:t>
            </w:r>
          </w:p>
        </w:tc>
      </w:tr>
      <w:tr>
        <w:trPr>
          <w:trHeight w:val="288"/>
        </w:trPr>
        <w:tc>
          <w:tcPr>
            <w:tcW w:w="1487"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sz w:val="24"/>
                <w:szCs w:val="24"/>
                <w:lang w:val="en-US" w:eastAsia="zh-CN"/>
                <w:highlight w:val="auto"/>
              </w:rPr>
            </w:pPr>
            <w:r>
              <w:rPr>
                <w:rFonts w:ascii="仿宋" w:eastAsia="仿宋" w:cs="仿宋" w:hint="eastAsia"/>
                <w:sz w:val="24"/>
                <w:szCs w:val="24"/>
                <w:lang w:val="en-US" w:eastAsia="zh-CN"/>
                <w:highlight w:val="auto"/>
              </w:rPr>
              <w:t>服务采购费用预付款</w:t>
            </w:r>
          </w:p>
        </w:tc>
        <w:tc>
          <w:tcPr>
            <w:tcW w:w="1405"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sz w:val="24"/>
                <w:szCs w:val="24"/>
                <w:lang w:val="en-US" w:eastAsia="zh-CN"/>
                <w:highlight w:val="auto"/>
              </w:rPr>
            </w:pPr>
            <w:r>
              <w:rPr>
                <w:rFonts w:ascii="仿宋" w:eastAsia="仿宋" w:cs="仿宋" w:hint="eastAsia"/>
                <w:color w:val="auto"/>
                <w:lang w:val="en-US" w:eastAsia="zh-CN"/>
                <w:highlight w:val="auto"/>
              </w:rPr>
              <w:t>87.6</w:t>
            </w:r>
          </w:p>
        </w:tc>
        <w:tc>
          <w:tcPr>
            <w:tcW w:w="1272"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sz w:val="24"/>
                <w:szCs w:val="24"/>
                <w:lang w:val="en-US" w:eastAsia="zh-CN"/>
                <w:highlight w:val="auto"/>
              </w:rPr>
            </w:pPr>
            <w:r>
              <w:rPr>
                <w:rFonts w:ascii="仿宋" w:eastAsia="仿宋" w:cs="仿宋" w:hint="eastAsia"/>
                <w:sz w:val="24"/>
                <w:szCs w:val="24"/>
                <w:lang w:val="en-US" w:eastAsia="zh-CN"/>
                <w:highlight w:val="auto"/>
              </w:rPr>
              <w:t>2025年8月4日</w:t>
            </w:r>
          </w:p>
        </w:tc>
        <w:tc>
          <w:tcPr>
            <w:tcW w:w="834" w:type="pct"/>
            <w:tcBorders>
              <w:top w:val="single" w:sz="4" w:space="0" w:color="auto"/>
              <w:left w:val="single" w:sz="4" w:space="0" w:color="auto"/>
              <w:bottom w:val="single" w:sz="4" w:space="0" w:color="auto"/>
              <w:right w:val="single" w:sz="4" w:space="0" w:color="auto"/>
            </w:tcBorders>
            <w:noWrap/>
            <w:vAlign w:val="center"/>
          </w:tcPr>
          <w:p>
            <w:pPr>
              <w:pStyle w:val="38"/>
              <w:keepNext w:val="0"/>
              <w:keepLines w:val="0"/>
              <w:pageBreakBefore w:val="0"/>
              <w:widowControl/>
              <w:suppressLineNumbers w:val="0"/>
              <w:kinsoku/>
              <w:wordWrap/>
              <w:overflowPunct/>
              <w:topLinePunct w:val="0"/>
              <w:autoSpaceDE/>
              <w:autoSpaceDN/>
              <w:bidi w:val="0"/>
              <w:snapToGrid/>
              <w:spacing w:line="600" w:lineRule="exact"/>
              <w:jc w:val="center"/>
              <w:textAlignment w:val="center"/>
              <w:rPr>
                <w:rFonts w:ascii="仿宋" w:eastAsia="仿宋" w:cs="仿宋" w:hint="eastAsia"/>
                <w:sz w:val="24"/>
                <w:szCs w:val="24"/>
                <w:lang w:val="en-US" w:eastAsia="zh-CN"/>
                <w:highlight w:val="auto"/>
              </w:rPr>
            </w:pPr>
            <w:r>
              <w:rPr>
                <w:rFonts w:ascii="仿宋" w:eastAsia="仿宋" w:cs="仿宋" w:hint="eastAsia"/>
                <w:i w:val="0"/>
                <w:iCs w:val="0"/>
                <w:color w:val="000000"/>
                <w:kern w:val="0"/>
                <w:sz w:val="24"/>
                <w:szCs w:val="24"/>
                <w:u w:val="none"/>
                <w:lang w:val="en-US" w:eastAsia="zh-CN"/>
                <w:highlight w:val="auto"/>
              </w:rPr>
              <w:t>40%</w:t>
            </w:r>
          </w:p>
        </w:tc>
      </w:tr>
      <w:tr>
        <w:trPr>
          <w:trHeight w:val="288"/>
        </w:trPr>
        <w:tc>
          <w:tcPr>
            <w:tcW w:w="1487"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sz w:val="24"/>
                <w:szCs w:val="24"/>
                <w:lang w:val="en-US" w:eastAsia="zh-CN"/>
                <w:highlight w:val="auto"/>
              </w:rPr>
            </w:pPr>
            <w:r>
              <w:rPr>
                <w:rFonts w:ascii="仿宋" w:eastAsia="仿宋" w:cs="仿宋" w:hint="eastAsia"/>
                <w:sz w:val="24"/>
                <w:szCs w:val="24"/>
                <w:lang w:val="en-US" w:eastAsia="zh-CN"/>
                <w:highlight w:val="auto"/>
              </w:rPr>
              <w:t>服务采购费用尾款</w:t>
            </w:r>
          </w:p>
        </w:tc>
        <w:tc>
          <w:tcPr>
            <w:tcW w:w="1405"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color w:val="auto"/>
                <w:lang w:val="en-US" w:eastAsia="zh-CN"/>
                <w:highlight w:val="auto"/>
              </w:rPr>
            </w:pPr>
            <w:r>
              <w:rPr>
                <w:rFonts w:ascii="仿宋" w:eastAsia="仿宋" w:cs="仿宋" w:hint="eastAsia"/>
                <w:color w:val="auto"/>
                <w:lang w:val="en-US" w:eastAsia="zh-CN"/>
                <w:highlight w:val="auto"/>
              </w:rPr>
              <w:t>131.4</w:t>
            </w:r>
          </w:p>
        </w:tc>
        <w:tc>
          <w:tcPr>
            <w:tcW w:w="1272"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sz w:val="24"/>
                <w:szCs w:val="24"/>
                <w:lang w:val="en-US" w:eastAsia="zh-CN"/>
                <w:highlight w:val="auto"/>
              </w:rPr>
            </w:pPr>
            <w:r>
              <w:rPr>
                <w:rFonts w:ascii="仿宋" w:eastAsia="仿宋" w:cs="仿宋" w:hint="eastAsia"/>
                <w:sz w:val="24"/>
                <w:szCs w:val="24"/>
                <w:lang w:val="en-US" w:eastAsia="zh-CN"/>
                <w:highlight w:val="auto"/>
              </w:rPr>
              <w:t>2025年11月17日</w:t>
            </w:r>
          </w:p>
        </w:tc>
        <w:tc>
          <w:tcPr>
            <w:tcW w:w="834" w:type="pct"/>
            <w:tcBorders>
              <w:top w:val="single" w:sz="4" w:space="0" w:color="auto"/>
              <w:left w:val="single" w:sz="4" w:space="0" w:color="auto"/>
              <w:bottom w:val="single" w:sz="4" w:space="0" w:color="auto"/>
              <w:right w:val="single" w:sz="4" w:space="0" w:color="auto"/>
            </w:tcBorders>
            <w:noWrap/>
            <w:vAlign w:val="center"/>
          </w:tcPr>
          <w:p>
            <w:pPr>
              <w:pStyle w:val="38"/>
              <w:keepNext w:val="0"/>
              <w:keepLines w:val="0"/>
              <w:pageBreakBefore w:val="0"/>
              <w:widowControl/>
              <w:suppressLineNumbers w:val="0"/>
              <w:kinsoku/>
              <w:wordWrap/>
              <w:overflowPunct/>
              <w:topLinePunct w:val="0"/>
              <w:autoSpaceDE/>
              <w:autoSpaceDN/>
              <w:bidi w:val="0"/>
              <w:snapToGrid/>
              <w:spacing w:line="600" w:lineRule="exact"/>
              <w:jc w:val="center"/>
              <w:textAlignment w:val="center"/>
              <w:rPr>
                <w:rFonts w:ascii="仿宋" w:eastAsia="仿宋" w:cs="仿宋" w:hint="eastAsia"/>
                <w:i w:val="0"/>
                <w:iCs w:val="0"/>
                <w:color w:val="000000"/>
                <w:kern w:val="0"/>
                <w:sz w:val="24"/>
                <w:szCs w:val="24"/>
                <w:u w:val="none"/>
                <w:lang w:val="en-US" w:eastAsia="zh-CN"/>
                <w:highlight w:val="auto"/>
              </w:rPr>
            </w:pPr>
            <w:r>
              <w:rPr>
                <w:rFonts w:ascii="仿宋" w:eastAsia="仿宋" w:cs="仿宋" w:hint="eastAsia"/>
                <w:i w:val="0"/>
                <w:iCs w:val="0"/>
                <w:color w:val="000000"/>
                <w:kern w:val="0"/>
                <w:sz w:val="24"/>
                <w:szCs w:val="24"/>
                <w:u w:val="none"/>
                <w:lang w:val="en-US" w:eastAsia="zh-CN"/>
                <w:highlight w:val="auto"/>
              </w:rPr>
              <w:t>60%</w:t>
            </w:r>
          </w:p>
        </w:tc>
      </w:tr>
      <w:tr>
        <w:trPr>
          <w:trHeight w:val="485"/>
        </w:trPr>
        <w:tc>
          <w:tcPr>
            <w:tcW w:w="1487"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sz w:val="24"/>
                <w:szCs w:val="24"/>
                <w:lang w:val="en-US" w:eastAsia="zh-CN"/>
                <w:highlight w:val="auto"/>
              </w:rPr>
            </w:pPr>
            <w:r>
              <w:rPr>
                <w:rFonts w:ascii="仿宋" w:eastAsia="仿宋" w:cs="仿宋" w:hint="eastAsia"/>
                <w:b/>
                <w:bCs w:val="0"/>
                <w:sz w:val="24"/>
                <w:szCs w:val="24"/>
                <w:lang w:val="en-US" w:eastAsia="zh-CN"/>
                <w:highlight w:val="auto"/>
              </w:rPr>
              <w:t>合计</w:t>
            </w:r>
          </w:p>
        </w:tc>
        <w:tc>
          <w:tcPr>
            <w:tcW w:w="1405"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sz w:val="24"/>
                <w:szCs w:val="24"/>
                <w:lang w:val="en-US" w:eastAsia="zh-CN"/>
                <w:highlight w:val="auto"/>
              </w:rPr>
            </w:pPr>
            <w:r>
              <w:rPr>
                <w:rFonts w:ascii="仿宋" w:eastAsia="仿宋" w:cs="仿宋" w:hint="eastAsia"/>
                <w:b/>
                <w:bCs w:val="0"/>
                <w:sz w:val="24"/>
                <w:szCs w:val="24"/>
                <w:lang w:val="en-US" w:eastAsia="zh-CN"/>
                <w:highlight w:val="auto"/>
              </w:rPr>
              <w:t>219</w:t>
            </w:r>
          </w:p>
        </w:tc>
        <w:tc>
          <w:tcPr>
            <w:tcW w:w="1272"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ind w:firstLineChars="200" w:firstLine="480"/>
              <w:jc w:val="center"/>
              <w:rPr>
                <w:rFonts w:ascii="仿宋" w:eastAsia="仿宋" w:cs="仿宋" w:hint="eastAsia"/>
                <w:b/>
                <w:bCs w:val="0"/>
                <w:sz w:val="24"/>
                <w:szCs w:val="24"/>
                <w:lang w:val="en-US" w:eastAsia="zh-CN"/>
                <w:highlight w:val="auto"/>
              </w:rPr>
            </w:pPr>
            <w:r>
              <w:rPr>
                <w:rFonts w:ascii="仿宋" w:eastAsia="仿宋" w:cs="仿宋" w:hint="eastAsia"/>
                <w:b/>
                <w:bCs w:val="0"/>
                <w:sz w:val="24"/>
                <w:szCs w:val="24"/>
                <w:lang w:val="en-US" w:eastAsia="zh-CN"/>
                <w:highlight w:val="auto"/>
              </w:rPr>
              <w:t>\</w:t>
            </w:r>
          </w:p>
        </w:tc>
        <w:tc>
          <w:tcPr>
            <w:tcW w:w="834" w:type="pct"/>
            <w:tcBorders>
              <w:top w:val="single" w:sz="4" w:space="0" w:color="auto"/>
              <w:left w:val="single" w:sz="4" w:space="0" w:color="auto"/>
              <w:bottom w:val="single" w:sz="4" w:space="0" w:color="auto"/>
              <w:right w:val="single" w:sz="4" w:space="0" w:color="auto"/>
            </w:tcBorders>
            <w:noWrap/>
            <w:vAlign w:val="center"/>
          </w:tcPr>
          <w:p>
            <w:pPr>
              <w:pStyle w:val="38"/>
              <w:pageBreakBefore w:val="0"/>
              <w:widowControl/>
              <w:kinsoku/>
              <w:wordWrap/>
              <w:overflowPunct/>
              <w:topLinePunct w:val="0"/>
              <w:autoSpaceDE/>
              <w:autoSpaceDN/>
              <w:bidi w:val="0"/>
              <w:snapToGrid/>
              <w:spacing w:line="600" w:lineRule="exact"/>
              <w:jc w:val="center"/>
              <w:rPr>
                <w:rFonts w:ascii="仿宋" w:eastAsia="仿宋" w:cs="仿宋" w:hint="eastAsia"/>
                <w:b/>
                <w:bCs w:val="0"/>
                <w:sz w:val="24"/>
                <w:szCs w:val="24"/>
                <w:lang w:val="en-US" w:eastAsia="zh-CN"/>
                <w:highlight w:val="auto"/>
              </w:rPr>
            </w:pPr>
            <w:r>
              <w:rPr>
                <w:rFonts w:ascii="仿宋" w:eastAsia="仿宋" w:cs="仿宋" w:hint="eastAsia"/>
                <w:b/>
                <w:bCs w:val="0"/>
                <w:sz w:val="24"/>
                <w:szCs w:val="24"/>
                <w:lang w:val="en-US" w:eastAsia="zh-CN"/>
                <w:highlight w:val="auto"/>
              </w:rPr>
              <w:t>100%</w:t>
            </w:r>
          </w:p>
        </w:tc>
      </w:tr>
    </w:tbl>
    <w:p>
      <w:pPr>
        <w:pStyle w:val="2"/>
        <w:keepNext/>
        <w:keepLines/>
        <w:pageBreakBefore w:val="0"/>
        <w:widowControl w:val="0"/>
        <w:numPr>
          <w:ilvl w:val="0"/>
          <w:numId w:val="0"/>
        </w:numPr>
        <w:kinsoku/>
        <w:wordWrap/>
        <w:overflowPunct/>
        <w:topLinePunct w:val="0"/>
        <w:autoSpaceDE/>
        <w:autoSpaceDN/>
        <w:bidi w:val="0"/>
        <w:adjustRightInd/>
        <w:snapToGrid/>
        <w:spacing w:line="560" w:lineRule="exact"/>
        <w:ind w:left="-13" w:firstLineChars="200" w:firstLine="640"/>
        <w:textAlignment w:val="auto"/>
        <w:rPr>
          <w:rFonts w:ascii="仿宋_GB2312" w:eastAsia="仿宋_GB2312" w:cs="仿宋_GB2312" w:hint="eastAsia"/>
          <w:color w:val="auto"/>
          <w:sz w:val="32"/>
          <w:szCs w:val="32"/>
          <w:lang w:val="en-US" w:eastAsia="zh-CN"/>
          <w:highlight w:val="auto"/>
        </w:rPr>
      </w:pPr>
      <w:bookmarkStart w:id="160" w:name="_Toc28854"/>
      <w:r>
        <w:rPr>
          <w:rFonts w:ascii="仿宋_GB2312" w:eastAsia="仿宋_GB2312" w:cs="仿宋_GB2312" w:hint="eastAsia"/>
          <w:b/>
          <w:bCs/>
          <w:color w:val="auto"/>
          <w:kern w:val="2"/>
          <w:sz w:val="32"/>
          <w:szCs w:val="32"/>
          <w:lang w:val="en-US" w:eastAsia="zh-CN" w:bidi="ar-SA"/>
          <w:highlight w:val="auto"/>
        </w:rPr>
        <w:t>（四）</w:t>
      </w:r>
      <w:r>
        <w:rPr>
          <w:rFonts w:ascii="仿宋_GB2312" w:eastAsia="仿宋_GB2312" w:cs="仿宋_GB2312" w:hint="eastAsia"/>
          <w:color w:val="auto"/>
          <w:sz w:val="32"/>
          <w:szCs w:val="32"/>
          <w:lang w:val="en-US" w:eastAsia="zh-CN"/>
          <w:highlight w:val="auto"/>
        </w:rPr>
        <w:t>项目绩效目标</w:t>
      </w:r>
      <w:bookmarkEnd w:id="160"/>
    </w:p>
    <w:p>
      <w:pPr>
        <w:pStyle w:val="15"/>
        <w:pageBreakBefore w:val="0"/>
        <w:kinsoku/>
        <w:wordWrap/>
        <w:overflowPunct/>
        <w:topLinePunct w:val="0"/>
        <w:autoSpaceDE/>
        <w:autoSpaceDN/>
        <w:bidi w:val="0"/>
        <w:adjustRightInd/>
        <w:snapToGrid/>
        <w:spacing w:line="560" w:lineRule="exact"/>
        <w:ind w:firstLineChars="200" w:firstLine="640"/>
        <w:rPr>
          <w:rFonts w:ascii="仿宋_GB2312" w:eastAsia="仿宋_GB2312" w:cs="仿宋_GB2312" w:hint="eastAsia"/>
          <w:b/>
          <w:bCs/>
          <w:sz w:val="32"/>
          <w:szCs w:val="32"/>
          <w:lang w:val="en-US" w:eastAsia="zh-CN"/>
          <w:highlight w:val="auto"/>
        </w:rPr>
      </w:pPr>
      <w:r>
        <w:rPr>
          <w:rFonts w:ascii="仿宋_GB2312" w:eastAsia="仿宋_GB2312" w:cs="仿宋_GB2312" w:hint="eastAsia"/>
          <w:b/>
          <w:bCs/>
          <w:sz w:val="32"/>
          <w:szCs w:val="32"/>
          <w:lang w:val="en-US" w:eastAsia="zh-CN"/>
          <w:highlight w:val="auto"/>
        </w:rPr>
        <w:t>1.项目整体绩效目标：</w:t>
      </w:r>
    </w:p>
    <w:p>
      <w:pPr>
        <w:pStyle w:val="15"/>
        <w:pageBreakBefore w:val="0"/>
        <w:kinsoku/>
        <w:wordWrap/>
        <w:overflowPunct/>
        <w:topLinePunct w:val="0"/>
        <w:autoSpaceDE/>
        <w:autoSpaceDN/>
        <w:bidi w:val="0"/>
        <w:adjustRightInd/>
        <w:snapToGrid/>
        <w:spacing w:line="560" w:lineRule="exact"/>
        <w:ind w:firstLineChars="200" w:firstLine="640"/>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根据</w:t>
      </w:r>
      <w:r>
        <w:rPr>
          <w:rFonts w:ascii="仿宋_GB2312" w:eastAsia="仿宋_GB2312" w:cs="仿宋_GB2312" w:hint="eastAsia"/>
          <w:bCs/>
          <w:sz w:val="32"/>
          <w:szCs w:val="32"/>
          <w:lang w:val="en-US" w:eastAsia="zh-CN"/>
          <w:highlight w:val="auto"/>
        </w:rPr>
        <w:t>红原县文体旅局提供的</w:t>
      </w:r>
      <w:r>
        <w:rPr>
          <w:rFonts w:ascii="仿宋_GB2312" w:eastAsia="仿宋_GB2312" w:cs="仿宋_GB2312" w:hint="eastAsia"/>
          <w:sz w:val="32"/>
          <w:szCs w:val="32"/>
          <w:lang w:val="en-US" w:eastAsia="zh-CN"/>
          <w:highlight w:val="auto"/>
        </w:rPr>
        <w:t>《</w:t>
      </w:r>
      <w:r>
        <w:rPr>
          <w:rFonts w:ascii="仿宋_GB2312" w:eastAsia="仿宋_GB2312" w:cs="仿宋_GB2312" w:hint="eastAsia"/>
          <w:color w:val="auto"/>
          <w:sz w:val="32"/>
          <w:szCs w:val="32"/>
          <w:lang w:val="en-US" w:eastAsia="zh-CN"/>
          <w:highlight w:val="auto"/>
        </w:rPr>
        <w:t>第十三届牦牛文化活动开幕式服务采购</w:t>
      </w:r>
      <w:r>
        <w:rPr>
          <w:rFonts w:ascii="仿宋_GB2312" w:eastAsia="仿宋_GB2312" w:cs="仿宋_GB2312" w:hint="eastAsia"/>
          <w:sz w:val="32"/>
          <w:szCs w:val="32"/>
          <w:lang w:val="en-US" w:eastAsia="zh-CN"/>
          <w:highlight w:val="auto"/>
        </w:rPr>
        <w:t>项目绩效目标表》显示，</w:t>
      </w:r>
      <w:r>
        <w:rPr>
          <w:rFonts w:ascii="仿宋_GB2312" w:eastAsia="仿宋_GB2312" w:cs="仿宋_GB2312" w:hint="eastAsia"/>
          <w:color w:val="auto"/>
          <w:sz w:val="32"/>
          <w:szCs w:val="32"/>
          <w:lang w:val="en-US" w:eastAsia="zh-CN"/>
          <w:highlight w:val="auto"/>
        </w:rPr>
        <w:t>第十三届牦牛文化活动开幕式服务采购项目整体绩效目标：采购第十三届牦牛文化节开幕式活动及中国藏族山歌展演活动服务，包括舞台搭建、安保、节目编排等服务内容。</w:t>
      </w:r>
    </w:p>
    <w:p>
      <w:pPr>
        <w:pStyle w:val="1"/>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kern w:val="0"/>
          <w:sz w:val="32"/>
          <w:szCs w:val="32"/>
          <w:lang w:val="zh-CN" w:eastAsia="zh-CN" w:bidi="ar-SA"/>
          <w:highlight w:val="auto"/>
        </w:rPr>
      </w:pPr>
      <w:bookmarkStart w:id="161" w:name="_Toc19365"/>
      <w:r>
        <w:rPr>
          <w:rFonts w:ascii="仿宋_GB2312" w:eastAsia="仿宋_GB2312" w:cs="仿宋_GB2312" w:hint="eastAsia"/>
          <w:b/>
          <w:bCs/>
          <w:i w:val="0"/>
          <w:iCs w:val="0"/>
          <w:caps w:val="0"/>
          <w:smallCaps w:val="0"/>
          <w:strike w:val="0"/>
          <w:dstrike w:val="0"/>
          <w:vanish w:val="0"/>
          <w:color w:val="000000"/>
          <w:spacing w:val="0"/>
          <w:kern w:val="0"/>
          <w:position w:val="0"/>
          <w:sz w:val="32"/>
          <w:szCs w:val="32"/>
          <w:u w:val="none"/>
          <w:vertAlign w:val="baseline"/>
          <w:lang w:val="zh-CN" w:eastAsia="zh-CN" w:bidi="ar-SA"/>
          <w:highlight w:val="auto"/>
        </w:rPr>
        <w:t>二、</w:t>
      </w:r>
      <w:r>
        <w:rPr>
          <w:rFonts w:ascii="仿宋_GB2312" w:eastAsia="仿宋_GB2312" w:cs="仿宋_GB2312" w:hint="eastAsia"/>
          <w:b/>
          <w:bCs/>
          <w:i w:val="0"/>
          <w:iCs w:val="0"/>
          <w:caps w:val="0"/>
          <w:smallCaps w:val="0"/>
          <w:strike w:val="0"/>
          <w:dstrike w:val="0"/>
          <w:vanish w:val="0"/>
          <w:color w:val="000000"/>
          <w:spacing w:val="0"/>
          <w:kern w:val="0"/>
          <w:position w:val="0"/>
          <w:sz w:val="32"/>
          <w:szCs w:val="32"/>
          <w:u w:val="none"/>
          <w:vertAlign w:val="baseline"/>
          <w:lang w:val="en-US" w:eastAsia="zh-CN" w:bidi="ar-SA"/>
          <w:highlight w:val="auto"/>
        </w:rPr>
        <w:t>基本运行绩效情况</w:t>
      </w:r>
      <w:bookmarkEnd w:id="161"/>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en-US" w:eastAsia="zh-CN" w:bidi="ar-SA"/>
          <w:highlight w:val="auto"/>
        </w:rPr>
        <w:t>1.项目决策</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zh-CN" w:eastAsia="zh-CN" w:bidi="ar-SA"/>
          <w:highlight w:val="auto"/>
        </w:rPr>
        <w:t>（1）程序严密</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红原县2025年雅克系列重大文旅活动推进工作实施方案》已于2025年4月28日经红原县人民政府十五届第44次常务会议审议通过。2025年6月28日，红原县文体旅局召开部门党组会，专题研究红原县2025年雅克系列重大文旅活动资金相关事宜。项目预算资金已经县财政局批复同意，并于2025年11月5日以《红原县财政局关于下达红原县2025年黄河流域生态保护和高质量发展资金（第一批）的通知》（红财函〔2025〕203号）下达。</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综上，第十三届牦牛文化活动开幕式服务项目立项程序规范、决策流程完备、资金来源合规，符合项目管理及财政资金管理相关要求。</w:t>
      </w:r>
    </w:p>
    <w:p>
      <w:pPr>
        <w:pStyle w:val="4"/>
        <w:keepNext/>
        <w:keepLines/>
        <w:pageBreakBefore w:val="0"/>
        <w:numPr>
          <w:ilvl w:val="0"/>
          <w:numId w:val="0"/>
        </w:numPr>
        <w:kinsoku/>
        <w:wordWrap/>
        <w:overflowPunct/>
        <w:topLinePunct w:val="0"/>
        <w:autoSpaceDE/>
        <w:autoSpaceDN/>
        <w:bidi w:val="0"/>
        <w:adjustRightInd/>
        <w:snapToGrid/>
        <w:spacing w:line="560" w:lineRule="exact"/>
        <w:ind w:left="0" w:firstLineChars="200" w:firstLine="640"/>
        <w:rPr>
          <w:rFonts w:ascii="仿宋_GB2312" w:eastAsia="仿宋_GB2312" w:cs="仿宋_GB2312" w:hint="eastAsia"/>
          <w:sz w:val="32"/>
          <w:szCs w:val="32"/>
          <w:lang w:eastAsia="zh-CN"/>
          <w:highlight w:val="auto"/>
        </w:rPr>
      </w:pPr>
      <w:r>
        <w:rPr>
          <w:rFonts w:ascii="仿宋_GB2312" w:eastAsia="仿宋_GB2312" w:cs="仿宋_GB2312" w:hint="eastAsia"/>
          <w:b/>
          <w:bCs/>
          <w:kern w:val="0"/>
          <w:sz w:val="32"/>
          <w:szCs w:val="32"/>
          <w:lang w:val="zh-CN" w:eastAsia="zh-CN" w:bidi="ar-SA"/>
          <w:highlight w:val="auto"/>
        </w:rPr>
        <w:t>（2）</w:t>
      </w:r>
      <w:r>
        <w:rPr>
          <w:rFonts w:ascii="仿宋_GB2312" w:eastAsia="仿宋_GB2312" w:cs="仿宋_GB2312" w:hint="eastAsia"/>
          <w:sz w:val="32"/>
          <w:szCs w:val="32"/>
          <w:lang w:eastAsia="zh-CN"/>
          <w:highlight w:val="auto"/>
        </w:rPr>
        <w:t>规划合理</w:t>
      </w:r>
    </w:p>
    <w:p>
      <w:pPr>
        <w:pStyle w:val="4"/>
        <w:keepNext/>
        <w:keepLines/>
        <w:pageBreakBefore w:val="0"/>
        <w:numPr>
          <w:ilvl w:val="0"/>
          <w:numId w:val="0"/>
        </w:numPr>
        <w:kinsoku/>
        <w:wordWrap/>
        <w:overflowPunct/>
        <w:topLinePunct w:val="0"/>
        <w:autoSpaceDE/>
        <w:autoSpaceDN/>
        <w:bidi w:val="0"/>
        <w:adjustRightInd/>
        <w:snapToGrid/>
        <w:spacing w:line="560" w:lineRule="exact"/>
        <w:ind w:left="0" w:firstLineChars="200" w:firstLine="640"/>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第十三届牦牛文化活动开幕式服务采购项目紧密围绕红原县2025年雅克系列重大文旅活动总体部署实施，是全县打造“跟着音乐去旅行・骑着骏马游草原”核心IP、推动农文体旅深度融合的重要组成部分。项目紧扣县域文旅产业高质量发展、民族文化传承、黄河流域生态保护和高质量发展等中心工作，与《红原县2025年雅克系列文旅活动推进工作实施方案》等文件要求高度契合。项目实施内容、服务标准、实施周期、宣传推广及预期效益规划清晰明确，资金投向与活动开展需求精准匹配，既能充分展现牦牛文化与藏族山歌非遗特色，又能有效提升红原县文旅品牌影响力、带动旅游消费增长，项目规划科学合理、贴合县域实际、实施必要性充分。</w:t>
      </w:r>
    </w:p>
    <w:p>
      <w:pPr>
        <w:pStyle w:val="4"/>
        <w:keepNext/>
        <w:keepLines/>
        <w:pageBreakBefore w:val="0"/>
        <w:numPr>
          <w:ilvl w:val="0"/>
          <w:numId w:val="0"/>
        </w:numPr>
        <w:kinsoku/>
        <w:wordWrap/>
        <w:overflowPunct/>
        <w:topLinePunct w:val="0"/>
        <w:autoSpaceDE/>
        <w:autoSpaceDN/>
        <w:bidi w:val="0"/>
        <w:adjustRightInd/>
        <w:snapToGrid/>
        <w:spacing w:line="560" w:lineRule="exact"/>
        <w:ind w:left="0" w:firstLineChars="200" w:firstLine="640"/>
        <w:rPr>
          <w:rFonts w:ascii="仿宋_GB2312" w:eastAsia="仿宋_GB2312" w:cs="仿宋_GB2312" w:hint="eastAsia"/>
          <w:sz w:val="32"/>
          <w:szCs w:val="32"/>
          <w:lang w:val="en-US" w:eastAsia="zh-CN"/>
          <w:highlight w:val="auto"/>
        </w:rPr>
      </w:pPr>
      <w:r>
        <w:rPr>
          <w:rFonts w:ascii="仿宋_GB2312" w:eastAsia="仿宋_GB2312" w:cs="仿宋_GB2312" w:hint="eastAsia"/>
          <w:b/>
          <w:bCs/>
          <w:kern w:val="0"/>
          <w:sz w:val="32"/>
          <w:szCs w:val="32"/>
          <w:lang w:val="en-US" w:eastAsia="zh-CN" w:bidi="ar-SA"/>
          <w:highlight w:val="auto"/>
        </w:rPr>
        <w:t>（3）</w:t>
      </w:r>
      <w:r>
        <w:rPr>
          <w:rFonts w:ascii="仿宋_GB2312" w:eastAsia="仿宋_GB2312" w:cs="仿宋_GB2312" w:hint="eastAsia"/>
          <w:sz w:val="32"/>
          <w:szCs w:val="32"/>
          <w:lang w:eastAsia="zh-CN"/>
          <w:highlight w:val="auto"/>
        </w:rPr>
        <w:t>目标清晰</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根据红原县文体旅局提供的《</w:t>
      </w:r>
      <w:r>
        <w:rPr>
          <w:rFonts w:ascii="仿宋_GB2312" w:eastAsia="仿宋_GB2312" w:cs="仿宋_GB2312" w:hint="eastAsia"/>
          <w:b w:val="0"/>
          <w:bCs w:val="0"/>
          <w:color w:val="auto"/>
          <w:sz w:val="32"/>
          <w:szCs w:val="32"/>
          <w:lang w:val="en-US" w:eastAsia="zh-CN"/>
          <w:highlight w:val="auto"/>
        </w:rPr>
        <w:t>第十三届牦牛文化活动开幕式服务采购</w:t>
      </w:r>
      <w:r>
        <w:rPr>
          <w:rFonts w:ascii="仿宋_GB2312" w:eastAsia="仿宋_GB2312" w:cs="仿宋_GB2312" w:hint="eastAsia"/>
          <w:b w:val="0"/>
          <w:bCs w:val="0"/>
          <w:sz w:val="32"/>
          <w:szCs w:val="32"/>
          <w:lang w:val="en-US" w:eastAsia="zh-CN"/>
          <w:highlight w:val="auto"/>
        </w:rPr>
        <w:t>项目绩效目标表》显示，本项目整体目标与绩效指标体系设置清晰、完整，与项目职能职责高度匹配。整体目标明确为采购第十三届牦牛文化节开幕式活动及中国藏族山歌展演活动服务，包含舞台搭建、安保、节目编排等核心内容。在此基础上，项目从产出、效益、满意度及成本四个维度设置了量化可考核的绩效指标：</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产出指标：明确活动举办场数≥1场次、活动现场安全合格率≥90%、活动举办时间≥1天，从数量、质量、时效三个维度对项目实施提出了具体要求；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效益指标：设置吸引游客到红原人次≥5000人次、受活动影响实现旅游收入≥10万元，量化了项目的社会效益与经济效益预期；</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满意度指标：明确游客满意度≥90%，体现了对项目服务质量与公众评价的关注；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成本指标：严格控制预算数≤219万元，保障资金使用的规范性与效益性。</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各指标设置均有明确的目标值、计量单位及权重，目标导向清晰、考核依据充分，为项目实施与绩效评价提供了明确指引。</w:t>
      </w:r>
    </w:p>
    <w:p>
      <w:pPr>
        <w:pStyle w:val="4"/>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项目管理</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bCs/>
          <w:sz w:val="32"/>
          <w:szCs w:val="32"/>
          <w:lang w:val="en-US" w:eastAsia="zh-CN"/>
          <w:highlight w:val="auto"/>
        </w:rPr>
      </w:pPr>
      <w:r>
        <w:rPr>
          <w:rFonts w:ascii="仿宋_GB2312" w:eastAsia="仿宋_GB2312" w:cs="仿宋_GB2312" w:hint="eastAsia"/>
          <w:b/>
          <w:bCs/>
          <w:sz w:val="32"/>
          <w:szCs w:val="32"/>
          <w:lang w:val="en-US" w:eastAsia="zh-CN"/>
          <w:highlight w:val="auto"/>
        </w:rPr>
        <w:t>（1）制度健全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bCs w:val="0"/>
          <w:sz w:val="32"/>
          <w:szCs w:val="32"/>
          <w:lang w:val="en-US" w:eastAsia="zh-CN"/>
          <w:highlight w:val="auto"/>
        </w:rPr>
      </w:pPr>
      <w:r>
        <w:rPr>
          <w:rFonts w:ascii="仿宋_GB2312" w:eastAsia="仿宋_GB2312" w:cs="仿宋_GB2312" w:hint="eastAsia"/>
          <w:b w:val="0"/>
          <w:bCs w:val="0"/>
          <w:sz w:val="32"/>
          <w:szCs w:val="32"/>
          <w:lang w:val="en-US" w:eastAsia="zh-CN"/>
          <w:highlight w:val="auto"/>
        </w:rPr>
        <w:t>红原县文体旅游局围绕项目管理、预算管理、政府采购、合同管理、资产管理、内部控制等重点领域，已建立较为完善的通用性内部管理制度体系，制定并执行《政府采购管理内部控制制度》《预算管理内部控制制度》《支出管理制度》《单位合同管理制度》《国有资产管理细则》《内部控制评价与监督制度》等多项制度，基本实现项目从立项、预算、采购、实施、资金支付、履约验收到资产管控的全流程制度覆盖。</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val="0"/>
          <w:color w:val="auto"/>
          <w:sz w:val="32"/>
          <w:szCs w:val="32"/>
          <w:lang w:val="en-US" w:eastAsia="zh-CN"/>
          <w:highlight w:val="auto"/>
        </w:rPr>
      </w:pPr>
      <w:r>
        <w:rPr>
          <w:rFonts w:ascii="仿宋_GB2312" w:eastAsia="仿宋_GB2312" w:cs="仿宋_GB2312" w:hint="eastAsia"/>
          <w:b w:val="0"/>
          <w:bCs w:val="0"/>
          <w:sz w:val="32"/>
          <w:szCs w:val="32"/>
          <w:lang w:val="en-US" w:eastAsia="zh-CN"/>
          <w:highlight w:val="auto"/>
        </w:rPr>
        <w:t>制度明确了决策、执行、监督分离机制，规范预算编审、绩效目标设定、事前评估、资金拨付、合同签订、履约验收、档案管理等关键环节管理要求，明确岗位职责与审批权限，为项目规范实施、资金安全高效使用提供了制度保障。项目实施过程中，能</w:t>
      </w:r>
      <w:r>
        <w:rPr>
          <w:rFonts w:ascii="仿宋_GB2312" w:eastAsia="仿宋_GB2312" w:cs="仿宋_GB2312" w:hint="eastAsia"/>
          <w:b w:val="0"/>
          <w:color w:val="auto"/>
          <w:sz w:val="32"/>
          <w:szCs w:val="32"/>
          <w:lang w:val="en-US" w:eastAsia="zh-CN"/>
          <w:highlight w:val="auto"/>
        </w:rPr>
        <w:t>够按照制度要求开展事前绩效评估、绩效目标编制、预算一体化平台运行监控、履约验收及绩效自评，形成“事前-事中-事后”全过程绩效管理闭环。但未针对本项目单独制定专项资金专项管理办法，专项资金拨付、台账管理、使用管控缺少专项制度约束，专项配套制度建设存在短板。</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b w:val="0"/>
          <w:color w:val="auto"/>
          <w:sz w:val="32"/>
          <w:szCs w:val="32"/>
          <w:lang w:val="en-US" w:eastAsia="zh-CN"/>
          <w:highlight w:val="auto"/>
        </w:rPr>
      </w:pPr>
      <w:r>
        <w:rPr>
          <w:rFonts w:ascii="仿宋_GB2312" w:eastAsia="仿宋_GB2312" w:cs="仿宋_GB2312" w:hint="eastAsia"/>
          <w:b w:val="0"/>
          <w:color w:val="auto"/>
          <w:sz w:val="32"/>
          <w:szCs w:val="32"/>
          <w:lang w:val="en-US" w:eastAsia="zh-CN"/>
          <w:highlight w:val="auto"/>
        </w:rPr>
        <w:t>总体来看，单位通用内控管理制度体系较为健全、权责分工明确、管理流程规范，但专项资金专项管理制度缺失，专项资金精细化管控相关制度仍需补充完善。</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b/>
          <w:bCs/>
          <w:kern w:val="0"/>
          <w:sz w:val="32"/>
          <w:szCs w:val="32"/>
          <w:lang w:val="en-US" w:eastAsia="zh-CN" w:bidi="ar-SA"/>
          <w:highlight w:val="auto"/>
        </w:rPr>
        <w:t>（2）</w:t>
      </w:r>
      <w:r>
        <w:rPr>
          <w:rFonts w:ascii="仿宋_GB2312" w:eastAsia="仿宋_GB2312" w:cs="仿宋_GB2312" w:hint="eastAsia"/>
          <w:sz w:val="32"/>
          <w:szCs w:val="32"/>
          <w:lang w:val="en-US" w:eastAsia="zh-CN"/>
          <w:highlight w:val="auto"/>
        </w:rPr>
        <w:t>绩效监管</w:t>
      </w:r>
    </w:p>
    <w:p>
      <w:pPr>
        <w:pStyle w:val="15"/>
        <w:pageBreakBefore w:val="0"/>
        <w:widowControl w:val="0"/>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b w:val="0"/>
          <w:sz w:val="32"/>
          <w:szCs w:val="32"/>
          <w:lang w:val="en-US" w:eastAsia="zh-CN"/>
          <w:highlight w:val="auto"/>
        </w:rPr>
      </w:pPr>
      <w:r>
        <w:rPr>
          <w:rFonts w:ascii="仿宋_GB2312" w:eastAsia="仿宋_GB2312" w:cs="仿宋_GB2312" w:hint="eastAsia"/>
          <w:b w:val="0"/>
          <w:sz w:val="32"/>
          <w:szCs w:val="32"/>
          <w:lang w:val="en-US" w:eastAsia="zh-CN"/>
          <w:highlight w:val="auto"/>
        </w:rPr>
        <w:t>项目纳入预算一体化平台实施动态运行监控，预算执行与项目实施进度同步跟踪管理。项目严格落实预算绩效管理要求，已按规定完成事前绩效评估并形成事前绩效评估报告，同时编制了比较规范的项目绩效目标表，明确了产出、效益、满意度及成本控制等量化指标。项目完成后，按要求开展了绩效自评工作，形成了项目绩效自评报告，实现了项目事前评估、事中监控、事后自评的全过程绩效管理闭环。</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3.项目实施</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b/>
          <w:bCs/>
          <w:kern w:val="0"/>
          <w:sz w:val="32"/>
          <w:szCs w:val="32"/>
          <w:lang w:val="en-US" w:eastAsia="zh-CN" w:bidi="ar-SA"/>
          <w:highlight w:val="auto"/>
        </w:rPr>
        <w:t>（1）</w:t>
      </w:r>
      <w:r>
        <w:rPr>
          <w:rFonts w:ascii="仿宋_GB2312" w:eastAsia="仿宋_GB2312" w:cs="仿宋_GB2312" w:hint="eastAsia"/>
          <w:sz w:val="32"/>
          <w:szCs w:val="32"/>
          <w:lang w:val="en-US" w:eastAsia="zh-CN"/>
          <w:highlight w:val="auto"/>
        </w:rPr>
        <w:t>拨付及时</w:t>
      </w:r>
    </w:p>
    <w:p>
      <w:pPr>
        <w:pStyle w:val="15"/>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kern w:val="0"/>
          <w:sz w:val="32"/>
          <w:szCs w:val="32"/>
          <w:lang w:val="en-US" w:eastAsia="zh-CN" w:bidi="ar-SA"/>
          <w:highlight w:val="auto"/>
        </w:rPr>
      </w:pPr>
      <w:r>
        <w:rPr>
          <w:rFonts w:ascii="仿宋_GB2312" w:eastAsia="仿宋_GB2312" w:cs="仿宋_GB2312" w:hint="eastAsia"/>
          <w:kern w:val="0"/>
          <w:sz w:val="32"/>
          <w:szCs w:val="32"/>
          <w:lang w:val="en-US" w:eastAsia="zh-CN" w:bidi="ar-SA"/>
          <w:highlight w:val="auto"/>
        </w:rPr>
        <w:t>根据《红原县财政局关于下达红原县2025年黄河流域生态保护和高质量发展资金（第一批）的通知》（红财函〔2025〕203号）文件，</w:t>
      </w:r>
      <w:r>
        <w:rPr>
          <w:rFonts w:ascii="仿宋_GB2312" w:eastAsia="仿宋_GB2312" w:cs="仿宋_GB2312" w:hint="eastAsia"/>
          <w:b w:val="0"/>
          <w:sz w:val="32"/>
          <w:szCs w:val="32"/>
          <w:lang w:val="en-US" w:eastAsia="zh-CN"/>
          <w:highlight w:val="auto"/>
        </w:rPr>
        <w:t>红原县文体旅局实施的第十三届牦牛文化活动开幕式服务采购项目安排预算资金219万元，项目实际拨付资金219万元，资金拨付率达100%。</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b/>
          <w:bCs/>
          <w:kern w:val="0"/>
          <w:sz w:val="32"/>
          <w:szCs w:val="32"/>
          <w:lang w:val="en-US" w:eastAsia="zh-CN" w:bidi="ar-SA"/>
          <w:highlight w:val="auto"/>
        </w:rPr>
        <w:t>（2）</w:t>
      </w:r>
      <w:r>
        <w:rPr>
          <w:rFonts w:ascii="仿宋_GB2312" w:eastAsia="仿宋_GB2312" w:cs="仿宋_GB2312" w:hint="eastAsia"/>
          <w:sz w:val="32"/>
          <w:szCs w:val="32"/>
          <w:lang w:val="en-US" w:eastAsia="zh-CN"/>
          <w:highlight w:val="auto"/>
        </w:rPr>
        <w:t>使用高效</w:t>
      </w:r>
    </w:p>
    <w:p>
      <w:pPr>
        <w:pStyle w:val="15"/>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val="0"/>
          <w:sz w:val="32"/>
          <w:szCs w:val="32"/>
          <w:lang w:val="en-US" w:eastAsia="zh-CN"/>
          <w:highlight w:val="auto"/>
        </w:rPr>
      </w:pPr>
      <w:r>
        <w:rPr>
          <w:rFonts w:ascii="仿宋_GB2312" w:eastAsia="仿宋_GB2312" w:cs="仿宋_GB2312" w:hint="eastAsia"/>
          <w:b w:val="0"/>
          <w:bCs w:val="0"/>
          <w:color w:val="auto"/>
          <w:kern w:val="0"/>
          <w:sz w:val="32"/>
          <w:szCs w:val="32"/>
          <w:lang w:val="en-US" w:eastAsia="zh-CN"/>
        </w:rPr>
        <w:t>根据红原县文体旅局提供的项目辅助明细账、项目可执行情况表以及付款原始凭证，</w:t>
      </w:r>
      <w:r>
        <w:rPr>
          <w:rFonts w:ascii="仿宋_GB2312" w:eastAsia="仿宋_GB2312" w:cs="仿宋_GB2312" w:hint="eastAsia"/>
          <w:b w:val="0"/>
          <w:sz w:val="32"/>
          <w:szCs w:val="32"/>
          <w:lang w:val="en-US" w:eastAsia="zh-CN"/>
          <w:highlight w:val="auto"/>
        </w:rPr>
        <w:t>截至2025年12月31日，第十三届牦牛文化活动开幕式服务采购项目</w:t>
      </w:r>
      <w:r>
        <w:rPr>
          <w:rFonts w:ascii="仿宋_GB2312" w:eastAsia="仿宋_GB2312" w:cs="仿宋_GB2312" w:hint="eastAsia"/>
          <w:bCs/>
          <w:sz w:val="32"/>
          <w:szCs w:val="32"/>
          <w:lang w:val="en-US" w:eastAsia="zh-CN"/>
          <w:highlight w:val="auto"/>
        </w:rPr>
        <w:t>实际使用资金</w:t>
      </w:r>
      <w:r>
        <w:rPr>
          <w:rFonts w:ascii="仿宋_GB2312" w:eastAsia="仿宋_GB2312" w:cs="仿宋_GB2312" w:hint="eastAsia"/>
          <w:b w:val="0"/>
          <w:sz w:val="32"/>
          <w:szCs w:val="32"/>
          <w:lang w:val="en-US" w:eastAsia="zh-CN"/>
          <w:highlight w:val="auto"/>
        </w:rPr>
        <w:t>219万元，获得项目资金总额为219万元，项目资金执行率达100%。</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b/>
          <w:bCs/>
          <w:kern w:val="0"/>
          <w:sz w:val="32"/>
          <w:szCs w:val="32"/>
          <w:lang w:val="en-US" w:eastAsia="zh-CN" w:bidi="ar-SA"/>
          <w:highlight w:val="auto"/>
        </w:rPr>
        <w:t>（3）</w:t>
      </w:r>
      <w:r>
        <w:rPr>
          <w:rFonts w:ascii="仿宋_GB2312" w:eastAsia="仿宋_GB2312" w:cs="仿宋_GB2312" w:hint="eastAsia"/>
          <w:sz w:val="32"/>
          <w:szCs w:val="32"/>
          <w:lang w:val="en-US" w:eastAsia="zh-CN"/>
          <w:highlight w:val="auto"/>
        </w:rPr>
        <w:t>使用合规</w:t>
      </w:r>
    </w:p>
    <w:p>
      <w:pPr>
        <w:pStyle w:val="15"/>
        <w:pageBreakBefore w:val="0"/>
        <w:widowControl w:val="0"/>
        <w:kinsoku/>
        <w:wordWrap/>
        <w:overflowPunct/>
        <w:topLinePunct w:val="0"/>
        <w:autoSpaceDE/>
        <w:autoSpaceDN/>
        <w:bidi w:val="0"/>
        <w:adjustRightInd/>
        <w:snapToGrid/>
        <w:spacing w:line="560" w:lineRule="exact"/>
        <w:ind w:firstLineChars="200" w:firstLine="640"/>
        <w:textAlignment w:val="auto"/>
        <w:rPr>
          <w:rFonts w:ascii="仿宋_GB2312" w:eastAsia="仿宋_GB2312" w:cs="仿宋_GB2312" w:hint="eastAsia"/>
          <w:b w:val="0"/>
          <w:sz w:val="32"/>
          <w:szCs w:val="32"/>
          <w:lang w:val="en-US" w:eastAsia="zh-CN"/>
          <w:highlight w:val="auto"/>
        </w:rPr>
      </w:pPr>
      <w:r>
        <w:rPr>
          <w:rFonts w:ascii="仿宋_GB2312" w:eastAsia="仿宋_GB2312" w:cs="仿宋_GB2312" w:hint="eastAsia"/>
          <w:b w:val="0"/>
          <w:sz w:val="32"/>
          <w:szCs w:val="32"/>
          <w:lang w:val="en-US" w:eastAsia="zh-CN"/>
          <w:highlight w:val="auto"/>
        </w:rPr>
        <w:t>经评价组核查项目资金支付凭证及附件等资料，项目资金的使用与拨付符合国家财经法规、财务管理制度以及有关专项资金管理制度办法的规定和审批程序。未出现超范围、超标准、超进度使用专项资金的情况，也未发现资金损失浪费、长期沉淀、截留、挤占、挪用、虚列支出等问题，项目实施符合相关法律法规。</w:t>
      </w:r>
    </w:p>
    <w:p>
      <w:pPr>
        <w:pStyle w:val="15"/>
        <w:pageBreakBefore w:val="0"/>
        <w:widowControl w:val="0"/>
        <w:numPr>
          <w:ilvl w:val="0"/>
          <w:numId w:val="7"/>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b/>
          <w:bCs/>
          <w:kern w:val="0"/>
          <w:sz w:val="32"/>
          <w:szCs w:val="32"/>
          <w:lang w:val="en-US" w:eastAsia="zh-CN" w:bidi="ar-SA"/>
          <w:highlight w:val="auto"/>
        </w:rPr>
      </w:pPr>
      <w:r>
        <w:rPr>
          <w:rFonts w:ascii="仿宋_GB2312" w:eastAsia="仿宋_GB2312" w:cs="仿宋_GB2312" w:hint="eastAsia"/>
          <w:b/>
          <w:bCs/>
          <w:kern w:val="0"/>
          <w:sz w:val="32"/>
          <w:szCs w:val="32"/>
          <w:lang w:val="en-US" w:eastAsia="zh-CN" w:bidi="ar-SA"/>
          <w:highlight w:val="auto"/>
        </w:rPr>
        <w:t>管理规范</w:t>
      </w:r>
    </w:p>
    <w:p>
      <w:pPr>
        <w:pStyle w:val="15"/>
        <w:pageBreakBefore w:val="0"/>
        <w:widowControl w:val="0"/>
        <w:kinsoku/>
        <w:wordWrap/>
        <w:overflowPunct/>
        <w:topLinePunct w:val="0"/>
        <w:autoSpaceDE/>
        <w:autoSpaceDN/>
        <w:bidi w:val="0"/>
        <w:adjustRightInd/>
        <w:snapToGrid/>
        <w:spacing w:line="560" w:lineRule="exact"/>
        <w:ind w:left="0" w:right="0" w:firstLineChars="200" w:firstLine="640"/>
        <w:textAlignment w:val="auto"/>
        <w:rPr>
          <w:rFonts w:ascii="仿宋_GB2312" w:eastAsia="仿宋_GB2312" w:cs="仿宋_GB2312" w:hint="eastAsia"/>
          <w:b w:val="0"/>
          <w:sz w:val="32"/>
          <w:szCs w:val="32"/>
          <w:lang w:val="en-US" w:eastAsia="zh-CN"/>
          <w:highlight w:val="auto"/>
        </w:rPr>
      </w:pPr>
      <w:r>
        <w:rPr>
          <w:rFonts w:ascii="仿宋_GB2312" w:eastAsia="仿宋_GB2312" w:cs="仿宋_GB2312" w:hint="eastAsia"/>
          <w:b w:val="0"/>
          <w:sz w:val="32"/>
          <w:szCs w:val="32"/>
          <w:lang w:val="en-US" w:eastAsia="zh-CN"/>
          <w:highlight w:val="auto"/>
        </w:rPr>
        <w:t>本项目严格按照政府采购相关规定执行，采购程序规范、公开透明。项目于2025年7月10日完成公开招标，依法确定中标供应商：四川彼岸音文化传媒有限公司，中标金额219万元；双方于2025年7月21日签订正式采购合同，合同金额219万元，与中标价、预算金额保持一致。资金使用审批规范，未发生截留、挤占、挪用、虚列支出等违规问题。</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4.项目结果</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b/>
          <w:bCs w:val="0"/>
          <w:sz w:val="32"/>
          <w:szCs w:val="32"/>
          <w:lang w:val="en-US" w:eastAsia="zh-CN"/>
          <w:highlight w:val="auto"/>
        </w:rPr>
      </w:pPr>
      <w:r>
        <w:rPr>
          <w:rFonts w:ascii="仿宋_GB2312" w:eastAsia="仿宋_GB2312" w:cs="仿宋_GB2312" w:hint="eastAsia"/>
          <w:b/>
          <w:bCs w:val="0"/>
          <w:sz w:val="32"/>
          <w:szCs w:val="32"/>
          <w:lang w:val="en-US" w:eastAsia="zh-CN"/>
          <w:highlight w:val="auto"/>
        </w:rPr>
        <w:t>（1）目标完成</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b w:val="0"/>
          <w:bCs/>
          <w:kern w:val="0"/>
          <w:sz w:val="32"/>
          <w:szCs w:val="32"/>
          <w:lang w:val="en-US" w:eastAsia="zh-CN" w:bidi="ar-SA"/>
          <w:highlight w:val="auto"/>
        </w:rPr>
      </w:pPr>
      <w:r>
        <w:rPr>
          <w:rFonts w:ascii="仿宋_GB2312" w:eastAsia="仿宋_GB2312" w:cs="仿宋_GB2312" w:hint="eastAsia"/>
          <w:b w:val="0"/>
          <w:bCs/>
          <w:kern w:val="0"/>
          <w:sz w:val="32"/>
          <w:szCs w:val="32"/>
          <w:lang w:val="en-US" w:eastAsia="zh-CN" w:bidi="ar-SA"/>
          <w:highlight w:val="auto"/>
        </w:rPr>
        <w:t>第十三届牦牛文化活动开幕式服务采购项目已于2025年8月13日完成履约验收，验收结论为合格，并签订验收合格单。对照项目绩效指标完成情况：产出维度中活动举办场数、现场安全合格率、活动举办时长均圆满完成目标，完成率100%；社会效益指标吸引游客数量突破5000人考核标准，游客满意度达95%，上述指标全部达标；成本方面实际支出219万元，控制在≤220万元的绩效目标限额以内，成本管控达标；仅经济效益指标受活动影响实现旅游收入≥10万元</w:t>
      </w:r>
    </w:p>
    <w:p>
      <w:pPr>
        <w:pStyle w:val="4"/>
        <w:keepNext/>
        <w:keepLines/>
        <w:pageBreakBefore w:val="0"/>
        <w:widowControl w:val="0"/>
        <w:numPr>
          <w:ilvl w:val="0"/>
          <w:numId w:val="8"/>
        </w:numPr>
        <w:kinsoku/>
        <w:wordWrap/>
        <w:overflowPunct/>
        <w:topLinePunct w:val="0"/>
        <w:autoSpaceDE/>
        <w:autoSpaceDN/>
        <w:bidi w:val="0"/>
        <w:adjustRightInd/>
        <w:snapToGrid/>
        <w:spacing w:line="560" w:lineRule="exact"/>
        <w:ind w:left="0"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成本节约</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right="0" w:firstLineChars="200" w:firstLine="640"/>
        <w:textAlignment w:val="auto"/>
        <w:rPr>
          <w:rFonts w:ascii="仿宋_GB2312" w:eastAsia="仿宋_GB2312" w:cs="仿宋_GB2312" w:hint="eastAsia"/>
          <w:sz w:val="32"/>
          <w:szCs w:val="32"/>
          <w:lang w:val="en-US" w:eastAsia="zh-CN"/>
          <w:highlight w:val="auto"/>
        </w:rPr>
      </w:pPr>
      <w:r>
        <w:rPr>
          <w:rFonts w:ascii="仿宋_GB2312" w:eastAsia="仿宋_GB2312" w:cs="仿宋_GB2312" w:hint="eastAsia"/>
          <w:b w:val="0"/>
          <w:bCs w:val="0"/>
          <w:sz w:val="32"/>
          <w:szCs w:val="32"/>
          <w:lang w:val="en-US" w:eastAsia="zh-CN"/>
          <w:highlight w:val="auto"/>
        </w:rPr>
        <w:t>项目于2025年预算安排资金219万元，合同金额及实际拨付资金均为219万元，项目严格按照批复预算执行，无超预算、无超标准、无资金沉淀，成本控制规范、资金使用合理。</w:t>
      </w:r>
    </w:p>
    <w:p>
      <w:pPr>
        <w:pStyle w:val="4"/>
        <w:keepNext/>
        <w:keepLines/>
        <w:pageBreakBefore w:val="0"/>
        <w:widowControl w:val="0"/>
        <w:numPr>
          <w:ilvl w:val="0"/>
          <w:numId w:val="0"/>
        </w:numPr>
        <w:kinsoku/>
        <w:wordWrap/>
        <w:overflowPunct/>
        <w:topLinePunct w:val="0"/>
        <w:autoSpaceDE/>
        <w:autoSpaceDN/>
        <w:bidi w:val="0"/>
        <w:adjustRightInd/>
        <w:snapToGrid/>
        <w:spacing w:line="560" w:lineRule="exact"/>
        <w:ind w:left="0" w:firstLineChars="200" w:firstLine="640"/>
        <w:textAlignment w:val="auto"/>
        <w:outlineLvl w:val="2"/>
        <w:rPr>
          <w:rFonts w:ascii="仿宋_GB2312" w:eastAsia="仿宋_GB2312" w:cs="仿宋_GB2312" w:hint="eastAsia"/>
          <w:sz w:val="32"/>
          <w:szCs w:val="32"/>
          <w:lang w:val="en-US" w:eastAsia="zh-CN"/>
          <w:highlight w:val="auto"/>
        </w:rPr>
      </w:pPr>
      <w:r>
        <w:rPr>
          <w:rFonts w:ascii="仿宋_GB2312" w:eastAsia="仿宋_GB2312" w:cs="仿宋_GB2312" w:hint="eastAsia"/>
          <w:sz w:val="32"/>
          <w:szCs w:val="32"/>
          <w:lang w:val="en-US" w:eastAsia="zh-CN"/>
          <w:highlight w:val="auto"/>
        </w:rPr>
        <w:t>5.项目效益</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Chars="200" w:firstLine="640"/>
        <w:jc w:val="left"/>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本项目效益指标除经济效益未完成量化增收目标外，社会效益、生态效益、可持续影响、服务对象满意度均达到或超额完成既定绩效目标，项目综合效益整体实现较好。具体分析如下：</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Chars="200" w:firstLine="640"/>
        <w:jc w:val="left"/>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经济效益方面：项目以“受活动影响实现旅游收入”为核心指标，目标值为带动旅游收入≥10万元。核查过程中无民宿、餐饮、文旅产品增收台账、消费统计等佐证材料支撑增收金额；依据项目绩效自评报告表述，节庆依托宣传曝光提升县域文旅知名度，活动后本地客源咨询量、民宿餐饮及旅游产品预订量同比上涨5%以上，有效提振县域文旅消费市场热度，但现有资料无法量化核算新增旅游收入，不能证实完成10万元创收目标，本项目经济效益指标未达标。</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Chars="200" w:firstLine="640"/>
        <w:jc w:val="left"/>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社会效益方面：以“活动吸引游客到红原人次”为量化指标，目标值≥5000人次，实际到县游客达标，足额完成客流集聚考核任务，有效集聚县域人气，拓宽红原对外宣传渠道，丰富本地群众精神文化生活，助推民族民俗文化交流落地，社会效益成效显著。</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Chars="200" w:firstLine="640"/>
        <w:jc w:val="left"/>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生态效益方面：活动全过程严格落实黄河流域生态保护相关管理规定，全面落地各项绿色环保举办举措，活动期间未发生环境污染事件、无环保相关投诉，实现零环境负面影响，达成生态保护与节庆活动统筹开展的目标，生态效益指标圆满完成。</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Chars="200" w:firstLine="640"/>
        <w:jc w:val="left"/>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可持续影响方面：项目依托牦牛文化节落地开展，推动红原文旅品牌在四川省内知名度、美誉度得到一定提升，达到“川内有一定提升”考核层级，夯实县域特色牦牛文旅发展根基，为后续持续培育本地文旅IP、常态化举办民俗节庆积攒实践经验，可持续建设取得阶段性成效。</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Chars="200" w:firstLine="640"/>
        <w:jc w:val="left"/>
        <w:rPr>
          <w:rFonts w:ascii="仿宋_GB2312" w:eastAsia="仿宋_GB2312" w:cs="仿宋_GB2312" w:hint="eastAsia"/>
          <w:b w:val="0"/>
          <w:bCs w:val="0"/>
          <w:kern w:val="0"/>
          <w:sz w:val="32"/>
          <w:szCs w:val="32"/>
          <w:lang w:val="en-US" w:eastAsia="zh-CN" w:bidi="ar-SA"/>
          <w:highlight w:val="auto"/>
        </w:rPr>
      </w:pPr>
      <w:r>
        <w:rPr>
          <w:rFonts w:ascii="仿宋_GB2312" w:eastAsia="仿宋_GB2312" w:cs="仿宋_GB2312" w:hint="eastAsia"/>
          <w:b w:val="0"/>
          <w:bCs w:val="0"/>
          <w:kern w:val="0"/>
          <w:sz w:val="32"/>
          <w:szCs w:val="32"/>
          <w:lang w:val="en-US" w:eastAsia="zh-CN" w:bidi="ar-SA"/>
          <w:highlight w:val="auto"/>
        </w:rPr>
        <w:t>满意度方面：项目早已完成资金结算，受时间限制无法组织现场抽样回访调研，本次绩效评价采信项目单位绩效自评结论，自评资料显示游客及群众综合满意度≥90%，满足绩效目标设定要求，活动组织、配套服务获得参与群众及游客认可，满意度指标达标。</w:t>
      </w:r>
    </w:p>
    <w:p>
      <w:pPr>
        <w:keepNext w:val="0"/>
        <w:keepLines w:val="0"/>
        <w:pageBreakBefore w:val="0"/>
        <w:kinsoku/>
        <w:wordWrap/>
        <w:overflowPunct/>
        <w:topLinePunct w:val="0"/>
        <w:autoSpaceDE/>
        <w:autoSpaceDN/>
        <w:bidi w:val="0"/>
        <w:adjustRightInd/>
        <w:snapToGrid w:val="0"/>
        <w:spacing w:before="0" w:line="560" w:lineRule="exact"/>
        <w:ind w:firstLineChars="200" w:firstLine="640"/>
        <w:textAlignment w:val="auto"/>
        <w:outlineLvl w:val="9"/>
        <w:rPr>
          <w:rFonts w:ascii="仿宋_GB2312" w:eastAsia="仿宋_GB2312" w:cs="仿宋_GB2312" w:hint="eastAsia"/>
          <w:color w:val="auto"/>
          <w:kern w:val="0"/>
          <w:sz w:val="32"/>
          <w:szCs w:val="32"/>
          <w:u w:val="none"/>
          <w:shd w:val="clear" w:color="auto" w:fill="FFFFFF"/>
          <w:lang w:val="zh-CN" w:eastAsia="zh-CN"/>
          <w:highlight w:val="auto"/>
        </w:rPr>
      </w:pPr>
    </w:p>
    <w:p>
      <w:pPr>
        <w:keepNext w:val="0"/>
        <w:keepLines w:val="0"/>
        <w:pageBreakBefore w:val="0"/>
        <w:kinsoku/>
        <w:wordWrap/>
        <w:overflowPunct/>
        <w:topLinePunct w:val="0"/>
        <w:autoSpaceDE/>
        <w:autoSpaceDN/>
        <w:bidi w:val="0"/>
        <w:adjustRightInd/>
        <w:snapToGrid w:val="0"/>
        <w:spacing w:before="0" w:line="560" w:lineRule="exact"/>
        <w:ind w:firstLineChars="200" w:firstLine="640"/>
        <w:textAlignment w:val="auto"/>
        <w:outlineLvl w:val="9"/>
        <w:rPr>
          <w:rFonts w:ascii="仿宋_GB2312" w:eastAsia="仿宋_GB2312" w:cs="仿宋_GB2312" w:hint="eastAsia"/>
          <w:color w:val="000000"/>
          <w:kern w:val="0"/>
          <w:sz w:val="32"/>
          <w:szCs w:val="32"/>
          <w:shd w:val="clear" w:color="auto" w:fill="FFFFFF"/>
          <w:lang w:val="en-US" w:eastAsia="zh-CN"/>
          <w:highlight w:val="auto"/>
        </w:rPr>
      </w:pPr>
      <w:r>
        <w:rPr>
          <w:rFonts w:ascii="仿宋_GB2312" w:eastAsia="仿宋_GB2312" w:cs="仿宋_GB2312" w:hint="eastAsia"/>
          <w:color w:val="auto"/>
          <w:kern w:val="0"/>
          <w:sz w:val="32"/>
          <w:szCs w:val="32"/>
          <w:u w:val="none"/>
          <w:shd w:val="clear" w:color="auto" w:fill="FFFFFF"/>
          <w:lang w:val="zh-CN" w:eastAsia="zh-CN"/>
          <w:highlight w:val="auto"/>
        </w:rPr>
        <w:t>附：</w:t>
      </w:r>
      <w:r>
        <w:rPr>
          <w:rFonts w:ascii="仿宋_GB2312" w:eastAsia="仿宋_GB2312" w:cs="仿宋_GB2312" w:hint="eastAsia"/>
          <w:color w:val="000000"/>
          <w:kern w:val="0"/>
          <w:sz w:val="32"/>
          <w:szCs w:val="32"/>
          <w:shd w:val="clear" w:color="auto" w:fill="FFFFFF"/>
          <w:lang w:val="en-US" w:eastAsia="zh-CN"/>
          <w:highlight w:val="auto"/>
        </w:rPr>
        <w:t>1.专项预算绩效自评打分表</w:t>
      </w:r>
    </w:p>
    <w:p>
      <w:pPr>
        <w:keepNext w:val="0"/>
        <w:keepLines w:val="0"/>
        <w:pageBreakBefore w:val="0"/>
        <w:wordWrap/>
        <w:overflowPunct/>
        <w:topLinePunct w:val="0"/>
        <w:bidi w:val="0"/>
        <w:spacing w:before="0" w:line="560" w:lineRule="exact"/>
        <w:ind w:leftChars="533" w:left="1279" w:firstLine="0"/>
        <w:rPr>
          <w:rFonts w:ascii="仿宋_GB2312" w:eastAsia="仿宋_GB2312" w:cs="仿宋_GB2312" w:hint="eastAsia"/>
          <w:color w:val="auto"/>
          <w:kern w:val="0"/>
          <w:sz w:val="32"/>
          <w:szCs w:val="32"/>
          <w:u w:val="none"/>
          <w:shd w:val="clear" w:color="auto" w:fill="FFFFFF"/>
          <w:lang w:val="en-US" w:eastAsia="zh-CN"/>
          <w:highlight w:val="auto"/>
        </w:rPr>
      </w:pPr>
      <w:r>
        <w:rPr>
          <w:rFonts w:ascii="仿宋_GB2312" w:eastAsia="仿宋_GB2312" w:cs="仿宋_GB2312" w:hint="eastAsia"/>
          <w:color w:val="000000"/>
          <w:kern w:val="0"/>
          <w:sz w:val="32"/>
          <w:szCs w:val="32"/>
          <w:shd w:val="clear" w:color="auto" w:fill="FFFFFF"/>
          <w:lang w:val="en-US" w:eastAsia="zh-CN"/>
          <w:highlight w:val="auto"/>
        </w:rPr>
        <w:t>2.专项预算项目绩效目标完成情况自评表</w:t>
      </w:r>
    </w:p>
    <w:p>
      <w:pPr>
        <w:keepNext w:val="0"/>
        <w:keepLines w:val="0"/>
        <w:pageBreakBefore w:val="0"/>
        <w:widowControl/>
        <w:kinsoku/>
        <w:wordWrap/>
        <w:overflowPunct/>
        <w:topLinePunct w:val="0"/>
        <w:autoSpaceDE/>
        <w:autoSpaceDN/>
        <w:bidi w:val="0"/>
        <w:adjustRightInd w:val="0"/>
        <w:snapToGrid w:val="0"/>
        <w:spacing w:before="0" w:line="560" w:lineRule="exact"/>
        <w:ind w:left="0" w:firstLineChars="200" w:firstLine="640"/>
        <w:contextualSpacing/>
        <w:jc w:val="both"/>
        <w:textAlignment w:val="auto"/>
        <w:rPr>
          <w:rFonts w:ascii="仿宋_GB2312" w:eastAsia="仿宋_GB2312" w:cs="仿宋_GB2312" w:hint="eastAsia"/>
          <w:color w:val="auto"/>
          <w:kern w:val="0"/>
          <w:sz w:val="32"/>
          <w:szCs w:val="32"/>
          <w:u w:val="none"/>
          <w:shd w:val="clear" w:color="auto" w:fill="FFFFFF"/>
          <w:lang w:val="en-US" w:eastAsia="zh-CN"/>
          <w:highlight w:val="auto"/>
        </w:rPr>
      </w:pPr>
    </w:p>
    <w:p>
      <w:pPr>
        <w:spacing w:before="42"/>
      </w:pPr>
    </w:p>
    <w:p>
      <w:pPr>
        <w:spacing w:before="42"/>
      </w:pPr>
    </w:p>
    <w:p>
      <w:pPr>
        <w:spacing w:before="42"/>
      </w:pPr>
    </w:p>
    <w:p>
      <w:pPr>
        <w:keepNext w:val="0"/>
        <w:keepLines w:val="0"/>
        <w:pageBreakBefore w:val="0"/>
        <w:widowControl/>
        <w:kinsoku/>
        <w:wordWrap/>
        <w:overflowPunct/>
        <w:topLinePunct w:val="0"/>
        <w:autoSpaceDE/>
        <w:autoSpaceDN/>
        <w:bidi w:val="0"/>
        <w:adjustRightInd w:val="0"/>
        <w:snapToGrid w:val="0"/>
        <w:spacing w:line="578" w:lineRule="exact"/>
        <w:ind w:left="0" w:firstLineChars="200" w:firstLine="640"/>
        <w:contextualSpacing/>
        <w:jc w:val="both"/>
        <w:textAlignment w:val="auto"/>
        <w:rPr>
          <w:rFonts w:ascii="仿宋_GB2312" w:eastAsia="仿宋_GB2312" w:cs="仿宋_GB2312" w:hint="eastAsia"/>
          <w:color w:val="auto"/>
          <w:kern w:val="0"/>
          <w:sz w:val="32"/>
          <w:szCs w:val="32"/>
          <w:u w:val="none"/>
          <w:shd w:val="clear" w:color="auto" w:fill="FFFFFF"/>
          <w:lang w:val="en-US" w:eastAsia="zh-CN"/>
          <w:highlight w:val="auto"/>
        </w:rPr>
      </w:pPr>
    </w:p>
    <w:p>
      <w:pPr>
        <w:bidi w:val="0"/>
        <w:rPr>
          <w:rFonts w:ascii="Calibri" w:eastAsia="宋体" w:cs="Times New Roman" w:hAnsi="Calibri" w:hint="eastAsia"/>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rPr>
          <w:rFonts w:ascii="黑体" w:eastAsia="黑体" w:cs="黑体" w:hint="eastAsia"/>
          <w:b w:val="0"/>
          <w:bCs w:val="0"/>
          <w:color w:val="auto"/>
          <w:kern w:val="0"/>
          <w:sz w:val="32"/>
          <w:szCs w:val="32"/>
          <w:u w:val="none"/>
          <w:shd w:val="clear" w:color="auto" w:fill="FFFFFF"/>
          <w:lang w:val="zh-CN" w:eastAsia="zh-CN"/>
          <w:highlight w:val="auto"/>
        </w:rPr>
      </w:pPr>
      <w:r>
        <w:rPr>
          <w:rFonts w:ascii="黑体" w:eastAsia="黑体" w:cs="黑体" w:hint="eastAsia"/>
          <w:b w:val="0"/>
          <w:bCs w:val="0"/>
          <w:color w:val="auto"/>
          <w:kern w:val="0"/>
          <w:sz w:val="32"/>
          <w:szCs w:val="32"/>
          <w:u w:val="none"/>
          <w:shd w:val="clear" w:color="auto" w:fill="FFFFFF"/>
          <w:lang w:val="zh-CN" w:eastAsia="zh-CN"/>
          <w:highlight w:val="auto"/>
        </w:rPr>
        <w:t>附表</w:t>
      </w:r>
      <w:r>
        <w:rPr>
          <w:rFonts w:ascii="黑体" w:eastAsia="黑体" w:cs="黑体" w:hint="eastAsia"/>
          <w:b w:val="0"/>
          <w:bCs w:val="0"/>
          <w:color w:val="auto"/>
          <w:kern w:val="0"/>
          <w:sz w:val="32"/>
          <w:szCs w:val="32"/>
          <w:u w:val="none"/>
          <w:shd w:val="clear" w:color="auto" w:fill="FFFFFF"/>
          <w:lang w:val="en-US" w:eastAsia="zh-CN"/>
          <w:highlight w:val="auto"/>
        </w:rPr>
        <w:t>1</w:t>
      </w:r>
    </w:p>
    <w:p>
      <w:pPr>
        <w:keepNext w:val="0"/>
        <w:keepLines w:val="0"/>
        <w:pageBreakBefore w:val="0"/>
        <w:kinsoku/>
        <w:wordWrap/>
        <w:overflowPunct/>
        <w:topLinePunct w:val="0"/>
        <w:autoSpaceDE/>
        <w:autoSpaceDN/>
        <w:bidi w:val="0"/>
        <w:spacing w:line="578" w:lineRule="exact"/>
        <w:ind w:left="0"/>
        <w:jc w:val="center"/>
        <w:textAlignment w:val="auto"/>
        <w:rPr>
          <w:rFonts w:ascii="方正小标宋_GBK" w:eastAsia="方正小标宋_GBK" w:cs="方正小标宋_GBK" w:hint="eastAsia"/>
          <w:b w:val="0"/>
          <w:bCs w:val="0"/>
          <w:color w:val="auto"/>
          <w:sz w:val="40"/>
          <w:szCs w:val="40"/>
          <w:u w:val="none"/>
          <w:lang w:val="en-US" w:eastAsia="zh-CN"/>
          <w:highlight w:val="auto"/>
        </w:rPr>
      </w:pPr>
      <w:r>
        <w:rPr>
          <w:rFonts w:ascii="方正小标宋_GBK" w:eastAsia="方正小标宋_GBK" w:cs="方正小标宋_GBK" w:hint="eastAsia"/>
          <w:b w:val="0"/>
          <w:bCs w:val="0"/>
          <w:color w:val="auto"/>
          <w:sz w:val="40"/>
          <w:szCs w:val="40"/>
          <w:u w:val="none"/>
          <w:lang w:val="en-US" w:eastAsia="zh-CN"/>
          <w:highlight w:val="auto"/>
        </w:rPr>
        <w:t>项目资金分配涉及所有点位自评得分情况表</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23"/>
        <w:gridCol w:w="3843"/>
        <w:gridCol w:w="2861"/>
        <w:gridCol w:w="993"/>
      </w:tblGrid>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黑体" w:eastAsia="黑体" w:cs="黑体" w:hint="eastAsia"/>
                <w:b w:val="0"/>
                <w:bCs w:val="0"/>
                <w:color w:val="auto"/>
                <w:sz w:val="24"/>
                <w:szCs w:val="24"/>
                <w:u w:val="none"/>
                <w:vertAlign w:val="baseline"/>
                <w:lang w:val="en-US" w:eastAsia="zh-CN"/>
                <w:highlight w:val="auto"/>
              </w:rPr>
            </w:pPr>
            <w:r>
              <w:rPr>
                <w:rFonts w:ascii="黑体" w:eastAsia="黑体" w:cs="黑体" w:hint="eastAsia"/>
                <w:b w:val="0"/>
                <w:bCs w:val="0"/>
                <w:color w:val="auto"/>
                <w:sz w:val="24"/>
                <w:szCs w:val="24"/>
                <w:u w:val="none"/>
                <w:vertAlign w:val="baseline"/>
                <w:lang w:val="en-US" w:eastAsia="zh-CN"/>
                <w:highlight w:val="auto"/>
              </w:rPr>
              <w:t>序号</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黑体" w:eastAsia="黑体" w:cs="黑体" w:hint="eastAsia"/>
                <w:b w:val="0"/>
                <w:bCs w:val="0"/>
                <w:color w:val="auto"/>
                <w:sz w:val="24"/>
                <w:szCs w:val="24"/>
                <w:u w:val="none"/>
                <w:vertAlign w:val="baseline"/>
                <w:lang w:eastAsia="zh-CN"/>
                <w:highlight w:val="auto"/>
              </w:rPr>
            </w:pPr>
            <w:r>
              <w:rPr>
                <w:rFonts w:ascii="黑体" w:eastAsia="黑体" w:cs="黑体" w:hint="eastAsia"/>
                <w:b w:val="0"/>
                <w:bCs w:val="0"/>
                <w:color w:val="auto"/>
                <w:sz w:val="24"/>
                <w:szCs w:val="24"/>
                <w:u w:val="none"/>
                <w:vertAlign w:val="baseline"/>
                <w:lang w:val="en-US" w:eastAsia="zh-CN"/>
                <w:highlight w:val="auto"/>
              </w:rPr>
              <w:t>项目资金末端分配点位</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黑体" w:eastAsia="黑体" w:cs="黑体" w:hint="eastAsia"/>
                <w:b w:val="0"/>
                <w:bCs w:val="0"/>
                <w:color w:val="auto"/>
                <w:sz w:val="24"/>
                <w:szCs w:val="24"/>
                <w:u w:val="none"/>
                <w:vertAlign w:val="baseline"/>
                <w:lang w:val="en-US" w:eastAsia="zh-CN"/>
                <w:highlight w:val="auto"/>
              </w:rPr>
            </w:pPr>
            <w:r>
              <w:rPr>
                <w:rFonts w:ascii="黑体" w:eastAsia="黑体" w:cs="黑体" w:hint="eastAsia"/>
                <w:b w:val="0"/>
                <w:bCs w:val="0"/>
                <w:color w:val="auto"/>
                <w:sz w:val="24"/>
                <w:szCs w:val="24"/>
                <w:u w:val="none"/>
                <w:vertAlign w:val="baseline"/>
                <w:lang w:eastAsia="zh-CN"/>
                <w:highlight w:val="auto"/>
              </w:rPr>
              <w:t>自评得分（百分制）</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黑体" w:eastAsia="黑体" w:cs="黑体" w:hint="eastAsia"/>
                <w:b w:val="0"/>
                <w:bCs w:val="0"/>
                <w:color w:val="auto"/>
                <w:sz w:val="24"/>
                <w:szCs w:val="24"/>
                <w:u w:val="none"/>
                <w:vertAlign w:val="baseline"/>
                <w:lang w:val="en-US" w:eastAsia="zh-CN"/>
                <w:highlight w:val="auto"/>
              </w:rPr>
            </w:pPr>
            <w:r>
              <w:rPr>
                <w:rFonts w:ascii="黑体" w:eastAsia="黑体" w:cs="黑体" w:hint="eastAsia"/>
                <w:b w:val="0"/>
                <w:bCs w:val="0"/>
                <w:color w:val="auto"/>
                <w:sz w:val="24"/>
                <w:szCs w:val="24"/>
                <w:u w:val="none"/>
                <w:vertAlign w:val="baseline"/>
                <w:lang w:val="en-US" w:eastAsia="zh-CN"/>
                <w:highlight w:val="auto"/>
              </w:rPr>
              <w:t>备注</w:t>
            </w: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1</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eastAsia="宋体" w:cs="宋体" w:hint="eastAsia"/>
                <w:color w:val="auto"/>
                <w:sz w:val="24"/>
                <w:szCs w:val="24"/>
                <w:u w:val="none"/>
                <w:vertAlign w:val="baseline"/>
                <w:lang w:eastAsia="zh-CN"/>
                <w:highlight w:val="auto"/>
              </w:rPr>
            </w:pPr>
            <w:r>
              <w:rPr>
                <w:rFonts w:ascii="宋体" w:eastAsia="宋体" w:cs="宋体" w:hint="eastAsia"/>
                <w:color w:val="auto"/>
                <w:sz w:val="24"/>
                <w:szCs w:val="24"/>
                <w:u w:val="none"/>
                <w:vertAlign w:val="baseline"/>
                <w:lang w:val="en-US" w:eastAsia="zh-CN"/>
                <w:highlight w:val="auto"/>
              </w:rPr>
              <w:t>文化传承与品牌塑造</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color w:val="auto"/>
                <w:sz w:val="24"/>
                <w:szCs w:val="24"/>
                <w:u w:val="none"/>
                <w:vertAlign w:val="baseline"/>
                <w:lang w:val="en-US" w:eastAsia="zh-CN"/>
                <w:highlight w:val="auto"/>
              </w:rPr>
            </w:pPr>
            <w:r>
              <w:rPr>
                <w:rFonts w:ascii="宋体" w:cs="宋体" w:hint="eastAsia"/>
                <w:color w:val="auto"/>
                <w:sz w:val="24"/>
                <w:szCs w:val="24"/>
                <w:u w:val="none"/>
                <w:vertAlign w:val="baseline"/>
                <w:lang w:val="en-US" w:eastAsia="zh-CN"/>
                <w:highlight w:val="auto"/>
              </w:rPr>
              <w:t>95</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2</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eastAsia="宋体" w:cs="宋体" w:hint="eastAsia"/>
                <w:color w:val="auto"/>
                <w:sz w:val="24"/>
                <w:szCs w:val="24"/>
                <w:u w:val="none"/>
                <w:vertAlign w:val="baseline"/>
                <w:lang w:eastAsia="zh-CN"/>
                <w:highlight w:val="auto"/>
              </w:rPr>
            </w:pPr>
            <w:r>
              <w:rPr>
                <w:rFonts w:ascii="宋体" w:eastAsia="宋体" w:cs="宋体" w:hint="eastAsia"/>
                <w:color w:val="auto"/>
                <w:sz w:val="24"/>
                <w:szCs w:val="24"/>
                <w:u w:val="none"/>
                <w:vertAlign w:val="baseline"/>
                <w:lang w:val="en-US" w:eastAsia="zh-CN"/>
                <w:highlight w:val="auto"/>
              </w:rPr>
              <w:t>文旅融合与经济带动</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color w:val="auto"/>
                <w:sz w:val="24"/>
                <w:szCs w:val="24"/>
                <w:u w:val="none"/>
                <w:vertAlign w:val="baseline"/>
                <w:lang w:val="en-US" w:eastAsia="zh-CN"/>
                <w:highlight w:val="auto"/>
              </w:rPr>
            </w:pPr>
            <w:r>
              <w:rPr>
                <w:rFonts w:ascii="宋体" w:cs="宋体" w:hint="eastAsia"/>
                <w:color w:val="auto"/>
                <w:sz w:val="24"/>
                <w:szCs w:val="24"/>
                <w:u w:val="none"/>
                <w:vertAlign w:val="baseline"/>
                <w:lang w:val="en-US" w:eastAsia="zh-CN"/>
                <w:highlight w:val="auto"/>
              </w:rPr>
              <w:t>96</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3</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eastAsia="宋体" w:cs="宋体" w:hint="eastAsia"/>
                <w:color w:val="auto"/>
                <w:sz w:val="24"/>
                <w:szCs w:val="24"/>
                <w:u w:val="none"/>
                <w:vertAlign w:val="baseline"/>
                <w:lang w:eastAsia="zh-CN"/>
                <w:highlight w:val="auto"/>
              </w:rPr>
            </w:pPr>
            <w:r>
              <w:rPr>
                <w:rFonts w:ascii="宋体" w:eastAsia="宋体" w:cs="宋体" w:hint="eastAsia"/>
                <w:color w:val="auto"/>
                <w:sz w:val="24"/>
                <w:szCs w:val="24"/>
                <w:u w:val="none"/>
                <w:vertAlign w:val="baseline"/>
                <w:lang w:val="en-US" w:eastAsia="zh-CN"/>
                <w:highlight w:val="auto"/>
              </w:rPr>
              <w:t>公共文化服务提升</w:t>
            </w: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color w:val="auto"/>
                <w:sz w:val="24"/>
                <w:szCs w:val="24"/>
                <w:u w:val="none"/>
                <w:vertAlign w:val="baseline"/>
                <w:lang w:val="en-US" w:eastAsia="zh-CN"/>
                <w:highlight w:val="auto"/>
              </w:rPr>
            </w:pPr>
            <w:r>
              <w:rPr>
                <w:rFonts w:ascii="宋体" w:cs="宋体" w:hint="eastAsia"/>
                <w:color w:val="auto"/>
                <w:sz w:val="24"/>
                <w:szCs w:val="24"/>
                <w:u w:val="none"/>
                <w:vertAlign w:val="baseline"/>
                <w:lang w:val="en-US" w:eastAsia="zh-CN"/>
                <w:highlight w:val="auto"/>
              </w:rPr>
              <w:t>93</w:t>
            </w: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4</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color w:val="auto"/>
                <w:sz w:val="24"/>
                <w:szCs w:val="24"/>
                <w:u w:val="none"/>
                <w:vertAlign w:val="baseline"/>
                <w:lang w:val="en-US"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5</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6</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7</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b w:val="0"/>
                <w:bCs w:val="0"/>
                <w:color w:val="auto"/>
                <w:sz w:val="24"/>
                <w:szCs w:val="24"/>
                <w:u w:val="none"/>
                <w:lang w:val="en-US" w:eastAsia="zh-CN"/>
                <w:highlight w:val="auto"/>
              </w:rPr>
            </w:pPr>
            <w:r>
              <w:rPr>
                <w:rFonts w:ascii="宋体" w:eastAsia="宋体" w:cs="宋体" w:hint="eastAsia"/>
                <w:b w:val="0"/>
                <w:bCs w:val="0"/>
                <w:color w:val="auto"/>
                <w:sz w:val="24"/>
                <w:szCs w:val="24"/>
                <w:u w:val="none"/>
                <w:lang w:val="en-US" w:eastAsia="zh-CN"/>
                <w:highlight w:val="auto"/>
              </w:rPr>
              <w:t>8</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r>
        <w:trPr>
          <w:trHeight w:hRule="exact" w:val="283"/>
        </w:trPr>
        <w:tc>
          <w:tcPr>
            <w:tcW w:w="112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jc w:val="center"/>
              <w:textAlignment w:val="auto"/>
              <w:outlineLvl w:val="9"/>
              <w:rPr>
                <w:rFonts w:ascii="宋体" w:eastAsia="宋体" w:cs="宋体" w:hint="eastAsia"/>
                <w:color w:val="auto"/>
                <w:sz w:val="24"/>
                <w:szCs w:val="24"/>
                <w:u w:val="none"/>
                <w:lang w:val="en-US" w:eastAsia="zh-CN"/>
                <w:highlight w:val="auto"/>
              </w:rPr>
            </w:pPr>
            <w:r>
              <w:rPr>
                <w:rFonts w:ascii="宋体" w:eastAsia="宋体" w:cs="宋体" w:hint="eastAsia"/>
                <w:color w:val="auto"/>
                <w:sz w:val="24"/>
                <w:szCs w:val="24"/>
                <w:u w:val="none"/>
                <w:lang w:val="en-US" w:eastAsia="zh-CN"/>
                <w:highlight w:val="auto"/>
              </w:rPr>
              <w:t>……</w:t>
            </w:r>
          </w:p>
        </w:tc>
        <w:tc>
          <w:tcPr>
            <w:tcW w:w="384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2861"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eastAsia="zh-CN"/>
                <w:highlight w:val="auto"/>
              </w:rPr>
            </w:pPr>
          </w:p>
        </w:tc>
        <w:tc>
          <w:tcPr>
            <w:tcW w:w="993"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00" w:lineRule="exact"/>
              <w:ind w:left="0"/>
              <w:textAlignment w:val="auto"/>
              <w:outlineLvl w:val="9"/>
              <w:rPr>
                <w:rFonts w:ascii="宋体" w:cs="宋体" w:hint="eastAsia"/>
                <w:color w:val="auto"/>
                <w:sz w:val="24"/>
                <w:szCs w:val="24"/>
                <w:u w:val="none"/>
                <w:vertAlign w:val="baseline"/>
                <w:lang w:val="en-US" w:eastAsia="zh-CN"/>
                <w:highlight w:val="auto"/>
              </w:rPr>
            </w:pPr>
          </w:p>
        </w:tc>
      </w:tr>
    </w:tbl>
    <w:p>
      <w:pPr>
        <w:keepNext w:val="0"/>
        <w:keepLines w:val="0"/>
        <w:pageBreakBefore w:val="0"/>
        <w:widowControl w:val="0"/>
        <w:kinsoku/>
        <w:wordWrap/>
        <w:overflowPunct/>
        <w:topLinePunct w:val="0"/>
        <w:autoSpaceDE/>
        <w:autoSpaceDN/>
        <w:bidi w:val="0"/>
        <w:adjustRightInd/>
        <w:snapToGrid/>
        <w:spacing w:line="400" w:lineRule="exact"/>
        <w:ind w:left="0" w:firstLine="0"/>
        <w:jc w:val="left"/>
        <w:textAlignment w:val="auto"/>
        <w:rPr>
          <w:rFonts w:ascii="宋体" w:eastAsia="宋体" w:cs="宋体" w:hint="eastAsia"/>
          <w:b w:val="0"/>
          <w:bCs w:val="0"/>
          <w:color w:val="auto"/>
          <w:sz w:val="21"/>
          <w:szCs w:val="21"/>
          <w:u w:val="none"/>
          <w:vertAlign w:val="baseline"/>
          <w:lang w:val="en-US" w:eastAsia="zh-CN"/>
          <w:highlight w:val="auto"/>
        </w:rPr>
      </w:pPr>
      <w:r>
        <w:rPr>
          <w:rFonts w:ascii="宋体" w:eastAsia="宋体" w:cs="宋体" w:hint="eastAsia"/>
          <w:b w:val="0"/>
          <w:bCs w:val="0"/>
          <w:color w:val="auto"/>
          <w:sz w:val="21"/>
          <w:szCs w:val="21"/>
          <w:u w:val="none"/>
          <w:vertAlign w:val="baseline"/>
          <w:lang w:val="en-US" w:eastAsia="zh-CN"/>
          <w:highlight w:val="auto"/>
        </w:rPr>
        <w:t>备注：1.项目资金末端分配点位包括州本级、县（市）、州级部门下属单位及一次性单位等。</w:t>
      </w:r>
    </w:p>
    <w:p>
      <w:pPr>
        <w:keepNext w:val="0"/>
        <w:keepLines w:val="0"/>
        <w:pageBreakBefore w:val="0"/>
        <w:widowControl w:val="0"/>
        <w:kinsoku/>
        <w:wordWrap/>
        <w:overflowPunct/>
        <w:topLinePunct w:val="0"/>
        <w:autoSpaceDE/>
        <w:autoSpaceDN/>
        <w:bidi w:val="0"/>
        <w:adjustRightInd/>
        <w:snapToGrid/>
        <w:spacing w:line="400" w:lineRule="exact"/>
        <w:ind w:left="0" w:firstLineChars="300" w:firstLine="630"/>
        <w:jc w:val="left"/>
        <w:textAlignment w:val="auto"/>
        <w:rPr>
          <w:rFonts w:ascii="宋体" w:eastAsia="宋体" w:cs="宋体" w:hint="eastAsia"/>
          <w:b w:val="0"/>
          <w:bCs w:val="0"/>
          <w:color w:val="auto"/>
          <w:sz w:val="21"/>
          <w:szCs w:val="21"/>
          <w:u w:val="none"/>
          <w:vertAlign w:val="baseline"/>
          <w:lang w:val="en-US" w:eastAsia="zh-CN"/>
          <w:highlight w:val="auto"/>
        </w:rPr>
      </w:pPr>
      <w:r>
        <w:rPr>
          <w:rFonts w:ascii="宋体" w:eastAsia="宋体" w:cs="宋体" w:hint="eastAsia"/>
          <w:b w:val="0"/>
          <w:bCs w:val="0"/>
          <w:color w:val="auto"/>
          <w:sz w:val="21"/>
          <w:szCs w:val="21"/>
          <w:u w:val="none"/>
          <w:vertAlign w:val="baseline"/>
          <w:lang w:val="en-US" w:eastAsia="zh-CN"/>
          <w:highlight w:val="auto"/>
        </w:rPr>
        <w:t>2.自评得分（百分制）从高到低划分为优、良、中、差四个档次，各个档次数量占比分别为20%、20%、55%、5%，且不同档次间得分分值应体现差异化，同档次得分分值相同的比例不超过该档次总数量的10%。</w:t>
      </w:r>
    </w:p>
    <w:p>
      <w:pPr>
        <w:rPr>
          <w:rFonts w:ascii="Times New Roman" w:eastAsia="仿宋_GB2312" w:cs="Times New Roman" w:hAnsi="Times New Roman" w:hint="eastAsia"/>
          <w:kern w:val="2"/>
          <w:sz w:val="32"/>
          <w:szCs w:val="24"/>
          <w:lang w:val="en-US" w:eastAsia="zh-CN" w:bidi="ar-SA"/>
          <w:highlight w:val="auto"/>
        </w:rPr>
      </w:pPr>
      <w:r>
        <w:rPr>
          <w:rFonts w:ascii="Times New Roman" w:eastAsia="仿宋_GB2312" w:cs="Times New Roman" w:hAnsi="Times New Roman" w:hint="eastAsia"/>
          <w:kern w:val="2"/>
          <w:sz w:val="32"/>
          <w:szCs w:val="24"/>
          <w:lang w:val="en-US" w:eastAsia="zh-CN" w:bidi="ar-SA"/>
          <w:highlight w:val="auto"/>
        </w:rPr>
        <w:br w:type="page"/>
      </w:r>
    </w:p>
    <w:p>
      <w:pPr>
        <w:pStyle w:val="23"/>
        <w:keepNext w:val="0"/>
        <w:keepLines w:val="0"/>
        <w:pageBreakBefore w:val="0"/>
        <w:kinsoku/>
        <w:wordWrap/>
        <w:overflowPunct/>
        <w:topLinePunct w:val="0"/>
        <w:autoSpaceDE/>
        <w:autoSpaceDN/>
        <w:bidi w:val="0"/>
        <w:spacing w:after="0" w:line="578" w:lineRule="exact"/>
        <w:ind w:leftChars="0" w:left="0" w:firstLineChars="0" w:firstLine="0"/>
        <w:rPr>
          <w:rFonts w:ascii="Times New Roman" w:eastAsia="黑体" w:cs="Times New Roman" w:hAnsi="Times New Roman"/>
          <w:kern w:val="2"/>
          <w:sz w:val="32"/>
          <w:szCs w:val="24"/>
          <w:lang w:val="en-US" w:eastAsia="zh-CN" w:bidi="ar-SA"/>
          <w:highlight w:val="auto"/>
        </w:rPr>
      </w:pPr>
      <w:r>
        <w:rPr>
          <w:rFonts w:ascii="Times New Roman" w:eastAsia="黑体" w:cs="Times New Roman" w:hAnsi="Times New Roman"/>
          <w:kern w:val="2"/>
          <w:sz w:val="32"/>
          <w:szCs w:val="24"/>
          <w:lang w:val="en-US" w:eastAsia="zh-CN" w:bidi="ar-SA"/>
          <w:highlight w:val="auto"/>
        </w:rPr>
        <w:t>附表2</w:t>
      </w:r>
    </w:p>
    <w:tbl>
      <w:tblPr>
        <w:jc w:val="center"/>
        <w:tblW w:w="10233" w:type="dxa"/>
        <w:tblBorders>
          <w:top w:val="none" w:sz="0" w:space="0" w:color="auto"/>
          <w:left w:val="none" w:sz="0" w:space="0" w:color="auto"/>
          <w:bottom w:val="none" w:sz="0" w:space="0" w:color="auto"/>
          <w:right w:val="none" w:sz="0" w:space="0" w:color="auto"/>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rPr>
          <w:trHeight w:val="576"/>
        </w:trPr>
        <w:tc>
          <w:tcPr>
            <w:tcW w:w="10233" w:type="dxa"/>
            <w:gridSpan w:val="9"/>
            <w:tcBorders>
              <w:top w:val="nil"/>
              <w:left w:val="nil"/>
              <w:bottom w:val="nil"/>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jc w:val="center"/>
              <w:textAlignment w:val="center"/>
              <w:rPr>
                <w:rFonts w:ascii="黑体" w:eastAsia="黑体" w:cs="黑体"/>
                <w:i w:val="0"/>
                <w:color w:val="000000"/>
                <w:sz w:val="30"/>
                <w:szCs w:val="30"/>
                <w:u w:val="none"/>
              </w:rPr>
            </w:pPr>
            <w:r>
              <w:rPr>
                <w:rFonts w:ascii="方正小标宋简体" w:eastAsia="方正小标宋简体" w:cs="方正小标宋简体" w:hint="eastAsia"/>
                <w:i w:val="0"/>
                <w:color w:val="000000"/>
                <w:kern w:val="0"/>
                <w:sz w:val="40"/>
                <w:szCs w:val="40"/>
                <w:u w:val="none"/>
                <w:lang w:val="en-US" w:eastAsia="zh-CN"/>
              </w:rPr>
              <w:t>专项预算项目绩效目标完成情况自评表</w:t>
            </w:r>
          </w:p>
        </w:tc>
      </w:tr>
      <w:tr>
        <w:trPr>
          <w:trHeight w:val="23"/>
        </w:trPr>
        <w:tc>
          <w:tcPr>
            <w:tcW w:w="4295" w:type="dxa"/>
            <w:gridSpan w:val="4"/>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项目名称</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i w:val="0"/>
                <w:color w:val="000000"/>
                <w:sz w:val="24"/>
                <w:szCs w:val="24"/>
                <w:u w:val="none"/>
                <w:lang w:val="en-US"/>
              </w:rPr>
            </w:pPr>
            <w:r>
              <w:rPr>
                <w:rFonts w:ascii="宋体" w:eastAsia="宋体" w:cs="宋体" w:hint="eastAsia"/>
                <w:i w:val="0"/>
                <w:color w:val="000000"/>
                <w:sz w:val="24"/>
                <w:szCs w:val="24"/>
                <w:u w:val="none"/>
                <w:lang w:val="en-US" w:eastAsia="zh-CN"/>
              </w:rPr>
              <w:t>第十三届牦牛文化活动开幕式服务项目</w:t>
            </w:r>
          </w:p>
        </w:tc>
      </w:tr>
      <w:tr>
        <w:trPr>
          <w:trHeight w:val="23"/>
        </w:trPr>
        <w:tc>
          <w:tcPr>
            <w:tcW w:w="4295" w:type="dxa"/>
            <w:gridSpan w:val="4"/>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预算单位</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rPr>
                <w:rFonts w:ascii="宋体" w:eastAsia="宋体" w:cs="宋体" w:hint="eastAsia"/>
                <w:i w:val="0"/>
                <w:color w:val="000000"/>
                <w:sz w:val="24"/>
                <w:szCs w:val="24"/>
                <w:u w:val="none"/>
              </w:rPr>
            </w:pPr>
            <w:r>
              <w:rPr>
                <w:rFonts w:ascii="宋体" w:eastAsia="宋体" w:cs="宋体" w:hint="eastAsia"/>
                <w:i w:val="0"/>
                <w:color w:val="000000"/>
                <w:sz w:val="24"/>
                <w:szCs w:val="24"/>
                <w:u w:val="none"/>
              </w:rPr>
              <w:t>红原县文化广播电视体育和旅游局</w:t>
            </w:r>
          </w:p>
        </w:tc>
      </w:tr>
      <w:tr>
        <w:trPr>
          <w:trHeight w:val="23"/>
        </w:trPr>
        <w:tc>
          <w:tcPr>
            <w:tcW w:w="4295" w:type="dxa"/>
            <w:gridSpan w:val="4"/>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项目类型</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公共文化服务体系类</w:t>
            </w:r>
          </w:p>
        </w:tc>
      </w:tr>
      <w:tr>
        <w:trPr>
          <w:trHeight w:val="23"/>
        </w:trPr>
        <w:tc>
          <w:tcPr>
            <w:tcW w:w="652" w:type="dxa"/>
            <w:vMerge w:val="restar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 概况</w:t>
            </w: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常年项目）</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红财函〔2025〕203</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资金管理办法（名称、文号）</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红财函〔2025〕203</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绩效分配方式</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t>£</w:t>
            </w:r>
            <w:r>
              <w:rPr>
                <w:rFonts w:ascii="宋体" w:eastAsia="宋体" w:cs="宋体"/>
                <w:i w:val="0"/>
                <w:color w:val="000000"/>
                <w:kern w:val="0"/>
                <w:sz w:val="24"/>
                <w:szCs w:val="24"/>
                <w:u w:val="none"/>
                <w:lang w:val="en-US" w:eastAsia="zh-CN"/>
              </w:rPr>
              <w:t>因素法</w:t>
            </w:r>
          </w:p>
        </w:tc>
        <w:tc>
          <w:tcPr>
            <w:tcW w:w="203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sym w:font="Wingdings 2" w:char="52"/>
            </w:r>
            <w:r>
              <w:rPr>
                <w:rFonts w:ascii="Wingdings 2" w:eastAsia="Wingdings 2" w:cs="Wingdings 2" w:hAnsi="Wingdings 2"/>
                <w:i w:val="0"/>
                <w:color w:val="000000"/>
                <w:kern w:val="0"/>
                <w:sz w:val="24"/>
                <w:szCs w:val="24"/>
                <w:u w:val="none"/>
                <w:lang w:val="en-US" w:eastAsia="zh-CN"/>
              </w:rPr>
              <w:t>项目法</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t>£</w:t>
            </w:r>
            <w:r>
              <w:rPr>
                <w:rFonts w:ascii="宋体" w:eastAsia="宋体" w:cs="宋体"/>
                <w:i w:val="0"/>
                <w:color w:val="000000"/>
                <w:kern w:val="0"/>
                <w:sz w:val="24"/>
                <w:szCs w:val="24"/>
                <w:u w:val="none"/>
                <w:lang w:val="en-US" w:eastAsia="zh-CN"/>
              </w:rPr>
              <w:t>据实据效</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Wingdings 2" w:eastAsia="Wingdings 2" w:cs="Wingdings 2" w:hAnsi="Wingdings 2"/>
                <w:i w:val="0"/>
                <w:color w:val="000000"/>
                <w:sz w:val="24"/>
                <w:szCs w:val="24"/>
                <w:u w:val="none"/>
              </w:rPr>
            </w:pPr>
            <w:r>
              <w:rPr>
                <w:rFonts w:ascii="Wingdings 2" w:eastAsia="Wingdings 2" w:cs="Wingdings 2" w:hAnsi="Wingdings 2"/>
                <w:i w:val="0"/>
                <w:color w:val="000000"/>
                <w:kern w:val="0"/>
                <w:sz w:val="24"/>
                <w:szCs w:val="24"/>
                <w:u w:val="none"/>
                <w:lang w:val="en-US" w:eastAsia="zh-CN"/>
              </w:rPr>
              <w:t>£</w:t>
            </w:r>
            <w:r>
              <w:rPr>
                <w:rFonts w:ascii="宋体" w:eastAsia="宋体" w:cs="宋体"/>
                <w:i w:val="0"/>
                <w:color w:val="000000"/>
                <w:kern w:val="0"/>
                <w:sz w:val="24"/>
                <w:szCs w:val="24"/>
                <w:u w:val="none"/>
                <w:lang w:val="en-US" w:eastAsia="zh-CN"/>
              </w:rPr>
              <w:t>因素法与项目法相结合</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立项依据</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kern w:val="0"/>
                <w:sz w:val="24"/>
                <w:szCs w:val="24"/>
                <w:u w:val="none"/>
                <w:lang w:val="en-US" w:eastAsia="zh-CN"/>
              </w:rPr>
              <w:t>红财函〔2025〕203</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使用范围</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lang w:val="en-US" w:eastAsia="zh-CN"/>
              </w:rPr>
            </w:pPr>
            <w:r>
              <w:rPr>
                <w:rFonts w:ascii="宋体" w:eastAsia="宋体" w:cs="宋体" w:hint="eastAsia"/>
                <w:i w:val="0"/>
                <w:color w:val="000000"/>
                <w:sz w:val="24"/>
                <w:szCs w:val="24"/>
                <w:u w:val="none"/>
                <w:lang w:val="en-US" w:eastAsia="zh-CN"/>
              </w:rPr>
              <w:t>主要用于保障第十三届牦牛文化活动开幕式及中国藏族山歌展演的全流程服务。</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申报（补助）条件</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lang w:val="en-US" w:eastAsia="zh-CN"/>
              </w:rPr>
            </w:pPr>
            <w:r>
              <w:rPr>
                <w:rFonts w:ascii="宋体" w:eastAsia="宋体" w:cs="宋体" w:hint="eastAsia"/>
                <w:i w:val="0"/>
                <w:color w:val="000000"/>
                <w:sz w:val="24"/>
                <w:szCs w:val="24"/>
                <w:u w:val="none"/>
                <w:lang w:val="en-US" w:eastAsia="zh-CN"/>
              </w:rPr>
              <w:t>符合文件规定（国家乡村振兴战略、产业融合发展政策、地方文旅发展规划）</w:t>
            </w:r>
          </w:p>
        </w:tc>
      </w:tr>
      <w:tr>
        <w:trPr>
          <w:trHeight w:val="23"/>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3643" w:type="dxa"/>
            <w:gridSpan w:val="3"/>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项目起止年限</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lang w:val="en-US" w:eastAsia="zh-CN"/>
              </w:rPr>
            </w:pPr>
            <w:r>
              <w:rPr>
                <w:rFonts w:cs="宋体" w:hint="eastAsia"/>
                <w:i w:val="0"/>
                <w:color w:val="000000"/>
                <w:sz w:val="24"/>
                <w:szCs w:val="24"/>
                <w:u w:val="none"/>
                <w:lang w:val="en-US" w:eastAsia="zh-CN"/>
              </w:rPr>
              <w:t>短</w:t>
            </w:r>
            <w:r>
              <w:rPr>
                <w:rFonts w:ascii="宋体" w:eastAsia="宋体" w:cs="宋体" w:hint="eastAsia"/>
                <w:i w:val="0"/>
                <w:color w:val="000000"/>
                <w:sz w:val="24"/>
                <w:szCs w:val="24"/>
                <w:u w:val="none"/>
                <w:lang w:val="en-US" w:eastAsia="zh-CN"/>
              </w:rPr>
              <w:t>期</w:t>
            </w:r>
          </w:p>
        </w:tc>
      </w:tr>
      <w:tr>
        <w:trPr>
          <w:trHeight w:val="23"/>
        </w:trPr>
        <w:tc>
          <w:tcPr>
            <w:tcW w:w="1733" w:type="dxa"/>
            <w:gridSpan w:val="2"/>
            <w:vMerge w:val="restar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（万元）</w:t>
            </w:r>
          </w:p>
        </w:tc>
        <w:tc>
          <w:tcPr>
            <w:tcW w:w="256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 xml:space="preserve">  年度资金总额：</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both"/>
              <w:rPr>
                <w:rFonts w:ascii="宋体" w:eastAsia="宋体" w:cs="宋体"/>
                <w:i w:val="0"/>
                <w:color w:val="000000"/>
                <w:sz w:val="24"/>
                <w:szCs w:val="24"/>
                <w:u w:val="none"/>
                <w:lang w:val="en-US" w:eastAsia="zh-CN"/>
              </w:rPr>
            </w:pPr>
            <w:r>
              <w:rPr>
                <w:rFonts w:cs="宋体" w:hint="eastAsia"/>
                <w:i w:val="0"/>
                <w:color w:val="000000"/>
                <w:sz w:val="24"/>
                <w:szCs w:val="24"/>
                <w:u w:val="none"/>
                <w:lang w:val="en-US" w:eastAsia="zh-CN"/>
              </w:rPr>
              <w:t>219</w:t>
            </w:r>
            <w:r>
              <w:rPr>
                <w:rFonts w:ascii="宋体" w:eastAsia="宋体" w:cs="宋体" w:hint="eastAsia"/>
                <w:i w:val="0"/>
                <w:color w:val="000000"/>
                <w:sz w:val="24"/>
                <w:szCs w:val="24"/>
                <w:u w:val="none"/>
                <w:lang w:val="en-US" w:eastAsia="zh-CN"/>
              </w:rPr>
              <w:t>万（</w:t>
            </w:r>
            <w:r>
              <w:rPr>
                <w:rFonts w:cs="宋体" w:hint="eastAsia"/>
                <w:i w:val="0"/>
                <w:color w:val="000000"/>
                <w:sz w:val="24"/>
                <w:szCs w:val="24"/>
                <w:u w:val="none"/>
                <w:lang w:val="en-US" w:eastAsia="zh-CN"/>
              </w:rPr>
              <w:t>贰佰壹拾玖</w:t>
            </w:r>
            <w:r>
              <w:rPr>
                <w:rFonts w:ascii="宋体" w:eastAsia="宋体" w:cs="宋体" w:hint="eastAsia"/>
                <w:i w:val="0"/>
                <w:color w:val="000000"/>
                <w:sz w:val="24"/>
                <w:szCs w:val="24"/>
                <w:u w:val="none"/>
                <w:lang w:val="en-US" w:eastAsia="zh-CN"/>
              </w:rPr>
              <w:t>万元整）</w:t>
            </w:r>
          </w:p>
        </w:tc>
      </w:tr>
      <w:tr>
        <w:trPr>
          <w:trHeight w:val="23"/>
        </w:trPr>
        <w:tc>
          <w:tcPr>
            <w:tcW w:w="1733" w:type="dxa"/>
            <w:gridSpan w:val="2"/>
            <w:vMerge/>
            <w:tcBorders>
              <w:top w:val="single" w:sz="4" w:space="0" w:color="000000"/>
              <w:left w:val="single" w:sz="4" w:space="0" w:color="000000"/>
              <w:bottom w:val="single" w:sz="4" w:space="0" w:color="000000"/>
              <w:right w:val="single" w:sz="4" w:space="0" w:color="000000"/>
            </w:tcBorders>
            <w:noWrap/>
            <w:vAlign w:val="center"/>
          </w:tcPr>
          <w:p/>
        </w:tc>
        <w:tc>
          <w:tcPr>
            <w:tcW w:w="256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 xml:space="preserve">     </w:t>
            </w:r>
            <w:r>
              <w:rPr>
                <w:rFonts w:ascii="宋体" w:eastAsia="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其中：财政拨款</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both"/>
              <w:rPr>
                <w:rFonts w:ascii="宋体" w:eastAsia="宋体" w:cs="宋体"/>
                <w:i w:val="0"/>
                <w:color w:val="000000"/>
                <w:sz w:val="24"/>
                <w:szCs w:val="24"/>
                <w:u w:val="none"/>
                <w:lang w:val="en-US" w:eastAsia="zh-CN"/>
              </w:rPr>
            </w:pPr>
            <w:r>
              <w:rPr>
                <w:rFonts w:cs="宋体" w:hint="eastAsia"/>
                <w:i w:val="0"/>
                <w:color w:val="000000"/>
                <w:sz w:val="24"/>
                <w:szCs w:val="24"/>
                <w:u w:val="none"/>
                <w:lang w:val="en-US" w:eastAsia="zh-CN"/>
              </w:rPr>
              <w:t>219</w:t>
            </w:r>
            <w:r>
              <w:rPr>
                <w:rFonts w:ascii="宋体" w:eastAsia="宋体" w:cs="宋体" w:hint="eastAsia"/>
                <w:i w:val="0"/>
                <w:color w:val="000000"/>
                <w:sz w:val="24"/>
                <w:szCs w:val="24"/>
                <w:u w:val="none"/>
                <w:lang w:val="en-US" w:eastAsia="zh-CN"/>
              </w:rPr>
              <w:t>万（</w:t>
            </w:r>
            <w:r>
              <w:rPr>
                <w:rFonts w:cs="宋体" w:hint="eastAsia"/>
                <w:i w:val="0"/>
                <w:color w:val="000000"/>
                <w:sz w:val="24"/>
                <w:szCs w:val="24"/>
                <w:u w:val="none"/>
                <w:lang w:val="en-US" w:eastAsia="zh-CN"/>
              </w:rPr>
              <w:t>贰佰壹拾玖</w:t>
            </w:r>
            <w:r>
              <w:rPr>
                <w:rFonts w:ascii="宋体" w:eastAsia="宋体" w:cs="宋体" w:hint="eastAsia"/>
                <w:i w:val="0"/>
                <w:color w:val="000000"/>
                <w:sz w:val="24"/>
                <w:szCs w:val="24"/>
                <w:u w:val="none"/>
                <w:lang w:val="en-US" w:eastAsia="zh-CN"/>
              </w:rPr>
              <w:t>万元整）</w:t>
            </w:r>
          </w:p>
        </w:tc>
      </w:tr>
      <w:tr>
        <w:trPr>
          <w:trHeight w:val="23"/>
        </w:trPr>
        <w:tc>
          <w:tcPr>
            <w:tcW w:w="1733" w:type="dxa"/>
            <w:gridSpan w:val="2"/>
            <w:vMerge/>
            <w:tcBorders>
              <w:top w:val="single" w:sz="4" w:space="0" w:color="000000"/>
              <w:left w:val="single" w:sz="4" w:space="0" w:color="000000"/>
              <w:bottom w:val="single" w:sz="4" w:space="0" w:color="000000"/>
              <w:right w:val="single" w:sz="4" w:space="0" w:color="000000"/>
            </w:tcBorders>
            <w:noWrap/>
            <w:vAlign w:val="center"/>
          </w:tcPr>
          <w:p/>
        </w:tc>
        <w:tc>
          <w:tcPr>
            <w:tcW w:w="2562"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left"/>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 xml:space="preserve">            其他资金</w:t>
            </w:r>
          </w:p>
        </w:tc>
        <w:tc>
          <w:tcPr>
            <w:tcW w:w="5938" w:type="dxa"/>
            <w:gridSpan w:val="5"/>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right"/>
              <w:rPr>
                <w:rFonts w:ascii="宋体" w:eastAsia="宋体" w:cs="宋体" w:hint="eastAsia"/>
                <w:i w:val="0"/>
                <w:color w:val="000000"/>
                <w:sz w:val="24"/>
                <w:szCs w:val="24"/>
                <w:u w:val="none"/>
              </w:rPr>
            </w:pPr>
          </w:p>
        </w:tc>
      </w:tr>
      <w:tr>
        <w:trPr>
          <w:trHeight w:val="23"/>
        </w:trPr>
        <w:tc>
          <w:tcPr>
            <w:tcW w:w="652" w:type="dxa"/>
            <w:vMerge w:val="restart"/>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总体 目标</w:t>
            </w:r>
          </w:p>
        </w:tc>
        <w:tc>
          <w:tcPr>
            <w:tcW w:w="9581" w:type="dxa"/>
            <w:gridSpan w:val="8"/>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年度目标</w:t>
            </w:r>
          </w:p>
        </w:tc>
      </w:tr>
      <w:tr>
        <w:trPr>
          <w:trHeight w:val="728"/>
        </w:trPr>
        <w:tc>
          <w:tcPr>
            <w:tcW w:w="652" w:type="dxa"/>
            <w:vMerge/>
            <w:tcBorders>
              <w:top w:val="single" w:sz="4" w:space="0" w:color="000000"/>
              <w:left w:val="single" w:sz="4" w:space="0" w:color="000000"/>
              <w:bottom w:val="single" w:sz="4" w:space="0" w:color="000000"/>
              <w:right w:val="single" w:sz="4" w:space="0" w:color="000000"/>
            </w:tcBorders>
            <w:noWrap/>
            <w:vAlign w:val="center"/>
          </w:tcPr>
          <w:p/>
        </w:tc>
        <w:tc>
          <w:tcPr>
            <w:tcW w:w="9581" w:type="dxa"/>
            <w:gridSpan w:val="8"/>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kinsoku/>
              <w:wordWrap/>
              <w:overflowPunct/>
              <w:topLinePunct w:val="0"/>
              <w:autoSpaceDE/>
              <w:autoSpaceDN/>
              <w:bidi w:val="0"/>
              <w:adjustRightInd/>
              <w:snapToGrid/>
              <w:spacing w:line="300" w:lineRule="exact"/>
              <w:ind w:left="0"/>
              <w:jc w:val="left"/>
              <w:rPr>
                <w:rFonts w:ascii="宋体" w:eastAsia="宋体" w:cs="宋体" w:hint="eastAsia"/>
                <w:i w:val="0"/>
                <w:color w:val="000000"/>
                <w:sz w:val="24"/>
                <w:szCs w:val="24"/>
                <w:u w:val="none"/>
              </w:rPr>
            </w:pPr>
            <w:r>
              <w:rPr>
                <w:rFonts w:ascii="宋体" w:eastAsia="宋体" w:cs="宋体" w:hint="eastAsia"/>
                <w:i w:val="0"/>
                <w:color w:val="000000"/>
                <w:sz w:val="24"/>
                <w:szCs w:val="24"/>
                <w:u w:val="none"/>
                <w:lang w:val="en-US" w:eastAsia="zh-CN"/>
              </w:rPr>
              <w:t>充分展现牦牛文化与藏族山歌非遗特色，又能有效提升红原县文旅品牌影响力、带动旅游消费增长，项目规划科学合理、贴合县域实际、实施必要性充分。</w:t>
            </w:r>
          </w:p>
        </w:tc>
      </w:tr>
      <w:tr>
        <w:trPr>
          <w:trHeight w:val="545"/>
        </w:trPr>
        <w:tc>
          <w:tcPr>
            <w:tcW w:w="652" w:type="dxa"/>
            <w:vMerge w:val="restart"/>
            <w:tcBorders>
              <w:top w:val="single" w:sz="4" w:space="0" w:color="000000"/>
              <w:left w:val="single" w:sz="4" w:space="0" w:color="000000"/>
              <w:bottom w:val="single" w:sz="4" w:space="0" w:color="000000"/>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绩效 指标</w:t>
            </w: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一级指标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二级指标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三级指标</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指标性质</w:t>
            </w:r>
          </w:p>
        </w:tc>
        <w:tc>
          <w:tcPr>
            <w:tcW w:w="97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历史参考值</w:t>
            </w: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指标值</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度量</w:t>
              <w:br/>
              <w:t>单位</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i w:val="0"/>
                <w:color w:val="000000"/>
                <w:kern w:val="0"/>
                <w:sz w:val="24"/>
                <w:szCs w:val="24"/>
                <w:u w:val="none"/>
                <w:lang w:val="en-US" w:eastAsia="zh-CN"/>
              </w:rPr>
              <w:t>实际完成指标值</w:t>
            </w:r>
          </w:p>
        </w:tc>
      </w:tr>
      <w:tr>
        <w:trPr>
          <w:trHeight w:val="715"/>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数量指标</w:t>
            </w:r>
          </w:p>
        </w:tc>
        <w:tc>
          <w:tcPr>
            <w:tcW w:w="1312"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举办场数</w:t>
            </w:r>
          </w:p>
        </w:tc>
        <w:tc>
          <w:tcPr>
            <w:tcW w:w="1127"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w:t>
            </w:r>
          </w:p>
        </w:tc>
        <w:tc>
          <w:tcPr>
            <w:tcW w:w="938"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场次</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1场</w:t>
            </w:r>
          </w:p>
        </w:tc>
      </w:tr>
      <w:tr>
        <w:trPr>
          <w:trHeight w:val="834"/>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质量指标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活动现场</w:t>
              <w:br/>
              <w:t>安全合格</w:t>
              <w:br/>
              <w:t>率</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90</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≥90%</w:t>
            </w:r>
          </w:p>
        </w:tc>
      </w:tr>
      <w:tr>
        <w:trPr>
          <w:trHeight w:val="647"/>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产出指标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时效指标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活动举办</w:t>
              <w:br/>
              <w:t>时间</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天</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1天</w:t>
            </w:r>
          </w:p>
        </w:tc>
      </w:tr>
      <w:tr>
        <w:trPr>
          <w:trHeight w:val="48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效益指标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社会效益</w:t>
              <w:br/>
              <w:t>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吸引游客</w:t>
              <w:br/>
              <w:t>到红原人次</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5000</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人次</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超5000人</w:t>
            </w:r>
          </w:p>
        </w:tc>
      </w:tr>
      <w:tr>
        <w:trPr>
          <w:trHeight w:val="628"/>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效益指标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经济效益</w:t>
              <w:br/>
              <w:t>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受活动影</w:t>
              <w:br/>
              <w:t>响实现旅</w:t>
              <w:br/>
              <w:t>游收入</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10</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万元</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10万</w:t>
            </w:r>
          </w:p>
        </w:tc>
      </w:tr>
      <w:tr>
        <w:trPr>
          <w:trHeight w:val="508"/>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满意度指标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满意度指标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游客满意度</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90</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0.95</w:t>
            </w:r>
          </w:p>
        </w:tc>
      </w:tr>
      <w:tr>
        <w:trPr>
          <w:trHeight w:val="23"/>
        </w:trPr>
        <w:tc>
          <w:tcPr>
            <w:tcW w:w="652" w:type="dxa"/>
            <w:vMerge/>
            <w:tcBorders>
              <w:top w:val="single" w:sz="4" w:space="0" w:color="000000"/>
              <w:left w:val="single" w:sz="4" w:space="0" w:color="000000"/>
              <w:bottom w:val="single" w:sz="4" w:space="0" w:color="000000"/>
              <w:right w:val="nil"/>
            </w:tcBorders>
            <w:noWrap/>
            <w:vAlign w:val="center"/>
          </w:tcPr>
          <w:p/>
        </w:tc>
        <w:tc>
          <w:tcPr>
            <w:tcW w:w="108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成本指标</w:t>
            </w:r>
          </w:p>
        </w:tc>
        <w:tc>
          <w:tcPr>
            <w:tcW w:w="1250"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经济成本</w:t>
              <w:br/>
              <w:t>指标</w:t>
            </w:r>
          </w:p>
        </w:tc>
        <w:tc>
          <w:tcPr>
            <w:tcW w:w="1312"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预算数</w:t>
            </w:r>
          </w:p>
        </w:tc>
        <w:tc>
          <w:tcPr>
            <w:tcW w:w="1127"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noWrap/>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p>
        </w:tc>
        <w:tc>
          <w:tcPr>
            <w:tcW w:w="106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hint="eastAsia"/>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219</w:t>
            </w:r>
          </w:p>
        </w:tc>
        <w:tc>
          <w:tcPr>
            <w:tcW w:w="93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万元</w:t>
            </w:r>
          </w:p>
        </w:tc>
        <w:tc>
          <w:tcPr>
            <w:tcW w:w="1841"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kern w:val="0"/>
                <w:sz w:val="24"/>
                <w:szCs w:val="24"/>
                <w:u w:val="none"/>
                <w:lang w:val="en-US" w:eastAsia="zh-CN"/>
              </w:rPr>
            </w:pPr>
            <w:r>
              <w:rPr>
                <w:rFonts w:ascii="宋体" w:eastAsia="宋体" w:cs="宋体" w:hint="eastAsia"/>
                <w:i w:val="0"/>
                <w:color w:val="000000"/>
                <w:kern w:val="0"/>
                <w:sz w:val="24"/>
                <w:szCs w:val="24"/>
                <w:u w:val="none"/>
                <w:lang w:val="en-US" w:eastAsia="zh-CN"/>
              </w:rPr>
              <w:t>219万</w:t>
            </w:r>
          </w:p>
        </w:tc>
      </w:tr>
    </w:tbl>
    <w:p>
      <w:pPr>
        <w:pStyle w:val="24"/>
        <w:keepNext w:val="0"/>
        <w:keepLines w:val="0"/>
        <w:widowControl/>
        <w:suppressLineNumbers w:val="0"/>
        <w:autoSpaceDE w:val="0"/>
        <w:autoSpaceDN/>
        <w:spacing w:before="0" w:beforeAutospacing="0"/>
        <w:ind w:left="0"/>
        <w:jc w:val="both"/>
        <w:rPr>
          <w:rFonts w:ascii="仿宋_GB2312" w:eastAsia="仿宋_GB2312" w:cs="仿宋_GB2312" w:hint="eastAsia"/>
          <w:kern w:val="0"/>
          <w:sz w:val="32"/>
          <w:szCs w:val="32"/>
          <w:shd w:val="clear" w:color="auto" w:fill="FFFFFF"/>
        </w:rPr>
        <w:sectPr>
          <w:footerReference w:type="default" r:id="rId2"/>
          <w:pgSz w:w="11915" w:h="16851"/>
          <w:pgMar w:top="1440" w:right="1800" w:bottom="1440" w:left="1800" w:header="851" w:footer="992" w:gutter="0"/>
          <w:docGrid w:type="lines" w:linePitch="312" w:charSpace="0"/>
        </w:sectPr>
      </w:pPr>
    </w:p>
    <w:p>
      <w:pPr>
        <w:pStyle w:val="24"/>
        <w:keepNext w:val="0"/>
        <w:keepLines w:val="0"/>
        <w:widowControl/>
        <w:suppressLineNumbers w:val="0"/>
        <w:autoSpaceDE w:val="0"/>
        <w:autoSpaceDN/>
        <w:spacing w:before="0" w:beforeAutospacing="0"/>
        <w:ind w:left="0"/>
        <w:jc w:val="both"/>
        <w:rPr>
          <w:rFonts w:ascii="黑体" w:eastAsia="黑体" w:cs="黑体" w:hint="eastAsia"/>
          <w:kern w:val="0"/>
          <w:sz w:val="32"/>
          <w:szCs w:val="32"/>
        </w:rPr>
      </w:pPr>
      <w:r>
        <w:rPr>
          <w:rFonts w:ascii="黑体" w:eastAsia="黑体" w:cs="黑体" w:hint="eastAsia"/>
          <w:kern w:val="0"/>
          <w:sz w:val="32"/>
          <w:szCs w:val="32"/>
          <w:shd w:val="clear" w:color="auto" w:fill="FFFFFF"/>
        </w:rPr>
        <w:t>第五部分 附表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一、收入支出决算总表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二、收入决算表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三、支出决算表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四、财政拨款收入支出决算总表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五、财政拨款支出决算明细表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六、一般公共预算财政拨款支出决算表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七、一般公共预算财政拨款支出决算明细表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八、一般公共预算财政拨款基本支出决算表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九、一般公共预算财政拨款项目支出决算表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十、一般公共预算财政拨款“三公”经费支出决算表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十一、政府性基金预算财政拨款收入支出决算表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十二、政府性基金预算财政拨款“三公”经费支出决算表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十三、国有资本经营预算财政拨款收入支出决算表</w:t>
      </w:r>
    </w:p>
    <w:p>
      <w:pPr>
        <w:pStyle w:val="2"/>
        <w:keepNext w:val="0"/>
        <w:keepLines w:val="0"/>
        <w:widowControl/>
        <w:suppressLineNumbers w:val="0"/>
        <w:autoSpaceDE w:val="0"/>
        <w:autoSpaceDN/>
        <w:spacing w:before="0" w:beforeAutospacing="0"/>
        <w:ind w:left="0"/>
        <w:jc w:val="both"/>
        <w:rPr>
          <w:rFonts w:ascii="仿宋_GB2312" w:eastAsia="仿宋_GB2312" w:cs="仿宋_GB2312" w:hint="eastAsia"/>
          <w:b/>
          <w:bCs/>
          <w:kern w:val="0"/>
          <w:sz w:val="32"/>
          <w:szCs w:val="32"/>
        </w:rPr>
      </w:pPr>
      <w:r>
        <w:rPr>
          <w:rFonts w:ascii="仿宋_GB2312" w:eastAsia="仿宋_GB2312" w:cs="仿宋_GB2312" w:hint="eastAsia"/>
          <w:b/>
          <w:bCs/>
          <w:kern w:val="0"/>
          <w:sz w:val="32"/>
          <w:szCs w:val="32"/>
          <w:shd w:val="clear" w:color="auto" w:fill="FFFFFF"/>
        </w:rPr>
        <w:t>十四、国有资本经营预算财政拨款支出决算表</w:t>
      </w:r>
    </w:p>
    <w:p>
      <w:pPr>
        <w:bidi w:val="0"/>
        <w:jc w:val="left"/>
        <w:rPr>
          <w:rFonts w:hint="eastAsia"/>
          <w:lang w:val="en-US" w:eastAsia="zh-CN"/>
        </w:rPr>
      </w:pPr>
    </w:p>
    <w:sectPr>
      <w:footerReference w:type="default" r:id="rId9"/>
      <w:pgSz w:w="11915" w:h="16851"/>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仿宋_GB2312">
    <w:panose1 w:val="02010609030101010101"/>
    <w:charset w:val="86"/>
    <w:family w:val="auto"/>
    <w:pitch w:val="variable"/>
    <w:sig w:usb0="00000001" w:usb1="080E0000" w:usb2="00000000" w:usb3="00000000" w:csb0="00040000" w:csb1="00000000"/>
  </w:font>
  <w:font w:name="方正小标宋简体">
    <w:panose1 w:val="03000509000000000000"/>
    <w:charset w:val="86"/>
    <w:family w:val="auto"/>
    <w:pitch w:val="variable"/>
    <w:sig w:usb0="00000001" w:usb1="080E0000" w:usb2="00000000" w:usb3="00000000" w:csb0="00040000" w:csb1="00000000"/>
  </w:font>
  <w:font w:name="宋体">
    <w:panose1 w:val="02010600030101010101"/>
    <w:charset w:val="88"/>
    <w:family w:val="roman"/>
    <w:pitch w:val="variable"/>
    <w:sig w:usb0="00000203" w:usb1="288F0000" w:usb2="00000006" w:usb3="00000000" w:csb0="00040001" w:csb1="00000000"/>
  </w:font>
  <w:font w:name="Times New Roman">
    <w:panose1 w:val="02020603050405020304"/>
    <w:charset w:val="7A"/>
    <w:family w:val="auto"/>
    <w:pitch w:val="variable"/>
    <w:sig w:usb0="E0002EFF" w:usb1="C000785B" w:usb2="00000009" w:usb3="00000000" w:csb0="400001FF" w:csb1="FFFF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楷体_GB2312">
    <w:panose1 w:val="02010609030101010101"/>
    <w:charset w:val="86"/>
    <w:family w:val="auto"/>
    <w:pitch w:val="variable"/>
    <w:sig w:usb0="00000001" w:usb1="080E0000" w:usb2="00000000" w:usb3="00000000" w:csb0="00040000" w:csb1="00000000"/>
  </w:font>
  <w:font w:name="Calibri">
    <w:panose1 w:val="020F0502020204030204"/>
    <w:charset w:val="00"/>
    <w:family w:val="swiss"/>
    <w:pitch w:val="variable"/>
    <w:sig w:usb0="E4002EFF" w:usb1="C000247B" w:usb2="00000009" w:usb3="00000000" w:csb0="200001FF" w:csb1="00000000"/>
  </w:font>
  <w:font w:name="仿宋">
    <w:panose1 w:val="02010609060101010101"/>
    <w:charset w:val="86"/>
    <w:family w:val="auto"/>
    <w:pitch w:val="variable"/>
    <w:sig w:usb0="800002BF" w:usb1="38CF7CFA" w:usb2="00000016" w:usb3="00000000" w:csb0="00040001" w:csb1="00000000"/>
  </w:font>
  <w:font w:name="方正小标宋_GBK">
    <w:panose1 w:val="03000509000000000000"/>
    <w:charset w:val="86"/>
    <w:family w:val="auto"/>
    <w:pitch w:val="variable"/>
    <w:sig w:usb0="00000001" w:usb1="080E0000" w:usb2="00000000" w:usb3="00000000" w:csb0="00040000" w:csb1="00000000"/>
  </w:font>
  <w:font w:name="Wingdings 2">
    <w:altName w:val="Wingdings"/>
    <w:panose1 w:val="05020102010507070707"/>
    <w:charset w:val="02"/>
    <w:family w:val="auto"/>
    <w:pitch w:val="variable"/>
    <w:sig w:usb0="00000000" w:usb1="00000000" w:usb2="00000000" w:usb3="00000000" w:csb0="80000000" w:csb1="00000000"/>
  </w:font>
  <w:font w:name="楷体">
    <w:panose1 w:val="02010609060101010101"/>
    <w:charset w:val="86"/>
    <w:family w:val="modern"/>
    <w:pitch w:val="variable"/>
    <w:sig w:usb0="800002BF" w:usb1="38CF7CFA" w:usb2="00000016" w:usb3="00000000" w:csb0="00040001" w:csb1="00000000"/>
  </w:font>
  <w:font w:name="方正仿宋_GBK">
    <w:panose1 w:val="03000509000000000000"/>
    <w:charset w:val="86"/>
    <w:family w:val="script"/>
    <w:pitch w:val="variable"/>
    <w:sig w:usb0="00000001" w:usb1="080E0000" w:usb2="00000000" w:usb3="00000000" w:csb0="00040000" w:csb1="00000000"/>
  </w:font>
  <w:font w:name="宋体;SimSun">
    <w:altName w:val="方正书宋_GBK"/>
    <w:panose1 w:val="00000000000000000000"/>
    <w:charset w:val="00"/>
    <w:family w:val="auto"/>
    <w:pitch w:val="variable"/>
    <w:sig w:usb0="00000000" w:usb1="00000000" w:usb2="00000000" w:usb3="00000000" w:csb0="00040001" w:csb1="00000000"/>
  </w:font>
  <w:font w:name="微软雅黑">
    <w:panose1 w:val="020B0503020204020204"/>
    <w:charset w:val="86"/>
    <w:family w:val="auto"/>
    <w:pitch w:val="variable"/>
    <w:sig w:usb0="80000287" w:usb1="2ACF3C50" w:usb2="00000016" w:usb3="00000000" w:csb0="0004001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9"/>
      <w:keepNext w:val="0"/>
      <w:keepLines w:val="0"/>
      <w:widowControl/>
      <w:suppressLineNumbers w:val="0"/>
      <w:rPr>
        <w:rFonts w:ascii="宋体" w:eastAsia="宋体" w:cs="宋体" w:hint="eastAsia"/>
        <w:kern w:val="0"/>
        <w:sz w:val="18"/>
        <w:szCs w:val="18"/>
      </w:rPr>
    </w:pPr>
    <w:r>
      <w:rPr>
        <w:rFonts w:ascii="宋体" w:eastAsia="宋体" w:cs="宋体" w:hint="eastAsia"/>
        <w:kern w:val="0"/>
        <w:sz w:val="18"/>
        <w:szCs w:val="18"/>
      </w:rPr>
      <w:t xml:space="preserve"> </w:t>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9"/>
      <w:keepNext w:val="0"/>
      <w:keepLines w:val="0"/>
      <w:widowControl/>
      <w:suppressLineNumbers w:val="0"/>
      <w:rPr>
        <w:rFonts w:ascii="宋体" w:eastAsia="宋体" w:cs="宋体" w:hint="eastAsia"/>
        <w:kern w:val="0"/>
        <w:sz w:val="18"/>
        <w:szCs w:val="18"/>
      </w:rPr>
    </w:pPr>
    <w:r>
      <w:rPr>
        <w:rFonts w:ascii="宋体" w:eastAsia="宋体" w:cs="宋体" w:hint="eastAsia"/>
        <w:kern w:val="0"/>
        <w:sz w:val="18"/>
        <w:szCs w:val="18"/>
      </w:rPr>
      <w:t xml:space="preserve"> </w:t>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4F9DBE26"/>
    <w:multiLevelType w:val="multilevel"/>
    <w:tmpl w:val="4F9DBE26"/>
    <w:lvl w:ilvl="0">
      <w:start w:val="10"/>
      <w:numFmt w:val="chineseCounting"/>
      <w:lvlRestart w:val="0"/>
      <w:suff w:val="nothing"/>
      <w:lvlText w:val="%1、"/>
      <w:lvlJc w:val="left"/>
      <w:pPr>
        <w:ind w:left="480" w:hanging="0"/>
      </w:pPr>
      <w:rPr>
        <w:rFonts w:ascii="宋体" w:hAnsi="宋体" w:eastAsia="宋体" w:cs="宋体" w:hint="eastAsia"/>
      </w:rPr>
    </w:lvl>
    <w:lvl w:ilvl="1">
      <w:start w:val="1"/>
      <w:numFmt w:val="decimal"/>
      <w:lvlText w:val="%2."/>
      <w:lvlJc w:val="left"/>
      <w:pPr>
        <w:ind w:left="1440" w:hanging="360"/>
      </w:pPr>
      <w:rPr>
        <w:rFonts w:ascii="Times New Roman" w:hAnsi="Times New Roman" w:cs="Times New Roman" w:hint="default"/>
      </w:rPr>
    </w:lvl>
    <w:lvl w:ilvl="2">
      <w:start w:val="1"/>
      <w:numFmt w:val="decimal"/>
      <w:lvlText w:val="%3."/>
      <w:lvlJc w:val="lef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decimal"/>
      <w:lvlText w:val="%5."/>
      <w:lvlJc w:val="left"/>
      <w:pPr>
        <w:ind w:left="3600" w:hanging="360"/>
      </w:pPr>
      <w:rPr>
        <w:rFonts w:ascii="Times New Roman" w:hAnsi="Times New Roman" w:cs="Times New Roman" w:hint="default"/>
      </w:rPr>
    </w:lvl>
    <w:lvl w:ilvl="5">
      <w:start w:val="1"/>
      <w:numFmt w:val="decimal"/>
      <w:lvlText w:val="%6."/>
      <w:lvlJc w:val="lef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decimal"/>
      <w:lvlText w:val="%8."/>
      <w:lvlJc w:val="left"/>
      <w:pPr>
        <w:ind w:left="5760" w:hanging="360"/>
      </w:pPr>
      <w:rPr>
        <w:rFonts w:ascii="Times New Roman" w:hAnsi="Times New Roman" w:cs="Times New Roman" w:hint="default"/>
      </w:rPr>
    </w:lvl>
    <w:lvl w:ilvl="8">
      <w:start w:val="1"/>
      <w:numFmt w:val="decimal"/>
      <w:lvlText w:val="%9."/>
      <w:lvlJc w:val="left"/>
      <w:pPr>
        <w:ind w:left="6480" w:hanging="360"/>
      </w:pPr>
      <w:rPr>
        <w:rFonts w:ascii="Times New Roman" w:hAnsi="Times New Roman" w:cs="Times New Roman" w:hint="default"/>
      </w:rPr>
    </w:lvl>
  </w:abstractNum>
  <w:abstractNum w:abstractNumId="1">
    <w:nsid w:val="E30601CB"/>
    <w:multiLevelType w:val="singleLevel"/>
    <w:tmpl w:val="E30601CB"/>
    <w:lvl w:ilvl="0">
      <w:start w:val="1"/>
      <w:numFmt w:val="decimal"/>
      <w:lvlRestart w:val="0"/>
      <w:lvlText w:val="%1."/>
      <w:lvlJc w:val="left"/>
      <w:pPr>
        <w:ind w:left="0" w:hanging="0"/>
      </w:pPr>
    </w:lvl>
  </w:abstractNum>
  <w:abstractNum w:abstractNumId="2">
    <w:nsid w:val="E5A7E3BA"/>
    <w:multiLevelType w:val="singleLevel"/>
    <w:tmpl w:val="E5A7E3BA"/>
    <w:lvl w:ilvl="0">
      <w:start w:val="6"/>
      <w:numFmt w:val="decimal"/>
      <w:lvlRestart w:val="0"/>
      <w:lvlText w:val="%1."/>
      <w:lvlJc w:val="left"/>
      <w:pPr>
        <w:ind w:left="0" w:hanging="0"/>
      </w:pPr>
    </w:lvl>
  </w:abstractNum>
  <w:abstractNum w:abstractNumId="3">
    <w:nsid w:val="3FE4E815"/>
    <w:multiLevelType w:val="multilevel"/>
    <w:tmpl w:val="3FE4E815"/>
    <w:lvl w:ilvl="0">
      <w:start w:val="5"/>
      <w:numFmt w:val="decimal"/>
      <w:lvlRestart w:val="0"/>
      <w:lvlText w:val="%1."/>
      <w:lvlJc w:val="left"/>
      <w:pPr>
        <w:ind w:left="0" w:hanging="0"/>
      </w:pPr>
      <w:rPr>
        <w:rFonts w:ascii="Times New Roman" w:hAnsi="Times New Roman" w:cs="Times New Roman"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DC43A237"/>
    <w:multiLevelType w:val="singleLevel"/>
    <w:tmpl w:val="DC43A237"/>
    <w:lvl w:ilvl="0">
      <w:start w:val="2"/>
      <w:numFmt w:val="chineseCounting"/>
      <w:lvlRestart w:val="0"/>
      <w:suff w:val="nothing"/>
      <w:lvlText w:val="（%1）"/>
      <w:lvlJc w:val="left"/>
      <w:pPr>
        <w:ind w:left="0" w:hanging="0"/>
      </w:pPr>
      <w:rPr>
        <w:rFonts w:hint="eastAsia"/>
      </w:rPr>
    </w:lvl>
  </w:abstractNum>
  <w:abstractNum w:abstractNumId="5">
    <w:nsid w:val="8E5B8FA9"/>
    <w:multiLevelType w:val="singleLevel"/>
    <w:tmpl w:val="8E5B8FA9"/>
    <w:lvl w:ilvl="0">
      <w:start w:val="4"/>
      <w:numFmt w:val="chineseCounting"/>
      <w:lvlRestart w:val="0"/>
      <w:suff w:val="nothing"/>
      <w:lvlText w:val="%1、"/>
      <w:lvlJc w:val="left"/>
      <w:pPr>
        <w:ind w:left="0" w:hanging="0"/>
      </w:pPr>
      <w:rPr>
        <w:rFonts w:hint="eastAsia"/>
      </w:rPr>
    </w:lvl>
  </w:abstractNum>
  <w:abstractNum w:abstractNumId="6">
    <w:nsid w:val="F89FE4E1"/>
    <w:multiLevelType w:val="singleLevel"/>
    <w:tmpl w:val="F89FE4E1"/>
    <w:lvl w:ilvl="0">
      <w:start w:val="4"/>
      <w:numFmt w:val="decimal"/>
      <w:lvlRestart w:val="0"/>
      <w:suff w:val="nothing"/>
      <w:lvlText w:val="（%1）"/>
      <w:lvlJc w:val="left"/>
      <w:pPr>
        <w:ind w:left="0" w:hanging="0"/>
      </w:pPr>
    </w:lvl>
  </w:abstractNum>
  <w:abstractNum w:abstractNumId="7">
    <w:nsid w:val="DC56FE72"/>
    <w:multiLevelType w:val="singleLevel"/>
    <w:tmpl w:val="DC56FE72"/>
    <w:lvl w:ilvl="0">
      <w:start w:val="2"/>
      <w:numFmt w:val="decimal"/>
      <w:lvlRestart w:val="0"/>
      <w:suff w:val="nothing"/>
      <w:lvlText w:val="（%1）"/>
      <w:lvlJc w:val="left"/>
      <w:pPr>
        <w:ind w:left="0" w:hanging="0"/>
      </w:pPr>
    </w:lvl>
  </w:abstractNum>
  <w:abstractNum w:abstractNumId="8">
    <w:nsid w:val="610671B8"/>
    <w:multiLevelType w:val="multilevel"/>
    <w:tmpl w:val="610671B8"/>
    <w:lvl w:ilvl="0">
      <w:start w:val="1"/>
      <w:numFmt w:val="chineseCountingThousand"/>
      <w:lvlRestart w:val="0"/>
      <w:pStyle w:val="1"/>
      <w:suff w:val="nothing"/>
      <w:lvlText w:val="%1、"/>
      <w:lvlJc w:val="left"/>
      <w:pPr>
        <w:ind w:left="425" w:hanging="425"/>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1">
      <w:start w:val="1"/>
      <w:numFmt w:val="chineseCountingThousand"/>
      <w:pStyle w:val="2"/>
      <w:suff w:val="nothing"/>
      <w:lvlText w:val="（%2）"/>
      <w:lvlJc w:val="left"/>
      <w:pPr>
        <w:ind w:left="979" w:hanging="567"/>
      </w:pPr>
      <w:rPr>
        <w:rFonts w:hint="eastAsia"/>
      </w:rPr>
    </w:lvl>
    <w:lvl w:ilvl="2">
      <w:start w:val="1"/>
      <w:numFmt w:val="decimal"/>
      <w:suff w:val="nothing"/>
      <w:lvlText w:val="%3. "/>
      <w:lvlJc w:val="left"/>
      <w:pPr>
        <w:ind w:left="992" w:hanging="567"/>
      </w:pPr>
      <w:rPr>
        <w:rFonts w:hint="eastAsia"/>
      </w:rPr>
    </w:lvl>
    <w:lvl w:ilvl="3">
      <w:start w:val="1"/>
      <w:numFmt w:val="decimal"/>
      <w:pStyle w:val="4"/>
      <w:suff w:val="nothing"/>
      <w:lvlText w:val="（%4）"/>
      <w:lvlJc w:val="left"/>
      <w:pPr>
        <w:ind w:left="992" w:hanging="425"/>
      </w:pPr>
      <w:rPr>
        <w:rFonts w:hint="eastAsia"/>
      </w:rPr>
    </w:lvl>
    <w:lvl w:ilvl="4">
      <w:start w:val="1"/>
      <w:numFmt w:val="decimal"/>
      <w:suff w:val="nothing"/>
      <w:lvlText w:val="%5）"/>
      <w:lvlJc w:val="left"/>
      <w:pPr>
        <w:ind w:left="992" w:hanging="113"/>
      </w:pPr>
      <w:rPr>
        <w:rFonts w:hint="eastAsia"/>
      </w:rPr>
    </w:lvl>
    <w:lvl w:ilvl="5">
      <w:start w:val="1"/>
      <w:numFmt w:val="decimal"/>
      <w:suff w:val="nothing"/>
      <w:lvlText w:val="附件%6 "/>
      <w:lvlJc w:val="left"/>
      <w:pPr>
        <w:ind w:left="0" w:hanging="0"/>
      </w:pPr>
      <w:rPr>
        <w:rFonts w:hint="eastAsia"/>
      </w:rPr>
    </w:lvl>
    <w:lvl w:ilvl="6">
      <w:start w:val="1"/>
      <w:numFmt w:val="chineseCountingThousand"/>
      <w:suff w:val="nothing"/>
      <w:lvlText w:val="%7、"/>
      <w:lvlJc w:val="left"/>
      <w:pPr>
        <w:ind w:left="992" w:hanging="567"/>
      </w:pPr>
      <w:rPr>
        <w:rFonts w:hint="eastAsia"/>
      </w:rPr>
    </w:lvl>
    <w:lvl w:ilvl="7">
      <w:start w:val="1"/>
      <w:numFmt w:val="chineseCountingThousand"/>
      <w:suff w:val="nothing"/>
      <w:lvlText w:val="（%8）"/>
      <w:lvlJc w:val="left"/>
      <w:pPr>
        <w:ind w:left="992" w:hanging="567"/>
      </w:pPr>
      <w:rPr>
        <w:rFonts w:hint="eastAsia"/>
      </w:rPr>
    </w:lvl>
    <w:lvl w:ilvl="8">
      <w:start w:val="1"/>
      <w:numFmt w:val="decimal"/>
      <w:suff w:val="nothing"/>
      <w:lvlText w:val="%9. "/>
      <w:lvlJc w:val="left"/>
      <w:pPr>
        <w:ind w:left="992" w:hanging="567"/>
      </w:pPr>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ocumentProtection w:edit="readOnly" w:enforcement="0"/>
  <w:defaultTabStop w:val="420"/>
  <w:drawingGridHorizontalSpacing w:val="120"/>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7"/>
    <w:pPr>
      <w:spacing w:before="0" w:beforeAutospacing="0" w:after="0" w:afterAutospacing="0"/>
      <w:ind w:left="0" w:right="0"/>
      <w:jc w:val="left"/>
    </w:pPr>
    <w:rPr>
      <w:rFonts w:ascii="宋体" w:eastAsia="宋体" w:cs="宋体"/>
      <w:kern w:val="0"/>
      <w:sz w:val="24"/>
      <w:szCs w:val="24"/>
      <w:lang w:val="en-US" w:eastAsia="zh-CN"/>
    </w:rPr>
  </w:style>
  <w:style w:type="paragraph" w:styleId="1">
    <w:name w:val="heading 1"/>
    <w:basedOn w:val="15"/>
    <w:next w:val="15"/>
    <w:pPr>
      <w:numPr>
        <w:ilvl w:val="0"/>
        <w:numId w:val="9"/>
      </w:numPr>
      <w:ind w:left="0" w:firstLineChars="0" w:firstLine="200"/>
      <w:jc w:val="left"/>
      <w:outlineLvl w:val="0"/>
    </w:pPr>
    <w:rPr>
      <w:rFonts w:eastAsia="黑体"/>
      <w:bCs/>
      <w:kern w:val="44"/>
      <w:szCs w:val="44"/>
    </w:rPr>
  </w:style>
  <w:style w:type="paragraph" w:styleId="2">
    <w:name w:val="heading 2"/>
    <w:basedOn w:val="0"/>
    <w:next w:val="0"/>
    <w:pPr>
      <w:keepNext/>
      <w:keepLines/>
      <w:numPr>
        <w:ilvl w:val="1"/>
        <w:numId w:val="9"/>
      </w:numPr>
      <w:adjustRightInd/>
      <w:snapToGrid/>
      <w:ind w:left="0" w:firstLine="200"/>
      <w:jc w:val="left"/>
      <w:outlineLvl w:val="1"/>
    </w:pPr>
    <w:rPr>
      <w:rFonts w:ascii="Times New Roman" w:eastAsia="楷体" w:cs="Times New Roman" w:hAnsi="Times New Roman"/>
      <w:b/>
      <w:bCs/>
      <w:szCs w:val="32"/>
    </w:rPr>
  </w:style>
  <w:style w:type="paragraph" w:styleId="3">
    <w:name w:val="heading 3"/>
    <w:basedOn w:val="15"/>
    <w:next w:val="15"/>
    <w:pPr>
      <w:spacing w:before="100" w:beforeAutospacing="1" w:after="100" w:afterAutospacing="1"/>
      <w:ind w:left="0" w:right="0"/>
      <w:jc w:val="left"/>
      <w:outlineLvl w:val="2"/>
    </w:pPr>
    <w:rPr>
      <w:rFonts w:ascii="宋体" w:eastAsia="宋体" w:cs="宋体"/>
      <w:b/>
      <w:bCs/>
      <w:kern w:val="0"/>
      <w:sz w:val="27"/>
      <w:szCs w:val="27"/>
      <w:lang w:val="en-US" w:eastAsia="zh-CN"/>
    </w:rPr>
  </w:style>
  <w:style w:type="paragraph" w:styleId="4">
    <w:name w:val="heading 4"/>
    <w:basedOn w:val="15"/>
    <w:next w:val="0"/>
    <w:pPr>
      <w:keepNext/>
      <w:keepLines/>
      <w:numPr>
        <w:ilvl w:val="3"/>
        <w:numId w:val="9"/>
      </w:numPr>
      <w:ind w:left="0" w:firstLineChars="0" w:firstLine="200"/>
      <w:jc w:val="left"/>
      <w:outlineLvl w:val="3"/>
    </w:pPr>
    <w:rPr>
      <w:rFonts w:cs="Times New Roman"/>
      <w:b/>
      <w:bCs/>
    </w:rPr>
  </w:style>
  <w:style w:type="character" w:default="1" w:styleId="10">
    <w:name w:val="Default Paragraph Font"/>
  </w:style>
  <w:style w:type="paragraph" w:customStyle="1" w:styleId="15">
    <w:name w:val="汇诚智正文"/>
    <w:basedOn w:val="0"/>
    <w:pPr>
      <w:spacing w:line="600" w:lineRule="exact"/>
      <w:ind w:firstLineChars="200" w:firstLine="200"/>
    </w:pPr>
    <w:rPr>
      <w:rFonts w:ascii="Times New Roman" w:eastAsia="方正仿宋_GBK" w:cs="Times New Roman" w:hAnsi="Times New Roman"/>
      <w:kern w:val="0"/>
      <w:sz w:val="32"/>
      <w:szCs w:val="28"/>
      <w:lang w:val="zh-CN"/>
    </w:rPr>
  </w:style>
  <w:style w:type="paragraph" w:customStyle="1" w:styleId="16">
    <w:name w:val="正文1"/>
    <w:next w:val="17"/>
    <w:pPr>
      <w:widowControl w:val="0"/>
      <w:jc w:val="both"/>
    </w:pPr>
    <w:rPr>
      <w:rFonts w:ascii="Calibri" w:eastAsia="宋体;SimSun" w:cs="Calibri" w:hAnsi="Calibri"/>
      <w:kern w:val="2"/>
      <w:sz w:val="21"/>
      <w:szCs w:val="24"/>
      <w:lang w:val="en-US" w:eastAsia="zh-CN" w:bidi="ar-SA"/>
    </w:rPr>
  </w:style>
  <w:style w:type="paragraph" w:customStyle="1" w:styleId="17">
    <w:name w:val="正文2"/>
    <w:basedOn w:val="16"/>
    <w:next w:val="0"/>
    <w:rPr>
      <w:rFonts w:ascii="仿宋_GB2312" w:eastAsia="仿宋_GB2312"/>
      <w:sz w:val="32"/>
      <w:szCs w:val="20"/>
    </w:rPr>
  </w:style>
  <w:style w:type="paragraph" w:styleId="18">
    <w:name w:val="Body Text Indent"/>
    <w:basedOn w:val="0"/>
    <w:pPr>
      <w:spacing w:before="0" w:beforeAutospacing="0" w:after="120" w:afterAutospacing="0"/>
      <w:ind w:leftChars="200" w:left="200" w:right="0"/>
      <w:jc w:val="left"/>
    </w:pPr>
    <w:rPr>
      <w:rFonts w:ascii="宋体" w:eastAsia="宋体" w:cs="宋体"/>
      <w:kern w:val="0"/>
      <w:sz w:val="24"/>
      <w:szCs w:val="24"/>
      <w:lang w:val="en-US" w:eastAsia="zh-CN"/>
    </w:rPr>
  </w:style>
  <w:style w:type="paragraph" w:styleId="19">
    <w:name w:val="footer"/>
    <w:basedOn w:val="0"/>
    <w:pPr>
      <w:snapToGrid w:val="0"/>
      <w:spacing w:before="0" w:beforeAutospacing="0" w:after="0" w:afterAutospacing="0"/>
      <w:ind w:left="0" w:right="0"/>
      <w:jc w:val="left"/>
    </w:pPr>
    <w:rPr>
      <w:rFonts w:ascii="宋体" w:eastAsia="宋体" w:cs="宋体"/>
      <w:kern w:val="0"/>
      <w:sz w:val="18"/>
      <w:szCs w:val="18"/>
      <w:lang w:val="en-US" w:eastAsia="zh-CN"/>
    </w:rPr>
  </w:style>
  <w:style w:type="paragraph" w:styleId="20">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spacing w:line="240" w:lineRule="auto"/>
      <w:jc w:val="both"/>
      <w:outlineLvl w:val="9"/>
    </w:pPr>
    <w:rPr>
      <w:sz w:val="18"/>
    </w:rPr>
  </w:style>
  <w:style w:type="paragraph" w:styleId="21">
    <w:name w:val="toc 1"/>
    <w:basedOn w:val="0"/>
    <w:next w:val="0"/>
    <w:pPr>
      <w:spacing w:before="93" w:beforeAutospacing="0" w:after="0" w:afterAutospacing="0"/>
      <w:ind w:left="0" w:right="0"/>
      <w:jc w:val="center"/>
    </w:pPr>
    <w:rPr>
      <w:rFonts w:ascii="仿宋" w:eastAsia="仿宋" w:cs="宋体"/>
      <w:kern w:val="0"/>
      <w:sz w:val="28"/>
      <w:szCs w:val="28"/>
      <w:lang w:val="en-US" w:eastAsia="zh-CN"/>
    </w:rPr>
  </w:style>
  <w:style w:type="paragraph" w:styleId="22">
    <w:name w:val="toc 2"/>
    <w:basedOn w:val="0"/>
    <w:next w:val="0"/>
    <w:pPr>
      <w:spacing w:before="0" w:beforeAutospacing="0" w:after="0" w:afterAutospacing="0"/>
      <w:ind w:leftChars="200" w:left="200" w:right="0"/>
      <w:jc w:val="left"/>
    </w:pPr>
    <w:rPr>
      <w:rFonts w:ascii="宋体" w:eastAsia="宋体" w:cs="宋体"/>
      <w:kern w:val="0"/>
      <w:sz w:val="24"/>
      <w:szCs w:val="24"/>
      <w:lang w:val="en-US" w:eastAsia="zh-CN"/>
    </w:rPr>
  </w:style>
  <w:style w:type="paragraph" w:styleId="23">
    <w:name w:val="Body Text First Indent 2"/>
    <w:basedOn w:val="18"/>
    <w:pPr>
      <w:spacing w:before="0" w:beforeAutospacing="0" w:after="120" w:afterAutospacing="0"/>
      <w:ind w:leftChars="200" w:left="200" w:right="0" w:firstLineChars="200" w:firstLine="200"/>
      <w:jc w:val="left"/>
    </w:pPr>
    <w:rPr>
      <w:rFonts w:ascii="宋体" w:eastAsia="宋体" w:cs="宋体"/>
      <w:kern w:val="0"/>
      <w:sz w:val="24"/>
      <w:szCs w:val="24"/>
      <w:lang w:val="en-US" w:eastAsia="zh-CN"/>
    </w:rPr>
  </w:style>
  <w:style w:type="paragraph" w:customStyle="1" w:styleId="24">
    <w:name w:val="普通(网站) Char"/>
    <w:basedOn w:val="0"/>
    <w:pPr>
      <w:spacing w:before="100" w:beforeAutospacing="1" w:after="100" w:afterAutospacing="1"/>
      <w:ind w:left="0" w:right="0"/>
      <w:jc w:val="left"/>
    </w:pPr>
    <w:rPr>
      <w:rFonts w:ascii="宋体" w:eastAsia="宋体" w:cs="宋体"/>
      <w:kern w:val="0"/>
      <w:sz w:val="24"/>
      <w:szCs w:val="24"/>
      <w:lang w:val="en-US" w:eastAsia="zh-CN"/>
    </w:rPr>
  </w:style>
  <w:style w:type="character" w:customStyle="1" w:styleId="25">
    <w:name w:val="15"/>
    <w:basedOn w:val="10"/>
    <w:rPr>
      <w:rFonts w:ascii="Times New Roman" w:cs="Times New Roman" w:hAnsi="Times New Roman"/>
      <w:b/>
      <w:bCs/>
    </w:rPr>
  </w:style>
  <w:style w:type="paragraph" w:customStyle="1" w:styleId="26">
    <w:name w:val="文档正文"/>
    <w:basedOn w:val="0"/>
    <w:pPr>
      <w:adjustRightInd w:val="0"/>
      <w:spacing w:before="0" w:beforeAutospacing="0" w:after="0" w:afterAutospacing="0" w:line="480" w:lineRule="atLeast"/>
      <w:ind w:left="0" w:right="0"/>
      <w:jc w:val="left"/>
      <w:textAlignment w:val="baseline"/>
    </w:pPr>
    <w:rPr>
      <w:rFonts w:ascii="Arial" w:eastAsia="宋体" w:cs="宋体" w:hAnsi="Arial"/>
      <w:kern w:val="0"/>
      <w:sz w:val="24"/>
      <w:szCs w:val="24"/>
      <w:lang w:val="en-US" w:eastAsia="zh-CN"/>
    </w:rPr>
  </w:style>
  <w:style w:type="character" w:customStyle="1" w:styleId="27">
    <w:name w:val="20"/>
    <w:basedOn w:val="10"/>
    <w:rPr>
      <w:rFonts w:ascii="Times New Roman" w:cs="Times New Roman" w:hAnsi="Times New Roman"/>
      <w:b/>
    </w:rPr>
  </w:style>
  <w:style w:type="paragraph" w:customStyle="1" w:styleId="28">
    <w:name w:val="列出段落1"/>
    <w:basedOn w:val="0"/>
    <w:pPr>
      <w:spacing w:before="0" w:beforeAutospacing="0" w:after="0" w:afterAutospacing="0"/>
      <w:ind w:left="0" w:right="0" w:firstLineChars="200" w:firstLine="200"/>
      <w:jc w:val="left"/>
    </w:pPr>
    <w:rPr>
      <w:rFonts w:ascii="宋体" w:eastAsia="宋体" w:cs="宋体"/>
      <w:kern w:val="0"/>
      <w:sz w:val="24"/>
      <w:szCs w:val="24"/>
      <w:lang w:val="en-US" w:eastAsia="zh-CN"/>
    </w:rPr>
  </w:style>
  <w:style w:type="character" w:customStyle="1" w:styleId="29">
    <w:name w:val="21"/>
    <w:basedOn w:val="10"/>
    <w:rPr>
      <w:rFonts w:ascii="宋体" w:eastAsia="宋体" w:cs="宋体"/>
      <w:b/>
      <w:bCs/>
      <w:kern w:val="44"/>
      <w:sz w:val="48"/>
      <w:szCs w:val="48"/>
    </w:rPr>
  </w:style>
  <w:style w:type="paragraph" w:customStyle="1" w:styleId="30">
    <w:name w:val="Default"/>
    <w:basedOn w:val="0"/>
    <w:pPr>
      <w:keepNext w:val="0"/>
      <w:keepLines w:val="0"/>
      <w:widowControl w:val="0"/>
      <w:suppressLineNumbers w:val="0"/>
      <w:autoSpaceDE w:val="0"/>
      <w:autoSpaceDN w:val="0"/>
      <w:adjustRightInd w:val="0"/>
      <w:spacing w:before="0" w:beforeAutospacing="0" w:after="0" w:afterAutospacing="0"/>
      <w:ind w:left="0" w:right="0"/>
      <w:jc w:val="left"/>
    </w:pPr>
    <w:rPr>
      <w:rFonts w:ascii="仿宋" w:eastAsia="仿宋" w:cs="仿宋"/>
      <w:color w:val="000000"/>
      <w:kern w:val="0"/>
      <w:sz w:val="24"/>
      <w:szCs w:val="24"/>
      <w:lang w:val="en-US" w:eastAsia="zh-CN"/>
    </w:rPr>
  </w:style>
  <w:style w:type="paragraph" w:customStyle="1" w:styleId="31">
    <w:name w:val="List Paragraph"/>
    <w:basedOn w:val="0"/>
    <w:pPr>
      <w:spacing w:before="0" w:beforeAutospacing="0" w:after="0" w:afterAutospacing="0"/>
      <w:ind w:left="0" w:right="0" w:firstLineChars="200" w:firstLine="200"/>
      <w:jc w:val="left"/>
    </w:pPr>
    <w:rPr>
      <w:rFonts w:ascii="宋体" w:eastAsia="宋体" w:cs="宋体"/>
      <w:kern w:val="0"/>
      <w:sz w:val="24"/>
      <w:szCs w:val="24"/>
      <w:lang w:val="en-US" w:eastAsia="zh-CN"/>
    </w:rPr>
  </w:style>
  <w:style w:type="paragraph" w:customStyle="1" w:styleId="32">
    <w:name w:val="标题 5（有编号）（绿盟科技）"/>
    <w:basedOn w:val="0"/>
    <w:next w:val="0"/>
    <w:pPr>
      <w:keepNext/>
      <w:keepLines/>
      <w:widowControl w:val="0"/>
      <w:suppressLineNumbers w:val="0"/>
      <w:spacing w:before="280" w:beforeAutospacing="0" w:after="156" w:afterAutospacing="0" w:line="377" w:lineRule="auto"/>
      <w:jc w:val="left"/>
      <w:outlineLvl w:val="4"/>
    </w:pPr>
    <w:rPr>
      <w:rFonts w:ascii="Arial" w:eastAsia="黑体" w:cs="Times New Roman" w:hAnsi="Arial"/>
      <w:b/>
      <w:kern w:val="2"/>
      <w:sz w:val="24"/>
      <w:szCs w:val="24"/>
      <w:lang w:val="en-US" w:eastAsia="zh-CN"/>
    </w:rPr>
  </w:style>
  <w:style w:type="character" w:customStyle="1" w:styleId="33">
    <w:name w:val="font61"/>
    <w:basedOn w:val="10"/>
    <w:rPr>
      <w:rFonts w:ascii="宋体" w:eastAsia="宋体" w:cs="宋体"/>
      <w:color w:val="000000"/>
      <w:sz w:val="22"/>
      <w:szCs w:val="22"/>
      <w:u w:val="none"/>
    </w:rPr>
  </w:style>
  <w:style w:type="character" w:customStyle="1" w:styleId="34">
    <w:name w:val="font71"/>
    <w:basedOn w:val="10"/>
    <w:rPr>
      <w:rFonts w:ascii="Arial" w:cs="Arial" w:hAnsi="Arial"/>
      <w:color w:val="000000"/>
      <w:sz w:val="12"/>
      <w:szCs w:val="12"/>
      <w:u w:val="none"/>
    </w:rPr>
  </w:style>
  <w:style w:type="character" w:customStyle="1" w:styleId="35">
    <w:name w:val="font81"/>
    <w:basedOn w:val="10"/>
    <w:rPr>
      <w:rFonts w:ascii="宋体" w:eastAsia="宋体" w:cs="宋体"/>
      <w:color w:val="000000"/>
      <w:sz w:val="22"/>
      <w:szCs w:val="22"/>
      <w:u w:val="none"/>
    </w:rPr>
  </w:style>
  <w:style w:type="character" w:customStyle="1" w:styleId="36">
    <w:name w:val="font91"/>
    <w:basedOn w:val="10"/>
    <w:rPr>
      <w:rFonts w:ascii="宋体" w:eastAsia="宋体" w:cs="宋体"/>
      <w:color w:val="000000"/>
      <w:sz w:val="18"/>
      <w:szCs w:val="18"/>
      <w:u w:val="none"/>
    </w:rPr>
  </w:style>
  <w:style w:type="paragraph" w:customStyle="1" w:styleId="37">
    <w:name w:val="汇诚智表格文字标题"/>
    <w:basedOn w:val="0"/>
    <w:pPr>
      <w:spacing w:line="600" w:lineRule="exact"/>
      <w:ind w:firstLineChars="200" w:firstLine="200"/>
      <w:outlineLvl w:val="9"/>
    </w:pPr>
    <w:rPr>
      <w:rFonts w:ascii="Times New Roman" w:eastAsia="方正仿宋_GBK" w:cs="Times New Roman" w:hAnsi="Times New Roman"/>
      <w:color w:val="auto"/>
      <w:kern w:val="0"/>
      <w:sz w:val="32"/>
      <w:szCs w:val="28"/>
    </w:rPr>
  </w:style>
  <w:style w:type="paragraph" w:customStyle="1" w:styleId="38">
    <w:name w:val="汇诚智表文字"/>
    <w:basedOn w:val="15"/>
    <w:pPr>
      <w:widowControl/>
      <w:pBdr>
        <w:between w:val="single" w:sz="4" w:space="1" w:color="auto"/>
      </w:pBdr>
      <w:spacing w:line="320" w:lineRule="exact"/>
      <w:ind w:firstLineChars="0" w:firstLine="0"/>
      <w:jc w:val="center"/>
    </w:pPr>
    <w:rPr>
      <w:rFonts w:cs="宋体"/>
      <w:bCs/>
      <w:color w:val="000000"/>
      <w:sz w:val="24"/>
      <w:szCs w:val="22"/>
    </w:rPr>
  </w:style>
  <w:style w:type="character" w:customStyle="1" w:styleId="39">
    <w:name w:val="font41"/>
    <w:basedOn w:val="10"/>
    <w:rPr>
      <w:rFonts w:ascii="微软雅黑" w:eastAsia="微软雅黑" w:cs="微软雅黑"/>
      <w:color w:val="000000"/>
      <w:sz w:val="18"/>
      <w:szCs w:val="18"/>
      <w:u w:val="none"/>
    </w:rPr>
  </w:style>
  <w:style w:type="character" w:customStyle="1" w:styleId="40">
    <w:name w:val="font51"/>
    <w:basedOn w:val="10"/>
    <w:rPr>
      <w:rFonts w:ascii="宋体" w:eastAsia="宋体" w:cs="宋体"/>
      <w:color w:val="204020"/>
      <w:sz w:val="26"/>
      <w:szCs w:val="26"/>
      <w:u w:val="none"/>
    </w:rPr>
  </w:style>
  <w:style w:type="character" w:customStyle="1" w:styleId="41">
    <w:name w:val="font101"/>
    <w:basedOn w:val="10"/>
    <w:rPr>
      <w:rFonts w:ascii="黑体" w:eastAsia="黑体" w:cs="黑体"/>
      <w:color w:val="000000"/>
      <w:sz w:val="26"/>
      <w:szCs w:val="26"/>
      <w:u w:val="non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chart" Target="charts/chart1.xml"/><Relationship Id="rId4" Type="http://schemas.openxmlformats.org/officeDocument/2006/relationships/chart" Target="charts/chart2.xml"/><Relationship Id="rId5" Type="http://schemas.openxmlformats.org/officeDocument/2006/relationships/chart" Target="charts/chart3.xml"/><Relationship Id="rId6" Type="http://schemas.openxmlformats.org/officeDocument/2006/relationships/chart" Target="charts/chart4.xml"/><Relationship Id="rId7" Type="http://schemas.openxmlformats.org/officeDocument/2006/relationships/chart" Target="charts/chart5.xml"/><Relationship Id="rId8" Type="http://schemas.openxmlformats.org/officeDocument/2006/relationships/chart" Target="charts/chart6.xml"/><Relationship Id="rId9" Type="http://schemas.openxmlformats.org/officeDocument/2006/relationships/footer" Target="footer2.xml"/><Relationship Id="rId10" Type="http://schemas.openxmlformats.org/officeDocument/2006/relationships/styles" Target="styles.xml"/><Relationship Id="rId11" Type="http://schemas.openxmlformats.org/officeDocument/2006/relationships/numbering" Target="numbering.xml"/><Relationship Id="rId1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char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char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char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收、支总计</a:t>
            </a:r>
          </a:p>
        </c:rich>
      </c:tx>
      <c:layout/>
      <c:overlay val="0"/>
      <c:spPr>
        <a:noFill/>
        <a:ln>
          <a:noFill/>
        </a:ln>
      </c:spPr>
    </c:title>
    <c:autoTitleDeleted val="0"/>
    <c:plotArea>
      <c:layout/>
      <c:barChart>
        <c:barDir val="col"/>
        <c:grouping val="clustered"/>
        <c:varyColors val="0"/>
        <c:ser>
          <c:idx val="0"/>
          <c:order val="0"/>
          <c:tx>
            <c:v>收、支总计</c:v>
          </c:tx>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0"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2"/>
              <c:pt idx="0">
                <c:v>2024年</c:v>
              </c:pt>
              <c:pt idx="1">
                <c:v>2025年</c:v>
              </c:pt>
            </c:strLit>
          </c:cat>
          <c:val>
            <c:numRef>
              <c:f/>
              <c:numCache>
                <c:formatCode>#,##0.00</c:formatCode>
                <c:ptCount val="2"/>
                <c:pt idx="0">
                  <c:v>5834.49</c:v>
                </c:pt>
                <c:pt idx="1">
                  <c:v>5639.88</c:v>
                </c:pt>
              </c:numCache>
            </c:numRef>
          </c:val>
        </c:ser>
        <c:overlap val="-28"/>
        <c:gapWidth val="246"/>
        <c:axId val="0"/>
        <c:axId val="1"/>
      </c:barChart>
      <c:catAx>
        <c:axId val="0"/>
        <c:scaling>
          <c:orientation val="minMax"/>
        </c:scaling>
        <c:delete val="0"/>
        <c:axPos val="b"/>
        <c:numFmt formatCode="General" sourceLinked="1"/>
        <c:majorTickMark val="out"/>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0.00" sourceLinked="1"/>
        <c:majorTickMark val="out"/>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收入决算结构图</a:t>
            </a:r>
          </a:p>
        </c:rich>
      </c:tx>
      <c:layout/>
      <c:overlay val="0"/>
      <c:spPr>
        <a:noFill/>
        <a:ln>
          <a:noFill/>
        </a:ln>
      </c:spPr>
    </c:title>
    <c:autoTitleDeleted val="1"/>
    <c:plotArea>
      <c:layout/>
      <c:pieChart>
        <c:varyColors val="1"/>
        <c:ser>
          <c:idx val="0"/>
          <c:order val="0"/>
          <c:spPr>
            <a:ln>
              <a:noFill/>
            </a:ln>
          </c:spPr>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0" sourceLinked="0"/>
            <c:showLegendKey val="0"/>
            <c:showVal val="1"/>
            <c:showCatName val="0"/>
            <c:showSerName val="0"/>
            <c:showPercent val="0"/>
            <c:showBubbleSize val="0"/>
            <c:showLeaderLines val="1"/>
          </c:dLbls>
          <c:cat>
            <c:strLit>
              <c:ptCount val="3"/>
              <c:pt idx="0">
                <c:v>一般公共预算财政拨款收入</c:v>
              </c:pt>
              <c:pt idx="1">
                <c:v>政府性基金预算财政拨款收入</c:v>
              </c:pt>
              <c:pt idx="2">
                <c:v>其他收入</c:v>
              </c:pt>
            </c:strLit>
          </c:cat>
          <c:val>
            <c:numRef>
              <c:f/>
              <c:numCache>
                <c:formatCode>General</c:formatCode>
                <c:ptCount val="3"/>
                <c:pt idx="0">
                  <c:v>5115.15</c:v>
                </c:pt>
                <c:pt idx="1">
                  <c:v>524.73</c:v>
                </c:pt>
                <c:pt idx="2">
                  <c:v>0.0</c:v>
                </c:pt>
              </c:numCache>
            </c:numRef>
          </c:val>
        </c:ser>
        <c:firstSliceAng val="0"/>
      </c:pieChart>
      <c:spPr>
        <a:noFill/>
        <a:ln>
          <a:noFill/>
        </a:ln>
      </c:spPr>
    </c:plotArea>
    <c:legend>
      <c:legendPos val="t"/>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支出决算结构图</a:t>
            </a:r>
          </a:p>
        </c:rich>
      </c:tx>
      <c:layout/>
      <c:overlay val="0"/>
      <c:spPr>
        <a:noFill/>
        <a:ln>
          <a:noFill/>
        </a:ln>
      </c:spPr>
    </c:title>
    <c:autoTitleDeleted val="1"/>
    <c:plotArea>
      <c:layout/>
      <c:barChart>
        <c:barDir val="col"/>
        <c:grouping val="clustered"/>
        <c:varyColors val="0"/>
        <c:ser>
          <c:idx val="0"/>
          <c:order val="0"/>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0"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2"/>
              <c:pt idx="0">
                <c:v>基本支出</c:v>
              </c:pt>
              <c:pt idx="1">
                <c:v>项目支出</c:v>
              </c:pt>
            </c:strLit>
          </c:cat>
          <c:val>
            <c:numRef>
              <c:f/>
              <c:numCache>
                <c:formatCode>#,##0.00</c:formatCode>
                <c:ptCount val="2"/>
                <c:pt idx="0">
                  <c:v>1002.28</c:v>
                </c:pt>
                <c:pt idx="1">
                  <c:v>4637.6</c:v>
                </c:pt>
              </c:numCache>
            </c:numRef>
          </c:val>
        </c:ser>
        <c:overlap val="-28"/>
        <c:gapWidth val="246"/>
        <c:axId val="0"/>
        <c:axId val="1"/>
      </c:barChart>
      <c:catAx>
        <c:axId val="0"/>
        <c:scaling>
          <c:orientation val="minMax"/>
        </c:scaling>
        <c:delete val="0"/>
        <c:axPos val="b"/>
        <c:numFmt formatCode="General" sourceLinked="1"/>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0.00"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b="1" i="0" u="none" strike="noStrike" baseline="0">
                <a:solidFill>
                  <a:srgbClr val="000000"/>
                </a:solidFill>
                <a:latin typeface="Times New Roman"/>
                <a:ea typeface="宋体"/>
                <a:cs typeface="Arial"/>
              </a:defRPr>
            </a:pPr>
            <a:r>
              <a:rPr lang="zh-CN" sz="1400" b="1" i="0" u="none" strike="noStrike" baseline="0">
                <a:solidFill>
                  <a:srgbClr val="404040"/>
                </a:solidFill>
                <a:latin typeface="Times New Roman"/>
                <a:ea typeface="宋体"/>
                <a:cs typeface="Arial"/>
              </a:rPr>
              <a:t>收、支决算总计变动情况</a:t>
            </a:r>
            <a:r>
              <a:rPr lang="zh-CN" sz="1400" b="1" i="0" u="none" strike="noStrike" baseline="0">
                <a:solidFill>
                  <a:srgbClr val="404040"/>
                </a:solidFill>
                <a:latin typeface="Times New Roman"/>
                <a:ea typeface="宋体"/>
                <a:cs typeface="Arial"/>
              </a:rPr>
              <a:t>图</a:t>
            </a:r>
          </a:p>
        </c:rich>
      </c:tx>
      <c:layout>
        <c:manualLayout>
          <c:xMode val="edge"/>
          <c:yMode val="edge"/>
          <c:x val="0.28276315"/>
          <c:y val="0.03125"/>
        </c:manualLayout>
      </c:layout>
      <c:overlay val="0"/>
      <c:spPr>
        <a:noFill/>
        <a:ln>
          <a:noFill/>
        </a:ln>
      </c:spPr>
    </c:title>
    <c:autoTitleDeleted val="1"/>
    <c:plotArea>
      <c:layout/>
      <c:barChart>
        <c:barDir val="col"/>
        <c:grouping val="clustered"/>
        <c:varyColors val="0"/>
        <c:ser>
          <c:idx val="0"/>
          <c:order val="0"/>
          <c:tx>
            <c:v>收、支总计</c:v>
          </c:tx>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0"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2"/>
              <c:pt idx="0">
                <c:v>2024年</c:v>
              </c:pt>
              <c:pt idx="1">
                <c:v>2025年</c:v>
              </c:pt>
            </c:strLit>
          </c:cat>
          <c:val>
            <c:numRef>
              <c:f/>
              <c:numCache>
                <c:formatCode>#,##0.00</c:formatCode>
                <c:ptCount val="2"/>
                <c:pt idx="0">
                  <c:v>5834.49</c:v>
                </c:pt>
                <c:pt idx="1">
                  <c:v>5639.88</c:v>
                </c:pt>
              </c:numCache>
            </c:numRef>
          </c:val>
        </c:ser>
        <c:overlap val="-28"/>
        <c:gapWidth val="246"/>
        <c:axId val="0"/>
        <c:axId val="1"/>
      </c:barChart>
      <c:catAx>
        <c:axId val="0"/>
        <c:scaling>
          <c:orientation val="minMax"/>
        </c:scaling>
        <c:delete val="0"/>
        <c:axPos val="b"/>
        <c:numFmt formatCode="General" sourceLinked="1"/>
        <c:majorTickMark val="out"/>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min val="1000.0"/>
        </c:scaling>
        <c:delete val="0"/>
        <c:axPos val="l"/>
        <c:majorGridlines>
          <c:spPr>
            <a:ln w="6350">
              <a:solidFill>
                <a:srgbClr val="E6E6E6"/>
              </a:solidFill>
              <a:prstDash val="solid"/>
            </a:ln>
          </c:spPr>
        </c:majorGridlines>
        <c:numFmt formatCode="#,##0.00" sourceLinked="1"/>
        <c:majorTickMark val="out"/>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一般公共预算财政拨款支出决算变动情况图</a:t>
            </a:r>
          </a:p>
        </c:rich>
      </c:tx>
      <c:layout>
        <c:manualLayout>
          <c:xMode val="edge"/>
          <c:yMode val="edge"/>
          <c:x val="0.13868421"/>
          <c:y val="0.03125"/>
        </c:manualLayout>
      </c:layout>
      <c:overlay val="0"/>
      <c:spPr>
        <a:noFill/>
        <a:ln>
          <a:noFill/>
        </a:ln>
      </c:spPr>
    </c:title>
    <c:autoTitleDeleted val="1"/>
    <c:plotArea>
      <c:layout/>
      <c:barChart>
        <c:barDir val="col"/>
        <c:grouping val="clustered"/>
        <c:varyColors val="0"/>
        <c:ser>
          <c:idx val="0"/>
          <c:order val="0"/>
          <c:tx>
            <c:v>系列1</c:v>
          </c:tx>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0" sourceLinked="0"/>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Lit>
              <c:ptCount val="2"/>
              <c:pt idx="0">
                <c:v>2024年</c:v>
              </c:pt>
              <c:pt idx="1">
                <c:v>2025年</c:v>
              </c:pt>
            </c:strLit>
          </c:cat>
          <c:val>
            <c:numRef>
              <c:f/>
              <c:numCache>
                <c:formatCode>#,##0.00</c:formatCode>
                <c:ptCount val="2"/>
                <c:pt idx="0">
                  <c:v>5834.14</c:v>
                </c:pt>
                <c:pt idx="1">
                  <c:v>5115.15</c:v>
                </c:pt>
              </c:numCache>
            </c:numRef>
          </c:val>
        </c:ser>
        <c:overlap val="-28"/>
        <c:gapWidth val="246"/>
        <c:axId val="0"/>
        <c:axId val="1"/>
      </c:barChart>
      <c:catAx>
        <c:axId val="0"/>
        <c:scaling>
          <c:orientation val="minMax"/>
        </c:scaling>
        <c:delete val="0"/>
        <c:axPos val="b"/>
        <c:numFmt formatCode="General" sourceLinked="1"/>
        <c:majorTickMark val="out"/>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min val="1000.0"/>
        </c:scaling>
        <c:delete val="0"/>
        <c:axPos val="l"/>
        <c:majorGridlines>
          <c:spPr>
            <a:ln w="6350">
              <a:solidFill>
                <a:srgbClr val="E6E6E6"/>
              </a:solidFill>
              <a:prstDash val="solid"/>
            </a:ln>
          </c:spPr>
        </c:majorGridlines>
        <c:numFmt formatCode="#,##0.00" sourceLinked="1"/>
        <c:majorTickMark val="out"/>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b="1" i="0" u="none" strike="noStrike" baseline="0">
                <a:solidFill>
                  <a:srgbClr val="000000"/>
                </a:solidFill>
                <a:latin typeface="Times New Roman"/>
                <a:ea typeface="宋体"/>
                <a:cs typeface="Arial"/>
              </a:defRPr>
            </a:pPr>
            <a:r>
              <a:rPr lang="zh-CN" sz="1400" b="1" i="0" u="none" strike="noStrike" baseline="0">
                <a:solidFill>
                  <a:srgbClr val="404040"/>
                </a:solidFill>
                <a:latin typeface="Times New Roman"/>
                <a:ea typeface="宋体"/>
                <a:cs typeface="Arial"/>
              </a:rPr>
              <a:t>一般公共预算财政拨款支出决算结构</a:t>
            </a:r>
            <a:r>
              <a:rPr lang="zh-CN" sz="1400" b="1" i="0" u="none" strike="noStrike" baseline="0">
                <a:solidFill>
                  <a:srgbClr val="404040"/>
                </a:solidFill>
                <a:latin typeface="Times New Roman"/>
                <a:ea typeface="宋体"/>
                <a:cs typeface="Arial"/>
              </a:rPr>
              <a:t>
</a:t>
            </a:r>
          </a:p>
        </c:rich>
      </c:tx>
      <c:layout/>
      <c:overlay val="0"/>
      <c:spPr>
        <a:noFill/>
        <a:ln>
          <a:noFill/>
        </a:ln>
      </c:spPr>
    </c:title>
    <c:autoTitleDeleted val="1"/>
    <c:view3D>
      <c:rotX val="30"/>
      <c:hPercent val="100"/>
      <c:rotY val="0"/>
      <c:depthPercent val="100"/>
      <c:rAngAx val="0"/>
      <c:perspective val="0"/>
    </c:view3D>
    <c:floor>
      <c:thickness val="0"/>
      <c:spPr>
        <a:ln>
          <a:noFill/>
        </a:ln>
      </c:spPr>
    </c:floor>
    <c:sideWall>
      <c:thickness val="0"/>
      <c:spPr>
        <a:ln>
          <a:noFill/>
        </a:ln>
      </c:spPr>
    </c:sideWall>
    <c:backWall>
      <c:thickness val="0"/>
      <c:spPr>
        <a:noFill/>
        <a:ln>
          <a:noFill/>
        </a:ln>
      </c:spPr>
    </c:backWall>
    <c:plotArea>
      <c:layout>
        <c:manualLayout>
          <c:layoutTarget val="inner"/>
          <c:xMode val="edge"/>
          <c:yMode val="edge"/>
          <c:x val="0.08552632"/>
          <c:y val="0.43055555"/>
          <c:w val="0.829079"/>
          <c:h val="0.5104167"/>
        </c:manualLayout>
      </c:layout>
      <c:pie3DChart>
        <c:varyColors val="1"/>
        <c:ser>
          <c:idx val="0"/>
          <c:order val="0"/>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0" sourceLinked="0"/>
            <c:dLbl>
              <c:idx val="1"/>
              <c:layout>
                <c:manualLayout>
                  <c:x val="-0.15394737"/>
                  <c:y val="0.0625"/>
                </c:manualLayout>
              </c:layout>
              <c:numFmt formatCode="#,##0.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showLegendKey val="0"/>
              <c:showVal val="1"/>
              <c:showCatName val="0"/>
              <c:showSerName val="0"/>
              <c:showPercent val="0"/>
              <c:showBubbleSize val="0"/>
            </c:dLbl>
            <c:dLbl>
              <c:idx val="2"/>
              <c:layout>
                <c:manualLayout>
                  <c:x val="0.041447368"/>
                  <c:y val="-0.013888889"/>
                </c:manualLayout>
              </c:layout>
              <c:numFmt formatCode="#,##0.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showLegendKey val="0"/>
              <c:showVal val="1"/>
              <c:showCatName val="0"/>
              <c:showSerName val="0"/>
              <c:showPercent val="0"/>
              <c:showBubbleSize val="0"/>
            </c:dLbl>
            <c:dLbl>
              <c:idx val="3"/>
              <c:layout>
                <c:manualLayout>
                  <c:x val="-0.080921054"/>
                  <c:y val="0.017361112"/>
                </c:manualLayout>
              </c:layout>
              <c:numFmt formatCode="#,##0.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showLegendKey val="0"/>
              <c:showVal val="1"/>
              <c:showCatName val="0"/>
              <c:showSerName val="0"/>
              <c:showPercent val="0"/>
              <c:showBubbleSize val="0"/>
            </c:dLbl>
            <c:dLbl>
              <c:idx val="4"/>
              <c:layout>
                <c:manualLayout>
                  <c:x val="0.106578946"/>
                  <c:y val="0.017361112"/>
                </c:manualLayout>
              </c:layout>
              <c:numFmt formatCode="#,##0.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showLegendKey val="0"/>
              <c:showVal val="1"/>
              <c:showCatName val="0"/>
              <c:showSerName val="0"/>
              <c:showPercent val="0"/>
              <c:showBubbleSize val="0"/>
            </c:dLbl>
            <c:showLegendKey val="0"/>
            <c:showVal val="1"/>
            <c:showCatName val="0"/>
            <c:showSerName val="0"/>
            <c:showPercent val="0"/>
            <c:showBubbleSize val="0"/>
            <c:showLeaderLines val="1"/>
          </c:dLbls>
          <c:cat>
            <c:strLit>
              <c:ptCount val="5"/>
              <c:pt idx="0">
                <c:v>文化旅游体育与传媒（类）支出</c:v>
              </c:pt>
              <c:pt idx="1">
                <c:v>社会保障和就业（类）支出</c:v>
              </c:pt>
              <c:pt idx="2">
                <c:v>卫生健康支出（类）支出</c:v>
              </c:pt>
              <c:pt idx="3">
                <c:v>农林水支出（类）支出</c:v>
              </c:pt>
              <c:pt idx="4">
                <c:v>住房保障支出（类）支出</c:v>
              </c:pt>
            </c:strLit>
          </c:cat>
          <c:val>
            <c:numRef>
              <c:f/>
              <c:numCache>
                <c:formatCode>General</c:formatCode>
                <c:ptCount val="5"/>
                <c:pt idx="0">
                  <c:v>4506.3</c:v>
                </c:pt>
                <c:pt idx="1">
                  <c:v>142.02</c:v>
                </c:pt>
                <c:pt idx="2">
                  <c:v>52.38</c:v>
                </c:pt>
                <c:pt idx="3">
                  <c:v>37.5</c:v>
                </c:pt>
                <c:pt idx="4">
                  <c:v>74.23</c:v>
                </c:pt>
              </c:numCache>
            </c:numRef>
          </c:val>
        </c:ser>
        <c:gapDepth val="150"/>
        <c:firstSliceAng val="0"/>
      </c:pie3DChart>
      <c:spPr>
        <a:noFill/>
        <a:ln>
          <a:noFill/>
        </a:ln>
      </c:spPr>
    </c:plotArea>
    <c:legend>
      <c:legendPos val="t"/>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25</TotalTime>
  <Application>Yozo_Office27021597764231179</Application>
  <Pages>57</Pages>
  <Words>23571</Words>
  <Characters>25919</Characters>
  <Lines>2157</Lines>
  <Paragraphs>929</Paragraphs>
  <CharactersWithSpaces>26102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       </dc:creator>
  <cp:lastModifiedBy>Administrator</cp:lastModifiedBy>
  <cp:revision>1</cp:revision>
  <dcterms:created xsi:type="dcterms:W3CDTF">2026-10-27T03:21:00Z</dcterms:created>
  <dcterms:modified xsi:type="dcterms:W3CDTF">2026-10-28T06:57:48Z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2052-12.1.0.28505</vt:lpwstr>
  </property>
  <property fmtid="{D5CDD505-2E9C-101B-9397-08002B2CF9AE}" pid="3" name="ICV">
    <vt:lpwstr>E729A521605D49A78CCFAE1E84508E55_13</vt:lpwstr>
  </property>
  <property fmtid="{D5CDD505-2E9C-101B-9397-08002B2CF9AE}" pid="4" name="KSOTemplateDocerSaveRecord">
    <vt:lpwstr>eyJoZGlkIjoiNGVjMGU3NzAzNmI4YjA2ZTU1YjAwZmI0OGZlNDI5YTUiLCJ1c2VySWQiOiI0ODI1MTU1OTMifQ==</vt:lpwstr>
  </property>
</Properties>
</file>