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1BCF02">
      <w:pPr>
        <w:spacing w:line="600" w:lineRule="exact"/>
        <w:jc w:val="center"/>
        <w:outlineLvl w:val="0"/>
        <w:rPr>
          <w:rFonts w:ascii="方正小标宋简体" w:hAnsi="宋体" w:eastAsia="方正小标宋简体"/>
          <w:sz w:val="72"/>
          <w:szCs w:val="72"/>
        </w:rPr>
      </w:pPr>
      <w:bookmarkStart w:id="0" w:name="_Toc15377193"/>
      <w:bookmarkStart w:id="1" w:name="_Toc15396597"/>
      <w:bookmarkStart w:id="2" w:name="_Toc15378441"/>
      <w:bookmarkStart w:id="3" w:name="_Toc15377425"/>
      <w:bookmarkStart w:id="4" w:name="_Toc15396475"/>
      <w:bookmarkStart w:id="5" w:name="_Toc15306267"/>
      <w:bookmarkStart w:id="53" w:name="_GoBack"/>
      <w:bookmarkEnd w:id="53"/>
    </w:p>
    <w:p w14:paraId="053A4B1B">
      <w:pPr>
        <w:pStyle w:val="6"/>
        <w:spacing w:before="93"/>
      </w:pPr>
    </w:p>
    <w:p w14:paraId="47127C00">
      <w:pPr>
        <w:spacing w:line="600" w:lineRule="exact"/>
        <w:jc w:val="center"/>
        <w:outlineLvl w:val="0"/>
        <w:rPr>
          <w:rFonts w:ascii="方正小标宋简体" w:hAnsi="宋体" w:eastAsia="方正小标宋简体"/>
          <w:sz w:val="72"/>
          <w:szCs w:val="72"/>
        </w:rPr>
      </w:pPr>
    </w:p>
    <w:p w14:paraId="239A37A0">
      <w:pPr>
        <w:spacing w:line="600" w:lineRule="exact"/>
        <w:jc w:val="center"/>
        <w:outlineLvl w:val="0"/>
        <w:rPr>
          <w:rFonts w:ascii="方正小标宋简体" w:hAnsi="宋体" w:eastAsia="方正小标宋简体"/>
          <w:sz w:val="72"/>
          <w:szCs w:val="72"/>
        </w:rPr>
      </w:pPr>
    </w:p>
    <w:p w14:paraId="41A51FE3">
      <w:pPr>
        <w:adjustRightInd w:val="0"/>
        <w:snapToGrid w:val="0"/>
        <w:spacing w:line="360" w:lineRule="auto"/>
        <w:jc w:val="center"/>
        <w:outlineLvl w:val="0"/>
        <w:rPr>
          <w:rFonts w:ascii="方正小标宋简体" w:hAnsi="方正小标宋简体" w:eastAsia="方正小标宋简体" w:cs="方正小标宋简体"/>
          <w:sz w:val="72"/>
          <w:szCs w:val="72"/>
        </w:rPr>
      </w:pPr>
      <w:r>
        <w:rPr>
          <w:rFonts w:hint="eastAsia" w:ascii="方正小标宋简体" w:hAnsi="方正小标宋简体" w:eastAsia="方正小标宋简体" w:cs="方正小标宋简体"/>
          <w:sz w:val="72"/>
          <w:szCs w:val="72"/>
        </w:rPr>
        <w:t>202</w:t>
      </w:r>
      <w:r>
        <w:rPr>
          <w:rFonts w:hint="eastAsia" w:ascii="方正小标宋简体" w:hAnsi="方正小标宋简体" w:eastAsia="方正小标宋简体" w:cs="方正小标宋简体"/>
          <w:sz w:val="72"/>
          <w:szCs w:val="72"/>
          <w:lang w:val="en-US" w:eastAsia="zh-CN"/>
        </w:rPr>
        <w:t>5</w:t>
      </w:r>
      <w:r>
        <w:rPr>
          <w:rFonts w:hint="eastAsia" w:ascii="方正小标宋简体" w:hAnsi="方正小标宋简体" w:eastAsia="方正小标宋简体" w:cs="方正小标宋简体"/>
          <w:sz w:val="72"/>
          <w:szCs w:val="72"/>
        </w:rPr>
        <w:t>年度</w:t>
      </w:r>
      <w:bookmarkEnd w:id="0"/>
      <w:bookmarkEnd w:id="1"/>
      <w:bookmarkEnd w:id="2"/>
      <w:bookmarkEnd w:id="3"/>
      <w:bookmarkEnd w:id="4"/>
    </w:p>
    <w:bookmarkEnd w:id="5"/>
    <w:p w14:paraId="1BFD8DF5">
      <w:pPr>
        <w:adjustRightInd w:val="0"/>
        <w:snapToGrid w:val="0"/>
        <w:spacing w:line="360" w:lineRule="auto"/>
        <w:jc w:val="center"/>
        <w:outlineLvl w:val="0"/>
        <w:rPr>
          <w:rFonts w:hint="eastAsia" w:ascii="方正小标宋简体" w:hAnsi="方正小标宋简体" w:eastAsia="方正小标宋简体" w:cs="方正小标宋简体"/>
          <w:sz w:val="72"/>
          <w:szCs w:val="72"/>
          <w:lang w:val="en-US" w:eastAsia="zh-CN"/>
        </w:rPr>
      </w:pPr>
      <w:bookmarkStart w:id="6" w:name="_Toc15377194"/>
      <w:bookmarkStart w:id="7" w:name="_Toc15378442"/>
      <w:bookmarkStart w:id="8" w:name="_Toc15396476"/>
      <w:bookmarkStart w:id="9" w:name="_Toc15306268"/>
      <w:bookmarkStart w:id="10" w:name="_Toc15396598"/>
      <w:bookmarkStart w:id="11" w:name="_Toc15377426"/>
      <w:r>
        <w:rPr>
          <w:rFonts w:hint="eastAsia" w:ascii="方正小标宋简体" w:hAnsi="方正小标宋简体" w:eastAsia="方正小标宋简体" w:cs="方正小标宋简体"/>
          <w:sz w:val="72"/>
          <w:szCs w:val="72"/>
          <w:lang w:eastAsia="zh-CN"/>
        </w:rPr>
        <w:t>红原县住房和城乡建设局</w:t>
      </w:r>
      <w:r>
        <w:rPr>
          <w:rFonts w:hint="eastAsia" w:ascii="方正小标宋简体" w:hAnsi="方正小标宋简体" w:eastAsia="方正小标宋简体" w:cs="方正小标宋简体"/>
          <w:sz w:val="72"/>
          <w:szCs w:val="72"/>
        </w:rPr>
        <w:t>部门决算</w:t>
      </w:r>
      <w:bookmarkEnd w:id="6"/>
      <w:bookmarkEnd w:id="7"/>
      <w:bookmarkEnd w:id="8"/>
      <w:bookmarkEnd w:id="9"/>
      <w:bookmarkEnd w:id="10"/>
      <w:bookmarkEnd w:id="11"/>
      <w:r>
        <w:rPr>
          <w:rFonts w:hint="eastAsia" w:ascii="方正小标宋简体" w:hAnsi="方正小标宋简体" w:eastAsia="方正小标宋简体" w:cs="方正小标宋简体"/>
          <w:sz w:val="72"/>
          <w:szCs w:val="72"/>
          <w:lang w:val="en-US" w:eastAsia="zh-CN"/>
        </w:rPr>
        <w:t>报告</w:t>
      </w:r>
    </w:p>
    <w:p w14:paraId="4FCCC24F">
      <w:pPr>
        <w:widowControl/>
        <w:jc w:val="center"/>
        <w:rPr>
          <w:rFonts w:ascii="黑体" w:hAnsi="黑体" w:eastAsia="黑体"/>
          <w:sz w:val="48"/>
          <w:szCs w:val="48"/>
        </w:rPr>
      </w:pPr>
      <w:r>
        <w:rPr>
          <w:rFonts w:ascii="方正小标宋简体" w:hAnsi="宋体" w:eastAsia="方正小标宋简体"/>
          <w:sz w:val="36"/>
          <w:szCs w:val="36"/>
        </w:rPr>
        <w:br w:type="page"/>
      </w:r>
      <w:r>
        <w:rPr>
          <w:rFonts w:hint="eastAsia" w:ascii="黑体" w:hAnsi="黑体" w:eastAsia="黑体"/>
          <w:sz w:val="48"/>
          <w:szCs w:val="48"/>
        </w:rPr>
        <w:t>目录</w:t>
      </w:r>
    </w:p>
    <w:p w14:paraId="066C39E2">
      <w:pPr>
        <w:widowControl/>
        <w:jc w:val="center"/>
        <w:rPr>
          <w:rFonts w:ascii="黑体" w:hAnsi="黑体" w:eastAsia="黑体" w:cstheme="minorBidi"/>
          <w:sz w:val="28"/>
          <w:szCs w:val="28"/>
        </w:rPr>
      </w:pPr>
    </w:p>
    <w:p w14:paraId="634279AA">
      <w:pPr>
        <w:pStyle w:val="12"/>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 xml:space="preserve">月 </w:t>
      </w:r>
      <w:r>
        <w:rPr>
          <w:rFonts w:hint="eastAsia"/>
          <w:lang w:val="en-US" w:eastAsia="zh-CN"/>
        </w:rPr>
        <w:t>8</w:t>
      </w:r>
      <w:r>
        <w:rPr>
          <w:rFonts w:hint="eastAsia"/>
        </w:rPr>
        <w:t>日</w:t>
      </w:r>
    </w:p>
    <w:p w14:paraId="640FB31A"/>
    <w:p w14:paraId="789C0EEA">
      <w:pPr>
        <w:pStyle w:val="12"/>
        <w:adjustRightInd w:val="0"/>
        <w:snapToGrid w:val="0"/>
        <w:spacing w:before="0" w:line="440" w:lineRule="exact"/>
        <w:jc w:val="left"/>
        <w:rPr>
          <w:rFonts w:cstheme="minorBidi"/>
          <w:sz w:val="24"/>
          <w:szCs w:val="24"/>
        </w:rPr>
      </w:pPr>
      <w:r>
        <w:rPr>
          <w:rFonts w:hint="eastAsia"/>
          <w:sz w:val="24"/>
        </w:rPr>
        <w:t>第一部分</w:t>
      </w:r>
      <w:r>
        <w:rPr>
          <w:sz w:val="24"/>
        </w:rPr>
        <w:t xml:space="preserve"> </w:t>
      </w:r>
      <w:r>
        <w:rPr>
          <w:rFonts w:hint="eastAsia"/>
          <w:sz w:val="24"/>
        </w:rPr>
        <w:t>部门概况</w:t>
      </w:r>
    </w:p>
    <w:p w14:paraId="60C02741">
      <w:pPr>
        <w:pStyle w:val="13"/>
        <w:adjustRightInd w:val="0"/>
        <w:snapToGrid w:val="0"/>
        <w:spacing w:line="440" w:lineRule="exact"/>
        <w:jc w:val="left"/>
        <w:rPr>
          <w:rFonts w:ascii="仿宋" w:hAnsi="仿宋" w:eastAsia="仿宋"/>
          <w:sz w:val="24"/>
        </w:rPr>
      </w:pPr>
      <w:r>
        <w:rPr>
          <w:rFonts w:hint="eastAsia"/>
          <w:sz w:val="24"/>
        </w:rPr>
        <w:t>一、部门职责</w:t>
      </w:r>
    </w:p>
    <w:p w14:paraId="337A0554">
      <w:pPr>
        <w:pStyle w:val="13"/>
        <w:adjustRightInd w:val="0"/>
        <w:snapToGrid w:val="0"/>
        <w:spacing w:line="440" w:lineRule="exact"/>
        <w:jc w:val="left"/>
        <w:rPr>
          <w:rFonts w:ascii="仿宋" w:hAnsi="仿宋" w:eastAsia="仿宋" w:cstheme="minorBidi"/>
          <w:sz w:val="24"/>
        </w:rPr>
      </w:pPr>
      <w:r>
        <w:rPr>
          <w:rFonts w:hint="eastAsia"/>
          <w:sz w:val="24"/>
        </w:rPr>
        <w:t>二、机构设置</w:t>
      </w:r>
    </w:p>
    <w:p w14:paraId="749D2480">
      <w:pPr>
        <w:pStyle w:val="12"/>
        <w:adjustRightInd w:val="0"/>
        <w:snapToGrid w:val="0"/>
        <w:spacing w:before="0" w:line="440" w:lineRule="exact"/>
        <w:jc w:val="left"/>
        <w:rPr>
          <w:sz w:val="24"/>
          <w:szCs w:val="24"/>
        </w:rPr>
      </w:pPr>
      <w:r>
        <w:rPr>
          <w:rFonts w:hint="eastAsia"/>
          <w:sz w:val="24"/>
        </w:rPr>
        <w:t>第二部分 202</w:t>
      </w:r>
      <w:r>
        <w:rPr>
          <w:rFonts w:hint="eastAsia"/>
          <w:sz w:val="24"/>
          <w:lang w:val="en-US" w:eastAsia="zh-CN"/>
        </w:rPr>
        <w:t>4</w:t>
      </w:r>
      <w:r>
        <w:rPr>
          <w:rFonts w:hint="eastAsia"/>
          <w:sz w:val="24"/>
        </w:rPr>
        <w:t>年度部门决算情况说明</w:t>
      </w:r>
    </w:p>
    <w:p w14:paraId="5CB8E50A">
      <w:pPr>
        <w:pStyle w:val="13"/>
        <w:adjustRightInd w:val="0"/>
        <w:snapToGrid w:val="0"/>
        <w:spacing w:line="440" w:lineRule="exact"/>
        <w:jc w:val="left"/>
        <w:rPr>
          <w:rFonts w:ascii="仿宋" w:hAnsi="仿宋" w:eastAsia="仿宋" w:cstheme="minorBidi"/>
          <w:sz w:val="24"/>
        </w:rPr>
      </w:pPr>
      <w:r>
        <w:rPr>
          <w:rFonts w:hint="eastAsia"/>
          <w:sz w:val="24"/>
        </w:rPr>
        <w:t>一、收入支出决算总体情况说明</w:t>
      </w:r>
    </w:p>
    <w:p w14:paraId="4D59C1CF">
      <w:pPr>
        <w:pStyle w:val="13"/>
        <w:adjustRightInd w:val="0"/>
        <w:snapToGrid w:val="0"/>
        <w:spacing w:line="440" w:lineRule="exact"/>
        <w:jc w:val="left"/>
        <w:rPr>
          <w:rFonts w:ascii="仿宋" w:hAnsi="仿宋" w:eastAsia="仿宋" w:cstheme="minorBidi"/>
          <w:sz w:val="24"/>
        </w:rPr>
      </w:pPr>
      <w:r>
        <w:rPr>
          <w:rFonts w:hint="eastAsia"/>
          <w:sz w:val="24"/>
        </w:rPr>
        <w:t>二、收入决算情况说明</w:t>
      </w:r>
    </w:p>
    <w:p w14:paraId="3115BCBD">
      <w:pPr>
        <w:pStyle w:val="13"/>
        <w:adjustRightInd w:val="0"/>
        <w:snapToGrid w:val="0"/>
        <w:spacing w:line="440" w:lineRule="exact"/>
        <w:jc w:val="left"/>
        <w:rPr>
          <w:rFonts w:ascii="仿宋" w:hAnsi="仿宋" w:eastAsia="仿宋" w:cstheme="minorBidi"/>
          <w:sz w:val="24"/>
        </w:rPr>
      </w:pPr>
      <w:r>
        <w:rPr>
          <w:rFonts w:hint="eastAsia"/>
          <w:sz w:val="24"/>
        </w:rPr>
        <w:t>三、支出决算情况说明</w:t>
      </w:r>
    </w:p>
    <w:p w14:paraId="1AB62137">
      <w:pPr>
        <w:pStyle w:val="13"/>
        <w:adjustRightInd w:val="0"/>
        <w:snapToGrid w:val="0"/>
        <w:spacing w:line="440" w:lineRule="exact"/>
        <w:jc w:val="left"/>
        <w:rPr>
          <w:rFonts w:ascii="仿宋" w:hAnsi="仿宋" w:eastAsia="仿宋" w:cstheme="minorBidi"/>
          <w:sz w:val="24"/>
        </w:rPr>
      </w:pPr>
      <w:r>
        <w:rPr>
          <w:rFonts w:hint="eastAsia"/>
          <w:sz w:val="24"/>
        </w:rPr>
        <w:t>四、财政拨款收入支出决算总体情况说明</w:t>
      </w:r>
    </w:p>
    <w:p w14:paraId="0C225F39">
      <w:pPr>
        <w:pStyle w:val="13"/>
        <w:adjustRightInd w:val="0"/>
        <w:snapToGrid w:val="0"/>
        <w:spacing w:line="440" w:lineRule="exact"/>
        <w:jc w:val="left"/>
        <w:rPr>
          <w:rFonts w:ascii="仿宋" w:hAnsi="仿宋" w:eastAsia="仿宋" w:cstheme="minorBidi"/>
          <w:sz w:val="24"/>
        </w:rPr>
      </w:pPr>
      <w:r>
        <w:rPr>
          <w:rFonts w:hint="eastAsia"/>
          <w:sz w:val="24"/>
        </w:rPr>
        <w:t>五、一般公共预算财政拨款支出决算情况说明</w:t>
      </w:r>
    </w:p>
    <w:p w14:paraId="60DB34F6">
      <w:pPr>
        <w:pStyle w:val="13"/>
        <w:adjustRightInd w:val="0"/>
        <w:snapToGrid w:val="0"/>
        <w:spacing w:line="440" w:lineRule="exact"/>
        <w:jc w:val="left"/>
        <w:rPr>
          <w:rFonts w:ascii="仿宋" w:hAnsi="仿宋" w:eastAsia="仿宋" w:cstheme="minorBidi"/>
          <w:sz w:val="24"/>
        </w:rPr>
      </w:pPr>
      <w:r>
        <w:rPr>
          <w:rFonts w:hint="eastAsia"/>
          <w:sz w:val="24"/>
        </w:rPr>
        <w:t>六、一般公共预算财政拨款基本支出决算情况说明</w:t>
      </w:r>
    </w:p>
    <w:p w14:paraId="6A4620C7">
      <w:pPr>
        <w:pStyle w:val="13"/>
        <w:adjustRightInd w:val="0"/>
        <w:snapToGrid w:val="0"/>
        <w:spacing w:line="440" w:lineRule="exact"/>
        <w:jc w:val="left"/>
        <w:rPr>
          <w:rFonts w:ascii="仿宋" w:hAnsi="仿宋" w:eastAsia="仿宋" w:cstheme="minorBidi"/>
          <w:sz w:val="24"/>
        </w:rPr>
      </w:pPr>
      <w:r>
        <w:rPr>
          <w:rFonts w:hint="eastAsia"/>
          <w:sz w:val="24"/>
        </w:rPr>
        <w:t>七、财政拨款“三公”经费支出决算情况说明</w:t>
      </w:r>
    </w:p>
    <w:p w14:paraId="7B464167">
      <w:pPr>
        <w:pStyle w:val="13"/>
        <w:adjustRightInd w:val="0"/>
        <w:snapToGrid w:val="0"/>
        <w:spacing w:line="440" w:lineRule="exact"/>
        <w:jc w:val="left"/>
        <w:rPr>
          <w:rFonts w:ascii="仿宋" w:hAnsi="仿宋" w:eastAsia="仿宋" w:cstheme="minorBidi"/>
          <w:sz w:val="24"/>
        </w:rPr>
      </w:pPr>
      <w:r>
        <w:rPr>
          <w:rFonts w:hint="eastAsia"/>
          <w:sz w:val="24"/>
        </w:rPr>
        <w:t>八、政府性基金预算支出决算情况说明</w:t>
      </w:r>
    </w:p>
    <w:p w14:paraId="11289138">
      <w:pPr>
        <w:pStyle w:val="13"/>
        <w:adjustRightInd w:val="0"/>
        <w:snapToGrid w:val="0"/>
        <w:spacing w:line="440" w:lineRule="exact"/>
        <w:ind w:leftChars="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九、国有资本经营预算支出决算情况说明</w:t>
      </w:r>
    </w:p>
    <w:p w14:paraId="486B2878">
      <w:pPr>
        <w:adjustRightInd w:val="0"/>
        <w:snapToGrid w:val="0"/>
        <w:spacing w:line="440" w:lineRule="exact"/>
        <w:ind w:firstLine="420" w:firstLineChars="175"/>
        <w:jc w:val="left"/>
        <w:rPr>
          <w:rFonts w:asciiTheme="minorEastAsia" w:hAnsiTheme="minorEastAsia" w:eastAsiaTheme="minorEastAsia" w:cstheme="minorEastAsia"/>
          <w:sz w:val="24"/>
        </w:rPr>
      </w:pPr>
      <w:r>
        <w:rPr>
          <w:rStyle w:val="19"/>
          <w:rFonts w:hint="eastAsia" w:asciiTheme="minorEastAsia" w:hAnsiTheme="minorEastAsia" w:eastAsiaTheme="minorEastAsia" w:cstheme="minorEastAsia"/>
          <w:color w:val="auto"/>
          <w:sz w:val="24"/>
          <w:u w:val="none"/>
        </w:rPr>
        <w:t>十、</w:t>
      </w:r>
      <w:r>
        <w:rPr>
          <w:rFonts w:hint="eastAsia" w:asciiTheme="minorEastAsia" w:hAnsiTheme="minorEastAsia" w:eastAsiaTheme="minorEastAsia" w:cstheme="minorEastAsia"/>
          <w:sz w:val="24"/>
        </w:rPr>
        <w:t>其他重要事项的情况说明</w:t>
      </w:r>
      <w:r>
        <w:rPr>
          <w:rFonts w:hint="eastAsia" w:asciiTheme="minorEastAsia" w:hAnsiTheme="minorEastAsia" w:eastAsiaTheme="minorEastAsia" w:cstheme="minorEastAsia"/>
          <w:sz w:val="24"/>
        </w:rPr>
        <w:tab/>
      </w:r>
    </w:p>
    <w:p w14:paraId="3D6A1E5B">
      <w:pPr>
        <w:pStyle w:val="12"/>
        <w:adjustRightInd w:val="0"/>
        <w:snapToGrid w:val="0"/>
        <w:spacing w:before="0" w:line="440" w:lineRule="exact"/>
        <w:jc w:val="left"/>
        <w:rPr>
          <w:rFonts w:cstheme="minorBidi"/>
          <w:sz w:val="24"/>
          <w:szCs w:val="24"/>
        </w:rPr>
      </w:pPr>
      <w:r>
        <w:rPr>
          <w:rFonts w:hint="eastAsia"/>
          <w:sz w:val="24"/>
        </w:rPr>
        <w:t>第三部分</w:t>
      </w:r>
      <w:r>
        <w:rPr>
          <w:sz w:val="24"/>
        </w:rPr>
        <w:t xml:space="preserve"> </w:t>
      </w:r>
      <w:r>
        <w:rPr>
          <w:rFonts w:hint="eastAsia"/>
          <w:sz w:val="24"/>
        </w:rPr>
        <w:t>名词解释</w:t>
      </w:r>
    </w:p>
    <w:p w14:paraId="666D509B">
      <w:pPr>
        <w:pStyle w:val="12"/>
        <w:adjustRightInd w:val="0"/>
        <w:snapToGrid w:val="0"/>
        <w:spacing w:before="0" w:line="440" w:lineRule="exact"/>
        <w:jc w:val="left"/>
        <w:rPr>
          <w:rFonts w:cstheme="minorBidi"/>
          <w:sz w:val="24"/>
          <w:szCs w:val="24"/>
        </w:rPr>
      </w:pPr>
      <w:r>
        <w:rPr>
          <w:rFonts w:hint="eastAsia"/>
          <w:sz w:val="24"/>
        </w:rPr>
        <w:t>第四部分</w:t>
      </w:r>
      <w:r>
        <w:rPr>
          <w:sz w:val="24"/>
        </w:rPr>
        <w:t xml:space="preserve"> </w:t>
      </w:r>
      <w:r>
        <w:rPr>
          <w:rFonts w:hint="eastAsia"/>
          <w:sz w:val="24"/>
        </w:rPr>
        <w:t>附件</w:t>
      </w:r>
    </w:p>
    <w:p w14:paraId="719F19C1">
      <w:pPr>
        <w:pStyle w:val="12"/>
        <w:adjustRightInd w:val="0"/>
        <w:snapToGrid w:val="0"/>
        <w:spacing w:before="0" w:line="440" w:lineRule="exact"/>
        <w:jc w:val="left"/>
        <w:rPr>
          <w:rFonts w:cstheme="minorBidi"/>
          <w:sz w:val="24"/>
          <w:szCs w:val="24"/>
        </w:rPr>
      </w:pPr>
      <w:r>
        <w:rPr>
          <w:rFonts w:hint="eastAsia"/>
          <w:sz w:val="24"/>
        </w:rPr>
        <w:t>第五部分</w:t>
      </w:r>
      <w:r>
        <w:rPr>
          <w:sz w:val="24"/>
        </w:rPr>
        <w:t xml:space="preserve"> </w:t>
      </w:r>
      <w:r>
        <w:rPr>
          <w:rFonts w:hint="eastAsia"/>
          <w:sz w:val="24"/>
        </w:rPr>
        <w:t>附表</w:t>
      </w:r>
    </w:p>
    <w:p w14:paraId="39F3E48A">
      <w:pPr>
        <w:pStyle w:val="13"/>
        <w:adjustRightInd w:val="0"/>
        <w:snapToGrid w:val="0"/>
        <w:spacing w:line="440" w:lineRule="exact"/>
        <w:jc w:val="left"/>
        <w:rPr>
          <w:sz w:val="24"/>
        </w:rPr>
      </w:pPr>
      <w:r>
        <w:rPr>
          <w:rFonts w:hint="eastAsia"/>
          <w:sz w:val="24"/>
        </w:rPr>
        <w:t>一、收入支出决算总表</w:t>
      </w:r>
    </w:p>
    <w:p w14:paraId="5833B3F1">
      <w:pPr>
        <w:pStyle w:val="13"/>
        <w:adjustRightInd w:val="0"/>
        <w:snapToGrid w:val="0"/>
        <w:spacing w:line="440" w:lineRule="exact"/>
        <w:jc w:val="left"/>
        <w:rPr>
          <w:sz w:val="24"/>
        </w:rPr>
      </w:pPr>
      <w:r>
        <w:rPr>
          <w:rFonts w:hint="eastAsia"/>
          <w:sz w:val="24"/>
        </w:rPr>
        <w:t>二、收入决算表</w:t>
      </w:r>
    </w:p>
    <w:p w14:paraId="3800085C">
      <w:pPr>
        <w:pStyle w:val="13"/>
        <w:adjustRightInd w:val="0"/>
        <w:snapToGrid w:val="0"/>
        <w:spacing w:line="440" w:lineRule="exact"/>
        <w:jc w:val="left"/>
        <w:rPr>
          <w:sz w:val="24"/>
        </w:rPr>
      </w:pPr>
      <w:r>
        <w:rPr>
          <w:rFonts w:hint="eastAsia"/>
          <w:sz w:val="24"/>
        </w:rPr>
        <w:t>三、支出决算表</w:t>
      </w:r>
    </w:p>
    <w:p w14:paraId="05FAC61C">
      <w:pPr>
        <w:pStyle w:val="13"/>
        <w:adjustRightInd w:val="0"/>
        <w:snapToGrid w:val="0"/>
        <w:spacing w:line="440" w:lineRule="exact"/>
        <w:jc w:val="left"/>
        <w:rPr>
          <w:sz w:val="24"/>
        </w:rPr>
      </w:pPr>
      <w:r>
        <w:rPr>
          <w:rFonts w:hint="eastAsia"/>
          <w:sz w:val="24"/>
        </w:rPr>
        <w:t>四、财政拨款收入支出决算总表</w:t>
      </w:r>
    </w:p>
    <w:p w14:paraId="28A66282">
      <w:pPr>
        <w:pStyle w:val="13"/>
        <w:adjustRightInd w:val="0"/>
        <w:snapToGrid w:val="0"/>
        <w:spacing w:line="440" w:lineRule="exact"/>
        <w:jc w:val="left"/>
        <w:rPr>
          <w:sz w:val="24"/>
        </w:rPr>
      </w:pPr>
      <w:r>
        <w:rPr>
          <w:rFonts w:hint="eastAsia"/>
          <w:sz w:val="24"/>
        </w:rPr>
        <w:t>五、财政拨款支出决算明细表</w:t>
      </w:r>
    </w:p>
    <w:p w14:paraId="2DA58E7A">
      <w:pPr>
        <w:pStyle w:val="13"/>
        <w:adjustRightInd w:val="0"/>
        <w:snapToGrid w:val="0"/>
        <w:spacing w:line="440" w:lineRule="exact"/>
        <w:jc w:val="left"/>
        <w:rPr>
          <w:sz w:val="24"/>
        </w:rPr>
      </w:pPr>
      <w:r>
        <w:rPr>
          <w:rFonts w:hint="eastAsia"/>
          <w:sz w:val="24"/>
        </w:rPr>
        <w:t>六、一般公共预算财政拨款支出决算表</w:t>
      </w:r>
    </w:p>
    <w:p w14:paraId="45BDD36D">
      <w:pPr>
        <w:pStyle w:val="13"/>
        <w:adjustRightInd w:val="0"/>
        <w:snapToGrid w:val="0"/>
        <w:spacing w:line="440" w:lineRule="exact"/>
        <w:jc w:val="left"/>
        <w:rPr>
          <w:sz w:val="24"/>
        </w:rPr>
      </w:pPr>
      <w:r>
        <w:rPr>
          <w:rFonts w:hint="eastAsia"/>
          <w:sz w:val="24"/>
        </w:rPr>
        <w:t>七、一般公共预算财政拨款支出决算明细表</w:t>
      </w:r>
    </w:p>
    <w:p w14:paraId="4E1F700A">
      <w:pPr>
        <w:pStyle w:val="13"/>
        <w:adjustRightInd w:val="0"/>
        <w:snapToGrid w:val="0"/>
        <w:spacing w:line="440" w:lineRule="exact"/>
        <w:jc w:val="left"/>
        <w:rPr>
          <w:sz w:val="24"/>
        </w:rPr>
      </w:pPr>
      <w:r>
        <w:rPr>
          <w:rFonts w:hint="eastAsia"/>
          <w:sz w:val="24"/>
        </w:rPr>
        <w:t>八、一般公共预算财政拨款基本支出决算明细表</w:t>
      </w:r>
    </w:p>
    <w:p w14:paraId="582AD86E">
      <w:pPr>
        <w:pStyle w:val="13"/>
        <w:adjustRightInd w:val="0"/>
        <w:snapToGrid w:val="0"/>
        <w:spacing w:line="440" w:lineRule="exact"/>
        <w:jc w:val="left"/>
        <w:rPr>
          <w:sz w:val="24"/>
        </w:rPr>
      </w:pPr>
      <w:r>
        <w:rPr>
          <w:rFonts w:hint="eastAsia"/>
          <w:sz w:val="24"/>
        </w:rPr>
        <w:t>九、一般公共预算财政拨款项目支出决算表</w:t>
      </w:r>
    </w:p>
    <w:p w14:paraId="2406D87D">
      <w:pPr>
        <w:pStyle w:val="13"/>
        <w:adjustRightInd w:val="0"/>
        <w:snapToGrid w:val="0"/>
        <w:spacing w:line="440" w:lineRule="exact"/>
        <w:jc w:val="left"/>
        <w:rPr>
          <w:sz w:val="24"/>
        </w:rPr>
      </w:pPr>
      <w:r>
        <w:rPr>
          <w:rFonts w:hint="eastAsia"/>
          <w:sz w:val="24"/>
        </w:rPr>
        <w:t>十、政府性基金预算财政拨款收入支出决算表</w:t>
      </w:r>
    </w:p>
    <w:p w14:paraId="69762201">
      <w:pPr>
        <w:pStyle w:val="13"/>
        <w:adjustRightInd w:val="0"/>
        <w:snapToGrid w:val="0"/>
        <w:spacing w:line="440" w:lineRule="exact"/>
        <w:jc w:val="left"/>
        <w:rPr>
          <w:sz w:val="24"/>
        </w:rPr>
      </w:pPr>
      <w:r>
        <w:rPr>
          <w:rFonts w:hint="eastAsia"/>
          <w:sz w:val="24"/>
        </w:rPr>
        <w:t>十一、国有资本经营预算财政拨款收入支出决算表</w:t>
      </w:r>
    </w:p>
    <w:p w14:paraId="5C6EC794">
      <w:pPr>
        <w:pStyle w:val="13"/>
        <w:adjustRightInd w:val="0"/>
        <w:snapToGrid w:val="0"/>
        <w:spacing w:line="440" w:lineRule="exact"/>
        <w:jc w:val="left"/>
        <w:rPr>
          <w:sz w:val="24"/>
        </w:rPr>
      </w:pPr>
      <w:r>
        <w:rPr>
          <w:rFonts w:hint="eastAsia"/>
          <w:sz w:val="24"/>
        </w:rPr>
        <w:t>十二、国有资本经营预算财政拨款支出决算表</w:t>
      </w:r>
    </w:p>
    <w:p w14:paraId="0BFB1315">
      <w:pPr>
        <w:pStyle w:val="13"/>
        <w:adjustRightInd w:val="0"/>
        <w:snapToGrid w:val="0"/>
        <w:spacing w:line="440" w:lineRule="exact"/>
        <w:jc w:val="left"/>
        <w:rPr>
          <w:rFonts w:asciiTheme="minorEastAsia" w:hAnsiTheme="minorEastAsia" w:eastAsiaTheme="minorEastAsia" w:cstheme="minorEastAsia"/>
          <w:sz w:val="24"/>
        </w:rPr>
      </w:pPr>
      <w:r>
        <w:rPr>
          <w:rFonts w:hint="eastAsia"/>
          <w:sz w:val="24"/>
        </w:rPr>
        <w:t>十三、财政拨款“三公”经费支出决算表</w:t>
      </w:r>
    </w:p>
    <w:p w14:paraId="11F099A6">
      <w:pPr>
        <w:widowControl/>
        <w:adjustRightInd w:val="0"/>
        <w:snapToGrid w:val="0"/>
        <w:spacing w:line="440" w:lineRule="exact"/>
        <w:ind w:firstLine="1320" w:firstLineChars="550"/>
        <w:jc w:val="left"/>
        <w:rPr>
          <w:rFonts w:ascii="仿宋" w:hAnsi="仿宋" w:eastAsia="仿宋"/>
          <w:sz w:val="24"/>
        </w:rPr>
      </w:pPr>
      <w:r>
        <w:rPr>
          <w:rFonts w:ascii="仿宋" w:hAnsi="仿宋" w:eastAsia="仿宋"/>
          <w:sz w:val="24"/>
        </w:rPr>
        <w:t>(注：</w:t>
      </w:r>
      <w:r>
        <w:rPr>
          <w:rFonts w:hint="eastAsia" w:ascii="仿宋" w:hAnsi="仿宋" w:eastAsia="仿宋"/>
          <w:sz w:val="24"/>
        </w:rPr>
        <w:t>请部门根据实际注明页码</w:t>
      </w:r>
      <w:r>
        <w:rPr>
          <w:rFonts w:ascii="仿宋" w:hAnsi="仿宋" w:eastAsia="仿宋"/>
          <w:sz w:val="24"/>
        </w:rPr>
        <w:t>)</w:t>
      </w:r>
    </w:p>
    <w:p w14:paraId="21B70AFA">
      <w:pPr>
        <w:widowControl/>
        <w:spacing w:line="440" w:lineRule="exact"/>
        <w:jc w:val="left"/>
        <w:rPr>
          <w:rFonts w:ascii="仿宋" w:hAnsi="仿宋" w:eastAsia="仿宋"/>
          <w:bCs/>
          <w:kern w:val="44"/>
          <w:sz w:val="24"/>
        </w:rPr>
      </w:pPr>
      <w:bookmarkStart w:id="12" w:name="_Toc15377196"/>
      <w:bookmarkStart w:id="13" w:name="_Toc15396599"/>
      <w:r>
        <w:rPr>
          <w:rFonts w:ascii="仿宋" w:hAnsi="仿宋" w:eastAsia="仿宋"/>
          <w:b/>
          <w:sz w:val="24"/>
        </w:rPr>
        <w:br w:type="page"/>
      </w:r>
    </w:p>
    <w:p w14:paraId="7CC4E461">
      <w:pPr>
        <w:pStyle w:val="3"/>
        <w:jc w:val="center"/>
        <w:rPr>
          <w:rStyle w:val="28"/>
          <w:rFonts w:ascii="黑体" w:hAnsi="黑体" w:eastAsia="黑体"/>
          <w:b/>
          <w:bCs w:val="0"/>
        </w:rPr>
      </w:pPr>
      <w:r>
        <w:rPr>
          <w:rFonts w:hint="eastAsia" w:ascii="黑体" w:hAnsi="黑体" w:eastAsia="黑体"/>
          <w:b w:val="0"/>
        </w:rPr>
        <w:t xml:space="preserve">第一部分 </w:t>
      </w:r>
      <w:r>
        <w:rPr>
          <w:rStyle w:val="28"/>
          <w:rFonts w:hint="eastAsia" w:ascii="黑体" w:hAnsi="黑体" w:eastAsia="黑体"/>
          <w:b w:val="0"/>
          <w:bCs w:val="0"/>
        </w:rPr>
        <w:t>部门概况</w:t>
      </w:r>
      <w:bookmarkEnd w:id="12"/>
      <w:bookmarkEnd w:id="13"/>
    </w:p>
    <w:p w14:paraId="213E94DA">
      <w:pPr>
        <w:widowControl/>
        <w:jc w:val="left"/>
        <w:rPr>
          <w:rFonts w:ascii="黑体" w:eastAsia="黑体"/>
          <w:sz w:val="32"/>
          <w:szCs w:val="32"/>
        </w:rPr>
      </w:pPr>
    </w:p>
    <w:p w14:paraId="71AA6E0B">
      <w:pPr>
        <w:pStyle w:val="4"/>
        <w:numPr>
          <w:ilvl w:val="0"/>
          <w:numId w:val="1"/>
        </w:numPr>
        <w:rPr>
          <w:rFonts w:hint="eastAsia" w:ascii="黑体" w:hAnsi="黑体" w:eastAsia="黑体"/>
          <w:b w:val="0"/>
        </w:rPr>
      </w:pPr>
      <w:r>
        <w:rPr>
          <w:rFonts w:hint="eastAsia" w:ascii="黑体" w:hAnsi="黑体" w:eastAsia="黑体"/>
          <w:b w:val="0"/>
        </w:rPr>
        <w:t>部门职责</w:t>
      </w:r>
    </w:p>
    <w:p w14:paraId="1BBC7E17">
      <w:pPr>
        <w:pStyle w:val="14"/>
        <w:shd w:val="clear" w:color="auto" w:fill="FFFFFF"/>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b/>
          <w:bCs/>
          <w:sz w:val="32"/>
          <w:szCs w:val="32"/>
          <w:lang w:val="en-US" w:eastAsia="zh-CN" w:bidi="ar-SA"/>
        </w:rPr>
        <w:t>（一）主要职能</w:t>
      </w:r>
      <w:r>
        <w:rPr>
          <w:b/>
          <w:bCs/>
        </w:rPr>
        <w:t>。</w:t>
      </w:r>
    </w:p>
    <w:p w14:paraId="740DA6EA">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1、贯彻执行国家、省、州有关住房和城乡建设、城市管理、市政园林工作的方针政策和法律、法规、规章，实施有关相对集中行政处罚权的地方性法规、规章和政策。</w:t>
      </w:r>
    </w:p>
    <w:p w14:paraId="6D79F968">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2、负责住房保障工作，拟订全县住房保障发展规划和年度规划并组织实施；会同有关部门加强住房保障资金的管理，推进住房改革与发展。</w:t>
      </w:r>
    </w:p>
    <w:p w14:paraId="2348DF48">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3、负责房地产市场监督管理工作，拟订房地产业的行业发展规划、发展计划和房地产市场监督管理措施，并监督执行。</w:t>
      </w:r>
    </w:p>
    <w:p w14:paraId="7901C156">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4、负责建筑市场监督管理工作，指导全县建筑活动，核发《建设工程施工许可证》，指导监督建设工程标准定额的实施。</w:t>
      </w:r>
    </w:p>
    <w:p w14:paraId="464CFE4B">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5、负责建设工程质量安全监督管理和竣工验收备案管理，组织或参与工程质量安全事故的调查处理。</w:t>
      </w:r>
    </w:p>
    <w:p w14:paraId="250C0F5D">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6、指导农村住房建设及危房改造和村镇人居生态环境的改善工作。</w:t>
      </w:r>
    </w:p>
    <w:p w14:paraId="6BF25342">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7、负责县政府交办的建设工程的组织实施工作。</w:t>
      </w:r>
    </w:p>
    <w:p w14:paraId="22F92273">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8、负责推进行业科学发展和建筑节能工作，推广应用新技术、新材料、新工艺。</w:t>
      </w:r>
    </w:p>
    <w:p w14:paraId="33020EEA">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9、负责房地产市场和建筑市场动态巡查工作，协助有关部门查处房地产市场和建筑市场违法案件。</w:t>
      </w:r>
    </w:p>
    <w:p w14:paraId="46BA974E">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10、指导城市建设档案管理。</w:t>
      </w:r>
    </w:p>
    <w:p w14:paraId="31B2E8CB">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11、行使市容环境卫生管理、城市规划管理、城市绿化管理、市政管理、城市燃气管理、供水管理、户外广告设施设置管理方面的法律、法规、规章规定的行政处罚权；</w:t>
      </w:r>
    </w:p>
    <w:p w14:paraId="4BB3C9D3">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12、负责市政设施、园林绿化、环境卫生、城市照明、城市燃气和户外广告设施的行业管理，承担安全监督管理责任；指导协调市容市貌和环境卫生工作，组织协调专项治理等重大活动。</w:t>
      </w:r>
    </w:p>
    <w:p w14:paraId="268031A5">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13、拟订城市维护费和专项经费的年度计划及资金划拨计划，并对使用情况实施监督。</w:t>
      </w:r>
    </w:p>
    <w:p w14:paraId="14BD0BEE">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14、组织实施市政、环卫、照明等城市基础设施的建设和维修改造，负责全县地下管线的综合协调工作。</w:t>
      </w:r>
    </w:p>
    <w:p w14:paraId="1F338A5E">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15、承办县政府和上级部门交办的其他事项。</w:t>
      </w:r>
    </w:p>
    <w:p w14:paraId="0AC1AE90">
      <w:pPr>
        <w:numPr>
          <w:ilvl w:val="0"/>
          <w:numId w:val="0"/>
        </w:numPr>
      </w:pPr>
    </w:p>
    <w:p w14:paraId="1244B18F">
      <w:pPr>
        <w:pStyle w:val="4"/>
        <w:rPr>
          <w:rStyle w:val="29"/>
          <w:b w:val="0"/>
          <w:bCs w:val="0"/>
        </w:rPr>
      </w:pPr>
      <w:bookmarkStart w:id="14" w:name="_Toc15396601"/>
      <w:bookmarkStart w:id="15" w:name="_Toc15377200"/>
      <w:r>
        <w:rPr>
          <w:rFonts w:hint="eastAsia" w:ascii="黑体" w:eastAsia="黑体"/>
          <w:b w:val="0"/>
        </w:rPr>
        <w:t>二、</w:t>
      </w:r>
      <w:r>
        <w:rPr>
          <w:rFonts w:hint="eastAsia" w:ascii="黑体" w:hAnsi="黑体" w:eastAsia="黑体"/>
          <w:b w:val="0"/>
        </w:rPr>
        <w:t>机</w:t>
      </w:r>
      <w:r>
        <w:rPr>
          <w:rStyle w:val="29"/>
          <w:rFonts w:hint="eastAsia" w:ascii="黑体" w:hAnsi="黑体" w:eastAsia="黑体"/>
          <w:b w:val="0"/>
          <w:bCs w:val="0"/>
        </w:rPr>
        <w:t>构设置</w:t>
      </w:r>
      <w:bookmarkEnd w:id="14"/>
      <w:bookmarkEnd w:id="15"/>
    </w:p>
    <w:p w14:paraId="67591326">
      <w:pPr>
        <w:ind w:firstLine="800" w:firstLineChars="250"/>
        <w:rPr>
          <w:rFonts w:ascii="仿宋" w:hAnsi="仿宋" w:eastAsia="仿宋"/>
          <w:sz w:val="32"/>
          <w:szCs w:val="32"/>
        </w:rPr>
      </w:pPr>
      <w:r>
        <w:rPr>
          <w:sz w:val="32"/>
          <w:szCs w:val="32"/>
        </w:rPr>
        <w:t>红原县住房和城乡建设局本级</w:t>
      </w:r>
      <w:r>
        <w:rPr>
          <w:rFonts w:hint="eastAsia" w:ascii="仿宋" w:hAnsi="仿宋" w:eastAsia="仿宋"/>
          <w:sz w:val="32"/>
          <w:szCs w:val="32"/>
        </w:rPr>
        <w:t>下属二级预算单位</w:t>
      </w:r>
      <w:r>
        <w:rPr>
          <w:sz w:val="32"/>
          <w:szCs w:val="32"/>
        </w:rPr>
        <w:t>2</w:t>
      </w:r>
      <w:r>
        <w:rPr>
          <w:rFonts w:hint="eastAsia" w:ascii="仿宋" w:hAnsi="仿宋" w:eastAsia="仿宋"/>
          <w:sz w:val="32"/>
          <w:szCs w:val="32"/>
        </w:rPr>
        <w:t>个，其中行政单位</w:t>
      </w:r>
      <w:r>
        <w:rPr>
          <w:rFonts w:hint="eastAsia" w:ascii="仿宋" w:hAnsi="仿宋" w:eastAsia="仿宋"/>
          <w:sz w:val="32"/>
          <w:szCs w:val="32"/>
          <w:lang w:val="en-US" w:eastAsia="zh-CN"/>
        </w:rPr>
        <w:t>1</w:t>
      </w:r>
      <w:r>
        <w:rPr>
          <w:rFonts w:hint="eastAsia" w:ascii="仿宋" w:hAnsi="仿宋" w:eastAsia="仿宋"/>
          <w:sz w:val="32"/>
          <w:szCs w:val="32"/>
        </w:rPr>
        <w:t>个，参照公务员法管理的事业单位</w:t>
      </w:r>
      <w:r>
        <w:rPr>
          <w:rFonts w:hint="eastAsia" w:ascii="仿宋" w:hAnsi="仿宋" w:eastAsia="仿宋"/>
          <w:bCs/>
          <w:sz w:val="32"/>
          <w:szCs w:val="32"/>
          <w:lang w:val="en-US" w:eastAsia="zh-CN"/>
        </w:rPr>
        <w:t>1</w:t>
      </w:r>
      <w:r>
        <w:rPr>
          <w:rFonts w:hint="eastAsia" w:ascii="仿宋" w:hAnsi="仿宋" w:eastAsia="仿宋"/>
          <w:sz w:val="32"/>
          <w:szCs w:val="32"/>
        </w:rPr>
        <w:t>个，其他事业单位</w:t>
      </w:r>
      <w:r>
        <w:rPr>
          <w:rFonts w:hint="eastAsia" w:ascii="仿宋" w:hAnsi="仿宋" w:eastAsia="仿宋"/>
          <w:sz w:val="32"/>
          <w:szCs w:val="32"/>
          <w:lang w:val="en-US" w:eastAsia="zh-CN"/>
        </w:rPr>
        <w:t>0</w:t>
      </w:r>
      <w:r>
        <w:rPr>
          <w:rFonts w:hint="eastAsia" w:ascii="仿宋" w:hAnsi="仿宋" w:eastAsia="仿宋"/>
          <w:sz w:val="32"/>
          <w:szCs w:val="32"/>
        </w:rPr>
        <w:t>个。</w:t>
      </w:r>
    </w:p>
    <w:p w14:paraId="44EECD8F">
      <w:pPr>
        <w:pStyle w:val="6"/>
        <w:adjustRightInd w:val="0"/>
        <w:snapToGrid w:val="0"/>
        <w:spacing w:before="93" w:line="600" w:lineRule="exact"/>
        <w:ind w:firstLine="672" w:firstLineChars="210"/>
        <w:rPr>
          <w:rFonts w:ascii="仿宋" w:hAnsi="仿宋" w:eastAsia="仿宋"/>
          <w:sz w:val="32"/>
          <w:szCs w:val="32"/>
        </w:rPr>
      </w:pPr>
      <w:r>
        <w:rPr>
          <w:rFonts w:hint="eastAsia" w:ascii="仿宋" w:hAnsi="仿宋" w:eastAsia="仿宋"/>
          <w:sz w:val="32"/>
          <w:szCs w:val="32"/>
        </w:rPr>
        <w:t>纳入</w:t>
      </w:r>
      <w:r>
        <w:rPr>
          <w:rFonts w:ascii="Times New Roman" w:eastAsia="宋体"/>
          <w:kern w:val="2"/>
          <w:sz w:val="32"/>
          <w:szCs w:val="32"/>
        </w:rPr>
        <w:t>红原县住房和城乡建设局本级</w:t>
      </w: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年度部门决算编制范围的二级预算单位包括：</w:t>
      </w:r>
    </w:p>
    <w:p w14:paraId="48EFB2DD">
      <w:pPr>
        <w:pStyle w:val="6"/>
        <w:numPr>
          <w:ilvl w:val="0"/>
          <w:numId w:val="2"/>
        </w:numPr>
        <w:adjustRightInd w:val="0"/>
        <w:snapToGrid w:val="0"/>
        <w:spacing w:before="93" w:line="600" w:lineRule="exact"/>
        <w:outlineLvl w:val="2"/>
        <w:rPr>
          <w:rFonts w:ascii="仿宋" w:hAnsi="仿宋" w:eastAsia="仿宋"/>
          <w:sz w:val="32"/>
          <w:szCs w:val="32"/>
        </w:rPr>
      </w:pPr>
      <w:bookmarkStart w:id="16" w:name="_Toc15377433"/>
      <w:bookmarkStart w:id="17" w:name="_Toc15306276"/>
      <w:bookmarkStart w:id="18" w:name="_Toc15378449"/>
      <w:bookmarkStart w:id="19" w:name="_Toc15377202"/>
      <w:r>
        <w:rPr>
          <w:rFonts w:hint="eastAsia" w:ascii="仿宋" w:hAnsi="仿宋" w:eastAsia="仿宋"/>
          <w:sz w:val="32"/>
          <w:szCs w:val="32"/>
          <w:lang w:eastAsia="zh-CN"/>
        </w:rPr>
        <w:t>红原县住房和城乡建设局</w:t>
      </w:r>
      <w:bookmarkEnd w:id="16"/>
      <w:bookmarkEnd w:id="17"/>
      <w:bookmarkEnd w:id="18"/>
      <w:bookmarkEnd w:id="19"/>
    </w:p>
    <w:p w14:paraId="6FADF470">
      <w:pPr>
        <w:pStyle w:val="6"/>
        <w:numPr>
          <w:ilvl w:val="0"/>
          <w:numId w:val="2"/>
        </w:numPr>
        <w:adjustRightInd w:val="0"/>
        <w:snapToGrid w:val="0"/>
        <w:spacing w:before="93" w:line="600" w:lineRule="exact"/>
        <w:outlineLvl w:val="2"/>
        <w:rPr>
          <w:rFonts w:ascii="仿宋" w:hAnsi="仿宋" w:eastAsia="仿宋"/>
          <w:sz w:val="32"/>
          <w:szCs w:val="32"/>
        </w:rPr>
      </w:pPr>
      <w:r>
        <w:rPr>
          <w:rFonts w:hint="eastAsia" w:ascii="仿宋" w:hAnsi="仿宋" w:eastAsia="仿宋"/>
          <w:sz w:val="32"/>
          <w:szCs w:val="32"/>
          <w:lang w:eastAsia="zh-CN"/>
        </w:rPr>
        <w:t>红原县住房和城乡建设局（事业）</w:t>
      </w:r>
    </w:p>
    <w:p w14:paraId="2FE66D08">
      <w:pPr>
        <w:widowControl/>
        <w:jc w:val="left"/>
        <w:rPr>
          <w:rFonts w:ascii="仿宋" w:hAnsi="仿宋" w:eastAsia="仿宋"/>
          <w:kern w:val="0"/>
          <w:sz w:val="32"/>
          <w:szCs w:val="32"/>
        </w:rPr>
      </w:pPr>
      <w:r>
        <w:rPr>
          <w:rFonts w:ascii="仿宋" w:hAnsi="仿宋" w:eastAsia="仿宋"/>
          <w:sz w:val="32"/>
          <w:szCs w:val="32"/>
        </w:rPr>
        <w:br w:type="page"/>
      </w:r>
    </w:p>
    <w:p w14:paraId="171C2B24">
      <w:pPr>
        <w:pStyle w:val="3"/>
        <w:ind w:right="440"/>
        <w:jc w:val="center"/>
        <w:rPr>
          <w:rStyle w:val="28"/>
          <w:rFonts w:ascii="黑体" w:hAnsi="黑体" w:eastAsia="黑体"/>
          <w:b w:val="0"/>
          <w:bCs/>
        </w:rPr>
      </w:pPr>
      <w:bookmarkStart w:id="20" w:name="_Toc15396602"/>
      <w:bookmarkStart w:id="21" w:name="_Toc15377204"/>
      <w:r>
        <w:rPr>
          <w:rFonts w:hint="eastAsia" w:ascii="黑体" w:hAnsi="黑体" w:eastAsia="黑体"/>
          <w:b w:val="0"/>
        </w:rPr>
        <w:t>第二部分 202</w:t>
      </w:r>
      <w:r>
        <w:rPr>
          <w:rFonts w:hint="eastAsia" w:ascii="黑体" w:hAnsi="黑体" w:eastAsia="黑体"/>
          <w:b w:val="0"/>
          <w:lang w:val="en-US" w:eastAsia="zh-CN"/>
        </w:rPr>
        <w:t>5</w:t>
      </w:r>
      <w:r>
        <w:rPr>
          <w:rFonts w:hint="eastAsia" w:ascii="黑体" w:hAnsi="黑体" w:eastAsia="黑体"/>
          <w:b w:val="0"/>
        </w:rPr>
        <w:t>年度</w:t>
      </w:r>
      <w:r>
        <w:rPr>
          <w:rStyle w:val="28"/>
          <w:rFonts w:hint="eastAsia" w:ascii="黑体" w:hAnsi="黑体" w:eastAsia="黑体"/>
          <w:b w:val="0"/>
          <w:bCs/>
        </w:rPr>
        <w:t>部门决算情况说明</w:t>
      </w:r>
      <w:bookmarkEnd w:id="20"/>
      <w:bookmarkEnd w:id="21"/>
    </w:p>
    <w:p w14:paraId="5F536ECD"/>
    <w:p w14:paraId="6A8016EF">
      <w:pPr>
        <w:pStyle w:val="27"/>
        <w:numPr>
          <w:ilvl w:val="0"/>
          <w:numId w:val="3"/>
        </w:numPr>
        <w:spacing w:line="600" w:lineRule="exact"/>
        <w:ind w:firstLineChars="0"/>
        <w:outlineLvl w:val="1"/>
        <w:rPr>
          <w:rStyle w:val="29"/>
          <w:rFonts w:ascii="黑体" w:hAnsi="黑体" w:eastAsia="黑体"/>
          <w:b w:val="0"/>
        </w:rPr>
      </w:pPr>
      <w:bookmarkStart w:id="22" w:name="_Toc15377205"/>
      <w:bookmarkStart w:id="23" w:name="_Toc15396603"/>
      <w:r>
        <w:rPr>
          <w:rFonts w:hint="eastAsia" w:ascii="黑体" w:hAnsi="黑体" w:eastAsia="黑体"/>
          <w:sz w:val="32"/>
          <w:szCs w:val="32"/>
        </w:rPr>
        <w:t>收</w:t>
      </w:r>
      <w:r>
        <w:rPr>
          <w:rStyle w:val="29"/>
          <w:rFonts w:hint="eastAsia" w:ascii="黑体" w:hAnsi="黑体" w:eastAsia="黑体"/>
          <w:b w:val="0"/>
        </w:rPr>
        <w:t>入支出决算总体情况说明</w:t>
      </w:r>
      <w:bookmarkEnd w:id="22"/>
      <w:bookmarkEnd w:id="23"/>
    </w:p>
    <w:p w14:paraId="6D262927">
      <w:pPr>
        <w:spacing w:line="600" w:lineRule="exact"/>
        <w:ind w:firstLine="640" w:firstLineChars="200"/>
        <w:jc w:val="left"/>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年度收、支总计均为</w:t>
      </w:r>
      <w:r>
        <w:rPr>
          <w:rFonts w:hint="eastAsia" w:ascii="仿宋_GB2312" w:hAnsi="仿宋_GB2312" w:eastAsia="仿宋_GB2312" w:cs="仿宋_GB2312"/>
          <w:kern w:val="2"/>
          <w:sz w:val="32"/>
          <w:szCs w:val="32"/>
          <w:lang w:val="en-US" w:eastAsia="zh-CN"/>
        </w:rPr>
        <w:t>41845.18</w:t>
      </w:r>
      <w:r>
        <w:rPr>
          <w:rFonts w:hint="eastAsia" w:ascii="仿宋" w:hAnsi="仿宋" w:eastAsia="仿宋"/>
          <w:sz w:val="32"/>
          <w:szCs w:val="32"/>
        </w:rPr>
        <w:t>万元</w:t>
      </w:r>
      <w:r>
        <w:rPr>
          <w:rFonts w:hint="eastAsia"/>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3</w:t>
      </w:r>
      <w:r>
        <w:rPr>
          <w:rFonts w:hint="eastAsia" w:ascii="仿宋" w:hAnsi="仿宋" w:eastAsia="仿宋"/>
          <w:sz w:val="32"/>
          <w:szCs w:val="32"/>
        </w:rPr>
        <w:t>年度相比，收、支总计</w:t>
      </w:r>
      <w:r>
        <w:rPr>
          <w:rFonts w:hint="eastAsia"/>
          <w:sz w:val="32"/>
          <w:szCs w:val="32"/>
        </w:rPr>
        <w:t>13522</w:t>
      </w:r>
      <w:r>
        <w:rPr>
          <w:rFonts w:hint="eastAsia"/>
          <w:sz w:val="32"/>
          <w:szCs w:val="32"/>
          <w:lang w:val="en-US" w:eastAsia="zh-CN"/>
        </w:rPr>
        <w:t>.</w:t>
      </w:r>
      <w:r>
        <w:rPr>
          <w:rFonts w:hint="eastAsia"/>
          <w:sz w:val="32"/>
          <w:szCs w:val="32"/>
        </w:rPr>
        <w:t>38</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 w:hAnsi="仿宋" w:eastAsia="仿宋"/>
          <w:sz w:val="32"/>
          <w:szCs w:val="32"/>
          <w:lang w:val="en-US" w:eastAsia="zh-CN"/>
        </w:rPr>
        <w:t>增加</w:t>
      </w:r>
      <w:r>
        <w:rPr>
          <w:rFonts w:hint="eastAsia" w:ascii="仿宋_GB2312" w:hAnsi="仿宋_GB2312" w:eastAsia="仿宋_GB2312" w:cs="仿宋_GB2312"/>
          <w:kern w:val="2"/>
          <w:sz w:val="32"/>
          <w:szCs w:val="32"/>
          <w:lang w:val="en-US" w:eastAsia="zh-CN"/>
        </w:rPr>
        <w:t>28335.8</w:t>
      </w:r>
      <w:r>
        <w:rPr>
          <w:rFonts w:hint="eastAsia" w:ascii="仿宋" w:hAnsi="仿宋" w:eastAsia="仿宋"/>
          <w:sz w:val="32"/>
          <w:szCs w:val="32"/>
        </w:rPr>
        <w:t>万元，</w:t>
      </w:r>
      <w:r>
        <w:rPr>
          <w:rFonts w:hint="eastAsia" w:ascii="仿宋" w:hAnsi="仿宋" w:eastAsia="仿宋"/>
          <w:sz w:val="32"/>
          <w:szCs w:val="32"/>
          <w:lang w:val="en-US" w:eastAsia="zh-CN"/>
        </w:rPr>
        <w:t>增加209.45</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val="en-US" w:eastAsia="zh-CN"/>
        </w:rPr>
        <w:t>2025年项目资金及项目数量均有所增加</w:t>
      </w:r>
      <w:r>
        <w:rPr>
          <w:rFonts w:hint="eastAsia" w:ascii="仿宋" w:hAnsi="仿宋" w:eastAsia="仿宋"/>
          <w:sz w:val="32"/>
          <w:szCs w:val="32"/>
        </w:rPr>
        <w:t>。</w:t>
      </w:r>
    </w:p>
    <w:p w14:paraId="31614F57">
      <w:pPr>
        <w:spacing w:line="600" w:lineRule="exact"/>
        <w:ind w:firstLine="640" w:firstLineChars="200"/>
        <w:rPr>
          <w:rFonts w:ascii="仿宋" w:hAnsi="仿宋" w:eastAsia="仿宋"/>
          <w:sz w:val="32"/>
          <w:szCs w:val="32"/>
        </w:rPr>
      </w:pPr>
      <w:r>
        <w:rPr>
          <w:rFonts w:hint="eastAsia" w:ascii="仿宋" w:hAnsi="仿宋" w:eastAsia="仿宋"/>
          <w:sz w:val="32"/>
          <w:szCs w:val="32"/>
        </w:rPr>
        <w:t>（图</w:t>
      </w:r>
      <w:r>
        <w:rPr>
          <w:rFonts w:ascii="仿宋" w:hAnsi="仿宋" w:eastAsia="仿宋"/>
          <w:sz w:val="32"/>
          <w:szCs w:val="32"/>
        </w:rPr>
        <w:t>1</w:t>
      </w:r>
      <w:r>
        <w:rPr>
          <w:rFonts w:hint="eastAsia" w:ascii="仿宋" w:hAnsi="仿宋" w:eastAsia="仿宋"/>
          <w:sz w:val="32"/>
          <w:szCs w:val="32"/>
        </w:rPr>
        <w:t>：收、支决算总计变动情况图）（柱状图）</w:t>
      </w:r>
    </w:p>
    <w:p w14:paraId="77173347">
      <w:pPr>
        <w:spacing w:line="600" w:lineRule="exact"/>
        <w:ind w:firstLine="640" w:firstLineChars="200"/>
        <w:jc w:val="left"/>
        <w:rPr>
          <w:rFonts w:ascii="仿宋_GB2312" w:eastAsia="仿宋_GB2312"/>
          <w:sz w:val="32"/>
          <w:szCs w:val="32"/>
        </w:rPr>
      </w:pPr>
    </w:p>
    <w:p w14:paraId="4B745AD3">
      <w:pPr>
        <w:spacing w:line="600" w:lineRule="exact"/>
        <w:ind w:firstLine="640" w:firstLineChars="200"/>
        <w:jc w:val="left"/>
        <w:rPr>
          <w:rFonts w:ascii="仿宋_GB2312" w:eastAsia="仿宋_GB2312"/>
          <w:sz w:val="32"/>
          <w:szCs w:val="32"/>
        </w:rPr>
      </w:pPr>
      <w:r>
        <w:rPr>
          <w:rFonts w:hint="eastAsia" w:ascii="仿宋_GB2312" w:hAnsi="仿宋_GB2312" w:eastAsia="仿宋_GB2312" w:cs="仿宋_GB2312"/>
          <w:sz w:val="32"/>
          <w:szCs w:val="32"/>
          <w:lang w:eastAsia="zh-CN"/>
        </w:rPr>
        <w:drawing>
          <wp:anchor distT="0" distB="0" distL="114300" distR="114300" simplePos="0" relativeHeight="251659264" behindDoc="0" locked="0" layoutInCell="1" allowOverlap="1">
            <wp:simplePos x="0" y="0"/>
            <wp:positionH relativeFrom="column">
              <wp:posOffset>90805</wp:posOffset>
            </wp:positionH>
            <wp:positionV relativeFrom="paragraph">
              <wp:posOffset>229235</wp:posOffset>
            </wp:positionV>
            <wp:extent cx="5266690" cy="4630420"/>
            <wp:effectExtent l="4445" t="4445" r="5715" b="13335"/>
            <wp:wrapSquare wrapText="bothSides"/>
            <wp:docPr id="47" name="图表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45A767F4">
      <w:pPr>
        <w:pStyle w:val="27"/>
        <w:numPr>
          <w:ilvl w:val="0"/>
          <w:numId w:val="3"/>
        </w:numPr>
        <w:spacing w:line="600" w:lineRule="exact"/>
        <w:ind w:firstLineChars="0"/>
        <w:outlineLvl w:val="1"/>
        <w:rPr>
          <w:rStyle w:val="29"/>
          <w:rFonts w:ascii="黑体" w:hAnsi="黑体" w:eastAsia="黑体"/>
          <w:b w:val="0"/>
        </w:rPr>
      </w:pPr>
      <w:bookmarkStart w:id="24" w:name="_Toc15396604"/>
      <w:bookmarkStart w:id="25" w:name="_Toc15377206"/>
      <w:r>
        <w:rPr>
          <w:rFonts w:hint="eastAsia" w:ascii="黑体" w:hAnsi="黑体" w:eastAsia="黑体"/>
          <w:sz w:val="32"/>
          <w:szCs w:val="32"/>
        </w:rPr>
        <w:t>收</w:t>
      </w:r>
      <w:r>
        <w:rPr>
          <w:rStyle w:val="29"/>
          <w:rFonts w:hint="eastAsia" w:ascii="黑体" w:hAnsi="黑体" w:eastAsia="黑体"/>
          <w:b w:val="0"/>
        </w:rPr>
        <w:t>入决算情况说明</w:t>
      </w:r>
      <w:bookmarkEnd w:id="24"/>
      <w:bookmarkEnd w:id="25"/>
    </w:p>
    <w:p w14:paraId="19957CDB">
      <w:pPr>
        <w:spacing w:line="600" w:lineRule="exact"/>
        <w:ind w:firstLine="640" w:firstLineChars="200"/>
        <w:jc w:val="left"/>
        <w:outlineLvl w:val="1"/>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年度本年收入合计</w:t>
      </w:r>
      <w:r>
        <w:rPr>
          <w:rFonts w:hint="eastAsia" w:ascii="仿宋_GB2312" w:hAnsi="仿宋_GB2312" w:eastAsia="仿宋_GB2312" w:cs="仿宋_GB2312"/>
          <w:kern w:val="2"/>
          <w:sz w:val="32"/>
          <w:szCs w:val="32"/>
          <w:lang w:val="en-US" w:eastAsia="zh-CN"/>
        </w:rPr>
        <w:t>41845.18</w:t>
      </w:r>
      <w:r>
        <w:rPr>
          <w:rFonts w:hint="eastAsia" w:ascii="仿宋" w:hAnsi="仿宋" w:eastAsia="仿宋"/>
          <w:sz w:val="32"/>
          <w:szCs w:val="32"/>
        </w:rPr>
        <w:t>万元，其中：一般公共预算财政拨款收入</w:t>
      </w:r>
      <w:r>
        <w:rPr>
          <w:rFonts w:ascii="仿宋_GB2312" w:hAnsi="仿宋_GB2312" w:eastAsia="仿宋_GB2312" w:cs="仿宋_GB2312"/>
          <w:kern w:val="2"/>
          <w:sz w:val="32"/>
          <w:szCs w:val="32"/>
        </w:rPr>
        <w:t>21410</w:t>
      </w:r>
      <w:r>
        <w:rPr>
          <w:rFonts w:hint="eastAsia" w:ascii="仿宋_GB2312" w:hAnsi="仿宋_GB2312" w:eastAsia="仿宋_GB2312" w:cs="仿宋_GB2312"/>
          <w:kern w:val="2"/>
          <w:sz w:val="32"/>
          <w:szCs w:val="32"/>
          <w:lang w:val="en-US" w:eastAsia="zh-CN"/>
        </w:rPr>
        <w:t>.90</w:t>
      </w:r>
      <w:r>
        <w:rPr>
          <w:rFonts w:hint="eastAsia" w:ascii="仿宋" w:hAnsi="仿宋" w:eastAsia="仿宋"/>
          <w:sz w:val="32"/>
          <w:szCs w:val="32"/>
        </w:rPr>
        <w:t>万元，占</w:t>
      </w:r>
      <w:r>
        <w:rPr>
          <w:rFonts w:hint="eastAsia" w:eastAsia="仿宋"/>
          <w:sz w:val="32"/>
          <w:szCs w:val="32"/>
          <w:lang w:val="en-US" w:eastAsia="zh-CN"/>
        </w:rPr>
        <w:t>51.16</w:t>
      </w:r>
      <w:r>
        <w:rPr>
          <w:rFonts w:ascii="仿宋" w:hAnsi="仿宋" w:eastAsia="仿宋"/>
          <w:sz w:val="32"/>
          <w:szCs w:val="32"/>
        </w:rPr>
        <w:t>%</w:t>
      </w:r>
      <w:r>
        <w:rPr>
          <w:rFonts w:hint="eastAsia" w:ascii="仿宋" w:hAnsi="仿宋" w:eastAsia="仿宋"/>
          <w:sz w:val="32"/>
          <w:szCs w:val="32"/>
        </w:rPr>
        <w:t>；政府性基金预算财政拨款收入</w:t>
      </w:r>
      <w:r>
        <w:rPr>
          <w:rFonts w:ascii="仿宋_GB2312" w:hAnsi="仿宋_GB2312" w:eastAsia="仿宋_GB2312" w:cs="仿宋_GB2312"/>
          <w:kern w:val="2"/>
          <w:sz w:val="32"/>
          <w:szCs w:val="32"/>
        </w:rPr>
        <w:t>20434</w:t>
      </w:r>
      <w:r>
        <w:rPr>
          <w:rFonts w:hint="eastAsia" w:ascii="仿宋_GB2312" w:hAnsi="仿宋_GB2312" w:eastAsia="仿宋_GB2312" w:cs="仿宋_GB2312"/>
          <w:kern w:val="2"/>
          <w:sz w:val="32"/>
          <w:szCs w:val="32"/>
          <w:lang w:val="en-US" w:eastAsia="zh-CN"/>
        </w:rPr>
        <w:t>.</w:t>
      </w:r>
      <w:r>
        <w:rPr>
          <w:rFonts w:ascii="仿宋_GB2312" w:hAnsi="仿宋_GB2312" w:eastAsia="仿宋_GB2312" w:cs="仿宋_GB2312"/>
          <w:kern w:val="2"/>
          <w:sz w:val="32"/>
          <w:szCs w:val="32"/>
        </w:rPr>
        <w:t>28</w:t>
      </w:r>
      <w:r>
        <w:rPr>
          <w:rFonts w:hint="eastAsia" w:ascii="仿宋" w:hAnsi="仿宋" w:eastAsia="仿宋"/>
          <w:sz w:val="32"/>
          <w:szCs w:val="32"/>
        </w:rPr>
        <w:t>万元，占</w:t>
      </w:r>
      <w:r>
        <w:rPr>
          <w:rFonts w:hint="eastAsia" w:eastAsia="仿宋"/>
          <w:sz w:val="32"/>
          <w:szCs w:val="32"/>
          <w:lang w:val="en-US" w:eastAsia="zh-CN"/>
        </w:rPr>
        <w:t>48.83</w:t>
      </w:r>
      <w:r>
        <w:rPr>
          <w:rFonts w:ascii="仿宋" w:hAnsi="仿宋" w:eastAsia="仿宋"/>
          <w:sz w:val="32"/>
          <w:szCs w:val="32"/>
        </w:rPr>
        <w:t>%</w:t>
      </w:r>
      <w:r>
        <w:rPr>
          <w:rFonts w:hint="eastAsia" w:ascii="仿宋" w:hAnsi="仿宋" w:eastAsia="仿宋"/>
          <w:sz w:val="32"/>
          <w:szCs w:val="32"/>
        </w:rPr>
        <w:t>；国有资本经营预算财政拨款收入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；上级补助收入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；事业收入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；附属单位上缴收入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；其他收入</w:t>
      </w:r>
      <w:r>
        <w:rPr>
          <w:rFonts w:hint="eastAsia" w:eastAsia="仿宋"/>
          <w:sz w:val="32"/>
          <w:szCs w:val="32"/>
          <w:lang w:val="en-US" w:eastAsia="zh-CN"/>
        </w:rPr>
        <w:t>0</w:t>
      </w:r>
      <w:r>
        <w:rPr>
          <w:rFonts w:hint="eastAsia" w:ascii="仿宋" w:hAnsi="仿宋" w:eastAsia="仿宋"/>
          <w:sz w:val="32"/>
          <w:szCs w:val="32"/>
        </w:rPr>
        <w:t>万元，占</w:t>
      </w:r>
      <w:r>
        <w:rPr>
          <w:rFonts w:hint="eastAsia"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w:t>
      </w:r>
    </w:p>
    <w:p w14:paraId="6548A859">
      <w:pPr>
        <w:spacing w:line="600" w:lineRule="exact"/>
        <w:ind w:firstLine="643" w:firstLineChars="200"/>
        <w:outlineLvl w:val="1"/>
        <w:rPr>
          <w:rFonts w:ascii="仿宋" w:hAnsi="仿宋" w:eastAsia="仿宋"/>
          <w:sz w:val="32"/>
          <w:szCs w:val="32"/>
        </w:rPr>
      </w:pPr>
      <w:r>
        <w:rPr>
          <w:rFonts w:hint="eastAsia" w:ascii="仿宋" w:hAnsi="仿宋" w:eastAsia="仿宋"/>
          <w:b/>
          <w:sz w:val="32"/>
          <w:szCs w:val="32"/>
        </w:rPr>
        <w:t>（注：数据来源于财决</w:t>
      </w:r>
      <w:r>
        <w:rPr>
          <w:rFonts w:ascii="仿宋" w:hAnsi="仿宋" w:eastAsia="仿宋"/>
          <w:b/>
          <w:sz w:val="32"/>
          <w:szCs w:val="32"/>
        </w:rPr>
        <w:t>01表</w:t>
      </w:r>
      <w:r>
        <w:rPr>
          <w:rFonts w:hint="eastAsia" w:ascii="仿宋" w:hAnsi="仿宋" w:eastAsia="仿宋"/>
          <w:b/>
          <w:sz w:val="32"/>
          <w:szCs w:val="32"/>
        </w:rPr>
        <w:t>，仅罗列本部门涉及的收入。</w:t>
      </w:r>
      <w:r>
        <w:rPr>
          <w:rFonts w:ascii="仿宋" w:hAnsi="仿宋" w:eastAsia="仿宋"/>
          <w:b/>
          <w:sz w:val="32"/>
          <w:szCs w:val="32"/>
        </w:rPr>
        <w:t>）</w:t>
      </w:r>
    </w:p>
    <w:p w14:paraId="401C7C4B">
      <w:pPr>
        <w:spacing w:line="600" w:lineRule="exact"/>
        <w:ind w:firstLine="640" w:firstLineChars="200"/>
        <w:rPr>
          <w:rFonts w:ascii="仿宋_GB2312" w:eastAsia="仿宋_GB2312"/>
          <w:sz w:val="32"/>
          <w:szCs w:val="32"/>
        </w:rPr>
      </w:pPr>
      <w:r>
        <w:rPr>
          <w:rFonts w:hint="eastAsia" w:ascii="仿宋" w:hAnsi="仿宋" w:eastAsia="仿宋"/>
          <w:sz w:val="32"/>
          <w:szCs w:val="32"/>
        </w:rPr>
        <w:t>（图2：收入决算结构图）（饼状图）</w:t>
      </w:r>
    </w:p>
    <w:p w14:paraId="0F46E51E">
      <w:pPr>
        <w:pStyle w:val="2"/>
        <w:rPr>
          <w:rFonts w:ascii="仿宋_GB2312" w:eastAsia="仿宋_GB2312"/>
          <w:sz w:val="32"/>
          <w:szCs w:val="32"/>
        </w:rPr>
      </w:pPr>
    </w:p>
    <w:p w14:paraId="186FE276">
      <w:r>
        <w:rPr>
          <w:rFonts w:hint="eastAsia" w:ascii="仿宋_GB2312" w:hAnsi="仿宋_GB2312" w:eastAsia="仿宋_GB2312" w:cs="仿宋_GB2312"/>
          <w:sz w:val="32"/>
          <w:szCs w:val="32"/>
          <w:lang w:eastAsia="zh-CN"/>
        </w:rPr>
        <w:drawing>
          <wp:anchor distT="0" distB="0" distL="114300" distR="114300" simplePos="0" relativeHeight="251660288" behindDoc="0" locked="0" layoutInCell="1" allowOverlap="1">
            <wp:simplePos x="0" y="0"/>
            <wp:positionH relativeFrom="column">
              <wp:posOffset>185420</wp:posOffset>
            </wp:positionH>
            <wp:positionV relativeFrom="paragraph">
              <wp:posOffset>37465</wp:posOffset>
            </wp:positionV>
            <wp:extent cx="4747260" cy="2736850"/>
            <wp:effectExtent l="4445" t="4445" r="10795" b="20955"/>
            <wp:wrapSquare wrapText="bothSides"/>
            <wp:docPr id="51" name="图表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54AA232F">
      <w:pPr>
        <w:pStyle w:val="27"/>
        <w:numPr>
          <w:ilvl w:val="0"/>
          <w:numId w:val="3"/>
        </w:numPr>
        <w:spacing w:line="600" w:lineRule="exact"/>
        <w:ind w:firstLineChars="0"/>
        <w:outlineLvl w:val="1"/>
        <w:rPr>
          <w:rStyle w:val="29"/>
          <w:rFonts w:ascii="黑体" w:hAnsi="黑体" w:eastAsia="黑体"/>
          <w:b w:val="0"/>
        </w:rPr>
      </w:pPr>
      <w:bookmarkStart w:id="26" w:name="_Toc15377207"/>
      <w:bookmarkStart w:id="27" w:name="_Toc15396605"/>
      <w:r>
        <w:rPr>
          <w:rFonts w:hint="eastAsia" w:ascii="黑体" w:hAnsi="黑体" w:eastAsia="黑体"/>
          <w:sz w:val="32"/>
          <w:szCs w:val="32"/>
        </w:rPr>
        <w:t>支</w:t>
      </w:r>
      <w:r>
        <w:rPr>
          <w:rStyle w:val="29"/>
          <w:rFonts w:hint="eastAsia" w:ascii="黑体" w:hAnsi="黑体" w:eastAsia="黑体"/>
          <w:b w:val="0"/>
        </w:rPr>
        <w:t>出决算情况说明</w:t>
      </w:r>
      <w:bookmarkEnd w:id="26"/>
      <w:bookmarkEnd w:id="27"/>
    </w:p>
    <w:p w14:paraId="2CE99198">
      <w:pPr>
        <w:spacing w:line="600" w:lineRule="exact"/>
        <w:ind w:firstLine="640" w:firstLineChars="200"/>
        <w:outlineLvl w:val="1"/>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年度本年支出合计</w:t>
      </w:r>
      <w:r>
        <w:rPr>
          <w:rFonts w:hint="eastAsia" w:ascii="仿宋_GB2312" w:hAnsi="仿宋_GB2312" w:eastAsia="仿宋_GB2312" w:cs="仿宋_GB2312"/>
          <w:kern w:val="2"/>
          <w:sz w:val="32"/>
          <w:szCs w:val="32"/>
          <w:lang w:val="en-US" w:eastAsia="zh-CN"/>
        </w:rPr>
        <w:t>41845.18</w:t>
      </w:r>
      <w:r>
        <w:rPr>
          <w:rFonts w:hint="eastAsia" w:ascii="仿宋" w:hAnsi="仿宋" w:eastAsia="仿宋"/>
          <w:sz w:val="32"/>
          <w:szCs w:val="32"/>
        </w:rPr>
        <w:t>万元，其中：基本支出</w:t>
      </w:r>
      <w:r>
        <w:rPr>
          <w:rFonts w:hint="eastAsia" w:ascii="仿宋_GB2312" w:eastAsia="仿宋_GB2312"/>
          <w:sz w:val="32"/>
          <w:szCs w:val="32"/>
        </w:rPr>
        <w:t>1,008.44</w:t>
      </w:r>
      <w:r>
        <w:rPr>
          <w:rFonts w:hint="eastAsia" w:ascii="仿宋" w:hAnsi="仿宋" w:eastAsia="仿宋"/>
          <w:sz w:val="32"/>
          <w:szCs w:val="32"/>
        </w:rPr>
        <w:t>万元，占</w:t>
      </w:r>
      <w:r>
        <w:rPr>
          <w:rFonts w:hint="eastAsia" w:eastAsia="仿宋"/>
          <w:sz w:val="32"/>
          <w:szCs w:val="32"/>
          <w:lang w:val="en-US" w:eastAsia="zh-CN"/>
        </w:rPr>
        <w:t>2.4</w:t>
      </w:r>
      <w:r>
        <w:rPr>
          <w:rFonts w:ascii="仿宋" w:hAnsi="仿宋" w:eastAsia="仿宋"/>
          <w:sz w:val="32"/>
          <w:szCs w:val="32"/>
        </w:rPr>
        <w:t>%</w:t>
      </w:r>
      <w:r>
        <w:rPr>
          <w:rFonts w:hint="eastAsia" w:ascii="仿宋" w:hAnsi="仿宋" w:eastAsia="仿宋"/>
          <w:sz w:val="32"/>
          <w:szCs w:val="32"/>
        </w:rPr>
        <w:t>；项目支出</w:t>
      </w:r>
      <w:r>
        <w:rPr>
          <w:rFonts w:hint="eastAsia" w:eastAsia="仿宋"/>
          <w:sz w:val="32"/>
          <w:szCs w:val="32"/>
          <w:lang w:val="en-US" w:eastAsia="zh-CN"/>
        </w:rPr>
        <w:t>40836.74</w:t>
      </w:r>
      <w:r>
        <w:rPr>
          <w:rFonts w:hint="eastAsia" w:ascii="仿宋" w:hAnsi="仿宋" w:eastAsia="仿宋"/>
          <w:sz w:val="32"/>
          <w:szCs w:val="32"/>
        </w:rPr>
        <w:t>万元，占</w:t>
      </w:r>
      <w:r>
        <w:rPr>
          <w:rFonts w:hint="eastAsia" w:eastAsia="仿宋"/>
          <w:sz w:val="32"/>
          <w:szCs w:val="32"/>
          <w:lang w:val="en-US" w:eastAsia="zh-CN"/>
        </w:rPr>
        <w:t>97.59</w:t>
      </w:r>
      <w:r>
        <w:rPr>
          <w:rFonts w:ascii="仿宋" w:hAnsi="仿宋" w:eastAsia="仿宋"/>
          <w:sz w:val="32"/>
          <w:szCs w:val="32"/>
        </w:rPr>
        <w:t>%</w:t>
      </w:r>
      <w:r>
        <w:rPr>
          <w:rFonts w:hint="eastAsia" w:ascii="仿宋" w:hAnsi="仿宋" w:eastAsia="仿宋"/>
          <w:sz w:val="32"/>
          <w:szCs w:val="32"/>
        </w:rPr>
        <w:t>；上缴上级支出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；对附属单位补助支出</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p>
    <w:p w14:paraId="2C64BADD">
      <w:pPr>
        <w:spacing w:line="600" w:lineRule="exact"/>
        <w:outlineLvl w:val="1"/>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04</w:t>
      </w:r>
      <w:r>
        <w:rPr>
          <w:rFonts w:hint="eastAsia" w:ascii="仿宋" w:hAnsi="仿宋" w:eastAsia="仿宋"/>
          <w:b/>
          <w:sz w:val="32"/>
          <w:szCs w:val="32"/>
        </w:rPr>
        <w:t>表，仅罗列本部门涉及的支出。）</w:t>
      </w:r>
    </w:p>
    <w:p w14:paraId="05B7B30F">
      <w:pPr>
        <w:spacing w:line="600" w:lineRule="exact"/>
        <w:ind w:firstLine="1280" w:firstLineChars="400"/>
        <w:rPr>
          <w:rFonts w:hint="eastAsia" w:ascii="仿宋" w:hAnsi="仿宋" w:eastAsia="仿宋"/>
          <w:sz w:val="32"/>
          <w:szCs w:val="32"/>
        </w:rPr>
      </w:pPr>
    </w:p>
    <w:p w14:paraId="7620E0C5">
      <w:pPr>
        <w:spacing w:line="600" w:lineRule="exact"/>
        <w:ind w:firstLine="1280" w:firstLineChars="400"/>
        <w:rPr>
          <w:rFonts w:hint="eastAsia" w:ascii="仿宋" w:hAnsi="仿宋" w:eastAsia="仿宋"/>
          <w:sz w:val="32"/>
          <w:szCs w:val="32"/>
        </w:rPr>
      </w:pPr>
      <w:r>
        <w:rPr>
          <w:rFonts w:hint="eastAsia" w:ascii="仿宋" w:hAnsi="仿宋" w:eastAsia="仿宋"/>
          <w:sz w:val="32"/>
          <w:szCs w:val="32"/>
        </w:rPr>
        <w:t>（图3：支出决算结构图）（饼状图）</w:t>
      </w:r>
    </w:p>
    <w:p w14:paraId="5A350B7C">
      <w:pPr>
        <w:spacing w:line="600" w:lineRule="exact"/>
        <w:ind w:firstLine="1280" w:firstLineChars="400"/>
        <w:rPr>
          <w:rFonts w:ascii="仿宋_GB2312" w:eastAsia="仿宋_GB2312"/>
          <w:sz w:val="32"/>
          <w:szCs w:val="32"/>
        </w:rPr>
      </w:pPr>
      <w:r>
        <w:rPr>
          <w:rFonts w:hint="eastAsia" w:ascii="仿宋_GB2312" w:hAnsi="仿宋_GB2312" w:eastAsia="仿宋_GB2312" w:cs="仿宋_GB2312"/>
          <w:sz w:val="32"/>
          <w:szCs w:val="32"/>
          <w:lang w:eastAsia="zh-CN"/>
        </w:rPr>
        <w:drawing>
          <wp:anchor distT="0" distB="0" distL="114300" distR="114300" simplePos="0" relativeHeight="251661312" behindDoc="0" locked="0" layoutInCell="1" allowOverlap="1">
            <wp:simplePos x="0" y="0"/>
            <wp:positionH relativeFrom="column">
              <wp:posOffset>233045</wp:posOffset>
            </wp:positionH>
            <wp:positionV relativeFrom="paragraph">
              <wp:posOffset>327660</wp:posOffset>
            </wp:positionV>
            <wp:extent cx="5282565" cy="3547110"/>
            <wp:effectExtent l="4445" t="4445" r="8890" b="1079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5C0CFEDE">
      <w:pPr>
        <w:spacing w:line="600" w:lineRule="exact"/>
        <w:ind w:firstLine="640" w:firstLineChars="200"/>
        <w:outlineLvl w:val="1"/>
        <w:rPr>
          <w:rStyle w:val="29"/>
          <w:rFonts w:ascii="黑体" w:hAnsi="黑体" w:eastAsia="黑体"/>
          <w:b w:val="0"/>
        </w:rPr>
      </w:pPr>
      <w:bookmarkStart w:id="28" w:name="_Toc15377208"/>
      <w:bookmarkStart w:id="29" w:name="_Toc15396606"/>
      <w:r>
        <w:rPr>
          <w:rFonts w:hint="eastAsia" w:ascii="黑体" w:hAnsi="黑体" w:eastAsia="黑体"/>
          <w:sz w:val="32"/>
          <w:szCs w:val="32"/>
        </w:rPr>
        <w:t>四、财</w:t>
      </w:r>
      <w:r>
        <w:rPr>
          <w:rStyle w:val="29"/>
          <w:rFonts w:hint="eastAsia" w:ascii="黑体" w:hAnsi="黑体" w:eastAsia="黑体"/>
          <w:b w:val="0"/>
        </w:rPr>
        <w:t>政拨款收入支出决算总体情况说明</w:t>
      </w:r>
      <w:bookmarkEnd w:id="28"/>
      <w:bookmarkEnd w:id="29"/>
    </w:p>
    <w:p w14:paraId="02AEDACB">
      <w:pPr>
        <w:spacing w:line="600" w:lineRule="exact"/>
        <w:ind w:firstLine="640" w:firstLineChars="200"/>
        <w:jc w:val="left"/>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年度财政拨款收、支总计均为</w:t>
      </w:r>
      <w:r>
        <w:rPr>
          <w:rFonts w:hint="eastAsia" w:ascii="仿宋_GB2312" w:hAnsi="仿宋_GB2312" w:eastAsia="仿宋_GB2312" w:cs="仿宋_GB2312"/>
          <w:kern w:val="2"/>
          <w:sz w:val="32"/>
          <w:szCs w:val="32"/>
          <w:lang w:val="en-US" w:eastAsia="zh-CN"/>
        </w:rPr>
        <w:t>41845.18</w:t>
      </w:r>
      <w:r>
        <w:rPr>
          <w:rFonts w:hint="eastAsia" w:ascii="仿宋" w:hAnsi="仿宋" w:eastAsia="仿宋"/>
          <w:sz w:val="32"/>
          <w:szCs w:val="32"/>
        </w:rPr>
        <w:t>万元。与202</w:t>
      </w:r>
      <w:r>
        <w:rPr>
          <w:rFonts w:hint="eastAsia" w:ascii="仿宋" w:hAnsi="仿宋" w:eastAsia="仿宋"/>
          <w:sz w:val="32"/>
          <w:szCs w:val="32"/>
          <w:lang w:val="en-US" w:eastAsia="zh-CN"/>
        </w:rPr>
        <w:t>3</w:t>
      </w:r>
      <w:r>
        <w:rPr>
          <w:rFonts w:hint="eastAsia" w:ascii="仿宋" w:hAnsi="仿宋" w:eastAsia="仿宋"/>
          <w:sz w:val="32"/>
          <w:szCs w:val="32"/>
        </w:rPr>
        <w:t>年</w:t>
      </w:r>
      <w:r>
        <w:rPr>
          <w:rFonts w:hint="eastAsia"/>
          <w:sz w:val="32"/>
          <w:szCs w:val="32"/>
        </w:rPr>
        <w:t>13522</w:t>
      </w:r>
      <w:r>
        <w:rPr>
          <w:rFonts w:hint="eastAsia"/>
          <w:sz w:val="32"/>
          <w:szCs w:val="32"/>
          <w:lang w:val="en-US" w:eastAsia="zh-CN"/>
        </w:rPr>
        <w:t>.</w:t>
      </w:r>
      <w:r>
        <w:rPr>
          <w:rFonts w:hint="eastAsia"/>
          <w:sz w:val="32"/>
          <w:szCs w:val="32"/>
        </w:rPr>
        <w:t>38</w:t>
      </w:r>
      <w:r>
        <w:rPr>
          <w:rFonts w:hint="eastAsia" w:ascii="仿宋" w:hAnsi="仿宋" w:eastAsia="仿宋"/>
          <w:sz w:val="32"/>
          <w:szCs w:val="32"/>
        </w:rPr>
        <w:t>度相比，财政拨款收、支总计</w:t>
      </w:r>
      <w:r>
        <w:rPr>
          <w:rFonts w:hint="eastAsia" w:ascii="仿宋" w:hAnsi="仿宋" w:eastAsia="仿宋"/>
          <w:sz w:val="32"/>
          <w:szCs w:val="32"/>
          <w:lang w:val="en-US" w:eastAsia="zh-CN"/>
        </w:rPr>
        <w:t>增加</w:t>
      </w:r>
      <w:r>
        <w:rPr>
          <w:rFonts w:hint="eastAsia" w:ascii="仿宋_GB2312" w:hAnsi="仿宋_GB2312" w:eastAsia="仿宋_GB2312" w:cs="仿宋_GB2312"/>
          <w:kern w:val="2"/>
          <w:sz w:val="32"/>
          <w:szCs w:val="32"/>
          <w:lang w:val="en-US" w:eastAsia="zh-CN"/>
        </w:rPr>
        <w:t>28335.8</w:t>
      </w:r>
      <w:r>
        <w:rPr>
          <w:rFonts w:hint="eastAsia" w:ascii="仿宋" w:hAnsi="仿宋" w:eastAsia="仿宋"/>
          <w:sz w:val="32"/>
          <w:szCs w:val="32"/>
        </w:rPr>
        <w:t>万元，</w:t>
      </w:r>
      <w:r>
        <w:rPr>
          <w:rFonts w:hint="eastAsia" w:ascii="仿宋" w:hAnsi="仿宋" w:eastAsia="仿宋"/>
          <w:sz w:val="32"/>
          <w:szCs w:val="32"/>
          <w:lang w:val="en-US" w:eastAsia="zh-CN"/>
        </w:rPr>
        <w:t>增加209.45</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val="en-US" w:eastAsia="zh-CN"/>
        </w:rPr>
        <w:t>2025年项目资金及项目数量均有所增加</w:t>
      </w:r>
      <w:r>
        <w:rPr>
          <w:rFonts w:hint="eastAsia" w:ascii="仿宋" w:hAnsi="仿宋" w:eastAsia="仿宋"/>
          <w:sz w:val="32"/>
          <w:szCs w:val="32"/>
        </w:rPr>
        <w:t>。</w:t>
      </w:r>
    </w:p>
    <w:p w14:paraId="10031AE1">
      <w:pPr>
        <w:spacing w:line="600" w:lineRule="exact"/>
        <w:ind w:firstLine="640"/>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01-1</w:t>
      </w:r>
      <w:r>
        <w:rPr>
          <w:rFonts w:hint="eastAsia" w:ascii="仿宋" w:hAnsi="仿宋" w:eastAsia="仿宋"/>
          <w:b/>
          <w:sz w:val="32"/>
          <w:szCs w:val="32"/>
        </w:rPr>
        <w:t>表</w:t>
      </w:r>
      <w:r>
        <w:rPr>
          <w:rFonts w:ascii="仿宋" w:hAnsi="仿宋" w:eastAsia="仿宋"/>
          <w:b/>
          <w:sz w:val="32"/>
          <w:szCs w:val="32"/>
        </w:rPr>
        <w:t>）</w:t>
      </w:r>
    </w:p>
    <w:p w14:paraId="1720DCB0">
      <w:pPr>
        <w:spacing w:line="600" w:lineRule="exact"/>
        <w:rPr>
          <w:rFonts w:ascii="仿宋" w:hAnsi="仿宋" w:eastAsia="仿宋"/>
          <w:sz w:val="32"/>
          <w:szCs w:val="32"/>
        </w:rPr>
      </w:pPr>
    </w:p>
    <w:p w14:paraId="549552DF">
      <w:pPr>
        <w:spacing w:line="600" w:lineRule="exact"/>
        <w:ind w:firstLine="640" w:firstLineChars="200"/>
      </w:pPr>
      <w:r>
        <w:rPr>
          <w:rFonts w:hint="eastAsia" w:ascii="仿宋" w:hAnsi="仿宋" w:eastAsia="仿宋"/>
          <w:sz w:val="32"/>
          <w:szCs w:val="32"/>
        </w:rPr>
        <w:t>（图4：财政拨款收、支决算总计变动情况）（柱状图）</w:t>
      </w:r>
      <w:r>
        <w:rPr>
          <w:rFonts w:hint="eastAsia" w:ascii="仿宋_GB2312" w:hAnsi="仿宋_GB2312" w:eastAsia="仿宋_GB2312" w:cs="仿宋_GB2312"/>
          <w:sz w:val="32"/>
          <w:szCs w:val="32"/>
          <w:lang w:eastAsia="zh-CN"/>
        </w:rPr>
        <w:drawing>
          <wp:anchor distT="0" distB="0" distL="114300" distR="114300" simplePos="0" relativeHeight="251662336" behindDoc="0" locked="0" layoutInCell="1" allowOverlap="1">
            <wp:simplePos x="0" y="0"/>
            <wp:positionH relativeFrom="column">
              <wp:posOffset>-251460</wp:posOffset>
            </wp:positionH>
            <wp:positionV relativeFrom="paragraph">
              <wp:posOffset>129540</wp:posOffset>
            </wp:positionV>
            <wp:extent cx="5567045" cy="3012440"/>
            <wp:effectExtent l="4445" t="4445" r="10160" b="12065"/>
            <wp:wrapSquare wrapText="bothSides"/>
            <wp:docPr id="52" name="图表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3FBB1BB2">
      <w:pPr>
        <w:spacing w:line="600" w:lineRule="exact"/>
        <w:ind w:firstLine="640" w:firstLineChars="200"/>
        <w:outlineLvl w:val="1"/>
        <w:rPr>
          <w:rFonts w:hint="eastAsia" w:ascii="黑体" w:hAnsi="黑体" w:eastAsia="黑体"/>
          <w:sz w:val="32"/>
          <w:szCs w:val="32"/>
        </w:rPr>
      </w:pPr>
      <w:bookmarkStart w:id="30" w:name="_Toc15377209"/>
      <w:bookmarkStart w:id="31" w:name="_Toc15396607"/>
    </w:p>
    <w:p w14:paraId="7FD8FA35">
      <w:pPr>
        <w:spacing w:line="600" w:lineRule="exact"/>
        <w:ind w:firstLine="640" w:firstLineChars="200"/>
        <w:outlineLvl w:val="1"/>
        <w:rPr>
          <w:rStyle w:val="29"/>
          <w:rFonts w:ascii="黑体" w:hAnsi="黑体" w:eastAsia="黑体"/>
          <w:b w:val="0"/>
        </w:rPr>
      </w:pPr>
      <w:r>
        <w:rPr>
          <w:rFonts w:hint="eastAsia" w:ascii="黑体" w:hAnsi="黑体" w:eastAsia="黑体"/>
          <w:sz w:val="32"/>
          <w:szCs w:val="32"/>
        </w:rPr>
        <w:t>五、</w:t>
      </w:r>
      <w:r>
        <w:rPr>
          <w:rFonts w:hint="eastAsia" w:ascii="黑体" w:hAnsi="黑体" w:eastAsia="黑体"/>
          <w:b/>
          <w:sz w:val="32"/>
          <w:szCs w:val="32"/>
        </w:rPr>
        <w:t>一</w:t>
      </w:r>
      <w:r>
        <w:rPr>
          <w:rStyle w:val="29"/>
          <w:rFonts w:hint="eastAsia" w:ascii="黑体" w:hAnsi="黑体" w:eastAsia="黑体"/>
          <w:b w:val="0"/>
        </w:rPr>
        <w:t>般公共预算财政拨款支出决算情况说明</w:t>
      </w:r>
      <w:bookmarkEnd w:id="30"/>
      <w:bookmarkEnd w:id="31"/>
    </w:p>
    <w:p w14:paraId="63C4F16D">
      <w:pPr>
        <w:spacing w:line="600" w:lineRule="exact"/>
        <w:ind w:firstLine="643" w:firstLineChars="200"/>
        <w:outlineLvl w:val="2"/>
        <w:rPr>
          <w:rFonts w:ascii="仿宋" w:hAnsi="仿宋" w:eastAsia="仿宋"/>
          <w:b/>
          <w:sz w:val="32"/>
          <w:szCs w:val="32"/>
        </w:rPr>
      </w:pPr>
      <w:bookmarkStart w:id="32" w:name="_Toc15377210"/>
      <w:r>
        <w:rPr>
          <w:rFonts w:hint="eastAsia" w:ascii="仿宋" w:hAnsi="仿宋" w:eastAsia="仿宋"/>
          <w:b/>
          <w:sz w:val="32"/>
          <w:szCs w:val="32"/>
        </w:rPr>
        <w:t>（一）一般公共预算财政拨款支出决算总体情况</w:t>
      </w:r>
      <w:bookmarkEnd w:id="32"/>
    </w:p>
    <w:p w14:paraId="44FB6F11">
      <w:pPr>
        <w:spacing w:line="600" w:lineRule="exact"/>
        <w:ind w:firstLine="640" w:firstLineChars="200"/>
        <w:jc w:val="left"/>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ascii="仿宋_GB2312" w:hAnsi="仿宋_GB2312" w:eastAsia="仿宋_GB2312" w:cs="仿宋_GB2312"/>
          <w:kern w:val="2"/>
          <w:sz w:val="32"/>
          <w:szCs w:val="32"/>
        </w:rPr>
        <w:t>21410</w:t>
      </w:r>
      <w:r>
        <w:rPr>
          <w:rFonts w:hint="eastAsia" w:ascii="仿宋_GB2312" w:hAnsi="仿宋_GB2312" w:eastAsia="仿宋_GB2312" w:cs="仿宋_GB2312"/>
          <w:kern w:val="2"/>
          <w:sz w:val="32"/>
          <w:szCs w:val="32"/>
          <w:lang w:val="en-US" w:eastAsia="zh-CN"/>
        </w:rPr>
        <w:t>.90</w:t>
      </w:r>
      <w:r>
        <w:rPr>
          <w:rFonts w:hint="eastAsia" w:ascii="仿宋" w:hAnsi="仿宋" w:eastAsia="仿宋"/>
          <w:sz w:val="32"/>
          <w:szCs w:val="32"/>
        </w:rPr>
        <w:t>万元，占本年支出合计的</w:t>
      </w:r>
      <w:r>
        <w:rPr>
          <w:rFonts w:hint="eastAsia" w:eastAsia="仿宋"/>
          <w:sz w:val="32"/>
          <w:szCs w:val="32"/>
          <w:lang w:val="en-US" w:eastAsia="zh-CN"/>
        </w:rPr>
        <w:t>51.16</w:t>
      </w:r>
      <w:r>
        <w:rPr>
          <w:rFonts w:ascii="仿宋" w:hAnsi="仿宋" w:eastAsia="仿宋"/>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w:t>
      </w:r>
      <w:r>
        <w:rPr>
          <w:rFonts w:hint="eastAsia" w:eastAsia="仿宋"/>
          <w:sz w:val="32"/>
          <w:szCs w:val="32"/>
          <w:lang w:val="en-US" w:eastAsia="zh-CN"/>
        </w:rPr>
        <w:t>13522.38</w:t>
      </w:r>
      <w:r>
        <w:rPr>
          <w:rFonts w:hint="eastAsia" w:ascii="仿宋_GB2312" w:hAnsi="仿宋_GB2312" w:eastAsia="仿宋_GB2312" w:cs="仿宋_GB2312"/>
          <w:sz w:val="32"/>
          <w:szCs w:val="32"/>
          <w:lang w:eastAsia="zh-CN"/>
        </w:rPr>
        <w:t>万元</w:t>
      </w:r>
      <w:r>
        <w:rPr>
          <w:rFonts w:hint="eastAsia" w:ascii="仿宋" w:hAnsi="仿宋" w:eastAsia="仿宋"/>
          <w:sz w:val="32"/>
          <w:szCs w:val="32"/>
        </w:rPr>
        <w:t>相比，一般公共预算财政拨款支出</w:t>
      </w:r>
      <w:r>
        <w:rPr>
          <w:rFonts w:hint="eastAsia" w:ascii="仿宋" w:hAnsi="仿宋" w:eastAsia="仿宋"/>
          <w:sz w:val="32"/>
          <w:szCs w:val="32"/>
          <w:lang w:val="en-US" w:eastAsia="zh-CN"/>
        </w:rPr>
        <w:t>增加7888.52</w:t>
      </w:r>
      <w:r>
        <w:rPr>
          <w:rFonts w:hint="eastAsia" w:ascii="仿宋" w:hAnsi="仿宋" w:eastAsia="仿宋"/>
          <w:sz w:val="32"/>
          <w:szCs w:val="32"/>
        </w:rPr>
        <w:t>万元，</w:t>
      </w:r>
      <w:r>
        <w:rPr>
          <w:rFonts w:hint="eastAsia" w:ascii="仿宋" w:hAnsi="仿宋" w:eastAsia="仿宋"/>
          <w:sz w:val="32"/>
          <w:szCs w:val="32"/>
          <w:lang w:val="en-US" w:eastAsia="zh-CN"/>
        </w:rPr>
        <w:t>增加58.33</w:t>
      </w:r>
      <w:r>
        <w:rPr>
          <w:rFonts w:ascii="仿宋" w:hAnsi="仿宋" w:eastAsia="仿宋"/>
          <w:sz w:val="32"/>
          <w:szCs w:val="32"/>
        </w:rPr>
        <w:t>%</w:t>
      </w:r>
      <w:r>
        <w:rPr>
          <w:rFonts w:hint="eastAsia" w:ascii="仿宋" w:hAnsi="仿宋" w:eastAsia="仿宋"/>
          <w:sz w:val="32"/>
          <w:szCs w:val="32"/>
        </w:rPr>
        <w:t>。主要变动原因是</w:t>
      </w:r>
      <w:r>
        <w:rPr>
          <w:rFonts w:hint="eastAsia" w:ascii="仿宋" w:hAnsi="仿宋" w:eastAsia="仿宋"/>
          <w:sz w:val="32"/>
          <w:szCs w:val="32"/>
          <w:lang w:val="en-US" w:eastAsia="zh-CN"/>
        </w:rPr>
        <w:t>2025年项目资金及项目数量均有所减少，导致一般公共预算较2024年的有所增加</w:t>
      </w:r>
      <w:r>
        <w:rPr>
          <w:rFonts w:hint="eastAsia" w:ascii="仿宋" w:hAnsi="仿宋" w:eastAsia="仿宋"/>
          <w:sz w:val="32"/>
          <w:szCs w:val="32"/>
        </w:rPr>
        <w:t>。</w:t>
      </w:r>
    </w:p>
    <w:p w14:paraId="5A88AA0B">
      <w:pPr>
        <w:spacing w:line="600" w:lineRule="exact"/>
        <w:ind w:firstLine="640" w:firstLineChars="200"/>
        <w:rPr>
          <w:rFonts w:ascii="仿宋" w:hAnsi="仿宋" w:eastAsia="仿宋"/>
          <w:sz w:val="32"/>
          <w:szCs w:val="32"/>
        </w:rPr>
      </w:pPr>
      <w:r>
        <w:rPr>
          <w:rFonts w:hint="eastAsia" w:ascii="仿宋" w:hAnsi="仿宋" w:eastAsia="仿宋"/>
          <w:sz w:val="32"/>
          <w:szCs w:val="32"/>
        </w:rPr>
        <w:t>（图5：一般公共预算财政拨款支出决算变动情况）（柱状图）</w:t>
      </w:r>
    </w:p>
    <w:p w14:paraId="23A86AF1">
      <w:pPr>
        <w:spacing w:line="600" w:lineRule="exact"/>
        <w:ind w:firstLine="640" w:firstLineChars="200"/>
        <w:rPr>
          <w:rFonts w:ascii="仿宋" w:hAnsi="仿宋" w:eastAsia="仿宋"/>
          <w:sz w:val="32"/>
          <w:szCs w:val="32"/>
        </w:rPr>
      </w:pPr>
    </w:p>
    <w:p w14:paraId="6040E139">
      <w:pPr>
        <w:pStyle w:val="2"/>
      </w:pPr>
      <w:r>
        <w:rPr>
          <w:rFonts w:hint="eastAsia" w:ascii="仿宋_GB2312" w:hAnsi="仿宋_GB2312" w:eastAsia="仿宋_GB2312" w:cs="仿宋_GB2312"/>
          <w:sz w:val="32"/>
          <w:szCs w:val="32"/>
          <w:lang w:eastAsia="zh-CN"/>
        </w:rPr>
        <w:drawing>
          <wp:anchor distT="0" distB="0" distL="114300" distR="114300" simplePos="0" relativeHeight="251663360" behindDoc="0" locked="0" layoutInCell="1" allowOverlap="1">
            <wp:simplePos x="0" y="0"/>
            <wp:positionH relativeFrom="column">
              <wp:posOffset>167005</wp:posOffset>
            </wp:positionH>
            <wp:positionV relativeFrom="paragraph">
              <wp:posOffset>452120</wp:posOffset>
            </wp:positionV>
            <wp:extent cx="5067300" cy="3517900"/>
            <wp:effectExtent l="4445" t="4445" r="14605" b="20955"/>
            <wp:wrapSquare wrapText="bothSides"/>
            <wp:docPr id="53" name="图表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317889E4">
      <w:pPr>
        <w:spacing w:line="600" w:lineRule="exact"/>
        <w:ind w:firstLine="643" w:firstLineChars="200"/>
        <w:outlineLvl w:val="2"/>
        <w:rPr>
          <w:rFonts w:ascii="仿宋" w:hAnsi="仿宋" w:eastAsia="仿宋"/>
          <w:b/>
          <w:sz w:val="32"/>
          <w:szCs w:val="32"/>
        </w:rPr>
      </w:pPr>
      <w:bookmarkStart w:id="33" w:name="_Toc15377211"/>
      <w:r>
        <w:rPr>
          <w:rFonts w:hint="eastAsia" w:ascii="仿宋" w:hAnsi="仿宋" w:eastAsia="仿宋"/>
          <w:b/>
          <w:sz w:val="32"/>
          <w:szCs w:val="32"/>
        </w:rPr>
        <w:t>（二）一般公共预算财政拨款支出决算结构情况</w:t>
      </w:r>
      <w:bookmarkEnd w:id="33"/>
    </w:p>
    <w:p w14:paraId="23C4F023">
      <w:pPr>
        <w:spacing w:line="600" w:lineRule="exact"/>
        <w:ind w:firstLine="64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年度一般公共预算财政拨款支出</w:t>
      </w:r>
      <w:r>
        <w:rPr>
          <w:rFonts w:ascii="仿宋_GB2312" w:hAnsi="仿宋_GB2312" w:eastAsia="仿宋_GB2312" w:cs="仿宋_GB2312"/>
          <w:kern w:val="2"/>
          <w:sz w:val="32"/>
          <w:szCs w:val="32"/>
        </w:rPr>
        <w:t>21410</w:t>
      </w:r>
      <w:r>
        <w:rPr>
          <w:rFonts w:hint="eastAsia" w:ascii="仿宋_GB2312" w:hAnsi="仿宋_GB2312" w:eastAsia="仿宋_GB2312" w:cs="仿宋_GB2312"/>
          <w:kern w:val="2"/>
          <w:sz w:val="32"/>
          <w:szCs w:val="32"/>
          <w:lang w:val="en-US" w:eastAsia="zh-CN"/>
        </w:rPr>
        <w:t>.90</w:t>
      </w:r>
      <w:r>
        <w:rPr>
          <w:rFonts w:hint="eastAsia" w:ascii="仿宋" w:hAnsi="仿宋" w:eastAsia="仿宋"/>
          <w:sz w:val="32"/>
          <w:szCs w:val="32"/>
        </w:rPr>
        <w:t>万元，主要用于以下方面</w:t>
      </w:r>
      <w:r>
        <w:rPr>
          <w:rFonts w:ascii="仿宋" w:hAnsi="仿宋" w:eastAsia="仿宋"/>
          <w:sz w:val="32"/>
          <w:szCs w:val="32"/>
        </w:rPr>
        <w:t>:</w:t>
      </w:r>
      <w:r>
        <w:rPr>
          <w:rFonts w:hint="eastAsia" w:ascii="仿宋" w:hAnsi="仿宋" w:eastAsia="仿宋"/>
          <w:b/>
          <w:sz w:val="32"/>
          <w:szCs w:val="32"/>
        </w:rPr>
        <w:t>一般公共服务</w:t>
      </w:r>
      <w:r>
        <w:rPr>
          <w:rFonts w:hint="eastAsia" w:ascii="仿宋" w:hAnsi="仿宋" w:eastAsia="仿宋"/>
          <w:b/>
          <w:bCs/>
          <w:sz w:val="32"/>
          <w:szCs w:val="32"/>
        </w:rPr>
        <w:t>支出</w:t>
      </w:r>
      <w:r>
        <w:rPr>
          <w:rFonts w:hint="eastAsia" w:ascii="仿宋" w:hAnsi="仿宋" w:eastAsia="仿宋"/>
          <w:sz w:val="32"/>
          <w:szCs w:val="32"/>
          <w:lang w:val="en-US" w:eastAsia="zh-CN"/>
        </w:rPr>
        <w:t>0</w:t>
      </w:r>
      <w:r>
        <w:rPr>
          <w:rFonts w:hint="eastAsia" w:ascii="仿宋" w:hAnsi="仿宋" w:eastAsia="仿宋"/>
          <w:sz w:val="32"/>
          <w:szCs w:val="32"/>
        </w:rPr>
        <w:t>万元，占</w:t>
      </w:r>
      <w:r>
        <w:rPr>
          <w:rFonts w:hint="eastAsia" w:ascii="仿宋" w:hAnsi="仿宋"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sz w:val="32"/>
          <w:szCs w:val="32"/>
          <w:lang w:eastAsia="zh-CN"/>
        </w:rPr>
        <w:t>节能环保</w:t>
      </w:r>
      <w:r>
        <w:rPr>
          <w:rFonts w:hint="eastAsia" w:ascii="仿宋" w:hAnsi="仿宋" w:eastAsia="仿宋"/>
          <w:b/>
          <w:bCs/>
          <w:sz w:val="32"/>
          <w:szCs w:val="32"/>
        </w:rPr>
        <w:t>支出</w:t>
      </w:r>
      <w:r>
        <w:rPr>
          <w:rFonts w:hint="eastAsia" w:ascii="仿宋" w:hAnsi="仿宋" w:eastAsia="仿宋"/>
          <w:sz w:val="32"/>
          <w:szCs w:val="32"/>
          <w:lang w:val="en-US" w:eastAsia="zh-CN"/>
        </w:rPr>
        <w:t>708.04</w:t>
      </w:r>
      <w:r>
        <w:rPr>
          <w:rFonts w:hint="eastAsia" w:ascii="仿宋" w:hAnsi="仿宋" w:eastAsia="仿宋"/>
          <w:sz w:val="32"/>
          <w:szCs w:val="32"/>
        </w:rPr>
        <w:t>万元，占</w:t>
      </w:r>
      <w:r>
        <w:rPr>
          <w:rFonts w:hint="eastAsia" w:ascii="仿宋" w:hAnsi="仿宋" w:eastAsia="仿宋"/>
          <w:sz w:val="32"/>
          <w:szCs w:val="32"/>
          <w:lang w:val="en-US" w:eastAsia="zh-CN"/>
        </w:rPr>
        <w:t>3.30</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sz w:val="32"/>
          <w:szCs w:val="32"/>
          <w:lang w:eastAsia="zh-CN"/>
        </w:rPr>
        <w:t>城乡社区</w:t>
      </w:r>
      <w:r>
        <w:rPr>
          <w:rFonts w:hint="eastAsia" w:ascii="仿宋" w:hAnsi="仿宋" w:eastAsia="仿宋"/>
          <w:b/>
          <w:bCs/>
          <w:sz w:val="32"/>
          <w:szCs w:val="32"/>
        </w:rPr>
        <w:t>支出</w:t>
      </w:r>
      <w:r>
        <w:rPr>
          <w:rFonts w:hint="eastAsia" w:ascii="仿宋" w:hAnsi="仿宋" w:eastAsia="仿宋"/>
          <w:b/>
          <w:bCs/>
          <w:sz w:val="32"/>
          <w:szCs w:val="32"/>
          <w:lang w:val="en-US" w:eastAsia="zh-CN"/>
        </w:rPr>
        <w:t>19784.59</w:t>
      </w:r>
      <w:r>
        <w:rPr>
          <w:rFonts w:hint="eastAsia" w:ascii="仿宋" w:hAnsi="仿宋" w:eastAsia="仿宋"/>
          <w:sz w:val="32"/>
          <w:szCs w:val="32"/>
        </w:rPr>
        <w:t>万元，占</w:t>
      </w:r>
      <w:r>
        <w:rPr>
          <w:rFonts w:hint="eastAsia" w:ascii="仿宋" w:hAnsi="仿宋" w:eastAsia="仿宋"/>
          <w:sz w:val="32"/>
          <w:szCs w:val="32"/>
          <w:lang w:val="en-US" w:eastAsia="zh-CN"/>
        </w:rPr>
        <w:t>92.4</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lang w:eastAsia="zh-CN"/>
        </w:rPr>
        <w:t>农林水</w:t>
      </w:r>
      <w:r>
        <w:rPr>
          <w:rFonts w:hint="eastAsia" w:ascii="仿宋" w:hAnsi="仿宋" w:eastAsia="仿宋"/>
          <w:b/>
          <w:bCs/>
          <w:sz w:val="32"/>
          <w:szCs w:val="32"/>
        </w:rPr>
        <w:t>支出</w:t>
      </w:r>
      <w:r>
        <w:rPr>
          <w:rFonts w:hint="eastAsia" w:ascii="仿宋" w:hAnsi="仿宋" w:eastAsia="仿宋"/>
          <w:b/>
          <w:bCs/>
          <w:sz w:val="32"/>
          <w:szCs w:val="32"/>
          <w:lang w:val="en-US" w:eastAsia="zh-CN"/>
        </w:rPr>
        <w:t>537.19</w:t>
      </w:r>
      <w:r>
        <w:rPr>
          <w:rFonts w:hint="eastAsia" w:ascii="仿宋" w:hAnsi="仿宋" w:eastAsia="仿宋"/>
          <w:b/>
          <w:bCs/>
          <w:sz w:val="32"/>
          <w:szCs w:val="32"/>
        </w:rPr>
        <w:t>万元，占</w:t>
      </w:r>
      <w:r>
        <w:rPr>
          <w:rFonts w:hint="eastAsia" w:ascii="仿宋" w:hAnsi="仿宋" w:eastAsia="仿宋"/>
          <w:b/>
          <w:bCs/>
          <w:sz w:val="32"/>
          <w:szCs w:val="32"/>
          <w:lang w:val="en-US" w:eastAsia="zh-CN"/>
        </w:rPr>
        <w:t>2.5</w:t>
      </w:r>
      <w:r>
        <w:rPr>
          <w:rFonts w:ascii="仿宋" w:hAnsi="仿宋" w:eastAsia="仿宋"/>
          <w:b/>
          <w:bCs/>
          <w:sz w:val="32"/>
          <w:szCs w:val="32"/>
        </w:rPr>
        <w:t>%</w:t>
      </w:r>
      <w:r>
        <w:rPr>
          <w:rFonts w:hint="eastAsia" w:ascii="仿宋" w:hAnsi="仿宋" w:eastAsia="仿宋"/>
          <w:sz w:val="32"/>
          <w:szCs w:val="32"/>
        </w:rPr>
        <w:t>；</w:t>
      </w:r>
      <w:r>
        <w:rPr>
          <w:rFonts w:hint="eastAsia" w:ascii="仿宋" w:hAnsi="仿宋" w:eastAsia="仿宋"/>
          <w:b/>
          <w:sz w:val="32"/>
          <w:szCs w:val="32"/>
        </w:rPr>
        <w:t>社会保障和就业</w:t>
      </w:r>
      <w:r>
        <w:rPr>
          <w:rFonts w:hint="eastAsia" w:ascii="仿宋" w:hAnsi="仿宋" w:eastAsia="仿宋"/>
          <w:b/>
          <w:bCs/>
          <w:sz w:val="32"/>
          <w:szCs w:val="32"/>
        </w:rPr>
        <w:t>支出</w:t>
      </w:r>
      <w:r>
        <w:rPr>
          <w:rFonts w:hint="eastAsia" w:ascii="仿宋" w:hAnsi="仿宋" w:eastAsia="仿宋"/>
          <w:sz w:val="32"/>
          <w:szCs w:val="32"/>
          <w:lang w:val="en-US" w:eastAsia="zh-CN"/>
        </w:rPr>
        <w:t>136.08</w:t>
      </w:r>
      <w:r>
        <w:rPr>
          <w:rFonts w:hint="eastAsia" w:ascii="仿宋" w:hAnsi="仿宋" w:eastAsia="仿宋"/>
          <w:sz w:val="32"/>
          <w:szCs w:val="32"/>
        </w:rPr>
        <w:t>万元，占</w:t>
      </w:r>
      <w:r>
        <w:rPr>
          <w:rFonts w:hint="eastAsia" w:ascii="仿宋" w:hAnsi="仿宋" w:eastAsia="仿宋"/>
          <w:sz w:val="32"/>
          <w:szCs w:val="32"/>
          <w:lang w:val="en-US" w:eastAsia="zh-CN"/>
        </w:rPr>
        <w:t>6.35</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rPr>
        <w:t>卫生健康支出</w:t>
      </w:r>
      <w:r>
        <w:rPr>
          <w:rFonts w:hint="eastAsia" w:ascii="仿宋" w:hAnsi="仿宋" w:eastAsia="仿宋"/>
          <w:sz w:val="32"/>
          <w:szCs w:val="32"/>
        </w:rPr>
        <w:t>5</w:t>
      </w:r>
      <w:r>
        <w:rPr>
          <w:rFonts w:hint="eastAsia" w:ascii="仿宋" w:hAnsi="仿宋" w:eastAsia="仿宋"/>
          <w:sz w:val="32"/>
          <w:szCs w:val="32"/>
          <w:lang w:val="en-US" w:eastAsia="zh-CN"/>
        </w:rPr>
        <w:t>7.</w:t>
      </w:r>
      <w:r>
        <w:rPr>
          <w:rFonts w:hint="eastAsia" w:ascii="仿宋" w:hAnsi="仿宋" w:eastAsia="仿宋"/>
          <w:sz w:val="32"/>
          <w:szCs w:val="32"/>
        </w:rPr>
        <w:t>79万元，占</w:t>
      </w:r>
      <w:r>
        <w:rPr>
          <w:rFonts w:hint="eastAsia" w:ascii="仿宋" w:hAnsi="仿宋" w:eastAsia="仿宋"/>
          <w:sz w:val="32"/>
          <w:szCs w:val="32"/>
          <w:lang w:val="en-US" w:eastAsia="zh-CN"/>
        </w:rPr>
        <w:t>2.6</w:t>
      </w:r>
      <w:r>
        <w:rPr>
          <w:rFonts w:ascii="仿宋" w:hAnsi="仿宋" w:eastAsia="仿宋"/>
          <w:sz w:val="32"/>
          <w:szCs w:val="32"/>
        </w:rPr>
        <w:t>%</w:t>
      </w:r>
      <w:r>
        <w:rPr>
          <w:rFonts w:hint="eastAsia" w:ascii="仿宋" w:hAnsi="仿宋" w:eastAsia="仿宋"/>
          <w:sz w:val="32"/>
          <w:szCs w:val="32"/>
        </w:rPr>
        <w:t>；</w:t>
      </w:r>
      <w:r>
        <w:rPr>
          <w:rFonts w:hint="eastAsia" w:ascii="仿宋" w:hAnsi="仿宋" w:eastAsia="仿宋"/>
          <w:b/>
          <w:bCs/>
          <w:sz w:val="32"/>
          <w:szCs w:val="32"/>
        </w:rPr>
        <w:t>住房保障支出</w:t>
      </w:r>
      <w:r>
        <w:rPr>
          <w:rFonts w:hint="eastAsia" w:ascii="仿宋" w:hAnsi="仿宋" w:eastAsia="仿宋"/>
          <w:sz w:val="32"/>
          <w:szCs w:val="32"/>
        </w:rPr>
        <w:t>161</w:t>
      </w:r>
      <w:r>
        <w:rPr>
          <w:rFonts w:hint="eastAsia" w:ascii="仿宋" w:hAnsi="仿宋" w:eastAsia="仿宋"/>
          <w:sz w:val="32"/>
          <w:szCs w:val="32"/>
          <w:lang w:val="en-US" w:eastAsia="zh-CN"/>
        </w:rPr>
        <w:t>.</w:t>
      </w:r>
      <w:r>
        <w:rPr>
          <w:rFonts w:hint="eastAsia" w:ascii="仿宋" w:hAnsi="仿宋" w:eastAsia="仿宋"/>
          <w:sz w:val="32"/>
          <w:szCs w:val="32"/>
        </w:rPr>
        <w:t>9</w:t>
      </w:r>
      <w:r>
        <w:rPr>
          <w:rFonts w:hint="eastAsia" w:ascii="仿宋" w:hAnsi="仿宋" w:eastAsia="仿宋"/>
          <w:sz w:val="32"/>
          <w:szCs w:val="32"/>
          <w:lang w:val="en-US" w:eastAsia="zh-CN"/>
        </w:rPr>
        <w:t>7</w:t>
      </w:r>
      <w:r>
        <w:rPr>
          <w:rFonts w:hint="eastAsia" w:ascii="仿宋" w:hAnsi="仿宋" w:eastAsia="仿宋"/>
          <w:sz w:val="32"/>
          <w:szCs w:val="32"/>
        </w:rPr>
        <w:t>万元，占</w:t>
      </w:r>
      <w:r>
        <w:rPr>
          <w:rFonts w:hint="eastAsia" w:ascii="仿宋" w:hAnsi="仿宋" w:eastAsia="仿宋"/>
          <w:sz w:val="32"/>
          <w:szCs w:val="32"/>
          <w:lang w:val="en-US" w:eastAsia="zh-CN"/>
        </w:rPr>
        <w:t>1.12</w:t>
      </w:r>
      <w:r>
        <w:rPr>
          <w:rFonts w:ascii="仿宋" w:hAnsi="仿宋" w:eastAsia="仿宋"/>
          <w:sz w:val="32"/>
          <w:szCs w:val="32"/>
        </w:rPr>
        <w:t>%</w:t>
      </w:r>
      <w:r>
        <w:rPr>
          <w:rFonts w:hint="eastAsia" w:ascii="仿宋" w:hAnsi="仿宋" w:eastAsia="仿宋"/>
          <w:sz w:val="32"/>
          <w:szCs w:val="32"/>
        </w:rPr>
        <w:t>；</w:t>
      </w:r>
      <w:r>
        <w:rPr>
          <w:rFonts w:ascii="仿宋" w:hAnsi="仿宋" w:eastAsia="仿宋"/>
          <w:sz w:val="32"/>
          <w:szCs w:val="32"/>
        </w:rPr>
        <w:t>…</w:t>
      </w:r>
      <w:r>
        <w:rPr>
          <w:rFonts w:hint="eastAsia" w:ascii="仿宋" w:hAnsi="仿宋" w:eastAsia="仿宋"/>
          <w:sz w:val="32"/>
          <w:szCs w:val="32"/>
          <w:lang w:eastAsia="zh-CN"/>
        </w:rPr>
        <w:t>；</w:t>
      </w:r>
      <w:r>
        <w:rPr>
          <w:rFonts w:hint="eastAsia" w:ascii="仿宋" w:hAnsi="仿宋" w:eastAsia="仿宋"/>
          <w:sz w:val="32"/>
          <w:szCs w:val="32"/>
          <w:lang w:val="en-US" w:eastAsia="zh-CN"/>
        </w:rPr>
        <w:t>自然生态环保512.65万元，占2.39%</w:t>
      </w:r>
      <w:r>
        <w:rPr>
          <w:rFonts w:hint="eastAsia" w:ascii="仿宋" w:hAnsi="仿宋" w:eastAsia="仿宋"/>
          <w:sz w:val="32"/>
          <w:szCs w:val="32"/>
          <w:lang w:eastAsia="zh-CN"/>
        </w:rPr>
        <w:t>；其他支出</w:t>
      </w:r>
      <w:r>
        <w:rPr>
          <w:rFonts w:hint="eastAsia" w:ascii="仿宋" w:hAnsi="仿宋" w:eastAsia="仿宋"/>
          <w:sz w:val="32"/>
          <w:szCs w:val="32"/>
          <w:lang w:val="en-US" w:eastAsia="zh-CN"/>
        </w:rPr>
        <w:t>0万元</w:t>
      </w:r>
      <w:r>
        <w:rPr>
          <w:rFonts w:hint="eastAsia" w:ascii="仿宋" w:hAnsi="仿宋" w:eastAsia="仿宋"/>
          <w:sz w:val="32"/>
          <w:szCs w:val="32"/>
        </w:rPr>
        <w:t>。</w:t>
      </w:r>
    </w:p>
    <w:p w14:paraId="295041BB">
      <w:pPr>
        <w:spacing w:line="600" w:lineRule="exact"/>
        <w:ind w:firstLine="640"/>
        <w:rPr>
          <w:rFonts w:ascii="仿宋" w:hAnsi="仿宋" w:eastAsia="仿宋"/>
          <w:b/>
          <w:sz w:val="32"/>
          <w:szCs w:val="32"/>
        </w:rPr>
      </w:pPr>
      <w:r>
        <w:rPr>
          <w:rFonts w:hint="eastAsia" w:ascii="仿宋" w:hAnsi="仿宋" w:eastAsia="仿宋"/>
          <w:b/>
          <w:sz w:val="32"/>
          <w:szCs w:val="32"/>
        </w:rPr>
        <w:t>（注：数据来源于财决01-1表，仅罗列本部门涉及的全部功能分类科目，至类级。）</w:t>
      </w:r>
    </w:p>
    <w:p w14:paraId="4051718E">
      <w:pPr>
        <w:spacing w:line="600" w:lineRule="exact"/>
        <w:ind w:firstLine="640"/>
        <w:rPr>
          <w:rFonts w:ascii="仿宋" w:hAnsi="仿宋" w:eastAsia="仿宋"/>
          <w:sz w:val="32"/>
          <w:szCs w:val="32"/>
        </w:rPr>
      </w:pPr>
    </w:p>
    <w:p w14:paraId="1C11BF63">
      <w:pPr>
        <w:spacing w:line="600" w:lineRule="exact"/>
        <w:ind w:firstLine="640" w:firstLineChars="200"/>
      </w:pPr>
      <w:r>
        <w:rPr>
          <w:rFonts w:hint="eastAsia" w:ascii="仿宋" w:hAnsi="仿宋" w:eastAsia="仿宋"/>
          <w:sz w:val="32"/>
          <w:szCs w:val="32"/>
        </w:rPr>
        <w:t>（图6：一般公共预算财政拨款支出决算结构）（饼状图）</w:t>
      </w:r>
      <w:r>
        <w:rPr>
          <w:rFonts w:hint="eastAsia" w:ascii="仿宋_GB2312" w:hAnsi="仿宋_GB2312" w:eastAsia="仿宋_GB2312" w:cs="仿宋_GB2312"/>
          <w:sz w:val="32"/>
          <w:szCs w:val="32"/>
          <w:lang w:eastAsia="zh-CN"/>
        </w:rPr>
        <w:drawing>
          <wp:anchor distT="0" distB="0" distL="114300" distR="114300" simplePos="0" relativeHeight="251664384" behindDoc="0" locked="0" layoutInCell="1" allowOverlap="1">
            <wp:simplePos x="0" y="0"/>
            <wp:positionH relativeFrom="column">
              <wp:posOffset>-43180</wp:posOffset>
            </wp:positionH>
            <wp:positionV relativeFrom="paragraph">
              <wp:posOffset>13970</wp:posOffset>
            </wp:positionV>
            <wp:extent cx="5685155" cy="3451860"/>
            <wp:effectExtent l="4445" t="4445" r="6350" b="10795"/>
            <wp:wrapSquare wrapText="bothSides"/>
            <wp:docPr id="54" name="图表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41F19783">
      <w:pPr>
        <w:spacing w:line="600" w:lineRule="exact"/>
        <w:ind w:firstLine="643" w:firstLineChars="200"/>
        <w:outlineLvl w:val="2"/>
        <w:rPr>
          <w:rFonts w:ascii="仿宋" w:hAnsi="仿宋" w:eastAsia="仿宋"/>
          <w:b/>
          <w:sz w:val="32"/>
          <w:szCs w:val="32"/>
        </w:rPr>
      </w:pPr>
      <w:bookmarkStart w:id="34" w:name="_Toc15377212"/>
      <w:r>
        <w:rPr>
          <w:rFonts w:hint="eastAsia" w:ascii="仿宋" w:hAnsi="仿宋" w:eastAsia="仿宋"/>
          <w:b/>
          <w:sz w:val="32"/>
          <w:szCs w:val="32"/>
        </w:rPr>
        <w:t>（三）一般公共预算财政拨款支出决算具体情况</w:t>
      </w:r>
      <w:bookmarkEnd w:id="34"/>
    </w:p>
    <w:p w14:paraId="0F48707B">
      <w:pPr>
        <w:spacing w:line="600" w:lineRule="exact"/>
        <w:ind w:firstLine="643" w:firstLineChars="200"/>
        <w:outlineLvl w:val="2"/>
        <w:rPr>
          <w:rFonts w:ascii="仿宋" w:hAnsi="仿宋" w:eastAsia="仿宋"/>
          <w:sz w:val="32"/>
          <w:szCs w:val="32"/>
        </w:rPr>
      </w:pPr>
      <w:bookmarkStart w:id="35" w:name="_Toc15378460"/>
      <w:bookmarkStart w:id="36" w:name="_Toc15377444"/>
      <w:bookmarkStart w:id="37" w:name="_Toc15377213"/>
      <w:r>
        <w:rPr>
          <w:rFonts w:hint="eastAsia" w:ascii="仿宋" w:hAnsi="仿宋" w:eastAsia="仿宋"/>
          <w:b/>
          <w:sz w:val="32"/>
          <w:szCs w:val="32"/>
        </w:rPr>
        <w:t>202</w:t>
      </w:r>
      <w:r>
        <w:rPr>
          <w:rFonts w:hint="eastAsia" w:ascii="仿宋" w:hAnsi="仿宋" w:eastAsia="仿宋"/>
          <w:b/>
          <w:sz w:val="32"/>
          <w:szCs w:val="32"/>
          <w:lang w:val="en-US" w:eastAsia="zh-CN"/>
        </w:rPr>
        <w:t>5</w:t>
      </w:r>
      <w:r>
        <w:rPr>
          <w:rFonts w:hint="eastAsia" w:ascii="仿宋" w:hAnsi="仿宋" w:eastAsia="仿宋"/>
          <w:b/>
          <w:sz w:val="32"/>
          <w:szCs w:val="32"/>
        </w:rPr>
        <w:t>年度一般公共预算支出决算数为</w:t>
      </w:r>
      <w:r>
        <w:rPr>
          <w:rFonts w:ascii="仿宋_GB2312" w:hAnsi="仿宋_GB2312" w:eastAsia="仿宋_GB2312" w:cs="仿宋_GB2312"/>
          <w:kern w:val="2"/>
          <w:sz w:val="32"/>
          <w:szCs w:val="32"/>
        </w:rPr>
        <w:t>21410</w:t>
      </w:r>
      <w:r>
        <w:rPr>
          <w:rFonts w:hint="eastAsia" w:ascii="仿宋_GB2312" w:hAnsi="仿宋_GB2312" w:eastAsia="仿宋_GB2312" w:cs="仿宋_GB2312"/>
          <w:kern w:val="2"/>
          <w:sz w:val="32"/>
          <w:szCs w:val="32"/>
          <w:lang w:val="en-US" w:eastAsia="zh-CN"/>
        </w:rPr>
        <w:t>.90</w:t>
      </w:r>
      <w:r>
        <w:rPr>
          <w:rFonts w:hint="eastAsia" w:ascii="仿宋" w:hAnsi="仿宋" w:eastAsia="仿宋"/>
          <w:sz w:val="32"/>
          <w:szCs w:val="32"/>
        </w:rPr>
        <w:t>，</w:t>
      </w:r>
      <w:r>
        <w:rPr>
          <w:rStyle w:val="18"/>
          <w:rFonts w:hint="eastAsia" w:ascii="仿宋" w:hAnsi="仿宋" w:eastAsia="仿宋"/>
          <w:bCs/>
          <w:sz w:val="32"/>
          <w:szCs w:val="32"/>
        </w:rPr>
        <w:t>完成预算</w:t>
      </w:r>
      <w:r>
        <w:rPr>
          <w:rStyle w:val="18"/>
          <w:rFonts w:hint="eastAsia" w:ascii="仿宋" w:hAnsi="仿宋" w:eastAsia="仿宋"/>
          <w:bCs/>
          <w:sz w:val="32"/>
          <w:szCs w:val="32"/>
          <w:lang w:val="en-US" w:eastAsia="zh-CN"/>
        </w:rPr>
        <w:t>100</w:t>
      </w:r>
      <w:r>
        <w:rPr>
          <w:rStyle w:val="18"/>
          <w:rFonts w:ascii="仿宋" w:hAnsi="仿宋" w:eastAsia="仿宋"/>
          <w:bCs/>
          <w:sz w:val="32"/>
          <w:szCs w:val="32"/>
        </w:rPr>
        <w:t>%</w:t>
      </w:r>
      <w:r>
        <w:rPr>
          <w:rStyle w:val="18"/>
          <w:rFonts w:hint="eastAsia" w:ascii="仿宋" w:hAnsi="仿宋" w:eastAsia="仿宋"/>
          <w:bCs/>
          <w:sz w:val="32"/>
          <w:szCs w:val="32"/>
        </w:rPr>
        <w:t>。其中：</w:t>
      </w:r>
      <w:bookmarkEnd w:id="35"/>
      <w:bookmarkEnd w:id="36"/>
      <w:bookmarkEnd w:id="37"/>
    </w:p>
    <w:p w14:paraId="2D2D70E2">
      <w:pPr>
        <w:spacing w:line="600" w:lineRule="exact"/>
        <w:ind w:firstLine="643" w:firstLineChars="200"/>
        <w:rPr>
          <w:rFonts w:ascii="仿宋" w:hAnsi="仿宋" w:eastAsia="仿宋"/>
          <w:b/>
          <w:sz w:val="32"/>
          <w:szCs w:val="32"/>
        </w:rPr>
      </w:pPr>
      <w:r>
        <w:rPr>
          <w:rStyle w:val="18"/>
          <w:rFonts w:ascii="仿宋" w:hAnsi="仿宋" w:eastAsia="仿宋"/>
          <w:bCs/>
          <w:sz w:val="32"/>
          <w:szCs w:val="32"/>
        </w:rPr>
        <w:t>1.</w:t>
      </w:r>
      <w:r>
        <w:rPr>
          <w:rStyle w:val="18"/>
          <w:rFonts w:hint="eastAsia" w:ascii="仿宋" w:hAnsi="仿宋" w:eastAsia="仿宋"/>
          <w:bCs/>
          <w:sz w:val="32"/>
          <w:szCs w:val="32"/>
        </w:rPr>
        <w:t>一般公共服务（类）</w:t>
      </w:r>
      <w:r>
        <w:rPr>
          <w:rStyle w:val="18"/>
          <w:rFonts w:ascii="仿宋" w:hAnsi="仿宋" w:eastAsia="仿宋"/>
          <w:bCs/>
          <w:sz w:val="32"/>
          <w:szCs w:val="32"/>
        </w:rPr>
        <w:t>:</w:t>
      </w:r>
      <w:r>
        <w:rPr>
          <w:rStyle w:val="18"/>
          <w:rFonts w:ascii="仿宋" w:hAnsi="仿宋" w:eastAsia="仿宋"/>
          <w:b w:val="0"/>
          <w:bCs/>
          <w:sz w:val="32"/>
          <w:szCs w:val="32"/>
        </w:rPr>
        <w:t xml:space="preserve"> </w:t>
      </w:r>
      <w:r>
        <w:rPr>
          <w:rStyle w:val="18"/>
          <w:rFonts w:hint="eastAsia" w:ascii="仿宋" w:hAnsi="仿宋" w:eastAsia="仿宋"/>
          <w:b w:val="0"/>
          <w:bCs/>
          <w:sz w:val="32"/>
          <w:szCs w:val="32"/>
        </w:rPr>
        <w:t>支出决算为</w:t>
      </w:r>
      <w:r>
        <w:rPr>
          <w:rStyle w:val="18"/>
          <w:rFonts w:hint="eastAsia" w:ascii="仿宋" w:hAnsi="仿宋" w:eastAsia="仿宋"/>
          <w:b w:val="0"/>
          <w:bCs/>
          <w:sz w:val="32"/>
          <w:szCs w:val="32"/>
          <w:lang w:val="en-US" w:eastAsia="zh-CN"/>
        </w:rPr>
        <w:t>0</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2FD5A0C1">
      <w:pPr>
        <w:spacing w:line="600" w:lineRule="exact"/>
        <w:ind w:firstLine="643" w:firstLineChars="200"/>
        <w:rPr>
          <w:rFonts w:ascii="仿宋" w:hAnsi="仿宋" w:eastAsia="仿宋"/>
          <w:b/>
          <w:sz w:val="32"/>
          <w:szCs w:val="32"/>
        </w:rPr>
      </w:pPr>
      <w:r>
        <w:rPr>
          <w:rStyle w:val="18"/>
          <w:rFonts w:hint="eastAsia" w:ascii="仿宋" w:hAnsi="仿宋" w:eastAsia="仿宋"/>
          <w:bCs/>
          <w:sz w:val="32"/>
          <w:szCs w:val="32"/>
          <w:lang w:val="en-US" w:eastAsia="zh-CN"/>
        </w:rPr>
        <w:t>2</w:t>
      </w:r>
      <w:r>
        <w:rPr>
          <w:rStyle w:val="18"/>
          <w:rFonts w:ascii="仿宋" w:hAnsi="仿宋" w:eastAsia="仿宋"/>
          <w:bCs/>
          <w:sz w:val="32"/>
          <w:szCs w:val="32"/>
        </w:rPr>
        <w:t>.</w:t>
      </w:r>
      <w:r>
        <w:rPr>
          <w:rStyle w:val="18"/>
          <w:rFonts w:hint="eastAsia" w:ascii="仿宋" w:hAnsi="仿宋" w:eastAsia="仿宋"/>
          <w:bCs/>
          <w:sz w:val="32"/>
          <w:szCs w:val="32"/>
        </w:rPr>
        <w:t>科学技术（类）</w:t>
      </w:r>
      <w:r>
        <w:rPr>
          <w:rStyle w:val="18"/>
          <w:rFonts w:ascii="仿宋" w:hAnsi="仿宋" w:eastAsia="仿宋"/>
          <w:bCs/>
          <w:sz w:val="32"/>
          <w:szCs w:val="32"/>
        </w:rPr>
        <w:t>:</w:t>
      </w:r>
      <w:r>
        <w:rPr>
          <w:rStyle w:val="18"/>
          <w:rFonts w:ascii="仿宋" w:hAnsi="仿宋" w:eastAsia="仿宋"/>
          <w:b w:val="0"/>
          <w:bCs/>
          <w:sz w:val="32"/>
          <w:szCs w:val="32"/>
        </w:rPr>
        <w:t xml:space="preserve"> </w:t>
      </w:r>
      <w:r>
        <w:rPr>
          <w:rStyle w:val="18"/>
          <w:rFonts w:hint="eastAsia" w:ascii="仿宋" w:hAnsi="仿宋" w:eastAsia="仿宋"/>
          <w:b w:val="0"/>
          <w:bCs/>
          <w:sz w:val="32"/>
          <w:szCs w:val="32"/>
        </w:rPr>
        <w:t>支出决算为</w:t>
      </w:r>
      <w:r>
        <w:rPr>
          <w:rStyle w:val="18"/>
          <w:rFonts w:hint="eastAsia" w:ascii="仿宋" w:hAnsi="仿宋" w:eastAsia="仿宋"/>
          <w:b w:val="0"/>
          <w:bCs/>
          <w:sz w:val="32"/>
          <w:szCs w:val="32"/>
          <w:lang w:val="en-US" w:eastAsia="zh-CN"/>
        </w:rPr>
        <w:t>0</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35D294C8">
      <w:pPr>
        <w:spacing w:line="600" w:lineRule="exact"/>
        <w:ind w:firstLine="643" w:firstLineChars="200"/>
        <w:rPr>
          <w:rFonts w:ascii="仿宋" w:hAnsi="仿宋" w:eastAsia="仿宋"/>
          <w:b/>
          <w:sz w:val="32"/>
          <w:szCs w:val="32"/>
        </w:rPr>
      </w:pPr>
      <w:r>
        <w:rPr>
          <w:rStyle w:val="18"/>
          <w:rFonts w:hint="eastAsia" w:ascii="仿宋" w:hAnsi="仿宋" w:eastAsia="仿宋"/>
          <w:bCs/>
          <w:sz w:val="32"/>
          <w:szCs w:val="32"/>
          <w:lang w:val="en-US" w:eastAsia="zh-CN"/>
        </w:rPr>
        <w:t>3</w:t>
      </w:r>
      <w:r>
        <w:rPr>
          <w:rStyle w:val="18"/>
          <w:rFonts w:ascii="仿宋" w:hAnsi="仿宋" w:eastAsia="仿宋"/>
          <w:bCs/>
          <w:sz w:val="32"/>
          <w:szCs w:val="32"/>
        </w:rPr>
        <w:t>.</w:t>
      </w:r>
      <w:r>
        <w:rPr>
          <w:rStyle w:val="18"/>
          <w:rFonts w:hint="eastAsia" w:ascii="仿宋" w:hAnsi="仿宋" w:eastAsia="仿宋"/>
          <w:bCs/>
          <w:sz w:val="32"/>
          <w:szCs w:val="32"/>
        </w:rPr>
        <w:t>文化旅游体育与传媒（类）</w:t>
      </w:r>
      <w:r>
        <w:rPr>
          <w:rStyle w:val="18"/>
          <w:rFonts w:ascii="仿宋" w:hAnsi="仿宋" w:eastAsia="仿宋"/>
          <w:bCs/>
          <w:sz w:val="32"/>
          <w:szCs w:val="32"/>
        </w:rPr>
        <w:t>:</w:t>
      </w:r>
      <w:r>
        <w:rPr>
          <w:rStyle w:val="18"/>
          <w:rFonts w:ascii="仿宋" w:hAnsi="仿宋" w:eastAsia="仿宋"/>
          <w:b w:val="0"/>
          <w:bCs/>
          <w:sz w:val="32"/>
          <w:szCs w:val="32"/>
        </w:rPr>
        <w:t xml:space="preserve"> </w:t>
      </w:r>
      <w:r>
        <w:rPr>
          <w:rStyle w:val="18"/>
          <w:rFonts w:hint="eastAsia" w:ascii="仿宋" w:hAnsi="仿宋" w:eastAsia="仿宋"/>
          <w:b w:val="0"/>
          <w:bCs/>
          <w:sz w:val="32"/>
          <w:szCs w:val="32"/>
        </w:rPr>
        <w:t>支出决算为</w:t>
      </w:r>
      <w:r>
        <w:rPr>
          <w:rStyle w:val="18"/>
          <w:rFonts w:hint="eastAsia" w:ascii="仿宋" w:hAnsi="仿宋" w:eastAsia="仿宋"/>
          <w:b w:val="0"/>
          <w:bCs/>
          <w:sz w:val="32"/>
          <w:szCs w:val="32"/>
          <w:lang w:val="en-US" w:eastAsia="zh-CN"/>
        </w:rPr>
        <w:t>0</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76B89910">
      <w:pPr>
        <w:spacing w:line="600" w:lineRule="exact"/>
        <w:ind w:firstLine="643" w:firstLineChars="200"/>
        <w:rPr>
          <w:rFonts w:ascii="仿宋" w:hAnsi="仿宋" w:eastAsia="仿宋"/>
          <w:b/>
          <w:sz w:val="32"/>
          <w:szCs w:val="32"/>
        </w:rPr>
      </w:pPr>
      <w:r>
        <w:rPr>
          <w:rStyle w:val="18"/>
          <w:rFonts w:hint="eastAsia" w:ascii="仿宋" w:hAnsi="仿宋" w:eastAsia="仿宋"/>
          <w:bCs/>
          <w:sz w:val="32"/>
          <w:szCs w:val="32"/>
          <w:lang w:val="en-US" w:eastAsia="zh-CN"/>
        </w:rPr>
        <w:t>4</w:t>
      </w:r>
      <w:r>
        <w:rPr>
          <w:rStyle w:val="18"/>
          <w:rFonts w:ascii="仿宋" w:hAnsi="仿宋" w:eastAsia="仿宋"/>
          <w:bCs/>
          <w:sz w:val="32"/>
          <w:szCs w:val="32"/>
        </w:rPr>
        <w:t>.</w:t>
      </w:r>
      <w:r>
        <w:rPr>
          <w:rStyle w:val="18"/>
          <w:rFonts w:hint="eastAsia" w:ascii="仿宋" w:hAnsi="仿宋" w:eastAsia="仿宋"/>
          <w:bCs/>
          <w:sz w:val="32"/>
          <w:szCs w:val="32"/>
        </w:rPr>
        <w:t>社会保障和就业（类）</w:t>
      </w:r>
      <w:r>
        <w:rPr>
          <w:rStyle w:val="18"/>
          <w:rFonts w:ascii="仿宋" w:hAnsi="仿宋" w:eastAsia="仿宋"/>
          <w:bCs/>
          <w:sz w:val="32"/>
          <w:szCs w:val="32"/>
        </w:rPr>
        <w:t>:</w:t>
      </w:r>
      <w:r>
        <w:rPr>
          <w:rStyle w:val="18"/>
          <w:rFonts w:ascii="仿宋" w:hAnsi="仿宋" w:eastAsia="仿宋"/>
          <w:b w:val="0"/>
          <w:bCs/>
          <w:sz w:val="32"/>
          <w:szCs w:val="32"/>
        </w:rPr>
        <w:t xml:space="preserve"> </w:t>
      </w:r>
      <w:r>
        <w:rPr>
          <w:rStyle w:val="18"/>
          <w:rFonts w:hint="eastAsia" w:ascii="仿宋" w:hAnsi="仿宋" w:eastAsia="仿宋"/>
          <w:b w:val="0"/>
          <w:bCs/>
          <w:sz w:val="32"/>
          <w:szCs w:val="32"/>
        </w:rPr>
        <w:t>支出决算为</w:t>
      </w:r>
      <w:r>
        <w:rPr>
          <w:rFonts w:hint="eastAsia" w:ascii="仿宋" w:hAnsi="仿宋" w:eastAsia="仿宋"/>
          <w:sz w:val="32"/>
          <w:szCs w:val="32"/>
          <w:lang w:val="en-US" w:eastAsia="zh-CN"/>
        </w:rPr>
        <w:t>136.08</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100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527AE5BB">
      <w:pPr>
        <w:spacing w:line="600" w:lineRule="exact"/>
        <w:ind w:firstLine="643" w:firstLineChars="200"/>
        <w:rPr>
          <w:rFonts w:ascii="仿宋" w:hAnsi="仿宋" w:eastAsia="仿宋"/>
          <w:b/>
          <w:sz w:val="32"/>
          <w:szCs w:val="32"/>
        </w:rPr>
      </w:pPr>
      <w:r>
        <w:rPr>
          <w:rStyle w:val="18"/>
          <w:rFonts w:hint="eastAsia" w:ascii="仿宋" w:hAnsi="仿宋" w:eastAsia="仿宋"/>
          <w:bCs/>
          <w:sz w:val="32"/>
          <w:szCs w:val="32"/>
          <w:lang w:val="en-US" w:eastAsia="zh-CN"/>
        </w:rPr>
        <w:t>5</w:t>
      </w:r>
      <w:r>
        <w:rPr>
          <w:rStyle w:val="18"/>
          <w:rFonts w:ascii="仿宋" w:hAnsi="仿宋" w:eastAsia="仿宋"/>
          <w:bCs/>
          <w:sz w:val="32"/>
          <w:szCs w:val="32"/>
        </w:rPr>
        <w:t>.</w:t>
      </w:r>
      <w:r>
        <w:rPr>
          <w:rFonts w:hint="eastAsia" w:ascii="仿宋" w:hAnsi="仿宋" w:eastAsia="仿宋"/>
          <w:b/>
          <w:bCs/>
          <w:sz w:val="32"/>
          <w:szCs w:val="32"/>
        </w:rPr>
        <w:t>卫生健康</w:t>
      </w:r>
      <w:r>
        <w:rPr>
          <w:rStyle w:val="18"/>
          <w:rFonts w:hint="eastAsia" w:ascii="仿宋" w:hAnsi="仿宋" w:eastAsia="仿宋"/>
          <w:bCs/>
          <w:sz w:val="32"/>
          <w:szCs w:val="32"/>
        </w:rPr>
        <w:t>（类）</w:t>
      </w:r>
      <w:r>
        <w:rPr>
          <w:rStyle w:val="18"/>
          <w:rFonts w:ascii="仿宋" w:hAnsi="仿宋" w:eastAsia="仿宋"/>
          <w:bCs/>
          <w:sz w:val="32"/>
          <w:szCs w:val="32"/>
        </w:rPr>
        <w:t>:</w:t>
      </w:r>
      <w:r>
        <w:rPr>
          <w:rStyle w:val="18"/>
          <w:rFonts w:hint="eastAsia" w:ascii="仿宋" w:hAnsi="仿宋" w:eastAsia="仿宋"/>
          <w:b w:val="0"/>
          <w:bCs/>
          <w:sz w:val="32"/>
          <w:szCs w:val="32"/>
        </w:rPr>
        <w:t>支出决算为</w:t>
      </w:r>
      <w:r>
        <w:rPr>
          <w:rFonts w:hint="eastAsia" w:ascii="仿宋" w:hAnsi="仿宋" w:eastAsia="仿宋"/>
          <w:sz w:val="32"/>
          <w:szCs w:val="32"/>
        </w:rPr>
        <w:t>5</w:t>
      </w:r>
      <w:r>
        <w:rPr>
          <w:rFonts w:hint="eastAsia" w:ascii="仿宋" w:hAnsi="仿宋" w:eastAsia="仿宋"/>
          <w:sz w:val="32"/>
          <w:szCs w:val="32"/>
          <w:lang w:val="en-US" w:eastAsia="zh-CN"/>
        </w:rPr>
        <w:t>7.</w:t>
      </w:r>
      <w:r>
        <w:rPr>
          <w:rFonts w:hint="eastAsia" w:ascii="仿宋" w:hAnsi="仿宋" w:eastAsia="仿宋"/>
          <w:sz w:val="32"/>
          <w:szCs w:val="32"/>
        </w:rPr>
        <w:t>79</w:t>
      </w:r>
      <w:r>
        <w:rPr>
          <w:rStyle w:val="18"/>
          <w:rFonts w:hint="eastAsia" w:ascii="仿宋" w:hAnsi="仿宋" w:eastAsia="仿宋"/>
          <w:b w:val="0"/>
          <w:bCs/>
          <w:sz w:val="32"/>
          <w:szCs w:val="32"/>
        </w:rPr>
        <w:t>万元，完成预算</w:t>
      </w:r>
      <w:r>
        <w:rPr>
          <w:rStyle w:val="18"/>
          <w:rFonts w:hint="eastAsia" w:ascii="仿宋" w:hAnsi="仿宋" w:eastAsia="仿宋"/>
          <w:b w:val="0"/>
          <w:bCs/>
          <w:sz w:val="32"/>
          <w:szCs w:val="32"/>
          <w:lang w:val="en-US" w:eastAsia="zh-CN"/>
        </w:rPr>
        <w:t>100</w:t>
      </w:r>
      <w:r>
        <w:rPr>
          <w:rStyle w:val="18"/>
          <w:rFonts w:ascii="仿宋" w:hAnsi="仿宋" w:eastAsia="仿宋"/>
          <w:b w:val="0"/>
          <w:bCs/>
          <w:sz w:val="32"/>
          <w:szCs w:val="32"/>
        </w:rPr>
        <w:t>%</w:t>
      </w:r>
      <w:r>
        <w:rPr>
          <w:rStyle w:val="18"/>
          <w:rFonts w:hint="eastAsia" w:ascii="仿宋" w:hAnsi="仿宋" w:eastAsia="仿宋"/>
          <w:b w:val="0"/>
          <w:bCs/>
          <w:sz w:val="32"/>
          <w:szCs w:val="32"/>
        </w:rPr>
        <w:t>，决算数等于预算数。</w:t>
      </w:r>
    </w:p>
    <w:p w14:paraId="7BE1A0F0">
      <w:pPr>
        <w:spacing w:line="600" w:lineRule="exact"/>
        <w:ind w:firstLine="640" w:firstLineChars="200"/>
        <w:rPr>
          <w:rFonts w:ascii="仿宋" w:hAnsi="仿宋" w:eastAsia="仿宋"/>
          <w:sz w:val="32"/>
          <w:szCs w:val="32"/>
        </w:rPr>
      </w:pPr>
      <w:r>
        <w:rPr>
          <w:rFonts w:hint="eastAsia" w:ascii="仿宋" w:hAnsi="仿宋" w:eastAsia="仿宋"/>
          <w:sz w:val="32"/>
          <w:szCs w:val="32"/>
        </w:rPr>
        <w:t>……</w:t>
      </w:r>
    </w:p>
    <w:p w14:paraId="05C79F98">
      <w:pPr>
        <w:spacing w:line="600" w:lineRule="exact"/>
        <w:ind w:firstLine="643" w:firstLineChars="200"/>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w:t>
      </w:r>
      <w:r>
        <w:rPr>
          <w:rFonts w:hint="eastAsia" w:ascii="仿宋" w:hAnsi="仿宋" w:eastAsia="仿宋"/>
          <w:b/>
          <w:sz w:val="32"/>
          <w:szCs w:val="32"/>
        </w:rPr>
        <w:t>1-1表和财决08表，仅罗列本部门涉及的全部功能分类科目，至项级。上述“预算”口径为全年预算数。增减变动原因为决算数</w:t>
      </w:r>
      <w:r>
        <w:rPr>
          <w:rFonts w:ascii="仿宋" w:hAnsi="仿宋" w:eastAsia="仿宋"/>
          <w:b/>
          <w:sz w:val="32"/>
          <w:szCs w:val="32"/>
        </w:rPr>
        <w:t>&lt;</w:t>
      </w:r>
      <w:r>
        <w:rPr>
          <w:rFonts w:hint="eastAsia" w:ascii="仿宋" w:hAnsi="仿宋" w:eastAsia="仿宋"/>
          <w:b/>
          <w:sz w:val="32"/>
          <w:szCs w:val="32"/>
        </w:rPr>
        <w:t>项级</w:t>
      </w:r>
      <w:r>
        <w:rPr>
          <w:rFonts w:ascii="仿宋" w:hAnsi="仿宋" w:eastAsia="仿宋"/>
          <w:b/>
          <w:sz w:val="32"/>
          <w:szCs w:val="32"/>
        </w:rPr>
        <w:t>&gt;</w:t>
      </w:r>
      <w:r>
        <w:rPr>
          <w:rFonts w:hint="eastAsia" w:ascii="仿宋" w:hAnsi="仿宋" w:eastAsia="仿宋"/>
          <w:b/>
          <w:sz w:val="32"/>
          <w:szCs w:val="32"/>
        </w:rPr>
        <w:t>和全年预算数</w:t>
      </w:r>
      <w:r>
        <w:rPr>
          <w:rFonts w:ascii="仿宋" w:hAnsi="仿宋" w:eastAsia="仿宋"/>
          <w:b/>
          <w:sz w:val="32"/>
          <w:szCs w:val="32"/>
        </w:rPr>
        <w:t>&lt;</w:t>
      </w:r>
      <w:r>
        <w:rPr>
          <w:rFonts w:hint="eastAsia" w:ascii="仿宋" w:hAnsi="仿宋" w:eastAsia="仿宋"/>
          <w:b/>
          <w:sz w:val="32"/>
          <w:szCs w:val="32"/>
        </w:rPr>
        <w:t>项级</w:t>
      </w:r>
      <w:r>
        <w:rPr>
          <w:rFonts w:ascii="仿宋" w:hAnsi="仿宋" w:eastAsia="仿宋"/>
          <w:b/>
          <w:sz w:val="32"/>
          <w:szCs w:val="32"/>
        </w:rPr>
        <w:t>&gt;</w:t>
      </w:r>
      <w:r>
        <w:rPr>
          <w:rFonts w:hint="eastAsia" w:ascii="仿宋" w:hAnsi="仿宋" w:eastAsia="仿宋"/>
          <w:b/>
          <w:sz w:val="32"/>
          <w:szCs w:val="32"/>
        </w:rPr>
        <w:t>比较，与预算数持平可以不写原因。）</w:t>
      </w:r>
    </w:p>
    <w:p w14:paraId="1869E2E4">
      <w:pPr>
        <w:spacing w:line="600" w:lineRule="exact"/>
        <w:ind w:firstLine="640"/>
        <w:rPr>
          <w:rFonts w:ascii="仿宋" w:hAnsi="仿宋" w:eastAsia="仿宋"/>
          <w:b/>
          <w:sz w:val="32"/>
          <w:szCs w:val="32"/>
        </w:rPr>
      </w:pPr>
    </w:p>
    <w:p w14:paraId="13004300">
      <w:pPr>
        <w:tabs>
          <w:tab w:val="right" w:pos="8306"/>
        </w:tabs>
        <w:spacing w:line="600" w:lineRule="exact"/>
        <w:ind w:firstLine="640"/>
        <w:outlineLvl w:val="1"/>
        <w:rPr>
          <w:rStyle w:val="29"/>
        </w:rPr>
      </w:pPr>
      <w:bookmarkStart w:id="38" w:name="_Toc15377214"/>
      <w:bookmarkStart w:id="39" w:name="_Toc15396608"/>
      <w:r>
        <w:rPr>
          <w:rFonts w:hint="eastAsia" w:ascii="黑体" w:eastAsia="黑体"/>
          <w:sz w:val="32"/>
          <w:szCs w:val="32"/>
        </w:rPr>
        <w:t>六</w:t>
      </w:r>
      <w:r>
        <w:rPr>
          <w:rFonts w:hint="eastAsia" w:ascii="黑体" w:eastAsia="黑体"/>
          <w:b/>
          <w:sz w:val="32"/>
          <w:szCs w:val="32"/>
        </w:rPr>
        <w:t>、</w:t>
      </w:r>
      <w:r>
        <w:rPr>
          <w:rFonts w:hint="eastAsia" w:ascii="黑体" w:hAnsi="黑体" w:eastAsia="黑体"/>
          <w:b/>
          <w:sz w:val="32"/>
          <w:szCs w:val="32"/>
        </w:rPr>
        <w:t>一</w:t>
      </w:r>
      <w:r>
        <w:rPr>
          <w:rStyle w:val="29"/>
          <w:rFonts w:hint="eastAsia" w:ascii="黑体" w:hAnsi="黑体" w:eastAsia="黑体"/>
          <w:b w:val="0"/>
        </w:rPr>
        <w:t>般公共预算财政拨款基本支出决算情况说明</w:t>
      </w:r>
      <w:bookmarkEnd w:id="38"/>
      <w:bookmarkEnd w:id="39"/>
      <w:r>
        <w:rPr>
          <w:rStyle w:val="29"/>
          <w:rFonts w:ascii="黑体" w:hAnsi="黑体" w:eastAsia="黑体"/>
          <w:b w:val="0"/>
        </w:rPr>
        <w:tab/>
      </w:r>
    </w:p>
    <w:p w14:paraId="28574BD5">
      <w:pPr>
        <w:spacing w:line="600" w:lineRule="exact"/>
        <w:ind w:firstLine="645"/>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年度一般公共预算财政拨款基本支出</w:t>
      </w:r>
      <w:r>
        <w:rPr>
          <w:rFonts w:hint="eastAsia" w:ascii="仿宋_GB2312" w:eastAsia="仿宋_GB2312"/>
          <w:sz w:val="32"/>
          <w:szCs w:val="32"/>
        </w:rPr>
        <w:t>1,008.44</w:t>
      </w:r>
      <w:r>
        <w:rPr>
          <w:rFonts w:hint="eastAsia" w:ascii="仿宋" w:hAnsi="仿宋" w:eastAsia="仿宋"/>
          <w:sz w:val="32"/>
          <w:szCs w:val="32"/>
        </w:rPr>
        <w:t>万元，其中：</w:t>
      </w:r>
    </w:p>
    <w:p w14:paraId="16217BCC">
      <w:pPr>
        <w:spacing w:line="600" w:lineRule="exact"/>
        <w:ind w:firstLine="645"/>
        <w:rPr>
          <w:rFonts w:ascii="仿宋" w:hAnsi="仿宋" w:eastAsia="仿宋"/>
          <w:sz w:val="32"/>
          <w:szCs w:val="32"/>
        </w:rPr>
      </w:pPr>
      <w:r>
        <w:rPr>
          <w:rFonts w:hint="eastAsia" w:ascii="仿宋" w:hAnsi="仿宋" w:eastAsia="仿宋"/>
          <w:sz w:val="32"/>
          <w:szCs w:val="32"/>
        </w:rPr>
        <w:t>人员经费</w:t>
      </w:r>
      <w:r>
        <w:rPr>
          <w:rFonts w:hint="eastAsia" w:ascii="仿宋_GB2312" w:eastAsia="仿宋_GB2312"/>
          <w:sz w:val="32"/>
          <w:szCs w:val="32"/>
        </w:rPr>
        <w:t>939.21</w:t>
      </w:r>
      <w:r>
        <w:rPr>
          <w:rFonts w:hint="eastAsia" w:ascii="仿宋" w:hAnsi="仿宋" w:eastAsia="仿宋"/>
          <w:sz w:val="32"/>
          <w:szCs w:val="32"/>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ascii="仿宋" w:hAnsi="仿宋" w:eastAsia="仿宋"/>
          <w:sz w:val="32"/>
          <w:szCs w:val="32"/>
        </w:rPr>
        <w:br w:type="textWrapping"/>
      </w:r>
      <w:r>
        <w:rPr>
          <w:rFonts w:hint="eastAsia" w:ascii="仿宋" w:hAnsi="仿宋" w:eastAsia="仿宋"/>
          <w:sz w:val="32"/>
          <w:szCs w:val="32"/>
        </w:rPr>
        <w:t>　　公用经费</w:t>
      </w:r>
      <w:r>
        <w:rPr>
          <w:rFonts w:hint="eastAsia" w:ascii="仿宋_GB2312" w:eastAsia="仿宋_GB2312"/>
          <w:sz w:val="32"/>
          <w:szCs w:val="32"/>
        </w:rPr>
        <w:t>35.30</w:t>
      </w:r>
      <w:r>
        <w:rPr>
          <w:rFonts w:hint="eastAsia" w:ascii="仿宋" w:hAnsi="仿宋" w:eastAsia="仿宋"/>
          <w:sz w:val="32"/>
          <w:szCs w:val="32"/>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7EAF6812">
      <w:pPr>
        <w:spacing w:line="600" w:lineRule="exact"/>
        <w:ind w:firstLine="645"/>
        <w:rPr>
          <w:rFonts w:ascii="仿宋" w:hAnsi="仿宋" w:eastAsia="仿宋"/>
          <w:b/>
          <w:sz w:val="32"/>
          <w:szCs w:val="32"/>
        </w:rPr>
      </w:pPr>
      <w:r>
        <w:rPr>
          <w:rFonts w:hint="eastAsia" w:ascii="仿宋" w:hAnsi="仿宋" w:eastAsia="仿宋"/>
          <w:b/>
          <w:sz w:val="32"/>
          <w:szCs w:val="32"/>
        </w:rPr>
        <w:t>（注：数据来源于财决</w:t>
      </w:r>
      <w:r>
        <w:rPr>
          <w:rFonts w:ascii="仿宋" w:hAnsi="仿宋" w:eastAsia="仿宋"/>
          <w:b/>
          <w:sz w:val="32"/>
          <w:szCs w:val="32"/>
        </w:rPr>
        <w:t>0</w:t>
      </w:r>
      <w:r>
        <w:rPr>
          <w:rFonts w:hint="eastAsia" w:ascii="仿宋" w:hAnsi="仿宋" w:eastAsia="仿宋"/>
          <w:b/>
          <w:sz w:val="32"/>
          <w:szCs w:val="32"/>
        </w:rPr>
        <w:t>7表和财决08-1表，仅罗列本部门实际支出涉及的经济分类科目。）</w:t>
      </w:r>
    </w:p>
    <w:p w14:paraId="4CBB59C0">
      <w:pPr>
        <w:spacing w:line="600" w:lineRule="exact"/>
        <w:ind w:firstLine="640"/>
        <w:rPr>
          <w:rFonts w:ascii="仿宋" w:hAnsi="仿宋" w:eastAsia="仿宋"/>
          <w:b/>
          <w:sz w:val="32"/>
          <w:szCs w:val="32"/>
        </w:rPr>
      </w:pPr>
    </w:p>
    <w:p w14:paraId="547E6CFF">
      <w:pPr>
        <w:spacing w:line="600" w:lineRule="exact"/>
        <w:ind w:firstLine="640"/>
        <w:outlineLvl w:val="1"/>
        <w:rPr>
          <w:rStyle w:val="29"/>
          <w:rFonts w:ascii="黑体" w:hAnsi="黑体" w:eastAsia="黑体"/>
          <w:b w:val="0"/>
        </w:rPr>
      </w:pPr>
      <w:bookmarkStart w:id="40" w:name="_Toc15377215"/>
      <w:bookmarkStart w:id="41" w:name="_Toc15396609"/>
      <w:r>
        <w:rPr>
          <w:rFonts w:hint="eastAsia" w:ascii="黑体" w:eastAsia="黑体"/>
          <w:sz w:val="32"/>
          <w:szCs w:val="32"/>
        </w:rPr>
        <w:t>七、</w:t>
      </w:r>
      <w:r>
        <w:rPr>
          <w:rStyle w:val="29"/>
          <w:rFonts w:hint="eastAsia" w:ascii="黑体" w:hAnsi="黑体" w:eastAsia="黑体"/>
          <w:b w:val="0"/>
        </w:rPr>
        <w:t>财政拨款</w:t>
      </w:r>
      <w:r>
        <w:rPr>
          <w:rStyle w:val="29"/>
          <w:rFonts w:hint="eastAsia" w:ascii="黑体" w:hAnsi="黑体" w:eastAsia="黑体"/>
        </w:rPr>
        <w:t>“</w:t>
      </w:r>
      <w:r>
        <w:rPr>
          <w:rStyle w:val="29"/>
          <w:rFonts w:hint="eastAsia" w:ascii="黑体" w:hAnsi="黑体" w:eastAsia="黑体"/>
          <w:b w:val="0"/>
        </w:rPr>
        <w:t>三公”经费支出决算情况说明</w:t>
      </w:r>
      <w:bookmarkEnd w:id="40"/>
      <w:bookmarkEnd w:id="41"/>
    </w:p>
    <w:p w14:paraId="23C0066C">
      <w:pPr>
        <w:spacing w:line="600" w:lineRule="exact"/>
        <w:ind w:firstLine="640"/>
        <w:outlineLvl w:val="2"/>
        <w:rPr>
          <w:rFonts w:ascii="仿宋" w:hAnsi="仿宋" w:eastAsia="仿宋"/>
          <w:b/>
          <w:sz w:val="32"/>
          <w:szCs w:val="32"/>
        </w:rPr>
      </w:pPr>
      <w:bookmarkStart w:id="42" w:name="_Toc15377216"/>
      <w:r>
        <w:rPr>
          <w:rFonts w:hint="eastAsia" w:ascii="仿宋" w:hAnsi="仿宋" w:eastAsia="仿宋"/>
          <w:b/>
          <w:sz w:val="32"/>
          <w:szCs w:val="32"/>
        </w:rPr>
        <w:t>（一）“三公”经费财政拨款支出决算总体情况说明</w:t>
      </w:r>
      <w:bookmarkEnd w:id="42"/>
    </w:p>
    <w:p w14:paraId="046C24E9">
      <w:pPr>
        <w:spacing w:line="600" w:lineRule="exact"/>
        <w:ind w:firstLine="64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年度“三公”经费财政拨款支出决算为</w:t>
      </w:r>
      <w:r>
        <w:rPr>
          <w:rFonts w:hint="eastAsia" w:ascii="仿宋_GB2312" w:eastAsia="仿宋_GB2312"/>
          <w:sz w:val="32"/>
          <w:szCs w:val="32"/>
          <w:lang w:val="en-US" w:eastAsia="zh-CN"/>
        </w:rPr>
        <w:t>7.22</w:t>
      </w:r>
      <w:r>
        <w:rPr>
          <w:rFonts w:hint="eastAsia" w:eastAsia="仿宋"/>
          <w:sz w:val="32"/>
          <w:szCs w:val="32"/>
          <w:lang w:val="en-US" w:eastAsia="zh-CN"/>
        </w:rPr>
        <w:t>6.51</w:t>
      </w:r>
      <w:r>
        <w:rPr>
          <w:rFonts w:hint="eastAsia" w:ascii="仿宋" w:hAnsi="仿宋" w:eastAsia="仿宋"/>
          <w:sz w:val="32"/>
          <w:szCs w:val="32"/>
        </w:rPr>
        <w:t>万元，完成预算</w:t>
      </w:r>
      <w:r>
        <w:rPr>
          <w:sz w:val="32"/>
          <w:szCs w:val="32"/>
        </w:rPr>
        <w:t>100</w:t>
      </w:r>
      <w:r>
        <w:rPr>
          <w:rFonts w:ascii="仿宋" w:hAnsi="仿宋" w:eastAsia="仿宋"/>
          <w:sz w:val="32"/>
          <w:szCs w:val="32"/>
        </w:rPr>
        <w:t>%</w:t>
      </w:r>
      <w:r>
        <w:rPr>
          <w:rFonts w:hint="eastAsia" w:ascii="仿宋" w:hAnsi="仿宋" w:eastAsia="仿宋"/>
          <w:sz w:val="32"/>
          <w:szCs w:val="32"/>
        </w:rPr>
        <w:t>，较上年度</w:t>
      </w:r>
      <w:r>
        <w:rPr>
          <w:rFonts w:hint="eastAsia" w:ascii="仿宋" w:hAnsi="仿宋" w:eastAsia="仿宋"/>
          <w:sz w:val="32"/>
          <w:szCs w:val="32"/>
          <w:lang w:val="en-US" w:eastAsia="zh-CN"/>
        </w:rPr>
        <w:t>增加0.71</w:t>
      </w:r>
      <w:r>
        <w:rPr>
          <w:rFonts w:hint="eastAsia" w:ascii="仿宋" w:hAnsi="仿宋" w:eastAsia="仿宋"/>
          <w:sz w:val="32"/>
          <w:szCs w:val="32"/>
        </w:rPr>
        <w:t>万元，</w:t>
      </w:r>
      <w:r>
        <w:rPr>
          <w:rFonts w:hint="eastAsia" w:ascii="仿宋" w:hAnsi="仿宋" w:eastAsia="仿宋"/>
          <w:sz w:val="32"/>
          <w:szCs w:val="32"/>
          <w:lang w:val="en-US" w:eastAsia="zh-CN"/>
        </w:rPr>
        <w:t>上升10.9</w:t>
      </w:r>
      <w:r>
        <w:rPr>
          <w:rFonts w:hint="eastAsia" w:ascii="仿宋" w:hAnsi="仿宋" w:eastAsia="仿宋"/>
          <w:sz w:val="32"/>
          <w:szCs w:val="32"/>
        </w:rPr>
        <w:t>%</w:t>
      </w:r>
      <w:r>
        <w:rPr>
          <w:rFonts w:hint="eastAsia" w:ascii="仿宋" w:hAnsi="仿宋" w:eastAsia="仿宋"/>
          <w:sz w:val="32"/>
          <w:szCs w:val="32"/>
          <w:lang w:eastAsia="zh-CN"/>
        </w:rPr>
        <w:t>，</w:t>
      </w:r>
      <w:r>
        <w:rPr>
          <w:rFonts w:hint="eastAsia" w:ascii="仿宋" w:hAnsi="仿宋" w:eastAsia="仿宋"/>
          <w:sz w:val="32"/>
          <w:szCs w:val="32"/>
          <w:lang w:val="en-US" w:eastAsia="zh-CN"/>
        </w:rPr>
        <w:t>原因为新招录人员9位</w:t>
      </w:r>
      <w:r>
        <w:rPr>
          <w:rFonts w:hint="eastAsia" w:ascii="仿宋" w:hAnsi="仿宋" w:eastAsia="仿宋"/>
          <w:sz w:val="32"/>
          <w:szCs w:val="32"/>
        </w:rPr>
        <w:t>。</w:t>
      </w:r>
    </w:p>
    <w:p w14:paraId="146C071C">
      <w:pPr>
        <w:spacing w:line="600" w:lineRule="exact"/>
        <w:ind w:firstLine="640"/>
        <w:rPr>
          <w:rFonts w:ascii="仿宋" w:hAnsi="仿宋" w:eastAsia="仿宋"/>
          <w:b/>
          <w:sz w:val="32"/>
          <w:szCs w:val="32"/>
        </w:rPr>
      </w:pPr>
      <w:r>
        <w:rPr>
          <w:rFonts w:hint="eastAsia" w:ascii="仿宋" w:hAnsi="仿宋" w:eastAsia="仿宋"/>
          <w:b/>
          <w:sz w:val="32"/>
          <w:szCs w:val="32"/>
        </w:rPr>
        <w:t>（注：上述“预算”口径为全年预算数，包括一般公共预算和政府性基金预算财政拨款支出决算情况。）</w:t>
      </w:r>
    </w:p>
    <w:p w14:paraId="1974E6B0">
      <w:pPr>
        <w:spacing w:line="600" w:lineRule="exact"/>
        <w:ind w:firstLine="640"/>
        <w:outlineLvl w:val="2"/>
        <w:rPr>
          <w:rFonts w:ascii="仿宋" w:hAnsi="仿宋" w:eastAsia="仿宋"/>
          <w:b/>
          <w:sz w:val="32"/>
          <w:szCs w:val="32"/>
        </w:rPr>
      </w:pPr>
      <w:bookmarkStart w:id="43" w:name="_Toc15377217"/>
      <w:r>
        <w:rPr>
          <w:rFonts w:hint="eastAsia" w:ascii="仿宋" w:hAnsi="仿宋" w:eastAsia="仿宋"/>
          <w:b/>
          <w:sz w:val="32"/>
          <w:szCs w:val="32"/>
        </w:rPr>
        <w:t>（二）“三公”经费财政拨款支出决算具体情况说明</w:t>
      </w:r>
      <w:bookmarkEnd w:id="43"/>
    </w:p>
    <w:p w14:paraId="2F4EDF58">
      <w:pPr>
        <w:spacing w:line="600" w:lineRule="exact"/>
        <w:ind w:firstLine="64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5</w:t>
      </w:r>
      <w:r>
        <w:rPr>
          <w:rFonts w:hint="eastAsia" w:ascii="仿宋" w:hAnsi="仿宋" w:eastAsia="仿宋"/>
          <w:sz w:val="32"/>
          <w:szCs w:val="32"/>
        </w:rPr>
        <w:t>年度“三公”经费财政拨款支出决算中，因公出国（境）费支出决算</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；公务用车购置及运行维护费支出决算</w:t>
      </w:r>
      <w:r>
        <w:rPr>
          <w:rFonts w:hint="eastAsia" w:ascii="仿宋_GB2312" w:eastAsia="仿宋_GB2312"/>
          <w:sz w:val="32"/>
          <w:szCs w:val="32"/>
          <w:lang w:val="en-US" w:eastAsia="zh-CN"/>
        </w:rPr>
        <w:t>7.22</w:t>
      </w:r>
      <w:r>
        <w:rPr>
          <w:rFonts w:hint="eastAsia" w:ascii="仿宋" w:hAnsi="仿宋" w:eastAsia="仿宋"/>
          <w:sz w:val="32"/>
          <w:szCs w:val="32"/>
        </w:rPr>
        <w:t>万元，占</w:t>
      </w:r>
      <w:r>
        <w:rPr>
          <w:rFonts w:hint="eastAsia" w:eastAsia="仿宋"/>
          <w:sz w:val="32"/>
          <w:szCs w:val="32"/>
          <w:lang w:val="en-US" w:eastAsia="zh-CN"/>
        </w:rPr>
        <w:t>100</w:t>
      </w:r>
      <w:r>
        <w:rPr>
          <w:rFonts w:ascii="仿宋" w:hAnsi="仿宋" w:eastAsia="仿宋"/>
          <w:sz w:val="32"/>
          <w:szCs w:val="32"/>
        </w:rPr>
        <w:t>%</w:t>
      </w:r>
      <w:r>
        <w:rPr>
          <w:rFonts w:hint="eastAsia" w:ascii="仿宋" w:hAnsi="仿宋" w:eastAsia="仿宋"/>
          <w:sz w:val="32"/>
          <w:szCs w:val="32"/>
        </w:rPr>
        <w:t>；公务接待费支出决算</w:t>
      </w:r>
      <w:r>
        <w:rPr>
          <w:rFonts w:hint="eastAsia" w:eastAsia="仿宋"/>
          <w:sz w:val="32"/>
          <w:szCs w:val="32"/>
          <w:lang w:val="en-US" w:eastAsia="zh-CN"/>
        </w:rPr>
        <w:t>0</w:t>
      </w:r>
      <w:r>
        <w:rPr>
          <w:rFonts w:hint="eastAsia" w:ascii="仿宋" w:hAnsi="仿宋" w:eastAsia="仿宋"/>
          <w:sz w:val="32"/>
          <w:szCs w:val="32"/>
        </w:rPr>
        <w:t>万元，占</w:t>
      </w:r>
      <w:r>
        <w:rPr>
          <w:rFonts w:hint="eastAsia" w:eastAsia="仿宋"/>
          <w:sz w:val="32"/>
          <w:szCs w:val="32"/>
          <w:lang w:val="en-US" w:eastAsia="zh-CN"/>
        </w:rPr>
        <w:t>0</w:t>
      </w:r>
      <w:r>
        <w:rPr>
          <w:rFonts w:ascii="仿宋" w:hAnsi="仿宋" w:eastAsia="仿宋"/>
          <w:sz w:val="32"/>
          <w:szCs w:val="32"/>
        </w:rPr>
        <w:t>%</w:t>
      </w:r>
      <w:r>
        <w:rPr>
          <w:rFonts w:hint="eastAsia" w:ascii="仿宋" w:hAnsi="仿宋" w:eastAsia="仿宋"/>
          <w:sz w:val="32"/>
          <w:szCs w:val="32"/>
        </w:rPr>
        <w:t>。具体情况如下：</w:t>
      </w:r>
    </w:p>
    <w:p w14:paraId="7D71BC5A">
      <w:pPr>
        <w:spacing w:line="600" w:lineRule="exact"/>
        <w:ind w:firstLine="640"/>
        <w:rPr>
          <w:rFonts w:ascii="仿宋" w:hAnsi="仿宋" w:eastAsia="仿宋"/>
          <w:sz w:val="32"/>
          <w:szCs w:val="32"/>
        </w:rPr>
      </w:pPr>
      <w:r>
        <w:rPr>
          <w:rFonts w:hint="eastAsia" w:ascii="仿宋" w:hAnsi="仿宋" w:eastAsia="仿宋"/>
          <w:sz w:val="32"/>
          <w:szCs w:val="32"/>
        </w:rPr>
        <w:t>（图7：“三公”经费财政拨款支出结构）（饼状图）</w:t>
      </w:r>
    </w:p>
    <w:p w14:paraId="5A8996AC">
      <w:pPr>
        <w:spacing w:line="600" w:lineRule="exact"/>
        <w:ind w:firstLine="640"/>
        <w:rPr>
          <w:rFonts w:ascii="仿宋_GB2312" w:eastAsia="仿宋_GB2312"/>
          <w:b/>
          <w:sz w:val="32"/>
          <w:szCs w:val="32"/>
        </w:rPr>
      </w:pPr>
      <w:r>
        <w:rPr>
          <w:rFonts w:ascii="仿宋_GB2312" w:eastAsia="仿宋_GB2312"/>
          <w:b/>
          <w:sz w:val="32"/>
          <w:szCs w:val="32"/>
        </w:rPr>
        <w:t>1.</w:t>
      </w:r>
      <w:r>
        <w:rPr>
          <w:rFonts w:hint="eastAsia" w:ascii="仿宋_GB2312" w:eastAsia="仿宋_GB2312"/>
          <w:b/>
          <w:sz w:val="32"/>
          <w:szCs w:val="32"/>
        </w:rPr>
        <w:t>因公出国（境）经费支出</w:t>
      </w:r>
      <w:r>
        <w:rPr>
          <w:sz w:val="32"/>
          <w:szCs w:val="32"/>
        </w:rPr>
        <w:t>0</w:t>
      </w:r>
      <w:r>
        <w:rPr>
          <w:rFonts w:hint="eastAsia" w:ascii="仿宋_GB2312" w:eastAsia="仿宋_GB2312"/>
          <w:sz w:val="32"/>
          <w:szCs w:val="32"/>
        </w:rPr>
        <w:t>万元，</w:t>
      </w:r>
      <w:r>
        <w:rPr>
          <w:rStyle w:val="18"/>
          <w:rFonts w:hint="eastAsia" w:ascii="仿宋" w:hAnsi="仿宋" w:eastAsia="仿宋"/>
          <w:b w:val="0"/>
          <w:bCs/>
          <w:sz w:val="32"/>
          <w:szCs w:val="32"/>
        </w:rPr>
        <w:t>完成预算</w:t>
      </w:r>
      <w:r>
        <w:rPr>
          <w:sz w:val="32"/>
          <w:szCs w:val="32"/>
        </w:rPr>
        <w:t>0</w:t>
      </w:r>
      <w:r>
        <w:rPr>
          <w:rStyle w:val="18"/>
          <w:rFonts w:ascii="仿宋" w:hAnsi="仿宋" w:eastAsia="仿宋"/>
          <w:b w:val="0"/>
          <w:bCs/>
          <w:sz w:val="32"/>
          <w:szCs w:val="32"/>
        </w:rPr>
        <w:t>%</w:t>
      </w:r>
      <w:r>
        <w:rPr>
          <w:rStyle w:val="18"/>
          <w:rFonts w:hint="eastAsia" w:ascii="仿宋" w:hAnsi="仿宋" w:eastAsia="仿宋"/>
          <w:b w:val="0"/>
          <w:bCs/>
          <w:sz w:val="32"/>
          <w:szCs w:val="32"/>
        </w:rPr>
        <w:t>。</w:t>
      </w:r>
      <w:r>
        <w:rPr>
          <w:rFonts w:hint="eastAsia" w:ascii="仿宋_GB2312" w:eastAsia="仿宋_GB2312"/>
          <w:sz w:val="32"/>
          <w:szCs w:val="32"/>
        </w:rPr>
        <w:t>全年安排因公出国（境）团组</w:t>
      </w:r>
      <w:r>
        <w:rPr>
          <w:sz w:val="32"/>
          <w:szCs w:val="32"/>
        </w:rPr>
        <w:t>0</w:t>
      </w:r>
      <w:r>
        <w:rPr>
          <w:rFonts w:hint="eastAsia" w:ascii="仿宋_GB2312" w:eastAsia="仿宋_GB2312"/>
          <w:sz w:val="32"/>
          <w:szCs w:val="32"/>
        </w:rPr>
        <w:t>次，出国（境）</w:t>
      </w:r>
      <w:r>
        <w:rPr>
          <w:sz w:val="32"/>
          <w:szCs w:val="32"/>
        </w:rPr>
        <w:t>0</w:t>
      </w:r>
      <w:r>
        <w:rPr>
          <w:rFonts w:hint="eastAsia" w:ascii="仿宋_GB2312" w:eastAsia="仿宋_GB2312"/>
          <w:sz w:val="32"/>
          <w:szCs w:val="32"/>
        </w:rPr>
        <w:t>人。因公出国（境）支出决算比202</w:t>
      </w:r>
      <w:r>
        <w:rPr>
          <w:rFonts w:hint="eastAsia" w:ascii="仿宋_GB2312" w:eastAsia="仿宋_GB2312"/>
          <w:sz w:val="32"/>
          <w:szCs w:val="32"/>
          <w:lang w:val="en-US" w:eastAsia="zh-CN"/>
        </w:rPr>
        <w:t>4</w:t>
      </w:r>
      <w:r>
        <w:rPr>
          <w:rFonts w:hint="eastAsia" w:ascii="仿宋_GB2312" w:eastAsia="仿宋_GB2312"/>
          <w:sz w:val="32"/>
          <w:szCs w:val="32"/>
        </w:rPr>
        <w:t>年增加</w:t>
      </w:r>
      <w:r>
        <w:rPr>
          <w:rFonts w:ascii="仿宋_GB2312" w:eastAsia="仿宋_GB2312"/>
          <w:sz w:val="32"/>
          <w:szCs w:val="32"/>
        </w:rPr>
        <w:t>/</w:t>
      </w:r>
      <w:r>
        <w:rPr>
          <w:rFonts w:hint="eastAsia" w:ascii="仿宋_GB2312" w:eastAsia="仿宋_GB2312"/>
          <w:sz w:val="32"/>
          <w:szCs w:val="32"/>
        </w:rPr>
        <w:t>减少</w:t>
      </w:r>
      <w:r>
        <w:rPr>
          <w:rFonts w:hint="eastAsia" w:ascii="仿宋_GB2312" w:eastAsia="仿宋_GB2312"/>
          <w:sz w:val="32"/>
          <w:szCs w:val="32"/>
          <w:lang w:val="en-US" w:eastAsia="zh-CN"/>
        </w:rPr>
        <w:t>0</w:t>
      </w:r>
      <w:r>
        <w:rPr>
          <w:rFonts w:hint="eastAsia" w:ascii="仿宋_GB2312" w:eastAsia="仿宋_GB2312"/>
          <w:sz w:val="32"/>
          <w:szCs w:val="32"/>
        </w:rPr>
        <w:t>万元，增长</w:t>
      </w:r>
      <w:r>
        <w:rPr>
          <w:rFonts w:ascii="仿宋_GB2312" w:eastAsia="仿宋_GB2312"/>
          <w:sz w:val="32"/>
          <w:szCs w:val="32"/>
        </w:rPr>
        <w:t>/</w:t>
      </w:r>
      <w:r>
        <w:rPr>
          <w:rFonts w:hint="eastAsia" w:ascii="仿宋_GB2312" w:eastAsia="仿宋_GB2312"/>
          <w:sz w:val="32"/>
          <w:szCs w:val="32"/>
        </w:rPr>
        <w:t>下降</w:t>
      </w:r>
      <w:r>
        <w:rPr>
          <w:rFonts w:hint="eastAsia" w:ascii="仿宋_GB2312" w:eastAsia="仿宋_GB2312"/>
          <w:sz w:val="32"/>
          <w:szCs w:val="32"/>
          <w:lang w:val="en-US" w:eastAsia="zh-CN"/>
        </w:rPr>
        <w:t>0</w:t>
      </w:r>
      <w:r>
        <w:rPr>
          <w:rFonts w:ascii="仿宋_GB2312" w:eastAsia="仿宋_GB2312"/>
          <w:sz w:val="32"/>
          <w:szCs w:val="32"/>
        </w:rPr>
        <w:t>%</w:t>
      </w:r>
      <w:r>
        <w:rPr>
          <w:rFonts w:hint="eastAsia" w:ascii="仿宋_GB2312" w:eastAsia="仿宋_GB2312"/>
          <w:sz w:val="32"/>
          <w:szCs w:val="32"/>
        </w:rPr>
        <w:t>。</w:t>
      </w:r>
    </w:p>
    <w:p w14:paraId="68AE8263">
      <w:pPr>
        <w:spacing w:line="600" w:lineRule="exact"/>
        <w:ind w:firstLine="640"/>
        <w:rPr>
          <w:rFonts w:ascii="仿宋_GB2312" w:eastAsia="仿宋_GB2312"/>
          <w:b/>
          <w:sz w:val="32"/>
          <w:szCs w:val="32"/>
        </w:rPr>
      </w:pPr>
      <w:r>
        <w:rPr>
          <w:rFonts w:ascii="仿宋_GB2312" w:eastAsia="仿宋_GB2312"/>
          <w:b/>
          <w:sz w:val="32"/>
          <w:szCs w:val="32"/>
        </w:rPr>
        <w:t>2.</w:t>
      </w:r>
      <w:r>
        <w:rPr>
          <w:rFonts w:hint="eastAsia" w:ascii="仿宋_GB2312" w:eastAsia="仿宋_GB2312"/>
          <w:b/>
          <w:sz w:val="32"/>
          <w:szCs w:val="32"/>
        </w:rPr>
        <w:t>公务用车购置及运行维护费支出</w:t>
      </w:r>
      <w:r>
        <w:rPr>
          <w:rFonts w:hint="eastAsia" w:ascii="仿宋_GB2312" w:eastAsia="仿宋_GB2312"/>
          <w:sz w:val="32"/>
          <w:szCs w:val="32"/>
          <w:lang w:val="en-US" w:eastAsia="zh-CN"/>
        </w:rPr>
        <w:t>7.22</w:t>
      </w:r>
      <w:r>
        <w:rPr>
          <w:rFonts w:hint="eastAsia" w:ascii="仿宋_GB2312" w:eastAsia="仿宋_GB2312"/>
          <w:sz w:val="32"/>
          <w:szCs w:val="32"/>
        </w:rPr>
        <w:t>万元,</w:t>
      </w:r>
      <w:r>
        <w:rPr>
          <w:rStyle w:val="18"/>
          <w:rFonts w:hint="eastAsia" w:ascii="仿宋" w:hAnsi="仿宋" w:eastAsia="仿宋"/>
          <w:b w:val="0"/>
          <w:bCs/>
          <w:sz w:val="32"/>
          <w:szCs w:val="32"/>
        </w:rPr>
        <w:t>完成预算</w:t>
      </w:r>
      <w:r>
        <w:rPr>
          <w:sz w:val="32"/>
          <w:szCs w:val="32"/>
        </w:rPr>
        <w:t>100</w:t>
      </w:r>
      <w:r>
        <w:rPr>
          <w:rStyle w:val="18"/>
          <w:rFonts w:ascii="仿宋" w:hAnsi="仿宋" w:eastAsia="仿宋"/>
          <w:b w:val="0"/>
          <w:bCs/>
          <w:sz w:val="32"/>
          <w:szCs w:val="32"/>
        </w:rPr>
        <w:t>%</w:t>
      </w:r>
      <w:r>
        <w:rPr>
          <w:rStyle w:val="18"/>
          <w:rFonts w:hint="eastAsia" w:ascii="仿宋" w:hAnsi="仿宋" w:eastAsia="仿宋"/>
          <w:b w:val="0"/>
          <w:bCs/>
          <w:sz w:val="32"/>
          <w:szCs w:val="32"/>
        </w:rPr>
        <w:t>。</w:t>
      </w:r>
      <w:r>
        <w:rPr>
          <w:rFonts w:hint="eastAsia" w:ascii="仿宋_GB2312" w:eastAsia="仿宋_GB2312"/>
          <w:sz w:val="32"/>
          <w:szCs w:val="32"/>
        </w:rPr>
        <w:t>公务用车购置及运行维护费支出决算比202</w:t>
      </w:r>
      <w:r>
        <w:rPr>
          <w:rFonts w:hint="eastAsia" w:ascii="仿宋_GB2312" w:eastAsia="仿宋_GB2312"/>
          <w:sz w:val="32"/>
          <w:szCs w:val="32"/>
          <w:lang w:val="en-US" w:eastAsia="zh-CN"/>
        </w:rPr>
        <w:t>4</w:t>
      </w:r>
      <w:r>
        <w:rPr>
          <w:rFonts w:hint="eastAsia" w:ascii="仿宋_GB2312" w:eastAsia="仿宋_GB2312"/>
          <w:sz w:val="32"/>
          <w:szCs w:val="32"/>
        </w:rPr>
        <w:t>年度</w:t>
      </w:r>
      <w:r>
        <w:rPr>
          <w:rFonts w:hint="eastAsia" w:ascii="仿宋_GB2312" w:eastAsia="仿宋_GB2312"/>
          <w:sz w:val="32"/>
          <w:szCs w:val="32"/>
          <w:lang w:val="en-US" w:eastAsia="zh-CN"/>
        </w:rPr>
        <w:t>增加1.28</w:t>
      </w:r>
      <w:r>
        <w:rPr>
          <w:rFonts w:hint="eastAsia" w:ascii="仿宋_GB2312" w:eastAsia="仿宋_GB2312"/>
          <w:sz w:val="32"/>
          <w:szCs w:val="32"/>
        </w:rPr>
        <w:t>万元，</w:t>
      </w:r>
      <w:r>
        <w:rPr>
          <w:rFonts w:hint="eastAsia" w:ascii="仿宋_GB2312" w:eastAsia="仿宋_GB2312"/>
          <w:sz w:val="32"/>
          <w:szCs w:val="32"/>
          <w:lang w:val="en-US" w:eastAsia="zh-CN"/>
        </w:rPr>
        <w:t>上升21.54</w:t>
      </w:r>
      <w:r>
        <w:rPr>
          <w:rFonts w:ascii="仿宋_GB2312" w:eastAsia="仿宋_GB2312"/>
          <w:sz w:val="32"/>
          <w:szCs w:val="32"/>
        </w:rPr>
        <w:t>%</w:t>
      </w:r>
      <w:r>
        <w:rPr>
          <w:rFonts w:hint="eastAsia" w:ascii="仿宋_GB2312" w:eastAsia="仿宋_GB2312"/>
          <w:sz w:val="32"/>
          <w:szCs w:val="32"/>
        </w:rPr>
        <w:t>。</w:t>
      </w:r>
    </w:p>
    <w:p w14:paraId="3AE22B88">
      <w:pPr>
        <w:spacing w:line="600" w:lineRule="exact"/>
        <w:ind w:firstLine="640" w:firstLineChars="200"/>
        <w:rPr>
          <w:rFonts w:ascii="仿宋_GB2312" w:eastAsia="仿宋_GB2312"/>
          <w:b/>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w:t>
      </w:r>
      <w:r>
        <w:rPr>
          <w:sz w:val="32"/>
          <w:szCs w:val="32"/>
        </w:rPr>
        <w:t>0</w:t>
      </w:r>
      <w:r>
        <w:rPr>
          <w:rFonts w:hint="eastAsia" w:ascii="仿宋_GB2312" w:eastAsia="仿宋_GB2312"/>
          <w:sz w:val="32"/>
          <w:szCs w:val="32"/>
        </w:rPr>
        <w:t>万元。全年按规定更新购置公务用车</w:t>
      </w:r>
      <w:r>
        <w:rPr>
          <w:rFonts w:hint="eastAsia" w:ascii="仿宋_GB2312" w:eastAsia="仿宋_GB2312"/>
          <w:sz w:val="32"/>
          <w:szCs w:val="32"/>
          <w:lang w:val="en-US" w:eastAsia="zh-CN"/>
        </w:rPr>
        <w:t>0</w:t>
      </w:r>
      <w:r>
        <w:rPr>
          <w:rFonts w:hint="eastAsia" w:ascii="仿宋_GB2312" w:eastAsia="仿宋_GB2312"/>
          <w:sz w:val="32"/>
          <w:szCs w:val="32"/>
        </w:rPr>
        <w:t>辆，其中：轿车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万元，越野车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万元，载客汽车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万元，主要用于…。截至202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月31日，单位共有公务用车</w:t>
      </w:r>
      <w:r>
        <w:rPr>
          <w:rFonts w:hint="eastAsia" w:ascii="仿宋_GB2312" w:eastAsia="仿宋_GB2312"/>
          <w:sz w:val="32"/>
          <w:szCs w:val="32"/>
          <w:lang w:val="en-US" w:eastAsia="zh-CN"/>
        </w:rPr>
        <w:t>6</w:t>
      </w:r>
      <w:r>
        <w:rPr>
          <w:rFonts w:hint="eastAsia" w:ascii="仿宋_GB2312" w:eastAsia="仿宋_GB2312"/>
          <w:sz w:val="32"/>
          <w:szCs w:val="32"/>
        </w:rPr>
        <w:t>辆，其中：轿车</w:t>
      </w:r>
      <w:r>
        <w:rPr>
          <w:rFonts w:hint="eastAsia" w:ascii="仿宋_GB2312" w:eastAsia="仿宋_GB2312"/>
          <w:sz w:val="32"/>
          <w:szCs w:val="32"/>
          <w:lang w:val="en-US" w:eastAsia="zh-CN"/>
        </w:rPr>
        <w:t>4</w:t>
      </w:r>
      <w:r>
        <w:rPr>
          <w:rFonts w:hint="eastAsia" w:ascii="仿宋_GB2312" w:eastAsia="仿宋_GB2312"/>
          <w:sz w:val="32"/>
          <w:szCs w:val="32"/>
        </w:rPr>
        <w:t>辆、越野车</w:t>
      </w:r>
      <w:r>
        <w:rPr>
          <w:rFonts w:hint="eastAsia" w:ascii="仿宋_GB2312" w:eastAsia="仿宋_GB2312"/>
          <w:sz w:val="32"/>
          <w:szCs w:val="32"/>
          <w:lang w:val="en-US" w:eastAsia="zh-CN"/>
        </w:rPr>
        <w:t>2</w:t>
      </w:r>
      <w:r>
        <w:rPr>
          <w:rFonts w:hint="eastAsia" w:ascii="仿宋_GB2312" w:eastAsia="仿宋_GB2312"/>
          <w:sz w:val="32"/>
          <w:szCs w:val="32"/>
        </w:rPr>
        <w:t>辆。</w:t>
      </w:r>
    </w:p>
    <w:p w14:paraId="50436EE7">
      <w:pPr>
        <w:spacing w:line="600" w:lineRule="exact"/>
        <w:ind w:firstLine="640"/>
        <w:rPr>
          <w:rFonts w:ascii="仿宋_GB2312" w:eastAsia="仿宋_GB2312"/>
          <w:sz w:val="32"/>
          <w:szCs w:val="32"/>
        </w:rPr>
      </w:pPr>
      <w:r>
        <w:rPr>
          <w:rFonts w:hint="eastAsia" w:ascii="仿宋_GB2312" w:eastAsia="仿宋_GB2312"/>
          <w:b/>
          <w:sz w:val="32"/>
          <w:szCs w:val="32"/>
        </w:rPr>
        <w:t>公务用车运行维护费支出</w:t>
      </w:r>
      <w:r>
        <w:rPr>
          <w:rFonts w:hint="eastAsia" w:ascii="仿宋_GB2312" w:eastAsia="仿宋_GB2312"/>
          <w:sz w:val="32"/>
          <w:szCs w:val="32"/>
          <w:lang w:val="en-US" w:eastAsia="zh-CN"/>
        </w:rPr>
        <w:t>7.22</w:t>
      </w:r>
      <w:r>
        <w:rPr>
          <w:rFonts w:hint="eastAsia" w:ascii="仿宋_GB2312" w:eastAsia="仿宋_GB2312"/>
          <w:sz w:val="32"/>
          <w:szCs w:val="32"/>
        </w:rPr>
        <w:t>万元。主要用于</w:t>
      </w:r>
      <w:r>
        <w:rPr>
          <w:rFonts w:ascii="仿宋_GB2312" w:eastAsia="仿宋_GB2312"/>
          <w:sz w:val="32"/>
          <w:szCs w:val="32"/>
        </w:rPr>
        <w:t>…</w:t>
      </w:r>
      <w:r>
        <w:rPr>
          <w:rFonts w:hint="eastAsia" w:ascii="仿宋_GB2312" w:eastAsia="仿宋_GB2312"/>
          <w:sz w:val="32"/>
          <w:szCs w:val="32"/>
        </w:rPr>
        <w:t>（具体工作）等所需的公务用车燃料费、维修费、过路过桥费、保险费等支出。</w:t>
      </w:r>
    </w:p>
    <w:p w14:paraId="75886FD2">
      <w:pPr>
        <w:spacing w:line="600" w:lineRule="exact"/>
        <w:ind w:firstLine="640"/>
        <w:rPr>
          <w:rFonts w:ascii="仿宋_GB2312" w:eastAsia="仿宋_GB2312"/>
          <w:sz w:val="32"/>
          <w:szCs w:val="32"/>
        </w:rPr>
      </w:pPr>
      <w:r>
        <w:rPr>
          <w:rFonts w:ascii="仿宋_GB2312" w:eastAsia="仿宋_GB2312"/>
          <w:b/>
          <w:sz w:val="32"/>
          <w:szCs w:val="32"/>
        </w:rPr>
        <w:t>3.</w:t>
      </w:r>
      <w:r>
        <w:rPr>
          <w:rFonts w:hint="eastAsia" w:ascii="仿宋_GB2312" w:eastAsia="仿宋_GB2312"/>
          <w:b/>
          <w:sz w:val="32"/>
          <w:szCs w:val="32"/>
        </w:rPr>
        <w:t>公务接待费支出</w:t>
      </w:r>
      <w:r>
        <w:rPr>
          <w:rFonts w:hint="eastAsia" w:eastAsia="仿宋"/>
          <w:sz w:val="32"/>
          <w:szCs w:val="32"/>
          <w:lang w:val="en-US" w:eastAsia="zh-CN"/>
        </w:rPr>
        <w:t>0</w:t>
      </w:r>
      <w:r>
        <w:rPr>
          <w:rFonts w:hint="eastAsia" w:ascii="仿宋_GB2312" w:eastAsia="仿宋_GB2312"/>
          <w:sz w:val="32"/>
          <w:szCs w:val="32"/>
        </w:rPr>
        <w:t>万元，</w:t>
      </w:r>
      <w:r>
        <w:rPr>
          <w:rStyle w:val="18"/>
          <w:rFonts w:hint="eastAsia" w:ascii="仿宋" w:hAnsi="仿宋" w:eastAsia="仿宋"/>
          <w:b w:val="0"/>
          <w:bCs/>
          <w:sz w:val="32"/>
          <w:szCs w:val="32"/>
        </w:rPr>
        <w:t>完成预算</w:t>
      </w:r>
      <w:r>
        <w:rPr>
          <w:rFonts w:hint="eastAsia" w:eastAsia="仿宋"/>
          <w:sz w:val="32"/>
          <w:szCs w:val="32"/>
          <w:lang w:val="en-US" w:eastAsia="zh-CN"/>
        </w:rPr>
        <w:t>0</w:t>
      </w:r>
      <w:r>
        <w:rPr>
          <w:sz w:val="32"/>
          <w:szCs w:val="32"/>
        </w:rPr>
        <w:t>%</w:t>
      </w:r>
      <w:r>
        <w:rPr>
          <w:rStyle w:val="18"/>
          <w:rFonts w:hint="eastAsia" w:ascii="仿宋" w:hAnsi="仿宋" w:eastAsia="仿宋"/>
          <w:b w:val="0"/>
          <w:bCs/>
          <w:sz w:val="32"/>
          <w:szCs w:val="32"/>
        </w:rPr>
        <w:t>。</w:t>
      </w:r>
      <w:r>
        <w:rPr>
          <w:rFonts w:hint="eastAsia" w:ascii="仿宋_GB2312" w:eastAsia="仿宋_GB2312"/>
          <w:sz w:val="32"/>
          <w:szCs w:val="32"/>
        </w:rPr>
        <w:t>公务接待费支出决算比202</w:t>
      </w:r>
      <w:r>
        <w:rPr>
          <w:rFonts w:hint="eastAsia" w:ascii="仿宋_GB2312" w:eastAsia="仿宋_GB2312"/>
          <w:sz w:val="32"/>
          <w:szCs w:val="32"/>
          <w:lang w:val="en-US" w:eastAsia="zh-CN"/>
        </w:rPr>
        <w:t>4</w:t>
      </w:r>
      <w:r>
        <w:rPr>
          <w:rFonts w:hint="eastAsia" w:ascii="仿宋_GB2312" w:eastAsia="仿宋_GB2312"/>
          <w:sz w:val="32"/>
          <w:szCs w:val="32"/>
        </w:rPr>
        <w:t>年度</w:t>
      </w:r>
      <w:r>
        <w:rPr>
          <w:rFonts w:hint="eastAsia" w:ascii="仿宋_GB2312" w:eastAsia="仿宋_GB2312"/>
          <w:sz w:val="32"/>
          <w:szCs w:val="32"/>
          <w:lang w:val="en-US" w:eastAsia="zh-CN"/>
        </w:rPr>
        <w:t>减少0.09</w:t>
      </w:r>
      <w:r>
        <w:rPr>
          <w:rFonts w:hint="eastAsia" w:ascii="仿宋_GB2312" w:eastAsia="仿宋_GB2312"/>
          <w:sz w:val="32"/>
          <w:szCs w:val="32"/>
        </w:rPr>
        <w:t>万元，</w:t>
      </w:r>
      <w:r>
        <w:rPr>
          <w:rFonts w:hint="eastAsia" w:ascii="仿宋_GB2312" w:eastAsia="仿宋_GB2312"/>
          <w:sz w:val="32"/>
          <w:szCs w:val="32"/>
          <w:lang w:val="en-US" w:eastAsia="zh-CN"/>
        </w:rPr>
        <w:t>下降18.75</w:t>
      </w:r>
      <w:r>
        <w:rPr>
          <w:rFonts w:ascii="仿宋_GB2312" w:eastAsia="仿宋_GB2312"/>
          <w:sz w:val="32"/>
          <w:szCs w:val="32"/>
        </w:rPr>
        <w:t>%</w:t>
      </w:r>
      <w:r>
        <w:rPr>
          <w:rFonts w:hint="eastAsia" w:ascii="仿宋_GB2312" w:eastAsia="仿宋_GB2312"/>
          <w:sz w:val="32"/>
          <w:szCs w:val="32"/>
        </w:rPr>
        <w:t>。</w:t>
      </w:r>
    </w:p>
    <w:p w14:paraId="30B82DFC">
      <w:pPr>
        <w:spacing w:line="600" w:lineRule="exact"/>
        <w:ind w:firstLine="640"/>
        <w:rPr>
          <w:rFonts w:ascii="仿宋_GB2312" w:eastAsia="仿宋_GB2312"/>
          <w:sz w:val="32"/>
          <w:szCs w:val="32"/>
        </w:rPr>
      </w:pPr>
      <w:r>
        <w:rPr>
          <w:rFonts w:hint="eastAsia" w:ascii="仿宋" w:hAnsi="仿宋" w:eastAsia="仿宋"/>
          <w:b/>
          <w:sz w:val="32"/>
          <w:szCs w:val="32"/>
        </w:rPr>
        <w:t>国内公务接待支出</w:t>
      </w:r>
      <w:r>
        <w:rPr>
          <w:rFonts w:hint="eastAsia" w:eastAsia="仿宋"/>
          <w:sz w:val="32"/>
          <w:szCs w:val="32"/>
          <w:lang w:val="en-US" w:eastAsia="zh-CN"/>
        </w:rPr>
        <w:t>0</w:t>
      </w:r>
      <w:r>
        <w:rPr>
          <w:rFonts w:hint="eastAsia" w:ascii="仿宋_GB2312" w:eastAsia="仿宋_GB2312"/>
          <w:sz w:val="32"/>
          <w:szCs w:val="32"/>
        </w:rPr>
        <w:t>万元，主要用于……(执行公务、开展业务活动开支的交通费、住宿费、用餐费等)。国内公务接待</w:t>
      </w:r>
      <w:r>
        <w:rPr>
          <w:rFonts w:hint="eastAsia" w:ascii="仿宋_GB2312" w:eastAsia="仿宋_GB2312"/>
          <w:sz w:val="32"/>
          <w:szCs w:val="32"/>
          <w:lang w:val="en-US" w:eastAsia="zh-CN"/>
        </w:rPr>
        <w:t>0</w:t>
      </w:r>
      <w:r>
        <w:rPr>
          <w:rFonts w:hint="eastAsia" w:ascii="仿宋_GB2312" w:eastAsia="仿宋_GB2312"/>
          <w:sz w:val="32"/>
          <w:szCs w:val="32"/>
        </w:rPr>
        <w:t>批次，</w:t>
      </w:r>
      <w:r>
        <w:rPr>
          <w:rFonts w:hint="eastAsia" w:ascii="仿宋_GB2312" w:eastAsia="仿宋_GB2312"/>
          <w:sz w:val="32"/>
          <w:szCs w:val="32"/>
          <w:lang w:val="en-US" w:eastAsia="zh-CN"/>
        </w:rPr>
        <w:t>0</w:t>
      </w:r>
      <w:r>
        <w:rPr>
          <w:rFonts w:hint="eastAsia" w:ascii="仿宋_GB2312" w:eastAsia="仿宋_GB2312"/>
          <w:sz w:val="32"/>
          <w:szCs w:val="32"/>
        </w:rPr>
        <w:t>人次（不包括陪同人员），共计支出</w:t>
      </w:r>
      <w:r>
        <w:rPr>
          <w:rFonts w:hint="eastAsia" w:eastAsia="仿宋"/>
          <w:sz w:val="32"/>
          <w:szCs w:val="32"/>
          <w:lang w:val="en-US" w:eastAsia="zh-CN"/>
        </w:rPr>
        <w:t>0</w:t>
      </w:r>
      <w:r>
        <w:rPr>
          <w:rFonts w:hint="eastAsia" w:ascii="仿宋_GB2312" w:eastAsia="仿宋_GB2312"/>
          <w:sz w:val="32"/>
          <w:szCs w:val="32"/>
        </w:rPr>
        <w:t>万元。</w:t>
      </w:r>
    </w:p>
    <w:p w14:paraId="3E878180">
      <w:pPr>
        <w:spacing w:line="600" w:lineRule="exact"/>
        <w:ind w:firstLine="643" w:firstLineChars="200"/>
        <w:rPr>
          <w:rFonts w:ascii="仿宋_GB2312" w:eastAsia="仿宋_GB2312"/>
          <w:sz w:val="32"/>
          <w:szCs w:val="32"/>
        </w:rPr>
      </w:pPr>
      <w:r>
        <w:rPr>
          <w:rFonts w:hint="eastAsia" w:ascii="仿宋" w:hAnsi="仿宋" w:eastAsia="仿宋"/>
          <w:b/>
          <w:sz w:val="32"/>
          <w:szCs w:val="32"/>
        </w:rPr>
        <w:t>外事接待支出</w:t>
      </w:r>
      <w:r>
        <w:rPr>
          <w:rFonts w:hint="eastAsia" w:ascii="仿宋" w:hAnsi="仿宋" w:eastAsia="仿宋"/>
          <w:b/>
          <w:sz w:val="32"/>
          <w:szCs w:val="32"/>
          <w:lang w:val="en-US" w:eastAsia="zh-CN"/>
        </w:rPr>
        <w:t>0</w:t>
      </w:r>
      <w:r>
        <w:rPr>
          <w:rFonts w:hint="eastAsia" w:ascii="仿宋_GB2312" w:eastAsia="仿宋_GB2312"/>
          <w:sz w:val="32"/>
          <w:szCs w:val="32"/>
        </w:rPr>
        <w:t>万元，主要用于接待</w:t>
      </w:r>
      <w:r>
        <w:rPr>
          <w:rFonts w:ascii="仿宋_GB2312" w:eastAsia="仿宋_GB2312"/>
          <w:sz w:val="32"/>
          <w:szCs w:val="32"/>
        </w:rPr>
        <w:t>…</w:t>
      </w:r>
      <w:r>
        <w:rPr>
          <w:rFonts w:hint="eastAsia" w:ascii="仿宋_GB2312" w:eastAsia="仿宋_GB2312"/>
          <w:sz w:val="32"/>
          <w:szCs w:val="32"/>
        </w:rPr>
        <w:t>（具体项目）。外事接待</w:t>
      </w:r>
      <w:r>
        <w:rPr>
          <w:rFonts w:hint="eastAsia" w:ascii="仿宋_GB2312" w:eastAsia="仿宋_GB2312"/>
          <w:sz w:val="32"/>
          <w:szCs w:val="32"/>
          <w:lang w:val="en-US" w:eastAsia="zh-CN"/>
        </w:rPr>
        <w:t>0</w:t>
      </w:r>
      <w:r>
        <w:rPr>
          <w:rFonts w:hint="eastAsia" w:ascii="仿宋_GB2312" w:eastAsia="仿宋_GB2312"/>
          <w:sz w:val="32"/>
          <w:szCs w:val="32"/>
        </w:rPr>
        <w:t>批次，</w:t>
      </w:r>
      <w:r>
        <w:rPr>
          <w:rFonts w:hint="eastAsia" w:ascii="仿宋_GB2312" w:eastAsia="仿宋_GB2312"/>
          <w:sz w:val="32"/>
          <w:szCs w:val="32"/>
          <w:lang w:val="en-US" w:eastAsia="zh-CN"/>
        </w:rPr>
        <w:t>0</w:t>
      </w:r>
      <w:r>
        <w:rPr>
          <w:rFonts w:hint="eastAsia" w:ascii="仿宋_GB2312" w:eastAsia="仿宋_GB2312"/>
          <w:sz w:val="32"/>
          <w:szCs w:val="32"/>
        </w:rPr>
        <w:t>人次（不包括陪同人员），共计支出</w:t>
      </w:r>
      <w:r>
        <w:rPr>
          <w:rFonts w:hint="eastAsia" w:ascii="仿宋_GB2312" w:eastAsia="仿宋_GB2312"/>
          <w:sz w:val="32"/>
          <w:szCs w:val="32"/>
          <w:lang w:val="en-US" w:eastAsia="zh-CN"/>
        </w:rPr>
        <w:t>0</w:t>
      </w:r>
      <w:r>
        <w:rPr>
          <w:rFonts w:hint="eastAsia" w:ascii="仿宋_GB2312" w:eastAsia="仿宋_GB2312"/>
          <w:sz w:val="32"/>
          <w:szCs w:val="32"/>
        </w:rPr>
        <w:t>万元。</w:t>
      </w:r>
    </w:p>
    <w:p w14:paraId="55F53449">
      <w:pPr>
        <w:spacing w:line="600" w:lineRule="exact"/>
        <w:ind w:firstLine="640"/>
        <w:outlineLvl w:val="1"/>
        <w:rPr>
          <w:rFonts w:ascii="黑体" w:eastAsia="黑体"/>
          <w:sz w:val="32"/>
          <w:szCs w:val="32"/>
        </w:rPr>
      </w:pPr>
      <w:bookmarkStart w:id="44" w:name="_Toc15377218"/>
      <w:bookmarkStart w:id="45" w:name="_Toc15396610"/>
    </w:p>
    <w:p w14:paraId="77B0A38E">
      <w:pPr>
        <w:spacing w:line="600" w:lineRule="exact"/>
        <w:ind w:firstLine="640"/>
        <w:outlineLvl w:val="1"/>
        <w:rPr>
          <w:rStyle w:val="29"/>
          <w:rFonts w:ascii="黑体" w:hAnsi="黑体" w:eastAsia="黑体"/>
        </w:rPr>
      </w:pPr>
      <w:r>
        <w:rPr>
          <w:rFonts w:hint="eastAsia" w:ascii="黑体" w:eastAsia="黑体"/>
          <w:sz w:val="32"/>
          <w:szCs w:val="32"/>
        </w:rPr>
        <w:t>八、</w:t>
      </w:r>
      <w:r>
        <w:rPr>
          <w:rStyle w:val="29"/>
          <w:rFonts w:hint="eastAsia" w:ascii="黑体" w:hAnsi="黑体" w:eastAsia="黑体"/>
          <w:b w:val="0"/>
        </w:rPr>
        <w:t>政府性基金预算支出决算情况说明</w:t>
      </w:r>
      <w:bookmarkEnd w:id="44"/>
      <w:bookmarkEnd w:id="45"/>
    </w:p>
    <w:p w14:paraId="34EF6994">
      <w:pPr>
        <w:spacing w:line="600" w:lineRule="exact"/>
        <w:ind w:firstLine="64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年度政府性基金预算财政拨款支出</w:t>
      </w:r>
      <w:r>
        <w:rPr>
          <w:rFonts w:ascii="仿宋_GB2312" w:hAnsi="仿宋_GB2312" w:eastAsia="仿宋_GB2312" w:cs="仿宋_GB2312"/>
          <w:kern w:val="2"/>
          <w:sz w:val="32"/>
          <w:szCs w:val="32"/>
        </w:rPr>
        <w:t>20434</w:t>
      </w:r>
      <w:r>
        <w:rPr>
          <w:rFonts w:hint="eastAsia" w:ascii="仿宋_GB2312" w:hAnsi="仿宋_GB2312" w:eastAsia="仿宋_GB2312" w:cs="仿宋_GB2312"/>
          <w:kern w:val="2"/>
          <w:sz w:val="32"/>
          <w:szCs w:val="32"/>
          <w:lang w:val="en-US" w:eastAsia="zh-CN"/>
        </w:rPr>
        <w:t>.</w:t>
      </w:r>
      <w:r>
        <w:rPr>
          <w:rFonts w:ascii="仿宋_GB2312" w:hAnsi="仿宋_GB2312" w:eastAsia="仿宋_GB2312" w:cs="仿宋_GB2312"/>
          <w:kern w:val="2"/>
          <w:sz w:val="32"/>
          <w:szCs w:val="32"/>
        </w:rPr>
        <w:t>28</w:t>
      </w:r>
      <w:r>
        <w:rPr>
          <w:rFonts w:hint="eastAsia" w:ascii="仿宋_GB2312" w:eastAsia="仿宋_GB2312"/>
          <w:sz w:val="32"/>
          <w:szCs w:val="32"/>
        </w:rPr>
        <w:t>万元。</w:t>
      </w:r>
    </w:p>
    <w:p w14:paraId="506467C7">
      <w:pPr>
        <w:spacing w:line="600" w:lineRule="exact"/>
        <w:ind w:firstLine="640"/>
        <w:rPr>
          <w:rFonts w:ascii="仿宋_GB2312" w:eastAsia="仿宋_GB2312"/>
          <w:sz w:val="32"/>
          <w:szCs w:val="32"/>
        </w:rPr>
      </w:pPr>
    </w:p>
    <w:p w14:paraId="250E409D">
      <w:pPr>
        <w:numPr>
          <w:ilvl w:val="0"/>
          <w:numId w:val="4"/>
        </w:numPr>
        <w:spacing w:line="600" w:lineRule="exact"/>
        <w:ind w:firstLine="640"/>
        <w:outlineLvl w:val="1"/>
        <w:rPr>
          <w:rStyle w:val="29"/>
          <w:rFonts w:ascii="黑体" w:hAnsi="黑体" w:eastAsia="黑体"/>
          <w:b w:val="0"/>
        </w:rPr>
      </w:pPr>
      <w:bookmarkStart w:id="46" w:name="_Toc15377219"/>
      <w:bookmarkStart w:id="47" w:name="_Toc15396611"/>
      <w:r>
        <w:rPr>
          <w:rStyle w:val="29"/>
          <w:rFonts w:hint="eastAsia" w:ascii="黑体" w:hAnsi="黑体" w:eastAsia="黑体"/>
          <w:b w:val="0"/>
        </w:rPr>
        <w:t>国有资本经营预算支出决算情况说明</w:t>
      </w:r>
      <w:bookmarkEnd w:id="46"/>
      <w:bookmarkEnd w:id="47"/>
    </w:p>
    <w:p w14:paraId="546C3884">
      <w:pPr>
        <w:spacing w:line="600" w:lineRule="exact"/>
        <w:ind w:firstLine="64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年度国有资本经营预算财政拨款支出</w:t>
      </w:r>
      <w:r>
        <w:rPr>
          <w:sz w:val="32"/>
          <w:szCs w:val="32"/>
        </w:rPr>
        <w:t>0</w:t>
      </w:r>
      <w:r>
        <w:rPr>
          <w:rFonts w:hint="eastAsia" w:ascii="仿宋_GB2312" w:eastAsia="仿宋_GB2312"/>
          <w:sz w:val="32"/>
          <w:szCs w:val="32"/>
        </w:rPr>
        <w:t>万元。</w:t>
      </w:r>
    </w:p>
    <w:p w14:paraId="4C8F77B7">
      <w:pPr>
        <w:spacing w:line="580" w:lineRule="exact"/>
        <w:jc w:val="center"/>
        <w:rPr>
          <w:rFonts w:ascii="方正小标宋简体" w:hAnsi="方正小标宋简体" w:eastAsia="方正小标宋简体" w:cs="方正小标宋简体"/>
          <w:sz w:val="44"/>
          <w:szCs w:val="44"/>
        </w:rPr>
      </w:pPr>
    </w:p>
    <w:p w14:paraId="3F014600">
      <w:pPr>
        <w:numPr>
          <w:ilvl w:val="0"/>
          <w:numId w:val="4"/>
        </w:numPr>
        <w:spacing w:line="600" w:lineRule="exact"/>
        <w:ind w:firstLine="640"/>
        <w:outlineLvl w:val="1"/>
        <w:rPr>
          <w:rStyle w:val="29"/>
          <w:rFonts w:ascii="黑体" w:hAnsi="黑体" w:eastAsia="黑体"/>
          <w:b w:val="0"/>
        </w:rPr>
      </w:pPr>
      <w:bookmarkStart w:id="48" w:name="_Toc15396612"/>
      <w:bookmarkStart w:id="49" w:name="_Toc15377221"/>
      <w:r>
        <w:rPr>
          <w:rStyle w:val="29"/>
          <w:rFonts w:hint="eastAsia" w:ascii="黑体" w:hAnsi="黑体" w:eastAsia="黑体"/>
          <w:b w:val="0"/>
        </w:rPr>
        <w:t>其他重要事项的情况说明</w:t>
      </w:r>
      <w:bookmarkEnd w:id="48"/>
      <w:bookmarkEnd w:id="49"/>
    </w:p>
    <w:p w14:paraId="7D689C06">
      <w:pPr>
        <w:spacing w:line="600" w:lineRule="exact"/>
        <w:ind w:firstLine="643" w:firstLineChars="200"/>
        <w:outlineLvl w:val="2"/>
        <w:rPr>
          <w:rFonts w:ascii="仿宋" w:hAnsi="仿宋" w:eastAsia="仿宋"/>
          <w:sz w:val="32"/>
          <w:szCs w:val="32"/>
        </w:rPr>
      </w:pPr>
      <w:bookmarkStart w:id="50" w:name="_Toc15377222"/>
      <w:r>
        <w:rPr>
          <w:rFonts w:hint="eastAsia" w:ascii="仿宋" w:hAnsi="仿宋" w:eastAsia="仿宋"/>
          <w:b/>
          <w:sz w:val="32"/>
          <w:szCs w:val="32"/>
        </w:rPr>
        <w:t>（一）机关运行经费支出情况</w:t>
      </w:r>
      <w:bookmarkEnd w:id="50"/>
    </w:p>
    <w:p w14:paraId="4864F61E">
      <w:pPr>
        <w:spacing w:line="600" w:lineRule="exact"/>
        <w:ind w:firstLine="640" w:firstLineChars="20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w:t>
      </w:r>
      <w:r>
        <w:rPr>
          <w:rFonts w:hint="eastAsia"/>
          <w:sz w:val="32"/>
          <w:szCs w:val="32"/>
        </w:rPr>
        <w:t>红原县住房和城乡建设局本级</w:t>
      </w:r>
      <w:r>
        <w:rPr>
          <w:rFonts w:hint="eastAsia" w:ascii="仿宋_GB2312" w:eastAsia="仿宋_GB2312"/>
          <w:sz w:val="32"/>
          <w:szCs w:val="32"/>
        </w:rPr>
        <w:t>机关运行经费支出35.30万元，比202</w:t>
      </w:r>
      <w:r>
        <w:rPr>
          <w:rFonts w:hint="eastAsia" w:ascii="仿宋_GB2312" w:eastAsia="仿宋_GB2312"/>
          <w:sz w:val="32"/>
          <w:szCs w:val="32"/>
          <w:lang w:val="en-US" w:eastAsia="zh-CN"/>
        </w:rPr>
        <w:t>4</w:t>
      </w:r>
      <w:r>
        <w:rPr>
          <w:rFonts w:hint="eastAsia" w:ascii="仿宋_GB2312" w:eastAsia="仿宋_GB2312"/>
          <w:sz w:val="32"/>
          <w:szCs w:val="32"/>
        </w:rPr>
        <w:t>年度增加</w:t>
      </w:r>
      <w:r>
        <w:rPr>
          <w:rFonts w:hint="eastAsia" w:ascii="仿宋_GB2312" w:eastAsia="仿宋_GB2312"/>
          <w:sz w:val="32"/>
          <w:szCs w:val="32"/>
          <w:lang w:val="en-US" w:eastAsia="zh-CN"/>
        </w:rPr>
        <w:t>7.01</w:t>
      </w:r>
      <w:r>
        <w:rPr>
          <w:rFonts w:hint="eastAsia" w:ascii="仿宋_GB2312" w:eastAsia="仿宋_GB2312"/>
          <w:sz w:val="32"/>
          <w:szCs w:val="32"/>
        </w:rPr>
        <w:t>万元，增长</w:t>
      </w:r>
      <w:r>
        <w:rPr>
          <w:rFonts w:hint="eastAsia" w:ascii="仿宋_GB2312" w:eastAsia="仿宋_GB2312"/>
          <w:sz w:val="32"/>
          <w:szCs w:val="32"/>
          <w:lang w:val="en-US" w:eastAsia="zh-CN"/>
        </w:rPr>
        <w:t>24.47</w:t>
      </w:r>
      <w:r>
        <w:rPr>
          <w:rFonts w:ascii="仿宋_GB2312" w:eastAsia="仿宋_GB2312"/>
          <w:sz w:val="32"/>
          <w:szCs w:val="32"/>
        </w:rPr>
        <w:t>%</w:t>
      </w:r>
      <w:r>
        <w:rPr>
          <w:rFonts w:hint="eastAsia" w:ascii="仿宋_GB2312" w:eastAsia="仿宋_GB2312"/>
          <w:sz w:val="32"/>
          <w:szCs w:val="32"/>
        </w:rPr>
        <w:t>。</w:t>
      </w:r>
    </w:p>
    <w:p w14:paraId="45693417">
      <w:pPr>
        <w:spacing w:line="600" w:lineRule="exact"/>
        <w:ind w:firstLine="643" w:firstLineChars="200"/>
        <w:rPr>
          <w:rFonts w:ascii="仿宋" w:hAnsi="仿宋" w:eastAsia="仿宋"/>
          <w:b/>
          <w:sz w:val="32"/>
          <w:szCs w:val="32"/>
        </w:rPr>
      </w:pPr>
      <w:r>
        <w:rPr>
          <w:rFonts w:hint="eastAsia" w:ascii="仿宋" w:hAnsi="仿宋" w:eastAsia="仿宋"/>
          <w:b/>
          <w:sz w:val="32"/>
          <w:szCs w:val="32"/>
        </w:rPr>
        <w:t>（注：数据来源于财决附</w:t>
      </w:r>
      <w:r>
        <w:rPr>
          <w:rFonts w:ascii="仿宋" w:hAnsi="仿宋" w:eastAsia="仿宋"/>
          <w:b/>
          <w:sz w:val="32"/>
          <w:szCs w:val="32"/>
        </w:rPr>
        <w:t>03</w:t>
      </w:r>
      <w:r>
        <w:rPr>
          <w:rFonts w:hint="eastAsia" w:ascii="仿宋" w:hAnsi="仿宋" w:eastAsia="仿宋"/>
          <w:b/>
          <w:sz w:val="32"/>
          <w:szCs w:val="32"/>
        </w:rPr>
        <w:t>表）</w:t>
      </w:r>
    </w:p>
    <w:p w14:paraId="6C79DD6A">
      <w:pPr>
        <w:autoSpaceDE w:val="0"/>
        <w:autoSpaceDN w:val="0"/>
        <w:adjustRightInd w:val="0"/>
        <w:spacing w:line="600" w:lineRule="exact"/>
        <w:ind w:firstLine="643" w:firstLineChars="200"/>
        <w:jc w:val="left"/>
        <w:outlineLvl w:val="2"/>
        <w:rPr>
          <w:rFonts w:ascii="仿宋" w:hAnsi="仿宋" w:eastAsia="仿宋"/>
          <w:b/>
          <w:sz w:val="32"/>
          <w:szCs w:val="32"/>
        </w:rPr>
      </w:pPr>
      <w:bookmarkStart w:id="51" w:name="_Toc15377223"/>
      <w:r>
        <w:rPr>
          <w:rFonts w:hint="eastAsia" w:ascii="仿宋" w:hAnsi="仿宋" w:eastAsia="仿宋"/>
          <w:b/>
          <w:sz w:val="32"/>
          <w:szCs w:val="32"/>
        </w:rPr>
        <w:t>（二）政府采购支出情况</w:t>
      </w:r>
      <w:bookmarkEnd w:id="51"/>
    </w:p>
    <w:p w14:paraId="2E0243DD">
      <w:pPr>
        <w:spacing w:line="600" w:lineRule="exact"/>
        <w:ind w:firstLine="640" w:firstLineChars="200"/>
        <w:rPr>
          <w:rFonts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5</w:t>
      </w:r>
      <w:r>
        <w:rPr>
          <w:rFonts w:hint="eastAsia" w:ascii="仿宋_GB2312" w:eastAsia="仿宋_GB2312"/>
          <w:sz w:val="32"/>
          <w:szCs w:val="32"/>
        </w:rPr>
        <w:t>年度，</w:t>
      </w:r>
      <w:r>
        <w:rPr>
          <w:rFonts w:hint="eastAsia"/>
          <w:sz w:val="32"/>
          <w:szCs w:val="32"/>
        </w:rPr>
        <w:t>红原县住房和城乡建设局本级</w:t>
      </w:r>
      <w:r>
        <w:rPr>
          <w:rFonts w:hint="eastAsia" w:ascii="仿宋_GB2312" w:eastAsia="仿宋_GB2312"/>
          <w:sz w:val="32"/>
          <w:szCs w:val="32"/>
        </w:rPr>
        <w:t>政府采购支出总额</w:t>
      </w:r>
      <w:r>
        <w:rPr>
          <w:sz w:val="32"/>
          <w:szCs w:val="32"/>
        </w:rPr>
        <w:t>0</w:t>
      </w:r>
      <w:r>
        <w:rPr>
          <w:rFonts w:hint="eastAsia" w:ascii="仿宋_GB2312" w:eastAsia="仿宋_GB2312"/>
          <w:sz w:val="32"/>
          <w:szCs w:val="32"/>
        </w:rPr>
        <w:t>万元，其中：政府采购货物支出</w:t>
      </w:r>
      <w:r>
        <w:rPr>
          <w:sz w:val="32"/>
          <w:szCs w:val="32"/>
        </w:rPr>
        <w:t>0</w:t>
      </w:r>
      <w:r>
        <w:rPr>
          <w:rFonts w:hint="eastAsia" w:ascii="仿宋_GB2312" w:eastAsia="仿宋_GB2312"/>
          <w:sz w:val="32"/>
          <w:szCs w:val="32"/>
        </w:rPr>
        <w:t>万元、政府采购工程支出</w:t>
      </w:r>
      <w:r>
        <w:rPr>
          <w:sz w:val="32"/>
          <w:szCs w:val="32"/>
        </w:rPr>
        <w:t>0</w:t>
      </w:r>
      <w:r>
        <w:rPr>
          <w:rFonts w:hint="eastAsia" w:ascii="仿宋_GB2312" w:eastAsia="仿宋_GB2312"/>
          <w:sz w:val="32"/>
          <w:szCs w:val="32"/>
        </w:rPr>
        <w:t>万元、政府采购服务支出</w:t>
      </w:r>
      <w:r>
        <w:rPr>
          <w:sz w:val="32"/>
          <w:szCs w:val="32"/>
        </w:rPr>
        <w:t>0</w:t>
      </w:r>
      <w:r>
        <w:rPr>
          <w:rFonts w:hint="eastAsia" w:ascii="仿宋_GB2312" w:eastAsia="仿宋_GB2312"/>
          <w:sz w:val="32"/>
          <w:szCs w:val="32"/>
        </w:rPr>
        <w:t>万元。主要用于</w:t>
      </w:r>
      <w:r>
        <w:rPr>
          <w:rFonts w:ascii="仿宋_GB2312" w:eastAsia="仿宋_GB2312"/>
          <w:sz w:val="32"/>
          <w:szCs w:val="32"/>
        </w:rPr>
        <w:t>…</w:t>
      </w:r>
      <w:r>
        <w:rPr>
          <w:rFonts w:hint="eastAsia" w:ascii="仿宋_GB2312" w:eastAsia="仿宋_GB2312"/>
          <w:sz w:val="32"/>
          <w:szCs w:val="32"/>
        </w:rPr>
        <w:t>（具体工作）。授予中小企业合同金额</w:t>
      </w:r>
      <w:r>
        <w:rPr>
          <w:sz w:val="32"/>
          <w:szCs w:val="32"/>
        </w:rPr>
        <w:t>0</w:t>
      </w:r>
      <w:r>
        <w:rPr>
          <w:rFonts w:hint="eastAsia" w:ascii="仿宋_GB2312" w:eastAsia="仿宋_GB2312"/>
          <w:sz w:val="32"/>
          <w:szCs w:val="32"/>
        </w:rPr>
        <w:t>万元，占政府采购支出总额的</w:t>
      </w:r>
      <w:r>
        <w:rPr>
          <w:sz w:val="32"/>
          <w:szCs w:val="32"/>
        </w:rPr>
        <w:t>0</w:t>
      </w:r>
      <w:r>
        <w:rPr>
          <w:rFonts w:ascii="仿宋_GB2312" w:eastAsia="仿宋_GB2312"/>
          <w:sz w:val="32"/>
          <w:szCs w:val="32"/>
        </w:rPr>
        <w:t>%</w:t>
      </w:r>
      <w:r>
        <w:rPr>
          <w:rFonts w:hint="eastAsia" w:ascii="仿宋_GB2312" w:eastAsia="仿宋_GB2312"/>
          <w:sz w:val="32"/>
          <w:szCs w:val="32"/>
        </w:rPr>
        <w:t>，其中：授予小微企业合同金额</w:t>
      </w:r>
      <w:r>
        <w:rPr>
          <w:sz w:val="32"/>
          <w:szCs w:val="32"/>
        </w:rPr>
        <w:t>0</w:t>
      </w:r>
      <w:r>
        <w:rPr>
          <w:rFonts w:hint="eastAsia" w:ascii="仿宋_GB2312" w:eastAsia="仿宋_GB2312"/>
          <w:sz w:val="32"/>
          <w:szCs w:val="32"/>
        </w:rPr>
        <w:t>万元，占政府采购支出总额的</w:t>
      </w:r>
      <w:r>
        <w:rPr>
          <w:sz w:val="32"/>
          <w:szCs w:val="32"/>
        </w:rPr>
        <w:t>0</w:t>
      </w:r>
      <w:r>
        <w:rPr>
          <w:rFonts w:ascii="仿宋_GB2312" w:eastAsia="仿宋_GB2312"/>
          <w:sz w:val="32"/>
          <w:szCs w:val="32"/>
        </w:rPr>
        <w:t>%</w:t>
      </w:r>
      <w:r>
        <w:rPr>
          <w:rFonts w:hint="eastAsia" w:ascii="仿宋_GB2312" w:eastAsia="仿宋_GB2312"/>
          <w:sz w:val="32"/>
          <w:szCs w:val="32"/>
        </w:rPr>
        <w:t>。</w:t>
      </w:r>
    </w:p>
    <w:p w14:paraId="41F9A4AD">
      <w:pPr>
        <w:spacing w:line="600" w:lineRule="exact"/>
        <w:ind w:firstLine="643" w:firstLineChars="200"/>
        <w:rPr>
          <w:rFonts w:ascii="仿宋" w:hAnsi="仿宋" w:eastAsia="仿宋"/>
          <w:b/>
          <w:sz w:val="32"/>
          <w:szCs w:val="32"/>
        </w:rPr>
      </w:pPr>
      <w:r>
        <w:rPr>
          <w:rFonts w:hint="eastAsia" w:ascii="仿宋" w:hAnsi="仿宋" w:eastAsia="仿宋"/>
          <w:b/>
          <w:sz w:val="32"/>
          <w:szCs w:val="32"/>
        </w:rPr>
        <w:t>（注：数据来源于财决附</w:t>
      </w:r>
      <w:r>
        <w:rPr>
          <w:rFonts w:ascii="仿宋" w:hAnsi="仿宋" w:eastAsia="仿宋"/>
          <w:b/>
          <w:sz w:val="32"/>
          <w:szCs w:val="32"/>
        </w:rPr>
        <w:t>03</w:t>
      </w:r>
      <w:r>
        <w:rPr>
          <w:rFonts w:hint="eastAsia" w:ascii="仿宋" w:hAnsi="仿宋" w:eastAsia="仿宋"/>
          <w:b/>
          <w:sz w:val="32"/>
          <w:szCs w:val="32"/>
        </w:rPr>
        <w:t>表）</w:t>
      </w:r>
    </w:p>
    <w:p w14:paraId="0BD2B037">
      <w:pPr>
        <w:autoSpaceDE w:val="0"/>
        <w:autoSpaceDN w:val="0"/>
        <w:adjustRightInd w:val="0"/>
        <w:spacing w:line="600" w:lineRule="exact"/>
        <w:ind w:firstLine="643" w:firstLineChars="200"/>
        <w:jc w:val="left"/>
        <w:outlineLvl w:val="2"/>
        <w:rPr>
          <w:rFonts w:ascii="仿宋" w:hAnsi="仿宋" w:eastAsia="仿宋"/>
          <w:b/>
          <w:sz w:val="32"/>
          <w:szCs w:val="32"/>
        </w:rPr>
      </w:pPr>
      <w:bookmarkStart w:id="52" w:name="_Toc15377224"/>
      <w:r>
        <w:rPr>
          <w:rFonts w:hint="eastAsia" w:ascii="仿宋" w:hAnsi="仿宋" w:eastAsia="仿宋"/>
          <w:b/>
          <w:sz w:val="32"/>
          <w:szCs w:val="32"/>
        </w:rPr>
        <w:t>（三）国有资产占有使用情况</w:t>
      </w:r>
      <w:bookmarkEnd w:id="52"/>
    </w:p>
    <w:p w14:paraId="1F23A8F1">
      <w:pPr>
        <w:autoSpaceDE w:val="0"/>
        <w:autoSpaceDN w:val="0"/>
        <w:adjustRightInd w:val="0"/>
        <w:spacing w:line="600" w:lineRule="exact"/>
        <w:ind w:firstLine="640" w:firstLineChars="200"/>
        <w:jc w:val="left"/>
        <w:rPr>
          <w:rFonts w:ascii="仿宋_GB2312" w:eastAsia="仿宋_GB2312"/>
          <w:sz w:val="32"/>
          <w:szCs w:val="32"/>
        </w:rPr>
      </w:pPr>
      <w:r>
        <w:rPr>
          <w:rFonts w:hint="eastAsia" w:ascii="仿宋_GB2312" w:eastAsia="仿宋_GB2312"/>
          <w:sz w:val="32"/>
          <w:szCs w:val="32"/>
        </w:rPr>
        <w:t>截至202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sz w:val="32"/>
          <w:szCs w:val="32"/>
        </w:rPr>
        <w:t>红原县住房和城乡建设局本级</w:t>
      </w:r>
      <w:r>
        <w:rPr>
          <w:rFonts w:hint="eastAsia" w:ascii="仿宋_GB2312" w:eastAsia="仿宋_GB2312"/>
          <w:sz w:val="32"/>
          <w:szCs w:val="32"/>
        </w:rPr>
        <w:t>共有车辆</w:t>
      </w:r>
      <w:r>
        <w:rPr>
          <w:rFonts w:hint="eastAsia" w:ascii="仿宋_GB2312" w:eastAsia="仿宋_GB2312"/>
          <w:sz w:val="32"/>
          <w:szCs w:val="32"/>
          <w:lang w:val="en-US" w:eastAsia="zh-CN"/>
        </w:rPr>
        <w:t>6</w:t>
      </w:r>
      <w:r>
        <w:rPr>
          <w:rFonts w:hint="eastAsia" w:ascii="仿宋_GB2312" w:eastAsia="仿宋_GB2312"/>
          <w:sz w:val="32"/>
          <w:szCs w:val="32"/>
        </w:rPr>
        <w:t>辆，其中：应急保障用车</w:t>
      </w:r>
      <w:r>
        <w:rPr>
          <w:rFonts w:hint="eastAsia" w:ascii="仿宋_GB2312" w:eastAsia="仿宋_GB2312"/>
          <w:sz w:val="32"/>
          <w:szCs w:val="32"/>
          <w:lang w:val="en-US" w:eastAsia="zh-CN"/>
        </w:rPr>
        <w:t>2</w:t>
      </w:r>
      <w:r>
        <w:rPr>
          <w:rFonts w:hint="eastAsia" w:ascii="仿宋_GB2312" w:eastAsia="仿宋_GB2312"/>
          <w:sz w:val="32"/>
          <w:szCs w:val="32"/>
        </w:rPr>
        <w:t>辆、</w:t>
      </w:r>
      <w:r>
        <w:rPr>
          <w:rFonts w:hint="eastAsia" w:ascii="仿宋_GB2312" w:eastAsia="仿宋_GB2312"/>
          <w:sz w:val="32"/>
          <w:szCs w:val="32"/>
          <w:lang w:val="en-US" w:eastAsia="zh-CN"/>
        </w:rPr>
        <w:t>执法</w:t>
      </w:r>
      <w:r>
        <w:rPr>
          <w:rFonts w:hint="eastAsia" w:ascii="仿宋_GB2312" w:eastAsia="仿宋_GB2312"/>
          <w:sz w:val="32"/>
          <w:szCs w:val="32"/>
        </w:rPr>
        <w:t>用车</w:t>
      </w:r>
      <w:r>
        <w:rPr>
          <w:rFonts w:hint="eastAsia" w:ascii="仿宋_GB2312" w:eastAsia="仿宋_GB2312"/>
          <w:sz w:val="32"/>
          <w:szCs w:val="32"/>
          <w:lang w:val="en-US" w:eastAsia="zh-CN"/>
        </w:rPr>
        <w:t>4</w:t>
      </w:r>
      <w:r>
        <w:rPr>
          <w:rFonts w:hint="eastAsia" w:ascii="仿宋_GB2312" w:eastAsia="仿宋_GB2312"/>
          <w:sz w:val="32"/>
          <w:szCs w:val="32"/>
        </w:rPr>
        <w:t>辆。单价</w:t>
      </w:r>
      <w:r>
        <w:rPr>
          <w:rFonts w:ascii="仿宋_GB2312" w:eastAsia="仿宋_GB2312"/>
          <w:sz w:val="32"/>
          <w:szCs w:val="32"/>
        </w:rPr>
        <w:t>100</w:t>
      </w:r>
      <w:r>
        <w:rPr>
          <w:rFonts w:hint="eastAsia" w:ascii="仿宋_GB2312" w:eastAsia="仿宋_GB2312"/>
          <w:sz w:val="32"/>
          <w:szCs w:val="32"/>
        </w:rPr>
        <w:t>万元以上设备（不含车辆）</w:t>
      </w:r>
      <w:r>
        <w:rPr>
          <w:sz w:val="32"/>
          <w:szCs w:val="32"/>
        </w:rPr>
        <w:t>0</w:t>
      </w:r>
      <w:r>
        <w:rPr>
          <w:rFonts w:hint="eastAsia" w:ascii="仿宋_GB2312" w:eastAsia="仿宋_GB2312"/>
          <w:sz w:val="32"/>
          <w:szCs w:val="32"/>
        </w:rPr>
        <w:t>台（套）。</w:t>
      </w:r>
    </w:p>
    <w:p w14:paraId="1CFCEE64">
      <w:pPr>
        <w:autoSpaceDE w:val="0"/>
        <w:autoSpaceDN w:val="0"/>
        <w:adjustRightInd w:val="0"/>
        <w:spacing w:line="600" w:lineRule="exact"/>
        <w:ind w:firstLine="643" w:firstLineChars="200"/>
        <w:jc w:val="left"/>
        <w:rPr>
          <w:rFonts w:ascii="仿宋" w:hAnsi="仿宋" w:eastAsia="仿宋"/>
          <w:b/>
          <w:sz w:val="32"/>
          <w:szCs w:val="32"/>
        </w:rPr>
      </w:pPr>
      <w:r>
        <w:rPr>
          <w:rFonts w:hint="eastAsia" w:ascii="仿宋" w:hAnsi="仿宋" w:eastAsia="仿宋"/>
          <w:b/>
          <w:sz w:val="32"/>
          <w:szCs w:val="32"/>
        </w:rPr>
        <w:t>（注：数据来源于财决附</w:t>
      </w:r>
      <w:r>
        <w:rPr>
          <w:rFonts w:ascii="仿宋" w:hAnsi="仿宋" w:eastAsia="仿宋"/>
          <w:b/>
          <w:sz w:val="32"/>
          <w:szCs w:val="32"/>
        </w:rPr>
        <w:t>03</w:t>
      </w:r>
      <w:r>
        <w:rPr>
          <w:rFonts w:hint="eastAsia" w:ascii="仿宋" w:hAnsi="仿宋" w:eastAsia="仿宋"/>
          <w:b/>
          <w:sz w:val="32"/>
          <w:szCs w:val="32"/>
        </w:rPr>
        <w:t>表，按部门决算报表填报数据罗列车辆情况。）</w:t>
      </w:r>
    </w:p>
    <w:p w14:paraId="0AD52EB3">
      <w:pPr>
        <w:autoSpaceDE w:val="0"/>
        <w:autoSpaceDN w:val="0"/>
        <w:adjustRightInd w:val="0"/>
        <w:spacing w:line="600" w:lineRule="exact"/>
        <w:ind w:firstLine="643" w:firstLineChars="200"/>
        <w:jc w:val="left"/>
        <w:outlineLvl w:val="2"/>
        <w:rPr>
          <w:rFonts w:ascii="仿宋" w:hAnsi="仿宋" w:eastAsia="仿宋"/>
          <w:b/>
          <w:sz w:val="32"/>
          <w:szCs w:val="32"/>
        </w:rPr>
      </w:pPr>
      <w:r>
        <w:rPr>
          <w:rFonts w:hint="eastAsia" w:ascii="仿宋" w:hAnsi="仿宋" w:eastAsia="仿宋"/>
          <w:b/>
          <w:sz w:val="32"/>
          <w:szCs w:val="32"/>
        </w:rPr>
        <w:t>（四）预算绩效管理情况</w:t>
      </w:r>
    </w:p>
    <w:p w14:paraId="3F39D1F6">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根据预算绩效管理要求，本部门在202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年度预算编制阶段，组织对红原县黄河流域垃圾焚烧飞灰固化填埋场建设项目项目（项目名称）</w:t>
      </w:r>
      <w:r>
        <w:rPr>
          <w:rFonts w:hint="eastAsia" w:ascii="仿宋_GB2312" w:hAnsi="仿宋_GB2312" w:eastAsia="仿宋_GB2312" w:cs="仿宋_GB2312"/>
          <w:sz w:val="32"/>
          <w:szCs w:val="32"/>
          <w:lang w:val="en-US" w:eastAsia="zh-CN"/>
        </w:rPr>
        <w:t>等4个</w:t>
      </w:r>
      <w:r>
        <w:rPr>
          <w:rFonts w:hint="eastAsia" w:ascii="仿宋_GB2312" w:hAnsi="仿宋_GB2312" w:eastAsia="仿宋_GB2312" w:cs="仿宋_GB2312"/>
          <w:sz w:val="32"/>
          <w:szCs w:val="32"/>
        </w:rPr>
        <w:t>项目开展了预算事前绩效评估，对</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个项目开展绩效监控。</w:t>
      </w:r>
    </w:p>
    <w:p w14:paraId="41A79C1F">
      <w:pPr>
        <w:pStyle w:val="3"/>
        <w:jc w:val="center"/>
      </w:pPr>
      <w:r>
        <w:rPr>
          <w:rFonts w:hint="eastAsia"/>
        </w:rPr>
        <w:t>第三部分 名词解释</w:t>
      </w:r>
    </w:p>
    <w:p w14:paraId="62AE996F"/>
    <w:p w14:paraId="7E0BF669">
      <w:pPr>
        <w:ind w:firstLine="640" w:firstLineChars="200"/>
        <w:rPr>
          <w:rFonts w:hint="eastAsia" w:ascii="仿宋_GB2312" w:eastAsia="仿宋_GB2312"/>
          <w:sz w:val="32"/>
          <w:szCs w:val="32"/>
        </w:rPr>
      </w:pPr>
      <w:r>
        <w:rPr>
          <w:rFonts w:hint="eastAsia" w:ascii="仿宋_GB2312" w:eastAsia="仿宋_GB2312"/>
          <w:sz w:val="32"/>
          <w:szCs w:val="32"/>
        </w:rPr>
        <w:t>1.财政拨款收入：指单位从同级财政部门取得的财政预算资金。</w:t>
      </w:r>
    </w:p>
    <w:p w14:paraId="15D46238">
      <w:pPr>
        <w:ind w:firstLine="640" w:firstLineChars="200"/>
        <w:rPr>
          <w:rFonts w:hint="eastAsia" w:ascii="仿宋_GB2312" w:eastAsia="仿宋_GB2312"/>
          <w:sz w:val="32"/>
          <w:szCs w:val="32"/>
        </w:rPr>
      </w:pPr>
      <w:r>
        <w:rPr>
          <w:rFonts w:hint="eastAsia" w:ascii="仿宋_GB2312" w:eastAsia="仿宋_GB2312"/>
          <w:sz w:val="32"/>
          <w:szCs w:val="32"/>
        </w:rPr>
        <w:t>2.事业收入：指事业单位开展专业业务活动及辅助活动取得的收入。</w:t>
      </w:r>
    </w:p>
    <w:p w14:paraId="30133F57">
      <w:pPr>
        <w:ind w:firstLine="640" w:firstLineChars="200"/>
        <w:rPr>
          <w:rFonts w:hint="eastAsia" w:ascii="仿宋_GB2312" w:eastAsia="仿宋_GB2312"/>
          <w:sz w:val="32"/>
          <w:szCs w:val="32"/>
        </w:rPr>
      </w:pPr>
      <w:r>
        <w:rPr>
          <w:rFonts w:hint="eastAsia" w:ascii="仿宋_GB2312" w:eastAsia="仿宋_GB2312"/>
          <w:sz w:val="32"/>
          <w:szCs w:val="32"/>
        </w:rPr>
        <w:t>3.经营收入：指事业单位在专业业务活动及其辅助活动之外开展非独立核算经营活动取得的收入。</w:t>
      </w:r>
    </w:p>
    <w:p w14:paraId="1332BC3D">
      <w:pPr>
        <w:ind w:firstLine="640" w:firstLineChars="200"/>
        <w:rPr>
          <w:rFonts w:hint="eastAsia" w:ascii="仿宋_GB2312" w:eastAsia="仿宋_GB2312"/>
          <w:sz w:val="32"/>
          <w:szCs w:val="32"/>
        </w:rPr>
      </w:pPr>
      <w:r>
        <w:rPr>
          <w:rFonts w:hint="eastAsia" w:ascii="仿宋_GB2312" w:eastAsia="仿宋_GB2312"/>
          <w:sz w:val="32"/>
          <w:szCs w:val="32"/>
        </w:rPr>
        <w:t>4.其他收入：指单位取得的除上述收入以外的各项收入。</w:t>
      </w:r>
    </w:p>
    <w:p w14:paraId="54769ED8">
      <w:pPr>
        <w:ind w:firstLine="640" w:firstLineChars="200"/>
        <w:rPr>
          <w:rFonts w:hint="eastAsia" w:ascii="仿宋_GB2312" w:eastAsia="仿宋_GB2312"/>
          <w:sz w:val="32"/>
          <w:szCs w:val="32"/>
        </w:rPr>
      </w:pPr>
      <w:r>
        <w:rPr>
          <w:rFonts w:hint="eastAsia" w:ascii="仿宋_GB2312" w:eastAsia="仿宋_GB2312"/>
          <w:sz w:val="32"/>
          <w:szCs w:val="32"/>
        </w:rPr>
        <w:t xml:space="preserve">5.使用非财政拨款结余（含专用结余）：指事业单位使用以前年度积累的非财政拨款结余弥补当年收支差额的金额。 </w:t>
      </w:r>
    </w:p>
    <w:p w14:paraId="24AD910E">
      <w:pPr>
        <w:ind w:firstLine="640" w:firstLineChars="200"/>
        <w:rPr>
          <w:rFonts w:hint="eastAsia" w:ascii="仿宋_GB2312" w:eastAsia="仿宋_GB2312"/>
          <w:sz w:val="32"/>
          <w:szCs w:val="32"/>
        </w:rPr>
      </w:pPr>
      <w:r>
        <w:rPr>
          <w:rFonts w:hint="eastAsia" w:ascii="仿宋_GB2312" w:eastAsia="仿宋_GB2312"/>
          <w:sz w:val="32"/>
          <w:szCs w:val="32"/>
        </w:rPr>
        <w:t xml:space="preserve">6.年初结转和结余：指以前年度尚未完成、结转到本年按有关规定继续使用的资金。 </w:t>
      </w:r>
    </w:p>
    <w:p w14:paraId="3D12B09F">
      <w:pPr>
        <w:ind w:firstLine="640" w:firstLineChars="200"/>
        <w:rPr>
          <w:rFonts w:hint="eastAsia" w:ascii="仿宋_GB2312" w:eastAsia="仿宋_GB2312"/>
          <w:sz w:val="32"/>
          <w:szCs w:val="32"/>
        </w:rPr>
      </w:pPr>
      <w:r>
        <w:rPr>
          <w:rFonts w:hint="eastAsia" w:ascii="仿宋_GB2312" w:eastAsia="仿宋_GB2312"/>
          <w:sz w:val="32"/>
          <w:szCs w:val="32"/>
        </w:rPr>
        <w:t>7.结余分配：指事业单位按照会计制度规定缴纳的所得税、提取的专用结余以及转入非财政拨款结余的金额等。</w:t>
      </w:r>
    </w:p>
    <w:p w14:paraId="0B7515F3">
      <w:pPr>
        <w:ind w:firstLine="640" w:firstLineChars="200"/>
        <w:rPr>
          <w:rFonts w:hint="eastAsia" w:ascii="仿宋_GB2312" w:eastAsia="仿宋_GB2312"/>
          <w:sz w:val="32"/>
          <w:szCs w:val="32"/>
        </w:rPr>
      </w:pPr>
      <w:r>
        <w:rPr>
          <w:rFonts w:hint="eastAsia" w:ascii="仿宋_GB2312" w:eastAsia="仿宋_GB2312"/>
          <w:sz w:val="32"/>
          <w:szCs w:val="32"/>
        </w:rPr>
        <w:t>8.年末结转和结余：指单位按有关规定结转到下年或以后年度继续使用的资金。</w:t>
      </w:r>
    </w:p>
    <w:p w14:paraId="53124EE2">
      <w:pPr>
        <w:ind w:firstLine="640" w:firstLineChars="200"/>
        <w:rPr>
          <w:rFonts w:ascii="仿宋_GB2312" w:eastAsia="仿宋_GB2312"/>
          <w:sz w:val="32"/>
          <w:szCs w:val="32"/>
        </w:rPr>
      </w:pPr>
      <w:r>
        <w:rPr>
          <w:rFonts w:hint="eastAsia" w:ascii="仿宋_GB2312" w:eastAsia="仿宋_GB2312"/>
          <w:sz w:val="32"/>
          <w:szCs w:val="32"/>
          <w:lang w:val="en-US" w:eastAsia="zh-CN"/>
        </w:rPr>
        <w:t>9</w:t>
      </w:r>
      <w:r>
        <w:rPr>
          <w:rFonts w:hint="eastAsia" w:ascii="仿宋_GB2312" w:eastAsia="仿宋_GB2312"/>
          <w:sz w:val="32"/>
          <w:szCs w:val="32"/>
        </w:rPr>
        <w:t>.基本支出：指为保障机构正常运转、完成日常工作任务而发生的人员支出和公用支出。</w:t>
      </w:r>
    </w:p>
    <w:p w14:paraId="39AA7FAB">
      <w:pPr>
        <w:ind w:firstLine="640" w:firstLineChars="200"/>
        <w:rPr>
          <w:rFonts w:ascii="仿宋_GB2312" w:eastAsia="仿宋_GB2312"/>
          <w:sz w:val="32"/>
          <w:szCs w:val="32"/>
        </w:rPr>
      </w:pPr>
      <w:r>
        <w:rPr>
          <w:rFonts w:hint="eastAsia" w:ascii="仿宋_GB2312" w:eastAsia="仿宋_GB2312"/>
          <w:sz w:val="32"/>
          <w:szCs w:val="32"/>
          <w:lang w:val="en-US" w:eastAsia="zh-CN"/>
        </w:rPr>
        <w:t>10</w:t>
      </w:r>
      <w:r>
        <w:rPr>
          <w:rFonts w:hint="eastAsia" w:ascii="仿宋_GB2312" w:eastAsia="仿宋_GB2312"/>
          <w:sz w:val="32"/>
          <w:szCs w:val="32"/>
        </w:rPr>
        <w:t xml:space="preserve">.项目支出：指在基本支出之外为完成特定行政任务和事业发展目标所发生的支出。 </w:t>
      </w:r>
    </w:p>
    <w:p w14:paraId="18CA3D41">
      <w:pPr>
        <w:ind w:firstLine="640" w:firstLineChars="200"/>
        <w:rPr>
          <w:rFonts w:ascii="仿宋_GB2312" w:eastAsia="仿宋_GB2312"/>
          <w:sz w:val="32"/>
          <w:szCs w:val="32"/>
        </w:rPr>
      </w:pPr>
      <w:r>
        <w:rPr>
          <w:rFonts w:hint="eastAsia" w:ascii="仿宋_GB2312" w:eastAsia="仿宋_GB2312"/>
          <w:sz w:val="32"/>
          <w:szCs w:val="32"/>
          <w:lang w:val="en-US" w:eastAsia="zh-CN"/>
        </w:rPr>
        <w:t>11</w:t>
      </w:r>
      <w:r>
        <w:rPr>
          <w:rFonts w:hint="eastAsia" w:ascii="仿宋_GB2312" w:eastAsia="仿宋_GB2312"/>
          <w:sz w:val="32"/>
          <w:szCs w:val="32"/>
        </w:rPr>
        <w:t>.经营支出：指事业单位在专业业务活动及其辅助活动之外开展非独立核算经营活动发生的支出。</w:t>
      </w:r>
    </w:p>
    <w:p w14:paraId="65DF64C6">
      <w:pPr>
        <w:ind w:firstLine="640" w:firstLineChars="200"/>
        <w:rPr>
          <w:rFonts w:ascii="仿宋_GB2312" w:eastAsia="仿宋_GB2312"/>
          <w:sz w:val="32"/>
          <w:szCs w:val="32"/>
        </w:rPr>
      </w:pPr>
      <w:r>
        <w:rPr>
          <w:rFonts w:hint="eastAsia" w:ascii="仿宋_GB2312" w:eastAsia="仿宋_GB2312"/>
          <w:sz w:val="32"/>
          <w:szCs w:val="32"/>
          <w:lang w:val="en-US" w:eastAsia="zh-CN"/>
        </w:rPr>
        <w:t>12</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629D2B07">
      <w:pPr>
        <w:ind w:firstLine="640" w:firstLineChars="200"/>
        <w:rPr>
          <w:rFonts w:ascii="仿宋_GB2312" w:eastAsia="仿宋_GB2312"/>
          <w:sz w:val="32"/>
          <w:szCs w:val="32"/>
        </w:rPr>
      </w:pPr>
      <w:r>
        <w:rPr>
          <w:rFonts w:hint="eastAsia" w:ascii="仿宋_GB2312" w:eastAsia="仿宋_GB2312"/>
          <w:sz w:val="32"/>
          <w:szCs w:val="32"/>
          <w:lang w:val="en-US" w:eastAsia="zh-CN"/>
        </w:rPr>
        <w:t>13</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5A7B846E">
      <w:pPr>
        <w:ind w:firstLine="643" w:firstLineChars="200"/>
        <w:rPr>
          <w:rFonts w:ascii="仿宋" w:hAnsi="仿宋" w:eastAsia="仿宋"/>
          <w:b/>
          <w:sz w:val="32"/>
          <w:szCs w:val="32"/>
        </w:rPr>
      </w:pPr>
      <w:r>
        <w:rPr>
          <w:rFonts w:ascii="仿宋" w:hAnsi="仿宋" w:eastAsia="仿宋"/>
          <w:b/>
          <w:sz w:val="32"/>
          <w:szCs w:val="32"/>
        </w:rPr>
        <w:br w:type="page"/>
      </w:r>
    </w:p>
    <w:p w14:paraId="48E9574C">
      <w:pPr>
        <w:pStyle w:val="3"/>
        <w:jc w:val="center"/>
        <w:rPr>
          <w:rFonts w:ascii="黑体" w:hAnsi="黑体" w:eastAsia="黑体"/>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部分 附表</w:t>
      </w:r>
    </w:p>
    <w:p w14:paraId="7565F29C">
      <w:pPr>
        <w:rPr>
          <w:rFonts w:ascii="仿宋" w:hAnsi="仿宋" w:eastAsia="仿宋"/>
          <w:sz w:val="32"/>
          <w:szCs w:val="32"/>
        </w:rPr>
      </w:pPr>
      <w:r>
        <w:rPr>
          <w:rFonts w:hint="eastAsia" w:ascii="仿宋" w:hAnsi="仿宋" w:eastAsia="仿宋"/>
          <w:sz w:val="32"/>
          <w:szCs w:val="32"/>
        </w:rPr>
        <w:t>一、收入支出决算总表</w:t>
      </w:r>
    </w:p>
    <w:p w14:paraId="7956734B">
      <w:pPr>
        <w:rPr>
          <w:rFonts w:ascii="仿宋" w:hAnsi="仿宋" w:eastAsia="仿宋"/>
          <w:sz w:val="32"/>
          <w:szCs w:val="32"/>
        </w:rPr>
      </w:pPr>
      <w:r>
        <w:rPr>
          <w:rFonts w:hint="eastAsia" w:ascii="仿宋" w:hAnsi="仿宋" w:eastAsia="仿宋"/>
          <w:sz w:val="32"/>
          <w:szCs w:val="32"/>
        </w:rPr>
        <w:t>二、收入决算表</w:t>
      </w:r>
    </w:p>
    <w:p w14:paraId="3D494A76">
      <w:pPr>
        <w:rPr>
          <w:rFonts w:ascii="仿宋" w:hAnsi="仿宋" w:eastAsia="仿宋"/>
          <w:sz w:val="32"/>
          <w:szCs w:val="32"/>
        </w:rPr>
      </w:pPr>
      <w:r>
        <w:rPr>
          <w:rFonts w:hint="eastAsia" w:ascii="仿宋" w:hAnsi="仿宋" w:eastAsia="仿宋"/>
          <w:sz w:val="32"/>
          <w:szCs w:val="32"/>
        </w:rPr>
        <w:t>三、支出决算表</w:t>
      </w:r>
    </w:p>
    <w:p w14:paraId="7B01F2F4">
      <w:pPr>
        <w:rPr>
          <w:rFonts w:ascii="仿宋" w:hAnsi="仿宋" w:eastAsia="仿宋"/>
          <w:sz w:val="32"/>
          <w:szCs w:val="32"/>
        </w:rPr>
      </w:pPr>
      <w:r>
        <w:rPr>
          <w:rFonts w:hint="eastAsia" w:ascii="仿宋" w:hAnsi="仿宋" w:eastAsia="仿宋"/>
          <w:sz w:val="32"/>
          <w:szCs w:val="32"/>
        </w:rPr>
        <w:t>四、财政拨款收入支出决算总表</w:t>
      </w:r>
    </w:p>
    <w:p w14:paraId="5B6C051E">
      <w:pPr>
        <w:rPr>
          <w:rFonts w:ascii="仿宋" w:hAnsi="仿宋" w:eastAsia="仿宋"/>
          <w:sz w:val="32"/>
          <w:szCs w:val="32"/>
        </w:rPr>
      </w:pPr>
      <w:r>
        <w:rPr>
          <w:rFonts w:hint="eastAsia" w:ascii="仿宋" w:hAnsi="仿宋" w:eastAsia="仿宋"/>
          <w:sz w:val="32"/>
          <w:szCs w:val="32"/>
        </w:rPr>
        <w:t>五、财政拨款支出决算明细表</w:t>
      </w:r>
    </w:p>
    <w:p w14:paraId="776FCD2E">
      <w:pPr>
        <w:rPr>
          <w:rFonts w:ascii="仿宋" w:hAnsi="仿宋" w:eastAsia="仿宋"/>
          <w:sz w:val="32"/>
          <w:szCs w:val="32"/>
        </w:rPr>
      </w:pPr>
      <w:r>
        <w:rPr>
          <w:rFonts w:hint="eastAsia" w:ascii="仿宋" w:hAnsi="仿宋" w:eastAsia="仿宋"/>
          <w:sz w:val="32"/>
          <w:szCs w:val="32"/>
        </w:rPr>
        <w:t>六、一般公共预算财政拨款支出决算表</w:t>
      </w:r>
    </w:p>
    <w:p w14:paraId="1E32334A">
      <w:pPr>
        <w:rPr>
          <w:rFonts w:ascii="仿宋" w:hAnsi="仿宋" w:eastAsia="仿宋"/>
          <w:sz w:val="32"/>
          <w:szCs w:val="32"/>
        </w:rPr>
      </w:pPr>
      <w:r>
        <w:rPr>
          <w:rFonts w:hint="eastAsia" w:ascii="仿宋" w:hAnsi="仿宋" w:eastAsia="仿宋"/>
          <w:sz w:val="32"/>
          <w:szCs w:val="32"/>
        </w:rPr>
        <w:t>七、一般公共预算财政拨款支出决算明细表</w:t>
      </w:r>
    </w:p>
    <w:p w14:paraId="10806302">
      <w:pPr>
        <w:rPr>
          <w:rFonts w:ascii="仿宋" w:hAnsi="仿宋" w:eastAsia="仿宋"/>
          <w:sz w:val="32"/>
          <w:szCs w:val="32"/>
        </w:rPr>
      </w:pPr>
      <w:r>
        <w:rPr>
          <w:rFonts w:hint="eastAsia" w:ascii="仿宋" w:hAnsi="仿宋" w:eastAsia="仿宋"/>
          <w:sz w:val="32"/>
          <w:szCs w:val="32"/>
        </w:rPr>
        <w:t>八、一般公共预算财政拨款基本支出决算表</w:t>
      </w:r>
    </w:p>
    <w:p w14:paraId="0EDA2B45">
      <w:pPr>
        <w:rPr>
          <w:rFonts w:ascii="仿宋" w:hAnsi="仿宋" w:eastAsia="仿宋"/>
          <w:sz w:val="32"/>
          <w:szCs w:val="32"/>
        </w:rPr>
      </w:pPr>
      <w:r>
        <w:rPr>
          <w:rFonts w:hint="eastAsia" w:ascii="仿宋" w:hAnsi="仿宋" w:eastAsia="仿宋"/>
          <w:sz w:val="32"/>
          <w:szCs w:val="32"/>
        </w:rPr>
        <w:t>九、一般公共预算财政拨款项目支出决算表</w:t>
      </w:r>
    </w:p>
    <w:p w14:paraId="4E451EF3">
      <w:pPr>
        <w:rPr>
          <w:rFonts w:ascii="仿宋" w:hAnsi="仿宋" w:eastAsia="仿宋"/>
          <w:sz w:val="32"/>
          <w:szCs w:val="32"/>
        </w:rPr>
      </w:pPr>
      <w:r>
        <w:rPr>
          <w:rFonts w:hint="eastAsia" w:ascii="仿宋" w:hAnsi="仿宋" w:eastAsia="仿宋"/>
          <w:sz w:val="32"/>
          <w:szCs w:val="32"/>
        </w:rPr>
        <w:t>十、政府性基金预算财政拨款收入支出决算表</w:t>
      </w:r>
    </w:p>
    <w:p w14:paraId="2E8A9B29">
      <w:pPr>
        <w:rPr>
          <w:rFonts w:ascii="仿宋" w:hAnsi="仿宋" w:eastAsia="仿宋"/>
          <w:sz w:val="32"/>
          <w:szCs w:val="32"/>
        </w:rPr>
      </w:pPr>
      <w:r>
        <w:rPr>
          <w:rFonts w:hint="eastAsia" w:ascii="仿宋" w:hAnsi="仿宋" w:eastAsia="仿宋"/>
          <w:sz w:val="32"/>
          <w:szCs w:val="32"/>
        </w:rPr>
        <w:t>十一、国有资本经营预算财政拨款收入支出决算表</w:t>
      </w:r>
    </w:p>
    <w:p w14:paraId="12D38DE0">
      <w:pPr>
        <w:rPr>
          <w:rFonts w:ascii="仿宋" w:hAnsi="仿宋" w:eastAsia="仿宋"/>
          <w:sz w:val="32"/>
          <w:szCs w:val="32"/>
        </w:rPr>
      </w:pPr>
      <w:r>
        <w:rPr>
          <w:rFonts w:hint="eastAsia" w:ascii="仿宋" w:hAnsi="仿宋" w:eastAsia="仿宋"/>
          <w:sz w:val="32"/>
          <w:szCs w:val="32"/>
        </w:rPr>
        <w:t>十二、国有资本经营预算财政拨款支出决算表</w:t>
      </w:r>
    </w:p>
    <w:p w14:paraId="7B885A30">
      <w:pPr>
        <w:rPr>
          <w:rFonts w:ascii="仿宋" w:hAnsi="仿宋" w:eastAsia="仿宋"/>
          <w:sz w:val="32"/>
          <w:szCs w:val="32"/>
        </w:rPr>
      </w:pPr>
      <w:r>
        <w:rPr>
          <w:rFonts w:hint="eastAsia" w:ascii="仿宋" w:hAnsi="仿宋" w:eastAsia="仿宋"/>
          <w:sz w:val="32"/>
          <w:szCs w:val="32"/>
        </w:rPr>
        <w:t>十三、财政拨款“三公”经费支出决算表</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C9F2488-B728-4265-98FD-6D512572CA3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embedRegular r:id="rId2" w:fontKey="{613F1C22-CA2E-4C20-BFE4-A8FE196E6E62}"/>
  </w:font>
  <w:font w:name="仿宋_GB2312">
    <w:altName w:val="仿宋"/>
    <w:panose1 w:val="02010609030101010101"/>
    <w:charset w:val="86"/>
    <w:family w:val="modern"/>
    <w:pitch w:val="default"/>
    <w:sig w:usb0="00000000" w:usb1="00000000" w:usb2="00000000" w:usb3="00000000" w:csb0="00040000" w:csb1="00000000"/>
    <w:embedRegular r:id="rId3" w:fontKey="{56562586-BB5B-4A73-8A01-8F0D204A5B40}"/>
  </w:font>
  <w:font w:name="仿宋">
    <w:panose1 w:val="02010609060101010101"/>
    <w:charset w:val="86"/>
    <w:family w:val="modern"/>
    <w:pitch w:val="default"/>
    <w:sig w:usb0="800002BF" w:usb1="38CF7CFA" w:usb2="00000016" w:usb3="00000000" w:csb0="00040001" w:csb1="00000000"/>
    <w:embedRegular r:id="rId4" w:fontKey="{0E359542-9101-4BF2-A1FD-A7F4BA98EBF0}"/>
  </w:font>
  <w:font w:name="??">
    <w:altName w:val="Times New Roman"/>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embedRegular r:id="rId5" w:fontKey="{50EC56A9-E7B3-4642-82C0-6C11A41A3DF8}"/>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14:paraId="2491465B">
        <w:pPr>
          <w:pStyle w:val="10"/>
          <w:jc w:val="center"/>
        </w:pPr>
        <w:r>
          <w:fldChar w:fldCharType="begin"/>
        </w:r>
        <w:r>
          <w:instrText xml:space="preserve">PAGE   \* MERGEFORMAT</w:instrText>
        </w:r>
        <w:r>
          <w:fldChar w:fldCharType="separate"/>
        </w:r>
        <w:r>
          <w:rPr>
            <w:lang w:val="zh-CN"/>
          </w:rPr>
          <w:t>23</w:t>
        </w:r>
        <w:r>
          <w:fldChar w:fldCharType="end"/>
        </w:r>
      </w:p>
    </w:sdtContent>
  </w:sdt>
  <w:p w14:paraId="7407D682">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EFAE7">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rPr>
        <w:rFonts w:hint="eastAsia"/>
      </w:rPr>
    </w:lvl>
  </w:abstractNum>
  <w:abstractNum w:abstractNumId="1">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2">
    <w:nsid w:val="4A9EA867"/>
    <w:multiLevelType w:val="singleLevel"/>
    <w:tmpl w:val="4A9EA867"/>
    <w:lvl w:ilvl="0" w:tentative="0">
      <w:start w:val="1"/>
      <w:numFmt w:val="chineseCounting"/>
      <w:suff w:val="nothing"/>
      <w:lvlText w:val="%1、"/>
      <w:lvlJc w:val="left"/>
      <w:rPr>
        <w:rFonts w:hint="eastAsia"/>
      </w:rPr>
    </w:lvl>
  </w:abstractNum>
  <w:abstractNum w:abstractNumId="3">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61C"/>
    <w:rsid w:val="00014A1C"/>
    <w:rsid w:val="000222C6"/>
    <w:rsid w:val="0002549F"/>
    <w:rsid w:val="00035392"/>
    <w:rsid w:val="000468DB"/>
    <w:rsid w:val="0006487A"/>
    <w:rsid w:val="00065F8F"/>
    <w:rsid w:val="00070A43"/>
    <w:rsid w:val="000768F2"/>
    <w:rsid w:val="00082EAC"/>
    <w:rsid w:val="0009184B"/>
    <w:rsid w:val="00094236"/>
    <w:rsid w:val="0009593C"/>
    <w:rsid w:val="00097322"/>
    <w:rsid w:val="00097358"/>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30E5"/>
    <w:rsid w:val="00174518"/>
    <w:rsid w:val="0018106D"/>
    <w:rsid w:val="001877A7"/>
    <w:rsid w:val="00191536"/>
    <w:rsid w:val="00196687"/>
    <w:rsid w:val="001C0962"/>
    <w:rsid w:val="001C2738"/>
    <w:rsid w:val="001D7531"/>
    <w:rsid w:val="001E737D"/>
    <w:rsid w:val="001F0592"/>
    <w:rsid w:val="001F6419"/>
    <w:rsid w:val="001F7506"/>
    <w:rsid w:val="002006CD"/>
    <w:rsid w:val="00202B36"/>
    <w:rsid w:val="00204B7A"/>
    <w:rsid w:val="00204CDE"/>
    <w:rsid w:val="0021101A"/>
    <w:rsid w:val="00220536"/>
    <w:rsid w:val="00235629"/>
    <w:rsid w:val="00260289"/>
    <w:rsid w:val="00260C38"/>
    <w:rsid w:val="002616C0"/>
    <w:rsid w:val="002643DB"/>
    <w:rsid w:val="00265372"/>
    <w:rsid w:val="002662AA"/>
    <w:rsid w:val="00280496"/>
    <w:rsid w:val="00283D47"/>
    <w:rsid w:val="00294DC9"/>
    <w:rsid w:val="00295495"/>
    <w:rsid w:val="002A31DE"/>
    <w:rsid w:val="002A62F7"/>
    <w:rsid w:val="002B2613"/>
    <w:rsid w:val="002C1468"/>
    <w:rsid w:val="002D6D05"/>
    <w:rsid w:val="002F1818"/>
    <w:rsid w:val="002F5109"/>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2919"/>
    <w:rsid w:val="003D66DA"/>
    <w:rsid w:val="003E1310"/>
    <w:rsid w:val="003E2E6A"/>
    <w:rsid w:val="003E6F55"/>
    <w:rsid w:val="00406254"/>
    <w:rsid w:val="00410559"/>
    <w:rsid w:val="0041585D"/>
    <w:rsid w:val="00420B47"/>
    <w:rsid w:val="004223DE"/>
    <w:rsid w:val="00434489"/>
    <w:rsid w:val="00437085"/>
    <w:rsid w:val="00443880"/>
    <w:rsid w:val="004464F4"/>
    <w:rsid w:val="00447329"/>
    <w:rsid w:val="00471401"/>
    <w:rsid w:val="00473F31"/>
    <w:rsid w:val="0048263A"/>
    <w:rsid w:val="004826A2"/>
    <w:rsid w:val="00487E5D"/>
    <w:rsid w:val="004A711F"/>
    <w:rsid w:val="004B199D"/>
    <w:rsid w:val="004B4690"/>
    <w:rsid w:val="004E0A2D"/>
    <w:rsid w:val="004E206B"/>
    <w:rsid w:val="004E3607"/>
    <w:rsid w:val="004E6DF7"/>
    <w:rsid w:val="004F0FBD"/>
    <w:rsid w:val="00505A47"/>
    <w:rsid w:val="00512FDA"/>
    <w:rsid w:val="00520DA0"/>
    <w:rsid w:val="005664BB"/>
    <w:rsid w:val="00566FFA"/>
    <w:rsid w:val="0057481D"/>
    <w:rsid w:val="0058486E"/>
    <w:rsid w:val="00585B33"/>
    <w:rsid w:val="0059014D"/>
    <w:rsid w:val="005A09FD"/>
    <w:rsid w:val="005B0198"/>
    <w:rsid w:val="005B321C"/>
    <w:rsid w:val="005B5C64"/>
    <w:rsid w:val="005C5337"/>
    <w:rsid w:val="005C6BD0"/>
    <w:rsid w:val="005D1C8B"/>
    <w:rsid w:val="005D468D"/>
    <w:rsid w:val="005D5CED"/>
    <w:rsid w:val="005F1A4C"/>
    <w:rsid w:val="00605688"/>
    <w:rsid w:val="006070AF"/>
    <w:rsid w:val="00607E6C"/>
    <w:rsid w:val="006101B1"/>
    <w:rsid w:val="00614E44"/>
    <w:rsid w:val="00620030"/>
    <w:rsid w:val="0062270A"/>
    <w:rsid w:val="00622830"/>
    <w:rsid w:val="00623DA0"/>
    <w:rsid w:val="00630AEF"/>
    <w:rsid w:val="006325F8"/>
    <w:rsid w:val="00633463"/>
    <w:rsid w:val="00634C9A"/>
    <w:rsid w:val="00640417"/>
    <w:rsid w:val="00641F56"/>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516B"/>
    <w:rsid w:val="00746F48"/>
    <w:rsid w:val="0075404D"/>
    <w:rsid w:val="0076182A"/>
    <w:rsid w:val="00762406"/>
    <w:rsid w:val="0076493D"/>
    <w:rsid w:val="00767B7E"/>
    <w:rsid w:val="007770C3"/>
    <w:rsid w:val="00784D24"/>
    <w:rsid w:val="00785FBA"/>
    <w:rsid w:val="00786E4A"/>
    <w:rsid w:val="007875EB"/>
    <w:rsid w:val="0079426B"/>
    <w:rsid w:val="007D1682"/>
    <w:rsid w:val="007D312A"/>
    <w:rsid w:val="007D3F19"/>
    <w:rsid w:val="007E23B0"/>
    <w:rsid w:val="007E23E5"/>
    <w:rsid w:val="007E6A82"/>
    <w:rsid w:val="007F1991"/>
    <w:rsid w:val="007F2C2F"/>
    <w:rsid w:val="007F55FC"/>
    <w:rsid w:val="007F5665"/>
    <w:rsid w:val="007F7385"/>
    <w:rsid w:val="00800112"/>
    <w:rsid w:val="00813348"/>
    <w:rsid w:val="008253BB"/>
    <w:rsid w:val="0083706E"/>
    <w:rsid w:val="008408F6"/>
    <w:rsid w:val="008423A5"/>
    <w:rsid w:val="00850625"/>
    <w:rsid w:val="00853718"/>
    <w:rsid w:val="00855221"/>
    <w:rsid w:val="00860645"/>
    <w:rsid w:val="00871F71"/>
    <w:rsid w:val="00872FD8"/>
    <w:rsid w:val="00875641"/>
    <w:rsid w:val="00885AF4"/>
    <w:rsid w:val="00887F08"/>
    <w:rsid w:val="008914B9"/>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34F0"/>
    <w:rsid w:val="00935C98"/>
    <w:rsid w:val="00946945"/>
    <w:rsid w:val="00951248"/>
    <w:rsid w:val="0095152F"/>
    <w:rsid w:val="009546E4"/>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E50C8"/>
    <w:rsid w:val="009F1185"/>
    <w:rsid w:val="009F18CD"/>
    <w:rsid w:val="009F2A13"/>
    <w:rsid w:val="009F7527"/>
    <w:rsid w:val="00A04EB0"/>
    <w:rsid w:val="00A13CC1"/>
    <w:rsid w:val="00A16847"/>
    <w:rsid w:val="00A237D8"/>
    <w:rsid w:val="00A25C9F"/>
    <w:rsid w:val="00A268C4"/>
    <w:rsid w:val="00A27C77"/>
    <w:rsid w:val="00A307CD"/>
    <w:rsid w:val="00A331C8"/>
    <w:rsid w:val="00A40A00"/>
    <w:rsid w:val="00A4142F"/>
    <w:rsid w:val="00A422EB"/>
    <w:rsid w:val="00A45BB7"/>
    <w:rsid w:val="00A56DF2"/>
    <w:rsid w:val="00A56E6E"/>
    <w:rsid w:val="00A67AB5"/>
    <w:rsid w:val="00A733B2"/>
    <w:rsid w:val="00A741C2"/>
    <w:rsid w:val="00A74A9E"/>
    <w:rsid w:val="00A91760"/>
    <w:rsid w:val="00A93B00"/>
    <w:rsid w:val="00A93C21"/>
    <w:rsid w:val="00AB64C9"/>
    <w:rsid w:val="00AC2E50"/>
    <w:rsid w:val="00AC3C6A"/>
    <w:rsid w:val="00AD5620"/>
    <w:rsid w:val="00AD656B"/>
    <w:rsid w:val="00AD7C1B"/>
    <w:rsid w:val="00AE16BA"/>
    <w:rsid w:val="00AE1EBE"/>
    <w:rsid w:val="00B03C9D"/>
    <w:rsid w:val="00B060AE"/>
    <w:rsid w:val="00B10517"/>
    <w:rsid w:val="00B12E8B"/>
    <w:rsid w:val="00B14E76"/>
    <w:rsid w:val="00B161B8"/>
    <w:rsid w:val="00B2048C"/>
    <w:rsid w:val="00B310B9"/>
    <w:rsid w:val="00B35F3F"/>
    <w:rsid w:val="00B36CBB"/>
    <w:rsid w:val="00B411A6"/>
    <w:rsid w:val="00B425E0"/>
    <w:rsid w:val="00B440AA"/>
    <w:rsid w:val="00B44B70"/>
    <w:rsid w:val="00B53C56"/>
    <w:rsid w:val="00B57DAF"/>
    <w:rsid w:val="00B76F9D"/>
    <w:rsid w:val="00B77EA6"/>
    <w:rsid w:val="00B81598"/>
    <w:rsid w:val="00B841F1"/>
    <w:rsid w:val="00B944D6"/>
    <w:rsid w:val="00BA579E"/>
    <w:rsid w:val="00BB4DF0"/>
    <w:rsid w:val="00BC289F"/>
    <w:rsid w:val="00BC2D50"/>
    <w:rsid w:val="00BC5361"/>
    <w:rsid w:val="00BC5460"/>
    <w:rsid w:val="00BC6B50"/>
    <w:rsid w:val="00BD0E25"/>
    <w:rsid w:val="00BF5BD6"/>
    <w:rsid w:val="00C03E31"/>
    <w:rsid w:val="00C33E72"/>
    <w:rsid w:val="00C354B2"/>
    <w:rsid w:val="00C35554"/>
    <w:rsid w:val="00C42709"/>
    <w:rsid w:val="00C46119"/>
    <w:rsid w:val="00C533CC"/>
    <w:rsid w:val="00C5751C"/>
    <w:rsid w:val="00C61BFC"/>
    <w:rsid w:val="00C62B85"/>
    <w:rsid w:val="00C65438"/>
    <w:rsid w:val="00C860D5"/>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950A1"/>
    <w:rsid w:val="00DA634F"/>
    <w:rsid w:val="00DA65AC"/>
    <w:rsid w:val="00DB1913"/>
    <w:rsid w:val="00DC410D"/>
    <w:rsid w:val="00DC5A81"/>
    <w:rsid w:val="00DC68CA"/>
    <w:rsid w:val="00DC7CBA"/>
    <w:rsid w:val="00DD73B7"/>
    <w:rsid w:val="00DF24DF"/>
    <w:rsid w:val="00DF28BC"/>
    <w:rsid w:val="00DF34B9"/>
    <w:rsid w:val="00E01053"/>
    <w:rsid w:val="00E01B70"/>
    <w:rsid w:val="00E07ACF"/>
    <w:rsid w:val="00E11813"/>
    <w:rsid w:val="00E331A1"/>
    <w:rsid w:val="00E33202"/>
    <w:rsid w:val="00E336A9"/>
    <w:rsid w:val="00E472B1"/>
    <w:rsid w:val="00E50624"/>
    <w:rsid w:val="00E568DF"/>
    <w:rsid w:val="00E64269"/>
    <w:rsid w:val="00E82267"/>
    <w:rsid w:val="00E853CE"/>
    <w:rsid w:val="00E867B6"/>
    <w:rsid w:val="00EA010F"/>
    <w:rsid w:val="00EB0FAE"/>
    <w:rsid w:val="00ED1B63"/>
    <w:rsid w:val="00ED3C1F"/>
    <w:rsid w:val="00ED4085"/>
    <w:rsid w:val="00ED420E"/>
    <w:rsid w:val="00ED6FBE"/>
    <w:rsid w:val="00EE2F57"/>
    <w:rsid w:val="00EF4C34"/>
    <w:rsid w:val="00EF77C6"/>
    <w:rsid w:val="00F03938"/>
    <w:rsid w:val="00F05438"/>
    <w:rsid w:val="00F1361C"/>
    <w:rsid w:val="00F156F0"/>
    <w:rsid w:val="00F160C7"/>
    <w:rsid w:val="00F2408F"/>
    <w:rsid w:val="00F240E9"/>
    <w:rsid w:val="00F36D8F"/>
    <w:rsid w:val="00F417B1"/>
    <w:rsid w:val="00F45853"/>
    <w:rsid w:val="00F5561B"/>
    <w:rsid w:val="00F602DF"/>
    <w:rsid w:val="00F754A1"/>
    <w:rsid w:val="00F81FD9"/>
    <w:rsid w:val="00F841AA"/>
    <w:rsid w:val="00F84A94"/>
    <w:rsid w:val="00F87E96"/>
    <w:rsid w:val="00FA23E8"/>
    <w:rsid w:val="00FA789D"/>
    <w:rsid w:val="00FC7DA4"/>
    <w:rsid w:val="00FD3CC1"/>
    <w:rsid w:val="00FF1E02"/>
    <w:rsid w:val="00FF30B4"/>
    <w:rsid w:val="015975B8"/>
    <w:rsid w:val="02FEBE30"/>
    <w:rsid w:val="030C4B30"/>
    <w:rsid w:val="036F8141"/>
    <w:rsid w:val="056F72B2"/>
    <w:rsid w:val="066E0107"/>
    <w:rsid w:val="078C2F68"/>
    <w:rsid w:val="07996F6E"/>
    <w:rsid w:val="07DFD8BA"/>
    <w:rsid w:val="0A2032A3"/>
    <w:rsid w:val="0D35B1ED"/>
    <w:rsid w:val="0E7ED1F5"/>
    <w:rsid w:val="0F647B14"/>
    <w:rsid w:val="0F98263C"/>
    <w:rsid w:val="101860EC"/>
    <w:rsid w:val="10C055FF"/>
    <w:rsid w:val="118107EC"/>
    <w:rsid w:val="13D50BC4"/>
    <w:rsid w:val="13F5616D"/>
    <w:rsid w:val="158944F4"/>
    <w:rsid w:val="16BB723D"/>
    <w:rsid w:val="17F9714D"/>
    <w:rsid w:val="1918F934"/>
    <w:rsid w:val="1BE8440E"/>
    <w:rsid w:val="1C166655"/>
    <w:rsid w:val="1D155CEE"/>
    <w:rsid w:val="1DFBC4B3"/>
    <w:rsid w:val="1E704B2F"/>
    <w:rsid w:val="1E740ACF"/>
    <w:rsid w:val="1F19C781"/>
    <w:rsid w:val="1F33FCE5"/>
    <w:rsid w:val="1F7F7398"/>
    <w:rsid w:val="1FD2DB6F"/>
    <w:rsid w:val="1FF35744"/>
    <w:rsid w:val="1FF6BC77"/>
    <w:rsid w:val="1FF9236D"/>
    <w:rsid w:val="2333840E"/>
    <w:rsid w:val="23860B96"/>
    <w:rsid w:val="240371BF"/>
    <w:rsid w:val="257C638F"/>
    <w:rsid w:val="28E1787C"/>
    <w:rsid w:val="29FD04D3"/>
    <w:rsid w:val="2BFF7BC6"/>
    <w:rsid w:val="2C8A61B5"/>
    <w:rsid w:val="2CD59C95"/>
    <w:rsid w:val="2DF04E50"/>
    <w:rsid w:val="2EFD05E5"/>
    <w:rsid w:val="2F040D46"/>
    <w:rsid w:val="2F4F95CE"/>
    <w:rsid w:val="2FACAFDD"/>
    <w:rsid w:val="2FAE5751"/>
    <w:rsid w:val="2FB1A395"/>
    <w:rsid w:val="2FCF0B76"/>
    <w:rsid w:val="2FD9A7D8"/>
    <w:rsid w:val="319F7F4E"/>
    <w:rsid w:val="3304709D"/>
    <w:rsid w:val="358F4C83"/>
    <w:rsid w:val="36AA5135"/>
    <w:rsid w:val="36BE0DA7"/>
    <w:rsid w:val="36F97700"/>
    <w:rsid w:val="376B6AA6"/>
    <w:rsid w:val="376D39B2"/>
    <w:rsid w:val="37E16F03"/>
    <w:rsid w:val="37F53A3B"/>
    <w:rsid w:val="38D469F0"/>
    <w:rsid w:val="38F78389"/>
    <w:rsid w:val="397BAF1F"/>
    <w:rsid w:val="39E7B272"/>
    <w:rsid w:val="39F7642F"/>
    <w:rsid w:val="39FF7B37"/>
    <w:rsid w:val="3AB79AF3"/>
    <w:rsid w:val="3AFDCB77"/>
    <w:rsid w:val="3B7EF35A"/>
    <w:rsid w:val="3B9FDB6C"/>
    <w:rsid w:val="3BF5BC2F"/>
    <w:rsid w:val="3BF7C23A"/>
    <w:rsid w:val="3BFF223E"/>
    <w:rsid w:val="3C6EC0A1"/>
    <w:rsid w:val="3CDB0824"/>
    <w:rsid w:val="3CEBA265"/>
    <w:rsid w:val="3D6A7F9F"/>
    <w:rsid w:val="3D7E7F4D"/>
    <w:rsid w:val="3D98207C"/>
    <w:rsid w:val="3D9CF30A"/>
    <w:rsid w:val="3DFF5A3E"/>
    <w:rsid w:val="3E78745D"/>
    <w:rsid w:val="3EAD542A"/>
    <w:rsid w:val="3EEE77E9"/>
    <w:rsid w:val="3F394AF5"/>
    <w:rsid w:val="3FBE5714"/>
    <w:rsid w:val="3FDD8615"/>
    <w:rsid w:val="3FDFB2FF"/>
    <w:rsid w:val="3FF4CAE0"/>
    <w:rsid w:val="3FF75FAF"/>
    <w:rsid w:val="3FF7B227"/>
    <w:rsid w:val="40DA6FCE"/>
    <w:rsid w:val="425B34EE"/>
    <w:rsid w:val="42FA5E42"/>
    <w:rsid w:val="44E268DA"/>
    <w:rsid w:val="457F4F6B"/>
    <w:rsid w:val="45C22A78"/>
    <w:rsid w:val="4737FB58"/>
    <w:rsid w:val="47ECCB02"/>
    <w:rsid w:val="47FA6A3F"/>
    <w:rsid w:val="49D7AE48"/>
    <w:rsid w:val="4A3F6C7E"/>
    <w:rsid w:val="4A627F82"/>
    <w:rsid w:val="4B0E749A"/>
    <w:rsid w:val="4B382A3B"/>
    <w:rsid w:val="4B4F25DA"/>
    <w:rsid w:val="4BBB4781"/>
    <w:rsid w:val="4BD709A5"/>
    <w:rsid w:val="4BDD9BFF"/>
    <w:rsid w:val="4BE068DB"/>
    <w:rsid w:val="4D577224"/>
    <w:rsid w:val="4DBF1CEB"/>
    <w:rsid w:val="4DBF6A6B"/>
    <w:rsid w:val="4DF6A672"/>
    <w:rsid w:val="4E077AA1"/>
    <w:rsid w:val="4EAB630A"/>
    <w:rsid w:val="4ECE2238"/>
    <w:rsid w:val="4F7EA413"/>
    <w:rsid w:val="4FA0776F"/>
    <w:rsid w:val="4FAB812F"/>
    <w:rsid w:val="4FE9BD67"/>
    <w:rsid w:val="4FEE4C07"/>
    <w:rsid w:val="4FFB052F"/>
    <w:rsid w:val="537E6D0A"/>
    <w:rsid w:val="53AB6B88"/>
    <w:rsid w:val="53F74C96"/>
    <w:rsid w:val="545B7233"/>
    <w:rsid w:val="5583522D"/>
    <w:rsid w:val="571D387C"/>
    <w:rsid w:val="5721105B"/>
    <w:rsid w:val="57BD3DD4"/>
    <w:rsid w:val="57F9CD1E"/>
    <w:rsid w:val="5A4A2677"/>
    <w:rsid w:val="5AF92295"/>
    <w:rsid w:val="5AF9D8E9"/>
    <w:rsid w:val="5BDD38BD"/>
    <w:rsid w:val="5BDD79E6"/>
    <w:rsid w:val="5BEFC772"/>
    <w:rsid w:val="5BFF5DFC"/>
    <w:rsid w:val="5CD71FC4"/>
    <w:rsid w:val="5D1F11B5"/>
    <w:rsid w:val="5D3647F9"/>
    <w:rsid w:val="5DA644D4"/>
    <w:rsid w:val="5DAE1B18"/>
    <w:rsid w:val="5DE7D9E5"/>
    <w:rsid w:val="5ECEC941"/>
    <w:rsid w:val="5EFF8FC6"/>
    <w:rsid w:val="5F5BA39A"/>
    <w:rsid w:val="5F7D3B79"/>
    <w:rsid w:val="5F7F4610"/>
    <w:rsid w:val="5FBF9FF3"/>
    <w:rsid w:val="5FCD4E2C"/>
    <w:rsid w:val="5FEF394A"/>
    <w:rsid w:val="5FF67715"/>
    <w:rsid w:val="6178736B"/>
    <w:rsid w:val="61CA71D5"/>
    <w:rsid w:val="627EE9EA"/>
    <w:rsid w:val="63B23AA5"/>
    <w:rsid w:val="647F5392"/>
    <w:rsid w:val="64E322C4"/>
    <w:rsid w:val="65FB93B9"/>
    <w:rsid w:val="6633C463"/>
    <w:rsid w:val="667B3DA7"/>
    <w:rsid w:val="67D55B77"/>
    <w:rsid w:val="67EE7F84"/>
    <w:rsid w:val="686F5F53"/>
    <w:rsid w:val="693D7C05"/>
    <w:rsid w:val="6AFFCEAF"/>
    <w:rsid w:val="6B96E9E6"/>
    <w:rsid w:val="6BCE57B5"/>
    <w:rsid w:val="6BFEA4DB"/>
    <w:rsid w:val="6BFFB662"/>
    <w:rsid w:val="6C4A05C8"/>
    <w:rsid w:val="6CFF4FB8"/>
    <w:rsid w:val="6D6BD6E0"/>
    <w:rsid w:val="6D77E73C"/>
    <w:rsid w:val="6DBF5E93"/>
    <w:rsid w:val="6DF66946"/>
    <w:rsid w:val="6DFF077E"/>
    <w:rsid w:val="6E7E3605"/>
    <w:rsid w:val="6E7FDCC7"/>
    <w:rsid w:val="6ED6A62E"/>
    <w:rsid w:val="6EE00B15"/>
    <w:rsid w:val="6EE737B2"/>
    <w:rsid w:val="6EEB2329"/>
    <w:rsid w:val="6EECE67A"/>
    <w:rsid w:val="6F6F90A8"/>
    <w:rsid w:val="6F6FB3EB"/>
    <w:rsid w:val="6F8731EA"/>
    <w:rsid w:val="6FBC2ADD"/>
    <w:rsid w:val="6FD57C00"/>
    <w:rsid w:val="6FDB2AFF"/>
    <w:rsid w:val="6FEFFFD8"/>
    <w:rsid w:val="6FF5CC65"/>
    <w:rsid w:val="6FFB47EC"/>
    <w:rsid w:val="6FFF034A"/>
    <w:rsid w:val="712A28F1"/>
    <w:rsid w:val="715C0E4B"/>
    <w:rsid w:val="71FFD401"/>
    <w:rsid w:val="72233669"/>
    <w:rsid w:val="72734D90"/>
    <w:rsid w:val="7332FE48"/>
    <w:rsid w:val="73AD73D5"/>
    <w:rsid w:val="73B6EB34"/>
    <w:rsid w:val="73FA497D"/>
    <w:rsid w:val="74436FAC"/>
    <w:rsid w:val="744731E5"/>
    <w:rsid w:val="74BBD01D"/>
    <w:rsid w:val="74ED5379"/>
    <w:rsid w:val="75DEEEC2"/>
    <w:rsid w:val="767F479D"/>
    <w:rsid w:val="76E3355F"/>
    <w:rsid w:val="76F742AF"/>
    <w:rsid w:val="76F7BE7D"/>
    <w:rsid w:val="76FF5125"/>
    <w:rsid w:val="773570D3"/>
    <w:rsid w:val="77597F31"/>
    <w:rsid w:val="776F6FFA"/>
    <w:rsid w:val="7777A522"/>
    <w:rsid w:val="77858688"/>
    <w:rsid w:val="778769C8"/>
    <w:rsid w:val="77CB741A"/>
    <w:rsid w:val="77D7BE3A"/>
    <w:rsid w:val="77DC22F5"/>
    <w:rsid w:val="797E3A6C"/>
    <w:rsid w:val="79CF70E2"/>
    <w:rsid w:val="79D7FD79"/>
    <w:rsid w:val="79E75806"/>
    <w:rsid w:val="79EE5BA4"/>
    <w:rsid w:val="7A641148"/>
    <w:rsid w:val="7A6F8BF5"/>
    <w:rsid w:val="7A894339"/>
    <w:rsid w:val="7ACF82B5"/>
    <w:rsid w:val="7AFF28C9"/>
    <w:rsid w:val="7AFF72A0"/>
    <w:rsid w:val="7AFF7572"/>
    <w:rsid w:val="7B6C7DFB"/>
    <w:rsid w:val="7B7D76A7"/>
    <w:rsid w:val="7BAE2FE2"/>
    <w:rsid w:val="7BAF6951"/>
    <w:rsid w:val="7BBC1128"/>
    <w:rsid w:val="7BBFBED0"/>
    <w:rsid w:val="7BC3E394"/>
    <w:rsid w:val="7BF3FE4C"/>
    <w:rsid w:val="7BFB5035"/>
    <w:rsid w:val="7BFDE17E"/>
    <w:rsid w:val="7CBFC87B"/>
    <w:rsid w:val="7CFE0F48"/>
    <w:rsid w:val="7D3DE31C"/>
    <w:rsid w:val="7D7EC23E"/>
    <w:rsid w:val="7D7F8A13"/>
    <w:rsid w:val="7DBBCB01"/>
    <w:rsid w:val="7DC765D0"/>
    <w:rsid w:val="7DDB0EE0"/>
    <w:rsid w:val="7DFF51D8"/>
    <w:rsid w:val="7E634199"/>
    <w:rsid w:val="7E8ADEBF"/>
    <w:rsid w:val="7EEF11D3"/>
    <w:rsid w:val="7EF78C20"/>
    <w:rsid w:val="7F3F679B"/>
    <w:rsid w:val="7F4FC4EF"/>
    <w:rsid w:val="7F5E4D54"/>
    <w:rsid w:val="7F6B75FA"/>
    <w:rsid w:val="7F9F518D"/>
    <w:rsid w:val="7FA30C79"/>
    <w:rsid w:val="7FAF8ABF"/>
    <w:rsid w:val="7FB7269E"/>
    <w:rsid w:val="7FBD6753"/>
    <w:rsid w:val="7FBFABB4"/>
    <w:rsid w:val="7FC65084"/>
    <w:rsid w:val="7FC96657"/>
    <w:rsid w:val="7FD72595"/>
    <w:rsid w:val="7FDA9588"/>
    <w:rsid w:val="7FDF220F"/>
    <w:rsid w:val="7FDF4542"/>
    <w:rsid w:val="7FDF5405"/>
    <w:rsid w:val="7FEDC251"/>
    <w:rsid w:val="7FEDC5F7"/>
    <w:rsid w:val="7FEDD9DE"/>
    <w:rsid w:val="7FEFCDB9"/>
    <w:rsid w:val="7FF5890D"/>
    <w:rsid w:val="7FF5EB09"/>
    <w:rsid w:val="7FF89B92"/>
    <w:rsid w:val="7FF8F2E7"/>
    <w:rsid w:val="7FF93490"/>
    <w:rsid w:val="7FFA6237"/>
    <w:rsid w:val="7FFB5275"/>
    <w:rsid w:val="7FFD14DE"/>
    <w:rsid w:val="7FFFF783"/>
    <w:rsid w:val="93F70A9E"/>
    <w:rsid w:val="997D060E"/>
    <w:rsid w:val="99FF2014"/>
    <w:rsid w:val="9E59F895"/>
    <w:rsid w:val="9E7DEDC1"/>
    <w:rsid w:val="9EEF2B0D"/>
    <w:rsid w:val="9FF6F2A6"/>
    <w:rsid w:val="9FFE4AD9"/>
    <w:rsid w:val="9FFF61B9"/>
    <w:rsid w:val="A6DD0D7F"/>
    <w:rsid w:val="A7955197"/>
    <w:rsid w:val="A7FE5E0E"/>
    <w:rsid w:val="ADC6F725"/>
    <w:rsid w:val="AF0FFA84"/>
    <w:rsid w:val="AF9F0A5E"/>
    <w:rsid w:val="AFEF7964"/>
    <w:rsid w:val="B27A6F28"/>
    <w:rsid w:val="B35F0D5A"/>
    <w:rsid w:val="B3F7F693"/>
    <w:rsid w:val="B3FBBB6C"/>
    <w:rsid w:val="B5FFE407"/>
    <w:rsid w:val="B7CF06AB"/>
    <w:rsid w:val="B7CFA926"/>
    <w:rsid w:val="B7F8786B"/>
    <w:rsid w:val="B9EF5647"/>
    <w:rsid w:val="BABB6AA1"/>
    <w:rsid w:val="BAFCD398"/>
    <w:rsid w:val="BAFFDA0F"/>
    <w:rsid w:val="BB2F4199"/>
    <w:rsid w:val="BBFBD24E"/>
    <w:rsid w:val="BD079C78"/>
    <w:rsid w:val="BD2DD278"/>
    <w:rsid w:val="BD733540"/>
    <w:rsid w:val="BDF7970E"/>
    <w:rsid w:val="BDFE68BD"/>
    <w:rsid w:val="BE6FC990"/>
    <w:rsid w:val="BEBE9537"/>
    <w:rsid w:val="BEFF0D62"/>
    <w:rsid w:val="BEFF90EF"/>
    <w:rsid w:val="BF3735D5"/>
    <w:rsid w:val="BF7F09AC"/>
    <w:rsid w:val="BFB3380D"/>
    <w:rsid w:val="BFB7E7A2"/>
    <w:rsid w:val="BFC2F103"/>
    <w:rsid w:val="BFD475C3"/>
    <w:rsid w:val="BFDE5EA6"/>
    <w:rsid w:val="BFEF99E9"/>
    <w:rsid w:val="BFF9E564"/>
    <w:rsid w:val="BFFF3A69"/>
    <w:rsid w:val="C7BFEF9C"/>
    <w:rsid w:val="C8BD8F25"/>
    <w:rsid w:val="C94DA72E"/>
    <w:rsid w:val="CBEEAA00"/>
    <w:rsid w:val="CC7E9ECE"/>
    <w:rsid w:val="CDBFF9FF"/>
    <w:rsid w:val="CDF78664"/>
    <w:rsid w:val="CE3FF57E"/>
    <w:rsid w:val="CF3AB4AC"/>
    <w:rsid w:val="CF6FC6F3"/>
    <w:rsid w:val="CFD3D3D7"/>
    <w:rsid w:val="CFDF1009"/>
    <w:rsid w:val="D6B7E4F6"/>
    <w:rsid w:val="D6CB2739"/>
    <w:rsid w:val="D776A8DB"/>
    <w:rsid w:val="D7B6B268"/>
    <w:rsid w:val="D7D7B16A"/>
    <w:rsid w:val="D7EF2E2A"/>
    <w:rsid w:val="D8D6DB89"/>
    <w:rsid w:val="DB6F4CAB"/>
    <w:rsid w:val="DB777682"/>
    <w:rsid w:val="DBDDA52A"/>
    <w:rsid w:val="DCFFC0D1"/>
    <w:rsid w:val="DD1FB521"/>
    <w:rsid w:val="DDCB2E5E"/>
    <w:rsid w:val="DDFE75CA"/>
    <w:rsid w:val="DEFBBE33"/>
    <w:rsid w:val="DEFBFEAE"/>
    <w:rsid w:val="DF1F3B80"/>
    <w:rsid w:val="DF6F9789"/>
    <w:rsid w:val="DF9B8D55"/>
    <w:rsid w:val="DF9D198A"/>
    <w:rsid w:val="DFDF1D8E"/>
    <w:rsid w:val="DFEFC58B"/>
    <w:rsid w:val="DFF5F241"/>
    <w:rsid w:val="DFFFA9E8"/>
    <w:rsid w:val="E37D5D3F"/>
    <w:rsid w:val="E3FFE98D"/>
    <w:rsid w:val="E5F4E9DC"/>
    <w:rsid w:val="E67FF583"/>
    <w:rsid w:val="E70FE695"/>
    <w:rsid w:val="E7676621"/>
    <w:rsid w:val="E76B2B9A"/>
    <w:rsid w:val="E7AB7A34"/>
    <w:rsid w:val="E7DF1E20"/>
    <w:rsid w:val="E7FF6381"/>
    <w:rsid w:val="E9A30291"/>
    <w:rsid w:val="EBBF924C"/>
    <w:rsid w:val="ECFED1BC"/>
    <w:rsid w:val="ED1D69BB"/>
    <w:rsid w:val="ED2C2584"/>
    <w:rsid w:val="ED7FD312"/>
    <w:rsid w:val="EDBE03E0"/>
    <w:rsid w:val="EDD1A84A"/>
    <w:rsid w:val="EDFF8263"/>
    <w:rsid w:val="EE1FA0C7"/>
    <w:rsid w:val="EF53993F"/>
    <w:rsid w:val="EF7B8152"/>
    <w:rsid w:val="EF8E27E2"/>
    <w:rsid w:val="EFBFB2F4"/>
    <w:rsid w:val="EFBFFA21"/>
    <w:rsid w:val="EFDF4337"/>
    <w:rsid w:val="EFF7097E"/>
    <w:rsid w:val="F2BEBCB8"/>
    <w:rsid w:val="F36FB518"/>
    <w:rsid w:val="F3DE1A04"/>
    <w:rsid w:val="F3E244FA"/>
    <w:rsid w:val="F3EFB7CA"/>
    <w:rsid w:val="F3F722E5"/>
    <w:rsid w:val="F699BB1A"/>
    <w:rsid w:val="F6DEABFE"/>
    <w:rsid w:val="F7B650C7"/>
    <w:rsid w:val="F7EF9033"/>
    <w:rsid w:val="F7FDC2B1"/>
    <w:rsid w:val="F8DDDAC6"/>
    <w:rsid w:val="F96B55C8"/>
    <w:rsid w:val="FA2F5BEB"/>
    <w:rsid w:val="FA5F1E70"/>
    <w:rsid w:val="FA5FDB97"/>
    <w:rsid w:val="FB1BB959"/>
    <w:rsid w:val="FB75E3C8"/>
    <w:rsid w:val="FB7F461B"/>
    <w:rsid w:val="FB7F486A"/>
    <w:rsid w:val="FB7F6E28"/>
    <w:rsid w:val="FB8778F4"/>
    <w:rsid w:val="FBB61866"/>
    <w:rsid w:val="FBEE055A"/>
    <w:rsid w:val="FBF91527"/>
    <w:rsid w:val="FBFD1260"/>
    <w:rsid w:val="FBFF5B2E"/>
    <w:rsid w:val="FC833EBB"/>
    <w:rsid w:val="FCFE0B49"/>
    <w:rsid w:val="FD4B388D"/>
    <w:rsid w:val="FD77A83C"/>
    <w:rsid w:val="FD7FFE2B"/>
    <w:rsid w:val="FDADA43D"/>
    <w:rsid w:val="FDBDC432"/>
    <w:rsid w:val="FDEB412A"/>
    <w:rsid w:val="FDEE196B"/>
    <w:rsid w:val="FDEF50BC"/>
    <w:rsid w:val="FDFD5EC3"/>
    <w:rsid w:val="FDFE6575"/>
    <w:rsid w:val="FE9E11AB"/>
    <w:rsid w:val="FEBF38CD"/>
    <w:rsid w:val="FEDFDDC2"/>
    <w:rsid w:val="FEEB4E4D"/>
    <w:rsid w:val="FEED32F6"/>
    <w:rsid w:val="FEF781DD"/>
    <w:rsid w:val="FEF9D8C4"/>
    <w:rsid w:val="FF3F7E3F"/>
    <w:rsid w:val="FF3FF759"/>
    <w:rsid w:val="FF4749A3"/>
    <w:rsid w:val="FF4D3A28"/>
    <w:rsid w:val="FF5913BC"/>
    <w:rsid w:val="FF7F1E7E"/>
    <w:rsid w:val="FF9BAA5C"/>
    <w:rsid w:val="FFA57884"/>
    <w:rsid w:val="FFB513DD"/>
    <w:rsid w:val="FFBA12D7"/>
    <w:rsid w:val="FFBFE8C6"/>
    <w:rsid w:val="FFCF2925"/>
    <w:rsid w:val="FFD33B6C"/>
    <w:rsid w:val="FFDAD824"/>
    <w:rsid w:val="FFDE4064"/>
    <w:rsid w:val="FFDEA9D8"/>
    <w:rsid w:val="FFDF2DEC"/>
    <w:rsid w:val="FFDF624E"/>
    <w:rsid w:val="FFDF6BC0"/>
    <w:rsid w:val="FFDFFAEE"/>
    <w:rsid w:val="FFE3BA41"/>
    <w:rsid w:val="FFE3BED4"/>
    <w:rsid w:val="FFF316C1"/>
    <w:rsid w:val="FFF63ECC"/>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6">
    <w:name w:val="Body Text"/>
    <w:basedOn w:val="1"/>
    <w:link w:val="25"/>
    <w:qFormat/>
    <w:uiPriority w:val="99"/>
    <w:pPr>
      <w:spacing w:beforeLines="30"/>
    </w:pPr>
    <w:rPr>
      <w:rFonts w:ascii="仿宋_GB2312" w:eastAsia="仿宋_GB2312"/>
      <w:kern w:val="0"/>
      <w:sz w:val="30"/>
    </w:rPr>
  </w:style>
  <w:style w:type="paragraph" w:styleId="7">
    <w:name w:val="Body Text Indent"/>
    <w:basedOn w:val="1"/>
    <w:qFormat/>
    <w:uiPriority w:val="0"/>
    <w:pPr>
      <w:spacing w:after="120"/>
      <w:ind w:left="200" w:leftChars="200"/>
    </w:pPr>
    <w:rPr>
      <w:rFonts w:ascii="仿宋_GB2312"/>
      <w:szCs w:val="32"/>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1"/>
    <w:semiHidden/>
    <w:unhideWhenUsed/>
    <w:qFormat/>
    <w:uiPriority w:val="99"/>
    <w:rPr>
      <w:sz w:val="18"/>
      <w:szCs w:val="18"/>
    </w:rPr>
  </w:style>
  <w:style w:type="paragraph" w:styleId="10">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unhideWhenUsed/>
    <w:qFormat/>
    <w:uiPriority w:val="99"/>
    <w:pPr>
      <w:spacing w:before="100" w:beforeAutospacing="1" w:after="100" w:afterAutospacing="1"/>
    </w:pPr>
  </w:style>
  <w:style w:type="paragraph" w:styleId="15">
    <w:name w:val="Body Text First Indent 2"/>
    <w:basedOn w:val="7"/>
    <w:unhideWhenUsed/>
    <w:qFormat/>
    <w:uiPriority w:val="99"/>
    <w:pPr>
      <w:ind w:firstLine="420" w:firstLineChars="200"/>
    </w:p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character" w:customStyle="1" w:styleId="20">
    <w:name w:val="Header Char"/>
    <w:basedOn w:val="17"/>
    <w:semiHidden/>
    <w:qFormat/>
    <w:uiPriority w:val="99"/>
    <w:rPr>
      <w:rFonts w:ascii="Times New Roman" w:hAnsi="Times New Roman"/>
      <w:sz w:val="18"/>
      <w:szCs w:val="18"/>
    </w:rPr>
  </w:style>
  <w:style w:type="character" w:customStyle="1" w:styleId="21">
    <w:name w:val="页眉 字符"/>
    <w:link w:val="11"/>
    <w:semiHidden/>
    <w:qFormat/>
    <w:locked/>
    <w:uiPriority w:val="99"/>
    <w:rPr>
      <w:sz w:val="18"/>
    </w:rPr>
  </w:style>
  <w:style w:type="character" w:customStyle="1" w:styleId="22">
    <w:name w:val="Footer Char"/>
    <w:basedOn w:val="17"/>
    <w:semiHidden/>
    <w:qFormat/>
    <w:uiPriority w:val="99"/>
    <w:rPr>
      <w:rFonts w:ascii="Times New Roman" w:hAnsi="Times New Roman"/>
      <w:sz w:val="18"/>
      <w:szCs w:val="18"/>
    </w:rPr>
  </w:style>
  <w:style w:type="character" w:customStyle="1" w:styleId="23">
    <w:name w:val="页脚 字符"/>
    <w:link w:val="10"/>
    <w:qFormat/>
    <w:locked/>
    <w:uiPriority w:val="99"/>
    <w:rPr>
      <w:sz w:val="18"/>
    </w:rPr>
  </w:style>
  <w:style w:type="character" w:customStyle="1" w:styleId="24">
    <w:name w:val="Body Text Char"/>
    <w:basedOn w:val="17"/>
    <w:semiHidden/>
    <w:qFormat/>
    <w:uiPriority w:val="99"/>
    <w:rPr>
      <w:rFonts w:ascii="Times New Roman" w:hAnsi="Times New Roman"/>
      <w:szCs w:val="24"/>
    </w:rPr>
  </w:style>
  <w:style w:type="character" w:customStyle="1" w:styleId="25">
    <w:name w:val="正文文本 字符"/>
    <w:link w:val="6"/>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字符"/>
    <w:basedOn w:val="17"/>
    <w:link w:val="3"/>
    <w:qFormat/>
    <w:uiPriority w:val="9"/>
    <w:rPr>
      <w:rFonts w:ascii="Times New Roman" w:hAnsi="Times New Roman"/>
      <w:b/>
      <w:bCs/>
      <w:kern w:val="44"/>
      <w:sz w:val="44"/>
      <w:szCs w:val="44"/>
    </w:rPr>
  </w:style>
  <w:style w:type="character" w:customStyle="1" w:styleId="29">
    <w:name w:val="标题 2 字符"/>
    <w:basedOn w:val="17"/>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字符"/>
    <w:basedOn w:val="17"/>
    <w:link w:val="9"/>
    <w:semiHidden/>
    <w:qFormat/>
    <w:uiPriority w:val="99"/>
    <w:rPr>
      <w:rFonts w:ascii="Times New Roman" w:hAnsi="Times New Roman"/>
      <w:kern w:val="2"/>
      <w:sz w:val="18"/>
      <w:szCs w:val="18"/>
    </w:rPr>
  </w:style>
  <w:style w:type="character" w:customStyle="1" w:styleId="32">
    <w:name w:val="标题 3 字符"/>
    <w:basedOn w:val="17"/>
    <w:link w:val="5"/>
    <w:qFormat/>
    <w:uiPriority w:val="9"/>
    <w:rPr>
      <w:rFonts w:ascii="Times New Roman" w:hAnsi="Times New Roman"/>
      <w:b/>
      <w:bCs/>
      <w:kern w:val="2"/>
      <w:sz w:val="32"/>
      <w:szCs w:val="32"/>
    </w:rPr>
  </w:style>
  <w:style w:type="paragraph" w:customStyle="1" w:styleId="33">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6.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收支总计对比图     单位：万元</a:t>
            </a:r>
          </a:p>
        </c:rich>
      </c:tx>
      <c:layout>
        <c:manualLayout>
          <c:xMode val="edge"/>
          <c:yMode val="edge"/>
          <c:x val="0.309712988487109"/>
          <c:y val="0.00825763831544178"/>
        </c:manualLayout>
      </c:layout>
      <c:overlay val="0"/>
      <c:spPr>
        <a:noFill/>
        <a:ln>
          <a:noFill/>
        </a:ln>
        <a:effectLst/>
      </c:spPr>
    </c:title>
    <c:autoTitleDeleted val="0"/>
    <c:plotArea>
      <c:layout>
        <c:manualLayout>
          <c:layoutTarget val="inner"/>
          <c:xMode val="edge"/>
          <c:yMode val="edge"/>
          <c:x val="0.0993402378780919"/>
          <c:y val="0.181830476174692"/>
          <c:w val="0.880573895378365"/>
          <c:h val="0.682259488084731"/>
        </c:manualLayout>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单位:万元</c:v>
                </c:pt>
              </c:strCache>
            </c:strRef>
          </c:cat>
          <c:val>
            <c:numRef>
              <c:f>Sheet1!$B$2</c:f>
              <c:numCache>
                <c:formatCode>General</c:formatCode>
                <c:ptCount val="1"/>
                <c:pt idx="0">
                  <c:v>13522.38</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单位:万元</c:v>
                </c:pt>
              </c:strCache>
            </c:strRef>
          </c:cat>
          <c:val>
            <c:numRef>
              <c:f>Sheet1!$C$2</c:f>
              <c:numCache>
                <c:formatCode>General</c:formatCode>
                <c:ptCount val="1"/>
                <c:pt idx="0">
                  <c:v>41845.18</c:v>
                </c:pt>
              </c:numCache>
            </c:numRef>
          </c:val>
        </c:ser>
        <c:dLbls>
          <c:showLegendKey val="0"/>
          <c:showVal val="0"/>
          <c:showCatName val="0"/>
          <c:showSerName val="0"/>
          <c:showPercent val="0"/>
          <c:showBubbleSize val="0"/>
        </c:dLbls>
        <c:gapWidth val="219"/>
        <c:overlap val="-27"/>
        <c:axId val="777945126"/>
        <c:axId val="726580040"/>
      </c:barChart>
      <c:catAx>
        <c:axId val="777945126"/>
        <c:scaling>
          <c:orientation val="minMax"/>
        </c:scaling>
        <c:delete val="1"/>
        <c:axPos val="b"/>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26580040"/>
        <c:crosses val="autoZero"/>
        <c:auto val="1"/>
        <c:lblAlgn val="ctr"/>
        <c:lblOffset val="100"/>
        <c:noMultiLvlLbl val="0"/>
      </c:catAx>
      <c:valAx>
        <c:axId val="726580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77945126"/>
        <c:crosses val="autoZero"/>
        <c:crossBetween val="between"/>
      </c:valAx>
      <c:spPr>
        <a:noFill/>
        <a:ln>
          <a:noFill/>
        </a:ln>
        <a:effectLst/>
      </c:spPr>
    </c:plotArea>
    <c:legend>
      <c:legendPos val="b"/>
      <c:layout>
        <c:manualLayout>
          <c:xMode val="edge"/>
          <c:yMode val="edge"/>
          <c:x val="0.396076688674454"/>
          <c:y val="0.887529912257378"/>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0e9c459-087e-4fad-a23c-476a76eb304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支出对比图      单位：万元</a:t>
            </a:r>
          </a:p>
        </c:rich>
      </c:tx>
      <c:layout>
        <c:manualLayout>
          <c:xMode val="edge"/>
          <c:yMode val="edge"/>
          <c:x val="0.356747897097995"/>
          <c:y val="0.0371942500414164"/>
        </c:manualLayout>
      </c:layout>
      <c:overlay val="0"/>
      <c:spPr>
        <a:noFill/>
        <a:ln>
          <a:noFill/>
        </a:ln>
        <a:effectLst/>
      </c:spPr>
    </c:title>
    <c:autoTitleDeleted val="0"/>
    <c:plotArea>
      <c:layout/>
      <c:pieChart>
        <c:varyColors val="1"/>
        <c:ser>
          <c:idx val="0"/>
          <c:order val="0"/>
          <c:tx>
            <c:strRef>
              <c:f>Sheet1!$B$1</c:f>
              <c:strCache>
                <c:ptCount val="1"/>
                <c:pt idx="0">
                  <c:v>支出对比图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政府性基金预算财政拨款收入</c:v>
                </c:pt>
                <c:pt idx="1">
                  <c:v>一般公共预算财政拨款收入</c:v>
                </c:pt>
              </c:strCache>
            </c:strRef>
          </c:cat>
          <c:val>
            <c:numRef>
              <c:f>Sheet1!$B$2:$B$3</c:f>
              <c:numCache>
                <c:formatCode>General</c:formatCode>
                <c:ptCount val="2"/>
                <c:pt idx="0">
                  <c:v>20434.28</c:v>
                </c:pt>
                <c:pt idx="1" c:formatCode="#,##0.00">
                  <c:v>21410.9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79d4811-fb08-4141-a10f-5df4b480c0f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支出对比图      单位：万元</a:t>
            </a:r>
          </a:p>
        </c:rich>
      </c:tx>
      <c:layout>
        <c:manualLayout>
          <c:xMode val="edge"/>
          <c:yMode val="edge"/>
          <c:x val="0.356747897097995"/>
          <c:y val="0.0371942500414164"/>
        </c:manualLayout>
      </c:layout>
      <c:overlay val="0"/>
      <c:spPr>
        <a:noFill/>
        <a:ln>
          <a:noFill/>
        </a:ln>
        <a:effectLst/>
      </c:spPr>
    </c:title>
    <c:autoTitleDeleted val="0"/>
    <c:plotArea>
      <c:layout/>
      <c:pieChart>
        <c:varyColors val="1"/>
        <c:ser>
          <c:idx val="0"/>
          <c:order val="0"/>
          <c:tx>
            <c:strRef>
              <c:f>Sheet1!$B$1</c:f>
              <c:strCache>
                <c:ptCount val="1"/>
                <c:pt idx="0">
                  <c:v>支出对比图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#,##0.00</c:formatCode>
                <c:ptCount val="2"/>
                <c:pt idx="0">
                  <c:v>1008.44</c:v>
                </c:pt>
                <c:pt idx="1">
                  <c:v>40836.74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dc62995-a31c-49af-8042-1ad86f17121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  财政拨款收、支对比图          单位：万元</a:t>
            </a:r>
          </a:p>
        </c:rich>
      </c:tx>
      <c:layout>
        <c:manualLayout>
          <c:xMode val="edge"/>
          <c:yMode val="edge"/>
          <c:x val="0.219598702630051"/>
          <c:y val="0.0210298691125515"/>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收支总计对比图</c:v>
                </c:pt>
              </c:strCache>
            </c:strRef>
          </c:tx>
          <c:spPr>
            <a:solidFill>
              <a:schemeClr val="accent1"/>
            </a:solidFill>
            <a:ln>
              <a:noFill/>
            </a:ln>
            <a:effectLst/>
          </c:spPr>
          <c:invertIfNegative val="0"/>
          <c:dPt>
            <c:idx val="1"/>
            <c:invertIfNegative val="0"/>
            <c:bubble3D val="0"/>
            <c:spPr>
              <a:solidFill>
                <a:srgbClr val="C00000"/>
              </a:solidFill>
              <a:ln>
                <a:no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2025年财政拨款收、支总计</c:v>
                </c:pt>
                <c:pt idx="1">
                  <c:v>2024年财政拨款收、支总计</c:v>
                </c:pt>
              </c:strCache>
            </c:strRef>
          </c:cat>
          <c:val>
            <c:numRef>
              <c:f>Sheet1!$B$2:$B$3</c:f>
              <c:numCache>
                <c:formatCode>#,##0.00</c:formatCode>
                <c:ptCount val="2"/>
                <c:pt idx="0">
                  <c:v>41845.18</c:v>
                </c:pt>
                <c:pt idx="1" c:formatCode="General">
                  <c:v>13522.38</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2025年财政拨款收、支总计</c:v>
                </c:pt>
                <c:pt idx="1">
                  <c:v>2024年财政拨款收、支总计</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2025年财政拨款收、支总计</c:v>
                </c:pt>
                <c:pt idx="1">
                  <c:v>2024年财政拨款收、支总计</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35362656"/>
        <c:axId val="712434907"/>
      </c:barChart>
      <c:catAx>
        <c:axId val="353626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12434907"/>
        <c:crosses val="autoZero"/>
        <c:auto val="1"/>
        <c:lblAlgn val="ctr"/>
        <c:lblOffset val="100"/>
        <c:noMultiLvlLbl val="0"/>
      </c:catAx>
      <c:valAx>
        <c:axId val="71243490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5362656"/>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88b5585-751e-4d46-a2d4-df466d6a95c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一般公共预算对比图       单位：万元     </a:t>
            </a:r>
          </a:p>
        </c:rich>
      </c:tx>
      <c:layout>
        <c:manualLayout>
          <c:xMode val="edge"/>
          <c:yMode val="edge"/>
          <c:x val="0.215755586415857"/>
          <c:y val="0.0250417362270451"/>
        </c:manualLayout>
      </c:layout>
      <c:overlay val="0"/>
      <c:spPr>
        <a:noFill/>
        <a:ln>
          <a:noFill/>
        </a:ln>
        <a:effectLst/>
      </c:spPr>
    </c:title>
    <c:autoTitleDeleted val="0"/>
    <c:plotArea>
      <c:layout>
        <c:manualLayout>
          <c:layoutTarget val="inner"/>
          <c:xMode val="edge"/>
          <c:yMode val="edge"/>
          <c:x val="0.144757182441301"/>
          <c:y val="0.179554704333254"/>
          <c:w val="0.823158815808663"/>
          <c:h val="0.592626286808714"/>
        </c:manualLayout>
      </c:layout>
      <c:barChart>
        <c:barDir val="col"/>
        <c:grouping val="clustered"/>
        <c:varyColors val="0"/>
        <c:ser>
          <c:idx val="0"/>
          <c:order val="0"/>
          <c:tx>
            <c:strRef>
              <c:f>Sheet1!$B$1</c:f>
              <c:strCache>
                <c:ptCount val="1"/>
                <c:pt idx="0">
                  <c:v>一般公共预算财政拨款支出对比表</c:v>
                </c:pt>
              </c:strCache>
            </c:strRef>
          </c:tx>
          <c:spPr>
            <a:solidFill>
              <a:schemeClr val="accent1"/>
            </a:solidFill>
            <a:ln>
              <a:noFill/>
            </a:ln>
            <a:effectLst/>
          </c:spPr>
          <c:invertIfNegative val="0"/>
          <c:dPt>
            <c:idx val="0"/>
            <c:invertIfNegative val="0"/>
            <c:bubble3D val="0"/>
            <c:spPr>
              <a:solidFill>
                <a:schemeClr val="accent1"/>
              </a:solidFill>
              <a:ln>
                <a:noFill/>
              </a:ln>
              <a:effectLst/>
            </c:spPr>
          </c:dPt>
          <c:dPt>
            <c:idx val="1"/>
            <c:invertIfNegative val="0"/>
            <c:bubble3D val="0"/>
            <c:spPr>
              <a:gradFill>
                <a:gsLst>
                  <a:gs pos="0">
                    <a:srgbClr val="A73737"/>
                  </a:gs>
                  <a:gs pos="75000">
                    <a:srgbClr val="872C2C">
                      <a:lumMod val="95000"/>
                      <a:lumOff val="5000"/>
                    </a:srgbClr>
                  </a:gs>
                </a:gsLst>
                <a:lin scaled="1"/>
              </a:gradFill>
              <a:ln>
                <a:solidFill>
                  <a:srgbClr val="0000FF"/>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2024年一般公共预算财政拨款支出</c:v>
                </c:pt>
                <c:pt idx="1">
                  <c:v>2025年一般公共预算财政拨款支出</c:v>
                </c:pt>
              </c:strCache>
            </c:strRef>
          </c:cat>
          <c:val>
            <c:numRef>
              <c:f>Sheet1!$B$2:$B$3</c:f>
              <c:numCache>
                <c:formatCode>#,##0.00</c:formatCode>
                <c:ptCount val="2"/>
                <c:pt idx="0">
                  <c:v>13522.38</c:v>
                </c:pt>
                <c:pt idx="1" c:formatCode="General">
                  <c:v>21410.9</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2024年一般公共预算财政拨款支出</c:v>
                </c:pt>
                <c:pt idx="1">
                  <c:v>2025年一般公共预算财政拨款支出</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2024年一般公共预算财政拨款支出</c:v>
                </c:pt>
                <c:pt idx="1">
                  <c:v>2025年一般公共预算财政拨款支出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106259973"/>
        <c:axId val="144060691"/>
      </c:barChart>
      <c:catAx>
        <c:axId val="10625997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44060691"/>
        <c:crosses val="autoZero"/>
        <c:auto val="1"/>
        <c:lblAlgn val="ctr"/>
        <c:lblOffset val="100"/>
        <c:noMultiLvlLbl val="0"/>
      </c:catAx>
      <c:valAx>
        <c:axId val="1440606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6259973"/>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e66c72d-e6c0-4051-aecc-890a3e39cd2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一般公共预算财政拨款支出对比图     单位：万元</a:t>
            </a:r>
          </a:p>
        </c:rich>
      </c:tx>
      <c:layout>
        <c:manualLayout>
          <c:xMode val="edge"/>
          <c:yMode val="edge"/>
          <c:x val="0.147732292678381"/>
          <c:y val="0.0120789858810895"/>
        </c:manualLayout>
      </c:layout>
      <c:overlay val="0"/>
      <c:spPr>
        <a:noFill/>
        <a:ln>
          <a:noFill/>
        </a:ln>
        <a:effectLst/>
      </c:spPr>
    </c:title>
    <c:autoTitleDeleted val="0"/>
    <c:plotArea>
      <c:layout/>
      <c:pieChart>
        <c:varyColors val="1"/>
        <c:ser>
          <c:idx val="0"/>
          <c:order val="0"/>
          <c:tx>
            <c:strRef>
              <c:f>Sheet1!$B$1</c:f>
              <c:strCache>
                <c:ptCount val="1"/>
                <c:pt idx="0">
                  <c:v>销售额</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dLbl>
              <c:idx val="0"/>
              <c:layout>
                <c:manualLayout>
                  <c:x val="0.00923264233610141"/>
                  <c:y val="-0.0291449458893815"/>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734958540034576"/>
                  <c:y val="0.000358497525844101"/>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869934067114711"/>
                  <c:y val="0.0434685204067189"/>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169724445689143"/>
                  <c:y val="-0.272181370671411"/>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0584477640167145"/>
                  <c:y val="-0.00444207791002094"/>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0.0920828258221681"/>
                      <c:h val="0.049237552820136"/>
                    </c:manualLayout>
                  </c15:layout>
                </c:ext>
              </c:extLst>
            </c:dLbl>
            <c:dLbl>
              <c:idx val="5"/>
              <c:layout>
                <c:manualLayout>
                  <c:x val="-0.0724342709693841"/>
                  <c:y val="-0.00158582073403029"/>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社会保障和就业（类）支出</c:v>
                </c:pt>
                <c:pt idx="1">
                  <c:v>卫生健康支出（类）</c:v>
                </c:pt>
                <c:pt idx="2">
                  <c:v>节能环保支出（类）</c:v>
                </c:pt>
                <c:pt idx="3">
                  <c:v>城乡社区支出（类）</c:v>
                </c:pt>
                <c:pt idx="4">
                  <c:v>农林水支出（类）</c:v>
                </c:pt>
                <c:pt idx="5">
                  <c:v>住房保障支出（类）</c:v>
                </c:pt>
                <c:pt idx="6">
                  <c:v>自然生态环保</c:v>
                </c:pt>
              </c:strCache>
            </c:strRef>
          </c:cat>
          <c:val>
            <c:numRef>
              <c:f>Sheet1!$B$2:$B$8</c:f>
              <c:numCache>
                <c:formatCode>General</c:formatCode>
                <c:ptCount val="7"/>
                <c:pt idx="0">
                  <c:v>136.08</c:v>
                </c:pt>
                <c:pt idx="1">
                  <c:v>57.79</c:v>
                </c:pt>
                <c:pt idx="2" c:formatCode="#,##0.00">
                  <c:v>708.04</c:v>
                </c:pt>
                <c:pt idx="3" c:formatCode="#,##0.00">
                  <c:v>19784.59</c:v>
                </c:pt>
                <c:pt idx="4" c:formatCode="#,##0.00">
                  <c:v>537.19</c:v>
                </c:pt>
                <c:pt idx="5">
                  <c:v>161.97</c:v>
                </c:pt>
                <c:pt idx="6">
                  <c:v>512.65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0836591086786552"/>
          <c:y val="0.768395879323032"/>
          <c:w val="0.869540935999106"/>
          <c:h val="0.171081677704194"/>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8262ef0-84d2-43f9-b344-cdc45f7a70b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四川省财政厅</Company>
  <Pages>19</Pages>
  <Words>5223</Words>
  <Characters>5718</Characters>
  <Lines>72</Lines>
  <Paragraphs>20</Paragraphs>
  <TotalTime>0</TotalTime>
  <ScaleCrop>false</ScaleCrop>
  <LinksUpToDate>false</LinksUpToDate>
  <CharactersWithSpaces>5740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2024-08-05T07:12:00Z</dcterms:created>
  <dc:creator>曹颖</dc:creator>
  <cp:lastModifiedBy>Bible</cp:lastModifiedBy>
  <cp:lastPrinted>2023-08-03T10:35:00Z</cp:lastPrinted>
  <dcterms:modified xsi:type="dcterms:W3CDTF">2026-10-08T09:04:34Z</dcterms:modified>
  <dc:title>四川省***</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D5472A5A36EB4E4F9D522C33CA00FFB5_13</vt:lpwstr>
  </property>
  <property fmtid="{D5CDD505-2E9C-101B-9397-08002B2CF9AE}" pid="4" name="KSOTemplateDocerSaveRecord">
    <vt:lpwstr>eyJoZGlkIjoiOWI4MWIxZmU4MTUzZDRkNGU4N2E5ZTI4ZjljODZmOWEiLCJ1c2VySWQiOiI0NjY2NzkwMjIifQ==</vt:lpwstr>
  </property>
</Properties>
</file>