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rPr>
          <w:rFonts w:hint="eastAsia" w:ascii="黑体" w:hAnsi="黑体" w:eastAsia="黑体" w:cs="黑体"/>
          <w:color w:val="auto"/>
          <w:kern w:val="2"/>
          <w:sz w:val="32"/>
          <w:szCs w:val="32"/>
          <w:highlight w:val="none"/>
          <w:lang w:val="en-US" w:eastAsia="zh-CN" w:bidi="ar-SA"/>
        </w:rPr>
      </w:pPr>
      <w:bookmarkStart w:id="0" w:name="_Toc15396597"/>
      <w:bookmarkStart w:id="1" w:name="_Toc15306267"/>
      <w:bookmarkStart w:id="2" w:name="_Toc15378441"/>
      <w:bookmarkStart w:id="3" w:name="_Toc15377193"/>
      <w:bookmarkStart w:id="4" w:name="_Toc15377425"/>
      <w:bookmarkStart w:id="5" w:name="_Toc15396475"/>
      <w:r>
        <w:rPr>
          <w:rFonts w:hint="eastAsia" w:ascii="黑体" w:hAnsi="黑体" w:eastAsia="黑体" w:cs="黑体"/>
          <w:color w:val="auto"/>
          <w:kern w:val="2"/>
          <w:sz w:val="32"/>
          <w:szCs w:val="32"/>
          <w:highlight w:val="none"/>
          <w:lang w:val="en-US" w:eastAsia="zh-CN" w:bidi="ar-SA"/>
        </w:rPr>
        <w:t>附件4</w:t>
      </w:r>
    </w:p>
    <w:p>
      <w:pPr>
        <w:pStyle w:val="7"/>
        <w:rPr>
          <w:rFonts w:hint="eastAsia" w:ascii="Times New Roman" w:hAnsi="Times New Roman" w:eastAsia="方正小标宋简体" w:cs="Times New Roman"/>
          <w:color w:val="auto"/>
          <w:kern w:val="2"/>
          <w:sz w:val="72"/>
          <w:szCs w:val="72"/>
          <w:highlight w:val="none"/>
          <w:lang w:val="en-US" w:eastAsia="zh-CN" w:bidi="ar-SA"/>
        </w:rPr>
      </w:pPr>
    </w:p>
    <w:p>
      <w:pPr>
        <w:pStyle w:val="7"/>
        <w:rPr>
          <w:rFonts w:hint="eastAsia" w:ascii="Times New Roman" w:hAnsi="Times New Roman" w:eastAsia="方正小标宋简体" w:cs="Times New Roman"/>
          <w:color w:val="auto"/>
          <w:kern w:val="2"/>
          <w:sz w:val="72"/>
          <w:szCs w:val="72"/>
          <w:highlight w:val="none"/>
          <w:lang w:val="en-US" w:eastAsia="zh-CN" w:bidi="ar-SA"/>
        </w:rPr>
      </w:pPr>
    </w:p>
    <w:p>
      <w:pPr>
        <w:pStyle w:val="7"/>
        <w:rPr>
          <w:rFonts w:hint="eastAsia" w:ascii="Times New Roman" w:hAnsi="Times New Roman" w:eastAsia="方正小标宋简体" w:cs="Times New Roman"/>
          <w:color w:val="auto"/>
          <w:kern w:val="2"/>
          <w:sz w:val="72"/>
          <w:szCs w:val="72"/>
          <w:highlight w:val="none"/>
          <w:lang w:val="en-US" w:eastAsia="zh-CN" w:bidi="ar-SA"/>
        </w:rPr>
      </w:pPr>
    </w:p>
    <w:p>
      <w:pPr>
        <w:pStyle w:val="7"/>
        <w:rPr>
          <w:rFonts w:hint="eastAsia" w:ascii="Times New Roman" w:hAnsi="Times New Roman" w:eastAsia="方正小标宋简体" w:cs="Times New Roman"/>
          <w:color w:val="auto"/>
          <w:kern w:val="2"/>
          <w:sz w:val="72"/>
          <w:szCs w:val="72"/>
          <w:highlight w:val="none"/>
          <w:lang w:val="en-US" w:eastAsia="zh-CN" w:bidi="ar-SA"/>
        </w:rPr>
      </w:pPr>
    </w:p>
    <w:p>
      <w:pPr>
        <w:adjustRightInd w:val="0"/>
        <w:snapToGrid w:val="0"/>
        <w:spacing w:line="360" w:lineRule="auto"/>
        <w:jc w:val="center"/>
        <w:outlineLvl w:val="0"/>
        <w:rPr>
          <w:rFonts w:hint="eastAsia" w:ascii="方正小标宋简体" w:hAnsi="方正小标宋简体" w:eastAsia="方正小标宋简体" w:cs="方正小标宋简体"/>
          <w:sz w:val="72"/>
          <w:szCs w:val="72"/>
          <w:lang w:val="en-US" w:eastAsia="zh-CN"/>
        </w:rPr>
      </w:pPr>
      <w:r>
        <w:rPr>
          <w:rFonts w:hint="eastAsia" w:ascii="方正小标宋简体" w:hAnsi="方正小标宋简体" w:eastAsia="方正小标宋简体" w:cs="方正小标宋简体"/>
          <w:sz w:val="72"/>
          <w:szCs w:val="72"/>
          <w:lang w:val="en-US" w:eastAsia="zh-CN"/>
        </w:rPr>
        <w:t>2025年度</w:t>
      </w:r>
    </w:p>
    <w:p>
      <w:pPr>
        <w:adjustRightInd w:val="0"/>
        <w:snapToGrid w:val="0"/>
        <w:spacing w:line="360" w:lineRule="auto"/>
        <w:jc w:val="center"/>
        <w:outlineLvl w:val="0"/>
        <w:rPr>
          <w:rFonts w:ascii="Times New Roman" w:hAnsi="Times New Roman"/>
        </w:rPr>
        <w:sectPr>
          <w:headerReference r:id="rId3" w:type="default"/>
          <w:footerReference r:id="rId4" w:type="default"/>
          <w:pgSz w:w="11906" w:h="16838"/>
          <w:pgMar w:top="1440" w:right="1800" w:bottom="1440" w:left="1800" w:header="851" w:footer="992" w:gutter="0"/>
          <w:pgNumType w:fmt="decimal" w:start="1"/>
          <w:cols w:space="425" w:num="1"/>
          <w:titlePg/>
          <w:docGrid w:type="lines" w:linePitch="312" w:charSpace="0"/>
        </w:sectPr>
      </w:pPr>
      <w:r>
        <w:rPr>
          <w:rFonts w:hint="eastAsia" w:ascii="方正小标宋简体" w:hAnsi="方正小标宋简体" w:eastAsia="方正小标宋简体" w:cs="方正小标宋简体"/>
          <w:sz w:val="72"/>
          <w:szCs w:val="72"/>
          <w:lang w:val="en-US" w:eastAsia="zh-CN"/>
        </w:rPr>
        <w:t>阿坝州红原县信访局部门决算公开</w:t>
      </w:r>
    </w:p>
    <w:bookmarkEnd w:id="0"/>
    <w:bookmarkEnd w:id="1"/>
    <w:bookmarkEnd w:id="2"/>
    <w:bookmarkEnd w:id="3"/>
    <w:bookmarkEnd w:id="4"/>
    <w:bookmarkEnd w:id="5"/>
    <w:p>
      <w:pPr>
        <w:widowControl/>
        <w:jc w:val="center"/>
        <w:rPr>
          <w:rFonts w:hint="eastAsia" w:ascii="Times New Roman" w:hAnsi="Times New Roman" w:eastAsia="黑体"/>
          <w:color w:val="auto"/>
          <w:sz w:val="48"/>
          <w:szCs w:val="48"/>
          <w:highlight w:val="none"/>
          <w:lang w:val="en-US" w:eastAsia="zh-CN"/>
        </w:rPr>
      </w:pPr>
      <w:r>
        <w:rPr>
          <w:rFonts w:hint="eastAsia" w:ascii="Times New Roman" w:hAnsi="Times New Roman" w:eastAsia="黑体"/>
          <w:color w:val="auto"/>
          <w:sz w:val="48"/>
          <w:szCs w:val="48"/>
          <w:highlight w:val="none"/>
        </w:rPr>
        <w:t>目录</w:t>
      </w:r>
    </w:p>
    <w:p>
      <w:pPr>
        <w:widowControl/>
        <w:jc w:val="center"/>
        <w:rPr>
          <w:rFonts w:ascii="Times New Roman" w:hAnsi="Times New Roman" w:eastAsia="黑体" w:cstheme="minorBidi"/>
          <w:color w:val="auto"/>
          <w:sz w:val="28"/>
          <w:szCs w:val="28"/>
          <w:highlight w:val="none"/>
        </w:rPr>
      </w:pPr>
    </w:p>
    <w:p>
      <w:pPr>
        <w:pStyle w:val="12"/>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公开时间：20</w:t>
      </w:r>
      <w:r>
        <w:rPr>
          <w:rFonts w:hint="eastAsia" w:ascii="Times New Roman" w:hAnsi="Times New Roman" w:eastAsia="仿宋_GB2312" w:cs="仿宋_GB2312"/>
          <w:color w:val="auto"/>
          <w:sz w:val="32"/>
          <w:szCs w:val="32"/>
          <w:highlight w:val="none"/>
          <w:lang w:val="en-US" w:eastAsia="zh-CN"/>
        </w:rPr>
        <w:t>26</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val="en-US" w:eastAsia="zh-CN"/>
        </w:rPr>
        <w:t xml:space="preserve">  </w:t>
      </w:r>
      <w:r>
        <w:rPr>
          <w:rFonts w:hint="eastAsia" w:ascii="Times New Roman" w:hAnsi="Times New Roman" w:eastAsia="仿宋_GB2312" w:cs="仿宋_GB2312"/>
          <w:color w:val="auto"/>
          <w:sz w:val="32"/>
          <w:szCs w:val="32"/>
          <w:highlight w:val="none"/>
        </w:rPr>
        <w:t>月</w:t>
      </w:r>
      <w:r>
        <w:rPr>
          <w:rFonts w:hint="eastAsia" w:ascii="Times New Roman" w:hAnsi="Times New Roman" w:eastAsia="仿宋_GB2312" w:cs="仿宋_GB2312"/>
          <w:color w:val="auto"/>
          <w:sz w:val="32"/>
          <w:szCs w:val="32"/>
          <w:highlight w:val="none"/>
          <w:lang w:val="en-US" w:eastAsia="zh-CN"/>
        </w:rPr>
        <w:t xml:space="preserve">  </w:t>
      </w:r>
      <w:r>
        <w:rPr>
          <w:rFonts w:hint="eastAsia" w:ascii="Times New Roman" w:hAnsi="Times New Roman" w:eastAsia="仿宋_GB2312" w:cs="仿宋_GB2312"/>
          <w:color w:val="auto"/>
          <w:sz w:val="32"/>
          <w:szCs w:val="32"/>
          <w:highlight w:val="none"/>
        </w:rPr>
        <w:t>日</w:t>
      </w:r>
    </w:p>
    <w:p>
      <w:pPr>
        <w:rPr>
          <w:rFonts w:ascii="Times New Roman" w:hAnsi="Times New Roman"/>
          <w:color w:val="auto"/>
          <w:highlight w:val="none"/>
        </w:rPr>
      </w:pPr>
    </w:p>
    <w:p>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第一部分 部门概况</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w:t>
      </w:r>
      <w:r>
        <w:rPr>
          <w:rFonts w:hint="eastAsia" w:ascii="Times New Roman" w:hAnsi="Times New Roman" w:eastAsia="仿宋_GB2312" w:cs="仿宋_GB2312"/>
          <w:color w:val="auto"/>
          <w:sz w:val="32"/>
          <w:szCs w:val="32"/>
          <w:highlight w:val="none"/>
          <w:lang w:eastAsia="zh-CN"/>
        </w:rPr>
        <w:t>部门职责</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二、机构设置</w:t>
      </w:r>
    </w:p>
    <w:p>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第二部分</w:t>
      </w:r>
      <w:r>
        <w:rPr>
          <w:rFonts w:hint="eastAsia" w:ascii="Times New Roman" w:hAnsi="Times New Roman" w:eastAsia="黑体" w:cs="黑体"/>
          <w:color w:val="auto"/>
          <w:sz w:val="32"/>
          <w:szCs w:val="32"/>
          <w:highlight w:val="none"/>
          <w:lang w:val="en-US" w:eastAsia="zh-CN"/>
        </w:rPr>
        <w:t xml:space="preserve"> 2025年度</w:t>
      </w:r>
      <w:r>
        <w:rPr>
          <w:rFonts w:hint="eastAsia" w:ascii="Times New Roman" w:hAnsi="Times New Roman" w:eastAsia="黑体" w:cs="黑体"/>
          <w:color w:val="auto"/>
          <w:sz w:val="32"/>
          <w:szCs w:val="32"/>
          <w:highlight w:val="none"/>
        </w:rPr>
        <w:t>部门决算情况说明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一、收入支出决算总体情况说明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二、收入决算情况说明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三、支出决算情况说明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四、财政拨款收入支出决算总体情况说明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五、一般公共预算财政拨款支出决算情况说明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六、一般公共预算财政拨款基本支出决算情况说明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七、财政拨款</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color w:val="auto"/>
          <w:sz w:val="32"/>
          <w:szCs w:val="32"/>
          <w:highlight w:val="none"/>
        </w:rPr>
        <w:t>三公”经费支出决算情况说明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八、政府性基金预算支出决算情况说明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九、</w:t>
      </w:r>
      <w:r>
        <w:rPr>
          <w:rFonts w:hint="eastAsia" w:ascii="Times New Roman" w:hAnsi="Times New Roman" w:eastAsia="仿宋_GB2312" w:cs="仿宋_GB2312"/>
          <w:color w:val="auto"/>
          <w:sz w:val="32"/>
          <w:szCs w:val="32"/>
          <w:highlight w:val="none"/>
          <w:lang w:eastAsia="zh-CN"/>
        </w:rPr>
        <w:t>国</w:t>
      </w:r>
      <w:r>
        <w:rPr>
          <w:rFonts w:hint="eastAsia" w:ascii="Times New Roman" w:hAnsi="Times New Roman" w:eastAsia="仿宋_GB2312" w:cs="仿宋_GB2312"/>
          <w:color w:val="auto"/>
          <w:sz w:val="32"/>
          <w:szCs w:val="32"/>
          <w:highlight w:val="none"/>
        </w:rPr>
        <w:t>有资本经营预算支出决算情况说明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lang w:eastAsia="zh-CN"/>
        </w:rPr>
        <w:t>十</w:t>
      </w:r>
      <w:r>
        <w:rPr>
          <w:rFonts w:hint="eastAsia" w:ascii="Times New Roman" w:hAnsi="Times New Roman" w:eastAsia="仿宋_GB2312" w:cs="仿宋_GB2312"/>
          <w:color w:val="auto"/>
          <w:sz w:val="32"/>
          <w:szCs w:val="32"/>
          <w:highlight w:val="none"/>
        </w:rPr>
        <w:t>、其他重要事项的情况说明</w:t>
      </w:r>
    </w:p>
    <w:p>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第三部分 名词解释</w:t>
      </w:r>
    </w:p>
    <w:p>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第四部分 附件</w:t>
      </w:r>
    </w:p>
    <w:p>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第五部分 附表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二、收入决算表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三、支出决算表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四、财政拨款收入支出决算总表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五、财政拨款支出决算明细表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七、一般公共预算财政拨款支出决算明细表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八、一般公共预算财政拨款基本支出决算</w:t>
      </w:r>
      <w:r>
        <w:rPr>
          <w:rFonts w:hint="eastAsia" w:ascii="Times New Roman" w:hAnsi="Times New Roman" w:eastAsia="仿宋_GB2312" w:cs="仿宋_GB2312"/>
          <w:color w:val="auto"/>
          <w:sz w:val="32"/>
          <w:szCs w:val="32"/>
          <w:highlight w:val="none"/>
          <w:lang w:eastAsia="zh-CN"/>
        </w:rPr>
        <w:t>明细</w:t>
      </w:r>
      <w:r>
        <w:rPr>
          <w:rFonts w:hint="eastAsia" w:ascii="Times New Roman" w:hAnsi="Times New Roman" w:eastAsia="仿宋_GB2312" w:cs="仿宋_GB2312"/>
          <w:color w:val="auto"/>
          <w:sz w:val="32"/>
          <w:szCs w:val="32"/>
          <w:highlight w:val="none"/>
        </w:rPr>
        <w:t>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九、一般公共预算财政拨款项目支出决算表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十、政府性基金预算财政拨款收入支出决算表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十一、国有资本经营预算财政拨款收入支出决算表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十二、</w:t>
      </w:r>
      <w:r>
        <w:rPr>
          <w:rFonts w:hint="eastAsia" w:ascii="Times New Roman" w:hAnsi="Times New Roman" w:eastAsia="仿宋_GB2312" w:cs="仿宋_GB2312"/>
          <w:color w:val="auto"/>
          <w:sz w:val="32"/>
          <w:szCs w:val="32"/>
          <w:highlight w:val="none"/>
          <w:lang w:val="en-US" w:eastAsia="zh-CN"/>
        </w:rPr>
        <w:t>国有资本经营预算财政拨款支出决算表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十三、财政拨款“三公”经费支出决算表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3" w:firstLineChars="200"/>
        <w:jc w:val="left"/>
        <w:textAlignment w:val="auto"/>
        <w:rPr>
          <w:rFonts w:hint="eastAsia" w:ascii="Times New Roman" w:hAnsi="Times New Roman" w:eastAsia="仿宋_GB2312" w:cs="仿宋_GB2312"/>
          <w:b/>
          <w:bCs/>
          <w:color w:val="auto"/>
          <w:sz w:val="32"/>
          <w:szCs w:val="32"/>
          <w:highlight w:val="none"/>
          <w:lang w:eastAsia="zh-CN"/>
        </w:rPr>
      </w:pPr>
      <w:r>
        <w:rPr>
          <w:rFonts w:hint="eastAsia" w:ascii="Times New Roman" w:hAnsi="Times New Roman" w:eastAsia="仿宋_GB2312" w:cs="仿宋_GB2312"/>
          <w:b/>
          <w:bCs/>
          <w:color w:val="auto"/>
          <w:sz w:val="32"/>
          <w:szCs w:val="32"/>
          <w:highlight w:val="none"/>
          <w:lang w:eastAsia="zh-CN"/>
        </w:rPr>
        <w:t>（</w:t>
      </w:r>
      <w:r>
        <w:rPr>
          <w:rFonts w:hint="eastAsia" w:ascii="Times New Roman" w:hAnsi="Times New Roman" w:eastAsia="仿宋_GB2312" w:cs="仿宋_GB2312"/>
          <w:b/>
          <w:bCs/>
          <w:color w:val="auto"/>
          <w:sz w:val="32"/>
          <w:szCs w:val="32"/>
          <w:highlight w:val="none"/>
        </w:rPr>
        <w:t>注：请部门根据实际注明页码</w:t>
      </w:r>
      <w:r>
        <w:rPr>
          <w:rFonts w:hint="eastAsia" w:ascii="Times New Roman" w:hAnsi="Times New Roman" w:eastAsia="仿宋_GB2312" w:cs="仿宋_GB2312"/>
          <w:b/>
          <w:bCs/>
          <w:color w:val="auto"/>
          <w:sz w:val="32"/>
          <w:szCs w:val="32"/>
          <w:highlight w:val="none"/>
          <w:lang w:eastAsia="zh-CN"/>
        </w:rPr>
        <w:t>）</w:t>
      </w:r>
    </w:p>
    <w:p>
      <w:pPr>
        <w:keepNext w:val="0"/>
        <w:keepLines w:val="0"/>
        <w:pageBreakBefore w:val="0"/>
        <w:widowControl/>
        <w:kinsoku/>
        <w:wordWrap/>
        <w:overflowPunct/>
        <w:topLinePunct w:val="0"/>
        <w:autoSpaceDE/>
        <w:autoSpaceDN/>
        <w:bidi w:val="0"/>
        <w:spacing w:line="560" w:lineRule="exact"/>
        <w:jc w:val="left"/>
        <w:textAlignment w:val="auto"/>
        <w:rPr>
          <w:rFonts w:hint="eastAsia" w:ascii="Times New Roman" w:hAnsi="Times New Roman" w:eastAsia="仿宋_GB2312" w:cs="仿宋_GB2312"/>
          <w:bCs/>
          <w:color w:val="auto"/>
          <w:kern w:val="44"/>
          <w:sz w:val="32"/>
          <w:szCs w:val="32"/>
          <w:highlight w:val="none"/>
        </w:rPr>
      </w:pPr>
      <w:bookmarkStart w:id="6" w:name="_Toc15377196"/>
      <w:bookmarkStart w:id="7" w:name="_Toc15396599"/>
      <w:r>
        <w:rPr>
          <w:rFonts w:hint="eastAsia" w:ascii="Times New Roman" w:hAnsi="Times New Roman" w:eastAsia="仿宋_GB2312" w:cs="仿宋_GB2312"/>
          <w:b/>
          <w:color w:val="auto"/>
          <w:sz w:val="32"/>
          <w:szCs w:val="32"/>
          <w:highlight w:val="none"/>
        </w:rPr>
        <w:br w:type="page"/>
      </w:r>
    </w:p>
    <w:p>
      <w:pPr>
        <w:pStyle w:val="4"/>
        <w:jc w:val="center"/>
        <w:rPr>
          <w:rStyle w:val="28"/>
          <w:rFonts w:hint="eastAsia" w:ascii="Times New Roman" w:hAnsi="Times New Roman" w:eastAsia="方正小标宋简体" w:cs="方正小标宋简体"/>
          <w:b/>
          <w:bCs w:val="0"/>
          <w:color w:val="auto"/>
          <w:highlight w:val="none"/>
        </w:rPr>
      </w:pPr>
      <w:r>
        <w:rPr>
          <w:rFonts w:hint="eastAsia" w:ascii="Times New Roman" w:hAnsi="Times New Roman" w:eastAsia="方正小标宋简体" w:cs="方正小标宋简体"/>
          <w:b w:val="0"/>
          <w:color w:val="auto"/>
          <w:highlight w:val="none"/>
        </w:rPr>
        <w:t>第一部分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Style w:val="28"/>
          <w:rFonts w:hint="eastAsia" w:ascii="Times New Roman" w:hAnsi="Times New Roman" w:eastAsia="方正小标宋简体" w:cs="方正小标宋简体"/>
          <w:b w:val="0"/>
          <w:bCs w:val="0"/>
          <w:color w:val="auto"/>
          <w:highlight w:val="none"/>
        </w:rPr>
        <w:t>部门概况</w:t>
      </w:r>
      <w:bookmarkEnd w:id="6"/>
      <w:bookmarkEnd w:id="7"/>
    </w:p>
    <w:p>
      <w:pPr>
        <w:widowControl/>
        <w:jc w:val="left"/>
        <w:rPr>
          <w:rFonts w:ascii="Times New Roman" w:hAnsi="Times New Roman" w:eastAsia="黑体"/>
          <w:color w:val="auto"/>
          <w:sz w:val="32"/>
          <w:szCs w:val="32"/>
          <w:highlight w:val="none"/>
        </w:rPr>
      </w:pPr>
    </w:p>
    <w:p>
      <w:pPr>
        <w:pStyle w:val="35"/>
        <w:keepNext w:val="0"/>
        <w:keepLines w:val="0"/>
        <w:widowControl w:val="0"/>
        <w:numPr>
          <w:ilvl w:val="0"/>
          <w:numId w:val="0"/>
        </w:numPr>
        <w:suppressLineNumbers w:val="0"/>
        <w:autoSpaceDE w:val="0"/>
        <w:autoSpaceDN/>
        <w:spacing w:line="560" w:lineRule="exact"/>
        <w:ind w:leftChars="200" w:right="0" w:rightChars="0" w:firstLine="480" w:firstLineChars="200"/>
        <w:jc w:val="both"/>
        <w:rPr>
          <w:rFonts w:hint="eastAsia" w:ascii="Times New Roman" w:hAnsi="Times New Roman" w:eastAsia="黑体"/>
          <w:b w:val="0"/>
          <w:color w:val="auto"/>
          <w:highlight w:val="none"/>
          <w:lang w:eastAsia="zh-CN"/>
        </w:rPr>
      </w:pPr>
      <w:r>
        <w:rPr>
          <w:rFonts w:hint="eastAsia" w:ascii="Times New Roman" w:hAnsi="Times New Roman" w:eastAsia="黑体"/>
          <w:b w:val="0"/>
          <w:color w:val="auto"/>
          <w:highlight w:val="none"/>
          <w:lang w:eastAsia="zh-CN"/>
        </w:rPr>
        <w:t>一、部门职责</w:t>
      </w:r>
    </w:p>
    <w:p>
      <w:pPr>
        <w:pStyle w:val="35"/>
        <w:keepNext w:val="0"/>
        <w:keepLines w:val="0"/>
        <w:widowControl w:val="0"/>
        <w:numPr>
          <w:ilvl w:val="0"/>
          <w:numId w:val="0"/>
        </w:numPr>
        <w:suppressLineNumbers w:val="0"/>
        <w:autoSpaceDE w:val="0"/>
        <w:autoSpaceDN/>
        <w:spacing w:line="560" w:lineRule="exact"/>
        <w:ind w:right="0" w:rightChars="0" w:firstLine="640" w:firstLineChars="200"/>
        <w:jc w:val="both"/>
        <w:rPr>
          <w:rStyle w:val="29"/>
          <w:rFonts w:hint="eastAsia" w:ascii="Times New Roman" w:hAnsi="Times New Roman" w:eastAsia="黑体"/>
          <w:b w:val="0"/>
          <w:bCs w:val="0"/>
          <w:color w:val="auto"/>
          <w:highlight w:val="none"/>
          <w:lang w:eastAsia="zh-CN"/>
        </w:rPr>
      </w:pPr>
      <w:r>
        <w:rPr>
          <w:rFonts w:hint="eastAsia" w:ascii="楷体_GB2312" w:hAnsi="宋体" w:eastAsia="楷体_GB2312" w:cs="楷体_GB2312"/>
          <w:kern w:val="0"/>
          <w:sz w:val="32"/>
          <w:szCs w:val="32"/>
          <w:shd w:val="clear" w:color="auto" w:fill="FFFFFF"/>
        </w:rPr>
        <w:t>(1)代表县委、县政府受理人民来信、来电，接待群众来访；(2)承办上级领导机关及其所属部门、单位和县委、县政府领导交办、转办的信访事项，并负责督办和上报查处结果；(3)根据县委、县政府领导意见，向各乡镇和县级各有关部门交办、转办信访事项，并负责督办和报告查处结果；(4)检查、指导、督查各乡镇、县级各部门的信访工作。县局内信访内设</w:t>
      </w:r>
      <w:r>
        <w:rPr>
          <w:rFonts w:hint="eastAsia" w:ascii="楷体_GB2312" w:eastAsia="楷体_GB2312" w:cs="楷体_GB2312"/>
          <w:kern w:val="0"/>
          <w:sz w:val="32"/>
          <w:szCs w:val="32"/>
          <w:shd w:val="clear" w:color="auto" w:fill="FFFFFF"/>
          <w:lang w:eastAsia="zh-CN"/>
        </w:rPr>
        <w:t>股室</w:t>
      </w:r>
      <w:r>
        <w:rPr>
          <w:rFonts w:hint="eastAsia" w:ascii="楷体_GB2312" w:hAnsi="宋体" w:eastAsia="楷体_GB2312" w:cs="楷体_GB2312"/>
          <w:kern w:val="0"/>
          <w:sz w:val="32"/>
          <w:szCs w:val="32"/>
          <w:shd w:val="clear" w:color="auto" w:fill="FFFFFF"/>
        </w:rPr>
        <w:t>为综合办公室</w:t>
      </w:r>
      <w:r>
        <w:rPr>
          <w:rFonts w:hint="eastAsia" w:ascii="楷体_GB2312" w:eastAsia="楷体_GB2312" w:cs="楷体_GB2312"/>
          <w:kern w:val="0"/>
          <w:sz w:val="32"/>
          <w:szCs w:val="32"/>
          <w:shd w:val="clear" w:color="auto" w:fill="FFFFFF"/>
          <w:lang w:eastAsia="zh-CN"/>
        </w:rPr>
        <w:t>、政策咨询股</w:t>
      </w:r>
      <w:r>
        <w:rPr>
          <w:rFonts w:hint="eastAsia" w:ascii="楷体_GB2312" w:hAnsi="宋体" w:eastAsia="楷体_GB2312" w:cs="楷体_GB2312"/>
          <w:kern w:val="0"/>
          <w:sz w:val="32"/>
          <w:szCs w:val="32"/>
          <w:shd w:val="clear" w:color="auto" w:fill="FFFFFF"/>
        </w:rPr>
        <w:t>，内设事业单位1个，为红原县信访接待中心，今年无变动。</w:t>
      </w:r>
    </w:p>
    <w:p>
      <w:pPr>
        <w:pStyle w:val="5"/>
        <w:ind w:firstLine="640" w:firstLineChars="200"/>
        <w:rPr>
          <w:rStyle w:val="29"/>
          <w:rFonts w:ascii="Times New Roman" w:hAnsi="Times New Roman"/>
          <w:b w:val="0"/>
          <w:bCs w:val="0"/>
          <w:color w:val="auto"/>
          <w:highlight w:val="none"/>
        </w:rPr>
      </w:pPr>
      <w:bookmarkStart w:id="8" w:name="_Toc15396601"/>
      <w:bookmarkStart w:id="9" w:name="_Toc15377200"/>
      <w:r>
        <w:rPr>
          <w:rFonts w:hint="eastAsia" w:ascii="Times New Roman" w:hAnsi="Times New Roman" w:eastAsia="黑体"/>
          <w:b w:val="0"/>
          <w:color w:val="auto"/>
          <w:highlight w:val="none"/>
        </w:rPr>
        <w:t>二、机</w:t>
      </w:r>
      <w:r>
        <w:rPr>
          <w:rStyle w:val="29"/>
          <w:rFonts w:hint="eastAsia" w:ascii="Times New Roman" w:hAnsi="Times New Roman" w:eastAsia="黑体"/>
          <w:b w:val="0"/>
          <w:bCs w:val="0"/>
          <w:color w:val="auto"/>
          <w:highlight w:val="none"/>
        </w:rPr>
        <w:t>构设置</w:t>
      </w:r>
      <w:bookmarkEnd w:id="8"/>
      <w:bookmarkEnd w:id="9"/>
    </w:p>
    <w:p>
      <w:pPr>
        <w:snapToGrid w:val="0"/>
        <w:spacing w:line="520" w:lineRule="exact"/>
        <w:ind w:firstLine="640" w:firstLineChars="200"/>
        <w:rPr>
          <w:rStyle w:val="36"/>
          <w:rFonts w:hint="eastAsia" w:ascii="仿宋_GB2312" w:hAnsi="仿宋_GB2312" w:eastAsia="仿宋_GB2312" w:cs="仿宋_GB2312"/>
          <w:b/>
          <w:sz w:val="32"/>
          <w:szCs w:val="32"/>
          <w:shd w:val="clear" w:color="auto" w:fill="FFFFFF"/>
        </w:rPr>
      </w:pPr>
      <w:r>
        <w:rPr>
          <w:rFonts w:hint="eastAsia" w:ascii="仿宋_GB2312" w:hAnsi="宋体" w:eastAsia="仿宋_GB2312" w:cs="仿宋_GB2312"/>
          <w:b w:val="0"/>
          <w:kern w:val="0"/>
          <w:sz w:val="32"/>
          <w:szCs w:val="32"/>
          <w:shd w:val="clear" w:fill="FFFFFF"/>
        </w:rPr>
        <w:t>我单位为独立核算全额拨行政单位，内设</w:t>
      </w:r>
      <w:r>
        <w:rPr>
          <w:rFonts w:hint="eastAsia" w:ascii="仿宋_GB2312" w:hAnsi="宋体" w:eastAsia="仿宋_GB2312" w:cs="仿宋_GB2312"/>
          <w:b w:val="0"/>
          <w:kern w:val="0"/>
          <w:sz w:val="32"/>
          <w:szCs w:val="32"/>
          <w:shd w:val="clear" w:fill="FFFFFF"/>
          <w:lang w:eastAsia="zh-CN"/>
        </w:rPr>
        <w:t>股室</w:t>
      </w:r>
      <w:r>
        <w:rPr>
          <w:rFonts w:hint="eastAsia" w:ascii="仿宋_GB2312" w:hAnsi="宋体" w:eastAsia="仿宋_GB2312" w:cs="仿宋_GB2312"/>
          <w:b w:val="0"/>
          <w:kern w:val="0"/>
          <w:sz w:val="32"/>
          <w:szCs w:val="32"/>
          <w:shd w:val="clear" w:fill="FFFFFF"/>
        </w:rPr>
        <w:t>为综合办公室</w:t>
      </w:r>
      <w:r>
        <w:rPr>
          <w:rFonts w:hint="eastAsia" w:ascii="仿宋_GB2312" w:hAnsi="宋体" w:eastAsia="仿宋_GB2312" w:cs="仿宋_GB2312"/>
          <w:b w:val="0"/>
          <w:kern w:val="0"/>
          <w:sz w:val="32"/>
          <w:szCs w:val="32"/>
          <w:shd w:val="clear" w:fill="FFFFFF"/>
          <w:lang w:eastAsia="zh-CN"/>
        </w:rPr>
        <w:t>、政策咨询股</w:t>
      </w:r>
      <w:r>
        <w:rPr>
          <w:rFonts w:hint="eastAsia" w:ascii="仿宋_GB2312" w:hAnsi="宋体" w:eastAsia="仿宋_GB2312" w:cs="仿宋_GB2312"/>
          <w:b w:val="0"/>
          <w:kern w:val="0"/>
          <w:sz w:val="32"/>
          <w:szCs w:val="32"/>
          <w:shd w:val="clear" w:fill="FFFFFF"/>
        </w:rPr>
        <w:t>，内设事业单位1个，为红原县信访接待中心。</w:t>
      </w:r>
    </w:p>
    <w:p>
      <w:pPr>
        <w:pStyle w:val="7"/>
        <w:adjustRightInd w:val="0"/>
        <w:snapToGrid w:val="0"/>
        <w:spacing w:before="93" w:line="600" w:lineRule="exact"/>
        <w:ind w:firstLine="1120" w:firstLineChars="350"/>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w:t>
      </w:r>
    </w:p>
    <w:p>
      <w:pPr>
        <w:widowControl/>
        <w:jc w:val="left"/>
        <w:rPr>
          <w:rFonts w:ascii="Times New Roman" w:hAnsi="Times New Roman" w:eastAsia="仿宋"/>
          <w:color w:val="auto"/>
          <w:kern w:val="0"/>
          <w:sz w:val="32"/>
          <w:szCs w:val="32"/>
          <w:highlight w:val="none"/>
        </w:rPr>
      </w:pPr>
      <w:r>
        <w:rPr>
          <w:rFonts w:ascii="Times New Roman" w:hAnsi="Times New Roman" w:eastAsia="仿宋"/>
          <w:color w:val="auto"/>
          <w:sz w:val="32"/>
          <w:szCs w:val="32"/>
          <w:highlight w:val="none"/>
        </w:rPr>
        <w:br w:type="page"/>
      </w:r>
    </w:p>
    <w:p>
      <w:pPr>
        <w:pStyle w:val="4"/>
        <w:jc w:val="center"/>
        <w:rPr>
          <w:rFonts w:hint="eastAsia" w:ascii="Times New Roman" w:hAnsi="Times New Roman" w:eastAsia="方正小标宋简体" w:cs="方正小标宋简体"/>
          <w:b w:val="0"/>
          <w:color w:val="auto"/>
          <w:highlight w:val="none"/>
        </w:rPr>
      </w:pPr>
      <w:bookmarkStart w:id="10" w:name="_Toc15396602"/>
      <w:bookmarkStart w:id="11" w:name="_Toc15377204"/>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eastAsia="方正小标宋简体" w:cs="方正小标宋简体"/>
          <w:b w:val="0"/>
          <w:color w:val="auto"/>
          <w:highlight w:val="none"/>
          <w:lang w:val="en-US" w:eastAsia="zh-CN"/>
        </w:rPr>
        <w:t>2025年度</w:t>
      </w:r>
      <w:r>
        <w:rPr>
          <w:rFonts w:hint="eastAsia" w:ascii="Times New Roman" w:hAnsi="Times New Roman" w:eastAsia="方正小标宋简体" w:cs="方正小标宋简体"/>
          <w:b w:val="0"/>
          <w:color w:val="auto"/>
          <w:highlight w:val="none"/>
        </w:rPr>
        <w:t>部门决算情况说明</w:t>
      </w:r>
      <w:bookmarkEnd w:id="10"/>
      <w:bookmarkEnd w:id="11"/>
    </w:p>
    <w:p>
      <w:pPr>
        <w:rPr>
          <w:rFonts w:ascii="Times New Roman" w:hAnsi="Times New Roman"/>
          <w:color w:val="auto"/>
          <w:highlight w:val="none"/>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29"/>
          <w:rFonts w:hint="eastAsia" w:ascii="Times New Roman" w:hAnsi="Times New Roman" w:eastAsia="黑体"/>
          <w:b w:val="0"/>
          <w:color w:val="auto"/>
          <w:highlight w:val="none"/>
        </w:rPr>
      </w:pPr>
      <w:bookmarkStart w:id="12" w:name="_Toc15377205"/>
      <w:bookmarkStart w:id="13" w:name="_Toc15396603"/>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29"/>
          <w:rFonts w:hint="eastAsia" w:ascii="Times New Roman" w:hAnsi="Times New Roman" w:eastAsia="黑体"/>
          <w:b w:val="0"/>
          <w:color w:val="auto"/>
          <w:highlight w:val="none"/>
        </w:rPr>
        <w:t>入支出决算总体情况说明</w:t>
      </w:r>
      <w:bookmarkEnd w:id="12"/>
      <w:bookmarkEnd w:id="13"/>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ascii="Times New Roman" w:hAnsi="Times New Roman" w:eastAsia="仿宋_GB2312" w:cs="仿宋_GB2312"/>
          <w:color w:val="auto"/>
          <w:sz w:val="32"/>
          <w:szCs w:val="32"/>
          <w:highlight w:val="none"/>
          <w:lang w:eastAsia="zh-CN"/>
        </w:rPr>
        <w:t>均为</w:t>
      </w:r>
      <w:r>
        <w:rPr>
          <w:rFonts w:hint="eastAsia" w:ascii="仿宋_GB2312" w:hAnsi="仿宋_GB2312" w:eastAsia="仿宋_GB2312" w:cs="仿宋_GB2312"/>
          <w:sz w:val="32"/>
          <w:szCs w:val="32"/>
        </w:rPr>
        <w:t>279.48</w:t>
      </w:r>
      <w:r>
        <w:rPr>
          <w:rFonts w:hint="eastAsia" w:ascii="Times New Roman" w:hAnsi="Times New Roman" w:eastAsia="仿宋_GB2312" w:cs="仿宋_GB2312"/>
          <w:color w:val="auto"/>
          <w:sz w:val="32"/>
          <w:szCs w:val="32"/>
          <w:highlight w:val="none"/>
        </w:rPr>
        <w:t>万元。与</w:t>
      </w:r>
      <w:r>
        <w:rPr>
          <w:rFonts w:hint="eastAsia" w:eastAsia="仿宋_GB2312" w:cs="仿宋_GB2312"/>
          <w:color w:val="auto"/>
          <w:sz w:val="32"/>
          <w:szCs w:val="32"/>
          <w:highlight w:val="none"/>
          <w:lang w:eastAsia="zh-CN"/>
        </w:rPr>
        <w:t>上</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eastAsia="zh-CN"/>
        </w:rPr>
        <w:t>度</w:t>
      </w:r>
      <w:r>
        <w:rPr>
          <w:rFonts w:hint="eastAsia" w:ascii="Times New Roman" w:hAnsi="Times New Roman" w:eastAsia="仿宋_GB2312" w:cs="仿宋_GB2312"/>
          <w:color w:val="auto"/>
          <w:sz w:val="32"/>
          <w:szCs w:val="32"/>
          <w:highlight w:val="none"/>
        </w:rPr>
        <w:t>相比，</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总计各增加</w:t>
      </w:r>
      <w:r>
        <w:rPr>
          <w:rFonts w:hint="eastAsia" w:eastAsia="仿宋_GB2312" w:cs="仿宋_GB2312"/>
          <w:color w:val="auto"/>
          <w:sz w:val="32"/>
          <w:szCs w:val="32"/>
          <w:highlight w:val="none"/>
          <w:lang w:val="en-US" w:eastAsia="zh-CN"/>
        </w:rPr>
        <w:t>16.42</w:t>
      </w:r>
      <w:r>
        <w:rPr>
          <w:rFonts w:hint="eastAsia" w:ascii="Times New Roman" w:hAnsi="Times New Roman" w:eastAsia="仿宋_GB2312" w:cs="仿宋_GB2312"/>
          <w:color w:val="auto"/>
          <w:sz w:val="32"/>
          <w:szCs w:val="32"/>
          <w:highlight w:val="none"/>
        </w:rPr>
        <w:t>万元，增长</w:t>
      </w:r>
      <w:r>
        <w:rPr>
          <w:rFonts w:hint="eastAsia" w:eastAsia="仿宋_GB2312" w:cs="仿宋_GB2312"/>
          <w:color w:val="auto"/>
          <w:sz w:val="32"/>
          <w:szCs w:val="32"/>
          <w:highlight w:val="none"/>
          <w:lang w:val="en-US" w:eastAsia="zh-CN"/>
        </w:rPr>
        <w:t>5.9</w:t>
      </w:r>
      <w:r>
        <w:rPr>
          <w:rFonts w:hint="eastAsia" w:ascii="Times New Roman" w:hAnsi="Times New Roman" w:eastAsia="仿宋_GB2312" w:cs="仿宋_GB2312"/>
          <w:color w:val="auto"/>
          <w:sz w:val="32"/>
          <w:szCs w:val="32"/>
          <w:highlight w:val="none"/>
        </w:rPr>
        <w:t>%。主要变动原因是</w:t>
      </w:r>
      <w:r>
        <w:rPr>
          <w:rFonts w:hint="eastAsia" w:eastAsia="仿宋_GB2312" w:cs="仿宋_GB2312"/>
          <w:color w:val="auto"/>
          <w:sz w:val="32"/>
          <w:szCs w:val="32"/>
          <w:highlight w:val="none"/>
          <w:lang w:eastAsia="zh-CN"/>
        </w:rPr>
        <w:t>人员增加及工资调整。</w:t>
      </w: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（图1：</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决算总计变动情况图）（柱状图）</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imes New Roman" w:hAnsi="Times New Roman" w:eastAsia="仿宋_GB2312" w:cs="仿宋_GB2312"/>
          <w:color w:val="auto"/>
          <w:sz w:val="32"/>
          <w:szCs w:val="32"/>
          <w:highlight w:val="none"/>
        </w:rPr>
      </w:pPr>
      <w:r>
        <w:rPr>
          <w:rFonts w:hint="eastAsia" w:eastAsia="仿宋"/>
          <w:lang w:eastAsia="zh-CN"/>
        </w:rPr>
        <w:drawing>
          <wp:anchor distT="0" distB="0" distL="114300" distR="114300" simplePos="0" relativeHeight="251658240" behindDoc="1" locked="0" layoutInCell="1" allowOverlap="1">
            <wp:simplePos x="0" y="0"/>
            <wp:positionH relativeFrom="column">
              <wp:posOffset>604520</wp:posOffset>
            </wp:positionH>
            <wp:positionV relativeFrom="paragraph">
              <wp:posOffset>135890</wp:posOffset>
            </wp:positionV>
            <wp:extent cx="4296410" cy="2700655"/>
            <wp:effectExtent l="4445" t="4445" r="23495" b="19050"/>
            <wp:wrapTight wrapText="bothSides">
              <wp:wrapPolygon>
                <wp:start x="-22" y="-36"/>
                <wp:lineTo x="-22" y="21448"/>
                <wp:lineTo x="21527" y="21448"/>
                <wp:lineTo x="21527" y="-36"/>
                <wp:lineTo x="-22" y="-36"/>
              </wp:wrapPolygon>
            </wp:wrapTight>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bookmarkStart w:id="14" w:name="_Toc15396604"/>
      <w:bookmarkStart w:id="15" w:name="_Toc15377206"/>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r>
        <w:rPr>
          <w:rFonts w:hint="eastAsia" w:ascii="Times New Roman" w:hAnsi="Times New Roman" w:eastAsia="黑体"/>
          <w:color w:val="auto"/>
          <w:sz w:val="32"/>
          <w:szCs w:val="32"/>
          <w:highlight w:val="none"/>
          <w:lang w:eastAsia="zh-CN"/>
        </w:rPr>
        <w:t>二、收入决算情况说明</w:t>
      </w:r>
      <w:bookmarkEnd w:id="14"/>
      <w:bookmarkEnd w:id="15"/>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b/>
          <w:bCs/>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本年收入合计</w:t>
      </w:r>
      <w:r>
        <w:rPr>
          <w:rFonts w:hint="eastAsia" w:ascii="仿宋_GB2312" w:hAnsi="仿宋_GB2312" w:eastAsia="仿宋_GB2312" w:cs="仿宋_GB2312"/>
          <w:sz w:val="32"/>
          <w:szCs w:val="32"/>
        </w:rPr>
        <w:t>279.48</w:t>
      </w:r>
      <w:r>
        <w:rPr>
          <w:rFonts w:hint="eastAsia" w:ascii="Times New Roman" w:hAnsi="Times New Roman" w:eastAsia="仿宋_GB2312" w:cs="仿宋_GB2312"/>
          <w:color w:val="auto"/>
          <w:sz w:val="32"/>
          <w:szCs w:val="32"/>
          <w:highlight w:val="none"/>
          <w:lang w:eastAsia="zh-CN"/>
        </w:rPr>
        <w:t>万元，其中：一般公共预算财政拨款收入</w:t>
      </w:r>
      <w:r>
        <w:rPr>
          <w:rFonts w:hint="eastAsia" w:ascii="仿宋_GB2312" w:hAnsi="仿宋_GB2312" w:eastAsia="仿宋_GB2312" w:cs="仿宋_GB2312"/>
          <w:sz w:val="32"/>
          <w:szCs w:val="32"/>
        </w:rPr>
        <w:t>279.48</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100</w:t>
      </w:r>
      <w:r>
        <w:rPr>
          <w:rFonts w:hint="eastAsia" w:ascii="Times New Roman" w:hAnsi="Times New Roman" w:eastAsia="仿宋_GB2312" w:cs="仿宋_GB2312"/>
          <w:color w:val="auto"/>
          <w:sz w:val="32"/>
          <w:szCs w:val="32"/>
          <w:highlight w:val="none"/>
          <w:lang w:eastAsia="zh-CN"/>
        </w:rPr>
        <w:t>%；政府性基金预算财政拨款收入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%；国有资本经营预算财政拨款收入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%；上级补助收入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%；事业收入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%；经营收入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%；附属单位上缴收入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%；其他收入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w:t>
      </w: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（图2：收入决算结构图）（饼状图）</w:t>
      </w: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2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eastAsia="仿宋"/>
          <w:lang w:eastAsia="zh-CN"/>
        </w:rPr>
        <w:drawing>
          <wp:anchor distT="0" distB="0" distL="114300" distR="114300" simplePos="0" relativeHeight="251660288" behindDoc="0" locked="0" layoutInCell="1" allowOverlap="1">
            <wp:simplePos x="0" y="0"/>
            <wp:positionH relativeFrom="column">
              <wp:posOffset>252095</wp:posOffset>
            </wp:positionH>
            <wp:positionV relativeFrom="paragraph">
              <wp:posOffset>175895</wp:posOffset>
            </wp:positionV>
            <wp:extent cx="4319905" cy="2832735"/>
            <wp:effectExtent l="4445" t="4445" r="19050" b="20320"/>
            <wp:wrapSquare wrapText="bothSides"/>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center"/>
        <w:textAlignment w:val="auto"/>
        <w:outlineLvl w:val="1"/>
        <w:rPr>
          <w:rFonts w:hint="eastAsia" w:ascii="Times New Roman" w:hAnsi="Times New Roman" w:eastAsia="仿宋_GB2312" w:cs="仿宋_GB2312"/>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outlineLvl w:val="1"/>
        <w:rPr>
          <w:rFonts w:hint="eastAsia" w:ascii="Times New Roman" w:hAnsi="Times New Roman" w:eastAsia="黑体"/>
          <w:color w:val="auto"/>
          <w:sz w:val="32"/>
          <w:szCs w:val="32"/>
          <w:highlight w:val="none"/>
          <w:lang w:eastAsia="zh-CN"/>
        </w:rPr>
      </w:pPr>
      <w:bookmarkStart w:id="16" w:name="_Toc15396605"/>
      <w:bookmarkStart w:id="17" w:name="_Toc15377207"/>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29"/>
          <w:rFonts w:hint="eastAsia" w:ascii="Times New Roman" w:hAnsi="Times New Roman" w:eastAsia="黑体"/>
          <w:b w:val="0"/>
          <w:color w:val="auto"/>
          <w:highlight w:val="none"/>
        </w:rPr>
      </w:pPr>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29"/>
          <w:rFonts w:hint="eastAsia" w:ascii="Times New Roman" w:hAnsi="Times New Roman" w:eastAsia="黑体"/>
          <w:b w:val="0"/>
          <w:color w:val="auto"/>
          <w:highlight w:val="none"/>
        </w:rPr>
        <w:t>出决算情况说明</w:t>
      </w:r>
      <w:bookmarkEnd w:id="16"/>
      <w:bookmarkEnd w:id="17"/>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本年支出合计</w:t>
      </w:r>
      <w:r>
        <w:rPr>
          <w:rFonts w:hint="eastAsia" w:ascii="仿宋_GB2312" w:hAnsi="仿宋_GB2312" w:eastAsia="仿宋_GB2312" w:cs="仿宋_GB2312"/>
          <w:sz w:val="32"/>
          <w:szCs w:val="32"/>
        </w:rPr>
        <w:t>279.48</w:t>
      </w:r>
      <w:r>
        <w:rPr>
          <w:rFonts w:hint="eastAsia" w:ascii="Times New Roman" w:hAnsi="Times New Roman" w:eastAsia="仿宋_GB2312" w:cs="仿宋_GB2312"/>
          <w:color w:val="auto"/>
          <w:sz w:val="32"/>
          <w:szCs w:val="32"/>
          <w:highlight w:val="none"/>
          <w:lang w:eastAsia="zh-CN"/>
        </w:rPr>
        <w:t>万元，其中：基本支出</w:t>
      </w:r>
      <w:r>
        <w:rPr>
          <w:rFonts w:hint="eastAsia" w:ascii="仿宋_GB2312" w:hAnsi="仿宋_GB2312" w:eastAsia="仿宋_GB2312" w:cs="仿宋_GB2312"/>
          <w:sz w:val="32"/>
          <w:szCs w:val="32"/>
        </w:rPr>
        <w:t>244.83</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87.6</w:t>
      </w:r>
      <w:r>
        <w:rPr>
          <w:rFonts w:hint="eastAsia" w:ascii="Times New Roman" w:hAnsi="Times New Roman"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rPr>
        <w:t>34.64</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12.39</w:t>
      </w:r>
      <w:r>
        <w:rPr>
          <w:rFonts w:hint="eastAsia" w:ascii="Times New Roman" w:hAnsi="Times New Roman" w:eastAsia="仿宋_GB2312" w:cs="仿宋_GB2312"/>
          <w:color w:val="auto"/>
          <w:sz w:val="32"/>
          <w:szCs w:val="32"/>
          <w:highlight w:val="none"/>
          <w:lang w:eastAsia="zh-CN"/>
        </w:rPr>
        <w:t>%；上缴上级支出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%；经营支出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%；对附属单位补助支出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w:t>
      </w: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（图3：支出决算结构图）（饼状图）</w:t>
      </w: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2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eastAsia="仿宋"/>
          <w:lang w:eastAsia="zh-CN"/>
        </w:rPr>
        <w:drawing>
          <wp:anchor distT="0" distB="0" distL="114300" distR="114300" simplePos="0" relativeHeight="251666432" behindDoc="0" locked="0" layoutInCell="1" allowOverlap="1">
            <wp:simplePos x="0" y="0"/>
            <wp:positionH relativeFrom="column">
              <wp:posOffset>252095</wp:posOffset>
            </wp:positionH>
            <wp:positionV relativeFrom="paragraph">
              <wp:posOffset>245110</wp:posOffset>
            </wp:positionV>
            <wp:extent cx="4129405" cy="2683510"/>
            <wp:effectExtent l="4445" t="4445" r="19050" b="17145"/>
            <wp:wrapSquare wrapText="bothSides"/>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p>
    <w:p>
      <w:pPr>
        <w:spacing w:line="600" w:lineRule="exact"/>
        <w:ind w:firstLine="640" w:firstLineChars="200"/>
        <w:outlineLvl w:val="1"/>
        <w:rPr>
          <w:rFonts w:hint="eastAsia" w:ascii="Times New Roman" w:hAnsi="Times New Roman" w:eastAsia="黑体"/>
          <w:color w:val="auto"/>
          <w:sz w:val="32"/>
          <w:szCs w:val="32"/>
          <w:highlight w:val="none"/>
        </w:rPr>
      </w:pPr>
      <w:bookmarkStart w:id="18" w:name="_Toc15396606"/>
      <w:bookmarkStart w:id="19" w:name="_Toc15377208"/>
    </w:p>
    <w:p>
      <w:pPr>
        <w:spacing w:line="600" w:lineRule="exact"/>
        <w:ind w:firstLine="640" w:firstLineChars="200"/>
        <w:outlineLvl w:val="1"/>
        <w:rPr>
          <w:rFonts w:hint="eastAsia" w:ascii="Times New Roman" w:hAnsi="Times New Roman" w:eastAsia="黑体"/>
          <w:color w:val="auto"/>
          <w:sz w:val="32"/>
          <w:szCs w:val="32"/>
          <w:highlight w:val="none"/>
        </w:rPr>
      </w:pPr>
    </w:p>
    <w:p>
      <w:pPr>
        <w:spacing w:line="600" w:lineRule="exact"/>
        <w:ind w:firstLine="640" w:firstLineChars="200"/>
        <w:outlineLvl w:val="1"/>
        <w:rPr>
          <w:rFonts w:hint="eastAsia" w:ascii="Times New Roman" w:hAnsi="Times New Roman" w:eastAsia="黑体"/>
          <w:color w:val="auto"/>
          <w:sz w:val="32"/>
          <w:szCs w:val="32"/>
          <w:highlight w:val="none"/>
        </w:rPr>
      </w:pPr>
    </w:p>
    <w:p>
      <w:pPr>
        <w:spacing w:line="600" w:lineRule="exact"/>
        <w:ind w:firstLine="640" w:firstLineChars="200"/>
        <w:outlineLvl w:val="1"/>
        <w:rPr>
          <w:rStyle w:val="29"/>
          <w:rFonts w:ascii="Times New Roman" w:hAnsi="Times New Roman" w:eastAsia="黑体"/>
          <w:b w:val="0"/>
          <w:color w:val="auto"/>
          <w:highlight w:val="none"/>
        </w:rPr>
      </w:pPr>
      <w:r>
        <w:rPr>
          <w:rFonts w:hint="eastAsia" w:ascii="Times New Roman" w:hAnsi="Times New Roman" w:eastAsia="黑体"/>
          <w:color w:val="auto"/>
          <w:sz w:val="32"/>
          <w:szCs w:val="32"/>
          <w:highlight w:val="none"/>
        </w:rPr>
        <w:t>四、财</w:t>
      </w:r>
      <w:r>
        <w:rPr>
          <w:rStyle w:val="29"/>
          <w:rFonts w:hint="eastAsia" w:ascii="Times New Roman" w:hAnsi="Times New Roman" w:eastAsia="黑体"/>
          <w:b w:val="0"/>
          <w:color w:val="auto"/>
          <w:highlight w:val="none"/>
        </w:rPr>
        <w:t>政拨款收入支出决算总体情况说明</w:t>
      </w:r>
      <w:bookmarkEnd w:id="18"/>
      <w:bookmarkEnd w:id="19"/>
    </w:p>
    <w:p>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财政拨款收入、支出总计均为</w:t>
      </w:r>
      <w:r>
        <w:rPr>
          <w:rFonts w:hint="eastAsia" w:ascii="仿宋_GB2312" w:hAnsi="仿宋_GB2312" w:eastAsia="仿宋_GB2312" w:cs="仿宋_GB2312"/>
          <w:sz w:val="32"/>
          <w:szCs w:val="32"/>
        </w:rPr>
        <w:t>279.48</w:t>
      </w:r>
      <w:r>
        <w:rPr>
          <w:rFonts w:hint="eastAsia" w:ascii="Times New Roman" w:hAnsi="Times New Roman" w:eastAsia="仿宋_GB2312" w:cs="仿宋_GB2312"/>
          <w:color w:val="auto"/>
          <w:kern w:val="2"/>
          <w:sz w:val="32"/>
          <w:szCs w:val="32"/>
          <w:highlight w:val="none"/>
          <w:lang w:val="en-US" w:eastAsia="zh-CN" w:bidi="ar-SA"/>
        </w:rPr>
        <w:t>万元。与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年度相比，财政拨款收入、支出总计各增加</w:t>
      </w:r>
      <w:r>
        <w:rPr>
          <w:rFonts w:hint="eastAsia" w:eastAsia="仿宋_GB2312" w:cs="仿宋_GB2312"/>
          <w:color w:val="auto"/>
          <w:kern w:val="2"/>
          <w:sz w:val="32"/>
          <w:szCs w:val="32"/>
          <w:highlight w:val="none"/>
          <w:lang w:val="en-US" w:eastAsia="zh-CN" w:bidi="ar-SA"/>
        </w:rPr>
        <w:t>16.42</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5.9</w:t>
      </w:r>
      <w:r>
        <w:rPr>
          <w:rFonts w:hint="eastAsia" w:ascii="Times New Roman" w:hAnsi="Times New Roman" w:eastAsia="仿宋_GB2312" w:cs="仿宋_GB2312"/>
          <w:color w:val="auto"/>
          <w:kern w:val="2"/>
          <w:sz w:val="32"/>
          <w:szCs w:val="32"/>
          <w:highlight w:val="none"/>
          <w:lang w:val="en-US" w:eastAsia="zh-CN" w:bidi="ar-SA"/>
        </w:rPr>
        <w:t>%。主要变动原因是</w:t>
      </w:r>
      <w:r>
        <w:rPr>
          <w:rFonts w:hint="eastAsia" w:eastAsia="仿宋_GB2312" w:cs="仿宋_GB2312"/>
          <w:color w:val="auto"/>
          <w:kern w:val="2"/>
          <w:sz w:val="32"/>
          <w:szCs w:val="32"/>
          <w:highlight w:val="none"/>
          <w:lang w:val="en-US" w:eastAsia="zh-CN" w:bidi="ar-SA"/>
        </w:rPr>
        <w:t>人员增加及工资调整。</w:t>
      </w:r>
    </w:p>
    <w:p>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（图4：财政拨款收、支决算总计变动情况）（柱状图）</w:t>
      </w:r>
    </w:p>
    <w:p>
      <w:pPr>
        <w:pStyle w:val="2"/>
        <w:rPr>
          <w:rFonts w:hint="eastAsia"/>
          <w:lang w:val="en-US" w:eastAsia="zh-CN"/>
        </w:rPr>
      </w:pPr>
      <w:r>
        <w:rPr>
          <w:rFonts w:hint="eastAsia"/>
          <w:lang w:eastAsia="zh-CN"/>
        </w:rPr>
        <w:drawing>
          <wp:anchor distT="0" distB="0" distL="114300" distR="114300" simplePos="0" relativeHeight="251667456" behindDoc="0" locked="0" layoutInCell="1" allowOverlap="1">
            <wp:simplePos x="0" y="0"/>
            <wp:positionH relativeFrom="column">
              <wp:posOffset>461645</wp:posOffset>
            </wp:positionH>
            <wp:positionV relativeFrom="paragraph">
              <wp:posOffset>194945</wp:posOffset>
            </wp:positionV>
            <wp:extent cx="4319905" cy="2879725"/>
            <wp:effectExtent l="4445" t="4445" r="19050" b="11430"/>
            <wp:wrapSquare wrapText="bothSides"/>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pPr>
        <w:rPr>
          <w:rFonts w:hint="eastAsia"/>
          <w:lang w:val="en-US" w:eastAsia="zh-CN"/>
        </w:rPr>
      </w:pPr>
    </w:p>
    <w:p>
      <w:pPr>
        <w:pStyle w:val="2"/>
        <w:rPr>
          <w:rFonts w:hint="eastAsia"/>
          <w:lang w:val="en-US" w:eastAsia="zh-CN"/>
        </w:rPr>
      </w:pPr>
    </w:p>
    <w:p>
      <w:pPr>
        <w:rPr>
          <w:rFonts w:hint="eastAsia"/>
          <w:lang w:val="en-US" w:eastAsia="zh-CN"/>
        </w:rPr>
      </w:pPr>
    </w:p>
    <w:p>
      <w:pPr>
        <w:spacing w:line="600" w:lineRule="exact"/>
        <w:ind w:firstLine="640" w:firstLineChars="200"/>
        <w:outlineLvl w:val="1"/>
        <w:rPr>
          <w:rStyle w:val="29"/>
          <w:rFonts w:ascii="Times New Roman" w:hAnsi="Times New Roman" w:eastAsia="黑体"/>
          <w:b w:val="0"/>
          <w:color w:val="auto"/>
          <w:highlight w:val="none"/>
        </w:rPr>
      </w:pPr>
      <w:bookmarkStart w:id="20" w:name="_Toc15396607"/>
      <w:bookmarkStart w:id="21" w:name="_Toc15377209"/>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29"/>
          <w:rFonts w:hint="eastAsia" w:ascii="Times New Roman" w:hAnsi="Times New Roman" w:eastAsia="黑体"/>
          <w:b w:val="0"/>
          <w:color w:val="auto"/>
          <w:highlight w:val="none"/>
        </w:rPr>
        <w:t>般公共预算财政拨款支出决算情况说明</w:t>
      </w:r>
      <w:bookmarkEnd w:id="20"/>
      <w:bookmarkEnd w:id="21"/>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2"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22"/>
    </w:p>
    <w:p>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279.48</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100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年度相比，一般公共预算财政拨款支出增加</w:t>
      </w:r>
      <w:r>
        <w:rPr>
          <w:rFonts w:hint="eastAsia" w:eastAsia="仿宋_GB2312" w:cs="仿宋_GB2312"/>
          <w:color w:val="auto"/>
          <w:kern w:val="2"/>
          <w:sz w:val="32"/>
          <w:szCs w:val="32"/>
          <w:highlight w:val="none"/>
          <w:lang w:val="en-US" w:eastAsia="zh-CN" w:bidi="ar-SA"/>
        </w:rPr>
        <w:t>16.42</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5.9</w:t>
      </w:r>
      <w:r>
        <w:rPr>
          <w:rFonts w:hint="eastAsia" w:ascii="Times New Roman" w:hAnsi="Times New Roman" w:eastAsia="仿宋_GB2312" w:cs="仿宋_GB2312"/>
          <w:color w:val="auto"/>
          <w:kern w:val="2"/>
          <w:sz w:val="32"/>
          <w:szCs w:val="32"/>
          <w:highlight w:val="none"/>
          <w:lang w:val="en-US" w:eastAsia="zh-CN" w:bidi="ar-SA"/>
        </w:rPr>
        <w:t>%。主要变动原因是</w:t>
      </w:r>
      <w:r>
        <w:rPr>
          <w:rFonts w:hint="eastAsia" w:eastAsia="仿宋_GB2312" w:cs="仿宋_GB2312"/>
          <w:color w:val="auto"/>
          <w:kern w:val="2"/>
          <w:sz w:val="32"/>
          <w:szCs w:val="32"/>
          <w:highlight w:val="none"/>
          <w:lang w:val="en-US" w:eastAsia="zh-CN" w:bidi="ar-SA"/>
        </w:rPr>
        <w:t>人员增加及工资调整。</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（图5：一般公共预算财政拨款支出决算变动情况）（柱状图）</w:t>
      </w:r>
    </w:p>
    <w:p>
      <w:pPr>
        <w:pStyle w:val="2"/>
        <w:rPr>
          <w:rFonts w:hint="eastAsia" w:ascii="Times New Roman" w:hAnsi="Times New Roman" w:eastAsia="仿宋_GB2312" w:cs="仿宋_GB2312"/>
          <w:color w:val="auto"/>
          <w:kern w:val="2"/>
          <w:sz w:val="32"/>
          <w:szCs w:val="32"/>
          <w:highlight w:val="none"/>
          <w:lang w:val="en-US" w:eastAsia="zh-CN" w:bidi="ar-SA"/>
        </w:rPr>
      </w:pPr>
    </w:p>
    <w:p>
      <w:pPr>
        <w:rPr>
          <w:rFonts w:hint="eastAsia" w:ascii="Times New Roman" w:hAnsi="Times New Roman" w:eastAsia="仿宋_GB2312" w:cs="仿宋_GB2312"/>
          <w:color w:val="auto"/>
          <w:kern w:val="2"/>
          <w:sz w:val="32"/>
          <w:szCs w:val="32"/>
          <w:highlight w:val="none"/>
          <w:lang w:val="en-US" w:eastAsia="zh-CN" w:bidi="ar-SA"/>
        </w:rPr>
      </w:pPr>
      <w:r>
        <w:rPr>
          <w:rFonts w:hint="eastAsia" w:eastAsia="仿宋"/>
          <w:lang w:eastAsia="zh-CN"/>
        </w:rPr>
        <w:drawing>
          <wp:anchor distT="0" distB="0" distL="114300" distR="114300" simplePos="0" relativeHeight="251667456" behindDoc="0" locked="0" layoutInCell="1" allowOverlap="1">
            <wp:simplePos x="0" y="0"/>
            <wp:positionH relativeFrom="column">
              <wp:posOffset>337820</wp:posOffset>
            </wp:positionH>
            <wp:positionV relativeFrom="paragraph">
              <wp:posOffset>252095</wp:posOffset>
            </wp:positionV>
            <wp:extent cx="4307840" cy="2879725"/>
            <wp:effectExtent l="4445" t="4445" r="12065" b="11430"/>
            <wp:wrapSquare wrapText="bothSides"/>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pPr>
        <w:pStyle w:val="2"/>
        <w:rPr>
          <w:rFonts w:hint="eastAsia" w:ascii="Times New Roman" w:hAnsi="Times New Roman" w:eastAsia="仿宋_GB2312" w:cs="仿宋_GB2312"/>
          <w:color w:val="auto"/>
          <w:kern w:val="2"/>
          <w:sz w:val="32"/>
          <w:szCs w:val="32"/>
          <w:highlight w:val="none"/>
          <w:lang w:val="en-US" w:eastAsia="zh-CN" w:bidi="ar-SA"/>
        </w:rPr>
      </w:pPr>
    </w:p>
    <w:p>
      <w:pPr>
        <w:rPr>
          <w:rFonts w:hint="eastAsia"/>
          <w:lang w:val="en-US" w:eastAsia="zh-CN"/>
        </w:rPr>
      </w:pP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3" w:name="_Toc15377211"/>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（二）一般公共预算财政拨款支出决算结构情况</w:t>
      </w:r>
      <w:bookmarkEnd w:id="23"/>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279.48</w:t>
      </w:r>
      <w:r>
        <w:rPr>
          <w:rFonts w:hint="eastAsia" w:ascii="Times New Roman" w:hAnsi="Times New Roman" w:eastAsia="仿宋_GB2312" w:cs="仿宋_GB2312"/>
          <w:color w:val="auto"/>
          <w:kern w:val="2"/>
          <w:sz w:val="32"/>
          <w:szCs w:val="32"/>
          <w:highlight w:val="none"/>
          <w:lang w:val="en-US" w:eastAsia="zh-CN" w:bidi="ar-SA"/>
        </w:rPr>
        <w:t>万元，主要用于以下方面</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一般公共服务支出</w:t>
      </w:r>
      <w:r>
        <w:rPr>
          <w:rFonts w:hint="eastAsia" w:eastAsia="仿宋_GB2312" w:cs="仿宋_GB2312"/>
          <w:color w:val="auto"/>
          <w:kern w:val="2"/>
          <w:sz w:val="32"/>
          <w:szCs w:val="32"/>
          <w:highlight w:val="none"/>
          <w:lang w:val="en-US" w:eastAsia="zh-CN" w:bidi="ar-SA"/>
        </w:rPr>
        <w:t>215.57</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77.14</w:t>
      </w:r>
      <w:r>
        <w:rPr>
          <w:rFonts w:hint="eastAsia" w:ascii="Times New Roman" w:hAnsi="Times New Roman" w:eastAsia="仿宋_GB2312" w:cs="仿宋_GB2312"/>
          <w:color w:val="auto"/>
          <w:kern w:val="2"/>
          <w:sz w:val="32"/>
          <w:szCs w:val="32"/>
          <w:highlight w:val="none"/>
          <w:lang w:val="en-US" w:eastAsia="zh-CN" w:bidi="ar-SA"/>
        </w:rPr>
        <w:t>%；社会保障和就业支出</w:t>
      </w:r>
      <w:r>
        <w:rPr>
          <w:rFonts w:hint="eastAsia" w:eastAsia="仿宋_GB2312" w:cs="仿宋_GB2312"/>
          <w:color w:val="auto"/>
          <w:kern w:val="2"/>
          <w:sz w:val="32"/>
          <w:szCs w:val="32"/>
          <w:highlight w:val="none"/>
          <w:lang w:val="en-US" w:eastAsia="zh-CN" w:bidi="ar-SA"/>
        </w:rPr>
        <w:t>33.8</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12.09</w:t>
      </w:r>
      <w:r>
        <w:rPr>
          <w:rFonts w:hint="eastAsia" w:ascii="Times New Roman" w:hAnsi="Times New Roman" w:eastAsia="仿宋_GB2312" w:cs="仿宋_GB2312"/>
          <w:color w:val="auto"/>
          <w:kern w:val="2"/>
          <w:sz w:val="32"/>
          <w:szCs w:val="32"/>
          <w:highlight w:val="none"/>
          <w:lang w:val="en-US" w:eastAsia="zh-CN" w:bidi="ar-SA"/>
        </w:rPr>
        <w:t>%；卫生健康支出</w:t>
      </w:r>
      <w:r>
        <w:rPr>
          <w:rFonts w:hint="eastAsia" w:eastAsia="仿宋_GB2312" w:cs="仿宋_GB2312"/>
          <w:color w:val="auto"/>
          <w:kern w:val="2"/>
          <w:sz w:val="32"/>
          <w:szCs w:val="32"/>
          <w:highlight w:val="none"/>
          <w:lang w:val="en-US" w:eastAsia="zh-CN" w:bidi="ar-SA"/>
        </w:rPr>
        <w:t>12.08</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4.32</w:t>
      </w:r>
      <w:r>
        <w:rPr>
          <w:rFonts w:hint="eastAsia" w:ascii="Times New Roman" w:hAnsi="Times New Roman" w:eastAsia="仿宋_GB2312" w:cs="仿宋_GB2312"/>
          <w:color w:val="auto"/>
          <w:kern w:val="2"/>
          <w:sz w:val="32"/>
          <w:szCs w:val="32"/>
          <w:highlight w:val="none"/>
          <w:lang w:val="en-US" w:eastAsia="zh-CN" w:bidi="ar-SA"/>
        </w:rPr>
        <w:t>%；住房保障支出</w:t>
      </w:r>
      <w:r>
        <w:rPr>
          <w:rFonts w:hint="eastAsia" w:eastAsia="仿宋_GB2312" w:cs="仿宋_GB2312"/>
          <w:color w:val="auto"/>
          <w:kern w:val="2"/>
          <w:sz w:val="32"/>
          <w:szCs w:val="32"/>
          <w:highlight w:val="none"/>
          <w:lang w:val="en-US" w:eastAsia="zh-CN" w:bidi="ar-SA"/>
        </w:rPr>
        <w:t>18.02</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6.45</w:t>
      </w:r>
      <w:r>
        <w:rPr>
          <w:rFonts w:hint="eastAsia" w:ascii="Times New Roman" w:hAnsi="Times New Roman" w:eastAsia="仿宋_GB2312" w:cs="仿宋_GB2312"/>
          <w:color w:val="auto"/>
          <w:kern w:val="2"/>
          <w:sz w:val="32"/>
          <w:szCs w:val="32"/>
          <w:highlight w:val="none"/>
          <w:lang w:val="en-US" w:eastAsia="zh-CN" w:bidi="ar-SA"/>
        </w:rPr>
        <w:t>%（图6：一般公共预算财政拨款支出决算结构）（饼状图）</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
          <w:lang w:eastAsia="zh-CN"/>
        </w:rPr>
        <w:drawing>
          <wp:anchor distT="0" distB="0" distL="114300" distR="114300" simplePos="0" relativeHeight="251672576" behindDoc="0" locked="0" layoutInCell="1" allowOverlap="1">
            <wp:simplePos x="0" y="0"/>
            <wp:positionH relativeFrom="column">
              <wp:posOffset>280670</wp:posOffset>
            </wp:positionH>
            <wp:positionV relativeFrom="paragraph">
              <wp:posOffset>219075</wp:posOffset>
            </wp:positionV>
            <wp:extent cx="4319905" cy="3117850"/>
            <wp:effectExtent l="4445" t="4445" r="19050" b="20955"/>
            <wp:wrapSquare wrapText="bothSides"/>
            <wp:docPr id="12" name="图表 12" title="一般公共预算财政拨款支出决算结构"/>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pPr>
        <w:pStyle w:val="2"/>
        <w:rPr>
          <w:rFonts w:hint="eastAsia" w:ascii="Times New Roman" w:hAnsi="Times New Roman" w:eastAsia="仿宋_GB2312" w:cs="仿宋_GB2312"/>
          <w:color w:val="auto"/>
          <w:kern w:val="2"/>
          <w:sz w:val="32"/>
          <w:szCs w:val="32"/>
          <w:highlight w:val="none"/>
          <w:lang w:val="en-US" w:eastAsia="zh-CN" w:bidi="ar-SA"/>
        </w:rPr>
      </w:pPr>
    </w:p>
    <w:p>
      <w:pPr>
        <w:rPr>
          <w:rFonts w:hint="eastAsia" w:ascii="Times New Roman" w:hAnsi="Times New Roman" w:eastAsia="仿宋_GB2312" w:cs="仿宋_GB2312"/>
          <w:color w:val="auto"/>
          <w:kern w:val="2"/>
          <w:sz w:val="32"/>
          <w:szCs w:val="32"/>
          <w:highlight w:val="none"/>
          <w:lang w:val="en-US" w:eastAsia="zh-CN" w:bidi="ar-SA"/>
        </w:rPr>
      </w:pPr>
    </w:p>
    <w:p>
      <w:pPr>
        <w:pStyle w:val="2"/>
        <w:rPr>
          <w:rFonts w:hint="eastAsia" w:ascii="Times New Roman" w:hAnsi="Times New Roman" w:eastAsia="仿宋_GB2312" w:cs="仿宋_GB2312"/>
          <w:color w:val="auto"/>
          <w:kern w:val="2"/>
          <w:sz w:val="32"/>
          <w:szCs w:val="32"/>
          <w:highlight w:val="none"/>
          <w:lang w:val="en-US" w:eastAsia="zh-CN" w:bidi="ar-SA"/>
        </w:rPr>
      </w:pPr>
    </w:p>
    <w:p>
      <w:pPr>
        <w:rPr>
          <w:rFonts w:hint="eastAsia"/>
          <w:lang w:val="en-US" w:eastAsia="zh-CN"/>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4" w:name="_Toc15377212"/>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（三）一般公共预算财政拨款支出决算具体情况</w:t>
      </w:r>
      <w:bookmarkEnd w:id="24"/>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25" w:name="_Toc15377444"/>
      <w:bookmarkStart w:id="26" w:name="_Toc15378460"/>
      <w:bookmarkStart w:id="27" w:name="_Toc15377213"/>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一般公共预算支出决算数为</w:t>
      </w:r>
      <w:r>
        <w:rPr>
          <w:rFonts w:hint="eastAsia" w:ascii="仿宋_GB2312" w:hAnsi="仿宋_GB2312" w:eastAsia="仿宋_GB2312" w:cs="仿宋_GB2312"/>
          <w:sz w:val="32"/>
          <w:szCs w:val="32"/>
        </w:rPr>
        <w:t>279.48</w:t>
      </w:r>
      <w:r>
        <w:rPr>
          <w:rFonts w:hint="eastAsia" w:ascii="Times New Roman" w:hAnsi="Times New Roman" w:eastAsia="仿宋_GB2312" w:cs="仿宋_GB2312"/>
          <w:color w:val="auto"/>
          <w:kern w:val="2"/>
          <w:sz w:val="32"/>
          <w:szCs w:val="32"/>
          <w:highlight w:val="none"/>
          <w:lang w:val="en-US" w:eastAsia="zh-CN" w:bidi="ar-SA"/>
        </w:rPr>
        <w:t>，完成预算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%。其中：</w:t>
      </w:r>
      <w:bookmarkEnd w:id="25"/>
      <w:bookmarkEnd w:id="26"/>
      <w:bookmarkEnd w:id="27"/>
    </w:p>
    <w:p>
      <w:pPr>
        <w:numPr>
          <w:ilvl w:val="0"/>
          <w:numId w:val="0"/>
        </w:numPr>
        <w:spacing w:line="600" w:lineRule="exact"/>
        <w:ind w:firstLine="640" w:firstLineChars="20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en-US" w:eastAsia="zh-CN" w:bidi="ar-SA"/>
        </w:rPr>
        <w:t>一般公共服务（类）</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215.57</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w:t>
      </w:r>
      <w:r>
        <w:rPr>
          <w:rFonts w:hint="eastAsia" w:ascii="Times New Roman" w:hAnsi="Times New Roman" w:eastAsia="仿宋_GB2312" w:cs="仿宋_GB2312"/>
          <w:color w:val="auto"/>
          <w:kern w:val="2"/>
          <w:sz w:val="32"/>
          <w:szCs w:val="32"/>
          <w:highlight w:val="none"/>
          <w:lang w:val="en-US" w:eastAsia="zh-CN" w:bidi="ar-SA"/>
        </w:rPr>
        <w:t>.社会保障和就业（类）</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33.8</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p>
    <w:p>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3</w:t>
      </w:r>
      <w:r>
        <w:rPr>
          <w:rFonts w:hint="eastAsia" w:ascii="Times New Roman" w:hAnsi="Times New Roman" w:eastAsia="仿宋_GB2312" w:cs="仿宋_GB2312"/>
          <w:color w:val="auto"/>
          <w:kern w:val="2"/>
          <w:sz w:val="32"/>
          <w:szCs w:val="32"/>
          <w:highlight w:val="none"/>
          <w:lang w:val="en-US" w:eastAsia="zh-CN" w:bidi="ar-SA"/>
        </w:rPr>
        <w:t>.卫生健康（类）</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12.08</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p>
    <w:p>
      <w:pPr>
        <w:pStyle w:val="2"/>
        <w:ind w:left="0" w:leftChars="0" w:firstLine="640" w:firstLineChars="200"/>
        <w:rPr>
          <w:rFonts w:hint="eastAsia"/>
          <w:lang w:val="en-US" w:eastAsia="zh-CN"/>
        </w:rPr>
      </w:pP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住房保障（类）：支出决算为</w:t>
      </w:r>
      <w:r>
        <w:rPr>
          <w:rFonts w:hint="eastAsia" w:eastAsia="仿宋_GB2312" w:cs="仿宋_GB2312"/>
          <w:color w:val="auto"/>
          <w:kern w:val="2"/>
          <w:sz w:val="32"/>
          <w:szCs w:val="32"/>
          <w:highlight w:val="none"/>
          <w:lang w:val="en-US" w:eastAsia="zh-CN" w:bidi="ar-SA"/>
        </w:rPr>
        <w:t>18.02</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p>
    <w:p>
      <w:pPr>
        <w:tabs>
          <w:tab w:val="right" w:pos="8306"/>
        </w:tabs>
        <w:spacing w:line="600" w:lineRule="exact"/>
        <w:ind w:firstLine="640"/>
        <w:outlineLvl w:val="1"/>
        <w:rPr>
          <w:rStyle w:val="29"/>
          <w:rFonts w:ascii="Times New Roman" w:hAnsi="Times New Roman"/>
          <w:color w:val="auto"/>
          <w:highlight w:val="none"/>
        </w:rPr>
      </w:pPr>
      <w:bookmarkStart w:id="28" w:name="_Toc15377214"/>
      <w:bookmarkStart w:id="29" w:name="_Toc15396608"/>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29"/>
          <w:rFonts w:hint="eastAsia" w:ascii="Times New Roman" w:hAnsi="Times New Roman" w:eastAsia="黑体"/>
          <w:b w:val="0"/>
          <w:color w:val="auto"/>
          <w:highlight w:val="none"/>
        </w:rPr>
        <w:t>般公共预算财政拨款基本支出决算情况说明</w:t>
      </w:r>
      <w:bookmarkEnd w:id="28"/>
      <w:bookmarkEnd w:id="29"/>
      <w:r>
        <w:rPr>
          <w:rStyle w:val="29"/>
          <w:rFonts w:ascii="Times New Roman" w:hAnsi="Times New Roman" w:eastAsia="黑体"/>
          <w:b w:val="0"/>
          <w:color w:val="auto"/>
          <w:highlight w:val="none"/>
        </w:rPr>
        <w:tab/>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一般公共预算财政拨款基本支出</w:t>
      </w:r>
      <w:r>
        <w:rPr>
          <w:rFonts w:hint="eastAsia" w:ascii="仿宋_GB2312" w:hAnsi="仿宋_GB2312" w:eastAsia="仿宋_GB2312" w:cs="仿宋_GB2312"/>
          <w:sz w:val="32"/>
          <w:szCs w:val="32"/>
        </w:rPr>
        <w:t>244.83</w:t>
      </w:r>
      <w:r>
        <w:rPr>
          <w:rFonts w:hint="eastAsia" w:ascii="Times New Roman" w:hAnsi="Times New Roman" w:eastAsia="仿宋_GB2312" w:cs="仿宋_GB2312"/>
          <w:color w:val="auto"/>
          <w:kern w:val="2"/>
          <w:sz w:val="32"/>
          <w:szCs w:val="32"/>
          <w:highlight w:val="none"/>
          <w:lang w:val="en-US" w:eastAsia="zh-CN" w:bidi="ar-SA"/>
        </w:rPr>
        <w:t>万元，其中：人员经费</w:t>
      </w:r>
      <w:r>
        <w:rPr>
          <w:rFonts w:hint="eastAsia" w:ascii="仿宋_GB2312" w:hAnsi="仿宋_GB2312" w:eastAsia="仿宋_GB2312" w:cs="仿宋_GB2312"/>
          <w:sz w:val="32"/>
          <w:szCs w:val="32"/>
        </w:rPr>
        <w:t>219</w:t>
      </w:r>
      <w:r>
        <w:rPr>
          <w:rFonts w:hint="eastAsia" w:ascii="Times New Roman" w:hAnsi="Times New Roman" w:eastAsia="仿宋_GB2312" w:cs="仿宋_GB2312"/>
          <w:color w:val="auto"/>
          <w:kern w:val="2"/>
          <w:sz w:val="32"/>
          <w:szCs w:val="32"/>
          <w:highlight w:val="none"/>
          <w:lang w:val="en-US" w:eastAsia="zh-CN" w:bidi="ar-SA"/>
        </w:rPr>
        <w:t>万元，主要包括：基本工资、津贴补贴、奖金、绩效工资、机关事业单位基本养老保险缴费、职业年金缴费、</w:t>
      </w:r>
      <w:r>
        <w:rPr>
          <w:rFonts w:hint="eastAsia" w:eastAsia="仿宋_GB2312" w:cs="仿宋_GB2312"/>
          <w:color w:val="auto"/>
          <w:kern w:val="2"/>
          <w:sz w:val="32"/>
          <w:szCs w:val="32"/>
          <w:highlight w:val="none"/>
          <w:lang w:val="en-US" w:eastAsia="zh-CN" w:bidi="ar-SA"/>
        </w:rPr>
        <w:t>职工个基本医疗保险缴费、公务员医疗补助缴费、</w:t>
      </w:r>
      <w:r>
        <w:rPr>
          <w:rFonts w:hint="eastAsia" w:ascii="Times New Roman" w:hAnsi="Times New Roman" w:eastAsia="仿宋_GB2312" w:cs="仿宋_GB2312"/>
          <w:color w:val="auto"/>
          <w:kern w:val="2"/>
          <w:sz w:val="32"/>
          <w:szCs w:val="32"/>
          <w:highlight w:val="none"/>
          <w:lang w:val="en-US" w:eastAsia="zh-CN" w:bidi="ar-SA"/>
        </w:rPr>
        <w:t>其他社会保障缴费、</w:t>
      </w:r>
      <w:r>
        <w:rPr>
          <w:rFonts w:hint="eastAsia" w:eastAsia="仿宋_GB2312" w:cs="仿宋_GB2312"/>
          <w:color w:val="auto"/>
          <w:kern w:val="2"/>
          <w:sz w:val="32"/>
          <w:szCs w:val="32"/>
          <w:highlight w:val="none"/>
          <w:lang w:val="en-US" w:eastAsia="zh-CN" w:bidi="ar-SA"/>
        </w:rPr>
        <w:t>住房公积金、医疗费</w:t>
      </w:r>
      <w:r>
        <w:rPr>
          <w:rFonts w:hint="eastAsia" w:ascii="Times New Roman" w:hAnsi="Times New Roman" w:eastAsia="仿宋_GB2312" w:cs="仿宋_GB2312"/>
          <w:color w:val="auto"/>
          <w:kern w:val="2"/>
          <w:sz w:val="32"/>
          <w:szCs w:val="32"/>
          <w:highlight w:val="none"/>
          <w:lang w:val="en-US" w:eastAsia="zh-CN" w:bidi="ar-SA"/>
        </w:rPr>
        <w:t>等。</w:t>
      </w:r>
      <w:r>
        <w:rPr>
          <w:rFonts w:hint="eastAsia" w:ascii="Times New Roman" w:hAnsi="Times New Roman" w:eastAsia="仿宋_GB2312" w:cs="仿宋_GB2312"/>
          <w:color w:val="auto"/>
          <w:kern w:val="2"/>
          <w:sz w:val="32"/>
          <w:szCs w:val="32"/>
          <w:highlight w:val="none"/>
          <w:lang w:val="en-US" w:eastAsia="zh-CN" w:bidi="ar-SA"/>
        </w:rPr>
        <w:br w:type="textWrapping"/>
      </w:r>
      <w:r>
        <w:rPr>
          <w:rFonts w:hint="eastAsia" w:eastAsia="仿宋_GB2312" w:cs="仿宋_GB2312"/>
          <w:color w:val="auto"/>
          <w:kern w:val="2"/>
          <w:sz w:val="32"/>
          <w:szCs w:val="32"/>
          <w:highlight w:val="none"/>
          <w:lang w:val="en-US" w:eastAsia="zh-CN" w:bidi="ar-SA"/>
        </w:rPr>
        <w:t xml:space="preserve">   </w:t>
      </w:r>
      <w:r>
        <w:rPr>
          <w:rFonts w:hint="eastAsia" w:ascii="Times New Roman" w:hAnsi="Times New Roman" w:eastAsia="仿宋_GB2312" w:cs="仿宋_GB2312"/>
          <w:color w:val="auto"/>
          <w:kern w:val="2"/>
          <w:sz w:val="32"/>
          <w:szCs w:val="32"/>
          <w:highlight w:val="none"/>
          <w:lang w:val="en-US" w:eastAsia="zh-CN" w:bidi="ar-SA"/>
        </w:rPr>
        <w:t>公用经费</w:t>
      </w:r>
      <w:r>
        <w:rPr>
          <w:rFonts w:hint="eastAsia" w:ascii="仿宋_GB2312" w:hAnsi="仿宋_GB2312" w:eastAsia="仿宋_GB2312" w:cs="仿宋_GB2312"/>
          <w:sz w:val="32"/>
          <w:szCs w:val="32"/>
        </w:rPr>
        <w:t>25.83</w:t>
      </w:r>
      <w:r>
        <w:rPr>
          <w:rFonts w:hint="eastAsia" w:ascii="Times New Roman" w:hAnsi="Times New Roman" w:eastAsia="仿宋_GB2312" w:cs="仿宋_GB2312"/>
          <w:color w:val="auto"/>
          <w:kern w:val="2"/>
          <w:sz w:val="32"/>
          <w:szCs w:val="32"/>
          <w:highlight w:val="none"/>
          <w:lang w:val="en-US" w:eastAsia="zh-CN" w:bidi="ar-SA"/>
        </w:rPr>
        <w:t>万元，主要包括：办公费、印刷费、电费、差旅费、委托业务费、工会经费、福利费、其他商品和服务支出等。</w:t>
      </w:r>
    </w:p>
    <w:p>
      <w:pPr>
        <w:spacing w:line="600" w:lineRule="exact"/>
        <w:ind w:firstLine="640"/>
        <w:outlineLvl w:val="1"/>
        <w:rPr>
          <w:rStyle w:val="29"/>
          <w:rFonts w:ascii="Times New Roman" w:hAnsi="Times New Roman" w:eastAsia="黑体"/>
          <w:b w:val="0"/>
          <w:color w:val="auto"/>
          <w:highlight w:val="none"/>
        </w:rPr>
      </w:pPr>
      <w:bookmarkStart w:id="30" w:name="_Toc15396609"/>
      <w:bookmarkStart w:id="31" w:name="_Toc15377215"/>
      <w:r>
        <w:rPr>
          <w:rFonts w:hint="eastAsia" w:ascii="Times New Roman" w:hAnsi="Times New Roman" w:eastAsia="黑体"/>
          <w:color w:val="auto"/>
          <w:sz w:val="32"/>
          <w:szCs w:val="32"/>
          <w:highlight w:val="none"/>
        </w:rPr>
        <w:t>七、</w:t>
      </w:r>
      <w:r>
        <w:rPr>
          <w:rStyle w:val="29"/>
          <w:rFonts w:hint="eastAsia" w:ascii="Times New Roman" w:hAnsi="Times New Roman" w:eastAsia="黑体"/>
          <w:b w:val="0"/>
          <w:color w:val="auto"/>
          <w:highlight w:val="none"/>
        </w:rPr>
        <w:t>财政拨款</w:t>
      </w:r>
      <w:r>
        <w:rPr>
          <w:rStyle w:val="29"/>
          <w:rFonts w:hint="eastAsia" w:ascii="Times New Roman" w:hAnsi="Times New Roman" w:eastAsia="黑体"/>
          <w:color w:val="auto"/>
          <w:highlight w:val="none"/>
        </w:rPr>
        <w:t>“</w:t>
      </w:r>
      <w:r>
        <w:rPr>
          <w:rStyle w:val="29"/>
          <w:rFonts w:hint="eastAsia" w:ascii="Times New Roman" w:hAnsi="Times New Roman" w:eastAsia="黑体"/>
          <w:b w:val="0"/>
          <w:color w:val="auto"/>
          <w:highlight w:val="none"/>
        </w:rPr>
        <w:t>三公”经费支出决算情况说明</w:t>
      </w:r>
      <w:bookmarkEnd w:id="30"/>
      <w:bookmarkEnd w:id="31"/>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2" w:name="_Toc15377216"/>
      <w:r>
        <w:rPr>
          <w:rFonts w:hint="eastAsia" w:ascii="Times New Roman" w:hAnsi="Times New Roman" w:eastAsia="楷体_GB2312" w:cs="楷体_GB2312"/>
          <w:b/>
          <w:color w:val="auto"/>
          <w:sz w:val="32"/>
          <w:szCs w:val="32"/>
          <w:highlight w:val="none"/>
        </w:rPr>
        <w:t>（一）财政拨款“三公”经费支出决算总体情况说明</w:t>
      </w:r>
      <w:bookmarkEnd w:id="32"/>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财政拨款“三公”经费支出决算为</w:t>
      </w:r>
      <w:r>
        <w:rPr>
          <w:rFonts w:hint="eastAsia" w:ascii="仿宋_GB2312" w:hAnsi="仿宋_GB2312" w:eastAsia="仿宋_GB2312" w:cs="仿宋_GB2312"/>
          <w:sz w:val="32"/>
          <w:szCs w:val="32"/>
        </w:rPr>
        <w:t>0.15</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ascii="仿宋_GB2312" w:hAnsi="仿宋_GB2312" w:eastAsia="仿宋_GB2312" w:cs="仿宋_GB2312"/>
          <w:sz w:val="32"/>
          <w:szCs w:val="32"/>
        </w:rPr>
        <w:t>96.73</w:t>
      </w:r>
      <w:r>
        <w:rPr>
          <w:rFonts w:hint="eastAsia" w:ascii="Times New Roman" w:hAnsi="Times New Roman" w:eastAsia="仿宋_GB2312" w:cs="仿宋_GB2312"/>
          <w:color w:val="auto"/>
          <w:kern w:val="2"/>
          <w:sz w:val="32"/>
          <w:szCs w:val="32"/>
          <w:highlight w:val="none"/>
          <w:lang w:val="en-US" w:eastAsia="zh-CN" w:bidi="ar-SA"/>
        </w:rPr>
        <w:t>%，较上年度</w:t>
      </w:r>
      <w:r>
        <w:rPr>
          <w:rFonts w:hint="eastAsia" w:eastAsia="仿宋_GB2312" w:cs="仿宋_GB2312"/>
          <w:color w:val="auto"/>
          <w:kern w:val="2"/>
          <w:sz w:val="32"/>
          <w:szCs w:val="32"/>
          <w:highlight w:val="none"/>
          <w:lang w:val="en-US" w:eastAsia="zh-CN" w:bidi="ar-SA"/>
        </w:rPr>
        <w:t>持平</w:t>
      </w:r>
      <w:r>
        <w:rPr>
          <w:rFonts w:hint="eastAsia" w:ascii="Times New Roman" w:hAnsi="Times New Roman" w:eastAsia="仿宋_GB2312" w:cs="仿宋_GB2312"/>
          <w:color w:val="auto"/>
          <w:kern w:val="2"/>
          <w:sz w:val="32"/>
          <w:szCs w:val="32"/>
          <w:highlight w:val="none"/>
          <w:lang w:val="en-US" w:eastAsia="zh-CN" w:bidi="ar-SA"/>
        </w:rPr>
        <w:t>。</w: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3" w:name="_Toc15377217"/>
      <w:r>
        <w:rPr>
          <w:rFonts w:hint="eastAsia" w:ascii="Times New Roman" w:hAnsi="Times New Roman" w:eastAsia="楷体_GB2312" w:cs="楷体_GB2312"/>
          <w:b/>
          <w:color w:val="auto"/>
          <w:sz w:val="32"/>
          <w:szCs w:val="32"/>
          <w:highlight w:val="none"/>
        </w:rPr>
        <w:t>（二）财政拨款“三公”经费支出决算具体情况说明</w:t>
      </w:r>
      <w:bookmarkEnd w:id="33"/>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财政拨款“三公”经费支出决算中，因公出国（境）费支出决算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%；公务用车购置及运行维护费支出决算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%；公务接待费支出决算</w:t>
      </w:r>
      <w:r>
        <w:rPr>
          <w:rFonts w:hint="eastAsia" w:ascii="仿宋_GB2312" w:hAnsi="仿宋_GB2312" w:eastAsia="仿宋_GB2312" w:cs="仿宋_GB2312"/>
          <w:sz w:val="32"/>
          <w:szCs w:val="32"/>
        </w:rPr>
        <w:t>0.15</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%。具体情况如下：</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（图7：财政拨款“三公”经费支出结构）（饼状图）</w:t>
      </w:r>
    </w:p>
    <w:p>
      <w:pPr>
        <w:pStyle w:val="2"/>
        <w:rPr>
          <w:rFonts w:hint="eastAsia" w:ascii="Times New Roman" w:hAnsi="Times New Roman" w:eastAsia="仿宋_GB2312" w:cs="仿宋_GB2312"/>
          <w:color w:val="auto"/>
          <w:kern w:val="2"/>
          <w:sz w:val="32"/>
          <w:szCs w:val="32"/>
          <w:highlight w:val="none"/>
          <w:lang w:val="en-US" w:eastAsia="zh-CN" w:bidi="ar-SA"/>
        </w:rPr>
      </w:pPr>
      <w:r>
        <w:rPr>
          <w:rFonts w:hint="eastAsia" w:eastAsia="仿宋"/>
          <w:lang w:eastAsia="zh-CN"/>
        </w:rPr>
        <w:drawing>
          <wp:anchor distT="0" distB="0" distL="114300" distR="114300" simplePos="0" relativeHeight="251678720" behindDoc="0" locked="0" layoutInCell="1" allowOverlap="1">
            <wp:simplePos x="0" y="0"/>
            <wp:positionH relativeFrom="column">
              <wp:posOffset>490220</wp:posOffset>
            </wp:positionH>
            <wp:positionV relativeFrom="paragraph">
              <wp:posOffset>356870</wp:posOffset>
            </wp:positionV>
            <wp:extent cx="4319905" cy="2879725"/>
            <wp:effectExtent l="4445" t="4445" r="19050" b="11430"/>
            <wp:wrapSquare wrapText="bothSides"/>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pPr>
        <w:rPr>
          <w:rFonts w:hint="eastAsia" w:ascii="Times New Roman" w:hAnsi="Times New Roman" w:eastAsia="仿宋_GB2312" w:cs="仿宋_GB2312"/>
          <w:color w:val="auto"/>
          <w:kern w:val="2"/>
          <w:sz w:val="32"/>
          <w:szCs w:val="32"/>
          <w:highlight w:val="none"/>
          <w:lang w:val="en-US" w:eastAsia="zh-CN" w:bidi="ar-SA"/>
        </w:rPr>
      </w:pPr>
    </w:p>
    <w:p>
      <w:pPr>
        <w:pStyle w:val="2"/>
        <w:rPr>
          <w:rFonts w:hint="eastAsia" w:ascii="Times New Roman" w:hAnsi="Times New Roman" w:eastAsia="仿宋_GB2312" w:cs="仿宋_GB2312"/>
          <w:color w:val="auto"/>
          <w:kern w:val="2"/>
          <w:sz w:val="32"/>
          <w:szCs w:val="32"/>
          <w:highlight w:val="none"/>
          <w:lang w:val="en-US" w:eastAsia="zh-CN" w:bidi="ar-SA"/>
        </w:rPr>
      </w:pPr>
    </w:p>
    <w:p>
      <w:pPr>
        <w:rPr>
          <w:rFonts w:hint="eastAsia"/>
          <w:lang w:val="en-US" w:eastAsia="zh-CN"/>
        </w:rPr>
      </w:pP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1.因公出国（境）经费支出</w:t>
      </w:r>
      <w:r>
        <w:rPr>
          <w:rFonts w:hint="eastAsia" w:ascii="仿宋_GB2312" w:hAnsi="仿宋_GB2312" w:eastAsia="仿宋_GB2312" w:cs="仿宋_GB2312"/>
          <w:sz w:val="32"/>
          <w:szCs w:val="32"/>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全年安排因公出国（境）团组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次，出国（境）</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人。因公出国（境）支出决算比</w:t>
      </w:r>
      <w:r>
        <w:rPr>
          <w:rFonts w:hint="eastAsia" w:eastAsia="仿宋_GB2312" w:cs="仿宋_GB2312"/>
          <w:color w:val="auto"/>
          <w:kern w:val="2"/>
          <w:sz w:val="32"/>
          <w:szCs w:val="32"/>
          <w:highlight w:val="none"/>
          <w:lang w:val="en-US" w:eastAsia="zh-CN" w:bidi="ar-SA"/>
        </w:rPr>
        <w:t>上年度</w:t>
      </w:r>
      <w:r>
        <w:rPr>
          <w:rFonts w:hint="eastAsia" w:ascii="Times New Roman" w:hAnsi="Times New Roman" w:eastAsia="仿宋_GB2312" w:cs="仿宋_GB2312"/>
          <w:color w:val="auto"/>
          <w:kern w:val="2"/>
          <w:sz w:val="32"/>
          <w:szCs w:val="32"/>
          <w:highlight w:val="none"/>
          <w:lang w:val="en-US" w:eastAsia="zh-CN" w:bidi="ar-SA"/>
        </w:rPr>
        <w:t>增加/减少</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万元，增长/下降</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%。主要原因是</w:t>
      </w:r>
      <w:r>
        <w:rPr>
          <w:rFonts w:hint="eastAsia" w:eastAsia="仿宋_GB2312" w:cs="仿宋_GB2312"/>
          <w:color w:val="auto"/>
          <w:kern w:val="2"/>
          <w:sz w:val="32"/>
          <w:szCs w:val="32"/>
          <w:highlight w:val="none"/>
          <w:lang w:val="en-US" w:eastAsia="zh-CN" w:bidi="ar-SA"/>
        </w:rPr>
        <w:t>无此类情况。</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2.公务用车购置及运行维护费支出</w:t>
      </w:r>
      <w:r>
        <w:rPr>
          <w:rFonts w:hint="eastAsia" w:ascii="仿宋_GB2312" w:hAnsi="仿宋_GB2312"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完成预算</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公务用车购置及运行维护费支出决算比</w:t>
      </w:r>
      <w:r>
        <w:rPr>
          <w:rFonts w:hint="eastAsia" w:eastAsia="仿宋_GB2312" w:cs="仿宋_GB2312"/>
          <w:color w:val="auto"/>
          <w:kern w:val="2"/>
          <w:sz w:val="32"/>
          <w:szCs w:val="32"/>
          <w:highlight w:val="none"/>
          <w:lang w:val="en-US" w:eastAsia="zh-CN" w:bidi="ar-SA"/>
        </w:rPr>
        <w:t>上年度</w:t>
      </w:r>
      <w:r>
        <w:rPr>
          <w:rFonts w:hint="eastAsia" w:ascii="Times New Roman" w:hAnsi="Times New Roman" w:eastAsia="仿宋_GB2312" w:cs="仿宋_GB2312"/>
          <w:color w:val="auto"/>
          <w:kern w:val="2"/>
          <w:sz w:val="32"/>
          <w:szCs w:val="32"/>
          <w:highlight w:val="none"/>
          <w:lang w:val="en-US" w:eastAsia="zh-CN" w:bidi="ar-SA"/>
        </w:rPr>
        <w:t>增加/减少</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万元，增长/下降</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%。主要原因是</w:t>
      </w:r>
      <w:r>
        <w:rPr>
          <w:rFonts w:hint="eastAsia" w:eastAsia="仿宋_GB2312" w:cs="仿宋_GB2312"/>
          <w:color w:val="auto"/>
          <w:kern w:val="2"/>
          <w:sz w:val="32"/>
          <w:szCs w:val="32"/>
          <w:highlight w:val="none"/>
          <w:lang w:val="en-US" w:eastAsia="zh-CN" w:bidi="ar-SA"/>
        </w:rPr>
        <w:t>无此类开支。</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其中：公务用车购置支出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万元。全年按规定更新购置公务用车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年12月31日，单位共有公务用车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w:t>
      </w:r>
      <w:r>
        <w:rPr>
          <w:rFonts w:hint="eastAsia" w:eastAsia="仿宋_GB2312" w:cs="仿宋_GB2312"/>
          <w:color w:val="auto"/>
          <w:kern w:val="2"/>
          <w:sz w:val="32"/>
          <w:szCs w:val="32"/>
          <w:highlight w:val="none"/>
          <w:lang w:val="en-US" w:eastAsia="zh-CN" w:bidi="ar-SA"/>
        </w:rPr>
        <w:t>。</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3.公务接待费支出</w:t>
      </w:r>
      <w:r>
        <w:rPr>
          <w:rFonts w:hint="eastAsia" w:ascii="仿宋_GB2312" w:hAnsi="仿宋_GB2312" w:eastAsia="仿宋_GB2312" w:cs="仿宋_GB2312"/>
          <w:b/>
          <w:bCs/>
          <w:color w:val="auto"/>
          <w:kern w:val="2"/>
          <w:sz w:val="32"/>
          <w:szCs w:val="32"/>
          <w:highlight w:val="none"/>
          <w:lang w:val="en-US" w:eastAsia="zh-CN" w:bidi="ar-SA"/>
        </w:rPr>
        <w:t>0.15</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eastAsia="仿宋_GB2312" w:cs="仿宋_GB2312"/>
          <w:b/>
          <w:bCs/>
          <w:color w:val="auto"/>
          <w:kern w:val="2"/>
          <w:sz w:val="32"/>
          <w:szCs w:val="32"/>
          <w:highlight w:val="none"/>
          <w:lang w:val="en-US" w:eastAsia="zh-CN" w:bidi="ar-SA"/>
        </w:rPr>
        <w:t>100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公务接待费支出决算比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w:t>
      </w:r>
      <w:r>
        <w:rPr>
          <w:rFonts w:hint="eastAsia" w:eastAsia="仿宋_GB2312" w:cs="仿宋_GB2312"/>
          <w:color w:val="auto"/>
          <w:kern w:val="2"/>
          <w:sz w:val="32"/>
          <w:szCs w:val="32"/>
          <w:highlight w:val="none"/>
          <w:lang w:val="en-US" w:eastAsia="zh-CN" w:bidi="ar-SA"/>
        </w:rPr>
        <w:t>持平。</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国内公务接待支出</w:t>
      </w:r>
      <w:r>
        <w:rPr>
          <w:rFonts w:hint="eastAsia" w:ascii="仿宋_GB2312" w:hAnsi="仿宋_GB2312" w:eastAsia="仿宋_GB2312" w:cs="仿宋_GB2312"/>
          <w:sz w:val="32"/>
          <w:szCs w:val="32"/>
        </w:rPr>
        <w:t>0.15</w:t>
      </w:r>
      <w:r>
        <w:rPr>
          <w:rFonts w:hint="eastAsia" w:ascii="Times New Roman" w:hAnsi="Times New Roman" w:eastAsia="仿宋_GB2312" w:cs="仿宋_GB2312"/>
          <w:color w:val="auto"/>
          <w:kern w:val="2"/>
          <w:sz w:val="32"/>
          <w:szCs w:val="32"/>
          <w:highlight w:val="none"/>
          <w:lang w:val="en-US" w:eastAsia="zh-CN" w:bidi="ar-SA"/>
        </w:rPr>
        <w:t>万元，主要用于执行公务、开展业务活动开支的交通费、住宿费、用餐费等。国内公务接待</w:t>
      </w:r>
      <w:r>
        <w:rPr>
          <w:rFonts w:hint="eastAsia" w:ascii="仿宋_GB2312" w:hAnsi="仿宋_GB2312" w:eastAsia="仿宋_GB2312" w:cs="仿宋_GB2312"/>
          <w:sz w:val="32"/>
          <w:szCs w:val="32"/>
        </w:rPr>
        <w:t>1</w:t>
      </w:r>
      <w:r>
        <w:rPr>
          <w:rFonts w:hint="eastAsia" w:ascii="Times New Roman" w:hAnsi="Times New Roman"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8</w:t>
      </w:r>
      <w:r>
        <w:rPr>
          <w:rFonts w:hint="eastAsia" w:ascii="Times New Roman" w:hAnsi="Times New Roman" w:eastAsia="仿宋_GB2312" w:cs="仿宋_GB2312"/>
          <w:color w:val="auto"/>
          <w:kern w:val="2"/>
          <w:sz w:val="32"/>
          <w:szCs w:val="32"/>
          <w:highlight w:val="none"/>
          <w:lang w:val="en-US" w:eastAsia="zh-CN" w:bidi="ar-SA"/>
        </w:rPr>
        <w:t>人次（不包括陪同人员），共计支出</w:t>
      </w:r>
      <w:r>
        <w:rPr>
          <w:rFonts w:hint="eastAsia" w:eastAsia="仿宋_GB2312" w:cs="仿宋_GB2312"/>
          <w:color w:val="auto"/>
          <w:kern w:val="2"/>
          <w:sz w:val="32"/>
          <w:szCs w:val="32"/>
          <w:highlight w:val="none"/>
          <w:lang w:val="en-US" w:eastAsia="zh-CN" w:bidi="ar-SA"/>
        </w:rPr>
        <w:t>0.15</w:t>
      </w:r>
      <w:r>
        <w:rPr>
          <w:rFonts w:hint="eastAsia" w:ascii="Times New Roman" w:hAnsi="Times New Roman" w:eastAsia="仿宋_GB2312" w:cs="仿宋_GB2312"/>
          <w:color w:val="auto"/>
          <w:kern w:val="2"/>
          <w:sz w:val="32"/>
          <w:szCs w:val="32"/>
          <w:highlight w:val="none"/>
          <w:lang w:val="en-US" w:eastAsia="zh-CN" w:bidi="ar-SA"/>
        </w:rPr>
        <w:t>万元，具体内容包括：具体内容包括：</w:t>
      </w:r>
      <w:r>
        <w:rPr>
          <w:rFonts w:hint="eastAsia" w:ascii="仿宋_GB2312" w:eastAsia="仿宋_GB2312"/>
          <w:sz w:val="32"/>
          <w:szCs w:val="32"/>
          <w:lang w:eastAsia="zh-CN"/>
        </w:rPr>
        <w:t>上级部门督导检查、调研等工作</w:t>
      </w:r>
      <w:r>
        <w:rPr>
          <w:rFonts w:hint="eastAsia" w:ascii="Times New Roman" w:hAnsi="Times New Roman" w:eastAsia="仿宋_GB2312" w:cs="仿宋_GB2312"/>
          <w:color w:val="auto"/>
          <w:kern w:val="2"/>
          <w:sz w:val="32"/>
          <w:szCs w:val="32"/>
          <w:highlight w:val="none"/>
          <w:lang w:val="en-US" w:eastAsia="zh-CN" w:bidi="ar-SA"/>
        </w:rPr>
        <w:t>。</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外事接待支出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w:t>
      </w:r>
    </w:p>
    <w:p>
      <w:pPr>
        <w:spacing w:line="600" w:lineRule="exact"/>
        <w:ind w:firstLine="640"/>
        <w:outlineLvl w:val="1"/>
        <w:rPr>
          <w:rStyle w:val="29"/>
          <w:rFonts w:ascii="Times New Roman" w:hAnsi="Times New Roman" w:eastAsia="黑体"/>
          <w:color w:val="auto"/>
          <w:highlight w:val="none"/>
        </w:rPr>
      </w:pPr>
      <w:bookmarkStart w:id="34" w:name="_Toc15377218"/>
      <w:bookmarkStart w:id="35" w:name="_Toc15396610"/>
      <w:r>
        <w:rPr>
          <w:rFonts w:hint="eastAsia" w:ascii="Times New Roman" w:hAnsi="Times New Roman" w:eastAsia="黑体"/>
          <w:color w:val="auto"/>
          <w:sz w:val="32"/>
          <w:szCs w:val="32"/>
          <w:highlight w:val="none"/>
        </w:rPr>
        <w:t>八、</w:t>
      </w:r>
      <w:r>
        <w:rPr>
          <w:rStyle w:val="29"/>
          <w:rFonts w:hint="eastAsia" w:ascii="Times New Roman" w:hAnsi="Times New Roman" w:eastAsia="黑体"/>
          <w:b w:val="0"/>
          <w:color w:val="auto"/>
          <w:highlight w:val="none"/>
        </w:rPr>
        <w:t>政府性基金预算支出决算情况说明</w:t>
      </w:r>
      <w:bookmarkEnd w:id="34"/>
      <w:bookmarkEnd w:id="35"/>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政府性基金预算财政拨款支出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w:t>
      </w:r>
    </w:p>
    <w:p>
      <w:pPr>
        <w:numPr>
          <w:ilvl w:val="0"/>
          <w:numId w:val="0"/>
        </w:numPr>
        <w:spacing w:line="600" w:lineRule="exact"/>
        <w:ind w:left="630" w:leftChars="0"/>
        <w:outlineLvl w:val="1"/>
        <w:rPr>
          <w:rStyle w:val="29"/>
          <w:rFonts w:ascii="Times New Roman" w:hAnsi="Times New Roman" w:eastAsia="黑体"/>
          <w:b w:val="0"/>
          <w:color w:val="auto"/>
          <w:highlight w:val="none"/>
        </w:rPr>
      </w:pPr>
      <w:bookmarkStart w:id="36" w:name="_Toc15396611"/>
      <w:bookmarkStart w:id="37" w:name="_Toc15377219"/>
      <w:r>
        <w:rPr>
          <w:rStyle w:val="29"/>
          <w:rFonts w:hint="eastAsia" w:ascii="Times New Roman" w:hAnsi="Times New Roman" w:eastAsia="黑体"/>
          <w:b w:val="0"/>
          <w:color w:val="auto"/>
          <w:highlight w:val="none"/>
          <w:lang w:eastAsia="zh-CN"/>
        </w:rPr>
        <w:t>九、</w:t>
      </w:r>
      <w:r>
        <w:rPr>
          <w:rStyle w:val="29"/>
          <w:rFonts w:hint="eastAsia" w:ascii="Times New Roman" w:hAnsi="Times New Roman" w:eastAsia="黑体"/>
          <w:b w:val="0"/>
          <w:color w:val="auto"/>
          <w:highlight w:val="none"/>
        </w:rPr>
        <w:t>国有资本经营预算支出决算情况说明</w:t>
      </w:r>
      <w:bookmarkEnd w:id="36"/>
      <w:bookmarkEnd w:id="37"/>
    </w:p>
    <w:p>
      <w:pPr>
        <w:numPr>
          <w:ilvl w:val="0"/>
          <w:numId w:val="0"/>
        </w:numPr>
        <w:spacing w:line="600" w:lineRule="exact"/>
        <w:ind w:left="630" w:leftChars="0"/>
        <w:outlineLvl w:val="1"/>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国有资本经营预算财政拨款支出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w:t>
      </w:r>
      <w:bookmarkStart w:id="38" w:name="_Toc15396612"/>
      <w:bookmarkStart w:id="39" w:name="_Toc15377221"/>
    </w:p>
    <w:p>
      <w:pPr>
        <w:numPr>
          <w:ilvl w:val="0"/>
          <w:numId w:val="0"/>
        </w:numPr>
        <w:spacing w:line="600" w:lineRule="exact"/>
        <w:ind w:left="630" w:leftChars="0"/>
        <w:outlineLvl w:val="1"/>
        <w:rPr>
          <w:rStyle w:val="29"/>
          <w:rFonts w:hint="eastAsia" w:ascii="Times New Roman" w:hAnsi="Times New Roman" w:eastAsia="黑体"/>
          <w:b w:val="0"/>
          <w:color w:val="auto"/>
          <w:highlight w:val="none"/>
        </w:rPr>
      </w:pPr>
      <w:r>
        <w:rPr>
          <w:rStyle w:val="29"/>
          <w:rFonts w:hint="eastAsia" w:ascii="Times New Roman" w:hAnsi="Times New Roman" w:eastAsia="黑体"/>
          <w:b w:val="0"/>
          <w:color w:val="auto"/>
          <w:highlight w:val="none"/>
          <w:lang w:eastAsia="zh-CN"/>
        </w:rPr>
        <w:t>十、</w:t>
      </w:r>
      <w:r>
        <w:rPr>
          <w:rStyle w:val="29"/>
          <w:rFonts w:hint="eastAsia" w:ascii="Times New Roman" w:hAnsi="Times New Roman" w:eastAsia="黑体"/>
          <w:b w:val="0"/>
          <w:color w:val="auto"/>
          <w:highlight w:val="none"/>
        </w:rPr>
        <w:t>其他重要事项的情况说明</w:t>
      </w:r>
      <w:bookmarkEnd w:id="38"/>
      <w:bookmarkEnd w:id="39"/>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0" w:name="_Toc15377222"/>
      <w:r>
        <w:rPr>
          <w:rFonts w:hint="eastAsia" w:ascii="Times New Roman" w:hAnsi="Times New Roman" w:eastAsia="楷体_GB2312" w:cs="楷体_GB2312"/>
          <w:b/>
          <w:color w:val="auto"/>
          <w:sz w:val="32"/>
          <w:szCs w:val="32"/>
          <w:highlight w:val="none"/>
        </w:rPr>
        <w:t>（一）机关运行经费支出情况</w:t>
      </w:r>
      <w:bookmarkEnd w:id="40"/>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红原县信访局</w:t>
      </w:r>
      <w:r>
        <w:rPr>
          <w:rFonts w:hint="eastAsia" w:ascii="Times New Roman" w:hAnsi="Times New Roman" w:eastAsia="仿宋_GB2312" w:cs="仿宋_GB2312"/>
          <w:color w:val="auto"/>
          <w:kern w:val="2"/>
          <w:sz w:val="32"/>
          <w:szCs w:val="32"/>
          <w:highlight w:val="none"/>
          <w:lang w:val="en-US" w:eastAsia="zh-CN" w:bidi="ar-SA"/>
        </w:rPr>
        <w:t>机关运行经费支出</w:t>
      </w:r>
      <w:r>
        <w:rPr>
          <w:rFonts w:hint="eastAsia" w:ascii="仿宋_GB2312" w:hAnsi="仿宋_GB2312" w:eastAsia="仿宋_GB2312" w:cs="仿宋_GB2312"/>
          <w:sz w:val="32"/>
          <w:szCs w:val="32"/>
        </w:rPr>
        <w:t>14.33</w:t>
      </w:r>
      <w:r>
        <w:rPr>
          <w:rFonts w:hint="eastAsia" w:ascii="Times New Roman" w:hAnsi="Times New Roman" w:eastAsia="仿宋_GB2312" w:cs="仿宋_GB2312"/>
          <w:color w:val="auto"/>
          <w:kern w:val="2"/>
          <w:sz w:val="32"/>
          <w:szCs w:val="32"/>
          <w:highlight w:val="none"/>
          <w:lang w:val="en-US" w:eastAsia="zh-CN" w:bidi="ar-SA"/>
        </w:rPr>
        <w:t>万元，比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年度增加</w:t>
      </w:r>
      <w:r>
        <w:rPr>
          <w:rFonts w:hint="eastAsia" w:eastAsia="仿宋_GB2312" w:cs="仿宋_GB2312"/>
          <w:color w:val="auto"/>
          <w:kern w:val="2"/>
          <w:sz w:val="32"/>
          <w:szCs w:val="32"/>
          <w:highlight w:val="none"/>
          <w:lang w:val="en-US" w:eastAsia="zh-CN" w:bidi="ar-SA"/>
        </w:rPr>
        <w:t>0.96</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6.7</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r>
        <w:rPr>
          <w:rFonts w:hint="eastAsia" w:ascii="仿宋_GB2312" w:eastAsia="仿宋_GB2312"/>
          <w:color w:val="auto"/>
          <w:sz w:val="32"/>
          <w:szCs w:val="32"/>
        </w:rPr>
        <w:t>主要原因是</w:t>
      </w:r>
      <w:r>
        <w:rPr>
          <w:rFonts w:hint="eastAsia" w:ascii="仿宋_GB2312" w:eastAsia="仿宋_GB2312"/>
          <w:color w:val="auto"/>
          <w:sz w:val="32"/>
          <w:szCs w:val="32"/>
          <w:lang w:eastAsia="zh-CN"/>
        </w:rPr>
        <w:t>办公运转费增加</w:t>
      </w:r>
      <w:r>
        <w:rPr>
          <w:rFonts w:hint="eastAsia" w:ascii="仿宋_GB2312" w:eastAsia="仿宋_GB2312"/>
          <w:color w:val="auto"/>
          <w:sz w:val="32"/>
          <w:szCs w:val="32"/>
        </w:rPr>
        <w:t>。</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1" w:name="_Toc15377223"/>
      <w:r>
        <w:rPr>
          <w:rFonts w:hint="eastAsia" w:ascii="Times New Roman" w:hAnsi="Times New Roman" w:eastAsia="楷体_GB2312" w:cs="楷体_GB2312"/>
          <w:b/>
          <w:color w:val="auto"/>
          <w:sz w:val="32"/>
          <w:szCs w:val="32"/>
          <w:highlight w:val="none"/>
        </w:rPr>
        <w:t>（二）政府采购支出情况</w:t>
      </w:r>
      <w:bookmarkEnd w:id="41"/>
    </w:p>
    <w:p>
      <w:pPr>
        <w:spacing w:line="600" w:lineRule="exact"/>
        <w:ind w:firstLine="640" w:firstLineChars="200"/>
        <w:outlineLvl w:val="2"/>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红原县信访局</w:t>
      </w:r>
      <w:r>
        <w:rPr>
          <w:rFonts w:hint="eastAsia" w:ascii="Times New Roman" w:hAnsi="Times New Roman" w:eastAsia="仿宋_GB2312" w:cs="仿宋_GB2312"/>
          <w:color w:val="auto"/>
          <w:kern w:val="2"/>
          <w:sz w:val="32"/>
          <w:szCs w:val="32"/>
          <w:highlight w:val="none"/>
          <w:lang w:val="en-US" w:eastAsia="zh-CN" w:bidi="ar-SA"/>
        </w:rPr>
        <w:t>政府采购支出总额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万元，其中：政府采购货物支出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万元、政府采购工程支出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万元、政府采购服务支出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w:t>
      </w:r>
      <w:bookmarkStart w:id="42" w:name="_Toc15377224"/>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（三）国有资产占有使用情况</w:t>
      </w:r>
      <w:bookmarkEnd w:id="42"/>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w:t>
      </w:r>
      <w:r>
        <w:rPr>
          <w:rFonts w:hint="eastAsia" w:ascii="仿宋_GB2312" w:hAnsi="仿宋_GB2312" w:eastAsia="仿宋_GB2312" w:cs="仿宋_GB2312"/>
          <w:sz w:val="32"/>
          <w:szCs w:val="32"/>
        </w:rPr>
        <w:t>红原县信访局</w:t>
      </w:r>
      <w:r>
        <w:rPr>
          <w:rFonts w:hint="eastAsia" w:ascii="Times New Roman" w:hAnsi="Times New Roman" w:eastAsia="仿宋_GB2312" w:cs="仿宋_GB2312"/>
          <w:color w:val="auto"/>
          <w:kern w:val="2"/>
          <w:sz w:val="32"/>
          <w:szCs w:val="32"/>
          <w:highlight w:val="none"/>
          <w:lang w:val="en-US" w:eastAsia="zh-CN" w:bidi="ar-SA"/>
        </w:rPr>
        <w:t>共有车辆</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辆，其中：主要</w:t>
      </w:r>
      <w:r>
        <w:rPr>
          <w:rFonts w:hint="eastAsia" w:eastAsia="仿宋_GB2312" w:cs="仿宋_GB2312"/>
          <w:color w:val="auto"/>
          <w:kern w:val="2"/>
          <w:sz w:val="32"/>
          <w:szCs w:val="32"/>
          <w:highlight w:val="none"/>
          <w:lang w:val="en-US" w:eastAsia="zh-CN" w:bidi="ar-SA"/>
        </w:rPr>
        <w:t>负责人</w:t>
      </w:r>
      <w:r>
        <w:rPr>
          <w:rFonts w:hint="eastAsia" w:ascii="Times New Roman" w:hAnsi="Times New Roman" w:eastAsia="仿宋_GB2312" w:cs="仿宋_GB2312"/>
          <w:color w:val="auto"/>
          <w:kern w:val="2"/>
          <w:sz w:val="32"/>
          <w:szCs w:val="32"/>
          <w:highlight w:val="none"/>
          <w:lang w:val="en-US" w:eastAsia="zh-CN" w:bidi="ar-SA"/>
        </w:rPr>
        <w:t>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辆、机要通信用车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辆、应急保障用车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辆、其他用车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辆，单价100万元</w:t>
      </w:r>
      <w:r>
        <w:rPr>
          <w:rFonts w:hint="eastAsia" w:eastAsia="仿宋_GB2312" w:cs="仿宋_GB2312"/>
          <w:color w:val="auto"/>
          <w:kern w:val="2"/>
          <w:sz w:val="32"/>
          <w:szCs w:val="32"/>
          <w:highlight w:val="none"/>
          <w:lang w:val="en-US" w:eastAsia="zh-CN" w:bidi="ar-SA"/>
        </w:rPr>
        <w:t>（含）</w:t>
      </w:r>
      <w:r>
        <w:rPr>
          <w:rFonts w:hint="eastAsia" w:ascii="Times New Roman" w:hAnsi="Times New Roman" w:eastAsia="仿宋_GB2312" w:cs="仿宋_GB2312"/>
          <w:color w:val="auto"/>
          <w:kern w:val="2"/>
          <w:sz w:val="32"/>
          <w:szCs w:val="32"/>
          <w:highlight w:val="none"/>
          <w:lang w:val="en-US" w:eastAsia="zh-CN" w:bidi="ar-SA"/>
        </w:rPr>
        <w:t>以上设备（不含车辆）</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台（套）。</w:t>
      </w:r>
    </w:p>
    <w:p>
      <w:pPr>
        <w:numPr>
          <w:ilvl w:val="0"/>
          <w:numId w:val="1"/>
        </w:numPr>
        <w:adjustRightInd w:val="0"/>
        <w:snapToGrid w:val="0"/>
        <w:spacing w:line="576" w:lineRule="atLeast"/>
        <w:ind w:firstLine="643" w:firstLineChars="200"/>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预算绩效管理情况</w:t>
      </w:r>
    </w:p>
    <w:p>
      <w:pPr>
        <w:spacing w:line="580" w:lineRule="exact"/>
        <w:ind w:firstLine="643" w:firstLineChars="200"/>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1.</w:t>
      </w:r>
      <w:r>
        <w:rPr>
          <w:rFonts w:hint="eastAsia" w:ascii="楷体_GB2312" w:hAnsi="楷体_GB2312" w:eastAsia="楷体_GB2312" w:cs="楷体_GB2312"/>
          <w:b/>
          <w:bCs/>
          <w:kern w:val="0"/>
          <w:sz w:val="32"/>
          <w:szCs w:val="32"/>
        </w:rPr>
        <w:t>202</w:t>
      </w:r>
      <w:r>
        <w:rPr>
          <w:rFonts w:hint="eastAsia" w:ascii="楷体_GB2312" w:hAnsi="楷体_GB2312" w:eastAsia="楷体_GB2312" w:cs="楷体_GB2312"/>
          <w:b/>
          <w:bCs/>
          <w:kern w:val="0"/>
          <w:sz w:val="32"/>
          <w:szCs w:val="32"/>
          <w:lang w:val="en-US" w:eastAsia="zh-CN"/>
        </w:rPr>
        <w:t>5</w:t>
      </w:r>
      <w:r>
        <w:rPr>
          <w:rFonts w:hint="eastAsia" w:ascii="楷体_GB2312" w:hAnsi="楷体_GB2312" w:eastAsia="楷体_GB2312" w:cs="楷体_GB2312"/>
          <w:b/>
          <w:bCs/>
          <w:kern w:val="0"/>
          <w:sz w:val="32"/>
          <w:szCs w:val="32"/>
        </w:rPr>
        <w:t>年完成的主要目标任务</w:t>
      </w:r>
      <w:r>
        <w:rPr>
          <w:rFonts w:hint="eastAsia" w:ascii="楷体_GB2312" w:hAnsi="楷体_GB2312" w:eastAsia="楷体_GB2312" w:cs="楷体_GB2312"/>
          <w:b/>
          <w:bCs/>
          <w:kern w:val="0"/>
          <w:sz w:val="32"/>
          <w:szCs w:val="32"/>
          <w:lang w:eastAsia="zh-CN"/>
        </w:rPr>
        <w:t>。</w:t>
      </w:r>
    </w:p>
    <w:p>
      <w:pPr>
        <w:numPr>
          <w:ilvl w:val="0"/>
          <w:numId w:val="0"/>
        </w:numPr>
        <w:adjustRightInd w:val="0"/>
        <w:snapToGrid w:val="0"/>
        <w:spacing w:line="576" w:lineRule="atLeast"/>
        <w:ind w:firstLine="640" w:firstLineChars="200"/>
        <w:rPr>
          <w:rFonts w:hint="eastAsia" w:ascii="仿宋_GB2312" w:hAnsi="仿宋_GB2312" w:eastAsia="仿宋_GB2312" w:cs="仿宋_GB2312"/>
          <w:color w:val="auto"/>
          <w:sz w:val="32"/>
          <w:szCs w:val="32"/>
          <w:lang w:val="en-US" w:eastAsia="zh-CN"/>
        </w:rPr>
      </w:pPr>
      <w:r>
        <w:rPr>
          <w:rFonts w:hint="default" w:ascii="Times New Roman" w:hAnsi="Times New Roman" w:eastAsia="仿宋_GB2312" w:cs="Times New Roman"/>
          <w:sz w:val="32"/>
          <w:szCs w:val="32"/>
          <w:lang w:val="en-US" w:eastAsia="zh-CN"/>
        </w:rPr>
        <w:t>2025年，</w:t>
      </w:r>
      <w:r>
        <w:rPr>
          <w:rFonts w:hint="eastAsia" w:ascii="仿宋_GB2312" w:hAnsi="仿宋_GB2312" w:eastAsia="仿宋_GB2312" w:cs="仿宋_GB2312"/>
          <w:color w:val="auto"/>
          <w:sz w:val="32"/>
          <w:szCs w:val="32"/>
        </w:rPr>
        <w:t>围绕</w:t>
      </w:r>
      <w:r>
        <w:rPr>
          <w:rFonts w:hint="eastAsia" w:ascii="仿宋_GB2312" w:hAnsi="仿宋_GB2312" w:eastAsia="仿宋_GB2312" w:cs="仿宋_GB2312"/>
          <w:color w:val="auto"/>
          <w:sz w:val="32"/>
          <w:szCs w:val="32"/>
          <w:lang w:eastAsia="zh-CN"/>
        </w:rPr>
        <w:t>中央、</w:t>
      </w:r>
      <w:r>
        <w:rPr>
          <w:rFonts w:hint="eastAsia" w:ascii="仿宋_GB2312" w:hAnsi="仿宋_GB2312" w:eastAsia="仿宋_GB2312" w:cs="仿宋_GB2312"/>
          <w:color w:val="auto"/>
          <w:sz w:val="32"/>
          <w:szCs w:val="32"/>
        </w:rPr>
        <w:t>省、</w:t>
      </w:r>
      <w:r>
        <w:rPr>
          <w:rFonts w:hint="eastAsia" w:ascii="仿宋_GB2312" w:hAnsi="仿宋_GB2312" w:eastAsia="仿宋_GB2312" w:cs="仿宋_GB2312"/>
          <w:color w:val="auto"/>
          <w:sz w:val="32"/>
          <w:szCs w:val="32"/>
          <w:lang w:eastAsia="zh-CN"/>
        </w:rPr>
        <w:t>州</w:t>
      </w:r>
      <w:r>
        <w:rPr>
          <w:rFonts w:hint="eastAsia" w:ascii="仿宋_GB2312" w:hAnsi="仿宋_GB2312" w:eastAsia="仿宋_GB2312" w:cs="仿宋_GB2312"/>
          <w:color w:val="auto"/>
          <w:sz w:val="32"/>
          <w:szCs w:val="32"/>
        </w:rPr>
        <w:t>下达的信访工作目标考核任务（主要包括</w:t>
      </w:r>
      <w:r>
        <w:rPr>
          <w:rFonts w:hint="eastAsia" w:ascii="仿宋_GB2312" w:hAnsi="仿宋_GB2312" w:eastAsia="仿宋_GB2312" w:cs="仿宋_GB2312"/>
          <w:color w:val="auto"/>
          <w:sz w:val="32"/>
          <w:szCs w:val="32"/>
          <w:lang w:eastAsia="zh-CN"/>
        </w:rPr>
        <w:t>信访事项及时受理率、按期办结率</w:t>
      </w:r>
      <w:r>
        <w:rPr>
          <w:rFonts w:hint="eastAsia" w:ascii="仿宋_GB2312" w:hAnsi="仿宋_GB2312" w:eastAsia="仿宋_GB2312" w:cs="仿宋_GB2312"/>
          <w:color w:val="auto"/>
          <w:sz w:val="32"/>
          <w:szCs w:val="32"/>
        </w:rPr>
        <w:t>、初次信访一次性化解率、信访积案化解率、重复信访占比等核心指标），我局坚持目标导向、问题导向、结果导向，全力以赴推进各项工作</w:t>
      </w:r>
      <w:r>
        <w:rPr>
          <w:rFonts w:hint="eastAsia" w:ascii="仿宋_GB2312" w:hAnsi="仿宋_GB2312" w:eastAsia="仿宋_GB2312" w:cs="仿宋_GB2312"/>
          <w:color w:val="auto"/>
          <w:sz w:val="32"/>
          <w:szCs w:val="32"/>
          <w:lang w:eastAsia="zh-CN"/>
        </w:rPr>
        <w:t>。</w:t>
      </w:r>
      <w:r>
        <w:rPr>
          <w:rFonts w:hint="eastAsia" w:ascii="楷体_GB2312" w:hAnsi="楷体_GB2312" w:eastAsia="楷体_GB2312" w:cs="楷体_GB2312"/>
          <w:b/>
          <w:bCs/>
          <w:color w:val="auto"/>
          <w:sz w:val="32"/>
          <w:szCs w:val="32"/>
          <w:lang w:eastAsia="zh-CN"/>
        </w:rPr>
        <w:t>一是总体态势平稳可控。</w:t>
      </w:r>
      <w:r>
        <w:rPr>
          <w:rFonts w:hint="eastAsia" w:ascii="仿宋_GB2312" w:hAnsi="仿宋_GB2312" w:eastAsia="仿宋_GB2312" w:cs="仿宋_GB2312"/>
          <w:color w:val="auto"/>
          <w:sz w:val="32"/>
          <w:szCs w:val="32"/>
        </w:rPr>
        <w:t>通过强化源头预防、压实首接首办责任、推行领导干部接访下访包案等措施，信访总量总体保持在合理区间，</w:t>
      </w:r>
      <w:r>
        <w:rPr>
          <w:rFonts w:hint="eastAsia" w:ascii="仿宋_GB2312" w:hAnsi="仿宋_GB2312" w:eastAsia="仿宋_GB2312" w:cs="仿宋_GB2312"/>
          <w:color w:val="auto"/>
          <w:sz w:val="32"/>
          <w:szCs w:val="32"/>
          <w:lang w:val="en-US" w:eastAsia="zh-CN"/>
        </w:rPr>
        <w:t>2025年</w:t>
      </w:r>
      <w:r>
        <w:rPr>
          <w:rFonts w:hint="eastAsia" w:ascii="仿宋_GB2312" w:hAnsi="仿宋_GB2312" w:eastAsia="仿宋_GB2312" w:cs="仿宋_GB2312"/>
          <w:color w:val="auto"/>
          <w:sz w:val="32"/>
          <w:szCs w:val="32"/>
          <w:lang w:eastAsia="zh-CN"/>
        </w:rPr>
        <w:t>，</w:t>
      </w:r>
      <w:r>
        <w:rPr>
          <w:rFonts w:hint="default" w:ascii="Times New Roman" w:hAnsi="Times New Roman" w:eastAsia="仿宋_GB2312" w:cs="Times New Roman"/>
          <w:sz w:val="32"/>
          <w:szCs w:val="32"/>
          <w:lang w:val="en-US" w:eastAsia="zh-CN"/>
        </w:rPr>
        <w:t>信访总量147件174人次，</w:t>
      </w:r>
      <w:r>
        <w:rPr>
          <w:rFonts w:hint="eastAsia" w:ascii="Times New Roman" w:hAnsi="Times New Roman" w:eastAsia="仿宋_GB2312" w:cs="Times New Roman"/>
          <w:sz w:val="32"/>
          <w:szCs w:val="32"/>
          <w:lang w:val="en-US" w:eastAsia="zh-CN"/>
        </w:rPr>
        <w:t>办结147件</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kern w:val="2"/>
          <w:sz w:val="32"/>
          <w:szCs w:val="32"/>
          <w:lang w:val="en-US" w:eastAsia="zh-CN" w:bidi="ar-SA"/>
        </w:rPr>
        <w:t>信访部门受理率、责任单位及时受理率、按期答复率、</w:t>
      </w:r>
      <w:r>
        <w:rPr>
          <w:rFonts w:hint="eastAsia" w:ascii="仿宋_GB2312" w:hAnsi="仿宋_GB2312" w:eastAsia="仿宋_GB2312" w:cs="仿宋_GB2312"/>
          <w:color w:val="auto"/>
          <w:sz w:val="32"/>
          <w:szCs w:val="32"/>
          <w:lang w:val="en-US" w:eastAsia="zh-CN"/>
        </w:rPr>
        <w:t>其他法定程序办理情况均达100%</w:t>
      </w:r>
      <w:r>
        <w:rPr>
          <w:rFonts w:hint="eastAsia" w:ascii="仿宋_GB2312" w:hAnsi="仿宋_GB2312" w:eastAsia="仿宋_GB2312" w:cs="仿宋_GB2312"/>
          <w:color w:val="auto"/>
          <w:sz w:val="32"/>
          <w:szCs w:val="32"/>
          <w:lang w:eastAsia="zh-CN"/>
        </w:rPr>
        <w:t>。</w:t>
      </w:r>
      <w:r>
        <w:rPr>
          <w:rFonts w:hint="eastAsia" w:ascii="楷体_GB2312" w:hAnsi="楷体_GB2312" w:eastAsia="楷体_GB2312" w:cs="楷体_GB2312"/>
          <w:b/>
          <w:bCs/>
          <w:color w:val="auto"/>
          <w:sz w:val="32"/>
          <w:szCs w:val="32"/>
          <w:lang w:eastAsia="zh-CN"/>
        </w:rPr>
        <w:t>二是积案化解持续攻坚。</w:t>
      </w:r>
      <w:r>
        <w:rPr>
          <w:rFonts w:hint="eastAsia" w:ascii="仿宋_GB2312" w:hAnsi="仿宋_GB2312" w:eastAsia="仿宋_GB2312" w:cs="仿宋_GB2312"/>
          <w:color w:val="auto"/>
          <w:sz w:val="32"/>
          <w:szCs w:val="32"/>
        </w:rPr>
        <w:t>对纳入2025</w:t>
      </w:r>
      <w:r>
        <w:rPr>
          <w:rFonts w:hint="eastAsia" w:ascii="仿宋_GB2312" w:hAnsi="仿宋_GB2312" w:eastAsia="仿宋_GB2312" w:cs="仿宋_GB2312"/>
          <w:color w:val="auto"/>
          <w:sz w:val="32"/>
          <w:szCs w:val="32"/>
          <w:lang w:eastAsia="zh-CN"/>
        </w:rPr>
        <w:t>年化解</w:t>
      </w:r>
      <w:r>
        <w:rPr>
          <w:rFonts w:hint="eastAsia" w:ascii="仿宋_GB2312" w:hAnsi="仿宋_GB2312" w:eastAsia="仿宋_GB2312" w:cs="仿宋_GB2312"/>
          <w:color w:val="auto"/>
          <w:sz w:val="32"/>
          <w:szCs w:val="32"/>
        </w:rPr>
        <w:t>的信访积案，建立台账，明确包案领导、责任单位和化解时限，实行挂图作战。</w:t>
      </w:r>
      <w:r>
        <w:rPr>
          <w:rFonts w:hint="default" w:ascii="仿宋_GB2312" w:hAnsi="仿宋_GB2312" w:eastAsia="仿宋_GB2312" w:cs="仿宋_GB2312"/>
          <w:color w:val="auto"/>
          <w:sz w:val="32"/>
          <w:szCs w:val="32"/>
          <w:lang w:val="en-US" w:eastAsia="zh-CN"/>
        </w:rPr>
        <w:t>按期圆满办结</w:t>
      </w:r>
      <w:r>
        <w:rPr>
          <w:rFonts w:hint="eastAsia" w:ascii="仿宋_GB2312" w:hAnsi="仿宋_GB2312" w:eastAsia="仿宋_GB2312" w:cs="仿宋_GB2312"/>
          <w:color w:val="auto"/>
          <w:sz w:val="32"/>
          <w:szCs w:val="32"/>
          <w:lang w:val="en-US" w:eastAsia="zh-CN"/>
        </w:rPr>
        <w:t>州</w:t>
      </w:r>
      <w:r>
        <w:rPr>
          <w:rFonts w:hint="default" w:ascii="仿宋_GB2312" w:hAnsi="仿宋_GB2312" w:eastAsia="仿宋_GB2312" w:cs="仿宋_GB2312"/>
          <w:color w:val="auto"/>
          <w:sz w:val="32"/>
          <w:szCs w:val="32"/>
          <w:lang w:val="en-US" w:eastAsia="zh-CN"/>
        </w:rPr>
        <w:t>信访工作联席会议办公室交办我县的</w:t>
      </w:r>
      <w:r>
        <w:rPr>
          <w:rFonts w:hint="eastAsia" w:ascii="仿宋_GB2312" w:hAnsi="仿宋_GB2312" w:eastAsia="仿宋_GB2312" w:cs="仿宋_GB2312"/>
          <w:color w:val="auto"/>
          <w:sz w:val="32"/>
          <w:szCs w:val="32"/>
          <w:lang w:val="en-US" w:eastAsia="zh-CN"/>
        </w:rPr>
        <w:t>重复信访1</w:t>
      </w:r>
      <w:r>
        <w:rPr>
          <w:rFonts w:hint="default" w:ascii="仿宋_GB2312" w:hAnsi="仿宋_GB2312" w:eastAsia="仿宋_GB2312" w:cs="仿宋_GB2312"/>
          <w:color w:val="auto"/>
          <w:sz w:val="32"/>
          <w:szCs w:val="32"/>
          <w:lang w:val="en-US" w:eastAsia="zh-CN"/>
        </w:rPr>
        <w:t>件</w:t>
      </w:r>
      <w:r>
        <w:rPr>
          <w:rFonts w:hint="eastAsia" w:ascii="仿宋_GB2312" w:hAnsi="仿宋_GB2312" w:eastAsia="仿宋_GB2312" w:cs="仿宋_GB2312"/>
          <w:color w:val="auto"/>
          <w:sz w:val="32"/>
          <w:szCs w:val="32"/>
        </w:rPr>
        <w:t>。</w:t>
      </w:r>
      <w:r>
        <w:rPr>
          <w:rFonts w:hint="eastAsia" w:ascii="楷体_GB2312" w:hAnsi="楷体_GB2312" w:eastAsia="楷体_GB2312" w:cs="楷体_GB2312"/>
          <w:b/>
          <w:bCs/>
          <w:color w:val="auto"/>
          <w:sz w:val="32"/>
          <w:szCs w:val="32"/>
          <w:lang w:eastAsia="zh-CN"/>
        </w:rPr>
        <w:t>三是基础工作不断夯实。</w:t>
      </w:r>
      <w:r>
        <w:rPr>
          <w:rFonts w:hint="eastAsia" w:ascii="仿宋_GB2312" w:hAnsi="仿宋_GB2312" w:eastAsia="仿宋_GB2312" w:cs="仿宋_GB2312"/>
          <w:color w:val="auto"/>
          <w:sz w:val="32"/>
          <w:szCs w:val="32"/>
        </w:rPr>
        <w:t>在推动基层基础规范化建设、加强业务培训、规范信访业务办理流程等方面取得进展，为指标完成奠定了基础。但在提升基层吸附化解能力、有效降低重复信访率方面，仍需持续发力。</w:t>
      </w:r>
      <w:r>
        <w:rPr>
          <w:rFonts w:hint="eastAsia" w:ascii="仿宋_GB2312" w:hAnsi="仿宋_GB2312" w:eastAsia="仿宋_GB2312" w:cs="仿宋_GB2312"/>
          <w:color w:val="auto"/>
          <w:sz w:val="32"/>
          <w:szCs w:val="32"/>
          <w:lang w:eastAsia="zh-CN"/>
        </w:rPr>
        <w:t>今年以来，先后</w:t>
      </w:r>
      <w:r>
        <w:rPr>
          <w:rFonts w:hint="default" w:ascii="仿宋_GB2312" w:hAnsi="仿宋_GB2312" w:eastAsia="仿宋_GB2312" w:cs="仿宋_GB2312"/>
          <w:color w:val="auto"/>
          <w:sz w:val="32"/>
          <w:szCs w:val="32"/>
          <w:lang w:val="en-US" w:eastAsia="zh-CN"/>
        </w:rPr>
        <w:t>印发《信访矛盾纠纷排查化工作的通知》《信访矛盾大起底大排查大化解工作方案》，常态开展信访隐患排查化解工作，共排查出</w:t>
      </w:r>
      <w:r>
        <w:rPr>
          <w:rFonts w:hint="eastAsia" w:ascii="仿宋_GB2312" w:hAnsi="仿宋_GB2312" w:eastAsia="仿宋_GB2312" w:cs="仿宋_GB2312"/>
          <w:color w:val="auto"/>
          <w:sz w:val="32"/>
          <w:szCs w:val="32"/>
          <w:lang w:val="en-US" w:eastAsia="zh-CN"/>
        </w:rPr>
        <w:t>纠纷24</w:t>
      </w:r>
      <w:r>
        <w:rPr>
          <w:rFonts w:hint="default" w:ascii="仿宋_GB2312" w:hAnsi="仿宋_GB2312" w:eastAsia="仿宋_GB2312" w:cs="仿宋_GB2312"/>
          <w:color w:val="auto"/>
          <w:sz w:val="32"/>
          <w:szCs w:val="32"/>
          <w:lang w:val="en-US" w:eastAsia="zh-CN"/>
        </w:rPr>
        <w:t>件，化解</w:t>
      </w:r>
      <w:r>
        <w:rPr>
          <w:rFonts w:hint="eastAsia" w:ascii="仿宋_GB2312" w:hAnsi="仿宋_GB2312" w:eastAsia="仿宋_GB2312" w:cs="仿宋_GB2312"/>
          <w:color w:val="auto"/>
          <w:sz w:val="32"/>
          <w:szCs w:val="32"/>
          <w:lang w:val="en-US" w:eastAsia="zh-CN"/>
        </w:rPr>
        <w:t>24</w:t>
      </w:r>
      <w:r>
        <w:rPr>
          <w:rFonts w:hint="default" w:ascii="仿宋_GB2312" w:hAnsi="仿宋_GB2312" w:eastAsia="仿宋_GB2312" w:cs="仿宋_GB2312"/>
          <w:color w:val="auto"/>
          <w:sz w:val="32"/>
          <w:szCs w:val="32"/>
          <w:lang w:val="en-US" w:eastAsia="zh-CN"/>
        </w:rPr>
        <w:t>件。</w:t>
      </w:r>
      <w:r>
        <w:rPr>
          <w:rFonts w:hint="eastAsia" w:ascii="楷体_GB2312" w:hAnsi="楷体_GB2312" w:eastAsia="楷体_GB2312" w:cs="楷体_GB2312"/>
          <w:b/>
          <w:bCs/>
          <w:color w:val="auto"/>
          <w:sz w:val="32"/>
          <w:szCs w:val="32"/>
          <w:lang w:eastAsia="zh-CN"/>
        </w:rPr>
        <w:t>四是法治化建设稳步推进。</w:t>
      </w:r>
      <w:r>
        <w:rPr>
          <w:rFonts w:hint="eastAsia" w:ascii="仿宋_GB2312" w:hAnsi="仿宋_GB2312" w:eastAsia="仿宋_GB2312" w:cs="仿宋_GB2312"/>
          <w:color w:val="auto"/>
          <w:sz w:val="32"/>
          <w:szCs w:val="32"/>
        </w:rPr>
        <w:t>依法分类处理信访诉求、引导群众依法逐级走访、维护信访秩序等工作不断加强，</w:t>
      </w:r>
      <w:r>
        <w:rPr>
          <w:rFonts w:hint="eastAsia" w:ascii="仿宋_GB2312" w:hAnsi="仿宋_GB2312" w:eastAsia="仿宋_GB2312" w:cs="仿宋_GB2312"/>
          <w:color w:val="auto"/>
          <w:sz w:val="32"/>
          <w:szCs w:val="32"/>
          <w:lang w:eastAsia="zh-CN"/>
        </w:rPr>
        <w:t>依托红原县社会综合治理中心，在处理相关事项过程中，联合司法、法院、人社等部门参与，</w:t>
      </w:r>
      <w:r>
        <w:rPr>
          <w:rFonts w:hint="eastAsia" w:ascii="仿宋_GB2312" w:hAnsi="仿宋_GB2312" w:eastAsia="仿宋_GB2312" w:cs="仿宋_GB2312"/>
          <w:color w:val="auto"/>
          <w:sz w:val="32"/>
          <w:szCs w:val="32"/>
        </w:rPr>
        <w:t>涉法涉诉信访事项导入司法渠道更加顺畅，为完成“秩序维护”类指标提供了保障。</w:t>
      </w:r>
      <w:r>
        <w:rPr>
          <w:rFonts w:hint="eastAsia" w:ascii="楷体_GB2312" w:hAnsi="楷体_GB2312" w:eastAsia="楷体_GB2312" w:cs="楷体_GB2312"/>
          <w:b/>
          <w:bCs/>
          <w:sz w:val="32"/>
          <w:szCs w:val="32"/>
          <w:lang w:eastAsia="zh-CN"/>
        </w:rPr>
        <w:t>五是是认真做好信访保障工作。</w:t>
      </w:r>
      <w:r>
        <w:rPr>
          <w:rFonts w:hint="eastAsia" w:ascii="仿宋_GB2312" w:hAnsi="仿宋_GB2312" w:eastAsia="仿宋_GB2312" w:cs="仿宋_GB2312"/>
          <w:kern w:val="2"/>
          <w:sz w:val="32"/>
          <w:szCs w:val="32"/>
          <w:lang w:val="en-US" w:eastAsia="zh-CN" w:bidi="ar-SA"/>
        </w:rPr>
        <w:t>圆满完成全国、省州县“两会”、</w:t>
      </w:r>
      <w:r>
        <w:rPr>
          <w:rFonts w:hint="eastAsia" w:ascii="仿宋_GB2312" w:hAnsi="仿宋_GB2312" w:eastAsia="仿宋_GB2312" w:cs="仿宋_GB2312"/>
          <w:color w:val="auto"/>
          <w:sz w:val="32"/>
          <w:szCs w:val="32"/>
          <w:lang w:val="en-US" w:eastAsia="zh-CN"/>
        </w:rPr>
        <w:t>及雅克音乐季系列活动等重要节会期间的信访安全保障工作任务。</w:t>
      </w:r>
    </w:p>
    <w:p>
      <w:pPr>
        <w:pStyle w:val="2"/>
        <w:keepNext w:val="0"/>
        <w:keepLines w:val="0"/>
        <w:pageBreakBefore w:val="0"/>
        <w:widowControl w:val="0"/>
        <w:suppressLineNumbers w:val="0"/>
        <w:kinsoku/>
        <w:wordWrap/>
        <w:overflowPunct/>
        <w:topLinePunct w:val="0"/>
        <w:autoSpaceDE w:val="0"/>
        <w:autoSpaceDN/>
        <w:bidi w:val="0"/>
        <w:spacing w:after="0" w:afterAutospacing="0" w:line="576" w:lineRule="exact"/>
        <w:ind w:left="0" w:leftChars="0" w:firstLine="643" w:firstLineChars="200"/>
        <w:textAlignment w:val="auto"/>
        <w:rPr>
          <w:rFonts w:hint="eastAsia" w:ascii="仿宋_GB2312" w:hAnsi="仿宋_GB2312" w:eastAsia="仿宋_GB2312" w:cs="仿宋_GB2312"/>
          <w:kern w:val="2"/>
          <w:sz w:val="32"/>
          <w:szCs w:val="32"/>
        </w:rPr>
      </w:pPr>
      <w:r>
        <w:rPr>
          <w:rFonts w:hint="eastAsia" w:ascii="仿宋_GB2312" w:hAnsi="仿宋_GB2312" w:eastAsia="仿宋_GB2312" w:cs="仿宋_GB2312"/>
          <w:b/>
          <w:bCs/>
          <w:color w:val="000000"/>
          <w:kern w:val="0"/>
          <w:sz w:val="32"/>
          <w:szCs w:val="32"/>
          <w:highlight w:val="none"/>
          <w:shd w:val="clear" w:color="auto" w:fill="FFFFFF"/>
          <w:lang w:val="en-US" w:eastAsia="zh-CN" w:bidi="ar-SA"/>
        </w:rPr>
        <w:t>2.</w:t>
      </w:r>
      <w:r>
        <w:rPr>
          <w:rFonts w:hint="default" w:ascii="仿宋_GB2312" w:hAnsi="仿宋_GB2312" w:eastAsia="仿宋_GB2312" w:cs="仿宋_GB2312"/>
          <w:b/>
          <w:bCs/>
          <w:color w:val="000000"/>
          <w:kern w:val="0"/>
          <w:sz w:val="32"/>
          <w:szCs w:val="32"/>
          <w:highlight w:val="none"/>
          <w:shd w:val="clear" w:color="auto" w:fill="FFFFFF"/>
          <w:lang w:val="zh-CN" w:eastAsia="zh-CN" w:bidi="ar-SA"/>
        </w:rPr>
        <w:t>预算管理</w:t>
      </w:r>
      <w:r>
        <w:rPr>
          <w:rFonts w:hint="eastAsia" w:ascii="仿宋_GB2312" w:hAnsi="仿宋_GB2312" w:eastAsia="仿宋_GB2312" w:cs="仿宋_GB2312"/>
          <w:b/>
          <w:bCs/>
          <w:color w:val="000000"/>
          <w:kern w:val="0"/>
          <w:sz w:val="32"/>
          <w:szCs w:val="32"/>
          <w:highlight w:val="none"/>
          <w:shd w:val="clear" w:color="auto" w:fill="FFFFFF"/>
          <w:lang w:val="zh-CN" w:eastAsia="zh-CN" w:bidi="ar-SA"/>
        </w:rPr>
        <w:t>。</w:t>
      </w:r>
      <w:r>
        <w:rPr>
          <w:rFonts w:hint="eastAsia" w:ascii="仿宋_GB2312" w:hAnsi="仿宋_GB2312" w:eastAsia="仿宋_GB2312" w:cs="仿宋_GB2312"/>
          <w:kern w:val="2"/>
          <w:sz w:val="32"/>
          <w:szCs w:val="32"/>
        </w:rPr>
        <w:t>红原</w:t>
      </w:r>
      <w:r>
        <w:rPr>
          <w:rFonts w:hint="eastAsia" w:ascii="仿宋_GB2312" w:hAnsi="仿宋_GB2312" w:eastAsia="仿宋_GB2312" w:cs="仿宋_GB2312"/>
          <w:kern w:val="2"/>
          <w:sz w:val="32"/>
          <w:szCs w:val="32"/>
          <w:lang w:eastAsia="zh-CN"/>
        </w:rPr>
        <w:t>县</w:t>
      </w:r>
      <w:r>
        <w:rPr>
          <w:rFonts w:hint="eastAsia" w:ascii="仿宋_GB2312" w:hAnsi="仿宋_GB2312" w:eastAsia="仿宋_GB2312" w:cs="仿宋_GB2312"/>
          <w:kern w:val="2"/>
          <w:sz w:val="32"/>
          <w:szCs w:val="32"/>
        </w:rPr>
        <w:t>信访局202</w:t>
      </w:r>
      <w:r>
        <w:rPr>
          <w:rFonts w:hint="eastAsia" w:hAnsi="仿宋_GB2312" w:eastAsia="仿宋_GB2312" w:cs="仿宋_GB2312"/>
          <w:kern w:val="2"/>
          <w:sz w:val="32"/>
          <w:szCs w:val="32"/>
          <w:lang w:val="en-US" w:eastAsia="zh-CN"/>
        </w:rPr>
        <w:t>5</w:t>
      </w:r>
      <w:r>
        <w:rPr>
          <w:rFonts w:hint="eastAsia" w:ascii="仿宋_GB2312" w:hAnsi="仿宋_GB2312" w:eastAsia="仿宋_GB2312" w:cs="仿宋_GB2312"/>
          <w:kern w:val="2"/>
          <w:sz w:val="32"/>
          <w:szCs w:val="32"/>
        </w:rPr>
        <w:t>年总支出</w:t>
      </w:r>
      <w:r>
        <w:rPr>
          <w:rFonts w:hint="eastAsia" w:hAnsi="仿宋_GB2312" w:eastAsia="仿宋_GB2312" w:cs="仿宋_GB2312"/>
          <w:kern w:val="2"/>
          <w:sz w:val="32"/>
          <w:szCs w:val="32"/>
          <w:lang w:val="en-US" w:eastAsia="zh-CN"/>
        </w:rPr>
        <w:t>279.48</w:t>
      </w:r>
      <w:r>
        <w:rPr>
          <w:rFonts w:hint="eastAsia" w:ascii="仿宋_GB2312" w:hAnsi="仿宋_GB2312" w:eastAsia="仿宋_GB2312" w:cs="仿宋_GB2312"/>
          <w:kern w:val="2"/>
          <w:sz w:val="32"/>
          <w:szCs w:val="32"/>
        </w:rPr>
        <w:t>元，主要用于保障该部门机构正常运转、完成日常工作任务以及相关工作。支出按照基本支出</w:t>
      </w:r>
      <w:r>
        <w:rPr>
          <w:rFonts w:hint="eastAsia" w:hAnsi="仿宋_GB2312" w:eastAsia="仿宋_GB2312" w:cs="仿宋_GB2312"/>
          <w:kern w:val="2"/>
          <w:sz w:val="32"/>
          <w:szCs w:val="32"/>
          <w:lang w:val="en-US" w:eastAsia="zh-CN"/>
        </w:rPr>
        <w:t>244.83</w:t>
      </w:r>
      <w:r>
        <w:rPr>
          <w:rFonts w:hint="eastAsia" w:ascii="仿宋_GB2312" w:hAnsi="仿宋_GB2312" w:eastAsia="仿宋_GB2312" w:cs="仿宋_GB2312"/>
          <w:kern w:val="2"/>
          <w:sz w:val="32"/>
          <w:szCs w:val="32"/>
        </w:rPr>
        <w:t>万元，项目支出</w:t>
      </w:r>
      <w:r>
        <w:rPr>
          <w:rFonts w:hint="eastAsia" w:hAnsi="仿宋_GB2312" w:eastAsia="仿宋_GB2312" w:cs="仿宋_GB2312"/>
          <w:kern w:val="2"/>
          <w:sz w:val="32"/>
          <w:szCs w:val="32"/>
          <w:lang w:val="en-US" w:eastAsia="zh-CN"/>
        </w:rPr>
        <w:t>34.64</w:t>
      </w:r>
      <w:r>
        <w:rPr>
          <w:rFonts w:hint="eastAsia" w:ascii="仿宋_GB2312" w:hAnsi="仿宋_GB2312" w:eastAsia="仿宋_GB2312" w:cs="仿宋_GB2312"/>
          <w:kern w:val="2"/>
          <w:sz w:val="32"/>
          <w:szCs w:val="32"/>
        </w:rPr>
        <w:t>万元。人员经费</w:t>
      </w:r>
      <w:r>
        <w:rPr>
          <w:rFonts w:hint="eastAsia" w:hAnsi="仿宋_GB2312" w:eastAsia="仿宋_GB2312" w:cs="仿宋_GB2312"/>
          <w:kern w:val="2"/>
          <w:sz w:val="32"/>
          <w:szCs w:val="32"/>
          <w:lang w:val="en-US" w:eastAsia="zh-CN"/>
        </w:rPr>
        <w:t>219</w:t>
      </w:r>
      <w:r>
        <w:rPr>
          <w:rFonts w:hint="eastAsia" w:ascii="仿宋_GB2312" w:hAnsi="仿宋_GB2312" w:eastAsia="仿宋_GB2312" w:cs="仿宋_GB2312"/>
          <w:kern w:val="2"/>
          <w:sz w:val="32"/>
          <w:szCs w:val="32"/>
        </w:rPr>
        <w:t>万元，公用经费</w:t>
      </w:r>
      <w:r>
        <w:rPr>
          <w:rFonts w:hint="eastAsia" w:hAnsi="仿宋_GB2312" w:eastAsia="仿宋_GB2312" w:cs="仿宋_GB2312"/>
          <w:kern w:val="2"/>
          <w:sz w:val="32"/>
          <w:szCs w:val="32"/>
          <w:lang w:val="en-US" w:eastAsia="zh-CN"/>
        </w:rPr>
        <w:t>25.83</w:t>
      </w:r>
      <w:r>
        <w:rPr>
          <w:rFonts w:hint="eastAsia" w:ascii="仿宋_GB2312" w:hAnsi="仿宋_GB2312" w:eastAsia="仿宋_GB2312" w:cs="仿宋_GB2312"/>
          <w:kern w:val="2"/>
          <w:sz w:val="32"/>
          <w:szCs w:val="32"/>
        </w:rPr>
        <w:t>万元。</w:t>
      </w:r>
    </w:p>
    <w:p>
      <w:pPr>
        <w:pStyle w:val="2"/>
        <w:keepNext w:val="0"/>
        <w:keepLines w:val="0"/>
        <w:pageBreakBefore w:val="0"/>
        <w:widowControl w:val="0"/>
        <w:suppressLineNumbers w:val="0"/>
        <w:kinsoku/>
        <w:wordWrap/>
        <w:overflowPunct/>
        <w:topLinePunct w:val="0"/>
        <w:autoSpaceDE w:val="0"/>
        <w:autoSpaceDN/>
        <w:bidi w:val="0"/>
        <w:spacing w:after="0" w:afterAutospacing="0" w:line="576" w:lineRule="exact"/>
        <w:ind w:left="0" w:leftChars="0" w:firstLine="640" w:firstLineChars="200"/>
        <w:textAlignment w:val="auto"/>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rPr>
        <w:t>根据我局年初工作规划和重点性工作，较好的完成了年度工作目标。通过加强预算收支的管理，不断建立健全内部管理制度，理顺内部管理流程，部门整体支出管理情况得到了提升。</w:t>
      </w:r>
      <w:r>
        <w:rPr>
          <w:rFonts w:hint="eastAsia" w:ascii="仿宋_GB2312" w:hAnsi="仿宋_GB2312" w:eastAsia="仿宋_GB2312" w:cs="仿宋_GB2312"/>
          <w:b/>
          <w:bCs/>
          <w:kern w:val="2"/>
          <w:sz w:val="32"/>
          <w:szCs w:val="32"/>
        </w:rPr>
        <w:t>一是</w:t>
      </w:r>
      <w:r>
        <w:rPr>
          <w:rFonts w:hint="eastAsia" w:ascii="仿宋_GB2312" w:hAnsi="仿宋_GB2312" w:eastAsia="仿宋_GB2312" w:cs="仿宋_GB2312"/>
          <w:kern w:val="2"/>
          <w:sz w:val="32"/>
          <w:szCs w:val="32"/>
        </w:rPr>
        <w:t>本年预算安排控制较好，财政供养人员控制率100%，控制在预算编制以内；</w:t>
      </w:r>
      <w:r>
        <w:rPr>
          <w:rFonts w:hint="eastAsia" w:ascii="仿宋_GB2312" w:hAnsi="仿宋_GB2312" w:eastAsia="仿宋_GB2312" w:cs="仿宋_GB2312"/>
          <w:b/>
          <w:bCs/>
          <w:kern w:val="2"/>
          <w:sz w:val="32"/>
          <w:szCs w:val="32"/>
        </w:rPr>
        <w:t>二是</w:t>
      </w:r>
      <w:r>
        <w:rPr>
          <w:rFonts w:hint="eastAsia" w:ascii="仿宋_GB2312" w:hAnsi="仿宋_GB2312" w:eastAsia="仿宋_GB2312" w:cs="仿宋_GB2312"/>
          <w:kern w:val="2"/>
          <w:sz w:val="32"/>
          <w:szCs w:val="32"/>
        </w:rPr>
        <w:t>预算执行方面，本年转移资金支付不存在截留或滞留专项资金情况。</w:t>
      </w:r>
    </w:p>
    <w:p>
      <w:pPr>
        <w:pStyle w:val="2"/>
        <w:keepNext w:val="0"/>
        <w:keepLines w:val="0"/>
        <w:pageBreakBefore w:val="0"/>
        <w:widowControl w:val="0"/>
        <w:suppressLineNumbers w:val="0"/>
        <w:kinsoku/>
        <w:wordWrap/>
        <w:overflowPunct/>
        <w:topLinePunct w:val="0"/>
        <w:autoSpaceDE w:val="0"/>
        <w:autoSpaceDN/>
        <w:bidi w:val="0"/>
        <w:spacing w:after="0" w:afterAutospacing="0" w:line="576" w:lineRule="exact"/>
        <w:ind w:left="0" w:leftChars="0" w:firstLine="643" w:firstLineChars="200"/>
        <w:textAlignment w:val="auto"/>
        <w:rPr>
          <w:rFonts w:hint="eastAsia" w:ascii="仿宋_GB2312" w:hAnsi="仿宋" w:eastAsia="仿宋_GB2312" w:cs="仿宋_GB2312"/>
          <w:kern w:val="2"/>
          <w:sz w:val="32"/>
          <w:szCs w:val="32"/>
          <w:lang w:val="zh-CN"/>
        </w:rPr>
      </w:pPr>
      <w:r>
        <w:rPr>
          <w:rFonts w:hint="eastAsia" w:ascii="仿宋_GB2312" w:hAnsi="仿宋_GB2312" w:eastAsia="仿宋_GB2312" w:cs="仿宋_GB2312"/>
          <w:b/>
          <w:bCs/>
          <w:color w:val="000000"/>
          <w:kern w:val="0"/>
          <w:sz w:val="32"/>
          <w:szCs w:val="32"/>
          <w:highlight w:val="none"/>
          <w:shd w:val="clear" w:color="auto" w:fill="FFFFFF"/>
          <w:lang w:val="en-US" w:eastAsia="zh-CN" w:bidi="ar-SA"/>
        </w:rPr>
        <w:t>3.</w:t>
      </w:r>
      <w:r>
        <w:rPr>
          <w:rFonts w:hint="default" w:ascii="仿宋_GB2312" w:hAnsi="仿宋_GB2312" w:eastAsia="仿宋_GB2312" w:cs="仿宋_GB2312"/>
          <w:b/>
          <w:bCs/>
          <w:color w:val="000000"/>
          <w:kern w:val="0"/>
          <w:sz w:val="32"/>
          <w:szCs w:val="32"/>
          <w:highlight w:val="none"/>
          <w:shd w:val="clear" w:color="auto" w:fill="FFFFFF"/>
          <w:lang w:val="zh-CN" w:eastAsia="zh-CN" w:bidi="ar-SA"/>
        </w:rPr>
        <w:t>财务管理</w:t>
      </w:r>
      <w:r>
        <w:rPr>
          <w:rFonts w:hint="eastAsia" w:ascii="仿宋_GB2312" w:hAnsi="仿宋_GB2312" w:eastAsia="仿宋_GB2312" w:cs="仿宋_GB2312"/>
          <w:b/>
          <w:bCs/>
          <w:color w:val="000000"/>
          <w:kern w:val="0"/>
          <w:sz w:val="32"/>
          <w:szCs w:val="32"/>
          <w:highlight w:val="none"/>
          <w:shd w:val="clear" w:color="auto" w:fill="FFFFFF"/>
          <w:lang w:val="zh-CN" w:eastAsia="zh-CN" w:bidi="ar-SA"/>
        </w:rPr>
        <w:t>。</w:t>
      </w:r>
      <w:r>
        <w:rPr>
          <w:rFonts w:hint="eastAsia" w:ascii="仿宋_GB2312" w:hAnsi="仿宋" w:eastAsia="仿宋_GB2312" w:cs="仿宋_GB2312"/>
          <w:kern w:val="2"/>
          <w:sz w:val="32"/>
          <w:szCs w:val="32"/>
          <w:lang w:val="zh-CN"/>
        </w:rPr>
        <w:t>财务管理规范，制定财务制度，遵守财经纪律，严格各项报账、审核制度；绩效工作方面，以深入创建人民满意度窗口创建为主线，开展好来访接待办理工作，强化财务人员的管理评价，把资金预算好、管理好，使用好，把每笔公务经费合理合规合法安排，一年来，“三公”经反复无超支现象，各项工有序稳固推进；决算工作按照县级安排，有序组织会计人员做好决算的录入、上报等工作。</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 w:eastAsia="仿宋_GB2312" w:cs="仿宋_GB2312"/>
          <w:color w:val="auto"/>
          <w:kern w:val="2"/>
          <w:sz w:val="32"/>
          <w:szCs w:val="32"/>
        </w:rPr>
        <w:t>根据我局年初工作规划和重点性工作，较好的完成了年度工作目标。通过加强预算收支的管理，不断建立健全内部管理制度，理顺内部管理流程，部门整体支出管理情况得到了提升。</w:t>
      </w:r>
      <w:r>
        <w:rPr>
          <w:rFonts w:hint="eastAsia" w:ascii="仿宋_GB2312" w:hAnsi="仿宋" w:eastAsia="仿宋_GB2312" w:cs="仿宋_GB2312"/>
          <w:b/>
          <w:bCs/>
          <w:color w:val="auto"/>
          <w:kern w:val="2"/>
          <w:sz w:val="32"/>
          <w:szCs w:val="32"/>
        </w:rPr>
        <w:t>一是</w:t>
      </w:r>
      <w:r>
        <w:rPr>
          <w:rFonts w:hint="eastAsia" w:ascii="仿宋_GB2312" w:hAnsi="仿宋" w:eastAsia="仿宋_GB2312" w:cs="仿宋_GB2312"/>
          <w:color w:val="auto"/>
          <w:kern w:val="2"/>
          <w:sz w:val="32"/>
          <w:szCs w:val="32"/>
        </w:rPr>
        <w:t>本年预算安排控制较好，财政供养人员控制率</w:t>
      </w:r>
      <w:r>
        <w:rPr>
          <w:rFonts w:hint="eastAsia" w:ascii="仿宋_GB2312" w:hAnsi="仿宋" w:eastAsia="仿宋_GB2312" w:cs="宋体"/>
          <w:color w:val="auto"/>
          <w:kern w:val="2"/>
          <w:sz w:val="32"/>
          <w:szCs w:val="32"/>
        </w:rPr>
        <w:t>100%，控制在预算编制以内；</w:t>
      </w:r>
      <w:r>
        <w:rPr>
          <w:rFonts w:hint="eastAsia" w:ascii="仿宋_GB2312" w:hAnsi="仿宋" w:eastAsia="仿宋_GB2312" w:cs="宋体"/>
          <w:b/>
          <w:bCs/>
          <w:color w:val="auto"/>
          <w:kern w:val="2"/>
          <w:sz w:val="32"/>
          <w:szCs w:val="32"/>
        </w:rPr>
        <w:t>二是</w:t>
      </w:r>
      <w:r>
        <w:rPr>
          <w:rFonts w:hint="eastAsia" w:ascii="仿宋_GB2312" w:hAnsi="仿宋" w:eastAsia="仿宋_GB2312" w:cs="宋体"/>
          <w:color w:val="auto"/>
          <w:kern w:val="2"/>
          <w:sz w:val="32"/>
          <w:szCs w:val="32"/>
        </w:rPr>
        <w:t>预算执行方面，本年转移资金支付不存在截留或滞留专项资金情况。</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bookmarkStart w:id="43" w:name="_Toc15377225"/>
      <w:bookmarkStart w:id="44" w:name="_Toc15396613"/>
    </w:p>
    <w:p>
      <w:pPr>
        <w:numPr>
          <w:ilvl w:val="0"/>
          <w:numId w:val="0"/>
        </w:numPr>
        <w:spacing w:line="600" w:lineRule="exact"/>
        <w:jc w:val="center"/>
        <w:outlineLvl w:val="0"/>
        <w:rPr>
          <w:rFonts w:hint="eastAsia" w:ascii="Times New Roman" w:hAnsi="Times New Roman" w:eastAsia="黑体"/>
          <w:color w:val="auto"/>
          <w:sz w:val="44"/>
          <w:szCs w:val="44"/>
          <w:highlight w:val="none"/>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bookmarkEnd w:id="43"/>
      <w:bookmarkEnd w:id="44"/>
    </w:p>
    <w:p>
      <w:pPr>
        <w:spacing w:line="600" w:lineRule="exact"/>
        <w:jc w:val="left"/>
        <w:rPr>
          <w:rFonts w:ascii="Times New Roman" w:hAnsi="Times New Roman"/>
          <w:b/>
          <w:color w:val="auto"/>
          <w:sz w:val="44"/>
          <w:szCs w:val="44"/>
          <w:highlight w:val="none"/>
        </w:rPr>
      </w:pP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1.财政拨款收入：指单位从同级财政部门取得的财政预算资金。</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2.事业收入：指事业单位开展专业业务活动及辅助活动取得的收入。</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3.经营收入：指事业单位在专业业务活动及其辅助活动之外开展非独立核算经营活动取得的收入。</w:t>
      </w:r>
    </w:p>
    <w:p>
      <w:pPr>
        <w:spacing w:line="600" w:lineRule="exact"/>
        <w:ind w:left="319" w:leftChars="152" w:firstLine="652" w:firstLineChars="204"/>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4.其他收入：指单位取得的除上述收入以外的各项收入。</w:t>
      </w:r>
    </w:p>
    <w:p>
      <w:pPr>
        <w:spacing w:line="600" w:lineRule="exact"/>
        <w:ind w:left="319" w:leftChars="152" w:firstLine="652" w:firstLineChars="204"/>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5.使用非财政拨款结余（含专用结余）：指事业单位使用以前年度积累的非财政拨款结余弥补当年收支差额的金额。 </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6.年初结转和结余：指以前年度尚未完成、结转到本年按有关规定继续使用的资金。</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7.结余分配：指事业单位按照会计制度规定缴纳的所得税、提取的专用结余以及转入非财政拨款结余的金额等。</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8.年末结转和结余：指单位按有关规定结转到下年或以后年度继续使用的资金。</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2014001</w:t>
      </w:r>
      <w:r>
        <w:rPr>
          <w:rFonts w:hint="eastAsia" w:ascii="Times New Roman" w:hAnsi="Times New Roman" w:eastAsia="仿宋_GB2312" w:cs="仿宋_GB2312"/>
          <w:color w:val="auto"/>
          <w:kern w:val="2"/>
          <w:sz w:val="32"/>
          <w:szCs w:val="32"/>
          <w:highlight w:val="none"/>
          <w:lang w:val="en-US" w:eastAsia="zh-CN" w:bidi="ar-SA"/>
        </w:rPr>
        <w:tab/>
      </w:r>
      <w:r>
        <w:rPr>
          <w:rFonts w:hint="eastAsia" w:ascii="Times New Roman" w:hAnsi="Times New Roman" w:eastAsia="仿宋_GB2312" w:cs="仿宋_GB2312"/>
          <w:color w:val="auto"/>
          <w:kern w:val="2"/>
          <w:sz w:val="32"/>
          <w:szCs w:val="32"/>
          <w:highlight w:val="none"/>
          <w:lang w:val="en-US" w:eastAsia="zh-CN" w:bidi="ar-SA"/>
        </w:rPr>
        <w:tab/>
      </w:r>
      <w:r>
        <w:rPr>
          <w:rFonts w:hint="eastAsia" w:ascii="Times New Roman" w:hAnsi="Times New Roman" w:eastAsia="仿宋_GB2312" w:cs="仿宋_GB2312"/>
          <w:color w:val="auto"/>
          <w:kern w:val="2"/>
          <w:sz w:val="32"/>
          <w:szCs w:val="32"/>
          <w:highlight w:val="none"/>
          <w:lang w:val="en-US" w:eastAsia="zh-CN" w:bidi="ar-SA"/>
        </w:rPr>
        <w:tab/>
      </w:r>
      <w:r>
        <w:rPr>
          <w:rFonts w:hint="eastAsia" w:ascii="Times New Roman" w:hAnsi="Times New Roman" w:eastAsia="仿宋_GB2312" w:cs="仿宋_GB2312"/>
          <w:color w:val="auto"/>
          <w:kern w:val="2"/>
          <w:sz w:val="32"/>
          <w:szCs w:val="32"/>
          <w:highlight w:val="none"/>
          <w:lang w:val="en-US" w:eastAsia="zh-CN" w:bidi="ar-SA"/>
        </w:rPr>
        <w:t>行政运行</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2014004</w:t>
      </w:r>
      <w:r>
        <w:rPr>
          <w:rFonts w:hint="eastAsia" w:ascii="Times New Roman" w:hAnsi="Times New Roman" w:eastAsia="仿宋_GB2312" w:cs="仿宋_GB2312"/>
          <w:color w:val="auto"/>
          <w:kern w:val="2"/>
          <w:sz w:val="32"/>
          <w:szCs w:val="32"/>
          <w:highlight w:val="none"/>
          <w:lang w:val="en-US" w:eastAsia="zh-CN" w:bidi="ar-SA"/>
        </w:rPr>
        <w:tab/>
      </w:r>
      <w:r>
        <w:rPr>
          <w:rFonts w:hint="eastAsia" w:ascii="Times New Roman" w:hAnsi="Times New Roman" w:eastAsia="仿宋_GB2312" w:cs="仿宋_GB2312"/>
          <w:color w:val="auto"/>
          <w:kern w:val="2"/>
          <w:sz w:val="32"/>
          <w:szCs w:val="32"/>
          <w:highlight w:val="none"/>
          <w:lang w:val="en-US" w:eastAsia="zh-CN" w:bidi="ar-SA"/>
        </w:rPr>
        <w:tab/>
      </w:r>
      <w:r>
        <w:rPr>
          <w:rFonts w:hint="eastAsia" w:ascii="Times New Roman" w:hAnsi="Times New Roman" w:eastAsia="仿宋_GB2312" w:cs="仿宋_GB2312"/>
          <w:color w:val="auto"/>
          <w:kern w:val="2"/>
          <w:sz w:val="32"/>
          <w:szCs w:val="32"/>
          <w:highlight w:val="none"/>
          <w:lang w:val="en-US" w:eastAsia="zh-CN" w:bidi="ar-SA"/>
        </w:rPr>
        <w:tab/>
      </w:r>
      <w:r>
        <w:rPr>
          <w:rFonts w:hint="eastAsia" w:ascii="Times New Roman" w:hAnsi="Times New Roman" w:eastAsia="仿宋_GB2312" w:cs="仿宋_GB2312"/>
          <w:color w:val="auto"/>
          <w:kern w:val="2"/>
          <w:sz w:val="32"/>
          <w:szCs w:val="32"/>
          <w:highlight w:val="none"/>
          <w:lang w:val="en-US" w:eastAsia="zh-CN" w:bidi="ar-SA"/>
        </w:rPr>
        <w:t>信访业务</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2014050</w:t>
      </w:r>
      <w:r>
        <w:rPr>
          <w:rFonts w:hint="eastAsia" w:ascii="Times New Roman" w:hAnsi="Times New Roman" w:eastAsia="仿宋_GB2312" w:cs="仿宋_GB2312"/>
          <w:color w:val="auto"/>
          <w:kern w:val="2"/>
          <w:sz w:val="32"/>
          <w:szCs w:val="32"/>
          <w:highlight w:val="none"/>
          <w:lang w:val="en-US" w:eastAsia="zh-CN" w:bidi="ar-SA"/>
        </w:rPr>
        <w:tab/>
      </w:r>
      <w:r>
        <w:rPr>
          <w:rFonts w:hint="eastAsia" w:ascii="Times New Roman" w:hAnsi="Times New Roman" w:eastAsia="仿宋_GB2312" w:cs="仿宋_GB2312"/>
          <w:color w:val="auto"/>
          <w:kern w:val="2"/>
          <w:sz w:val="32"/>
          <w:szCs w:val="32"/>
          <w:highlight w:val="none"/>
          <w:lang w:val="en-US" w:eastAsia="zh-CN" w:bidi="ar-SA"/>
        </w:rPr>
        <w:tab/>
      </w:r>
      <w:r>
        <w:rPr>
          <w:rFonts w:hint="eastAsia" w:ascii="Times New Roman" w:hAnsi="Times New Roman" w:eastAsia="仿宋_GB2312" w:cs="仿宋_GB2312"/>
          <w:color w:val="auto"/>
          <w:kern w:val="2"/>
          <w:sz w:val="32"/>
          <w:szCs w:val="32"/>
          <w:highlight w:val="none"/>
          <w:lang w:val="en-US" w:eastAsia="zh-CN" w:bidi="ar-SA"/>
        </w:rPr>
        <w:tab/>
      </w:r>
      <w:r>
        <w:rPr>
          <w:rFonts w:hint="eastAsia" w:ascii="Times New Roman" w:hAnsi="Times New Roman" w:eastAsia="仿宋_GB2312" w:cs="仿宋_GB2312"/>
          <w:color w:val="auto"/>
          <w:kern w:val="2"/>
          <w:sz w:val="32"/>
          <w:szCs w:val="32"/>
          <w:highlight w:val="none"/>
          <w:lang w:val="en-US" w:eastAsia="zh-CN" w:bidi="ar-SA"/>
        </w:rPr>
        <w:t>事业运行</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2014099</w:t>
      </w:r>
      <w:r>
        <w:rPr>
          <w:rFonts w:hint="eastAsia" w:ascii="Times New Roman" w:hAnsi="Times New Roman" w:eastAsia="仿宋_GB2312" w:cs="仿宋_GB2312"/>
          <w:color w:val="auto"/>
          <w:kern w:val="2"/>
          <w:sz w:val="32"/>
          <w:szCs w:val="32"/>
          <w:highlight w:val="none"/>
          <w:lang w:val="en-US" w:eastAsia="zh-CN" w:bidi="ar-SA"/>
        </w:rPr>
        <w:tab/>
      </w:r>
      <w:r>
        <w:rPr>
          <w:rFonts w:hint="eastAsia" w:ascii="Times New Roman" w:hAnsi="Times New Roman" w:eastAsia="仿宋_GB2312" w:cs="仿宋_GB2312"/>
          <w:color w:val="auto"/>
          <w:kern w:val="2"/>
          <w:sz w:val="32"/>
          <w:szCs w:val="32"/>
          <w:highlight w:val="none"/>
          <w:lang w:val="en-US" w:eastAsia="zh-CN" w:bidi="ar-SA"/>
        </w:rPr>
        <w:tab/>
      </w:r>
      <w:r>
        <w:rPr>
          <w:rFonts w:hint="eastAsia" w:ascii="Times New Roman" w:hAnsi="Times New Roman" w:eastAsia="仿宋_GB2312" w:cs="仿宋_GB2312"/>
          <w:color w:val="auto"/>
          <w:kern w:val="2"/>
          <w:sz w:val="32"/>
          <w:szCs w:val="32"/>
          <w:highlight w:val="none"/>
          <w:lang w:val="en-US" w:eastAsia="zh-CN" w:bidi="ar-SA"/>
        </w:rPr>
        <w:tab/>
      </w:r>
      <w:r>
        <w:rPr>
          <w:rFonts w:hint="eastAsia" w:ascii="Times New Roman" w:hAnsi="Times New Roman" w:eastAsia="仿宋_GB2312" w:cs="仿宋_GB2312"/>
          <w:color w:val="auto"/>
          <w:kern w:val="2"/>
          <w:sz w:val="32"/>
          <w:szCs w:val="32"/>
          <w:highlight w:val="none"/>
          <w:lang w:val="en-US" w:eastAsia="zh-CN" w:bidi="ar-SA"/>
        </w:rPr>
        <w:t>其他信访事务支出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2080505</w:t>
      </w:r>
      <w:r>
        <w:rPr>
          <w:rFonts w:hint="eastAsia" w:ascii="Times New Roman" w:hAnsi="Times New Roman" w:eastAsia="仿宋_GB2312" w:cs="仿宋_GB2312"/>
          <w:color w:val="auto"/>
          <w:kern w:val="2"/>
          <w:sz w:val="32"/>
          <w:szCs w:val="32"/>
          <w:highlight w:val="none"/>
          <w:lang w:val="en-US" w:eastAsia="zh-CN" w:bidi="ar-SA"/>
        </w:rPr>
        <w:tab/>
      </w:r>
      <w:r>
        <w:rPr>
          <w:rFonts w:hint="eastAsia" w:ascii="Times New Roman" w:hAnsi="Times New Roman" w:eastAsia="仿宋_GB2312" w:cs="仿宋_GB2312"/>
          <w:color w:val="auto"/>
          <w:kern w:val="2"/>
          <w:sz w:val="32"/>
          <w:szCs w:val="32"/>
          <w:highlight w:val="none"/>
          <w:lang w:val="en-US" w:eastAsia="zh-CN" w:bidi="ar-SA"/>
        </w:rPr>
        <w:tab/>
      </w:r>
      <w:r>
        <w:rPr>
          <w:rFonts w:hint="eastAsia" w:ascii="Times New Roman" w:hAnsi="Times New Roman" w:eastAsia="仿宋_GB2312" w:cs="仿宋_GB2312"/>
          <w:color w:val="auto"/>
          <w:kern w:val="2"/>
          <w:sz w:val="32"/>
          <w:szCs w:val="32"/>
          <w:highlight w:val="none"/>
          <w:lang w:val="en-US" w:eastAsia="zh-CN" w:bidi="ar-SA"/>
        </w:rPr>
        <w:tab/>
      </w:r>
      <w:r>
        <w:rPr>
          <w:rFonts w:hint="eastAsia" w:ascii="Times New Roman" w:hAnsi="Times New Roman" w:eastAsia="仿宋_GB2312" w:cs="仿宋_GB2312"/>
          <w:color w:val="auto"/>
          <w:kern w:val="2"/>
          <w:sz w:val="32"/>
          <w:szCs w:val="32"/>
          <w:highlight w:val="none"/>
          <w:lang w:val="en-US" w:eastAsia="zh-CN" w:bidi="ar-SA"/>
        </w:rPr>
        <w:t>机关事业单位基本养老保险缴费支出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2080506</w:t>
      </w:r>
      <w:r>
        <w:rPr>
          <w:rFonts w:hint="eastAsia" w:ascii="Times New Roman" w:hAnsi="Times New Roman" w:eastAsia="仿宋_GB2312" w:cs="仿宋_GB2312"/>
          <w:color w:val="auto"/>
          <w:kern w:val="2"/>
          <w:sz w:val="32"/>
          <w:szCs w:val="32"/>
          <w:highlight w:val="none"/>
          <w:lang w:val="en-US" w:eastAsia="zh-CN" w:bidi="ar-SA"/>
        </w:rPr>
        <w:tab/>
      </w:r>
      <w:r>
        <w:rPr>
          <w:rFonts w:hint="eastAsia" w:ascii="Times New Roman" w:hAnsi="Times New Roman" w:eastAsia="仿宋_GB2312" w:cs="仿宋_GB2312"/>
          <w:color w:val="auto"/>
          <w:kern w:val="2"/>
          <w:sz w:val="32"/>
          <w:szCs w:val="32"/>
          <w:highlight w:val="none"/>
          <w:lang w:val="en-US" w:eastAsia="zh-CN" w:bidi="ar-SA"/>
        </w:rPr>
        <w:tab/>
      </w:r>
      <w:r>
        <w:rPr>
          <w:rFonts w:hint="eastAsia" w:ascii="Times New Roman" w:hAnsi="Times New Roman" w:eastAsia="仿宋_GB2312" w:cs="仿宋_GB2312"/>
          <w:color w:val="auto"/>
          <w:kern w:val="2"/>
          <w:sz w:val="32"/>
          <w:szCs w:val="32"/>
          <w:highlight w:val="none"/>
          <w:lang w:val="en-US" w:eastAsia="zh-CN" w:bidi="ar-SA"/>
        </w:rPr>
        <w:tab/>
      </w:r>
      <w:r>
        <w:rPr>
          <w:rFonts w:hint="eastAsia" w:ascii="Times New Roman" w:hAnsi="Times New Roman" w:eastAsia="仿宋_GB2312" w:cs="仿宋_GB2312"/>
          <w:color w:val="auto"/>
          <w:kern w:val="2"/>
          <w:sz w:val="32"/>
          <w:szCs w:val="32"/>
          <w:highlight w:val="none"/>
          <w:lang w:val="en-US" w:eastAsia="zh-CN" w:bidi="ar-SA"/>
        </w:rPr>
        <w:t>机关事业单位职业年金缴费支出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2101101</w:t>
      </w:r>
      <w:r>
        <w:rPr>
          <w:rFonts w:hint="eastAsia" w:ascii="Times New Roman" w:hAnsi="Times New Roman" w:eastAsia="仿宋_GB2312" w:cs="仿宋_GB2312"/>
          <w:color w:val="auto"/>
          <w:kern w:val="2"/>
          <w:sz w:val="32"/>
          <w:szCs w:val="32"/>
          <w:highlight w:val="none"/>
          <w:lang w:val="en-US" w:eastAsia="zh-CN" w:bidi="ar-SA"/>
        </w:rPr>
        <w:tab/>
      </w:r>
      <w:r>
        <w:rPr>
          <w:rFonts w:hint="eastAsia" w:ascii="Times New Roman" w:hAnsi="Times New Roman" w:eastAsia="仿宋_GB2312" w:cs="仿宋_GB2312"/>
          <w:color w:val="auto"/>
          <w:kern w:val="2"/>
          <w:sz w:val="32"/>
          <w:szCs w:val="32"/>
          <w:highlight w:val="none"/>
          <w:lang w:val="en-US" w:eastAsia="zh-CN" w:bidi="ar-SA"/>
        </w:rPr>
        <w:tab/>
      </w:r>
      <w:r>
        <w:rPr>
          <w:rFonts w:hint="eastAsia" w:ascii="Times New Roman" w:hAnsi="Times New Roman" w:eastAsia="仿宋_GB2312" w:cs="仿宋_GB2312"/>
          <w:color w:val="auto"/>
          <w:kern w:val="2"/>
          <w:sz w:val="32"/>
          <w:szCs w:val="32"/>
          <w:highlight w:val="none"/>
          <w:lang w:val="en-US" w:eastAsia="zh-CN" w:bidi="ar-SA"/>
        </w:rPr>
        <w:tab/>
      </w:r>
      <w:r>
        <w:rPr>
          <w:rFonts w:hint="eastAsia" w:ascii="Times New Roman" w:hAnsi="Times New Roman" w:eastAsia="仿宋_GB2312" w:cs="仿宋_GB2312"/>
          <w:color w:val="auto"/>
          <w:kern w:val="2"/>
          <w:sz w:val="32"/>
          <w:szCs w:val="32"/>
          <w:highlight w:val="none"/>
          <w:lang w:val="en-US" w:eastAsia="zh-CN" w:bidi="ar-SA"/>
        </w:rPr>
        <w:t>行政单位医疗</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2101102</w:t>
      </w:r>
      <w:r>
        <w:rPr>
          <w:rFonts w:hint="eastAsia" w:ascii="Times New Roman" w:hAnsi="Times New Roman" w:eastAsia="仿宋_GB2312" w:cs="仿宋_GB2312"/>
          <w:color w:val="auto"/>
          <w:kern w:val="2"/>
          <w:sz w:val="32"/>
          <w:szCs w:val="32"/>
          <w:highlight w:val="none"/>
          <w:lang w:val="en-US" w:eastAsia="zh-CN" w:bidi="ar-SA"/>
        </w:rPr>
        <w:tab/>
      </w:r>
      <w:r>
        <w:rPr>
          <w:rFonts w:hint="eastAsia" w:ascii="Times New Roman" w:hAnsi="Times New Roman" w:eastAsia="仿宋_GB2312" w:cs="仿宋_GB2312"/>
          <w:color w:val="auto"/>
          <w:kern w:val="2"/>
          <w:sz w:val="32"/>
          <w:szCs w:val="32"/>
          <w:highlight w:val="none"/>
          <w:lang w:val="en-US" w:eastAsia="zh-CN" w:bidi="ar-SA"/>
        </w:rPr>
        <w:tab/>
      </w:r>
      <w:r>
        <w:rPr>
          <w:rFonts w:hint="eastAsia" w:ascii="Times New Roman" w:hAnsi="Times New Roman" w:eastAsia="仿宋_GB2312" w:cs="仿宋_GB2312"/>
          <w:color w:val="auto"/>
          <w:kern w:val="2"/>
          <w:sz w:val="32"/>
          <w:szCs w:val="32"/>
          <w:highlight w:val="none"/>
          <w:lang w:val="en-US" w:eastAsia="zh-CN" w:bidi="ar-SA"/>
        </w:rPr>
        <w:tab/>
      </w:r>
      <w:r>
        <w:rPr>
          <w:rFonts w:hint="eastAsia" w:ascii="Times New Roman" w:hAnsi="Times New Roman" w:eastAsia="仿宋_GB2312" w:cs="仿宋_GB2312"/>
          <w:color w:val="auto"/>
          <w:kern w:val="2"/>
          <w:sz w:val="32"/>
          <w:szCs w:val="32"/>
          <w:highlight w:val="none"/>
          <w:lang w:val="en-US" w:eastAsia="zh-CN" w:bidi="ar-SA"/>
        </w:rPr>
        <w:t>事业单位医疗</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2101103</w:t>
      </w:r>
      <w:r>
        <w:rPr>
          <w:rFonts w:hint="eastAsia" w:ascii="Times New Roman" w:hAnsi="Times New Roman" w:eastAsia="仿宋_GB2312" w:cs="仿宋_GB2312"/>
          <w:color w:val="auto"/>
          <w:kern w:val="2"/>
          <w:sz w:val="32"/>
          <w:szCs w:val="32"/>
          <w:highlight w:val="none"/>
          <w:lang w:val="en-US" w:eastAsia="zh-CN" w:bidi="ar-SA"/>
        </w:rPr>
        <w:tab/>
      </w:r>
      <w:r>
        <w:rPr>
          <w:rFonts w:hint="eastAsia" w:ascii="Times New Roman" w:hAnsi="Times New Roman" w:eastAsia="仿宋_GB2312" w:cs="仿宋_GB2312"/>
          <w:color w:val="auto"/>
          <w:kern w:val="2"/>
          <w:sz w:val="32"/>
          <w:szCs w:val="32"/>
          <w:highlight w:val="none"/>
          <w:lang w:val="en-US" w:eastAsia="zh-CN" w:bidi="ar-SA"/>
        </w:rPr>
        <w:tab/>
      </w:r>
      <w:r>
        <w:rPr>
          <w:rFonts w:hint="eastAsia" w:ascii="Times New Roman" w:hAnsi="Times New Roman" w:eastAsia="仿宋_GB2312" w:cs="仿宋_GB2312"/>
          <w:color w:val="auto"/>
          <w:kern w:val="2"/>
          <w:sz w:val="32"/>
          <w:szCs w:val="32"/>
          <w:highlight w:val="none"/>
          <w:lang w:val="en-US" w:eastAsia="zh-CN" w:bidi="ar-SA"/>
        </w:rPr>
        <w:tab/>
      </w:r>
      <w:r>
        <w:rPr>
          <w:rFonts w:hint="eastAsia" w:ascii="Times New Roman" w:hAnsi="Times New Roman" w:eastAsia="仿宋_GB2312" w:cs="仿宋_GB2312"/>
          <w:color w:val="auto"/>
          <w:kern w:val="2"/>
          <w:sz w:val="32"/>
          <w:szCs w:val="32"/>
          <w:highlight w:val="none"/>
          <w:lang w:val="en-US" w:eastAsia="zh-CN" w:bidi="ar-SA"/>
        </w:rPr>
        <w:t>公务员医疗补助</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2101199</w:t>
      </w:r>
      <w:r>
        <w:rPr>
          <w:rFonts w:hint="eastAsia" w:ascii="Times New Roman" w:hAnsi="Times New Roman" w:eastAsia="仿宋_GB2312" w:cs="仿宋_GB2312"/>
          <w:color w:val="auto"/>
          <w:kern w:val="2"/>
          <w:sz w:val="32"/>
          <w:szCs w:val="32"/>
          <w:highlight w:val="none"/>
          <w:lang w:val="en-US" w:eastAsia="zh-CN" w:bidi="ar-SA"/>
        </w:rPr>
        <w:tab/>
      </w:r>
      <w:r>
        <w:rPr>
          <w:rFonts w:hint="eastAsia" w:ascii="Times New Roman" w:hAnsi="Times New Roman" w:eastAsia="仿宋_GB2312" w:cs="仿宋_GB2312"/>
          <w:color w:val="auto"/>
          <w:kern w:val="2"/>
          <w:sz w:val="32"/>
          <w:szCs w:val="32"/>
          <w:highlight w:val="none"/>
          <w:lang w:val="en-US" w:eastAsia="zh-CN" w:bidi="ar-SA"/>
        </w:rPr>
        <w:tab/>
      </w:r>
      <w:r>
        <w:rPr>
          <w:rFonts w:hint="eastAsia" w:ascii="Times New Roman" w:hAnsi="Times New Roman" w:eastAsia="仿宋_GB2312" w:cs="仿宋_GB2312"/>
          <w:color w:val="auto"/>
          <w:kern w:val="2"/>
          <w:sz w:val="32"/>
          <w:szCs w:val="32"/>
          <w:highlight w:val="none"/>
          <w:lang w:val="en-US" w:eastAsia="zh-CN" w:bidi="ar-SA"/>
        </w:rPr>
        <w:tab/>
      </w:r>
      <w:r>
        <w:rPr>
          <w:rFonts w:hint="eastAsia" w:ascii="Times New Roman" w:hAnsi="Times New Roman" w:eastAsia="仿宋_GB2312" w:cs="仿宋_GB2312"/>
          <w:color w:val="auto"/>
          <w:kern w:val="2"/>
          <w:sz w:val="32"/>
          <w:szCs w:val="32"/>
          <w:highlight w:val="none"/>
          <w:lang w:val="en-US" w:eastAsia="zh-CN" w:bidi="ar-SA"/>
        </w:rPr>
        <w:t>其他行政事业单位医疗支出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2210201</w:t>
      </w:r>
      <w:r>
        <w:rPr>
          <w:rFonts w:hint="eastAsia" w:ascii="Times New Roman" w:hAnsi="Times New Roman" w:eastAsia="仿宋_GB2312" w:cs="仿宋_GB2312"/>
          <w:color w:val="auto"/>
          <w:kern w:val="2"/>
          <w:sz w:val="32"/>
          <w:szCs w:val="32"/>
          <w:highlight w:val="none"/>
          <w:lang w:val="en-US" w:eastAsia="zh-CN" w:bidi="ar-SA"/>
        </w:rPr>
        <w:tab/>
      </w:r>
      <w:r>
        <w:rPr>
          <w:rFonts w:hint="eastAsia" w:ascii="Times New Roman" w:hAnsi="Times New Roman" w:eastAsia="仿宋_GB2312" w:cs="仿宋_GB2312"/>
          <w:color w:val="auto"/>
          <w:kern w:val="2"/>
          <w:sz w:val="32"/>
          <w:szCs w:val="32"/>
          <w:highlight w:val="none"/>
          <w:lang w:val="en-US" w:eastAsia="zh-CN" w:bidi="ar-SA"/>
        </w:rPr>
        <w:tab/>
      </w:r>
      <w:r>
        <w:rPr>
          <w:rFonts w:hint="eastAsia" w:ascii="Times New Roman" w:hAnsi="Times New Roman" w:eastAsia="仿宋_GB2312" w:cs="仿宋_GB2312"/>
          <w:color w:val="auto"/>
          <w:kern w:val="2"/>
          <w:sz w:val="32"/>
          <w:szCs w:val="32"/>
          <w:highlight w:val="none"/>
          <w:lang w:val="en-US" w:eastAsia="zh-CN" w:bidi="ar-SA"/>
        </w:rPr>
        <w:tab/>
      </w:r>
      <w:r>
        <w:rPr>
          <w:rFonts w:hint="eastAsia" w:ascii="Times New Roman" w:hAnsi="Times New Roman" w:eastAsia="仿宋_GB2312" w:cs="仿宋_GB2312"/>
          <w:color w:val="auto"/>
          <w:kern w:val="2"/>
          <w:sz w:val="32"/>
          <w:szCs w:val="32"/>
          <w:highlight w:val="none"/>
          <w:lang w:val="en-US" w:eastAsia="zh-CN" w:bidi="ar-SA"/>
        </w:rPr>
        <w:t>住房公积金</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w:t>
      </w:r>
      <w:r>
        <w:rPr>
          <w:rFonts w:hint="eastAsia" w:eastAsia="仿宋_GB2312" w:cs="仿宋_GB2312"/>
          <w:b/>
          <w:bCs/>
          <w:color w:val="auto"/>
          <w:kern w:val="2"/>
          <w:sz w:val="32"/>
          <w:szCs w:val="32"/>
          <w:highlight w:val="none"/>
          <w:lang w:val="en-US" w:eastAsia="zh-CN" w:bidi="ar-SA"/>
        </w:rPr>
        <w:t>注：</w:t>
      </w:r>
      <w:r>
        <w:rPr>
          <w:rFonts w:hint="eastAsia" w:ascii="Times New Roman" w:hAnsi="Times New Roman" w:eastAsia="仿宋_GB2312" w:cs="仿宋_GB2312"/>
          <w:b/>
          <w:bCs/>
          <w:color w:val="auto"/>
          <w:kern w:val="2"/>
          <w:sz w:val="32"/>
          <w:szCs w:val="32"/>
          <w:highlight w:val="none"/>
          <w:lang w:val="en-US" w:eastAsia="zh-CN" w:bidi="ar-SA"/>
        </w:rPr>
        <w:t>解释本部门决算报表中涉及的全部功能分类科目至项级，不涉及的科目请自行删除。请参照</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202</w:t>
      </w:r>
      <w:r>
        <w:rPr>
          <w:rFonts w:hint="eastAsia" w:eastAsia="仿宋_GB2312" w:cs="仿宋_GB2312"/>
          <w:b/>
          <w:bCs/>
          <w:color w:val="auto"/>
          <w:kern w:val="2"/>
          <w:sz w:val="32"/>
          <w:szCs w:val="32"/>
          <w:highlight w:val="none"/>
          <w:lang w:val="en-US" w:eastAsia="zh-CN" w:bidi="ar-SA"/>
        </w:rPr>
        <w:t>5</w:t>
      </w:r>
      <w:r>
        <w:rPr>
          <w:rFonts w:hint="eastAsia" w:ascii="Times New Roman" w:hAnsi="Times New Roman" w:eastAsia="仿宋_GB2312" w:cs="仿宋_GB2312"/>
          <w:b/>
          <w:bCs/>
          <w:color w:val="auto"/>
          <w:kern w:val="2"/>
          <w:sz w:val="32"/>
          <w:szCs w:val="32"/>
          <w:highlight w:val="none"/>
          <w:lang w:val="en-US" w:eastAsia="zh-CN" w:bidi="ar-SA"/>
        </w:rPr>
        <w:t>年政府收支分类科目</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增减内容）</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27.基本支出：指为保障机构正常运转、完成日常工作任务而发生的人员支出和公用支出。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28.项目支出：指在基本支出之外为完成特定行政任务和事业发展目标所发生的支出。 </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29.经营支出：指事业单位在专业业务活动及其辅助活动之外开展非独立核算经营活动发生的支出。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30.</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三公</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31.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32.……</w:t>
      </w:r>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（注：名词解释部分请根据各部门实际列支情况罗列，并根据本部门职责职能增减名词解释内容）</w:t>
      </w:r>
    </w:p>
    <w:p>
      <w:pPr>
        <w:spacing w:line="600" w:lineRule="exact"/>
        <w:jc w:val="center"/>
        <w:rPr>
          <w:rStyle w:val="28"/>
          <w:rFonts w:hint="eastAsia" w:ascii="Times New Roman" w:hAnsi="Times New Roman" w:eastAsia="黑体"/>
          <w:b w:val="0"/>
          <w:color w:val="auto"/>
          <w:highlight w:val="none"/>
          <w:lang w:eastAsia="zh-CN"/>
        </w:rPr>
      </w:pPr>
      <w:bookmarkStart w:id="45" w:name="_Toc15377226"/>
      <w:r>
        <w:rPr>
          <w:rFonts w:hint="eastAsia" w:ascii="Times New Roman" w:hAnsi="Times New Roman" w:eastAsia="仿宋_GB2312" w:cs="仿宋_GB2312"/>
          <w:color w:val="auto"/>
          <w:kern w:val="2"/>
          <w:sz w:val="32"/>
          <w:szCs w:val="32"/>
          <w:highlight w:val="none"/>
          <w:lang w:val="en-US" w:eastAsia="zh-CN" w:bidi="ar-SA"/>
        </w:rPr>
        <w:br w:type="page"/>
      </w:r>
      <w:bookmarkStart w:id="46" w:name="_Toc15396614"/>
      <w:r>
        <w:rPr>
          <w:rFonts w:hint="eastAsia" w:ascii="Times New Roman" w:hAnsi="Times New Roman" w:eastAsia="黑体"/>
          <w:color w:val="auto"/>
          <w:sz w:val="44"/>
          <w:szCs w:val="44"/>
          <w:highlight w:val="none"/>
        </w:rPr>
        <w:t>第四部分</w:t>
      </w:r>
      <w:r>
        <w:rPr>
          <w:rFonts w:hint="eastAsia" w:ascii="Times New Roman" w:hAnsi="Times New Roman"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 xml:space="preserve"> 附件</w:t>
      </w:r>
      <w:bookmarkEnd w:id="46"/>
    </w:p>
    <w:p>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黑体"/>
          <w:color w:val="FF0000"/>
          <w:sz w:val="32"/>
          <w:szCs w:val="32"/>
          <w:highlight w:val="none"/>
        </w:rPr>
      </w:pPr>
    </w:p>
    <w:p>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方正小标宋简体"/>
          <w:color w:val="auto"/>
          <w:sz w:val="44"/>
          <w:szCs w:val="44"/>
          <w:highlight w:val="none"/>
          <w:lang w:val="en-US" w:eastAsia="zh-CN"/>
        </w:rPr>
      </w:pPr>
      <w:r>
        <w:rPr>
          <w:rFonts w:hint="eastAsia" w:ascii="Times New Roman" w:hAnsi="Times New Roman" w:eastAsia="黑体" w:cs="黑体"/>
          <w:color w:val="auto"/>
          <w:sz w:val="32"/>
          <w:szCs w:val="32"/>
          <w:highlight w:val="none"/>
        </w:rPr>
        <w:t>附件</w:t>
      </w:r>
      <w:r>
        <w:rPr>
          <w:rFonts w:hint="eastAsia" w:ascii="Times New Roman" w:hAnsi="Times New Roman" w:eastAsia="黑体" w:cs="黑体"/>
          <w:color w:val="auto"/>
          <w:sz w:val="32"/>
          <w:szCs w:val="32"/>
          <w:highlight w:val="none"/>
          <w:lang w:val="en-US" w:eastAsia="zh-CN"/>
        </w:rPr>
        <w:t>1</w:t>
      </w:r>
    </w:p>
    <w:p>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方正小标宋简体" w:cs="Times New Roman"/>
          <w:b w:val="0"/>
          <w:bCs/>
          <w:sz w:val="44"/>
          <w:szCs w:val="44"/>
          <w:highlight w:val="none"/>
          <w:shd w:val="clear" w:color="auto" w:fill="FFFFFF"/>
        </w:rPr>
      </w:pPr>
    </w:p>
    <w:p>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方正小标宋简体" w:cs="Times New Roman"/>
          <w:b w:val="0"/>
          <w:bCs/>
          <w:sz w:val="44"/>
          <w:szCs w:val="44"/>
          <w:highlight w:val="none"/>
          <w:shd w:val="clear" w:color="auto" w:fill="FFFFFF"/>
        </w:rPr>
      </w:pPr>
      <w:r>
        <w:rPr>
          <w:rFonts w:hint="default" w:ascii="Times New Roman" w:hAnsi="Times New Roman" w:eastAsia="方正小标宋简体" w:cs="Times New Roman"/>
          <w:b w:val="0"/>
          <w:bCs/>
          <w:sz w:val="44"/>
          <w:szCs w:val="44"/>
          <w:highlight w:val="none"/>
          <w:shd w:val="clear" w:color="auto" w:fill="FFFFFF"/>
        </w:rPr>
        <w:t>部门</w:t>
      </w:r>
      <w:r>
        <w:rPr>
          <w:rFonts w:hint="default" w:ascii="Times New Roman" w:hAnsi="Times New Roman" w:eastAsia="方正小标宋简体" w:cs="Times New Roman"/>
          <w:b w:val="0"/>
          <w:bCs/>
          <w:sz w:val="44"/>
          <w:szCs w:val="44"/>
          <w:highlight w:val="none"/>
          <w:shd w:val="clear" w:color="auto" w:fill="FFFFFF"/>
          <w:lang w:eastAsia="zh-CN"/>
        </w:rPr>
        <w:t>预算</w:t>
      </w:r>
      <w:r>
        <w:rPr>
          <w:rFonts w:hint="default" w:ascii="Times New Roman" w:hAnsi="Times New Roman" w:eastAsia="方正小标宋简体" w:cs="Times New Roman"/>
          <w:b w:val="0"/>
          <w:bCs/>
          <w:sz w:val="44"/>
          <w:szCs w:val="44"/>
          <w:highlight w:val="none"/>
          <w:shd w:val="clear" w:color="auto" w:fill="FFFFFF"/>
        </w:rPr>
        <w:t>绩效</w:t>
      </w:r>
      <w:r>
        <w:rPr>
          <w:rFonts w:hint="eastAsia" w:ascii="Times New Roman" w:hAnsi="Times New Roman" w:eastAsia="方正小标宋简体" w:cs="Times New Roman"/>
          <w:b w:val="0"/>
          <w:bCs/>
          <w:sz w:val="44"/>
          <w:szCs w:val="44"/>
          <w:highlight w:val="none"/>
          <w:shd w:val="clear" w:color="auto" w:fill="FFFFFF"/>
          <w:lang w:eastAsia="zh-CN"/>
        </w:rPr>
        <w:t>评价</w:t>
      </w:r>
      <w:r>
        <w:rPr>
          <w:rFonts w:hint="default" w:ascii="Times New Roman" w:hAnsi="Times New Roman" w:eastAsia="方正小标宋简体" w:cs="Times New Roman"/>
          <w:b w:val="0"/>
          <w:bCs/>
          <w:sz w:val="44"/>
          <w:szCs w:val="44"/>
          <w:highlight w:val="none"/>
          <w:shd w:val="clear" w:color="auto" w:fill="FFFFFF"/>
        </w:rPr>
        <w:t>报告范本</w:t>
      </w:r>
    </w:p>
    <w:p>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仿宋_GB2312" w:cs="Times New Roman"/>
          <w:sz w:val="32"/>
          <w:szCs w:val="32"/>
          <w:highlight w:val="none"/>
          <w:shd w:val="clear" w:color="auto" w:fill="FFFFFF"/>
        </w:rPr>
      </w:pPr>
      <w:r>
        <w:rPr>
          <w:rFonts w:hint="default" w:ascii="Times New Roman" w:hAnsi="Times New Roman" w:eastAsia="仿宋_GB2312" w:cs="Times New Roman"/>
          <w:sz w:val="32"/>
          <w:szCs w:val="32"/>
          <w:highlight w:val="none"/>
          <w:shd w:val="clear" w:color="auto" w:fill="FFFFFF"/>
        </w:rPr>
        <w:t>（报告范围包括机关和下属单位）</w:t>
      </w:r>
    </w:p>
    <w:p>
      <w:pPr>
        <w:keepNext w:val="0"/>
        <w:keepLines w:val="0"/>
        <w:pageBreakBefore w:val="0"/>
        <w:widowControl/>
        <w:kinsoku/>
        <w:wordWrap/>
        <w:overflowPunct/>
        <w:topLinePunct w:val="0"/>
        <w:autoSpaceDE/>
        <w:autoSpaceDN/>
        <w:bidi w:val="0"/>
        <w:adjustRightInd w:val="0"/>
        <w:snapToGrid w:val="0"/>
        <w:spacing w:line="578" w:lineRule="exact"/>
        <w:ind w:firstLine="480" w:firstLineChars="200"/>
        <w:contextualSpacing/>
        <w:jc w:val="left"/>
        <w:textAlignment w:val="auto"/>
        <w:outlineLvl w:val="9"/>
        <w:rPr>
          <w:rFonts w:hint="default" w:ascii="Times New Roman" w:hAnsi="Times New Roman" w:eastAsia="黑体" w:cs="Times New Roman"/>
          <w:color w:val="000000"/>
          <w:kern w:val="0"/>
          <w:sz w:val="24"/>
          <w:szCs w:val="32"/>
          <w:highlight w:val="none"/>
          <w:shd w:val="clear" w:color="auto" w:fill="FFFFFF"/>
        </w:rPr>
      </w:pP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eastAsia" w:ascii="Times New Roman" w:hAnsi="Times New Roman" w:eastAsia="黑体" w:cs="Times New Roman"/>
          <w:color w:val="000000"/>
          <w:kern w:val="0"/>
          <w:sz w:val="32"/>
          <w:szCs w:val="32"/>
          <w:highlight w:val="none"/>
          <w:shd w:val="clear" w:color="auto" w:fill="FFFFFF"/>
          <w:lang w:val="zh-CN"/>
        </w:rPr>
        <w:t>一、</w:t>
      </w:r>
      <w:r>
        <w:rPr>
          <w:rFonts w:hint="default" w:ascii="Times New Roman" w:hAnsi="Times New Roman" w:eastAsia="黑体" w:cs="Times New Roman"/>
          <w:color w:val="000000"/>
          <w:kern w:val="0"/>
          <w:sz w:val="32"/>
          <w:szCs w:val="32"/>
          <w:highlight w:val="none"/>
          <w:shd w:val="clear" w:color="auto" w:fill="FFFFFF"/>
          <w:lang w:val="zh-CN"/>
        </w:rPr>
        <w:t>部门（单位）基本情况</w:t>
      </w:r>
    </w:p>
    <w:p>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仿宋_GB2312" w:hAnsi="宋体" w:eastAsia="仿宋_GB2312" w:cs="仿宋_GB2312"/>
          <w:kern w:val="0"/>
          <w:sz w:val="32"/>
          <w:szCs w:val="32"/>
        </w:rPr>
      </w:pPr>
      <w:r>
        <w:rPr>
          <w:rFonts w:hint="eastAsia" w:ascii="Times New Roman" w:hAnsi="Times New Roman" w:eastAsia="楷体_GB2312" w:cs="楷体_GB2312"/>
          <w:b/>
          <w:color w:val="auto"/>
          <w:sz w:val="32"/>
          <w:szCs w:val="32"/>
          <w:highlight w:val="none"/>
          <w:lang w:val="zh-CN"/>
        </w:rPr>
        <w:t>（一）</w:t>
      </w:r>
      <w:r>
        <w:rPr>
          <w:rFonts w:hint="default" w:ascii="Times New Roman" w:hAnsi="Times New Roman" w:eastAsia="楷体_GB2312" w:cs="楷体_GB2312"/>
          <w:b/>
          <w:color w:val="auto"/>
          <w:sz w:val="32"/>
          <w:szCs w:val="32"/>
          <w:highlight w:val="none"/>
          <w:lang w:val="zh-CN"/>
        </w:rPr>
        <w:t>机构组成。</w:t>
      </w:r>
      <w:r>
        <w:rPr>
          <w:rFonts w:hint="eastAsia" w:ascii="仿宋_GB2312" w:hAnsi="宋体" w:eastAsia="仿宋_GB2312" w:cs="仿宋_GB2312"/>
          <w:kern w:val="0"/>
          <w:sz w:val="32"/>
          <w:szCs w:val="32"/>
        </w:rPr>
        <w:t>我单位为独立核算全额拨行政单位，内设机构为综合办公室，内设事业单位1个，为红原县信访接待中心。</w:t>
      </w:r>
    </w:p>
    <w:p>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rPr>
      </w:pPr>
      <w:r>
        <w:rPr>
          <w:rFonts w:hint="default" w:ascii="Times New Roman" w:hAnsi="Times New Roman" w:eastAsia="楷体_GB2312" w:cs="楷体_GB2312"/>
          <w:b/>
          <w:color w:val="auto"/>
          <w:sz w:val="32"/>
          <w:szCs w:val="32"/>
          <w:highlight w:val="none"/>
          <w:lang w:val="zh-CN"/>
        </w:rPr>
        <w:t>（二）机构职能</w:t>
      </w:r>
      <w:r>
        <w:rPr>
          <w:rFonts w:hint="eastAsia" w:ascii="Times New Roman" w:hAnsi="Times New Roman" w:eastAsia="楷体_GB2312" w:cs="楷体_GB2312"/>
          <w:b/>
          <w:color w:val="auto"/>
          <w:sz w:val="32"/>
          <w:szCs w:val="32"/>
          <w:highlight w:val="none"/>
          <w:lang w:val="zh-CN"/>
        </w:rPr>
        <w:t>。</w:t>
      </w:r>
      <w:r>
        <w:rPr>
          <w:rFonts w:hint="eastAsia" w:ascii="仿宋_GB2312" w:hAnsi="仿宋_GB2312" w:eastAsia="仿宋_GB2312" w:cs="仿宋_GB2312"/>
          <w:sz w:val="32"/>
          <w:szCs w:val="32"/>
        </w:rPr>
        <w:t>信访局负责贯彻落实党中央关于信访工作的方针政策和县委、县政府决策部署，在履行职责过程中坚持和加强党对信访工作的集中统一领导。</w:t>
      </w:r>
      <w:r>
        <w:rPr>
          <w:rFonts w:hint="eastAsia" w:ascii="仿宋_GB2312" w:hAnsi="仿宋_GB2312" w:eastAsia="仿宋_GB2312" w:cs="仿宋_GB2312"/>
          <w:b/>
          <w:bCs/>
          <w:sz w:val="32"/>
          <w:szCs w:val="32"/>
        </w:rPr>
        <w:t>主要职责是:</w:t>
      </w:r>
      <w:r>
        <w:rPr>
          <w:rFonts w:hint="eastAsia" w:ascii="仿宋_GB2312" w:hAnsi="仿宋_GB2312" w:eastAsia="仿宋_GB2312" w:cs="仿宋_GB2312"/>
          <w:b/>
          <w:bCs/>
          <w:sz w:val="32"/>
          <w:szCs w:val="32"/>
          <w:lang w:eastAsia="zh-CN"/>
        </w:rPr>
        <w:t>一是</w:t>
      </w:r>
      <w:r>
        <w:rPr>
          <w:rFonts w:hint="eastAsia" w:ascii="仿宋_GB2312" w:hAnsi="仿宋_GB2312" w:eastAsia="仿宋_GB2312" w:cs="仿宋_GB2312"/>
          <w:sz w:val="32"/>
          <w:szCs w:val="32"/>
        </w:rPr>
        <w:t>制定信访问题排查化解、风险评估等制度并组织实施，提出改进和加强信访工作的意见和建议。负责本部门依法行政工作。</w:t>
      </w:r>
      <w:r>
        <w:rPr>
          <w:rFonts w:hint="eastAsia" w:ascii="仿宋_GB2312" w:hAnsi="仿宋_GB2312" w:eastAsia="仿宋_GB2312" w:cs="仿宋_GB2312"/>
          <w:b/>
          <w:bCs/>
          <w:sz w:val="32"/>
          <w:szCs w:val="32"/>
          <w:lang w:eastAsia="zh-CN"/>
        </w:rPr>
        <w:t>二是</w:t>
      </w:r>
      <w:r>
        <w:rPr>
          <w:rFonts w:hint="eastAsia" w:ascii="仿宋_GB2312" w:hAnsi="仿宋_GB2312" w:eastAsia="仿宋_GB2312" w:cs="仿宋_GB2312"/>
          <w:sz w:val="32"/>
          <w:szCs w:val="32"/>
        </w:rPr>
        <w:t>负责向县委、县政府反映来信来电来访中提出的重要建议、意见和问题，综合研判信访信息，开展调查研究，提出相关建议。</w:t>
      </w:r>
      <w:r>
        <w:rPr>
          <w:rFonts w:hint="eastAsia" w:ascii="仿宋_GB2312" w:hAnsi="仿宋_GB2312" w:eastAsia="仿宋_GB2312" w:cs="仿宋_GB2312"/>
          <w:b/>
          <w:bCs/>
          <w:sz w:val="32"/>
          <w:szCs w:val="32"/>
          <w:lang w:eastAsia="zh-CN"/>
        </w:rPr>
        <w:t>三是</w:t>
      </w:r>
      <w:r>
        <w:rPr>
          <w:rFonts w:hint="eastAsia" w:ascii="仿宋_GB2312" w:hAnsi="仿宋_GB2312" w:eastAsia="仿宋_GB2312" w:cs="仿宋_GB2312"/>
          <w:sz w:val="32"/>
          <w:szCs w:val="32"/>
        </w:rPr>
        <w:t>综合协调指导全县信访工作，推动建立健全信访工作的协调配合机制。督促检查县级各部门和各乡镇信访工作，总结推广信访工作先进经验，协调信访工作宣传和信息发布。</w:t>
      </w:r>
      <w:r>
        <w:rPr>
          <w:rFonts w:hint="eastAsia" w:ascii="仿宋_GB2312" w:hAnsi="仿宋_GB2312" w:eastAsia="仿宋_GB2312" w:cs="仿宋_GB2312"/>
          <w:b/>
          <w:bCs/>
          <w:sz w:val="32"/>
          <w:szCs w:val="32"/>
          <w:lang w:eastAsia="zh-CN"/>
        </w:rPr>
        <w:t>四是</w:t>
      </w:r>
      <w:r>
        <w:rPr>
          <w:rFonts w:hint="eastAsia" w:ascii="仿宋_GB2312" w:hAnsi="仿宋_GB2312" w:eastAsia="仿宋_GB2312" w:cs="仿宋_GB2312"/>
          <w:sz w:val="32"/>
          <w:szCs w:val="32"/>
        </w:rPr>
        <w:t>负责处理县内外群众、法人及其他组织通过信访渠道给县委、县政府及领导同志的来信来电，接待来访。</w:t>
      </w:r>
      <w:r>
        <w:rPr>
          <w:rFonts w:hint="eastAsia" w:ascii="仿宋_GB2312" w:hAnsi="仿宋_GB2312" w:eastAsia="仿宋_GB2312" w:cs="仿宋_GB2312"/>
          <w:b/>
          <w:bCs/>
          <w:sz w:val="32"/>
          <w:szCs w:val="32"/>
          <w:lang w:eastAsia="zh-CN"/>
        </w:rPr>
        <w:t>五是</w:t>
      </w:r>
      <w:r>
        <w:rPr>
          <w:rFonts w:hint="eastAsia" w:ascii="仿宋_GB2312" w:hAnsi="仿宋_GB2312" w:eastAsia="仿宋_GB2312" w:cs="仿宋_GB2312"/>
          <w:sz w:val="32"/>
          <w:szCs w:val="32"/>
        </w:rPr>
        <w:t>承担协调处理群众进京到省到州集体上访和非正常上访的责任，综合协调处理跨地区、跨部门的重要信访问题。</w:t>
      </w:r>
      <w:r>
        <w:rPr>
          <w:rFonts w:hint="eastAsia" w:ascii="仿宋_GB2312" w:hAnsi="仿宋_GB2312" w:eastAsia="仿宋_GB2312" w:cs="仿宋_GB2312"/>
          <w:b/>
          <w:bCs/>
          <w:sz w:val="32"/>
          <w:szCs w:val="32"/>
          <w:lang w:eastAsia="zh-CN"/>
        </w:rPr>
        <w:t>六是</w:t>
      </w:r>
      <w:r>
        <w:rPr>
          <w:rFonts w:hint="eastAsia" w:ascii="仿宋_GB2312" w:hAnsi="仿宋_GB2312" w:eastAsia="仿宋_GB2312" w:cs="仿宋_GB2312"/>
          <w:sz w:val="32"/>
          <w:szCs w:val="32"/>
        </w:rPr>
        <w:t>负责落实国家、省、州、县领导批示交办信访事项，向县级各部门和各乡镇转办、交办信访事项，督促检查重要信访事项的处理和落实。</w:t>
      </w:r>
      <w:r>
        <w:rPr>
          <w:rFonts w:hint="eastAsia" w:ascii="仿宋_GB2312" w:hAnsi="仿宋_GB2312" w:eastAsia="仿宋_GB2312" w:cs="仿宋_GB2312"/>
          <w:b/>
          <w:bCs/>
          <w:sz w:val="32"/>
          <w:szCs w:val="32"/>
          <w:lang w:eastAsia="zh-CN"/>
        </w:rPr>
        <w:t>七是</w:t>
      </w:r>
      <w:r>
        <w:rPr>
          <w:rFonts w:hint="eastAsia" w:ascii="仿宋_GB2312" w:hAnsi="仿宋_GB2312" w:eastAsia="仿宋_GB2312" w:cs="仿宋_GB2312"/>
          <w:sz w:val="32"/>
          <w:szCs w:val="32"/>
        </w:rPr>
        <w:t>加强对信访问题排查化解和社情民意汇集分析，重点开展法律法规政策宣传和思想教育疏导，将信访工作的重心由事后处理转移到事前排查化解，增强信访工作的预见性和针对性。</w:t>
      </w:r>
      <w:r>
        <w:rPr>
          <w:rFonts w:hint="eastAsia" w:ascii="仿宋_GB2312" w:hAnsi="仿宋_GB2312" w:eastAsia="仿宋_GB2312" w:cs="仿宋_GB2312"/>
          <w:b/>
          <w:bCs/>
          <w:sz w:val="32"/>
          <w:szCs w:val="32"/>
          <w:lang w:eastAsia="zh-CN"/>
        </w:rPr>
        <w:t>八是</w:t>
      </w:r>
      <w:r>
        <w:rPr>
          <w:rFonts w:hint="eastAsia" w:ascii="仿宋_GB2312" w:hAnsi="仿宋_GB2312" w:eastAsia="仿宋_GB2312" w:cs="仿宋_GB2312"/>
          <w:sz w:val="32"/>
          <w:szCs w:val="32"/>
        </w:rPr>
        <w:t>加强对重大信访事项的督查督办，完善信访诉求表达方式，进一步畅通信访渠道，确保信访工作决策部署得到贯彻落实，推动群众信访问题得到妥善解决。</w:t>
      </w:r>
      <w:r>
        <w:rPr>
          <w:rFonts w:hint="eastAsia" w:ascii="仿宋_GB2312" w:hAnsi="仿宋_GB2312" w:eastAsia="仿宋_GB2312" w:cs="仿宋_GB2312"/>
          <w:b/>
          <w:bCs/>
          <w:sz w:val="32"/>
          <w:szCs w:val="32"/>
          <w:lang w:eastAsia="zh-CN"/>
        </w:rPr>
        <w:t>九是</w:t>
      </w:r>
      <w:r>
        <w:rPr>
          <w:rFonts w:hint="eastAsia" w:ascii="仿宋_GB2312" w:hAnsi="仿宋_GB2312" w:eastAsia="仿宋_GB2312" w:cs="仿宋_GB2312"/>
          <w:sz w:val="32"/>
          <w:szCs w:val="32"/>
        </w:rPr>
        <w:t>建立和完善信访信息汇集分析机制，指导信访信息系统建设和应用。</w:t>
      </w:r>
      <w:r>
        <w:rPr>
          <w:rFonts w:hint="eastAsia" w:ascii="仿宋_GB2312" w:hAnsi="仿宋_GB2312" w:eastAsia="仿宋_GB2312" w:cs="仿宋_GB2312"/>
          <w:b/>
          <w:bCs/>
          <w:sz w:val="32"/>
          <w:szCs w:val="32"/>
          <w:lang w:eastAsia="zh-CN"/>
        </w:rPr>
        <w:t>十是</w:t>
      </w:r>
      <w:r>
        <w:rPr>
          <w:rFonts w:hint="eastAsia" w:ascii="仿宋_GB2312" w:hAnsi="仿宋_GB2312" w:eastAsia="仿宋_GB2312" w:cs="仿宋_GB2312"/>
          <w:sz w:val="32"/>
          <w:szCs w:val="32"/>
        </w:rPr>
        <w:t>开展网上信访工作，探索“互联网+信访”新模式，推动信访信息化建设。</w:t>
      </w:r>
      <w:r>
        <w:rPr>
          <w:rFonts w:hint="eastAsia" w:ascii="仿宋_GB2312" w:hAnsi="仿宋_GB2312" w:eastAsia="仿宋_GB2312" w:cs="仿宋_GB2312"/>
          <w:b/>
          <w:bCs/>
          <w:sz w:val="32"/>
          <w:szCs w:val="32"/>
        </w:rPr>
        <w:t>十一</w:t>
      </w:r>
      <w:r>
        <w:rPr>
          <w:rFonts w:hint="eastAsia" w:ascii="仿宋_GB2312" w:hAnsi="仿宋_GB2312" w:eastAsia="仿宋_GB2312" w:cs="仿宋_GB2312"/>
          <w:b/>
          <w:bCs/>
          <w:sz w:val="32"/>
          <w:szCs w:val="32"/>
          <w:lang w:eastAsia="zh-CN"/>
        </w:rPr>
        <w:t>是</w:t>
      </w:r>
      <w:r>
        <w:rPr>
          <w:rFonts w:hint="eastAsia" w:ascii="仿宋_GB2312" w:hAnsi="仿宋_GB2312" w:eastAsia="仿宋_GB2312" w:cs="仿宋_GB2312"/>
          <w:sz w:val="32"/>
          <w:szCs w:val="32"/>
        </w:rPr>
        <w:t>承担县信访工作联席会议、县政府信访事项复查复核委员会日常工作，督促落实有关事项。</w:t>
      </w:r>
      <w:r>
        <w:rPr>
          <w:rFonts w:hint="eastAsia" w:ascii="仿宋_GB2312" w:hAnsi="仿宋_GB2312" w:eastAsia="仿宋_GB2312" w:cs="仿宋_GB2312"/>
          <w:b/>
          <w:bCs/>
          <w:sz w:val="32"/>
          <w:szCs w:val="32"/>
        </w:rPr>
        <w:t>十二</w:t>
      </w:r>
      <w:r>
        <w:rPr>
          <w:rFonts w:hint="eastAsia" w:ascii="仿宋_GB2312" w:hAnsi="仿宋_GB2312" w:eastAsia="仿宋_GB2312" w:cs="仿宋_GB2312"/>
          <w:b/>
          <w:bCs/>
          <w:sz w:val="32"/>
          <w:szCs w:val="32"/>
          <w:lang w:eastAsia="zh-CN"/>
        </w:rPr>
        <w:t>是</w:t>
      </w:r>
      <w:r>
        <w:rPr>
          <w:rFonts w:hint="eastAsia" w:ascii="仿宋_GB2312" w:hAnsi="仿宋_GB2312" w:eastAsia="仿宋_GB2312" w:cs="仿宋_GB2312"/>
          <w:sz w:val="32"/>
          <w:szCs w:val="32"/>
        </w:rPr>
        <w:t>承办县委、县政府交办的其他任务。县局内信访内设机构为综合办公室，内设事业单位1个，为红原县信访接待中心，今年无变动。</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Times New Roman" w:hAnsi="Times New Roman" w:eastAsia="仿宋_GB2312" w:cs="Times New Roman"/>
          <w:szCs w:val="32"/>
          <w:lang w:val="en-US"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三</w:t>
      </w:r>
      <w:r>
        <w:rPr>
          <w:rFonts w:hint="default" w:ascii="Times New Roman" w:hAnsi="Times New Roman" w:eastAsia="楷体_GB2312" w:cs="Times New Roman"/>
          <w:b/>
          <w:bCs/>
          <w:color w:val="000000"/>
          <w:kern w:val="0"/>
          <w:sz w:val="32"/>
          <w:szCs w:val="32"/>
          <w:highlight w:val="none"/>
          <w:shd w:val="clear" w:color="auto" w:fill="FFFFFF"/>
          <w:lang w:val="zh-CN"/>
        </w:rPr>
        <w:t>）人员概况</w:t>
      </w:r>
      <w:r>
        <w:rPr>
          <w:rFonts w:hint="eastAsia" w:ascii="Times New Roman" w:hAnsi="Times New Roman" w:eastAsia="楷体_GB2312" w:cs="Times New Roman"/>
          <w:b/>
          <w:bCs/>
          <w:color w:val="000000"/>
          <w:kern w:val="0"/>
          <w:sz w:val="32"/>
          <w:szCs w:val="32"/>
          <w:highlight w:val="none"/>
          <w:shd w:val="clear" w:color="auto" w:fill="FFFFFF"/>
          <w:lang w:val="zh-CN"/>
        </w:rPr>
        <w:t>。</w:t>
      </w:r>
      <w:r>
        <w:rPr>
          <w:rFonts w:hint="eastAsia" w:ascii="仿宋_GB2312" w:eastAsia="仿宋_GB2312"/>
          <w:sz w:val="32"/>
          <w:szCs w:val="32"/>
        </w:rPr>
        <w:t>截至202</w:t>
      </w:r>
      <w:r>
        <w:rPr>
          <w:rFonts w:hint="eastAsia" w:ascii="仿宋_GB2312" w:eastAsia="仿宋_GB2312"/>
          <w:sz w:val="32"/>
          <w:szCs w:val="32"/>
          <w:lang w:val="en-US" w:eastAsia="zh-CN"/>
        </w:rPr>
        <w:t>5</w:t>
      </w:r>
      <w:r>
        <w:rPr>
          <w:rFonts w:hint="eastAsia" w:ascii="仿宋_GB2312" w:eastAsia="仿宋_GB2312"/>
          <w:sz w:val="32"/>
          <w:szCs w:val="32"/>
        </w:rPr>
        <w:t>年末，</w:t>
      </w:r>
      <w:r>
        <w:rPr>
          <w:rFonts w:hint="eastAsia" w:ascii="仿宋_GB2312" w:hAnsi="宋体" w:eastAsia="仿宋_GB2312" w:cs="仿宋_GB2312"/>
          <w:color w:val="000000"/>
          <w:kern w:val="0"/>
          <w:sz w:val="32"/>
          <w:szCs w:val="32"/>
          <w:shd w:val="clear" w:fill="FFFFFF"/>
        </w:rPr>
        <w:t>县信访局行政编制</w:t>
      </w:r>
      <w:r>
        <w:rPr>
          <w:rFonts w:hint="eastAsia" w:ascii="仿宋_GB2312" w:hAnsi="宋体" w:eastAsia="宋体" w:cs="宋体"/>
          <w:color w:val="000000"/>
          <w:kern w:val="0"/>
          <w:sz w:val="32"/>
          <w:szCs w:val="32"/>
          <w:shd w:val="clear" w:fill="FFFFFF"/>
          <w:lang w:val="en-US" w:eastAsia="zh-CN"/>
        </w:rPr>
        <w:t>5</w:t>
      </w:r>
      <w:r>
        <w:rPr>
          <w:rFonts w:hint="eastAsia" w:ascii="仿宋_GB2312" w:hAnsi="宋体" w:eastAsia="仿宋_GB2312" w:cs="仿宋_GB2312"/>
          <w:color w:val="000000"/>
          <w:kern w:val="0"/>
          <w:sz w:val="32"/>
          <w:szCs w:val="32"/>
          <w:shd w:val="clear" w:fill="FFFFFF"/>
        </w:rPr>
        <w:t>名，其中</w:t>
      </w:r>
      <w:r>
        <w:rPr>
          <w:rFonts w:hint="eastAsia" w:ascii="宋体" w:hAnsi="宋体" w:eastAsia="宋体" w:cs="宋体"/>
          <w:color w:val="000000"/>
          <w:kern w:val="0"/>
          <w:sz w:val="32"/>
          <w:szCs w:val="32"/>
          <w:shd w:val="clear" w:fill="FFFFFF"/>
        </w:rPr>
        <w:t>：</w:t>
      </w:r>
      <w:r>
        <w:rPr>
          <w:rFonts w:hint="eastAsia" w:ascii="仿宋_GB2312" w:hAnsi="宋体" w:eastAsia="仿宋_GB2312" w:cs="仿宋_GB2312"/>
          <w:color w:val="000000"/>
          <w:kern w:val="0"/>
          <w:sz w:val="32"/>
          <w:szCs w:val="32"/>
          <w:shd w:val="clear" w:fill="FFFFFF"/>
        </w:rPr>
        <w:t>局长</w:t>
      </w:r>
      <w:r>
        <w:rPr>
          <w:rFonts w:hint="eastAsia" w:ascii="仿宋_GB2312" w:hAnsi="宋体" w:eastAsia="仿宋_GB2312" w:cs="宋体"/>
          <w:color w:val="000000"/>
          <w:kern w:val="0"/>
          <w:sz w:val="32"/>
          <w:szCs w:val="32"/>
          <w:shd w:val="clear" w:fill="FFFFFF"/>
        </w:rPr>
        <w:t>1名，副局长2名</w:t>
      </w:r>
      <w:r>
        <w:rPr>
          <w:rFonts w:hint="eastAsia" w:ascii="宋体" w:hAnsi="宋体" w:eastAsia="宋体" w:cs="宋体"/>
          <w:color w:val="000000"/>
          <w:kern w:val="0"/>
          <w:sz w:val="32"/>
          <w:szCs w:val="32"/>
          <w:shd w:val="clear" w:fill="FFFFFF"/>
        </w:rPr>
        <w:t>，</w:t>
      </w:r>
      <w:r>
        <w:rPr>
          <w:rFonts w:hint="eastAsia" w:ascii="仿宋_GB2312" w:hAnsi="宋体" w:eastAsia="仿宋_GB2312" w:cs="仿宋_GB2312"/>
          <w:color w:val="000000"/>
          <w:kern w:val="0"/>
          <w:sz w:val="32"/>
          <w:szCs w:val="32"/>
          <w:shd w:val="clear" w:fill="FFFFFF"/>
        </w:rPr>
        <w:t>一般干部1名</w:t>
      </w:r>
      <w:r>
        <w:rPr>
          <w:rFonts w:hint="eastAsia" w:ascii="仿宋_GB2312" w:hAnsi="宋体" w:eastAsia="仿宋_GB2312" w:cs="仿宋_GB2312"/>
          <w:color w:val="000000"/>
          <w:kern w:val="0"/>
          <w:sz w:val="32"/>
          <w:szCs w:val="32"/>
          <w:shd w:val="clear" w:fill="FFFFFF"/>
          <w:lang w:eastAsia="zh-CN"/>
        </w:rPr>
        <w:t>，</w:t>
      </w:r>
      <w:r>
        <w:rPr>
          <w:rFonts w:hint="eastAsia" w:ascii="仿宋_GB2312" w:hAnsi="宋体" w:eastAsia="仿宋_GB2312" w:cs="仿宋_GB2312"/>
          <w:color w:val="000000"/>
          <w:kern w:val="0"/>
          <w:sz w:val="32"/>
          <w:szCs w:val="32"/>
          <w:shd w:val="clear" w:fill="FFFFFF"/>
        </w:rPr>
        <w:t>机关工勤人员</w:t>
      </w:r>
      <w:r>
        <w:rPr>
          <w:rFonts w:hint="eastAsia" w:ascii="仿宋_GB2312" w:hAnsi="宋体" w:eastAsia="仿宋_GB2312" w:cs="宋体"/>
          <w:color w:val="000000"/>
          <w:kern w:val="0"/>
          <w:sz w:val="32"/>
          <w:szCs w:val="32"/>
          <w:shd w:val="clear" w:fill="FFFFFF"/>
        </w:rPr>
        <w:t>1名；</w:t>
      </w:r>
      <w:r>
        <w:rPr>
          <w:rFonts w:hint="eastAsia" w:ascii="仿宋_GB2312" w:hAnsi="宋体" w:eastAsia="仿宋_GB2312" w:cs="宋体"/>
          <w:color w:val="000000"/>
          <w:kern w:val="0"/>
          <w:sz w:val="32"/>
          <w:szCs w:val="32"/>
          <w:shd w:val="clear" w:fill="FFFFFF"/>
          <w:lang w:eastAsia="zh-CN"/>
        </w:rPr>
        <w:t>事业编制</w:t>
      </w:r>
      <w:r>
        <w:rPr>
          <w:rFonts w:hint="eastAsia" w:ascii="仿宋_GB2312" w:hAnsi="宋体" w:eastAsia="仿宋_GB2312" w:cs="宋体"/>
          <w:color w:val="000000"/>
          <w:kern w:val="0"/>
          <w:sz w:val="32"/>
          <w:szCs w:val="32"/>
          <w:shd w:val="clear" w:fill="FFFFFF"/>
          <w:lang w:val="en-US" w:eastAsia="zh-CN"/>
        </w:rPr>
        <w:t>4名，其中：</w:t>
      </w:r>
      <w:r>
        <w:rPr>
          <w:rFonts w:hint="eastAsia" w:ascii="仿宋_GB2312" w:hAnsi="宋体" w:eastAsia="仿宋_GB2312" w:cs="宋体"/>
          <w:color w:val="000000"/>
          <w:kern w:val="0"/>
          <w:sz w:val="32"/>
          <w:szCs w:val="32"/>
          <w:shd w:val="clear" w:fill="FFFFFF"/>
        </w:rPr>
        <w:t>中心主任1名，</w:t>
      </w:r>
      <w:r>
        <w:rPr>
          <w:rFonts w:hint="eastAsia" w:ascii="仿宋_GB2312" w:hAnsi="宋体" w:eastAsia="仿宋_GB2312" w:cs="仿宋_GB2312"/>
          <w:color w:val="000000"/>
          <w:kern w:val="0"/>
          <w:sz w:val="32"/>
          <w:szCs w:val="32"/>
          <w:shd w:val="clear" w:fill="FFFFFF"/>
          <w:lang w:eastAsia="zh-CN"/>
        </w:rPr>
        <w:t>七级职员</w:t>
      </w:r>
      <w:r>
        <w:rPr>
          <w:rFonts w:hint="eastAsia" w:ascii="仿宋_GB2312" w:hAnsi="宋体" w:eastAsia="仿宋_GB2312" w:cs="宋体"/>
          <w:color w:val="000000"/>
          <w:kern w:val="0"/>
          <w:sz w:val="32"/>
          <w:szCs w:val="32"/>
          <w:shd w:val="clear" w:fill="FFFFFF"/>
        </w:rPr>
        <w:t>2名</w:t>
      </w:r>
      <w:r>
        <w:rPr>
          <w:rFonts w:hint="eastAsia" w:ascii="仿宋_GB2312" w:hAnsi="宋体" w:eastAsia="仿宋_GB2312" w:cs="宋体"/>
          <w:color w:val="000000"/>
          <w:kern w:val="0"/>
          <w:sz w:val="32"/>
          <w:szCs w:val="32"/>
          <w:shd w:val="clear" w:fill="FFFFFF"/>
          <w:lang w:eastAsia="zh-CN"/>
        </w:rPr>
        <w:t>、</w:t>
      </w:r>
      <w:r>
        <w:rPr>
          <w:rFonts w:hint="eastAsia" w:ascii="仿宋_GB2312" w:hAnsi="宋体" w:eastAsia="仿宋_GB2312" w:cs="宋体"/>
          <w:color w:val="000000"/>
          <w:kern w:val="0"/>
          <w:sz w:val="32"/>
          <w:szCs w:val="32"/>
          <w:shd w:val="clear" w:fill="FFFFFF"/>
          <w:lang w:val="en-US" w:eastAsia="zh-CN"/>
        </w:rPr>
        <w:t>九级管理1名。</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default" w:ascii="Times New Roman" w:hAnsi="Times New Roman" w:eastAsia="黑体" w:cs="Times New Roman"/>
          <w:color w:val="000000"/>
          <w:kern w:val="0"/>
          <w:sz w:val="32"/>
          <w:szCs w:val="32"/>
          <w:highlight w:val="none"/>
          <w:shd w:val="clear" w:color="auto" w:fill="FFFFFF"/>
          <w:lang w:val="zh-CN" w:eastAsia="zh-CN"/>
        </w:rPr>
        <w:t>二、部门资金收支情况</w:t>
      </w:r>
    </w:p>
    <w:p>
      <w:pPr>
        <w:pStyle w:val="37"/>
        <w:keepNext w:val="0"/>
        <w:keepLines w:val="0"/>
        <w:pageBreakBefore w:val="0"/>
        <w:widowControl/>
        <w:kinsoku/>
        <w:wordWrap/>
        <w:overflowPunct/>
        <w:topLinePunct w:val="0"/>
        <w:autoSpaceDN/>
        <w:bidi w:val="0"/>
        <w:spacing w:beforeAutospacing="0" w:afterAutospacing="0" w:line="576" w:lineRule="exact"/>
        <w:ind w:firstLine="643" w:firstLineChars="200"/>
        <w:textAlignment w:val="auto"/>
        <w:rPr>
          <w:rFonts w:hint="eastAsia" w:ascii="楷体_GB2312" w:hAnsi="宋体" w:eastAsia="楷体_GB2312" w:cs="楷体_GB2312"/>
          <w:kern w:val="0"/>
          <w:sz w:val="32"/>
          <w:szCs w:val="32"/>
        </w:rPr>
      </w:pPr>
      <w:r>
        <w:rPr>
          <w:rFonts w:hint="default"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收入情况</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仿宋_GB2312" w:hAnsi="仿宋_GB2312" w:eastAsia="仿宋_GB2312" w:cs="仿宋_GB2312"/>
          <w:w w:val="95"/>
          <w:sz w:val="32"/>
          <w:szCs w:val="32"/>
          <w:lang w:val="zh-CN" w:bidi="bo-CN"/>
        </w:rPr>
        <w:t>信访局</w:t>
      </w:r>
      <w:r>
        <w:rPr>
          <w:rFonts w:hint="eastAsia" w:ascii="仿宋_GB2312" w:hAnsi="仿宋_GB2312" w:eastAsia="仿宋_GB2312" w:cs="仿宋_GB2312"/>
          <w:w w:val="95"/>
          <w:sz w:val="32"/>
          <w:szCs w:val="32"/>
          <w:lang w:val="en-US" w:eastAsia="zh-CN" w:bidi="bo-CN"/>
        </w:rPr>
        <w:t>2025年度</w:t>
      </w:r>
      <w:r>
        <w:rPr>
          <w:rFonts w:hint="eastAsia" w:ascii="仿宋_GB2312" w:hAnsi="仿宋_GB2312" w:eastAsia="仿宋_GB2312" w:cs="仿宋_GB2312"/>
          <w:kern w:val="0"/>
          <w:sz w:val="32"/>
          <w:szCs w:val="32"/>
          <w:shd w:val="clear" w:color="auto" w:fill="FFFFFF"/>
        </w:rPr>
        <w:t>收入全年预算数为</w:t>
      </w:r>
      <w:r>
        <w:rPr>
          <w:rFonts w:hint="eastAsia" w:ascii="仿宋_GB2312" w:hAnsi="仿宋_GB2312" w:eastAsia="仿宋_GB2312" w:cs="仿宋_GB2312"/>
          <w:kern w:val="0"/>
          <w:sz w:val="32"/>
          <w:szCs w:val="32"/>
          <w:shd w:val="clear" w:color="auto" w:fill="FFFFFF"/>
          <w:lang w:val="en-US" w:eastAsia="zh-CN"/>
        </w:rPr>
        <w:t>289.44</w:t>
      </w:r>
      <w:r>
        <w:rPr>
          <w:rFonts w:hint="eastAsia" w:ascii="仿宋_GB2312" w:hAnsi="仿宋_GB2312" w:eastAsia="仿宋_GB2312" w:cs="仿宋_GB2312"/>
          <w:w w:val="95"/>
          <w:sz w:val="32"/>
          <w:szCs w:val="32"/>
          <w:lang w:val="zh-CN" w:bidi="bo-CN"/>
        </w:rPr>
        <w:t>万元</w:t>
      </w:r>
      <w:r>
        <w:rPr>
          <w:rFonts w:hint="eastAsia" w:ascii="仿宋_GB2312" w:hAnsi="仿宋_GB2312" w:eastAsia="仿宋_GB2312" w:cs="仿宋_GB2312"/>
          <w:w w:val="95"/>
          <w:sz w:val="32"/>
          <w:szCs w:val="32"/>
          <w:lang w:val="en-US" w:eastAsia="zh-CN" w:bidi="bo-CN"/>
        </w:rPr>
        <w:t>、决算报表收入</w:t>
      </w:r>
      <w:r>
        <w:rPr>
          <w:rFonts w:hint="eastAsia" w:ascii="仿宋_GB2312" w:hAnsi="仿宋_GB2312" w:cs="仿宋_GB2312"/>
          <w:w w:val="95"/>
          <w:sz w:val="32"/>
          <w:szCs w:val="32"/>
          <w:lang w:val="en-US" w:eastAsia="zh-CN" w:bidi="bo-CN"/>
        </w:rPr>
        <w:t>279.48</w:t>
      </w:r>
      <w:r>
        <w:rPr>
          <w:rFonts w:hint="eastAsia" w:ascii="仿宋_GB2312" w:hAnsi="仿宋_GB2312" w:eastAsia="仿宋_GB2312" w:cs="仿宋_GB2312"/>
          <w:w w:val="95"/>
          <w:sz w:val="32"/>
          <w:szCs w:val="32"/>
          <w:lang w:val="zh-CN" w:bidi="bo-CN"/>
        </w:rPr>
        <w:t>万元</w:t>
      </w:r>
      <w:r>
        <w:rPr>
          <w:rFonts w:hint="eastAsia" w:ascii="仿宋_GB2312" w:hAnsi="仿宋_GB2312" w:eastAsia="仿宋_GB2312" w:cs="仿宋_GB2312"/>
          <w:w w:val="95"/>
          <w:sz w:val="32"/>
          <w:szCs w:val="32"/>
          <w:lang w:val="en-US" w:eastAsia="zh-CN" w:bidi="bo-CN"/>
        </w:rPr>
        <w:t>。</w:t>
      </w:r>
      <w:r>
        <w:rPr>
          <w:rFonts w:hint="eastAsia" w:ascii="仿宋_GB2312" w:hAnsi="仿宋_GB2312" w:eastAsia="仿宋_GB2312" w:cs="仿宋_GB2312"/>
          <w:w w:val="95"/>
          <w:sz w:val="32"/>
          <w:szCs w:val="32"/>
          <w:lang w:val="zh-CN" w:bidi="bo-CN"/>
        </w:rPr>
        <w:t>其中：一般公共预算财政拨款收入为</w:t>
      </w:r>
      <w:r>
        <w:rPr>
          <w:rFonts w:hint="eastAsia" w:ascii="仿宋_GB2312" w:hAnsi="仿宋_GB2312" w:cs="仿宋_GB2312"/>
          <w:w w:val="95"/>
          <w:sz w:val="32"/>
          <w:szCs w:val="32"/>
          <w:lang w:val="en-US" w:eastAsia="zh-CN" w:bidi="bo-CN"/>
        </w:rPr>
        <w:t>279.48</w:t>
      </w:r>
      <w:r>
        <w:rPr>
          <w:rFonts w:hint="eastAsia" w:ascii="仿宋_GB2312" w:hAnsi="仿宋_GB2312" w:eastAsia="仿宋_GB2312" w:cs="仿宋_GB2312"/>
          <w:w w:val="95"/>
          <w:sz w:val="32"/>
          <w:szCs w:val="32"/>
          <w:lang w:val="zh-CN" w:bidi="bo-CN"/>
        </w:rPr>
        <w:t>万元，占比</w:t>
      </w:r>
      <w:r>
        <w:rPr>
          <w:rFonts w:hint="eastAsia" w:ascii="仿宋_GB2312" w:hAnsi="仿宋_GB2312" w:cs="仿宋_GB2312"/>
          <w:w w:val="95"/>
          <w:sz w:val="32"/>
          <w:szCs w:val="32"/>
          <w:lang w:val="en-US" w:eastAsia="zh-CN" w:bidi="bo-CN"/>
        </w:rPr>
        <w:t>100</w:t>
      </w:r>
      <w:r>
        <w:rPr>
          <w:rFonts w:hint="eastAsia" w:ascii="仿宋_GB2312" w:hAnsi="仿宋_GB2312" w:eastAsia="仿宋_GB2312" w:cs="仿宋_GB2312"/>
          <w:w w:val="95"/>
          <w:sz w:val="32"/>
          <w:szCs w:val="32"/>
          <w:lang w:val="zh-CN" w:bidi="bo-CN"/>
        </w:rPr>
        <w:t>%。</w:t>
      </w:r>
    </w:p>
    <w:p>
      <w:pPr>
        <w:keepNext w:val="0"/>
        <w:keepLines w:val="0"/>
        <w:pageBreakBefore w:val="0"/>
        <w:widowControl/>
        <w:kinsoku/>
        <w:wordWrap/>
        <w:overflowPunct/>
        <w:topLinePunct w:val="0"/>
        <w:autoSpaceDN/>
        <w:bidi w:val="0"/>
        <w:adjustRightInd w:val="0"/>
        <w:snapToGrid w:val="0"/>
        <w:spacing w:afterAutospacing="0" w:line="576" w:lineRule="exact"/>
        <w:ind w:firstLine="643" w:firstLineChars="200"/>
        <w:contextualSpacing/>
        <w:jc w:val="left"/>
        <w:textAlignment w:val="auto"/>
        <w:rPr>
          <w:rFonts w:hAnsi="仿宋_GB2312" w:cs="仿宋_GB2312"/>
          <w:w w:val="95"/>
          <w:kern w:val="0"/>
          <w:lang w:val="zh-CN"/>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二</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支出情况</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仿宋_GB2312" w:hAnsi="仿宋_GB2312" w:eastAsia="仿宋_GB2312" w:cs="仿宋_GB2312"/>
          <w:w w:val="95"/>
          <w:kern w:val="0"/>
          <w:sz w:val="32"/>
          <w:lang w:val="zh-CN"/>
        </w:rPr>
        <w:t>本年度总支出为</w:t>
      </w:r>
      <w:r>
        <w:rPr>
          <w:rFonts w:hint="eastAsia" w:ascii="仿宋_GB2312" w:hAnsi="仿宋_GB2312" w:cs="仿宋_GB2312"/>
          <w:w w:val="95"/>
          <w:kern w:val="0"/>
          <w:sz w:val="32"/>
          <w:lang w:val="en-US" w:eastAsia="zh-CN"/>
        </w:rPr>
        <w:t>279.48</w:t>
      </w:r>
      <w:r>
        <w:rPr>
          <w:rFonts w:hint="eastAsia" w:ascii="仿宋_GB2312" w:hAnsi="仿宋_GB2312" w:eastAsia="仿宋_GB2312" w:cs="仿宋_GB2312"/>
          <w:w w:val="95"/>
          <w:kern w:val="0"/>
          <w:sz w:val="32"/>
          <w:lang w:val="zh-CN"/>
        </w:rPr>
        <w:t>万元。其中：一般公共服务支出为</w:t>
      </w:r>
      <w:r>
        <w:rPr>
          <w:rFonts w:hint="eastAsia" w:eastAsia="仿宋_GB2312" w:cs="仿宋_GB2312"/>
          <w:color w:val="auto"/>
          <w:kern w:val="2"/>
          <w:sz w:val="32"/>
          <w:szCs w:val="32"/>
          <w:highlight w:val="none"/>
          <w:lang w:val="en-US" w:eastAsia="zh-CN" w:bidi="ar-SA"/>
        </w:rPr>
        <w:t>215.57</w:t>
      </w:r>
      <w:r>
        <w:rPr>
          <w:rFonts w:hint="eastAsia" w:ascii="仿宋_GB2312" w:hAnsi="仿宋_GB2312" w:eastAsia="仿宋_GB2312" w:cs="仿宋_GB2312"/>
          <w:w w:val="95"/>
          <w:kern w:val="0"/>
          <w:sz w:val="32"/>
          <w:lang w:val="zh-CN"/>
        </w:rPr>
        <w:t>万元，占比</w:t>
      </w:r>
      <w:r>
        <w:rPr>
          <w:rFonts w:ascii="仿宋_GB2312" w:hAnsi="仿宋_GB2312" w:eastAsia="仿宋_GB2312" w:cs="仿宋_GB2312"/>
          <w:color w:val="auto"/>
          <w:w w:val="95"/>
          <w:kern w:val="0"/>
          <w:sz w:val="32"/>
          <w:lang w:val="zh-CN"/>
        </w:rPr>
        <w:t>%</w:t>
      </w:r>
      <w:r>
        <w:rPr>
          <w:rFonts w:hint="eastAsia" w:ascii="仿宋_GB2312" w:hAnsi="仿宋_GB2312" w:eastAsia="仿宋_GB2312" w:cs="仿宋_GB2312"/>
          <w:color w:val="auto"/>
          <w:w w:val="95"/>
          <w:kern w:val="0"/>
          <w:sz w:val="32"/>
          <w:lang w:val="zh-CN"/>
        </w:rPr>
        <w:t>；</w:t>
      </w:r>
      <w:r>
        <w:rPr>
          <w:rFonts w:hint="eastAsia" w:ascii="仿宋_GB2312" w:hAnsi="仿宋_GB2312" w:eastAsia="仿宋_GB2312" w:cs="仿宋_GB2312"/>
          <w:w w:val="95"/>
          <w:kern w:val="0"/>
          <w:sz w:val="32"/>
          <w:lang w:val="zh-CN"/>
        </w:rPr>
        <w:t>社会保障和就业支出为</w:t>
      </w:r>
      <w:r>
        <w:rPr>
          <w:rFonts w:hint="eastAsia" w:ascii="仿宋_GB2312" w:hAnsi="仿宋_GB2312" w:cs="仿宋_GB2312"/>
          <w:w w:val="95"/>
          <w:kern w:val="0"/>
          <w:sz w:val="32"/>
          <w:lang w:val="en-US" w:eastAsia="zh-CN"/>
        </w:rPr>
        <w:t>33.8</w:t>
      </w:r>
      <w:r>
        <w:rPr>
          <w:rFonts w:hint="eastAsia" w:ascii="仿宋_GB2312" w:hAnsi="仿宋_GB2312" w:eastAsia="仿宋_GB2312" w:cs="仿宋_GB2312"/>
          <w:w w:val="95"/>
          <w:kern w:val="0"/>
          <w:sz w:val="32"/>
          <w:lang w:val="zh-CN"/>
        </w:rPr>
        <w:t>万元，占比</w:t>
      </w:r>
      <w:r>
        <w:rPr>
          <w:rFonts w:hint="eastAsia" w:ascii="仿宋_GB2312" w:hAnsi="仿宋_GB2312" w:cs="仿宋_GB2312"/>
          <w:w w:val="95"/>
          <w:kern w:val="0"/>
          <w:sz w:val="32"/>
          <w:lang w:val="en-US" w:eastAsia="zh-CN"/>
        </w:rPr>
        <w:t>11.23</w:t>
      </w:r>
      <w:r>
        <w:rPr>
          <w:rFonts w:ascii="仿宋_GB2312" w:hAnsi="仿宋_GB2312" w:eastAsia="仿宋_GB2312" w:cs="仿宋_GB2312"/>
          <w:w w:val="95"/>
          <w:kern w:val="0"/>
          <w:sz w:val="32"/>
          <w:lang w:val="zh-CN"/>
        </w:rPr>
        <w:t>%</w:t>
      </w:r>
      <w:r>
        <w:rPr>
          <w:rFonts w:hint="eastAsia" w:ascii="仿宋_GB2312" w:hAnsi="仿宋_GB2312" w:eastAsia="仿宋_GB2312" w:cs="仿宋_GB2312"/>
          <w:w w:val="95"/>
          <w:kern w:val="0"/>
          <w:sz w:val="32"/>
          <w:lang w:val="zh-CN"/>
        </w:rPr>
        <w:t>；卫生健康支出为</w:t>
      </w:r>
      <w:r>
        <w:rPr>
          <w:rFonts w:hint="eastAsia" w:ascii="仿宋_GB2312" w:hAnsi="仿宋_GB2312" w:cs="仿宋_GB2312"/>
          <w:w w:val="95"/>
          <w:kern w:val="0"/>
          <w:sz w:val="32"/>
          <w:lang w:val="en-US" w:eastAsia="zh-CN"/>
        </w:rPr>
        <w:t>12.08</w:t>
      </w:r>
      <w:r>
        <w:rPr>
          <w:rFonts w:hint="eastAsia" w:ascii="仿宋_GB2312" w:hAnsi="仿宋_GB2312" w:eastAsia="仿宋_GB2312" w:cs="仿宋_GB2312"/>
          <w:w w:val="95"/>
          <w:kern w:val="0"/>
          <w:sz w:val="32"/>
          <w:lang w:val="zh-CN"/>
        </w:rPr>
        <w:t>万元，占比</w:t>
      </w:r>
      <w:r>
        <w:rPr>
          <w:rFonts w:hint="eastAsia" w:ascii="仿宋_GB2312" w:hAnsi="仿宋_GB2312" w:cs="仿宋_GB2312"/>
          <w:w w:val="95"/>
          <w:kern w:val="0"/>
          <w:sz w:val="32"/>
          <w:lang w:val="en-US" w:eastAsia="zh-CN"/>
        </w:rPr>
        <w:t>4.3</w:t>
      </w:r>
      <w:r>
        <w:rPr>
          <w:rFonts w:ascii="仿宋_GB2312" w:hAnsi="仿宋_GB2312" w:eastAsia="仿宋_GB2312" w:cs="仿宋_GB2312"/>
          <w:w w:val="95"/>
          <w:kern w:val="0"/>
          <w:sz w:val="32"/>
          <w:lang w:val="zh-CN"/>
        </w:rPr>
        <w:t>%</w:t>
      </w:r>
      <w:r>
        <w:rPr>
          <w:rFonts w:hint="eastAsia" w:ascii="仿宋_GB2312" w:hAnsi="仿宋_GB2312" w:eastAsia="仿宋_GB2312" w:cs="仿宋_GB2312"/>
          <w:w w:val="95"/>
          <w:kern w:val="0"/>
          <w:sz w:val="32"/>
          <w:lang w:val="zh-CN"/>
        </w:rPr>
        <w:t>；住房保障支出为</w:t>
      </w:r>
      <w:r>
        <w:rPr>
          <w:rFonts w:hint="eastAsia" w:ascii="仿宋_GB2312" w:hAnsi="仿宋_GB2312" w:cs="仿宋_GB2312"/>
          <w:w w:val="95"/>
          <w:kern w:val="0"/>
          <w:sz w:val="32"/>
          <w:lang w:val="en-US" w:eastAsia="zh-CN"/>
        </w:rPr>
        <w:t>18.02</w:t>
      </w:r>
      <w:r>
        <w:rPr>
          <w:rFonts w:hint="eastAsia" w:ascii="仿宋_GB2312" w:hAnsi="仿宋_GB2312" w:eastAsia="仿宋_GB2312" w:cs="仿宋_GB2312"/>
          <w:w w:val="95"/>
          <w:kern w:val="0"/>
          <w:sz w:val="32"/>
          <w:lang w:val="zh-CN"/>
        </w:rPr>
        <w:t>万元，占比</w:t>
      </w:r>
      <w:r>
        <w:rPr>
          <w:rFonts w:hint="eastAsia" w:ascii="仿宋_GB2312" w:hAnsi="仿宋_GB2312" w:eastAsia="仿宋_GB2312" w:cs="仿宋_GB2312"/>
          <w:w w:val="95"/>
          <w:kern w:val="0"/>
          <w:sz w:val="32"/>
          <w:lang w:val="en-US" w:eastAsia="zh-CN"/>
        </w:rPr>
        <w:t>6</w:t>
      </w:r>
      <w:r>
        <w:rPr>
          <w:rFonts w:hint="eastAsia" w:ascii="仿宋_GB2312" w:hAnsi="仿宋_GB2312" w:cs="仿宋_GB2312"/>
          <w:w w:val="95"/>
          <w:kern w:val="0"/>
          <w:sz w:val="32"/>
          <w:lang w:val="en-US" w:eastAsia="zh-CN"/>
        </w:rPr>
        <w:t>.2</w:t>
      </w:r>
      <w:r>
        <w:rPr>
          <w:rFonts w:ascii="仿宋_GB2312" w:hAnsi="仿宋_GB2312" w:eastAsia="仿宋_GB2312" w:cs="仿宋_GB2312"/>
          <w:w w:val="95"/>
          <w:kern w:val="0"/>
          <w:sz w:val="32"/>
          <w:lang w:val="zh-CN"/>
        </w:rPr>
        <w:t>%</w:t>
      </w:r>
      <w:r>
        <w:rPr>
          <w:rFonts w:hint="eastAsia" w:ascii="仿宋_GB2312" w:hAnsi="仿宋_GB2312" w:eastAsia="仿宋_GB2312" w:cs="仿宋_GB2312"/>
          <w:w w:val="95"/>
          <w:kern w:val="0"/>
          <w:sz w:val="32"/>
          <w:lang w:val="zh-CN"/>
        </w:rPr>
        <w:t>。</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一般公共预算财政拨款基本支出</w:t>
      </w:r>
      <w:r>
        <w:rPr>
          <w:rFonts w:hint="eastAsia" w:ascii="仿宋_GB2312" w:hAnsi="仿宋_GB2312" w:eastAsia="仿宋_GB2312" w:cs="仿宋_GB2312"/>
          <w:sz w:val="32"/>
          <w:szCs w:val="32"/>
        </w:rPr>
        <w:t>244.83</w:t>
      </w:r>
      <w:r>
        <w:rPr>
          <w:rFonts w:hint="eastAsia" w:ascii="Times New Roman" w:hAnsi="Times New Roman" w:eastAsia="仿宋_GB2312" w:cs="仿宋_GB2312"/>
          <w:color w:val="auto"/>
          <w:kern w:val="2"/>
          <w:sz w:val="32"/>
          <w:szCs w:val="32"/>
          <w:highlight w:val="none"/>
          <w:lang w:val="en-US" w:eastAsia="zh-CN" w:bidi="ar-SA"/>
        </w:rPr>
        <w:t>万元，其中：人员经费</w:t>
      </w:r>
      <w:r>
        <w:rPr>
          <w:rFonts w:hint="eastAsia" w:ascii="仿宋_GB2312" w:hAnsi="仿宋_GB2312" w:eastAsia="仿宋_GB2312" w:cs="仿宋_GB2312"/>
          <w:sz w:val="32"/>
          <w:szCs w:val="32"/>
        </w:rPr>
        <w:t>219</w:t>
      </w:r>
      <w:r>
        <w:rPr>
          <w:rFonts w:hint="eastAsia" w:ascii="Times New Roman" w:hAnsi="Times New Roman" w:eastAsia="仿宋_GB2312" w:cs="仿宋_GB2312"/>
          <w:color w:val="auto"/>
          <w:kern w:val="2"/>
          <w:sz w:val="32"/>
          <w:szCs w:val="32"/>
          <w:highlight w:val="none"/>
          <w:lang w:val="en-US" w:eastAsia="zh-CN" w:bidi="ar-SA"/>
        </w:rPr>
        <w:t>万元，主要包括：基本工资、津贴补贴、奖金、绩效工资、机关事业单位基本养老保险缴费、职业年金缴费、</w:t>
      </w:r>
      <w:r>
        <w:rPr>
          <w:rFonts w:hint="eastAsia" w:eastAsia="仿宋_GB2312" w:cs="仿宋_GB2312"/>
          <w:color w:val="auto"/>
          <w:kern w:val="2"/>
          <w:sz w:val="32"/>
          <w:szCs w:val="32"/>
          <w:highlight w:val="none"/>
          <w:lang w:val="en-US" w:eastAsia="zh-CN" w:bidi="ar-SA"/>
        </w:rPr>
        <w:t>职工个基本医疗保险缴费、公务员医疗补助缴费、</w:t>
      </w:r>
      <w:r>
        <w:rPr>
          <w:rFonts w:hint="eastAsia" w:ascii="Times New Roman" w:hAnsi="Times New Roman" w:eastAsia="仿宋_GB2312" w:cs="仿宋_GB2312"/>
          <w:color w:val="auto"/>
          <w:kern w:val="2"/>
          <w:sz w:val="32"/>
          <w:szCs w:val="32"/>
          <w:highlight w:val="none"/>
          <w:lang w:val="en-US" w:eastAsia="zh-CN" w:bidi="ar-SA"/>
        </w:rPr>
        <w:t>其他社会保障缴费、</w:t>
      </w:r>
      <w:r>
        <w:rPr>
          <w:rFonts w:hint="eastAsia" w:eastAsia="仿宋_GB2312" w:cs="仿宋_GB2312"/>
          <w:color w:val="auto"/>
          <w:kern w:val="2"/>
          <w:sz w:val="32"/>
          <w:szCs w:val="32"/>
          <w:highlight w:val="none"/>
          <w:lang w:val="en-US" w:eastAsia="zh-CN" w:bidi="ar-SA"/>
        </w:rPr>
        <w:t>住房公积金、医疗费</w:t>
      </w:r>
      <w:r>
        <w:rPr>
          <w:rFonts w:hint="eastAsia" w:ascii="Times New Roman" w:hAnsi="Times New Roman" w:eastAsia="仿宋_GB2312" w:cs="仿宋_GB2312"/>
          <w:color w:val="auto"/>
          <w:kern w:val="2"/>
          <w:sz w:val="32"/>
          <w:szCs w:val="32"/>
          <w:highlight w:val="none"/>
          <w:lang w:val="en-US" w:eastAsia="zh-CN" w:bidi="ar-SA"/>
        </w:rPr>
        <w:t>等。</w:t>
      </w:r>
      <w:r>
        <w:rPr>
          <w:rFonts w:hint="eastAsia" w:ascii="Times New Roman" w:hAnsi="Times New Roman" w:eastAsia="仿宋_GB2312" w:cs="仿宋_GB2312"/>
          <w:color w:val="auto"/>
          <w:kern w:val="2"/>
          <w:sz w:val="32"/>
          <w:szCs w:val="32"/>
          <w:highlight w:val="none"/>
          <w:lang w:val="en-US" w:eastAsia="zh-CN" w:bidi="ar-SA"/>
        </w:rPr>
        <w:br w:type="textWrapping"/>
      </w:r>
      <w:r>
        <w:rPr>
          <w:rFonts w:hint="eastAsia" w:eastAsia="仿宋_GB2312" w:cs="仿宋_GB2312"/>
          <w:color w:val="auto"/>
          <w:kern w:val="2"/>
          <w:sz w:val="32"/>
          <w:szCs w:val="32"/>
          <w:highlight w:val="none"/>
          <w:lang w:val="en-US" w:eastAsia="zh-CN" w:bidi="ar-SA"/>
        </w:rPr>
        <w:t xml:space="preserve">   </w:t>
      </w:r>
      <w:r>
        <w:rPr>
          <w:rFonts w:hint="eastAsia" w:ascii="Times New Roman" w:hAnsi="Times New Roman" w:eastAsia="仿宋_GB2312" w:cs="仿宋_GB2312"/>
          <w:color w:val="auto"/>
          <w:kern w:val="2"/>
          <w:sz w:val="32"/>
          <w:szCs w:val="32"/>
          <w:highlight w:val="none"/>
          <w:lang w:val="en-US" w:eastAsia="zh-CN" w:bidi="ar-SA"/>
        </w:rPr>
        <w:t>公用经费</w:t>
      </w:r>
      <w:r>
        <w:rPr>
          <w:rFonts w:hint="eastAsia" w:ascii="仿宋_GB2312" w:hAnsi="仿宋_GB2312" w:eastAsia="仿宋_GB2312" w:cs="仿宋_GB2312"/>
          <w:sz w:val="32"/>
          <w:szCs w:val="32"/>
        </w:rPr>
        <w:t>25.83</w:t>
      </w:r>
      <w:r>
        <w:rPr>
          <w:rFonts w:hint="eastAsia" w:ascii="Times New Roman" w:hAnsi="Times New Roman" w:eastAsia="仿宋_GB2312" w:cs="仿宋_GB2312"/>
          <w:color w:val="auto"/>
          <w:kern w:val="2"/>
          <w:sz w:val="32"/>
          <w:szCs w:val="32"/>
          <w:highlight w:val="none"/>
          <w:lang w:val="en-US" w:eastAsia="zh-CN" w:bidi="ar-SA"/>
        </w:rPr>
        <w:t>万元，主要包括：办公费、印刷费、电费、差旅费、委托业务费、工会经费、福利费、其他商品和服务支出等。</w:t>
      </w:r>
    </w:p>
    <w:p>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Times New Roman"/>
          <w:b w:val="0"/>
          <w:bCs w:val="0"/>
          <w:color w:val="000000"/>
          <w:kern w:val="0"/>
          <w:szCs w:val="32"/>
          <w:highlight w:val="none"/>
          <w:shd w:val="clear" w:color="auto" w:fill="FFFFFF"/>
          <w:lang w:val="zh-CN"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三</w:t>
      </w:r>
      <w:r>
        <w:rPr>
          <w:rFonts w:hint="default" w:ascii="Times New Roman" w:hAnsi="Times New Roman" w:eastAsia="楷体_GB2312" w:cs="Times New Roman"/>
          <w:b/>
          <w:bCs/>
          <w:color w:val="000000"/>
          <w:kern w:val="0"/>
          <w:sz w:val="32"/>
          <w:szCs w:val="32"/>
          <w:highlight w:val="none"/>
          <w:shd w:val="clear" w:color="auto" w:fill="FFFFFF"/>
          <w:lang w:val="zh-CN"/>
        </w:rPr>
        <w:t>）结余分配和结转结余情况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eastAsia="仿宋_GB2312" w:cs="仿宋_GB2312"/>
          <w:color w:val="auto"/>
          <w:kern w:val="2"/>
          <w:sz w:val="32"/>
          <w:szCs w:val="32"/>
          <w:highlight w:val="none"/>
          <w:lang w:val="en-US" w:eastAsia="zh-CN" w:bidi="ar-SA"/>
        </w:rPr>
        <w:t>信访局</w:t>
      </w:r>
      <w:r>
        <w:rPr>
          <w:rFonts w:hint="eastAsia" w:ascii="Times New Roman" w:hAnsi="Times New Roman" w:eastAsia="仿宋_GB2312" w:cs="Times New Roman"/>
          <w:sz w:val="32"/>
          <w:szCs w:val="32"/>
          <w:lang w:val="en-US" w:eastAsia="zh-CN"/>
        </w:rPr>
        <w:t>2025年决算报表</w:t>
      </w:r>
      <w:r>
        <w:rPr>
          <w:rFonts w:hint="default" w:ascii="Times New Roman" w:hAnsi="Times New Roman" w:eastAsia="仿宋_GB2312" w:cs="Times New Roman"/>
          <w:sz w:val="32"/>
          <w:szCs w:val="32"/>
          <w:lang w:val="en-US" w:eastAsia="zh-CN"/>
        </w:rPr>
        <w:t>结转结余</w:t>
      </w:r>
      <w:r>
        <w:rPr>
          <w:rFonts w:hint="eastAsia" w:ascii="Times New Roman" w:hAnsi="Times New Roman" w:eastAsia="仿宋_GB2312" w:cs="Times New Roman"/>
          <w:sz w:val="32"/>
          <w:szCs w:val="32"/>
          <w:lang w:val="en-US" w:eastAsia="zh-CN"/>
        </w:rPr>
        <w:t>情况</w:t>
      </w:r>
      <w:r>
        <w:rPr>
          <w:rFonts w:hint="default" w:ascii="Times New Roman" w:hAnsi="Times New Roman" w:eastAsia="仿宋_GB2312" w:cs="Times New Roman"/>
          <w:sz w:val="32"/>
          <w:szCs w:val="32"/>
          <w:lang w:val="en-US" w:eastAsia="zh-CN"/>
        </w:rPr>
        <w:t>。</w:t>
      </w:r>
      <w:r>
        <w:rPr>
          <w:rFonts w:hint="eastAsia" w:eastAsia="仿宋_GB2312" w:cs="Times New Roman"/>
          <w:sz w:val="32"/>
          <w:szCs w:val="32"/>
          <w:lang w:val="en-US" w:eastAsia="zh-CN"/>
        </w:rPr>
        <w:t>无。</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default" w:ascii="Times New Roman" w:hAnsi="Times New Roman" w:eastAsia="黑体" w:cs="Times New Roman"/>
          <w:color w:val="000000"/>
          <w:kern w:val="0"/>
          <w:sz w:val="32"/>
          <w:szCs w:val="32"/>
          <w:highlight w:val="none"/>
          <w:shd w:val="clear" w:color="auto" w:fill="FFFFFF"/>
          <w:lang w:val="zh-CN" w:eastAsia="zh-CN"/>
        </w:rPr>
        <w:t>三、部门预算绩效分析</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部门预算</w:t>
      </w:r>
      <w:r>
        <w:rPr>
          <w:rFonts w:hint="default" w:ascii="Times New Roman" w:hAnsi="Times New Roman" w:eastAsia="楷体_GB2312" w:cs="Times New Roman"/>
          <w:b/>
          <w:bCs/>
          <w:color w:val="000000"/>
          <w:kern w:val="0"/>
          <w:sz w:val="32"/>
          <w:szCs w:val="32"/>
          <w:highlight w:val="none"/>
          <w:shd w:val="clear" w:color="auto" w:fill="FFFFFF"/>
          <w:lang w:val="zh-CN"/>
        </w:rPr>
        <w:t>总体绩效分析。</w:t>
      </w:r>
    </w:p>
    <w:p>
      <w:pPr>
        <w:numPr>
          <w:ilvl w:val="0"/>
          <w:numId w:val="0"/>
        </w:numPr>
        <w:adjustRightInd w:val="0"/>
        <w:snapToGrid w:val="0"/>
        <w:spacing w:line="576" w:lineRule="atLeast"/>
        <w:ind w:firstLine="640" w:firstLineChars="200"/>
        <w:rPr>
          <w:rFonts w:hint="eastAsia" w:ascii="仿宋_GB2312" w:hAnsi="仿宋_GB2312" w:eastAsia="仿宋_GB2312" w:cs="仿宋_GB2312"/>
          <w:color w:val="auto"/>
          <w:sz w:val="32"/>
          <w:szCs w:val="32"/>
          <w:lang w:val="en-US" w:eastAsia="zh-CN"/>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zh-CN" w:eastAsia="zh-CN" w:bidi="ar-SA"/>
        </w:rPr>
        <w:t>履职效能。</w:t>
      </w:r>
      <w:r>
        <w:rPr>
          <w:rFonts w:hint="default" w:ascii="Times New Roman" w:hAnsi="Times New Roman" w:eastAsia="仿宋_GB2312" w:cs="Times New Roman"/>
          <w:sz w:val="32"/>
          <w:szCs w:val="32"/>
          <w:lang w:val="en-US" w:eastAsia="zh-CN"/>
        </w:rPr>
        <w:t>2025年，</w:t>
      </w:r>
      <w:r>
        <w:rPr>
          <w:rFonts w:hint="eastAsia" w:ascii="仿宋_GB2312" w:hAnsi="仿宋_GB2312" w:eastAsia="仿宋_GB2312" w:cs="仿宋_GB2312"/>
          <w:color w:val="auto"/>
          <w:sz w:val="32"/>
          <w:szCs w:val="32"/>
        </w:rPr>
        <w:t>围绕</w:t>
      </w:r>
      <w:r>
        <w:rPr>
          <w:rFonts w:hint="eastAsia" w:ascii="仿宋_GB2312" w:hAnsi="仿宋_GB2312" w:eastAsia="仿宋_GB2312" w:cs="仿宋_GB2312"/>
          <w:color w:val="auto"/>
          <w:sz w:val="32"/>
          <w:szCs w:val="32"/>
          <w:lang w:eastAsia="zh-CN"/>
        </w:rPr>
        <w:t>中央、</w:t>
      </w:r>
      <w:r>
        <w:rPr>
          <w:rFonts w:hint="eastAsia" w:ascii="仿宋_GB2312" w:hAnsi="仿宋_GB2312" w:eastAsia="仿宋_GB2312" w:cs="仿宋_GB2312"/>
          <w:color w:val="auto"/>
          <w:sz w:val="32"/>
          <w:szCs w:val="32"/>
        </w:rPr>
        <w:t>省、</w:t>
      </w:r>
      <w:r>
        <w:rPr>
          <w:rFonts w:hint="eastAsia" w:ascii="仿宋_GB2312" w:hAnsi="仿宋_GB2312" w:eastAsia="仿宋_GB2312" w:cs="仿宋_GB2312"/>
          <w:color w:val="auto"/>
          <w:sz w:val="32"/>
          <w:szCs w:val="32"/>
          <w:lang w:eastAsia="zh-CN"/>
        </w:rPr>
        <w:t>州</w:t>
      </w:r>
      <w:r>
        <w:rPr>
          <w:rFonts w:hint="eastAsia" w:ascii="仿宋_GB2312" w:hAnsi="仿宋_GB2312" w:eastAsia="仿宋_GB2312" w:cs="仿宋_GB2312"/>
          <w:color w:val="auto"/>
          <w:sz w:val="32"/>
          <w:szCs w:val="32"/>
        </w:rPr>
        <w:t>下达的信访工作目标考核任务（主要包括</w:t>
      </w:r>
      <w:r>
        <w:rPr>
          <w:rFonts w:hint="eastAsia" w:ascii="仿宋_GB2312" w:hAnsi="仿宋_GB2312" w:eastAsia="仿宋_GB2312" w:cs="仿宋_GB2312"/>
          <w:color w:val="auto"/>
          <w:sz w:val="32"/>
          <w:szCs w:val="32"/>
          <w:lang w:eastAsia="zh-CN"/>
        </w:rPr>
        <w:t>信访事项及时受理率、按期办结率</w:t>
      </w:r>
      <w:r>
        <w:rPr>
          <w:rFonts w:hint="eastAsia" w:ascii="仿宋_GB2312" w:hAnsi="仿宋_GB2312" w:eastAsia="仿宋_GB2312" w:cs="仿宋_GB2312"/>
          <w:color w:val="auto"/>
          <w:sz w:val="32"/>
          <w:szCs w:val="32"/>
        </w:rPr>
        <w:t>、初次信访一次性化解率、信访积案化解率、重复信访占比等核心指标），我局坚持目标导向、问题导向、结果导向，全力以赴推进各项工作</w:t>
      </w:r>
      <w:r>
        <w:rPr>
          <w:rFonts w:hint="eastAsia" w:ascii="仿宋_GB2312" w:hAnsi="仿宋_GB2312" w:eastAsia="仿宋_GB2312" w:cs="仿宋_GB2312"/>
          <w:color w:val="auto"/>
          <w:sz w:val="32"/>
          <w:szCs w:val="32"/>
          <w:lang w:eastAsia="zh-CN"/>
        </w:rPr>
        <w:t>。</w:t>
      </w:r>
      <w:r>
        <w:rPr>
          <w:rFonts w:hint="eastAsia" w:ascii="楷体_GB2312" w:hAnsi="楷体_GB2312" w:eastAsia="楷体_GB2312" w:cs="楷体_GB2312"/>
          <w:b/>
          <w:bCs/>
          <w:color w:val="auto"/>
          <w:sz w:val="32"/>
          <w:szCs w:val="32"/>
          <w:lang w:eastAsia="zh-CN"/>
        </w:rPr>
        <w:t>一是总体态势平稳可控。</w:t>
      </w:r>
      <w:r>
        <w:rPr>
          <w:rFonts w:hint="eastAsia" w:ascii="仿宋_GB2312" w:hAnsi="仿宋_GB2312" w:eastAsia="仿宋_GB2312" w:cs="仿宋_GB2312"/>
          <w:color w:val="auto"/>
          <w:sz w:val="32"/>
          <w:szCs w:val="32"/>
        </w:rPr>
        <w:t>通过强化源头预防、压实首接首办责任、推行领导干部接访下访包案等措施，信访总量总体保持在合理区间，</w:t>
      </w:r>
      <w:r>
        <w:rPr>
          <w:rFonts w:hint="eastAsia" w:ascii="仿宋_GB2312" w:hAnsi="仿宋_GB2312" w:eastAsia="仿宋_GB2312" w:cs="仿宋_GB2312"/>
          <w:color w:val="auto"/>
          <w:sz w:val="32"/>
          <w:szCs w:val="32"/>
          <w:lang w:val="en-US" w:eastAsia="zh-CN"/>
        </w:rPr>
        <w:t>2025年</w:t>
      </w:r>
      <w:r>
        <w:rPr>
          <w:rFonts w:hint="eastAsia" w:ascii="仿宋_GB2312" w:hAnsi="仿宋_GB2312" w:eastAsia="仿宋_GB2312" w:cs="仿宋_GB2312"/>
          <w:color w:val="auto"/>
          <w:sz w:val="32"/>
          <w:szCs w:val="32"/>
          <w:lang w:eastAsia="zh-CN"/>
        </w:rPr>
        <w:t>，</w:t>
      </w:r>
      <w:r>
        <w:rPr>
          <w:rFonts w:hint="default" w:ascii="Times New Roman" w:hAnsi="Times New Roman" w:eastAsia="仿宋_GB2312" w:cs="Times New Roman"/>
          <w:sz w:val="32"/>
          <w:szCs w:val="32"/>
          <w:lang w:val="en-US" w:eastAsia="zh-CN"/>
        </w:rPr>
        <w:t>信访总量147件174人次，</w:t>
      </w:r>
      <w:r>
        <w:rPr>
          <w:rFonts w:hint="eastAsia" w:ascii="Times New Roman" w:hAnsi="Times New Roman" w:eastAsia="仿宋_GB2312" w:cs="Times New Roman"/>
          <w:sz w:val="32"/>
          <w:szCs w:val="32"/>
          <w:lang w:val="en-US" w:eastAsia="zh-CN"/>
        </w:rPr>
        <w:t>办结147件</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kern w:val="2"/>
          <w:sz w:val="32"/>
          <w:szCs w:val="32"/>
          <w:lang w:val="en-US" w:eastAsia="zh-CN" w:bidi="ar-SA"/>
        </w:rPr>
        <w:t>信访部门受理率、责任单位及时受理率、按期答复率、</w:t>
      </w:r>
      <w:r>
        <w:rPr>
          <w:rFonts w:hint="eastAsia" w:ascii="仿宋_GB2312" w:hAnsi="仿宋_GB2312" w:eastAsia="仿宋_GB2312" w:cs="仿宋_GB2312"/>
          <w:color w:val="auto"/>
          <w:sz w:val="32"/>
          <w:szCs w:val="32"/>
          <w:lang w:val="en-US" w:eastAsia="zh-CN"/>
        </w:rPr>
        <w:t>其他法定程序办理情况均达100%</w:t>
      </w:r>
      <w:r>
        <w:rPr>
          <w:rFonts w:hint="eastAsia" w:ascii="仿宋_GB2312" w:hAnsi="仿宋_GB2312" w:eastAsia="仿宋_GB2312" w:cs="仿宋_GB2312"/>
          <w:color w:val="auto"/>
          <w:sz w:val="32"/>
          <w:szCs w:val="32"/>
          <w:lang w:eastAsia="zh-CN"/>
        </w:rPr>
        <w:t>。</w:t>
      </w:r>
      <w:r>
        <w:rPr>
          <w:rFonts w:hint="eastAsia" w:ascii="楷体_GB2312" w:hAnsi="楷体_GB2312" w:eastAsia="楷体_GB2312" w:cs="楷体_GB2312"/>
          <w:b/>
          <w:bCs/>
          <w:color w:val="auto"/>
          <w:sz w:val="32"/>
          <w:szCs w:val="32"/>
          <w:lang w:eastAsia="zh-CN"/>
        </w:rPr>
        <w:t>二是积案化解持续攻坚。</w:t>
      </w:r>
      <w:r>
        <w:rPr>
          <w:rFonts w:hint="eastAsia" w:ascii="仿宋_GB2312" w:hAnsi="仿宋_GB2312" w:eastAsia="仿宋_GB2312" w:cs="仿宋_GB2312"/>
          <w:color w:val="auto"/>
          <w:sz w:val="32"/>
          <w:szCs w:val="32"/>
        </w:rPr>
        <w:t>对纳入2025</w:t>
      </w:r>
      <w:r>
        <w:rPr>
          <w:rFonts w:hint="eastAsia" w:ascii="仿宋_GB2312" w:hAnsi="仿宋_GB2312" w:eastAsia="仿宋_GB2312" w:cs="仿宋_GB2312"/>
          <w:color w:val="auto"/>
          <w:sz w:val="32"/>
          <w:szCs w:val="32"/>
          <w:lang w:eastAsia="zh-CN"/>
        </w:rPr>
        <w:t>年化解</w:t>
      </w:r>
      <w:r>
        <w:rPr>
          <w:rFonts w:hint="eastAsia" w:ascii="仿宋_GB2312" w:hAnsi="仿宋_GB2312" w:eastAsia="仿宋_GB2312" w:cs="仿宋_GB2312"/>
          <w:color w:val="auto"/>
          <w:sz w:val="32"/>
          <w:szCs w:val="32"/>
        </w:rPr>
        <w:t>的信访积案，建立台账，明确包案领导、责任单位和化解时限，实行挂图作战。</w:t>
      </w:r>
      <w:r>
        <w:rPr>
          <w:rFonts w:hint="default" w:ascii="仿宋_GB2312" w:hAnsi="仿宋_GB2312" w:eastAsia="仿宋_GB2312" w:cs="仿宋_GB2312"/>
          <w:color w:val="auto"/>
          <w:sz w:val="32"/>
          <w:szCs w:val="32"/>
          <w:lang w:val="en-US" w:eastAsia="zh-CN"/>
        </w:rPr>
        <w:t>按期圆满办结</w:t>
      </w:r>
      <w:r>
        <w:rPr>
          <w:rFonts w:hint="eastAsia" w:ascii="仿宋_GB2312" w:hAnsi="仿宋_GB2312" w:eastAsia="仿宋_GB2312" w:cs="仿宋_GB2312"/>
          <w:color w:val="auto"/>
          <w:sz w:val="32"/>
          <w:szCs w:val="32"/>
          <w:lang w:val="en-US" w:eastAsia="zh-CN"/>
        </w:rPr>
        <w:t>州</w:t>
      </w:r>
      <w:r>
        <w:rPr>
          <w:rFonts w:hint="default" w:ascii="仿宋_GB2312" w:hAnsi="仿宋_GB2312" w:eastAsia="仿宋_GB2312" w:cs="仿宋_GB2312"/>
          <w:color w:val="auto"/>
          <w:sz w:val="32"/>
          <w:szCs w:val="32"/>
          <w:lang w:val="en-US" w:eastAsia="zh-CN"/>
        </w:rPr>
        <w:t>信访工作联席会议办公室交办我县的</w:t>
      </w:r>
      <w:r>
        <w:rPr>
          <w:rFonts w:hint="eastAsia" w:ascii="仿宋_GB2312" w:hAnsi="仿宋_GB2312" w:eastAsia="仿宋_GB2312" w:cs="仿宋_GB2312"/>
          <w:color w:val="auto"/>
          <w:sz w:val="32"/>
          <w:szCs w:val="32"/>
          <w:lang w:val="en-US" w:eastAsia="zh-CN"/>
        </w:rPr>
        <w:t>重复信访1</w:t>
      </w:r>
      <w:r>
        <w:rPr>
          <w:rFonts w:hint="default" w:ascii="仿宋_GB2312" w:hAnsi="仿宋_GB2312" w:eastAsia="仿宋_GB2312" w:cs="仿宋_GB2312"/>
          <w:color w:val="auto"/>
          <w:sz w:val="32"/>
          <w:szCs w:val="32"/>
          <w:lang w:val="en-US" w:eastAsia="zh-CN"/>
        </w:rPr>
        <w:t>件</w:t>
      </w:r>
      <w:r>
        <w:rPr>
          <w:rFonts w:hint="eastAsia" w:ascii="仿宋_GB2312" w:hAnsi="仿宋_GB2312" w:eastAsia="仿宋_GB2312" w:cs="仿宋_GB2312"/>
          <w:color w:val="auto"/>
          <w:sz w:val="32"/>
          <w:szCs w:val="32"/>
        </w:rPr>
        <w:t>。</w:t>
      </w:r>
      <w:r>
        <w:rPr>
          <w:rFonts w:hint="eastAsia" w:ascii="楷体_GB2312" w:hAnsi="楷体_GB2312" w:eastAsia="楷体_GB2312" w:cs="楷体_GB2312"/>
          <w:b/>
          <w:bCs/>
          <w:color w:val="auto"/>
          <w:sz w:val="32"/>
          <w:szCs w:val="32"/>
          <w:lang w:eastAsia="zh-CN"/>
        </w:rPr>
        <w:t>三是基础工作不断夯实。</w:t>
      </w:r>
      <w:r>
        <w:rPr>
          <w:rFonts w:hint="eastAsia" w:ascii="仿宋_GB2312" w:hAnsi="仿宋_GB2312" w:eastAsia="仿宋_GB2312" w:cs="仿宋_GB2312"/>
          <w:color w:val="auto"/>
          <w:sz w:val="32"/>
          <w:szCs w:val="32"/>
        </w:rPr>
        <w:t>在推动基层基础规范化建设、加强业务培训、规范信访业务办理流程等方面取得进展，为指标完成奠定了基础。但在提升基层吸附化解能力、有效降低重复信访率方面，仍需持续发力。</w:t>
      </w:r>
      <w:r>
        <w:rPr>
          <w:rFonts w:hint="eastAsia" w:ascii="仿宋_GB2312" w:hAnsi="仿宋_GB2312" w:eastAsia="仿宋_GB2312" w:cs="仿宋_GB2312"/>
          <w:color w:val="auto"/>
          <w:sz w:val="32"/>
          <w:szCs w:val="32"/>
          <w:lang w:eastAsia="zh-CN"/>
        </w:rPr>
        <w:t>今年以来，先后</w:t>
      </w:r>
      <w:r>
        <w:rPr>
          <w:rFonts w:hint="default" w:ascii="仿宋_GB2312" w:hAnsi="仿宋_GB2312" w:eastAsia="仿宋_GB2312" w:cs="仿宋_GB2312"/>
          <w:color w:val="auto"/>
          <w:sz w:val="32"/>
          <w:szCs w:val="32"/>
          <w:lang w:val="en-US" w:eastAsia="zh-CN"/>
        </w:rPr>
        <w:t>印发《信访矛盾纠纷排查化工作的通知》《信访矛盾大起底大排查大化解工作方案》，常态开展信访隐患排查化解工作，共排查出</w:t>
      </w:r>
      <w:r>
        <w:rPr>
          <w:rFonts w:hint="eastAsia" w:ascii="仿宋_GB2312" w:hAnsi="仿宋_GB2312" w:eastAsia="仿宋_GB2312" w:cs="仿宋_GB2312"/>
          <w:color w:val="auto"/>
          <w:sz w:val="32"/>
          <w:szCs w:val="32"/>
          <w:lang w:val="en-US" w:eastAsia="zh-CN"/>
        </w:rPr>
        <w:t>纠纷24</w:t>
      </w:r>
      <w:r>
        <w:rPr>
          <w:rFonts w:hint="default" w:ascii="仿宋_GB2312" w:hAnsi="仿宋_GB2312" w:eastAsia="仿宋_GB2312" w:cs="仿宋_GB2312"/>
          <w:color w:val="auto"/>
          <w:sz w:val="32"/>
          <w:szCs w:val="32"/>
          <w:lang w:val="en-US" w:eastAsia="zh-CN"/>
        </w:rPr>
        <w:t>件，化解</w:t>
      </w:r>
      <w:r>
        <w:rPr>
          <w:rFonts w:hint="eastAsia" w:ascii="仿宋_GB2312" w:hAnsi="仿宋_GB2312" w:eastAsia="仿宋_GB2312" w:cs="仿宋_GB2312"/>
          <w:color w:val="auto"/>
          <w:sz w:val="32"/>
          <w:szCs w:val="32"/>
          <w:lang w:val="en-US" w:eastAsia="zh-CN"/>
        </w:rPr>
        <w:t>24</w:t>
      </w:r>
      <w:r>
        <w:rPr>
          <w:rFonts w:hint="default" w:ascii="仿宋_GB2312" w:hAnsi="仿宋_GB2312" w:eastAsia="仿宋_GB2312" w:cs="仿宋_GB2312"/>
          <w:color w:val="auto"/>
          <w:sz w:val="32"/>
          <w:szCs w:val="32"/>
          <w:lang w:val="en-US" w:eastAsia="zh-CN"/>
        </w:rPr>
        <w:t>件。</w:t>
      </w:r>
      <w:r>
        <w:rPr>
          <w:rFonts w:hint="eastAsia" w:ascii="楷体_GB2312" w:hAnsi="楷体_GB2312" w:eastAsia="楷体_GB2312" w:cs="楷体_GB2312"/>
          <w:b/>
          <w:bCs/>
          <w:color w:val="auto"/>
          <w:sz w:val="32"/>
          <w:szCs w:val="32"/>
          <w:lang w:eastAsia="zh-CN"/>
        </w:rPr>
        <w:t>四是法治化建设稳步推进。</w:t>
      </w:r>
      <w:r>
        <w:rPr>
          <w:rFonts w:hint="eastAsia" w:ascii="仿宋_GB2312" w:hAnsi="仿宋_GB2312" w:eastAsia="仿宋_GB2312" w:cs="仿宋_GB2312"/>
          <w:color w:val="auto"/>
          <w:sz w:val="32"/>
          <w:szCs w:val="32"/>
        </w:rPr>
        <w:t>依法分类处理信访诉求、引导群众依法逐级走访、维护信访秩序等工作不断加强，</w:t>
      </w:r>
      <w:r>
        <w:rPr>
          <w:rFonts w:hint="eastAsia" w:ascii="仿宋_GB2312" w:hAnsi="仿宋_GB2312" w:eastAsia="仿宋_GB2312" w:cs="仿宋_GB2312"/>
          <w:color w:val="auto"/>
          <w:sz w:val="32"/>
          <w:szCs w:val="32"/>
          <w:lang w:eastAsia="zh-CN"/>
        </w:rPr>
        <w:t>依托红原县社会综合治理中心，在处理相关事项过程中，联合司法、法院、人社等部门参与，</w:t>
      </w:r>
      <w:r>
        <w:rPr>
          <w:rFonts w:hint="eastAsia" w:ascii="仿宋_GB2312" w:hAnsi="仿宋_GB2312" w:eastAsia="仿宋_GB2312" w:cs="仿宋_GB2312"/>
          <w:color w:val="auto"/>
          <w:sz w:val="32"/>
          <w:szCs w:val="32"/>
        </w:rPr>
        <w:t>涉法涉诉信访事项导入司法渠道更加顺畅，为完成“秩序维护”类指标提供了保障。</w:t>
      </w:r>
      <w:r>
        <w:rPr>
          <w:rFonts w:hint="eastAsia" w:ascii="楷体_GB2312" w:hAnsi="楷体_GB2312" w:eastAsia="楷体_GB2312" w:cs="楷体_GB2312"/>
          <w:b/>
          <w:bCs/>
          <w:sz w:val="32"/>
          <w:szCs w:val="32"/>
          <w:lang w:eastAsia="zh-CN"/>
        </w:rPr>
        <w:t>五是是认真做好信访保障工作。</w:t>
      </w:r>
      <w:r>
        <w:rPr>
          <w:rFonts w:hint="eastAsia" w:ascii="仿宋_GB2312" w:hAnsi="仿宋_GB2312" w:eastAsia="仿宋_GB2312" w:cs="仿宋_GB2312"/>
          <w:kern w:val="2"/>
          <w:sz w:val="32"/>
          <w:szCs w:val="32"/>
          <w:lang w:val="en-US" w:eastAsia="zh-CN" w:bidi="ar-SA"/>
        </w:rPr>
        <w:t>圆满完成全国、省州县“两会”、</w:t>
      </w:r>
      <w:r>
        <w:rPr>
          <w:rFonts w:hint="eastAsia" w:ascii="仿宋_GB2312" w:hAnsi="仿宋_GB2312" w:eastAsia="仿宋_GB2312" w:cs="仿宋_GB2312"/>
          <w:color w:val="auto"/>
          <w:sz w:val="32"/>
          <w:szCs w:val="32"/>
          <w:lang w:val="en-US" w:eastAsia="zh-CN"/>
        </w:rPr>
        <w:t>及雅克音乐季系列活动等重要节会期间的信访安全保障工作任务。</w:t>
      </w:r>
    </w:p>
    <w:p>
      <w:pPr>
        <w:pStyle w:val="2"/>
        <w:keepNext w:val="0"/>
        <w:keepLines w:val="0"/>
        <w:pageBreakBefore w:val="0"/>
        <w:widowControl w:val="0"/>
        <w:suppressLineNumbers w:val="0"/>
        <w:kinsoku/>
        <w:wordWrap/>
        <w:overflowPunct/>
        <w:topLinePunct w:val="0"/>
        <w:autoSpaceDE w:val="0"/>
        <w:autoSpaceDN/>
        <w:bidi w:val="0"/>
        <w:spacing w:after="0" w:afterAutospacing="0" w:line="576" w:lineRule="exact"/>
        <w:ind w:left="0" w:leftChars="0" w:firstLine="640" w:firstLineChars="200"/>
        <w:textAlignment w:val="auto"/>
        <w:rPr>
          <w:rFonts w:hint="eastAsia" w:ascii="仿宋_GB2312" w:hAnsi="仿宋_GB2312" w:eastAsia="仿宋_GB2312" w:cs="仿宋_GB2312"/>
          <w:kern w:val="2"/>
          <w:sz w:val="32"/>
          <w:szCs w:val="32"/>
        </w:rPr>
      </w:pPr>
      <w:r>
        <w:rPr>
          <w:rFonts w:hint="eastAsia"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预算管理</w:t>
      </w:r>
      <w:r>
        <w:rPr>
          <w:rFonts w:hint="eastAsia" w:ascii="Times New Roman" w:hAnsi="Times New Roman" w:eastAsia="仿宋_GB2312" w:cs="仿宋_GB2312"/>
          <w:color w:val="auto"/>
          <w:kern w:val="2"/>
          <w:sz w:val="32"/>
          <w:szCs w:val="32"/>
          <w:highlight w:val="none"/>
          <w:lang w:val="zh-CN" w:eastAsia="zh-CN" w:bidi="ar-SA"/>
        </w:rPr>
        <w:t>。</w:t>
      </w:r>
      <w:r>
        <w:rPr>
          <w:rFonts w:hint="eastAsia" w:ascii="仿宋_GB2312" w:hAnsi="仿宋_GB2312" w:eastAsia="仿宋_GB2312" w:cs="仿宋_GB2312"/>
          <w:kern w:val="2"/>
          <w:sz w:val="32"/>
          <w:szCs w:val="32"/>
        </w:rPr>
        <w:t>红原</w:t>
      </w:r>
      <w:r>
        <w:rPr>
          <w:rFonts w:hint="eastAsia" w:ascii="仿宋_GB2312" w:hAnsi="仿宋_GB2312" w:eastAsia="仿宋_GB2312" w:cs="仿宋_GB2312"/>
          <w:kern w:val="2"/>
          <w:sz w:val="32"/>
          <w:szCs w:val="32"/>
          <w:lang w:eastAsia="zh-CN"/>
        </w:rPr>
        <w:t>县</w:t>
      </w:r>
      <w:r>
        <w:rPr>
          <w:rFonts w:hint="eastAsia" w:ascii="仿宋_GB2312" w:hAnsi="仿宋_GB2312" w:eastAsia="仿宋_GB2312" w:cs="仿宋_GB2312"/>
          <w:kern w:val="2"/>
          <w:sz w:val="32"/>
          <w:szCs w:val="32"/>
        </w:rPr>
        <w:t>信访局202</w:t>
      </w:r>
      <w:r>
        <w:rPr>
          <w:rFonts w:hint="eastAsia" w:hAnsi="仿宋_GB2312" w:eastAsia="仿宋_GB2312" w:cs="仿宋_GB2312"/>
          <w:kern w:val="2"/>
          <w:sz w:val="32"/>
          <w:szCs w:val="32"/>
          <w:lang w:val="en-US" w:eastAsia="zh-CN"/>
        </w:rPr>
        <w:t>5</w:t>
      </w:r>
      <w:r>
        <w:rPr>
          <w:rFonts w:hint="eastAsia" w:ascii="仿宋_GB2312" w:hAnsi="仿宋_GB2312" w:eastAsia="仿宋_GB2312" w:cs="仿宋_GB2312"/>
          <w:kern w:val="2"/>
          <w:sz w:val="32"/>
          <w:szCs w:val="32"/>
        </w:rPr>
        <w:t>年总支出</w:t>
      </w:r>
      <w:r>
        <w:rPr>
          <w:rFonts w:hint="eastAsia" w:hAnsi="仿宋_GB2312" w:eastAsia="仿宋_GB2312" w:cs="仿宋_GB2312"/>
          <w:kern w:val="2"/>
          <w:sz w:val="32"/>
          <w:szCs w:val="32"/>
          <w:lang w:val="en-US" w:eastAsia="zh-CN"/>
        </w:rPr>
        <w:t>279.48</w:t>
      </w:r>
      <w:r>
        <w:rPr>
          <w:rFonts w:hint="eastAsia" w:ascii="仿宋_GB2312" w:hAnsi="仿宋_GB2312" w:eastAsia="仿宋_GB2312" w:cs="仿宋_GB2312"/>
          <w:kern w:val="2"/>
          <w:sz w:val="32"/>
          <w:szCs w:val="32"/>
        </w:rPr>
        <w:t>元，主要用于保障该部门机构正常运转、完成日常工作任务以及相关工作。支出按照基本支出</w:t>
      </w:r>
      <w:r>
        <w:rPr>
          <w:rFonts w:hint="eastAsia" w:hAnsi="仿宋_GB2312" w:eastAsia="仿宋_GB2312" w:cs="仿宋_GB2312"/>
          <w:kern w:val="2"/>
          <w:sz w:val="32"/>
          <w:szCs w:val="32"/>
          <w:lang w:val="en-US" w:eastAsia="zh-CN"/>
        </w:rPr>
        <w:t>244.83</w:t>
      </w:r>
      <w:r>
        <w:rPr>
          <w:rFonts w:hint="eastAsia" w:ascii="仿宋_GB2312" w:hAnsi="仿宋_GB2312" w:eastAsia="仿宋_GB2312" w:cs="仿宋_GB2312"/>
          <w:kern w:val="2"/>
          <w:sz w:val="32"/>
          <w:szCs w:val="32"/>
        </w:rPr>
        <w:t>万元，项目支出</w:t>
      </w:r>
      <w:r>
        <w:rPr>
          <w:rFonts w:hint="eastAsia" w:hAnsi="仿宋_GB2312" w:eastAsia="仿宋_GB2312" w:cs="仿宋_GB2312"/>
          <w:kern w:val="2"/>
          <w:sz w:val="32"/>
          <w:szCs w:val="32"/>
          <w:lang w:val="en-US" w:eastAsia="zh-CN"/>
        </w:rPr>
        <w:t>34.64</w:t>
      </w:r>
      <w:r>
        <w:rPr>
          <w:rFonts w:hint="eastAsia" w:ascii="仿宋_GB2312" w:hAnsi="仿宋_GB2312" w:eastAsia="仿宋_GB2312" w:cs="仿宋_GB2312"/>
          <w:kern w:val="2"/>
          <w:sz w:val="32"/>
          <w:szCs w:val="32"/>
        </w:rPr>
        <w:t>万元。人员经费</w:t>
      </w:r>
      <w:r>
        <w:rPr>
          <w:rFonts w:hint="eastAsia" w:hAnsi="仿宋_GB2312" w:eastAsia="仿宋_GB2312" w:cs="仿宋_GB2312"/>
          <w:kern w:val="2"/>
          <w:sz w:val="32"/>
          <w:szCs w:val="32"/>
          <w:lang w:val="en-US" w:eastAsia="zh-CN"/>
        </w:rPr>
        <w:t>219</w:t>
      </w:r>
      <w:r>
        <w:rPr>
          <w:rFonts w:hint="eastAsia" w:ascii="仿宋_GB2312" w:hAnsi="仿宋_GB2312" w:eastAsia="仿宋_GB2312" w:cs="仿宋_GB2312"/>
          <w:kern w:val="2"/>
          <w:sz w:val="32"/>
          <w:szCs w:val="32"/>
        </w:rPr>
        <w:t>万元，公用经费</w:t>
      </w:r>
      <w:r>
        <w:rPr>
          <w:rFonts w:hint="eastAsia" w:ascii="仿宋_GB2312" w:hAnsi="仿宋_GB2312" w:eastAsia="仿宋_GB2312" w:cs="仿宋_GB2312"/>
          <w:sz w:val="32"/>
          <w:szCs w:val="32"/>
        </w:rPr>
        <w:t>25.83</w:t>
      </w:r>
      <w:r>
        <w:rPr>
          <w:rFonts w:hint="eastAsia" w:ascii="仿宋_GB2312" w:hAnsi="仿宋_GB2312" w:eastAsia="仿宋_GB2312" w:cs="仿宋_GB2312"/>
          <w:kern w:val="2"/>
          <w:sz w:val="32"/>
          <w:szCs w:val="32"/>
        </w:rPr>
        <w:t>万元。</w:t>
      </w:r>
    </w:p>
    <w:p>
      <w:pPr>
        <w:pStyle w:val="2"/>
        <w:keepNext w:val="0"/>
        <w:keepLines w:val="0"/>
        <w:pageBreakBefore w:val="0"/>
        <w:widowControl w:val="0"/>
        <w:suppressLineNumbers w:val="0"/>
        <w:kinsoku/>
        <w:wordWrap/>
        <w:overflowPunct/>
        <w:topLinePunct w:val="0"/>
        <w:autoSpaceDE w:val="0"/>
        <w:autoSpaceDN/>
        <w:bidi w:val="0"/>
        <w:spacing w:after="0" w:afterAutospacing="0" w:line="576" w:lineRule="exact"/>
        <w:ind w:left="0" w:leftChars="0" w:firstLine="640" w:firstLineChars="200"/>
        <w:textAlignment w:val="auto"/>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rPr>
        <w:t>根据我局年初工作规划和重点性工作，较好的完成了年度工作目标。通过加强预算收支的管理，不断建立健全内部管理制度，理顺内部管理流程，部门整体支出管理情况得到了提升。</w:t>
      </w:r>
      <w:r>
        <w:rPr>
          <w:rFonts w:hint="eastAsia" w:ascii="仿宋_GB2312" w:hAnsi="仿宋_GB2312" w:eastAsia="仿宋_GB2312" w:cs="仿宋_GB2312"/>
          <w:b/>
          <w:bCs/>
          <w:kern w:val="2"/>
          <w:sz w:val="32"/>
          <w:szCs w:val="32"/>
        </w:rPr>
        <w:t>一是</w:t>
      </w:r>
      <w:r>
        <w:rPr>
          <w:rFonts w:hint="eastAsia" w:ascii="仿宋_GB2312" w:hAnsi="仿宋_GB2312" w:eastAsia="仿宋_GB2312" w:cs="仿宋_GB2312"/>
          <w:kern w:val="2"/>
          <w:sz w:val="32"/>
          <w:szCs w:val="32"/>
        </w:rPr>
        <w:t>本年预算安排控制较好，财政供养人员控制率100%，控制在预算编制以内；</w:t>
      </w:r>
      <w:r>
        <w:rPr>
          <w:rFonts w:hint="eastAsia" w:ascii="仿宋_GB2312" w:hAnsi="仿宋_GB2312" w:eastAsia="仿宋_GB2312" w:cs="仿宋_GB2312"/>
          <w:b/>
          <w:bCs/>
          <w:kern w:val="2"/>
          <w:sz w:val="32"/>
          <w:szCs w:val="32"/>
        </w:rPr>
        <w:t>二是</w:t>
      </w:r>
      <w:r>
        <w:rPr>
          <w:rFonts w:hint="eastAsia" w:ascii="仿宋_GB2312" w:hAnsi="仿宋_GB2312" w:eastAsia="仿宋_GB2312" w:cs="仿宋_GB2312"/>
          <w:kern w:val="2"/>
          <w:sz w:val="32"/>
          <w:szCs w:val="32"/>
        </w:rPr>
        <w:t>预算执行方面，本年转移资金支付不存在截留或滞留专项资金情况。</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3.</w:t>
      </w:r>
      <w:r>
        <w:rPr>
          <w:rFonts w:hint="default" w:ascii="Times New Roman" w:hAnsi="Times New Roman" w:eastAsia="仿宋_GB2312" w:cs="仿宋_GB2312"/>
          <w:color w:val="auto"/>
          <w:kern w:val="2"/>
          <w:sz w:val="32"/>
          <w:szCs w:val="32"/>
          <w:highlight w:val="none"/>
          <w:lang w:val="zh-CN" w:eastAsia="zh-CN" w:bidi="ar-SA"/>
        </w:rPr>
        <w:t>财务管理</w:t>
      </w:r>
      <w:r>
        <w:rPr>
          <w:rFonts w:hint="eastAsia" w:eastAsia="仿宋_GB2312" w:cs="仿宋_GB2312"/>
          <w:color w:val="auto"/>
          <w:kern w:val="2"/>
          <w:sz w:val="32"/>
          <w:szCs w:val="32"/>
          <w:highlight w:val="none"/>
          <w:lang w:val="zh-CN" w:eastAsia="zh-CN" w:bidi="ar-SA"/>
        </w:rPr>
        <w:t>。</w:t>
      </w:r>
      <w:r>
        <w:rPr>
          <w:rFonts w:hint="eastAsia" w:ascii="仿宋_GB2312" w:hAnsi="仿宋" w:eastAsia="仿宋_GB2312" w:cs="仿宋_GB2312"/>
          <w:kern w:val="2"/>
          <w:sz w:val="32"/>
          <w:szCs w:val="32"/>
          <w:lang w:val="zh-CN"/>
        </w:rPr>
        <w:t>财务管理规范，制定财务制度，遵守财经纪律，严格各项报账、审核制度；绩效工作方面，以深入创建人民满意度窗口创建为主线，开展好来访接待办理工作，强化财务人员的管理评价，把资金预算好、管理好，使用好，把每笔公务经费合理合规合法安排，一年来，“三公”经反复无超支现象，各项工有序稳固推进；决算工作按照县级安排，有序组织会计人员做好决算的录入、上报等工作。</w:t>
      </w:r>
    </w:p>
    <w:p>
      <w:pPr>
        <w:pStyle w:val="2"/>
        <w:keepNext w:val="0"/>
        <w:keepLines w:val="0"/>
        <w:pageBreakBefore w:val="0"/>
        <w:widowControl w:val="0"/>
        <w:suppressLineNumbers w:val="0"/>
        <w:kinsoku/>
        <w:wordWrap/>
        <w:overflowPunct/>
        <w:topLinePunct w:val="0"/>
        <w:autoSpaceDE w:val="0"/>
        <w:autoSpaceDN/>
        <w:bidi w:val="0"/>
        <w:spacing w:after="0" w:afterAutospacing="0" w:line="576" w:lineRule="exact"/>
        <w:ind w:left="0" w:leftChars="0" w:firstLine="640" w:firstLineChars="200"/>
        <w:textAlignment w:val="auto"/>
        <w:rPr>
          <w:rFonts w:hint="eastAsia" w:ascii="仿宋_GB2312" w:hAnsi="仿宋" w:eastAsia="仿宋_GB2312" w:cs="仿宋_GB2312"/>
          <w:kern w:val="2"/>
          <w:sz w:val="32"/>
          <w:szCs w:val="32"/>
          <w:lang w:val="zh-CN" w:eastAsia="zh-CN"/>
        </w:rPr>
      </w:pPr>
      <w:r>
        <w:rPr>
          <w:rFonts w:hint="eastAsia" w:ascii="Times New Roman" w:hAnsi="Times New Roman" w:eastAsia="仿宋_GB2312" w:cs="仿宋_GB2312"/>
          <w:color w:val="auto"/>
          <w:kern w:val="2"/>
          <w:sz w:val="32"/>
          <w:szCs w:val="32"/>
          <w:highlight w:val="none"/>
          <w:lang w:val="en-US" w:eastAsia="zh-CN" w:bidi="ar-SA"/>
        </w:rPr>
        <w:t>4.</w:t>
      </w:r>
      <w:r>
        <w:rPr>
          <w:rFonts w:hint="default" w:ascii="Times New Roman" w:hAnsi="Times New Roman" w:eastAsia="仿宋_GB2312" w:cs="仿宋_GB2312"/>
          <w:color w:val="auto"/>
          <w:kern w:val="2"/>
          <w:sz w:val="32"/>
          <w:szCs w:val="32"/>
          <w:highlight w:val="none"/>
          <w:lang w:val="zh-CN" w:eastAsia="zh-CN" w:bidi="ar-SA"/>
        </w:rPr>
        <w:t>资产管理</w:t>
      </w:r>
      <w:r>
        <w:rPr>
          <w:rFonts w:hint="eastAsia" w:ascii="Times New Roman" w:hAnsi="Times New Roman" w:eastAsia="仿宋_GB2312" w:cs="仿宋_GB2312"/>
          <w:color w:val="auto"/>
          <w:kern w:val="2"/>
          <w:sz w:val="32"/>
          <w:szCs w:val="32"/>
          <w:highlight w:val="none"/>
          <w:lang w:val="zh-CN" w:eastAsia="zh-CN" w:bidi="ar-SA"/>
        </w:rPr>
        <w:t>。</w:t>
      </w:r>
      <w:r>
        <w:rPr>
          <w:rFonts w:hint="eastAsia" w:ascii="仿宋_GB2312" w:hAnsi="仿宋" w:eastAsia="仿宋_GB2312" w:cs="仿宋_GB2312"/>
          <w:kern w:val="2"/>
          <w:sz w:val="32"/>
          <w:szCs w:val="32"/>
          <w:lang w:val="zh-CN" w:eastAsia="zh-CN"/>
        </w:rPr>
        <w:t>完善资产管理办法，建立资产台账，尤其在20</w:t>
      </w:r>
      <w:r>
        <w:rPr>
          <w:rFonts w:hint="eastAsia" w:ascii="仿宋_GB2312" w:hAnsi="仿宋" w:eastAsia="仿宋_GB2312" w:cs="仿宋_GB2312"/>
          <w:kern w:val="2"/>
          <w:sz w:val="32"/>
          <w:szCs w:val="32"/>
          <w:lang w:val="en-US" w:eastAsia="zh-CN"/>
        </w:rPr>
        <w:t>2</w:t>
      </w:r>
      <w:r>
        <w:rPr>
          <w:rFonts w:hint="eastAsia" w:hAnsi="仿宋" w:eastAsia="仿宋_GB2312" w:cs="仿宋_GB2312"/>
          <w:kern w:val="2"/>
          <w:sz w:val="32"/>
          <w:szCs w:val="32"/>
          <w:lang w:val="en-US" w:eastAsia="zh-CN"/>
        </w:rPr>
        <w:t>5</w:t>
      </w:r>
      <w:r>
        <w:rPr>
          <w:rFonts w:hint="eastAsia" w:ascii="仿宋_GB2312" w:hAnsi="仿宋" w:eastAsia="仿宋_GB2312" w:cs="仿宋_GB2312"/>
          <w:kern w:val="2"/>
          <w:sz w:val="32"/>
          <w:szCs w:val="32"/>
          <w:lang w:val="zh-CN" w:eastAsia="zh-CN"/>
        </w:rPr>
        <w:t>年对行政事业单位资产进行全面清查核实，进一步完善了资产信息系统，实现了对资产的动态管理。在会计控制方面，完善了单位的会计管理办法，强化会计人员管理制度，加强会计档案管理，明确会计凭证、会计账簿等处理程序。</w:t>
      </w:r>
      <w:r>
        <w:rPr>
          <w:rFonts w:hint="eastAsia" w:ascii="仿宋_GB2312" w:hAnsi="仿宋" w:eastAsia="仿宋_GB2312" w:cs="仿宋_GB2312"/>
          <w:kern w:val="2"/>
          <w:sz w:val="32"/>
          <w:szCs w:val="32"/>
          <w:lang w:val="en-US" w:eastAsia="zh-CN"/>
        </w:rPr>
        <w:t>202</w:t>
      </w:r>
      <w:r>
        <w:rPr>
          <w:rFonts w:hint="eastAsia" w:hAnsi="仿宋" w:eastAsia="仿宋_GB2312" w:cs="仿宋_GB2312"/>
          <w:kern w:val="2"/>
          <w:sz w:val="32"/>
          <w:szCs w:val="32"/>
          <w:lang w:val="en-US" w:eastAsia="zh-CN"/>
        </w:rPr>
        <w:t>5</w:t>
      </w:r>
      <w:r>
        <w:rPr>
          <w:rFonts w:hint="eastAsia" w:ascii="仿宋_GB2312" w:hAnsi="仿宋" w:eastAsia="仿宋_GB2312" w:cs="仿宋_GB2312"/>
          <w:kern w:val="2"/>
          <w:sz w:val="32"/>
          <w:szCs w:val="32"/>
          <w:lang w:val="en-US" w:eastAsia="zh-CN"/>
        </w:rPr>
        <w:t>年</w:t>
      </w:r>
      <w:r>
        <w:rPr>
          <w:rFonts w:hint="eastAsia" w:ascii="仿宋_GB2312" w:hAnsi="仿宋" w:eastAsia="仿宋_GB2312" w:cs="仿宋_GB2312"/>
          <w:kern w:val="2"/>
          <w:sz w:val="32"/>
          <w:szCs w:val="32"/>
          <w:lang w:val="zh-CN" w:eastAsia="zh-CN"/>
        </w:rPr>
        <w:t>固定资产原值26.54万元，折旧</w:t>
      </w:r>
      <w:r>
        <w:rPr>
          <w:rFonts w:hint="eastAsia" w:ascii="仿宋_GB2312" w:hAnsi="仿宋" w:eastAsia="仿宋_GB2312" w:cs="仿宋_GB2312"/>
          <w:kern w:val="2"/>
          <w:sz w:val="32"/>
          <w:szCs w:val="32"/>
          <w:lang w:val="en-US" w:eastAsia="zh-CN"/>
        </w:rPr>
        <w:t>23.49</w:t>
      </w:r>
      <w:r>
        <w:rPr>
          <w:rFonts w:hint="eastAsia" w:ascii="仿宋_GB2312" w:hAnsi="仿宋" w:eastAsia="仿宋_GB2312" w:cs="仿宋_GB2312"/>
          <w:kern w:val="2"/>
          <w:sz w:val="32"/>
          <w:szCs w:val="32"/>
          <w:lang w:val="zh-CN" w:eastAsia="zh-CN"/>
        </w:rPr>
        <w:t>万元，净值</w:t>
      </w:r>
      <w:r>
        <w:rPr>
          <w:rFonts w:hint="eastAsia" w:hAnsi="仿宋" w:eastAsia="仿宋_GB2312" w:cs="仿宋_GB2312"/>
          <w:kern w:val="2"/>
          <w:sz w:val="32"/>
          <w:szCs w:val="32"/>
          <w:lang w:val="en-US" w:eastAsia="zh-CN"/>
        </w:rPr>
        <w:t>1.21</w:t>
      </w:r>
      <w:r>
        <w:rPr>
          <w:rFonts w:hint="eastAsia" w:ascii="仿宋_GB2312" w:hAnsi="仿宋" w:eastAsia="仿宋_GB2312" w:cs="仿宋_GB2312"/>
          <w:kern w:val="2"/>
          <w:sz w:val="32"/>
          <w:szCs w:val="32"/>
          <w:lang w:val="zh-CN" w:eastAsia="zh-CN"/>
        </w:rPr>
        <w:t>万元，我单位公务用车1台，因未过户，资产值未入帐，信访局无资产盘活。</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5.</w:t>
      </w:r>
      <w:r>
        <w:rPr>
          <w:rFonts w:hint="default" w:ascii="Times New Roman" w:hAnsi="Times New Roman" w:eastAsia="仿宋_GB2312" w:cs="仿宋_GB2312"/>
          <w:color w:val="auto"/>
          <w:kern w:val="2"/>
          <w:sz w:val="32"/>
          <w:szCs w:val="32"/>
          <w:highlight w:val="none"/>
          <w:lang w:val="zh-CN" w:eastAsia="zh-CN" w:bidi="ar-SA"/>
        </w:rPr>
        <w:t>采购管理</w:t>
      </w:r>
      <w:r>
        <w:rPr>
          <w:rFonts w:hint="eastAsia" w:ascii="Times New Roman" w:hAnsi="Times New Roman" w:eastAsia="仿宋_GB2312" w:cs="仿宋_GB2312"/>
          <w:color w:val="auto"/>
          <w:kern w:val="2"/>
          <w:sz w:val="32"/>
          <w:szCs w:val="32"/>
          <w:highlight w:val="none"/>
          <w:lang w:val="zh-CN" w:eastAsia="zh-CN" w:bidi="ar-SA"/>
        </w:rPr>
        <w:t>。</w:t>
      </w:r>
      <w:r>
        <w:rPr>
          <w:rFonts w:hint="eastAsia" w:ascii="仿宋_GB2312" w:hAnsi="仿宋" w:eastAsia="仿宋_GB2312" w:cs="仿宋_GB2312"/>
          <w:kern w:val="2"/>
          <w:sz w:val="32"/>
          <w:szCs w:val="32"/>
          <w:lang w:val="en-US" w:eastAsia="zh-CN"/>
        </w:rPr>
        <w:t>2025年我单位无政府采购。</w:t>
      </w:r>
    </w:p>
    <w:p>
      <w:pPr>
        <w:keepNext w:val="0"/>
        <w:keepLines w:val="0"/>
        <w:pageBreakBefore w:val="0"/>
        <w:widowControl w:val="0"/>
        <w:kinsoku/>
        <w:wordWrap/>
        <w:overflowPunct/>
        <w:topLinePunct w:val="0"/>
        <w:autoSpaceDE/>
        <w:autoSpaceDN/>
        <w:bidi w:val="0"/>
        <w:snapToGrid w:val="0"/>
        <w:spacing w:line="600" w:lineRule="exact"/>
        <w:ind w:firstLine="643" w:firstLineChars="200"/>
        <w:textAlignment w:val="auto"/>
        <w:rPr>
          <w:rFonts w:hint="eastAsia" w:ascii="Times New Roman" w:hAnsi="Times New Roman" w:eastAsia="仿宋_GB2312" w:cs="Times New Roman"/>
          <w:sz w:val="36"/>
          <w:szCs w:val="36"/>
          <w:highlight w:val="none"/>
          <w:lang w:val="en-US"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（二）部门预算项目绩效分析。</w:t>
      </w:r>
      <w:r>
        <w:rPr>
          <w:rFonts w:hint="eastAsia" w:ascii="仿宋_GB2312" w:hAnsi="仿宋" w:eastAsia="仿宋_GB2312" w:cs="仿宋_GB2312"/>
          <w:kern w:val="2"/>
          <w:sz w:val="32"/>
          <w:szCs w:val="32"/>
        </w:rPr>
        <w:t>我单位</w:t>
      </w:r>
      <w:r>
        <w:rPr>
          <w:rFonts w:hint="eastAsia" w:ascii="仿宋_GB2312" w:hAnsi="仿宋" w:eastAsia="仿宋_GB2312" w:cs="宋体"/>
          <w:kern w:val="2"/>
          <w:sz w:val="32"/>
          <w:szCs w:val="32"/>
        </w:rPr>
        <w:t>202</w:t>
      </w:r>
      <w:r>
        <w:rPr>
          <w:rFonts w:hint="eastAsia" w:ascii="仿宋_GB2312" w:hAnsi="仿宋" w:cs="宋体"/>
          <w:kern w:val="2"/>
          <w:sz w:val="32"/>
          <w:szCs w:val="32"/>
          <w:lang w:val="en-US" w:eastAsia="zh-CN"/>
        </w:rPr>
        <w:t>5</w:t>
      </w:r>
      <w:r>
        <w:rPr>
          <w:rFonts w:hint="eastAsia" w:ascii="仿宋_GB2312" w:hAnsi="仿宋" w:eastAsia="仿宋_GB2312" w:cs="宋体"/>
          <w:kern w:val="2"/>
          <w:sz w:val="32"/>
          <w:szCs w:val="32"/>
        </w:rPr>
        <w:t>年项目为非基建项目，项目绩效目标无。</w:t>
      </w:r>
      <w:bookmarkStart w:id="62" w:name="_GoBack"/>
      <w:bookmarkEnd w:id="62"/>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eastAsia="仿宋_GB2312" w:cs="仿宋_GB2312"/>
          <w:color w:val="auto"/>
          <w:kern w:val="2"/>
          <w:sz w:val="32"/>
          <w:szCs w:val="32"/>
          <w:highlight w:val="none"/>
          <w:lang w:val="en-US" w:eastAsia="zh-CN" w:bidi="ar-SA"/>
        </w:rPr>
      </w:pPr>
    </w:p>
    <w:p>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Times New Roman"/>
          <w:sz w:val="32"/>
          <w:szCs w:val="32"/>
          <w:u w:val="none"/>
          <w:lang w:val="en-US" w:eastAsia="zh-CN" w:bidi="ar"/>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楷体_GB2312" w:cs="Times New Roman"/>
          <w:b/>
          <w:bCs/>
          <w:color w:val="000000"/>
          <w:kern w:val="0"/>
          <w:sz w:val="32"/>
          <w:szCs w:val="32"/>
          <w:highlight w:val="none"/>
          <w:shd w:val="clear" w:color="auto" w:fill="FFFFFF"/>
          <w:lang w:val="en-US" w:eastAsia="zh-CN"/>
        </w:rPr>
        <w:t>三</w:t>
      </w:r>
      <w:r>
        <w:rPr>
          <w:rFonts w:hint="default" w:ascii="Times New Roman" w:hAnsi="Times New Roman" w:eastAsia="楷体_GB2312" w:cs="Times New Roman"/>
          <w:b/>
          <w:bCs/>
          <w:color w:val="000000"/>
          <w:kern w:val="0"/>
          <w:sz w:val="32"/>
          <w:szCs w:val="32"/>
          <w:highlight w:val="none"/>
          <w:shd w:val="clear" w:color="auto" w:fill="FFFFFF"/>
          <w:lang w:val="zh-CN" w:eastAsia="zh-CN"/>
        </w:rPr>
        <w:t>）绩效结果应用情况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仿宋_GB2312" w:cs="Times New Roman"/>
          <w:b w:val="0"/>
          <w:bCs w:val="0"/>
          <w:kern w:val="2"/>
          <w:sz w:val="32"/>
          <w:szCs w:val="32"/>
          <w:highlight w:val="none"/>
          <w:u w:val="none"/>
          <w:lang w:val="en-US" w:eastAsia="zh-CN" w:bidi="ar-SA"/>
        </w:rPr>
        <w:t>按照县级安排，按期公开工作情况。</w:t>
      </w:r>
      <w:r>
        <w:rPr>
          <w:rFonts w:hint="eastAsia" w:ascii="仿宋_GB2312" w:hAnsi="仿宋_GB2312" w:eastAsia="仿宋_GB2312" w:cs="仿宋_GB2312"/>
          <w:sz w:val="32"/>
        </w:rPr>
        <w:t>我局工作经费安排严格按照年初预算来执行</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整体支出绩效评价指标体系打分，自评得分</w:t>
      </w:r>
      <w:r>
        <w:rPr>
          <w:rFonts w:ascii="仿宋_GB2312" w:hAnsi="仿宋_GB2312" w:eastAsia="仿宋_GB2312" w:cs="仿宋_GB2312"/>
          <w:sz w:val="32"/>
        </w:rPr>
        <w:t>9</w:t>
      </w:r>
      <w:r>
        <w:rPr>
          <w:rFonts w:hint="eastAsia" w:ascii="仿宋_GB2312" w:hAnsi="仿宋_GB2312" w:eastAsia="仿宋_GB2312" w:cs="仿宋_GB2312"/>
          <w:sz w:val="32"/>
          <w:lang w:val="en-US" w:eastAsia="zh-CN"/>
        </w:rPr>
        <w:t>7</w:t>
      </w:r>
      <w:r>
        <w:rPr>
          <w:rFonts w:ascii="仿宋_GB2312" w:hAnsi="仿宋_GB2312" w:eastAsia="仿宋_GB2312" w:cs="仿宋_GB2312"/>
          <w:sz w:val="32"/>
        </w:rPr>
        <w:t>.5</w:t>
      </w:r>
      <w:r>
        <w:rPr>
          <w:rFonts w:hint="eastAsia" w:ascii="仿宋_GB2312" w:hAnsi="仿宋_GB2312" w:eastAsia="仿宋_GB2312" w:cs="仿宋_GB2312"/>
          <w:sz w:val="32"/>
        </w:rPr>
        <w:t>分；认真学习财经法规，严格执行财经纪律，防止了违法违纪行为的发生。</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default" w:ascii="Times New Roman" w:hAnsi="Times New Roman" w:eastAsia="黑体" w:cs="Times New Roman"/>
          <w:color w:val="000000"/>
          <w:kern w:val="0"/>
          <w:sz w:val="32"/>
          <w:szCs w:val="32"/>
          <w:highlight w:val="none"/>
          <w:shd w:val="clear" w:color="auto" w:fill="FFFFFF"/>
          <w:lang w:val="zh-CN" w:eastAsia="zh-CN"/>
        </w:rPr>
        <w:t>四、</w:t>
      </w:r>
      <w:r>
        <w:rPr>
          <w:rFonts w:hint="default" w:ascii="Times New Roman" w:hAnsi="Times New Roman" w:eastAsia="黑体" w:cs="Times New Roman"/>
          <w:color w:val="000000"/>
          <w:kern w:val="0"/>
          <w:sz w:val="32"/>
          <w:szCs w:val="32"/>
          <w:highlight w:val="none"/>
          <w:shd w:val="clear" w:color="auto" w:fill="FFFFFF"/>
          <w:lang w:val="zh-CN"/>
        </w:rPr>
        <w:t>评价结论及建议</w:t>
      </w:r>
    </w:p>
    <w:p>
      <w:pPr>
        <w:keepNext w:val="0"/>
        <w:keepLines w:val="0"/>
        <w:pageBreakBefore w:val="0"/>
        <w:kinsoku/>
        <w:wordWrap/>
        <w:overflowPunct/>
        <w:topLinePunct w:val="0"/>
        <w:autoSpaceDN/>
        <w:bidi w:val="0"/>
        <w:spacing w:afterAutospacing="0" w:line="576" w:lineRule="exact"/>
        <w:ind w:firstLine="643" w:firstLineChars="200"/>
        <w:textAlignment w:val="auto"/>
        <w:rPr>
          <w:rFonts w:hint="default" w:ascii="Times New Roman" w:hAnsi="Times New Roman" w:eastAsia="楷体_GB2312" w:cs="Times New Roman"/>
          <w:b/>
          <w:bCs/>
          <w:color w:val="000000"/>
          <w:kern w:val="0"/>
          <w:sz w:val="32"/>
          <w:szCs w:val="32"/>
          <w:highlight w:val="none"/>
          <w:shd w:val="clear" w:color="auto" w:fill="FFFFFF"/>
          <w:lang w:val="zh-CN" w:eastAsia="zh-CN" w:bidi="ar"/>
        </w:rPr>
      </w:pPr>
      <w:r>
        <w:rPr>
          <w:rFonts w:hint="default" w:ascii="Times New Roman" w:hAnsi="Times New Roman" w:eastAsia="楷体_GB2312" w:cs="Times New Roman"/>
          <w:b/>
          <w:bCs/>
          <w:color w:val="000000"/>
          <w:kern w:val="0"/>
          <w:sz w:val="32"/>
          <w:szCs w:val="32"/>
          <w:highlight w:val="none"/>
          <w:shd w:val="clear" w:color="auto" w:fill="FFFFFF"/>
          <w:lang w:val="zh-CN" w:eastAsia="zh-CN" w:bidi="ar"/>
        </w:rPr>
        <w:t>（一）评价结论</w:t>
      </w:r>
      <w:r>
        <w:rPr>
          <w:rFonts w:hint="eastAsia" w:ascii="Times New Roman" w:hAnsi="Times New Roman" w:eastAsia="楷体_GB2312" w:cs="Times New Roman"/>
          <w:b/>
          <w:bCs/>
          <w:color w:val="000000"/>
          <w:kern w:val="0"/>
          <w:sz w:val="32"/>
          <w:szCs w:val="32"/>
          <w:highlight w:val="none"/>
          <w:shd w:val="clear" w:color="auto" w:fill="FFFFFF"/>
          <w:lang w:val="zh-CN" w:eastAsia="zh-CN" w:bidi="ar"/>
        </w:rPr>
        <w:t>。</w:t>
      </w:r>
    </w:p>
    <w:p>
      <w:pPr>
        <w:keepNext w:val="0"/>
        <w:keepLines w:val="0"/>
        <w:pageBreakBefore w:val="0"/>
        <w:kinsoku/>
        <w:wordWrap/>
        <w:overflowPunct/>
        <w:topLinePunct w:val="0"/>
        <w:autoSpaceDN/>
        <w:bidi w:val="0"/>
        <w:spacing w:afterAutospacing="0" w:line="576" w:lineRule="exact"/>
        <w:ind w:firstLine="640" w:firstLineChars="200"/>
        <w:textAlignment w:val="auto"/>
        <w:rPr>
          <w:rFonts w:hint="eastAsia" w:ascii="Times New Roman" w:hAnsi="Times New Roman" w:eastAsia="仿宋_GB2312" w:cs="Times New Roman"/>
          <w:b w:val="0"/>
          <w:bCs w:val="0"/>
          <w:kern w:val="2"/>
          <w:sz w:val="32"/>
          <w:szCs w:val="32"/>
          <w:highlight w:val="none"/>
          <w:u w:val="none"/>
          <w:lang w:val="en-US" w:eastAsia="zh-CN" w:bidi="ar-SA"/>
        </w:rPr>
      </w:pPr>
      <w:r>
        <w:rPr>
          <w:rFonts w:hint="eastAsia" w:ascii="Times New Roman" w:hAnsi="Times New Roman" w:eastAsia="仿宋_GB2312" w:cs="Times New Roman"/>
          <w:b w:val="0"/>
          <w:bCs w:val="0"/>
          <w:kern w:val="2"/>
          <w:sz w:val="32"/>
          <w:szCs w:val="32"/>
          <w:highlight w:val="none"/>
          <w:u w:val="none"/>
          <w:lang w:val="en-US" w:eastAsia="zh-CN" w:bidi="ar-SA"/>
        </w:rPr>
        <w:t>2025年我单位无政府性债务，无非税收执收，无项目，也未安排政府采购，资产管理严格按照相关规定执行，内控制度管理规范，按规定及时进行了信息公开，绩效评价合理，依法接受财政监督。我局严格按照年初预算批复认真组织实施,严格执行财经纪律相关管理规定，做到各项收支安排使用符合预算计划和财政政策的要求，确保了单位正常运行。整体支出绩效评价指标体系打分，自评得分97.5分。</w:t>
      </w:r>
    </w:p>
    <w:p>
      <w:pPr>
        <w:keepNext w:val="0"/>
        <w:keepLines w:val="0"/>
        <w:pageBreakBefore w:val="0"/>
        <w:kinsoku/>
        <w:wordWrap/>
        <w:overflowPunct/>
        <w:topLinePunct w:val="0"/>
        <w:autoSpaceDN/>
        <w:bidi w:val="0"/>
        <w:spacing w:afterAutospacing="0" w:line="576" w:lineRule="exact"/>
        <w:ind w:firstLine="643" w:firstLineChars="200"/>
        <w:textAlignment w:val="auto"/>
        <w:rPr>
          <w:rFonts w:hint="default" w:ascii="Times New Roman" w:hAnsi="Times New Roman" w:eastAsia="楷体_GB2312" w:cs="Times New Roman"/>
          <w:b/>
          <w:bCs/>
          <w:color w:val="000000"/>
          <w:kern w:val="0"/>
          <w:sz w:val="32"/>
          <w:szCs w:val="32"/>
          <w:highlight w:val="none"/>
          <w:shd w:val="clear" w:color="auto" w:fill="FFFFFF"/>
          <w:lang w:val="zh-CN" w:eastAsia="zh-CN" w:bidi="ar"/>
        </w:rPr>
      </w:pPr>
      <w:r>
        <w:rPr>
          <w:rFonts w:hint="eastAsia" w:ascii="Times New Roman" w:hAnsi="Times New Roman" w:eastAsia="楷体_GB2312" w:cs="Times New Roman"/>
          <w:b/>
          <w:bCs/>
          <w:color w:val="000000"/>
          <w:kern w:val="0"/>
          <w:sz w:val="32"/>
          <w:szCs w:val="32"/>
          <w:highlight w:val="none"/>
          <w:shd w:val="clear" w:color="auto" w:fill="FFFFFF"/>
          <w:lang w:val="zh-CN" w:eastAsia="zh-CN" w:bidi="ar"/>
        </w:rPr>
        <w:t>（</w:t>
      </w:r>
      <w:r>
        <w:rPr>
          <w:rFonts w:hint="eastAsia" w:ascii="Times New Roman" w:hAnsi="Times New Roman" w:eastAsia="楷体_GB2312" w:cs="Times New Roman"/>
          <w:b/>
          <w:bCs/>
          <w:color w:val="000000"/>
          <w:kern w:val="0"/>
          <w:sz w:val="32"/>
          <w:szCs w:val="32"/>
          <w:highlight w:val="none"/>
          <w:shd w:val="clear" w:color="auto" w:fill="FFFFFF"/>
          <w:lang w:val="en-US" w:eastAsia="zh-CN" w:bidi="ar"/>
        </w:rPr>
        <w:t>二</w:t>
      </w:r>
      <w:r>
        <w:rPr>
          <w:rFonts w:hint="eastAsia" w:ascii="Times New Roman" w:hAnsi="Times New Roman" w:eastAsia="楷体_GB2312" w:cs="Times New Roman"/>
          <w:b/>
          <w:bCs/>
          <w:color w:val="000000"/>
          <w:kern w:val="0"/>
          <w:sz w:val="32"/>
          <w:szCs w:val="32"/>
          <w:highlight w:val="none"/>
          <w:shd w:val="clear" w:color="auto" w:fill="FFFFFF"/>
          <w:lang w:val="zh-CN" w:eastAsia="zh-CN" w:bidi="ar"/>
        </w:rPr>
        <w:t>）</w:t>
      </w:r>
      <w:r>
        <w:rPr>
          <w:rFonts w:hint="default" w:ascii="Times New Roman" w:hAnsi="Times New Roman" w:eastAsia="楷体_GB2312" w:cs="Times New Roman"/>
          <w:b/>
          <w:bCs/>
          <w:color w:val="000000"/>
          <w:kern w:val="0"/>
          <w:sz w:val="32"/>
          <w:szCs w:val="32"/>
          <w:highlight w:val="none"/>
          <w:shd w:val="clear" w:color="auto" w:fill="FFFFFF"/>
          <w:lang w:val="zh-CN" w:eastAsia="zh-CN" w:bidi="ar"/>
        </w:rPr>
        <w:t>存在问题</w:t>
      </w:r>
      <w:r>
        <w:rPr>
          <w:rFonts w:hint="eastAsia" w:ascii="Times New Roman" w:hAnsi="Times New Roman" w:eastAsia="楷体_GB2312" w:cs="Times New Roman"/>
          <w:b/>
          <w:bCs/>
          <w:color w:val="000000"/>
          <w:kern w:val="0"/>
          <w:sz w:val="32"/>
          <w:szCs w:val="32"/>
          <w:highlight w:val="none"/>
          <w:shd w:val="clear" w:color="auto" w:fill="FFFFFF"/>
          <w:lang w:val="zh-CN" w:eastAsia="zh-CN" w:bidi="ar"/>
        </w:rPr>
        <w:t>。</w:t>
      </w:r>
    </w:p>
    <w:p>
      <w:pPr>
        <w:keepNext w:val="0"/>
        <w:keepLines w:val="0"/>
        <w:pageBreakBefore w:val="0"/>
        <w:kinsoku/>
        <w:wordWrap/>
        <w:overflowPunct/>
        <w:topLinePunct w:val="0"/>
        <w:autoSpaceDN/>
        <w:bidi w:val="0"/>
        <w:spacing w:afterAutospacing="0" w:line="576" w:lineRule="exact"/>
        <w:ind w:firstLine="640" w:firstLineChars="200"/>
        <w:textAlignment w:val="auto"/>
        <w:rPr>
          <w:rFonts w:hint="eastAsia" w:ascii="Times New Roman" w:hAnsi="Times New Roman" w:eastAsia="仿宋_GB2312" w:cs="Times New Roman"/>
          <w:b w:val="0"/>
          <w:bCs w:val="0"/>
          <w:kern w:val="2"/>
          <w:sz w:val="32"/>
          <w:szCs w:val="32"/>
          <w:highlight w:val="none"/>
          <w:u w:val="none"/>
          <w:lang w:val="en-US" w:eastAsia="zh-CN" w:bidi="ar-SA"/>
        </w:rPr>
      </w:pPr>
      <w:r>
        <w:rPr>
          <w:rFonts w:hint="eastAsia" w:ascii="Times New Roman" w:hAnsi="Times New Roman" w:eastAsia="仿宋_GB2312" w:cs="Times New Roman"/>
          <w:b w:val="0"/>
          <w:bCs w:val="0"/>
          <w:kern w:val="2"/>
          <w:sz w:val="32"/>
          <w:szCs w:val="32"/>
          <w:highlight w:val="none"/>
          <w:u w:val="none"/>
          <w:lang w:val="en-US" w:eastAsia="zh-CN" w:bidi="ar-SA"/>
        </w:rPr>
        <w:t>财务人员的业务工作水平有待提高，财务人员的业务技能培训欠缺。2025年目标任务基完成，预算执行情况较好。</w:t>
      </w:r>
    </w:p>
    <w:p>
      <w:pPr>
        <w:keepNext w:val="0"/>
        <w:keepLines w:val="0"/>
        <w:pageBreakBefore w:val="0"/>
        <w:kinsoku/>
        <w:wordWrap/>
        <w:overflowPunct/>
        <w:topLinePunct w:val="0"/>
        <w:autoSpaceDN/>
        <w:bidi w:val="0"/>
        <w:spacing w:afterAutospacing="0" w:line="576" w:lineRule="exact"/>
        <w:ind w:firstLine="643" w:firstLineChars="200"/>
        <w:textAlignment w:val="auto"/>
        <w:rPr>
          <w:rFonts w:hint="default" w:ascii="Times New Roman" w:hAnsi="Times New Roman" w:eastAsia="楷体_GB2312" w:cs="Times New Roman"/>
          <w:b/>
          <w:bCs/>
          <w:color w:val="000000"/>
          <w:kern w:val="0"/>
          <w:sz w:val="32"/>
          <w:szCs w:val="32"/>
          <w:highlight w:val="none"/>
          <w:shd w:val="clear" w:color="auto" w:fill="FFFFFF"/>
          <w:lang w:val="zh-CN" w:eastAsia="zh-CN" w:bidi="ar"/>
        </w:rPr>
      </w:pPr>
      <w:r>
        <w:rPr>
          <w:rFonts w:hint="eastAsia" w:ascii="Times New Roman" w:hAnsi="Times New Roman" w:eastAsia="楷体_GB2312" w:cs="Times New Roman"/>
          <w:b/>
          <w:bCs/>
          <w:color w:val="000000"/>
          <w:kern w:val="0"/>
          <w:sz w:val="32"/>
          <w:szCs w:val="32"/>
          <w:highlight w:val="none"/>
          <w:shd w:val="clear" w:color="auto" w:fill="FFFFFF"/>
          <w:lang w:val="zh-CN" w:eastAsia="zh-CN" w:bidi="ar"/>
        </w:rPr>
        <w:t>（</w:t>
      </w:r>
      <w:r>
        <w:rPr>
          <w:rFonts w:hint="eastAsia" w:ascii="Times New Roman" w:hAnsi="Times New Roman" w:eastAsia="楷体_GB2312" w:cs="Times New Roman"/>
          <w:b/>
          <w:bCs/>
          <w:color w:val="000000"/>
          <w:kern w:val="0"/>
          <w:sz w:val="32"/>
          <w:szCs w:val="32"/>
          <w:highlight w:val="none"/>
          <w:shd w:val="clear" w:color="auto" w:fill="FFFFFF"/>
          <w:lang w:val="en-US" w:eastAsia="zh-CN" w:bidi="ar"/>
        </w:rPr>
        <w:t>三</w:t>
      </w:r>
      <w:r>
        <w:rPr>
          <w:rFonts w:hint="eastAsia" w:ascii="Times New Roman" w:hAnsi="Times New Roman" w:eastAsia="楷体_GB2312" w:cs="Times New Roman"/>
          <w:b/>
          <w:bCs/>
          <w:color w:val="000000"/>
          <w:kern w:val="0"/>
          <w:sz w:val="32"/>
          <w:szCs w:val="32"/>
          <w:highlight w:val="none"/>
          <w:shd w:val="clear" w:color="auto" w:fill="FFFFFF"/>
          <w:lang w:val="zh-CN" w:eastAsia="zh-CN" w:bidi="ar"/>
        </w:rPr>
        <w:t>）</w:t>
      </w:r>
      <w:r>
        <w:rPr>
          <w:rFonts w:hint="default" w:ascii="Times New Roman" w:hAnsi="Times New Roman" w:eastAsia="楷体_GB2312" w:cs="Times New Roman"/>
          <w:b/>
          <w:bCs/>
          <w:color w:val="000000"/>
          <w:kern w:val="0"/>
          <w:sz w:val="32"/>
          <w:szCs w:val="32"/>
          <w:highlight w:val="none"/>
          <w:shd w:val="clear" w:color="auto" w:fill="FFFFFF"/>
          <w:lang w:val="zh-CN" w:eastAsia="zh-CN" w:bidi="ar"/>
        </w:rPr>
        <w:t>改进建议。</w:t>
      </w:r>
      <w:bookmarkStart w:id="47" w:name="_Hlk110546638"/>
    </w:p>
    <w:p>
      <w:pPr>
        <w:keepNext w:val="0"/>
        <w:keepLines w:val="0"/>
        <w:pageBreakBefore w:val="0"/>
        <w:kinsoku/>
        <w:wordWrap/>
        <w:overflowPunct/>
        <w:topLinePunct w:val="0"/>
        <w:autoSpaceDN/>
        <w:bidi w:val="0"/>
        <w:spacing w:afterAutospacing="0" w:line="576" w:lineRule="exact"/>
        <w:ind w:firstLine="640" w:firstLineChars="200"/>
        <w:textAlignment w:val="auto"/>
        <w:rPr>
          <w:rFonts w:hint="eastAsia" w:ascii="Times New Roman" w:hAnsi="Times New Roman" w:eastAsia="仿宋_GB2312" w:cs="Times New Roman"/>
          <w:b w:val="0"/>
          <w:bCs w:val="0"/>
          <w:kern w:val="2"/>
          <w:sz w:val="32"/>
          <w:szCs w:val="32"/>
          <w:highlight w:val="none"/>
          <w:u w:val="none"/>
          <w:lang w:val="zh-CN" w:eastAsia="zh-CN" w:bidi="ar-SA"/>
        </w:rPr>
      </w:pPr>
      <w:r>
        <w:rPr>
          <w:rFonts w:hint="eastAsia" w:ascii="Times New Roman" w:hAnsi="Times New Roman" w:eastAsia="仿宋_GB2312" w:cs="Times New Roman"/>
          <w:b w:val="0"/>
          <w:bCs w:val="0"/>
          <w:kern w:val="2"/>
          <w:sz w:val="32"/>
          <w:szCs w:val="32"/>
          <w:highlight w:val="none"/>
          <w:u w:val="none"/>
          <w:lang w:val="zh-CN" w:eastAsia="zh-CN" w:bidi="ar-SA"/>
        </w:rPr>
        <w:t>1.加强业务知识、财经法规的自学。</w:t>
      </w:r>
    </w:p>
    <w:p>
      <w:pPr>
        <w:keepNext w:val="0"/>
        <w:keepLines w:val="0"/>
        <w:pageBreakBefore w:val="0"/>
        <w:kinsoku/>
        <w:wordWrap/>
        <w:overflowPunct/>
        <w:topLinePunct w:val="0"/>
        <w:autoSpaceDN/>
        <w:bidi w:val="0"/>
        <w:spacing w:afterAutospacing="0" w:line="576" w:lineRule="exact"/>
        <w:ind w:firstLine="640" w:firstLineChars="200"/>
        <w:textAlignment w:val="auto"/>
        <w:rPr>
          <w:rFonts w:hint="eastAsia" w:ascii="Times New Roman" w:hAnsi="Times New Roman" w:eastAsia="仿宋_GB2312" w:cs="Times New Roman"/>
          <w:b w:val="0"/>
          <w:bCs w:val="0"/>
          <w:kern w:val="2"/>
          <w:sz w:val="32"/>
          <w:szCs w:val="32"/>
          <w:highlight w:val="none"/>
          <w:u w:val="none"/>
          <w:lang w:val="en-US" w:eastAsia="zh-CN" w:bidi="ar-SA"/>
        </w:rPr>
      </w:pPr>
      <w:r>
        <w:rPr>
          <w:rFonts w:hint="eastAsia" w:ascii="Times New Roman" w:hAnsi="Times New Roman" w:eastAsia="仿宋_GB2312" w:cs="Times New Roman"/>
          <w:b w:val="0"/>
          <w:bCs w:val="0"/>
          <w:kern w:val="2"/>
          <w:sz w:val="32"/>
          <w:szCs w:val="32"/>
          <w:highlight w:val="none"/>
          <w:u w:val="none"/>
          <w:lang w:val="zh-CN" w:eastAsia="zh-CN" w:bidi="ar-SA"/>
        </w:rPr>
        <w:t>2.加强与其他单位财会人员沟通交流学习，进一步提高财会业务水平。</w:t>
      </w:r>
      <w:bookmarkEnd w:id="47"/>
    </w:p>
    <w:p>
      <w:pPr>
        <w:pStyle w:val="2"/>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zh-CN" w:eastAsia="zh-CN" w:bidi="ar"/>
        </w:rPr>
      </w:pPr>
    </w:p>
    <w:p>
      <w:pPr>
        <w:pStyle w:val="2"/>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zh-CN" w:eastAsia="zh-CN" w:bidi="ar"/>
        </w:rPr>
      </w:pPr>
    </w:p>
    <w:p>
      <w:pPr>
        <w:pStyle w:val="2"/>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en-US" w:eastAsia="zh-CN" w:bidi="ar"/>
        </w:rPr>
      </w:pPr>
      <w:r>
        <w:rPr>
          <w:rFonts w:hint="eastAsia" w:ascii="Times New Roman" w:hAnsi="Times New Roman" w:eastAsia="仿宋_GB2312" w:cs="Times New Roman"/>
          <w:kern w:val="2"/>
          <w:sz w:val="32"/>
          <w:szCs w:val="32"/>
          <w:u w:val="none"/>
          <w:lang w:val="zh-CN" w:eastAsia="zh-CN" w:bidi="ar"/>
        </w:rPr>
        <w:t>附表：</w:t>
      </w:r>
      <w:r>
        <w:rPr>
          <w:rFonts w:hint="eastAsia" w:ascii="Times New Roman" w:hAnsi="Times New Roman" w:eastAsia="仿宋_GB2312" w:cs="Times New Roman"/>
          <w:kern w:val="2"/>
          <w:sz w:val="32"/>
          <w:szCs w:val="32"/>
          <w:u w:val="none"/>
          <w:lang w:val="en-US" w:eastAsia="zh-CN" w:bidi="ar"/>
        </w:rPr>
        <w:t>部门预算项目支出绩效自评表（</w:t>
      </w:r>
      <w:r>
        <w:rPr>
          <w:rFonts w:hint="eastAsia" w:ascii="Times New Roman" w:eastAsia="仿宋_GB2312" w:cs="Times New Roman"/>
          <w:kern w:val="2"/>
          <w:sz w:val="32"/>
          <w:szCs w:val="32"/>
          <w:u w:val="none"/>
          <w:lang w:val="en-US" w:eastAsia="zh-CN" w:bidi="ar"/>
        </w:rPr>
        <w:t>2025年度</w:t>
      </w:r>
      <w:r>
        <w:rPr>
          <w:rFonts w:hint="eastAsia" w:ascii="Times New Roman" w:hAnsi="Times New Roman" w:eastAsia="仿宋_GB2312" w:cs="Times New Roman"/>
          <w:kern w:val="2"/>
          <w:sz w:val="32"/>
          <w:szCs w:val="32"/>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outlineLvl w:val="9"/>
        <w:rPr>
          <w:rFonts w:hint="eastAsia" w:ascii="Times New Roman" w:hAnsi="Times New Roman" w:eastAsia="方正小标宋简体" w:cs="Times New Roman"/>
          <w:i w:val="0"/>
          <w:color w:val="000000"/>
          <w:kern w:val="0"/>
          <w:sz w:val="44"/>
          <w:szCs w:val="44"/>
          <w:u w:val="none"/>
          <w:lang w:val="en-US" w:eastAsia="zh-CN" w:bidi="ar"/>
        </w:rPr>
      </w:pPr>
      <w:r>
        <w:rPr>
          <w:rFonts w:hint="eastAsia" w:ascii="Times New Roman" w:hAnsi="Times New Roman" w:eastAsia="方正小标宋简体" w:cs="Times New Roman"/>
          <w:i w:val="0"/>
          <w:color w:val="000000"/>
          <w:kern w:val="0"/>
          <w:sz w:val="44"/>
          <w:szCs w:val="44"/>
          <w:u w:val="none"/>
          <w:lang w:val="en-US" w:eastAsia="zh-CN" w:bidi="ar"/>
        </w:rPr>
        <w:t>部门预算绩效自评打分表</w:t>
      </w:r>
    </w:p>
    <w:tbl>
      <w:tblPr>
        <w:tblStyle w:val="15"/>
        <w:tblW w:w="10819"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04"/>
        <w:gridCol w:w="1462"/>
        <w:gridCol w:w="1665"/>
        <w:gridCol w:w="720"/>
        <w:gridCol w:w="4734"/>
        <w:gridCol w:w="756"/>
        <w:gridCol w:w="4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46" w:hRule="atLeast"/>
          <w:jc w:val="center"/>
        </w:trPr>
        <w:tc>
          <w:tcPr>
            <w:tcW w:w="4851"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绩效评价指标指标分值</w:t>
            </w:r>
          </w:p>
        </w:tc>
        <w:tc>
          <w:tcPr>
            <w:tcW w:w="473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指标解释</w:t>
            </w:r>
          </w:p>
        </w:tc>
        <w:tc>
          <w:tcPr>
            <w:tcW w:w="756"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自评得分</w:t>
            </w:r>
          </w:p>
        </w:tc>
        <w:tc>
          <w:tcPr>
            <w:tcW w:w="478"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jc w:val="center"/>
        </w:trPr>
        <w:tc>
          <w:tcPr>
            <w:tcW w:w="1004" w:type="dxa"/>
            <w:tcBorders>
              <w:top w:val="single" w:color="000000" w:sz="4" w:space="0"/>
              <w:left w:val="single" w:color="000000" w:sz="4" w:space="0"/>
              <w:bottom w:val="single" w:color="000000" w:sz="4" w:space="0"/>
              <w:right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一级指标</w:t>
            </w:r>
          </w:p>
        </w:tc>
        <w:tc>
          <w:tcPr>
            <w:tcW w:w="14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二级指标</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三级指标</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w:t>
            </w:r>
            <w:r>
              <w:rPr>
                <w:rFonts w:hint="eastAsia" w:ascii="黑体" w:hAnsi="宋体" w:eastAsia="黑体" w:cs="黑体"/>
                <w:i w:val="0"/>
                <w:color w:val="000000"/>
                <w:kern w:val="0"/>
                <w:sz w:val="24"/>
                <w:szCs w:val="24"/>
                <w:u w:val="none"/>
                <w:lang w:val="en-US" w:eastAsia="zh-CN" w:bidi="ar"/>
              </w:rPr>
              <w:br w:type="textWrapping"/>
            </w:r>
            <w:r>
              <w:rPr>
                <w:rFonts w:hint="eastAsia" w:ascii="黑体" w:hAnsi="宋体" w:eastAsia="黑体" w:cs="黑体"/>
                <w:i w:val="0"/>
                <w:color w:val="000000"/>
                <w:kern w:val="0"/>
                <w:sz w:val="24"/>
                <w:szCs w:val="24"/>
                <w:u w:val="none"/>
                <w:lang w:val="en-US" w:eastAsia="zh-CN" w:bidi="ar"/>
              </w:rPr>
              <w:t>分值</w:t>
            </w:r>
          </w:p>
        </w:tc>
        <w:tc>
          <w:tcPr>
            <w:tcW w:w="473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756"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478"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836"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总体绩效</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（65分）</w:t>
            </w:r>
          </w:p>
        </w:tc>
        <w:tc>
          <w:tcPr>
            <w:tcW w:w="14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履职效能</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（15分）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履职效果</w:t>
            </w:r>
          </w:p>
        </w:tc>
        <w:tc>
          <w:tcPr>
            <w:tcW w:w="720"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47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部门整体绩效目标中选定3-5个核心职能目标，反映该项职能目标完成效果情况</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15</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82"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预算管理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（25分）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预算编制质量</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w:t>
            </w:r>
          </w:p>
        </w:tc>
        <w:tc>
          <w:tcPr>
            <w:tcW w:w="47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部门是否严格按要求编制年初部门预算，年初预算编制的科学性和准确性</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7.5</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05"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单位收入统筹</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部门统筹自有收入程度</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1"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支出执行进度</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47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部门1至6月、1至10月预算执行情况</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8"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预算年终结余</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47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部门整体年终预算结余情况</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822"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严控一般性支出</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47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部门严控“三公”经费、会议、培训、差旅、办节办展、办公设备购置、信息网络及软件购置更新、课题经费等8项一般性支出情况</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5</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5"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财务管理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（10分）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财务管理制度</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部门财务管理制度建立情况</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82"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财务岗位设置</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47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部门财务岗位设置是否符合相关财务管理制度要求</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57"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资金使用规范</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部门资金使用是否符合相关财务管理制度规定</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76"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资产管理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人均资产变化率</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部门人均资产变化情况</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17"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资产利用率</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部门资产超最低使用年限情况</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总体绩效</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（65分）</w:t>
            </w:r>
          </w:p>
        </w:tc>
        <w:tc>
          <w:tcPr>
            <w:tcW w:w="14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资产管理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资产盘活率</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部门闲置一年以上的资产盘活情况</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86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采购管理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（6分）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支持中小企业发展</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部门是否严格执行政府采购促进中小企业发展相关管理办法</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30"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采购执行率</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部门政府采购项目资金支付比例情况</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11"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项目绩效</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（35分）</w:t>
            </w:r>
          </w:p>
        </w:tc>
        <w:tc>
          <w:tcPr>
            <w:tcW w:w="1462" w:type="dxa"/>
            <w:vMerge w:val="restart"/>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项目决策</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（12分）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决策程序</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部门预算项目设立是否按规定履行评估论证、申报程序</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129"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目标设置</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部门预算项目绩效目标与计划期内的任务量、预算安排的资金量匹配情况，绩效目标设置是否科学合理、规范完整、量化细化、预算匹配</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9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项目入库</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部门预算项目是否在规定时间完成项目入库</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5"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项目执行</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（12分）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执行同向</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部门预算项目实际列支内容是否与绩效目标设置方向相符</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项目调整</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部门预算项目是否采取对应调整措施</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46"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执行结果</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部门预算项目预算执行情况</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18"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目标实现</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（11分）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目标完成</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部门预算项目绩效目标数量指标完成情况</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9"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目标偏离</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部门预算项目绩效目标数量指标实现程度与预期目标的偏离情况</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18"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实现效果</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部门预算项目绩效目标效益指标实施效果</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45" w:hRule="atLeast"/>
          <w:jc w:val="center"/>
        </w:trPr>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扣分项</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（10分）</w:t>
            </w:r>
          </w:p>
        </w:tc>
        <w:tc>
          <w:tcPr>
            <w:tcW w:w="312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被评价部门配合度</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47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被评价对象工作配合情况</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bl>
    <w:p>
      <w:pPr>
        <w:pStyle w:val="2"/>
        <w:keepNext w:val="0"/>
        <w:keepLines w:val="0"/>
        <w:pageBreakBefore w:val="0"/>
        <w:numPr>
          <w:ilvl w:val="0"/>
          <w:numId w:val="0"/>
        </w:numPr>
        <w:kinsoku/>
        <w:wordWrap/>
        <w:overflowPunct/>
        <w:topLinePunct w:val="0"/>
        <w:autoSpaceDE/>
        <w:autoSpaceDN/>
        <w:bidi w:val="0"/>
        <w:spacing w:line="560" w:lineRule="exact"/>
        <w:textAlignment w:val="auto"/>
        <w:rPr>
          <w:rFonts w:hint="eastAsia" w:ascii="Times New Roman" w:hAnsi="Times New Roman" w:cs="Times New Roman"/>
          <w:sz w:val="32"/>
          <w:szCs w:val="32"/>
          <w:highlight w:val="yellow"/>
          <w:lang w:val="zh-CN" w:eastAsia="zh-CN"/>
        </w:rPr>
      </w:pPr>
    </w:p>
    <w:p>
      <w:pPr>
        <w:pStyle w:val="7"/>
        <w:rPr>
          <w:rFonts w:hint="eastAsia" w:ascii="Times New Roman" w:hAnsi="Times New Roman" w:cs="宋体"/>
          <w:color w:val="FF0000"/>
          <w:kern w:val="0"/>
          <w:sz w:val="32"/>
          <w:szCs w:val="32"/>
          <w:highlight w:val="yellow"/>
          <w:shd w:val="clear" w:color="auto" w:fill="FFFFFF"/>
          <w:lang w:val="zh-CN"/>
        </w:rPr>
      </w:pPr>
    </w:p>
    <w:p>
      <w:pPr>
        <w:rPr>
          <w:rFonts w:hint="eastAsia" w:ascii="Times New Roman" w:hAnsi="Times New Roman" w:eastAsia="仿宋_GB2312" w:cs="仿宋_GB2312"/>
          <w:b w:val="0"/>
          <w:bCs w:val="0"/>
          <w:kern w:val="0"/>
          <w:position w:val="0"/>
          <w:sz w:val="32"/>
          <w:szCs w:val="32"/>
          <w:highlight w:val="none"/>
          <w:lang w:val="en-US" w:eastAsia="zh-CN" w:bidi="ar-SA"/>
        </w:rPr>
      </w:pPr>
      <w:bookmarkStart w:id="48" w:name="_Toc15396618"/>
      <w:r>
        <w:rPr>
          <w:rFonts w:hint="eastAsia" w:ascii="Times New Roman" w:hAnsi="Times New Roman" w:eastAsia="仿宋_GB2312" w:cs="仿宋_GB2312"/>
          <w:b w:val="0"/>
          <w:bCs w:val="0"/>
          <w:kern w:val="0"/>
          <w:position w:val="0"/>
          <w:sz w:val="32"/>
          <w:szCs w:val="32"/>
          <w:highlight w:val="none"/>
          <w:lang w:val="en-US" w:eastAsia="zh-CN" w:bidi="ar-SA"/>
        </w:rPr>
        <w:br w:type="page"/>
      </w:r>
    </w:p>
    <w:p>
      <w:pPr>
        <w:widowControl/>
        <w:jc w:val="center"/>
        <w:rPr>
          <w:rFonts w:hint="eastAsia" w:ascii="Times New Roman" w:hAnsi="Times New Roman" w:eastAsia="仿宋"/>
          <w:b w:val="0"/>
          <w:color w:val="auto"/>
          <w:highlight w:val="none"/>
        </w:rPr>
      </w:pPr>
      <w:r>
        <w:rPr>
          <w:rFonts w:hint="eastAsia" w:ascii="Times New Roman" w:hAnsi="Times New Roman" w:eastAsia="黑体"/>
          <w:color w:val="auto"/>
          <w:sz w:val="44"/>
          <w:szCs w:val="44"/>
          <w:highlight w:val="none"/>
        </w:rPr>
        <w:t>第</w:t>
      </w:r>
      <w:r>
        <w:rPr>
          <w:rStyle w:val="28"/>
          <w:rFonts w:hint="eastAsia" w:ascii="Times New Roman" w:hAnsi="Times New Roman" w:eastAsia="黑体"/>
          <w:b w:val="0"/>
          <w:color w:val="auto"/>
          <w:highlight w:val="none"/>
        </w:rPr>
        <w:t>五部分 附表</w:t>
      </w:r>
      <w:bookmarkEnd w:id="45"/>
      <w:bookmarkEnd w:id="48"/>
      <w:bookmarkStart w:id="49" w:name="_Toc15396619"/>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49"/>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0" w:name="_Toc15396620"/>
      <w:r>
        <w:rPr>
          <w:rFonts w:hint="eastAsia" w:ascii="Times New Roman" w:hAnsi="Times New Roman" w:eastAsia="仿宋_GB2312" w:cs="仿宋_GB2312"/>
          <w:color w:val="auto"/>
          <w:sz w:val="32"/>
          <w:szCs w:val="32"/>
          <w:highlight w:val="none"/>
        </w:rPr>
        <w:t>二、收入决算表</w:t>
      </w:r>
      <w:bookmarkEnd w:id="50"/>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1" w:name="_Toc15396621"/>
      <w:r>
        <w:rPr>
          <w:rFonts w:hint="eastAsia" w:ascii="Times New Roman" w:hAnsi="Times New Roman" w:eastAsia="仿宋_GB2312" w:cs="仿宋_GB2312"/>
          <w:color w:val="auto"/>
          <w:sz w:val="32"/>
          <w:szCs w:val="32"/>
          <w:highlight w:val="none"/>
        </w:rPr>
        <w:t>三、支出决算表</w:t>
      </w:r>
      <w:bookmarkEnd w:id="51"/>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2" w:name="_Toc15396622"/>
      <w:r>
        <w:rPr>
          <w:rFonts w:hint="eastAsia" w:ascii="Times New Roman" w:hAnsi="Times New Roman" w:eastAsia="仿宋_GB2312" w:cs="仿宋_GB2312"/>
          <w:color w:val="auto"/>
          <w:sz w:val="32"/>
          <w:szCs w:val="32"/>
          <w:highlight w:val="none"/>
        </w:rPr>
        <w:t>四、财政拨款收入支出决算总表</w:t>
      </w:r>
      <w:bookmarkEnd w:id="52"/>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3" w:name="_Toc15396623"/>
      <w:r>
        <w:rPr>
          <w:rFonts w:hint="eastAsia" w:ascii="Times New Roman" w:hAnsi="Times New Roman" w:eastAsia="仿宋_GB2312" w:cs="仿宋_GB2312"/>
          <w:color w:val="auto"/>
          <w:sz w:val="32"/>
          <w:szCs w:val="32"/>
          <w:highlight w:val="none"/>
        </w:rPr>
        <w:t>五、财政拨款支出决算明细表</w:t>
      </w:r>
      <w:bookmarkEnd w:id="53"/>
      <w:bookmarkStart w:id="54" w:name="_Toc15396624"/>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54"/>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5" w:name="_Toc15396625"/>
      <w:r>
        <w:rPr>
          <w:rFonts w:hint="eastAsia" w:ascii="Times New Roman" w:hAnsi="Times New Roman" w:eastAsia="仿宋_GB2312" w:cs="仿宋_GB2312"/>
          <w:color w:val="auto"/>
          <w:sz w:val="32"/>
          <w:szCs w:val="32"/>
          <w:highlight w:val="none"/>
        </w:rPr>
        <w:t>七、一般公共预算财政拨款支出决算明细表</w:t>
      </w:r>
      <w:bookmarkEnd w:id="55"/>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6" w:name="_Toc15396626"/>
      <w:r>
        <w:rPr>
          <w:rFonts w:hint="eastAsia" w:ascii="Times New Roman" w:hAnsi="Times New Roman" w:eastAsia="仿宋_GB2312" w:cs="仿宋_GB2312"/>
          <w:color w:val="auto"/>
          <w:sz w:val="32"/>
          <w:szCs w:val="32"/>
          <w:highlight w:val="none"/>
        </w:rPr>
        <w:t>八、一般公共预算财政拨款基本支出决算表</w:t>
      </w:r>
      <w:bookmarkEnd w:id="56"/>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7" w:name="_Toc15396627"/>
      <w:r>
        <w:rPr>
          <w:rFonts w:hint="eastAsia" w:ascii="Times New Roman" w:hAnsi="Times New Roman" w:eastAsia="仿宋_GB2312" w:cs="仿宋_GB2312"/>
          <w:color w:val="auto"/>
          <w:sz w:val="32"/>
          <w:szCs w:val="32"/>
          <w:highlight w:val="none"/>
        </w:rPr>
        <w:t>九、一般公共预算财政拨款项目支出决算表</w:t>
      </w:r>
      <w:bookmarkEnd w:id="57"/>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8" w:name="_Toc15396628"/>
      <w:r>
        <w:rPr>
          <w:rFonts w:hint="eastAsia" w:ascii="Times New Roman" w:hAnsi="Times New Roman" w:eastAsia="仿宋_GB2312" w:cs="仿宋_GB2312"/>
          <w:color w:val="auto"/>
          <w:sz w:val="32"/>
          <w:szCs w:val="32"/>
          <w:highlight w:val="none"/>
        </w:rPr>
        <w:t>十、</w:t>
      </w:r>
      <w:bookmarkEnd w:id="58"/>
      <w:r>
        <w:rPr>
          <w:rFonts w:hint="eastAsia" w:ascii="Times New Roman" w:hAnsi="Times New Roman" w:eastAsia="仿宋_GB2312" w:cs="仿宋_GB2312"/>
          <w:color w:val="auto"/>
          <w:sz w:val="32"/>
          <w:szCs w:val="32"/>
          <w:highlight w:val="none"/>
        </w:rPr>
        <w:t>政府性基金预算财政拨款收入支出决算表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9" w:name="_Toc15396629"/>
      <w:r>
        <w:rPr>
          <w:rFonts w:hint="eastAsia" w:ascii="Times New Roman" w:hAnsi="Times New Roman" w:eastAsia="仿宋_GB2312" w:cs="仿宋_GB2312"/>
          <w:color w:val="auto"/>
          <w:sz w:val="32"/>
          <w:szCs w:val="32"/>
          <w:highlight w:val="none"/>
        </w:rPr>
        <w:t>十一、</w:t>
      </w:r>
      <w:bookmarkEnd w:id="59"/>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0" w:name="_Toc15396630"/>
      <w:r>
        <w:rPr>
          <w:rFonts w:hint="eastAsia" w:ascii="Times New Roman" w:hAnsi="Times New Roman" w:eastAsia="仿宋_GB2312" w:cs="仿宋_GB2312"/>
          <w:color w:val="auto"/>
          <w:sz w:val="32"/>
          <w:szCs w:val="32"/>
          <w:highlight w:val="none"/>
        </w:rPr>
        <w:t>十二、</w:t>
      </w:r>
      <w:bookmarkEnd w:id="60"/>
      <w:r>
        <w:rPr>
          <w:rFonts w:hint="eastAsia" w:ascii="Times New Roman" w:hAnsi="Times New Roman" w:eastAsia="仿宋_GB2312" w:cs="仿宋_GB2312"/>
          <w:color w:val="auto"/>
          <w:sz w:val="32"/>
          <w:szCs w:val="32"/>
          <w:highlight w:val="none"/>
          <w:lang w:eastAsia="zh-CN"/>
        </w:rPr>
        <w:t>国有资本经营预算财政拨款支出决算表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61" w:name="_Toc15396631"/>
      <w:r>
        <w:rPr>
          <w:rFonts w:hint="eastAsia" w:ascii="Times New Roman" w:hAnsi="Times New Roman" w:eastAsia="仿宋_GB2312" w:cs="仿宋_GB2312"/>
          <w:color w:val="auto"/>
          <w:sz w:val="32"/>
          <w:szCs w:val="32"/>
          <w:highlight w:val="none"/>
        </w:rPr>
        <w:t>十三、</w:t>
      </w:r>
      <w:bookmarkEnd w:id="61"/>
      <w:r>
        <w:rPr>
          <w:rFonts w:hint="eastAsia" w:ascii="Times New Roman" w:hAnsi="Times New Roman" w:eastAsia="仿宋_GB2312" w:cs="仿宋_GB2312"/>
          <w:color w:val="auto"/>
          <w:sz w:val="32"/>
          <w:szCs w:val="32"/>
          <w:highlight w:val="none"/>
          <w:lang w:eastAsia="zh-CN"/>
        </w:rPr>
        <w:t>财政拨款“三公”经费支出决算表</w:t>
      </w:r>
    </w:p>
    <w:p>
      <w:pPr>
        <w:rPr>
          <w:rFonts w:hint="eastAsia" w:ascii="Times New Roman" w:hAnsi="Times New Roman"/>
          <w:lang w:eastAsia="zh-CN"/>
        </w:rPr>
      </w:pPr>
    </w:p>
    <w:sectPr>
      <w:footerReference r:id="rId6" w:type="first"/>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roman"/>
    <w:pitch w:val="default"/>
    <w:sig w:usb0="00000000" w:usb1="00000000" w:usb2="00000000" w:usb3="00000000" w:csb0="00000000" w:csb1="00000000"/>
  </w:font>
  <w:font w:name="方正小标宋简体">
    <w:panose1 w:val="02010601030101010101"/>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p>
  <w:p>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R1yZaEwIAABMEAAAOAAAAAAAAAAEA&#10;IAAAAB8BAABkcnMvZTJvRG9jLnhtbFBLBQYAAAAABgAGAFkBAACkBQAAAAA=&#10;">
              <v:fill on="f" focussize="0,0"/>
              <v:stroke on="f" weight="0.5pt"/>
              <v:imagedata o:title=""/>
              <o:lock v:ext="edit" aspectratio="f"/>
              <v:textbox inset="0mm,0mm,0mm,0mm" style="mso-fit-shape-to-text:t;">
                <w:txbxContent>
                  <w:p>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FC8882"/>
    <w:multiLevelType w:val="singleLevel"/>
    <w:tmpl w:val="47FC8882"/>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33BA"/>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1B74AE"/>
    <w:rsid w:val="015975B8"/>
    <w:rsid w:val="01A23516"/>
    <w:rsid w:val="02317B1B"/>
    <w:rsid w:val="02FEBE30"/>
    <w:rsid w:val="030A0555"/>
    <w:rsid w:val="03A935FF"/>
    <w:rsid w:val="03F93306"/>
    <w:rsid w:val="061E35DE"/>
    <w:rsid w:val="066E0107"/>
    <w:rsid w:val="06F80208"/>
    <w:rsid w:val="07996F6E"/>
    <w:rsid w:val="07DFD8BA"/>
    <w:rsid w:val="08DB07E4"/>
    <w:rsid w:val="09741BFF"/>
    <w:rsid w:val="09867E8F"/>
    <w:rsid w:val="0A2032A3"/>
    <w:rsid w:val="0B963C6E"/>
    <w:rsid w:val="0C6C4794"/>
    <w:rsid w:val="0CA8290A"/>
    <w:rsid w:val="0D35B1ED"/>
    <w:rsid w:val="0D96198D"/>
    <w:rsid w:val="0DE07E2B"/>
    <w:rsid w:val="0F98263C"/>
    <w:rsid w:val="0FEF2042"/>
    <w:rsid w:val="101860EC"/>
    <w:rsid w:val="10C055FF"/>
    <w:rsid w:val="11772AA4"/>
    <w:rsid w:val="118107EC"/>
    <w:rsid w:val="125409FE"/>
    <w:rsid w:val="13957196"/>
    <w:rsid w:val="13D50BC4"/>
    <w:rsid w:val="14022904"/>
    <w:rsid w:val="14267498"/>
    <w:rsid w:val="152F2A07"/>
    <w:rsid w:val="165E0673"/>
    <w:rsid w:val="16BB723D"/>
    <w:rsid w:val="16F13FCB"/>
    <w:rsid w:val="186504BB"/>
    <w:rsid w:val="1938089F"/>
    <w:rsid w:val="19A445FC"/>
    <w:rsid w:val="1A045DF6"/>
    <w:rsid w:val="1A22751F"/>
    <w:rsid w:val="1A8F3BCC"/>
    <w:rsid w:val="1B1E5E12"/>
    <w:rsid w:val="1B7D550C"/>
    <w:rsid w:val="1BE8440E"/>
    <w:rsid w:val="1D155CEE"/>
    <w:rsid w:val="1DE178F3"/>
    <w:rsid w:val="1E740ACF"/>
    <w:rsid w:val="1FF35744"/>
    <w:rsid w:val="1FF6BC77"/>
    <w:rsid w:val="21962A9E"/>
    <w:rsid w:val="21AE7C77"/>
    <w:rsid w:val="22BC3C41"/>
    <w:rsid w:val="235E7377"/>
    <w:rsid w:val="23860B96"/>
    <w:rsid w:val="240371BF"/>
    <w:rsid w:val="260F557C"/>
    <w:rsid w:val="281408E2"/>
    <w:rsid w:val="29C43D1C"/>
    <w:rsid w:val="29FD04D3"/>
    <w:rsid w:val="2ABF6B3B"/>
    <w:rsid w:val="2BFF7BC6"/>
    <w:rsid w:val="2C733622"/>
    <w:rsid w:val="2C8A61B5"/>
    <w:rsid w:val="2D2E01CF"/>
    <w:rsid w:val="2DB04742"/>
    <w:rsid w:val="2DF04E50"/>
    <w:rsid w:val="2E8711BA"/>
    <w:rsid w:val="2E9545B0"/>
    <w:rsid w:val="2F040D46"/>
    <w:rsid w:val="2FAE5751"/>
    <w:rsid w:val="2FB1A395"/>
    <w:rsid w:val="2FD9A7D8"/>
    <w:rsid w:val="319F7F4E"/>
    <w:rsid w:val="321B2544"/>
    <w:rsid w:val="3304709D"/>
    <w:rsid w:val="34281836"/>
    <w:rsid w:val="349D6851"/>
    <w:rsid w:val="35BA6CAF"/>
    <w:rsid w:val="35D37231"/>
    <w:rsid w:val="361C6E21"/>
    <w:rsid w:val="364D14C1"/>
    <w:rsid w:val="36AA5135"/>
    <w:rsid w:val="36BE0DA7"/>
    <w:rsid w:val="376B6AA6"/>
    <w:rsid w:val="376D39B2"/>
    <w:rsid w:val="37E16F03"/>
    <w:rsid w:val="37F53A3B"/>
    <w:rsid w:val="389B6C89"/>
    <w:rsid w:val="38D469F0"/>
    <w:rsid w:val="39627CCD"/>
    <w:rsid w:val="397BAF1F"/>
    <w:rsid w:val="39A33FC3"/>
    <w:rsid w:val="39ED4EEF"/>
    <w:rsid w:val="3AB79AF3"/>
    <w:rsid w:val="3B7EF35A"/>
    <w:rsid w:val="3B7F6A74"/>
    <w:rsid w:val="3B9FDB6C"/>
    <w:rsid w:val="3BF5BC2F"/>
    <w:rsid w:val="3CEBA265"/>
    <w:rsid w:val="3D833D04"/>
    <w:rsid w:val="3D98207C"/>
    <w:rsid w:val="3D9B0D99"/>
    <w:rsid w:val="3DEE7CF3"/>
    <w:rsid w:val="3DF02244"/>
    <w:rsid w:val="3E78745D"/>
    <w:rsid w:val="3E844191"/>
    <w:rsid w:val="3ED85D84"/>
    <w:rsid w:val="3FF4CAE0"/>
    <w:rsid w:val="3FF7B227"/>
    <w:rsid w:val="401F74ED"/>
    <w:rsid w:val="406C53DA"/>
    <w:rsid w:val="40E54C45"/>
    <w:rsid w:val="41313393"/>
    <w:rsid w:val="41744FEE"/>
    <w:rsid w:val="42903B2E"/>
    <w:rsid w:val="43A407DF"/>
    <w:rsid w:val="44515BEA"/>
    <w:rsid w:val="44E268DA"/>
    <w:rsid w:val="453F7E5B"/>
    <w:rsid w:val="468D4822"/>
    <w:rsid w:val="483D6496"/>
    <w:rsid w:val="486A6C7A"/>
    <w:rsid w:val="488C5358"/>
    <w:rsid w:val="49176D9B"/>
    <w:rsid w:val="494006BD"/>
    <w:rsid w:val="495B53D7"/>
    <w:rsid w:val="4A627F82"/>
    <w:rsid w:val="4B0E749A"/>
    <w:rsid w:val="4B4F25DA"/>
    <w:rsid w:val="4BDA0CFB"/>
    <w:rsid w:val="4BE068DB"/>
    <w:rsid w:val="4C2C6A11"/>
    <w:rsid w:val="4D3C0CCC"/>
    <w:rsid w:val="4D577224"/>
    <w:rsid w:val="4DBF1CEB"/>
    <w:rsid w:val="4EAB630A"/>
    <w:rsid w:val="4ECE2238"/>
    <w:rsid w:val="4F833267"/>
    <w:rsid w:val="4FE9BD67"/>
    <w:rsid w:val="4FFB052F"/>
    <w:rsid w:val="525B7B28"/>
    <w:rsid w:val="53083A92"/>
    <w:rsid w:val="53750EF7"/>
    <w:rsid w:val="537E6D0A"/>
    <w:rsid w:val="53AF27A2"/>
    <w:rsid w:val="53F74C96"/>
    <w:rsid w:val="54843DC7"/>
    <w:rsid w:val="5509518E"/>
    <w:rsid w:val="56E47B74"/>
    <w:rsid w:val="57BD3DD4"/>
    <w:rsid w:val="57F96008"/>
    <w:rsid w:val="581207D6"/>
    <w:rsid w:val="5AF92295"/>
    <w:rsid w:val="5BDD79E6"/>
    <w:rsid w:val="5BF561CA"/>
    <w:rsid w:val="5BFF5DFC"/>
    <w:rsid w:val="5CD71FC4"/>
    <w:rsid w:val="5D1F11B5"/>
    <w:rsid w:val="5D7F04AB"/>
    <w:rsid w:val="5DAE1B18"/>
    <w:rsid w:val="5DE7D9E5"/>
    <w:rsid w:val="5E4C6051"/>
    <w:rsid w:val="5ECEC941"/>
    <w:rsid w:val="5F493CB7"/>
    <w:rsid w:val="5FBF9FF3"/>
    <w:rsid w:val="5FCD4E2C"/>
    <w:rsid w:val="5FD15F49"/>
    <w:rsid w:val="5FEF394A"/>
    <w:rsid w:val="5FF67715"/>
    <w:rsid w:val="60A31814"/>
    <w:rsid w:val="60B90FAE"/>
    <w:rsid w:val="615B1D55"/>
    <w:rsid w:val="61C64075"/>
    <w:rsid w:val="62BF3928"/>
    <w:rsid w:val="631D3091"/>
    <w:rsid w:val="636268A8"/>
    <w:rsid w:val="647F5392"/>
    <w:rsid w:val="66470199"/>
    <w:rsid w:val="664B1D71"/>
    <w:rsid w:val="67AA3209"/>
    <w:rsid w:val="681C4F0D"/>
    <w:rsid w:val="6878053C"/>
    <w:rsid w:val="687F5C8E"/>
    <w:rsid w:val="69046D0F"/>
    <w:rsid w:val="69117B2E"/>
    <w:rsid w:val="698D0931"/>
    <w:rsid w:val="69F859B7"/>
    <w:rsid w:val="6A993CED"/>
    <w:rsid w:val="6B053271"/>
    <w:rsid w:val="6BCE6674"/>
    <w:rsid w:val="6C4A05C8"/>
    <w:rsid w:val="6C8742B8"/>
    <w:rsid w:val="6C8A170F"/>
    <w:rsid w:val="6CB54609"/>
    <w:rsid w:val="6D9C5FDE"/>
    <w:rsid w:val="6DBF5E93"/>
    <w:rsid w:val="6DFF077E"/>
    <w:rsid w:val="6E265B70"/>
    <w:rsid w:val="6E7E3605"/>
    <w:rsid w:val="6E7FDCC7"/>
    <w:rsid w:val="6ED6A62E"/>
    <w:rsid w:val="6EE00B15"/>
    <w:rsid w:val="6F544B20"/>
    <w:rsid w:val="6F6FB3EB"/>
    <w:rsid w:val="6F784160"/>
    <w:rsid w:val="6F8731EA"/>
    <w:rsid w:val="6FBB3C45"/>
    <w:rsid w:val="6FCE6052"/>
    <w:rsid w:val="6FD57C00"/>
    <w:rsid w:val="6FEFFFD8"/>
    <w:rsid w:val="6FF5CC65"/>
    <w:rsid w:val="6FFB47EC"/>
    <w:rsid w:val="6FFF034A"/>
    <w:rsid w:val="70460F4B"/>
    <w:rsid w:val="70496804"/>
    <w:rsid w:val="70E50DA2"/>
    <w:rsid w:val="70FD5D52"/>
    <w:rsid w:val="712A28F1"/>
    <w:rsid w:val="715C0E4B"/>
    <w:rsid w:val="71A74959"/>
    <w:rsid w:val="72233669"/>
    <w:rsid w:val="72734D90"/>
    <w:rsid w:val="7332FE48"/>
    <w:rsid w:val="73AB61DA"/>
    <w:rsid w:val="73AD73D5"/>
    <w:rsid w:val="73B6EB34"/>
    <w:rsid w:val="73FA497D"/>
    <w:rsid w:val="744731E5"/>
    <w:rsid w:val="74527205"/>
    <w:rsid w:val="74BBD01D"/>
    <w:rsid w:val="74ED5379"/>
    <w:rsid w:val="74FC2395"/>
    <w:rsid w:val="75DEEEC2"/>
    <w:rsid w:val="761E7D0D"/>
    <w:rsid w:val="76E3355F"/>
    <w:rsid w:val="76FF5125"/>
    <w:rsid w:val="776F6FFA"/>
    <w:rsid w:val="778769C8"/>
    <w:rsid w:val="77DC22F5"/>
    <w:rsid w:val="78811A19"/>
    <w:rsid w:val="789307A7"/>
    <w:rsid w:val="79086DAD"/>
    <w:rsid w:val="79974F09"/>
    <w:rsid w:val="79D7FD79"/>
    <w:rsid w:val="79EE5BA4"/>
    <w:rsid w:val="7A894339"/>
    <w:rsid w:val="7AFF7572"/>
    <w:rsid w:val="7B6C7DFB"/>
    <w:rsid w:val="7BBFBED0"/>
    <w:rsid w:val="7BC3E394"/>
    <w:rsid w:val="7BF8080D"/>
    <w:rsid w:val="7C1F3737"/>
    <w:rsid w:val="7C2A2C5A"/>
    <w:rsid w:val="7C6C2FAF"/>
    <w:rsid w:val="7CBFC87B"/>
    <w:rsid w:val="7CFE0F48"/>
    <w:rsid w:val="7D5B0537"/>
    <w:rsid w:val="7D7EC23E"/>
    <w:rsid w:val="7D916348"/>
    <w:rsid w:val="7E8ADEBF"/>
    <w:rsid w:val="7EEF11D3"/>
    <w:rsid w:val="7F0971A6"/>
    <w:rsid w:val="7F216604"/>
    <w:rsid w:val="7F3F679B"/>
    <w:rsid w:val="7F4FC4EF"/>
    <w:rsid w:val="7F5E4D54"/>
    <w:rsid w:val="7F6E0135"/>
    <w:rsid w:val="7FA30C79"/>
    <w:rsid w:val="7FA772B4"/>
    <w:rsid w:val="7FAF8ABF"/>
    <w:rsid w:val="7FB7269E"/>
    <w:rsid w:val="7FC96657"/>
    <w:rsid w:val="7FDA9588"/>
    <w:rsid w:val="7FDF220F"/>
    <w:rsid w:val="7FEDC5F7"/>
    <w:rsid w:val="7FEDD9DE"/>
    <w:rsid w:val="7FF5890D"/>
    <w:rsid w:val="7FF74752"/>
    <w:rsid w:val="7FF93490"/>
    <w:rsid w:val="99FF2014"/>
    <w:rsid w:val="A6DD0D7F"/>
    <w:rsid w:val="ADC6F725"/>
    <w:rsid w:val="B7CF06AB"/>
    <w:rsid w:val="B7CFA926"/>
    <w:rsid w:val="B7F8786B"/>
    <w:rsid w:val="BABB6AA1"/>
    <w:rsid w:val="BB2F4199"/>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FFA9E8"/>
    <w:rsid w:val="E5F4E9DC"/>
    <w:rsid w:val="E70FE695"/>
    <w:rsid w:val="ECFED1BC"/>
    <w:rsid w:val="ED1D69BB"/>
    <w:rsid w:val="ED7FD312"/>
    <w:rsid w:val="EF53993F"/>
    <w:rsid w:val="EF6FD633"/>
    <w:rsid w:val="EFBFB2F4"/>
    <w:rsid w:val="EFBFFA21"/>
    <w:rsid w:val="F2BEBCB8"/>
    <w:rsid w:val="F36FB518"/>
    <w:rsid w:val="F3DE1A04"/>
    <w:rsid w:val="F3F722E5"/>
    <w:rsid w:val="FA5F1E70"/>
    <w:rsid w:val="FA5FDB97"/>
    <w:rsid w:val="FB7F486A"/>
    <w:rsid w:val="FBFF5B2E"/>
    <w:rsid w:val="FD7FFE2B"/>
    <w:rsid w:val="FDEE196B"/>
    <w:rsid w:val="FDFE6575"/>
    <w:rsid w:val="FEDFDDC2"/>
    <w:rsid w:val="FEED32F6"/>
    <w:rsid w:val="FEF781DD"/>
    <w:rsid w:val="FF3F7E3F"/>
    <w:rsid w:val="FFBA12D7"/>
    <w:rsid w:val="FFDFFAEE"/>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8"/>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2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32"/>
    <w:unhideWhenUsed/>
    <w:qFormat/>
    <w:uiPriority w:val="9"/>
    <w:pPr>
      <w:keepNext/>
      <w:keepLines/>
      <w:spacing w:before="260" w:after="260" w:line="416" w:lineRule="auto"/>
      <w:outlineLvl w:val="2"/>
    </w:pPr>
    <w:rPr>
      <w:b/>
      <w:bCs/>
      <w:sz w:val="32"/>
      <w:szCs w:val="32"/>
    </w:rPr>
  </w:style>
  <w:style w:type="character" w:default="1" w:styleId="16">
    <w:name w:val="Default Paragraph Font"/>
    <w:unhideWhenUsed/>
    <w:qFormat/>
    <w:uiPriority w:val="1"/>
  </w:style>
  <w:style w:type="table" w:default="1" w:styleId="15">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First Indent 2"/>
    <w:basedOn w:val="3"/>
    <w:next w:val="1"/>
    <w:unhideWhenUsed/>
    <w:qFormat/>
    <w:uiPriority w:val="99"/>
    <w:pPr>
      <w:ind w:firstLine="420" w:firstLineChars="200"/>
    </w:pPr>
  </w:style>
  <w:style w:type="paragraph" w:styleId="3">
    <w:name w:val="Body Text Indent"/>
    <w:basedOn w:val="1"/>
    <w:next w:val="2"/>
    <w:qFormat/>
    <w:uiPriority w:val="0"/>
    <w:pPr>
      <w:spacing w:after="120"/>
      <w:ind w:leftChars="200"/>
    </w:pPr>
    <w:rPr>
      <w:rFonts w:ascii="仿宋_GB2312"/>
      <w:szCs w:val="32"/>
    </w:rPr>
  </w:style>
  <w:style w:type="paragraph" w:styleId="7">
    <w:name w:val="Body Text"/>
    <w:basedOn w:val="1"/>
    <w:link w:val="25"/>
    <w:qFormat/>
    <w:uiPriority w:val="99"/>
    <w:pPr>
      <w:spacing w:beforeLines="30"/>
    </w:pPr>
    <w:rPr>
      <w:rFonts w:ascii="仿宋_GB2312" w:eastAsia="仿宋_GB2312"/>
      <w:kern w:val="0"/>
      <w:sz w:val="30"/>
    </w:r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31"/>
    <w:semiHidden/>
    <w:unhideWhenUsed/>
    <w:qFormat/>
    <w:uiPriority w:val="99"/>
    <w:rPr>
      <w:sz w:val="18"/>
      <w:szCs w:val="18"/>
    </w:rPr>
  </w:style>
  <w:style w:type="paragraph" w:styleId="10">
    <w:name w:val="footer"/>
    <w:basedOn w:val="1"/>
    <w:link w:val="23"/>
    <w:qFormat/>
    <w:uiPriority w:val="99"/>
    <w:pPr>
      <w:tabs>
        <w:tab w:val="center" w:pos="4153"/>
        <w:tab w:val="right" w:pos="8306"/>
      </w:tabs>
      <w:snapToGrid w:val="0"/>
      <w:jc w:val="left"/>
    </w:pPr>
    <w:rPr>
      <w:rFonts w:ascii="Calibri" w:hAnsi="Calibri"/>
      <w:kern w:val="0"/>
      <w:sz w:val="18"/>
      <w:szCs w:val="18"/>
    </w:rPr>
  </w:style>
  <w:style w:type="paragraph" w:styleId="11">
    <w:name w:val="header"/>
    <w:basedOn w:val="1"/>
    <w:link w:val="21"/>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footnote text"/>
    <w:basedOn w:val="1"/>
    <w:next w:val="2"/>
    <w:semiHidden/>
    <w:qFormat/>
    <w:uiPriority w:val="0"/>
    <w:pPr>
      <w:snapToGrid w:val="0"/>
      <w:jc w:val="left"/>
    </w:pPr>
    <w:rPr>
      <w:sz w:val="18"/>
      <w:szCs w:val="18"/>
    </w:rPr>
  </w:style>
  <w:style w:type="paragraph" w:styleId="14">
    <w:name w:val="toc 2"/>
    <w:basedOn w:val="1"/>
    <w:next w:val="1"/>
    <w:unhideWhenUsed/>
    <w:qFormat/>
    <w:uiPriority w:val="39"/>
    <w:pPr>
      <w:tabs>
        <w:tab w:val="right" w:leader="dot" w:pos="8296"/>
      </w:tabs>
      <w:ind w:left="420" w:leftChars="200"/>
    </w:pPr>
  </w:style>
  <w:style w:type="character" w:styleId="17">
    <w:name w:val="Strong"/>
    <w:basedOn w:val="16"/>
    <w:qFormat/>
    <w:uiPriority w:val="99"/>
    <w:rPr>
      <w:b/>
    </w:rPr>
  </w:style>
  <w:style w:type="character" w:styleId="18">
    <w:name w:val="Hyperlink"/>
    <w:basedOn w:val="16"/>
    <w:unhideWhenUsed/>
    <w:qFormat/>
    <w:uiPriority w:val="99"/>
    <w:rPr>
      <w:color w:val="0000FF" w:themeColor="hyperlink"/>
      <w:u w:val="single"/>
      <w14:textFill>
        <w14:solidFill>
          <w14:schemeClr w14:val="hlink"/>
        </w14:solidFill>
      </w14:textFill>
    </w:rPr>
  </w:style>
  <w:style w:type="paragraph" w:customStyle="1" w:styleId="19">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0">
    <w:name w:val="Header Char"/>
    <w:basedOn w:val="16"/>
    <w:semiHidden/>
    <w:qFormat/>
    <w:uiPriority w:val="99"/>
    <w:rPr>
      <w:rFonts w:ascii="Times New Roman" w:hAnsi="Times New Roman"/>
      <w:sz w:val="18"/>
      <w:szCs w:val="18"/>
    </w:rPr>
  </w:style>
  <w:style w:type="character" w:customStyle="1" w:styleId="21">
    <w:name w:val="页眉 Char"/>
    <w:link w:val="11"/>
    <w:semiHidden/>
    <w:qFormat/>
    <w:locked/>
    <w:uiPriority w:val="99"/>
    <w:rPr>
      <w:sz w:val="18"/>
    </w:rPr>
  </w:style>
  <w:style w:type="character" w:customStyle="1" w:styleId="22">
    <w:name w:val="Footer Char"/>
    <w:basedOn w:val="16"/>
    <w:semiHidden/>
    <w:qFormat/>
    <w:uiPriority w:val="99"/>
    <w:rPr>
      <w:rFonts w:ascii="Times New Roman" w:hAnsi="Times New Roman"/>
      <w:sz w:val="18"/>
      <w:szCs w:val="18"/>
    </w:rPr>
  </w:style>
  <w:style w:type="character" w:customStyle="1" w:styleId="23">
    <w:name w:val="页脚 Char"/>
    <w:link w:val="10"/>
    <w:qFormat/>
    <w:locked/>
    <w:uiPriority w:val="99"/>
    <w:rPr>
      <w:sz w:val="18"/>
    </w:rPr>
  </w:style>
  <w:style w:type="character" w:customStyle="1" w:styleId="24">
    <w:name w:val="Body Text Char"/>
    <w:basedOn w:val="16"/>
    <w:semiHidden/>
    <w:qFormat/>
    <w:uiPriority w:val="99"/>
    <w:rPr>
      <w:rFonts w:ascii="Times New Roman" w:hAnsi="Times New Roman"/>
      <w:szCs w:val="24"/>
    </w:rPr>
  </w:style>
  <w:style w:type="character" w:customStyle="1" w:styleId="25">
    <w:name w:val="正文文本 Char"/>
    <w:link w:val="7"/>
    <w:qFormat/>
    <w:locked/>
    <w:uiPriority w:val="99"/>
    <w:rPr>
      <w:rFonts w:ascii="仿宋_GB2312" w:hAnsi="Times New Roman" w:eastAsia="仿宋_GB2312"/>
      <w:sz w:val="24"/>
    </w:rPr>
  </w:style>
  <w:style w:type="paragraph" w:customStyle="1" w:styleId="26">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7">
    <w:name w:val="List Paragraph"/>
    <w:basedOn w:val="1"/>
    <w:qFormat/>
    <w:uiPriority w:val="34"/>
    <w:pPr>
      <w:ind w:firstLine="420" w:firstLineChars="200"/>
    </w:pPr>
  </w:style>
  <w:style w:type="character" w:customStyle="1" w:styleId="28">
    <w:name w:val="标题 1 Char"/>
    <w:basedOn w:val="16"/>
    <w:link w:val="4"/>
    <w:qFormat/>
    <w:uiPriority w:val="9"/>
    <w:rPr>
      <w:rFonts w:ascii="Times New Roman" w:hAnsi="Times New Roman"/>
      <w:b/>
      <w:bCs/>
      <w:kern w:val="44"/>
      <w:sz w:val="44"/>
      <w:szCs w:val="44"/>
    </w:rPr>
  </w:style>
  <w:style w:type="character" w:customStyle="1" w:styleId="29">
    <w:name w:val="标题 2 Char"/>
    <w:basedOn w:val="16"/>
    <w:link w:val="5"/>
    <w:qFormat/>
    <w:uiPriority w:val="9"/>
    <w:rPr>
      <w:rFonts w:asciiTheme="majorHAnsi" w:hAnsiTheme="majorHAnsi" w:eastAsiaTheme="majorEastAsia" w:cstheme="majorBidi"/>
      <w:b/>
      <w:bCs/>
      <w:kern w:val="2"/>
      <w:sz w:val="32"/>
      <w:szCs w:val="32"/>
    </w:rPr>
  </w:style>
  <w:style w:type="paragraph" w:customStyle="1" w:styleId="30">
    <w:name w:val="TOC 标题1"/>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1">
    <w:name w:val="批注框文本 Char"/>
    <w:basedOn w:val="16"/>
    <w:link w:val="9"/>
    <w:semiHidden/>
    <w:qFormat/>
    <w:uiPriority w:val="99"/>
    <w:rPr>
      <w:rFonts w:ascii="Times New Roman" w:hAnsi="Times New Roman"/>
      <w:kern w:val="2"/>
      <w:sz w:val="18"/>
      <w:szCs w:val="18"/>
    </w:rPr>
  </w:style>
  <w:style w:type="character" w:customStyle="1" w:styleId="32">
    <w:name w:val="标题 3 Char"/>
    <w:basedOn w:val="16"/>
    <w:link w:val="6"/>
    <w:qFormat/>
    <w:uiPriority w:val="9"/>
    <w:rPr>
      <w:rFonts w:ascii="Times New Roman" w:hAnsi="Times New Roman"/>
      <w:b/>
      <w:bCs/>
      <w:kern w:val="2"/>
      <w:sz w:val="32"/>
      <w:szCs w:val="32"/>
    </w:rPr>
  </w:style>
  <w:style w:type="paragraph" w:customStyle="1" w:styleId="33">
    <w:name w:val="TOC Heading"/>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4">
    <w:name w:val="四号正文"/>
    <w:basedOn w:val="1"/>
    <w:qFormat/>
    <w:uiPriority w:val="0"/>
    <w:pPr>
      <w:spacing w:line="360" w:lineRule="auto"/>
    </w:pPr>
    <w:rPr>
      <w:rFonts w:ascii="??" w:hAnsi="??" w:eastAsia="宋体"/>
      <w:color w:val="000000"/>
      <w:kern w:val="0"/>
      <w:sz w:val="28"/>
      <w:szCs w:val="21"/>
      <w:lang w:val="zh-CN" w:eastAsia="zh-CN"/>
    </w:rPr>
  </w:style>
  <w:style w:type="paragraph" w:customStyle="1" w:styleId="35">
    <w:name w:val="p0"/>
    <w:basedOn w:val="1"/>
    <w:qFormat/>
    <w:uiPriority w:val="0"/>
    <w:pPr>
      <w:keepNext w:val="0"/>
      <w:keepLines w:val="0"/>
      <w:widowControl/>
      <w:suppressLineNumbers w:val="0"/>
      <w:spacing w:before="0" w:beforeAutospacing="0" w:after="0" w:afterAutospacing="0"/>
      <w:ind w:left="0" w:right="0"/>
      <w:jc w:val="left"/>
    </w:pPr>
    <w:rPr>
      <w:rFonts w:hint="eastAsia" w:ascii="宋体" w:hAnsi="宋体" w:eastAsia="宋体" w:cs="宋体"/>
      <w:kern w:val="0"/>
      <w:sz w:val="24"/>
      <w:szCs w:val="24"/>
      <w:lang w:val="en-US" w:eastAsia="zh-CN" w:bidi="ar"/>
    </w:rPr>
  </w:style>
  <w:style w:type="character" w:customStyle="1" w:styleId="36">
    <w:name w:val="17"/>
    <w:basedOn w:val="16"/>
    <w:qFormat/>
    <w:uiPriority w:val="0"/>
    <w:rPr>
      <w:rFonts w:hint="default" w:ascii="Times New Roman" w:hAnsi="Times New Roman" w:cs="Times New Roman"/>
      <w:b/>
    </w:rPr>
  </w:style>
  <w:style w:type="paragraph" w:customStyle="1" w:styleId="37">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chart" Target="charts/chart2.xml"/><Relationship Id="rId8" Type="http://schemas.openxmlformats.org/officeDocument/2006/relationships/chart" Target="charts/chart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chart" Target="charts/chart7.xml"/><Relationship Id="rId13" Type="http://schemas.openxmlformats.org/officeDocument/2006/relationships/chart" Target="charts/chart6.xml"/><Relationship Id="rId12" Type="http://schemas.openxmlformats.org/officeDocument/2006/relationships/chart" Target="charts/chart5.xml"/><Relationship Id="rId11" Type="http://schemas.openxmlformats.org/officeDocument/2006/relationships/chart" Target="charts/chart4.xml"/><Relationship Id="rId10" Type="http://schemas.openxmlformats.org/officeDocument/2006/relationships/chart" Target="charts/chart3.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7.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package" Target="../embeddings/Workbook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600" b="1" i="0" u="none" strike="noStrike" kern="1200" baseline="0">
                <a:solidFill>
                  <a:schemeClr val="tx1">
                    <a:lumMod val="65000"/>
                    <a:lumOff val="35000"/>
                  </a:schemeClr>
                </a:solidFill>
                <a:latin typeface="+mn-lt"/>
                <a:ea typeface="+mn-ea"/>
                <a:cs typeface="+mn-cs"/>
              </a:defRPr>
            </a:pPr>
            <a:r>
              <a:t>收、支决算总计变动情况图</a:t>
            </a:r>
          </a:p>
        </c:rich>
      </c:tx>
      <c:layout>
        <c:manualLayout>
          <c:xMode val="edge"/>
          <c:yMode val="edge"/>
          <c:x val="0.252734259532959"/>
          <c:y val="0.00705384434516812"/>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收入</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2024</c:v>
                </c:pt>
                <c:pt idx="1">
                  <c:v>2025</c:v>
                </c:pt>
              </c:numCache>
            </c:numRef>
          </c:cat>
          <c:val>
            <c:numRef>
              <c:f>Sheet1!$B$2:$B$3</c:f>
              <c:numCache>
                <c:formatCode>General</c:formatCode>
                <c:ptCount val="2"/>
                <c:pt idx="0">
                  <c:v>263.06</c:v>
                </c:pt>
                <c:pt idx="1">
                  <c:v>279.48</c:v>
                </c:pt>
              </c:numCache>
            </c:numRef>
          </c:val>
        </c:ser>
        <c:ser>
          <c:idx val="1"/>
          <c:order val="1"/>
          <c:tx>
            <c:strRef>
              <c:f>Sheet1!$C$1</c:f>
              <c:strCache>
                <c:ptCount val="1"/>
                <c:pt idx="0">
                  <c:v>支出</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2024</c:v>
                </c:pt>
                <c:pt idx="1">
                  <c:v>2025</c:v>
                </c:pt>
              </c:numCache>
            </c:numRef>
          </c:cat>
          <c:val>
            <c:numRef>
              <c:f>Sheet1!$C$2:$C$3</c:f>
              <c:numCache>
                <c:formatCode>General</c:formatCode>
                <c:ptCount val="2"/>
                <c:pt idx="0">
                  <c:v>263.06</c:v>
                </c:pt>
                <c:pt idx="1">
                  <c:v>279.48</c:v>
                </c:pt>
              </c:numCache>
            </c:numRef>
          </c:val>
        </c:ser>
        <c:dLbls>
          <c:showLegendKey val="0"/>
          <c:showVal val="1"/>
          <c:showCatName val="0"/>
          <c:showSerName val="0"/>
          <c:showPercent val="0"/>
          <c:showBubbleSize val="0"/>
        </c:dLbls>
        <c:gapWidth val="100"/>
        <c:overlap val="-24"/>
        <c:axId val="47715968"/>
        <c:axId val="309376032"/>
      </c:barChart>
      <c:catAx>
        <c:axId val="47715968"/>
        <c:scaling>
          <c:orientation val="minMax"/>
        </c:scaling>
        <c:delete val="0"/>
        <c:axPos val="b"/>
        <c:majorTickMark val="none"/>
        <c:minorTickMark val="none"/>
        <c:tickLblPos val="nextTo"/>
        <c:spPr>
          <a:noFill/>
          <a:ln w="12700"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09376032"/>
        <c:crosses val="autoZero"/>
        <c:auto val="1"/>
        <c:lblAlgn val="ctr"/>
        <c:lblOffset val="100"/>
        <c:noMultiLvlLbl val="0"/>
      </c:catAx>
      <c:valAx>
        <c:axId val="309376032"/>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0_);[Red]\(0\)" sourceLinked="0"/>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7715968"/>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sz="1800" b="1">
                <a:solidFill>
                  <a:sysClr val="windowText" lastClr="000000"/>
                </a:solidFill>
              </a:rPr>
              <a:t>收入决算结构图</a:t>
            </a:r>
            <a:endParaRPr sz="1800" b="1">
              <a:solidFill>
                <a:sysClr val="windowText" lastClr="000000"/>
              </a:solidFill>
            </a:endParaRPr>
          </a:p>
        </c:rich>
      </c:tx>
      <c:layout/>
      <c:overlay val="0"/>
      <c:spPr>
        <a:noFill/>
        <a:ln>
          <a:noFill/>
        </a:ln>
        <a:effectLst/>
      </c:spPr>
    </c:title>
    <c:autoTitleDeleted val="0"/>
    <c:plotArea>
      <c:layout/>
      <c:pieChart>
        <c:varyColors val="1"/>
        <c:ser>
          <c:idx val="0"/>
          <c:order val="0"/>
          <c:tx>
            <c:strRef>
              <c:f>Sheet1!$B$1</c:f>
              <c:strCache>
                <c:ptCount val="1"/>
                <c:pt idx="0">
                  <c:v>销售额</c:v>
                </c:pt>
              </c:strCache>
            </c:strRef>
          </c:tx>
          <c:spPr/>
          <c:explosion val="0"/>
          <c:dPt>
            <c:idx val="0"/>
            <c:bubble3D val="0"/>
            <c:spPr>
              <a:solidFill>
                <a:schemeClr val="accent3"/>
              </a:solidFill>
              <a:ln w="19050">
                <a:solidFill>
                  <a:schemeClr val="lt1"/>
                </a:solidFill>
              </a:ln>
              <a:effectLst/>
            </c:spPr>
          </c:dPt>
          <c:dLbls>
            <c:numFmt formatCode="0.00%" sourceLinked="0"/>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ctr"/>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一般公共预算财政拨款收入</c:v>
                </c:pt>
              </c:strCache>
            </c:strRef>
          </c:cat>
          <c:val>
            <c:numRef>
              <c:f>Sheet1!$B$2</c:f>
              <c:numCache>
                <c:formatCode>General</c:formatCode>
                <c:ptCount val="1"/>
                <c:pt idx="0">
                  <c:v>279.48</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284433338233132"/>
          <c:y val="0.874310915104741"/>
          <c:w val="0.441128913714538"/>
          <c:h val="0.119073869900772"/>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600" b="1" i="0" u="none" strike="noStrike" kern="1200" baseline="0">
                <a:solidFill>
                  <a:schemeClr val="tx1">
                    <a:lumMod val="65000"/>
                    <a:lumOff val="35000"/>
                  </a:schemeClr>
                </a:solidFill>
                <a:latin typeface="+mn-lt"/>
                <a:ea typeface="+mn-ea"/>
                <a:cs typeface="+mn-cs"/>
              </a:defRPr>
            </a:pPr>
            <a:r>
              <a:t>支出决算结构图</a:t>
            </a:r>
          </a:p>
        </c:rich>
      </c:tx>
      <c:layout>
        <c:manualLayout>
          <c:xMode val="edge"/>
          <c:yMode val="edge"/>
          <c:x val="0.361531677201235"/>
          <c:y val="0.0671859785783836"/>
        </c:manualLayout>
      </c:layout>
      <c:overlay val="0"/>
      <c:spPr>
        <a:noFill/>
        <a:ln>
          <a:noFill/>
        </a:ln>
        <a:effectLst/>
      </c:spPr>
    </c:title>
    <c:autoTitleDeleted val="0"/>
    <c:view3D>
      <c:rotX val="30"/>
      <c:rotY val="0"/>
      <c:depthPercent val="100"/>
      <c:rAngAx val="0"/>
    </c:view3D>
    <c:floor>
      <c:thickness val="0"/>
      <c:spPr>
        <a:noFill/>
        <a:effectLst/>
      </c:spPr>
    </c:floor>
    <c:sideWall>
      <c:thickness val="0"/>
      <c:spPr>
        <a:noFill/>
        <a:effectLst/>
      </c:spPr>
    </c:sideWall>
    <c:backWall>
      <c:thickness val="0"/>
      <c:spPr>
        <a:noFill/>
        <a:effectLst/>
      </c:spPr>
    </c:backWall>
    <c:plotArea>
      <c:layout>
        <c:manualLayout>
          <c:layoutTarget val="inner"/>
          <c:xMode val="edge"/>
          <c:yMode val="edge"/>
          <c:x val="0.0928678524180509"/>
          <c:y val="0.206281192939744"/>
          <c:w val="0.823083933558724"/>
          <c:h val="0.615232298640698"/>
        </c:manualLayout>
      </c:layout>
      <c:pie3DChart>
        <c:varyColors val="1"/>
        <c:ser>
          <c:idx val="0"/>
          <c:order val="0"/>
          <c:tx>
            <c:strRef>
              <c:f>Sheet1!$B$1</c:f>
              <c:strCache>
                <c:ptCount val="1"/>
                <c:pt idx="0">
                  <c:v>销售额</c:v>
                </c:pt>
              </c:strCache>
            </c:strRef>
          </c:tx>
          <c:spPr/>
          <c:explosion val="0"/>
          <c:dPt>
            <c:idx val="0"/>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dPt>
          <c:dPt>
            <c:idx val="1"/>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c:spPr>
          </c:dPt>
          <c:dLbls>
            <c:numFmt formatCode="0.00%" sourceLinked="0"/>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244.83</c:v>
                </c:pt>
                <c:pt idx="1">
                  <c:v>34.64</c:v>
                </c:pt>
              </c:numCache>
            </c:numRef>
          </c:val>
        </c:ser>
        <c:dLbls>
          <c:showLegendKey val="0"/>
          <c:showVal val="0"/>
          <c:showCatName val="0"/>
          <c:showSerName val="0"/>
          <c:showPercent val="1"/>
          <c:showBubbleSize val="0"/>
        </c:dLbls>
      </c:pie3D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财政拨款收、支决算总计变动情况</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收入</c:v>
                </c:pt>
              </c:strCache>
            </c:strRef>
          </c:tx>
          <c:spPr>
            <a:solidFill>
              <a:schemeClr val="accent2"/>
            </a:solidFill>
            <a:ln>
              <a:noFill/>
            </a:ln>
            <a:effectLst/>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2024</c:v>
                </c:pt>
                <c:pt idx="1">
                  <c:v>2025</c:v>
                </c:pt>
              </c:numCache>
            </c:numRef>
          </c:cat>
          <c:val>
            <c:numRef>
              <c:f>Sheet1!$B$2:$B$3</c:f>
              <c:numCache>
                <c:formatCode>General</c:formatCode>
                <c:ptCount val="2"/>
                <c:pt idx="0">
                  <c:v>263.06</c:v>
                </c:pt>
                <c:pt idx="1" c:formatCode="#,##0.00">
                  <c:v>279.48</c:v>
                </c:pt>
              </c:numCache>
            </c:numRef>
          </c:val>
        </c:ser>
        <c:ser>
          <c:idx val="1"/>
          <c:order val="1"/>
          <c:tx>
            <c:strRef>
              <c:f>Sheet1!$C$1</c:f>
              <c:strCache>
                <c:ptCount val="1"/>
                <c:pt idx="0">
                  <c:v>支出</c:v>
                </c:pt>
              </c:strCache>
            </c:strRef>
          </c:tx>
          <c:spPr>
            <a:solidFill>
              <a:schemeClr val="accent4"/>
            </a:solidFill>
            <a:ln>
              <a:noFill/>
            </a:ln>
            <a:effectLst/>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2024</c:v>
                </c:pt>
                <c:pt idx="1">
                  <c:v>2025</c:v>
                </c:pt>
              </c:numCache>
            </c:numRef>
          </c:cat>
          <c:val>
            <c:numRef>
              <c:f>Sheet1!$C$2:$C$3</c:f>
              <c:numCache>
                <c:formatCode>General</c:formatCode>
                <c:ptCount val="2"/>
                <c:pt idx="0">
                  <c:v>263.06</c:v>
                </c:pt>
                <c:pt idx="1" c:formatCode="#,##0.00">
                  <c:v>279.48</c:v>
                </c:pt>
              </c:numCache>
            </c:numRef>
          </c:val>
        </c:ser>
        <c:dLbls>
          <c:showLegendKey val="0"/>
          <c:showVal val="1"/>
          <c:showCatName val="0"/>
          <c:showSerName val="0"/>
          <c:showPercent val="0"/>
          <c:showBubbleSize val="0"/>
        </c:dLbls>
        <c:gapWidth val="150"/>
        <c:overlap val="-25"/>
        <c:axId val="186616226"/>
        <c:axId val="383551028"/>
      </c:barChart>
      <c:catAx>
        <c:axId val="186616226"/>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83551028"/>
        <c:crosses val="autoZero"/>
        <c:auto val="1"/>
        <c:lblAlgn val="ctr"/>
        <c:lblOffset val="100"/>
        <c:noMultiLvlLbl val="0"/>
      </c:catAx>
      <c:valAx>
        <c:axId val="383551028"/>
        <c:scaling>
          <c:orientation val="minMax"/>
          <c:min val="0"/>
        </c:scaling>
        <c:delete val="1"/>
        <c:axPos val="l"/>
        <c:numFmt formatCode="General" sourceLinked="1"/>
        <c:majorTickMark val="out"/>
        <c:minorTickMark val="none"/>
        <c:tickLblPos val="nextTo"/>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86616226"/>
        <c:crosses val="autoZero"/>
        <c:crossBetween val="between"/>
      </c:valAx>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一般公共预算财政拨款支出决算变动情况</a:t>
            </a:r>
          </a:p>
        </c:rich>
      </c:tx>
      <c:layout>
        <c:manualLayout>
          <c:xMode val="edge"/>
          <c:yMode val="edge"/>
          <c:x val="0.124705188679245"/>
          <c:y val="0.0429988974641676"/>
        </c:manualLayout>
      </c:layout>
      <c:overlay val="0"/>
      <c:spPr>
        <a:noFill/>
        <a:ln>
          <a:noFill/>
        </a:ln>
        <a:effectLst/>
      </c:spPr>
    </c:title>
    <c:autoTitleDeleted val="0"/>
    <c:plotArea>
      <c:layout>
        <c:manualLayout>
          <c:layoutTarget val="inner"/>
          <c:xMode val="edge"/>
          <c:yMode val="edge"/>
          <c:x val="0.0683372641509434"/>
          <c:y val="0.209922822491731"/>
          <c:w val="0.77408608490566"/>
          <c:h val="0.725336273428887"/>
        </c:manualLayout>
      </c:layout>
      <c:barChart>
        <c:barDir val="col"/>
        <c:grouping val="clustered"/>
        <c:varyColors val="0"/>
        <c:ser>
          <c:idx val="0"/>
          <c:order val="0"/>
          <c:tx>
            <c:strRef>
              <c:f>Sheet1!$B$1</c:f>
              <c:strCache>
                <c:ptCount val="1"/>
                <c:pt idx="0">
                  <c:v>支出</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2024</c:v>
                </c:pt>
                <c:pt idx="1">
                  <c:v>2025</c:v>
                </c:pt>
              </c:numCache>
            </c:numRef>
          </c:cat>
          <c:val>
            <c:numRef>
              <c:f>Sheet1!$B$2:$B$3</c:f>
              <c:numCache>
                <c:formatCode>General</c:formatCode>
                <c:ptCount val="2"/>
                <c:pt idx="0">
                  <c:v>263.06</c:v>
                </c:pt>
                <c:pt idx="1" c:formatCode="#,##0.00">
                  <c:v>279.48</c:v>
                </c:pt>
              </c:numCache>
            </c:numRef>
          </c:val>
        </c:ser>
        <c:dLbls>
          <c:showLegendKey val="0"/>
          <c:showVal val="1"/>
          <c:showCatName val="0"/>
          <c:showSerName val="0"/>
          <c:showPercent val="0"/>
          <c:showBubbleSize val="0"/>
        </c:dLbls>
        <c:gapWidth val="219"/>
        <c:overlap val="-27"/>
        <c:axId val="241439377"/>
        <c:axId val="437252374"/>
      </c:barChart>
      <c:catAx>
        <c:axId val="241439377"/>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37252374"/>
        <c:crosses val="autoZero"/>
        <c:auto val="1"/>
        <c:lblAlgn val="ctr"/>
        <c:lblOffset val="100"/>
        <c:noMultiLvlLbl val="0"/>
      </c:catAx>
      <c:valAx>
        <c:axId val="437252374"/>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41439377"/>
        <c:crosses val="autoZero"/>
        <c:crossBetween val="between"/>
      </c:valAx>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altLang="en-US"/>
              <a:t>一般公共预算财政拨款支出决算结构</a:t>
            </a:r>
            <a:endParaRPr altLang="en-US"/>
          </a:p>
        </c:rich>
      </c:tx>
      <c:layout/>
      <c:overlay val="0"/>
      <c:spPr>
        <a:noFill/>
        <a:ln>
          <a:noFill/>
        </a:ln>
        <a:effectLst/>
      </c:spPr>
    </c:title>
    <c:autoTitleDeleted val="0"/>
    <c:plotArea>
      <c:layout/>
      <c:pieChart>
        <c:varyColors val="1"/>
        <c:ser>
          <c:idx val="0"/>
          <c:order val="0"/>
          <c:tx>
            <c:strRef>
              <c:f>Sheet1!$B$1</c:f>
              <c:strCache>
                <c:ptCount val="1"/>
                <c:pt idx="0">
                  <c:v>销售额</c:v>
                </c:pt>
              </c:strCache>
            </c:strRef>
          </c:tx>
          <c:spPr/>
          <c:explosion val="0"/>
          <c:dPt>
            <c:idx val="0"/>
            <c:bubble3D val="0"/>
            <c:spPr>
              <a:solidFill>
                <a:schemeClr val="accent6"/>
              </a:solidFill>
              <a:ln w="19050">
                <a:solidFill>
                  <a:schemeClr val="lt1"/>
                </a:solidFill>
              </a:ln>
              <a:effectLst/>
            </c:spPr>
          </c:dPt>
          <c:dPt>
            <c:idx val="1"/>
            <c:bubble3D val="0"/>
            <c:spPr>
              <a:solidFill>
                <a:schemeClr val="accent5"/>
              </a:solidFill>
              <a:ln w="19050">
                <a:solidFill>
                  <a:schemeClr val="lt1"/>
                </a:solidFill>
              </a:ln>
              <a:effectLst/>
            </c:spPr>
          </c:dPt>
          <c:dPt>
            <c:idx val="2"/>
            <c:bubble3D val="0"/>
            <c:spPr>
              <a:solidFill>
                <a:schemeClr val="accent4"/>
              </a:solidFill>
              <a:ln w="19050">
                <a:solidFill>
                  <a:schemeClr val="lt1"/>
                </a:solidFill>
              </a:ln>
              <a:effectLst/>
            </c:spPr>
          </c:dPt>
          <c:dPt>
            <c:idx val="3"/>
            <c:bubble3D val="0"/>
            <c:spPr>
              <a:solidFill>
                <a:schemeClr val="accent6">
                  <a:lumMod val="60000"/>
                </a:schemeClr>
              </a:solidFill>
              <a:ln w="19050">
                <a:solidFill>
                  <a:schemeClr val="lt1"/>
                </a:solidFill>
              </a:ln>
              <a:effectLst/>
            </c:spPr>
          </c:dPt>
          <c:dLbls>
            <c:dLbl>
              <c:idx val="3"/>
              <c:layout>
                <c:manualLayout>
                  <c:x val="0.0386594149639865"/>
                  <c:y val="-0.00551267916207277"/>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numFmt formatCode="0.00%" sourceLinked="0"/>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一般公共服务支出</c:v>
                </c:pt>
                <c:pt idx="1">
                  <c:v>社会保障和就业支出</c:v>
                </c:pt>
                <c:pt idx="2">
                  <c:v>卫生健康支出</c:v>
                </c:pt>
                <c:pt idx="3">
                  <c:v>住房保障支出</c:v>
                </c:pt>
              </c:strCache>
            </c:strRef>
          </c:cat>
          <c:val>
            <c:numRef>
              <c:f>Sheet1!$B$2:$B$5</c:f>
              <c:numCache>
                <c:formatCode>#,##0.00</c:formatCode>
                <c:ptCount val="4"/>
                <c:pt idx="0">
                  <c:v>215.57</c:v>
                </c:pt>
                <c:pt idx="1" c:formatCode="General">
                  <c:v>33.8</c:v>
                </c:pt>
                <c:pt idx="2" c:formatCode="General">
                  <c:v>12.08</c:v>
                </c:pt>
                <c:pt idx="3" c:formatCode="General">
                  <c:v>18.02</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8"/>
    </mc:Choice>
    <mc:Fallback>
      <c:style val="8"/>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“三公”经费财政拨款支出结构</c:v>
                </c:pt>
              </c:strCache>
            </c:strRef>
          </c:tx>
          <c:spPr/>
          <c:explosion val="0"/>
          <c:dPt>
            <c:idx val="0"/>
            <c:bubble3D val="0"/>
            <c:spPr>
              <a:solidFill>
                <a:schemeClr val="accent6"/>
              </a:solidFill>
              <a:ln w="19050">
                <a:solidFill>
                  <a:schemeClr val="lt1"/>
                </a:solidFill>
              </a:ln>
              <a:effectLst/>
            </c:spPr>
          </c:dPt>
          <c:dLbls>
            <c:numFmt formatCode="0.00%" sourceLinked="0"/>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公务接待费</c:v>
                </c:pt>
              </c:strCache>
            </c:strRef>
          </c:cat>
          <c:val>
            <c:numRef>
              <c:f>Sheet1!$B$2</c:f>
              <c:numCache>
                <c:formatCode>General</c:formatCode>
                <c:ptCount val="1"/>
                <c:pt idx="0">
                  <c:v>0.15</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6">
  <a:schemeClr val="accent3"/>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withinLinear" id="16">
  <a:schemeClr val="accent3"/>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withinLinear" id="19">
  <a:schemeClr val="accent6"/>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23</Pages>
  <Words>1299</Words>
  <Characters>7410</Characters>
  <Lines>61</Lines>
  <Paragraphs>17</Paragraphs>
  <TotalTime>2</TotalTime>
  <ScaleCrop>false</ScaleCrop>
  <LinksUpToDate>false</LinksUpToDate>
  <CharactersWithSpaces>8692</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2020-08-08T17:49:00Z</dcterms:created>
  <dc:creator>曹颖</dc:creator>
  <cp:lastModifiedBy>Administrator</cp:lastModifiedBy>
  <cp:lastPrinted>2026-08-03T09:27:00Z</cp:lastPrinted>
  <dcterms:modified xsi:type="dcterms:W3CDTF">2026-10-26T02:09:50Z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400D301575C74348A5277D00A7902E06</vt:lpwstr>
  </property>
</Properties>
</file>