
<file path=[Content_Types].xml><?xml version="1.0" encoding="utf-8"?>
<Types xmlns="http://schemas.openxmlformats.org/package/2006/content-types">
  <Default Extension="xlsx" ContentType="application/vnd.openxmlformats-officedocument.spreadsheetml.shee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8341F6">
      <w:pPr>
        <w:spacing w:line="600" w:lineRule="exact"/>
        <w:jc w:val="center"/>
        <w:outlineLvl w:val="9"/>
        <w:rPr>
          <w:rFonts w:ascii="方正小标宋简体" w:eastAsia="方正小标宋简体"/>
          <w:sz w:val="72"/>
          <w:szCs w:val="72"/>
        </w:rPr>
      </w:pPr>
      <w:bookmarkStart w:id="0" w:name="_Toc15306267"/>
      <w:bookmarkStart w:id="1" w:name="_Toc15377193"/>
      <w:bookmarkStart w:id="2" w:name="_Toc15396597"/>
      <w:bookmarkStart w:id="3" w:name="_Toc15378441"/>
      <w:bookmarkStart w:id="4" w:name="_Toc15396475"/>
      <w:bookmarkStart w:id="5" w:name="_Toc15377425"/>
    </w:p>
    <w:p w14:paraId="7D9FCE6A">
      <w:pPr>
        <w:spacing w:line="600" w:lineRule="exact"/>
        <w:jc w:val="center"/>
        <w:outlineLvl w:val="9"/>
        <w:rPr>
          <w:rFonts w:ascii="方正小标宋简体" w:eastAsia="方正小标宋简体"/>
          <w:sz w:val="72"/>
          <w:szCs w:val="72"/>
        </w:rPr>
      </w:pPr>
    </w:p>
    <w:p w14:paraId="103EC1E4">
      <w:pPr>
        <w:spacing w:line="600" w:lineRule="exact"/>
        <w:jc w:val="center"/>
        <w:outlineLvl w:val="9"/>
        <w:rPr>
          <w:rFonts w:ascii="方正小标宋简体" w:eastAsia="方正小标宋简体"/>
          <w:sz w:val="72"/>
          <w:szCs w:val="72"/>
        </w:rPr>
      </w:pPr>
    </w:p>
    <w:bookmarkEnd w:id="0"/>
    <w:bookmarkEnd w:id="1"/>
    <w:bookmarkEnd w:id="2"/>
    <w:bookmarkEnd w:id="3"/>
    <w:bookmarkEnd w:id="4"/>
    <w:bookmarkEnd w:id="5"/>
    <w:p w14:paraId="6AD97D8D">
      <w:pPr>
        <w:pStyle w:val="17"/>
        <w:keepNext w:val="0"/>
        <w:keepLines w:val="0"/>
        <w:widowControl/>
        <w:suppressLineNumbers w:val="0"/>
        <w:ind w:left="0" w:right="75"/>
        <w:jc w:val="center"/>
        <w:rPr>
          <w:rFonts w:hint="eastAsia" w:ascii="方正小标宋简体" w:hAnsi="方正小标宋简体" w:eastAsia="方正小标宋简体" w:cs="方正小标宋简体"/>
          <w:sz w:val="44"/>
          <w:szCs w:val="44"/>
        </w:rPr>
      </w:pPr>
      <w:r>
        <w:rPr>
          <w:rStyle w:val="20"/>
          <w:rFonts w:hint="eastAsia" w:ascii="方正小标宋简体" w:hAnsi="方正小标宋简体" w:eastAsia="方正小标宋简体" w:cs="方正小标宋简体"/>
          <w:sz w:val="44"/>
          <w:szCs w:val="44"/>
          <w:shd w:val="clear" w:color="auto" w:fill="FFFFFF"/>
        </w:rPr>
        <w:t>202</w:t>
      </w:r>
      <w:r>
        <w:rPr>
          <w:rStyle w:val="20"/>
          <w:rFonts w:hint="eastAsia" w:ascii="方正小标宋简体" w:hAnsi="方正小标宋简体" w:eastAsia="方正小标宋简体" w:cs="方正小标宋简体"/>
          <w:sz w:val="44"/>
          <w:szCs w:val="44"/>
          <w:shd w:val="clear" w:color="auto" w:fill="FFFFFF"/>
          <w:lang w:val="en-US" w:eastAsia="zh-CN"/>
        </w:rPr>
        <w:t>5</w:t>
      </w:r>
      <w:r>
        <w:rPr>
          <w:rStyle w:val="20"/>
          <w:rFonts w:hint="eastAsia" w:ascii="方正小标宋简体" w:hAnsi="方正小标宋简体" w:eastAsia="方正小标宋简体" w:cs="方正小标宋简体"/>
          <w:sz w:val="44"/>
          <w:szCs w:val="44"/>
          <w:shd w:val="clear" w:color="auto" w:fill="FFFFFF"/>
        </w:rPr>
        <w:t>年度</w:t>
      </w:r>
    </w:p>
    <w:p w14:paraId="7B76F89F">
      <w:pPr>
        <w:pStyle w:val="17"/>
        <w:keepNext w:val="0"/>
        <w:keepLines w:val="0"/>
        <w:widowControl/>
        <w:suppressLineNumbers w:val="0"/>
        <w:ind w:left="0" w:right="75"/>
        <w:jc w:val="center"/>
        <w:rPr>
          <w:rStyle w:val="20"/>
          <w:rFonts w:hint="eastAsia" w:ascii="方正小标宋简体" w:hAnsi="方正小标宋简体" w:eastAsia="方正小标宋简体" w:cs="方正小标宋简体"/>
          <w:sz w:val="44"/>
          <w:szCs w:val="44"/>
          <w:shd w:val="clear" w:color="auto" w:fill="FFFFFF"/>
          <w:lang w:val="en-US" w:eastAsia="zh-CN"/>
        </w:rPr>
      </w:pPr>
      <w:r>
        <w:rPr>
          <w:rStyle w:val="20"/>
          <w:rFonts w:hint="eastAsia" w:ascii="方正小标宋简体" w:hAnsi="方正小标宋简体" w:eastAsia="方正小标宋简体" w:cs="方正小标宋简体"/>
          <w:sz w:val="44"/>
          <w:szCs w:val="44"/>
          <w:shd w:val="clear" w:color="auto" w:fill="FFFFFF"/>
        </w:rPr>
        <w:t>红原县</w:t>
      </w:r>
      <w:r>
        <w:rPr>
          <w:rStyle w:val="20"/>
          <w:rFonts w:hint="eastAsia" w:ascii="方正小标宋简体" w:hAnsi="方正小标宋简体" w:eastAsia="方正小标宋简体" w:cs="方正小标宋简体"/>
          <w:sz w:val="44"/>
          <w:szCs w:val="44"/>
          <w:shd w:val="clear" w:color="auto" w:fill="FFFFFF"/>
          <w:lang w:val="en-US" w:eastAsia="zh-CN"/>
        </w:rPr>
        <w:t>行政审批和政务服务管理局</w:t>
      </w:r>
    </w:p>
    <w:p w14:paraId="0E2A4048">
      <w:pPr>
        <w:pStyle w:val="17"/>
        <w:keepNext w:val="0"/>
        <w:keepLines w:val="0"/>
        <w:widowControl/>
        <w:suppressLineNumbers w:val="0"/>
        <w:ind w:left="0" w:right="75"/>
        <w:jc w:val="center"/>
        <w:rPr>
          <w:rFonts w:hint="eastAsia" w:ascii="方正小标宋简体" w:hAnsi="方正小标宋简体" w:eastAsia="方正小标宋简体" w:cs="方正小标宋简体"/>
          <w:sz w:val="44"/>
          <w:szCs w:val="44"/>
          <w:lang w:eastAsia="zh-CN"/>
        </w:rPr>
      </w:pPr>
      <w:r>
        <w:rPr>
          <w:rStyle w:val="20"/>
          <w:rFonts w:hint="eastAsia" w:ascii="方正小标宋简体" w:hAnsi="方正小标宋简体" w:eastAsia="方正小标宋简体" w:cs="方正小标宋简体"/>
          <w:sz w:val="44"/>
          <w:szCs w:val="44"/>
          <w:shd w:val="clear" w:color="auto" w:fill="FFFFFF"/>
        </w:rPr>
        <w:t>部门决算</w:t>
      </w:r>
      <w:r>
        <w:rPr>
          <w:rStyle w:val="20"/>
          <w:rFonts w:hint="eastAsia" w:ascii="方正小标宋简体" w:hAnsi="方正小标宋简体" w:eastAsia="方正小标宋简体" w:cs="方正小标宋简体"/>
          <w:sz w:val="44"/>
          <w:szCs w:val="44"/>
          <w:shd w:val="clear" w:color="auto" w:fill="FFFFFF"/>
          <w:lang w:eastAsia="zh-CN"/>
        </w:rPr>
        <w:t>公开编制说明</w:t>
      </w:r>
    </w:p>
    <w:p w14:paraId="51225315">
      <w:pPr>
        <w:widowControl/>
        <w:jc w:val="center"/>
        <w:rPr>
          <w:rFonts w:ascii="方正小标宋简体" w:eastAsia="方正小标宋简体"/>
          <w:sz w:val="36"/>
          <w:szCs w:val="36"/>
        </w:rPr>
      </w:pPr>
    </w:p>
    <w:p w14:paraId="42B232DE">
      <w:pPr>
        <w:widowControl/>
        <w:jc w:val="center"/>
        <w:rPr>
          <w:rFonts w:ascii="方正小标宋简体" w:eastAsia="方正小标宋简体"/>
          <w:sz w:val="36"/>
          <w:szCs w:val="36"/>
        </w:rPr>
      </w:pPr>
    </w:p>
    <w:p w14:paraId="31A6D3C4">
      <w:pPr>
        <w:widowControl/>
        <w:jc w:val="center"/>
        <w:rPr>
          <w:rFonts w:ascii="方正小标宋简体" w:eastAsia="方正小标宋简体"/>
          <w:sz w:val="36"/>
          <w:szCs w:val="36"/>
        </w:rPr>
      </w:pPr>
    </w:p>
    <w:p w14:paraId="6596C00A">
      <w:pPr>
        <w:widowControl/>
        <w:jc w:val="center"/>
        <w:rPr>
          <w:rFonts w:ascii="方正小标宋简体" w:eastAsia="方正小标宋简体"/>
          <w:sz w:val="36"/>
          <w:szCs w:val="36"/>
        </w:rPr>
      </w:pPr>
    </w:p>
    <w:p w14:paraId="444B21B6">
      <w:pPr>
        <w:widowControl/>
        <w:jc w:val="center"/>
        <w:rPr>
          <w:rFonts w:ascii="方正小标宋简体" w:eastAsia="方正小标宋简体"/>
          <w:sz w:val="36"/>
          <w:szCs w:val="36"/>
        </w:rPr>
      </w:pPr>
    </w:p>
    <w:p w14:paraId="64EE0B69">
      <w:pPr>
        <w:widowControl/>
        <w:jc w:val="center"/>
        <w:rPr>
          <w:rFonts w:ascii="方正小标宋简体" w:eastAsia="方正小标宋简体"/>
          <w:sz w:val="36"/>
          <w:szCs w:val="36"/>
        </w:rPr>
      </w:pPr>
    </w:p>
    <w:p w14:paraId="0BAFC6A1">
      <w:pPr>
        <w:widowControl/>
        <w:jc w:val="center"/>
        <w:rPr>
          <w:rFonts w:ascii="方正小标宋简体" w:eastAsia="方正小标宋简体"/>
          <w:sz w:val="36"/>
          <w:szCs w:val="36"/>
        </w:rPr>
      </w:pPr>
    </w:p>
    <w:p w14:paraId="392DA010">
      <w:pPr>
        <w:widowControl/>
        <w:jc w:val="center"/>
        <w:rPr>
          <w:rFonts w:ascii="方正小标宋简体" w:eastAsia="方正小标宋简体"/>
          <w:sz w:val="36"/>
          <w:szCs w:val="36"/>
        </w:rPr>
      </w:pPr>
    </w:p>
    <w:p w14:paraId="66318DC9">
      <w:pPr>
        <w:pStyle w:val="9"/>
        <w:rPr>
          <w:rFonts w:ascii="方正小标宋简体" w:eastAsia="方正小标宋简体"/>
          <w:sz w:val="36"/>
          <w:szCs w:val="36"/>
        </w:rPr>
      </w:pPr>
    </w:p>
    <w:p w14:paraId="46E07676">
      <w:pPr>
        <w:pStyle w:val="10"/>
        <w:rPr>
          <w:rFonts w:ascii="方正小标宋简体" w:eastAsia="方正小标宋简体"/>
          <w:sz w:val="36"/>
          <w:szCs w:val="36"/>
        </w:rPr>
      </w:pPr>
    </w:p>
    <w:p w14:paraId="1607193B">
      <w:pPr>
        <w:pStyle w:val="10"/>
        <w:rPr>
          <w:rFonts w:ascii="方正小标宋简体" w:eastAsia="方正小标宋简体"/>
          <w:sz w:val="36"/>
          <w:szCs w:val="36"/>
        </w:rPr>
      </w:pPr>
    </w:p>
    <w:p w14:paraId="61535562">
      <w:pPr>
        <w:pStyle w:val="17"/>
        <w:keepNext w:val="0"/>
        <w:keepLines w:val="0"/>
        <w:widowControl/>
        <w:suppressLineNumbers w:val="0"/>
        <w:ind w:left="0" w:right="75"/>
        <w:jc w:val="left"/>
      </w:pPr>
      <w:r>
        <w:rPr>
          <w:sz w:val="24"/>
          <w:szCs w:val="24"/>
          <w:shd w:val="clear" w:color="auto" w:fill="FFFFFF"/>
        </w:rPr>
        <w:t>保密审查情况：已审查，内容审定</w:t>
      </w:r>
    </w:p>
    <w:p w14:paraId="733B1CA5">
      <w:pPr>
        <w:pStyle w:val="17"/>
        <w:keepNext w:val="0"/>
        <w:keepLines w:val="0"/>
        <w:widowControl/>
        <w:suppressLineNumbers w:val="0"/>
        <w:ind w:left="0" w:right="75"/>
        <w:jc w:val="left"/>
        <w:rPr>
          <w:rStyle w:val="20"/>
          <w:sz w:val="30"/>
          <w:szCs w:val="30"/>
          <w:shd w:val="clear" w:color="auto" w:fill="FFFFFF"/>
        </w:rPr>
        <w:sectPr>
          <w:pgSz w:w="11906" w:h="16838"/>
          <w:pgMar w:top="1440" w:right="1800" w:bottom="1440" w:left="1800" w:header="851" w:footer="992" w:gutter="0"/>
          <w:cols w:space="720" w:num="1"/>
          <w:docGrid w:type="lines" w:linePitch="312" w:charSpace="0"/>
        </w:sectPr>
      </w:pPr>
      <w:r>
        <w:rPr>
          <w:sz w:val="24"/>
          <w:szCs w:val="24"/>
          <w:shd w:val="clear" w:color="auto" w:fill="FFFFFF"/>
        </w:rPr>
        <w:t>部门主要负责人审签情况：已审签，同意对外公开</w:t>
      </w:r>
    </w:p>
    <w:p w14:paraId="1AAFAF4F">
      <w:pPr>
        <w:widowControl/>
        <w:jc w:val="center"/>
        <w:rPr>
          <w:rFonts w:ascii="黑体" w:eastAsia="黑体"/>
          <w:sz w:val="48"/>
          <w:szCs w:val="48"/>
        </w:rPr>
      </w:pPr>
      <w:r>
        <w:rPr>
          <w:rFonts w:hint="eastAsia" w:ascii="黑体" w:eastAsia="黑体"/>
          <w:sz w:val="48"/>
          <w:szCs w:val="48"/>
        </w:rPr>
        <w:t>目录</w:t>
      </w:r>
    </w:p>
    <w:p w14:paraId="6FFF4AB9">
      <w:pPr>
        <w:widowControl/>
        <w:jc w:val="center"/>
        <w:rPr>
          <w:rFonts w:ascii="黑体" w:eastAsia="黑体" w:cs="Arial"/>
          <w:sz w:val="28"/>
          <w:szCs w:val="28"/>
        </w:rPr>
      </w:pPr>
    </w:p>
    <w:p w14:paraId="767CDBDA">
      <w:pPr>
        <w:pStyle w:val="15"/>
      </w:pPr>
      <w:r>
        <w:rPr>
          <w:rFonts w:hint="eastAsia"/>
        </w:rPr>
        <w:t>公开时间：202</w:t>
      </w:r>
      <w:r>
        <w:rPr>
          <w:rFonts w:hint="eastAsia"/>
          <w:lang w:val="en-US" w:eastAsia="zh-CN"/>
        </w:rPr>
        <w:t>6</w:t>
      </w:r>
      <w:r>
        <w:rPr>
          <w:rFonts w:hint="eastAsia"/>
        </w:rPr>
        <w:t>年</w:t>
      </w:r>
      <w:r>
        <w:rPr>
          <w:rFonts w:hint="eastAsia"/>
          <w:lang w:val="en-US" w:eastAsia="zh-CN"/>
        </w:rPr>
        <w:t>10</w:t>
      </w:r>
      <w:r>
        <w:rPr>
          <w:rFonts w:hint="eastAsia"/>
        </w:rPr>
        <w:t>月</w:t>
      </w:r>
      <w:r>
        <w:rPr>
          <w:rFonts w:hint="eastAsia"/>
          <w:lang w:val="en-US" w:eastAsia="zh-CN"/>
        </w:rPr>
        <w:t>15</w:t>
      </w:r>
      <w:r>
        <w:rPr>
          <w:rFonts w:hint="eastAsia"/>
        </w:rPr>
        <w:t>日</w:t>
      </w:r>
    </w:p>
    <w:p w14:paraId="3E615BFC"/>
    <w:sdt>
      <w:sdtPr>
        <w:rPr>
          <w:rFonts w:ascii="宋体" w:hAnsi="宋体" w:eastAsia="宋体" w:cs="Times New Roman"/>
          <w:kern w:val="2"/>
          <w:sz w:val="21"/>
          <w:szCs w:val="24"/>
          <w:lang w:val="en-US" w:eastAsia="zh-CN" w:bidi="ar-SA"/>
        </w:rPr>
        <w:id w:val="147451071"/>
        <w15:color w:val="DBDBDB"/>
        <w:docPartObj>
          <w:docPartGallery w:val="Table of Contents"/>
          <w:docPartUnique/>
        </w:docPartObj>
      </w:sdtPr>
      <w:sdtEndPr>
        <w:rPr>
          <w:rFonts w:hint="eastAsia" w:ascii="仿宋_GB2312" w:hAnsi="仿宋_GB2312" w:eastAsia="仿宋_GB2312" w:cs="仿宋_GB2312"/>
          <w:b/>
          <w:color w:val="auto"/>
          <w:kern w:val="2"/>
          <w:sz w:val="28"/>
          <w:szCs w:val="28"/>
          <w:lang w:val="en-US" w:eastAsia="zh-CN" w:bidi="ar-SA"/>
        </w:rPr>
      </w:sdtEndPr>
      <w:sdtContent>
        <w:p w14:paraId="2C333AA2">
          <w:pPr>
            <w:spacing w:before="0" w:beforeLines="0" w:after="0" w:afterLines="0" w:line="240" w:lineRule="auto"/>
            <w:ind w:left="0" w:leftChars="0" w:right="0" w:rightChars="0" w:firstLine="0" w:firstLineChars="0"/>
            <w:jc w:val="center"/>
          </w:pPr>
          <w:bookmarkStart w:id="6" w:name="_Toc15377196"/>
          <w:bookmarkStart w:id="7" w:name="_Toc15396599"/>
        </w:p>
        <w:p w14:paraId="25858841">
          <w:pPr>
            <w:pStyle w:val="15"/>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color w:val="auto"/>
              <w:sz w:val="28"/>
              <w:szCs w:val="28"/>
            </w:rPr>
            <w:instrText xml:space="preserve">TOC \o "1-2" \h \u </w:instrText>
          </w:r>
          <w:r>
            <w:rPr>
              <w:rFonts w:hint="eastAsia" w:ascii="仿宋_GB2312" w:hAnsi="仿宋_GB2312" w:eastAsia="仿宋_GB2312" w:cs="仿宋_GB2312"/>
              <w:color w:val="auto"/>
              <w:sz w:val="28"/>
              <w:szCs w:val="28"/>
            </w:rPr>
            <w:fldChar w:fldCharType="separate"/>
          </w:r>
          <w:r>
            <w:rPr>
              <w:rFonts w:hint="eastAsia" w:ascii="仿宋_GB2312" w:hAnsi="仿宋_GB2312" w:eastAsia="仿宋_GB2312" w:cs="仿宋_GB2312"/>
              <w:b/>
              <w:bCs/>
              <w:color w:val="auto"/>
              <w:sz w:val="28"/>
              <w:szCs w:val="28"/>
            </w:rPr>
            <w:fldChar w:fldCharType="begin"/>
          </w:r>
          <w:r>
            <w:rPr>
              <w:rFonts w:hint="eastAsia" w:ascii="仿宋_GB2312" w:hAnsi="仿宋_GB2312" w:eastAsia="仿宋_GB2312" w:cs="仿宋_GB2312"/>
              <w:b/>
              <w:bCs/>
              <w:sz w:val="28"/>
              <w:szCs w:val="28"/>
            </w:rPr>
            <w:instrText xml:space="preserve"> HYPERLINK \l _Toc16019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第一部分 部门概况</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_Toc16019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3</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rPr>
            <w:fldChar w:fldCharType="end"/>
          </w:r>
        </w:p>
        <w:p w14:paraId="5DD7F2FB">
          <w:pPr>
            <w:pStyle w:val="16"/>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_Toc31358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sz w:val="28"/>
              <w:szCs w:val="28"/>
            </w:rPr>
            <w:t>一、 部门职责</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_Toc31358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3</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3BAAA308">
          <w:pPr>
            <w:pStyle w:val="16"/>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_Toc13721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sz w:val="28"/>
              <w:szCs w:val="28"/>
            </w:rPr>
            <w:t>二、机构设置</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lang w:val="en-US" w:eastAsia="zh-CN"/>
            </w:rPr>
            <w:t>9</w:t>
          </w:r>
          <w:r>
            <w:rPr>
              <w:rFonts w:hint="eastAsia" w:ascii="仿宋_GB2312" w:hAnsi="仿宋_GB2312" w:eastAsia="仿宋_GB2312" w:cs="仿宋_GB2312"/>
              <w:color w:val="auto"/>
              <w:sz w:val="28"/>
              <w:szCs w:val="28"/>
            </w:rPr>
            <w:fldChar w:fldCharType="end"/>
          </w:r>
        </w:p>
        <w:p w14:paraId="6AE5BE8A">
          <w:pPr>
            <w:pStyle w:val="15"/>
            <w:tabs>
              <w:tab w:val="right" w:leader="dot" w:pos="8306"/>
              <w:tab w:val="clear" w:pos="8296"/>
            </w:tabs>
            <w:rPr>
              <w:rFonts w:hint="eastAsia" w:ascii="仿宋_GB2312" w:hAnsi="仿宋_GB2312" w:eastAsia="仿宋_GB2312" w:cs="仿宋_GB2312"/>
              <w:b/>
              <w:bCs/>
              <w:sz w:val="28"/>
              <w:szCs w:val="28"/>
            </w:rPr>
          </w:pPr>
          <w:r>
            <w:rPr>
              <w:rFonts w:hint="eastAsia" w:ascii="仿宋_GB2312" w:hAnsi="仿宋_GB2312" w:eastAsia="仿宋_GB2312" w:cs="仿宋_GB2312"/>
              <w:b/>
              <w:bCs/>
              <w:color w:val="auto"/>
              <w:sz w:val="28"/>
              <w:szCs w:val="28"/>
            </w:rPr>
            <w:fldChar w:fldCharType="begin"/>
          </w:r>
          <w:r>
            <w:rPr>
              <w:rFonts w:hint="eastAsia" w:ascii="仿宋_GB2312" w:hAnsi="仿宋_GB2312" w:eastAsia="仿宋_GB2312" w:cs="仿宋_GB2312"/>
              <w:b/>
              <w:bCs/>
              <w:sz w:val="28"/>
              <w:szCs w:val="28"/>
            </w:rPr>
            <w:instrText xml:space="preserve"> HYPERLINK \l _Toc16164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第二部分 202</w:t>
          </w:r>
          <w:r>
            <w:rPr>
              <w:rFonts w:hint="eastAsia" w:ascii="仿宋_GB2312" w:hAnsi="仿宋_GB2312" w:eastAsia="仿宋_GB2312" w:cs="仿宋_GB2312"/>
              <w:b/>
              <w:bCs/>
              <w:sz w:val="28"/>
              <w:szCs w:val="28"/>
              <w:lang w:val="en-US" w:eastAsia="zh-CN"/>
            </w:rPr>
            <w:t>5</w:t>
          </w:r>
          <w:r>
            <w:rPr>
              <w:rFonts w:hint="eastAsia" w:ascii="仿宋_GB2312" w:hAnsi="仿宋_GB2312" w:eastAsia="仿宋_GB2312" w:cs="仿宋_GB2312"/>
              <w:b/>
              <w:bCs/>
              <w:sz w:val="28"/>
              <w:szCs w:val="28"/>
            </w:rPr>
            <w:t>年度部门决算情况说明</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_Toc16164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10</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rPr>
            <w:fldChar w:fldCharType="end"/>
          </w:r>
        </w:p>
        <w:p w14:paraId="717D7186">
          <w:pPr>
            <w:pStyle w:val="16"/>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_Toc7064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一、 收入支出决算总体情况说明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_Toc7064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10</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7AF0B2B3">
          <w:pPr>
            <w:pStyle w:val="16"/>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_Toc24050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二、 收入决算情况说明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_Toc24050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0</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7EDED3C4">
          <w:pPr>
            <w:pStyle w:val="16"/>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_Toc1784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三、 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_Toc1784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51B98013">
          <w:pPr>
            <w:pStyle w:val="16"/>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_Toc31432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四、财政拨款收入支出决算总体情况说明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_Toc31432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6D8E5CD4">
          <w:pPr>
            <w:pStyle w:val="16"/>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_Toc17525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五、一般公共预算财政拨款支出决算情况说明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_Toc17525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12</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2B3ABD8C">
          <w:pPr>
            <w:pStyle w:val="16"/>
            <w:tabs>
              <w:tab w:val="right" w:leader="dot" w:pos="8306"/>
              <w:tab w:val="clear" w:pos="8296"/>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_Toc13941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六、一般公共预算财政拨款基本支出决算情况说明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lang w:val="en-US" w:eastAsia="zh-CN"/>
            </w:rPr>
            <w:t>4</w:t>
          </w:r>
        </w:p>
        <w:p w14:paraId="6F4842D6">
          <w:pPr>
            <w:pStyle w:val="16"/>
            <w:tabs>
              <w:tab w:val="right" w:leader="dot" w:pos="8306"/>
              <w:tab w:val="clear" w:pos="8296"/>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_Toc4299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七、财政拨款“三公”经费支出决算情况说明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lang w:val="en-US" w:eastAsia="zh-CN"/>
            </w:rPr>
            <w:t>5</w:t>
          </w:r>
        </w:p>
        <w:p w14:paraId="6C651CF9">
          <w:pPr>
            <w:pStyle w:val="16"/>
            <w:tabs>
              <w:tab w:val="right" w:leader="dot" w:pos="8306"/>
              <w:tab w:val="clear" w:pos="8296"/>
            </w:tabs>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_Toc22646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八、政府性基金预算支出决算情况说明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lang w:val="en-US" w:eastAsia="zh-CN"/>
            </w:rPr>
            <w:t>1</w:t>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lang w:val="en-US" w:eastAsia="zh-CN"/>
            </w:rPr>
            <w:t>7</w:t>
          </w:r>
        </w:p>
        <w:p w14:paraId="7464EBA0">
          <w:pPr>
            <w:pStyle w:val="16"/>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_Toc1631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九、 国有资本经营预算支出决算情况说明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_Toc1631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7</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434A6641">
          <w:pPr>
            <w:pStyle w:val="16"/>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_Toc4892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十、 其他重要事项的情况说明</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_Toc4892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w:t>
          </w:r>
          <w:r>
            <w:rPr>
              <w:rFonts w:hint="eastAsia" w:ascii="仿宋_GB2312" w:hAnsi="仿宋_GB2312" w:eastAsia="仿宋_GB2312" w:cs="仿宋_GB2312"/>
              <w:sz w:val="28"/>
              <w:szCs w:val="28"/>
              <w:lang w:val="en-US" w:eastAsia="zh-CN"/>
            </w:rPr>
            <w:t>7</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65A8FBBE">
          <w:pPr>
            <w:pStyle w:val="15"/>
            <w:tabs>
              <w:tab w:val="right" w:leader="dot" w:pos="8306"/>
              <w:tab w:val="clear" w:pos="8296"/>
            </w:tabs>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color w:val="auto"/>
              <w:sz w:val="28"/>
              <w:szCs w:val="28"/>
            </w:rPr>
            <w:fldChar w:fldCharType="begin"/>
          </w:r>
          <w:r>
            <w:rPr>
              <w:rFonts w:hint="eastAsia" w:ascii="仿宋_GB2312" w:hAnsi="仿宋_GB2312" w:eastAsia="仿宋_GB2312" w:cs="仿宋_GB2312"/>
              <w:b/>
              <w:bCs/>
              <w:sz w:val="28"/>
              <w:szCs w:val="28"/>
            </w:rPr>
            <w:instrText xml:space="preserve"> HYPERLINK \l _Toc31207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第三部分 名词解释</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lang w:val="en-US" w:eastAsia="zh-CN"/>
            </w:rPr>
            <w:t>2</w:t>
          </w:r>
          <w:r>
            <w:rPr>
              <w:rFonts w:hint="eastAsia" w:ascii="仿宋_GB2312" w:hAnsi="仿宋_GB2312" w:eastAsia="仿宋_GB2312" w:cs="仿宋_GB2312"/>
              <w:b/>
              <w:bCs/>
              <w:color w:val="auto"/>
              <w:sz w:val="28"/>
              <w:szCs w:val="28"/>
            </w:rPr>
            <w:fldChar w:fldCharType="end"/>
          </w:r>
          <w:r>
            <w:rPr>
              <w:rFonts w:hint="eastAsia" w:ascii="仿宋_GB2312" w:hAnsi="仿宋_GB2312" w:eastAsia="仿宋_GB2312" w:cs="仿宋_GB2312"/>
              <w:b/>
              <w:bCs/>
              <w:color w:val="auto"/>
              <w:sz w:val="28"/>
              <w:szCs w:val="28"/>
              <w:lang w:val="en-US" w:eastAsia="zh-CN"/>
            </w:rPr>
            <w:t>3</w:t>
          </w:r>
        </w:p>
        <w:p w14:paraId="2ED055B3">
          <w:pPr>
            <w:pStyle w:val="15"/>
            <w:tabs>
              <w:tab w:val="right" w:leader="dot" w:pos="8306"/>
              <w:tab w:val="clear" w:pos="8296"/>
            </w:tabs>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color w:val="auto"/>
              <w:sz w:val="28"/>
              <w:szCs w:val="28"/>
            </w:rPr>
            <w:fldChar w:fldCharType="begin"/>
          </w:r>
          <w:r>
            <w:rPr>
              <w:rFonts w:hint="eastAsia" w:ascii="仿宋_GB2312" w:hAnsi="仿宋_GB2312" w:eastAsia="仿宋_GB2312" w:cs="仿宋_GB2312"/>
              <w:b/>
              <w:bCs/>
              <w:sz w:val="28"/>
              <w:szCs w:val="28"/>
            </w:rPr>
            <w:instrText xml:space="preserve"> HYPERLINK \l _Toc17629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第四部分 附件</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_Toc17629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lang w:val="en-US" w:eastAsia="zh-CN"/>
            </w:rPr>
            <w:t>2</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rPr>
            <w:fldChar w:fldCharType="end"/>
          </w:r>
          <w:r>
            <w:rPr>
              <w:rFonts w:hint="eastAsia" w:ascii="仿宋_GB2312" w:hAnsi="仿宋_GB2312" w:eastAsia="仿宋_GB2312" w:cs="仿宋_GB2312"/>
              <w:b/>
              <w:bCs/>
              <w:color w:val="auto"/>
              <w:sz w:val="28"/>
              <w:szCs w:val="28"/>
              <w:lang w:val="en-US" w:eastAsia="zh-CN"/>
            </w:rPr>
            <w:t>5</w:t>
          </w:r>
        </w:p>
        <w:p w14:paraId="4C9DF8BD">
          <w:pPr>
            <w:pStyle w:val="15"/>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b/>
              <w:bCs/>
              <w:color w:val="auto"/>
              <w:sz w:val="28"/>
              <w:szCs w:val="28"/>
            </w:rPr>
            <w:fldChar w:fldCharType="begin"/>
          </w:r>
          <w:r>
            <w:rPr>
              <w:rFonts w:hint="eastAsia" w:ascii="仿宋_GB2312" w:hAnsi="仿宋_GB2312" w:eastAsia="仿宋_GB2312" w:cs="仿宋_GB2312"/>
              <w:b/>
              <w:bCs/>
              <w:sz w:val="28"/>
              <w:szCs w:val="28"/>
            </w:rPr>
            <w:instrText xml:space="preserve"> HYPERLINK \l _Toc20539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第五部分 附表</w:t>
          </w:r>
          <w:r>
            <w:rPr>
              <w:rFonts w:hint="eastAsia" w:ascii="仿宋_GB2312" w:hAnsi="仿宋_GB2312" w:eastAsia="仿宋_GB2312" w:cs="仿宋_GB2312"/>
              <w:b/>
              <w:bCs/>
              <w:sz w:val="28"/>
              <w:szCs w:val="28"/>
            </w:rPr>
            <w:tab/>
          </w:r>
          <w:r>
            <w:rPr>
              <w:rFonts w:hint="eastAsia" w:ascii="仿宋_GB2312" w:hAnsi="仿宋_GB2312" w:eastAsia="仿宋_GB2312" w:cs="仿宋_GB2312"/>
              <w:b/>
              <w:bCs/>
              <w:sz w:val="28"/>
              <w:szCs w:val="28"/>
            </w:rPr>
            <w:fldChar w:fldCharType="begin"/>
          </w:r>
          <w:r>
            <w:rPr>
              <w:rFonts w:hint="eastAsia" w:ascii="仿宋_GB2312" w:hAnsi="仿宋_GB2312" w:eastAsia="仿宋_GB2312" w:cs="仿宋_GB2312"/>
              <w:b/>
              <w:bCs/>
              <w:sz w:val="28"/>
              <w:szCs w:val="28"/>
            </w:rPr>
            <w:instrText xml:space="preserve"> PAGEREF _Toc20539 \h </w:instrText>
          </w:r>
          <w:r>
            <w:rPr>
              <w:rFonts w:hint="eastAsia" w:ascii="仿宋_GB2312" w:hAnsi="仿宋_GB2312" w:eastAsia="仿宋_GB2312" w:cs="仿宋_GB2312"/>
              <w:b/>
              <w:bCs/>
              <w:sz w:val="28"/>
              <w:szCs w:val="28"/>
            </w:rPr>
            <w:fldChar w:fldCharType="separate"/>
          </w:r>
          <w:r>
            <w:rPr>
              <w:rFonts w:hint="eastAsia" w:ascii="仿宋_GB2312" w:hAnsi="仿宋_GB2312" w:eastAsia="仿宋_GB2312" w:cs="仿宋_GB2312"/>
              <w:b/>
              <w:bCs/>
              <w:sz w:val="28"/>
              <w:szCs w:val="28"/>
            </w:rPr>
            <w:t>3</w:t>
          </w:r>
          <w:r>
            <w:rPr>
              <w:rFonts w:hint="eastAsia" w:ascii="仿宋_GB2312" w:hAnsi="仿宋_GB2312" w:eastAsia="仿宋_GB2312" w:cs="仿宋_GB2312"/>
              <w:b/>
              <w:bCs/>
              <w:sz w:val="28"/>
              <w:szCs w:val="28"/>
              <w:lang w:val="en-US" w:eastAsia="zh-CN"/>
            </w:rPr>
            <w:t>6</w:t>
          </w:r>
          <w:r>
            <w:rPr>
              <w:rFonts w:hint="eastAsia" w:ascii="仿宋_GB2312" w:hAnsi="仿宋_GB2312" w:eastAsia="仿宋_GB2312" w:cs="仿宋_GB2312"/>
              <w:b/>
              <w:bCs/>
              <w:sz w:val="28"/>
              <w:szCs w:val="28"/>
            </w:rPr>
            <w:fldChar w:fldCharType="end"/>
          </w:r>
          <w:r>
            <w:rPr>
              <w:rFonts w:hint="eastAsia" w:ascii="仿宋_GB2312" w:hAnsi="仿宋_GB2312" w:eastAsia="仿宋_GB2312" w:cs="仿宋_GB2312"/>
              <w:b/>
              <w:bCs/>
              <w:color w:val="auto"/>
              <w:sz w:val="28"/>
              <w:szCs w:val="28"/>
            </w:rPr>
            <w:fldChar w:fldCharType="end"/>
          </w:r>
        </w:p>
        <w:p w14:paraId="64F66146">
          <w:pPr>
            <w:pStyle w:val="16"/>
            <w:tabs>
              <w:tab w:val="right" w:leader="dot" w:pos="8306"/>
              <w:tab w:val="clear" w:pos="8296"/>
            </w:tabs>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_Toc7319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一、收</w:t>
          </w:r>
          <w:r>
            <w:rPr>
              <w:rFonts w:hint="eastAsia" w:ascii="仿宋_GB2312" w:hAnsi="仿宋_GB2312" w:eastAsia="仿宋_GB2312" w:cs="仿宋_GB2312"/>
              <w:bCs w:val="0"/>
              <w:sz w:val="28"/>
              <w:szCs w:val="28"/>
            </w:rPr>
            <w:t>入支出决算总表</w:t>
          </w:r>
          <w:r>
            <w:rPr>
              <w:rFonts w:hint="eastAsia" w:ascii="仿宋_GB2312" w:hAnsi="仿宋_GB2312" w:eastAsia="仿宋_GB2312" w:cs="仿宋_GB2312"/>
              <w:sz w:val="28"/>
              <w:szCs w:val="28"/>
            </w:rPr>
            <w:tab/>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lang w:val="en-US" w:eastAsia="zh-CN"/>
            </w:rPr>
            <w:t>36</w:t>
          </w:r>
        </w:p>
        <w:p w14:paraId="35BBCE72">
          <w:pPr>
            <w:pStyle w:val="16"/>
            <w:tabs>
              <w:tab w:val="right" w:leader="dot" w:pos="8306"/>
              <w:tab w:val="clear" w:pos="8296"/>
            </w:tabs>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_Toc31354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二、收</w:t>
          </w:r>
          <w:r>
            <w:rPr>
              <w:rFonts w:hint="eastAsia" w:ascii="仿宋_GB2312" w:hAnsi="仿宋_GB2312" w:eastAsia="仿宋_GB2312" w:cs="仿宋_GB2312"/>
              <w:bCs w:val="0"/>
              <w:sz w:val="28"/>
              <w:szCs w:val="28"/>
            </w:rPr>
            <w:t>入决算表</w:t>
          </w:r>
          <w:r>
            <w:rPr>
              <w:rFonts w:hint="eastAsia" w:ascii="仿宋_GB2312" w:hAnsi="仿宋_GB2312" w:eastAsia="仿宋_GB2312" w:cs="仿宋_GB2312"/>
              <w:sz w:val="28"/>
              <w:szCs w:val="28"/>
            </w:rPr>
            <w:tab/>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lang w:val="en-US" w:eastAsia="zh-CN"/>
            </w:rPr>
            <w:t>36</w:t>
          </w:r>
        </w:p>
        <w:p w14:paraId="6F94D113">
          <w:pPr>
            <w:pStyle w:val="16"/>
            <w:tabs>
              <w:tab w:val="right" w:leader="dot" w:pos="8306"/>
              <w:tab w:val="clear" w:pos="8296"/>
            </w:tabs>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_Toc24023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三、</w:t>
          </w:r>
          <w:r>
            <w:rPr>
              <w:rFonts w:hint="eastAsia" w:ascii="仿宋_GB2312" w:hAnsi="仿宋_GB2312" w:eastAsia="仿宋_GB2312" w:cs="仿宋_GB2312"/>
              <w:sz w:val="28"/>
              <w:szCs w:val="28"/>
            </w:rPr>
            <w:t>支</w:t>
          </w:r>
          <w:r>
            <w:rPr>
              <w:rFonts w:hint="eastAsia" w:ascii="仿宋_GB2312" w:hAnsi="仿宋_GB2312" w:eastAsia="仿宋_GB2312" w:cs="仿宋_GB2312"/>
              <w:bCs w:val="0"/>
              <w:sz w:val="28"/>
              <w:szCs w:val="28"/>
            </w:rPr>
            <w:t>出决算表</w:t>
          </w:r>
          <w:r>
            <w:rPr>
              <w:rFonts w:hint="eastAsia" w:ascii="仿宋_GB2312" w:hAnsi="仿宋_GB2312" w:eastAsia="仿宋_GB2312" w:cs="仿宋_GB2312"/>
              <w:sz w:val="28"/>
              <w:szCs w:val="28"/>
            </w:rPr>
            <w:tab/>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lang w:val="en-US" w:eastAsia="zh-CN"/>
            </w:rPr>
            <w:t>36</w:t>
          </w:r>
        </w:p>
        <w:p w14:paraId="74DCC880">
          <w:pPr>
            <w:pStyle w:val="16"/>
            <w:tabs>
              <w:tab w:val="right" w:leader="dot" w:pos="8306"/>
              <w:tab w:val="clear" w:pos="8296"/>
            </w:tabs>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_Toc10976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四、</w:t>
          </w:r>
          <w:r>
            <w:rPr>
              <w:rFonts w:hint="eastAsia" w:ascii="仿宋_GB2312" w:hAnsi="仿宋_GB2312" w:eastAsia="仿宋_GB2312" w:cs="仿宋_GB2312"/>
              <w:sz w:val="28"/>
              <w:szCs w:val="28"/>
            </w:rPr>
            <w:t>财</w:t>
          </w:r>
          <w:r>
            <w:rPr>
              <w:rFonts w:hint="eastAsia" w:ascii="仿宋_GB2312" w:hAnsi="仿宋_GB2312" w:eastAsia="仿宋_GB2312" w:cs="仿宋_GB2312"/>
              <w:bCs w:val="0"/>
              <w:sz w:val="28"/>
              <w:szCs w:val="28"/>
            </w:rPr>
            <w:t>政拨款收入支出决算总表</w:t>
          </w:r>
          <w:r>
            <w:rPr>
              <w:rFonts w:hint="eastAsia" w:ascii="仿宋_GB2312" w:hAnsi="仿宋_GB2312" w:eastAsia="仿宋_GB2312" w:cs="仿宋_GB2312"/>
              <w:sz w:val="28"/>
              <w:szCs w:val="28"/>
            </w:rPr>
            <w:tab/>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lang w:val="en-US" w:eastAsia="zh-CN"/>
            </w:rPr>
            <w:t>36</w:t>
          </w:r>
        </w:p>
        <w:p w14:paraId="77D9EA07">
          <w:pPr>
            <w:pStyle w:val="16"/>
            <w:tabs>
              <w:tab w:val="right" w:leader="dot" w:pos="8306"/>
              <w:tab w:val="clear" w:pos="8296"/>
            </w:tabs>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_Toc21466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五、</w:t>
          </w:r>
          <w:r>
            <w:rPr>
              <w:rFonts w:hint="eastAsia" w:ascii="仿宋_GB2312" w:hAnsi="仿宋_GB2312" w:eastAsia="仿宋_GB2312" w:cs="仿宋_GB2312"/>
              <w:sz w:val="28"/>
              <w:szCs w:val="28"/>
            </w:rPr>
            <w:t>财</w:t>
          </w:r>
          <w:r>
            <w:rPr>
              <w:rFonts w:hint="eastAsia" w:ascii="仿宋_GB2312" w:hAnsi="仿宋_GB2312" w:eastAsia="仿宋_GB2312" w:cs="仿宋_GB2312"/>
              <w:bCs w:val="0"/>
              <w:sz w:val="28"/>
              <w:szCs w:val="28"/>
            </w:rPr>
            <w:t>政拨款支出决算明细表</w:t>
          </w:r>
          <w:r>
            <w:rPr>
              <w:rFonts w:hint="eastAsia" w:ascii="仿宋_GB2312" w:hAnsi="仿宋_GB2312" w:eastAsia="仿宋_GB2312" w:cs="仿宋_GB2312"/>
              <w:sz w:val="28"/>
              <w:szCs w:val="28"/>
            </w:rPr>
            <w:tab/>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lang w:val="en-US" w:eastAsia="zh-CN"/>
            </w:rPr>
            <w:t>36</w:t>
          </w:r>
        </w:p>
        <w:p w14:paraId="7D4C9DD7">
          <w:pPr>
            <w:pStyle w:val="16"/>
            <w:tabs>
              <w:tab w:val="right" w:leader="dot" w:pos="8306"/>
              <w:tab w:val="clear" w:pos="8296"/>
            </w:tabs>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_Toc2143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六、</w:t>
          </w:r>
          <w:r>
            <w:rPr>
              <w:rFonts w:hint="eastAsia" w:ascii="仿宋_GB2312" w:hAnsi="仿宋_GB2312" w:eastAsia="仿宋_GB2312" w:cs="仿宋_GB2312"/>
              <w:sz w:val="28"/>
              <w:szCs w:val="28"/>
            </w:rPr>
            <w:t>一</w:t>
          </w:r>
          <w:r>
            <w:rPr>
              <w:rFonts w:hint="eastAsia" w:ascii="仿宋_GB2312" w:hAnsi="仿宋_GB2312" w:eastAsia="仿宋_GB2312" w:cs="仿宋_GB2312"/>
              <w:bCs w:val="0"/>
              <w:sz w:val="28"/>
              <w:szCs w:val="28"/>
            </w:rPr>
            <w:t>般公共预算财政拨款支出决算表</w:t>
          </w:r>
          <w:r>
            <w:rPr>
              <w:rFonts w:hint="eastAsia" w:ascii="仿宋_GB2312" w:hAnsi="仿宋_GB2312" w:eastAsia="仿宋_GB2312" w:cs="仿宋_GB2312"/>
              <w:sz w:val="28"/>
              <w:szCs w:val="28"/>
            </w:rPr>
            <w:tab/>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lang w:val="en-US" w:eastAsia="zh-CN"/>
            </w:rPr>
            <w:t>36</w:t>
          </w:r>
        </w:p>
        <w:p w14:paraId="4672A4D9">
          <w:pPr>
            <w:pStyle w:val="16"/>
            <w:tabs>
              <w:tab w:val="right" w:leader="dot" w:pos="8306"/>
              <w:tab w:val="clear" w:pos="8296"/>
            </w:tabs>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_Toc32100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七、</w:t>
          </w:r>
          <w:r>
            <w:rPr>
              <w:rFonts w:hint="eastAsia" w:ascii="仿宋_GB2312" w:hAnsi="仿宋_GB2312" w:eastAsia="仿宋_GB2312" w:cs="仿宋_GB2312"/>
              <w:sz w:val="28"/>
              <w:szCs w:val="28"/>
            </w:rPr>
            <w:t>一</w:t>
          </w:r>
          <w:r>
            <w:rPr>
              <w:rFonts w:hint="eastAsia" w:ascii="仿宋_GB2312" w:hAnsi="仿宋_GB2312" w:eastAsia="仿宋_GB2312" w:cs="仿宋_GB2312"/>
              <w:bCs w:val="0"/>
              <w:sz w:val="28"/>
              <w:szCs w:val="28"/>
            </w:rPr>
            <w:t>般公共预算财政拨款支出决算明细表</w:t>
          </w:r>
          <w:r>
            <w:rPr>
              <w:rFonts w:hint="eastAsia" w:ascii="仿宋_GB2312" w:hAnsi="仿宋_GB2312" w:eastAsia="仿宋_GB2312" w:cs="仿宋_GB2312"/>
              <w:sz w:val="28"/>
              <w:szCs w:val="28"/>
            </w:rPr>
            <w:tab/>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lang w:val="en-US" w:eastAsia="zh-CN"/>
            </w:rPr>
            <w:t>36</w:t>
          </w:r>
        </w:p>
        <w:p w14:paraId="5A4EC773">
          <w:pPr>
            <w:pStyle w:val="16"/>
            <w:tabs>
              <w:tab w:val="right" w:leader="dot" w:pos="8306"/>
              <w:tab w:val="clear" w:pos="8296"/>
            </w:tabs>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_Toc17350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八、</w:t>
          </w:r>
          <w:r>
            <w:rPr>
              <w:rFonts w:hint="eastAsia" w:ascii="仿宋_GB2312" w:hAnsi="仿宋_GB2312" w:eastAsia="仿宋_GB2312" w:cs="仿宋_GB2312"/>
              <w:sz w:val="28"/>
              <w:szCs w:val="28"/>
            </w:rPr>
            <w:t>一</w:t>
          </w:r>
          <w:r>
            <w:rPr>
              <w:rFonts w:hint="eastAsia" w:ascii="仿宋_GB2312" w:hAnsi="仿宋_GB2312" w:eastAsia="仿宋_GB2312" w:cs="仿宋_GB2312"/>
              <w:bCs w:val="0"/>
              <w:sz w:val="28"/>
              <w:szCs w:val="28"/>
            </w:rPr>
            <w:t>般公共预算财政拨款基本支出决算表</w:t>
          </w:r>
          <w:r>
            <w:rPr>
              <w:rFonts w:hint="eastAsia" w:ascii="仿宋_GB2312" w:hAnsi="仿宋_GB2312" w:eastAsia="仿宋_GB2312" w:cs="仿宋_GB2312"/>
              <w:sz w:val="28"/>
              <w:szCs w:val="28"/>
            </w:rPr>
            <w:tab/>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lang w:val="en-US" w:eastAsia="zh-CN"/>
            </w:rPr>
            <w:t>36</w:t>
          </w:r>
        </w:p>
        <w:p w14:paraId="0F4742BD">
          <w:pPr>
            <w:pStyle w:val="16"/>
            <w:tabs>
              <w:tab w:val="right" w:leader="dot" w:pos="8306"/>
              <w:tab w:val="clear" w:pos="8296"/>
            </w:tabs>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_Toc10434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九、</w:t>
          </w:r>
          <w:r>
            <w:rPr>
              <w:rFonts w:hint="eastAsia" w:ascii="仿宋_GB2312" w:hAnsi="仿宋_GB2312" w:eastAsia="仿宋_GB2312" w:cs="仿宋_GB2312"/>
              <w:sz w:val="28"/>
              <w:szCs w:val="28"/>
            </w:rPr>
            <w:t>一</w:t>
          </w:r>
          <w:r>
            <w:rPr>
              <w:rFonts w:hint="eastAsia" w:ascii="仿宋_GB2312" w:hAnsi="仿宋_GB2312" w:eastAsia="仿宋_GB2312" w:cs="仿宋_GB2312"/>
              <w:bCs w:val="0"/>
              <w:sz w:val="28"/>
              <w:szCs w:val="28"/>
            </w:rPr>
            <w:t>般公共预算财政拨款项目支出决算表</w:t>
          </w:r>
          <w:r>
            <w:rPr>
              <w:rFonts w:hint="eastAsia" w:ascii="仿宋_GB2312" w:hAnsi="仿宋_GB2312" w:eastAsia="仿宋_GB2312" w:cs="仿宋_GB2312"/>
              <w:sz w:val="28"/>
              <w:szCs w:val="28"/>
            </w:rPr>
            <w:tab/>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lang w:val="en-US" w:eastAsia="zh-CN"/>
            </w:rPr>
            <w:t>36</w:t>
          </w:r>
        </w:p>
        <w:p w14:paraId="21A9A435">
          <w:pPr>
            <w:pStyle w:val="16"/>
            <w:tabs>
              <w:tab w:val="right" w:leader="dot" w:pos="8306"/>
              <w:tab w:val="clear" w:pos="8296"/>
            </w:tabs>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_Toc6168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十、</w:t>
          </w:r>
          <w:r>
            <w:rPr>
              <w:rFonts w:hint="eastAsia" w:ascii="仿宋_GB2312" w:hAnsi="仿宋_GB2312" w:eastAsia="仿宋_GB2312" w:cs="仿宋_GB2312"/>
              <w:sz w:val="28"/>
              <w:szCs w:val="28"/>
            </w:rPr>
            <w:t>政</w:t>
          </w:r>
          <w:r>
            <w:rPr>
              <w:rFonts w:hint="eastAsia" w:ascii="仿宋_GB2312" w:hAnsi="仿宋_GB2312" w:eastAsia="仿宋_GB2312" w:cs="仿宋_GB2312"/>
              <w:bCs w:val="0"/>
              <w:sz w:val="28"/>
              <w:szCs w:val="28"/>
            </w:rPr>
            <w:t>府性基金预算财政拨款收入支出决算表</w:t>
          </w:r>
          <w:r>
            <w:rPr>
              <w:rFonts w:hint="eastAsia" w:ascii="仿宋_GB2312" w:hAnsi="仿宋_GB2312" w:eastAsia="仿宋_GB2312" w:cs="仿宋_GB2312"/>
              <w:sz w:val="28"/>
              <w:szCs w:val="28"/>
            </w:rPr>
            <w:tab/>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lang w:val="en-US" w:eastAsia="zh-CN"/>
            </w:rPr>
            <w:t>36</w:t>
          </w:r>
        </w:p>
        <w:p w14:paraId="0F90C7E5">
          <w:pPr>
            <w:pStyle w:val="16"/>
            <w:tabs>
              <w:tab w:val="right" w:leader="dot" w:pos="8306"/>
              <w:tab w:val="clear" w:pos="8296"/>
            </w:tabs>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_Toc23336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十一、</w:t>
          </w:r>
          <w:r>
            <w:rPr>
              <w:rFonts w:hint="eastAsia" w:ascii="仿宋_GB2312" w:hAnsi="仿宋_GB2312" w:eastAsia="仿宋_GB2312" w:cs="仿宋_GB2312"/>
              <w:sz w:val="28"/>
              <w:szCs w:val="28"/>
            </w:rPr>
            <w:t>国</w:t>
          </w:r>
          <w:r>
            <w:rPr>
              <w:rFonts w:hint="eastAsia" w:ascii="仿宋_GB2312" w:hAnsi="仿宋_GB2312" w:eastAsia="仿宋_GB2312" w:cs="仿宋_GB2312"/>
              <w:bCs w:val="0"/>
              <w:sz w:val="28"/>
              <w:szCs w:val="28"/>
            </w:rPr>
            <w:t>有资本经营预算财政拨款收入支出决算表</w:t>
          </w:r>
          <w:r>
            <w:rPr>
              <w:rFonts w:hint="eastAsia" w:ascii="仿宋_GB2312" w:hAnsi="仿宋_GB2312" w:eastAsia="仿宋_GB2312" w:cs="仿宋_GB2312"/>
              <w:sz w:val="28"/>
              <w:szCs w:val="28"/>
            </w:rPr>
            <w:tab/>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lang w:val="en-US" w:eastAsia="zh-CN"/>
            </w:rPr>
            <w:t>36</w:t>
          </w:r>
        </w:p>
        <w:p w14:paraId="0261B24D">
          <w:pPr>
            <w:pStyle w:val="16"/>
            <w:tabs>
              <w:tab w:val="right" w:leader="dot" w:pos="8306"/>
              <w:tab w:val="clear" w:pos="8296"/>
            </w:tabs>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_Toc23283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十二、国有资本经营预算财政拨款支出决算表</w:t>
          </w:r>
          <w:r>
            <w:rPr>
              <w:rFonts w:hint="eastAsia" w:ascii="仿宋_GB2312" w:hAnsi="仿宋_GB2312" w:eastAsia="仿宋_GB2312" w:cs="仿宋_GB2312"/>
              <w:sz w:val="28"/>
              <w:szCs w:val="28"/>
            </w:rPr>
            <w:tab/>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lang w:val="en-US" w:eastAsia="zh-CN"/>
            </w:rPr>
            <w:t>36</w:t>
          </w:r>
        </w:p>
        <w:p w14:paraId="669614BE">
          <w:pPr>
            <w:pStyle w:val="16"/>
            <w:tabs>
              <w:tab w:val="right" w:leader="dot" w:pos="8306"/>
              <w:tab w:val="clear" w:pos="8296"/>
            </w:tabs>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_Toc19470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十三、财政拨款“三公”经费支出决算表</w:t>
          </w:r>
          <w:r>
            <w:rPr>
              <w:rFonts w:hint="eastAsia" w:ascii="仿宋_GB2312" w:hAnsi="仿宋_GB2312" w:eastAsia="仿宋_GB2312" w:cs="仿宋_GB2312"/>
              <w:sz w:val="28"/>
              <w:szCs w:val="28"/>
            </w:rPr>
            <w:tab/>
          </w:r>
          <w:r>
            <w:rPr>
              <w:rFonts w:hint="eastAsia" w:ascii="仿宋_GB2312" w:hAnsi="仿宋_GB2312" w:eastAsia="仿宋_GB2312" w:cs="仿宋_GB2312"/>
              <w:color w:val="auto"/>
              <w:sz w:val="28"/>
              <w:szCs w:val="28"/>
            </w:rPr>
            <w:fldChar w:fldCharType="end"/>
          </w:r>
          <w:r>
            <w:rPr>
              <w:rFonts w:hint="eastAsia" w:ascii="仿宋_GB2312" w:hAnsi="仿宋_GB2312" w:eastAsia="仿宋_GB2312" w:cs="仿宋_GB2312"/>
              <w:color w:val="auto"/>
              <w:sz w:val="28"/>
              <w:szCs w:val="28"/>
              <w:lang w:val="en-US" w:eastAsia="zh-CN"/>
            </w:rPr>
            <w:t>36</w:t>
          </w:r>
        </w:p>
        <w:p w14:paraId="4819952F">
          <w:pPr>
            <w:pStyle w:val="16"/>
            <w:tabs>
              <w:tab w:val="right" w:leader="dot" w:pos="8306"/>
              <w:tab w:val="clear" w:pos="8296"/>
            </w:tabs>
            <w:rPr>
              <w:rFonts w:hint="eastAsia" w:ascii="仿宋_GB2312" w:hAnsi="仿宋_GB2312" w:eastAsia="仿宋_GB2312" w:cs="仿宋_GB2312"/>
              <w:sz w:val="28"/>
              <w:szCs w:val="28"/>
            </w:rPr>
          </w:pPr>
          <w:r>
            <w:rPr>
              <w:rFonts w:hint="eastAsia" w:ascii="仿宋_GB2312" w:hAnsi="仿宋_GB2312" w:eastAsia="仿宋_GB2312" w:cs="仿宋_GB2312"/>
              <w:color w:val="auto"/>
              <w:sz w:val="28"/>
              <w:szCs w:val="28"/>
            </w:rPr>
            <w:fldChar w:fldCharType="begin"/>
          </w:r>
          <w:r>
            <w:rPr>
              <w:rFonts w:hint="eastAsia" w:ascii="仿宋_GB2312" w:hAnsi="仿宋_GB2312" w:eastAsia="仿宋_GB2312" w:cs="仿宋_GB2312"/>
              <w:sz w:val="28"/>
              <w:szCs w:val="28"/>
            </w:rPr>
            <w:instrText xml:space="preserve"> HYPERLINK \l _Toc1273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bCs w:val="0"/>
              <w:sz w:val="28"/>
              <w:szCs w:val="28"/>
            </w:rPr>
            <w:t>十四、部门项目支出绩效目标表</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lang w:val="en-US" w:eastAsia="zh-CN"/>
            </w:rPr>
            <w:t>36</w:t>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_Toc1273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color w:val="auto"/>
              <w:sz w:val="28"/>
              <w:szCs w:val="28"/>
            </w:rPr>
            <w:fldChar w:fldCharType="end"/>
          </w:r>
        </w:p>
        <w:p w14:paraId="22613460">
          <w:pPr>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fldChar w:fldCharType="end"/>
          </w:r>
        </w:p>
      </w:sdtContent>
    </w:sdt>
    <w:p w14:paraId="10590067">
      <w:pPr>
        <w:pStyle w:val="3"/>
        <w:jc w:val="center"/>
        <w:rPr>
          <w:rFonts w:hint="eastAsia" w:ascii="黑体" w:eastAsia="黑体"/>
          <w:b w:val="0"/>
        </w:rPr>
      </w:pPr>
      <w:bookmarkStart w:id="8" w:name="_Toc16019"/>
    </w:p>
    <w:p w14:paraId="44DBCE0E">
      <w:pPr>
        <w:pStyle w:val="3"/>
        <w:jc w:val="both"/>
        <w:rPr>
          <w:rFonts w:hint="eastAsia" w:ascii="黑体" w:eastAsia="黑体"/>
          <w:b w:val="0"/>
        </w:rPr>
      </w:pPr>
    </w:p>
    <w:p w14:paraId="65B5C85B">
      <w:pPr>
        <w:rPr>
          <w:rFonts w:hint="eastAsia" w:ascii="黑体" w:eastAsia="黑体"/>
          <w:b w:val="0"/>
        </w:rPr>
      </w:pPr>
    </w:p>
    <w:p w14:paraId="012F0269">
      <w:pPr>
        <w:pStyle w:val="7"/>
        <w:rPr>
          <w:rFonts w:hint="eastAsia"/>
        </w:rPr>
      </w:pPr>
    </w:p>
    <w:p w14:paraId="268EE5F8">
      <w:pPr>
        <w:rPr>
          <w:rFonts w:hint="eastAsia"/>
        </w:rPr>
      </w:pPr>
    </w:p>
    <w:p w14:paraId="5EE9EB92">
      <w:pPr>
        <w:pStyle w:val="3"/>
        <w:pageBreakBefore w:val="0"/>
        <w:kinsoku/>
        <w:wordWrap/>
        <w:overflowPunct/>
        <w:topLinePunct w:val="0"/>
        <w:bidi w:val="0"/>
        <w:spacing w:before="0" w:beforeAutospacing="0" w:after="0" w:afterAutospacing="0" w:line="576" w:lineRule="exact"/>
        <w:ind w:left="0" w:leftChars="0" w:right="0" w:firstLine="880" w:firstLineChars="200"/>
        <w:jc w:val="both"/>
        <w:rPr>
          <w:rFonts w:ascii="黑体" w:eastAsia="黑体"/>
          <w:sz w:val="32"/>
          <w:szCs w:val="32"/>
        </w:rPr>
      </w:pPr>
      <w:r>
        <w:rPr>
          <w:rFonts w:hint="eastAsia" w:ascii="黑体" w:eastAsia="黑体"/>
          <w:b w:val="0"/>
        </w:rPr>
        <w:t xml:space="preserve">第一部分 </w:t>
      </w:r>
      <w:r>
        <w:rPr>
          <w:rStyle w:val="22"/>
          <w:rFonts w:hint="eastAsia" w:ascii="黑体" w:eastAsia="黑体"/>
          <w:b w:val="0"/>
          <w:bCs w:val="0"/>
        </w:rPr>
        <w:t>部门概况</w:t>
      </w:r>
      <w:bookmarkEnd w:id="6"/>
      <w:bookmarkEnd w:id="7"/>
      <w:bookmarkEnd w:id="8"/>
    </w:p>
    <w:p w14:paraId="1FEF7788">
      <w:pPr>
        <w:pStyle w:val="4"/>
        <w:pageBreakBefore w:val="0"/>
        <w:numPr>
          <w:ilvl w:val="0"/>
          <w:numId w:val="0"/>
        </w:numPr>
        <w:kinsoku/>
        <w:wordWrap/>
        <w:overflowPunct/>
        <w:topLinePunct w:val="0"/>
        <w:bidi w:val="0"/>
        <w:spacing w:before="0" w:beforeAutospacing="0" w:after="0" w:afterAutospacing="0" w:line="576" w:lineRule="exact"/>
        <w:ind w:left="0" w:leftChars="0" w:right="0" w:firstLine="640" w:firstLineChars="200"/>
        <w:jc w:val="both"/>
        <w:rPr>
          <w:rFonts w:hint="eastAsia" w:ascii="黑体" w:eastAsia="黑体"/>
          <w:b w:val="0"/>
          <w:bCs/>
        </w:rPr>
      </w:pPr>
      <w:bookmarkStart w:id="9" w:name="_Toc31358"/>
      <w:r>
        <w:rPr>
          <w:rFonts w:hint="eastAsia" w:ascii="黑体" w:eastAsia="黑体"/>
          <w:b w:val="0"/>
          <w:bCs/>
          <w:lang w:val="en-US" w:eastAsia="zh-CN"/>
        </w:rPr>
        <w:t>一、</w:t>
      </w:r>
      <w:r>
        <w:rPr>
          <w:rFonts w:hint="eastAsia" w:ascii="黑体" w:eastAsia="黑体"/>
          <w:b w:val="0"/>
          <w:bCs/>
        </w:rPr>
        <w:t>部门职责</w:t>
      </w:r>
      <w:bookmarkEnd w:id="9"/>
    </w:p>
    <w:p w14:paraId="7B59EBE2">
      <w:pPr>
        <w:pStyle w:val="17"/>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76" w:lineRule="exact"/>
        <w:ind w:leftChars="200" w:right="0" w:rightChars="0"/>
        <w:jc w:val="both"/>
        <w:textAlignment w:val="auto"/>
        <w:rPr>
          <w:rFonts w:hint="eastAsia" w:ascii="楷体_GB2312" w:hAnsi="楷体_GB2312" w:eastAsia="楷体_GB2312" w:cs="楷体_GB2312"/>
          <w:b/>
          <w:bCs/>
          <w:sz w:val="32"/>
          <w:szCs w:val="32"/>
          <w:shd w:val="clear" w:color="auto" w:fill="FFFFFF"/>
        </w:rPr>
      </w:pPr>
      <w:r>
        <w:rPr>
          <w:rFonts w:hint="eastAsia" w:ascii="楷体_GB2312" w:hAnsi="楷体_GB2312" w:eastAsia="楷体_GB2312" w:cs="楷体_GB2312"/>
          <w:b/>
          <w:bCs/>
          <w:sz w:val="32"/>
          <w:szCs w:val="32"/>
          <w:shd w:val="clear" w:color="auto" w:fill="FFFFFF"/>
          <w:lang w:eastAsia="zh-CN"/>
        </w:rPr>
        <w:t>（</w:t>
      </w:r>
      <w:r>
        <w:rPr>
          <w:rFonts w:hint="eastAsia" w:ascii="楷体_GB2312" w:hAnsi="楷体_GB2312" w:eastAsia="楷体_GB2312" w:cs="楷体_GB2312"/>
          <w:b/>
          <w:bCs/>
          <w:sz w:val="32"/>
          <w:szCs w:val="32"/>
          <w:shd w:val="clear" w:color="auto" w:fill="FFFFFF"/>
          <w:lang w:val="en-US" w:eastAsia="zh-CN"/>
        </w:rPr>
        <w:t>一</w:t>
      </w:r>
      <w:r>
        <w:rPr>
          <w:rFonts w:hint="eastAsia" w:ascii="楷体_GB2312" w:hAnsi="楷体_GB2312" w:eastAsia="楷体_GB2312" w:cs="楷体_GB2312"/>
          <w:b/>
          <w:bCs/>
          <w:sz w:val="32"/>
          <w:szCs w:val="32"/>
          <w:shd w:val="clear" w:color="auto" w:fill="FFFFFF"/>
          <w:lang w:eastAsia="zh-CN"/>
        </w:rPr>
        <w:t>）</w:t>
      </w:r>
      <w:r>
        <w:rPr>
          <w:rFonts w:hint="eastAsia" w:ascii="楷体_GB2312" w:hAnsi="楷体_GB2312" w:eastAsia="楷体_GB2312" w:cs="楷体_GB2312"/>
          <w:b/>
          <w:bCs/>
          <w:sz w:val="32"/>
          <w:szCs w:val="32"/>
          <w:shd w:val="clear" w:color="auto" w:fill="FFFFFF"/>
        </w:rPr>
        <w:t>主要职能</w:t>
      </w:r>
    </w:p>
    <w:p w14:paraId="0A1A63A2">
      <w:pPr>
        <w:pageBreakBefore w:val="0"/>
        <w:kinsoku/>
        <w:wordWrap/>
        <w:overflowPunct/>
        <w:topLinePunct w:val="0"/>
        <w:autoSpaceDE/>
        <w:autoSpaceDN/>
        <w:bidi w:val="0"/>
        <w:spacing w:beforeAutospacing="0" w:afterAutospacing="0" w:line="576" w:lineRule="exact"/>
        <w:ind w:left="0" w:leftChars="0" w:right="0" w:firstLine="643" w:firstLineChars="200"/>
        <w:jc w:val="both"/>
        <w:rPr>
          <w:rFonts w:hint="eastAsia" w:ascii="仿宋_GB2312" w:hAnsi="仿宋_GB2312" w:eastAsia="仿宋_GB2312" w:cs="仿宋_GB2312"/>
          <w:b/>
          <w:bCs w:val="0"/>
          <w:color w:val="auto"/>
          <w:sz w:val="32"/>
          <w:szCs w:val="32"/>
        </w:rPr>
      </w:pPr>
      <w:bookmarkStart w:id="10" w:name="_Toc15378446"/>
      <w:bookmarkStart w:id="11" w:name="_Toc15377199"/>
      <w:r>
        <w:rPr>
          <w:rFonts w:hint="eastAsia" w:ascii="仿宋_GB2312" w:hAnsi="仿宋_GB2312" w:eastAsia="仿宋_GB2312" w:cs="仿宋_GB2312"/>
          <w:b/>
          <w:bCs w:val="0"/>
          <w:color w:val="auto"/>
          <w:sz w:val="32"/>
          <w:szCs w:val="32"/>
        </w:rPr>
        <w:t>主要职责（</w:t>
      </w:r>
      <w:r>
        <w:rPr>
          <w:rFonts w:hint="eastAsia" w:ascii="仿宋_GB2312" w:hAnsi="仿宋_GB2312" w:eastAsia="仿宋_GB2312" w:cs="仿宋_GB2312"/>
          <w:b/>
          <w:bCs w:val="0"/>
          <w:color w:val="auto"/>
          <w:sz w:val="32"/>
          <w:szCs w:val="32"/>
          <w:lang w:eastAsia="zh-CN"/>
        </w:rPr>
        <w:t>行政审批</w:t>
      </w:r>
      <w:r>
        <w:rPr>
          <w:rFonts w:hint="eastAsia" w:ascii="仿宋_GB2312" w:hAnsi="仿宋_GB2312" w:eastAsia="仿宋_GB2312" w:cs="仿宋_GB2312"/>
          <w:b/>
          <w:bCs w:val="0"/>
          <w:color w:val="auto"/>
          <w:sz w:val="32"/>
          <w:szCs w:val="32"/>
          <w:lang w:val="en-US" w:eastAsia="zh-CN"/>
        </w:rPr>
        <w:t>和政务服务管理</w:t>
      </w:r>
      <w:r>
        <w:rPr>
          <w:rFonts w:hint="eastAsia" w:ascii="仿宋_GB2312" w:hAnsi="仿宋_GB2312" w:eastAsia="仿宋_GB2312" w:cs="仿宋_GB2312"/>
          <w:b/>
          <w:bCs w:val="0"/>
          <w:color w:val="auto"/>
          <w:sz w:val="32"/>
          <w:szCs w:val="32"/>
          <w:lang w:eastAsia="zh-CN"/>
        </w:rPr>
        <w:t>局</w:t>
      </w:r>
      <w:r>
        <w:rPr>
          <w:rFonts w:hint="eastAsia" w:ascii="仿宋_GB2312" w:hAnsi="仿宋_GB2312" w:eastAsia="仿宋_GB2312" w:cs="仿宋_GB2312"/>
          <w:b/>
          <w:bCs w:val="0"/>
          <w:color w:val="auto"/>
          <w:sz w:val="32"/>
          <w:szCs w:val="32"/>
        </w:rPr>
        <w:t>）</w:t>
      </w:r>
    </w:p>
    <w:p w14:paraId="0B1803DA">
      <w:pPr>
        <w:pStyle w:val="36"/>
        <w:keepNext w:val="0"/>
        <w:keepLines w:val="0"/>
        <w:pageBreakBefore w:val="0"/>
        <w:widowControl w:val="0"/>
        <w:kinsoku/>
        <w:wordWrap/>
        <w:overflowPunct/>
        <w:topLinePunct w:val="0"/>
        <w:autoSpaceDE/>
        <w:autoSpaceDN/>
        <w:bidi w:val="0"/>
        <w:adjustRightInd/>
        <w:snapToGrid/>
        <w:spacing w:beforeAutospacing="0" w:afterAutospacing="0" w:line="576" w:lineRule="exact"/>
        <w:ind w:left="0" w:leftChars="0" w:right="0" w:firstLine="640" w:firstLineChars="200"/>
        <w:jc w:val="both"/>
        <w:textAlignment w:val="baseline"/>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1.负责全县行政审批制度改革和“放管服”改革工作，拟定全县行政审批制度和“放管服”改革相关政策和规范性文件。构建高效、便民的审批服务工作机制，推进审批服务标准化，提高审批效能。</w:t>
      </w:r>
    </w:p>
    <w:p w14:paraId="6AF5BA74">
      <w:pPr>
        <w:pStyle w:val="36"/>
        <w:keepNext w:val="0"/>
        <w:keepLines w:val="0"/>
        <w:pageBreakBefore w:val="0"/>
        <w:widowControl w:val="0"/>
        <w:kinsoku/>
        <w:wordWrap/>
        <w:overflowPunct/>
        <w:topLinePunct w:val="0"/>
        <w:autoSpaceDE/>
        <w:autoSpaceDN/>
        <w:bidi w:val="0"/>
        <w:adjustRightInd/>
        <w:snapToGrid/>
        <w:spacing w:beforeAutospacing="0" w:afterAutospacing="0" w:line="576" w:lineRule="exact"/>
        <w:ind w:left="0" w:leftChars="0" w:right="0" w:firstLine="640" w:firstLineChars="200"/>
        <w:jc w:val="both"/>
        <w:textAlignment w:val="baseline"/>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2.负责指导县本级行政审批工作，承办县直部门划入的涉及投资项目、市场准入、建设工程、交通水利、文教卫生、社会事务、涉农事务等方面的行政审批事项，及时通报行政审批事项的实施情况。</w:t>
      </w:r>
    </w:p>
    <w:p w14:paraId="18756BAB">
      <w:pPr>
        <w:pStyle w:val="36"/>
        <w:keepNext w:val="0"/>
        <w:keepLines w:val="0"/>
        <w:pageBreakBefore w:val="0"/>
        <w:widowControl w:val="0"/>
        <w:kinsoku/>
        <w:wordWrap/>
        <w:overflowPunct/>
        <w:topLinePunct w:val="0"/>
        <w:autoSpaceDE/>
        <w:autoSpaceDN/>
        <w:bidi w:val="0"/>
        <w:adjustRightInd/>
        <w:snapToGrid/>
        <w:spacing w:beforeAutospacing="0" w:afterAutospacing="0" w:line="576" w:lineRule="exact"/>
        <w:ind w:left="0" w:leftChars="0" w:right="0" w:firstLine="640" w:firstLineChars="200"/>
        <w:jc w:val="both"/>
        <w:textAlignment w:val="baseline"/>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3.负责统筹协调全县政府职能转变、优化政府服务提升行政效能、行政审批制度改革等工作，组织拟定重大政策措施并组织实施，监督管理全县政务服务工作。</w:t>
      </w:r>
    </w:p>
    <w:p w14:paraId="673458CE">
      <w:pPr>
        <w:pStyle w:val="36"/>
        <w:keepNext w:val="0"/>
        <w:keepLines w:val="0"/>
        <w:pageBreakBefore w:val="0"/>
        <w:widowControl w:val="0"/>
        <w:kinsoku/>
        <w:wordWrap/>
        <w:overflowPunct/>
        <w:topLinePunct w:val="0"/>
        <w:autoSpaceDE/>
        <w:autoSpaceDN/>
        <w:bidi w:val="0"/>
        <w:adjustRightInd/>
        <w:snapToGrid/>
        <w:spacing w:beforeAutospacing="0" w:afterAutospacing="0" w:line="576" w:lineRule="exact"/>
        <w:ind w:left="0" w:leftChars="0" w:right="0" w:firstLine="640" w:firstLineChars="200"/>
        <w:jc w:val="both"/>
        <w:textAlignment w:val="baseline"/>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4.负责全县政务服务体系建设，组织拟定政务服务监督管理规章制度并组织实施，开展全县政务服务质量评估工作，推进政务服务标准化、信息化、便民化、规范化建设。负责指导乡镇便民服务中心工作。</w:t>
      </w:r>
    </w:p>
    <w:p w14:paraId="2D5D0FBA">
      <w:pPr>
        <w:pStyle w:val="36"/>
        <w:keepNext w:val="0"/>
        <w:keepLines w:val="0"/>
        <w:pageBreakBefore w:val="0"/>
        <w:widowControl w:val="0"/>
        <w:kinsoku/>
        <w:wordWrap/>
        <w:overflowPunct/>
        <w:topLinePunct w:val="0"/>
        <w:autoSpaceDE/>
        <w:autoSpaceDN/>
        <w:bidi w:val="0"/>
        <w:adjustRightInd/>
        <w:snapToGrid/>
        <w:spacing w:beforeAutospacing="0" w:afterAutospacing="0" w:line="576" w:lineRule="exact"/>
        <w:ind w:left="0" w:leftChars="0" w:right="0" w:firstLine="640" w:firstLineChars="200"/>
        <w:jc w:val="both"/>
        <w:textAlignment w:val="baseline"/>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5.负责全县公共资源交易管理和监督工作，组织拟定全县公共资源交易规则，负责全县公共资源交易一体化服务平台体系标准化建设工作。</w:t>
      </w:r>
    </w:p>
    <w:p w14:paraId="59FC8C7B">
      <w:pPr>
        <w:pStyle w:val="36"/>
        <w:keepNext w:val="0"/>
        <w:keepLines w:val="0"/>
        <w:pageBreakBefore w:val="0"/>
        <w:widowControl w:val="0"/>
        <w:kinsoku/>
        <w:wordWrap/>
        <w:overflowPunct/>
        <w:topLinePunct w:val="0"/>
        <w:autoSpaceDE/>
        <w:autoSpaceDN/>
        <w:bidi w:val="0"/>
        <w:adjustRightInd/>
        <w:snapToGrid/>
        <w:spacing w:beforeAutospacing="0" w:afterAutospacing="0" w:line="576" w:lineRule="exact"/>
        <w:ind w:left="0" w:leftChars="0" w:right="0" w:firstLine="640" w:firstLineChars="200"/>
        <w:jc w:val="both"/>
        <w:textAlignment w:val="baseline"/>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6.承担政务服务行政效能建设工作，负责建设服务型政府、政务服务、公共资源交易等工作，配合行政监督部门查处违法、违规问题。</w:t>
      </w:r>
    </w:p>
    <w:p w14:paraId="054EFFDC">
      <w:pPr>
        <w:pStyle w:val="36"/>
        <w:keepNext w:val="0"/>
        <w:keepLines w:val="0"/>
        <w:pageBreakBefore w:val="0"/>
        <w:widowControl w:val="0"/>
        <w:kinsoku/>
        <w:wordWrap/>
        <w:overflowPunct/>
        <w:topLinePunct w:val="0"/>
        <w:autoSpaceDE/>
        <w:autoSpaceDN/>
        <w:bidi w:val="0"/>
        <w:adjustRightInd/>
        <w:snapToGrid/>
        <w:spacing w:beforeAutospacing="0" w:afterAutospacing="0" w:line="576" w:lineRule="exact"/>
        <w:ind w:left="0" w:leftChars="0" w:right="0" w:firstLine="640" w:firstLineChars="200"/>
        <w:jc w:val="both"/>
        <w:textAlignment w:val="baseline"/>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7.组织县级部门（单位）受理、办理行政许可事项及其它政务服务事项，并进行监督考核。指导畅通企业群众诉求渠道，协调县级各部门解决企业在开办注销、投资建设、生产经营过程中的问题和困难。</w:t>
      </w:r>
    </w:p>
    <w:p w14:paraId="244578B1">
      <w:pPr>
        <w:pStyle w:val="36"/>
        <w:keepNext w:val="0"/>
        <w:keepLines w:val="0"/>
        <w:pageBreakBefore w:val="0"/>
        <w:widowControl w:val="0"/>
        <w:kinsoku/>
        <w:wordWrap/>
        <w:overflowPunct/>
        <w:topLinePunct w:val="0"/>
        <w:autoSpaceDE/>
        <w:autoSpaceDN/>
        <w:bidi w:val="0"/>
        <w:adjustRightInd/>
        <w:snapToGrid/>
        <w:spacing w:beforeAutospacing="0" w:afterAutospacing="0" w:line="576" w:lineRule="exact"/>
        <w:ind w:left="0" w:leftChars="0" w:right="0" w:firstLine="640" w:firstLineChars="200"/>
        <w:jc w:val="both"/>
        <w:textAlignment w:val="baseline"/>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8.负责对全县部门政务服务事项进入或退出县政务服务大厅进行初审并报县人民政府批准。负责对涉及县政务服务大厅、县公共资源交易中心、县行政审批服务机构的投诉举报的承办、转办和督办工作。</w:t>
      </w:r>
    </w:p>
    <w:p w14:paraId="33498D6C">
      <w:pPr>
        <w:pStyle w:val="2"/>
        <w:pageBreakBefore w:val="0"/>
        <w:kinsoku/>
        <w:wordWrap/>
        <w:overflowPunct/>
        <w:topLinePunct w:val="0"/>
        <w:autoSpaceDE/>
        <w:autoSpaceDN/>
        <w:bidi w:val="0"/>
        <w:adjustRightInd w:val="0"/>
        <w:snapToGrid w:val="0"/>
        <w:spacing w:beforeLines="0" w:beforeAutospacing="0" w:afterAutospacing="0" w:line="576" w:lineRule="exact"/>
        <w:ind w:left="0" w:leftChars="0" w:right="0" w:firstLine="640" w:firstLineChars="200"/>
        <w:jc w:val="both"/>
        <w:outlineLvl w:val="2"/>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9.完成县委、县政府交办的其他任务。</w:t>
      </w:r>
    </w:p>
    <w:p w14:paraId="513B8CB4">
      <w:pPr>
        <w:pStyle w:val="2"/>
        <w:pageBreakBefore w:val="0"/>
        <w:kinsoku/>
        <w:wordWrap/>
        <w:overflowPunct/>
        <w:topLinePunct w:val="0"/>
        <w:autoSpaceDE/>
        <w:autoSpaceDN/>
        <w:bidi w:val="0"/>
        <w:adjustRightInd w:val="0"/>
        <w:snapToGrid w:val="0"/>
        <w:spacing w:beforeLines="0" w:beforeAutospacing="0" w:afterAutospacing="0" w:line="576" w:lineRule="exact"/>
        <w:ind w:left="0" w:leftChars="0" w:right="0" w:firstLine="643" w:firstLineChars="200"/>
        <w:jc w:val="both"/>
        <w:outlineLvl w:val="2"/>
        <w:rPr>
          <w:rFonts w:hint="eastAsia" w:ascii="楷体_GB2312" w:hAnsi="楷体_GB2312" w:eastAsia="楷体_GB2312" w:cs="楷体_GB2312"/>
          <w:b/>
          <w:bCs w:val="0"/>
          <w:color w:val="auto"/>
          <w:sz w:val="32"/>
          <w:szCs w:val="32"/>
        </w:rPr>
      </w:pPr>
      <w:r>
        <w:rPr>
          <w:rFonts w:hint="eastAsia" w:ascii="楷体_GB2312" w:hAnsi="楷体_GB2312" w:eastAsia="楷体_GB2312" w:cs="楷体_GB2312"/>
          <w:b/>
          <w:bCs w:val="0"/>
          <w:color w:val="auto"/>
          <w:sz w:val="32"/>
          <w:szCs w:val="32"/>
        </w:rPr>
        <w:t>主要职责（交易中心）</w:t>
      </w:r>
    </w:p>
    <w:p w14:paraId="36DB0493">
      <w:pPr>
        <w:pStyle w:val="2"/>
        <w:pageBreakBefore w:val="0"/>
        <w:kinsoku/>
        <w:wordWrap/>
        <w:overflowPunct/>
        <w:topLinePunct w:val="0"/>
        <w:autoSpaceDE/>
        <w:autoSpaceDN/>
        <w:bidi w:val="0"/>
        <w:adjustRightInd w:val="0"/>
        <w:snapToGrid w:val="0"/>
        <w:spacing w:beforeLines="0" w:beforeAutospacing="0" w:afterAutospacing="0" w:line="576" w:lineRule="exact"/>
        <w:ind w:left="0" w:leftChars="0" w:right="0" w:firstLine="640" w:firstLineChars="200"/>
        <w:jc w:val="both"/>
        <w:outlineLvl w:val="2"/>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工程建设项目200万元以下（含未达到招标规模标准但达到了必须比选规模标准的政府投资工程建设项目勘察设计、施工、监理和货物）、政府采购50万元以下、国有产权50万元以下交易项目全部进入县级交易中心，即：除纳入州公共资源交易中心交易</w:t>
      </w:r>
      <w:r>
        <w:rPr>
          <w:rFonts w:hint="eastAsia" w:hAnsi="仿宋_GB2312" w:cs="仿宋_GB2312"/>
          <w:bCs/>
          <w:color w:val="auto"/>
          <w:sz w:val="32"/>
          <w:szCs w:val="32"/>
          <w:lang w:val="en-US" w:eastAsia="zh-CN"/>
        </w:rPr>
        <w:t>外</w:t>
      </w:r>
      <w:r>
        <w:rPr>
          <w:rFonts w:hint="eastAsia" w:ascii="仿宋_GB2312" w:hAnsi="仿宋_GB2312" w:eastAsia="仿宋_GB2312" w:cs="仿宋_GB2312"/>
          <w:bCs/>
          <w:color w:val="auto"/>
          <w:sz w:val="32"/>
          <w:szCs w:val="32"/>
        </w:rPr>
        <w:t>其他依法应当纳入县级公共资源交易中心交易的所有项目。</w:t>
      </w:r>
    </w:p>
    <w:p w14:paraId="41DAE10A">
      <w:pPr>
        <w:pStyle w:val="2"/>
        <w:pageBreakBefore w:val="0"/>
        <w:kinsoku/>
        <w:wordWrap/>
        <w:overflowPunct/>
        <w:topLinePunct w:val="0"/>
        <w:autoSpaceDE/>
        <w:autoSpaceDN/>
        <w:bidi w:val="0"/>
        <w:adjustRightInd w:val="0"/>
        <w:snapToGrid w:val="0"/>
        <w:spacing w:beforeLines="0" w:beforeAutospacing="0" w:afterAutospacing="0" w:line="576" w:lineRule="exact"/>
        <w:ind w:left="0" w:leftChars="0" w:right="0" w:firstLine="640" w:firstLineChars="200"/>
        <w:jc w:val="both"/>
        <w:outlineLvl w:val="2"/>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lang w:val="en-US" w:eastAsia="zh-CN"/>
        </w:rPr>
        <w:t>1.</w:t>
      </w:r>
      <w:r>
        <w:rPr>
          <w:rFonts w:hint="eastAsia" w:ascii="仿宋_GB2312" w:hAnsi="仿宋_GB2312" w:eastAsia="仿宋_GB2312" w:cs="仿宋_GB2312"/>
          <w:bCs/>
          <w:color w:val="auto"/>
          <w:sz w:val="32"/>
          <w:szCs w:val="32"/>
        </w:rPr>
        <w:t>负责为各类交易活动办理交易登记和招标申请，统一发布交易信息，受理投标报名，为开标、评标和定标等交易活动提供优质服务。</w:t>
      </w:r>
    </w:p>
    <w:p w14:paraId="27389DF9">
      <w:pPr>
        <w:pStyle w:val="2"/>
        <w:pageBreakBefore w:val="0"/>
        <w:kinsoku/>
        <w:wordWrap/>
        <w:overflowPunct/>
        <w:topLinePunct w:val="0"/>
        <w:autoSpaceDE/>
        <w:autoSpaceDN/>
        <w:bidi w:val="0"/>
        <w:adjustRightInd w:val="0"/>
        <w:snapToGrid w:val="0"/>
        <w:spacing w:beforeLines="0" w:beforeAutospacing="0" w:afterAutospacing="0" w:line="576" w:lineRule="exact"/>
        <w:ind w:left="0" w:leftChars="0" w:right="0" w:firstLine="640" w:firstLineChars="200"/>
        <w:jc w:val="both"/>
        <w:outlineLvl w:val="2"/>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lang w:val="en-US" w:eastAsia="zh-CN"/>
        </w:rPr>
        <w:t>2.</w:t>
      </w:r>
      <w:r>
        <w:rPr>
          <w:rFonts w:hint="eastAsia" w:ascii="仿宋_GB2312" w:hAnsi="仿宋_GB2312" w:eastAsia="仿宋_GB2312" w:cs="仿宋_GB2312"/>
          <w:bCs/>
          <w:color w:val="auto"/>
          <w:sz w:val="32"/>
          <w:szCs w:val="32"/>
        </w:rPr>
        <w:t>收集、存储和发布招投标政策法规以及相关价格、科技和人才等信息，并为招投标交易提供信息、咨询服务；为有关监督部门参与监督和为各类交易提供服务。</w:t>
      </w:r>
    </w:p>
    <w:p w14:paraId="3E7D929A">
      <w:pPr>
        <w:pStyle w:val="2"/>
        <w:pageBreakBefore w:val="0"/>
        <w:kinsoku/>
        <w:wordWrap/>
        <w:overflowPunct/>
        <w:topLinePunct w:val="0"/>
        <w:autoSpaceDE/>
        <w:autoSpaceDN/>
        <w:bidi w:val="0"/>
        <w:adjustRightInd w:val="0"/>
        <w:snapToGrid w:val="0"/>
        <w:spacing w:beforeLines="0" w:beforeAutospacing="0" w:afterAutospacing="0" w:line="576" w:lineRule="exact"/>
        <w:ind w:left="0" w:leftChars="0" w:right="0" w:firstLine="640" w:firstLineChars="200"/>
        <w:jc w:val="both"/>
        <w:outlineLvl w:val="2"/>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lang w:val="en-US" w:eastAsia="zh-CN"/>
        </w:rPr>
        <w:t>3.</w:t>
      </w:r>
      <w:r>
        <w:rPr>
          <w:rFonts w:hint="eastAsia" w:ascii="仿宋_GB2312" w:hAnsi="仿宋_GB2312" w:eastAsia="仿宋_GB2312" w:cs="仿宋_GB2312"/>
          <w:bCs/>
          <w:color w:val="auto"/>
          <w:sz w:val="32"/>
          <w:szCs w:val="32"/>
        </w:rPr>
        <w:t>负责制定进入中心项目的有关交易规则，维护交易场所内活动秩序。</w:t>
      </w:r>
    </w:p>
    <w:p w14:paraId="5A0A5442">
      <w:pPr>
        <w:pStyle w:val="2"/>
        <w:pageBreakBefore w:val="0"/>
        <w:kinsoku/>
        <w:wordWrap/>
        <w:overflowPunct/>
        <w:topLinePunct w:val="0"/>
        <w:autoSpaceDE/>
        <w:autoSpaceDN/>
        <w:bidi w:val="0"/>
        <w:adjustRightInd w:val="0"/>
        <w:snapToGrid w:val="0"/>
        <w:spacing w:beforeLines="0" w:beforeAutospacing="0" w:afterAutospacing="0" w:line="576" w:lineRule="exact"/>
        <w:ind w:left="0" w:leftChars="0" w:right="0" w:firstLine="640" w:firstLineChars="200"/>
        <w:jc w:val="both"/>
        <w:outlineLvl w:val="2"/>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lang w:val="en-US" w:eastAsia="zh-CN"/>
        </w:rPr>
        <w:t>4.</w:t>
      </w:r>
      <w:r>
        <w:rPr>
          <w:rFonts w:hint="eastAsia" w:ascii="仿宋_GB2312" w:hAnsi="仿宋_GB2312" w:eastAsia="仿宋_GB2312" w:cs="仿宋_GB2312"/>
          <w:bCs/>
          <w:color w:val="auto"/>
          <w:sz w:val="32"/>
          <w:szCs w:val="32"/>
        </w:rPr>
        <w:t>负责建立招投标集中统一平台，建立各方主体信用和市场不良行为记录体系，并做好交易档案的收集、整理、归档、立卷和管理。</w:t>
      </w:r>
    </w:p>
    <w:p w14:paraId="351ABD01">
      <w:pPr>
        <w:pStyle w:val="2"/>
        <w:pageBreakBefore w:val="0"/>
        <w:kinsoku/>
        <w:wordWrap/>
        <w:overflowPunct/>
        <w:topLinePunct w:val="0"/>
        <w:autoSpaceDE/>
        <w:autoSpaceDN/>
        <w:bidi w:val="0"/>
        <w:adjustRightInd w:val="0"/>
        <w:snapToGrid w:val="0"/>
        <w:spacing w:beforeLines="0" w:beforeAutospacing="0" w:afterAutospacing="0" w:line="576" w:lineRule="exact"/>
        <w:ind w:left="0" w:leftChars="0" w:right="0" w:firstLine="640" w:firstLineChars="200"/>
        <w:jc w:val="both"/>
        <w:outlineLvl w:val="2"/>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lang w:val="en-US" w:eastAsia="zh-CN"/>
        </w:rPr>
        <w:t>5.</w:t>
      </w:r>
      <w:r>
        <w:rPr>
          <w:rFonts w:hint="eastAsia" w:ascii="仿宋_GB2312" w:hAnsi="仿宋_GB2312" w:eastAsia="仿宋_GB2312" w:cs="仿宋_GB2312"/>
          <w:bCs/>
          <w:color w:val="auto"/>
          <w:sz w:val="32"/>
          <w:szCs w:val="32"/>
        </w:rPr>
        <w:t>承担政府集中采购机构职责，负责财政下达计划的政府采购工作和县级国家机关、事业单位和团体组织委托的政府采购工作。</w:t>
      </w:r>
    </w:p>
    <w:p w14:paraId="7C90773C">
      <w:pPr>
        <w:pStyle w:val="2"/>
        <w:keepNext w:val="0"/>
        <w:keepLines w:val="0"/>
        <w:pageBreakBefore w:val="0"/>
        <w:kinsoku/>
        <w:wordWrap/>
        <w:overflowPunct/>
        <w:topLinePunct w:val="0"/>
        <w:autoSpaceDE/>
        <w:autoSpaceDN/>
        <w:bidi w:val="0"/>
        <w:adjustRightInd w:val="0"/>
        <w:snapToGrid w:val="0"/>
        <w:spacing w:beforeLines="0" w:beforeAutospacing="0" w:afterAutospacing="0" w:line="576" w:lineRule="exact"/>
        <w:ind w:left="0" w:leftChars="0" w:right="0" w:firstLine="640" w:firstLineChars="200"/>
        <w:jc w:val="both"/>
        <w:textAlignment w:val="auto"/>
        <w:outlineLvl w:val="2"/>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lang w:val="en-US" w:eastAsia="zh-CN"/>
        </w:rPr>
        <w:t>6.</w:t>
      </w:r>
      <w:r>
        <w:rPr>
          <w:rFonts w:hint="eastAsia" w:ascii="仿宋_GB2312" w:hAnsi="仿宋_GB2312" w:eastAsia="仿宋_GB2312" w:cs="仿宋_GB2312"/>
          <w:bCs/>
          <w:color w:val="auto"/>
          <w:sz w:val="32"/>
          <w:szCs w:val="32"/>
        </w:rPr>
        <w:t>承担国有产权交易职责，接受委托，组织开展土地使用权和矿业权招拍挂交易活动，承办土地使用权和矿业权招拍挂进场交易事务。</w:t>
      </w:r>
    </w:p>
    <w:p w14:paraId="2324C03A">
      <w:pPr>
        <w:pStyle w:val="2"/>
        <w:keepNext w:val="0"/>
        <w:keepLines w:val="0"/>
        <w:pageBreakBefore w:val="0"/>
        <w:kinsoku/>
        <w:wordWrap/>
        <w:overflowPunct/>
        <w:topLinePunct w:val="0"/>
        <w:autoSpaceDE/>
        <w:autoSpaceDN/>
        <w:bidi w:val="0"/>
        <w:adjustRightInd w:val="0"/>
        <w:snapToGrid w:val="0"/>
        <w:spacing w:beforeLines="0" w:beforeAutospacing="0" w:afterAutospacing="0" w:line="576" w:lineRule="exact"/>
        <w:ind w:left="0" w:leftChars="0" w:right="0" w:firstLine="640" w:firstLineChars="200"/>
        <w:jc w:val="both"/>
        <w:textAlignment w:val="auto"/>
        <w:outlineLvl w:val="2"/>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Cs/>
          <w:color w:val="auto"/>
          <w:sz w:val="32"/>
          <w:szCs w:val="32"/>
          <w:lang w:val="en-US" w:eastAsia="zh-CN"/>
        </w:rPr>
        <w:t>7.</w:t>
      </w:r>
      <w:r>
        <w:rPr>
          <w:rFonts w:hint="eastAsia" w:ascii="仿宋_GB2312" w:hAnsi="仿宋_GB2312" w:eastAsia="仿宋_GB2312" w:cs="仿宋_GB2312"/>
          <w:bCs/>
          <w:color w:val="auto"/>
          <w:sz w:val="32"/>
          <w:szCs w:val="32"/>
        </w:rPr>
        <w:t>承办县人民政府、县公共资源交易监督管理委员会安排的其他工作。</w:t>
      </w:r>
    </w:p>
    <w:bookmarkEnd w:id="10"/>
    <w:bookmarkEnd w:id="11"/>
    <w:p w14:paraId="5245F978">
      <w:pPr>
        <w:pageBreakBefore w:val="0"/>
        <w:widowControl/>
        <w:kinsoku/>
        <w:wordWrap/>
        <w:overflowPunct/>
        <w:topLinePunct w:val="0"/>
        <w:autoSpaceDE/>
        <w:autoSpaceDN/>
        <w:bidi w:val="0"/>
        <w:spacing w:beforeAutospacing="0" w:afterAutospacing="0" w:line="576" w:lineRule="exact"/>
        <w:ind w:left="0" w:leftChars="0" w:right="0" w:firstLine="640" w:firstLineChars="200"/>
        <w:jc w:val="both"/>
        <w:rPr>
          <w:rFonts w:hint="eastAsia" w:ascii="楷体_GB2312" w:hAnsi="楷体_GB2312" w:eastAsia="楷体_GB2312" w:cs="楷体_GB2312"/>
          <w:b/>
          <w:bCs/>
          <w:sz w:val="32"/>
          <w:szCs w:val="32"/>
          <w:shd w:val="clear" w:color="auto" w:fill="FFFFFF"/>
        </w:rPr>
      </w:pPr>
      <w:r>
        <w:rPr>
          <w:rFonts w:hint="eastAsia" w:ascii="仿宋_GB2312" w:hAnsi="仿宋_GB2312" w:eastAsia="仿宋_GB2312" w:cs="仿宋_GB2312"/>
          <w:color w:val="auto"/>
          <w:sz w:val="32"/>
          <w:szCs w:val="32"/>
          <w:highlight w:val="none"/>
        </w:rPr>
        <w:br w:type="page"/>
      </w:r>
      <w:r>
        <w:rPr>
          <w:rFonts w:hint="eastAsia" w:ascii="楷体_GB2312" w:hAnsi="楷体_GB2312" w:eastAsia="楷体_GB2312" w:cs="楷体_GB2312"/>
          <w:b/>
          <w:bCs/>
          <w:sz w:val="32"/>
          <w:szCs w:val="32"/>
          <w:shd w:val="clear" w:color="auto" w:fill="FFFFFF"/>
        </w:rPr>
        <w:t>（二）202</w:t>
      </w:r>
      <w:r>
        <w:rPr>
          <w:rFonts w:hint="eastAsia" w:ascii="楷体_GB2312" w:hAnsi="楷体_GB2312" w:eastAsia="楷体_GB2312" w:cs="楷体_GB2312"/>
          <w:b/>
          <w:bCs/>
          <w:sz w:val="32"/>
          <w:szCs w:val="32"/>
          <w:shd w:val="clear" w:color="auto" w:fill="FFFFFF"/>
          <w:lang w:val="en-US" w:eastAsia="zh-CN"/>
        </w:rPr>
        <w:t>5</w:t>
      </w:r>
      <w:r>
        <w:rPr>
          <w:rFonts w:hint="eastAsia" w:ascii="楷体_GB2312" w:hAnsi="楷体_GB2312" w:eastAsia="楷体_GB2312" w:cs="楷体_GB2312"/>
          <w:b/>
          <w:bCs/>
          <w:sz w:val="32"/>
          <w:szCs w:val="32"/>
          <w:shd w:val="clear" w:color="auto" w:fill="FFFFFF"/>
        </w:rPr>
        <w:t>年重点工作完成情况</w:t>
      </w:r>
    </w:p>
    <w:p w14:paraId="62AFEB7B">
      <w:pPr>
        <w:pStyle w:val="36"/>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76" w:lineRule="exact"/>
        <w:ind w:left="0" w:leftChars="0" w:right="0" w:rightChars="0" w:firstLine="643" w:firstLineChars="200"/>
        <w:jc w:val="both"/>
        <w:rPr>
          <w:rFonts w:hint="eastAsia" w:ascii="仿宋_GB2312" w:hAnsi="仿宋_GB2312" w:eastAsia="仿宋_GB2312" w:cs="仿宋_GB2312"/>
          <w:color w:val="000000"/>
          <w:spacing w:val="0"/>
          <w:kern w:val="2"/>
          <w:sz w:val="32"/>
          <w:szCs w:val="32"/>
          <w:highlight w:val="none"/>
          <w:lang w:val="en-US" w:eastAsia="zh-CN" w:bidi="ar-SA"/>
        </w:rPr>
      </w:pPr>
      <w:bookmarkStart w:id="12" w:name="_Toc15377200"/>
      <w:bookmarkStart w:id="13" w:name="_Toc13721"/>
      <w:bookmarkStart w:id="14" w:name="_Toc15396601"/>
      <w:r>
        <w:rPr>
          <w:rFonts w:hint="eastAsia" w:ascii="仿宋_GB2312" w:hAnsi="仿宋_GB2312" w:eastAsia="仿宋_GB2312" w:cs="仿宋_GB2312"/>
          <w:b/>
          <w:bCs/>
          <w:color w:val="000000"/>
          <w:spacing w:val="0"/>
          <w:sz w:val="32"/>
          <w:szCs w:val="32"/>
          <w:lang w:val="en-US" w:eastAsia="zh-CN"/>
        </w:rPr>
        <w:t>1.政务服务能力建设。</w:t>
      </w:r>
      <w:r>
        <w:rPr>
          <w:rFonts w:hint="eastAsia" w:ascii="仿宋_GB2312" w:hAnsi="仿宋_GB2312" w:eastAsia="仿宋_GB2312" w:cs="仿宋_GB2312"/>
          <w:b/>
          <w:bCs/>
          <w:color w:val="000000"/>
          <w:spacing w:val="0"/>
          <w:kern w:val="2"/>
          <w:sz w:val="32"/>
          <w:szCs w:val="32"/>
          <w:highlight w:val="none"/>
          <w:lang w:val="en-US" w:eastAsia="zh-CN" w:bidi="ar-SA"/>
        </w:rPr>
        <w:t>(1)规范县政务服务中心窗口管理。</w:t>
      </w:r>
      <w:r>
        <w:rPr>
          <w:rFonts w:hint="eastAsia" w:ascii="仿宋_GB2312" w:hAnsi="仿宋_GB2312" w:eastAsia="仿宋_GB2312" w:cs="仿宋_GB2312"/>
          <w:color w:val="000000"/>
          <w:spacing w:val="0"/>
          <w:kern w:val="2"/>
          <w:sz w:val="32"/>
          <w:szCs w:val="32"/>
          <w:highlight w:val="none"/>
          <w:lang w:val="en-US" w:eastAsia="zh-CN" w:bidi="ar-SA"/>
        </w:rPr>
        <w:t>县政务服务中心已入驻1</w:t>
      </w:r>
      <w:r>
        <w:rPr>
          <w:rFonts w:hint="eastAsia" w:ascii="仿宋_GB2312" w:hAnsi="仿宋_GB2312" w:cs="仿宋_GB2312"/>
          <w:color w:val="000000"/>
          <w:spacing w:val="0"/>
          <w:kern w:val="2"/>
          <w:sz w:val="32"/>
          <w:szCs w:val="32"/>
          <w:highlight w:val="none"/>
          <w:lang w:val="en-US" w:eastAsia="zh-CN" w:bidi="ar-SA"/>
        </w:rPr>
        <w:t>8</w:t>
      </w:r>
      <w:r>
        <w:rPr>
          <w:rFonts w:hint="eastAsia" w:ascii="仿宋_GB2312" w:hAnsi="仿宋_GB2312" w:eastAsia="仿宋_GB2312" w:cs="仿宋_GB2312"/>
          <w:color w:val="000000"/>
          <w:spacing w:val="0"/>
          <w:kern w:val="2"/>
          <w:sz w:val="32"/>
          <w:szCs w:val="32"/>
          <w:highlight w:val="none"/>
          <w:lang w:val="en-US" w:eastAsia="zh-CN" w:bidi="ar-SA"/>
        </w:rPr>
        <w:t>个机关和４个企业，</w:t>
      </w:r>
      <w:r>
        <w:rPr>
          <w:rFonts w:hint="eastAsia" w:ascii="仿宋_GB2312" w:hAnsi="仿宋_GB2312" w:cs="仿宋_GB2312"/>
          <w:color w:val="000000"/>
          <w:spacing w:val="0"/>
          <w:kern w:val="2"/>
          <w:sz w:val="32"/>
          <w:szCs w:val="32"/>
          <w:highlight w:val="none"/>
          <w:lang w:val="en-US" w:eastAsia="zh-CN" w:bidi="ar-SA"/>
        </w:rPr>
        <w:t>9</w:t>
      </w:r>
      <w:r>
        <w:rPr>
          <w:rFonts w:hint="eastAsia" w:ascii="仿宋_GB2312" w:hAnsi="仿宋_GB2312" w:eastAsia="仿宋_GB2312" w:cs="仿宋_GB2312"/>
          <w:color w:val="000000"/>
          <w:spacing w:val="0"/>
          <w:kern w:val="2"/>
          <w:sz w:val="32"/>
          <w:szCs w:val="32"/>
          <w:highlight w:val="none"/>
          <w:lang w:val="en-US" w:eastAsia="zh-CN" w:bidi="ar-SA"/>
        </w:rPr>
        <w:t>0余名工作人员，中心设置窗口31个涉及22个行业领域，变“多门多窗”为“一门一窗”</w:t>
      </w:r>
      <w:r>
        <w:rPr>
          <w:rFonts w:hint="eastAsia" w:ascii="仿宋_GB2312" w:hAnsi="仿宋_GB2312" w:cs="仿宋_GB2312"/>
          <w:color w:val="000000"/>
          <w:spacing w:val="0"/>
          <w:kern w:val="2"/>
          <w:sz w:val="32"/>
          <w:szCs w:val="32"/>
          <w:highlight w:val="none"/>
          <w:lang w:val="en-US" w:eastAsia="zh-CN" w:bidi="ar-SA"/>
        </w:rPr>
        <w:t>并</w:t>
      </w:r>
      <w:r>
        <w:rPr>
          <w:rFonts w:hint="eastAsia" w:ascii="仿宋_GB2312" w:hAnsi="仿宋_GB2312" w:eastAsia="仿宋_GB2312" w:cs="仿宋_GB2312"/>
          <w:color w:val="000000"/>
          <w:spacing w:val="0"/>
          <w:kern w:val="2"/>
          <w:sz w:val="32"/>
          <w:szCs w:val="32"/>
          <w:highlight w:val="none"/>
          <w:lang w:val="en-US" w:eastAsia="zh-CN" w:bidi="ar-SA"/>
        </w:rPr>
        <w:t>制定落实每日安排专人值班开展日常巡查、每周轮流邀请派员单位负责人进大厅检查、联合县纪委监委暗访督查的作风“三查”管理制度，切实加强县政务服务中心工作人员的规范化管理，着力打造群众满意政务服务大厅</w:t>
      </w:r>
      <w:r>
        <w:rPr>
          <w:rFonts w:hint="eastAsia" w:ascii="仿宋_GB2312" w:hAnsi="仿宋_GB2312" w:cs="仿宋_GB2312"/>
          <w:color w:val="000000"/>
          <w:spacing w:val="0"/>
          <w:kern w:val="2"/>
          <w:sz w:val="32"/>
          <w:szCs w:val="32"/>
          <w:highlight w:val="none"/>
          <w:lang w:val="en-US" w:eastAsia="zh-CN" w:bidi="ar-SA"/>
        </w:rPr>
        <w:t>。</w:t>
      </w:r>
      <w:r>
        <w:rPr>
          <w:rFonts w:hint="eastAsia" w:ascii="仿宋_GB2312" w:hAnsi="仿宋_GB2312" w:cs="仿宋_GB2312"/>
          <w:b/>
          <w:bCs/>
          <w:color w:val="000000"/>
          <w:spacing w:val="0"/>
          <w:kern w:val="2"/>
          <w:sz w:val="32"/>
          <w:szCs w:val="32"/>
          <w:highlight w:val="none"/>
          <w:lang w:val="en-US" w:eastAsia="zh-CN" w:bidi="ar-SA"/>
        </w:rPr>
        <w:t>(2)</w:t>
      </w:r>
      <w:r>
        <w:rPr>
          <w:rFonts w:hint="eastAsia" w:ascii="仿宋_GB2312" w:hAnsi="仿宋_GB2312" w:eastAsia="仿宋_GB2312" w:cs="仿宋_GB2312"/>
          <w:b/>
          <w:bCs/>
          <w:color w:val="000000"/>
          <w:spacing w:val="0"/>
          <w:kern w:val="2"/>
          <w:sz w:val="32"/>
          <w:szCs w:val="32"/>
          <w:highlight w:val="none"/>
          <w:lang w:val="en-US" w:eastAsia="zh-CN" w:bidi="ar-SA"/>
        </w:rPr>
        <w:t>持续推进乡镇便民服务中心帮代办工作。</w:t>
      </w:r>
      <w:r>
        <w:rPr>
          <w:rFonts w:hint="eastAsia" w:ascii="仿宋_GB2312" w:hAnsi="仿宋_GB2312" w:eastAsia="仿宋_GB2312" w:cs="仿宋_GB2312"/>
          <w:color w:val="000000"/>
          <w:spacing w:val="0"/>
          <w:kern w:val="2"/>
          <w:sz w:val="32"/>
          <w:szCs w:val="32"/>
          <w:highlight w:val="none"/>
          <w:lang w:val="en-US" w:eastAsia="zh-CN" w:bidi="ar-SA"/>
        </w:rPr>
        <w:t>巩固邛溪镇便民服务中心、刷经寺镇便民服务中心、麦洼乡便民服务中心“省级示范便民服务中心”建设及其他乡镇“州级示范便民服务中心”，持续推进乡镇边界地联建服务、“雅克”流动便民服务等特色帮代办服务</w:t>
      </w:r>
      <w:r>
        <w:rPr>
          <w:rFonts w:hint="eastAsia" w:ascii="仿宋_GB2312" w:hAnsi="仿宋_GB2312" w:cs="仿宋_GB2312"/>
          <w:color w:val="000000"/>
          <w:spacing w:val="0"/>
          <w:kern w:val="2"/>
          <w:sz w:val="32"/>
          <w:szCs w:val="32"/>
          <w:highlight w:val="none"/>
          <w:lang w:val="en-US" w:eastAsia="zh-CN" w:bidi="ar-SA"/>
        </w:rPr>
        <w:t>。</w:t>
      </w:r>
      <w:r>
        <w:rPr>
          <w:rFonts w:hint="eastAsia" w:ascii="仿宋_GB2312" w:hAnsi="仿宋_GB2312" w:cs="仿宋_GB2312"/>
          <w:b/>
          <w:bCs/>
          <w:color w:val="000000"/>
          <w:spacing w:val="0"/>
          <w:kern w:val="2"/>
          <w:sz w:val="32"/>
          <w:szCs w:val="32"/>
          <w:lang w:val="en-US" w:eastAsia="zh-CN" w:bidi="ar-SA"/>
        </w:rPr>
        <w:t>(3)</w:t>
      </w:r>
      <w:r>
        <w:rPr>
          <w:rFonts w:hint="eastAsia" w:ascii="仿宋_GB2312" w:hAnsi="仿宋_GB2312" w:eastAsia="仿宋_GB2312" w:cs="仿宋_GB2312"/>
          <w:b/>
          <w:bCs/>
          <w:color w:val="000000"/>
          <w:spacing w:val="0"/>
          <w:kern w:val="2"/>
          <w:sz w:val="32"/>
          <w:szCs w:val="32"/>
          <w:lang w:val="en-US" w:eastAsia="zh-CN" w:bidi="ar-SA"/>
        </w:rPr>
        <w:t>探索园区增值化服务。</w:t>
      </w:r>
      <w:r>
        <w:rPr>
          <w:rFonts w:hint="eastAsia" w:ascii="仿宋_GB2312" w:hAnsi="仿宋_GB2312" w:eastAsia="仿宋_GB2312" w:cs="仿宋_GB2312"/>
          <w:color w:val="000000"/>
          <w:spacing w:val="0"/>
          <w:kern w:val="2"/>
          <w:sz w:val="32"/>
          <w:szCs w:val="32"/>
          <w:highlight w:val="none"/>
          <w:lang w:val="en-US" w:eastAsia="zh-CN" w:bidi="ar-SA"/>
        </w:rPr>
        <w:t>借鉴园区增值化服务试点县市经验，探索在我县绿色产业园区设立政务服务驿站，明确专人每周定时在驿站驻点开展惠企政策宣传、困难问题收集及进企业开展“政策找人”增值化服务等帮办代办工作。</w:t>
      </w:r>
    </w:p>
    <w:p w14:paraId="3E85761B">
      <w:pPr>
        <w:pStyle w:val="36"/>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76" w:lineRule="exact"/>
        <w:ind w:left="0" w:leftChars="0" w:right="0" w:rightChars="0" w:firstLine="643" w:firstLineChars="200"/>
        <w:jc w:val="both"/>
        <w:rPr>
          <w:rFonts w:hint="eastAsia" w:ascii="Times New Roman" w:hAnsi="Times New Roman" w:eastAsia="仿宋_GB2312" w:cs="Times New Roman"/>
          <w:b w:val="0"/>
          <w:bCs w:val="0"/>
          <w:color w:val="auto"/>
          <w:spacing w:val="0"/>
          <w:kern w:val="2"/>
          <w:sz w:val="32"/>
          <w:szCs w:val="32"/>
          <w:lang w:val="en-US" w:eastAsia="zh-CN" w:bidi="ar-SA"/>
        </w:rPr>
      </w:pPr>
      <w:r>
        <w:rPr>
          <w:rFonts w:hint="eastAsia" w:ascii="仿宋_GB2312" w:hAnsi="仿宋_GB2312" w:eastAsia="仿宋_GB2312" w:cs="仿宋_GB2312"/>
          <w:b/>
          <w:bCs/>
          <w:color w:val="000000"/>
          <w:spacing w:val="0"/>
          <w:sz w:val="32"/>
          <w:szCs w:val="32"/>
          <w:lang w:val="en-US" w:eastAsia="zh-CN"/>
        </w:rPr>
        <w:t>2.合力攻坚“高效办成一件事”落地。</w:t>
      </w:r>
      <w:r>
        <w:rPr>
          <w:rFonts w:hint="eastAsia" w:ascii="仿宋_GB2312" w:hAnsi="仿宋_GB2312" w:cs="仿宋_GB2312"/>
          <w:b/>
          <w:bCs/>
          <w:color w:val="000000"/>
          <w:spacing w:val="0"/>
          <w:sz w:val="32"/>
          <w:szCs w:val="32"/>
          <w:lang w:val="en-US" w:eastAsia="zh-CN"/>
        </w:rPr>
        <w:t>(1)</w:t>
      </w:r>
      <w:r>
        <w:rPr>
          <w:rFonts w:hint="eastAsia" w:ascii="Times New Roman" w:hAnsi="Times New Roman" w:eastAsia="仿宋_GB2312" w:cs="Times New Roman"/>
          <w:b/>
          <w:bCs/>
          <w:color w:val="000000"/>
          <w:spacing w:val="0"/>
          <w:kern w:val="2"/>
          <w:sz w:val="32"/>
          <w:szCs w:val="32"/>
          <w:highlight w:val="none"/>
          <w:lang w:val="en-US" w:eastAsia="zh-CN" w:bidi="ar-SA"/>
        </w:rPr>
        <w:t>发挥统筹牵总作用。</w:t>
      </w:r>
      <w:r>
        <w:rPr>
          <w:rFonts w:hint="eastAsia" w:ascii="仿宋_GB2312" w:hAnsi="仿宋_GB2312" w:eastAsia="仿宋_GB2312" w:cs="仿宋_GB2312"/>
          <w:b w:val="0"/>
          <w:bCs w:val="0"/>
          <w:color w:val="000000"/>
          <w:spacing w:val="0"/>
          <w:kern w:val="2"/>
          <w:sz w:val="32"/>
          <w:szCs w:val="32"/>
          <w:highlight w:val="none"/>
          <w:lang w:val="en-US" w:eastAsia="zh-CN" w:bidi="ar-SA"/>
        </w:rPr>
        <w:t>截至目前</w:t>
      </w:r>
      <w:r>
        <w:rPr>
          <w:rFonts w:hint="eastAsia" w:ascii="Times New Roman" w:hAnsi="Times New Roman" w:eastAsia="仿宋_GB2312" w:cs="Times New Roman"/>
          <w:color w:val="000000"/>
          <w:spacing w:val="0"/>
          <w:kern w:val="2"/>
          <w:sz w:val="32"/>
          <w:szCs w:val="32"/>
          <w:highlight w:val="none"/>
          <w:lang w:val="en-US" w:eastAsia="zh-CN" w:bidi="ar-SA"/>
        </w:rPr>
        <w:t>，县级牵头部</w:t>
      </w:r>
      <w:r>
        <w:rPr>
          <w:rFonts w:hint="eastAsia" w:ascii="Times New Roman" w:hAnsi="Times New Roman" w:eastAsia="仿宋_GB2312" w:cs="Times New Roman"/>
          <w:color w:val="auto"/>
          <w:spacing w:val="0"/>
          <w:kern w:val="2"/>
          <w:sz w:val="32"/>
          <w:szCs w:val="32"/>
          <w:highlight w:val="none"/>
          <w:lang w:val="en-US" w:eastAsia="zh-CN" w:bidi="ar-SA"/>
        </w:rPr>
        <w:t>门完成7项“</w:t>
      </w:r>
      <w:r>
        <w:rPr>
          <w:rFonts w:hint="eastAsia" w:ascii="Times New Roman" w:hAnsi="Times New Roman" w:eastAsia="仿宋_GB2312" w:cs="Times New Roman"/>
          <w:color w:val="000000"/>
          <w:spacing w:val="0"/>
          <w:kern w:val="2"/>
          <w:sz w:val="32"/>
          <w:szCs w:val="32"/>
          <w:highlight w:val="none"/>
          <w:lang w:val="en-US" w:eastAsia="zh-CN" w:bidi="ar-SA"/>
        </w:rPr>
        <w:t>高效办成一件事”的线上认领、配置</w:t>
      </w:r>
      <w:r>
        <w:rPr>
          <w:rFonts w:hint="eastAsia" w:ascii="Times New Roman" w:hAnsi="Times New Roman" w:cs="Times New Roman"/>
          <w:color w:val="000000"/>
          <w:spacing w:val="0"/>
          <w:kern w:val="2"/>
          <w:sz w:val="32"/>
          <w:szCs w:val="32"/>
          <w:highlight w:val="none"/>
          <w:lang w:val="en-US" w:eastAsia="zh-CN" w:bidi="ar-SA"/>
        </w:rPr>
        <w:t>，</w:t>
      </w:r>
      <w:r>
        <w:rPr>
          <w:rFonts w:hint="eastAsia" w:ascii="Times New Roman" w:hAnsi="Times New Roman" w:eastAsia="仿宋_GB2312" w:cs="Times New Roman"/>
          <w:color w:val="000000"/>
          <w:spacing w:val="0"/>
          <w:kern w:val="2"/>
          <w:sz w:val="32"/>
          <w:szCs w:val="32"/>
          <w:highlight w:val="none"/>
          <w:lang w:val="en-US" w:eastAsia="zh-CN" w:bidi="ar-SA"/>
        </w:rPr>
        <w:t>分别是</w:t>
      </w:r>
      <w:r>
        <w:rPr>
          <w:rFonts w:hint="eastAsia" w:eastAsia="仿宋_GB2312" w:cs="Times New Roman"/>
          <w:color w:val="000000"/>
          <w:spacing w:val="0"/>
          <w:kern w:val="2"/>
          <w:sz w:val="32"/>
          <w:szCs w:val="32"/>
          <w:highlight w:val="none"/>
          <w:lang w:val="en-US" w:eastAsia="zh-CN" w:bidi="ar-SA"/>
        </w:rPr>
        <w:t>红原县</w:t>
      </w:r>
      <w:r>
        <w:rPr>
          <w:rFonts w:hint="eastAsia" w:ascii="Times New Roman" w:hAnsi="Times New Roman" w:eastAsia="仿宋_GB2312" w:cs="Times New Roman"/>
          <w:color w:val="000000"/>
          <w:spacing w:val="0"/>
          <w:kern w:val="2"/>
          <w:sz w:val="32"/>
          <w:szCs w:val="32"/>
          <w:highlight w:val="none"/>
          <w:lang w:val="en-US" w:eastAsia="zh-CN" w:bidi="ar-SA"/>
        </w:rPr>
        <w:t>市场监管局牵头的“个转企一件事”、</w:t>
      </w:r>
      <w:r>
        <w:rPr>
          <w:rFonts w:hint="eastAsia" w:eastAsia="仿宋_GB2312" w:cs="Times New Roman"/>
          <w:color w:val="000000"/>
          <w:spacing w:val="0"/>
          <w:kern w:val="2"/>
          <w:sz w:val="32"/>
          <w:szCs w:val="32"/>
          <w:highlight w:val="none"/>
          <w:lang w:val="en-US" w:eastAsia="zh-CN" w:bidi="ar-SA"/>
        </w:rPr>
        <w:t>红原县</w:t>
      </w:r>
      <w:r>
        <w:rPr>
          <w:rFonts w:hint="eastAsia" w:ascii="Times New Roman" w:hAnsi="Times New Roman" w:eastAsia="仿宋_GB2312" w:cs="Times New Roman"/>
          <w:color w:val="000000"/>
          <w:spacing w:val="0"/>
          <w:kern w:val="2"/>
          <w:sz w:val="32"/>
          <w:szCs w:val="32"/>
          <w:highlight w:val="none"/>
          <w:lang w:val="en-US" w:eastAsia="zh-CN" w:bidi="ar-SA"/>
        </w:rPr>
        <w:t>交通运输局牵头的“大件运输一件事”、</w:t>
      </w:r>
      <w:r>
        <w:rPr>
          <w:rFonts w:hint="eastAsia" w:eastAsia="仿宋_GB2312" w:cs="Times New Roman"/>
          <w:color w:val="000000"/>
          <w:spacing w:val="0"/>
          <w:kern w:val="2"/>
          <w:sz w:val="32"/>
          <w:szCs w:val="32"/>
          <w:highlight w:val="none"/>
          <w:lang w:val="en-US" w:eastAsia="zh-CN" w:bidi="ar-SA"/>
        </w:rPr>
        <w:t>红原县</w:t>
      </w:r>
      <w:r>
        <w:rPr>
          <w:rFonts w:hint="eastAsia" w:ascii="Times New Roman" w:hAnsi="Times New Roman" w:eastAsia="仿宋_GB2312" w:cs="Times New Roman"/>
          <w:color w:val="000000"/>
          <w:spacing w:val="0"/>
          <w:kern w:val="2"/>
          <w:sz w:val="32"/>
          <w:szCs w:val="32"/>
          <w:highlight w:val="none"/>
          <w:lang w:val="en-US" w:eastAsia="zh-CN" w:bidi="ar-SA"/>
        </w:rPr>
        <w:t>退役军人事务局牵头的“退役军人一件事”、</w:t>
      </w:r>
      <w:r>
        <w:rPr>
          <w:rFonts w:hint="eastAsia" w:eastAsia="仿宋_GB2312" w:cs="Times New Roman"/>
          <w:color w:val="000000"/>
          <w:spacing w:val="0"/>
          <w:kern w:val="2"/>
          <w:sz w:val="32"/>
          <w:szCs w:val="32"/>
          <w:highlight w:val="none"/>
          <w:lang w:val="en-US" w:eastAsia="zh-CN" w:bidi="ar-SA"/>
        </w:rPr>
        <w:t>红原县</w:t>
      </w:r>
      <w:r>
        <w:rPr>
          <w:rFonts w:hint="eastAsia" w:ascii="Times New Roman" w:hAnsi="Times New Roman" w:eastAsia="仿宋_GB2312" w:cs="Times New Roman"/>
          <w:color w:val="000000"/>
          <w:spacing w:val="0"/>
          <w:kern w:val="2"/>
          <w:sz w:val="32"/>
          <w:szCs w:val="32"/>
          <w:highlight w:val="none"/>
          <w:lang w:val="en-US" w:eastAsia="zh-CN" w:bidi="ar-SA"/>
        </w:rPr>
        <w:t>住建局牵头的“申请公租房一件事”和“建设项目开工一件事”、</w:t>
      </w:r>
      <w:r>
        <w:rPr>
          <w:rFonts w:hint="eastAsia" w:eastAsia="仿宋_GB2312" w:cs="Times New Roman"/>
          <w:color w:val="000000"/>
          <w:spacing w:val="0"/>
          <w:kern w:val="2"/>
          <w:sz w:val="32"/>
          <w:szCs w:val="32"/>
          <w:highlight w:val="none"/>
          <w:lang w:val="en-US" w:eastAsia="zh-CN" w:bidi="ar-SA"/>
        </w:rPr>
        <w:t>红原县</w:t>
      </w:r>
      <w:r>
        <w:rPr>
          <w:rFonts w:hint="eastAsia" w:ascii="Times New Roman" w:hAnsi="Times New Roman" w:eastAsia="仿宋_GB2312" w:cs="Times New Roman"/>
          <w:color w:val="000000"/>
          <w:spacing w:val="0"/>
          <w:kern w:val="2"/>
          <w:sz w:val="32"/>
          <w:szCs w:val="32"/>
          <w:highlight w:val="none"/>
          <w:lang w:val="en-US" w:eastAsia="zh-CN" w:bidi="ar-SA"/>
        </w:rPr>
        <w:t>医保局牵头的“就医费用报销一件事”、</w:t>
      </w:r>
      <w:r>
        <w:rPr>
          <w:rFonts w:hint="eastAsia" w:eastAsia="仿宋_GB2312" w:cs="Times New Roman"/>
          <w:color w:val="000000"/>
          <w:spacing w:val="0"/>
          <w:kern w:val="2"/>
          <w:sz w:val="32"/>
          <w:szCs w:val="32"/>
          <w:highlight w:val="none"/>
          <w:lang w:val="en-US" w:eastAsia="zh-CN" w:bidi="ar-SA"/>
        </w:rPr>
        <w:t>红原县</w:t>
      </w:r>
      <w:r>
        <w:rPr>
          <w:rFonts w:hint="eastAsia" w:ascii="Times New Roman" w:hAnsi="Times New Roman" w:eastAsia="仿宋_GB2312" w:cs="Times New Roman"/>
          <w:color w:val="000000"/>
          <w:spacing w:val="0"/>
          <w:kern w:val="2"/>
          <w:sz w:val="32"/>
          <w:szCs w:val="32"/>
          <w:highlight w:val="none"/>
          <w:lang w:val="en-US" w:eastAsia="zh-CN" w:bidi="ar-SA"/>
        </w:rPr>
        <w:t>民政局牵头“结婚落户落户一件事”</w:t>
      </w:r>
      <w:r>
        <w:rPr>
          <w:rFonts w:hint="eastAsia" w:ascii="Times New Roman" w:hAnsi="Times New Roman" w:eastAsia="仿宋_GB2312" w:cs="Times New Roman"/>
          <w:b w:val="0"/>
          <w:bCs w:val="0"/>
          <w:color w:val="auto"/>
          <w:spacing w:val="0"/>
          <w:kern w:val="2"/>
          <w:sz w:val="32"/>
          <w:szCs w:val="32"/>
          <w:lang w:val="en-US" w:eastAsia="zh-CN" w:bidi="ar-SA"/>
        </w:rPr>
        <w:t>。</w:t>
      </w:r>
      <w:r>
        <w:rPr>
          <w:rFonts w:hint="eastAsia" w:ascii="仿宋_GB2312" w:hAnsi="仿宋_GB2312" w:eastAsia="仿宋_GB2312" w:cs="仿宋_GB2312"/>
          <w:b/>
          <w:bCs/>
          <w:color w:val="000000"/>
          <w:spacing w:val="0"/>
          <w:kern w:val="2"/>
          <w:sz w:val="32"/>
          <w:szCs w:val="32"/>
          <w:highlight w:val="none"/>
          <w:lang w:val="en-US" w:eastAsia="zh-CN" w:bidi="ar-SA"/>
        </w:rPr>
        <w:t>(2)强化化宣传推广。</w:t>
      </w:r>
      <w:r>
        <w:rPr>
          <w:rFonts w:hint="eastAsia" w:ascii="Times New Roman" w:hAnsi="Times New Roman" w:eastAsia="仿宋_GB2312" w:cs="Times New Roman"/>
          <w:color w:val="000000"/>
          <w:spacing w:val="0"/>
          <w:kern w:val="2"/>
          <w:sz w:val="32"/>
          <w:szCs w:val="32"/>
          <w:highlight w:val="none"/>
          <w:lang w:val="en-US" w:eastAsia="zh-CN" w:bidi="ar-SA"/>
        </w:rPr>
        <w:t>我局通过印发宣传折页、海报、电子屏滚动播放等形式大力宣传“码”上服务和“一件事”办事指南，各单位结合本职工作，主动</w:t>
      </w:r>
      <w:r>
        <w:rPr>
          <w:rFonts w:hint="default" w:ascii="Times New Roman" w:hAnsi="Times New Roman" w:eastAsia="仿宋_GB2312" w:cs="Times New Roman"/>
          <w:color w:val="000000"/>
          <w:spacing w:val="0"/>
          <w:kern w:val="2"/>
          <w:sz w:val="32"/>
          <w:szCs w:val="32"/>
          <w:highlight w:val="none"/>
          <w:lang w:val="en-US" w:eastAsia="zh-CN" w:bidi="ar-SA"/>
        </w:rPr>
        <w:t>建立完善线上线下协同长效机制</w:t>
      </w:r>
      <w:r>
        <w:rPr>
          <w:rFonts w:hint="eastAsia" w:ascii="Times New Roman" w:hAnsi="Times New Roman" w:eastAsia="仿宋_GB2312" w:cs="Times New Roman"/>
          <w:color w:val="000000"/>
          <w:spacing w:val="0"/>
          <w:kern w:val="2"/>
          <w:sz w:val="32"/>
          <w:szCs w:val="32"/>
          <w:highlight w:val="none"/>
          <w:lang w:val="en-US" w:eastAsia="zh-CN" w:bidi="ar-SA"/>
        </w:rPr>
        <w:t>，强化</w:t>
      </w:r>
      <w:r>
        <w:rPr>
          <w:rFonts w:hint="eastAsia" w:ascii="Times New Roman" w:hAnsi="Times New Roman" w:eastAsia="仿宋_GB2312" w:cs="Times New Roman"/>
          <w:b w:val="0"/>
          <w:bCs w:val="0"/>
          <w:color w:val="auto"/>
          <w:spacing w:val="0"/>
          <w:kern w:val="2"/>
          <w:sz w:val="32"/>
          <w:szCs w:val="32"/>
          <w:lang w:val="en-US" w:eastAsia="zh-CN" w:bidi="ar-SA"/>
        </w:rPr>
        <w:t>“高效办成一件事”宣传落地。</w:t>
      </w:r>
      <w:r>
        <w:rPr>
          <w:rFonts w:hint="eastAsia" w:eastAsia="仿宋_GB2312" w:cs="Times New Roman"/>
          <w:b w:val="0"/>
          <w:bCs w:val="0"/>
          <w:color w:val="auto"/>
          <w:spacing w:val="0"/>
          <w:kern w:val="2"/>
          <w:sz w:val="32"/>
          <w:szCs w:val="32"/>
          <w:lang w:val="en-US" w:eastAsia="zh-CN" w:bidi="ar-SA"/>
        </w:rPr>
        <w:t>截至目前</w:t>
      </w:r>
      <w:r>
        <w:rPr>
          <w:rFonts w:hint="eastAsia" w:ascii="Times New Roman" w:hAnsi="Times New Roman" w:eastAsia="仿宋_GB2312" w:cs="Times New Roman"/>
          <w:b w:val="0"/>
          <w:bCs w:val="0"/>
          <w:color w:val="auto"/>
          <w:spacing w:val="0"/>
          <w:kern w:val="2"/>
          <w:sz w:val="32"/>
          <w:szCs w:val="32"/>
          <w:lang w:val="en-US" w:eastAsia="zh-CN" w:bidi="ar-SA"/>
        </w:rPr>
        <w:t>，“高效办成一件事”通过省一体化平台办理和行业自建系统导入线上办理1760件，线下办理14件。</w:t>
      </w:r>
    </w:p>
    <w:p w14:paraId="1DB4DCB1">
      <w:pPr>
        <w:keepNext w:val="0"/>
        <w:keepLines w:val="0"/>
        <w:pageBreakBefore w:val="0"/>
        <w:widowControl w:val="0"/>
        <w:kinsoku/>
        <w:wordWrap/>
        <w:overflowPunct/>
        <w:topLinePunct w:val="0"/>
        <w:autoSpaceDE/>
        <w:autoSpaceDN/>
        <w:bidi w:val="0"/>
        <w:adjustRightInd w:val="0"/>
        <w:snapToGrid w:val="0"/>
        <w:spacing w:beforeAutospacing="0" w:afterAutospacing="0" w:line="576" w:lineRule="exact"/>
        <w:ind w:left="0" w:leftChars="0" w:right="0" w:firstLine="643" w:firstLineChars="200"/>
        <w:jc w:val="both"/>
        <w:rPr>
          <w:rFonts w:hint="eastAsia" w:ascii="Times New Roman" w:hAnsi="Times New Roman" w:eastAsia="仿宋_GB2312" w:cs="Times New Roman"/>
          <w:b w:val="0"/>
          <w:bCs w:val="0"/>
          <w:color w:val="000000"/>
          <w:spacing w:val="0"/>
          <w:kern w:val="2"/>
          <w:sz w:val="32"/>
          <w:szCs w:val="32"/>
          <w:lang w:val="en-US" w:eastAsia="zh-CN" w:bidi="ar-SA"/>
        </w:rPr>
      </w:pPr>
      <w:r>
        <w:rPr>
          <w:rFonts w:hint="eastAsia" w:ascii="仿宋_GB2312" w:hAnsi="仿宋_GB2312" w:eastAsia="仿宋_GB2312" w:cs="仿宋_GB2312"/>
          <w:b/>
          <w:bCs/>
          <w:color w:val="000000"/>
          <w:spacing w:val="0"/>
          <w:kern w:val="2"/>
          <w:sz w:val="32"/>
          <w:szCs w:val="32"/>
          <w:lang w:val="en-US" w:eastAsia="zh-CN" w:bidi="ar-SA"/>
        </w:rPr>
        <w:t>3.强化政务服务一体化平台管理。(1)</w:t>
      </w:r>
      <w:r>
        <w:rPr>
          <w:rFonts w:hint="eastAsia" w:ascii="仿宋_GB2312" w:hAnsi="仿宋_GB2312" w:eastAsia="仿宋_GB2312" w:cs="仿宋_GB2312"/>
          <w:b/>
          <w:bCs/>
          <w:color w:val="000000"/>
          <w:spacing w:val="0"/>
          <w:kern w:val="2"/>
          <w:sz w:val="32"/>
          <w:szCs w:val="32"/>
          <w:highlight w:val="none"/>
          <w:lang w:val="en-US" w:eastAsia="zh-CN" w:bidi="ar-SA"/>
        </w:rPr>
        <w:t>强化平台对接，提升便民质效。</w:t>
      </w:r>
      <w:r>
        <w:rPr>
          <w:rFonts w:hint="default" w:ascii="Times New Roman" w:hAnsi="Times New Roman" w:eastAsia="仿宋_GB2312" w:cs="Times New Roman"/>
          <w:b w:val="0"/>
          <w:bCs w:val="0"/>
          <w:color w:val="000000"/>
          <w:spacing w:val="0"/>
          <w:kern w:val="2"/>
          <w:sz w:val="32"/>
          <w:szCs w:val="32"/>
          <w:highlight w:val="none"/>
          <w:lang w:val="en-US" w:eastAsia="zh-CN" w:bidi="ar-SA"/>
        </w:rPr>
        <w:t>按照</w:t>
      </w:r>
      <w:r>
        <w:rPr>
          <w:rFonts w:hint="eastAsia" w:ascii="Times New Roman" w:hAnsi="Times New Roman" w:eastAsia="仿宋_GB2312" w:cs="Times New Roman"/>
          <w:b w:val="0"/>
          <w:bCs w:val="0"/>
          <w:color w:val="000000"/>
          <w:spacing w:val="0"/>
          <w:kern w:val="2"/>
          <w:sz w:val="32"/>
          <w:szCs w:val="32"/>
          <w:highlight w:val="none"/>
          <w:lang w:val="en-US" w:eastAsia="zh-CN" w:bidi="ar-SA"/>
        </w:rPr>
        <w:t>“</w:t>
      </w:r>
      <w:r>
        <w:rPr>
          <w:rFonts w:hint="default" w:ascii="Times New Roman" w:hAnsi="Times New Roman" w:eastAsia="仿宋_GB2312" w:cs="Times New Roman"/>
          <w:b w:val="0"/>
          <w:bCs w:val="0"/>
          <w:color w:val="000000"/>
          <w:spacing w:val="0"/>
          <w:kern w:val="2"/>
          <w:sz w:val="32"/>
          <w:szCs w:val="32"/>
          <w:highlight w:val="none"/>
          <w:lang w:val="en-US" w:eastAsia="zh-CN" w:bidi="ar-SA"/>
        </w:rPr>
        <w:t>总体推进、单点突破、稳步</w:t>
      </w:r>
      <w:r>
        <w:rPr>
          <w:rFonts w:hint="default" w:ascii="Times New Roman" w:hAnsi="Times New Roman" w:eastAsia="仿宋_GB2312" w:cs="Times New Roman"/>
          <w:color w:val="000000"/>
          <w:spacing w:val="0"/>
          <w:kern w:val="2"/>
          <w:sz w:val="32"/>
          <w:szCs w:val="32"/>
          <w:highlight w:val="none"/>
          <w:lang w:val="en-US" w:eastAsia="zh-CN" w:bidi="ar-SA"/>
        </w:rPr>
        <w:t>提升</w:t>
      </w:r>
      <w:r>
        <w:rPr>
          <w:rFonts w:hint="eastAsia" w:ascii="Times New Roman" w:hAnsi="Times New Roman" w:eastAsia="仿宋_GB2312" w:cs="Times New Roman"/>
          <w:color w:val="000000"/>
          <w:spacing w:val="0"/>
          <w:kern w:val="2"/>
          <w:sz w:val="32"/>
          <w:szCs w:val="32"/>
          <w:highlight w:val="none"/>
          <w:lang w:val="en-US" w:eastAsia="zh-CN" w:bidi="ar-SA"/>
        </w:rPr>
        <w:t>”</w:t>
      </w:r>
      <w:r>
        <w:rPr>
          <w:rFonts w:hint="default" w:ascii="Times New Roman" w:hAnsi="Times New Roman" w:eastAsia="仿宋_GB2312" w:cs="Times New Roman"/>
          <w:color w:val="000000"/>
          <w:spacing w:val="0"/>
          <w:kern w:val="2"/>
          <w:sz w:val="32"/>
          <w:szCs w:val="32"/>
          <w:highlight w:val="none"/>
          <w:lang w:val="en-US" w:eastAsia="zh-CN" w:bidi="ar-SA"/>
        </w:rPr>
        <w:t>的工作思路，</w:t>
      </w:r>
      <w:r>
        <w:rPr>
          <w:rFonts w:hint="eastAsia" w:ascii="Times New Roman" w:hAnsi="Times New Roman" w:eastAsia="仿宋_GB2312" w:cs="Times New Roman"/>
          <w:color w:val="auto"/>
          <w:spacing w:val="0"/>
          <w:kern w:val="2"/>
          <w:sz w:val="32"/>
          <w:szCs w:val="32"/>
          <w:highlight w:val="none"/>
          <w:lang w:val="en-US" w:eastAsia="zh-CN" w:bidi="ar-SA"/>
        </w:rPr>
        <w:t>2025年，我县相关单位和乡镇针对省一体化平台</w:t>
      </w:r>
      <w:r>
        <w:rPr>
          <w:rFonts w:hint="default" w:ascii="Times New Roman" w:hAnsi="Times New Roman" w:eastAsia="仿宋_GB2312" w:cs="Times New Roman"/>
          <w:color w:val="auto"/>
          <w:spacing w:val="0"/>
          <w:kern w:val="2"/>
          <w:sz w:val="32"/>
          <w:szCs w:val="32"/>
          <w:highlight w:val="none"/>
          <w:lang w:val="en-US" w:eastAsia="zh-CN" w:bidi="ar-SA"/>
        </w:rPr>
        <w:t>事项认领率、编辑率、发布率、更新率</w:t>
      </w:r>
      <w:r>
        <w:rPr>
          <w:rFonts w:hint="eastAsia" w:ascii="Times New Roman" w:hAnsi="Times New Roman" w:eastAsia="仿宋_GB2312" w:cs="Times New Roman"/>
          <w:color w:val="auto"/>
          <w:spacing w:val="0"/>
          <w:kern w:val="2"/>
          <w:sz w:val="32"/>
          <w:szCs w:val="32"/>
          <w:highlight w:val="none"/>
          <w:lang w:val="en-US" w:eastAsia="zh-CN" w:bidi="ar-SA"/>
        </w:rPr>
        <w:t>均</w:t>
      </w:r>
      <w:r>
        <w:rPr>
          <w:rFonts w:hint="default" w:ascii="Times New Roman" w:hAnsi="Times New Roman" w:eastAsia="仿宋_GB2312" w:cs="Times New Roman"/>
          <w:color w:val="auto"/>
          <w:spacing w:val="0"/>
          <w:kern w:val="2"/>
          <w:sz w:val="32"/>
          <w:szCs w:val="32"/>
          <w:highlight w:val="none"/>
          <w:lang w:val="en-US" w:eastAsia="zh-CN" w:bidi="ar-SA"/>
        </w:rPr>
        <w:t>达</w:t>
      </w:r>
      <w:r>
        <w:rPr>
          <w:rFonts w:hint="eastAsia" w:ascii="Times New Roman" w:hAnsi="Times New Roman" w:eastAsia="仿宋_GB2312" w:cs="Times New Roman"/>
          <w:color w:val="auto"/>
          <w:spacing w:val="0"/>
          <w:kern w:val="2"/>
          <w:sz w:val="32"/>
          <w:szCs w:val="32"/>
          <w:highlight w:val="none"/>
          <w:lang w:val="en-US" w:eastAsia="zh-CN" w:bidi="ar-SA"/>
        </w:rPr>
        <w:t>到了</w:t>
      </w:r>
      <w:r>
        <w:rPr>
          <w:rFonts w:hint="default" w:ascii="Times New Roman" w:hAnsi="Times New Roman" w:eastAsia="仿宋_GB2312" w:cs="Times New Roman"/>
          <w:color w:val="auto"/>
          <w:spacing w:val="0"/>
          <w:kern w:val="2"/>
          <w:sz w:val="32"/>
          <w:szCs w:val="32"/>
          <w:highlight w:val="none"/>
          <w:lang w:val="en-US" w:eastAsia="zh-CN" w:bidi="ar-SA"/>
        </w:rPr>
        <w:t>100%</w:t>
      </w:r>
      <w:r>
        <w:rPr>
          <w:rFonts w:hint="eastAsia" w:ascii="Times New Roman" w:hAnsi="Times New Roman" w:eastAsia="仿宋_GB2312" w:cs="Times New Roman"/>
          <w:color w:val="auto"/>
          <w:spacing w:val="0"/>
          <w:kern w:val="2"/>
          <w:sz w:val="32"/>
          <w:szCs w:val="32"/>
          <w:highlight w:val="none"/>
          <w:lang w:val="en-US" w:eastAsia="zh-CN" w:bidi="ar-SA"/>
        </w:rPr>
        <w:t>，</w:t>
      </w:r>
      <w:r>
        <w:rPr>
          <w:rFonts w:hint="eastAsia" w:ascii="Times New Roman" w:hAnsi="Times New Roman" w:eastAsia="仿宋_GB2312" w:cs="Times New Roman"/>
          <w:b w:val="0"/>
          <w:bCs w:val="0"/>
          <w:color w:val="000000"/>
          <w:spacing w:val="0"/>
          <w:kern w:val="2"/>
          <w:sz w:val="32"/>
          <w:szCs w:val="32"/>
          <w:lang w:val="en-US" w:eastAsia="zh-CN" w:bidi="ar-SA"/>
        </w:rPr>
        <w:t>截至</w:t>
      </w:r>
      <w:r>
        <w:rPr>
          <w:rFonts w:hint="eastAsia" w:cs="Times New Roman"/>
          <w:b w:val="0"/>
          <w:bCs w:val="0"/>
          <w:color w:val="000000"/>
          <w:spacing w:val="0"/>
          <w:kern w:val="2"/>
          <w:sz w:val="32"/>
          <w:szCs w:val="32"/>
          <w:lang w:val="en-US" w:eastAsia="zh-CN" w:bidi="ar-SA"/>
        </w:rPr>
        <w:t>目前</w:t>
      </w:r>
      <w:r>
        <w:rPr>
          <w:rFonts w:hint="eastAsia" w:ascii="Times New Roman" w:hAnsi="Times New Roman" w:eastAsia="仿宋_GB2312" w:cs="Times New Roman"/>
          <w:b w:val="0"/>
          <w:bCs w:val="0"/>
          <w:color w:val="000000"/>
          <w:spacing w:val="0"/>
          <w:kern w:val="2"/>
          <w:sz w:val="32"/>
          <w:szCs w:val="32"/>
          <w:lang w:val="en-US" w:eastAsia="zh-CN" w:bidi="ar-SA"/>
        </w:rPr>
        <w:t>，全县通过省一体化平台办结政务服务事项和行业自建系统导入对接办结政务服务事项共</w:t>
      </w:r>
      <w:r>
        <w:rPr>
          <w:rFonts w:hint="eastAsia" w:cs="Times New Roman"/>
          <w:b w:val="0"/>
          <w:bCs w:val="0"/>
          <w:color w:val="000000"/>
          <w:spacing w:val="0"/>
          <w:kern w:val="2"/>
          <w:sz w:val="32"/>
          <w:szCs w:val="32"/>
          <w:lang w:val="en-US" w:eastAsia="zh-CN" w:bidi="ar-SA"/>
        </w:rPr>
        <w:t>14367</w:t>
      </w:r>
      <w:r>
        <w:rPr>
          <w:rFonts w:hint="eastAsia" w:ascii="Times New Roman" w:hAnsi="Times New Roman" w:eastAsia="仿宋_GB2312" w:cs="Times New Roman"/>
          <w:b w:val="0"/>
          <w:bCs w:val="0"/>
          <w:color w:val="000000"/>
          <w:spacing w:val="0"/>
          <w:kern w:val="2"/>
          <w:sz w:val="32"/>
          <w:szCs w:val="32"/>
          <w:lang w:val="en-US" w:eastAsia="zh-CN" w:bidi="ar-SA"/>
        </w:rPr>
        <w:t>件，其中：线上办件8</w:t>
      </w:r>
      <w:r>
        <w:rPr>
          <w:rFonts w:hint="eastAsia" w:cs="Times New Roman"/>
          <w:b w:val="0"/>
          <w:bCs w:val="0"/>
          <w:color w:val="000000"/>
          <w:spacing w:val="0"/>
          <w:kern w:val="2"/>
          <w:sz w:val="32"/>
          <w:szCs w:val="32"/>
          <w:lang w:val="en-US" w:eastAsia="zh-CN" w:bidi="ar-SA"/>
        </w:rPr>
        <w:t>530</w:t>
      </w:r>
      <w:r>
        <w:rPr>
          <w:rFonts w:hint="eastAsia" w:ascii="Times New Roman" w:hAnsi="Times New Roman" w:eastAsia="仿宋_GB2312" w:cs="Times New Roman"/>
          <w:b w:val="0"/>
          <w:bCs w:val="0"/>
          <w:color w:val="000000"/>
          <w:spacing w:val="0"/>
          <w:kern w:val="2"/>
          <w:sz w:val="32"/>
          <w:szCs w:val="32"/>
          <w:lang w:val="en-US" w:eastAsia="zh-CN" w:bidi="ar-SA"/>
        </w:rPr>
        <w:t>件、线下办件</w:t>
      </w:r>
      <w:r>
        <w:rPr>
          <w:rFonts w:hint="eastAsia" w:cs="Times New Roman"/>
          <w:b w:val="0"/>
          <w:bCs w:val="0"/>
          <w:color w:val="000000"/>
          <w:spacing w:val="0"/>
          <w:kern w:val="2"/>
          <w:sz w:val="32"/>
          <w:szCs w:val="32"/>
          <w:lang w:val="en-US" w:eastAsia="zh-CN" w:bidi="ar-SA"/>
        </w:rPr>
        <w:t>5837</w:t>
      </w:r>
      <w:r>
        <w:rPr>
          <w:rFonts w:hint="eastAsia" w:ascii="Times New Roman" w:hAnsi="Times New Roman" w:eastAsia="仿宋_GB2312" w:cs="Times New Roman"/>
          <w:b w:val="0"/>
          <w:bCs w:val="0"/>
          <w:color w:val="000000"/>
          <w:spacing w:val="0"/>
          <w:kern w:val="2"/>
          <w:sz w:val="32"/>
          <w:szCs w:val="32"/>
          <w:lang w:val="en-US" w:eastAsia="zh-CN" w:bidi="ar-SA"/>
        </w:rPr>
        <w:t>件，按时办结率99.4</w:t>
      </w:r>
      <w:r>
        <w:rPr>
          <w:rFonts w:hint="eastAsia" w:cs="Times New Roman"/>
          <w:b w:val="0"/>
          <w:bCs w:val="0"/>
          <w:color w:val="000000"/>
          <w:spacing w:val="0"/>
          <w:kern w:val="2"/>
          <w:sz w:val="32"/>
          <w:szCs w:val="32"/>
          <w:lang w:val="en-US" w:eastAsia="zh-CN" w:bidi="ar-SA"/>
        </w:rPr>
        <w:t>3</w:t>
      </w:r>
      <w:r>
        <w:rPr>
          <w:rFonts w:hint="eastAsia" w:ascii="Times New Roman" w:hAnsi="Times New Roman" w:eastAsia="仿宋_GB2312" w:cs="Times New Roman"/>
          <w:b w:val="0"/>
          <w:bCs w:val="0"/>
          <w:color w:val="000000"/>
          <w:spacing w:val="0"/>
          <w:kern w:val="2"/>
          <w:sz w:val="32"/>
          <w:szCs w:val="32"/>
          <w:lang w:val="en-US" w:eastAsia="zh-CN" w:bidi="ar-SA"/>
        </w:rPr>
        <w:t>%。</w:t>
      </w:r>
      <w:r>
        <w:rPr>
          <w:rFonts w:hint="eastAsia" w:ascii="仿宋_GB2312" w:hAnsi="仿宋_GB2312" w:eastAsia="仿宋_GB2312" w:cs="仿宋_GB2312"/>
          <w:b/>
          <w:bCs/>
          <w:color w:val="000000"/>
          <w:spacing w:val="0"/>
          <w:kern w:val="2"/>
          <w:sz w:val="32"/>
          <w:szCs w:val="32"/>
          <w:highlight w:val="none"/>
          <w:lang w:val="en-US" w:eastAsia="zh-CN" w:bidi="ar-SA"/>
        </w:rPr>
        <w:t>(2)推进惠企政策直达快享。</w:t>
      </w:r>
      <w:r>
        <w:rPr>
          <w:rFonts w:hint="eastAsia" w:ascii="Times New Roman" w:hAnsi="Times New Roman" w:eastAsia="仿宋_GB2312" w:cs="Times New Roman"/>
          <w:b w:val="0"/>
          <w:bCs w:val="0"/>
          <w:color w:val="000000"/>
          <w:spacing w:val="0"/>
          <w:kern w:val="2"/>
          <w:sz w:val="32"/>
          <w:szCs w:val="32"/>
          <w:lang w:val="en-US" w:eastAsia="zh-CN" w:bidi="ar-SA"/>
        </w:rPr>
        <w:t>县级相关部门认真</w:t>
      </w:r>
      <w:r>
        <w:rPr>
          <w:rFonts w:hint="default" w:ascii="Times New Roman" w:hAnsi="Times New Roman" w:eastAsia="仿宋_GB2312" w:cs="Times New Roman"/>
          <w:color w:val="000000"/>
          <w:spacing w:val="0"/>
          <w:kern w:val="2"/>
          <w:sz w:val="32"/>
          <w:szCs w:val="32"/>
          <w:highlight w:val="none"/>
          <w:lang w:val="en-US" w:eastAsia="zh-CN" w:bidi="ar-SA"/>
        </w:rPr>
        <w:t>对照省级惠企政策事项清单，</w:t>
      </w:r>
      <w:r>
        <w:rPr>
          <w:rFonts w:hint="eastAsia" w:ascii="Times New Roman" w:hAnsi="Times New Roman" w:eastAsia="仿宋_GB2312" w:cs="Times New Roman"/>
          <w:color w:val="000000"/>
          <w:spacing w:val="0"/>
          <w:kern w:val="2"/>
          <w:sz w:val="32"/>
          <w:szCs w:val="32"/>
          <w:highlight w:val="none"/>
          <w:lang w:val="en-US" w:eastAsia="zh-CN" w:bidi="ar-SA"/>
        </w:rPr>
        <w:t>主动</w:t>
      </w:r>
      <w:r>
        <w:rPr>
          <w:rFonts w:hint="default" w:ascii="Times New Roman" w:hAnsi="Times New Roman" w:eastAsia="仿宋_GB2312" w:cs="Times New Roman"/>
          <w:color w:val="000000"/>
          <w:spacing w:val="0"/>
          <w:kern w:val="2"/>
          <w:sz w:val="32"/>
          <w:szCs w:val="32"/>
          <w:highlight w:val="none"/>
          <w:lang w:val="en-US" w:eastAsia="zh-CN" w:bidi="ar-SA"/>
        </w:rPr>
        <w:t>认领编辑发布惠企政策，</w:t>
      </w:r>
      <w:r>
        <w:rPr>
          <w:rFonts w:hint="eastAsia" w:eastAsia="仿宋_GB2312" w:cs="Times New Roman"/>
          <w:b w:val="0"/>
          <w:bCs w:val="0"/>
          <w:color w:val="000000"/>
          <w:spacing w:val="0"/>
          <w:kern w:val="2"/>
          <w:sz w:val="32"/>
          <w:szCs w:val="32"/>
          <w:lang w:val="en-US" w:eastAsia="zh-CN" w:bidi="ar-SA"/>
        </w:rPr>
        <w:t>截至目前</w:t>
      </w:r>
      <w:r>
        <w:rPr>
          <w:rFonts w:hint="eastAsia" w:ascii="Times New Roman" w:hAnsi="Times New Roman" w:eastAsia="仿宋_GB2312" w:cs="Times New Roman"/>
          <w:b w:val="0"/>
          <w:bCs w:val="0"/>
          <w:color w:val="000000"/>
          <w:spacing w:val="0"/>
          <w:kern w:val="2"/>
          <w:sz w:val="32"/>
          <w:szCs w:val="32"/>
          <w:lang w:val="en-US" w:eastAsia="zh-CN" w:bidi="ar-SA"/>
        </w:rPr>
        <w:t>，县级相关部门通过助企惠企服务专区管理平台认领惠企政策事项</w:t>
      </w:r>
      <w:r>
        <w:rPr>
          <w:rFonts w:hint="eastAsia" w:cs="Times New Roman"/>
          <w:b w:val="0"/>
          <w:bCs w:val="0"/>
          <w:color w:val="000000"/>
          <w:spacing w:val="0"/>
          <w:kern w:val="2"/>
          <w:sz w:val="32"/>
          <w:szCs w:val="32"/>
          <w:lang w:val="en-US" w:eastAsia="zh-CN" w:bidi="ar-SA"/>
        </w:rPr>
        <w:t>74</w:t>
      </w:r>
      <w:r>
        <w:rPr>
          <w:rFonts w:hint="eastAsia" w:ascii="Times New Roman" w:hAnsi="Times New Roman" w:eastAsia="仿宋_GB2312" w:cs="Times New Roman"/>
          <w:b w:val="0"/>
          <w:bCs w:val="0"/>
          <w:color w:val="000000"/>
          <w:spacing w:val="0"/>
          <w:kern w:val="2"/>
          <w:sz w:val="32"/>
          <w:szCs w:val="32"/>
          <w:lang w:val="en-US" w:eastAsia="zh-CN" w:bidi="ar-SA"/>
        </w:rPr>
        <w:t>项，废止已认领到期惠企政策</w:t>
      </w:r>
      <w:r>
        <w:rPr>
          <w:rFonts w:hint="eastAsia" w:cs="Times New Roman"/>
          <w:b w:val="0"/>
          <w:bCs w:val="0"/>
          <w:color w:val="000000"/>
          <w:spacing w:val="0"/>
          <w:kern w:val="2"/>
          <w:sz w:val="32"/>
          <w:szCs w:val="32"/>
          <w:lang w:val="en-US" w:eastAsia="zh-CN" w:bidi="ar-SA"/>
        </w:rPr>
        <w:t>4</w:t>
      </w:r>
      <w:r>
        <w:rPr>
          <w:rFonts w:hint="eastAsia" w:ascii="Times New Roman" w:hAnsi="Times New Roman" w:eastAsia="仿宋_GB2312" w:cs="Times New Roman"/>
          <w:b w:val="0"/>
          <w:bCs w:val="0"/>
          <w:color w:val="000000"/>
          <w:spacing w:val="0"/>
          <w:kern w:val="2"/>
          <w:sz w:val="32"/>
          <w:szCs w:val="32"/>
          <w:lang w:val="en-US" w:eastAsia="zh-CN" w:bidi="ar-SA"/>
        </w:rPr>
        <w:t>项（为县经信局、住建局、林草局、行政审批局</w:t>
      </w:r>
      <w:r>
        <w:rPr>
          <w:rFonts w:hint="eastAsia" w:cs="Times New Roman"/>
          <w:b w:val="0"/>
          <w:bCs w:val="0"/>
          <w:color w:val="000000"/>
          <w:spacing w:val="0"/>
          <w:kern w:val="2"/>
          <w:sz w:val="32"/>
          <w:szCs w:val="32"/>
          <w:lang w:val="en-US" w:eastAsia="zh-CN" w:bidi="ar-SA"/>
        </w:rPr>
        <w:t>认领的各1项</w:t>
      </w:r>
      <w:r>
        <w:rPr>
          <w:rFonts w:hint="eastAsia" w:ascii="Times New Roman" w:hAnsi="Times New Roman" w:eastAsia="仿宋_GB2312" w:cs="Times New Roman"/>
          <w:b w:val="0"/>
          <w:bCs w:val="0"/>
          <w:color w:val="000000"/>
          <w:spacing w:val="0"/>
          <w:kern w:val="2"/>
          <w:sz w:val="32"/>
          <w:szCs w:val="32"/>
          <w:lang w:val="en-US" w:eastAsia="zh-CN" w:bidi="ar-SA"/>
        </w:rPr>
        <w:t>）。</w:t>
      </w:r>
    </w:p>
    <w:p w14:paraId="7B93305A">
      <w:pPr>
        <w:pStyle w:val="36"/>
        <w:keepNext w:val="0"/>
        <w:keepLines w:val="0"/>
        <w:pageBreakBefore w:val="0"/>
        <w:widowControl w:val="0"/>
        <w:numPr>
          <w:ilvl w:val="0"/>
          <w:numId w:val="0"/>
        </w:numPr>
        <w:kinsoku/>
        <w:wordWrap/>
        <w:overflowPunct/>
        <w:topLinePunct w:val="0"/>
        <w:autoSpaceDE/>
        <w:autoSpaceDN/>
        <w:bidi w:val="0"/>
        <w:adjustRightInd w:val="0"/>
        <w:snapToGrid w:val="0"/>
        <w:spacing w:beforeAutospacing="0" w:afterAutospacing="0" w:line="576" w:lineRule="exact"/>
        <w:ind w:left="0" w:leftChars="0" w:right="0" w:rightChars="0" w:firstLine="643" w:firstLineChars="200"/>
        <w:jc w:val="both"/>
        <w:rPr>
          <w:rFonts w:hint="eastAsia" w:ascii="仿宋_GB2312" w:hAnsi="仿宋_GB2312" w:eastAsia="仿宋_GB2312" w:cs="仿宋_GB2312"/>
          <w:color w:val="000000"/>
          <w:spacing w:val="0"/>
          <w:sz w:val="32"/>
          <w:szCs w:val="32"/>
          <w:lang w:val="en-US" w:eastAsia="zh-CN"/>
        </w:rPr>
      </w:pPr>
      <w:r>
        <w:rPr>
          <w:rFonts w:hint="eastAsia" w:ascii="仿宋_GB2312" w:hAnsi="仿宋_GB2312" w:eastAsia="仿宋_GB2312" w:cs="仿宋_GB2312"/>
          <w:b/>
          <w:bCs/>
          <w:color w:val="000000"/>
          <w:spacing w:val="0"/>
          <w:kern w:val="2"/>
          <w:sz w:val="32"/>
          <w:szCs w:val="32"/>
          <w:lang w:val="en-US" w:eastAsia="zh-CN" w:bidi="ar-SA"/>
        </w:rPr>
        <w:t>4.持续加强“12345”政务服务便民热线的运行管理。</w:t>
      </w:r>
      <w:r>
        <w:rPr>
          <w:rFonts w:hint="eastAsia" w:ascii="仿宋_GB2312" w:hAnsi="仿宋_GB2312" w:eastAsia="仿宋_GB2312" w:cs="仿宋_GB2312"/>
          <w:color w:val="000000"/>
          <w:spacing w:val="0"/>
          <w:kern w:val="2"/>
          <w:sz w:val="32"/>
          <w:szCs w:val="32"/>
          <w:highlight w:val="none"/>
          <w:lang w:val="en-US" w:eastAsia="zh-CN" w:bidi="ar-SA"/>
        </w:rPr>
        <w:t>强化“12345”政务服务便民热线的服务管理，指导督促涉诉单位进一步提升工单处理效率，及时回应群众关切，解决群众诉求，</w:t>
      </w:r>
      <w:r>
        <w:rPr>
          <w:rFonts w:hint="default" w:ascii="Times New Roman" w:hAnsi="Times New Roman" w:eastAsia="仿宋_GB2312" w:cs="Times New Roman"/>
          <w:color w:val="000000"/>
          <w:spacing w:val="0"/>
          <w:kern w:val="2"/>
          <w:sz w:val="32"/>
          <w:szCs w:val="32"/>
          <w:highlight w:val="none"/>
          <w:lang w:val="en-US" w:eastAsia="zh-CN" w:bidi="ar-SA"/>
        </w:rPr>
        <w:t>着力</w:t>
      </w:r>
      <w:r>
        <w:rPr>
          <w:rFonts w:hint="eastAsia" w:ascii="Times New Roman" w:hAnsi="Times New Roman" w:eastAsia="仿宋_GB2312" w:cs="Times New Roman"/>
          <w:color w:val="000000"/>
          <w:spacing w:val="0"/>
          <w:kern w:val="2"/>
          <w:sz w:val="32"/>
          <w:szCs w:val="32"/>
          <w:highlight w:val="none"/>
          <w:lang w:val="en-US" w:eastAsia="zh-CN" w:bidi="ar-SA"/>
        </w:rPr>
        <w:t>将热线</w:t>
      </w:r>
      <w:r>
        <w:rPr>
          <w:rFonts w:hint="default" w:ascii="Times New Roman" w:hAnsi="Times New Roman" w:eastAsia="仿宋_GB2312" w:cs="Times New Roman"/>
          <w:color w:val="000000"/>
          <w:spacing w:val="0"/>
          <w:kern w:val="2"/>
          <w:sz w:val="32"/>
          <w:szCs w:val="32"/>
          <w:highlight w:val="none"/>
          <w:lang w:val="en-US" w:eastAsia="zh-CN" w:bidi="ar-SA"/>
        </w:rPr>
        <w:t>打造</w:t>
      </w:r>
      <w:r>
        <w:rPr>
          <w:rFonts w:hint="eastAsia" w:ascii="Times New Roman" w:hAnsi="Times New Roman" w:eastAsia="仿宋_GB2312" w:cs="Times New Roman"/>
          <w:color w:val="000000"/>
          <w:spacing w:val="0"/>
          <w:kern w:val="2"/>
          <w:sz w:val="32"/>
          <w:szCs w:val="32"/>
          <w:highlight w:val="none"/>
          <w:lang w:val="en-US" w:eastAsia="zh-CN" w:bidi="ar-SA"/>
        </w:rPr>
        <w:t>建成</w:t>
      </w:r>
      <w:r>
        <w:rPr>
          <w:rFonts w:hint="default" w:ascii="Times New Roman" w:hAnsi="Times New Roman" w:eastAsia="仿宋_GB2312" w:cs="Times New Roman"/>
          <w:color w:val="000000"/>
          <w:spacing w:val="0"/>
          <w:kern w:val="2"/>
          <w:sz w:val="32"/>
          <w:szCs w:val="32"/>
          <w:highlight w:val="none"/>
          <w:lang w:val="en-US" w:eastAsia="zh-CN" w:bidi="ar-SA"/>
        </w:rPr>
        <w:t>政府与群众、企业</w:t>
      </w:r>
      <w:r>
        <w:rPr>
          <w:rFonts w:hint="eastAsia" w:ascii="Times New Roman" w:hAnsi="Times New Roman" w:eastAsia="仿宋_GB2312" w:cs="Times New Roman"/>
          <w:color w:val="000000"/>
          <w:spacing w:val="0"/>
          <w:kern w:val="2"/>
          <w:sz w:val="32"/>
          <w:szCs w:val="32"/>
          <w:highlight w:val="none"/>
          <w:lang w:val="en-US" w:eastAsia="zh-CN" w:bidi="ar-SA"/>
        </w:rPr>
        <w:t>间的“</w:t>
      </w:r>
      <w:r>
        <w:rPr>
          <w:rFonts w:hint="default" w:ascii="Times New Roman" w:hAnsi="Times New Roman" w:eastAsia="仿宋_GB2312" w:cs="Times New Roman"/>
          <w:color w:val="000000"/>
          <w:spacing w:val="0"/>
          <w:kern w:val="2"/>
          <w:sz w:val="32"/>
          <w:szCs w:val="32"/>
          <w:highlight w:val="none"/>
          <w:lang w:val="en-US" w:eastAsia="zh-CN" w:bidi="ar-SA"/>
        </w:rPr>
        <w:t>连心桥</w:t>
      </w:r>
      <w:r>
        <w:rPr>
          <w:rFonts w:hint="eastAsia" w:ascii="Times New Roman" w:hAnsi="Times New Roman" w:eastAsia="仿宋_GB2312" w:cs="Times New Roman"/>
          <w:color w:val="000000"/>
          <w:spacing w:val="0"/>
          <w:kern w:val="2"/>
          <w:sz w:val="32"/>
          <w:szCs w:val="32"/>
          <w:highlight w:val="none"/>
          <w:lang w:val="en-US" w:eastAsia="zh-CN" w:bidi="ar-SA"/>
        </w:rPr>
        <w:t>”，积极作为扎实主动办理群众各类诉求，拉近党委、政府与群众距离。</w:t>
      </w:r>
      <w:r>
        <w:rPr>
          <w:rFonts w:hint="eastAsia" w:eastAsia="仿宋_GB2312" w:cs="Times New Roman"/>
          <w:b w:val="0"/>
          <w:bCs w:val="0"/>
          <w:color w:val="000000"/>
          <w:spacing w:val="0"/>
          <w:kern w:val="2"/>
          <w:sz w:val="32"/>
          <w:szCs w:val="32"/>
          <w:lang w:val="en-US" w:eastAsia="zh-CN" w:bidi="ar-SA"/>
        </w:rPr>
        <w:t>截至目前</w:t>
      </w:r>
      <w:r>
        <w:rPr>
          <w:rFonts w:hint="eastAsia" w:ascii="Times New Roman" w:hAnsi="Times New Roman" w:eastAsia="仿宋_GB2312" w:cs="Times New Roman"/>
          <w:b w:val="0"/>
          <w:bCs w:val="0"/>
          <w:color w:val="000000"/>
          <w:spacing w:val="0"/>
          <w:kern w:val="2"/>
          <w:sz w:val="32"/>
          <w:szCs w:val="32"/>
          <w:lang w:val="en-US" w:eastAsia="zh-CN" w:bidi="ar-SA"/>
        </w:rPr>
        <w:t>，</w:t>
      </w:r>
      <w:r>
        <w:rPr>
          <w:rFonts w:hint="eastAsia" w:ascii="仿宋_GB2312" w:hAnsi="仿宋_GB2312" w:eastAsia="仿宋_GB2312" w:cs="仿宋_GB2312"/>
          <w:b w:val="0"/>
          <w:bCs w:val="0"/>
          <w:color w:val="000000"/>
          <w:spacing w:val="0"/>
          <w:kern w:val="2"/>
          <w:sz w:val="32"/>
          <w:szCs w:val="32"/>
          <w:lang w:val="en-US" w:eastAsia="zh-CN" w:bidi="ar-SA"/>
        </w:rPr>
        <w:t>全县共受理</w:t>
      </w:r>
      <w:r>
        <w:rPr>
          <w:rFonts w:hint="eastAsia" w:ascii="仿宋_GB2312" w:hAnsi="仿宋_GB2312" w:eastAsia="仿宋_GB2312" w:cs="仿宋_GB2312"/>
          <w:color w:val="000000"/>
          <w:spacing w:val="0"/>
          <w:kern w:val="2"/>
          <w:sz w:val="32"/>
          <w:szCs w:val="32"/>
          <w:highlight w:val="none"/>
          <w:lang w:val="en-US" w:eastAsia="zh-CN" w:bidi="ar-SA"/>
        </w:rPr>
        <w:t>“12345”政务服务便民热线群众诉求工单</w:t>
      </w:r>
      <w:r>
        <w:rPr>
          <w:rFonts w:hint="eastAsia" w:ascii="仿宋_GB2312" w:hAnsi="仿宋_GB2312" w:cs="仿宋_GB2312"/>
          <w:b w:val="0"/>
          <w:bCs w:val="0"/>
          <w:color w:val="000000"/>
          <w:spacing w:val="0"/>
          <w:kern w:val="2"/>
          <w:sz w:val="32"/>
          <w:szCs w:val="32"/>
          <w:lang w:val="en-US" w:eastAsia="zh-CN" w:bidi="ar-SA"/>
        </w:rPr>
        <w:t>962</w:t>
      </w:r>
      <w:r>
        <w:rPr>
          <w:rFonts w:hint="eastAsia" w:ascii="仿宋_GB2312" w:hAnsi="仿宋_GB2312" w:eastAsia="仿宋_GB2312" w:cs="仿宋_GB2312"/>
          <w:b w:val="0"/>
          <w:bCs w:val="0"/>
          <w:color w:val="000000"/>
          <w:spacing w:val="0"/>
          <w:kern w:val="2"/>
          <w:sz w:val="32"/>
          <w:szCs w:val="32"/>
          <w:lang w:val="en-US" w:eastAsia="zh-CN" w:bidi="ar-SA"/>
        </w:rPr>
        <w:t>件，</w:t>
      </w:r>
      <w:r>
        <w:rPr>
          <w:rFonts w:hint="eastAsia" w:ascii="仿宋_GB2312" w:hAnsi="仿宋_GB2312" w:eastAsia="仿宋_GB2312" w:cs="仿宋_GB2312"/>
          <w:color w:val="000000"/>
          <w:spacing w:val="0"/>
          <w:kern w:val="2"/>
          <w:sz w:val="32"/>
          <w:szCs w:val="32"/>
          <w:highlight w:val="none"/>
          <w:lang w:val="en-US" w:eastAsia="zh-CN" w:bidi="ar-SA"/>
        </w:rPr>
        <w:t>巩固100%的热线接通率、满意率、按时办结率。</w:t>
      </w:r>
    </w:p>
    <w:p w14:paraId="70FE58D2">
      <w:pPr>
        <w:pStyle w:val="36"/>
        <w:keepNext w:val="0"/>
        <w:keepLines w:val="0"/>
        <w:pageBreakBefore w:val="0"/>
        <w:widowControl w:val="0"/>
        <w:kinsoku/>
        <w:wordWrap/>
        <w:overflowPunct/>
        <w:topLinePunct w:val="0"/>
        <w:autoSpaceDE/>
        <w:autoSpaceDN/>
        <w:bidi w:val="0"/>
        <w:spacing w:beforeAutospacing="0" w:afterAutospacing="0" w:line="576" w:lineRule="exact"/>
        <w:ind w:left="0" w:leftChars="0" w:right="0" w:firstLine="643" w:firstLineChars="200"/>
        <w:jc w:val="both"/>
        <w:rPr>
          <w:rFonts w:hint="eastAsia" w:ascii="Times New Roman" w:hAnsi="Times New Roman" w:eastAsia="仿宋_GB2312" w:cs="Times New Roman"/>
          <w:color w:val="000000"/>
          <w:spacing w:val="0"/>
          <w:kern w:val="2"/>
          <w:sz w:val="32"/>
          <w:szCs w:val="32"/>
          <w:highlight w:val="none"/>
          <w:lang w:val="en-US" w:eastAsia="zh-CN" w:bidi="ar-SA"/>
        </w:rPr>
      </w:pPr>
      <w:r>
        <w:rPr>
          <w:rFonts w:hint="eastAsia" w:ascii="仿宋_GB2312" w:hAnsi="仿宋_GB2312" w:eastAsia="仿宋_GB2312" w:cs="仿宋_GB2312"/>
          <w:b/>
          <w:bCs/>
          <w:color w:val="000000"/>
          <w:spacing w:val="0"/>
          <w:kern w:val="2"/>
          <w:sz w:val="32"/>
          <w:szCs w:val="32"/>
          <w:lang w:val="en-US" w:eastAsia="zh-CN" w:bidi="ar-SA"/>
        </w:rPr>
        <w:t>5.持续推动公共资源阳光交易。</w:t>
      </w:r>
      <w:r>
        <w:rPr>
          <w:rFonts w:hint="eastAsia" w:ascii="仿宋_GB2312" w:hAnsi="仿宋_GB2312" w:eastAsia="仿宋_GB2312" w:cs="仿宋_GB2312"/>
          <w:b w:val="0"/>
          <w:bCs w:val="0"/>
          <w:color w:val="000000"/>
          <w:spacing w:val="0"/>
          <w:kern w:val="2"/>
          <w:sz w:val="32"/>
          <w:szCs w:val="32"/>
          <w:lang w:val="en-US" w:eastAsia="zh-CN" w:bidi="ar-SA"/>
        </w:rPr>
        <w:t>我局切实加强业务人员的业务素质、廉洁意识提升，不定期组织开展《中华人民共和国政府采购法》及相关业务知识培训。2025年</w:t>
      </w:r>
      <w:r>
        <w:rPr>
          <w:rFonts w:hint="eastAsia" w:ascii="Times New Roman" w:hAnsi="Times New Roman" w:eastAsia="仿宋_GB2312" w:cs="Times New Roman"/>
          <w:color w:val="000000"/>
          <w:spacing w:val="0"/>
          <w:kern w:val="2"/>
          <w:sz w:val="32"/>
          <w:szCs w:val="32"/>
          <w:highlight w:val="none"/>
          <w:lang w:val="en-US" w:eastAsia="zh-CN" w:bidi="ar-SA"/>
        </w:rPr>
        <w:t>按照政府采购有关制度规定切实保证</w:t>
      </w:r>
      <w:r>
        <w:rPr>
          <w:rFonts w:hint="default" w:ascii="Times New Roman" w:hAnsi="Times New Roman" w:eastAsia="仿宋_GB2312" w:cs="Times New Roman"/>
          <w:color w:val="000000"/>
          <w:spacing w:val="0"/>
          <w:kern w:val="2"/>
          <w:sz w:val="32"/>
          <w:szCs w:val="32"/>
          <w:highlight w:val="none"/>
          <w:lang w:val="en-US" w:eastAsia="zh-CN" w:bidi="ar-SA"/>
        </w:rPr>
        <w:t>交易流程</w:t>
      </w:r>
      <w:r>
        <w:rPr>
          <w:rFonts w:hint="eastAsia" w:ascii="Times New Roman" w:hAnsi="Times New Roman" w:eastAsia="仿宋_GB2312" w:cs="Times New Roman"/>
          <w:color w:val="000000"/>
          <w:spacing w:val="0"/>
          <w:kern w:val="2"/>
          <w:sz w:val="32"/>
          <w:szCs w:val="32"/>
          <w:highlight w:val="none"/>
          <w:lang w:val="en-US" w:eastAsia="zh-CN" w:bidi="ar-SA"/>
        </w:rPr>
        <w:t>公开</w:t>
      </w:r>
      <w:r>
        <w:rPr>
          <w:rFonts w:hint="default" w:ascii="Times New Roman" w:hAnsi="Times New Roman" w:eastAsia="仿宋_GB2312" w:cs="Times New Roman"/>
          <w:color w:val="000000"/>
          <w:spacing w:val="0"/>
          <w:kern w:val="2"/>
          <w:sz w:val="32"/>
          <w:szCs w:val="32"/>
          <w:highlight w:val="none"/>
          <w:lang w:val="en-US" w:eastAsia="zh-CN" w:bidi="ar-SA"/>
        </w:rPr>
        <w:t>透明</w:t>
      </w:r>
      <w:r>
        <w:rPr>
          <w:rFonts w:hint="eastAsia" w:ascii="Times New Roman" w:hAnsi="Times New Roman" w:eastAsia="仿宋_GB2312" w:cs="Times New Roman"/>
          <w:color w:val="000000"/>
          <w:spacing w:val="0"/>
          <w:kern w:val="2"/>
          <w:sz w:val="32"/>
          <w:szCs w:val="32"/>
          <w:highlight w:val="none"/>
          <w:lang w:val="en-US" w:eastAsia="zh-CN" w:bidi="ar-SA"/>
        </w:rPr>
        <w:t>、交易结果</w:t>
      </w:r>
      <w:r>
        <w:rPr>
          <w:rFonts w:hint="default" w:ascii="Times New Roman" w:hAnsi="Times New Roman" w:eastAsia="仿宋_GB2312" w:cs="Times New Roman"/>
          <w:color w:val="000000"/>
          <w:spacing w:val="0"/>
          <w:kern w:val="2"/>
          <w:sz w:val="32"/>
          <w:szCs w:val="32"/>
          <w:highlight w:val="none"/>
          <w:lang w:val="en-US" w:eastAsia="zh-CN" w:bidi="ar-SA"/>
        </w:rPr>
        <w:t>完整、真实。</w:t>
      </w:r>
      <w:r>
        <w:rPr>
          <w:rFonts w:hint="eastAsia" w:eastAsia="仿宋_GB2312" w:cs="Times New Roman"/>
          <w:color w:val="000000"/>
          <w:spacing w:val="0"/>
          <w:kern w:val="2"/>
          <w:sz w:val="32"/>
          <w:szCs w:val="32"/>
          <w:highlight w:val="none"/>
          <w:lang w:val="en-US" w:eastAsia="zh-CN" w:bidi="ar-SA"/>
        </w:rPr>
        <w:t>截至目前</w:t>
      </w:r>
      <w:r>
        <w:rPr>
          <w:rFonts w:hint="eastAsia" w:cs="Times New Roman"/>
          <w:color w:val="000000"/>
          <w:spacing w:val="0"/>
          <w:kern w:val="2"/>
          <w:sz w:val="32"/>
          <w:szCs w:val="32"/>
          <w:highlight w:val="none"/>
          <w:lang w:val="en-US" w:eastAsia="zh-CN" w:bidi="ar-SA"/>
        </w:rPr>
        <w:t>，</w:t>
      </w:r>
      <w:r>
        <w:rPr>
          <w:rFonts w:hint="eastAsia" w:ascii="Times New Roman" w:hAnsi="Times New Roman" w:eastAsia="仿宋_GB2312" w:cs="Times New Roman"/>
          <w:color w:val="000000"/>
          <w:spacing w:val="0"/>
          <w:kern w:val="2"/>
          <w:sz w:val="32"/>
          <w:szCs w:val="32"/>
          <w:highlight w:val="none"/>
          <w:lang w:val="en-US" w:eastAsia="zh-CN" w:bidi="ar-SA"/>
        </w:rPr>
        <w:t>已完成政府采购项目39个，预算价10348.15万元、中标价8948.19万元、节约财政资金1399.96万元，结余率为13%，有效地降低了财政支出，最大限度地发挥了财政资金使用效益。</w:t>
      </w:r>
    </w:p>
    <w:p w14:paraId="4EC37D61">
      <w:pPr>
        <w:pStyle w:val="36"/>
        <w:keepNext w:val="0"/>
        <w:keepLines w:val="0"/>
        <w:pageBreakBefore w:val="0"/>
        <w:widowControl w:val="0"/>
        <w:kinsoku/>
        <w:wordWrap/>
        <w:overflowPunct/>
        <w:topLinePunct w:val="0"/>
        <w:autoSpaceDE/>
        <w:autoSpaceDN/>
        <w:bidi w:val="0"/>
        <w:spacing w:beforeAutospacing="0" w:afterAutospacing="0" w:line="576" w:lineRule="exact"/>
        <w:ind w:left="0" w:leftChars="0" w:right="0" w:firstLine="643" w:firstLineChars="200"/>
        <w:jc w:val="both"/>
        <w:rPr>
          <w:rFonts w:hint="eastAsia" w:ascii="仿宋_GB2312" w:hAnsi="仿宋_GB2312" w:cs="仿宋_GB2312"/>
          <w:color w:val="404040"/>
          <w:sz w:val="32"/>
          <w:szCs w:val="32"/>
          <w:lang w:eastAsia="zh-CN"/>
        </w:rPr>
      </w:pPr>
      <w:r>
        <w:rPr>
          <w:rFonts w:hint="eastAsia" w:ascii="仿宋_GB2312" w:hAnsi="仿宋_GB2312" w:eastAsia="仿宋_GB2312" w:cs="仿宋_GB2312"/>
          <w:b/>
          <w:bCs/>
          <w:color w:val="000000"/>
          <w:spacing w:val="0"/>
          <w:kern w:val="2"/>
          <w:sz w:val="32"/>
          <w:szCs w:val="32"/>
          <w:vertAlign w:val="baseline"/>
          <w:lang w:val="en-US" w:eastAsia="zh-CN" w:bidi="ar-SA"/>
        </w:rPr>
        <w:t>6.持续推进“天府通办”分站点运营，提升多端协同服务能力。</w:t>
      </w:r>
      <w:r>
        <w:rPr>
          <w:rFonts w:hint="eastAsia" w:ascii="仿宋_GB2312" w:hAnsi="仿宋_GB2312" w:eastAsia="仿宋_GB2312" w:cs="仿宋_GB2312"/>
          <w:b w:val="0"/>
          <w:bCs w:val="0"/>
          <w:color w:val="000000"/>
          <w:sz w:val="32"/>
          <w:szCs w:val="32"/>
          <w:lang w:val="en-US" w:eastAsia="zh-CN"/>
        </w:rPr>
        <w:t>根据“天府通办”分站点巡检质检规则，从接入应用、一件事服务专区为重点，从办事指南准确性、办事流程规范性以及一件事可用性等方面深入开展自查工作，</w:t>
      </w:r>
      <w:r>
        <w:rPr>
          <w:rFonts w:hint="eastAsia" w:ascii="仿宋_GB2312" w:hAnsi="仿宋_GB2312" w:eastAsia="仿宋_GB2312" w:cs="仿宋_GB2312"/>
          <w:b w:val="0"/>
          <w:bCs w:val="0"/>
          <w:color w:val="000000"/>
          <w:kern w:val="0"/>
          <w:sz w:val="32"/>
          <w:szCs w:val="32"/>
          <w:lang w:val="en-US" w:eastAsia="zh-CN" w:bidi="ar-SA"/>
        </w:rPr>
        <w:t>每月开展网络安全专项检查全面提升网络安全管理水平。</w:t>
      </w:r>
      <w:r>
        <w:rPr>
          <w:rFonts w:hint="eastAsia" w:ascii="仿宋_GB2312" w:hAnsi="仿宋_GB2312" w:eastAsia="仿宋_GB2312" w:cs="仿宋_GB2312"/>
          <w:color w:val="000000"/>
          <w:kern w:val="0"/>
          <w:sz w:val="32"/>
          <w:szCs w:val="32"/>
          <w:lang w:val="en-US" w:eastAsia="zh-CN" w:bidi="ar-SA"/>
        </w:rPr>
        <w:t>组织专业技术人员对重要网络和信息系统管理运行、网络安全技术防范措施、网络安全设施设备服务器进行定时排查，今年以来，自查</w:t>
      </w:r>
      <w:r>
        <w:rPr>
          <w:rFonts w:hint="eastAsia" w:ascii="仿宋_GB2312" w:hAnsi="仿宋_GB2312" w:eastAsia="仿宋_GB2312" w:cs="仿宋_GB2312"/>
          <w:sz w:val="32"/>
          <w:szCs w:val="32"/>
        </w:rPr>
        <w:t>后台高危风险</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安全漏洞自检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应用自检整改</w:t>
      </w:r>
      <w:r>
        <w:rPr>
          <w:rFonts w:hint="eastAsia" w:ascii="仿宋_GB2312" w:hAnsi="仿宋_GB2312" w:eastAsia="仿宋_GB2312" w:cs="仿宋_GB2312"/>
          <w:sz w:val="32"/>
          <w:szCs w:val="32"/>
          <w:lang w:val="en-US" w:eastAsia="zh-CN"/>
        </w:rPr>
        <w:t>8</w:t>
      </w:r>
      <w:r>
        <w:rPr>
          <w:rFonts w:hint="eastAsia" w:ascii="仿宋_GB2312" w:hAnsi="仿宋_GB2312" w:eastAsia="仿宋_GB2312" w:cs="仿宋_GB2312"/>
          <w:sz w:val="32"/>
          <w:szCs w:val="32"/>
        </w:rPr>
        <w:t>次</w:t>
      </w:r>
      <w:r>
        <w:rPr>
          <w:rFonts w:hint="eastAsia" w:ascii="仿宋_GB2312" w:hAnsi="仿宋_GB2312" w:eastAsia="仿宋_GB2312" w:cs="仿宋_GB2312"/>
          <w:sz w:val="32"/>
          <w:szCs w:val="32"/>
          <w:lang w:eastAsia="zh-CN"/>
        </w:rPr>
        <w:t>，整改州级反馈异常数据</w:t>
      </w:r>
      <w:r>
        <w:rPr>
          <w:rFonts w:hint="eastAsia" w:ascii="仿宋_GB2312" w:hAnsi="仿宋_GB2312" w:eastAsia="仿宋_GB2312" w:cs="仿宋_GB2312"/>
          <w:sz w:val="32"/>
          <w:szCs w:val="32"/>
          <w:lang w:val="en-US" w:eastAsia="zh-CN"/>
        </w:rPr>
        <w:t>3次。同时</w:t>
      </w:r>
      <w:r>
        <w:rPr>
          <w:rFonts w:hint="eastAsia" w:ascii="仿宋_GB2312" w:hAnsi="仿宋_GB2312" w:eastAsia="仿宋_GB2312" w:cs="仿宋_GB2312"/>
          <w:color w:val="404040"/>
          <w:sz w:val="32"/>
          <w:szCs w:val="32"/>
          <w:lang w:eastAsia="zh-CN"/>
        </w:rPr>
        <w:t>接入</w:t>
      </w:r>
      <w:r>
        <w:rPr>
          <w:rFonts w:hint="eastAsia" w:ascii="仿宋_GB2312" w:hAnsi="仿宋_GB2312" w:eastAsia="仿宋_GB2312" w:cs="仿宋_GB2312"/>
          <w:color w:val="404040"/>
          <w:sz w:val="32"/>
          <w:szCs w:val="32"/>
        </w:rPr>
        <w:t>“阿坝州惠企通”平台</w:t>
      </w:r>
      <w:r>
        <w:rPr>
          <w:rFonts w:hint="eastAsia" w:ascii="仿宋_GB2312" w:hAnsi="仿宋_GB2312" w:eastAsia="仿宋_GB2312" w:cs="仿宋_GB2312"/>
          <w:color w:val="404040"/>
          <w:sz w:val="32"/>
          <w:szCs w:val="32"/>
          <w:lang w:eastAsia="zh-CN"/>
        </w:rPr>
        <w:t>应用建设专区，</w:t>
      </w:r>
      <w:r>
        <w:rPr>
          <w:rFonts w:hint="eastAsia" w:ascii="仿宋_GB2312" w:hAnsi="仿宋_GB2312" w:eastAsia="仿宋_GB2312" w:cs="仿宋_GB2312"/>
          <w:color w:val="404040"/>
          <w:sz w:val="32"/>
          <w:szCs w:val="32"/>
        </w:rPr>
        <w:t>整合</w:t>
      </w:r>
      <w:r>
        <w:rPr>
          <w:rFonts w:hint="eastAsia" w:ascii="仿宋_GB2312" w:hAnsi="仿宋_GB2312" w:eastAsia="仿宋_GB2312" w:cs="仿宋_GB2312"/>
          <w:color w:val="404040"/>
          <w:sz w:val="32"/>
          <w:szCs w:val="32"/>
          <w:lang w:eastAsia="zh-CN"/>
        </w:rPr>
        <w:t>发布</w:t>
      </w:r>
      <w:r>
        <w:rPr>
          <w:rFonts w:hint="eastAsia" w:ascii="仿宋_GB2312" w:hAnsi="仿宋_GB2312" w:eastAsia="仿宋_GB2312" w:cs="仿宋_GB2312"/>
          <w:color w:val="404040"/>
          <w:sz w:val="32"/>
          <w:szCs w:val="32"/>
        </w:rPr>
        <w:t>省、州48项最新政策</w:t>
      </w:r>
      <w:r>
        <w:rPr>
          <w:rFonts w:hint="eastAsia" w:ascii="仿宋_GB2312" w:hAnsi="仿宋_GB2312" w:eastAsia="仿宋_GB2312" w:cs="仿宋_GB2312"/>
          <w:color w:val="404040"/>
          <w:sz w:val="32"/>
          <w:szCs w:val="32"/>
          <w:lang w:eastAsia="zh-CN"/>
        </w:rPr>
        <w:t>、</w:t>
      </w:r>
      <w:r>
        <w:rPr>
          <w:rFonts w:hint="eastAsia" w:ascii="仿宋_GB2312" w:hAnsi="仿宋_GB2312" w:eastAsia="仿宋_GB2312" w:cs="仿宋_GB2312"/>
          <w:color w:val="404040"/>
          <w:sz w:val="32"/>
          <w:szCs w:val="32"/>
        </w:rPr>
        <w:t>16权威解读以及1项红原县本地的特色扶持政策</w:t>
      </w:r>
      <w:r>
        <w:rPr>
          <w:rFonts w:hint="eastAsia" w:ascii="仿宋_GB2312" w:hAnsi="仿宋_GB2312" w:cs="仿宋_GB2312"/>
          <w:color w:val="404040"/>
          <w:sz w:val="32"/>
          <w:szCs w:val="32"/>
          <w:lang w:eastAsia="zh-CN"/>
        </w:rPr>
        <w:t>。</w:t>
      </w:r>
    </w:p>
    <w:p w14:paraId="2EAC7259">
      <w:pPr>
        <w:pStyle w:val="36"/>
        <w:keepNext w:val="0"/>
        <w:keepLines w:val="0"/>
        <w:pageBreakBefore w:val="0"/>
        <w:widowControl w:val="0"/>
        <w:kinsoku/>
        <w:wordWrap/>
        <w:overflowPunct/>
        <w:topLinePunct w:val="0"/>
        <w:autoSpaceDE/>
        <w:autoSpaceDN/>
        <w:bidi w:val="0"/>
        <w:spacing w:beforeAutospacing="0" w:afterAutospacing="0" w:line="576" w:lineRule="exact"/>
        <w:ind w:left="0" w:leftChars="0" w:right="0" w:firstLine="643" w:firstLineChars="200"/>
        <w:jc w:val="both"/>
        <w:rPr>
          <w:rFonts w:hint="eastAsia"/>
          <w:lang w:val="en-US" w:eastAsia="zh-CN"/>
        </w:rPr>
      </w:pPr>
      <w:r>
        <w:rPr>
          <w:rFonts w:hint="eastAsia" w:ascii="仿宋_GB2312" w:hAnsi="仿宋_GB2312" w:eastAsia="仿宋_GB2312" w:cs="仿宋_GB2312"/>
          <w:b/>
          <w:bCs/>
          <w:color w:val="000000"/>
          <w:spacing w:val="0"/>
          <w:kern w:val="2"/>
          <w:sz w:val="32"/>
          <w:szCs w:val="32"/>
          <w:highlight w:val="none"/>
          <w:lang w:val="en-US" w:eastAsia="zh-CN" w:bidi="ar-SA"/>
        </w:rPr>
        <w:t>7.特色亮点工作。</w:t>
      </w:r>
      <w:r>
        <w:rPr>
          <w:rFonts w:hint="eastAsia" w:ascii="仿宋_GB2312" w:hAnsi="仿宋_GB2312" w:cs="仿宋_GB2312"/>
          <w:b/>
          <w:bCs/>
          <w:color w:val="000000"/>
          <w:spacing w:val="0"/>
          <w:kern w:val="2"/>
          <w:sz w:val="32"/>
          <w:szCs w:val="32"/>
          <w:highlight w:val="none"/>
          <w:lang w:val="en-US" w:eastAsia="zh-CN" w:bidi="ar-SA"/>
        </w:rPr>
        <w:t>(1)</w:t>
      </w:r>
      <w:r>
        <w:rPr>
          <w:rFonts w:hint="eastAsia" w:ascii="仿宋_GB2312" w:hAnsi="仿宋_GB2312" w:eastAsia="仿宋_GB2312" w:cs="仿宋_GB2312"/>
          <w:b/>
          <w:bCs/>
          <w:color w:val="000000"/>
          <w:spacing w:val="0"/>
          <w:kern w:val="2"/>
          <w:sz w:val="32"/>
          <w:szCs w:val="32"/>
          <w:highlight w:val="none"/>
          <w:lang w:val="en-US" w:eastAsia="zh-CN" w:bidi="ar-SA"/>
        </w:rPr>
        <w:t>全面完成政务信息系统摸底评估工作。</w:t>
      </w:r>
      <w:r>
        <w:rPr>
          <w:rFonts w:hint="eastAsia" w:ascii="仿宋_GB2312" w:hAnsi="仿宋_GB2312" w:eastAsia="仿宋_GB2312" w:cs="仿宋_GB2312"/>
          <w:color w:val="000000"/>
          <w:spacing w:val="0"/>
          <w:kern w:val="2"/>
          <w:sz w:val="32"/>
          <w:szCs w:val="32"/>
          <w:highlight w:val="none"/>
          <w:lang w:val="en-US" w:eastAsia="zh-CN" w:bidi="ar-SA"/>
        </w:rPr>
        <w:t>在政务服务系统填报基础上，全面开展填报系统的校核比对，</w:t>
      </w:r>
      <w:r>
        <w:rPr>
          <w:rFonts w:hint="eastAsia" w:ascii="仿宋_GB2312" w:hAnsi="仿宋_GB2312" w:eastAsia="仿宋_GB2312" w:cs="仿宋_GB2312"/>
          <w:color w:val="000000"/>
          <w:spacing w:val="0"/>
          <w:position w:val="0"/>
          <w:sz w:val="32"/>
          <w:szCs w:val="32"/>
          <w:lang w:val="en-US" w:eastAsia="zh-CN"/>
        </w:rPr>
        <w:t>形成《红原县政务信息系统摸底情况报告》，</w:t>
      </w:r>
      <w:r>
        <w:rPr>
          <w:rFonts w:hint="eastAsia" w:ascii="仿宋_GB2312" w:hAnsi="仿宋_GB2312" w:eastAsia="仿宋_GB2312" w:cs="仿宋_GB2312"/>
          <w:color w:val="000000"/>
          <w:spacing w:val="0"/>
          <w:kern w:val="2"/>
          <w:sz w:val="32"/>
          <w:szCs w:val="32"/>
          <w:highlight w:val="none"/>
          <w:lang w:val="en-US" w:eastAsia="zh-CN" w:bidi="ar-SA"/>
        </w:rPr>
        <w:t>通过</w:t>
      </w:r>
      <w:r>
        <w:rPr>
          <w:rFonts w:hint="eastAsia" w:ascii="仿宋_GB2312" w:hAnsi="仿宋_GB2312" w:eastAsia="仿宋_GB2312" w:cs="仿宋_GB2312"/>
          <w:color w:val="000000"/>
          <w:spacing w:val="0"/>
          <w:position w:val="0"/>
          <w:sz w:val="32"/>
          <w:szCs w:val="32"/>
        </w:rPr>
        <w:t>分析系统运行效率、与业务关联性、功能相似性，形成</w:t>
      </w:r>
      <w:r>
        <w:rPr>
          <w:rFonts w:hint="eastAsia" w:ascii="仿宋_GB2312" w:hAnsi="仿宋_GB2312" w:eastAsia="仿宋_GB2312" w:cs="仿宋_GB2312"/>
          <w:color w:val="000000"/>
          <w:spacing w:val="0"/>
          <w:position w:val="0"/>
          <w:sz w:val="32"/>
          <w:szCs w:val="32"/>
          <w:lang w:val="en-US" w:eastAsia="zh-CN"/>
        </w:rPr>
        <w:t>权限</w:t>
      </w:r>
      <w:r>
        <w:rPr>
          <w:rFonts w:hint="eastAsia" w:ascii="仿宋_GB2312" w:hAnsi="仿宋_GB2312" w:eastAsia="仿宋_GB2312" w:cs="仿宋_GB2312"/>
          <w:color w:val="000000"/>
          <w:spacing w:val="0"/>
          <w:position w:val="0"/>
          <w:sz w:val="32"/>
          <w:szCs w:val="32"/>
        </w:rPr>
        <w:t>“保留延用、整合归并、淘汰停用”三张清单，</w:t>
      </w:r>
      <w:r>
        <w:rPr>
          <w:rFonts w:hint="eastAsia" w:ascii="仿宋_GB2312" w:hAnsi="仿宋_GB2312" w:eastAsia="仿宋_GB2312" w:cs="仿宋_GB2312"/>
          <w:color w:val="000000"/>
          <w:spacing w:val="0"/>
          <w:position w:val="0"/>
          <w:sz w:val="32"/>
          <w:szCs w:val="32"/>
          <w:lang w:val="en-US" w:eastAsia="zh-CN"/>
        </w:rPr>
        <w:t>为数字政府建设奠定基础</w:t>
      </w:r>
      <w:r>
        <w:rPr>
          <w:rFonts w:hint="eastAsia" w:ascii="仿宋_GB2312" w:hAnsi="仿宋_GB2312" w:eastAsia="仿宋_GB2312" w:cs="仿宋_GB2312"/>
          <w:color w:val="000000"/>
          <w:spacing w:val="0"/>
          <w:position w:val="0"/>
          <w:sz w:val="32"/>
          <w:szCs w:val="32"/>
          <w:lang w:eastAsia="zh-CN"/>
        </w:rPr>
        <w:t>。</w:t>
      </w:r>
      <w:r>
        <w:rPr>
          <w:rFonts w:hint="eastAsia" w:ascii="仿宋_GB2312" w:hAnsi="仿宋_GB2312" w:eastAsia="仿宋_GB2312" w:cs="仿宋_GB2312"/>
          <w:b w:val="0"/>
          <w:bCs w:val="0"/>
          <w:color w:val="000000"/>
          <w:spacing w:val="0"/>
          <w:sz w:val="32"/>
          <w:szCs w:val="32"/>
          <w:lang w:val="en-US" w:eastAsia="zh-CN"/>
        </w:rPr>
        <w:t>全县</w:t>
      </w:r>
      <w:r>
        <w:rPr>
          <w:rFonts w:hint="eastAsia" w:ascii="仿宋_GB2312" w:hAnsi="仿宋_GB2312" w:cs="仿宋_GB2312"/>
          <w:b w:val="0"/>
          <w:bCs w:val="0"/>
          <w:color w:val="000000"/>
          <w:spacing w:val="0"/>
          <w:sz w:val="32"/>
          <w:szCs w:val="32"/>
          <w:lang w:val="en-US" w:eastAsia="zh-CN"/>
        </w:rPr>
        <w:t>共计</w:t>
      </w:r>
      <w:r>
        <w:rPr>
          <w:rFonts w:hint="eastAsia" w:ascii="仿宋_GB2312" w:hAnsi="仿宋_GB2312" w:eastAsia="仿宋_GB2312" w:cs="仿宋_GB2312"/>
          <w:b w:val="0"/>
          <w:bCs w:val="0"/>
          <w:color w:val="000000"/>
          <w:spacing w:val="0"/>
          <w:sz w:val="32"/>
          <w:szCs w:val="32"/>
          <w:lang w:val="en-US" w:eastAsia="zh-CN"/>
        </w:rPr>
        <w:t>55个部门均按时完成自查填报工作，共填报信息化项目198个、政务信息系统14个、网络光纤90个、自建机房8个。</w:t>
      </w:r>
      <w:r>
        <w:rPr>
          <w:rFonts w:hint="eastAsia" w:ascii="仿宋_GB2312" w:hAnsi="仿宋_GB2312" w:eastAsia="仿宋_GB2312" w:cs="仿宋_GB2312"/>
          <w:b/>
          <w:bCs/>
          <w:color w:val="000000"/>
          <w:spacing w:val="0"/>
          <w:kern w:val="2"/>
          <w:sz w:val="32"/>
          <w:szCs w:val="32"/>
          <w:lang w:val="en-US" w:eastAsia="zh-CN" w:bidi="ar-SA"/>
        </w:rPr>
        <w:t>(2)深入推进“高效办成一件事”和惠企政策直达快享工作。</w:t>
      </w:r>
      <w:r>
        <w:rPr>
          <w:rFonts w:hint="eastAsia" w:ascii="Times New Roman" w:hAnsi="Times New Roman" w:eastAsia="仿宋_GB2312" w:cs="Times New Roman"/>
          <w:color w:val="000000"/>
          <w:spacing w:val="0"/>
          <w:kern w:val="2"/>
          <w:sz w:val="32"/>
          <w:szCs w:val="32"/>
          <w:highlight w:val="none"/>
          <w:lang w:val="en-US" w:eastAsia="zh-CN" w:bidi="ar-SA"/>
        </w:rPr>
        <w:t>主动承接国务院、省政府下放的各类“高效办成一件事”事项，及时对接宣传推广；同时</w:t>
      </w:r>
      <w:r>
        <w:rPr>
          <w:rFonts w:hint="eastAsia" w:ascii="仿宋_GB2312" w:hAnsi="仿宋_GB2312" w:eastAsia="仿宋_GB2312" w:cs="仿宋_GB2312"/>
          <w:i w:val="0"/>
          <w:iCs w:val="0"/>
          <w:caps w:val="0"/>
          <w:color w:val="000000"/>
          <w:spacing w:val="0"/>
          <w:sz w:val="32"/>
          <w:szCs w:val="32"/>
          <w:shd w:val="clear" w:color="auto" w:fill="FFFFFF"/>
          <w:lang w:val="en-US" w:eastAsia="zh-CN"/>
        </w:rPr>
        <w:t>结合我县实际，积极探索在天府通办红原分站点探索富有本地特色的“一件事”专区；</w:t>
      </w:r>
      <w:r>
        <w:rPr>
          <w:rFonts w:hint="eastAsia" w:ascii="Times New Roman" w:hAnsi="Times New Roman" w:eastAsia="仿宋_GB2312" w:cs="Times New Roman"/>
          <w:color w:val="000000"/>
          <w:spacing w:val="0"/>
          <w:kern w:val="2"/>
          <w:sz w:val="32"/>
          <w:szCs w:val="32"/>
          <w:highlight w:val="none"/>
          <w:lang w:val="en-US" w:eastAsia="zh-CN" w:bidi="ar-SA"/>
        </w:rPr>
        <w:t>及时认领、发布</w:t>
      </w:r>
      <w:r>
        <w:rPr>
          <w:rFonts w:hint="default" w:ascii="Times New Roman" w:hAnsi="Times New Roman" w:eastAsia="仿宋_GB2312" w:cs="Times New Roman"/>
          <w:color w:val="000000"/>
          <w:spacing w:val="0"/>
          <w:kern w:val="2"/>
          <w:sz w:val="32"/>
          <w:szCs w:val="32"/>
          <w:highlight w:val="none"/>
          <w:lang w:val="en-US" w:eastAsia="zh-CN" w:bidi="ar-SA"/>
        </w:rPr>
        <w:t>省</w:t>
      </w:r>
      <w:r>
        <w:rPr>
          <w:rFonts w:hint="eastAsia" w:ascii="Times New Roman" w:hAnsi="Times New Roman" w:eastAsia="仿宋_GB2312" w:cs="Times New Roman"/>
          <w:color w:val="000000"/>
          <w:spacing w:val="0"/>
          <w:kern w:val="2"/>
          <w:sz w:val="32"/>
          <w:szCs w:val="32"/>
          <w:highlight w:val="none"/>
          <w:lang w:val="en-US" w:eastAsia="zh-CN" w:bidi="ar-SA"/>
        </w:rPr>
        <w:t>、州</w:t>
      </w:r>
      <w:r>
        <w:rPr>
          <w:rFonts w:hint="default" w:ascii="Times New Roman" w:hAnsi="Times New Roman" w:eastAsia="仿宋_GB2312" w:cs="Times New Roman"/>
          <w:color w:val="000000"/>
          <w:spacing w:val="0"/>
          <w:kern w:val="2"/>
          <w:sz w:val="32"/>
          <w:szCs w:val="32"/>
          <w:highlight w:val="none"/>
          <w:lang w:val="en-US" w:eastAsia="zh-CN" w:bidi="ar-SA"/>
        </w:rPr>
        <w:t>级惠企政策事项清单，</w:t>
      </w:r>
      <w:r>
        <w:rPr>
          <w:rFonts w:hint="eastAsia" w:ascii="Times New Roman" w:hAnsi="Times New Roman" w:eastAsia="仿宋_GB2312" w:cs="Times New Roman"/>
          <w:color w:val="000000"/>
          <w:spacing w:val="0"/>
          <w:kern w:val="2"/>
          <w:sz w:val="32"/>
          <w:szCs w:val="32"/>
          <w:highlight w:val="none"/>
          <w:lang w:val="en-US" w:eastAsia="zh-CN" w:bidi="ar-SA"/>
        </w:rPr>
        <w:t>梳理发布县级政策，</w:t>
      </w:r>
      <w:r>
        <w:rPr>
          <w:rFonts w:hint="eastAsia" w:cs="Times New Roman"/>
          <w:color w:val="000000"/>
          <w:spacing w:val="0"/>
          <w:kern w:val="2"/>
          <w:sz w:val="32"/>
          <w:szCs w:val="32"/>
          <w:highlight w:val="none"/>
          <w:lang w:val="en-US" w:eastAsia="zh-CN" w:bidi="ar-SA"/>
        </w:rPr>
        <w:t>全面落实服务进企业工作，</w:t>
      </w:r>
      <w:r>
        <w:rPr>
          <w:rFonts w:hint="eastAsia" w:ascii="Times New Roman" w:hAnsi="Times New Roman" w:eastAsia="仿宋_GB2312" w:cs="Times New Roman"/>
          <w:color w:val="000000"/>
          <w:spacing w:val="0"/>
          <w:kern w:val="2"/>
          <w:sz w:val="32"/>
          <w:szCs w:val="32"/>
          <w:highlight w:val="none"/>
          <w:lang w:val="en-US" w:eastAsia="zh-CN" w:bidi="ar-SA"/>
        </w:rPr>
        <w:t>切实加强</w:t>
      </w:r>
      <w:r>
        <w:rPr>
          <w:rFonts w:hint="default" w:ascii="Times New Roman" w:hAnsi="Times New Roman" w:eastAsia="仿宋_GB2312" w:cs="Times New Roman"/>
          <w:color w:val="000000"/>
          <w:spacing w:val="0"/>
          <w:kern w:val="2"/>
          <w:sz w:val="32"/>
          <w:szCs w:val="32"/>
          <w:highlight w:val="none"/>
          <w:lang w:val="en-US" w:eastAsia="zh-CN" w:bidi="ar-SA"/>
        </w:rPr>
        <w:t>政策</w:t>
      </w:r>
      <w:r>
        <w:rPr>
          <w:rFonts w:hint="eastAsia" w:ascii="Times New Roman" w:hAnsi="Times New Roman" w:eastAsia="仿宋_GB2312" w:cs="Times New Roman"/>
          <w:color w:val="000000"/>
          <w:spacing w:val="0"/>
          <w:kern w:val="2"/>
          <w:sz w:val="32"/>
          <w:szCs w:val="32"/>
          <w:highlight w:val="none"/>
          <w:lang w:val="en-US" w:eastAsia="zh-CN" w:bidi="ar-SA"/>
        </w:rPr>
        <w:t>宣传</w:t>
      </w:r>
      <w:r>
        <w:rPr>
          <w:rFonts w:hint="default" w:ascii="Times New Roman" w:hAnsi="Times New Roman" w:eastAsia="仿宋_GB2312" w:cs="Times New Roman"/>
          <w:color w:val="000000"/>
          <w:spacing w:val="0"/>
          <w:kern w:val="2"/>
          <w:sz w:val="32"/>
          <w:szCs w:val="32"/>
          <w:highlight w:val="none"/>
          <w:lang w:val="en-US" w:eastAsia="zh-CN" w:bidi="ar-SA"/>
        </w:rPr>
        <w:t>解读</w:t>
      </w:r>
      <w:r>
        <w:rPr>
          <w:rFonts w:hint="eastAsia" w:ascii="Times New Roman" w:hAnsi="Times New Roman" w:eastAsia="仿宋_GB2312" w:cs="Times New Roman"/>
          <w:color w:val="000000"/>
          <w:spacing w:val="0"/>
          <w:kern w:val="2"/>
          <w:sz w:val="32"/>
          <w:szCs w:val="32"/>
          <w:highlight w:val="none"/>
          <w:lang w:val="en-US" w:eastAsia="zh-CN" w:bidi="ar-SA"/>
        </w:rPr>
        <w:t>、组织符合条件企业及时申兑</w:t>
      </w:r>
      <w:r>
        <w:rPr>
          <w:rFonts w:hint="default" w:ascii="Times New Roman" w:hAnsi="Times New Roman" w:eastAsia="仿宋_GB2312" w:cs="Times New Roman"/>
          <w:color w:val="000000"/>
          <w:spacing w:val="0"/>
          <w:kern w:val="2"/>
          <w:sz w:val="32"/>
          <w:szCs w:val="32"/>
          <w:highlight w:val="none"/>
          <w:lang w:val="en-US" w:eastAsia="zh-CN" w:bidi="ar-SA"/>
        </w:rPr>
        <w:t>，推动政策直达快享。</w:t>
      </w:r>
    </w:p>
    <w:p w14:paraId="0D73536A">
      <w:pPr>
        <w:pStyle w:val="4"/>
        <w:pageBreakBefore w:val="0"/>
        <w:widowControl w:val="0"/>
        <w:numPr>
          <w:ilvl w:val="0"/>
          <w:numId w:val="0"/>
        </w:numPr>
        <w:kinsoku/>
        <w:wordWrap/>
        <w:overflowPunct/>
        <w:topLinePunct w:val="0"/>
        <w:autoSpaceDE/>
        <w:autoSpaceDN/>
        <w:bidi w:val="0"/>
        <w:spacing w:before="0" w:beforeAutospacing="0" w:after="0" w:afterAutospacing="0" w:line="576" w:lineRule="exact"/>
        <w:ind w:left="0" w:leftChars="0" w:right="0" w:firstLine="640" w:firstLineChars="200"/>
        <w:jc w:val="both"/>
        <w:textAlignment w:val="auto"/>
        <w:rPr>
          <w:rStyle w:val="23"/>
          <w:b w:val="0"/>
          <w:bCs/>
        </w:rPr>
      </w:pPr>
      <w:r>
        <w:rPr>
          <w:rFonts w:hint="eastAsia" w:ascii="黑体" w:eastAsia="黑体"/>
          <w:b w:val="0"/>
          <w:bCs/>
        </w:rPr>
        <w:t>二、机</w:t>
      </w:r>
      <w:r>
        <w:rPr>
          <w:rStyle w:val="23"/>
          <w:rFonts w:hint="eastAsia" w:ascii="黑体" w:eastAsia="黑体"/>
          <w:b w:val="0"/>
          <w:bCs/>
        </w:rPr>
        <w:t>构设置</w:t>
      </w:r>
      <w:bookmarkEnd w:id="12"/>
      <w:bookmarkEnd w:id="13"/>
      <w:bookmarkEnd w:id="14"/>
    </w:p>
    <w:p w14:paraId="4B6FD8D4">
      <w:pPr>
        <w:pageBreakBefore w:val="0"/>
        <w:kinsoku/>
        <w:wordWrap/>
        <w:overflowPunct/>
        <w:topLinePunct w:val="0"/>
        <w:bidi w:val="0"/>
        <w:spacing w:beforeAutospacing="0" w:afterAutospacing="0" w:line="576" w:lineRule="exact"/>
        <w:ind w:left="0" w:leftChars="0" w:right="0" w:firstLine="640" w:firstLineChars="200"/>
        <w:jc w:val="both"/>
        <w:rPr>
          <w:rFonts w:hint="eastAsia"/>
          <w:sz w:val="32"/>
          <w:szCs w:val="32"/>
        </w:rPr>
      </w:pPr>
      <w:r>
        <w:rPr>
          <w:rFonts w:hint="eastAsia" w:ascii="仿宋_GB2312" w:hAnsi="仿宋_GB2312" w:eastAsia="仿宋_GB2312" w:cs="仿宋_GB2312"/>
          <w:sz w:val="32"/>
          <w:szCs w:val="32"/>
          <w:lang w:eastAsia="zh-CN"/>
        </w:rPr>
        <w:t>红原县</w:t>
      </w:r>
      <w:r>
        <w:rPr>
          <w:rFonts w:hint="eastAsia" w:ascii="仿宋_GB2312" w:hAnsi="仿宋_GB2312" w:eastAsia="仿宋_GB2312" w:cs="仿宋_GB2312"/>
          <w:sz w:val="32"/>
          <w:szCs w:val="32"/>
          <w:lang w:val="en-US" w:eastAsia="zh-CN"/>
        </w:rPr>
        <w:t>行政审批和政务服务管理局</w:t>
      </w:r>
      <w:r>
        <w:rPr>
          <w:rFonts w:hint="eastAsia" w:ascii="仿宋_GB2312" w:hAnsi="仿宋_GB2312" w:eastAsia="仿宋_GB2312" w:cs="仿宋_GB2312"/>
          <w:sz w:val="32"/>
          <w:szCs w:val="32"/>
        </w:rPr>
        <w:t>下属二级预算单位</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个，其中</w:t>
      </w:r>
      <w:r>
        <w:rPr>
          <w:rFonts w:hint="eastAsia" w:ascii="仿宋_GB2312" w:hAnsi="仿宋_GB2312" w:eastAsia="仿宋_GB2312" w:cs="仿宋_GB2312"/>
          <w:sz w:val="32"/>
          <w:szCs w:val="32"/>
          <w:lang w:eastAsia="zh-CN"/>
        </w:rPr>
        <w:t>全额拨款</w:t>
      </w:r>
      <w:r>
        <w:rPr>
          <w:rFonts w:hint="eastAsia" w:ascii="仿宋_GB2312" w:hAnsi="仿宋_GB2312" w:eastAsia="仿宋_GB2312" w:cs="仿宋_GB2312"/>
          <w:sz w:val="32"/>
          <w:szCs w:val="32"/>
          <w:lang w:val="en-US" w:eastAsia="zh-CN"/>
        </w:rPr>
        <w:t>正科级</w:t>
      </w:r>
      <w:r>
        <w:rPr>
          <w:rFonts w:hint="eastAsia" w:ascii="仿宋_GB2312" w:hAnsi="仿宋_GB2312" w:eastAsia="仿宋_GB2312" w:cs="仿宋_GB2312"/>
          <w:sz w:val="32"/>
          <w:szCs w:val="32"/>
        </w:rPr>
        <w:t>行政单位</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红原县行政审批和政务服务管理局本级</w:t>
      </w:r>
      <w:r>
        <w:rPr>
          <w:rFonts w:hint="eastAsia" w:ascii="仿宋_GB2312" w:hAnsi="仿宋_GB2312" w:eastAsia="仿宋_GB2312" w:cs="仿宋_GB2312"/>
          <w:sz w:val="32"/>
          <w:szCs w:val="32"/>
          <w:lang w:eastAsia="zh-CN"/>
        </w:rPr>
        <w:t>）；全额拨款</w:t>
      </w:r>
      <w:r>
        <w:rPr>
          <w:rFonts w:hint="eastAsia" w:ascii="仿宋_GB2312" w:hAnsi="仿宋_GB2312" w:eastAsia="仿宋_GB2312" w:cs="仿宋_GB2312"/>
          <w:sz w:val="32"/>
          <w:szCs w:val="32"/>
          <w:lang w:val="en-US" w:eastAsia="zh-CN"/>
        </w:rPr>
        <w:t>副科</w:t>
      </w:r>
      <w:r>
        <w:rPr>
          <w:rFonts w:hint="eastAsia" w:ascii="仿宋_GB2312" w:hAnsi="仿宋_GB2312" w:eastAsia="仿宋_GB2312" w:cs="仿宋_GB2312"/>
          <w:sz w:val="32"/>
          <w:szCs w:val="32"/>
          <w:lang w:eastAsia="zh-CN"/>
        </w:rPr>
        <w:t>级</w:t>
      </w:r>
      <w:r>
        <w:rPr>
          <w:rFonts w:hint="eastAsia" w:ascii="仿宋_GB2312" w:hAnsi="仿宋_GB2312" w:eastAsia="仿宋_GB2312" w:cs="仿宋_GB2312"/>
          <w:sz w:val="32"/>
          <w:szCs w:val="32"/>
        </w:rPr>
        <w:t>事业单位</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个</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红原县政务服务和公共资源交易服务中心</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bCs/>
          <w:sz w:val="32"/>
          <w:szCs w:val="32"/>
          <w:lang w:val="en-US" w:eastAsia="zh-CN"/>
        </w:rPr>
        <w:t>2025</w:t>
      </w:r>
      <w:r>
        <w:rPr>
          <w:rFonts w:hint="eastAsia" w:ascii="仿宋_GB2312" w:hAnsi="仿宋_GB2312" w:eastAsia="仿宋_GB2312" w:cs="仿宋_GB2312"/>
          <w:bCs/>
          <w:sz w:val="32"/>
          <w:szCs w:val="32"/>
        </w:rPr>
        <w:t>年底我单位共有</w:t>
      </w:r>
      <w:r>
        <w:rPr>
          <w:rFonts w:hint="eastAsia" w:ascii="仿宋_GB2312" w:hAnsi="仿宋_GB2312" w:eastAsia="仿宋_GB2312" w:cs="仿宋_GB2312"/>
          <w:sz w:val="32"/>
          <w:szCs w:val="32"/>
        </w:rPr>
        <w:t>在职</w:t>
      </w:r>
      <w:r>
        <w:rPr>
          <w:rFonts w:hint="eastAsia" w:ascii="仿宋_GB2312" w:hAnsi="仿宋_GB2312" w:eastAsia="仿宋_GB2312" w:cs="仿宋_GB2312"/>
          <w:sz w:val="32"/>
          <w:szCs w:val="32"/>
          <w:lang w:eastAsia="zh-CN"/>
        </w:rPr>
        <w:t>人员</w:t>
      </w:r>
      <w:r>
        <w:rPr>
          <w:rFonts w:hint="eastAsia" w:ascii="仿宋_GB2312" w:hAnsi="仿宋_GB2312" w:eastAsia="仿宋_GB2312" w:cs="仿宋_GB2312"/>
          <w:sz w:val="32"/>
          <w:szCs w:val="32"/>
          <w:lang w:val="en-US" w:eastAsia="zh-CN"/>
        </w:rPr>
        <w:t>14</w:t>
      </w:r>
      <w:r>
        <w:rPr>
          <w:rFonts w:hint="eastAsia" w:ascii="仿宋_GB2312" w:hAnsi="仿宋_GB2312" w:eastAsia="仿宋_GB2312" w:cs="仿宋_GB2312"/>
          <w:sz w:val="32"/>
          <w:szCs w:val="32"/>
        </w:rPr>
        <w:t>人，其中公务员</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人，行政工勤</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eastAsia="zh-CN"/>
        </w:rPr>
        <w:t>，事业人员</w:t>
      </w:r>
      <w:r>
        <w:rPr>
          <w:rFonts w:hint="eastAsia" w:ascii="仿宋_GB2312" w:hAnsi="仿宋_GB2312" w:eastAsia="仿宋_GB2312" w:cs="仿宋_GB2312"/>
          <w:sz w:val="32"/>
          <w:szCs w:val="32"/>
          <w:lang w:val="en-US" w:eastAsia="zh-CN"/>
        </w:rPr>
        <w:t>9人，同比去年事业人员减少1人，主要变动原因是正常调动</w:t>
      </w:r>
      <w:r>
        <w:rPr>
          <w:rFonts w:hint="eastAsia" w:ascii="仿宋_GB2312" w:hAnsi="仿宋_GB2312" w:eastAsia="仿宋_GB2312" w:cs="仿宋_GB2312"/>
          <w:sz w:val="32"/>
          <w:szCs w:val="32"/>
        </w:rPr>
        <w:t>。</w:t>
      </w:r>
    </w:p>
    <w:p w14:paraId="032C093D">
      <w:pPr>
        <w:pStyle w:val="2"/>
        <w:pageBreakBefore w:val="0"/>
        <w:kinsoku/>
        <w:wordWrap/>
        <w:overflowPunct/>
        <w:topLinePunct w:val="0"/>
        <w:bidi w:val="0"/>
        <w:adjustRightInd w:val="0"/>
        <w:snapToGrid w:val="0"/>
        <w:spacing w:beforeLines="0" w:beforeAutospacing="0" w:afterAutospacing="0" w:line="576" w:lineRule="exact"/>
        <w:ind w:left="0" w:leftChars="0" w:right="0"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纳入</w:t>
      </w:r>
      <w:r>
        <w:rPr>
          <w:rFonts w:hint="eastAsia" w:ascii="仿宋_GB2312" w:hAnsi="仿宋_GB2312" w:eastAsia="仿宋_GB2312" w:cs="仿宋_GB2312"/>
          <w:sz w:val="32"/>
          <w:szCs w:val="32"/>
          <w:lang w:eastAsia="zh-CN"/>
        </w:rPr>
        <w:t>红原</w:t>
      </w:r>
      <w:r>
        <w:rPr>
          <w:rFonts w:hint="eastAsia" w:hAnsi="仿宋_GB2312" w:cs="仿宋_GB2312"/>
          <w:sz w:val="32"/>
          <w:szCs w:val="32"/>
          <w:lang w:val="en-US" w:eastAsia="zh-CN"/>
        </w:rPr>
        <w:t>行政审批和政务服务管理局</w:t>
      </w:r>
      <w:r>
        <w:rPr>
          <w:rFonts w:hint="eastAsia" w:ascii="仿宋_GB2312" w:hAnsi="仿宋_GB2312" w:eastAsia="仿宋_GB2312" w:cs="仿宋_GB2312"/>
          <w:sz w:val="32"/>
          <w:szCs w:val="32"/>
        </w:rPr>
        <w:t>202</w:t>
      </w:r>
      <w:r>
        <w:rPr>
          <w:rFonts w:hint="eastAsia" w:hAnsi="仿宋_GB2312" w:cs="仿宋_GB2312"/>
          <w:sz w:val="32"/>
          <w:szCs w:val="32"/>
          <w:lang w:val="en-US" w:eastAsia="zh-CN"/>
        </w:rPr>
        <w:t>5</w:t>
      </w:r>
      <w:r>
        <w:rPr>
          <w:rFonts w:hint="eastAsia" w:ascii="仿宋_GB2312" w:hAnsi="仿宋_GB2312" w:eastAsia="仿宋_GB2312" w:cs="仿宋_GB2312"/>
          <w:sz w:val="32"/>
          <w:szCs w:val="32"/>
        </w:rPr>
        <w:t>年度部门决算编制范围的二级预算单位包括：</w:t>
      </w:r>
    </w:p>
    <w:p w14:paraId="2E1EB1CC">
      <w:pPr>
        <w:pStyle w:val="2"/>
        <w:pageBreakBefore w:val="0"/>
        <w:numPr>
          <w:ilvl w:val="0"/>
          <w:numId w:val="0"/>
        </w:numPr>
        <w:kinsoku/>
        <w:wordWrap/>
        <w:overflowPunct/>
        <w:topLinePunct w:val="0"/>
        <w:bidi w:val="0"/>
        <w:adjustRightInd w:val="0"/>
        <w:snapToGrid w:val="0"/>
        <w:spacing w:beforeLines="0" w:beforeAutospacing="0" w:afterAutospacing="0" w:line="576" w:lineRule="exact"/>
        <w:ind w:left="0" w:leftChars="0" w:right="0" w:firstLine="640" w:firstLineChars="200"/>
        <w:jc w:val="both"/>
        <w:outlineLvl w:val="2"/>
        <w:rPr>
          <w:rFonts w:hint="eastAsia" w:ascii="仿宋_GB2312" w:hAnsi="仿宋_GB2312" w:eastAsia="仿宋_GB2312" w:cs="仿宋_GB2312"/>
          <w:sz w:val="32"/>
          <w:szCs w:val="32"/>
        </w:rPr>
      </w:pPr>
      <w:bookmarkStart w:id="15" w:name="_Toc15377202"/>
      <w:bookmarkStart w:id="16" w:name="_Toc15377433"/>
      <w:bookmarkStart w:id="17" w:name="_Toc15378449"/>
      <w:bookmarkStart w:id="18" w:name="_Toc15306276"/>
      <w:r>
        <w:rPr>
          <w:rFonts w:hint="eastAsia" w:hAnsi="仿宋_GB2312" w:cs="仿宋_GB2312"/>
          <w:sz w:val="32"/>
          <w:szCs w:val="32"/>
          <w:lang w:val="en-US" w:eastAsia="zh-CN"/>
        </w:rPr>
        <w:t>1.红原县行政审批和政务服务管理局</w:t>
      </w:r>
      <w:r>
        <w:rPr>
          <w:rFonts w:hint="eastAsia" w:ascii="仿宋_GB2312" w:hAnsi="仿宋_GB2312" w:eastAsia="仿宋_GB2312" w:cs="仿宋_GB2312"/>
          <w:sz w:val="32"/>
          <w:szCs w:val="32"/>
          <w:lang w:eastAsia="zh-CN"/>
        </w:rPr>
        <w:t>本级</w:t>
      </w:r>
    </w:p>
    <w:bookmarkEnd w:id="15"/>
    <w:bookmarkEnd w:id="16"/>
    <w:bookmarkEnd w:id="17"/>
    <w:bookmarkEnd w:id="18"/>
    <w:p w14:paraId="0B31E8C3">
      <w:pPr>
        <w:pageBreakBefore w:val="0"/>
        <w:widowControl/>
        <w:kinsoku/>
        <w:wordWrap/>
        <w:overflowPunct/>
        <w:topLinePunct w:val="0"/>
        <w:bidi w:val="0"/>
        <w:spacing w:beforeAutospacing="0" w:afterAutospacing="0" w:line="576" w:lineRule="exact"/>
        <w:ind w:left="0" w:leftChars="0" w:right="0" w:firstLine="640" w:firstLineChars="200"/>
        <w:jc w:val="both"/>
        <w:rPr>
          <w:rFonts w:ascii="仿宋" w:eastAsia="仿宋"/>
          <w:kern w:val="0"/>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eastAsia="zh-CN"/>
        </w:rPr>
        <w:t>红原县</w:t>
      </w:r>
      <w:r>
        <w:rPr>
          <w:rFonts w:hint="eastAsia" w:ascii="仿宋_GB2312" w:hAnsi="仿宋_GB2312" w:eastAsia="仿宋_GB2312" w:cs="仿宋_GB2312"/>
          <w:sz w:val="32"/>
          <w:szCs w:val="32"/>
          <w:lang w:val="en-US" w:eastAsia="zh-CN"/>
        </w:rPr>
        <w:t>政务服务和公共资源交易服务中心</w:t>
      </w:r>
      <w:r>
        <w:rPr>
          <w:rFonts w:ascii="仿宋" w:eastAsia="仿宋"/>
          <w:sz w:val="32"/>
          <w:szCs w:val="32"/>
        </w:rPr>
        <w:br w:type="page"/>
      </w:r>
    </w:p>
    <w:p w14:paraId="36370D93">
      <w:pPr>
        <w:pStyle w:val="3"/>
        <w:pageBreakBefore w:val="0"/>
        <w:kinsoku/>
        <w:wordWrap/>
        <w:overflowPunct/>
        <w:topLinePunct w:val="0"/>
        <w:bidi w:val="0"/>
        <w:spacing w:before="0" w:beforeAutospacing="0" w:after="0" w:afterAutospacing="0" w:line="576" w:lineRule="exact"/>
        <w:ind w:left="0" w:leftChars="0" w:right="0" w:firstLine="880" w:firstLineChars="200"/>
        <w:jc w:val="both"/>
        <w:rPr>
          <w:rStyle w:val="22"/>
          <w:rFonts w:ascii="黑体" w:eastAsia="黑体"/>
          <w:b w:val="0"/>
          <w:bCs/>
        </w:rPr>
      </w:pPr>
      <w:bookmarkStart w:id="19" w:name="_Toc15396602"/>
      <w:bookmarkStart w:id="20" w:name="_Toc15377204"/>
      <w:bookmarkStart w:id="21" w:name="_Toc16164"/>
      <w:r>
        <w:rPr>
          <w:rFonts w:hint="eastAsia" w:ascii="黑体" w:eastAsia="黑体"/>
          <w:b w:val="0"/>
        </w:rPr>
        <w:t>第二部分 202</w:t>
      </w:r>
      <w:r>
        <w:rPr>
          <w:rFonts w:hint="eastAsia" w:ascii="黑体" w:eastAsia="黑体"/>
          <w:b w:val="0"/>
          <w:lang w:val="en-US" w:eastAsia="zh-CN"/>
        </w:rPr>
        <w:t>5</w:t>
      </w:r>
      <w:r>
        <w:rPr>
          <w:rFonts w:hint="eastAsia" w:ascii="黑体" w:eastAsia="黑体"/>
          <w:b w:val="0"/>
        </w:rPr>
        <w:t>年度</w:t>
      </w:r>
      <w:r>
        <w:rPr>
          <w:rStyle w:val="22"/>
          <w:rFonts w:hint="eastAsia" w:ascii="黑体" w:eastAsia="黑体"/>
          <w:b w:val="0"/>
          <w:bCs/>
        </w:rPr>
        <w:t>部门决算情况说明</w:t>
      </w:r>
      <w:bookmarkEnd w:id="19"/>
      <w:bookmarkEnd w:id="20"/>
      <w:bookmarkEnd w:id="21"/>
    </w:p>
    <w:p w14:paraId="04C29B8D">
      <w:pPr>
        <w:pageBreakBefore w:val="0"/>
        <w:kinsoku/>
        <w:wordWrap/>
        <w:overflowPunct/>
        <w:topLinePunct w:val="0"/>
        <w:bidi w:val="0"/>
        <w:spacing w:beforeAutospacing="0" w:afterAutospacing="0" w:line="576" w:lineRule="exact"/>
        <w:ind w:left="0" w:leftChars="0" w:right="0" w:firstLine="420" w:firstLineChars="200"/>
        <w:jc w:val="both"/>
      </w:pPr>
    </w:p>
    <w:p w14:paraId="661C1711">
      <w:pPr>
        <w:pStyle w:val="29"/>
        <w:pageBreakBefore w:val="0"/>
        <w:numPr>
          <w:ilvl w:val="0"/>
          <w:numId w:val="0"/>
        </w:numPr>
        <w:kinsoku/>
        <w:wordWrap/>
        <w:overflowPunct/>
        <w:topLinePunct w:val="0"/>
        <w:bidi w:val="0"/>
        <w:spacing w:beforeAutospacing="0" w:afterAutospacing="0" w:line="576" w:lineRule="exact"/>
        <w:ind w:right="0" w:rightChars="0" w:firstLine="640" w:firstLineChars="200"/>
        <w:jc w:val="both"/>
        <w:outlineLvl w:val="1"/>
        <w:rPr>
          <w:rStyle w:val="23"/>
          <w:rFonts w:ascii="黑体" w:eastAsia="黑体"/>
          <w:b w:val="0"/>
        </w:rPr>
      </w:pPr>
      <w:bookmarkStart w:id="22" w:name="_Toc7064"/>
      <w:bookmarkStart w:id="23" w:name="_Toc15377205"/>
      <w:bookmarkStart w:id="24" w:name="_Toc15396603"/>
      <w:r>
        <w:rPr>
          <w:rFonts w:hint="eastAsia" w:ascii="黑体" w:eastAsia="黑体"/>
          <w:sz w:val="32"/>
          <w:szCs w:val="32"/>
          <w:lang w:val="en-US" w:eastAsia="zh-CN"/>
        </w:rPr>
        <w:t>一、</w:t>
      </w:r>
      <w:r>
        <w:rPr>
          <w:rFonts w:hint="eastAsia" w:ascii="黑体" w:eastAsia="黑体"/>
          <w:sz w:val="32"/>
          <w:szCs w:val="32"/>
        </w:rPr>
        <w:t>收</w:t>
      </w:r>
      <w:r>
        <w:rPr>
          <w:rStyle w:val="23"/>
          <w:rFonts w:hint="eastAsia" w:ascii="黑体" w:eastAsia="黑体"/>
          <w:b w:val="0"/>
        </w:rPr>
        <w:t>入支出决算总体情况说明</w:t>
      </w:r>
      <w:bookmarkEnd w:id="22"/>
      <w:bookmarkEnd w:id="23"/>
      <w:bookmarkEnd w:id="24"/>
    </w:p>
    <w:p w14:paraId="2D8FF65F">
      <w:pPr>
        <w:pageBreakBefore w:val="0"/>
        <w:kinsoku/>
        <w:wordWrap/>
        <w:overflowPunct/>
        <w:topLinePunct w:val="0"/>
        <w:bidi w:val="0"/>
        <w:spacing w:beforeAutospacing="0" w:afterAutospacing="0" w:line="576" w:lineRule="exact"/>
        <w:ind w:right="0" w:firstLine="640" w:firstLineChars="200"/>
        <w:jc w:val="both"/>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年度收入</w:t>
      </w:r>
      <w:r>
        <w:rPr>
          <w:rFonts w:hint="eastAsia" w:ascii="仿宋_GB2312" w:hAnsi="仿宋_GB2312" w:eastAsia="仿宋_GB2312" w:cs="仿宋_GB2312"/>
          <w:sz w:val="32"/>
          <w:szCs w:val="32"/>
          <w:lang w:val="en-US" w:eastAsia="zh-CN"/>
        </w:rPr>
        <w:t>606.08</w:t>
      </w:r>
      <w:r>
        <w:rPr>
          <w:rFonts w:hint="eastAsia" w:ascii="仿宋_GB2312" w:hAnsi="仿宋_GB2312" w:eastAsia="仿宋_GB2312" w:cs="仿宋_GB2312"/>
          <w:sz w:val="32"/>
          <w:szCs w:val="32"/>
        </w:rPr>
        <w:t>万元，支出</w:t>
      </w:r>
      <w:r>
        <w:rPr>
          <w:rFonts w:hint="eastAsia" w:ascii="仿宋_GB2312" w:hAnsi="仿宋_GB2312" w:eastAsia="仿宋_GB2312" w:cs="仿宋_GB2312"/>
          <w:sz w:val="32"/>
          <w:szCs w:val="32"/>
          <w:lang w:val="en-US" w:eastAsia="zh-CN"/>
        </w:rPr>
        <w:t>606.08</w:t>
      </w:r>
      <w:r>
        <w:rPr>
          <w:rFonts w:hint="eastAsia" w:ascii="仿宋_GB2312" w:hAnsi="仿宋_GB2312" w:eastAsia="仿宋_GB2312" w:cs="仿宋_GB2312"/>
          <w:sz w:val="32"/>
          <w:szCs w:val="32"/>
        </w:rPr>
        <w:t>万元。资金与20</w:t>
      </w:r>
      <w:r>
        <w:rPr>
          <w:rFonts w:hint="eastAsia" w:ascii="仿宋_GB2312" w:hAnsi="仿宋_GB2312" w:eastAsia="仿宋_GB2312" w:cs="仿宋_GB2312"/>
          <w:sz w:val="32"/>
          <w:szCs w:val="32"/>
          <w:lang w:val="en-US" w:eastAsia="zh-CN"/>
        </w:rPr>
        <w:t>24</w:t>
      </w:r>
      <w:r>
        <w:rPr>
          <w:rFonts w:hint="eastAsia" w:ascii="仿宋_GB2312" w:hAnsi="仿宋_GB2312" w:eastAsia="仿宋_GB2312" w:cs="仿宋_GB2312"/>
          <w:sz w:val="32"/>
          <w:szCs w:val="32"/>
        </w:rPr>
        <w:t>年相比，收入</w:t>
      </w:r>
      <w:r>
        <w:rPr>
          <w:rFonts w:hint="eastAsia" w:ascii="仿宋_GB2312" w:hAnsi="仿宋_GB2312" w:eastAsia="仿宋_GB2312" w:cs="仿宋_GB2312"/>
          <w:sz w:val="32"/>
          <w:szCs w:val="32"/>
          <w:lang w:val="en-US" w:eastAsia="zh-CN"/>
        </w:rPr>
        <w:t>减少了1202.07</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下降了66.48</w:t>
      </w:r>
      <w:r>
        <w:rPr>
          <w:rFonts w:hint="eastAsia" w:ascii="仿宋_GB2312" w:hAnsi="仿宋_GB2312" w:eastAsia="仿宋_GB2312" w:cs="仿宋_GB2312"/>
          <w:sz w:val="32"/>
          <w:szCs w:val="32"/>
        </w:rPr>
        <w:t>%，支出</w:t>
      </w:r>
      <w:r>
        <w:rPr>
          <w:rFonts w:hint="eastAsia" w:ascii="仿宋_GB2312" w:hAnsi="仿宋_GB2312" w:eastAsia="仿宋_GB2312" w:cs="仿宋_GB2312"/>
          <w:sz w:val="32"/>
          <w:szCs w:val="32"/>
          <w:lang w:val="en-US" w:eastAsia="zh-CN"/>
        </w:rPr>
        <w:t>减少了1202.07</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下降了66.48</w:t>
      </w:r>
      <w:r>
        <w:rPr>
          <w:rFonts w:hint="eastAsia" w:ascii="仿宋_GB2312" w:hAnsi="仿宋_GB2312" w:eastAsia="仿宋_GB2312" w:cs="仿宋_GB2312"/>
          <w:sz w:val="32"/>
          <w:szCs w:val="32"/>
        </w:rPr>
        <w:t>%。收入支出均</w:t>
      </w:r>
      <w:r>
        <w:rPr>
          <w:rFonts w:hint="eastAsia" w:ascii="仿宋_GB2312" w:hAnsi="仿宋_GB2312" w:eastAsia="仿宋_GB2312" w:cs="仿宋_GB2312"/>
          <w:sz w:val="32"/>
          <w:szCs w:val="32"/>
          <w:lang w:val="en-US" w:eastAsia="zh-CN"/>
        </w:rPr>
        <w:t>下降</w:t>
      </w:r>
      <w:r>
        <w:rPr>
          <w:rFonts w:hint="eastAsia" w:ascii="仿宋_GB2312" w:hAnsi="仿宋_GB2312" w:eastAsia="仿宋_GB2312" w:cs="仿宋_GB2312"/>
          <w:sz w:val="32"/>
          <w:szCs w:val="32"/>
        </w:rPr>
        <w:t>主要原因：</w:t>
      </w:r>
      <w:r>
        <w:rPr>
          <w:rFonts w:hint="eastAsia" w:ascii="仿宋_GB2312" w:hAnsi="仿宋_GB2312" w:eastAsia="仿宋_GB2312" w:cs="仿宋_GB2312"/>
          <w:sz w:val="32"/>
          <w:szCs w:val="32"/>
          <w:lang w:val="en-US" w:eastAsia="zh-CN"/>
        </w:rPr>
        <w:t>是</w:t>
      </w:r>
      <w:r>
        <w:rPr>
          <w:rFonts w:hint="eastAsia" w:ascii="仿宋_GB2312" w:hAnsi="仿宋_GB2312" w:eastAsia="仿宋_GB2312" w:cs="仿宋_GB2312"/>
          <w:b w:val="0"/>
          <w:bCs w:val="0"/>
          <w:sz w:val="32"/>
          <w:szCs w:val="32"/>
          <w:lang w:val="en-US" w:eastAsia="zh-CN"/>
        </w:rPr>
        <w:t>红原县政务服务中心建设等项目竣工并投入使用，20</w:t>
      </w:r>
      <w:r>
        <w:rPr>
          <w:rFonts w:hint="eastAsia" w:ascii="仿宋_GB2312" w:hAnsi="仿宋_GB2312" w:eastAsia="仿宋_GB2312" w:cs="仿宋_GB2312"/>
          <w:sz w:val="32"/>
          <w:szCs w:val="32"/>
          <w:lang w:val="en-US" w:eastAsia="zh-CN"/>
        </w:rPr>
        <w:t>25年无该费用支出。</w:t>
      </w:r>
    </w:p>
    <w:p w14:paraId="13623168">
      <w:pPr>
        <w:pageBreakBefore w:val="0"/>
        <w:kinsoku/>
        <w:wordWrap/>
        <w:overflowPunct/>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（图1：收、支决算总计变动情况图）（柱状图）</w:t>
      </w:r>
    </w:p>
    <w:p w14:paraId="5C1871C2">
      <w:pPr>
        <w:pStyle w:val="9"/>
        <w:pageBreakBefore w:val="0"/>
        <w:kinsoku/>
        <w:wordWrap/>
        <w:overflowPunct/>
        <w:topLinePunct w:val="0"/>
        <w:bidi w:val="0"/>
        <w:spacing w:beforeAutospacing="0" w:after="0" w:afterAutospacing="0" w:line="576" w:lineRule="exact"/>
        <w:ind w:left="0" w:leftChars="0" w:right="0" w:firstLine="640" w:firstLineChars="200"/>
        <w:jc w:val="both"/>
        <w:rPr>
          <w:rFonts w:hint="eastAsia" w:ascii="仿宋_GB2312" w:eastAsia="仿宋_GB2312"/>
          <w:sz w:val="32"/>
          <w:szCs w:val="32"/>
          <w:lang w:eastAsia="zh-CN"/>
        </w:rPr>
      </w:pPr>
      <w:r>
        <w:rPr>
          <w:rFonts w:hint="eastAsia" w:ascii="仿宋_GB2312" w:eastAsia="仿宋_GB2312"/>
          <w:sz w:val="32"/>
          <w:szCs w:val="32"/>
          <w:lang w:eastAsia="zh-CN"/>
        </w:rPr>
        <w:drawing>
          <wp:anchor distT="0" distB="0" distL="114300" distR="114300" simplePos="0" relativeHeight="251660288" behindDoc="0" locked="0" layoutInCell="1" allowOverlap="1">
            <wp:simplePos x="0" y="0"/>
            <wp:positionH relativeFrom="column">
              <wp:posOffset>242570</wp:posOffset>
            </wp:positionH>
            <wp:positionV relativeFrom="paragraph">
              <wp:posOffset>209550</wp:posOffset>
            </wp:positionV>
            <wp:extent cx="4213860" cy="2065020"/>
            <wp:effectExtent l="4445" t="4445" r="10795" b="698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14:paraId="10597C34">
      <w:pPr>
        <w:pStyle w:val="29"/>
        <w:pageBreakBefore w:val="0"/>
        <w:numPr>
          <w:ilvl w:val="0"/>
          <w:numId w:val="0"/>
        </w:numPr>
        <w:kinsoku/>
        <w:wordWrap/>
        <w:overflowPunct/>
        <w:topLinePunct w:val="0"/>
        <w:bidi w:val="0"/>
        <w:spacing w:beforeAutospacing="0" w:afterAutospacing="0" w:line="576" w:lineRule="exact"/>
        <w:ind w:right="0" w:rightChars="0"/>
        <w:jc w:val="both"/>
        <w:outlineLvl w:val="1"/>
        <w:rPr>
          <w:rFonts w:hint="eastAsia" w:ascii="黑体" w:eastAsia="黑体"/>
          <w:sz w:val="32"/>
          <w:szCs w:val="32"/>
        </w:rPr>
      </w:pPr>
      <w:bookmarkStart w:id="25" w:name="_Toc24050"/>
      <w:bookmarkStart w:id="26" w:name="_Toc15377206"/>
      <w:bookmarkStart w:id="27" w:name="_Toc15396604"/>
    </w:p>
    <w:p w14:paraId="7F01B141">
      <w:pPr>
        <w:pStyle w:val="29"/>
        <w:pageBreakBefore w:val="0"/>
        <w:numPr>
          <w:ilvl w:val="0"/>
          <w:numId w:val="0"/>
        </w:numPr>
        <w:kinsoku/>
        <w:wordWrap/>
        <w:overflowPunct/>
        <w:topLinePunct w:val="0"/>
        <w:bidi w:val="0"/>
        <w:spacing w:beforeAutospacing="0" w:afterAutospacing="0" w:line="576" w:lineRule="exact"/>
        <w:ind w:right="0" w:rightChars="0"/>
        <w:jc w:val="both"/>
        <w:outlineLvl w:val="1"/>
        <w:rPr>
          <w:rFonts w:hint="eastAsia" w:ascii="黑体" w:eastAsia="黑体"/>
          <w:sz w:val="32"/>
          <w:szCs w:val="32"/>
        </w:rPr>
      </w:pPr>
    </w:p>
    <w:p w14:paraId="6D1636A7">
      <w:pPr>
        <w:pStyle w:val="29"/>
        <w:pageBreakBefore w:val="0"/>
        <w:numPr>
          <w:ilvl w:val="0"/>
          <w:numId w:val="0"/>
        </w:numPr>
        <w:kinsoku/>
        <w:wordWrap/>
        <w:overflowPunct/>
        <w:topLinePunct w:val="0"/>
        <w:bidi w:val="0"/>
        <w:spacing w:beforeAutospacing="0" w:afterAutospacing="0" w:line="576" w:lineRule="exact"/>
        <w:ind w:right="0" w:rightChars="0"/>
        <w:jc w:val="both"/>
        <w:outlineLvl w:val="1"/>
        <w:rPr>
          <w:rFonts w:hint="eastAsia" w:ascii="黑体" w:eastAsia="黑体"/>
          <w:sz w:val="32"/>
          <w:szCs w:val="32"/>
        </w:rPr>
      </w:pPr>
    </w:p>
    <w:p w14:paraId="4F43FC11">
      <w:pPr>
        <w:pStyle w:val="29"/>
        <w:pageBreakBefore w:val="0"/>
        <w:numPr>
          <w:ilvl w:val="0"/>
          <w:numId w:val="0"/>
        </w:numPr>
        <w:kinsoku/>
        <w:wordWrap/>
        <w:overflowPunct/>
        <w:topLinePunct w:val="0"/>
        <w:bidi w:val="0"/>
        <w:spacing w:beforeAutospacing="0" w:afterAutospacing="0" w:line="576" w:lineRule="exact"/>
        <w:ind w:right="0" w:rightChars="0"/>
        <w:jc w:val="both"/>
        <w:outlineLvl w:val="1"/>
        <w:rPr>
          <w:rFonts w:hint="eastAsia" w:ascii="黑体" w:eastAsia="黑体"/>
          <w:sz w:val="32"/>
          <w:szCs w:val="32"/>
        </w:rPr>
      </w:pPr>
    </w:p>
    <w:p w14:paraId="18AFDC84">
      <w:pPr>
        <w:pStyle w:val="29"/>
        <w:pageBreakBefore w:val="0"/>
        <w:numPr>
          <w:ilvl w:val="0"/>
          <w:numId w:val="0"/>
        </w:numPr>
        <w:kinsoku/>
        <w:wordWrap/>
        <w:overflowPunct/>
        <w:topLinePunct w:val="0"/>
        <w:bidi w:val="0"/>
        <w:spacing w:beforeAutospacing="0" w:afterAutospacing="0" w:line="576" w:lineRule="exact"/>
        <w:ind w:right="0" w:rightChars="0"/>
        <w:jc w:val="both"/>
        <w:outlineLvl w:val="1"/>
        <w:rPr>
          <w:rFonts w:hint="eastAsia" w:ascii="黑体" w:eastAsia="黑体"/>
          <w:sz w:val="32"/>
          <w:szCs w:val="32"/>
        </w:rPr>
      </w:pPr>
    </w:p>
    <w:p w14:paraId="6B04D526">
      <w:pPr>
        <w:pStyle w:val="29"/>
        <w:pageBreakBefore w:val="0"/>
        <w:numPr>
          <w:ilvl w:val="0"/>
          <w:numId w:val="0"/>
        </w:numPr>
        <w:kinsoku/>
        <w:wordWrap/>
        <w:overflowPunct/>
        <w:topLinePunct w:val="0"/>
        <w:bidi w:val="0"/>
        <w:spacing w:beforeAutospacing="0" w:afterAutospacing="0" w:line="576" w:lineRule="exact"/>
        <w:ind w:right="0" w:rightChars="0"/>
        <w:jc w:val="both"/>
        <w:outlineLvl w:val="1"/>
        <w:rPr>
          <w:rFonts w:hint="eastAsia" w:ascii="黑体" w:eastAsia="黑体"/>
          <w:sz w:val="32"/>
          <w:szCs w:val="32"/>
        </w:rPr>
      </w:pPr>
    </w:p>
    <w:p w14:paraId="371A798D">
      <w:pPr>
        <w:pStyle w:val="29"/>
        <w:pageBreakBefore w:val="0"/>
        <w:numPr>
          <w:ilvl w:val="0"/>
          <w:numId w:val="0"/>
        </w:numPr>
        <w:kinsoku/>
        <w:wordWrap/>
        <w:overflowPunct/>
        <w:topLinePunct w:val="0"/>
        <w:bidi w:val="0"/>
        <w:spacing w:beforeAutospacing="0" w:afterAutospacing="0" w:line="576" w:lineRule="exact"/>
        <w:ind w:right="0" w:rightChars="0" w:firstLine="640" w:firstLineChars="200"/>
        <w:jc w:val="both"/>
        <w:outlineLvl w:val="1"/>
        <w:rPr>
          <w:rStyle w:val="23"/>
          <w:rFonts w:ascii="黑体" w:eastAsia="黑体"/>
          <w:b w:val="0"/>
        </w:rPr>
      </w:pPr>
      <w:r>
        <w:rPr>
          <w:rFonts w:hint="eastAsia" w:ascii="黑体" w:eastAsia="黑体"/>
          <w:sz w:val="32"/>
          <w:szCs w:val="32"/>
          <w:lang w:val="en-US" w:eastAsia="zh-CN"/>
        </w:rPr>
        <w:t>二、</w:t>
      </w:r>
      <w:r>
        <w:rPr>
          <w:rFonts w:hint="eastAsia" w:ascii="黑体" w:eastAsia="黑体"/>
          <w:sz w:val="32"/>
          <w:szCs w:val="32"/>
        </w:rPr>
        <w:t>收</w:t>
      </w:r>
      <w:r>
        <w:rPr>
          <w:rStyle w:val="23"/>
          <w:rFonts w:hint="eastAsia" w:ascii="黑体" w:eastAsia="黑体"/>
          <w:b w:val="0"/>
        </w:rPr>
        <w:t>入决算情况说明</w:t>
      </w:r>
      <w:bookmarkEnd w:id="25"/>
      <w:bookmarkEnd w:id="26"/>
      <w:bookmarkEnd w:id="27"/>
    </w:p>
    <w:p w14:paraId="793E7E22">
      <w:pPr>
        <w:pStyle w:val="17"/>
        <w:keepNext w:val="0"/>
        <w:keepLines w:val="0"/>
        <w:pageBreakBefore w:val="0"/>
        <w:widowControl/>
        <w:numPr>
          <w:ilvl w:val="0"/>
          <w:numId w:val="0"/>
        </w:numPr>
        <w:suppressLineNumbers w:val="0"/>
        <w:shd w:val="clear" w:color="auto" w:fill="auto"/>
        <w:kinsoku/>
        <w:wordWrap/>
        <w:overflowPunct/>
        <w:topLinePunct w:val="0"/>
        <w:bidi w:val="0"/>
        <w:spacing w:before="0" w:beforeAutospacing="0" w:after="0" w:afterAutospacing="0" w:line="576" w:lineRule="exact"/>
        <w:ind w:left="0" w:leftChars="0" w:right="0" w:rightChars="0"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年本年收入合计</w:t>
      </w:r>
      <w:r>
        <w:rPr>
          <w:rFonts w:hint="eastAsia" w:ascii="仿宋_GB2312" w:hAnsi="仿宋_GB2312" w:eastAsia="仿宋_GB2312" w:cs="仿宋_GB2312"/>
          <w:sz w:val="32"/>
          <w:szCs w:val="32"/>
          <w:lang w:val="en-US" w:eastAsia="zh-CN"/>
        </w:rPr>
        <w:t>606.08</w:t>
      </w:r>
      <w:r>
        <w:rPr>
          <w:rFonts w:hint="eastAsia" w:ascii="仿宋_GB2312" w:hAnsi="仿宋_GB2312" w:eastAsia="仿宋_GB2312" w:cs="仿宋_GB2312"/>
          <w:sz w:val="32"/>
          <w:szCs w:val="32"/>
        </w:rPr>
        <w:t>万元，其中：一般公共预算财政拨款收入</w:t>
      </w:r>
      <w:r>
        <w:rPr>
          <w:rFonts w:hint="eastAsia" w:ascii="仿宋_GB2312" w:hAnsi="仿宋_GB2312" w:eastAsia="仿宋_GB2312" w:cs="仿宋_GB2312"/>
          <w:sz w:val="32"/>
          <w:szCs w:val="32"/>
          <w:lang w:val="en-US" w:eastAsia="zh-CN"/>
        </w:rPr>
        <w:t>606.08</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w:t>
      </w:r>
      <w:r>
        <w:rPr>
          <w:rFonts w:hint="eastAsia" w:ascii="仿宋_GB2312" w:hAnsi="仿宋_GB2312" w:eastAsia="仿宋_GB2312" w:cs="仿宋_GB2312"/>
          <w:color w:val="000000"/>
          <w:sz w:val="32"/>
          <w:szCs w:val="32"/>
          <w:lang w:eastAsia="zh-CN"/>
        </w:rPr>
        <w:t>无其他收入、</w:t>
      </w:r>
      <w:r>
        <w:rPr>
          <w:rFonts w:hint="eastAsia" w:ascii="仿宋_GB2312" w:hAnsi="仿宋_GB2312" w:eastAsia="仿宋_GB2312" w:cs="仿宋_GB2312"/>
          <w:sz w:val="32"/>
          <w:szCs w:val="32"/>
        </w:rPr>
        <w:t>政府性基金预算财政拨款收入</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国有资本经营预算财政拨款收入</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上级补助收入</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事业收入</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经营收入</w:t>
      </w:r>
      <w:r>
        <w:rPr>
          <w:rFonts w:hint="eastAsia" w:ascii="仿宋_GB2312" w:hAnsi="仿宋_GB2312" w:eastAsia="仿宋_GB2312" w:cs="仿宋_GB2312"/>
          <w:sz w:val="32"/>
          <w:szCs w:val="32"/>
          <w:lang w:val="en-US" w:eastAsia="zh-CN"/>
        </w:rPr>
        <w:t>及</w:t>
      </w:r>
      <w:r>
        <w:rPr>
          <w:rFonts w:hint="eastAsia" w:ascii="仿宋_GB2312" w:hAnsi="仿宋_GB2312" w:eastAsia="仿宋_GB2312" w:cs="仿宋_GB2312"/>
          <w:sz w:val="32"/>
          <w:szCs w:val="32"/>
        </w:rPr>
        <w:t>附属单位上缴收入</w:t>
      </w:r>
      <w:r>
        <w:rPr>
          <w:rFonts w:hint="eastAsia" w:ascii="仿宋_GB2312" w:hAnsi="仿宋_GB2312" w:eastAsia="仿宋_GB2312" w:cs="仿宋_GB2312"/>
          <w:sz w:val="32"/>
          <w:szCs w:val="32"/>
          <w:lang w:val="en-US" w:eastAsia="zh-CN"/>
        </w:rPr>
        <w:t>。</w:t>
      </w:r>
    </w:p>
    <w:p w14:paraId="4DAA8C29">
      <w:pPr>
        <w:pageBreakBefore w:val="0"/>
        <w:kinsoku/>
        <w:wordWrap/>
        <w:overflowPunct/>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sz w:val="32"/>
          <w:szCs w:val="32"/>
        </w:rPr>
      </w:pPr>
    </w:p>
    <w:p w14:paraId="03CE6FB3">
      <w:pPr>
        <w:pageBreakBefore w:val="0"/>
        <w:kinsoku/>
        <w:wordWrap/>
        <w:overflowPunct/>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sz w:val="32"/>
          <w:szCs w:val="32"/>
        </w:rPr>
      </w:pPr>
    </w:p>
    <w:p w14:paraId="13AAF4F8">
      <w:pPr>
        <w:pageBreakBefore w:val="0"/>
        <w:kinsoku/>
        <w:wordWrap/>
        <w:overflowPunct/>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sz w:val="32"/>
          <w:szCs w:val="32"/>
        </w:rPr>
      </w:pPr>
    </w:p>
    <w:p w14:paraId="2C6907EE">
      <w:pPr>
        <w:pageBreakBefore w:val="0"/>
        <w:kinsoku/>
        <w:wordWrap/>
        <w:overflowPunct/>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（图2：收入决算结构图）（饼状图）</w:t>
      </w:r>
    </w:p>
    <w:p w14:paraId="6F8BC603">
      <w:pPr>
        <w:pStyle w:val="9"/>
        <w:pageBreakBefore w:val="0"/>
        <w:kinsoku/>
        <w:wordWrap/>
        <w:overflowPunct/>
        <w:topLinePunct w:val="0"/>
        <w:bidi w:val="0"/>
        <w:spacing w:beforeAutospacing="0" w:after="0" w:afterAutospacing="0" w:line="576" w:lineRule="exact"/>
        <w:ind w:left="0" w:leftChars="0" w:right="0" w:firstLine="420" w:firstLineChars="200"/>
        <w:jc w:val="both"/>
      </w:pPr>
      <w:r>
        <w:rPr>
          <w:rFonts w:hint="eastAsia" w:eastAsia="仿宋_GB2312"/>
          <w:lang w:eastAsia="zh-CN"/>
        </w:rPr>
        <w:drawing>
          <wp:anchor distT="0" distB="0" distL="114300" distR="114300" simplePos="0" relativeHeight="251661312" behindDoc="0" locked="0" layoutInCell="1" allowOverlap="1">
            <wp:simplePos x="0" y="0"/>
            <wp:positionH relativeFrom="column">
              <wp:posOffset>271145</wp:posOffset>
            </wp:positionH>
            <wp:positionV relativeFrom="paragraph">
              <wp:posOffset>200660</wp:posOffset>
            </wp:positionV>
            <wp:extent cx="4424045" cy="2270760"/>
            <wp:effectExtent l="4445" t="4445" r="10160" b="10795"/>
            <wp:wrapSquare wrapText="bothSides"/>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753B3BD0">
      <w:pPr>
        <w:pStyle w:val="29"/>
        <w:pageBreakBefore w:val="0"/>
        <w:numPr>
          <w:ilvl w:val="0"/>
          <w:numId w:val="0"/>
        </w:numPr>
        <w:kinsoku/>
        <w:wordWrap/>
        <w:overflowPunct/>
        <w:topLinePunct w:val="0"/>
        <w:bidi w:val="0"/>
        <w:spacing w:beforeAutospacing="0" w:afterAutospacing="0" w:line="576" w:lineRule="exact"/>
        <w:ind w:leftChars="200" w:right="0" w:rightChars="0"/>
        <w:jc w:val="both"/>
        <w:outlineLvl w:val="1"/>
        <w:rPr>
          <w:rFonts w:hint="eastAsia" w:ascii="黑体" w:eastAsia="黑体"/>
          <w:sz w:val="32"/>
          <w:szCs w:val="32"/>
        </w:rPr>
      </w:pPr>
      <w:bookmarkStart w:id="28" w:name="_Toc15396605"/>
      <w:bookmarkStart w:id="29" w:name="_Toc1784"/>
      <w:bookmarkStart w:id="30" w:name="_Toc15377207"/>
    </w:p>
    <w:p w14:paraId="51C53F6E">
      <w:pPr>
        <w:pStyle w:val="29"/>
        <w:pageBreakBefore w:val="0"/>
        <w:numPr>
          <w:ilvl w:val="0"/>
          <w:numId w:val="0"/>
        </w:numPr>
        <w:kinsoku/>
        <w:wordWrap/>
        <w:overflowPunct/>
        <w:topLinePunct w:val="0"/>
        <w:bidi w:val="0"/>
        <w:spacing w:beforeAutospacing="0" w:afterAutospacing="0" w:line="576" w:lineRule="exact"/>
        <w:ind w:leftChars="200" w:right="0" w:rightChars="0"/>
        <w:jc w:val="both"/>
        <w:outlineLvl w:val="1"/>
        <w:rPr>
          <w:rFonts w:hint="eastAsia" w:ascii="黑体" w:eastAsia="黑体"/>
          <w:sz w:val="32"/>
          <w:szCs w:val="32"/>
        </w:rPr>
      </w:pPr>
    </w:p>
    <w:p w14:paraId="634B5DCB">
      <w:pPr>
        <w:pStyle w:val="29"/>
        <w:pageBreakBefore w:val="0"/>
        <w:numPr>
          <w:ilvl w:val="0"/>
          <w:numId w:val="0"/>
        </w:numPr>
        <w:kinsoku/>
        <w:wordWrap/>
        <w:overflowPunct/>
        <w:topLinePunct w:val="0"/>
        <w:bidi w:val="0"/>
        <w:spacing w:beforeAutospacing="0" w:afterAutospacing="0" w:line="576" w:lineRule="exact"/>
        <w:ind w:leftChars="200" w:right="0" w:rightChars="0"/>
        <w:jc w:val="both"/>
        <w:outlineLvl w:val="1"/>
        <w:rPr>
          <w:rFonts w:hint="eastAsia" w:ascii="黑体" w:eastAsia="黑体"/>
          <w:sz w:val="32"/>
          <w:szCs w:val="32"/>
        </w:rPr>
      </w:pPr>
    </w:p>
    <w:p w14:paraId="0574CCA2">
      <w:pPr>
        <w:pStyle w:val="29"/>
        <w:pageBreakBefore w:val="0"/>
        <w:numPr>
          <w:ilvl w:val="0"/>
          <w:numId w:val="0"/>
        </w:numPr>
        <w:kinsoku/>
        <w:wordWrap/>
        <w:overflowPunct/>
        <w:topLinePunct w:val="0"/>
        <w:bidi w:val="0"/>
        <w:spacing w:beforeAutospacing="0" w:afterAutospacing="0" w:line="576" w:lineRule="exact"/>
        <w:ind w:leftChars="200" w:right="0" w:rightChars="0"/>
        <w:jc w:val="both"/>
        <w:outlineLvl w:val="1"/>
        <w:rPr>
          <w:rFonts w:hint="eastAsia" w:ascii="黑体" w:eastAsia="黑体"/>
          <w:sz w:val="32"/>
          <w:szCs w:val="32"/>
        </w:rPr>
      </w:pPr>
    </w:p>
    <w:p w14:paraId="7F35118A">
      <w:pPr>
        <w:pStyle w:val="29"/>
        <w:pageBreakBefore w:val="0"/>
        <w:numPr>
          <w:ilvl w:val="0"/>
          <w:numId w:val="0"/>
        </w:numPr>
        <w:kinsoku/>
        <w:wordWrap/>
        <w:overflowPunct/>
        <w:topLinePunct w:val="0"/>
        <w:bidi w:val="0"/>
        <w:spacing w:beforeAutospacing="0" w:afterAutospacing="0" w:line="576" w:lineRule="exact"/>
        <w:ind w:leftChars="200" w:right="0" w:rightChars="0"/>
        <w:jc w:val="both"/>
        <w:outlineLvl w:val="1"/>
        <w:rPr>
          <w:rFonts w:hint="eastAsia" w:ascii="黑体" w:eastAsia="黑体"/>
          <w:sz w:val="32"/>
          <w:szCs w:val="32"/>
        </w:rPr>
      </w:pPr>
    </w:p>
    <w:p w14:paraId="15E5E98D">
      <w:pPr>
        <w:pStyle w:val="29"/>
        <w:pageBreakBefore w:val="0"/>
        <w:numPr>
          <w:ilvl w:val="0"/>
          <w:numId w:val="0"/>
        </w:numPr>
        <w:kinsoku/>
        <w:wordWrap/>
        <w:overflowPunct/>
        <w:topLinePunct w:val="0"/>
        <w:bidi w:val="0"/>
        <w:spacing w:beforeAutospacing="0" w:afterAutospacing="0" w:line="576" w:lineRule="exact"/>
        <w:ind w:leftChars="200" w:right="0" w:rightChars="0"/>
        <w:jc w:val="both"/>
        <w:outlineLvl w:val="1"/>
        <w:rPr>
          <w:rFonts w:hint="eastAsia" w:ascii="黑体" w:eastAsia="黑体"/>
          <w:sz w:val="32"/>
          <w:szCs w:val="32"/>
        </w:rPr>
      </w:pPr>
    </w:p>
    <w:p w14:paraId="43F670AC">
      <w:pPr>
        <w:pStyle w:val="29"/>
        <w:pageBreakBefore w:val="0"/>
        <w:numPr>
          <w:ilvl w:val="0"/>
          <w:numId w:val="0"/>
        </w:numPr>
        <w:kinsoku/>
        <w:wordWrap/>
        <w:overflowPunct/>
        <w:topLinePunct w:val="0"/>
        <w:bidi w:val="0"/>
        <w:spacing w:beforeAutospacing="0" w:afterAutospacing="0" w:line="576" w:lineRule="exact"/>
        <w:ind w:right="0" w:rightChars="0" w:firstLine="640" w:firstLineChars="200"/>
        <w:jc w:val="both"/>
        <w:outlineLvl w:val="1"/>
        <w:rPr>
          <w:rStyle w:val="23"/>
          <w:rFonts w:ascii="黑体" w:eastAsia="黑体"/>
          <w:b w:val="0"/>
        </w:rPr>
      </w:pPr>
      <w:r>
        <w:rPr>
          <w:rFonts w:hint="eastAsia" w:ascii="黑体" w:eastAsia="黑体"/>
          <w:sz w:val="32"/>
          <w:szCs w:val="32"/>
          <w:lang w:val="en-US" w:eastAsia="zh-CN"/>
        </w:rPr>
        <w:t>三、</w:t>
      </w:r>
      <w:r>
        <w:rPr>
          <w:rFonts w:hint="eastAsia" w:ascii="黑体" w:eastAsia="黑体"/>
          <w:sz w:val="32"/>
          <w:szCs w:val="32"/>
        </w:rPr>
        <w:t>支</w:t>
      </w:r>
      <w:r>
        <w:rPr>
          <w:rStyle w:val="23"/>
          <w:rFonts w:hint="eastAsia" w:ascii="黑体" w:eastAsia="黑体"/>
          <w:b w:val="0"/>
        </w:rPr>
        <w:t>出决算情况说明</w:t>
      </w:r>
      <w:bookmarkEnd w:id="28"/>
      <w:bookmarkEnd w:id="29"/>
      <w:bookmarkEnd w:id="30"/>
    </w:p>
    <w:p w14:paraId="36178152">
      <w:pPr>
        <w:pageBreakBefore w:val="0"/>
        <w:kinsoku/>
        <w:wordWrap/>
        <w:overflowPunct/>
        <w:topLinePunct w:val="0"/>
        <w:bidi w:val="0"/>
        <w:spacing w:beforeAutospacing="0" w:afterAutospacing="0" w:line="576" w:lineRule="exact"/>
        <w:ind w:left="0" w:leftChars="0" w:right="0" w:firstLine="640" w:firstLineChars="200"/>
        <w:jc w:val="both"/>
        <w:outlineLvl w:val="1"/>
        <w:rPr>
          <w:rFonts w:hint="eastAsia" w:ascii="仿宋_GB2312" w:hAnsi="仿宋_GB2312" w:eastAsia="仿宋_GB2312" w:cs="仿宋_GB2312"/>
          <w:sz w:val="32"/>
          <w:szCs w:val="32"/>
          <w:shd w:val="pct10" w:color="auto" w:fill="FFFFFF"/>
        </w:rPr>
      </w:pPr>
      <w:bookmarkStart w:id="31" w:name="_Toc15375"/>
      <w:bookmarkStart w:id="32" w:name="_Toc5657"/>
      <w:bookmarkStart w:id="33" w:name="_Toc7068"/>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年本年支出合计</w:t>
      </w:r>
      <w:r>
        <w:rPr>
          <w:rFonts w:hint="eastAsia" w:ascii="仿宋_GB2312" w:hAnsi="仿宋_GB2312" w:eastAsia="仿宋_GB2312" w:cs="仿宋_GB2312"/>
          <w:sz w:val="32"/>
          <w:szCs w:val="32"/>
          <w:lang w:val="en-US" w:eastAsia="zh-CN"/>
        </w:rPr>
        <w:t>606.08</w:t>
      </w:r>
      <w:r>
        <w:rPr>
          <w:rFonts w:hint="eastAsia" w:ascii="仿宋_GB2312" w:hAnsi="仿宋_GB2312" w:eastAsia="仿宋_GB2312" w:cs="仿宋_GB2312"/>
          <w:sz w:val="32"/>
          <w:szCs w:val="32"/>
        </w:rPr>
        <w:t>万元，其中：基本支出</w:t>
      </w:r>
      <w:r>
        <w:rPr>
          <w:rFonts w:hint="eastAsia" w:ascii="仿宋_GB2312" w:hAnsi="仿宋_GB2312" w:eastAsia="仿宋_GB2312" w:cs="仿宋_GB2312"/>
          <w:sz w:val="32"/>
          <w:szCs w:val="32"/>
          <w:lang w:val="en-US" w:eastAsia="zh-CN"/>
        </w:rPr>
        <w:t>365.31</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60</w:t>
      </w:r>
      <w:r>
        <w:rPr>
          <w:rFonts w:hint="eastAsia" w:ascii="仿宋_GB2312" w:hAnsi="仿宋_GB2312" w:eastAsia="仿宋_GB2312" w:cs="仿宋_GB2312"/>
          <w:sz w:val="32"/>
          <w:szCs w:val="32"/>
        </w:rPr>
        <w:t>%；项目支出</w:t>
      </w:r>
      <w:r>
        <w:rPr>
          <w:rFonts w:hint="eastAsia" w:ascii="仿宋_GB2312" w:hAnsi="仿宋_GB2312" w:eastAsia="仿宋_GB2312" w:cs="仿宋_GB2312"/>
          <w:sz w:val="32"/>
          <w:szCs w:val="32"/>
          <w:lang w:val="en-US" w:eastAsia="zh-CN"/>
        </w:rPr>
        <w:t>240.77</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40</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无</w:t>
      </w:r>
      <w:r>
        <w:rPr>
          <w:rFonts w:hint="eastAsia" w:ascii="仿宋_GB2312" w:hAnsi="仿宋_GB2312" w:eastAsia="仿宋_GB2312" w:cs="仿宋_GB2312"/>
          <w:sz w:val="32"/>
          <w:szCs w:val="32"/>
        </w:rPr>
        <w:t>上缴上级支出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经营支出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对附属单位补助支出</w:t>
      </w:r>
      <w:r>
        <w:rPr>
          <w:rFonts w:hint="eastAsia" w:ascii="仿宋_GB2312" w:hAnsi="仿宋_GB2312" w:eastAsia="仿宋_GB2312" w:cs="仿宋_GB2312"/>
          <w:sz w:val="32"/>
          <w:szCs w:val="32"/>
          <w:lang w:eastAsia="zh-CN"/>
        </w:rPr>
        <w:t>等支出。</w:t>
      </w:r>
      <w:bookmarkEnd w:id="31"/>
      <w:bookmarkEnd w:id="32"/>
      <w:bookmarkEnd w:id="33"/>
    </w:p>
    <w:p w14:paraId="5249E601">
      <w:pPr>
        <w:pageBreakBefore w:val="0"/>
        <w:kinsoku/>
        <w:wordWrap/>
        <w:overflowPunct/>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（图3：支出决算结构图）（饼状图）</w:t>
      </w:r>
    </w:p>
    <w:p w14:paraId="1C404ED9">
      <w:pPr>
        <w:pStyle w:val="9"/>
        <w:pageBreakBefore w:val="0"/>
        <w:kinsoku/>
        <w:wordWrap/>
        <w:overflowPunct/>
        <w:topLinePunct w:val="0"/>
        <w:bidi w:val="0"/>
        <w:spacing w:beforeAutospacing="0" w:after="0" w:afterAutospacing="0" w:line="576" w:lineRule="exact"/>
        <w:ind w:left="0" w:leftChars="0" w:right="0" w:firstLine="640" w:firstLineChars="200"/>
        <w:jc w:val="both"/>
      </w:pPr>
      <w:r>
        <w:rPr>
          <w:rFonts w:hint="eastAsia" w:ascii="仿宋_GB2312" w:eastAsia="仿宋_GB2312"/>
          <w:sz w:val="32"/>
          <w:szCs w:val="32"/>
          <w:lang w:eastAsia="zh-CN"/>
        </w:rPr>
        <w:drawing>
          <wp:anchor distT="0" distB="0" distL="114300" distR="114300" simplePos="0" relativeHeight="251662336" behindDoc="0" locked="0" layoutInCell="1" allowOverlap="1">
            <wp:simplePos x="0" y="0"/>
            <wp:positionH relativeFrom="column">
              <wp:posOffset>125095</wp:posOffset>
            </wp:positionH>
            <wp:positionV relativeFrom="paragraph">
              <wp:posOffset>236220</wp:posOffset>
            </wp:positionV>
            <wp:extent cx="4185285" cy="2640330"/>
            <wp:effectExtent l="4445" t="4445" r="20320" b="2222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29ADC8B2">
      <w:pPr>
        <w:pageBreakBefore w:val="0"/>
        <w:kinsoku/>
        <w:wordWrap/>
        <w:overflowPunct/>
        <w:topLinePunct w:val="0"/>
        <w:bidi w:val="0"/>
        <w:spacing w:beforeAutospacing="0" w:afterAutospacing="0" w:line="576" w:lineRule="exact"/>
        <w:ind w:left="0" w:leftChars="0" w:right="0" w:firstLine="640" w:firstLineChars="200"/>
        <w:jc w:val="both"/>
        <w:outlineLvl w:val="1"/>
        <w:rPr>
          <w:rFonts w:hint="eastAsia" w:ascii="黑体" w:eastAsia="黑体"/>
          <w:sz w:val="32"/>
          <w:szCs w:val="32"/>
        </w:rPr>
      </w:pPr>
      <w:bookmarkStart w:id="34" w:name="_Toc15396606"/>
      <w:bookmarkStart w:id="35" w:name="_Toc31432"/>
      <w:bookmarkStart w:id="36" w:name="_Toc15377208"/>
    </w:p>
    <w:p w14:paraId="18569540">
      <w:pPr>
        <w:pageBreakBefore w:val="0"/>
        <w:kinsoku/>
        <w:wordWrap/>
        <w:overflowPunct/>
        <w:topLinePunct w:val="0"/>
        <w:bidi w:val="0"/>
        <w:spacing w:beforeAutospacing="0" w:afterAutospacing="0" w:line="576" w:lineRule="exact"/>
        <w:ind w:left="0" w:leftChars="0" w:right="0" w:firstLine="640" w:firstLineChars="200"/>
        <w:jc w:val="both"/>
        <w:outlineLvl w:val="1"/>
        <w:rPr>
          <w:rFonts w:hint="eastAsia" w:ascii="黑体" w:eastAsia="黑体"/>
          <w:sz w:val="32"/>
          <w:szCs w:val="32"/>
        </w:rPr>
      </w:pPr>
    </w:p>
    <w:p w14:paraId="6DBA4FBE">
      <w:pPr>
        <w:pageBreakBefore w:val="0"/>
        <w:kinsoku/>
        <w:wordWrap/>
        <w:overflowPunct/>
        <w:topLinePunct w:val="0"/>
        <w:bidi w:val="0"/>
        <w:spacing w:beforeAutospacing="0" w:afterAutospacing="0" w:line="576" w:lineRule="exact"/>
        <w:ind w:left="0" w:leftChars="0" w:right="0" w:firstLine="640" w:firstLineChars="200"/>
        <w:jc w:val="both"/>
        <w:outlineLvl w:val="1"/>
        <w:rPr>
          <w:rFonts w:hint="eastAsia" w:ascii="黑体" w:eastAsia="黑体"/>
          <w:sz w:val="32"/>
          <w:szCs w:val="32"/>
        </w:rPr>
      </w:pPr>
    </w:p>
    <w:p w14:paraId="23E76EE8">
      <w:pPr>
        <w:pageBreakBefore w:val="0"/>
        <w:kinsoku/>
        <w:wordWrap/>
        <w:overflowPunct/>
        <w:topLinePunct w:val="0"/>
        <w:bidi w:val="0"/>
        <w:spacing w:beforeAutospacing="0" w:afterAutospacing="0" w:line="576" w:lineRule="exact"/>
        <w:ind w:left="0" w:leftChars="0" w:right="0" w:firstLine="640" w:firstLineChars="200"/>
        <w:jc w:val="both"/>
        <w:outlineLvl w:val="1"/>
        <w:rPr>
          <w:rFonts w:hint="eastAsia" w:ascii="黑体" w:eastAsia="黑体"/>
          <w:sz w:val="32"/>
          <w:szCs w:val="32"/>
        </w:rPr>
      </w:pPr>
    </w:p>
    <w:p w14:paraId="6CF5B646">
      <w:pPr>
        <w:pageBreakBefore w:val="0"/>
        <w:kinsoku/>
        <w:wordWrap/>
        <w:overflowPunct/>
        <w:topLinePunct w:val="0"/>
        <w:bidi w:val="0"/>
        <w:spacing w:beforeAutospacing="0" w:afterAutospacing="0" w:line="576" w:lineRule="exact"/>
        <w:ind w:left="0" w:leftChars="0" w:right="0" w:firstLine="640" w:firstLineChars="200"/>
        <w:jc w:val="both"/>
        <w:outlineLvl w:val="1"/>
        <w:rPr>
          <w:rFonts w:hint="eastAsia" w:ascii="黑体" w:eastAsia="黑体"/>
          <w:sz w:val="32"/>
          <w:szCs w:val="32"/>
        </w:rPr>
      </w:pPr>
    </w:p>
    <w:p w14:paraId="7A215324">
      <w:pPr>
        <w:pageBreakBefore w:val="0"/>
        <w:kinsoku/>
        <w:wordWrap/>
        <w:overflowPunct/>
        <w:topLinePunct w:val="0"/>
        <w:bidi w:val="0"/>
        <w:spacing w:beforeAutospacing="0" w:afterAutospacing="0" w:line="576" w:lineRule="exact"/>
        <w:ind w:left="0" w:leftChars="0" w:right="0" w:firstLine="640" w:firstLineChars="200"/>
        <w:jc w:val="both"/>
        <w:outlineLvl w:val="1"/>
        <w:rPr>
          <w:rFonts w:hint="eastAsia" w:ascii="黑体" w:eastAsia="黑体"/>
          <w:sz w:val="32"/>
          <w:szCs w:val="32"/>
        </w:rPr>
      </w:pPr>
    </w:p>
    <w:p w14:paraId="175B58C8">
      <w:pPr>
        <w:pageBreakBefore w:val="0"/>
        <w:kinsoku/>
        <w:wordWrap/>
        <w:overflowPunct/>
        <w:topLinePunct w:val="0"/>
        <w:bidi w:val="0"/>
        <w:spacing w:beforeAutospacing="0" w:afterAutospacing="0" w:line="576" w:lineRule="exact"/>
        <w:ind w:right="0"/>
        <w:jc w:val="both"/>
        <w:outlineLvl w:val="1"/>
        <w:rPr>
          <w:rFonts w:hint="eastAsia" w:ascii="黑体" w:eastAsia="黑体"/>
          <w:sz w:val="32"/>
          <w:szCs w:val="32"/>
          <w:lang w:val="en-US" w:eastAsia="zh-CN"/>
        </w:rPr>
      </w:pPr>
    </w:p>
    <w:p w14:paraId="7B4E30CF">
      <w:pPr>
        <w:pageBreakBefore w:val="0"/>
        <w:numPr>
          <w:ilvl w:val="0"/>
          <w:numId w:val="1"/>
        </w:numPr>
        <w:kinsoku/>
        <w:wordWrap/>
        <w:overflowPunct/>
        <w:topLinePunct w:val="0"/>
        <w:bidi w:val="0"/>
        <w:spacing w:beforeAutospacing="0" w:afterAutospacing="0" w:line="576" w:lineRule="exact"/>
        <w:ind w:right="0" w:firstLine="640" w:firstLineChars="200"/>
        <w:jc w:val="both"/>
        <w:outlineLvl w:val="1"/>
        <w:rPr>
          <w:rStyle w:val="23"/>
          <w:rFonts w:hint="eastAsia" w:ascii="黑体" w:eastAsia="黑体"/>
          <w:b w:val="0"/>
        </w:rPr>
      </w:pPr>
      <w:r>
        <w:rPr>
          <w:rFonts w:hint="eastAsia" w:ascii="黑体" w:eastAsia="黑体"/>
          <w:sz w:val="32"/>
          <w:szCs w:val="32"/>
        </w:rPr>
        <w:t>财</w:t>
      </w:r>
      <w:r>
        <w:rPr>
          <w:rStyle w:val="23"/>
          <w:rFonts w:hint="eastAsia" w:ascii="黑体" w:eastAsia="黑体"/>
          <w:b w:val="0"/>
        </w:rPr>
        <w:t>政拨款收入支出决算总体情况说明</w:t>
      </w:r>
      <w:bookmarkEnd w:id="34"/>
      <w:bookmarkEnd w:id="35"/>
      <w:bookmarkEnd w:id="36"/>
    </w:p>
    <w:p w14:paraId="44A7E66A">
      <w:pPr>
        <w:pageBreakBefore w:val="0"/>
        <w:numPr>
          <w:ilvl w:val="0"/>
          <w:numId w:val="0"/>
        </w:numPr>
        <w:kinsoku/>
        <w:wordWrap/>
        <w:overflowPunct/>
        <w:topLinePunct w:val="0"/>
        <w:bidi w:val="0"/>
        <w:spacing w:beforeAutospacing="0" w:afterAutospacing="0" w:line="576" w:lineRule="exact"/>
        <w:ind w:right="0" w:rightChars="0" w:firstLine="640" w:firstLineChars="200"/>
        <w:jc w:val="both"/>
        <w:outlineLvl w:val="1"/>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年度收入</w:t>
      </w:r>
      <w:r>
        <w:rPr>
          <w:rFonts w:hint="eastAsia" w:ascii="仿宋_GB2312" w:hAnsi="仿宋_GB2312" w:eastAsia="仿宋_GB2312" w:cs="仿宋_GB2312"/>
          <w:sz w:val="32"/>
          <w:szCs w:val="32"/>
          <w:lang w:val="en-US" w:eastAsia="zh-CN"/>
        </w:rPr>
        <w:t>606.08</w:t>
      </w:r>
      <w:r>
        <w:rPr>
          <w:rFonts w:hint="eastAsia" w:ascii="仿宋_GB2312" w:hAnsi="仿宋_GB2312" w:eastAsia="仿宋_GB2312" w:cs="仿宋_GB2312"/>
          <w:sz w:val="32"/>
          <w:szCs w:val="32"/>
        </w:rPr>
        <w:t>万元，支出</w:t>
      </w:r>
      <w:r>
        <w:rPr>
          <w:rFonts w:hint="eastAsia" w:ascii="仿宋_GB2312" w:hAnsi="仿宋_GB2312" w:eastAsia="仿宋_GB2312" w:cs="仿宋_GB2312"/>
          <w:sz w:val="32"/>
          <w:szCs w:val="32"/>
          <w:lang w:val="en-US" w:eastAsia="zh-CN"/>
        </w:rPr>
        <w:t>606.08</w:t>
      </w:r>
      <w:r>
        <w:rPr>
          <w:rFonts w:hint="eastAsia" w:ascii="仿宋_GB2312" w:hAnsi="仿宋_GB2312" w:eastAsia="仿宋_GB2312" w:cs="仿宋_GB2312"/>
          <w:sz w:val="32"/>
          <w:szCs w:val="32"/>
        </w:rPr>
        <w:t>万元。资金与20</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rPr>
        <w:t>年相比，收入</w:t>
      </w:r>
      <w:r>
        <w:rPr>
          <w:rFonts w:hint="eastAsia" w:ascii="仿宋_GB2312" w:hAnsi="仿宋_GB2312" w:eastAsia="仿宋_GB2312" w:cs="仿宋_GB2312"/>
          <w:sz w:val="32"/>
          <w:szCs w:val="32"/>
          <w:lang w:val="en-US" w:eastAsia="zh-CN"/>
        </w:rPr>
        <w:t>减少了1202.07</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下降了66.48</w:t>
      </w:r>
      <w:r>
        <w:rPr>
          <w:rFonts w:hint="eastAsia" w:ascii="仿宋_GB2312" w:hAnsi="仿宋_GB2312" w:eastAsia="仿宋_GB2312" w:cs="仿宋_GB2312"/>
          <w:sz w:val="32"/>
          <w:szCs w:val="32"/>
        </w:rPr>
        <w:t>%，支出</w:t>
      </w:r>
      <w:r>
        <w:rPr>
          <w:rFonts w:hint="eastAsia" w:ascii="仿宋_GB2312" w:hAnsi="仿宋_GB2312" w:eastAsia="仿宋_GB2312" w:cs="仿宋_GB2312"/>
          <w:sz w:val="32"/>
          <w:szCs w:val="32"/>
          <w:lang w:val="en-US" w:eastAsia="zh-CN"/>
        </w:rPr>
        <w:t>减少了1202.07</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下降了66.48</w:t>
      </w:r>
      <w:r>
        <w:rPr>
          <w:rFonts w:hint="eastAsia" w:ascii="仿宋_GB2312" w:hAnsi="仿宋_GB2312" w:eastAsia="仿宋_GB2312" w:cs="仿宋_GB2312"/>
          <w:sz w:val="32"/>
          <w:szCs w:val="32"/>
        </w:rPr>
        <w:t>%。收入支出均</w:t>
      </w:r>
      <w:r>
        <w:rPr>
          <w:rFonts w:hint="eastAsia" w:ascii="仿宋_GB2312" w:hAnsi="仿宋_GB2312" w:eastAsia="仿宋_GB2312" w:cs="仿宋_GB2312"/>
          <w:sz w:val="32"/>
          <w:szCs w:val="32"/>
          <w:lang w:val="en-US" w:eastAsia="zh-CN"/>
        </w:rPr>
        <w:t>下降</w:t>
      </w:r>
      <w:r>
        <w:rPr>
          <w:rFonts w:hint="eastAsia" w:ascii="仿宋_GB2312" w:hAnsi="仿宋_GB2312" w:eastAsia="仿宋_GB2312" w:cs="仿宋_GB2312"/>
          <w:sz w:val="32"/>
          <w:szCs w:val="32"/>
        </w:rPr>
        <w:t>主要原因：</w:t>
      </w:r>
      <w:r>
        <w:rPr>
          <w:rFonts w:hint="eastAsia" w:ascii="仿宋_GB2312" w:hAnsi="仿宋_GB2312" w:eastAsia="仿宋_GB2312" w:cs="仿宋_GB2312"/>
          <w:sz w:val="32"/>
          <w:szCs w:val="32"/>
          <w:lang w:val="en-US" w:eastAsia="zh-CN"/>
        </w:rPr>
        <w:t>是</w:t>
      </w:r>
      <w:r>
        <w:rPr>
          <w:rFonts w:hint="eastAsia" w:ascii="仿宋_GB2312" w:hAnsi="仿宋_GB2312" w:eastAsia="仿宋_GB2312" w:cs="仿宋_GB2312"/>
          <w:b w:val="0"/>
          <w:bCs w:val="0"/>
          <w:sz w:val="32"/>
          <w:szCs w:val="32"/>
          <w:lang w:val="en-US" w:eastAsia="zh-CN"/>
        </w:rPr>
        <w:t>红原县政务服务中心建设等项目竣工并投入使用，20</w:t>
      </w:r>
      <w:r>
        <w:rPr>
          <w:rFonts w:hint="eastAsia" w:ascii="仿宋_GB2312" w:hAnsi="仿宋_GB2312" w:eastAsia="仿宋_GB2312" w:cs="仿宋_GB2312"/>
          <w:sz w:val="32"/>
          <w:szCs w:val="32"/>
          <w:lang w:val="en-US" w:eastAsia="zh-CN"/>
        </w:rPr>
        <w:t>25年无该费用支出。</w:t>
      </w:r>
    </w:p>
    <w:p w14:paraId="4FF281DB">
      <w:pPr>
        <w:pageBreakBefore w:val="0"/>
        <w:kinsoku/>
        <w:wordWrap/>
        <w:overflowPunct/>
        <w:topLinePunct w:val="0"/>
        <w:bidi w:val="0"/>
        <w:spacing w:beforeAutospacing="0" w:afterAutospacing="0" w:line="576" w:lineRule="exact"/>
        <w:ind w:left="0" w:leftChars="0" w:right="0" w:firstLine="640" w:firstLineChars="200"/>
        <w:jc w:val="both"/>
        <w:rPr>
          <w:rFonts w:hint="eastAsia" w:ascii="仿宋" w:eastAsia="仿宋"/>
          <w:sz w:val="32"/>
          <w:szCs w:val="32"/>
        </w:rPr>
      </w:pPr>
      <w:r>
        <w:rPr>
          <w:rFonts w:hint="eastAsia" w:ascii="仿宋_GB2312" w:hAnsi="仿宋_GB2312" w:eastAsia="仿宋_GB2312" w:cs="仿宋_GB2312"/>
          <w:sz w:val="32"/>
          <w:szCs w:val="32"/>
        </w:rPr>
        <w:t>（图4：财政拨款收、支决算总计变动情况）（柱状图）</w:t>
      </w:r>
    </w:p>
    <w:p w14:paraId="263E4FEE">
      <w:pPr>
        <w:pStyle w:val="10"/>
        <w:pageBreakBefore w:val="0"/>
        <w:kinsoku/>
        <w:wordWrap/>
        <w:overflowPunct/>
        <w:topLinePunct w:val="0"/>
        <w:bidi w:val="0"/>
        <w:spacing w:beforeAutospacing="0" w:afterAutospacing="0" w:line="576" w:lineRule="exact"/>
        <w:ind w:right="0"/>
        <w:jc w:val="both"/>
        <w:rPr>
          <w:rStyle w:val="23"/>
          <w:rFonts w:ascii="黑体" w:eastAsia="黑体"/>
          <w:b w:val="0"/>
        </w:rPr>
      </w:pPr>
      <w:r>
        <w:rPr>
          <w:rFonts w:hint="eastAsia" w:ascii="仿宋_GB2312" w:eastAsia="仿宋_GB2312"/>
          <w:sz w:val="32"/>
          <w:szCs w:val="32"/>
          <w:lang w:eastAsia="zh-CN"/>
        </w:rPr>
        <w:drawing>
          <wp:anchor distT="0" distB="0" distL="114300" distR="114300" simplePos="0" relativeHeight="251663360" behindDoc="0" locked="0" layoutInCell="1" allowOverlap="1">
            <wp:simplePos x="0" y="0"/>
            <wp:positionH relativeFrom="column">
              <wp:posOffset>163195</wp:posOffset>
            </wp:positionH>
            <wp:positionV relativeFrom="paragraph">
              <wp:posOffset>297180</wp:posOffset>
            </wp:positionV>
            <wp:extent cx="4956810" cy="2254885"/>
            <wp:effectExtent l="4445" t="4445" r="10795" b="7620"/>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bookmarkStart w:id="37" w:name="_Toc15396607"/>
      <w:bookmarkStart w:id="38" w:name="_Toc17525"/>
      <w:bookmarkStart w:id="39" w:name="_Toc15377209"/>
      <w:r>
        <w:rPr>
          <w:rFonts w:hint="eastAsia" w:ascii="仿宋_GB2312" w:eastAsia="仿宋_GB2312"/>
          <w:sz w:val="32"/>
          <w:szCs w:val="32"/>
          <w:lang w:val="en-US" w:eastAsia="zh-CN"/>
        </w:rPr>
        <w:t xml:space="preserve">    </w:t>
      </w:r>
      <w:r>
        <w:rPr>
          <w:rFonts w:hint="eastAsia" w:ascii="黑体" w:eastAsia="黑体"/>
          <w:sz w:val="32"/>
          <w:szCs w:val="32"/>
        </w:rPr>
        <w:t>五、</w:t>
      </w:r>
      <w:r>
        <w:rPr>
          <w:rFonts w:hint="eastAsia" w:ascii="黑体" w:eastAsia="黑体"/>
          <w:b/>
          <w:sz w:val="32"/>
          <w:szCs w:val="32"/>
        </w:rPr>
        <w:t>一</w:t>
      </w:r>
      <w:r>
        <w:rPr>
          <w:rStyle w:val="23"/>
          <w:rFonts w:hint="eastAsia" w:ascii="黑体" w:eastAsia="黑体"/>
          <w:b w:val="0"/>
        </w:rPr>
        <w:t>般公共预算财政拨款支出决算情况说明</w:t>
      </w:r>
      <w:bookmarkEnd w:id="37"/>
      <w:bookmarkEnd w:id="38"/>
      <w:bookmarkEnd w:id="39"/>
    </w:p>
    <w:p w14:paraId="26488140">
      <w:pPr>
        <w:pageBreakBefore w:val="0"/>
        <w:kinsoku/>
        <w:wordWrap/>
        <w:overflowPunct/>
        <w:topLinePunct w:val="0"/>
        <w:bidi w:val="0"/>
        <w:spacing w:beforeAutospacing="0" w:afterAutospacing="0" w:line="576" w:lineRule="exact"/>
        <w:ind w:left="0" w:leftChars="0" w:right="0" w:firstLine="643" w:firstLineChars="200"/>
        <w:jc w:val="both"/>
        <w:outlineLvl w:val="2"/>
        <w:rPr>
          <w:rFonts w:hint="eastAsia" w:ascii="楷体" w:hAnsi="楷体" w:eastAsia="楷体" w:cs="楷体"/>
          <w:b/>
          <w:bCs w:val="0"/>
          <w:sz w:val="32"/>
          <w:szCs w:val="32"/>
        </w:rPr>
      </w:pPr>
      <w:bookmarkStart w:id="40" w:name="_Toc15377210"/>
      <w:r>
        <w:rPr>
          <w:rFonts w:hint="eastAsia" w:ascii="楷体" w:hAnsi="楷体" w:eastAsia="楷体" w:cs="楷体"/>
          <w:b/>
          <w:bCs w:val="0"/>
          <w:sz w:val="32"/>
          <w:szCs w:val="32"/>
        </w:rPr>
        <w:t>（一）一般公共预算财政拨款支出决算总体情况</w:t>
      </w:r>
      <w:bookmarkEnd w:id="40"/>
    </w:p>
    <w:p w14:paraId="3EAE8D3A">
      <w:pPr>
        <w:pageBreakBefore w:val="0"/>
        <w:kinsoku/>
        <w:wordWrap/>
        <w:overflowPunct/>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年一般公共预算财政拨款支出</w:t>
      </w:r>
      <w:r>
        <w:rPr>
          <w:rFonts w:hint="eastAsia" w:ascii="仿宋_GB2312" w:hAnsi="仿宋_GB2312" w:eastAsia="仿宋_GB2312" w:cs="仿宋_GB2312"/>
          <w:sz w:val="32"/>
          <w:szCs w:val="32"/>
          <w:lang w:val="en-US" w:eastAsia="zh-CN"/>
        </w:rPr>
        <w:t>606.08</w:t>
      </w:r>
      <w:r>
        <w:rPr>
          <w:rFonts w:hint="eastAsia" w:ascii="仿宋_GB2312" w:hAnsi="仿宋_GB2312" w:eastAsia="仿宋_GB2312" w:cs="仿宋_GB2312"/>
          <w:sz w:val="32"/>
          <w:szCs w:val="32"/>
        </w:rPr>
        <w:t>万元，占本年支出合计的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%。资金与20</w:t>
      </w:r>
      <w:r>
        <w:rPr>
          <w:rFonts w:hint="eastAsia" w:ascii="仿宋_GB2312" w:hAnsi="仿宋_GB2312" w:eastAsia="仿宋_GB2312" w:cs="仿宋_GB2312"/>
          <w:sz w:val="32"/>
          <w:szCs w:val="32"/>
          <w:lang w:val="en-US" w:eastAsia="zh-CN"/>
        </w:rPr>
        <w:t>24</w:t>
      </w:r>
      <w:r>
        <w:rPr>
          <w:rFonts w:hint="eastAsia" w:ascii="仿宋_GB2312" w:hAnsi="仿宋_GB2312" w:eastAsia="仿宋_GB2312" w:cs="仿宋_GB2312"/>
          <w:sz w:val="32"/>
          <w:szCs w:val="32"/>
        </w:rPr>
        <w:t>年相比，支出</w:t>
      </w:r>
      <w:r>
        <w:rPr>
          <w:rFonts w:hint="eastAsia" w:ascii="仿宋_GB2312" w:hAnsi="仿宋_GB2312" w:eastAsia="仿宋_GB2312" w:cs="仿宋_GB2312"/>
          <w:sz w:val="32"/>
          <w:szCs w:val="32"/>
          <w:lang w:val="en-US" w:eastAsia="zh-CN"/>
        </w:rPr>
        <w:t>减少了1202.07</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下降了66.48</w:t>
      </w:r>
      <w:r>
        <w:rPr>
          <w:rFonts w:hint="eastAsia" w:ascii="仿宋_GB2312" w:hAnsi="仿宋_GB2312" w:eastAsia="仿宋_GB2312" w:cs="仿宋_GB2312"/>
          <w:sz w:val="32"/>
          <w:szCs w:val="32"/>
        </w:rPr>
        <w:t>%。支出均</w:t>
      </w:r>
      <w:r>
        <w:rPr>
          <w:rFonts w:hint="eastAsia" w:ascii="仿宋_GB2312" w:hAnsi="仿宋_GB2312" w:eastAsia="仿宋_GB2312" w:cs="仿宋_GB2312"/>
          <w:sz w:val="32"/>
          <w:szCs w:val="32"/>
          <w:lang w:val="en-US" w:eastAsia="zh-CN"/>
        </w:rPr>
        <w:t>下降</w:t>
      </w:r>
      <w:r>
        <w:rPr>
          <w:rFonts w:hint="eastAsia" w:ascii="仿宋_GB2312" w:hAnsi="仿宋_GB2312" w:eastAsia="仿宋_GB2312" w:cs="仿宋_GB2312"/>
          <w:sz w:val="32"/>
          <w:szCs w:val="32"/>
        </w:rPr>
        <w:t>主要原因：</w:t>
      </w:r>
      <w:r>
        <w:rPr>
          <w:rFonts w:hint="eastAsia" w:ascii="仿宋_GB2312" w:hAnsi="仿宋_GB2312" w:eastAsia="仿宋_GB2312" w:cs="仿宋_GB2312"/>
          <w:sz w:val="32"/>
          <w:szCs w:val="32"/>
          <w:lang w:val="en-US" w:eastAsia="zh-CN"/>
        </w:rPr>
        <w:t>是</w:t>
      </w:r>
      <w:r>
        <w:rPr>
          <w:rFonts w:hint="eastAsia" w:ascii="仿宋_GB2312" w:hAnsi="仿宋_GB2312" w:eastAsia="仿宋_GB2312" w:cs="仿宋_GB2312"/>
          <w:b w:val="0"/>
          <w:bCs w:val="0"/>
          <w:sz w:val="32"/>
          <w:szCs w:val="32"/>
          <w:lang w:val="en-US" w:eastAsia="zh-CN"/>
        </w:rPr>
        <w:t>红原县政务服务中心建设等项目竣工并投入使用，20</w:t>
      </w:r>
      <w:r>
        <w:rPr>
          <w:rFonts w:hint="eastAsia" w:ascii="仿宋_GB2312" w:hAnsi="仿宋_GB2312" w:eastAsia="仿宋_GB2312" w:cs="仿宋_GB2312"/>
          <w:sz w:val="32"/>
          <w:szCs w:val="32"/>
          <w:lang w:val="en-US" w:eastAsia="zh-CN"/>
        </w:rPr>
        <w:t>25年无该费用支出。</w:t>
      </w:r>
    </w:p>
    <w:p w14:paraId="2C2F8E58">
      <w:pPr>
        <w:pageBreakBefore w:val="0"/>
        <w:kinsoku/>
        <w:wordWrap/>
        <w:overflowPunct/>
        <w:topLinePunct w:val="0"/>
        <w:bidi w:val="0"/>
        <w:spacing w:beforeAutospacing="0" w:afterAutospacing="0" w:line="576" w:lineRule="exact"/>
        <w:ind w:right="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（图5：一般公共预算财政拨款支出决算变动情况）（柱状图）</w:t>
      </w:r>
    </w:p>
    <w:p w14:paraId="4F52BCA3">
      <w:pPr>
        <w:pStyle w:val="9"/>
        <w:pageBreakBefore w:val="0"/>
        <w:kinsoku/>
        <w:wordWrap/>
        <w:overflowPunct/>
        <w:topLinePunct w:val="0"/>
        <w:bidi w:val="0"/>
        <w:spacing w:beforeAutospacing="0" w:after="0" w:afterAutospacing="0" w:line="576" w:lineRule="exact"/>
        <w:ind w:left="0" w:leftChars="0" w:right="0" w:firstLine="640" w:firstLineChars="200"/>
        <w:jc w:val="both"/>
        <w:rPr>
          <w:rFonts w:ascii="仿宋" w:eastAsia="仿宋"/>
          <w:sz w:val="32"/>
          <w:szCs w:val="32"/>
        </w:rPr>
      </w:pPr>
      <w:r>
        <w:rPr>
          <w:rFonts w:hint="eastAsia" w:ascii="仿宋_GB2312" w:eastAsia="仿宋_GB2312"/>
          <w:sz w:val="32"/>
          <w:szCs w:val="32"/>
          <w:lang w:eastAsia="zh-CN"/>
        </w:rPr>
        <w:drawing>
          <wp:anchor distT="0" distB="0" distL="114300" distR="114300" simplePos="0" relativeHeight="251664384" behindDoc="0" locked="0" layoutInCell="1" allowOverlap="1">
            <wp:simplePos x="0" y="0"/>
            <wp:positionH relativeFrom="column">
              <wp:posOffset>487045</wp:posOffset>
            </wp:positionH>
            <wp:positionV relativeFrom="paragraph">
              <wp:posOffset>44450</wp:posOffset>
            </wp:positionV>
            <wp:extent cx="4688840" cy="1849755"/>
            <wp:effectExtent l="4445" t="4445" r="12065" b="12700"/>
            <wp:wrapSquare wrapText="bothSides"/>
            <wp:docPr id="10" name="图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14:paraId="19226969">
      <w:pPr>
        <w:pageBreakBefore w:val="0"/>
        <w:kinsoku/>
        <w:wordWrap/>
        <w:overflowPunct/>
        <w:topLinePunct w:val="0"/>
        <w:bidi w:val="0"/>
        <w:spacing w:beforeAutospacing="0" w:afterAutospacing="0" w:line="576" w:lineRule="exact"/>
        <w:ind w:right="0"/>
        <w:jc w:val="both"/>
        <w:outlineLvl w:val="2"/>
        <w:rPr>
          <w:rFonts w:hint="eastAsia" w:ascii="仿宋" w:eastAsia="仿宋"/>
          <w:b/>
          <w:sz w:val="32"/>
          <w:szCs w:val="32"/>
        </w:rPr>
      </w:pPr>
      <w:bookmarkStart w:id="41" w:name="_Toc15377211"/>
    </w:p>
    <w:p w14:paraId="3E6F187E">
      <w:pPr>
        <w:pageBreakBefore w:val="0"/>
        <w:kinsoku/>
        <w:wordWrap/>
        <w:overflowPunct/>
        <w:topLinePunct w:val="0"/>
        <w:bidi w:val="0"/>
        <w:spacing w:beforeAutospacing="0" w:afterAutospacing="0" w:line="576" w:lineRule="exact"/>
        <w:ind w:right="0"/>
        <w:jc w:val="both"/>
        <w:outlineLvl w:val="2"/>
        <w:rPr>
          <w:rFonts w:hint="eastAsia" w:ascii="仿宋" w:eastAsia="仿宋"/>
          <w:b/>
          <w:sz w:val="32"/>
          <w:szCs w:val="32"/>
        </w:rPr>
      </w:pPr>
    </w:p>
    <w:p w14:paraId="1449375F">
      <w:pPr>
        <w:pageBreakBefore w:val="0"/>
        <w:kinsoku/>
        <w:wordWrap/>
        <w:overflowPunct/>
        <w:topLinePunct w:val="0"/>
        <w:bidi w:val="0"/>
        <w:spacing w:beforeAutospacing="0" w:afterAutospacing="0" w:line="576" w:lineRule="exact"/>
        <w:ind w:left="0" w:leftChars="0" w:right="0" w:firstLine="643" w:firstLineChars="200"/>
        <w:jc w:val="both"/>
        <w:outlineLvl w:val="2"/>
        <w:rPr>
          <w:rFonts w:hint="eastAsia" w:ascii="仿宋" w:eastAsia="仿宋"/>
          <w:b/>
          <w:sz w:val="32"/>
          <w:szCs w:val="32"/>
          <w:lang w:eastAsia="zh-CN"/>
        </w:rPr>
      </w:pPr>
      <w:r>
        <w:rPr>
          <w:rFonts w:hint="eastAsia" w:ascii="仿宋" w:eastAsia="仿宋"/>
          <w:b/>
          <w:sz w:val="32"/>
          <w:szCs w:val="32"/>
          <w:lang w:eastAsia="zh-CN"/>
        </w:rPr>
        <w:t>（</w:t>
      </w:r>
    </w:p>
    <w:p w14:paraId="2336BC8F">
      <w:pPr>
        <w:pageBreakBefore w:val="0"/>
        <w:kinsoku/>
        <w:wordWrap/>
        <w:overflowPunct/>
        <w:topLinePunct w:val="0"/>
        <w:bidi w:val="0"/>
        <w:spacing w:beforeAutospacing="0" w:afterAutospacing="0" w:line="576" w:lineRule="exact"/>
        <w:ind w:left="0" w:leftChars="0" w:right="0" w:firstLine="643" w:firstLineChars="200"/>
        <w:jc w:val="both"/>
        <w:outlineLvl w:val="2"/>
        <w:rPr>
          <w:rFonts w:hint="eastAsia" w:ascii="楷体" w:hAnsi="楷体" w:eastAsia="楷体" w:cs="楷体"/>
          <w:b/>
          <w:sz w:val="32"/>
          <w:szCs w:val="32"/>
        </w:rPr>
      </w:pPr>
      <w:r>
        <w:rPr>
          <w:rFonts w:hint="eastAsia" w:ascii="仿宋" w:eastAsia="仿宋"/>
          <w:b/>
          <w:sz w:val="32"/>
          <w:szCs w:val="32"/>
        </w:rPr>
        <w:t>一</w:t>
      </w:r>
      <w:r>
        <w:rPr>
          <w:rFonts w:hint="eastAsia" w:ascii="仿宋" w:eastAsia="仿宋"/>
          <w:b/>
          <w:sz w:val="32"/>
          <w:szCs w:val="32"/>
          <w:lang w:val="en-US" w:eastAsia="zh-CN"/>
        </w:rPr>
        <w:t xml:space="preserve">    </w:t>
      </w:r>
      <w:r>
        <w:rPr>
          <w:rFonts w:hint="eastAsia" w:ascii="楷体" w:hAnsi="楷体" w:eastAsia="楷体" w:cs="楷体"/>
          <w:b/>
          <w:sz w:val="32"/>
          <w:szCs w:val="32"/>
          <w:lang w:val="en-US" w:eastAsia="zh-CN"/>
        </w:rPr>
        <w:t>（二</w:t>
      </w:r>
      <w:r>
        <w:rPr>
          <w:rFonts w:hint="eastAsia" w:ascii="楷体" w:hAnsi="楷体" w:eastAsia="楷体" w:cs="楷体"/>
          <w:b/>
          <w:sz w:val="32"/>
          <w:szCs w:val="32"/>
          <w:lang w:eastAsia="zh-CN"/>
        </w:rPr>
        <w:t>）</w:t>
      </w:r>
      <w:r>
        <w:rPr>
          <w:rFonts w:hint="eastAsia" w:ascii="楷体" w:hAnsi="楷体" w:eastAsia="楷体" w:cs="楷体"/>
          <w:b/>
          <w:sz w:val="32"/>
          <w:szCs w:val="32"/>
        </w:rPr>
        <w:t>般公共预算财政拨款支出决算结构情况</w:t>
      </w:r>
      <w:bookmarkEnd w:id="41"/>
    </w:p>
    <w:p w14:paraId="08E857CD">
      <w:pPr>
        <w:pageBreakBefore w:val="0"/>
        <w:kinsoku/>
        <w:wordWrap/>
        <w:overflowPunct/>
        <w:topLinePunct w:val="0"/>
        <w:bidi w:val="0"/>
        <w:spacing w:beforeAutospacing="0" w:afterAutospacing="0" w:line="576" w:lineRule="exact"/>
        <w:ind w:right="0"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年一般公共预算财政拨款支出</w:t>
      </w:r>
      <w:r>
        <w:rPr>
          <w:rFonts w:hint="eastAsia" w:ascii="仿宋_GB2312" w:hAnsi="仿宋_GB2312" w:eastAsia="仿宋_GB2312" w:cs="仿宋_GB2312"/>
          <w:sz w:val="32"/>
          <w:szCs w:val="32"/>
          <w:lang w:val="en-US" w:eastAsia="zh-CN"/>
        </w:rPr>
        <w:t>606.08</w:t>
      </w:r>
      <w:r>
        <w:rPr>
          <w:rFonts w:hint="eastAsia" w:ascii="仿宋_GB2312" w:hAnsi="仿宋_GB2312" w:eastAsia="仿宋_GB2312" w:cs="仿宋_GB2312"/>
          <w:sz w:val="32"/>
          <w:szCs w:val="32"/>
        </w:rPr>
        <w:t>万元，主要用于以下方面:</w:t>
      </w:r>
      <w:r>
        <w:rPr>
          <w:rFonts w:hint="eastAsia" w:ascii="仿宋_GB2312" w:hAnsi="仿宋_GB2312" w:eastAsia="仿宋_GB2312" w:cs="仿宋_GB2312"/>
          <w:b/>
          <w:sz w:val="32"/>
          <w:szCs w:val="32"/>
        </w:rPr>
        <w:t>一般公共服务</w:t>
      </w:r>
      <w:r>
        <w:rPr>
          <w:rFonts w:hint="eastAsia" w:ascii="仿宋_GB2312" w:hAnsi="仿宋_GB2312" w:eastAsia="仿宋_GB2312" w:cs="仿宋_GB2312"/>
          <w:b/>
          <w:bCs/>
          <w:sz w:val="32"/>
          <w:szCs w:val="32"/>
        </w:rPr>
        <w:t>支出</w:t>
      </w:r>
      <w:r>
        <w:rPr>
          <w:rFonts w:hint="eastAsia" w:ascii="仿宋_GB2312" w:hAnsi="仿宋_GB2312" w:eastAsia="仿宋_GB2312" w:cs="仿宋_GB2312"/>
          <w:sz w:val="32"/>
          <w:szCs w:val="32"/>
          <w:lang w:val="en-US" w:eastAsia="zh-CN"/>
        </w:rPr>
        <w:t>510.3</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84.19</w:t>
      </w:r>
      <w:r>
        <w:rPr>
          <w:rFonts w:hint="eastAsia" w:ascii="仿宋_GB2312" w:hAnsi="仿宋_GB2312" w:eastAsia="仿宋_GB2312" w:cs="仿宋_GB2312"/>
          <w:sz w:val="32"/>
          <w:szCs w:val="32"/>
        </w:rPr>
        <w:t>%；</w:t>
      </w:r>
      <w:r>
        <w:rPr>
          <w:rFonts w:hint="eastAsia" w:ascii="仿宋_GB2312" w:hAnsi="仿宋_GB2312" w:eastAsia="仿宋_GB2312" w:cs="仿宋_GB2312"/>
          <w:b/>
          <w:sz w:val="32"/>
          <w:szCs w:val="32"/>
        </w:rPr>
        <w:t>社会保障和就业</w:t>
      </w:r>
      <w:r>
        <w:rPr>
          <w:rFonts w:hint="eastAsia" w:ascii="仿宋_GB2312" w:hAnsi="仿宋_GB2312" w:eastAsia="仿宋_GB2312" w:cs="仿宋_GB2312"/>
          <w:b/>
          <w:bCs/>
          <w:sz w:val="32"/>
          <w:szCs w:val="32"/>
        </w:rPr>
        <w:t>支出</w:t>
      </w:r>
      <w:r>
        <w:rPr>
          <w:rFonts w:hint="eastAsia" w:ascii="仿宋_GB2312" w:hAnsi="仿宋_GB2312" w:eastAsia="仿宋_GB2312" w:cs="仿宋_GB2312"/>
          <w:sz w:val="32"/>
          <w:szCs w:val="32"/>
          <w:lang w:val="en-US" w:eastAsia="zh-CN"/>
        </w:rPr>
        <w:t>49.66</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8.19</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rPr>
        <w:t>卫生健康支出</w:t>
      </w:r>
      <w:r>
        <w:rPr>
          <w:rFonts w:hint="eastAsia" w:ascii="仿宋_GB2312" w:hAnsi="仿宋_GB2312" w:eastAsia="仿宋_GB2312" w:cs="仿宋_GB2312"/>
          <w:sz w:val="32"/>
          <w:szCs w:val="32"/>
          <w:lang w:val="en-US" w:eastAsia="zh-CN"/>
        </w:rPr>
        <w:t>18.43</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3.05</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rPr>
        <w:t>住房保障支出</w:t>
      </w:r>
      <w:r>
        <w:rPr>
          <w:rFonts w:hint="eastAsia" w:ascii="仿宋_GB2312" w:hAnsi="仿宋_GB2312" w:eastAsia="仿宋_GB2312" w:cs="仿宋_GB2312"/>
          <w:sz w:val="32"/>
          <w:szCs w:val="32"/>
          <w:lang w:val="en-US" w:eastAsia="zh-CN"/>
        </w:rPr>
        <w:t>27.69</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4.57</w:t>
      </w:r>
      <w:r>
        <w:rPr>
          <w:rFonts w:hint="eastAsia" w:ascii="仿宋_GB2312" w:hAnsi="仿宋_GB2312" w:eastAsia="仿宋_GB2312" w:cs="仿宋_GB2312"/>
          <w:sz w:val="32"/>
          <w:szCs w:val="32"/>
        </w:rPr>
        <w:t>%。</w:t>
      </w:r>
    </w:p>
    <w:p w14:paraId="785A79F7">
      <w:pPr>
        <w:pageBreakBefore w:val="0"/>
        <w:kinsoku/>
        <w:wordWrap/>
        <w:overflowPunct/>
        <w:topLinePunct w:val="0"/>
        <w:bidi w:val="0"/>
        <w:spacing w:beforeAutospacing="0" w:afterAutospacing="0" w:line="576" w:lineRule="exact"/>
        <w:ind w:left="638" w:leftChars="304" w:right="0" w:firstLine="0" w:firstLineChars="0"/>
        <w:jc w:val="both"/>
        <w:rPr>
          <w:rFonts w:hint="eastAsia" w:ascii="仿宋" w:eastAsia="仿宋"/>
          <w:b w:val="0"/>
          <w:bCs w:val="0"/>
          <w:sz w:val="32"/>
          <w:szCs w:val="32"/>
          <w:lang w:eastAsia="zh-CN"/>
        </w:rPr>
      </w:pPr>
      <w:r>
        <w:rPr>
          <w:rFonts w:hint="eastAsia" w:ascii="仿宋_GB2312" w:hAnsi="仿宋_GB2312" w:eastAsia="仿宋_GB2312" w:cs="仿宋_GB2312"/>
          <w:sz w:val="32"/>
          <w:szCs w:val="32"/>
        </w:rPr>
        <w:t>（图6：一般公共预算财政拨款支出决算结构）（饼状</w:t>
      </w:r>
      <w:r>
        <w:rPr>
          <w:rFonts w:hint="eastAsia" w:ascii="仿宋" w:eastAsia="仿宋"/>
          <w:b w:val="0"/>
          <w:bCs w:val="0"/>
          <w:sz w:val="32"/>
          <w:szCs w:val="32"/>
          <w:lang w:eastAsia="zh-CN"/>
        </w:rPr>
        <w:drawing>
          <wp:anchor distT="0" distB="0" distL="114300" distR="114300" simplePos="0" relativeHeight="251659264" behindDoc="0" locked="0" layoutInCell="1" allowOverlap="1">
            <wp:simplePos x="0" y="0"/>
            <wp:positionH relativeFrom="column">
              <wp:posOffset>298450</wp:posOffset>
            </wp:positionH>
            <wp:positionV relativeFrom="paragraph">
              <wp:posOffset>128270</wp:posOffset>
            </wp:positionV>
            <wp:extent cx="4896485" cy="2583180"/>
            <wp:effectExtent l="4445" t="4445" r="13970" b="22225"/>
            <wp:wrapSquare wrapText="bothSides"/>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bookmarkStart w:id="42" w:name="_Toc15377212"/>
      <w:r>
        <w:rPr>
          <w:rFonts w:hint="eastAsia" w:ascii="仿宋_GB2312" w:hAnsi="仿宋_GB2312" w:eastAsia="仿宋_GB2312" w:cs="仿宋_GB2312"/>
          <w:sz w:val="32"/>
          <w:szCs w:val="32"/>
          <w:lang w:eastAsia="zh-CN"/>
        </w:rPr>
        <w:t>）</w:t>
      </w:r>
    </w:p>
    <w:bookmarkEnd w:id="42"/>
    <w:p w14:paraId="5843F9A0">
      <w:pPr>
        <w:pageBreakBefore w:val="0"/>
        <w:kinsoku/>
        <w:wordWrap/>
        <w:overflowPunct/>
        <w:topLinePunct w:val="0"/>
        <w:bidi w:val="0"/>
        <w:spacing w:beforeAutospacing="0" w:afterAutospacing="0" w:line="576" w:lineRule="exact"/>
        <w:ind w:left="638" w:leftChars="304" w:right="0" w:firstLine="0" w:firstLineChars="0"/>
        <w:jc w:val="both"/>
        <w:rPr>
          <w:rFonts w:ascii="仿宋" w:eastAsia="仿宋"/>
          <w:b/>
          <w:sz w:val="32"/>
          <w:szCs w:val="32"/>
        </w:rPr>
      </w:pPr>
    </w:p>
    <w:p w14:paraId="61C3323D">
      <w:pPr>
        <w:pageBreakBefore w:val="0"/>
        <w:numPr>
          <w:ilvl w:val="0"/>
          <w:numId w:val="0"/>
        </w:numPr>
        <w:kinsoku/>
        <w:wordWrap/>
        <w:overflowPunct/>
        <w:topLinePunct w:val="0"/>
        <w:bidi w:val="0"/>
        <w:spacing w:beforeAutospacing="0" w:afterAutospacing="0" w:line="576" w:lineRule="exact"/>
        <w:ind w:leftChars="200" w:right="0" w:rightChars="0"/>
        <w:jc w:val="both"/>
        <w:outlineLvl w:val="2"/>
        <w:rPr>
          <w:rFonts w:hint="eastAsia" w:ascii="楷体" w:hAnsi="楷体" w:eastAsia="楷体" w:cs="楷体"/>
          <w:b/>
          <w:bCs w:val="0"/>
          <w:sz w:val="32"/>
          <w:szCs w:val="32"/>
        </w:rPr>
      </w:pPr>
      <w:bookmarkStart w:id="43" w:name="_Toc15377213"/>
      <w:bookmarkStart w:id="44" w:name="_Toc15378460"/>
      <w:bookmarkStart w:id="45" w:name="_Toc15377444"/>
      <w:r>
        <w:rPr>
          <w:rFonts w:hint="eastAsia" w:ascii="楷体" w:hAnsi="楷体" w:eastAsia="楷体" w:cs="楷体"/>
          <w:b/>
          <w:bCs w:val="0"/>
          <w:sz w:val="32"/>
          <w:szCs w:val="32"/>
          <w:lang w:eastAsia="zh-CN"/>
        </w:rPr>
        <w:t>（</w:t>
      </w:r>
      <w:r>
        <w:rPr>
          <w:rFonts w:hint="eastAsia" w:ascii="楷体" w:hAnsi="楷体" w:eastAsia="楷体" w:cs="楷体"/>
          <w:b/>
          <w:bCs w:val="0"/>
          <w:sz w:val="32"/>
          <w:szCs w:val="32"/>
          <w:lang w:val="en-US" w:eastAsia="zh-CN"/>
        </w:rPr>
        <w:t>三</w:t>
      </w:r>
      <w:r>
        <w:rPr>
          <w:rFonts w:hint="eastAsia" w:ascii="楷体" w:hAnsi="楷体" w:eastAsia="楷体" w:cs="楷体"/>
          <w:b/>
          <w:bCs w:val="0"/>
          <w:sz w:val="32"/>
          <w:szCs w:val="32"/>
          <w:lang w:eastAsia="zh-CN"/>
        </w:rPr>
        <w:t>）</w:t>
      </w:r>
      <w:r>
        <w:rPr>
          <w:rFonts w:hint="eastAsia" w:ascii="楷体" w:hAnsi="楷体" w:eastAsia="楷体" w:cs="楷体"/>
          <w:b/>
          <w:bCs w:val="0"/>
          <w:sz w:val="32"/>
          <w:szCs w:val="32"/>
        </w:rPr>
        <w:t>般公共预算财政拨款支出决算具体情况</w:t>
      </w:r>
    </w:p>
    <w:p w14:paraId="7FFE4356">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76" w:lineRule="exact"/>
        <w:ind w:leftChars="0" w:right="0" w:rightChars="0" w:firstLine="643" w:firstLineChars="200"/>
        <w:jc w:val="both"/>
        <w:textAlignment w:val="auto"/>
        <w:outlineLvl w:val="2"/>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202</w:t>
      </w:r>
      <w:r>
        <w:rPr>
          <w:rFonts w:hint="eastAsia" w:ascii="仿宋_GB2312" w:hAnsi="仿宋_GB2312" w:eastAsia="仿宋_GB2312" w:cs="仿宋_GB2312"/>
          <w:b/>
          <w:sz w:val="32"/>
          <w:szCs w:val="32"/>
          <w:lang w:val="en-US" w:eastAsia="zh-CN"/>
        </w:rPr>
        <w:t>5</w:t>
      </w:r>
      <w:r>
        <w:rPr>
          <w:rFonts w:hint="eastAsia" w:ascii="仿宋_GB2312" w:hAnsi="仿宋_GB2312" w:eastAsia="仿宋_GB2312" w:cs="仿宋_GB2312"/>
          <w:b/>
          <w:sz w:val="32"/>
          <w:szCs w:val="32"/>
        </w:rPr>
        <w:t>年一般公共预算支出决算数为</w:t>
      </w:r>
      <w:r>
        <w:rPr>
          <w:rFonts w:hint="eastAsia" w:ascii="仿宋_GB2312" w:hAnsi="仿宋_GB2312" w:eastAsia="仿宋_GB2312" w:cs="仿宋_GB2312"/>
          <w:b/>
          <w:sz w:val="32"/>
          <w:szCs w:val="32"/>
          <w:lang w:val="en-US" w:eastAsia="zh-CN"/>
        </w:rPr>
        <w:t>606.08万元</w:t>
      </w:r>
      <w:r>
        <w:rPr>
          <w:rFonts w:hint="eastAsia" w:ascii="仿宋_GB2312" w:hAnsi="仿宋_GB2312" w:eastAsia="仿宋_GB2312" w:cs="仿宋_GB2312"/>
          <w:sz w:val="32"/>
          <w:szCs w:val="32"/>
        </w:rPr>
        <w:t>，</w:t>
      </w:r>
      <w:r>
        <w:rPr>
          <w:rStyle w:val="20"/>
          <w:rFonts w:hint="eastAsia" w:ascii="仿宋_GB2312" w:hAnsi="仿宋_GB2312" w:eastAsia="仿宋_GB2312" w:cs="仿宋_GB2312"/>
          <w:bCs/>
          <w:sz w:val="32"/>
          <w:szCs w:val="32"/>
        </w:rPr>
        <w:t>完成</w:t>
      </w:r>
      <w:r>
        <w:rPr>
          <w:rStyle w:val="20"/>
          <w:rFonts w:hint="eastAsia" w:ascii="仿宋_GB2312" w:hAnsi="仿宋_GB2312" w:eastAsia="仿宋_GB2312" w:cs="仿宋_GB2312"/>
          <w:bCs/>
          <w:sz w:val="32"/>
          <w:szCs w:val="32"/>
          <w:lang w:eastAsia="zh-CN"/>
        </w:rPr>
        <w:t>调整</w:t>
      </w:r>
      <w:r>
        <w:rPr>
          <w:rStyle w:val="20"/>
          <w:rFonts w:hint="eastAsia" w:ascii="仿宋_GB2312" w:hAnsi="仿宋_GB2312" w:eastAsia="仿宋_GB2312" w:cs="仿宋_GB2312"/>
          <w:bCs/>
          <w:sz w:val="32"/>
          <w:szCs w:val="32"/>
        </w:rPr>
        <w:t>预算</w:t>
      </w:r>
      <w:r>
        <w:rPr>
          <w:rStyle w:val="20"/>
          <w:rFonts w:hint="eastAsia" w:ascii="仿宋_GB2312" w:hAnsi="仿宋_GB2312" w:eastAsia="仿宋_GB2312" w:cs="仿宋_GB2312"/>
          <w:bCs/>
          <w:sz w:val="32"/>
          <w:szCs w:val="32"/>
          <w:lang w:eastAsia="zh-CN"/>
        </w:rPr>
        <w:t>数</w:t>
      </w:r>
      <w:r>
        <w:rPr>
          <w:rStyle w:val="20"/>
          <w:rFonts w:hint="eastAsia" w:ascii="仿宋_GB2312" w:hAnsi="仿宋_GB2312" w:eastAsia="仿宋_GB2312" w:cs="仿宋_GB2312"/>
          <w:bCs/>
          <w:sz w:val="32"/>
          <w:szCs w:val="32"/>
          <w:lang w:val="en-US" w:eastAsia="zh-CN"/>
        </w:rPr>
        <w:t>97.94</w:t>
      </w:r>
      <w:r>
        <w:rPr>
          <w:rStyle w:val="20"/>
          <w:rFonts w:hint="eastAsia" w:ascii="仿宋_GB2312" w:hAnsi="仿宋_GB2312" w:eastAsia="仿宋_GB2312" w:cs="仿宋_GB2312"/>
          <w:bCs/>
          <w:sz w:val="32"/>
          <w:szCs w:val="32"/>
        </w:rPr>
        <w:t>%。其中：</w:t>
      </w:r>
      <w:bookmarkEnd w:id="43"/>
      <w:bookmarkEnd w:id="44"/>
      <w:bookmarkEnd w:id="45"/>
    </w:p>
    <w:p w14:paraId="213CD5D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76" w:lineRule="exact"/>
        <w:ind w:leftChars="0" w:right="0" w:rightChars="0" w:firstLine="643" w:firstLineChars="200"/>
        <w:jc w:val="both"/>
        <w:textAlignment w:val="auto"/>
        <w:rPr>
          <w:rStyle w:val="20"/>
          <w:rFonts w:hint="eastAsia" w:ascii="仿宋_GB2312" w:hAnsi="仿宋_GB2312" w:eastAsia="仿宋_GB2312" w:cs="仿宋_GB2312"/>
          <w:b w:val="0"/>
          <w:bCs/>
          <w:color w:val="000000" w:themeColor="text1"/>
          <w:sz w:val="32"/>
          <w:szCs w:val="32"/>
          <w:lang w:val="en-US" w:eastAsia="zh-CN"/>
        </w:rPr>
      </w:pPr>
      <w:r>
        <w:rPr>
          <w:rStyle w:val="20"/>
          <w:rFonts w:hint="eastAsia" w:ascii="仿宋_GB2312" w:hAnsi="仿宋_GB2312" w:eastAsia="仿宋_GB2312" w:cs="仿宋_GB2312"/>
          <w:bCs/>
          <w:color w:val="000000" w:themeColor="text1"/>
          <w:sz w:val="32"/>
          <w:szCs w:val="32"/>
          <w:lang w:val="en-US" w:eastAsia="zh-CN"/>
        </w:rPr>
        <w:t>1.</w:t>
      </w:r>
      <w:r>
        <w:rPr>
          <w:rStyle w:val="20"/>
          <w:rFonts w:hint="eastAsia" w:ascii="仿宋_GB2312" w:hAnsi="仿宋_GB2312" w:eastAsia="仿宋_GB2312" w:cs="仿宋_GB2312"/>
          <w:bCs/>
          <w:color w:val="000000" w:themeColor="text1"/>
          <w:sz w:val="32"/>
          <w:szCs w:val="32"/>
        </w:rPr>
        <w:t>一般公共服务</w:t>
      </w:r>
      <w:r>
        <w:rPr>
          <w:rStyle w:val="20"/>
          <w:rFonts w:hint="eastAsia" w:ascii="仿宋_GB2312" w:hAnsi="仿宋_GB2312" w:eastAsia="仿宋_GB2312" w:cs="仿宋_GB2312"/>
          <w:bCs/>
          <w:color w:val="000000" w:themeColor="text1"/>
          <w:sz w:val="32"/>
          <w:szCs w:val="32"/>
          <w:lang w:eastAsia="zh-CN"/>
        </w:rPr>
        <w:t>支出</w:t>
      </w:r>
      <w:r>
        <w:rPr>
          <w:rStyle w:val="20"/>
          <w:rFonts w:hint="eastAsia" w:ascii="仿宋_GB2312" w:hAnsi="仿宋_GB2312" w:eastAsia="仿宋_GB2312" w:cs="仿宋_GB2312"/>
          <w:bCs/>
          <w:color w:val="000000" w:themeColor="text1"/>
          <w:sz w:val="32"/>
          <w:szCs w:val="32"/>
        </w:rPr>
        <w:t>:</w:t>
      </w:r>
      <w:r>
        <w:rPr>
          <w:rStyle w:val="20"/>
          <w:rFonts w:hint="eastAsia" w:ascii="仿宋_GB2312" w:hAnsi="仿宋_GB2312" w:eastAsia="仿宋_GB2312" w:cs="仿宋_GB2312"/>
          <w:b w:val="0"/>
          <w:bCs/>
          <w:color w:val="000000" w:themeColor="text1"/>
          <w:sz w:val="32"/>
          <w:szCs w:val="32"/>
        </w:rPr>
        <w:t>2010</w:t>
      </w:r>
      <w:r>
        <w:rPr>
          <w:rStyle w:val="20"/>
          <w:rFonts w:hint="eastAsia" w:ascii="仿宋_GB2312" w:hAnsi="仿宋_GB2312" w:eastAsia="仿宋_GB2312" w:cs="仿宋_GB2312"/>
          <w:b w:val="0"/>
          <w:bCs/>
          <w:color w:val="000000" w:themeColor="text1"/>
          <w:sz w:val="32"/>
          <w:szCs w:val="32"/>
          <w:lang w:val="en-US" w:eastAsia="zh-CN"/>
        </w:rPr>
        <w:t>3</w:t>
      </w:r>
      <w:r>
        <w:rPr>
          <w:rStyle w:val="20"/>
          <w:rFonts w:hint="eastAsia" w:ascii="仿宋_GB2312" w:hAnsi="仿宋_GB2312" w:eastAsia="仿宋_GB2312" w:cs="仿宋_GB2312"/>
          <w:b w:val="0"/>
          <w:bCs/>
          <w:color w:val="000000" w:themeColor="text1"/>
          <w:sz w:val="32"/>
          <w:szCs w:val="32"/>
        </w:rPr>
        <w:t>01</w:t>
      </w:r>
      <w:r>
        <w:rPr>
          <w:rStyle w:val="20"/>
          <w:rFonts w:hint="eastAsia" w:ascii="仿宋_GB2312" w:hAnsi="仿宋_GB2312" w:eastAsia="仿宋_GB2312" w:cs="仿宋_GB2312"/>
          <w:b w:val="0"/>
          <w:bCs/>
          <w:color w:val="000000" w:themeColor="text1"/>
          <w:sz w:val="32"/>
          <w:szCs w:val="32"/>
          <w:lang w:val="en-US" w:eastAsia="zh-CN"/>
        </w:rPr>
        <w:t>-行政运行</w:t>
      </w:r>
      <w:r>
        <w:rPr>
          <w:rStyle w:val="20"/>
          <w:rFonts w:hint="eastAsia" w:ascii="仿宋_GB2312" w:hAnsi="仿宋_GB2312" w:eastAsia="仿宋_GB2312" w:cs="仿宋_GB2312"/>
          <w:b w:val="0"/>
          <w:bCs/>
          <w:color w:val="000000" w:themeColor="text1"/>
          <w:sz w:val="32"/>
          <w:szCs w:val="32"/>
        </w:rPr>
        <w:t>支出决算为</w:t>
      </w:r>
      <w:r>
        <w:rPr>
          <w:rStyle w:val="20"/>
          <w:rFonts w:hint="eastAsia" w:ascii="仿宋_GB2312" w:hAnsi="仿宋_GB2312" w:eastAsia="仿宋_GB2312" w:cs="仿宋_GB2312"/>
          <w:b w:val="0"/>
          <w:bCs/>
          <w:color w:val="000000" w:themeColor="text1"/>
          <w:sz w:val="32"/>
          <w:szCs w:val="32"/>
          <w:lang w:val="en-US" w:eastAsia="zh-CN"/>
        </w:rPr>
        <w:t>102.15</w:t>
      </w:r>
      <w:r>
        <w:rPr>
          <w:rStyle w:val="20"/>
          <w:rFonts w:hint="eastAsia" w:ascii="仿宋_GB2312" w:hAnsi="仿宋_GB2312" w:eastAsia="仿宋_GB2312" w:cs="仿宋_GB2312"/>
          <w:b w:val="0"/>
          <w:bCs/>
          <w:color w:val="000000" w:themeColor="text1"/>
          <w:sz w:val="32"/>
          <w:szCs w:val="32"/>
        </w:rPr>
        <w:t>万元，完</w:t>
      </w:r>
      <w:r>
        <w:rPr>
          <w:rStyle w:val="20"/>
          <w:rFonts w:hint="eastAsia" w:ascii="仿宋_GB2312" w:hAnsi="仿宋_GB2312" w:eastAsia="仿宋_GB2312" w:cs="仿宋_GB2312"/>
          <w:b w:val="0"/>
          <w:bCs/>
          <w:color w:val="000000" w:themeColor="text1"/>
          <w:sz w:val="32"/>
          <w:szCs w:val="32"/>
          <w:lang w:val="en-US" w:eastAsia="zh-CN"/>
        </w:rPr>
        <w:t>成调整预算数96.99%，主要用于开支日常公用经费及人员经费，存在少量结余主要是中途人员变动调整导致；2010302-一般行政管理事务支出决算为240.77万元，完成调整预算数100%，主要用于专项公用经费.政务服务中心建设项目质保金、政务服务中心信息化建设及采购项目质保金；2010350-事业运行支出决算为167.37万元，完成调整预算95.15%，主要用于政务服务和公共资源交易服务中心人员经费及日常公用经费开支。</w:t>
      </w:r>
    </w:p>
    <w:p w14:paraId="28B6D9E2">
      <w:pPr>
        <w:pageBreakBefore w:val="0"/>
        <w:numPr>
          <w:ilvl w:val="0"/>
          <w:numId w:val="0"/>
        </w:numPr>
        <w:kinsoku/>
        <w:wordWrap/>
        <w:overflowPunct/>
        <w:topLinePunct w:val="0"/>
        <w:bidi w:val="0"/>
        <w:spacing w:beforeAutospacing="0" w:afterAutospacing="0" w:line="576" w:lineRule="exact"/>
        <w:ind w:left="0" w:leftChars="0" w:right="0" w:firstLine="643" w:firstLineChars="200"/>
        <w:jc w:val="both"/>
        <w:rPr>
          <w:rFonts w:hint="eastAsia" w:ascii="仿宋_GB2312" w:hAnsi="仿宋_GB2312" w:eastAsia="仿宋_GB2312" w:cs="仿宋_GB2312"/>
          <w:b/>
          <w:color w:val="000000" w:themeColor="text1"/>
          <w:sz w:val="32"/>
          <w:szCs w:val="32"/>
        </w:rPr>
      </w:pPr>
      <w:r>
        <w:rPr>
          <w:rStyle w:val="20"/>
          <w:rFonts w:hint="eastAsia" w:ascii="仿宋_GB2312" w:hAnsi="仿宋_GB2312" w:eastAsia="仿宋_GB2312" w:cs="仿宋_GB2312"/>
          <w:bCs/>
          <w:color w:val="000000" w:themeColor="text1"/>
          <w:sz w:val="32"/>
          <w:szCs w:val="32"/>
          <w:lang w:val="en-US" w:eastAsia="zh-CN"/>
        </w:rPr>
        <w:t>2.</w:t>
      </w:r>
      <w:r>
        <w:rPr>
          <w:rStyle w:val="20"/>
          <w:rFonts w:hint="eastAsia" w:ascii="仿宋_GB2312" w:hAnsi="仿宋_GB2312" w:eastAsia="仿宋_GB2312" w:cs="仿宋_GB2312"/>
          <w:bCs/>
          <w:color w:val="000000" w:themeColor="text1"/>
          <w:sz w:val="32"/>
          <w:szCs w:val="32"/>
        </w:rPr>
        <w:t>社会保障和就业</w:t>
      </w:r>
      <w:r>
        <w:rPr>
          <w:rStyle w:val="20"/>
          <w:rFonts w:hint="eastAsia" w:ascii="仿宋_GB2312" w:hAnsi="仿宋_GB2312" w:eastAsia="仿宋_GB2312" w:cs="仿宋_GB2312"/>
          <w:bCs/>
          <w:color w:val="000000" w:themeColor="text1"/>
          <w:sz w:val="32"/>
          <w:szCs w:val="32"/>
          <w:lang w:eastAsia="zh-CN"/>
        </w:rPr>
        <w:t>支出</w:t>
      </w:r>
      <w:r>
        <w:rPr>
          <w:rStyle w:val="20"/>
          <w:rFonts w:hint="eastAsia" w:ascii="仿宋_GB2312" w:hAnsi="仿宋_GB2312" w:eastAsia="仿宋_GB2312" w:cs="仿宋_GB2312"/>
          <w:bCs/>
          <w:color w:val="000000" w:themeColor="text1"/>
          <w:sz w:val="32"/>
          <w:szCs w:val="32"/>
        </w:rPr>
        <w:t>:</w:t>
      </w:r>
      <w:r>
        <w:rPr>
          <w:rStyle w:val="20"/>
          <w:rFonts w:hint="eastAsia" w:ascii="仿宋_GB2312" w:hAnsi="仿宋_GB2312" w:eastAsia="仿宋_GB2312" w:cs="仿宋_GB2312"/>
          <w:b w:val="0"/>
          <w:bCs/>
          <w:color w:val="000000" w:themeColor="text1"/>
          <w:sz w:val="32"/>
          <w:szCs w:val="32"/>
        </w:rPr>
        <w:t xml:space="preserve"> 2080505</w:t>
      </w:r>
      <w:r>
        <w:rPr>
          <w:rStyle w:val="20"/>
          <w:rFonts w:hint="eastAsia" w:ascii="仿宋_GB2312" w:hAnsi="仿宋_GB2312" w:eastAsia="仿宋_GB2312" w:cs="仿宋_GB2312"/>
          <w:b w:val="0"/>
          <w:bCs/>
          <w:color w:val="000000" w:themeColor="text1"/>
          <w:sz w:val="32"/>
          <w:szCs w:val="32"/>
          <w:lang w:val="en-US" w:eastAsia="zh-CN"/>
        </w:rPr>
        <w:t>-</w:t>
      </w:r>
      <w:r>
        <w:rPr>
          <w:rStyle w:val="20"/>
          <w:rFonts w:hint="eastAsia" w:ascii="仿宋_GB2312" w:hAnsi="仿宋_GB2312" w:eastAsia="仿宋_GB2312" w:cs="仿宋_GB2312"/>
          <w:b w:val="0"/>
          <w:bCs/>
          <w:color w:val="000000" w:themeColor="text1"/>
          <w:sz w:val="32"/>
          <w:szCs w:val="32"/>
        </w:rPr>
        <w:t>机关事业单位基本养老保险缴费支出决算为</w:t>
      </w:r>
      <w:r>
        <w:rPr>
          <w:rStyle w:val="20"/>
          <w:rFonts w:hint="eastAsia" w:ascii="仿宋_GB2312" w:hAnsi="仿宋_GB2312" w:eastAsia="仿宋_GB2312" w:cs="仿宋_GB2312"/>
          <w:b w:val="0"/>
          <w:bCs/>
          <w:color w:val="000000" w:themeColor="text1"/>
          <w:sz w:val="32"/>
          <w:szCs w:val="32"/>
          <w:lang w:val="en-US" w:eastAsia="zh-CN"/>
        </w:rPr>
        <w:t>33.11</w:t>
      </w:r>
      <w:r>
        <w:rPr>
          <w:rStyle w:val="20"/>
          <w:rFonts w:hint="eastAsia" w:ascii="仿宋_GB2312" w:hAnsi="仿宋_GB2312" w:eastAsia="仿宋_GB2312" w:cs="仿宋_GB2312"/>
          <w:b w:val="0"/>
          <w:bCs/>
          <w:color w:val="000000" w:themeColor="text1"/>
          <w:sz w:val="32"/>
          <w:szCs w:val="32"/>
        </w:rPr>
        <w:t>万元，完成</w:t>
      </w:r>
      <w:r>
        <w:rPr>
          <w:rStyle w:val="20"/>
          <w:rFonts w:hint="eastAsia" w:ascii="仿宋_GB2312" w:hAnsi="仿宋_GB2312" w:eastAsia="仿宋_GB2312" w:cs="仿宋_GB2312"/>
          <w:b w:val="0"/>
          <w:bCs/>
          <w:color w:val="000000" w:themeColor="text1"/>
          <w:sz w:val="32"/>
          <w:szCs w:val="32"/>
          <w:lang w:eastAsia="zh-CN"/>
        </w:rPr>
        <w:t>调整</w:t>
      </w:r>
      <w:r>
        <w:rPr>
          <w:rStyle w:val="20"/>
          <w:rFonts w:hint="eastAsia" w:ascii="仿宋_GB2312" w:hAnsi="仿宋_GB2312" w:eastAsia="仿宋_GB2312" w:cs="仿宋_GB2312"/>
          <w:b w:val="0"/>
          <w:bCs/>
          <w:color w:val="000000" w:themeColor="text1"/>
          <w:sz w:val="32"/>
          <w:szCs w:val="32"/>
        </w:rPr>
        <w:t>预算</w:t>
      </w:r>
      <w:r>
        <w:rPr>
          <w:rStyle w:val="20"/>
          <w:rFonts w:hint="eastAsia" w:ascii="仿宋_GB2312" w:hAnsi="仿宋_GB2312" w:eastAsia="仿宋_GB2312" w:cs="仿宋_GB2312"/>
          <w:b w:val="0"/>
          <w:bCs/>
          <w:color w:val="000000" w:themeColor="text1"/>
          <w:sz w:val="32"/>
          <w:szCs w:val="32"/>
          <w:lang w:val="en-US" w:eastAsia="zh-CN"/>
        </w:rPr>
        <w:t>100</w:t>
      </w:r>
      <w:r>
        <w:rPr>
          <w:rStyle w:val="20"/>
          <w:rFonts w:hint="eastAsia" w:ascii="仿宋_GB2312" w:hAnsi="仿宋_GB2312" w:eastAsia="仿宋_GB2312" w:cs="仿宋_GB2312"/>
          <w:b w:val="0"/>
          <w:bCs/>
          <w:color w:val="000000" w:themeColor="text1"/>
          <w:sz w:val="32"/>
          <w:szCs w:val="32"/>
        </w:rPr>
        <w:t>%，</w:t>
      </w:r>
      <w:r>
        <w:rPr>
          <w:rStyle w:val="20"/>
          <w:rFonts w:hint="eastAsia" w:ascii="仿宋_GB2312" w:hAnsi="仿宋_GB2312" w:eastAsia="仿宋_GB2312" w:cs="仿宋_GB2312"/>
          <w:b w:val="0"/>
          <w:bCs/>
          <w:color w:val="000000" w:themeColor="text1"/>
          <w:sz w:val="32"/>
          <w:szCs w:val="32"/>
          <w:lang w:eastAsia="zh-CN"/>
        </w:rPr>
        <w:t>全部用于职工缴纳养老保险单位部分；2080506</w:t>
      </w:r>
      <w:r>
        <w:rPr>
          <w:rStyle w:val="20"/>
          <w:rFonts w:hint="eastAsia" w:ascii="仿宋_GB2312" w:hAnsi="仿宋_GB2312" w:eastAsia="仿宋_GB2312" w:cs="仿宋_GB2312"/>
          <w:b w:val="0"/>
          <w:bCs/>
          <w:color w:val="000000" w:themeColor="text1"/>
          <w:sz w:val="32"/>
          <w:szCs w:val="32"/>
          <w:lang w:val="en-US" w:eastAsia="zh-CN"/>
        </w:rPr>
        <w:t>-</w:t>
      </w:r>
      <w:r>
        <w:rPr>
          <w:rStyle w:val="20"/>
          <w:rFonts w:hint="eastAsia" w:ascii="仿宋_GB2312" w:hAnsi="仿宋_GB2312" w:eastAsia="仿宋_GB2312" w:cs="仿宋_GB2312"/>
          <w:b w:val="0"/>
          <w:bCs/>
          <w:color w:val="000000" w:themeColor="text1"/>
          <w:sz w:val="32"/>
          <w:szCs w:val="32"/>
          <w:lang w:eastAsia="zh-CN"/>
        </w:rPr>
        <w:t>机关事业单位职业年金缴费支出</w:t>
      </w:r>
      <w:r>
        <w:rPr>
          <w:rStyle w:val="20"/>
          <w:rFonts w:hint="eastAsia" w:ascii="仿宋_GB2312" w:hAnsi="仿宋_GB2312" w:eastAsia="仿宋_GB2312" w:cs="仿宋_GB2312"/>
          <w:b w:val="0"/>
          <w:bCs/>
          <w:color w:val="000000" w:themeColor="text1"/>
          <w:sz w:val="32"/>
          <w:szCs w:val="32"/>
        </w:rPr>
        <w:t>决算为</w:t>
      </w:r>
      <w:r>
        <w:rPr>
          <w:rStyle w:val="20"/>
          <w:rFonts w:hint="eastAsia" w:ascii="仿宋_GB2312" w:hAnsi="仿宋_GB2312" w:eastAsia="仿宋_GB2312" w:cs="仿宋_GB2312"/>
          <w:b w:val="0"/>
          <w:bCs/>
          <w:color w:val="000000" w:themeColor="text1"/>
          <w:sz w:val="32"/>
          <w:szCs w:val="32"/>
          <w:lang w:val="en-US" w:eastAsia="zh-CN"/>
        </w:rPr>
        <w:t>16.55</w:t>
      </w:r>
      <w:r>
        <w:rPr>
          <w:rStyle w:val="20"/>
          <w:rFonts w:hint="eastAsia" w:ascii="仿宋_GB2312" w:hAnsi="仿宋_GB2312" w:eastAsia="仿宋_GB2312" w:cs="仿宋_GB2312"/>
          <w:b w:val="0"/>
          <w:bCs/>
          <w:color w:val="000000" w:themeColor="text1"/>
          <w:sz w:val="32"/>
          <w:szCs w:val="32"/>
        </w:rPr>
        <w:t>万元，完成</w:t>
      </w:r>
      <w:r>
        <w:rPr>
          <w:rStyle w:val="20"/>
          <w:rFonts w:hint="eastAsia" w:ascii="仿宋_GB2312" w:hAnsi="仿宋_GB2312" w:eastAsia="仿宋_GB2312" w:cs="仿宋_GB2312"/>
          <w:b w:val="0"/>
          <w:bCs/>
          <w:color w:val="000000" w:themeColor="text1"/>
          <w:sz w:val="32"/>
          <w:szCs w:val="32"/>
          <w:lang w:eastAsia="zh-CN"/>
        </w:rPr>
        <w:t>调整</w:t>
      </w:r>
      <w:r>
        <w:rPr>
          <w:rStyle w:val="20"/>
          <w:rFonts w:hint="eastAsia" w:ascii="仿宋_GB2312" w:hAnsi="仿宋_GB2312" w:eastAsia="仿宋_GB2312" w:cs="仿宋_GB2312"/>
          <w:b w:val="0"/>
          <w:bCs/>
          <w:color w:val="000000" w:themeColor="text1"/>
          <w:sz w:val="32"/>
          <w:szCs w:val="32"/>
        </w:rPr>
        <w:t>预算</w:t>
      </w:r>
      <w:r>
        <w:rPr>
          <w:rStyle w:val="20"/>
          <w:rFonts w:hint="eastAsia" w:ascii="仿宋_GB2312" w:hAnsi="仿宋_GB2312" w:eastAsia="仿宋_GB2312" w:cs="仿宋_GB2312"/>
          <w:b w:val="0"/>
          <w:bCs/>
          <w:color w:val="000000" w:themeColor="text1"/>
          <w:sz w:val="32"/>
          <w:szCs w:val="32"/>
          <w:lang w:val="en-US" w:eastAsia="zh-CN"/>
        </w:rPr>
        <w:t>100</w:t>
      </w:r>
      <w:r>
        <w:rPr>
          <w:rStyle w:val="20"/>
          <w:rFonts w:hint="eastAsia" w:ascii="仿宋_GB2312" w:hAnsi="仿宋_GB2312" w:eastAsia="仿宋_GB2312" w:cs="仿宋_GB2312"/>
          <w:b w:val="0"/>
          <w:bCs/>
          <w:color w:val="000000" w:themeColor="text1"/>
          <w:sz w:val="32"/>
          <w:szCs w:val="32"/>
        </w:rPr>
        <w:t>%，</w:t>
      </w:r>
      <w:r>
        <w:rPr>
          <w:rStyle w:val="20"/>
          <w:rFonts w:hint="eastAsia" w:ascii="仿宋_GB2312" w:hAnsi="仿宋_GB2312" w:eastAsia="仿宋_GB2312" w:cs="仿宋_GB2312"/>
          <w:b w:val="0"/>
          <w:bCs/>
          <w:color w:val="000000" w:themeColor="text1"/>
          <w:sz w:val="32"/>
          <w:szCs w:val="32"/>
          <w:lang w:eastAsia="zh-CN"/>
        </w:rPr>
        <w:t>全部用于职工缴纳职业年金单位部分。</w:t>
      </w:r>
    </w:p>
    <w:p w14:paraId="6DFD027F">
      <w:pPr>
        <w:pageBreakBefore w:val="0"/>
        <w:numPr>
          <w:ilvl w:val="0"/>
          <w:numId w:val="0"/>
        </w:numPr>
        <w:kinsoku/>
        <w:wordWrap/>
        <w:overflowPunct/>
        <w:topLinePunct w:val="0"/>
        <w:bidi w:val="0"/>
        <w:spacing w:beforeAutospacing="0" w:afterAutospacing="0" w:line="576" w:lineRule="exact"/>
        <w:ind w:left="0" w:leftChars="0" w:right="0" w:firstLine="643" w:firstLineChars="200"/>
        <w:jc w:val="both"/>
        <w:rPr>
          <w:rStyle w:val="20"/>
          <w:rFonts w:hint="eastAsia" w:ascii="仿宋_GB2312" w:hAnsi="仿宋_GB2312" w:eastAsia="仿宋_GB2312" w:cs="仿宋_GB2312"/>
          <w:b w:val="0"/>
          <w:bCs/>
          <w:color w:val="000000" w:themeColor="text1"/>
          <w:sz w:val="32"/>
          <w:szCs w:val="32"/>
          <w:lang w:eastAsia="zh-CN"/>
        </w:rPr>
      </w:pPr>
      <w:r>
        <w:rPr>
          <w:rFonts w:hint="eastAsia" w:ascii="仿宋_GB2312" w:hAnsi="仿宋_GB2312" w:eastAsia="仿宋_GB2312" w:cs="仿宋_GB2312"/>
          <w:b/>
          <w:bCs/>
          <w:color w:val="000000" w:themeColor="text1"/>
          <w:sz w:val="32"/>
          <w:szCs w:val="32"/>
          <w:lang w:val="en-US" w:eastAsia="zh-CN"/>
        </w:rPr>
        <w:t>3.</w:t>
      </w:r>
      <w:r>
        <w:rPr>
          <w:rFonts w:hint="eastAsia" w:ascii="仿宋_GB2312" w:hAnsi="仿宋_GB2312" w:eastAsia="仿宋_GB2312" w:cs="仿宋_GB2312"/>
          <w:b/>
          <w:bCs/>
          <w:color w:val="000000" w:themeColor="text1"/>
          <w:sz w:val="32"/>
          <w:szCs w:val="32"/>
        </w:rPr>
        <w:t>卫生健康</w:t>
      </w:r>
      <w:r>
        <w:rPr>
          <w:rFonts w:hint="eastAsia" w:ascii="仿宋_GB2312" w:hAnsi="仿宋_GB2312" w:eastAsia="仿宋_GB2312" w:cs="仿宋_GB2312"/>
          <w:b/>
          <w:bCs/>
          <w:color w:val="000000" w:themeColor="text1"/>
          <w:sz w:val="32"/>
          <w:szCs w:val="32"/>
          <w:lang w:eastAsia="zh-CN"/>
        </w:rPr>
        <w:t>支出</w:t>
      </w:r>
      <w:r>
        <w:rPr>
          <w:rStyle w:val="20"/>
          <w:rFonts w:hint="eastAsia" w:ascii="仿宋_GB2312" w:hAnsi="仿宋_GB2312" w:eastAsia="仿宋_GB2312" w:cs="仿宋_GB2312"/>
          <w:bCs/>
          <w:color w:val="000000" w:themeColor="text1"/>
          <w:sz w:val="32"/>
          <w:szCs w:val="32"/>
        </w:rPr>
        <w:t>:</w:t>
      </w:r>
      <w:r>
        <w:rPr>
          <w:rStyle w:val="20"/>
          <w:rFonts w:hint="eastAsia" w:ascii="仿宋_GB2312" w:hAnsi="仿宋_GB2312" w:eastAsia="仿宋_GB2312" w:cs="仿宋_GB2312"/>
          <w:b w:val="0"/>
          <w:bCs/>
          <w:color w:val="000000" w:themeColor="text1"/>
          <w:sz w:val="32"/>
          <w:szCs w:val="32"/>
          <w:lang w:eastAsia="zh-CN"/>
        </w:rPr>
        <w:t>2101101</w:t>
      </w:r>
      <w:r>
        <w:rPr>
          <w:rStyle w:val="20"/>
          <w:rFonts w:hint="eastAsia" w:ascii="仿宋_GB2312" w:hAnsi="仿宋_GB2312" w:eastAsia="仿宋_GB2312" w:cs="仿宋_GB2312"/>
          <w:b w:val="0"/>
          <w:bCs/>
          <w:color w:val="000000" w:themeColor="text1"/>
          <w:sz w:val="32"/>
          <w:szCs w:val="32"/>
          <w:lang w:val="en-US" w:eastAsia="zh-CN"/>
        </w:rPr>
        <w:t>-</w:t>
      </w:r>
      <w:r>
        <w:rPr>
          <w:rStyle w:val="20"/>
          <w:rFonts w:hint="eastAsia" w:ascii="仿宋_GB2312" w:hAnsi="仿宋_GB2312" w:eastAsia="仿宋_GB2312" w:cs="仿宋_GB2312"/>
          <w:b w:val="0"/>
          <w:bCs/>
          <w:color w:val="000000" w:themeColor="text1"/>
          <w:sz w:val="32"/>
          <w:szCs w:val="32"/>
          <w:lang w:eastAsia="zh-CN"/>
        </w:rPr>
        <w:t>行政单位医疗支出</w:t>
      </w:r>
      <w:r>
        <w:rPr>
          <w:rStyle w:val="20"/>
          <w:rFonts w:hint="eastAsia" w:ascii="仿宋_GB2312" w:hAnsi="仿宋_GB2312" w:eastAsia="仿宋_GB2312" w:cs="仿宋_GB2312"/>
          <w:b w:val="0"/>
          <w:bCs/>
          <w:color w:val="000000" w:themeColor="text1"/>
          <w:sz w:val="32"/>
          <w:szCs w:val="32"/>
        </w:rPr>
        <w:t>决算为</w:t>
      </w:r>
      <w:r>
        <w:rPr>
          <w:rStyle w:val="20"/>
          <w:rFonts w:hint="eastAsia" w:ascii="仿宋_GB2312" w:hAnsi="仿宋_GB2312" w:eastAsia="仿宋_GB2312" w:cs="仿宋_GB2312"/>
          <w:b w:val="0"/>
          <w:bCs/>
          <w:color w:val="000000" w:themeColor="text1"/>
          <w:sz w:val="32"/>
          <w:szCs w:val="32"/>
          <w:lang w:val="en-US" w:eastAsia="zh-CN"/>
        </w:rPr>
        <w:t>6.01</w:t>
      </w:r>
      <w:r>
        <w:rPr>
          <w:rStyle w:val="20"/>
          <w:rFonts w:hint="eastAsia" w:ascii="仿宋_GB2312" w:hAnsi="仿宋_GB2312" w:eastAsia="仿宋_GB2312" w:cs="仿宋_GB2312"/>
          <w:b w:val="0"/>
          <w:bCs/>
          <w:color w:val="000000" w:themeColor="text1"/>
          <w:sz w:val="32"/>
          <w:szCs w:val="32"/>
        </w:rPr>
        <w:t>万元，完成</w:t>
      </w:r>
      <w:r>
        <w:rPr>
          <w:rStyle w:val="20"/>
          <w:rFonts w:hint="eastAsia" w:ascii="仿宋_GB2312" w:hAnsi="仿宋_GB2312" w:eastAsia="仿宋_GB2312" w:cs="仿宋_GB2312"/>
          <w:b w:val="0"/>
          <w:bCs/>
          <w:color w:val="000000" w:themeColor="text1"/>
          <w:sz w:val="32"/>
          <w:szCs w:val="32"/>
          <w:lang w:eastAsia="zh-CN"/>
        </w:rPr>
        <w:t>调整</w:t>
      </w:r>
      <w:r>
        <w:rPr>
          <w:rStyle w:val="20"/>
          <w:rFonts w:hint="eastAsia" w:ascii="仿宋_GB2312" w:hAnsi="仿宋_GB2312" w:eastAsia="仿宋_GB2312" w:cs="仿宋_GB2312"/>
          <w:b w:val="0"/>
          <w:bCs/>
          <w:color w:val="000000" w:themeColor="text1"/>
          <w:sz w:val="32"/>
          <w:szCs w:val="32"/>
        </w:rPr>
        <w:t>预算</w:t>
      </w:r>
      <w:r>
        <w:rPr>
          <w:rStyle w:val="20"/>
          <w:rFonts w:hint="eastAsia" w:ascii="仿宋_GB2312" w:hAnsi="仿宋_GB2312" w:eastAsia="仿宋_GB2312" w:cs="仿宋_GB2312"/>
          <w:b w:val="0"/>
          <w:bCs/>
          <w:color w:val="000000" w:themeColor="text1"/>
          <w:sz w:val="32"/>
          <w:szCs w:val="32"/>
          <w:lang w:val="en-US" w:eastAsia="zh-CN"/>
        </w:rPr>
        <w:t>100</w:t>
      </w:r>
      <w:r>
        <w:rPr>
          <w:rStyle w:val="20"/>
          <w:rFonts w:hint="eastAsia" w:ascii="仿宋_GB2312" w:hAnsi="仿宋_GB2312" w:eastAsia="仿宋_GB2312" w:cs="仿宋_GB2312"/>
          <w:b w:val="0"/>
          <w:bCs/>
          <w:color w:val="000000" w:themeColor="text1"/>
          <w:sz w:val="32"/>
          <w:szCs w:val="32"/>
        </w:rPr>
        <w:t>%</w:t>
      </w:r>
      <w:r>
        <w:rPr>
          <w:rStyle w:val="20"/>
          <w:rFonts w:hint="eastAsia" w:ascii="仿宋_GB2312" w:hAnsi="仿宋_GB2312" w:eastAsia="仿宋_GB2312" w:cs="仿宋_GB2312"/>
          <w:b w:val="0"/>
          <w:bCs/>
          <w:color w:val="000000" w:themeColor="text1"/>
          <w:sz w:val="32"/>
          <w:szCs w:val="32"/>
          <w:lang w:eastAsia="zh-CN"/>
        </w:rPr>
        <w:t>，全部用于行政在职职工缴纳医疗保险单位部分；2101102</w:t>
      </w:r>
      <w:r>
        <w:rPr>
          <w:rStyle w:val="20"/>
          <w:rFonts w:hint="eastAsia" w:ascii="仿宋_GB2312" w:hAnsi="仿宋_GB2312" w:eastAsia="仿宋_GB2312" w:cs="仿宋_GB2312"/>
          <w:b w:val="0"/>
          <w:bCs/>
          <w:color w:val="000000" w:themeColor="text1"/>
          <w:sz w:val="32"/>
          <w:szCs w:val="32"/>
          <w:lang w:val="en-US" w:eastAsia="zh-CN"/>
        </w:rPr>
        <w:t>-</w:t>
      </w:r>
      <w:r>
        <w:rPr>
          <w:rStyle w:val="20"/>
          <w:rFonts w:hint="eastAsia" w:ascii="仿宋_GB2312" w:hAnsi="仿宋_GB2312" w:eastAsia="仿宋_GB2312" w:cs="仿宋_GB2312"/>
          <w:b w:val="0"/>
          <w:bCs/>
          <w:color w:val="000000" w:themeColor="text1"/>
          <w:sz w:val="32"/>
          <w:szCs w:val="32"/>
          <w:lang w:eastAsia="zh-CN"/>
        </w:rPr>
        <w:t>事业单位医疗支出</w:t>
      </w:r>
      <w:r>
        <w:rPr>
          <w:rStyle w:val="20"/>
          <w:rFonts w:hint="eastAsia" w:ascii="仿宋_GB2312" w:hAnsi="仿宋_GB2312" w:eastAsia="仿宋_GB2312" w:cs="仿宋_GB2312"/>
          <w:b w:val="0"/>
          <w:bCs/>
          <w:color w:val="000000" w:themeColor="text1"/>
          <w:sz w:val="32"/>
          <w:szCs w:val="32"/>
        </w:rPr>
        <w:t>决算为</w:t>
      </w:r>
      <w:r>
        <w:rPr>
          <w:rStyle w:val="20"/>
          <w:rFonts w:hint="eastAsia" w:ascii="仿宋_GB2312" w:hAnsi="仿宋_GB2312" w:eastAsia="仿宋_GB2312" w:cs="仿宋_GB2312"/>
          <w:b w:val="0"/>
          <w:bCs/>
          <w:color w:val="000000" w:themeColor="text1"/>
          <w:sz w:val="32"/>
          <w:szCs w:val="32"/>
          <w:lang w:val="en-US" w:eastAsia="zh-CN"/>
        </w:rPr>
        <w:t>9.72</w:t>
      </w:r>
      <w:r>
        <w:rPr>
          <w:rStyle w:val="20"/>
          <w:rFonts w:hint="eastAsia" w:ascii="仿宋_GB2312" w:hAnsi="仿宋_GB2312" w:eastAsia="仿宋_GB2312" w:cs="仿宋_GB2312"/>
          <w:b w:val="0"/>
          <w:bCs/>
          <w:color w:val="000000" w:themeColor="text1"/>
          <w:sz w:val="32"/>
          <w:szCs w:val="32"/>
        </w:rPr>
        <w:t>万元，完成</w:t>
      </w:r>
      <w:r>
        <w:rPr>
          <w:rStyle w:val="20"/>
          <w:rFonts w:hint="eastAsia" w:ascii="仿宋_GB2312" w:hAnsi="仿宋_GB2312" w:eastAsia="仿宋_GB2312" w:cs="仿宋_GB2312"/>
          <w:b w:val="0"/>
          <w:bCs/>
          <w:color w:val="000000" w:themeColor="text1"/>
          <w:sz w:val="32"/>
          <w:szCs w:val="32"/>
          <w:lang w:eastAsia="zh-CN"/>
        </w:rPr>
        <w:t>调整</w:t>
      </w:r>
      <w:r>
        <w:rPr>
          <w:rStyle w:val="20"/>
          <w:rFonts w:hint="eastAsia" w:ascii="仿宋_GB2312" w:hAnsi="仿宋_GB2312" w:eastAsia="仿宋_GB2312" w:cs="仿宋_GB2312"/>
          <w:b w:val="0"/>
          <w:bCs/>
          <w:color w:val="000000" w:themeColor="text1"/>
          <w:sz w:val="32"/>
          <w:szCs w:val="32"/>
        </w:rPr>
        <w:t>预算</w:t>
      </w:r>
      <w:r>
        <w:rPr>
          <w:rStyle w:val="20"/>
          <w:rFonts w:hint="eastAsia" w:ascii="仿宋_GB2312" w:hAnsi="仿宋_GB2312" w:eastAsia="仿宋_GB2312" w:cs="仿宋_GB2312"/>
          <w:b w:val="0"/>
          <w:bCs/>
          <w:color w:val="000000" w:themeColor="text1"/>
          <w:sz w:val="32"/>
          <w:szCs w:val="32"/>
          <w:lang w:val="en-US" w:eastAsia="zh-CN"/>
        </w:rPr>
        <w:t>100</w:t>
      </w:r>
      <w:r>
        <w:rPr>
          <w:rStyle w:val="20"/>
          <w:rFonts w:hint="eastAsia" w:ascii="仿宋_GB2312" w:hAnsi="仿宋_GB2312" w:eastAsia="仿宋_GB2312" w:cs="仿宋_GB2312"/>
          <w:b w:val="0"/>
          <w:bCs/>
          <w:color w:val="000000" w:themeColor="text1"/>
          <w:sz w:val="32"/>
          <w:szCs w:val="32"/>
        </w:rPr>
        <w:t>%</w:t>
      </w:r>
      <w:r>
        <w:rPr>
          <w:rStyle w:val="20"/>
          <w:rFonts w:hint="eastAsia" w:ascii="仿宋_GB2312" w:hAnsi="仿宋_GB2312" w:eastAsia="仿宋_GB2312" w:cs="仿宋_GB2312"/>
          <w:b w:val="0"/>
          <w:bCs/>
          <w:color w:val="000000" w:themeColor="text1"/>
          <w:sz w:val="32"/>
          <w:szCs w:val="32"/>
          <w:lang w:eastAsia="zh-CN"/>
        </w:rPr>
        <w:t>，全部用于事业在职职工缴纳医疗保险单位部分；2101103</w:t>
      </w:r>
      <w:r>
        <w:rPr>
          <w:rStyle w:val="20"/>
          <w:rFonts w:hint="eastAsia" w:ascii="仿宋_GB2312" w:hAnsi="仿宋_GB2312" w:eastAsia="仿宋_GB2312" w:cs="仿宋_GB2312"/>
          <w:b w:val="0"/>
          <w:bCs/>
          <w:color w:val="000000" w:themeColor="text1"/>
          <w:sz w:val="32"/>
          <w:szCs w:val="32"/>
          <w:lang w:val="en-US" w:eastAsia="zh-CN"/>
        </w:rPr>
        <w:t>-</w:t>
      </w:r>
      <w:r>
        <w:rPr>
          <w:rStyle w:val="20"/>
          <w:rFonts w:hint="eastAsia" w:ascii="仿宋_GB2312" w:hAnsi="仿宋_GB2312" w:eastAsia="仿宋_GB2312" w:cs="仿宋_GB2312"/>
          <w:b w:val="0"/>
          <w:bCs/>
          <w:color w:val="000000" w:themeColor="text1"/>
          <w:sz w:val="32"/>
          <w:szCs w:val="32"/>
          <w:lang w:eastAsia="zh-CN"/>
        </w:rPr>
        <w:t>公务员医疗补助支出</w:t>
      </w:r>
      <w:r>
        <w:rPr>
          <w:rStyle w:val="20"/>
          <w:rFonts w:hint="eastAsia" w:ascii="仿宋_GB2312" w:hAnsi="仿宋_GB2312" w:eastAsia="仿宋_GB2312" w:cs="仿宋_GB2312"/>
          <w:b w:val="0"/>
          <w:bCs/>
          <w:color w:val="000000" w:themeColor="text1"/>
          <w:sz w:val="32"/>
          <w:szCs w:val="32"/>
        </w:rPr>
        <w:t>决算</w:t>
      </w:r>
      <w:r>
        <w:rPr>
          <w:rStyle w:val="20"/>
          <w:rFonts w:hint="eastAsia" w:ascii="仿宋_GB2312" w:hAnsi="仿宋_GB2312" w:eastAsia="仿宋_GB2312" w:cs="仿宋_GB2312"/>
          <w:b w:val="0"/>
          <w:bCs/>
          <w:color w:val="000000" w:themeColor="text1"/>
          <w:sz w:val="32"/>
          <w:szCs w:val="32"/>
          <w:lang w:val="en-US" w:eastAsia="zh-CN"/>
        </w:rPr>
        <w:t>1.01</w:t>
      </w:r>
      <w:r>
        <w:rPr>
          <w:rStyle w:val="20"/>
          <w:rFonts w:hint="eastAsia" w:ascii="仿宋_GB2312" w:hAnsi="仿宋_GB2312" w:eastAsia="仿宋_GB2312" w:cs="仿宋_GB2312"/>
          <w:b w:val="0"/>
          <w:bCs/>
          <w:color w:val="000000" w:themeColor="text1"/>
          <w:sz w:val="32"/>
          <w:szCs w:val="32"/>
        </w:rPr>
        <w:t>万元，完成</w:t>
      </w:r>
      <w:r>
        <w:rPr>
          <w:rStyle w:val="20"/>
          <w:rFonts w:hint="eastAsia" w:ascii="仿宋_GB2312" w:hAnsi="仿宋_GB2312" w:eastAsia="仿宋_GB2312" w:cs="仿宋_GB2312"/>
          <w:b w:val="0"/>
          <w:bCs/>
          <w:color w:val="000000" w:themeColor="text1"/>
          <w:sz w:val="32"/>
          <w:szCs w:val="32"/>
          <w:lang w:eastAsia="zh-CN"/>
        </w:rPr>
        <w:t>调整</w:t>
      </w:r>
      <w:r>
        <w:rPr>
          <w:rStyle w:val="20"/>
          <w:rFonts w:hint="eastAsia" w:ascii="仿宋_GB2312" w:hAnsi="仿宋_GB2312" w:eastAsia="仿宋_GB2312" w:cs="仿宋_GB2312"/>
          <w:b w:val="0"/>
          <w:bCs/>
          <w:color w:val="000000" w:themeColor="text1"/>
          <w:sz w:val="32"/>
          <w:szCs w:val="32"/>
        </w:rPr>
        <w:t>预算</w:t>
      </w:r>
      <w:r>
        <w:rPr>
          <w:rStyle w:val="20"/>
          <w:rFonts w:hint="eastAsia" w:ascii="仿宋_GB2312" w:hAnsi="仿宋_GB2312" w:eastAsia="仿宋_GB2312" w:cs="仿宋_GB2312"/>
          <w:b w:val="0"/>
          <w:bCs/>
          <w:color w:val="000000" w:themeColor="text1"/>
          <w:sz w:val="32"/>
          <w:szCs w:val="32"/>
          <w:lang w:val="en-US" w:eastAsia="zh-CN"/>
        </w:rPr>
        <w:t>100</w:t>
      </w:r>
      <w:r>
        <w:rPr>
          <w:rStyle w:val="20"/>
          <w:rFonts w:hint="eastAsia" w:ascii="仿宋_GB2312" w:hAnsi="仿宋_GB2312" w:eastAsia="仿宋_GB2312" w:cs="仿宋_GB2312"/>
          <w:b w:val="0"/>
          <w:bCs/>
          <w:color w:val="000000" w:themeColor="text1"/>
          <w:sz w:val="32"/>
          <w:szCs w:val="32"/>
        </w:rPr>
        <w:t>%</w:t>
      </w:r>
      <w:r>
        <w:rPr>
          <w:rStyle w:val="20"/>
          <w:rFonts w:hint="eastAsia" w:ascii="仿宋_GB2312" w:hAnsi="仿宋_GB2312" w:eastAsia="仿宋_GB2312" w:cs="仿宋_GB2312"/>
          <w:b w:val="0"/>
          <w:bCs/>
          <w:color w:val="000000" w:themeColor="text1"/>
          <w:sz w:val="32"/>
          <w:szCs w:val="32"/>
          <w:lang w:eastAsia="zh-CN"/>
        </w:rPr>
        <w:t>，全部用于行政在职职工公务员补充医保；2101199</w:t>
      </w:r>
      <w:r>
        <w:rPr>
          <w:rStyle w:val="20"/>
          <w:rFonts w:hint="eastAsia" w:ascii="仿宋_GB2312" w:hAnsi="仿宋_GB2312" w:eastAsia="仿宋_GB2312" w:cs="仿宋_GB2312"/>
          <w:b w:val="0"/>
          <w:bCs/>
          <w:color w:val="000000" w:themeColor="text1"/>
          <w:sz w:val="32"/>
          <w:szCs w:val="32"/>
          <w:lang w:val="en-US" w:eastAsia="zh-CN"/>
        </w:rPr>
        <w:t>-</w:t>
      </w:r>
      <w:r>
        <w:rPr>
          <w:rStyle w:val="20"/>
          <w:rFonts w:hint="eastAsia" w:ascii="仿宋_GB2312" w:hAnsi="仿宋_GB2312" w:eastAsia="仿宋_GB2312" w:cs="仿宋_GB2312"/>
          <w:b w:val="0"/>
          <w:bCs/>
          <w:color w:val="000000" w:themeColor="text1"/>
          <w:sz w:val="32"/>
          <w:szCs w:val="32"/>
          <w:lang w:eastAsia="zh-CN"/>
        </w:rPr>
        <w:t>其他行政事业单位医疗支出</w:t>
      </w:r>
      <w:r>
        <w:rPr>
          <w:rStyle w:val="20"/>
          <w:rFonts w:hint="eastAsia" w:ascii="仿宋_GB2312" w:hAnsi="仿宋_GB2312" w:eastAsia="仿宋_GB2312" w:cs="仿宋_GB2312"/>
          <w:b w:val="0"/>
          <w:bCs/>
          <w:color w:val="000000" w:themeColor="text1"/>
          <w:sz w:val="32"/>
          <w:szCs w:val="32"/>
        </w:rPr>
        <w:t>决算为</w:t>
      </w:r>
      <w:r>
        <w:rPr>
          <w:rStyle w:val="20"/>
          <w:rFonts w:hint="eastAsia" w:ascii="仿宋_GB2312" w:hAnsi="仿宋_GB2312" w:eastAsia="仿宋_GB2312" w:cs="仿宋_GB2312"/>
          <w:b w:val="0"/>
          <w:bCs/>
          <w:color w:val="000000" w:themeColor="text1"/>
          <w:sz w:val="32"/>
          <w:szCs w:val="32"/>
          <w:lang w:val="en-US" w:eastAsia="zh-CN"/>
        </w:rPr>
        <w:t>1.68</w:t>
      </w:r>
      <w:r>
        <w:rPr>
          <w:rStyle w:val="20"/>
          <w:rFonts w:hint="eastAsia" w:ascii="仿宋_GB2312" w:hAnsi="仿宋_GB2312" w:eastAsia="仿宋_GB2312" w:cs="仿宋_GB2312"/>
          <w:b w:val="0"/>
          <w:bCs/>
          <w:color w:val="000000" w:themeColor="text1"/>
          <w:sz w:val="32"/>
          <w:szCs w:val="32"/>
        </w:rPr>
        <w:t>万元，完成</w:t>
      </w:r>
      <w:r>
        <w:rPr>
          <w:rStyle w:val="20"/>
          <w:rFonts w:hint="eastAsia" w:ascii="仿宋_GB2312" w:hAnsi="仿宋_GB2312" w:eastAsia="仿宋_GB2312" w:cs="仿宋_GB2312"/>
          <w:b w:val="0"/>
          <w:bCs/>
          <w:color w:val="000000" w:themeColor="text1"/>
          <w:sz w:val="32"/>
          <w:szCs w:val="32"/>
          <w:lang w:eastAsia="zh-CN"/>
        </w:rPr>
        <w:t>调整</w:t>
      </w:r>
      <w:r>
        <w:rPr>
          <w:rStyle w:val="20"/>
          <w:rFonts w:hint="eastAsia" w:ascii="仿宋_GB2312" w:hAnsi="仿宋_GB2312" w:eastAsia="仿宋_GB2312" w:cs="仿宋_GB2312"/>
          <w:b w:val="0"/>
          <w:bCs/>
          <w:color w:val="000000" w:themeColor="text1"/>
          <w:sz w:val="32"/>
          <w:szCs w:val="32"/>
        </w:rPr>
        <w:t>预算</w:t>
      </w:r>
      <w:r>
        <w:rPr>
          <w:rStyle w:val="20"/>
          <w:rFonts w:hint="eastAsia" w:ascii="仿宋_GB2312" w:hAnsi="仿宋_GB2312" w:eastAsia="仿宋_GB2312" w:cs="仿宋_GB2312"/>
          <w:b w:val="0"/>
          <w:bCs/>
          <w:color w:val="000000" w:themeColor="text1"/>
          <w:sz w:val="32"/>
          <w:szCs w:val="32"/>
          <w:lang w:val="en-US" w:eastAsia="zh-CN"/>
        </w:rPr>
        <w:t>100</w:t>
      </w:r>
      <w:r>
        <w:rPr>
          <w:rStyle w:val="20"/>
          <w:rFonts w:hint="eastAsia" w:ascii="仿宋_GB2312" w:hAnsi="仿宋_GB2312" w:eastAsia="仿宋_GB2312" w:cs="仿宋_GB2312"/>
          <w:b w:val="0"/>
          <w:bCs/>
          <w:color w:val="000000" w:themeColor="text1"/>
          <w:sz w:val="32"/>
          <w:szCs w:val="32"/>
        </w:rPr>
        <w:t>%</w:t>
      </w:r>
      <w:r>
        <w:rPr>
          <w:rStyle w:val="20"/>
          <w:rFonts w:hint="eastAsia" w:ascii="仿宋_GB2312" w:hAnsi="仿宋_GB2312" w:eastAsia="仿宋_GB2312" w:cs="仿宋_GB2312"/>
          <w:b w:val="0"/>
          <w:bCs/>
          <w:color w:val="000000" w:themeColor="text1"/>
          <w:sz w:val="32"/>
          <w:szCs w:val="32"/>
          <w:lang w:eastAsia="zh-CN"/>
        </w:rPr>
        <w:t>，全部用于缴纳事业在职职工补充医保。</w:t>
      </w:r>
    </w:p>
    <w:p w14:paraId="52238D6D">
      <w:pPr>
        <w:pageBreakBefore w:val="0"/>
        <w:numPr>
          <w:ilvl w:val="0"/>
          <w:numId w:val="0"/>
        </w:numPr>
        <w:kinsoku/>
        <w:wordWrap/>
        <w:overflowPunct/>
        <w:topLinePunct w:val="0"/>
        <w:bidi w:val="0"/>
        <w:spacing w:beforeAutospacing="0" w:afterAutospacing="0" w:line="576" w:lineRule="exact"/>
        <w:ind w:left="0" w:leftChars="0" w:right="0" w:firstLine="640" w:firstLineChars="200"/>
        <w:jc w:val="both"/>
        <w:rPr>
          <w:rFonts w:ascii="仿宋" w:eastAsia="仿宋"/>
          <w:b/>
          <w:color w:val="000000" w:themeColor="text1"/>
          <w:sz w:val="32"/>
          <w:szCs w:val="32"/>
        </w:rPr>
      </w:pPr>
      <w:r>
        <w:rPr>
          <w:rStyle w:val="20"/>
          <w:rFonts w:hint="eastAsia" w:ascii="仿宋_GB2312" w:hAnsi="仿宋_GB2312" w:eastAsia="仿宋_GB2312" w:cs="仿宋_GB2312"/>
          <w:b w:val="0"/>
          <w:bCs/>
          <w:color w:val="000000" w:themeColor="text1"/>
          <w:sz w:val="32"/>
          <w:szCs w:val="32"/>
          <w:lang w:val="en-US" w:eastAsia="zh-CN"/>
        </w:rPr>
        <w:t>4.</w:t>
      </w:r>
      <w:r>
        <w:rPr>
          <w:rFonts w:hint="eastAsia" w:ascii="仿宋_GB2312" w:hAnsi="仿宋_GB2312" w:eastAsia="仿宋_GB2312" w:cs="仿宋_GB2312"/>
          <w:b/>
          <w:bCs/>
          <w:color w:val="000000" w:themeColor="text1"/>
          <w:sz w:val="32"/>
          <w:szCs w:val="32"/>
          <w:lang w:val="en-US" w:eastAsia="zh-CN"/>
        </w:rPr>
        <w:t>住房保障支出</w:t>
      </w:r>
      <w:r>
        <w:rPr>
          <w:rStyle w:val="20"/>
          <w:rFonts w:hint="eastAsia" w:ascii="仿宋_GB2312" w:hAnsi="仿宋_GB2312" w:eastAsia="仿宋_GB2312" w:cs="仿宋_GB2312"/>
          <w:b w:val="0"/>
          <w:bCs/>
          <w:color w:val="000000" w:themeColor="text1"/>
          <w:sz w:val="32"/>
          <w:szCs w:val="32"/>
          <w:lang w:val="en-US" w:eastAsia="zh-CN"/>
        </w:rPr>
        <w:t>：2210201-住房公积金</w:t>
      </w:r>
      <w:r>
        <w:rPr>
          <w:rStyle w:val="20"/>
          <w:rFonts w:hint="eastAsia" w:ascii="仿宋_GB2312" w:hAnsi="仿宋_GB2312" w:eastAsia="仿宋_GB2312" w:cs="仿宋_GB2312"/>
          <w:b w:val="0"/>
          <w:bCs/>
          <w:color w:val="000000" w:themeColor="text1"/>
          <w:sz w:val="32"/>
          <w:szCs w:val="32"/>
          <w:lang w:eastAsia="zh-CN"/>
        </w:rPr>
        <w:t>支出决算为</w:t>
      </w:r>
      <w:r>
        <w:rPr>
          <w:rStyle w:val="20"/>
          <w:rFonts w:hint="eastAsia" w:ascii="仿宋_GB2312" w:hAnsi="仿宋_GB2312" w:eastAsia="仿宋_GB2312" w:cs="仿宋_GB2312"/>
          <w:b w:val="0"/>
          <w:bCs/>
          <w:color w:val="000000" w:themeColor="text1"/>
          <w:sz w:val="32"/>
          <w:szCs w:val="32"/>
          <w:lang w:val="en-US" w:eastAsia="zh-CN"/>
        </w:rPr>
        <w:t>27.69</w:t>
      </w:r>
      <w:r>
        <w:rPr>
          <w:rStyle w:val="20"/>
          <w:rFonts w:hint="eastAsia" w:ascii="仿宋_GB2312" w:hAnsi="仿宋_GB2312" w:eastAsia="仿宋_GB2312" w:cs="仿宋_GB2312"/>
          <w:b w:val="0"/>
          <w:bCs/>
          <w:color w:val="000000" w:themeColor="text1"/>
          <w:sz w:val="32"/>
          <w:szCs w:val="32"/>
          <w:lang w:eastAsia="zh-CN"/>
        </w:rPr>
        <w:t>万元，完成调整预算</w:t>
      </w:r>
      <w:r>
        <w:rPr>
          <w:rStyle w:val="20"/>
          <w:rFonts w:hint="eastAsia" w:ascii="仿宋_GB2312" w:hAnsi="仿宋_GB2312" w:eastAsia="仿宋_GB2312" w:cs="仿宋_GB2312"/>
          <w:b w:val="0"/>
          <w:bCs/>
          <w:color w:val="000000" w:themeColor="text1"/>
          <w:sz w:val="32"/>
          <w:szCs w:val="32"/>
          <w:lang w:val="en-US" w:eastAsia="zh-CN"/>
        </w:rPr>
        <w:t>100</w:t>
      </w:r>
      <w:r>
        <w:rPr>
          <w:rStyle w:val="20"/>
          <w:rFonts w:hint="eastAsia" w:ascii="仿宋_GB2312" w:hAnsi="仿宋_GB2312" w:eastAsia="仿宋_GB2312" w:cs="仿宋_GB2312"/>
          <w:b w:val="0"/>
          <w:bCs/>
          <w:color w:val="000000" w:themeColor="text1"/>
          <w:sz w:val="32"/>
          <w:szCs w:val="32"/>
          <w:lang w:eastAsia="zh-CN"/>
        </w:rPr>
        <w:t>%，全部用于行政事业职工缴纳住房公积金单位部分。</w:t>
      </w:r>
    </w:p>
    <w:p w14:paraId="7D275882">
      <w:pPr>
        <w:pageBreakBefore w:val="0"/>
        <w:tabs>
          <w:tab w:val="right" w:pos="8306"/>
        </w:tabs>
        <w:kinsoku/>
        <w:wordWrap/>
        <w:overflowPunct/>
        <w:topLinePunct w:val="0"/>
        <w:bidi w:val="0"/>
        <w:spacing w:beforeAutospacing="0" w:afterAutospacing="0" w:line="576" w:lineRule="exact"/>
        <w:ind w:left="0" w:leftChars="0" w:right="0" w:firstLine="640" w:firstLineChars="200"/>
        <w:jc w:val="both"/>
        <w:outlineLvl w:val="1"/>
        <w:rPr>
          <w:rStyle w:val="23"/>
          <w:color w:val="000000" w:themeColor="text1"/>
        </w:rPr>
      </w:pPr>
      <w:bookmarkStart w:id="46" w:name="_Toc13941"/>
      <w:bookmarkStart w:id="47" w:name="_Toc15396608"/>
      <w:bookmarkStart w:id="48" w:name="_Toc15377214"/>
      <w:r>
        <w:rPr>
          <w:rFonts w:hint="eastAsia" w:ascii="黑体" w:eastAsia="黑体"/>
          <w:color w:val="000000" w:themeColor="text1"/>
          <w:sz w:val="32"/>
          <w:szCs w:val="32"/>
        </w:rPr>
        <w:t>六</w:t>
      </w:r>
      <w:r>
        <w:rPr>
          <w:rFonts w:hint="eastAsia" w:ascii="黑体" w:eastAsia="黑体"/>
          <w:b/>
          <w:color w:val="000000" w:themeColor="text1"/>
          <w:sz w:val="32"/>
          <w:szCs w:val="32"/>
        </w:rPr>
        <w:t>、一</w:t>
      </w:r>
      <w:r>
        <w:rPr>
          <w:rStyle w:val="23"/>
          <w:rFonts w:hint="eastAsia" w:ascii="黑体" w:eastAsia="黑体"/>
          <w:b w:val="0"/>
          <w:color w:val="000000" w:themeColor="text1"/>
        </w:rPr>
        <w:t>般公共预算财政拨款基本支出决算情况说明</w:t>
      </w:r>
      <w:bookmarkEnd w:id="46"/>
      <w:bookmarkEnd w:id="47"/>
      <w:bookmarkEnd w:id="48"/>
      <w:r>
        <w:rPr>
          <w:rStyle w:val="23"/>
          <w:rFonts w:ascii="黑体" w:eastAsia="黑体"/>
          <w:b w:val="0"/>
          <w:color w:val="000000" w:themeColor="text1"/>
        </w:rPr>
        <w:tab/>
      </w:r>
    </w:p>
    <w:p w14:paraId="19661A82">
      <w:pPr>
        <w:pageBreakBefore w:val="0"/>
        <w:kinsoku/>
        <w:wordWrap/>
        <w:overflowPunct/>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202</w:t>
      </w:r>
      <w:r>
        <w:rPr>
          <w:rFonts w:hint="eastAsia" w:ascii="仿宋_GB2312" w:hAnsi="仿宋_GB2312" w:eastAsia="仿宋_GB2312" w:cs="仿宋_GB2312"/>
          <w:color w:val="000000" w:themeColor="text1"/>
          <w:sz w:val="32"/>
          <w:szCs w:val="32"/>
          <w:lang w:val="en-US" w:eastAsia="zh-CN"/>
        </w:rPr>
        <w:t>5</w:t>
      </w:r>
      <w:r>
        <w:rPr>
          <w:rFonts w:hint="eastAsia" w:ascii="仿宋_GB2312" w:hAnsi="仿宋_GB2312" w:eastAsia="仿宋_GB2312" w:cs="仿宋_GB2312"/>
          <w:color w:val="000000" w:themeColor="text1"/>
          <w:sz w:val="32"/>
          <w:szCs w:val="32"/>
        </w:rPr>
        <w:t>年一般公共预算财政拨款基本支出</w:t>
      </w:r>
      <w:r>
        <w:rPr>
          <w:rFonts w:hint="eastAsia" w:ascii="仿宋_GB2312" w:hAnsi="仿宋_GB2312" w:eastAsia="仿宋_GB2312" w:cs="仿宋_GB2312"/>
          <w:color w:val="000000" w:themeColor="text1"/>
          <w:sz w:val="32"/>
          <w:szCs w:val="32"/>
          <w:lang w:val="en-US" w:eastAsia="zh-CN"/>
        </w:rPr>
        <w:t>510.3</w:t>
      </w:r>
      <w:r>
        <w:rPr>
          <w:rFonts w:hint="eastAsia" w:ascii="仿宋_GB2312" w:hAnsi="仿宋_GB2312" w:eastAsia="仿宋_GB2312" w:cs="仿宋_GB2312"/>
          <w:color w:val="000000" w:themeColor="text1"/>
          <w:sz w:val="32"/>
          <w:szCs w:val="32"/>
        </w:rPr>
        <w:t>万元，其中：</w:t>
      </w:r>
    </w:p>
    <w:p w14:paraId="5BC6AAFA">
      <w:pPr>
        <w:pageBreakBefore w:val="0"/>
        <w:kinsoku/>
        <w:wordWrap/>
        <w:overflowPunct/>
        <w:topLinePunct w:val="0"/>
        <w:bidi w:val="0"/>
        <w:spacing w:beforeAutospacing="0" w:afterAutospacing="0" w:line="576" w:lineRule="exact"/>
        <w:ind w:left="0" w:leftChars="0" w:right="0" w:firstLine="640" w:firstLineChars="200"/>
        <w:jc w:val="both"/>
      </w:pPr>
      <w:r>
        <w:rPr>
          <w:rFonts w:hint="eastAsia" w:ascii="仿宋_GB2312" w:hAnsi="仿宋_GB2312" w:eastAsia="仿宋_GB2312" w:cs="仿宋_GB2312"/>
          <w:color w:val="000000" w:themeColor="text1"/>
          <w:sz w:val="32"/>
          <w:szCs w:val="32"/>
        </w:rPr>
        <w:t>人员经费</w:t>
      </w:r>
      <w:r>
        <w:rPr>
          <w:rFonts w:hint="eastAsia" w:ascii="仿宋_GB2312" w:hAnsi="仿宋_GB2312" w:eastAsia="仿宋_GB2312" w:cs="仿宋_GB2312"/>
          <w:color w:val="000000" w:themeColor="text1"/>
          <w:sz w:val="32"/>
          <w:szCs w:val="32"/>
          <w:lang w:val="en-US" w:eastAsia="zh-CN"/>
        </w:rPr>
        <w:t>240.89</w:t>
      </w:r>
      <w:r>
        <w:rPr>
          <w:rFonts w:hint="eastAsia" w:ascii="仿宋_GB2312" w:hAnsi="仿宋_GB2312" w:eastAsia="仿宋_GB2312" w:cs="仿宋_GB2312"/>
          <w:color w:val="000000" w:themeColor="text1"/>
          <w:sz w:val="32"/>
          <w:szCs w:val="32"/>
        </w:rPr>
        <w:t>万元，包括：基本工资</w:t>
      </w:r>
      <w:r>
        <w:rPr>
          <w:rFonts w:hint="eastAsia" w:ascii="仿宋_GB2312" w:hAnsi="仿宋_GB2312" w:eastAsia="仿宋_GB2312" w:cs="仿宋_GB2312"/>
          <w:color w:val="000000" w:themeColor="text1"/>
          <w:sz w:val="32"/>
          <w:szCs w:val="32"/>
          <w:lang w:val="en-US" w:eastAsia="zh-CN"/>
        </w:rPr>
        <w:t>66.42</w:t>
      </w:r>
      <w:r>
        <w:rPr>
          <w:rFonts w:hint="eastAsia" w:ascii="仿宋_GB2312" w:hAnsi="仿宋_GB2312" w:eastAsia="仿宋_GB2312" w:cs="仿宋_GB2312"/>
          <w:color w:val="000000" w:themeColor="text1"/>
          <w:sz w:val="32"/>
          <w:szCs w:val="32"/>
          <w:lang w:eastAsia="zh-CN"/>
        </w:rPr>
        <w:t>万元</w:t>
      </w:r>
      <w:r>
        <w:rPr>
          <w:rFonts w:hint="eastAsia" w:ascii="仿宋_GB2312" w:hAnsi="仿宋_GB2312" w:eastAsia="仿宋_GB2312" w:cs="仿宋_GB2312"/>
          <w:color w:val="000000" w:themeColor="text1"/>
          <w:sz w:val="32"/>
          <w:szCs w:val="32"/>
        </w:rPr>
        <w:t>、津贴补贴</w:t>
      </w:r>
      <w:r>
        <w:rPr>
          <w:rFonts w:hint="eastAsia" w:ascii="仿宋_GB2312" w:hAnsi="仿宋_GB2312" w:eastAsia="仿宋_GB2312" w:cs="仿宋_GB2312"/>
          <w:color w:val="000000" w:themeColor="text1"/>
          <w:sz w:val="32"/>
          <w:szCs w:val="32"/>
          <w:lang w:val="en-US" w:eastAsia="zh-CN"/>
        </w:rPr>
        <w:t>65.5</w:t>
      </w:r>
      <w:r>
        <w:rPr>
          <w:rFonts w:hint="eastAsia" w:ascii="仿宋_GB2312" w:hAnsi="仿宋_GB2312" w:eastAsia="仿宋_GB2312" w:cs="仿宋_GB2312"/>
          <w:color w:val="000000" w:themeColor="text1"/>
          <w:sz w:val="32"/>
          <w:szCs w:val="32"/>
          <w:lang w:eastAsia="zh-CN"/>
        </w:rPr>
        <w:t>万元</w:t>
      </w:r>
      <w:r>
        <w:rPr>
          <w:rFonts w:hint="eastAsia" w:ascii="仿宋_GB2312" w:hAnsi="仿宋_GB2312" w:eastAsia="仿宋_GB2312" w:cs="仿宋_GB2312"/>
          <w:color w:val="000000" w:themeColor="text1"/>
          <w:sz w:val="32"/>
          <w:szCs w:val="32"/>
        </w:rPr>
        <w:t>、奖金</w:t>
      </w:r>
      <w:r>
        <w:rPr>
          <w:rFonts w:hint="eastAsia" w:ascii="仿宋_GB2312" w:hAnsi="仿宋_GB2312" w:eastAsia="仿宋_GB2312" w:cs="仿宋_GB2312"/>
          <w:color w:val="000000" w:themeColor="text1"/>
          <w:sz w:val="32"/>
          <w:szCs w:val="32"/>
          <w:lang w:val="en-US" w:eastAsia="zh-CN"/>
        </w:rPr>
        <w:t>76.93</w:t>
      </w:r>
      <w:r>
        <w:rPr>
          <w:rFonts w:hint="eastAsia" w:ascii="仿宋_GB2312" w:hAnsi="仿宋_GB2312" w:eastAsia="仿宋_GB2312" w:cs="仿宋_GB2312"/>
          <w:color w:val="000000" w:themeColor="text1"/>
          <w:sz w:val="32"/>
          <w:szCs w:val="32"/>
          <w:lang w:eastAsia="zh-CN"/>
        </w:rPr>
        <w:t>万元</w:t>
      </w:r>
      <w:r>
        <w:rPr>
          <w:rFonts w:hint="eastAsia" w:ascii="仿宋_GB2312" w:hAnsi="仿宋_GB2312" w:eastAsia="仿宋_GB2312" w:cs="仿宋_GB2312"/>
          <w:color w:val="000000" w:themeColor="text1"/>
          <w:sz w:val="32"/>
          <w:szCs w:val="32"/>
        </w:rPr>
        <w:t>、</w:t>
      </w:r>
      <w:r>
        <w:rPr>
          <w:rFonts w:hint="eastAsia" w:ascii="仿宋_GB2312" w:hAnsi="仿宋_GB2312" w:eastAsia="仿宋_GB2312" w:cs="仿宋_GB2312"/>
          <w:color w:val="000000" w:themeColor="text1"/>
          <w:sz w:val="32"/>
          <w:szCs w:val="32"/>
          <w:lang w:eastAsia="zh-CN"/>
        </w:rPr>
        <w:t>绩效工资</w:t>
      </w:r>
      <w:r>
        <w:rPr>
          <w:rFonts w:hint="eastAsia" w:ascii="仿宋_GB2312" w:hAnsi="仿宋_GB2312" w:eastAsia="仿宋_GB2312" w:cs="仿宋_GB2312"/>
          <w:color w:val="000000" w:themeColor="text1"/>
          <w:sz w:val="32"/>
          <w:szCs w:val="32"/>
          <w:lang w:val="en-US" w:eastAsia="zh-CN"/>
        </w:rPr>
        <w:t>28.6万元、</w:t>
      </w:r>
      <w:r>
        <w:rPr>
          <w:rFonts w:hint="eastAsia" w:ascii="仿宋_GB2312" w:hAnsi="仿宋_GB2312" w:eastAsia="仿宋_GB2312" w:cs="仿宋_GB2312"/>
          <w:color w:val="000000" w:themeColor="text1"/>
          <w:sz w:val="32"/>
          <w:szCs w:val="32"/>
        </w:rPr>
        <w:t>机关事业单位基本养老保险缴费</w:t>
      </w:r>
      <w:r>
        <w:rPr>
          <w:rFonts w:hint="eastAsia" w:ascii="仿宋_GB2312" w:hAnsi="仿宋_GB2312" w:eastAsia="仿宋_GB2312" w:cs="仿宋_GB2312"/>
          <w:color w:val="000000" w:themeColor="text1"/>
          <w:sz w:val="32"/>
          <w:szCs w:val="32"/>
          <w:lang w:val="en-US" w:eastAsia="zh-CN"/>
        </w:rPr>
        <w:t>33.11</w:t>
      </w:r>
      <w:r>
        <w:rPr>
          <w:rFonts w:hint="eastAsia" w:ascii="仿宋_GB2312" w:hAnsi="仿宋_GB2312" w:eastAsia="仿宋_GB2312" w:cs="仿宋_GB2312"/>
          <w:color w:val="000000" w:themeColor="text1"/>
          <w:sz w:val="32"/>
          <w:szCs w:val="32"/>
          <w:lang w:eastAsia="zh-CN"/>
        </w:rPr>
        <w:t>万元</w:t>
      </w:r>
      <w:r>
        <w:rPr>
          <w:rFonts w:hint="eastAsia" w:ascii="仿宋_GB2312" w:hAnsi="仿宋_GB2312" w:eastAsia="仿宋_GB2312" w:cs="仿宋_GB2312"/>
          <w:color w:val="000000" w:themeColor="text1"/>
          <w:sz w:val="32"/>
          <w:szCs w:val="32"/>
        </w:rPr>
        <w:t>、职业年金缴费</w:t>
      </w:r>
      <w:r>
        <w:rPr>
          <w:rFonts w:hint="eastAsia" w:ascii="仿宋_GB2312" w:hAnsi="仿宋_GB2312" w:eastAsia="仿宋_GB2312" w:cs="仿宋_GB2312"/>
          <w:color w:val="000000" w:themeColor="text1"/>
          <w:sz w:val="32"/>
          <w:szCs w:val="32"/>
          <w:lang w:val="en-US" w:eastAsia="zh-CN"/>
        </w:rPr>
        <w:t>16.55</w:t>
      </w:r>
      <w:r>
        <w:rPr>
          <w:rFonts w:hint="eastAsia" w:ascii="仿宋_GB2312" w:hAnsi="仿宋_GB2312" w:eastAsia="仿宋_GB2312" w:cs="仿宋_GB2312"/>
          <w:color w:val="000000" w:themeColor="text1"/>
          <w:sz w:val="32"/>
          <w:szCs w:val="32"/>
          <w:lang w:eastAsia="zh-CN"/>
        </w:rPr>
        <w:t>万元</w:t>
      </w:r>
      <w:r>
        <w:rPr>
          <w:rFonts w:hint="eastAsia" w:ascii="仿宋_GB2312" w:hAnsi="仿宋_GB2312" w:eastAsia="仿宋_GB2312" w:cs="仿宋_GB2312"/>
          <w:color w:val="000000" w:themeColor="text1"/>
          <w:sz w:val="32"/>
          <w:szCs w:val="32"/>
        </w:rPr>
        <w:t>、其</w:t>
      </w:r>
      <w:r>
        <w:rPr>
          <w:rFonts w:hint="eastAsia" w:ascii="仿宋_GB2312" w:hAnsi="仿宋_GB2312" w:eastAsia="仿宋_GB2312" w:cs="仿宋_GB2312"/>
          <w:color w:val="000000"/>
          <w:sz w:val="32"/>
          <w:szCs w:val="32"/>
        </w:rPr>
        <w:t>他社会保障缴费</w:t>
      </w:r>
      <w:r>
        <w:rPr>
          <w:rFonts w:hint="eastAsia" w:ascii="仿宋_GB2312" w:hAnsi="仿宋_GB2312" w:eastAsia="仿宋_GB2312" w:cs="仿宋_GB2312"/>
          <w:color w:val="000000"/>
          <w:sz w:val="32"/>
          <w:szCs w:val="32"/>
          <w:lang w:val="en-US" w:eastAsia="zh-CN"/>
        </w:rPr>
        <w:t>1.23</w:t>
      </w:r>
      <w:r>
        <w:rPr>
          <w:rFonts w:hint="eastAsia" w:ascii="仿宋_GB2312" w:hAnsi="仿宋_GB2312" w:eastAsia="仿宋_GB2312" w:cs="仿宋_GB2312"/>
          <w:color w:val="000000"/>
          <w:sz w:val="32"/>
          <w:szCs w:val="32"/>
          <w:lang w:eastAsia="zh-CN"/>
        </w:rPr>
        <w:t>万元</w:t>
      </w:r>
      <w:r>
        <w:rPr>
          <w:rFonts w:hint="eastAsia" w:ascii="仿宋_GB2312" w:hAnsi="仿宋_GB2312" w:eastAsia="仿宋_GB2312" w:cs="仿宋_GB2312"/>
          <w:color w:val="000000"/>
          <w:sz w:val="32"/>
          <w:szCs w:val="32"/>
        </w:rPr>
        <w:t>、职工基本医疗保险缴</w:t>
      </w:r>
      <w:r>
        <w:rPr>
          <w:rFonts w:hint="eastAsia" w:ascii="仿宋_GB2312" w:hAnsi="仿宋_GB2312" w:eastAsia="仿宋_GB2312" w:cs="仿宋_GB2312"/>
          <w:color w:val="000000"/>
          <w:sz w:val="32"/>
          <w:szCs w:val="32"/>
          <w:lang w:val="en-US" w:eastAsia="zh-CN"/>
        </w:rPr>
        <w:t>15.73</w:t>
      </w:r>
      <w:r>
        <w:rPr>
          <w:rFonts w:hint="eastAsia" w:ascii="仿宋_GB2312" w:hAnsi="仿宋_GB2312" w:eastAsia="仿宋_GB2312" w:cs="仿宋_GB2312"/>
          <w:color w:val="000000"/>
          <w:sz w:val="32"/>
          <w:szCs w:val="32"/>
          <w:lang w:eastAsia="zh-CN"/>
        </w:rPr>
        <w:t>万元、公务员医疗补助缴费</w:t>
      </w:r>
      <w:r>
        <w:rPr>
          <w:rFonts w:hint="eastAsia" w:ascii="仿宋_GB2312" w:hAnsi="仿宋_GB2312" w:eastAsia="仿宋_GB2312" w:cs="仿宋_GB2312"/>
          <w:color w:val="000000"/>
          <w:sz w:val="32"/>
          <w:szCs w:val="32"/>
          <w:lang w:val="en-US" w:eastAsia="zh-CN"/>
        </w:rPr>
        <w:t>2.69</w:t>
      </w:r>
      <w:r>
        <w:rPr>
          <w:rFonts w:hint="eastAsia" w:ascii="仿宋_GB2312" w:hAnsi="仿宋_GB2312" w:eastAsia="仿宋_GB2312" w:cs="仿宋_GB2312"/>
          <w:color w:val="000000"/>
          <w:sz w:val="32"/>
          <w:szCs w:val="32"/>
          <w:lang w:eastAsia="zh-CN"/>
        </w:rPr>
        <w:t>万元、住房公积金</w:t>
      </w:r>
      <w:r>
        <w:rPr>
          <w:rFonts w:hint="eastAsia" w:ascii="仿宋_GB2312" w:hAnsi="仿宋_GB2312" w:eastAsia="仿宋_GB2312" w:cs="仿宋_GB2312"/>
          <w:color w:val="000000"/>
          <w:sz w:val="32"/>
          <w:szCs w:val="32"/>
          <w:lang w:val="en-US" w:eastAsia="zh-CN"/>
        </w:rPr>
        <w:t>27.69</w:t>
      </w:r>
      <w:r>
        <w:rPr>
          <w:rFonts w:hint="eastAsia" w:ascii="仿宋_GB2312" w:hAnsi="仿宋_GB2312" w:eastAsia="仿宋_GB2312" w:cs="仿宋_GB2312"/>
          <w:color w:val="000000"/>
          <w:sz w:val="32"/>
          <w:szCs w:val="32"/>
          <w:lang w:eastAsia="zh-CN"/>
        </w:rPr>
        <w:t>万元</w:t>
      </w:r>
      <w:r>
        <w:rPr>
          <w:rFonts w:hint="eastAsia" w:ascii="仿宋_GB2312" w:hAnsi="仿宋_GB2312" w:eastAsia="仿宋_GB2312" w:cs="仿宋_GB2312"/>
          <w:color w:val="000000"/>
          <w:sz w:val="32"/>
          <w:szCs w:val="32"/>
          <w:lang w:val="en-US" w:eastAsia="zh-CN"/>
        </w:rPr>
        <w:t>、医疗费2.2万元、生活补助6.35万元、医疗费补助0.16万元、奖励金0.01万元。</w:t>
      </w:r>
      <w:r>
        <w:rPr>
          <w:rFonts w:hint="eastAsia" w:ascii="仿宋_GB2312" w:hAnsi="仿宋_GB2312" w:eastAsia="仿宋_GB2312" w:cs="仿宋_GB2312"/>
          <w:color w:val="000000"/>
          <w:sz w:val="32"/>
          <w:szCs w:val="32"/>
        </w:rPr>
        <w:br w:type="textWrapping"/>
      </w:r>
      <w:r>
        <w:rPr>
          <w:rFonts w:hint="eastAsia" w:ascii="仿宋_GB2312" w:hAnsi="仿宋_GB2312" w:eastAsia="仿宋_GB2312" w:cs="仿宋_GB2312"/>
          <w:sz w:val="32"/>
          <w:szCs w:val="32"/>
        </w:rPr>
        <w:t>　　公用经费</w:t>
      </w:r>
      <w:r>
        <w:rPr>
          <w:rFonts w:hint="eastAsia" w:ascii="仿宋_GB2312" w:hAnsi="仿宋_GB2312" w:eastAsia="仿宋_GB2312" w:cs="仿宋_GB2312"/>
          <w:sz w:val="32"/>
          <w:szCs w:val="32"/>
          <w:lang w:val="en-US" w:eastAsia="zh-CN"/>
        </w:rPr>
        <w:t>125.47</w:t>
      </w:r>
      <w:r>
        <w:rPr>
          <w:rFonts w:hint="eastAsia" w:ascii="仿宋_GB2312" w:hAnsi="仿宋_GB2312" w:eastAsia="仿宋_GB2312" w:cs="仿宋_GB2312"/>
          <w:sz w:val="32"/>
          <w:szCs w:val="32"/>
        </w:rPr>
        <w:t>万元，</w:t>
      </w:r>
      <w:r>
        <w:rPr>
          <w:rFonts w:hint="eastAsia" w:ascii="仿宋_GB2312" w:hAnsi="仿宋_GB2312" w:eastAsia="仿宋_GB2312" w:cs="仿宋_GB2312"/>
          <w:color w:val="000000"/>
          <w:sz w:val="32"/>
          <w:szCs w:val="32"/>
        </w:rPr>
        <w:t>包括：办公费</w:t>
      </w:r>
      <w:r>
        <w:rPr>
          <w:rFonts w:hint="eastAsia" w:ascii="仿宋_GB2312" w:hAnsi="仿宋_GB2312" w:eastAsia="仿宋_GB2312" w:cs="仿宋_GB2312"/>
          <w:color w:val="000000"/>
          <w:sz w:val="32"/>
          <w:szCs w:val="32"/>
          <w:lang w:val="en-US" w:eastAsia="zh-CN"/>
        </w:rPr>
        <w:t>21.32</w:t>
      </w:r>
      <w:r>
        <w:rPr>
          <w:rFonts w:hint="eastAsia" w:ascii="仿宋_GB2312" w:hAnsi="仿宋_GB2312" w:eastAsia="仿宋_GB2312" w:cs="仿宋_GB2312"/>
          <w:color w:val="000000"/>
          <w:sz w:val="32"/>
          <w:szCs w:val="32"/>
          <w:lang w:eastAsia="zh-CN"/>
        </w:rPr>
        <w:t>万元、印刷费</w:t>
      </w:r>
      <w:r>
        <w:rPr>
          <w:rFonts w:hint="eastAsia" w:ascii="仿宋_GB2312" w:hAnsi="仿宋_GB2312" w:eastAsia="仿宋_GB2312" w:cs="仿宋_GB2312"/>
          <w:color w:val="000000"/>
          <w:sz w:val="32"/>
          <w:szCs w:val="32"/>
          <w:lang w:val="en-US" w:eastAsia="zh-CN"/>
        </w:rPr>
        <w:t>17.91万元</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手续费0.1万元、</w:t>
      </w:r>
      <w:r>
        <w:rPr>
          <w:rFonts w:hint="eastAsia" w:ascii="仿宋_GB2312" w:hAnsi="仿宋_GB2312" w:eastAsia="仿宋_GB2312" w:cs="仿宋_GB2312"/>
          <w:color w:val="000000"/>
          <w:sz w:val="32"/>
          <w:szCs w:val="32"/>
          <w:lang w:eastAsia="zh-CN"/>
        </w:rPr>
        <w:t>水费</w:t>
      </w:r>
      <w:r>
        <w:rPr>
          <w:rFonts w:hint="eastAsia" w:ascii="仿宋_GB2312" w:hAnsi="仿宋_GB2312" w:eastAsia="仿宋_GB2312" w:cs="仿宋_GB2312"/>
          <w:color w:val="000000"/>
          <w:sz w:val="32"/>
          <w:szCs w:val="32"/>
          <w:lang w:val="en-US" w:eastAsia="zh-CN"/>
        </w:rPr>
        <w:t>2.61万元</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电费21.7万元</w:t>
      </w:r>
      <w:r>
        <w:rPr>
          <w:rFonts w:hint="eastAsia" w:ascii="仿宋_GB2312" w:hAnsi="仿宋_GB2312" w:eastAsia="仿宋_GB2312" w:cs="仿宋_GB2312"/>
          <w:color w:val="000000"/>
          <w:sz w:val="32"/>
          <w:szCs w:val="32"/>
          <w:lang w:eastAsia="zh-CN"/>
        </w:rPr>
        <w:t>、邮电费</w:t>
      </w:r>
      <w:r>
        <w:rPr>
          <w:rFonts w:hint="eastAsia" w:ascii="仿宋_GB2312" w:hAnsi="仿宋_GB2312" w:eastAsia="仿宋_GB2312" w:cs="仿宋_GB2312"/>
          <w:color w:val="000000"/>
          <w:sz w:val="32"/>
          <w:szCs w:val="32"/>
          <w:lang w:val="en-US" w:eastAsia="zh-CN"/>
        </w:rPr>
        <w:t>16.68</w:t>
      </w:r>
      <w:r>
        <w:rPr>
          <w:rFonts w:hint="eastAsia" w:ascii="仿宋_GB2312" w:hAnsi="仿宋_GB2312" w:eastAsia="仿宋_GB2312" w:cs="仿宋_GB2312"/>
          <w:color w:val="000000"/>
          <w:sz w:val="32"/>
          <w:szCs w:val="32"/>
          <w:lang w:eastAsia="zh-CN"/>
        </w:rPr>
        <w:t>万元、取暖费</w:t>
      </w:r>
      <w:r>
        <w:rPr>
          <w:rFonts w:hint="eastAsia" w:ascii="仿宋_GB2312" w:hAnsi="仿宋_GB2312" w:eastAsia="仿宋_GB2312" w:cs="仿宋_GB2312"/>
          <w:color w:val="000000"/>
          <w:sz w:val="32"/>
          <w:szCs w:val="32"/>
          <w:lang w:val="en-US" w:eastAsia="zh-CN"/>
        </w:rPr>
        <w:t>5.99万元</w:t>
      </w:r>
      <w:r>
        <w:rPr>
          <w:rFonts w:hint="eastAsia" w:ascii="仿宋_GB2312" w:hAnsi="仿宋_GB2312" w:eastAsia="仿宋_GB2312" w:cs="仿宋_GB2312"/>
          <w:color w:val="000000"/>
          <w:sz w:val="32"/>
          <w:szCs w:val="32"/>
          <w:lang w:eastAsia="zh-CN"/>
        </w:rPr>
        <w:t>、差旅费</w:t>
      </w:r>
      <w:r>
        <w:rPr>
          <w:rFonts w:hint="eastAsia" w:ascii="仿宋_GB2312" w:hAnsi="仿宋_GB2312" w:eastAsia="仿宋_GB2312" w:cs="仿宋_GB2312"/>
          <w:color w:val="000000"/>
          <w:sz w:val="32"/>
          <w:szCs w:val="32"/>
          <w:lang w:val="en-US" w:eastAsia="zh-CN"/>
        </w:rPr>
        <w:t>8.91</w:t>
      </w:r>
      <w:r>
        <w:rPr>
          <w:rFonts w:hint="eastAsia" w:ascii="仿宋_GB2312" w:hAnsi="仿宋_GB2312" w:eastAsia="仿宋_GB2312" w:cs="仿宋_GB2312"/>
          <w:color w:val="000000"/>
          <w:sz w:val="32"/>
          <w:szCs w:val="32"/>
          <w:lang w:eastAsia="zh-CN"/>
        </w:rPr>
        <w:t>万元、维修维护</w:t>
      </w:r>
      <w:r>
        <w:rPr>
          <w:rFonts w:hint="eastAsia" w:ascii="仿宋_GB2312" w:hAnsi="仿宋_GB2312" w:eastAsia="仿宋_GB2312" w:cs="仿宋_GB2312"/>
          <w:color w:val="000000"/>
          <w:sz w:val="32"/>
          <w:szCs w:val="32"/>
          <w:lang w:val="en-US" w:eastAsia="zh-CN"/>
        </w:rPr>
        <w:t>2.09万元</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培训费19.64万元、劳务费10.21万元</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委托业务费0.6万元、</w:t>
      </w:r>
      <w:r>
        <w:rPr>
          <w:rFonts w:hint="eastAsia" w:ascii="仿宋_GB2312" w:hAnsi="仿宋_GB2312" w:eastAsia="仿宋_GB2312" w:cs="仿宋_GB2312"/>
          <w:color w:val="000000"/>
          <w:sz w:val="32"/>
          <w:szCs w:val="32"/>
          <w:lang w:eastAsia="zh-CN"/>
        </w:rPr>
        <w:t>工会经费</w:t>
      </w:r>
      <w:r>
        <w:rPr>
          <w:rFonts w:hint="eastAsia" w:ascii="仿宋_GB2312" w:hAnsi="仿宋_GB2312" w:eastAsia="仿宋_GB2312" w:cs="仿宋_GB2312"/>
          <w:color w:val="000000"/>
          <w:sz w:val="32"/>
          <w:szCs w:val="32"/>
          <w:lang w:val="en-US" w:eastAsia="zh-CN"/>
        </w:rPr>
        <w:t>2.36万元</w:t>
      </w:r>
      <w:r>
        <w:rPr>
          <w:rFonts w:hint="eastAsia" w:ascii="仿宋_GB2312" w:hAnsi="仿宋_GB2312" w:eastAsia="仿宋_GB2312" w:cs="仿宋_GB2312"/>
          <w:color w:val="000000"/>
          <w:sz w:val="32"/>
          <w:szCs w:val="32"/>
          <w:lang w:eastAsia="zh-CN"/>
        </w:rPr>
        <w:t>、</w:t>
      </w:r>
      <w:r>
        <w:rPr>
          <w:rFonts w:hint="eastAsia" w:ascii="仿宋_GB2312" w:hAnsi="仿宋_GB2312" w:eastAsia="仿宋_GB2312" w:cs="仿宋_GB2312"/>
          <w:color w:val="000000"/>
          <w:sz w:val="32"/>
          <w:szCs w:val="32"/>
          <w:lang w:val="en-US" w:eastAsia="zh-CN"/>
        </w:rPr>
        <w:t>福利费2.91万元、</w:t>
      </w:r>
      <w:r>
        <w:rPr>
          <w:rFonts w:hint="eastAsia" w:ascii="仿宋_GB2312" w:hAnsi="仿宋_GB2312" w:eastAsia="仿宋_GB2312" w:cs="仿宋_GB2312"/>
          <w:color w:val="000000"/>
          <w:sz w:val="32"/>
          <w:szCs w:val="32"/>
          <w:lang w:eastAsia="zh-CN"/>
        </w:rPr>
        <w:t>公务用车运行维护费</w:t>
      </w:r>
      <w:r>
        <w:rPr>
          <w:rFonts w:hint="eastAsia" w:ascii="仿宋_GB2312" w:hAnsi="仿宋_GB2312" w:eastAsia="仿宋_GB2312" w:cs="仿宋_GB2312"/>
          <w:color w:val="000000"/>
          <w:sz w:val="32"/>
          <w:szCs w:val="32"/>
          <w:lang w:val="en-US" w:eastAsia="zh-CN"/>
        </w:rPr>
        <w:t>5.43</w:t>
      </w:r>
      <w:r>
        <w:rPr>
          <w:rFonts w:hint="eastAsia" w:ascii="仿宋_GB2312" w:hAnsi="仿宋_GB2312" w:eastAsia="仿宋_GB2312" w:cs="仿宋_GB2312"/>
          <w:color w:val="000000"/>
          <w:sz w:val="32"/>
          <w:szCs w:val="32"/>
          <w:lang w:eastAsia="zh-CN"/>
        </w:rPr>
        <w:t>万元、</w:t>
      </w:r>
      <w:r>
        <w:rPr>
          <w:rFonts w:hint="eastAsia" w:ascii="仿宋_GB2312" w:hAnsi="仿宋_GB2312" w:eastAsia="仿宋_GB2312" w:cs="仿宋_GB2312"/>
          <w:color w:val="000000"/>
          <w:sz w:val="32"/>
          <w:szCs w:val="32"/>
          <w:lang w:val="en-US" w:eastAsia="zh-CN"/>
        </w:rPr>
        <w:t>其他商品和服务支出3.13万元、办公设备购置5.83万元</w:t>
      </w:r>
      <w:r>
        <w:rPr>
          <w:rFonts w:hint="eastAsia" w:ascii="仿宋_GB2312" w:hAnsi="仿宋_GB2312" w:eastAsia="仿宋_GB2312" w:cs="仿宋_GB2312"/>
          <w:color w:val="000000"/>
          <w:sz w:val="32"/>
          <w:szCs w:val="32"/>
          <w:lang w:eastAsia="zh-CN"/>
        </w:rPr>
        <w:t>。</w:t>
      </w:r>
    </w:p>
    <w:p w14:paraId="1CFF34C5">
      <w:pPr>
        <w:pageBreakBefore w:val="0"/>
        <w:kinsoku/>
        <w:wordWrap/>
        <w:overflowPunct/>
        <w:topLinePunct w:val="0"/>
        <w:bidi w:val="0"/>
        <w:spacing w:beforeAutospacing="0" w:afterAutospacing="0" w:line="576" w:lineRule="exact"/>
        <w:ind w:left="0" w:leftChars="0" w:right="0" w:firstLine="640" w:firstLineChars="200"/>
        <w:jc w:val="both"/>
        <w:outlineLvl w:val="1"/>
        <w:rPr>
          <w:rStyle w:val="23"/>
          <w:rFonts w:ascii="黑体" w:eastAsia="黑体"/>
          <w:b w:val="0"/>
        </w:rPr>
      </w:pPr>
      <w:bookmarkStart w:id="49" w:name="_Toc15377215"/>
      <w:bookmarkStart w:id="50" w:name="_Toc15396609"/>
      <w:bookmarkStart w:id="51" w:name="_Toc4299"/>
      <w:r>
        <w:rPr>
          <w:rFonts w:hint="eastAsia" w:ascii="黑体" w:eastAsia="黑体"/>
          <w:sz w:val="32"/>
          <w:szCs w:val="32"/>
        </w:rPr>
        <w:t>七、</w:t>
      </w:r>
      <w:r>
        <w:rPr>
          <w:rStyle w:val="23"/>
          <w:rFonts w:hint="eastAsia" w:ascii="黑体" w:eastAsia="黑体"/>
          <w:b w:val="0"/>
        </w:rPr>
        <w:t>财政拨款</w:t>
      </w:r>
      <w:r>
        <w:rPr>
          <w:rStyle w:val="23"/>
          <w:rFonts w:hint="eastAsia" w:ascii="黑体" w:eastAsia="黑体"/>
        </w:rPr>
        <w:t>“</w:t>
      </w:r>
      <w:r>
        <w:rPr>
          <w:rStyle w:val="23"/>
          <w:rFonts w:hint="eastAsia" w:ascii="黑体" w:eastAsia="黑体"/>
          <w:b w:val="0"/>
        </w:rPr>
        <w:t>三公”经费支出决算情况说明</w:t>
      </w:r>
      <w:bookmarkEnd w:id="49"/>
      <w:bookmarkEnd w:id="50"/>
      <w:bookmarkEnd w:id="51"/>
    </w:p>
    <w:p w14:paraId="0931880E">
      <w:pPr>
        <w:pageBreakBefore w:val="0"/>
        <w:kinsoku/>
        <w:wordWrap/>
        <w:overflowPunct/>
        <w:topLinePunct w:val="0"/>
        <w:bidi w:val="0"/>
        <w:spacing w:beforeAutospacing="0" w:afterAutospacing="0" w:line="576" w:lineRule="exact"/>
        <w:ind w:left="0" w:leftChars="0" w:right="0" w:firstLine="643" w:firstLineChars="200"/>
        <w:jc w:val="both"/>
        <w:outlineLvl w:val="2"/>
        <w:rPr>
          <w:rFonts w:hint="eastAsia" w:ascii="仿宋_GB2312" w:hAnsi="仿宋_GB2312" w:eastAsia="仿宋_GB2312" w:cs="仿宋_GB2312"/>
          <w:b/>
          <w:sz w:val="32"/>
          <w:szCs w:val="32"/>
        </w:rPr>
      </w:pPr>
      <w:bookmarkStart w:id="52" w:name="_Toc15377216"/>
      <w:r>
        <w:rPr>
          <w:rFonts w:hint="eastAsia" w:ascii="仿宋_GB2312" w:hAnsi="仿宋_GB2312" w:eastAsia="仿宋_GB2312" w:cs="仿宋_GB2312"/>
          <w:b/>
          <w:sz w:val="32"/>
          <w:szCs w:val="32"/>
        </w:rPr>
        <w:t>（一）“三公”经费财政拨款支出决算总体情况说明</w:t>
      </w:r>
      <w:bookmarkEnd w:id="52"/>
    </w:p>
    <w:p w14:paraId="5ADAC26A">
      <w:pPr>
        <w:pageBreakBefore w:val="0"/>
        <w:kinsoku/>
        <w:wordWrap/>
        <w:overflowPunct/>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年“三公”经费财政拨款支出决算为</w:t>
      </w:r>
      <w:r>
        <w:rPr>
          <w:rFonts w:hint="eastAsia" w:ascii="仿宋_GB2312" w:hAnsi="仿宋_GB2312" w:eastAsia="仿宋_GB2312" w:cs="仿宋_GB2312"/>
          <w:sz w:val="32"/>
          <w:szCs w:val="32"/>
          <w:lang w:val="en-US" w:eastAsia="zh-CN"/>
        </w:rPr>
        <w:t>5.43</w:t>
      </w:r>
      <w:r>
        <w:rPr>
          <w:rFonts w:hint="eastAsia" w:ascii="仿宋_GB2312" w:hAnsi="仿宋_GB2312" w:eastAsia="仿宋_GB2312" w:cs="仿宋_GB2312"/>
          <w:sz w:val="32"/>
          <w:szCs w:val="32"/>
        </w:rPr>
        <w:t>万元，完成预算</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%，较上年</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lang w:val="en-US" w:eastAsia="zh-CN"/>
        </w:rPr>
        <w:t>5.98</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下降</w:t>
      </w:r>
      <w:r>
        <w:rPr>
          <w:rFonts w:hint="eastAsia" w:ascii="仿宋_GB2312" w:hAnsi="仿宋_GB2312" w:eastAsia="仿宋_GB2312" w:cs="仿宋_GB2312"/>
          <w:sz w:val="32"/>
          <w:szCs w:val="32"/>
          <w:lang w:val="en-US" w:eastAsia="zh-CN"/>
        </w:rPr>
        <w:t>52.43%</w:t>
      </w:r>
      <w:r>
        <w:rPr>
          <w:rFonts w:hint="eastAsia" w:ascii="仿宋_GB2312" w:hAnsi="仿宋_GB2312" w:eastAsia="仿宋_GB2312" w:cs="仿宋_GB2312"/>
          <w:sz w:val="32"/>
          <w:szCs w:val="32"/>
        </w:rPr>
        <w:t>。</w:t>
      </w:r>
    </w:p>
    <w:p w14:paraId="70CB2D1A">
      <w:pPr>
        <w:pageBreakBefore w:val="0"/>
        <w:kinsoku/>
        <w:wordWrap/>
        <w:overflowPunct/>
        <w:topLinePunct w:val="0"/>
        <w:bidi w:val="0"/>
        <w:spacing w:beforeAutospacing="0" w:afterAutospacing="0" w:line="576" w:lineRule="exact"/>
        <w:ind w:left="0" w:leftChars="0" w:right="0" w:firstLine="643" w:firstLineChars="200"/>
        <w:jc w:val="both"/>
        <w:outlineLvl w:val="2"/>
        <w:rPr>
          <w:rFonts w:hint="eastAsia" w:ascii="仿宋_GB2312" w:hAnsi="仿宋_GB2312" w:eastAsia="仿宋_GB2312" w:cs="仿宋_GB2312"/>
          <w:b/>
          <w:sz w:val="32"/>
          <w:szCs w:val="32"/>
        </w:rPr>
      </w:pPr>
      <w:bookmarkStart w:id="53" w:name="_Toc15377217"/>
      <w:r>
        <w:rPr>
          <w:rFonts w:hint="eastAsia" w:ascii="仿宋_GB2312" w:hAnsi="仿宋_GB2312" w:eastAsia="仿宋_GB2312" w:cs="仿宋_GB2312"/>
          <w:b/>
          <w:sz w:val="32"/>
          <w:szCs w:val="32"/>
        </w:rPr>
        <w:t>（二）“三公”经费财政拨款支出决算具体情况说明</w:t>
      </w:r>
      <w:bookmarkEnd w:id="53"/>
    </w:p>
    <w:p w14:paraId="34B28B23">
      <w:pPr>
        <w:pageBreakBefore w:val="0"/>
        <w:kinsoku/>
        <w:wordWrap/>
        <w:overflowPunct/>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年“三公”经费财政拨款支出决算中，因公出国（境）费支出决算</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%；公务用车购置及运行维护费支出决算</w:t>
      </w:r>
      <w:r>
        <w:rPr>
          <w:rFonts w:hint="eastAsia" w:ascii="仿宋_GB2312" w:hAnsi="仿宋_GB2312" w:eastAsia="仿宋_GB2312" w:cs="仿宋_GB2312"/>
          <w:sz w:val="32"/>
          <w:szCs w:val="32"/>
          <w:lang w:val="en-US" w:eastAsia="zh-CN"/>
        </w:rPr>
        <w:t>5.43</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%；公务接待费支出决算</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万元，占</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%。具体情况如下：</w:t>
      </w:r>
    </w:p>
    <w:p w14:paraId="1B6709F9">
      <w:pPr>
        <w:pageBreakBefore w:val="0"/>
        <w:kinsoku/>
        <w:wordWrap/>
        <w:overflowPunct/>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sz w:val="32"/>
          <w:szCs w:val="32"/>
        </w:rPr>
      </w:pPr>
    </w:p>
    <w:p w14:paraId="2BA4EAC9">
      <w:pPr>
        <w:pageBreakBefore w:val="0"/>
        <w:kinsoku/>
        <w:wordWrap/>
        <w:overflowPunct/>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sz w:val="32"/>
          <w:szCs w:val="32"/>
        </w:rPr>
      </w:pPr>
    </w:p>
    <w:p w14:paraId="51B6C1D7">
      <w:pPr>
        <w:pageBreakBefore w:val="0"/>
        <w:kinsoku/>
        <w:wordWrap/>
        <w:overflowPunct/>
        <w:topLinePunct w:val="0"/>
        <w:bidi w:val="0"/>
        <w:spacing w:beforeAutospacing="0" w:afterAutospacing="0" w:line="576" w:lineRule="exact"/>
        <w:ind w:left="0" w:leftChars="0" w:right="0" w:firstLine="640" w:firstLineChars="200"/>
        <w:jc w:val="both"/>
        <w:rPr>
          <w:rFonts w:hint="eastAsia" w:ascii="仿宋" w:eastAsia="仿宋"/>
          <w:sz w:val="32"/>
          <w:szCs w:val="32"/>
        </w:rPr>
      </w:pPr>
      <w:r>
        <w:rPr>
          <w:rFonts w:hint="eastAsia" w:ascii="仿宋_GB2312" w:hAnsi="仿宋_GB2312" w:eastAsia="仿宋_GB2312" w:cs="仿宋_GB2312"/>
          <w:sz w:val="32"/>
          <w:szCs w:val="32"/>
        </w:rPr>
        <w:t>（图7：“三公”经费财政拨款支出结构）（饼状</w:t>
      </w:r>
      <w:r>
        <w:rPr>
          <w:rFonts w:hint="eastAsia" w:ascii="仿宋" w:eastAsia="仿宋"/>
          <w:sz w:val="32"/>
          <w:szCs w:val="32"/>
        </w:rPr>
        <w:t>图）</w:t>
      </w:r>
    </w:p>
    <w:p w14:paraId="5252BF23">
      <w:pPr>
        <w:pStyle w:val="10"/>
        <w:pageBreakBefore w:val="0"/>
        <w:kinsoku/>
        <w:wordWrap/>
        <w:overflowPunct/>
        <w:topLinePunct w:val="0"/>
        <w:bidi w:val="0"/>
        <w:spacing w:beforeAutospacing="0" w:afterAutospacing="0" w:line="576" w:lineRule="exact"/>
        <w:ind w:left="0" w:leftChars="0" w:right="0" w:firstLine="640" w:firstLineChars="200"/>
        <w:jc w:val="both"/>
        <w:rPr>
          <w:rFonts w:ascii="仿宋_GB2312" w:eastAsia="仿宋_GB2312"/>
          <w:b/>
          <w:sz w:val="32"/>
          <w:szCs w:val="32"/>
        </w:rPr>
      </w:pPr>
      <w:r>
        <w:rPr>
          <w:rFonts w:hint="eastAsia" w:ascii="仿宋" w:eastAsia="仿宋"/>
          <w:sz w:val="32"/>
          <w:szCs w:val="32"/>
          <w:lang w:eastAsia="zh-CN"/>
        </w:rPr>
        <w:drawing>
          <wp:anchor distT="0" distB="0" distL="114300" distR="114300" simplePos="0" relativeHeight="251665408" behindDoc="0" locked="0" layoutInCell="1" allowOverlap="1">
            <wp:simplePos x="0" y="0"/>
            <wp:positionH relativeFrom="column">
              <wp:posOffset>-140970</wp:posOffset>
            </wp:positionH>
            <wp:positionV relativeFrom="paragraph">
              <wp:posOffset>305435</wp:posOffset>
            </wp:positionV>
            <wp:extent cx="5080000" cy="2381885"/>
            <wp:effectExtent l="5080" t="4445" r="20320" b="13970"/>
            <wp:wrapSquare wrapText="bothSides"/>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0D7B8715">
      <w:pPr>
        <w:pageBreakBefore w:val="0"/>
        <w:kinsoku/>
        <w:wordWrap/>
        <w:overflowPunct/>
        <w:topLinePunct w:val="0"/>
        <w:bidi w:val="0"/>
        <w:spacing w:beforeAutospacing="0" w:afterAutospacing="0" w:line="576" w:lineRule="exact"/>
        <w:ind w:left="0" w:leftChars="0" w:right="0" w:firstLine="643" w:firstLineChars="200"/>
        <w:jc w:val="both"/>
        <w:rPr>
          <w:rFonts w:hint="eastAsia" w:ascii="仿宋_GB2312" w:hAnsi="仿宋_GB2312" w:eastAsia="仿宋_GB2312" w:cs="仿宋_GB2312"/>
          <w:b/>
          <w:sz w:val="32"/>
          <w:szCs w:val="32"/>
        </w:rPr>
      </w:pPr>
      <w:r>
        <w:rPr>
          <w:rFonts w:hint="eastAsia" w:ascii="仿宋_GB2312" w:hAnsi="仿宋_GB2312" w:eastAsia="仿宋_GB2312" w:cs="仿宋_GB2312"/>
          <w:b/>
          <w:sz w:val="32"/>
          <w:szCs w:val="32"/>
        </w:rPr>
        <w:t>1.因公出国（境）经费支出</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万元，</w:t>
      </w:r>
      <w:r>
        <w:rPr>
          <w:rStyle w:val="20"/>
          <w:rFonts w:hint="eastAsia" w:ascii="仿宋_GB2312" w:hAnsi="仿宋_GB2312" w:eastAsia="仿宋_GB2312" w:cs="仿宋_GB2312"/>
          <w:b w:val="0"/>
          <w:bCs/>
          <w:sz w:val="32"/>
          <w:szCs w:val="32"/>
        </w:rPr>
        <w:t>完成预算</w:t>
      </w:r>
      <w:r>
        <w:rPr>
          <w:rStyle w:val="20"/>
          <w:rFonts w:hint="eastAsia" w:ascii="仿宋_GB2312" w:hAnsi="仿宋_GB2312" w:eastAsia="仿宋_GB2312" w:cs="仿宋_GB2312"/>
          <w:b w:val="0"/>
          <w:bCs/>
          <w:sz w:val="32"/>
          <w:szCs w:val="32"/>
          <w:lang w:val="en-US" w:eastAsia="zh-CN"/>
        </w:rPr>
        <w:t>100</w:t>
      </w:r>
      <w:r>
        <w:rPr>
          <w:rStyle w:val="20"/>
          <w:rFonts w:hint="eastAsia" w:ascii="仿宋_GB2312" w:hAnsi="仿宋_GB2312" w:eastAsia="仿宋_GB2312" w:cs="仿宋_GB2312"/>
          <w:b w:val="0"/>
          <w:bCs/>
          <w:sz w:val="32"/>
          <w:szCs w:val="32"/>
        </w:rPr>
        <w:t>%。</w:t>
      </w:r>
      <w:r>
        <w:rPr>
          <w:rFonts w:hint="eastAsia" w:ascii="仿宋_GB2312" w:hAnsi="仿宋_GB2312" w:eastAsia="仿宋_GB2312" w:cs="仿宋_GB2312"/>
          <w:sz w:val="32"/>
          <w:szCs w:val="32"/>
        </w:rPr>
        <w:t>全年安排因公出国（境）团组</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次，出国（境）</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人。因公出国（境）支出决算</w:t>
      </w:r>
      <w:r>
        <w:rPr>
          <w:rFonts w:hint="eastAsia" w:ascii="仿宋_GB2312" w:hAnsi="仿宋_GB2312" w:eastAsia="仿宋_GB2312" w:cs="仿宋_GB2312"/>
          <w:sz w:val="32"/>
          <w:szCs w:val="32"/>
          <w:lang w:eastAsia="zh-CN"/>
        </w:rPr>
        <w:t>与上年持平，主要原因是两年均未有出国安排。</w:t>
      </w:r>
    </w:p>
    <w:p w14:paraId="15C6729E">
      <w:pPr>
        <w:pageBreakBefore w:val="0"/>
        <w:kinsoku/>
        <w:wordWrap/>
        <w:overflowPunct/>
        <w:topLinePunct w:val="0"/>
        <w:bidi w:val="0"/>
        <w:spacing w:beforeAutospacing="0" w:afterAutospacing="0" w:line="576" w:lineRule="exact"/>
        <w:ind w:left="0" w:leftChars="0" w:right="0" w:firstLine="643" w:firstLineChars="200"/>
        <w:jc w:val="both"/>
        <w:rPr>
          <w:rFonts w:hint="default" w:ascii="仿宋_GB2312" w:hAnsi="仿宋_GB2312" w:eastAsia="仿宋_GB2312" w:cs="仿宋_GB2312"/>
          <w:b/>
          <w:sz w:val="32"/>
          <w:szCs w:val="32"/>
          <w:lang w:val="en-US" w:eastAsia="zh-CN"/>
        </w:rPr>
      </w:pPr>
      <w:r>
        <w:rPr>
          <w:rFonts w:hint="eastAsia" w:ascii="仿宋_GB2312" w:hAnsi="仿宋_GB2312" w:eastAsia="仿宋_GB2312" w:cs="仿宋_GB2312"/>
          <w:b/>
          <w:sz w:val="32"/>
          <w:szCs w:val="32"/>
        </w:rPr>
        <w:t>2.公务用车购置及运行维护费支出</w:t>
      </w:r>
      <w:r>
        <w:rPr>
          <w:rFonts w:hint="eastAsia" w:ascii="仿宋_GB2312" w:hAnsi="仿宋_GB2312" w:eastAsia="仿宋_GB2312" w:cs="仿宋_GB2312"/>
          <w:b/>
          <w:sz w:val="32"/>
          <w:szCs w:val="32"/>
          <w:lang w:val="en-US" w:eastAsia="zh-CN"/>
        </w:rPr>
        <w:t>5</w:t>
      </w:r>
      <w:r>
        <w:rPr>
          <w:rFonts w:hint="eastAsia" w:ascii="仿宋_GB2312" w:hAnsi="仿宋_GB2312" w:eastAsia="仿宋_GB2312" w:cs="仿宋_GB2312"/>
          <w:sz w:val="32"/>
          <w:szCs w:val="32"/>
          <w:lang w:val="en-US" w:eastAsia="zh-CN"/>
        </w:rPr>
        <w:t xml:space="preserve">.43 </w:t>
      </w:r>
      <w:r>
        <w:rPr>
          <w:rFonts w:hint="eastAsia" w:ascii="仿宋_GB2312" w:hAnsi="仿宋_GB2312" w:eastAsia="仿宋_GB2312" w:cs="仿宋_GB2312"/>
          <w:sz w:val="32"/>
          <w:szCs w:val="32"/>
        </w:rPr>
        <w:t>万元,</w:t>
      </w:r>
      <w:r>
        <w:rPr>
          <w:rStyle w:val="20"/>
          <w:rFonts w:hint="eastAsia" w:ascii="仿宋_GB2312" w:hAnsi="仿宋_GB2312" w:eastAsia="仿宋_GB2312" w:cs="仿宋_GB2312"/>
          <w:b w:val="0"/>
          <w:bCs/>
          <w:sz w:val="32"/>
          <w:szCs w:val="32"/>
        </w:rPr>
        <w:t>完成预算</w:t>
      </w:r>
      <w:r>
        <w:rPr>
          <w:rStyle w:val="20"/>
          <w:rFonts w:hint="eastAsia" w:ascii="仿宋_GB2312" w:hAnsi="仿宋_GB2312" w:eastAsia="仿宋_GB2312" w:cs="仿宋_GB2312"/>
          <w:b w:val="0"/>
          <w:bCs/>
          <w:sz w:val="32"/>
          <w:szCs w:val="32"/>
          <w:lang w:val="en-US" w:eastAsia="zh-CN"/>
        </w:rPr>
        <w:t>100</w:t>
      </w:r>
      <w:r>
        <w:rPr>
          <w:rStyle w:val="20"/>
          <w:rFonts w:hint="eastAsia" w:ascii="仿宋_GB2312" w:hAnsi="仿宋_GB2312" w:eastAsia="仿宋_GB2312" w:cs="仿宋_GB2312"/>
          <w:b w:val="0"/>
          <w:bCs/>
          <w:sz w:val="32"/>
          <w:szCs w:val="32"/>
        </w:rPr>
        <w:t>%。</w:t>
      </w:r>
      <w:r>
        <w:rPr>
          <w:rFonts w:hint="eastAsia" w:ascii="仿宋_GB2312" w:hAnsi="仿宋_GB2312" w:eastAsia="仿宋_GB2312" w:cs="仿宋_GB2312"/>
          <w:sz w:val="32"/>
          <w:szCs w:val="32"/>
        </w:rPr>
        <w:t>公务用车购置及运行维护费支出决算较上年</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lang w:val="en-US" w:eastAsia="zh-CN"/>
        </w:rPr>
        <w:t>11.41</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下降</w:t>
      </w:r>
      <w:r>
        <w:rPr>
          <w:rFonts w:hint="eastAsia" w:ascii="仿宋_GB2312" w:hAnsi="仿宋_GB2312" w:eastAsia="仿宋_GB2312" w:cs="仿宋_GB2312"/>
          <w:sz w:val="32"/>
          <w:szCs w:val="32"/>
          <w:lang w:val="en-US" w:eastAsia="zh-CN"/>
        </w:rPr>
        <w:t>52.43%</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下降</w:t>
      </w:r>
      <w:r>
        <w:rPr>
          <w:rFonts w:hint="eastAsia" w:ascii="仿宋_GB2312" w:hAnsi="仿宋_GB2312" w:eastAsia="仿宋_GB2312" w:cs="仿宋_GB2312"/>
          <w:sz w:val="32"/>
          <w:szCs w:val="32"/>
        </w:rPr>
        <w:t>主要原因是</w:t>
      </w:r>
      <w:r>
        <w:rPr>
          <w:rFonts w:hint="eastAsia" w:ascii="仿宋_GB2312" w:hAnsi="仿宋_GB2312" w:eastAsia="仿宋_GB2312" w:cs="仿宋_GB2312"/>
          <w:sz w:val="32"/>
          <w:szCs w:val="32"/>
          <w:lang w:val="en-US" w:eastAsia="zh-CN"/>
        </w:rPr>
        <w:t>2024年</w:t>
      </w:r>
      <w:r>
        <w:rPr>
          <w:rFonts w:hint="eastAsia" w:ascii="仿宋_GB2312" w:hAnsi="仿宋_GB2312" w:eastAsia="仿宋_GB2312" w:cs="仿宋_GB2312"/>
          <w:kern w:val="2"/>
          <w:sz w:val="32"/>
          <w:szCs w:val="32"/>
          <w:lang w:val="en-US" w:eastAsia="zh-CN" w:bidi="ar-SA"/>
        </w:rPr>
        <w:t>由于发动机等问题大修，产生大修费用5.35万元，车内装饰0.91万元，2025年车辆无该费用。</w:t>
      </w:r>
    </w:p>
    <w:p w14:paraId="3EC90A5D">
      <w:pPr>
        <w:pageBreakBefore w:val="0"/>
        <w:kinsoku/>
        <w:wordWrap/>
        <w:overflowPunct/>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b/>
          <w:sz w:val="32"/>
          <w:szCs w:val="32"/>
        </w:rPr>
      </w:pPr>
      <w:r>
        <w:rPr>
          <w:rFonts w:hint="eastAsia" w:ascii="仿宋_GB2312" w:hAnsi="仿宋_GB2312" w:eastAsia="仿宋_GB2312" w:cs="仿宋_GB2312"/>
          <w:sz w:val="32"/>
          <w:szCs w:val="32"/>
        </w:rPr>
        <w:t>其中：</w:t>
      </w:r>
      <w:r>
        <w:rPr>
          <w:rFonts w:hint="eastAsia" w:ascii="仿宋_GB2312" w:hAnsi="仿宋_GB2312" w:eastAsia="仿宋_GB2312" w:cs="仿宋_GB2312"/>
          <w:b/>
          <w:sz w:val="32"/>
          <w:szCs w:val="32"/>
        </w:rPr>
        <w:t>公务用车购置支出</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原因为</w:t>
      </w:r>
      <w:r>
        <w:rPr>
          <w:rFonts w:hint="eastAsia" w:ascii="仿宋_GB2312" w:hAnsi="仿宋_GB2312" w:eastAsia="仿宋_GB2312" w:cs="仿宋_GB2312"/>
          <w:sz w:val="32"/>
          <w:szCs w:val="32"/>
        </w:rPr>
        <w:t>全年</w:t>
      </w:r>
      <w:r>
        <w:rPr>
          <w:rFonts w:hint="eastAsia" w:ascii="仿宋_GB2312" w:hAnsi="仿宋_GB2312" w:eastAsia="仿宋_GB2312" w:cs="仿宋_GB2312"/>
          <w:sz w:val="32"/>
          <w:szCs w:val="32"/>
          <w:lang w:eastAsia="zh-CN"/>
        </w:rPr>
        <w:t>未</w:t>
      </w:r>
      <w:r>
        <w:rPr>
          <w:rFonts w:hint="eastAsia" w:ascii="仿宋_GB2312" w:hAnsi="仿宋_GB2312" w:eastAsia="仿宋_GB2312" w:cs="仿宋_GB2312"/>
          <w:sz w:val="32"/>
          <w:szCs w:val="32"/>
        </w:rPr>
        <w:t>更新购置公务用车。</w:t>
      </w:r>
    </w:p>
    <w:p w14:paraId="7FEC1262">
      <w:pPr>
        <w:pageBreakBefore w:val="0"/>
        <w:kinsoku/>
        <w:wordWrap/>
        <w:overflowPunct/>
        <w:topLinePunct w:val="0"/>
        <w:bidi w:val="0"/>
        <w:spacing w:beforeAutospacing="0" w:afterAutospacing="0" w:line="576" w:lineRule="exact"/>
        <w:ind w:left="0" w:leftChars="0" w:right="0" w:firstLine="643" w:firstLineChars="200"/>
        <w:jc w:val="both"/>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b/>
          <w:sz w:val="32"/>
          <w:szCs w:val="32"/>
        </w:rPr>
        <w:t>公务用车运行维护费支出</w:t>
      </w:r>
      <w:r>
        <w:rPr>
          <w:rFonts w:hint="eastAsia" w:ascii="仿宋_GB2312" w:hAnsi="仿宋_GB2312" w:eastAsia="仿宋_GB2312" w:cs="仿宋_GB2312"/>
          <w:sz w:val="32"/>
          <w:szCs w:val="32"/>
          <w:lang w:val="en-US" w:eastAsia="zh-CN"/>
        </w:rPr>
        <w:t>5.43</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主要用于</w:t>
      </w:r>
      <w:r>
        <w:rPr>
          <w:rFonts w:hint="eastAsia" w:ascii="仿宋_GB2312" w:hAnsi="仿宋_GB2312" w:eastAsia="仿宋_GB2312" w:cs="仿宋_GB2312"/>
          <w:color w:val="000000"/>
          <w:sz w:val="32"/>
          <w:szCs w:val="32"/>
          <w:lang w:eastAsia="zh-CN"/>
        </w:rPr>
        <w:t>工作出差、开展脱贫攻坚工作下乡等所需的公务用车燃料费、维修费、过路过桥费、保险费等支出。</w:t>
      </w:r>
    </w:p>
    <w:p w14:paraId="4AFE4D47">
      <w:pPr>
        <w:pageBreakBefore w:val="0"/>
        <w:kinsoku/>
        <w:wordWrap/>
        <w:overflowPunct/>
        <w:topLinePunct w:val="0"/>
        <w:bidi w:val="0"/>
        <w:spacing w:beforeAutospacing="0" w:afterAutospacing="0" w:line="576" w:lineRule="exact"/>
        <w:ind w:left="0" w:leftChars="0" w:right="0" w:firstLine="643" w:firstLineChars="200"/>
        <w:jc w:val="both"/>
        <w:rPr>
          <w:rFonts w:hint="eastAsia"/>
        </w:rPr>
      </w:pPr>
      <w:r>
        <w:rPr>
          <w:rFonts w:hint="eastAsia" w:ascii="仿宋_GB2312" w:hAnsi="仿宋_GB2312" w:eastAsia="仿宋_GB2312" w:cs="仿宋_GB2312"/>
          <w:b/>
          <w:sz w:val="32"/>
          <w:szCs w:val="32"/>
        </w:rPr>
        <w:t>3.公务接待费支出</w:t>
      </w:r>
      <w:r>
        <w:rPr>
          <w:rFonts w:hint="eastAsia" w:ascii="仿宋_GB2312" w:hAnsi="仿宋_GB2312" w:eastAsia="仿宋_GB2312" w:cs="仿宋_GB2312"/>
          <w:b/>
          <w:sz w:val="32"/>
          <w:szCs w:val="32"/>
          <w:lang w:val="en-US" w:eastAsia="zh-CN"/>
        </w:rPr>
        <w:t>0</w:t>
      </w:r>
      <w:r>
        <w:rPr>
          <w:rFonts w:hint="eastAsia" w:ascii="仿宋_GB2312" w:hAnsi="仿宋_GB2312" w:eastAsia="仿宋_GB2312" w:cs="仿宋_GB2312"/>
          <w:sz w:val="32"/>
          <w:szCs w:val="32"/>
        </w:rPr>
        <w:t>万元，</w:t>
      </w:r>
      <w:r>
        <w:rPr>
          <w:rStyle w:val="20"/>
          <w:rFonts w:hint="eastAsia" w:ascii="仿宋_GB2312" w:hAnsi="仿宋_GB2312" w:eastAsia="仿宋_GB2312" w:cs="仿宋_GB2312"/>
          <w:b w:val="0"/>
          <w:bCs/>
          <w:sz w:val="32"/>
          <w:szCs w:val="32"/>
        </w:rPr>
        <w:t>完成预算</w:t>
      </w:r>
      <w:r>
        <w:rPr>
          <w:rStyle w:val="20"/>
          <w:rFonts w:hint="eastAsia" w:ascii="仿宋_GB2312" w:hAnsi="仿宋_GB2312" w:eastAsia="仿宋_GB2312" w:cs="仿宋_GB2312"/>
          <w:b w:val="0"/>
          <w:bCs/>
          <w:sz w:val="32"/>
          <w:szCs w:val="32"/>
          <w:lang w:val="en-US" w:eastAsia="zh-CN"/>
        </w:rPr>
        <w:t>0</w:t>
      </w:r>
      <w:r>
        <w:rPr>
          <w:rStyle w:val="20"/>
          <w:rFonts w:hint="eastAsia" w:ascii="仿宋_GB2312" w:hAnsi="仿宋_GB2312" w:eastAsia="仿宋_GB2312" w:cs="仿宋_GB2312"/>
          <w:b w:val="0"/>
          <w:bCs/>
          <w:sz w:val="32"/>
          <w:szCs w:val="32"/>
        </w:rPr>
        <w:t>%。</w:t>
      </w:r>
      <w:r>
        <w:rPr>
          <w:rFonts w:hint="eastAsia" w:ascii="仿宋_GB2312" w:hAnsi="仿宋_GB2312" w:eastAsia="仿宋_GB2312" w:cs="仿宋_GB2312"/>
          <w:sz w:val="32"/>
          <w:szCs w:val="32"/>
        </w:rPr>
        <w:t>公务接待费支出决算比202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eastAsia="zh-CN"/>
        </w:rPr>
        <w:t>减少</w:t>
      </w:r>
      <w:r>
        <w:rPr>
          <w:rFonts w:hint="eastAsia" w:ascii="仿宋_GB2312" w:hAnsi="仿宋_GB2312" w:eastAsia="仿宋_GB2312" w:cs="仿宋_GB2312"/>
          <w:sz w:val="32"/>
          <w:szCs w:val="32"/>
          <w:lang w:val="en-US" w:eastAsia="zh-CN"/>
        </w:rPr>
        <w:t>0.3</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eastAsia="zh-CN"/>
        </w:rPr>
        <w:t>下降</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。主要原因是</w:t>
      </w:r>
      <w:r>
        <w:rPr>
          <w:rFonts w:hint="eastAsia" w:ascii="仿宋_GB2312" w:hAnsi="仿宋_GB2312" w:eastAsia="仿宋_GB2312" w:cs="仿宋_GB2312"/>
          <w:sz w:val="32"/>
          <w:szCs w:val="32"/>
          <w:lang w:val="en-US" w:eastAsia="zh-CN"/>
        </w:rPr>
        <w:t>厉行节约，2025年未有接待费支出。</w:t>
      </w:r>
      <w:bookmarkStart w:id="54" w:name="_Toc15396610"/>
      <w:bookmarkStart w:id="55" w:name="_Toc15377218"/>
    </w:p>
    <w:p w14:paraId="39862EB5">
      <w:pPr>
        <w:pageBreakBefore w:val="0"/>
        <w:kinsoku/>
        <w:wordWrap/>
        <w:overflowPunct/>
        <w:topLinePunct w:val="0"/>
        <w:bidi w:val="0"/>
        <w:spacing w:beforeAutospacing="0" w:afterAutospacing="0" w:line="576" w:lineRule="exact"/>
        <w:ind w:left="0" w:leftChars="0" w:right="0" w:firstLine="640" w:firstLineChars="200"/>
        <w:jc w:val="both"/>
        <w:outlineLvl w:val="1"/>
        <w:rPr>
          <w:rStyle w:val="23"/>
          <w:rFonts w:ascii="黑体" w:eastAsia="黑体"/>
        </w:rPr>
      </w:pPr>
      <w:bookmarkStart w:id="56" w:name="_Toc22646"/>
      <w:r>
        <w:rPr>
          <w:rFonts w:hint="eastAsia" w:ascii="黑体" w:eastAsia="黑体"/>
          <w:sz w:val="32"/>
          <w:szCs w:val="32"/>
        </w:rPr>
        <w:t>八、</w:t>
      </w:r>
      <w:r>
        <w:rPr>
          <w:rStyle w:val="23"/>
          <w:rFonts w:hint="eastAsia" w:ascii="黑体" w:eastAsia="黑体"/>
          <w:b w:val="0"/>
        </w:rPr>
        <w:t>政府性基金预算支出决算情况说明</w:t>
      </w:r>
      <w:bookmarkEnd w:id="54"/>
      <w:bookmarkEnd w:id="55"/>
      <w:bookmarkEnd w:id="56"/>
    </w:p>
    <w:p w14:paraId="1F42A246">
      <w:pPr>
        <w:pageBreakBefore w:val="0"/>
        <w:kinsoku/>
        <w:wordWrap/>
        <w:overflowPunct/>
        <w:topLinePunct w:val="0"/>
        <w:bidi w:val="0"/>
        <w:spacing w:beforeAutospacing="0" w:afterAutospacing="0" w:line="576" w:lineRule="exact"/>
        <w:ind w:left="0" w:leftChars="0" w:right="0" w:firstLine="640" w:firstLineChars="200"/>
        <w:jc w:val="both"/>
        <w:rPr>
          <w:rFonts w:ascii="仿宋_GB2312" w:eastAsia="仿宋_GB2312"/>
          <w:sz w:val="32"/>
          <w:szCs w:val="32"/>
        </w:rPr>
      </w:pP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年政府性基金预算财政拨款支出</w:t>
      </w:r>
      <w:r>
        <w:rPr>
          <w:rFonts w:hint="eastAsia" w:ascii="仿宋_GB2312" w:eastAsia="仿宋_GB2312"/>
          <w:sz w:val="32"/>
          <w:szCs w:val="32"/>
          <w:lang w:val="en-US" w:eastAsia="zh-CN"/>
        </w:rPr>
        <w:t>0</w:t>
      </w:r>
      <w:r>
        <w:rPr>
          <w:rFonts w:hint="eastAsia" w:ascii="仿宋_GB2312" w:eastAsia="仿宋_GB2312"/>
          <w:sz w:val="32"/>
          <w:szCs w:val="32"/>
        </w:rPr>
        <w:t>万元。</w:t>
      </w:r>
    </w:p>
    <w:p w14:paraId="3626A38D">
      <w:pPr>
        <w:pageBreakBefore w:val="0"/>
        <w:numPr>
          <w:ilvl w:val="0"/>
          <w:numId w:val="2"/>
        </w:numPr>
        <w:kinsoku/>
        <w:wordWrap/>
        <w:overflowPunct/>
        <w:topLinePunct w:val="0"/>
        <w:bidi w:val="0"/>
        <w:spacing w:beforeAutospacing="0" w:afterAutospacing="0" w:line="576" w:lineRule="exact"/>
        <w:ind w:left="0" w:leftChars="0" w:right="0" w:firstLine="640" w:firstLineChars="200"/>
        <w:jc w:val="both"/>
        <w:outlineLvl w:val="1"/>
        <w:rPr>
          <w:rStyle w:val="23"/>
          <w:rFonts w:ascii="黑体" w:eastAsia="黑体"/>
          <w:b w:val="0"/>
        </w:rPr>
      </w:pPr>
      <w:bookmarkStart w:id="57" w:name="_Toc1631"/>
      <w:bookmarkStart w:id="58" w:name="_Toc15377219"/>
      <w:bookmarkStart w:id="59" w:name="_Toc15396611"/>
      <w:r>
        <w:rPr>
          <w:rStyle w:val="23"/>
          <w:rFonts w:hint="eastAsia" w:ascii="黑体" w:eastAsia="黑体"/>
          <w:b w:val="0"/>
        </w:rPr>
        <w:t>国有资本经营预算支出决算情况说明</w:t>
      </w:r>
      <w:bookmarkEnd w:id="57"/>
      <w:bookmarkEnd w:id="58"/>
      <w:bookmarkEnd w:id="59"/>
    </w:p>
    <w:p w14:paraId="295BFB58">
      <w:pPr>
        <w:pageBreakBefore w:val="0"/>
        <w:kinsoku/>
        <w:wordWrap/>
        <w:overflowPunct/>
        <w:topLinePunct w:val="0"/>
        <w:bidi w:val="0"/>
        <w:spacing w:beforeAutospacing="0" w:afterAutospacing="0" w:line="576" w:lineRule="exact"/>
        <w:ind w:left="0" w:leftChars="0" w:right="0" w:firstLine="640" w:firstLineChars="200"/>
        <w:jc w:val="both"/>
        <w:rPr>
          <w:rFonts w:ascii="方正小标宋简体" w:eastAsia="方正小标宋简体" w:cs="方正小标宋简体"/>
          <w:sz w:val="44"/>
          <w:szCs w:val="44"/>
        </w:rPr>
      </w:pP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年国有资本经营预算财政拨款支出</w:t>
      </w:r>
      <w:r>
        <w:rPr>
          <w:rFonts w:hint="eastAsia" w:ascii="仿宋_GB2312" w:eastAsia="仿宋_GB2312"/>
          <w:sz w:val="32"/>
          <w:szCs w:val="32"/>
          <w:lang w:val="en-US" w:eastAsia="zh-CN"/>
        </w:rPr>
        <w:t>0</w:t>
      </w:r>
      <w:r>
        <w:rPr>
          <w:rFonts w:hint="eastAsia" w:ascii="仿宋_GB2312" w:eastAsia="仿宋_GB2312"/>
          <w:sz w:val="32"/>
          <w:szCs w:val="32"/>
        </w:rPr>
        <w:t>万元。</w:t>
      </w:r>
    </w:p>
    <w:p w14:paraId="4C50EF26">
      <w:pPr>
        <w:pageBreakBefore w:val="0"/>
        <w:numPr>
          <w:ilvl w:val="0"/>
          <w:numId w:val="2"/>
        </w:numPr>
        <w:kinsoku/>
        <w:wordWrap/>
        <w:overflowPunct/>
        <w:topLinePunct w:val="0"/>
        <w:bidi w:val="0"/>
        <w:spacing w:beforeAutospacing="0" w:afterAutospacing="0" w:line="576" w:lineRule="exact"/>
        <w:ind w:left="0" w:leftChars="0" w:right="0" w:firstLine="640" w:firstLineChars="200"/>
        <w:jc w:val="both"/>
        <w:outlineLvl w:val="1"/>
        <w:rPr>
          <w:rStyle w:val="23"/>
          <w:rFonts w:ascii="黑体" w:eastAsia="黑体"/>
          <w:b w:val="0"/>
        </w:rPr>
      </w:pPr>
      <w:bookmarkStart w:id="60" w:name="_Toc15396612"/>
      <w:bookmarkStart w:id="61" w:name="_Toc4892"/>
      <w:bookmarkStart w:id="62" w:name="_Toc15377221"/>
      <w:r>
        <w:rPr>
          <w:rStyle w:val="23"/>
          <w:rFonts w:hint="eastAsia" w:ascii="黑体" w:eastAsia="黑体"/>
          <w:b w:val="0"/>
        </w:rPr>
        <w:t>其他重要事项的情况说明</w:t>
      </w:r>
      <w:bookmarkEnd w:id="60"/>
      <w:bookmarkEnd w:id="61"/>
      <w:bookmarkEnd w:id="62"/>
    </w:p>
    <w:p w14:paraId="3C03A924">
      <w:pPr>
        <w:pageBreakBefore w:val="0"/>
        <w:kinsoku/>
        <w:wordWrap/>
        <w:overflowPunct/>
        <w:topLinePunct w:val="0"/>
        <w:bidi w:val="0"/>
        <w:spacing w:beforeAutospacing="0" w:afterAutospacing="0" w:line="576" w:lineRule="exact"/>
        <w:ind w:left="0" w:leftChars="0" w:right="0" w:firstLine="643" w:firstLineChars="200"/>
        <w:jc w:val="both"/>
        <w:outlineLvl w:val="2"/>
        <w:rPr>
          <w:rFonts w:ascii="仿宋" w:eastAsia="仿宋"/>
          <w:sz w:val="32"/>
          <w:szCs w:val="32"/>
        </w:rPr>
      </w:pPr>
      <w:bookmarkStart w:id="63" w:name="_Toc15377222"/>
      <w:r>
        <w:rPr>
          <w:rFonts w:hint="eastAsia" w:ascii="楷体" w:hAnsi="楷体" w:eastAsia="楷体" w:cs="楷体"/>
          <w:b/>
          <w:sz w:val="32"/>
          <w:szCs w:val="32"/>
        </w:rPr>
        <w:t>（一）机关运行经费支出情况</w:t>
      </w:r>
      <w:bookmarkEnd w:id="63"/>
    </w:p>
    <w:p w14:paraId="57148AD0">
      <w:pPr>
        <w:pageBreakBefore w:val="0"/>
        <w:kinsoku/>
        <w:wordWrap/>
        <w:overflowPunct/>
        <w:topLinePunct w:val="0"/>
        <w:bidi w:val="0"/>
        <w:spacing w:beforeAutospacing="0" w:afterAutospacing="0" w:line="576" w:lineRule="exact"/>
        <w:ind w:left="0" w:leftChars="0" w:right="0" w:firstLine="640" w:firstLineChars="200"/>
        <w:jc w:val="both"/>
        <w:rPr>
          <w:rFonts w:ascii="仿宋_GB2312" w:eastAsia="仿宋_GB2312"/>
          <w:sz w:val="32"/>
          <w:szCs w:val="32"/>
        </w:rPr>
      </w:pP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w:t>
      </w:r>
      <w:r>
        <w:rPr>
          <w:rFonts w:hint="eastAsia" w:ascii="仿宋_GB2312" w:eastAsia="仿宋_GB2312"/>
          <w:sz w:val="32"/>
          <w:szCs w:val="32"/>
          <w:lang w:val="en-US" w:eastAsia="zh-CN"/>
        </w:rPr>
        <w:t>我局</w:t>
      </w:r>
      <w:r>
        <w:rPr>
          <w:rFonts w:hint="eastAsia" w:ascii="仿宋_GB2312" w:eastAsia="仿宋_GB2312"/>
          <w:sz w:val="32"/>
          <w:szCs w:val="32"/>
        </w:rPr>
        <w:t>机关运行经费支出</w:t>
      </w:r>
      <w:r>
        <w:rPr>
          <w:rFonts w:hint="eastAsia" w:ascii="仿宋_GB2312" w:eastAsia="仿宋_GB2312"/>
          <w:sz w:val="32"/>
          <w:szCs w:val="32"/>
          <w:lang w:val="en-US" w:eastAsia="zh-CN"/>
        </w:rPr>
        <w:t>12.21万元</w:t>
      </w:r>
      <w:r>
        <w:rPr>
          <w:rFonts w:hint="eastAsia" w:ascii="仿宋_GB2312" w:eastAsia="仿宋_GB2312"/>
          <w:sz w:val="32"/>
          <w:szCs w:val="32"/>
        </w:rPr>
        <w:t>，比</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4</w:t>
      </w:r>
      <w:r>
        <w:rPr>
          <w:rFonts w:hint="eastAsia" w:ascii="仿宋_GB2312" w:eastAsia="仿宋_GB2312"/>
          <w:sz w:val="32"/>
          <w:szCs w:val="32"/>
        </w:rPr>
        <w:t>年</w:t>
      </w:r>
      <w:r>
        <w:rPr>
          <w:rFonts w:hint="eastAsia" w:ascii="仿宋_GB2312" w:eastAsia="仿宋_GB2312"/>
          <w:sz w:val="32"/>
          <w:szCs w:val="32"/>
          <w:lang w:eastAsia="zh-CN"/>
        </w:rPr>
        <w:t>增加</w:t>
      </w:r>
      <w:r>
        <w:rPr>
          <w:rFonts w:hint="eastAsia" w:ascii="仿宋_GB2312" w:eastAsia="仿宋_GB2312"/>
          <w:sz w:val="32"/>
          <w:szCs w:val="32"/>
          <w:lang w:val="en-US" w:eastAsia="zh-CN"/>
        </w:rPr>
        <w:t>0.97</w:t>
      </w:r>
      <w:r>
        <w:rPr>
          <w:rFonts w:hint="eastAsia" w:ascii="仿宋_GB2312" w:eastAsia="仿宋_GB2312"/>
          <w:sz w:val="32"/>
          <w:szCs w:val="32"/>
        </w:rPr>
        <w:t>万元，</w:t>
      </w:r>
      <w:r>
        <w:rPr>
          <w:rFonts w:hint="eastAsia" w:ascii="仿宋_GB2312" w:eastAsia="仿宋_GB2312"/>
          <w:sz w:val="32"/>
          <w:szCs w:val="32"/>
          <w:lang w:eastAsia="zh-CN"/>
        </w:rPr>
        <w:t>上涨</w:t>
      </w:r>
      <w:r>
        <w:rPr>
          <w:rFonts w:hint="eastAsia" w:ascii="仿宋_GB2312" w:eastAsia="仿宋_GB2312"/>
          <w:sz w:val="32"/>
          <w:szCs w:val="32"/>
          <w:lang w:val="en-US" w:eastAsia="zh-CN"/>
        </w:rPr>
        <w:t>8.59</w:t>
      </w:r>
      <w:r>
        <w:rPr>
          <w:rFonts w:ascii="仿宋_GB2312" w:eastAsia="仿宋_GB2312"/>
          <w:sz w:val="32"/>
          <w:szCs w:val="32"/>
        </w:rPr>
        <w:t>%</w:t>
      </w:r>
      <w:r>
        <w:rPr>
          <w:rFonts w:hint="eastAsia" w:ascii="仿宋_GB2312" w:eastAsia="仿宋_GB2312"/>
          <w:sz w:val="32"/>
          <w:szCs w:val="32"/>
        </w:rPr>
        <w:t>。</w:t>
      </w:r>
      <w:r>
        <w:rPr>
          <w:rFonts w:hint="eastAsia" w:ascii="仿宋_GB2312" w:eastAsia="仿宋_GB2312"/>
          <w:sz w:val="32"/>
          <w:szCs w:val="32"/>
          <w:lang w:eastAsia="zh-CN"/>
        </w:rPr>
        <w:t>上涨</w:t>
      </w:r>
      <w:r>
        <w:rPr>
          <w:rFonts w:hint="eastAsia" w:ascii="仿宋_GB2312" w:eastAsia="仿宋_GB2312"/>
          <w:sz w:val="32"/>
          <w:szCs w:val="32"/>
        </w:rPr>
        <w:t>主要原因是</w:t>
      </w:r>
      <w:r>
        <w:rPr>
          <w:rFonts w:hint="eastAsia" w:ascii="仿宋_GB2312" w:eastAsia="仿宋_GB2312"/>
          <w:sz w:val="32"/>
          <w:szCs w:val="32"/>
          <w:lang w:val="en-US" w:eastAsia="zh-CN"/>
        </w:rPr>
        <w:t>2025年人员较2024年增加1人，导致公用经费增加1人</w:t>
      </w:r>
      <w:r>
        <w:rPr>
          <w:rFonts w:hint="eastAsia" w:ascii="仿宋_GB2312" w:eastAsia="仿宋_GB2312"/>
          <w:sz w:val="32"/>
          <w:szCs w:val="32"/>
        </w:rPr>
        <w:t>。</w:t>
      </w:r>
    </w:p>
    <w:p w14:paraId="1F46E88E">
      <w:pPr>
        <w:pageBreakBefore w:val="0"/>
        <w:kinsoku/>
        <w:wordWrap/>
        <w:overflowPunct/>
        <w:topLinePunct w:val="0"/>
        <w:autoSpaceDE w:val="0"/>
        <w:autoSpaceDN w:val="0"/>
        <w:bidi w:val="0"/>
        <w:adjustRightInd w:val="0"/>
        <w:spacing w:beforeAutospacing="0" w:afterAutospacing="0" w:line="576" w:lineRule="exact"/>
        <w:ind w:left="0" w:leftChars="0" w:right="0" w:firstLine="643" w:firstLineChars="200"/>
        <w:jc w:val="both"/>
        <w:outlineLvl w:val="2"/>
        <w:rPr>
          <w:rFonts w:hint="eastAsia" w:ascii="楷体" w:hAnsi="楷体" w:eastAsia="楷体" w:cs="楷体"/>
          <w:b/>
          <w:sz w:val="32"/>
          <w:szCs w:val="32"/>
        </w:rPr>
      </w:pPr>
      <w:bookmarkStart w:id="64" w:name="_Toc15377223"/>
      <w:r>
        <w:rPr>
          <w:rFonts w:hint="eastAsia" w:ascii="楷体" w:hAnsi="楷体" w:eastAsia="楷体" w:cs="楷体"/>
          <w:b/>
          <w:sz w:val="32"/>
          <w:szCs w:val="32"/>
        </w:rPr>
        <w:t>（二）政府采购支出情况</w:t>
      </w:r>
      <w:bookmarkEnd w:id="64"/>
    </w:p>
    <w:p w14:paraId="4670D9E5">
      <w:pPr>
        <w:pageBreakBefore w:val="0"/>
        <w:kinsoku/>
        <w:wordWrap/>
        <w:overflowPunct/>
        <w:topLinePunct w:val="0"/>
        <w:bidi w:val="0"/>
        <w:spacing w:beforeAutospacing="0" w:afterAutospacing="0" w:line="576" w:lineRule="exact"/>
        <w:ind w:left="0" w:leftChars="0" w:right="0" w:firstLine="640" w:firstLineChars="200"/>
        <w:jc w:val="both"/>
        <w:rPr>
          <w:rFonts w:ascii="仿宋_GB2312" w:eastAsia="仿宋_GB2312"/>
          <w:sz w:val="32"/>
          <w:szCs w:val="32"/>
        </w:rPr>
      </w:pP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w:t>
      </w:r>
      <w:r>
        <w:rPr>
          <w:rFonts w:hint="eastAsia" w:ascii="仿宋_GB2312" w:eastAsia="仿宋_GB2312"/>
          <w:sz w:val="32"/>
          <w:szCs w:val="32"/>
          <w:lang w:val="en-US" w:eastAsia="zh-CN"/>
        </w:rPr>
        <w:t>我局</w:t>
      </w:r>
      <w:r>
        <w:rPr>
          <w:rFonts w:hint="eastAsia" w:ascii="仿宋_GB2312" w:eastAsia="仿宋_GB2312"/>
          <w:sz w:val="32"/>
          <w:szCs w:val="32"/>
        </w:rPr>
        <w:t>政府采购支出总额</w:t>
      </w:r>
      <w:r>
        <w:rPr>
          <w:rFonts w:hint="eastAsia" w:ascii="仿宋_GB2312" w:eastAsia="仿宋_GB2312"/>
          <w:sz w:val="32"/>
          <w:szCs w:val="32"/>
          <w:lang w:val="en-US" w:eastAsia="zh-CN"/>
        </w:rPr>
        <w:t>7.2</w:t>
      </w:r>
      <w:r>
        <w:rPr>
          <w:rFonts w:hint="eastAsia" w:ascii="仿宋_GB2312" w:eastAsia="仿宋_GB2312"/>
          <w:sz w:val="32"/>
          <w:szCs w:val="32"/>
        </w:rPr>
        <w:t>万元，其中：政府采购货物支出</w:t>
      </w:r>
      <w:r>
        <w:rPr>
          <w:rFonts w:hint="eastAsia" w:ascii="仿宋_GB2312" w:eastAsia="仿宋_GB2312"/>
          <w:sz w:val="32"/>
          <w:szCs w:val="32"/>
          <w:lang w:val="en-US" w:eastAsia="zh-CN"/>
        </w:rPr>
        <w:t>3.96</w:t>
      </w:r>
      <w:r>
        <w:rPr>
          <w:rFonts w:hint="eastAsia" w:ascii="仿宋_GB2312" w:eastAsia="仿宋_GB2312"/>
          <w:sz w:val="32"/>
          <w:szCs w:val="32"/>
        </w:rPr>
        <w:t>万元、政府采购工程支出</w:t>
      </w:r>
      <w:r>
        <w:rPr>
          <w:rFonts w:hint="eastAsia" w:ascii="仿宋_GB2312" w:eastAsia="仿宋_GB2312"/>
          <w:sz w:val="32"/>
          <w:szCs w:val="32"/>
          <w:lang w:val="en-US" w:eastAsia="zh-CN"/>
        </w:rPr>
        <w:t>0</w:t>
      </w:r>
      <w:r>
        <w:rPr>
          <w:rFonts w:hint="eastAsia" w:ascii="仿宋_GB2312" w:eastAsia="仿宋_GB2312"/>
          <w:sz w:val="32"/>
          <w:szCs w:val="32"/>
        </w:rPr>
        <w:t>万元、政府采购服务支出</w:t>
      </w:r>
      <w:r>
        <w:rPr>
          <w:rFonts w:hint="eastAsia" w:ascii="仿宋_GB2312" w:eastAsia="仿宋_GB2312"/>
          <w:sz w:val="32"/>
          <w:szCs w:val="32"/>
          <w:lang w:val="en-US" w:eastAsia="zh-CN"/>
        </w:rPr>
        <w:t>3.24</w:t>
      </w:r>
      <w:r>
        <w:rPr>
          <w:rFonts w:hint="eastAsia" w:ascii="仿宋_GB2312" w:eastAsia="仿宋_GB2312"/>
          <w:sz w:val="32"/>
          <w:szCs w:val="32"/>
        </w:rPr>
        <w:t>万元</w:t>
      </w:r>
      <w:r>
        <w:rPr>
          <w:rFonts w:hint="eastAsia" w:ascii="仿宋_GB2312" w:eastAsia="仿宋_GB2312"/>
          <w:sz w:val="32"/>
          <w:szCs w:val="32"/>
          <w:lang w:eastAsia="zh-CN"/>
        </w:rPr>
        <w:t>（框采协议修车、保险）</w:t>
      </w:r>
      <w:r>
        <w:rPr>
          <w:rFonts w:hint="eastAsia" w:ascii="仿宋_GB2312" w:eastAsia="仿宋_GB2312"/>
          <w:sz w:val="32"/>
          <w:szCs w:val="32"/>
        </w:rPr>
        <w:t>。授予中小企业合同金额</w:t>
      </w:r>
      <w:r>
        <w:rPr>
          <w:rFonts w:hint="eastAsia" w:ascii="仿宋_GB2312" w:eastAsia="仿宋_GB2312"/>
          <w:sz w:val="32"/>
          <w:szCs w:val="32"/>
          <w:lang w:val="en-US" w:eastAsia="zh-CN"/>
        </w:rPr>
        <w:t>7.2</w:t>
      </w:r>
      <w:r>
        <w:rPr>
          <w:rFonts w:hint="eastAsia" w:ascii="仿宋_GB2312" w:eastAsia="仿宋_GB2312"/>
          <w:sz w:val="32"/>
          <w:szCs w:val="32"/>
        </w:rPr>
        <w:t>万元，占政府采购支出总额的</w:t>
      </w:r>
      <w:r>
        <w:rPr>
          <w:rFonts w:hint="eastAsia" w:ascii="仿宋_GB2312" w:eastAsia="仿宋_GB2312"/>
          <w:sz w:val="32"/>
          <w:szCs w:val="32"/>
          <w:lang w:val="en-US" w:eastAsia="zh-CN"/>
        </w:rPr>
        <w:t>100</w:t>
      </w:r>
      <w:r>
        <w:rPr>
          <w:rFonts w:ascii="仿宋_GB2312" w:eastAsia="仿宋_GB2312"/>
          <w:sz w:val="32"/>
          <w:szCs w:val="32"/>
        </w:rPr>
        <w:t>%</w:t>
      </w:r>
      <w:r>
        <w:rPr>
          <w:rFonts w:hint="eastAsia" w:ascii="仿宋_GB2312" w:eastAsia="仿宋_GB2312"/>
          <w:sz w:val="32"/>
          <w:szCs w:val="32"/>
        </w:rPr>
        <w:t>，其中：授予小微企业合同金额</w:t>
      </w:r>
      <w:r>
        <w:rPr>
          <w:rFonts w:hint="eastAsia" w:ascii="仿宋_GB2312" w:eastAsia="仿宋_GB2312"/>
          <w:sz w:val="32"/>
          <w:szCs w:val="32"/>
          <w:lang w:val="en-US" w:eastAsia="zh-CN"/>
        </w:rPr>
        <w:t>7.2</w:t>
      </w:r>
      <w:r>
        <w:rPr>
          <w:rFonts w:hint="eastAsia" w:ascii="仿宋_GB2312" w:eastAsia="仿宋_GB2312"/>
          <w:sz w:val="32"/>
          <w:szCs w:val="32"/>
        </w:rPr>
        <w:t>万元，占政府采购支出总额的</w:t>
      </w:r>
      <w:r>
        <w:rPr>
          <w:rFonts w:hint="eastAsia" w:ascii="仿宋_GB2312" w:eastAsia="仿宋_GB2312"/>
          <w:sz w:val="32"/>
          <w:szCs w:val="32"/>
          <w:lang w:val="en-US" w:eastAsia="zh-CN"/>
        </w:rPr>
        <w:t>100</w:t>
      </w:r>
      <w:r>
        <w:rPr>
          <w:rFonts w:ascii="仿宋_GB2312" w:eastAsia="仿宋_GB2312"/>
          <w:sz w:val="32"/>
          <w:szCs w:val="32"/>
        </w:rPr>
        <w:t>%</w:t>
      </w:r>
      <w:r>
        <w:rPr>
          <w:rFonts w:hint="eastAsia" w:ascii="仿宋_GB2312" w:eastAsia="仿宋_GB2312"/>
          <w:sz w:val="32"/>
          <w:szCs w:val="32"/>
        </w:rPr>
        <w:t>。</w:t>
      </w:r>
    </w:p>
    <w:p w14:paraId="2C536130">
      <w:pPr>
        <w:pageBreakBefore w:val="0"/>
        <w:kinsoku/>
        <w:wordWrap/>
        <w:overflowPunct/>
        <w:topLinePunct w:val="0"/>
        <w:autoSpaceDE w:val="0"/>
        <w:autoSpaceDN w:val="0"/>
        <w:bidi w:val="0"/>
        <w:adjustRightInd w:val="0"/>
        <w:spacing w:beforeAutospacing="0" w:afterAutospacing="0" w:line="576" w:lineRule="exact"/>
        <w:ind w:left="0" w:leftChars="0" w:right="0" w:firstLine="643" w:firstLineChars="200"/>
        <w:jc w:val="both"/>
        <w:outlineLvl w:val="2"/>
        <w:rPr>
          <w:rFonts w:hint="eastAsia" w:ascii="楷体" w:hAnsi="楷体" w:eastAsia="楷体" w:cs="楷体"/>
          <w:b/>
          <w:sz w:val="32"/>
          <w:szCs w:val="32"/>
        </w:rPr>
      </w:pPr>
      <w:bookmarkStart w:id="65" w:name="_Toc15377224"/>
      <w:r>
        <w:rPr>
          <w:rFonts w:hint="eastAsia" w:ascii="楷体" w:hAnsi="楷体" w:eastAsia="楷体" w:cs="楷体"/>
          <w:b/>
          <w:sz w:val="32"/>
          <w:szCs w:val="32"/>
        </w:rPr>
        <w:t>（三）国有资产占有使用情况</w:t>
      </w:r>
      <w:bookmarkEnd w:id="65"/>
    </w:p>
    <w:p w14:paraId="326B3048">
      <w:pPr>
        <w:pStyle w:val="17"/>
        <w:keepNext w:val="0"/>
        <w:keepLines w:val="0"/>
        <w:pageBreakBefore w:val="0"/>
        <w:widowControl/>
        <w:numPr>
          <w:ilvl w:val="0"/>
          <w:numId w:val="0"/>
        </w:numPr>
        <w:suppressLineNumbers w:val="0"/>
        <w:shd w:val="clear" w:color="auto" w:fill="auto"/>
        <w:kinsoku/>
        <w:wordWrap/>
        <w:overflowPunct/>
        <w:topLinePunct w:val="0"/>
        <w:bidi w:val="0"/>
        <w:spacing w:before="0" w:beforeAutospacing="0" w:after="0" w:afterAutospacing="0" w:line="576" w:lineRule="exact"/>
        <w:ind w:left="0" w:leftChars="0" w:right="0" w:rightChars="0" w:firstLine="640" w:firstLineChars="200"/>
        <w:jc w:val="both"/>
        <w:rPr>
          <w:rStyle w:val="20"/>
          <w:rFonts w:hint="eastAsia" w:ascii="仿宋_GB2312" w:hAnsi="仿宋_GB2312" w:eastAsia="仿宋_GB2312" w:cs="仿宋_GB2312"/>
          <w:sz w:val="32"/>
          <w:szCs w:val="32"/>
          <w:shd w:val="clear" w:color="auto" w:fill="FFFFFF"/>
          <w:lang w:val="en-US" w:eastAsia="zh-CN"/>
        </w:rPr>
      </w:pPr>
      <w:r>
        <w:rPr>
          <w:rFonts w:hint="eastAsia" w:ascii="仿宋_GB2312" w:eastAsia="仿宋_GB2312"/>
          <w:sz w:val="32"/>
          <w:szCs w:val="32"/>
        </w:rPr>
        <w:t>截至</w:t>
      </w:r>
      <w:r>
        <w:rPr>
          <w:rFonts w:ascii="仿宋_GB2312" w:eastAsia="仿宋_GB2312"/>
          <w:sz w:val="32"/>
          <w:szCs w:val="32"/>
        </w:rPr>
        <w:t>20</w:t>
      </w:r>
      <w:r>
        <w:rPr>
          <w:rFonts w:hint="eastAsia" w:ascii="仿宋_GB2312" w:eastAsia="仿宋_GB2312"/>
          <w:sz w:val="32"/>
          <w:szCs w:val="32"/>
        </w:rPr>
        <w:t>2</w:t>
      </w:r>
      <w:r>
        <w:rPr>
          <w:rFonts w:hint="eastAsia" w:ascii="仿宋_GB2312" w:eastAsia="仿宋_GB2312"/>
          <w:sz w:val="32"/>
          <w:szCs w:val="32"/>
          <w:lang w:val="en-US" w:eastAsia="zh-CN"/>
        </w:rPr>
        <w:t>5</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w:t>
      </w:r>
      <w:r>
        <w:rPr>
          <w:rFonts w:ascii="仿宋_GB2312" w:eastAsia="仿宋_GB2312"/>
          <w:sz w:val="32"/>
          <w:szCs w:val="32"/>
        </w:rPr>
        <w:t>31</w:t>
      </w:r>
      <w:r>
        <w:rPr>
          <w:rFonts w:hint="eastAsia" w:ascii="仿宋_GB2312" w:eastAsia="仿宋_GB2312"/>
          <w:sz w:val="32"/>
          <w:szCs w:val="32"/>
        </w:rPr>
        <w:t>日，</w:t>
      </w:r>
      <w:r>
        <w:rPr>
          <w:rFonts w:hint="eastAsia" w:ascii="仿宋_GB2312" w:eastAsia="仿宋_GB2312"/>
          <w:sz w:val="32"/>
          <w:szCs w:val="32"/>
          <w:lang w:eastAsia="zh-CN"/>
        </w:rPr>
        <w:t>我单位</w:t>
      </w:r>
      <w:r>
        <w:rPr>
          <w:rFonts w:hint="eastAsia" w:ascii="仿宋_GB2312" w:eastAsia="仿宋_GB2312"/>
          <w:sz w:val="32"/>
          <w:szCs w:val="32"/>
        </w:rPr>
        <w:t>共有车辆</w:t>
      </w:r>
      <w:r>
        <w:rPr>
          <w:rFonts w:hint="eastAsia" w:ascii="仿宋_GB2312" w:eastAsia="仿宋_GB2312"/>
          <w:sz w:val="32"/>
          <w:szCs w:val="32"/>
          <w:lang w:val="en-US" w:eastAsia="zh-CN"/>
        </w:rPr>
        <w:t>14</w:t>
      </w:r>
      <w:r>
        <w:rPr>
          <w:rFonts w:hint="eastAsia" w:ascii="仿宋_GB2312" w:eastAsia="仿宋_GB2312"/>
          <w:sz w:val="32"/>
          <w:szCs w:val="32"/>
        </w:rPr>
        <w:t>辆</w:t>
      </w:r>
      <w:r>
        <w:rPr>
          <w:rFonts w:hint="eastAsia" w:ascii="仿宋_GB2312" w:eastAsia="仿宋_GB2312"/>
          <w:sz w:val="32"/>
          <w:szCs w:val="32"/>
          <w:lang w:eastAsia="zh-CN"/>
        </w:rPr>
        <w:t>，全部为应急保障用车</w:t>
      </w:r>
      <w:r>
        <w:rPr>
          <w:rFonts w:hint="eastAsia" w:ascii="仿宋_GB2312" w:eastAsia="仿宋_GB2312"/>
          <w:sz w:val="32"/>
          <w:szCs w:val="32"/>
        </w:rPr>
        <w:t>。单价</w:t>
      </w:r>
      <w:r>
        <w:rPr>
          <w:rFonts w:ascii="仿宋_GB2312" w:eastAsia="仿宋_GB2312"/>
          <w:sz w:val="32"/>
          <w:szCs w:val="32"/>
        </w:rPr>
        <w:t>100</w:t>
      </w:r>
      <w:r>
        <w:rPr>
          <w:rFonts w:hint="eastAsia" w:ascii="仿宋_GB2312" w:eastAsia="仿宋_GB2312"/>
          <w:sz w:val="32"/>
          <w:szCs w:val="32"/>
        </w:rPr>
        <w:t>万元以上专用设备</w:t>
      </w:r>
      <w:r>
        <w:rPr>
          <w:rFonts w:hint="eastAsia" w:ascii="仿宋_GB2312" w:eastAsia="仿宋_GB2312"/>
          <w:sz w:val="32"/>
          <w:szCs w:val="32"/>
          <w:lang w:val="en-US" w:eastAsia="zh-CN"/>
        </w:rPr>
        <w:t>0</w:t>
      </w:r>
      <w:r>
        <w:rPr>
          <w:rFonts w:hint="eastAsia" w:ascii="仿宋_GB2312" w:eastAsia="仿宋_GB2312"/>
          <w:sz w:val="32"/>
          <w:szCs w:val="32"/>
        </w:rPr>
        <w:t>台（套）。</w:t>
      </w:r>
      <w:r>
        <w:rPr>
          <w:rFonts w:hint="eastAsia" w:ascii="仿宋_GB2312" w:eastAsia="仿宋_GB2312"/>
          <w:sz w:val="32"/>
          <w:szCs w:val="32"/>
          <w:lang w:eastAsia="zh-CN"/>
        </w:rPr>
        <w:t>截止年底</w:t>
      </w:r>
      <w:r>
        <w:rPr>
          <w:rFonts w:hint="eastAsia" w:ascii="仿宋_GB2312" w:eastAsia="仿宋_GB2312"/>
          <w:sz w:val="32"/>
          <w:szCs w:val="32"/>
        </w:rPr>
        <w:t>共有</w:t>
      </w:r>
      <w:r>
        <w:rPr>
          <w:rFonts w:hint="eastAsia" w:ascii="仿宋_GB2312" w:eastAsia="仿宋_GB2312"/>
          <w:sz w:val="32"/>
          <w:szCs w:val="32"/>
          <w:lang w:eastAsia="zh-CN"/>
        </w:rPr>
        <w:t>资产</w:t>
      </w:r>
      <w:r>
        <w:rPr>
          <w:rFonts w:hint="eastAsia" w:ascii="仿宋_GB2312" w:eastAsia="仿宋_GB2312"/>
          <w:sz w:val="32"/>
          <w:szCs w:val="32"/>
          <w:lang w:val="en-US" w:eastAsia="zh-CN"/>
        </w:rPr>
        <w:t>4383.65万元</w:t>
      </w:r>
      <w:r>
        <w:rPr>
          <w:rFonts w:hint="eastAsia" w:ascii="仿宋_GB2312" w:eastAsia="仿宋_GB2312"/>
          <w:color w:val="000000"/>
          <w:sz w:val="32"/>
          <w:szCs w:val="32"/>
        </w:rPr>
        <w:t>（账面原值，下同）</w:t>
      </w:r>
      <w:r>
        <w:rPr>
          <w:rFonts w:hint="eastAsia" w:ascii="仿宋_GB2312" w:eastAsia="仿宋_GB2312"/>
          <w:sz w:val="32"/>
          <w:szCs w:val="32"/>
          <w:lang w:val="en-US" w:eastAsia="zh-CN"/>
        </w:rPr>
        <w:t>，其中固定资产3917.13万元，占比89.36%，无形资产377.55万元，占比8.61%，基础设施88.97万元，占比2.03%。</w:t>
      </w:r>
      <w:r>
        <w:rPr>
          <w:rFonts w:hint="eastAsia" w:ascii="仿宋_GB2312" w:eastAsia="仿宋_GB2312"/>
          <w:color w:val="000000"/>
          <w:sz w:val="32"/>
          <w:szCs w:val="32"/>
        </w:rPr>
        <w:t>从资产类别分析，配置土地、房屋及构筑物</w:t>
      </w:r>
      <w:r>
        <w:rPr>
          <w:rFonts w:hint="eastAsia" w:ascii="仿宋_GB2312" w:eastAsia="仿宋_GB2312"/>
          <w:color w:val="000000"/>
          <w:sz w:val="32"/>
          <w:szCs w:val="32"/>
          <w:lang w:val="en-US" w:eastAsia="zh-CN"/>
        </w:rPr>
        <w:t>3164.85</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72.2</w:t>
      </w:r>
      <w:r>
        <w:rPr>
          <w:rFonts w:hint="eastAsia" w:ascii="仿宋_GB2312" w:eastAsia="仿宋_GB2312"/>
          <w:color w:val="000000"/>
          <w:sz w:val="32"/>
          <w:szCs w:val="32"/>
        </w:rPr>
        <w:t>%； 配置通用设备</w:t>
      </w:r>
      <w:r>
        <w:rPr>
          <w:rFonts w:hint="eastAsia" w:ascii="仿宋_GB2312" w:eastAsia="仿宋_GB2312"/>
          <w:color w:val="000000"/>
          <w:sz w:val="32"/>
          <w:szCs w:val="32"/>
          <w:lang w:val="en-US" w:eastAsia="zh-CN"/>
        </w:rPr>
        <w:t>631.19</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14.4</w:t>
      </w:r>
      <w:r>
        <w:rPr>
          <w:rFonts w:hint="eastAsia" w:ascii="仿宋_GB2312" w:eastAsia="仿宋_GB2312"/>
          <w:color w:val="000000"/>
          <w:sz w:val="32"/>
          <w:szCs w:val="32"/>
        </w:rPr>
        <w:t>% ； 配置家具、用具、装具及动植物</w:t>
      </w:r>
      <w:r>
        <w:rPr>
          <w:rFonts w:hint="eastAsia" w:ascii="仿宋_GB2312" w:eastAsia="仿宋_GB2312"/>
          <w:color w:val="000000"/>
          <w:sz w:val="32"/>
          <w:szCs w:val="32"/>
          <w:lang w:val="en-US" w:eastAsia="zh-CN"/>
        </w:rPr>
        <w:t>121.09</w:t>
      </w:r>
      <w:r>
        <w:rPr>
          <w:rFonts w:hint="eastAsia" w:ascii="仿宋_GB2312" w:eastAsia="仿宋_GB2312"/>
          <w:color w:val="000000"/>
          <w:sz w:val="32"/>
          <w:szCs w:val="32"/>
        </w:rPr>
        <w:t>万元，占</w:t>
      </w:r>
      <w:r>
        <w:rPr>
          <w:rFonts w:hint="eastAsia" w:ascii="仿宋_GB2312" w:eastAsia="仿宋_GB2312"/>
          <w:color w:val="000000"/>
          <w:sz w:val="32"/>
          <w:szCs w:val="32"/>
          <w:lang w:val="en-US" w:eastAsia="zh-CN"/>
        </w:rPr>
        <w:t>2.76</w:t>
      </w:r>
      <w:r>
        <w:rPr>
          <w:rFonts w:hint="eastAsia" w:ascii="仿宋_GB2312" w:eastAsia="仿宋_GB2312"/>
          <w:color w:val="000000"/>
          <w:sz w:val="32"/>
          <w:szCs w:val="32"/>
        </w:rPr>
        <w:t xml:space="preserve">% </w:t>
      </w:r>
      <w:r>
        <w:rPr>
          <w:rFonts w:hint="eastAsia" w:ascii="仿宋_GB2312" w:eastAsia="仿宋_GB2312"/>
          <w:color w:val="000000"/>
          <w:sz w:val="32"/>
          <w:szCs w:val="32"/>
          <w:lang w:eastAsia="zh-CN"/>
        </w:rPr>
        <w:t>；无形资产</w:t>
      </w:r>
      <w:r>
        <w:rPr>
          <w:rFonts w:hint="eastAsia" w:ascii="仿宋_GB2312" w:eastAsia="仿宋_GB2312"/>
          <w:color w:val="000000"/>
          <w:sz w:val="32"/>
          <w:szCs w:val="32"/>
          <w:lang w:val="en-US" w:eastAsia="zh-CN"/>
        </w:rPr>
        <w:t>377.55万元，占比8.61%；公共基础设施88.97万元，占比2.03%</w:t>
      </w:r>
      <w:r>
        <w:rPr>
          <w:rFonts w:hint="eastAsia" w:ascii="仿宋_GB2312" w:eastAsia="仿宋_GB2312"/>
          <w:color w:val="000000"/>
          <w:sz w:val="32"/>
          <w:szCs w:val="32"/>
        </w:rPr>
        <w:t>。</w:t>
      </w:r>
    </w:p>
    <w:p w14:paraId="1596271A">
      <w:pPr>
        <w:pStyle w:val="17"/>
        <w:keepNext w:val="0"/>
        <w:keepLines w:val="0"/>
        <w:pageBreakBefore w:val="0"/>
        <w:widowControl/>
        <w:numPr>
          <w:ilvl w:val="0"/>
          <w:numId w:val="0"/>
        </w:numPr>
        <w:suppressLineNumbers w:val="0"/>
        <w:shd w:val="clear" w:color="auto" w:fill="auto"/>
        <w:kinsoku/>
        <w:wordWrap/>
        <w:overflowPunct/>
        <w:topLinePunct w:val="0"/>
        <w:bidi w:val="0"/>
        <w:spacing w:before="0" w:beforeAutospacing="0" w:after="0" w:afterAutospacing="0" w:line="576" w:lineRule="exact"/>
        <w:ind w:left="0" w:leftChars="0" w:right="0" w:rightChars="0" w:firstLine="643" w:firstLineChars="200"/>
        <w:jc w:val="both"/>
        <w:rPr>
          <w:rStyle w:val="20"/>
          <w:rFonts w:hint="eastAsia" w:ascii="楷体" w:hAnsi="楷体" w:eastAsia="楷体" w:cs="楷体"/>
          <w:sz w:val="32"/>
          <w:szCs w:val="32"/>
          <w:shd w:val="clear" w:color="auto" w:fill="FFFFFF"/>
          <w:lang w:val="en-US" w:eastAsia="zh-CN"/>
        </w:rPr>
      </w:pPr>
      <w:r>
        <w:rPr>
          <w:rStyle w:val="20"/>
          <w:rFonts w:hint="eastAsia" w:ascii="楷体" w:hAnsi="楷体" w:eastAsia="楷体" w:cs="楷体"/>
          <w:sz w:val="32"/>
          <w:szCs w:val="32"/>
          <w:shd w:val="clear" w:color="auto" w:fill="FFFFFF"/>
          <w:lang w:val="en-US" w:eastAsia="zh-CN"/>
        </w:rPr>
        <w:t>（四）由养老保险机构发放养老金的退休人员</w:t>
      </w:r>
    </w:p>
    <w:p w14:paraId="0DE25EB0">
      <w:pPr>
        <w:pStyle w:val="9"/>
        <w:pageBreakBefore w:val="0"/>
        <w:numPr>
          <w:ilvl w:val="0"/>
          <w:numId w:val="0"/>
        </w:numPr>
        <w:kinsoku/>
        <w:wordWrap/>
        <w:overflowPunct/>
        <w:topLinePunct w:val="0"/>
        <w:bidi w:val="0"/>
        <w:spacing w:beforeAutospacing="0" w:after="0" w:afterAutospacing="0" w:line="576" w:lineRule="exact"/>
        <w:ind w:left="0" w:leftChars="0" w:right="0" w:firstLine="640" w:firstLineChars="200"/>
        <w:jc w:val="both"/>
        <w:rPr>
          <w:rFonts w:ascii="仿宋_GB2312" w:eastAsia="仿宋_GB2312"/>
          <w:sz w:val="32"/>
          <w:szCs w:val="32"/>
        </w:rPr>
      </w:pPr>
      <w:r>
        <w:rPr>
          <w:rFonts w:hint="eastAsia" w:ascii="仿宋_GB2312" w:eastAsia="仿宋_GB2312"/>
          <w:color w:val="000000"/>
          <w:sz w:val="32"/>
          <w:szCs w:val="32"/>
        </w:rPr>
        <w:t>截至</w:t>
      </w:r>
      <w:r>
        <w:rPr>
          <w:rFonts w:ascii="仿宋_GB2312" w:eastAsia="仿宋_GB2312"/>
          <w:color w:val="000000"/>
          <w:sz w:val="32"/>
          <w:szCs w:val="32"/>
        </w:rPr>
        <w:t>20</w:t>
      </w:r>
      <w:r>
        <w:rPr>
          <w:rFonts w:hint="eastAsia" w:ascii="仿宋_GB2312" w:eastAsia="仿宋_GB2312"/>
          <w:color w:val="000000"/>
          <w:sz w:val="32"/>
          <w:szCs w:val="32"/>
          <w:lang w:val="en-US" w:eastAsia="zh-CN"/>
        </w:rPr>
        <w:t>2</w:t>
      </w:r>
      <w:r>
        <w:rPr>
          <w:rFonts w:hint="eastAsia" w:eastAsia="仿宋_GB2312"/>
          <w:color w:val="000000"/>
          <w:sz w:val="32"/>
          <w:szCs w:val="32"/>
          <w:lang w:val="en-US" w:eastAsia="zh-CN"/>
        </w:rPr>
        <w:t>5</w:t>
      </w:r>
      <w:r>
        <w:rPr>
          <w:rFonts w:hint="eastAsia" w:ascii="仿宋_GB2312" w:eastAsia="仿宋_GB2312"/>
          <w:color w:val="000000"/>
          <w:sz w:val="32"/>
          <w:szCs w:val="32"/>
        </w:rPr>
        <w:t>年</w:t>
      </w:r>
      <w:r>
        <w:rPr>
          <w:rFonts w:ascii="仿宋_GB2312" w:eastAsia="仿宋_GB2312"/>
          <w:color w:val="000000"/>
          <w:sz w:val="32"/>
          <w:szCs w:val="32"/>
        </w:rPr>
        <w:t>12</w:t>
      </w:r>
      <w:r>
        <w:rPr>
          <w:rFonts w:hint="eastAsia" w:ascii="仿宋_GB2312" w:eastAsia="仿宋_GB2312"/>
          <w:color w:val="000000"/>
          <w:sz w:val="32"/>
          <w:szCs w:val="32"/>
        </w:rPr>
        <w:t>月</w:t>
      </w:r>
      <w:r>
        <w:rPr>
          <w:rFonts w:ascii="仿宋_GB2312" w:eastAsia="仿宋_GB2312"/>
          <w:color w:val="000000"/>
          <w:sz w:val="32"/>
          <w:szCs w:val="32"/>
        </w:rPr>
        <w:t>31</w:t>
      </w:r>
      <w:r>
        <w:rPr>
          <w:rFonts w:hint="eastAsia" w:ascii="仿宋_GB2312" w:eastAsia="仿宋_GB2312"/>
          <w:color w:val="000000"/>
          <w:sz w:val="32"/>
          <w:szCs w:val="32"/>
        </w:rPr>
        <w:t>日</w:t>
      </w: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本单位由养老保险机构发放养老金的退休人员</w:t>
      </w:r>
      <w:r>
        <w:rPr>
          <w:rFonts w:hint="eastAsia" w:eastAsia="仿宋_GB2312"/>
          <w:color w:val="000000"/>
          <w:sz w:val="32"/>
          <w:szCs w:val="32"/>
          <w:lang w:val="en-US" w:eastAsia="zh-CN"/>
        </w:rPr>
        <w:t>14</w:t>
      </w:r>
      <w:r>
        <w:rPr>
          <w:rFonts w:hint="eastAsia" w:ascii="仿宋_GB2312" w:eastAsia="仿宋_GB2312"/>
          <w:color w:val="000000"/>
          <w:sz w:val="32"/>
          <w:szCs w:val="32"/>
          <w:lang w:val="en-US" w:eastAsia="zh-CN"/>
        </w:rPr>
        <w:t>人，较上年新增</w:t>
      </w:r>
      <w:r>
        <w:rPr>
          <w:rFonts w:hint="eastAsia" w:eastAsia="仿宋_GB2312"/>
          <w:color w:val="000000"/>
          <w:sz w:val="32"/>
          <w:szCs w:val="32"/>
          <w:lang w:val="en-US" w:eastAsia="zh-CN"/>
        </w:rPr>
        <w:t>1</w:t>
      </w:r>
      <w:r>
        <w:rPr>
          <w:rFonts w:hint="eastAsia" w:ascii="仿宋_GB2312" w:eastAsia="仿宋_GB2312"/>
          <w:color w:val="000000"/>
          <w:sz w:val="32"/>
          <w:szCs w:val="32"/>
          <w:lang w:val="en-US" w:eastAsia="zh-CN"/>
        </w:rPr>
        <w:t>人。</w:t>
      </w:r>
    </w:p>
    <w:p w14:paraId="3C801B31">
      <w:pPr>
        <w:pageBreakBefore w:val="0"/>
        <w:kinsoku/>
        <w:wordWrap/>
        <w:overflowPunct/>
        <w:topLinePunct w:val="0"/>
        <w:autoSpaceDE w:val="0"/>
        <w:autoSpaceDN w:val="0"/>
        <w:bidi w:val="0"/>
        <w:adjustRightInd w:val="0"/>
        <w:spacing w:beforeAutospacing="0" w:afterAutospacing="0" w:line="576" w:lineRule="exact"/>
        <w:ind w:left="0" w:leftChars="0" w:right="0" w:firstLine="643" w:firstLineChars="200"/>
        <w:jc w:val="both"/>
        <w:outlineLvl w:val="2"/>
        <w:rPr>
          <w:rFonts w:ascii="仿宋" w:eastAsia="仿宋"/>
          <w:b/>
          <w:color w:val="000000" w:themeColor="text1"/>
          <w:sz w:val="32"/>
          <w:szCs w:val="32"/>
        </w:rPr>
      </w:pPr>
      <w:r>
        <w:rPr>
          <w:rFonts w:hint="eastAsia" w:ascii="楷体" w:hAnsi="楷体" w:eastAsia="楷体" w:cs="楷体"/>
          <w:b/>
          <w:color w:val="000000" w:themeColor="text1"/>
          <w:sz w:val="32"/>
          <w:szCs w:val="32"/>
        </w:rPr>
        <w:t>（</w:t>
      </w:r>
      <w:r>
        <w:rPr>
          <w:rFonts w:hint="eastAsia" w:ascii="楷体" w:hAnsi="楷体" w:eastAsia="楷体" w:cs="楷体"/>
          <w:b/>
          <w:color w:val="000000" w:themeColor="text1"/>
          <w:sz w:val="32"/>
          <w:szCs w:val="32"/>
          <w:lang w:eastAsia="zh-CN"/>
        </w:rPr>
        <w:t>五</w:t>
      </w:r>
      <w:r>
        <w:rPr>
          <w:rFonts w:hint="eastAsia" w:ascii="楷体" w:hAnsi="楷体" w:eastAsia="楷体" w:cs="楷体"/>
          <w:b/>
          <w:color w:val="000000" w:themeColor="text1"/>
          <w:sz w:val="32"/>
          <w:szCs w:val="32"/>
        </w:rPr>
        <w:t>）预算绩效管理情况</w:t>
      </w:r>
    </w:p>
    <w:p w14:paraId="08149825">
      <w:pPr>
        <w:pageBreakBefore w:val="0"/>
        <w:kinsoku/>
        <w:wordWrap/>
        <w:overflowPunct/>
        <w:topLinePunct w:val="0"/>
        <w:bidi w:val="0"/>
        <w:spacing w:beforeAutospacing="0" w:afterAutospacing="0" w:line="576" w:lineRule="exact"/>
        <w:ind w:left="0" w:leftChars="0" w:right="0" w:firstLine="640" w:firstLineChars="200"/>
        <w:jc w:val="both"/>
        <w:rPr>
          <w:rFonts w:ascii="仿宋_GB2312" w:hAnsi="仿宋_GB2312" w:eastAsia="仿宋_GB2312" w:cs="仿宋_GB2312"/>
          <w:color w:val="000000" w:themeColor="text1"/>
          <w:sz w:val="32"/>
          <w:szCs w:val="32"/>
        </w:rPr>
      </w:pPr>
      <w:r>
        <w:rPr>
          <w:rFonts w:hint="eastAsia" w:ascii="仿宋_GB2312" w:hAnsi="仿宋_GB2312" w:eastAsia="仿宋_GB2312" w:cs="仿宋_GB2312"/>
          <w:color w:val="000000" w:themeColor="text1"/>
          <w:sz w:val="32"/>
          <w:szCs w:val="32"/>
        </w:rPr>
        <w:t>根据预算绩效管理要求，本部门（单位）在年初预算编制阶段，</w:t>
      </w:r>
      <w:r>
        <w:rPr>
          <w:rFonts w:hint="eastAsia" w:ascii="仿宋_GB2312" w:hAnsi="仿宋_GB2312" w:eastAsia="仿宋_GB2312" w:cs="仿宋_GB2312"/>
          <w:color w:val="000000" w:themeColor="text1"/>
          <w:sz w:val="32"/>
          <w:szCs w:val="32"/>
          <w:lang w:val="en-US" w:eastAsia="zh-CN"/>
        </w:rPr>
        <w:t>对专项办公费、红原县集采目录内专家劳务报酬费2个专项预算</w:t>
      </w:r>
      <w:r>
        <w:rPr>
          <w:rFonts w:hint="eastAsia" w:ascii="仿宋_GB2312" w:hAnsi="仿宋_GB2312" w:eastAsia="仿宋_GB2312" w:cs="仿宋_GB2312"/>
          <w:color w:val="000000" w:themeColor="text1"/>
          <w:sz w:val="32"/>
          <w:szCs w:val="32"/>
        </w:rPr>
        <w:t>开展了预算事前绩效评估，对</w:t>
      </w:r>
      <w:r>
        <w:rPr>
          <w:rFonts w:hint="eastAsia" w:ascii="仿宋_GB2312" w:hAnsi="仿宋_GB2312" w:eastAsia="仿宋_GB2312" w:cs="仿宋_GB2312"/>
          <w:color w:val="000000" w:themeColor="text1"/>
          <w:sz w:val="32"/>
          <w:szCs w:val="32"/>
          <w:lang w:val="en-US" w:eastAsia="zh-CN"/>
        </w:rPr>
        <w:t>2</w:t>
      </w:r>
      <w:r>
        <w:rPr>
          <w:rFonts w:hint="eastAsia" w:ascii="仿宋_GB2312" w:hAnsi="仿宋_GB2312" w:eastAsia="仿宋_GB2312" w:cs="仿宋_GB2312"/>
          <w:color w:val="000000" w:themeColor="text1"/>
          <w:sz w:val="32"/>
          <w:szCs w:val="32"/>
        </w:rPr>
        <w:t>个项目编制了绩效目标，预算执行过程中，选取</w:t>
      </w:r>
      <w:r>
        <w:rPr>
          <w:rFonts w:hint="eastAsia" w:ascii="仿宋_GB2312" w:hAnsi="仿宋_GB2312" w:eastAsia="仿宋_GB2312" w:cs="仿宋_GB2312"/>
          <w:color w:val="000000" w:themeColor="text1"/>
          <w:sz w:val="32"/>
          <w:szCs w:val="32"/>
          <w:lang w:val="en-US" w:eastAsia="zh-CN"/>
        </w:rPr>
        <w:t>2</w:t>
      </w:r>
      <w:r>
        <w:rPr>
          <w:rFonts w:hint="eastAsia" w:ascii="仿宋_GB2312" w:hAnsi="仿宋_GB2312" w:eastAsia="仿宋_GB2312" w:cs="仿宋_GB2312"/>
          <w:color w:val="000000" w:themeColor="text1"/>
          <w:sz w:val="32"/>
          <w:szCs w:val="32"/>
        </w:rPr>
        <w:t>个项目开展绩效监控，年终执行完毕后，对</w:t>
      </w:r>
      <w:r>
        <w:rPr>
          <w:rFonts w:hint="eastAsia" w:ascii="仿宋_GB2312" w:hAnsi="仿宋_GB2312" w:eastAsia="仿宋_GB2312" w:cs="仿宋_GB2312"/>
          <w:color w:val="000000" w:themeColor="text1"/>
          <w:sz w:val="32"/>
          <w:szCs w:val="32"/>
          <w:lang w:val="en-US" w:eastAsia="zh-CN"/>
        </w:rPr>
        <w:t>2</w:t>
      </w:r>
      <w:r>
        <w:rPr>
          <w:rFonts w:hint="eastAsia" w:ascii="仿宋_GB2312" w:hAnsi="仿宋_GB2312" w:eastAsia="仿宋_GB2312" w:cs="仿宋_GB2312"/>
          <w:color w:val="000000" w:themeColor="text1"/>
          <w:sz w:val="32"/>
          <w:szCs w:val="32"/>
        </w:rPr>
        <w:t>个项目开展了绩效目标完成情况自评。</w:t>
      </w:r>
    </w:p>
    <w:p w14:paraId="15D7E63E">
      <w:pPr>
        <w:pageBreakBefore w:val="0"/>
        <w:kinsoku/>
        <w:wordWrap/>
        <w:overflowPunct/>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color w:val="000000" w:themeColor="text1"/>
          <w:sz w:val="32"/>
          <w:szCs w:val="32"/>
          <w:lang w:eastAsia="zh-CN"/>
        </w:rPr>
      </w:pPr>
      <w:r>
        <w:rPr>
          <w:rFonts w:hint="eastAsia" w:ascii="仿宋_GB2312" w:hAnsi="仿宋_GB2312" w:eastAsia="仿宋_GB2312" w:cs="仿宋_GB2312"/>
          <w:color w:val="000000" w:themeColor="text1"/>
          <w:sz w:val="32"/>
          <w:szCs w:val="32"/>
        </w:rPr>
        <w:t>本部门按要求对2</w:t>
      </w:r>
      <w:r>
        <w:rPr>
          <w:rFonts w:hint="eastAsia" w:ascii="仿宋_GB2312" w:hAnsi="仿宋_GB2312" w:eastAsia="仿宋_GB2312" w:cs="仿宋_GB2312"/>
          <w:color w:val="000000" w:themeColor="text1"/>
          <w:sz w:val="32"/>
          <w:szCs w:val="32"/>
          <w:lang w:val="en-US" w:eastAsia="zh-CN"/>
        </w:rPr>
        <w:t>025</w:t>
      </w:r>
      <w:r>
        <w:rPr>
          <w:rFonts w:hint="eastAsia" w:ascii="仿宋_GB2312" w:hAnsi="仿宋_GB2312" w:eastAsia="仿宋_GB2312" w:cs="仿宋_GB2312"/>
          <w:color w:val="000000" w:themeColor="text1"/>
          <w:sz w:val="32"/>
          <w:szCs w:val="32"/>
        </w:rPr>
        <w:t>年部门整体支出开展绩效自评，从评价情况来看</w:t>
      </w:r>
      <w:r>
        <w:rPr>
          <w:rFonts w:hint="eastAsia" w:ascii="仿宋_GB2312" w:hAnsi="仿宋_GB2312" w:eastAsia="仿宋_GB2312" w:cs="仿宋_GB2312"/>
          <w:color w:val="000000" w:themeColor="text1"/>
          <w:sz w:val="32"/>
          <w:szCs w:val="32"/>
          <w:lang w:eastAsia="zh-CN"/>
        </w:rPr>
        <w:t>本单位</w:t>
      </w:r>
      <w:r>
        <w:rPr>
          <w:rFonts w:hint="eastAsia" w:ascii="仿宋_GB2312" w:hAnsi="仿宋_GB2312" w:eastAsia="仿宋_GB2312" w:cs="仿宋_GB2312"/>
          <w:color w:val="000000" w:themeColor="text1"/>
          <w:sz w:val="32"/>
          <w:szCs w:val="32"/>
          <w:lang w:val="en-US" w:eastAsia="zh-CN"/>
        </w:rPr>
        <w:t>2个项目完成情况良好，严格按照本单位制定的目标绩效管理制度来开展绩效管理工作，项目资金为专项经费的，全部用于专项工作。2025年</w:t>
      </w:r>
      <w:r>
        <w:rPr>
          <w:rFonts w:hint="eastAsia" w:ascii="仿宋_GB2312" w:hAnsi="仿宋_GB2312" w:eastAsia="仿宋_GB2312" w:cs="仿宋_GB2312"/>
          <w:color w:val="000000" w:themeColor="text1"/>
          <w:sz w:val="32"/>
          <w:szCs w:val="32"/>
          <w:shd w:val="clear" w:color="auto" w:fill="FFFFFF"/>
        </w:rPr>
        <w:t>本部门未组织开展项目支出</w:t>
      </w:r>
      <w:r>
        <w:rPr>
          <w:rFonts w:hint="eastAsia" w:ascii="仿宋_GB2312" w:hAnsi="仿宋_GB2312" w:eastAsia="仿宋_GB2312" w:cs="仿宋_GB2312"/>
          <w:color w:val="000000" w:themeColor="text1"/>
          <w:sz w:val="32"/>
          <w:szCs w:val="32"/>
          <w:shd w:val="clear" w:color="auto" w:fill="FFFFFF"/>
          <w:lang w:eastAsia="zh-CN"/>
        </w:rPr>
        <w:t>事后</w:t>
      </w:r>
      <w:r>
        <w:rPr>
          <w:rFonts w:hint="eastAsia" w:ascii="仿宋_GB2312" w:hAnsi="仿宋_GB2312" w:eastAsia="仿宋_GB2312" w:cs="仿宋_GB2312"/>
          <w:color w:val="000000" w:themeColor="text1"/>
          <w:sz w:val="32"/>
          <w:szCs w:val="32"/>
          <w:shd w:val="clear" w:color="auto" w:fill="FFFFFF"/>
        </w:rPr>
        <w:t>绩效评价</w:t>
      </w:r>
      <w:r>
        <w:rPr>
          <w:rFonts w:hint="eastAsia" w:ascii="仿宋_GB2312" w:hAnsi="仿宋_GB2312" w:eastAsia="仿宋_GB2312" w:cs="仿宋_GB2312"/>
          <w:color w:val="000000" w:themeColor="text1"/>
          <w:sz w:val="32"/>
          <w:szCs w:val="32"/>
          <w:shd w:val="clear" w:color="auto" w:fill="FFFFFF"/>
          <w:lang w:eastAsia="zh-CN"/>
        </w:rPr>
        <w:t>。</w:t>
      </w:r>
    </w:p>
    <w:p w14:paraId="5C0EB64D">
      <w:pPr>
        <w:pageBreakBefore w:val="0"/>
        <w:numPr>
          <w:ilvl w:val="0"/>
          <w:numId w:val="0"/>
        </w:numPr>
        <w:kinsoku/>
        <w:wordWrap/>
        <w:overflowPunct/>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color w:val="000000" w:themeColor="text1"/>
          <w:sz w:val="32"/>
          <w:szCs w:val="32"/>
          <w:highlight w:val="none"/>
        </w:rPr>
      </w:pPr>
      <w:r>
        <w:rPr>
          <w:rFonts w:hint="eastAsia" w:ascii="楷体_GB2312" w:hAnsi="楷体_GB2312" w:eastAsia="楷体_GB2312" w:cs="楷体_GB2312"/>
          <w:color w:val="000000" w:themeColor="text1"/>
          <w:sz w:val="32"/>
          <w:szCs w:val="32"/>
          <w:highlight w:val="none"/>
          <w:lang w:val="en-US" w:eastAsia="zh-CN"/>
        </w:rPr>
        <w:t>1.</w:t>
      </w:r>
      <w:r>
        <w:rPr>
          <w:rFonts w:hint="eastAsia" w:ascii="楷体_GB2312" w:hAnsi="楷体_GB2312" w:eastAsia="楷体_GB2312" w:cs="楷体_GB2312"/>
          <w:color w:val="000000" w:themeColor="text1"/>
          <w:sz w:val="32"/>
          <w:szCs w:val="32"/>
          <w:highlight w:val="none"/>
        </w:rPr>
        <w:t>项目绩效目标完成情况。</w:t>
      </w:r>
      <w:r>
        <w:rPr>
          <w:rFonts w:hint="eastAsia" w:ascii="楷体_GB2312" w:hAnsi="楷体_GB2312" w:eastAsia="楷体_GB2312" w:cs="楷体_GB2312"/>
          <w:color w:val="000000" w:themeColor="text1"/>
          <w:sz w:val="32"/>
          <w:szCs w:val="32"/>
          <w:highlight w:val="none"/>
        </w:rPr>
        <w:br w:type="textWrapping"/>
      </w:r>
      <w:r>
        <w:rPr>
          <w:rFonts w:hint="eastAsia" w:ascii="仿宋_GB2312" w:hAnsi="仿宋_GB2312" w:eastAsia="仿宋_GB2312" w:cs="仿宋_GB2312"/>
          <w:color w:val="000000" w:themeColor="text1"/>
          <w:sz w:val="32"/>
          <w:szCs w:val="32"/>
          <w:highlight w:val="none"/>
        </w:rPr>
        <w:t xml:space="preserve">    本部门在20</w:t>
      </w:r>
      <w:r>
        <w:rPr>
          <w:rFonts w:hint="eastAsia" w:ascii="仿宋_GB2312" w:hAnsi="仿宋_GB2312" w:eastAsia="仿宋_GB2312" w:cs="仿宋_GB2312"/>
          <w:color w:val="000000" w:themeColor="text1"/>
          <w:sz w:val="32"/>
          <w:szCs w:val="32"/>
          <w:highlight w:val="none"/>
          <w:lang w:val="en-US" w:eastAsia="zh-CN"/>
        </w:rPr>
        <w:t>25</w:t>
      </w:r>
      <w:r>
        <w:rPr>
          <w:rFonts w:hint="eastAsia" w:ascii="仿宋_GB2312" w:hAnsi="仿宋_GB2312" w:eastAsia="仿宋_GB2312" w:cs="仿宋_GB2312"/>
          <w:color w:val="000000" w:themeColor="text1"/>
          <w:sz w:val="32"/>
          <w:szCs w:val="32"/>
          <w:highlight w:val="none"/>
        </w:rPr>
        <w:t>年度部门决算中反映</w:t>
      </w:r>
      <w:r>
        <w:rPr>
          <w:rFonts w:hint="eastAsia" w:ascii="仿宋_GB2312" w:hAnsi="仿宋_GB2312" w:eastAsia="仿宋_GB2312" w:cs="仿宋_GB2312"/>
          <w:color w:val="000000" w:themeColor="text1"/>
          <w:sz w:val="32"/>
          <w:szCs w:val="32"/>
          <w:highlight w:val="none"/>
          <w:lang w:eastAsia="zh-CN"/>
        </w:rPr>
        <w:t>：</w:t>
      </w:r>
      <w:r>
        <w:rPr>
          <w:rFonts w:hint="eastAsia" w:ascii="仿宋_GB2312" w:hAnsi="仿宋_GB2312" w:eastAsia="仿宋_GB2312" w:cs="仿宋_GB2312"/>
          <w:color w:val="000000" w:themeColor="text1"/>
          <w:sz w:val="32"/>
          <w:szCs w:val="32"/>
          <w:highlight w:val="none"/>
          <w:lang w:val="en-US" w:eastAsia="zh-CN"/>
        </w:rPr>
        <w:t>“专项办公费”及“</w:t>
      </w:r>
      <w:r>
        <w:rPr>
          <w:rFonts w:hint="eastAsia" w:ascii="仿宋_GB2312" w:hAnsi="仿宋_GB2312" w:eastAsia="仿宋_GB2312" w:cs="仿宋_GB2312"/>
          <w:color w:val="000000" w:themeColor="text1"/>
          <w:sz w:val="32"/>
          <w:szCs w:val="32"/>
          <w:lang w:val="en-US" w:eastAsia="zh-CN"/>
        </w:rPr>
        <w:t>红原县集采目录内专家劳务报酬费</w:t>
      </w:r>
      <w:r>
        <w:rPr>
          <w:rFonts w:hint="eastAsia" w:ascii="仿宋_GB2312" w:hAnsi="仿宋_GB2312" w:eastAsia="仿宋_GB2312" w:cs="仿宋_GB2312"/>
          <w:color w:val="000000" w:themeColor="text1"/>
          <w:sz w:val="32"/>
          <w:szCs w:val="32"/>
          <w:highlight w:val="none"/>
          <w:lang w:val="en-US" w:eastAsia="zh-CN"/>
        </w:rPr>
        <w:t>”2</w:t>
      </w:r>
      <w:r>
        <w:rPr>
          <w:rFonts w:hint="eastAsia" w:ascii="仿宋_GB2312" w:hAnsi="仿宋_GB2312" w:eastAsia="仿宋_GB2312" w:cs="仿宋_GB2312"/>
          <w:color w:val="000000" w:themeColor="text1"/>
          <w:sz w:val="32"/>
          <w:szCs w:val="32"/>
          <w:highlight w:val="none"/>
        </w:rPr>
        <w:t>个项目绩效目标实际完成情况。</w:t>
      </w:r>
    </w:p>
    <w:p w14:paraId="0B4666D9">
      <w:pPr>
        <w:pageBreakBefore w:val="0"/>
        <w:numPr>
          <w:ilvl w:val="0"/>
          <w:numId w:val="0"/>
        </w:numPr>
        <w:kinsoku/>
        <w:wordWrap/>
        <w:overflowPunct/>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themeColor="text1"/>
          <w:sz w:val="32"/>
          <w:szCs w:val="32"/>
          <w:highlight w:val="none"/>
        </w:rPr>
        <w:t>（1）</w:t>
      </w:r>
      <w:r>
        <w:rPr>
          <w:rFonts w:hint="eastAsia" w:ascii="仿宋_GB2312" w:hAnsi="仿宋_GB2312" w:eastAsia="仿宋_GB2312" w:cs="仿宋_GB2312"/>
          <w:color w:val="000000" w:themeColor="text1"/>
          <w:kern w:val="0"/>
          <w:sz w:val="32"/>
          <w:szCs w:val="32"/>
        </w:rPr>
        <w:t>专项办公费项目</w:t>
      </w:r>
      <w:r>
        <w:rPr>
          <w:rFonts w:hint="eastAsia" w:ascii="仿宋_GB2312" w:hAnsi="仿宋_GB2312" w:eastAsia="仿宋_GB2312" w:cs="仿宋_GB2312"/>
          <w:color w:val="000000" w:themeColor="text1"/>
          <w:sz w:val="32"/>
          <w:szCs w:val="32"/>
        </w:rPr>
        <w:t>绩效目标完成情况综</w:t>
      </w:r>
      <w:r>
        <w:rPr>
          <w:rFonts w:hint="eastAsia" w:ascii="仿宋_GB2312" w:hAnsi="仿宋_GB2312" w:eastAsia="仿宋_GB2312" w:cs="仿宋_GB2312"/>
          <w:color w:val="000000"/>
          <w:sz w:val="32"/>
          <w:szCs w:val="32"/>
        </w:rPr>
        <w:t>述。项目全年预算数</w:t>
      </w:r>
      <w:r>
        <w:rPr>
          <w:rFonts w:hint="eastAsia" w:ascii="仿宋_GB2312" w:hAnsi="仿宋_GB2312" w:eastAsia="仿宋_GB2312" w:cs="仿宋_GB2312"/>
          <w:color w:val="000000"/>
          <w:sz w:val="32"/>
          <w:szCs w:val="32"/>
          <w:lang w:val="en-US" w:eastAsia="zh-CN"/>
        </w:rPr>
        <w:t>69</w:t>
      </w:r>
      <w:r>
        <w:rPr>
          <w:rFonts w:hint="eastAsia" w:ascii="仿宋_GB2312" w:hAnsi="仿宋_GB2312" w:eastAsia="仿宋_GB2312" w:cs="仿宋_GB2312"/>
          <w:color w:val="000000"/>
          <w:sz w:val="32"/>
          <w:szCs w:val="32"/>
        </w:rPr>
        <w:t>万元，执行数为</w:t>
      </w:r>
      <w:r>
        <w:rPr>
          <w:rFonts w:hint="eastAsia" w:ascii="仿宋_GB2312" w:hAnsi="仿宋_GB2312" w:eastAsia="仿宋_GB2312" w:cs="仿宋_GB2312"/>
          <w:color w:val="000000"/>
          <w:kern w:val="0"/>
          <w:sz w:val="32"/>
          <w:szCs w:val="32"/>
          <w:lang w:val="en-US" w:eastAsia="zh-CN"/>
        </w:rPr>
        <w:t>69</w:t>
      </w:r>
      <w:r>
        <w:rPr>
          <w:rFonts w:hint="eastAsia" w:ascii="仿宋_GB2312" w:hAnsi="仿宋_GB2312" w:eastAsia="仿宋_GB2312" w:cs="仿宋_GB2312"/>
          <w:color w:val="000000"/>
          <w:sz w:val="32"/>
          <w:szCs w:val="32"/>
        </w:rPr>
        <w:t>万元，完成预算的</w:t>
      </w:r>
      <w:r>
        <w:rPr>
          <w:rFonts w:hint="eastAsia" w:ascii="仿宋_GB2312" w:hAnsi="仿宋_GB2312" w:eastAsia="仿宋_GB2312" w:cs="仿宋_GB2312"/>
          <w:color w:val="000000"/>
          <w:sz w:val="32"/>
          <w:szCs w:val="32"/>
          <w:lang w:val="en-US" w:eastAsia="zh-CN"/>
        </w:rPr>
        <w:t>100</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kern w:val="0"/>
          <w:sz w:val="32"/>
          <w:szCs w:val="32"/>
        </w:rPr>
        <w:t>保障政务中心大楼正常运转，保障全县政府集中采购工作开展</w:t>
      </w:r>
      <w:r>
        <w:rPr>
          <w:rFonts w:hint="eastAsia" w:ascii="仿宋_GB2312" w:hAnsi="仿宋_GB2312" w:eastAsia="仿宋_GB2312" w:cs="仿宋_GB2312"/>
          <w:color w:val="000000"/>
          <w:sz w:val="32"/>
          <w:szCs w:val="32"/>
        </w:rPr>
        <w:t>。</w:t>
      </w:r>
    </w:p>
    <w:p w14:paraId="352C8885">
      <w:pPr>
        <w:pStyle w:val="7"/>
        <w:ind w:left="0" w:leftChars="0" w:firstLine="0" w:firstLineChars="0"/>
        <w:rPr>
          <w:rFonts w:hint="default" w:eastAsia="仿宋_GB2312"/>
          <w:color w:val="FF0000"/>
          <w:lang w:val="en-US" w:eastAsia="zh-CN"/>
        </w:rPr>
      </w:pP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themeColor="text1"/>
          <w:sz w:val="32"/>
          <w:szCs w:val="32"/>
          <w:lang w:val="en-US" w:eastAsia="zh-CN"/>
        </w:rPr>
        <w:t>（2）红原县集采目录内专家劳务报酬费。项目全年预算数10万元，执行数为5.85万元，完成预算的58.5%，该项目根据实际产生专家费用支付，提高了政府采购工作质量，规范和统一评审专家劳务报酬标准，维护评审专家和采购人、采购机构的合法权益。</w:t>
      </w:r>
    </w:p>
    <w:tbl>
      <w:tblPr>
        <w:tblStyle w:val="18"/>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390"/>
        <w:gridCol w:w="1005"/>
        <w:gridCol w:w="737"/>
        <w:gridCol w:w="853"/>
        <w:gridCol w:w="2625"/>
        <w:gridCol w:w="1935"/>
        <w:gridCol w:w="2415"/>
      </w:tblGrid>
      <w:tr w14:paraId="43F07A35">
        <w:tblPrEx>
          <w:tblCellMar>
            <w:top w:w="0" w:type="dxa"/>
            <w:left w:w="0" w:type="dxa"/>
            <w:bottom w:w="0" w:type="dxa"/>
            <w:right w:w="0" w:type="dxa"/>
          </w:tblCellMar>
        </w:tblPrEx>
        <w:trPr>
          <w:trHeight w:val="1034" w:hRule="atLeast"/>
        </w:trPr>
        <w:tc>
          <w:tcPr>
            <w:tcW w:w="9960" w:type="dxa"/>
            <w:gridSpan w:val="7"/>
            <w:tcMar>
              <w:top w:w="15" w:type="dxa"/>
              <w:left w:w="15" w:type="dxa"/>
              <w:bottom w:w="0" w:type="dxa"/>
              <w:right w:w="15" w:type="dxa"/>
            </w:tcMar>
            <w:vAlign w:val="center"/>
          </w:tcPr>
          <w:p w14:paraId="1470E085">
            <w:pPr>
              <w:pStyle w:val="29"/>
              <w:widowControl/>
              <w:ind w:left="4173" w:leftChars="1310" w:hanging="1422" w:hangingChars="395"/>
              <w:textAlignment w:val="center"/>
              <w:rPr>
                <w:rFonts w:ascii="宋体" w:hAnsi="宋体" w:cs="宋体"/>
                <w:color w:val="000000"/>
                <w:sz w:val="36"/>
                <w:szCs w:val="36"/>
              </w:rPr>
            </w:pPr>
            <w:r>
              <w:rPr>
                <w:rFonts w:hint="eastAsia" w:ascii="黑体" w:hAnsi="黑体" w:eastAsia="黑体" w:cs="宋体"/>
                <w:bCs/>
                <w:color w:val="000000"/>
                <w:kern w:val="0"/>
                <w:sz w:val="36"/>
                <w:szCs w:val="36"/>
                <w:lang w:bidi="ar"/>
              </w:rPr>
              <w:t>项目支出绩效目标完成情况表</w:t>
            </w:r>
            <w:r>
              <w:rPr>
                <w:rFonts w:hint="eastAsia" w:ascii="宋体" w:hAnsi="宋体" w:cs="宋体"/>
                <w:b/>
                <w:bCs/>
                <w:color w:val="000000"/>
                <w:kern w:val="0"/>
                <w:sz w:val="36"/>
                <w:szCs w:val="36"/>
                <w:lang w:bidi="ar"/>
              </w:rPr>
              <w:br w:type="textWrapping"/>
            </w:r>
            <w:r>
              <w:rPr>
                <w:rFonts w:hint="eastAsia" w:ascii="宋体" w:hAnsi="宋体" w:cs="宋体"/>
                <w:color w:val="000000"/>
                <w:kern w:val="0"/>
                <w:sz w:val="36"/>
                <w:szCs w:val="36"/>
                <w:lang w:bidi="ar"/>
              </w:rPr>
              <w:t>(20</w:t>
            </w:r>
            <w:r>
              <w:rPr>
                <w:rFonts w:hint="eastAsia" w:ascii="宋体" w:hAnsi="宋体" w:cs="宋体"/>
                <w:color w:val="000000"/>
                <w:kern w:val="0"/>
                <w:sz w:val="36"/>
                <w:szCs w:val="36"/>
                <w:lang w:val="en-US" w:eastAsia="zh-CN" w:bidi="ar"/>
              </w:rPr>
              <w:t>25</w:t>
            </w:r>
            <w:r>
              <w:rPr>
                <w:rFonts w:hint="eastAsia" w:ascii="宋体" w:hAnsi="宋体" w:cs="宋体"/>
                <w:color w:val="000000"/>
                <w:kern w:val="0"/>
                <w:sz w:val="36"/>
                <w:szCs w:val="36"/>
                <w:lang w:bidi="ar"/>
              </w:rPr>
              <w:t>年度)</w:t>
            </w:r>
          </w:p>
        </w:tc>
      </w:tr>
      <w:tr w14:paraId="2CAA8651">
        <w:tblPrEx>
          <w:tblCellMar>
            <w:top w:w="0" w:type="dxa"/>
            <w:left w:w="0" w:type="dxa"/>
            <w:bottom w:w="0" w:type="dxa"/>
            <w:right w:w="0" w:type="dxa"/>
          </w:tblCellMar>
        </w:tblPrEx>
        <w:trPr>
          <w:trHeight w:val="276" w:hRule="atLeast"/>
        </w:trPr>
        <w:tc>
          <w:tcPr>
            <w:tcW w:w="2132"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5B09DFD">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项目名称</w:t>
            </w:r>
          </w:p>
        </w:tc>
        <w:tc>
          <w:tcPr>
            <w:tcW w:w="7828"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597BB57">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专项办公费</w:t>
            </w:r>
          </w:p>
        </w:tc>
      </w:tr>
      <w:tr w14:paraId="5BE5249F">
        <w:tblPrEx>
          <w:tblCellMar>
            <w:top w:w="0" w:type="dxa"/>
            <w:left w:w="0" w:type="dxa"/>
            <w:bottom w:w="0" w:type="dxa"/>
            <w:right w:w="0" w:type="dxa"/>
          </w:tblCellMar>
        </w:tblPrEx>
        <w:trPr>
          <w:trHeight w:val="276" w:hRule="atLeast"/>
        </w:trPr>
        <w:tc>
          <w:tcPr>
            <w:tcW w:w="2132"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84ABB37">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预算单位</w:t>
            </w:r>
          </w:p>
        </w:tc>
        <w:tc>
          <w:tcPr>
            <w:tcW w:w="7828"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0F13C81">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eastAsia="zh-CN"/>
              </w:rPr>
              <w:t>红原县</w:t>
            </w:r>
            <w:r>
              <w:rPr>
                <w:rFonts w:hint="eastAsia" w:ascii="宋体" w:hAnsi="宋体" w:cs="宋体"/>
                <w:color w:val="000000"/>
                <w:sz w:val="24"/>
                <w:lang w:val="en-US" w:eastAsia="zh-CN"/>
              </w:rPr>
              <w:t>行政审批和政务服务管理局</w:t>
            </w:r>
          </w:p>
        </w:tc>
      </w:tr>
      <w:tr w14:paraId="68CAD1B7">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E0BB9A9">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预算执行情况(万元)</w:t>
            </w:r>
          </w:p>
        </w:tc>
        <w:tc>
          <w:tcPr>
            <w:tcW w:w="174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B503EA2">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预算数:</w:t>
            </w:r>
          </w:p>
        </w:tc>
        <w:tc>
          <w:tcPr>
            <w:tcW w:w="85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5ED6DF8">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69万元</w:t>
            </w:r>
          </w:p>
        </w:tc>
        <w:tc>
          <w:tcPr>
            <w:tcW w:w="45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FA0781F">
            <w:pPr>
              <w:widowControl/>
              <w:jc w:val="center"/>
              <w:textAlignment w:val="center"/>
              <w:rPr>
                <w:rFonts w:ascii="宋体" w:hAnsi="宋体" w:cs="宋体"/>
                <w:color w:val="000000"/>
                <w:sz w:val="24"/>
              </w:rPr>
            </w:pPr>
            <w:r>
              <w:rPr>
                <w:rFonts w:hint="eastAsia" w:ascii="宋体" w:hAnsi="宋体" w:cs="宋体"/>
                <w:color w:val="000000"/>
                <w:kern w:val="0"/>
                <w:sz w:val="24"/>
                <w:lang w:bidi="ar"/>
              </w:rPr>
              <w:t>执行数:</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58A8743">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69万元</w:t>
            </w:r>
          </w:p>
        </w:tc>
      </w:tr>
      <w:tr w14:paraId="276024AD">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7D0BC742">
            <w:pPr>
              <w:widowControl/>
              <w:jc w:val="left"/>
              <w:rPr>
                <w:rFonts w:ascii="宋体" w:hAnsi="宋体" w:cs="宋体"/>
                <w:color w:val="000000"/>
                <w:sz w:val="24"/>
              </w:rPr>
            </w:pPr>
          </w:p>
        </w:tc>
        <w:tc>
          <w:tcPr>
            <w:tcW w:w="174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06FACE4">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其中-财政拨款:</w:t>
            </w:r>
          </w:p>
        </w:tc>
        <w:tc>
          <w:tcPr>
            <w:tcW w:w="85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3670FEF">
            <w:pPr>
              <w:widowControl/>
              <w:jc w:val="center"/>
              <w:textAlignment w:val="center"/>
              <w:rPr>
                <w:rFonts w:ascii="宋体" w:hAnsi="宋体" w:cs="宋体"/>
                <w:color w:val="000000"/>
                <w:sz w:val="24"/>
              </w:rPr>
            </w:pPr>
            <w:r>
              <w:rPr>
                <w:rFonts w:hint="eastAsia" w:ascii="宋体" w:hAnsi="宋体" w:cs="宋体"/>
                <w:color w:val="000000"/>
                <w:sz w:val="24"/>
                <w:lang w:val="en-US" w:eastAsia="zh-CN"/>
              </w:rPr>
              <w:t>69万元</w:t>
            </w:r>
          </w:p>
        </w:tc>
        <w:tc>
          <w:tcPr>
            <w:tcW w:w="45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8C9CEF9">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其中-财政拨款:</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41C000F">
            <w:pPr>
              <w:widowControl/>
              <w:jc w:val="center"/>
              <w:textAlignment w:val="center"/>
              <w:rPr>
                <w:rFonts w:ascii="宋体" w:hAnsi="宋体" w:cs="宋体"/>
                <w:color w:val="000000"/>
                <w:sz w:val="24"/>
              </w:rPr>
            </w:pPr>
            <w:r>
              <w:rPr>
                <w:rFonts w:hint="eastAsia" w:ascii="宋体" w:hAnsi="宋体" w:cs="宋体"/>
                <w:color w:val="000000"/>
                <w:sz w:val="24"/>
                <w:lang w:val="en-US" w:eastAsia="zh-CN"/>
              </w:rPr>
              <w:t>69万元</w:t>
            </w:r>
          </w:p>
        </w:tc>
      </w:tr>
      <w:tr w14:paraId="167AAA43">
        <w:tblPrEx>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70F6C923">
            <w:pPr>
              <w:widowControl/>
              <w:jc w:val="left"/>
              <w:rPr>
                <w:rFonts w:ascii="宋体" w:hAnsi="宋体" w:cs="宋体"/>
                <w:color w:val="000000"/>
                <w:sz w:val="24"/>
              </w:rPr>
            </w:pPr>
          </w:p>
        </w:tc>
        <w:tc>
          <w:tcPr>
            <w:tcW w:w="174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BFB6707">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其它资金:</w:t>
            </w:r>
          </w:p>
        </w:tc>
        <w:tc>
          <w:tcPr>
            <w:tcW w:w="85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E17A870">
            <w:pPr>
              <w:widowControl/>
              <w:jc w:val="center"/>
              <w:textAlignment w:val="center"/>
              <w:rPr>
                <w:rFonts w:ascii="宋体" w:hAnsi="宋体" w:cs="宋体"/>
                <w:color w:val="000000"/>
                <w:sz w:val="24"/>
              </w:rPr>
            </w:pPr>
            <w:r>
              <w:rPr>
                <w:rFonts w:hint="eastAsia" w:ascii="宋体" w:hAnsi="宋体" w:cs="宋体"/>
                <w:color w:val="000000"/>
                <w:kern w:val="0"/>
                <w:sz w:val="24"/>
                <w:lang w:bidi="ar"/>
              </w:rPr>
              <w:t>0</w:t>
            </w:r>
          </w:p>
        </w:tc>
        <w:tc>
          <w:tcPr>
            <w:tcW w:w="45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A4CD24A">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其它资金:</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5FAA204">
            <w:pPr>
              <w:jc w:val="center"/>
              <w:rPr>
                <w:rFonts w:ascii="宋体" w:hAnsi="宋体" w:cs="宋体"/>
                <w:color w:val="000000"/>
                <w:sz w:val="24"/>
              </w:rPr>
            </w:pPr>
          </w:p>
        </w:tc>
      </w:tr>
      <w:tr w14:paraId="4E8D32B7">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7367AEB">
            <w:pPr>
              <w:widowControl/>
              <w:jc w:val="center"/>
              <w:textAlignment w:val="center"/>
              <w:rPr>
                <w:rFonts w:ascii="宋体" w:hAnsi="宋体" w:cs="宋体"/>
                <w:color w:val="000000"/>
                <w:sz w:val="24"/>
              </w:rPr>
            </w:pPr>
            <w:r>
              <w:rPr>
                <w:rFonts w:hint="eastAsia" w:ascii="宋体" w:hAnsi="宋体" w:cs="宋体"/>
                <w:color w:val="000000"/>
                <w:kern w:val="0"/>
                <w:sz w:val="24"/>
                <w:lang w:bidi="ar"/>
              </w:rPr>
              <w:t>年度目标完成情况</w:t>
            </w:r>
          </w:p>
        </w:tc>
        <w:tc>
          <w:tcPr>
            <w:tcW w:w="259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9267505">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预期目标</w:t>
            </w:r>
          </w:p>
        </w:tc>
        <w:tc>
          <w:tcPr>
            <w:tcW w:w="697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CE6C7AD">
            <w:pPr>
              <w:widowControl/>
              <w:jc w:val="center"/>
              <w:textAlignment w:val="center"/>
              <w:rPr>
                <w:rFonts w:ascii="宋体" w:hAnsi="宋体" w:cs="宋体"/>
                <w:color w:val="000000"/>
                <w:sz w:val="24"/>
              </w:rPr>
            </w:pPr>
            <w:r>
              <w:rPr>
                <w:rFonts w:hint="eastAsia" w:ascii="宋体" w:hAnsi="宋体" w:cs="宋体"/>
                <w:color w:val="000000"/>
                <w:kern w:val="0"/>
                <w:sz w:val="24"/>
                <w:lang w:bidi="ar"/>
              </w:rPr>
              <w:t>实际完成目标</w:t>
            </w:r>
          </w:p>
        </w:tc>
      </w:tr>
      <w:tr w14:paraId="4529F3D7">
        <w:tblPrEx>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3DC1EA42">
            <w:pPr>
              <w:widowControl/>
              <w:jc w:val="left"/>
              <w:rPr>
                <w:rFonts w:ascii="宋体" w:hAnsi="宋体" w:cs="宋体"/>
                <w:color w:val="000000"/>
                <w:sz w:val="24"/>
              </w:rPr>
            </w:pPr>
          </w:p>
        </w:tc>
        <w:tc>
          <w:tcPr>
            <w:tcW w:w="259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EC611EB">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保障政务中心大楼及政务大厅正常运转，保障全县政府集中采购工作开展。</w:t>
            </w:r>
          </w:p>
        </w:tc>
        <w:tc>
          <w:tcPr>
            <w:tcW w:w="697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F765200">
            <w:pPr>
              <w:widowControl/>
              <w:jc w:val="left"/>
              <w:textAlignment w:val="center"/>
              <w:rPr>
                <w:rFonts w:hint="default" w:ascii="宋体" w:hAnsi="宋体" w:eastAsia="宋体" w:cs="宋体"/>
                <w:color w:val="000000"/>
                <w:sz w:val="24"/>
                <w:lang w:val="en-US" w:eastAsia="zh-CN"/>
              </w:rPr>
            </w:pPr>
            <w:r>
              <w:rPr>
                <w:rFonts w:hint="eastAsia" w:asciiTheme="minorEastAsia" w:hAnsiTheme="minorEastAsia" w:eastAsiaTheme="minorEastAsia" w:cstheme="minorEastAsia"/>
                <w:b w:val="0"/>
                <w:bCs w:val="0"/>
                <w:color w:val="000000"/>
                <w:spacing w:val="0"/>
                <w:kern w:val="2"/>
                <w:sz w:val="21"/>
                <w:szCs w:val="21"/>
                <w:lang w:val="en-US" w:eastAsia="zh-CN" w:bidi="ar-SA"/>
              </w:rPr>
              <w:t>政务大厅全县办理业务人次数18000余人次，全县通过省一体化平台办结政务服务事项和行业自建系统导入对接办结政务服务事项共14367件，其中：线上办件8530件、线下办件5837件，按时办结率99.43%。</w:t>
            </w:r>
            <w:r>
              <w:rPr>
                <w:rFonts w:hint="eastAsia" w:asciiTheme="minorEastAsia" w:hAnsiTheme="minorEastAsia" w:eastAsiaTheme="minorEastAsia" w:cstheme="minorEastAsia"/>
                <w:color w:val="000000"/>
                <w:spacing w:val="0"/>
                <w:kern w:val="2"/>
                <w:sz w:val="21"/>
                <w:szCs w:val="21"/>
                <w:highlight w:val="none"/>
                <w:lang w:val="en-US" w:eastAsia="zh-CN" w:bidi="ar-SA"/>
              </w:rPr>
              <w:t>完成政府采购项目39个，预算价10348.15万元、中标价8948.19万元、节约财政资金1399.96万元，结余率为13%，有效地降低了财政支出，最大限度地发挥了财政资金使用效益。</w:t>
            </w:r>
          </w:p>
        </w:tc>
      </w:tr>
      <w:tr w14:paraId="53DB8A10">
        <w:tblPrEx>
          <w:tblCellMar>
            <w:top w:w="0" w:type="dxa"/>
            <w:left w:w="0" w:type="dxa"/>
            <w:bottom w:w="0" w:type="dxa"/>
            <w:right w:w="0" w:type="dxa"/>
          </w:tblCellMar>
        </w:tblPrEx>
        <w:trPr>
          <w:trHeight w:val="1752"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F2D302D">
            <w:pPr>
              <w:widowControl/>
              <w:jc w:val="center"/>
              <w:textAlignment w:val="center"/>
              <w:rPr>
                <w:rFonts w:ascii="宋体" w:hAnsi="宋体" w:cs="宋体"/>
                <w:color w:val="000000"/>
                <w:sz w:val="24"/>
              </w:rPr>
            </w:pPr>
            <w:r>
              <w:rPr>
                <w:rFonts w:hint="eastAsia" w:ascii="宋体" w:hAnsi="宋体" w:cs="宋体"/>
                <w:color w:val="000000"/>
                <w:sz w:val="24"/>
              </w:rPr>
              <w:t>绩效指标完成情况</w:t>
            </w:r>
          </w:p>
        </w:tc>
        <w:tc>
          <w:tcPr>
            <w:tcW w:w="10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87D0EB1">
            <w:pPr>
              <w:widowControl/>
              <w:jc w:val="center"/>
              <w:textAlignment w:val="center"/>
              <w:rPr>
                <w:rFonts w:ascii="宋体" w:hAnsi="宋体" w:cs="宋体"/>
                <w:color w:val="000000"/>
                <w:sz w:val="24"/>
              </w:rPr>
            </w:pPr>
            <w:r>
              <w:rPr>
                <w:rFonts w:hint="eastAsia" w:ascii="宋体" w:hAnsi="宋体" w:cs="宋体"/>
                <w:color w:val="000000"/>
                <w:kern w:val="0"/>
                <w:sz w:val="24"/>
                <w:lang w:bidi="ar"/>
              </w:rPr>
              <w:t>一级指标</w:t>
            </w:r>
          </w:p>
        </w:tc>
        <w:tc>
          <w:tcPr>
            <w:tcW w:w="7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6FA908F">
            <w:pPr>
              <w:widowControl/>
              <w:jc w:val="center"/>
              <w:textAlignment w:val="center"/>
              <w:rPr>
                <w:rFonts w:ascii="宋体" w:hAnsi="宋体" w:cs="宋体"/>
                <w:color w:val="000000"/>
                <w:sz w:val="24"/>
              </w:rPr>
            </w:pPr>
            <w:r>
              <w:rPr>
                <w:rFonts w:hint="eastAsia" w:ascii="宋体" w:hAnsi="宋体" w:cs="宋体"/>
                <w:color w:val="000000"/>
                <w:kern w:val="0"/>
                <w:sz w:val="24"/>
                <w:lang w:bidi="ar"/>
              </w:rPr>
              <w:t>二级指标</w:t>
            </w:r>
          </w:p>
        </w:tc>
        <w:tc>
          <w:tcPr>
            <w:tcW w:w="85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E6AF86D">
            <w:pPr>
              <w:widowControl/>
              <w:jc w:val="center"/>
              <w:textAlignment w:val="center"/>
              <w:rPr>
                <w:rFonts w:ascii="宋体" w:hAnsi="宋体" w:cs="宋体"/>
                <w:color w:val="000000"/>
                <w:sz w:val="24"/>
              </w:rPr>
            </w:pPr>
            <w:r>
              <w:rPr>
                <w:rFonts w:hint="eastAsia" w:ascii="宋体" w:hAnsi="宋体" w:cs="宋体"/>
                <w:color w:val="000000"/>
                <w:kern w:val="0"/>
                <w:sz w:val="24"/>
                <w:lang w:bidi="ar"/>
              </w:rPr>
              <w:t>三级指标</w:t>
            </w:r>
          </w:p>
        </w:tc>
        <w:tc>
          <w:tcPr>
            <w:tcW w:w="2625" w:type="dxa"/>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14:paraId="3849661B">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指标评价内容</w:t>
            </w:r>
          </w:p>
        </w:tc>
        <w:tc>
          <w:tcPr>
            <w:tcW w:w="1935" w:type="dxa"/>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63BF906F">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预期指标值(包含数字及文字描述)</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9BAACD1">
            <w:pPr>
              <w:widowControl/>
              <w:jc w:val="center"/>
              <w:textAlignment w:val="center"/>
              <w:rPr>
                <w:rFonts w:ascii="宋体" w:hAnsi="宋体" w:cs="宋体"/>
                <w:color w:val="000000"/>
                <w:sz w:val="24"/>
              </w:rPr>
            </w:pPr>
            <w:r>
              <w:rPr>
                <w:rFonts w:hint="eastAsia" w:ascii="宋体" w:hAnsi="宋体" w:cs="宋体"/>
                <w:color w:val="000000"/>
                <w:kern w:val="0"/>
                <w:sz w:val="24"/>
                <w:lang w:bidi="ar"/>
              </w:rPr>
              <w:t>实际完成指标值(包含数字及文字描述)</w:t>
            </w:r>
          </w:p>
        </w:tc>
      </w:tr>
      <w:tr w14:paraId="47438567">
        <w:tblPrEx>
          <w:tblCellMar>
            <w:top w:w="0" w:type="dxa"/>
            <w:left w:w="0" w:type="dxa"/>
            <w:bottom w:w="0" w:type="dxa"/>
            <w:right w:w="0" w:type="dxa"/>
          </w:tblCellMar>
        </w:tblPrEx>
        <w:trPr>
          <w:trHeight w:val="76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22F51D1F">
            <w:pPr>
              <w:widowControl/>
              <w:jc w:val="left"/>
              <w:rPr>
                <w:rFonts w:ascii="宋体" w:hAnsi="宋体" w:cs="宋体"/>
                <w:color w:val="000000"/>
                <w:sz w:val="24"/>
              </w:rPr>
            </w:pPr>
          </w:p>
        </w:tc>
        <w:tc>
          <w:tcPr>
            <w:tcW w:w="100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14B1E869">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产出指标</w:t>
            </w:r>
          </w:p>
        </w:tc>
        <w:tc>
          <w:tcPr>
            <w:tcW w:w="737"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70DE644A">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数量指标</w:t>
            </w:r>
          </w:p>
        </w:tc>
        <w:tc>
          <w:tcPr>
            <w:tcW w:w="853"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0986D6E1">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业务办理件数</w:t>
            </w:r>
          </w:p>
        </w:tc>
        <w:tc>
          <w:tcPr>
            <w:tcW w:w="2625" w:type="dxa"/>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6CBE1253">
            <w:pPr>
              <w:widowControl/>
              <w:jc w:val="center"/>
              <w:textAlignment w:val="center"/>
              <w:rPr>
                <w:rFonts w:hint="eastAsia" w:ascii="宋体" w:hAnsi="宋体" w:cs="宋体"/>
                <w:color w:val="auto"/>
                <w:sz w:val="20"/>
                <w:szCs w:val="20"/>
                <w:lang w:eastAsia="zh-CN"/>
              </w:rPr>
            </w:pPr>
            <w:r>
              <w:rPr>
                <w:rFonts w:hint="eastAsia" w:ascii="宋体" w:hAnsi="宋体" w:cs="宋体"/>
                <w:color w:val="auto"/>
                <w:sz w:val="20"/>
                <w:szCs w:val="20"/>
                <w:lang w:eastAsia="zh-CN"/>
              </w:rPr>
              <w:t>项目预期提供的产品、服务、效益或其他目标明确,即绩效目标实际明确个数/应当明确个数×100%</w:t>
            </w:r>
          </w:p>
        </w:tc>
        <w:tc>
          <w:tcPr>
            <w:tcW w:w="1935" w:type="dxa"/>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6B5CAC2C">
            <w:pPr>
              <w:widowControl/>
              <w:jc w:val="left"/>
              <w:textAlignment w:val="center"/>
              <w:rPr>
                <w:rFonts w:hint="default" w:ascii="宋体" w:hAnsi="宋体" w:cs="宋体"/>
                <w:color w:val="auto"/>
                <w:sz w:val="20"/>
                <w:szCs w:val="20"/>
                <w:lang w:val="en-US" w:eastAsia="zh-CN"/>
              </w:rPr>
            </w:pPr>
            <w:r>
              <w:rPr>
                <w:rFonts w:hint="eastAsia" w:ascii="宋体" w:hAnsi="宋体" w:cs="宋体"/>
                <w:color w:val="auto"/>
                <w:sz w:val="20"/>
                <w:szCs w:val="20"/>
                <w:lang w:val="en-US" w:eastAsia="zh-CN"/>
              </w:rPr>
              <w:t>业务办理件数</w:t>
            </w:r>
            <w:r>
              <w:rPr>
                <w:rFonts w:hint="eastAsia" w:ascii="仿宋_GB2312" w:hAnsi="仿宋_GB2312" w:eastAsia="仿宋_GB2312" w:cs="仿宋_GB2312"/>
                <w:color w:val="auto"/>
                <w:sz w:val="20"/>
                <w:szCs w:val="20"/>
                <w:lang w:val="en-US" w:eastAsia="zh-CN"/>
              </w:rPr>
              <w:t>≥</w:t>
            </w:r>
            <w:r>
              <w:rPr>
                <w:rFonts w:hint="eastAsia" w:ascii="宋体" w:hAnsi="宋体" w:cs="宋体"/>
                <w:color w:val="auto"/>
                <w:sz w:val="20"/>
                <w:szCs w:val="20"/>
                <w:lang w:val="en-US" w:eastAsia="zh-CN"/>
              </w:rPr>
              <w:t>13000件，业务办理人次数</w:t>
            </w:r>
            <w:r>
              <w:rPr>
                <w:rFonts w:hint="eastAsia" w:ascii="仿宋_GB2312" w:hAnsi="仿宋_GB2312" w:eastAsia="仿宋_GB2312" w:cs="仿宋_GB2312"/>
                <w:color w:val="auto"/>
                <w:sz w:val="20"/>
                <w:szCs w:val="20"/>
                <w:lang w:val="en-US" w:eastAsia="zh-CN"/>
              </w:rPr>
              <w:t>≥18000人次。政府采购≥30批次。</w:t>
            </w:r>
          </w:p>
        </w:tc>
        <w:tc>
          <w:tcPr>
            <w:tcW w:w="241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0628833D">
            <w:pPr>
              <w:widowControl/>
              <w:jc w:val="left"/>
              <w:textAlignment w:val="center"/>
              <w:rPr>
                <w:rFonts w:hint="default" w:ascii="宋体" w:hAnsi="宋体" w:eastAsia="宋体" w:cs="宋体"/>
                <w:color w:val="auto"/>
                <w:sz w:val="20"/>
                <w:szCs w:val="20"/>
                <w:lang w:val="en-US" w:eastAsia="zh-CN"/>
              </w:rPr>
            </w:pPr>
            <w:r>
              <w:rPr>
                <w:rFonts w:hint="eastAsia" w:asciiTheme="minorEastAsia" w:hAnsiTheme="minorEastAsia" w:eastAsiaTheme="minorEastAsia" w:cstheme="minorEastAsia"/>
                <w:b w:val="0"/>
                <w:bCs w:val="0"/>
                <w:color w:val="000000"/>
                <w:spacing w:val="0"/>
                <w:kern w:val="2"/>
                <w:sz w:val="18"/>
                <w:szCs w:val="18"/>
                <w:lang w:val="en-US" w:eastAsia="zh-CN" w:bidi="ar-SA"/>
              </w:rPr>
              <w:t>全县办理业务人次数18000余人次，全县通过省一体化平台办结政务服务事项和行业自建系统导入对接办结政务服务事项共14367件，其中：线上办件8530件、线下办件5837件，按时办结率99.43%。</w:t>
            </w:r>
            <w:r>
              <w:rPr>
                <w:rFonts w:hint="eastAsia" w:asciiTheme="minorEastAsia" w:hAnsiTheme="minorEastAsia" w:eastAsiaTheme="minorEastAsia" w:cstheme="minorEastAsia"/>
                <w:color w:val="000000"/>
                <w:spacing w:val="0"/>
                <w:kern w:val="2"/>
                <w:sz w:val="18"/>
                <w:szCs w:val="18"/>
                <w:highlight w:val="none"/>
                <w:lang w:val="en-US" w:eastAsia="zh-CN" w:bidi="ar-SA"/>
              </w:rPr>
              <w:t>完成政府采购项目39个，预算价10348.15万元、中标价8948.19万元、节约财政资金1399.96万元，结余率为13%，有效地降低了财政支出，最大限度地发挥了财政资金使用效益。</w:t>
            </w:r>
          </w:p>
        </w:tc>
      </w:tr>
      <w:tr w14:paraId="6BF7EB9D">
        <w:tblPrEx>
          <w:tblCellMar>
            <w:top w:w="0" w:type="dxa"/>
            <w:left w:w="0" w:type="dxa"/>
            <w:bottom w:w="0" w:type="dxa"/>
            <w:right w:w="0" w:type="dxa"/>
          </w:tblCellMar>
        </w:tblPrEx>
        <w:trPr>
          <w:trHeight w:val="81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4867611F">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639327CB">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4F8C62A1">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231483AB">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进度计划</w:t>
            </w:r>
          </w:p>
        </w:tc>
        <w:tc>
          <w:tcPr>
            <w:tcW w:w="26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169BEC37">
            <w:pPr>
              <w:widowControl/>
              <w:jc w:val="center"/>
              <w:textAlignment w:val="center"/>
              <w:rPr>
                <w:rFonts w:ascii="宋体" w:hAnsi="宋体" w:cs="宋体"/>
                <w:color w:val="000000"/>
                <w:sz w:val="24"/>
              </w:rPr>
            </w:pPr>
            <w:r>
              <w:rPr>
                <w:rFonts w:hint="eastAsia" w:cs="宋体" w:asciiTheme="minorEastAsia" w:hAnsiTheme="minorEastAsia" w:eastAsiaTheme="minorEastAsia"/>
                <w:color w:val="000000"/>
                <w:kern w:val="0"/>
                <w:sz w:val="20"/>
                <w:szCs w:val="20"/>
              </w:rPr>
              <w:t>项目计划实施进度明确</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65B41BB1">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一年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28362F42">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按计划完成</w:t>
            </w:r>
          </w:p>
        </w:tc>
      </w:tr>
      <w:tr w14:paraId="0781C859">
        <w:tblPrEx>
          <w:tblCellMar>
            <w:top w:w="0" w:type="dxa"/>
            <w:left w:w="0" w:type="dxa"/>
            <w:bottom w:w="0" w:type="dxa"/>
            <w:right w:w="0" w:type="dxa"/>
          </w:tblCellMar>
        </w:tblPrEx>
        <w:trPr>
          <w:trHeight w:val="838"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534403A9">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5AF7CE70">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4BAA72A8">
            <w:pPr>
              <w:widowControl/>
              <w:jc w:val="center"/>
              <w:textAlignment w:val="center"/>
              <w:rPr>
                <w:rFonts w:hint="eastAsia" w:ascii="宋体" w:hAnsi="宋体" w:cs="宋体"/>
                <w:color w:val="000000"/>
                <w:sz w:val="24"/>
                <w:lang w:eastAsia="zh-CN"/>
              </w:rPr>
            </w:pPr>
          </w:p>
        </w:tc>
        <w:tc>
          <w:tcPr>
            <w:tcW w:w="853"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14:paraId="03CE49F6">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实施规划</w:t>
            </w:r>
          </w:p>
        </w:tc>
        <w:tc>
          <w:tcPr>
            <w:tcW w:w="26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45AD6BE7">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连续性项目根据需要制定中长期实施规划</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44C1A9DD">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1A266226">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w:t>
            </w:r>
          </w:p>
        </w:tc>
      </w:tr>
      <w:tr w14:paraId="752ACBF6">
        <w:tblPrEx>
          <w:tblCellMar>
            <w:top w:w="0" w:type="dxa"/>
            <w:left w:w="0" w:type="dxa"/>
            <w:bottom w:w="0" w:type="dxa"/>
            <w:right w:w="0" w:type="dxa"/>
          </w:tblCellMar>
        </w:tblPrEx>
        <w:trPr>
          <w:trHeight w:val="24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7A1B8369">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44D23EB0">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4DBB61B6">
            <w:pPr>
              <w:widowControl/>
              <w:jc w:val="center"/>
              <w:textAlignment w:val="center"/>
              <w:rPr>
                <w:rFonts w:hint="eastAsia" w:ascii="宋体" w:hAnsi="宋体" w:cs="宋体"/>
                <w:color w:val="000000"/>
                <w:sz w:val="24"/>
                <w:lang w:eastAsia="zh-CN"/>
              </w:rPr>
            </w:pPr>
          </w:p>
        </w:tc>
        <w:tc>
          <w:tcPr>
            <w:tcW w:w="853"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14:paraId="5BE894CF">
            <w:pPr>
              <w:widowControl/>
              <w:jc w:val="center"/>
              <w:textAlignment w:val="center"/>
              <w:rPr>
                <w:rFonts w:hint="eastAsia" w:ascii="宋体" w:hAnsi="宋体" w:cs="宋体"/>
                <w:color w:val="000000"/>
                <w:sz w:val="24"/>
                <w:lang w:eastAsia="zh-CN"/>
              </w:rPr>
            </w:pPr>
          </w:p>
        </w:tc>
        <w:tc>
          <w:tcPr>
            <w:tcW w:w="26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5C66760E">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实施规划符合实际，并根据情况变化适时调整</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7447D3BC">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1B54EF6A">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14:paraId="219B42DF">
        <w:tblPrEx>
          <w:tblCellMar>
            <w:top w:w="0" w:type="dxa"/>
            <w:left w:w="0" w:type="dxa"/>
            <w:bottom w:w="0" w:type="dxa"/>
            <w:right w:w="0" w:type="dxa"/>
          </w:tblCellMar>
        </w:tblPrEx>
        <w:trPr>
          <w:trHeight w:val="42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0A1AA55C">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407494E4">
            <w:pPr>
              <w:widowControl/>
              <w:jc w:val="center"/>
              <w:textAlignment w:val="center"/>
              <w:rPr>
                <w:rFonts w:hint="eastAsia" w:ascii="宋体" w:hAnsi="宋体" w:cs="宋体"/>
                <w:color w:val="000000"/>
                <w:kern w:val="0"/>
                <w:sz w:val="24"/>
                <w:lang w:eastAsia="zh-CN" w:bidi="ar"/>
              </w:rPr>
            </w:pPr>
          </w:p>
        </w:tc>
        <w:tc>
          <w:tcPr>
            <w:tcW w:w="737"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14:paraId="7EF388A9">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资金管理</w:t>
            </w: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0E536965">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使用范围</w:t>
            </w:r>
          </w:p>
        </w:tc>
        <w:tc>
          <w:tcPr>
            <w:tcW w:w="26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0D973975">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资金使用是否合规</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2B9F2D1E">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660E793D">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14:paraId="6B7C4ABA">
        <w:tblPrEx>
          <w:tblCellMar>
            <w:top w:w="0" w:type="dxa"/>
            <w:left w:w="0" w:type="dxa"/>
            <w:bottom w:w="0" w:type="dxa"/>
            <w:right w:w="0" w:type="dxa"/>
          </w:tblCellMar>
        </w:tblPrEx>
        <w:trPr>
          <w:trHeight w:val="86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0B282462">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598AD4CA">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6145BB10">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40880C11">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支付依据</w:t>
            </w:r>
          </w:p>
        </w:tc>
        <w:tc>
          <w:tcPr>
            <w:tcW w:w="26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76BA5D76">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资金支付依据符合规定，即支付依旧合规资金量/资金总量×100%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020C5C9C">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0513747D">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14:paraId="75D906B2">
        <w:tblPrEx>
          <w:tblCellMar>
            <w:top w:w="0" w:type="dxa"/>
            <w:left w:w="0" w:type="dxa"/>
            <w:bottom w:w="0" w:type="dxa"/>
            <w:right w:w="0" w:type="dxa"/>
          </w:tblCellMar>
        </w:tblPrEx>
        <w:trPr>
          <w:trHeight w:val="988"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3D703B36">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74CA4903">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14:paraId="6B8388F6">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1977C596">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开支标准</w:t>
            </w:r>
          </w:p>
        </w:tc>
        <w:tc>
          <w:tcPr>
            <w:tcW w:w="26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6CD7936A">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资金开支标准符合规定，即开支标准合规资金量/资金总量×100%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114C5CC6">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10B27CBA">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14:paraId="5030201A">
        <w:tblPrEx>
          <w:tblCellMar>
            <w:top w:w="0" w:type="dxa"/>
            <w:left w:w="0" w:type="dxa"/>
            <w:bottom w:w="0" w:type="dxa"/>
            <w:right w:w="0" w:type="dxa"/>
          </w:tblCellMar>
        </w:tblPrEx>
        <w:trPr>
          <w:trHeight w:val="56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16597E21">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44B0E2E7">
            <w:pPr>
              <w:widowControl/>
              <w:jc w:val="center"/>
              <w:textAlignment w:val="center"/>
              <w:rPr>
                <w:rFonts w:hint="eastAsia" w:ascii="宋体" w:hAnsi="宋体" w:cs="宋体"/>
                <w:color w:val="000000"/>
                <w:kern w:val="0"/>
                <w:sz w:val="24"/>
                <w:lang w:eastAsia="zh-CN" w:bidi="ar"/>
              </w:rPr>
            </w:pPr>
          </w:p>
        </w:tc>
        <w:tc>
          <w:tcPr>
            <w:tcW w:w="737"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14:paraId="0F184999">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组织实施</w:t>
            </w: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785F0FAD">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项目调整</w:t>
            </w:r>
          </w:p>
        </w:tc>
        <w:tc>
          <w:tcPr>
            <w:tcW w:w="26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5C9DBC9C">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项目调整严格履行相关手续</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2FC2060F">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3E458301">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r>
      <w:tr w14:paraId="552B0065">
        <w:tblPrEx>
          <w:tblCellMar>
            <w:top w:w="0" w:type="dxa"/>
            <w:left w:w="0" w:type="dxa"/>
            <w:bottom w:w="0" w:type="dxa"/>
            <w:right w:w="0" w:type="dxa"/>
          </w:tblCellMar>
        </w:tblPrEx>
        <w:trPr>
          <w:trHeight w:val="48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50A72C13">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5BAB4E70">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1953B229">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5AAD65DA">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投资变更</w:t>
            </w:r>
          </w:p>
        </w:tc>
        <w:tc>
          <w:tcPr>
            <w:tcW w:w="26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63AB00CC">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项目投资变更额/项目总投入×100%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24ECEC49">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11C7766C">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r>
      <w:tr w14:paraId="4306AECC">
        <w:tblPrEx>
          <w:tblCellMar>
            <w:top w:w="0" w:type="dxa"/>
            <w:left w:w="0" w:type="dxa"/>
            <w:bottom w:w="0" w:type="dxa"/>
            <w:right w:w="0" w:type="dxa"/>
          </w:tblCellMar>
        </w:tblPrEx>
        <w:trPr>
          <w:trHeight w:val="47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0FCD989F">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077F785A">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75C868AE">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9CF8B97">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制度执行</w:t>
            </w:r>
          </w:p>
        </w:tc>
        <w:tc>
          <w:tcPr>
            <w:tcW w:w="2625" w:type="dxa"/>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14:paraId="1FA46D57">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严格执行项目有关制度规定</w:t>
            </w:r>
          </w:p>
        </w:tc>
        <w:tc>
          <w:tcPr>
            <w:tcW w:w="1935" w:type="dxa"/>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05FC08E0">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9D88AA8">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bl>
    <w:p w14:paraId="28B4E815">
      <w:pPr>
        <w:rPr>
          <w:rFonts w:ascii="Calibri" w:hAnsi="Calibri"/>
        </w:rPr>
      </w:pPr>
    </w:p>
    <w:p w14:paraId="6C50D8F4">
      <w:pPr>
        <w:pStyle w:val="7"/>
        <w:rPr>
          <w:rFonts w:hint="eastAsia"/>
        </w:rPr>
      </w:pPr>
    </w:p>
    <w:p w14:paraId="5AFDE685">
      <w:pPr>
        <w:pageBreakBefore w:val="0"/>
        <w:kinsoku/>
        <w:wordWrap/>
        <w:overflowPunct/>
        <w:topLinePunct w:val="0"/>
        <w:bidi w:val="0"/>
        <w:spacing w:beforeAutospacing="0" w:afterAutospacing="0" w:line="576" w:lineRule="exact"/>
        <w:ind w:left="0" w:leftChars="0" w:right="0" w:firstLine="640" w:firstLineChars="200"/>
        <w:jc w:val="both"/>
        <w:rPr>
          <w:rFonts w:ascii="仿宋_GB2312" w:hAnsi="仿宋_GB2312" w:eastAsia="仿宋_GB2312" w:cs="仿宋_GB2312"/>
          <w:sz w:val="32"/>
          <w:szCs w:val="32"/>
        </w:rPr>
      </w:pPr>
    </w:p>
    <w:p w14:paraId="3AEE107D">
      <w:pPr>
        <w:pStyle w:val="2"/>
        <w:rPr>
          <w:rFonts w:ascii="仿宋_GB2312" w:hAnsi="仿宋_GB2312" w:eastAsia="仿宋_GB2312" w:cs="仿宋_GB2312"/>
          <w:sz w:val="32"/>
          <w:szCs w:val="32"/>
        </w:rPr>
      </w:pPr>
    </w:p>
    <w:p w14:paraId="7A1CB07A">
      <w:pPr>
        <w:pStyle w:val="2"/>
        <w:rPr>
          <w:rFonts w:ascii="仿宋_GB2312" w:hAnsi="仿宋_GB2312" w:eastAsia="仿宋_GB2312" w:cs="仿宋_GB2312"/>
          <w:sz w:val="32"/>
          <w:szCs w:val="32"/>
        </w:rPr>
      </w:pPr>
    </w:p>
    <w:tbl>
      <w:tblPr>
        <w:tblStyle w:val="18"/>
        <w:tblpPr w:leftFromText="180" w:rightFromText="180" w:vertAnchor="text" w:horzAnchor="page" w:tblpXSpec="center" w:tblpY="423"/>
        <w:tblOverlap w:val="never"/>
        <w:tblW w:w="9960" w:type="dxa"/>
        <w:tblInd w:w="0" w:type="dxa"/>
        <w:tblLayout w:type="fixed"/>
        <w:tblCellMar>
          <w:top w:w="0" w:type="dxa"/>
          <w:left w:w="0" w:type="dxa"/>
          <w:bottom w:w="0" w:type="dxa"/>
          <w:right w:w="0" w:type="dxa"/>
        </w:tblCellMar>
      </w:tblPr>
      <w:tblGrid>
        <w:gridCol w:w="390"/>
        <w:gridCol w:w="1005"/>
        <w:gridCol w:w="737"/>
        <w:gridCol w:w="853"/>
        <w:gridCol w:w="2625"/>
        <w:gridCol w:w="1935"/>
        <w:gridCol w:w="2415"/>
      </w:tblGrid>
      <w:tr w14:paraId="332E4CC1">
        <w:tblPrEx>
          <w:tblCellMar>
            <w:top w:w="0" w:type="dxa"/>
            <w:left w:w="0" w:type="dxa"/>
            <w:bottom w:w="0" w:type="dxa"/>
            <w:right w:w="0" w:type="dxa"/>
          </w:tblCellMar>
        </w:tblPrEx>
        <w:trPr>
          <w:trHeight w:val="276" w:hRule="atLeast"/>
        </w:trPr>
        <w:tc>
          <w:tcPr>
            <w:tcW w:w="2132"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371ED03">
            <w:pPr>
              <w:widowControl/>
              <w:jc w:val="center"/>
              <w:textAlignment w:val="center"/>
              <w:rPr>
                <w:rFonts w:ascii="宋体" w:hAnsi="宋体" w:cs="宋体"/>
                <w:color w:val="000000"/>
                <w:sz w:val="24"/>
              </w:rPr>
            </w:pPr>
            <w:r>
              <w:rPr>
                <w:rFonts w:hint="eastAsia" w:ascii="宋体" w:hAnsi="宋体" w:cs="宋体"/>
                <w:color w:val="000000"/>
                <w:kern w:val="0"/>
                <w:sz w:val="24"/>
                <w:lang w:bidi="ar"/>
              </w:rPr>
              <w:t>项目名称</w:t>
            </w:r>
          </w:p>
        </w:tc>
        <w:tc>
          <w:tcPr>
            <w:tcW w:w="7828"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411033A">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红原县集采目录内专家劳务报酬费用</w:t>
            </w:r>
          </w:p>
        </w:tc>
      </w:tr>
      <w:tr w14:paraId="6DA44EC0">
        <w:tblPrEx>
          <w:tblCellMar>
            <w:top w:w="0" w:type="dxa"/>
            <w:left w:w="0" w:type="dxa"/>
            <w:bottom w:w="0" w:type="dxa"/>
            <w:right w:w="0" w:type="dxa"/>
          </w:tblCellMar>
        </w:tblPrEx>
        <w:trPr>
          <w:trHeight w:val="276" w:hRule="atLeast"/>
        </w:trPr>
        <w:tc>
          <w:tcPr>
            <w:tcW w:w="2132"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E20ABD3">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预算单位</w:t>
            </w:r>
          </w:p>
        </w:tc>
        <w:tc>
          <w:tcPr>
            <w:tcW w:w="7828" w:type="dxa"/>
            <w:gridSpan w:val="4"/>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938B6D9">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eastAsia="zh-CN"/>
              </w:rPr>
              <w:t>红原县</w:t>
            </w:r>
            <w:r>
              <w:rPr>
                <w:rFonts w:hint="eastAsia" w:ascii="宋体" w:hAnsi="宋体" w:cs="宋体"/>
                <w:color w:val="000000"/>
                <w:sz w:val="24"/>
                <w:lang w:val="en-US" w:eastAsia="zh-CN"/>
              </w:rPr>
              <w:t>行政审批和政务服务管理局</w:t>
            </w:r>
          </w:p>
        </w:tc>
      </w:tr>
      <w:tr w14:paraId="3DB260A0">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1E60726">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预算执行情况(万元)</w:t>
            </w:r>
          </w:p>
        </w:tc>
        <w:tc>
          <w:tcPr>
            <w:tcW w:w="174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9BCD1FF">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预算数:</w:t>
            </w:r>
          </w:p>
        </w:tc>
        <w:tc>
          <w:tcPr>
            <w:tcW w:w="85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56A5CF9">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10万元</w:t>
            </w:r>
          </w:p>
        </w:tc>
        <w:tc>
          <w:tcPr>
            <w:tcW w:w="45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4C78CB6">
            <w:pPr>
              <w:widowControl/>
              <w:jc w:val="center"/>
              <w:textAlignment w:val="center"/>
              <w:rPr>
                <w:rFonts w:ascii="宋体" w:hAnsi="宋体" w:cs="宋体"/>
                <w:color w:val="000000"/>
                <w:sz w:val="24"/>
              </w:rPr>
            </w:pPr>
            <w:r>
              <w:rPr>
                <w:rFonts w:hint="eastAsia" w:ascii="宋体" w:hAnsi="宋体" w:cs="宋体"/>
                <w:color w:val="000000"/>
                <w:kern w:val="0"/>
                <w:sz w:val="24"/>
                <w:lang w:bidi="ar"/>
              </w:rPr>
              <w:t>执行数:</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FBF8B2A">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8"/>
                <w:szCs w:val="28"/>
                <w:lang w:val="en-US" w:eastAsia="zh-CN"/>
              </w:rPr>
              <w:t>5.85</w:t>
            </w:r>
            <w:r>
              <w:rPr>
                <w:rFonts w:hint="eastAsia" w:ascii="宋体" w:hAnsi="宋体" w:cs="宋体"/>
                <w:color w:val="000000"/>
                <w:sz w:val="24"/>
                <w:lang w:val="en-US" w:eastAsia="zh-CN"/>
              </w:rPr>
              <w:t>万元</w:t>
            </w:r>
          </w:p>
        </w:tc>
      </w:tr>
      <w:tr w14:paraId="12199B59">
        <w:tblPrEx>
          <w:tblCellMar>
            <w:top w:w="0" w:type="dxa"/>
            <w:left w:w="0" w:type="dxa"/>
            <w:bottom w:w="0" w:type="dxa"/>
            <w:right w:w="0" w:type="dxa"/>
          </w:tblCellMar>
        </w:tblPrEx>
        <w:trPr>
          <w:trHeight w:val="276"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71AA8B98">
            <w:pPr>
              <w:widowControl/>
              <w:jc w:val="left"/>
              <w:rPr>
                <w:rFonts w:ascii="宋体" w:hAnsi="宋体" w:cs="宋体"/>
                <w:color w:val="000000"/>
                <w:sz w:val="24"/>
              </w:rPr>
            </w:pPr>
          </w:p>
        </w:tc>
        <w:tc>
          <w:tcPr>
            <w:tcW w:w="174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EA2A94F">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其中-财政拨款:</w:t>
            </w:r>
          </w:p>
        </w:tc>
        <w:tc>
          <w:tcPr>
            <w:tcW w:w="85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5AD677C">
            <w:pPr>
              <w:widowControl/>
              <w:jc w:val="center"/>
              <w:textAlignment w:val="center"/>
              <w:rPr>
                <w:rFonts w:ascii="宋体" w:hAnsi="宋体" w:cs="宋体"/>
                <w:color w:val="000000"/>
                <w:sz w:val="24"/>
              </w:rPr>
            </w:pPr>
            <w:r>
              <w:rPr>
                <w:rFonts w:hint="eastAsia" w:ascii="宋体" w:hAnsi="宋体" w:cs="宋体"/>
                <w:color w:val="000000"/>
                <w:sz w:val="24"/>
                <w:lang w:val="en-US" w:eastAsia="zh-CN"/>
              </w:rPr>
              <w:t>10万元</w:t>
            </w:r>
          </w:p>
        </w:tc>
        <w:tc>
          <w:tcPr>
            <w:tcW w:w="45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04BB1AF">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其中-财政拨款:</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4EAC01A">
            <w:pPr>
              <w:widowControl/>
              <w:jc w:val="center"/>
              <w:textAlignment w:val="center"/>
              <w:rPr>
                <w:rFonts w:ascii="宋体" w:hAnsi="宋体" w:cs="宋体"/>
                <w:color w:val="000000"/>
                <w:sz w:val="24"/>
              </w:rPr>
            </w:pPr>
            <w:r>
              <w:rPr>
                <w:rFonts w:hint="eastAsia" w:ascii="宋体" w:hAnsi="宋体" w:cs="宋体"/>
                <w:color w:val="000000"/>
                <w:sz w:val="24"/>
                <w:lang w:val="en-US" w:eastAsia="zh-CN"/>
              </w:rPr>
              <w:t>10万元</w:t>
            </w:r>
          </w:p>
        </w:tc>
      </w:tr>
      <w:tr w14:paraId="70B5A1D9">
        <w:tblPrEx>
          <w:tblCellMar>
            <w:top w:w="0" w:type="dxa"/>
            <w:left w:w="0" w:type="dxa"/>
            <w:bottom w:w="0" w:type="dxa"/>
            <w:right w:w="0" w:type="dxa"/>
          </w:tblCellMar>
        </w:tblPrEx>
        <w:trPr>
          <w:trHeight w:val="151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78BC48D0">
            <w:pPr>
              <w:widowControl/>
              <w:jc w:val="left"/>
              <w:rPr>
                <w:rFonts w:ascii="宋体" w:hAnsi="宋体" w:cs="宋体"/>
                <w:color w:val="000000"/>
                <w:sz w:val="24"/>
              </w:rPr>
            </w:pPr>
          </w:p>
        </w:tc>
        <w:tc>
          <w:tcPr>
            <w:tcW w:w="1742"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D8E9A81">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其它资金:</w:t>
            </w:r>
          </w:p>
        </w:tc>
        <w:tc>
          <w:tcPr>
            <w:tcW w:w="85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0833AFF">
            <w:pPr>
              <w:widowControl/>
              <w:jc w:val="center"/>
              <w:textAlignment w:val="center"/>
              <w:rPr>
                <w:rFonts w:ascii="宋体" w:hAnsi="宋体" w:cs="宋体"/>
                <w:color w:val="000000"/>
                <w:sz w:val="24"/>
              </w:rPr>
            </w:pPr>
            <w:r>
              <w:rPr>
                <w:rFonts w:hint="eastAsia" w:ascii="宋体" w:hAnsi="宋体" w:cs="宋体"/>
                <w:color w:val="000000"/>
                <w:kern w:val="0"/>
                <w:sz w:val="24"/>
                <w:lang w:bidi="ar"/>
              </w:rPr>
              <w:t>0</w:t>
            </w:r>
          </w:p>
        </w:tc>
        <w:tc>
          <w:tcPr>
            <w:tcW w:w="4560" w:type="dxa"/>
            <w:gridSpan w:val="2"/>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4137F30">
            <w:pPr>
              <w:widowControl/>
              <w:jc w:val="center"/>
              <w:textAlignment w:val="center"/>
              <w:rPr>
                <w:rFonts w:ascii="宋体" w:hAnsi="宋体" w:cs="宋体"/>
                <w:color w:val="000000"/>
                <w:sz w:val="24"/>
              </w:rPr>
            </w:pPr>
            <w:r>
              <w:rPr>
                <w:rFonts w:hint="eastAsia" w:ascii="宋体" w:hAnsi="宋体" w:cs="宋体"/>
                <w:color w:val="000000"/>
                <w:kern w:val="0"/>
                <w:sz w:val="24"/>
                <w:lang w:bidi="ar"/>
              </w:rPr>
              <w:t>其它资金:</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1458438">
            <w:pPr>
              <w:jc w:val="center"/>
              <w:rPr>
                <w:rFonts w:ascii="宋体" w:hAnsi="宋体" w:cs="宋体"/>
                <w:color w:val="000000"/>
                <w:sz w:val="24"/>
              </w:rPr>
            </w:pPr>
          </w:p>
        </w:tc>
      </w:tr>
      <w:tr w14:paraId="2018C0D9">
        <w:tblPrEx>
          <w:tblCellMar>
            <w:top w:w="0" w:type="dxa"/>
            <w:left w:w="0" w:type="dxa"/>
            <w:bottom w:w="0" w:type="dxa"/>
            <w:right w:w="0" w:type="dxa"/>
          </w:tblCellMar>
        </w:tblPrEx>
        <w:trPr>
          <w:trHeight w:val="276"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37F6ECD">
            <w:pPr>
              <w:widowControl/>
              <w:jc w:val="center"/>
              <w:textAlignment w:val="center"/>
              <w:rPr>
                <w:rFonts w:ascii="宋体" w:hAnsi="宋体" w:cs="宋体"/>
                <w:color w:val="000000"/>
                <w:sz w:val="24"/>
              </w:rPr>
            </w:pPr>
            <w:r>
              <w:rPr>
                <w:rFonts w:hint="eastAsia" w:ascii="宋体" w:hAnsi="宋体" w:cs="宋体"/>
                <w:color w:val="000000"/>
                <w:kern w:val="0"/>
                <w:sz w:val="24"/>
                <w:lang w:bidi="ar"/>
              </w:rPr>
              <w:t>年度目标完成情况</w:t>
            </w:r>
          </w:p>
        </w:tc>
        <w:tc>
          <w:tcPr>
            <w:tcW w:w="259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BE6065F">
            <w:pPr>
              <w:widowControl/>
              <w:jc w:val="center"/>
              <w:textAlignment w:val="center"/>
              <w:rPr>
                <w:rFonts w:ascii="宋体" w:hAnsi="宋体" w:cs="宋体"/>
                <w:color w:val="000000"/>
                <w:sz w:val="24"/>
              </w:rPr>
            </w:pPr>
            <w:r>
              <w:rPr>
                <w:rFonts w:hint="eastAsia" w:ascii="宋体" w:hAnsi="宋体" w:cs="宋体"/>
                <w:color w:val="000000"/>
                <w:kern w:val="0"/>
                <w:sz w:val="24"/>
                <w:lang w:bidi="ar"/>
              </w:rPr>
              <w:t>预期目标</w:t>
            </w:r>
          </w:p>
        </w:tc>
        <w:tc>
          <w:tcPr>
            <w:tcW w:w="697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E4853DE">
            <w:pPr>
              <w:widowControl/>
              <w:jc w:val="center"/>
              <w:textAlignment w:val="center"/>
              <w:rPr>
                <w:rFonts w:ascii="宋体" w:hAnsi="宋体" w:cs="宋体"/>
                <w:color w:val="000000"/>
                <w:sz w:val="24"/>
              </w:rPr>
            </w:pPr>
            <w:r>
              <w:rPr>
                <w:rFonts w:hint="eastAsia" w:ascii="宋体" w:hAnsi="宋体" w:cs="宋体"/>
                <w:color w:val="000000"/>
                <w:kern w:val="0"/>
                <w:sz w:val="24"/>
                <w:lang w:bidi="ar"/>
              </w:rPr>
              <w:t>实际完成目标</w:t>
            </w:r>
          </w:p>
        </w:tc>
      </w:tr>
      <w:tr w14:paraId="39C85781">
        <w:tblPrEx>
          <w:tblCellMar>
            <w:top w:w="0" w:type="dxa"/>
            <w:left w:w="0" w:type="dxa"/>
            <w:bottom w:w="0" w:type="dxa"/>
            <w:right w:w="0" w:type="dxa"/>
          </w:tblCellMar>
        </w:tblPrEx>
        <w:trPr>
          <w:trHeight w:val="115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2583E14C">
            <w:pPr>
              <w:widowControl/>
              <w:jc w:val="left"/>
              <w:rPr>
                <w:rFonts w:ascii="宋体" w:hAnsi="宋体" w:cs="宋体"/>
                <w:color w:val="000000"/>
                <w:sz w:val="24"/>
              </w:rPr>
            </w:pPr>
          </w:p>
        </w:tc>
        <w:tc>
          <w:tcPr>
            <w:tcW w:w="259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D8B002E">
            <w:pPr>
              <w:widowControl/>
              <w:jc w:val="left"/>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提高政府采购评审工作质量，规范统一评审专家劳务报酬标准，维护评审专家和采购人、采购机构的合法权益。支付全县集中采购项目产生的餐费，便于集中管理。</w:t>
            </w:r>
          </w:p>
        </w:tc>
        <w:tc>
          <w:tcPr>
            <w:tcW w:w="6975" w:type="dxa"/>
            <w:gridSpan w:val="3"/>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F312368">
            <w:pPr>
              <w:widowControl/>
              <w:jc w:val="left"/>
              <w:textAlignment w:val="center"/>
              <w:rPr>
                <w:rFonts w:hint="default" w:ascii="宋体" w:hAnsi="宋体" w:eastAsia="宋体" w:cs="宋体"/>
                <w:color w:val="000000"/>
                <w:sz w:val="24"/>
                <w:lang w:val="en-US" w:eastAsia="zh-CN"/>
              </w:rPr>
            </w:pPr>
            <w:r>
              <w:rPr>
                <w:rFonts w:hint="eastAsia" w:asciiTheme="minorEastAsia" w:hAnsiTheme="minorEastAsia" w:eastAsiaTheme="minorEastAsia" w:cstheme="minorEastAsia"/>
                <w:color w:val="000000"/>
                <w:spacing w:val="0"/>
                <w:kern w:val="2"/>
                <w:sz w:val="21"/>
                <w:szCs w:val="21"/>
                <w:highlight w:val="none"/>
                <w:lang w:val="en-US" w:eastAsia="zh-CN" w:bidi="ar-SA"/>
              </w:rPr>
              <w:t>完成政府采购项目39个，支付专家劳务费72笔，共支付资金5.85万元，维护评审专家合法劳务权益，保障专家库稳定，保障政府采购评审工作有序开展。</w:t>
            </w:r>
          </w:p>
        </w:tc>
      </w:tr>
      <w:tr w14:paraId="1FD5C1B0">
        <w:tblPrEx>
          <w:tblCellMar>
            <w:top w:w="0" w:type="dxa"/>
            <w:left w:w="0" w:type="dxa"/>
            <w:bottom w:w="0" w:type="dxa"/>
            <w:right w:w="0" w:type="dxa"/>
          </w:tblCellMar>
        </w:tblPrEx>
        <w:trPr>
          <w:trHeight w:val="1752" w:hRule="atLeast"/>
        </w:trPr>
        <w:tc>
          <w:tcPr>
            <w:tcW w:w="390" w:type="dxa"/>
            <w:vMerge w:val="restart"/>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21FD5BD">
            <w:pPr>
              <w:widowControl/>
              <w:jc w:val="center"/>
              <w:textAlignment w:val="center"/>
              <w:rPr>
                <w:rFonts w:ascii="宋体" w:hAnsi="宋体" w:cs="宋体"/>
                <w:color w:val="000000"/>
                <w:sz w:val="24"/>
              </w:rPr>
            </w:pPr>
            <w:r>
              <w:rPr>
                <w:rFonts w:hint="eastAsia" w:ascii="宋体" w:hAnsi="宋体" w:cs="宋体"/>
                <w:color w:val="000000"/>
                <w:sz w:val="24"/>
              </w:rPr>
              <w:t>绩效指标完成情况</w:t>
            </w:r>
          </w:p>
        </w:tc>
        <w:tc>
          <w:tcPr>
            <w:tcW w:w="10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AA43FD2">
            <w:pPr>
              <w:widowControl/>
              <w:jc w:val="center"/>
              <w:textAlignment w:val="center"/>
              <w:rPr>
                <w:rFonts w:ascii="宋体" w:hAnsi="宋体" w:cs="宋体"/>
                <w:color w:val="000000"/>
                <w:sz w:val="24"/>
              </w:rPr>
            </w:pPr>
            <w:r>
              <w:rPr>
                <w:rFonts w:hint="eastAsia" w:ascii="宋体" w:hAnsi="宋体" w:cs="宋体"/>
                <w:color w:val="000000"/>
                <w:kern w:val="0"/>
                <w:sz w:val="24"/>
                <w:lang w:bidi="ar"/>
              </w:rPr>
              <w:t>一级指标</w:t>
            </w:r>
          </w:p>
        </w:tc>
        <w:tc>
          <w:tcPr>
            <w:tcW w:w="737"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202002E0">
            <w:pPr>
              <w:widowControl/>
              <w:jc w:val="center"/>
              <w:textAlignment w:val="center"/>
              <w:rPr>
                <w:rFonts w:ascii="宋体" w:hAnsi="宋体" w:cs="宋体"/>
                <w:color w:val="000000"/>
                <w:sz w:val="24"/>
              </w:rPr>
            </w:pPr>
            <w:r>
              <w:rPr>
                <w:rFonts w:hint="eastAsia" w:ascii="宋体" w:hAnsi="宋体" w:cs="宋体"/>
                <w:color w:val="000000"/>
                <w:kern w:val="0"/>
                <w:sz w:val="24"/>
                <w:lang w:bidi="ar"/>
              </w:rPr>
              <w:t>二级指标</w:t>
            </w:r>
          </w:p>
        </w:tc>
        <w:tc>
          <w:tcPr>
            <w:tcW w:w="853"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B98194C">
            <w:pPr>
              <w:widowControl/>
              <w:jc w:val="center"/>
              <w:textAlignment w:val="center"/>
              <w:rPr>
                <w:rFonts w:ascii="宋体" w:hAnsi="宋体" w:cs="宋体"/>
                <w:color w:val="000000"/>
                <w:sz w:val="24"/>
              </w:rPr>
            </w:pPr>
            <w:r>
              <w:rPr>
                <w:rFonts w:hint="eastAsia" w:ascii="宋体" w:hAnsi="宋体" w:cs="宋体"/>
                <w:color w:val="000000"/>
                <w:kern w:val="0"/>
                <w:sz w:val="24"/>
                <w:lang w:bidi="ar"/>
              </w:rPr>
              <w:t>三级指标</w:t>
            </w:r>
          </w:p>
        </w:tc>
        <w:tc>
          <w:tcPr>
            <w:tcW w:w="2625" w:type="dxa"/>
            <w:tcBorders>
              <w:top w:val="single" w:color="000000" w:sz="4" w:space="0"/>
              <w:left w:val="single" w:color="000000" w:sz="4" w:space="0"/>
              <w:bottom w:val="single" w:color="000000" w:sz="4" w:space="0"/>
              <w:right w:val="single" w:color="auto" w:sz="4" w:space="0"/>
            </w:tcBorders>
            <w:tcMar>
              <w:top w:w="15" w:type="dxa"/>
              <w:left w:w="15" w:type="dxa"/>
              <w:bottom w:w="0" w:type="dxa"/>
              <w:right w:w="15" w:type="dxa"/>
            </w:tcMar>
            <w:vAlign w:val="center"/>
          </w:tcPr>
          <w:p w14:paraId="4FDC1995">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指标评价内容</w:t>
            </w:r>
          </w:p>
        </w:tc>
        <w:tc>
          <w:tcPr>
            <w:tcW w:w="1935" w:type="dxa"/>
            <w:tcBorders>
              <w:top w:val="single" w:color="000000"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556E3C0C">
            <w:pPr>
              <w:widowControl/>
              <w:jc w:val="center"/>
              <w:textAlignment w:val="center"/>
              <w:rPr>
                <w:rFonts w:hint="eastAsia" w:ascii="宋体" w:hAnsi="宋体" w:cs="宋体"/>
                <w:color w:val="000000"/>
                <w:kern w:val="0"/>
                <w:sz w:val="24"/>
                <w:lang w:bidi="ar"/>
              </w:rPr>
            </w:pPr>
            <w:r>
              <w:rPr>
                <w:rFonts w:hint="eastAsia" w:ascii="宋体" w:hAnsi="宋体" w:cs="宋体"/>
                <w:color w:val="000000"/>
                <w:kern w:val="0"/>
                <w:sz w:val="24"/>
                <w:lang w:bidi="ar"/>
              </w:rPr>
              <w:t>预期指标值(包含数字及文字描述)</w:t>
            </w:r>
          </w:p>
        </w:tc>
        <w:tc>
          <w:tcPr>
            <w:tcW w:w="241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ACCFA8E">
            <w:pPr>
              <w:widowControl/>
              <w:jc w:val="center"/>
              <w:textAlignment w:val="center"/>
              <w:rPr>
                <w:rFonts w:ascii="宋体" w:hAnsi="宋体" w:cs="宋体"/>
                <w:color w:val="000000"/>
                <w:sz w:val="24"/>
              </w:rPr>
            </w:pPr>
            <w:r>
              <w:rPr>
                <w:rFonts w:hint="eastAsia" w:ascii="宋体" w:hAnsi="宋体" w:cs="宋体"/>
                <w:color w:val="000000"/>
                <w:kern w:val="0"/>
                <w:sz w:val="24"/>
                <w:lang w:bidi="ar"/>
              </w:rPr>
              <w:t>实际完成指标值(包含数字及文字描述)</w:t>
            </w:r>
          </w:p>
        </w:tc>
      </w:tr>
      <w:tr w14:paraId="74CBBFD2">
        <w:tblPrEx>
          <w:tblCellMar>
            <w:top w:w="0" w:type="dxa"/>
            <w:left w:w="0" w:type="dxa"/>
            <w:bottom w:w="0" w:type="dxa"/>
            <w:right w:w="0" w:type="dxa"/>
          </w:tblCellMar>
        </w:tblPrEx>
        <w:trPr>
          <w:trHeight w:val="76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7A410217">
            <w:pPr>
              <w:widowControl/>
              <w:jc w:val="left"/>
              <w:rPr>
                <w:rFonts w:ascii="宋体" w:hAnsi="宋体" w:cs="宋体"/>
                <w:color w:val="000000"/>
                <w:sz w:val="24"/>
              </w:rPr>
            </w:pPr>
          </w:p>
        </w:tc>
        <w:tc>
          <w:tcPr>
            <w:tcW w:w="1005"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08FD3F8A">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kern w:val="0"/>
                <w:sz w:val="24"/>
                <w:lang w:val="en-US" w:eastAsia="zh-CN" w:bidi="ar"/>
              </w:rPr>
              <w:t>产出指标</w:t>
            </w:r>
          </w:p>
        </w:tc>
        <w:tc>
          <w:tcPr>
            <w:tcW w:w="737" w:type="dxa"/>
            <w:vMerge w:val="restart"/>
            <w:tcBorders>
              <w:top w:val="single" w:color="000000" w:sz="4" w:space="0"/>
              <w:left w:val="single" w:color="000000" w:sz="4" w:space="0"/>
              <w:right w:val="single" w:color="000000" w:sz="4" w:space="0"/>
            </w:tcBorders>
            <w:tcMar>
              <w:top w:w="15" w:type="dxa"/>
              <w:left w:w="15" w:type="dxa"/>
              <w:bottom w:w="0" w:type="dxa"/>
              <w:right w:w="15" w:type="dxa"/>
            </w:tcMar>
            <w:vAlign w:val="center"/>
          </w:tcPr>
          <w:p w14:paraId="7925BAAA">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数量指标</w:t>
            </w:r>
          </w:p>
        </w:tc>
        <w:tc>
          <w:tcPr>
            <w:tcW w:w="853"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78BC580E">
            <w:pPr>
              <w:widowControl/>
              <w:jc w:val="center"/>
              <w:textAlignment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业务办理件数</w:t>
            </w:r>
          </w:p>
        </w:tc>
        <w:tc>
          <w:tcPr>
            <w:tcW w:w="2625" w:type="dxa"/>
            <w:tcBorders>
              <w:top w:val="single" w:color="000000"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06C7B681">
            <w:pPr>
              <w:widowControl/>
              <w:jc w:val="center"/>
              <w:textAlignment w:val="center"/>
              <w:rPr>
                <w:rFonts w:hint="eastAsia" w:ascii="宋体" w:hAnsi="宋体" w:cs="宋体"/>
                <w:color w:val="auto"/>
                <w:sz w:val="20"/>
                <w:szCs w:val="20"/>
                <w:lang w:eastAsia="zh-CN"/>
              </w:rPr>
            </w:pPr>
            <w:r>
              <w:rPr>
                <w:rFonts w:hint="eastAsia" w:ascii="宋体" w:hAnsi="宋体" w:cs="宋体"/>
                <w:color w:val="auto"/>
                <w:sz w:val="20"/>
                <w:szCs w:val="20"/>
                <w:lang w:eastAsia="zh-CN"/>
              </w:rPr>
              <w:t>项目预期提供的产品、服务、效益或其他目标明确,即绩效目标实际明确个数/应当明确个数×100%</w:t>
            </w:r>
          </w:p>
        </w:tc>
        <w:tc>
          <w:tcPr>
            <w:tcW w:w="1935" w:type="dxa"/>
            <w:tcBorders>
              <w:top w:val="single" w:color="000000"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1AAB36E4">
            <w:pPr>
              <w:widowControl/>
              <w:jc w:val="left"/>
              <w:textAlignment w:val="center"/>
              <w:rPr>
                <w:rFonts w:hint="default" w:ascii="宋体" w:hAnsi="宋体" w:cs="宋体"/>
                <w:color w:val="auto"/>
                <w:sz w:val="20"/>
                <w:szCs w:val="20"/>
                <w:lang w:val="en-US" w:eastAsia="zh-CN"/>
              </w:rPr>
            </w:pPr>
            <w:r>
              <w:rPr>
                <w:rFonts w:hint="eastAsia" w:ascii="宋体" w:hAnsi="宋体" w:cs="宋体"/>
                <w:color w:val="auto"/>
                <w:sz w:val="20"/>
                <w:szCs w:val="20"/>
                <w:lang w:val="en-US" w:eastAsia="zh-CN"/>
              </w:rPr>
              <w:t>支付专家劳务费</w:t>
            </w:r>
            <w:r>
              <w:rPr>
                <w:rFonts w:hint="eastAsia" w:ascii="仿宋_GB2312" w:hAnsi="仿宋_GB2312" w:eastAsia="仿宋_GB2312" w:cs="仿宋_GB2312"/>
                <w:color w:val="auto"/>
                <w:sz w:val="20"/>
                <w:szCs w:val="20"/>
                <w:lang w:val="en-US" w:eastAsia="zh-CN"/>
              </w:rPr>
              <w:t>≥</w:t>
            </w:r>
            <w:r>
              <w:rPr>
                <w:rFonts w:hint="eastAsia" w:ascii="宋体" w:hAnsi="宋体" w:cs="宋体"/>
                <w:color w:val="auto"/>
                <w:sz w:val="20"/>
                <w:szCs w:val="20"/>
                <w:lang w:val="en-US" w:eastAsia="zh-CN"/>
              </w:rPr>
              <w:t>60笔。</w:t>
            </w:r>
          </w:p>
        </w:tc>
        <w:tc>
          <w:tcPr>
            <w:tcW w:w="2415" w:type="dxa"/>
            <w:tcBorders>
              <w:top w:val="single" w:color="000000"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6E3F2A00">
            <w:pPr>
              <w:widowControl/>
              <w:jc w:val="left"/>
              <w:textAlignment w:val="center"/>
              <w:rPr>
                <w:rFonts w:hint="default" w:ascii="宋体" w:hAnsi="宋体" w:eastAsia="宋体" w:cs="宋体"/>
                <w:color w:val="auto"/>
                <w:sz w:val="20"/>
                <w:szCs w:val="20"/>
                <w:lang w:val="en-US" w:eastAsia="zh-CN"/>
              </w:rPr>
            </w:pPr>
            <w:r>
              <w:rPr>
                <w:rFonts w:hint="eastAsia" w:asciiTheme="minorEastAsia" w:hAnsiTheme="minorEastAsia" w:eastAsiaTheme="minorEastAsia" w:cstheme="minorEastAsia"/>
                <w:b w:val="0"/>
                <w:bCs w:val="0"/>
                <w:color w:val="000000"/>
                <w:spacing w:val="0"/>
                <w:kern w:val="2"/>
                <w:sz w:val="18"/>
                <w:szCs w:val="18"/>
                <w:lang w:val="en-US" w:eastAsia="zh-CN" w:bidi="ar-SA"/>
              </w:rPr>
              <w:t>全年及时发放专家劳务费，支付专家劳务费72笔。</w:t>
            </w:r>
          </w:p>
        </w:tc>
      </w:tr>
      <w:tr w14:paraId="7D0FA9B5">
        <w:tblPrEx>
          <w:tblCellMar>
            <w:top w:w="0" w:type="dxa"/>
            <w:left w:w="0" w:type="dxa"/>
            <w:bottom w:w="0" w:type="dxa"/>
            <w:right w:w="0" w:type="dxa"/>
          </w:tblCellMar>
        </w:tblPrEx>
        <w:trPr>
          <w:trHeight w:val="815"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0C5FF1B3">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1BF84404">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285ACA13">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0A372BB2">
            <w:pPr>
              <w:widowControl/>
              <w:jc w:val="center"/>
              <w:textAlignment w:val="center"/>
              <w:rPr>
                <w:rFonts w:hint="eastAsia" w:ascii="宋体" w:hAnsi="宋体" w:eastAsia="宋体" w:cs="宋体"/>
                <w:color w:val="000000"/>
                <w:sz w:val="24"/>
                <w:lang w:eastAsia="zh-CN"/>
              </w:rPr>
            </w:pPr>
            <w:r>
              <w:rPr>
                <w:rFonts w:hint="eastAsia" w:ascii="宋体" w:hAnsi="宋体" w:cs="宋体"/>
                <w:color w:val="000000"/>
                <w:sz w:val="24"/>
                <w:lang w:eastAsia="zh-CN"/>
              </w:rPr>
              <w:t>进度计划</w:t>
            </w:r>
          </w:p>
        </w:tc>
        <w:tc>
          <w:tcPr>
            <w:tcW w:w="26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30C7ED02">
            <w:pPr>
              <w:widowControl/>
              <w:jc w:val="center"/>
              <w:textAlignment w:val="center"/>
              <w:rPr>
                <w:rFonts w:ascii="宋体" w:hAnsi="宋体" w:cs="宋体"/>
                <w:color w:val="000000"/>
                <w:sz w:val="24"/>
              </w:rPr>
            </w:pPr>
            <w:r>
              <w:rPr>
                <w:rFonts w:hint="eastAsia" w:cs="宋体" w:asciiTheme="minorEastAsia" w:hAnsiTheme="minorEastAsia" w:eastAsiaTheme="minorEastAsia"/>
                <w:color w:val="000000"/>
                <w:kern w:val="0"/>
                <w:sz w:val="20"/>
                <w:szCs w:val="20"/>
              </w:rPr>
              <w:t>项目计划实施进度明确</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4B3A957B">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一年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1AAAB126">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按计划完成</w:t>
            </w:r>
          </w:p>
        </w:tc>
      </w:tr>
      <w:tr w14:paraId="32603305">
        <w:tblPrEx>
          <w:tblCellMar>
            <w:top w:w="0" w:type="dxa"/>
            <w:left w:w="0" w:type="dxa"/>
            <w:bottom w:w="0" w:type="dxa"/>
            <w:right w:w="0" w:type="dxa"/>
          </w:tblCellMar>
        </w:tblPrEx>
        <w:trPr>
          <w:trHeight w:val="838"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2929DD40">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20D778D0">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56461E91">
            <w:pPr>
              <w:widowControl/>
              <w:jc w:val="center"/>
              <w:textAlignment w:val="center"/>
              <w:rPr>
                <w:rFonts w:hint="eastAsia" w:ascii="宋体" w:hAnsi="宋体" w:cs="宋体"/>
                <w:color w:val="000000"/>
                <w:sz w:val="24"/>
                <w:lang w:eastAsia="zh-CN"/>
              </w:rPr>
            </w:pPr>
          </w:p>
        </w:tc>
        <w:tc>
          <w:tcPr>
            <w:tcW w:w="853"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14:paraId="41FDABB3">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实施规划</w:t>
            </w:r>
          </w:p>
        </w:tc>
        <w:tc>
          <w:tcPr>
            <w:tcW w:w="26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37FE949E">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连续性项目根据需要制定中长期实施规划</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40DF0E0F">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7E087C9C">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已制定</w:t>
            </w:r>
          </w:p>
        </w:tc>
      </w:tr>
      <w:tr w14:paraId="7342BF7E">
        <w:tblPrEx>
          <w:tblCellMar>
            <w:top w:w="0" w:type="dxa"/>
            <w:left w:w="0" w:type="dxa"/>
            <w:bottom w:w="0" w:type="dxa"/>
            <w:right w:w="0" w:type="dxa"/>
          </w:tblCellMar>
        </w:tblPrEx>
        <w:trPr>
          <w:trHeight w:val="242"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74384C9F">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2F2F6BFD">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42AE7107">
            <w:pPr>
              <w:widowControl/>
              <w:jc w:val="center"/>
              <w:textAlignment w:val="center"/>
              <w:rPr>
                <w:rFonts w:hint="eastAsia" w:ascii="宋体" w:hAnsi="宋体" w:cs="宋体"/>
                <w:color w:val="000000"/>
                <w:sz w:val="24"/>
                <w:lang w:eastAsia="zh-CN"/>
              </w:rPr>
            </w:pPr>
          </w:p>
        </w:tc>
        <w:tc>
          <w:tcPr>
            <w:tcW w:w="853"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14:paraId="7F44110F">
            <w:pPr>
              <w:widowControl/>
              <w:jc w:val="center"/>
              <w:textAlignment w:val="center"/>
              <w:rPr>
                <w:rFonts w:hint="eastAsia" w:ascii="宋体" w:hAnsi="宋体" w:cs="宋体"/>
                <w:color w:val="000000"/>
                <w:sz w:val="24"/>
                <w:lang w:eastAsia="zh-CN"/>
              </w:rPr>
            </w:pPr>
          </w:p>
        </w:tc>
        <w:tc>
          <w:tcPr>
            <w:tcW w:w="26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2653DE77">
            <w:pPr>
              <w:widowControl/>
              <w:jc w:val="center"/>
              <w:textAlignment w:val="center"/>
              <w:rPr>
                <w:rFonts w:hint="eastAsia" w:cs="宋体" w:asciiTheme="minorEastAsia" w:hAnsiTheme="minorEastAsia" w:eastAsiaTheme="minorEastAsia"/>
                <w:color w:val="000000"/>
                <w:kern w:val="0"/>
                <w:sz w:val="20"/>
                <w:szCs w:val="20"/>
              </w:rPr>
            </w:pPr>
            <w:r>
              <w:rPr>
                <w:rFonts w:hint="eastAsia" w:cs="宋体" w:asciiTheme="minorEastAsia" w:hAnsiTheme="minorEastAsia" w:eastAsiaTheme="minorEastAsia"/>
                <w:color w:val="000000"/>
                <w:kern w:val="0"/>
                <w:sz w:val="20"/>
                <w:szCs w:val="20"/>
              </w:rPr>
              <w:t>实施规划符合实际，并根据情况变化适时调整</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73AEB9BD">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199731D1">
            <w:pPr>
              <w:widowControl/>
              <w:jc w:val="center"/>
              <w:textAlignment w:val="center"/>
              <w:rPr>
                <w:rFonts w:hint="eastAsia" w:ascii="宋体" w:hAnsi="宋体" w:cs="宋体"/>
                <w:color w:val="000000"/>
                <w:sz w:val="20"/>
                <w:szCs w:val="20"/>
                <w:lang w:val="en-US" w:eastAsia="zh-CN"/>
              </w:rPr>
            </w:pPr>
            <w:r>
              <w:rPr>
                <w:rFonts w:hint="eastAsia" w:ascii="宋体" w:hAnsi="宋体" w:cs="宋体"/>
                <w:color w:val="000000"/>
                <w:sz w:val="20"/>
                <w:szCs w:val="20"/>
                <w:lang w:val="en-US" w:eastAsia="zh-CN"/>
              </w:rPr>
              <w:t>是</w:t>
            </w:r>
          </w:p>
        </w:tc>
      </w:tr>
      <w:tr w14:paraId="5B15E678">
        <w:tblPrEx>
          <w:tblCellMar>
            <w:top w:w="0" w:type="dxa"/>
            <w:left w:w="0" w:type="dxa"/>
            <w:bottom w:w="0" w:type="dxa"/>
            <w:right w:w="0" w:type="dxa"/>
          </w:tblCellMar>
        </w:tblPrEx>
        <w:trPr>
          <w:trHeight w:val="42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4407ACBA">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5FC24B16">
            <w:pPr>
              <w:widowControl/>
              <w:jc w:val="center"/>
              <w:textAlignment w:val="center"/>
              <w:rPr>
                <w:rFonts w:hint="eastAsia" w:ascii="宋体" w:hAnsi="宋体" w:cs="宋体"/>
                <w:color w:val="000000"/>
                <w:kern w:val="0"/>
                <w:sz w:val="24"/>
                <w:lang w:eastAsia="zh-CN" w:bidi="ar"/>
              </w:rPr>
            </w:pPr>
          </w:p>
        </w:tc>
        <w:tc>
          <w:tcPr>
            <w:tcW w:w="737"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14:paraId="7D93EB32">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资金管理</w:t>
            </w: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402F0DFC">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使用范围</w:t>
            </w:r>
          </w:p>
        </w:tc>
        <w:tc>
          <w:tcPr>
            <w:tcW w:w="26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437CC021">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资金使用是否合规</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072C1E8E">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2A92997D">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r w14:paraId="3373E277">
        <w:tblPrEx>
          <w:tblCellMar>
            <w:top w:w="0" w:type="dxa"/>
            <w:left w:w="0" w:type="dxa"/>
            <w:bottom w:w="0" w:type="dxa"/>
            <w:right w:w="0" w:type="dxa"/>
          </w:tblCellMar>
        </w:tblPrEx>
        <w:trPr>
          <w:trHeight w:val="861"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268BF359">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15CC84D9">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169F006B">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32B37B97">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支付依据</w:t>
            </w:r>
          </w:p>
        </w:tc>
        <w:tc>
          <w:tcPr>
            <w:tcW w:w="26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2C70A510">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资金支付依据符合规定，即支付依旧合规资金量/资金总量×100%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137338A5">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5FA0E44D">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14:paraId="70D9D8A4">
        <w:tblPrEx>
          <w:tblCellMar>
            <w:top w:w="0" w:type="dxa"/>
            <w:left w:w="0" w:type="dxa"/>
            <w:bottom w:w="0" w:type="dxa"/>
            <w:right w:w="0" w:type="dxa"/>
          </w:tblCellMar>
        </w:tblPrEx>
        <w:trPr>
          <w:trHeight w:val="988"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0676398B">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3E431361">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auto" w:sz="4" w:space="0"/>
              <w:right w:val="single" w:color="000000" w:sz="4" w:space="0"/>
            </w:tcBorders>
            <w:tcMar>
              <w:top w:w="15" w:type="dxa"/>
              <w:left w:w="15" w:type="dxa"/>
              <w:bottom w:w="0" w:type="dxa"/>
              <w:right w:w="15" w:type="dxa"/>
            </w:tcMar>
            <w:vAlign w:val="center"/>
          </w:tcPr>
          <w:p w14:paraId="03654B8B">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37453D54">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开支标准</w:t>
            </w:r>
          </w:p>
        </w:tc>
        <w:tc>
          <w:tcPr>
            <w:tcW w:w="26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493BF261">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资金开支标准符合规定，即开支标准合规资金量/资金总量×100%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2C7D8ACF">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2FA2FFEB">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符合</w:t>
            </w:r>
          </w:p>
        </w:tc>
      </w:tr>
      <w:tr w14:paraId="699760A4">
        <w:tblPrEx>
          <w:tblCellMar>
            <w:top w:w="0" w:type="dxa"/>
            <w:left w:w="0" w:type="dxa"/>
            <w:bottom w:w="0" w:type="dxa"/>
            <w:right w:w="0" w:type="dxa"/>
          </w:tblCellMar>
        </w:tblPrEx>
        <w:trPr>
          <w:trHeight w:val="56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2BCD995E">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163D9C98">
            <w:pPr>
              <w:widowControl/>
              <w:jc w:val="center"/>
              <w:textAlignment w:val="center"/>
              <w:rPr>
                <w:rFonts w:hint="eastAsia" w:ascii="宋体" w:hAnsi="宋体" w:cs="宋体"/>
                <w:color w:val="000000"/>
                <w:kern w:val="0"/>
                <w:sz w:val="24"/>
                <w:lang w:eastAsia="zh-CN" w:bidi="ar"/>
              </w:rPr>
            </w:pPr>
          </w:p>
        </w:tc>
        <w:tc>
          <w:tcPr>
            <w:tcW w:w="737" w:type="dxa"/>
            <w:vMerge w:val="restart"/>
            <w:tcBorders>
              <w:top w:val="single" w:color="auto" w:sz="4" w:space="0"/>
              <w:left w:val="single" w:color="000000" w:sz="4" w:space="0"/>
              <w:right w:val="single" w:color="000000" w:sz="4" w:space="0"/>
            </w:tcBorders>
            <w:tcMar>
              <w:top w:w="15" w:type="dxa"/>
              <w:left w:w="15" w:type="dxa"/>
              <w:bottom w:w="0" w:type="dxa"/>
              <w:right w:w="15" w:type="dxa"/>
            </w:tcMar>
            <w:vAlign w:val="center"/>
          </w:tcPr>
          <w:p w14:paraId="2FDB05E1">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组织实施</w:t>
            </w: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2CFD5836">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项目调整</w:t>
            </w:r>
          </w:p>
        </w:tc>
        <w:tc>
          <w:tcPr>
            <w:tcW w:w="26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5C925A5C">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项目调整严格履行相关手续</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4A27027C">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12CD9445">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r>
      <w:tr w14:paraId="28B8D619">
        <w:tblPrEx>
          <w:tblCellMar>
            <w:top w:w="0" w:type="dxa"/>
            <w:left w:w="0" w:type="dxa"/>
            <w:bottom w:w="0" w:type="dxa"/>
            <w:right w:w="0" w:type="dxa"/>
          </w:tblCellMar>
        </w:tblPrEx>
        <w:trPr>
          <w:trHeight w:val="489"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55839706">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06ED6B79">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19DFDA9D">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593D4150">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投资变更</w:t>
            </w:r>
          </w:p>
        </w:tc>
        <w:tc>
          <w:tcPr>
            <w:tcW w:w="2625" w:type="dxa"/>
            <w:tcBorders>
              <w:top w:val="single" w:color="auto" w:sz="4" w:space="0"/>
              <w:left w:val="single" w:color="000000" w:sz="4" w:space="0"/>
              <w:bottom w:val="single" w:color="auto" w:sz="4" w:space="0"/>
              <w:right w:val="single" w:color="auto" w:sz="4" w:space="0"/>
            </w:tcBorders>
            <w:tcMar>
              <w:top w:w="15" w:type="dxa"/>
              <w:left w:w="15" w:type="dxa"/>
              <w:bottom w:w="0" w:type="dxa"/>
              <w:right w:w="15" w:type="dxa"/>
            </w:tcMar>
            <w:vAlign w:val="center"/>
          </w:tcPr>
          <w:p w14:paraId="0EEE31C0">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项目投资变更额/项目总投入×100%</w:t>
            </w:r>
          </w:p>
        </w:tc>
        <w:tc>
          <w:tcPr>
            <w:tcW w:w="1935" w:type="dxa"/>
            <w:tcBorders>
              <w:top w:val="single" w:color="auto" w:sz="4" w:space="0"/>
              <w:left w:val="single" w:color="auto" w:sz="4" w:space="0"/>
              <w:bottom w:val="single" w:color="auto" w:sz="4" w:space="0"/>
              <w:right w:val="single" w:color="000000" w:sz="4" w:space="0"/>
            </w:tcBorders>
            <w:tcMar>
              <w:top w:w="15" w:type="dxa"/>
              <w:left w:w="15" w:type="dxa"/>
              <w:bottom w:w="0" w:type="dxa"/>
              <w:right w:w="15" w:type="dxa"/>
            </w:tcMar>
            <w:vAlign w:val="center"/>
          </w:tcPr>
          <w:p w14:paraId="6F1E079D">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c>
          <w:tcPr>
            <w:tcW w:w="2415" w:type="dxa"/>
            <w:tcBorders>
              <w:top w:val="single" w:color="auto" w:sz="4" w:space="0"/>
              <w:left w:val="single" w:color="000000" w:sz="4" w:space="0"/>
              <w:bottom w:val="single" w:color="auto" w:sz="4" w:space="0"/>
              <w:right w:val="single" w:color="000000" w:sz="4" w:space="0"/>
            </w:tcBorders>
            <w:tcMar>
              <w:top w:w="15" w:type="dxa"/>
              <w:left w:w="15" w:type="dxa"/>
              <w:bottom w:w="0" w:type="dxa"/>
              <w:right w:w="15" w:type="dxa"/>
            </w:tcMar>
            <w:vAlign w:val="center"/>
          </w:tcPr>
          <w:p w14:paraId="64CE2206">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未调整</w:t>
            </w:r>
          </w:p>
        </w:tc>
      </w:tr>
      <w:tr w14:paraId="0ADC974E">
        <w:tblPrEx>
          <w:tblCellMar>
            <w:top w:w="0" w:type="dxa"/>
            <w:left w:w="0" w:type="dxa"/>
            <w:bottom w:w="0" w:type="dxa"/>
            <w:right w:w="0" w:type="dxa"/>
          </w:tblCellMar>
        </w:tblPrEx>
        <w:trPr>
          <w:trHeight w:val="474" w:hRule="atLeast"/>
        </w:trPr>
        <w:tc>
          <w:tcPr>
            <w:tcW w:w="390" w:type="dxa"/>
            <w:vMerge w:val="continue"/>
            <w:tcBorders>
              <w:top w:val="single" w:color="000000" w:sz="4" w:space="0"/>
              <w:left w:val="single" w:color="000000" w:sz="4" w:space="0"/>
              <w:bottom w:val="single" w:color="000000" w:sz="4" w:space="0"/>
              <w:right w:val="single" w:color="000000" w:sz="4" w:space="0"/>
            </w:tcBorders>
            <w:vAlign w:val="center"/>
          </w:tcPr>
          <w:p w14:paraId="57D28F48">
            <w:pPr>
              <w:widowControl/>
              <w:jc w:val="left"/>
              <w:rPr>
                <w:rFonts w:ascii="宋体" w:hAnsi="宋体" w:cs="宋体"/>
                <w:color w:val="000000"/>
                <w:sz w:val="24"/>
              </w:rPr>
            </w:pPr>
          </w:p>
        </w:tc>
        <w:tc>
          <w:tcPr>
            <w:tcW w:w="1005"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30BE0E7C">
            <w:pPr>
              <w:widowControl/>
              <w:jc w:val="center"/>
              <w:textAlignment w:val="center"/>
              <w:rPr>
                <w:rFonts w:hint="eastAsia" w:ascii="宋体" w:hAnsi="宋体" w:cs="宋体"/>
                <w:color w:val="000000"/>
                <w:kern w:val="0"/>
                <w:sz w:val="24"/>
                <w:lang w:eastAsia="zh-CN" w:bidi="ar"/>
              </w:rPr>
            </w:pPr>
          </w:p>
        </w:tc>
        <w:tc>
          <w:tcPr>
            <w:tcW w:w="737" w:type="dxa"/>
            <w:vMerge w:val="continue"/>
            <w:tcBorders>
              <w:left w:val="single" w:color="000000" w:sz="4" w:space="0"/>
              <w:bottom w:val="single" w:color="000000" w:sz="4" w:space="0"/>
              <w:right w:val="single" w:color="000000" w:sz="4" w:space="0"/>
            </w:tcBorders>
            <w:tcMar>
              <w:top w:w="15" w:type="dxa"/>
              <w:left w:w="15" w:type="dxa"/>
              <w:bottom w:w="0" w:type="dxa"/>
              <w:right w:w="15" w:type="dxa"/>
            </w:tcMar>
            <w:vAlign w:val="center"/>
          </w:tcPr>
          <w:p w14:paraId="0DC9A823">
            <w:pPr>
              <w:widowControl/>
              <w:jc w:val="center"/>
              <w:textAlignment w:val="center"/>
              <w:rPr>
                <w:rFonts w:hint="eastAsia" w:ascii="宋体" w:hAnsi="宋体" w:cs="宋体"/>
                <w:color w:val="000000"/>
                <w:sz w:val="24"/>
                <w:lang w:eastAsia="zh-CN"/>
              </w:rPr>
            </w:pPr>
          </w:p>
        </w:tc>
        <w:tc>
          <w:tcPr>
            <w:tcW w:w="853"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92496DC">
            <w:pPr>
              <w:widowControl/>
              <w:jc w:val="center"/>
              <w:textAlignment w:val="center"/>
              <w:rPr>
                <w:rFonts w:hint="eastAsia" w:ascii="宋体" w:hAnsi="宋体" w:cs="宋体"/>
                <w:color w:val="000000"/>
                <w:sz w:val="24"/>
                <w:lang w:eastAsia="zh-CN"/>
              </w:rPr>
            </w:pPr>
            <w:r>
              <w:rPr>
                <w:rFonts w:hint="eastAsia" w:ascii="宋体" w:hAnsi="宋体" w:cs="宋体"/>
                <w:color w:val="000000"/>
                <w:sz w:val="24"/>
                <w:lang w:eastAsia="zh-CN"/>
              </w:rPr>
              <w:t>制度执行</w:t>
            </w:r>
          </w:p>
        </w:tc>
        <w:tc>
          <w:tcPr>
            <w:tcW w:w="2625" w:type="dxa"/>
            <w:tcBorders>
              <w:top w:val="single" w:color="auto" w:sz="4" w:space="0"/>
              <w:left w:val="single" w:color="000000" w:sz="4" w:space="0"/>
              <w:bottom w:val="single" w:color="000000" w:sz="4" w:space="0"/>
              <w:right w:val="single" w:color="auto" w:sz="4" w:space="0"/>
            </w:tcBorders>
            <w:tcMar>
              <w:top w:w="15" w:type="dxa"/>
              <w:left w:w="15" w:type="dxa"/>
              <w:bottom w:w="0" w:type="dxa"/>
              <w:right w:w="15" w:type="dxa"/>
            </w:tcMar>
            <w:vAlign w:val="center"/>
          </w:tcPr>
          <w:p w14:paraId="1BB2F8AD">
            <w:pPr>
              <w:widowControl/>
              <w:jc w:val="center"/>
              <w:textAlignment w:val="center"/>
              <w:rPr>
                <w:rFonts w:hint="eastAsia" w:ascii="宋体" w:hAnsi="宋体" w:cs="宋体"/>
                <w:color w:val="000000"/>
                <w:sz w:val="20"/>
                <w:szCs w:val="20"/>
              </w:rPr>
            </w:pPr>
            <w:r>
              <w:rPr>
                <w:rFonts w:hint="eastAsia" w:ascii="宋体" w:hAnsi="宋体" w:cs="宋体"/>
                <w:color w:val="000000"/>
                <w:sz w:val="20"/>
                <w:szCs w:val="20"/>
              </w:rPr>
              <w:t>严格执行项目有关制度规定</w:t>
            </w:r>
          </w:p>
        </w:tc>
        <w:tc>
          <w:tcPr>
            <w:tcW w:w="1935" w:type="dxa"/>
            <w:tcBorders>
              <w:top w:val="single" w:color="auto" w:sz="4" w:space="0"/>
              <w:left w:val="single" w:color="auto" w:sz="4" w:space="0"/>
              <w:bottom w:val="single" w:color="000000" w:sz="4" w:space="0"/>
              <w:right w:val="single" w:color="000000" w:sz="4" w:space="0"/>
            </w:tcBorders>
            <w:tcMar>
              <w:top w:w="15" w:type="dxa"/>
              <w:left w:w="15" w:type="dxa"/>
              <w:bottom w:w="0" w:type="dxa"/>
              <w:right w:w="15" w:type="dxa"/>
            </w:tcMar>
            <w:vAlign w:val="center"/>
          </w:tcPr>
          <w:p w14:paraId="274BF7EA">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c>
          <w:tcPr>
            <w:tcW w:w="2415" w:type="dxa"/>
            <w:tcBorders>
              <w:top w:val="single" w:color="auto"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0DD2AC11">
            <w:pPr>
              <w:widowControl/>
              <w:jc w:val="center"/>
              <w:textAlignment w:val="center"/>
              <w:rPr>
                <w:rFonts w:hint="eastAsia" w:ascii="宋体" w:hAnsi="宋体" w:eastAsia="宋体" w:cs="宋体"/>
                <w:color w:val="000000"/>
                <w:sz w:val="20"/>
                <w:szCs w:val="20"/>
                <w:lang w:eastAsia="zh-CN"/>
              </w:rPr>
            </w:pPr>
            <w:r>
              <w:rPr>
                <w:rFonts w:hint="eastAsia" w:ascii="宋体" w:hAnsi="宋体" w:cs="宋体"/>
                <w:color w:val="000000"/>
                <w:sz w:val="20"/>
                <w:szCs w:val="20"/>
                <w:lang w:eastAsia="zh-CN"/>
              </w:rPr>
              <w:t>是</w:t>
            </w:r>
          </w:p>
        </w:tc>
      </w:tr>
    </w:tbl>
    <w:p w14:paraId="14B3C146">
      <w:pPr>
        <w:rPr>
          <w:rFonts w:ascii="Calibri" w:hAnsi="Calibri"/>
        </w:rPr>
      </w:pPr>
    </w:p>
    <w:p w14:paraId="5427FCE0">
      <w:pPr>
        <w:spacing w:line="580" w:lineRule="exact"/>
        <w:ind w:left="630"/>
        <w:rPr>
          <w:rFonts w:ascii="仿宋_GB2312" w:hAnsi="仿宋_GB2312" w:eastAsia="仿宋_GB2312" w:cs="仿宋_GB2312"/>
          <w:sz w:val="32"/>
          <w:szCs w:val="32"/>
        </w:rPr>
      </w:pPr>
      <w:r>
        <w:rPr>
          <w:rFonts w:hint="eastAsia" w:ascii="楷体_GB2312" w:hAnsi="楷体_GB2312" w:eastAsia="楷体_GB2312" w:cs="楷体_GB2312"/>
          <w:sz w:val="32"/>
          <w:szCs w:val="32"/>
        </w:rPr>
        <w:t>2.部门绩效评价结果。</w:t>
      </w:r>
    </w:p>
    <w:p w14:paraId="3B984D6A">
      <w:pPr>
        <w:spacing w:line="58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本部门按要求对20</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rPr>
        <w:t>年部门整体支出绩效评价情况开展自评，</w:t>
      </w:r>
      <w:r>
        <w:rPr>
          <w:rFonts w:hint="eastAsia" w:ascii="仿宋_GB2312" w:hAnsi="仿宋_GB2312" w:eastAsia="仿宋_GB2312" w:cs="仿宋_GB2312"/>
          <w:sz w:val="32"/>
          <w:szCs w:val="32"/>
          <w:lang w:eastAsia="zh-CN"/>
        </w:rPr>
        <w:t>整体支出得分</w:t>
      </w:r>
      <w:r>
        <w:rPr>
          <w:rFonts w:hint="eastAsia" w:ascii="仿宋_GB2312" w:hAnsi="仿宋_GB2312" w:eastAsia="仿宋_GB2312" w:cs="仿宋_GB2312"/>
          <w:sz w:val="32"/>
          <w:szCs w:val="32"/>
          <w:lang w:val="en-US" w:eastAsia="zh-CN"/>
        </w:rPr>
        <w:t>92.9分，</w:t>
      </w:r>
      <w:r>
        <w:rPr>
          <w:rFonts w:hint="eastAsia" w:ascii="仿宋_GB2312" w:hAnsi="仿宋_GB2312" w:eastAsia="仿宋_GB2312" w:cs="仿宋_GB2312"/>
          <w:sz w:val="32"/>
          <w:szCs w:val="32"/>
          <w:lang w:eastAsia="zh-CN"/>
        </w:rPr>
        <w:t>情况</w:t>
      </w:r>
      <w:r>
        <w:rPr>
          <w:rFonts w:hint="eastAsia" w:ascii="仿宋_GB2312" w:hAnsi="仿宋_GB2312" w:eastAsia="仿宋_GB2312" w:cs="仿宋_GB2312"/>
          <w:sz w:val="32"/>
          <w:szCs w:val="32"/>
          <w:lang w:val="en-US" w:eastAsia="zh-CN"/>
        </w:rPr>
        <w:t>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红原县</w:t>
      </w:r>
      <w:r>
        <w:rPr>
          <w:rFonts w:hint="eastAsia" w:ascii="仿宋_GB2312" w:hAnsi="仿宋_GB2312" w:eastAsia="仿宋_GB2312" w:cs="仿宋_GB2312"/>
          <w:sz w:val="32"/>
          <w:szCs w:val="32"/>
          <w:lang w:val="en-US" w:eastAsia="zh-CN"/>
        </w:rPr>
        <w:t>行政审批和政务服务管理局</w:t>
      </w:r>
      <w:r>
        <w:rPr>
          <w:rFonts w:hint="eastAsia" w:ascii="仿宋_GB2312" w:hAnsi="仿宋_GB2312" w:eastAsia="仿宋_GB2312" w:cs="仿宋_GB2312"/>
          <w:sz w:val="32"/>
          <w:szCs w:val="32"/>
          <w:lang w:eastAsia="zh-CN"/>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lang w:eastAsia="zh-CN"/>
        </w:rPr>
        <w:t>年部门整体支出绩效报告</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详</w:t>
      </w:r>
      <w:r>
        <w:rPr>
          <w:rFonts w:hint="eastAsia" w:ascii="仿宋_GB2312" w:hAnsi="仿宋_GB2312" w:eastAsia="仿宋_GB2312" w:cs="仿宋_GB2312"/>
          <w:sz w:val="32"/>
          <w:szCs w:val="32"/>
        </w:rPr>
        <w:t>见附件。</w:t>
      </w:r>
    </w:p>
    <w:p w14:paraId="735A4CC8">
      <w:pPr>
        <w:pageBreakBefore w:val="0"/>
        <w:kinsoku/>
        <w:wordWrap/>
        <w:overflowPunct/>
        <w:topLinePunct w:val="0"/>
        <w:bidi w:val="0"/>
        <w:spacing w:beforeAutospacing="0" w:afterAutospacing="0" w:line="576" w:lineRule="exact"/>
        <w:ind w:left="0" w:leftChars="0" w:right="0" w:firstLine="640" w:firstLineChars="200"/>
        <w:jc w:val="both"/>
        <w:rPr>
          <w:rFonts w:ascii="仿宋_GB2312" w:hAnsi="仿宋_GB2312" w:eastAsia="仿宋_GB2312" w:cs="仿宋_GB2312"/>
          <w:sz w:val="32"/>
          <w:szCs w:val="32"/>
        </w:rPr>
      </w:pPr>
    </w:p>
    <w:p w14:paraId="0F44AC16">
      <w:pPr>
        <w:pStyle w:val="10"/>
        <w:pageBreakBefore w:val="0"/>
        <w:kinsoku/>
        <w:wordWrap/>
        <w:overflowPunct/>
        <w:topLinePunct w:val="0"/>
        <w:bidi w:val="0"/>
        <w:spacing w:beforeAutospacing="0" w:afterAutospacing="0" w:line="576" w:lineRule="exact"/>
        <w:ind w:left="0" w:leftChars="0" w:right="0" w:firstLine="640" w:firstLineChars="200"/>
        <w:jc w:val="both"/>
        <w:rPr>
          <w:rFonts w:hint="eastAsia" w:ascii="仿宋_GB2312" w:hAnsi="仿宋_GB2312" w:eastAsia="仿宋_GB2312" w:cs="仿宋_GB2312"/>
          <w:sz w:val="32"/>
          <w:szCs w:val="32"/>
        </w:rPr>
      </w:pPr>
    </w:p>
    <w:p w14:paraId="23BB4E1E">
      <w:pPr>
        <w:pageBreakBefore w:val="0"/>
        <w:widowControl/>
        <w:kinsoku/>
        <w:wordWrap/>
        <w:overflowPunct/>
        <w:topLinePunct w:val="0"/>
        <w:bidi w:val="0"/>
        <w:spacing w:beforeAutospacing="0" w:afterAutospacing="0" w:line="576" w:lineRule="exact"/>
        <w:ind w:left="0" w:leftChars="0" w:right="0" w:firstLine="643" w:firstLineChars="200"/>
        <w:jc w:val="both"/>
        <w:rPr>
          <w:rFonts w:ascii="仿宋_GB2312" w:eastAsia="仿宋_GB2312"/>
          <w:b/>
          <w:sz w:val="32"/>
          <w:szCs w:val="32"/>
        </w:rPr>
      </w:pPr>
    </w:p>
    <w:p w14:paraId="4887D0F5">
      <w:pPr>
        <w:pageBreakBefore w:val="0"/>
        <w:numPr>
          <w:ilvl w:val="0"/>
          <w:numId w:val="3"/>
        </w:numPr>
        <w:kinsoku/>
        <w:wordWrap/>
        <w:overflowPunct/>
        <w:topLinePunct w:val="0"/>
        <w:bidi w:val="0"/>
        <w:spacing w:beforeAutospacing="0" w:afterAutospacing="0" w:line="576" w:lineRule="exact"/>
        <w:ind w:left="0" w:leftChars="0" w:right="0" w:firstLine="880" w:firstLineChars="200"/>
        <w:jc w:val="both"/>
        <w:outlineLvl w:val="0"/>
        <w:rPr>
          <w:rStyle w:val="22"/>
          <w:rFonts w:ascii="黑体" w:eastAsia="黑体"/>
          <w:b w:val="0"/>
        </w:rPr>
      </w:pPr>
      <w:bookmarkStart w:id="66" w:name="_Toc15396613"/>
      <w:bookmarkStart w:id="67" w:name="_Toc31207"/>
      <w:bookmarkStart w:id="68" w:name="_Toc15377225"/>
      <w:r>
        <w:rPr>
          <w:rFonts w:hint="eastAsia" w:ascii="黑体" w:eastAsia="黑体"/>
          <w:sz w:val="44"/>
          <w:szCs w:val="44"/>
        </w:rPr>
        <w:t>名</w:t>
      </w:r>
      <w:r>
        <w:rPr>
          <w:rStyle w:val="22"/>
          <w:rFonts w:hint="eastAsia" w:ascii="黑体" w:eastAsia="黑体"/>
          <w:b w:val="0"/>
        </w:rPr>
        <w:t>词解释</w:t>
      </w:r>
      <w:bookmarkEnd w:id="66"/>
      <w:bookmarkEnd w:id="67"/>
      <w:bookmarkEnd w:id="68"/>
    </w:p>
    <w:p w14:paraId="6AEE5624">
      <w:pPr>
        <w:pageBreakBefore w:val="0"/>
        <w:kinsoku/>
        <w:wordWrap/>
        <w:overflowPunct/>
        <w:topLinePunct w:val="0"/>
        <w:bidi w:val="0"/>
        <w:spacing w:beforeAutospacing="0" w:afterAutospacing="0" w:line="576" w:lineRule="exact"/>
        <w:ind w:left="0" w:leftChars="0" w:right="0" w:firstLine="883" w:firstLineChars="200"/>
        <w:jc w:val="both"/>
        <w:rPr>
          <w:rFonts w:ascii="宋体"/>
          <w:b/>
          <w:sz w:val="44"/>
          <w:szCs w:val="44"/>
        </w:rPr>
      </w:pPr>
    </w:p>
    <w:p w14:paraId="0DB291A8">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312"/>
        </w:tabs>
        <w:kinsoku/>
        <w:wordWrap/>
        <w:overflowPunct/>
        <w:topLinePunct w:val="0"/>
        <w:autoSpaceDE/>
        <w:autoSpaceDN/>
        <w:bidi w:val="0"/>
        <w:adjustRightInd/>
        <w:snapToGrid/>
        <w:spacing w:before="0" w:beforeAutospacing="0" w:after="0" w:afterAutospacing="0" w:line="560" w:lineRule="exact"/>
        <w:jc w:val="both"/>
        <w:textAlignment w:val="auto"/>
        <w:rPr>
          <w:sz w:val="32"/>
          <w:szCs w:val="32"/>
        </w:rPr>
      </w:pPr>
      <w:bookmarkStart w:id="69" w:name="_Toc18803"/>
      <w:bookmarkStart w:id="70" w:name="_Toc27029"/>
      <w:bookmarkStart w:id="71" w:name="_Toc27947"/>
      <w:bookmarkStart w:id="72" w:name="_Toc15396614"/>
      <w:bookmarkStart w:id="73" w:name="_Toc17629"/>
      <w:bookmarkStart w:id="74" w:name="_Toc15377226"/>
      <w:r>
        <w:rPr>
          <w:rFonts w:hint="eastAsia" w:ascii="仿宋_GB2312" w:eastAsia="仿宋_GB2312" w:cs="仿宋_GB2312"/>
          <w:color w:val="000000"/>
          <w:sz w:val="32"/>
          <w:szCs w:val="32"/>
          <w:lang w:val="en-US" w:eastAsia="zh-CN"/>
        </w:rPr>
        <w:t>1.</w:t>
      </w:r>
      <w:r>
        <w:rPr>
          <w:rFonts w:ascii="仿宋_GB2312" w:eastAsia="仿宋_GB2312" w:cs="仿宋_GB2312"/>
          <w:color w:val="000000"/>
          <w:sz w:val="32"/>
          <w:szCs w:val="32"/>
        </w:rPr>
        <w:t>财政拨款收入：指单位从同级财政部门取得的财政预算资</w:t>
      </w:r>
      <w:bookmarkEnd w:id="69"/>
      <w:bookmarkEnd w:id="70"/>
      <w:bookmarkEnd w:id="71"/>
    </w:p>
    <w:p w14:paraId="203DC83D">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both"/>
        <w:textAlignment w:val="auto"/>
        <w:rPr>
          <w:sz w:val="32"/>
          <w:szCs w:val="32"/>
        </w:rPr>
      </w:pPr>
      <w:bookmarkStart w:id="75" w:name="_Toc28771"/>
      <w:bookmarkStart w:id="76" w:name="_Toc21049"/>
      <w:bookmarkStart w:id="77" w:name="_Toc704"/>
      <w:r>
        <w:rPr>
          <w:rFonts w:hint="eastAsia" w:ascii="仿宋_GB2312" w:eastAsia="仿宋_GB2312" w:cs="仿宋_GB2312"/>
          <w:color w:val="000000"/>
          <w:sz w:val="32"/>
          <w:szCs w:val="32"/>
        </w:rPr>
        <w:t>金。</w:t>
      </w:r>
      <w:bookmarkEnd w:id="75"/>
      <w:bookmarkEnd w:id="76"/>
      <w:bookmarkEnd w:id="77"/>
    </w:p>
    <w:p w14:paraId="26C4EB9A">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both"/>
        <w:textAlignment w:val="auto"/>
        <w:rPr>
          <w:sz w:val="32"/>
          <w:szCs w:val="32"/>
        </w:rPr>
      </w:pPr>
      <w:bookmarkStart w:id="78" w:name="_Toc5090"/>
      <w:bookmarkStart w:id="79" w:name="_Toc16486"/>
      <w:bookmarkStart w:id="80" w:name="_Toc24986"/>
      <w:r>
        <w:rPr>
          <w:rFonts w:hint="eastAsia" w:ascii="仿宋_GB2312" w:eastAsia="仿宋_GB2312" w:cs="仿宋_GB2312"/>
          <w:color w:val="000000"/>
          <w:sz w:val="32"/>
          <w:szCs w:val="32"/>
        </w:rPr>
        <w:t>2.其他收入：指单位取得的除上述收入以外的各项收入。</w:t>
      </w:r>
      <w:bookmarkEnd w:id="78"/>
      <w:bookmarkEnd w:id="79"/>
      <w:bookmarkEnd w:id="80"/>
      <w:r>
        <w:rPr>
          <w:rFonts w:hint="eastAsia" w:ascii="仿宋_GB2312" w:eastAsia="仿宋_GB2312" w:cs="仿宋_GB2312"/>
          <w:color w:val="000000"/>
          <w:sz w:val="32"/>
          <w:szCs w:val="32"/>
        </w:rPr>
        <w:t> </w:t>
      </w:r>
    </w:p>
    <w:p w14:paraId="67E7DE14">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center"/>
        <w:textAlignment w:val="auto"/>
        <w:rPr>
          <w:sz w:val="32"/>
          <w:szCs w:val="32"/>
        </w:rPr>
      </w:pPr>
      <w:bookmarkStart w:id="81" w:name="_Toc13744"/>
      <w:bookmarkStart w:id="82" w:name="_Toc5473"/>
      <w:bookmarkStart w:id="83" w:name="_Toc19661"/>
      <w:r>
        <w:rPr>
          <w:rFonts w:hint="eastAsia" w:ascii="仿宋_GB2312" w:eastAsia="仿宋_GB2312" w:cs="仿宋_GB2312"/>
          <w:color w:val="000000"/>
          <w:sz w:val="32"/>
          <w:szCs w:val="32"/>
        </w:rPr>
        <w:t>3.年初结转和结余：指以前年度尚未完成、结转到本年按有</w:t>
      </w:r>
      <w:bookmarkEnd w:id="81"/>
      <w:bookmarkEnd w:id="82"/>
      <w:bookmarkEnd w:id="83"/>
    </w:p>
    <w:p w14:paraId="06BE7C22">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both"/>
        <w:textAlignment w:val="auto"/>
        <w:rPr>
          <w:sz w:val="32"/>
          <w:szCs w:val="32"/>
        </w:rPr>
      </w:pPr>
      <w:bookmarkStart w:id="84" w:name="_Toc15327"/>
      <w:bookmarkStart w:id="85" w:name="_Toc12956"/>
      <w:bookmarkStart w:id="86" w:name="_Toc11790"/>
      <w:r>
        <w:rPr>
          <w:rFonts w:hint="eastAsia" w:ascii="仿宋_GB2312" w:eastAsia="仿宋_GB2312" w:cs="仿宋_GB2312"/>
          <w:color w:val="000000"/>
          <w:sz w:val="32"/>
          <w:szCs w:val="32"/>
        </w:rPr>
        <w:t>关规定继续使用的资金。</w:t>
      </w:r>
      <w:bookmarkEnd w:id="84"/>
      <w:bookmarkEnd w:id="85"/>
      <w:bookmarkEnd w:id="86"/>
      <w:r>
        <w:rPr>
          <w:rFonts w:hint="eastAsia" w:ascii="仿宋_GB2312" w:eastAsia="仿宋_GB2312" w:cs="仿宋_GB2312"/>
          <w:color w:val="000000"/>
          <w:sz w:val="32"/>
          <w:szCs w:val="32"/>
        </w:rPr>
        <w:t> </w:t>
      </w:r>
    </w:p>
    <w:p w14:paraId="1AEFF2AB">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center"/>
        <w:textAlignment w:val="auto"/>
        <w:rPr>
          <w:sz w:val="32"/>
          <w:szCs w:val="32"/>
        </w:rPr>
      </w:pPr>
      <w:bookmarkStart w:id="87" w:name="_Toc9882"/>
      <w:bookmarkStart w:id="88" w:name="_Toc1206"/>
      <w:bookmarkStart w:id="89" w:name="_Toc21359"/>
      <w:r>
        <w:rPr>
          <w:rFonts w:hint="eastAsia" w:ascii="仿宋_GB2312" w:eastAsia="仿宋_GB2312" w:cs="仿宋_GB2312"/>
          <w:color w:val="000000"/>
          <w:sz w:val="32"/>
          <w:szCs w:val="32"/>
        </w:rPr>
        <w:t>4、年末结转和结余：指单位按有关规定结转到下年或以后</w:t>
      </w:r>
      <w:bookmarkEnd w:id="87"/>
      <w:bookmarkEnd w:id="88"/>
      <w:bookmarkEnd w:id="89"/>
    </w:p>
    <w:p w14:paraId="25694534">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both"/>
        <w:textAlignment w:val="auto"/>
        <w:rPr>
          <w:sz w:val="32"/>
          <w:szCs w:val="32"/>
        </w:rPr>
      </w:pPr>
      <w:bookmarkStart w:id="90" w:name="_Toc12873"/>
      <w:bookmarkStart w:id="91" w:name="_Toc8387"/>
      <w:bookmarkStart w:id="92" w:name="_Toc9271"/>
      <w:r>
        <w:rPr>
          <w:rFonts w:hint="eastAsia" w:ascii="仿宋_GB2312" w:eastAsia="仿宋_GB2312" w:cs="仿宋_GB2312"/>
          <w:color w:val="000000"/>
          <w:sz w:val="32"/>
          <w:szCs w:val="32"/>
        </w:rPr>
        <w:t>年度继续使用的资金。</w:t>
      </w:r>
      <w:bookmarkEnd w:id="90"/>
      <w:bookmarkEnd w:id="91"/>
      <w:bookmarkEnd w:id="92"/>
    </w:p>
    <w:p w14:paraId="6C64E4E2">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both"/>
        <w:textAlignment w:val="auto"/>
        <w:rPr>
          <w:sz w:val="32"/>
          <w:szCs w:val="32"/>
        </w:rPr>
      </w:pPr>
      <w:bookmarkStart w:id="93" w:name="_Toc31094"/>
      <w:bookmarkStart w:id="94" w:name="_Toc7344"/>
      <w:bookmarkStart w:id="95" w:name="_Toc2744"/>
      <w:r>
        <w:rPr>
          <w:rFonts w:hint="eastAsia" w:ascii="仿宋_GB2312" w:eastAsia="仿宋_GB2312" w:cs="仿宋_GB2312"/>
          <w:color w:val="000000"/>
          <w:sz w:val="32"/>
          <w:szCs w:val="32"/>
          <w:lang w:val="en-US" w:eastAsia="zh-CN"/>
        </w:rPr>
        <w:t>5.</w:t>
      </w:r>
      <w:r>
        <w:rPr>
          <w:rFonts w:hint="eastAsia" w:ascii="仿宋_GB2312" w:eastAsia="仿宋_GB2312" w:cs="仿宋_GB2312"/>
          <w:color w:val="000000"/>
          <w:sz w:val="32"/>
          <w:szCs w:val="32"/>
        </w:rPr>
        <w:t>一般公共服务：2010</w:t>
      </w:r>
      <w:r>
        <w:rPr>
          <w:rFonts w:hint="eastAsia" w:ascii="仿宋_GB2312" w:eastAsia="仿宋_GB2312" w:cs="仿宋_GB2312"/>
          <w:color w:val="000000"/>
          <w:sz w:val="32"/>
          <w:szCs w:val="32"/>
          <w:lang w:val="en-US" w:eastAsia="zh-CN"/>
        </w:rPr>
        <w:t>3</w:t>
      </w:r>
      <w:r>
        <w:rPr>
          <w:rFonts w:hint="eastAsia" w:ascii="仿宋_GB2312" w:eastAsia="仿宋_GB2312" w:cs="仿宋_GB2312"/>
          <w:color w:val="000000"/>
          <w:sz w:val="32"/>
          <w:szCs w:val="32"/>
        </w:rPr>
        <w:t>01指行政运行，反映人员经费与日常公用经费的支出。2010</w:t>
      </w:r>
      <w:r>
        <w:rPr>
          <w:rFonts w:hint="eastAsia" w:ascii="仿宋_GB2312" w:eastAsia="仿宋_GB2312" w:cs="仿宋_GB2312"/>
          <w:color w:val="000000"/>
          <w:sz w:val="32"/>
          <w:szCs w:val="32"/>
          <w:lang w:val="en-US" w:eastAsia="zh-CN"/>
        </w:rPr>
        <w:t>302</w:t>
      </w:r>
      <w:r>
        <w:rPr>
          <w:rFonts w:hint="eastAsia" w:ascii="仿宋_GB2312" w:eastAsia="仿宋_GB2312" w:cs="仿宋_GB2312"/>
          <w:color w:val="000000"/>
          <w:sz w:val="32"/>
          <w:szCs w:val="32"/>
        </w:rPr>
        <w:t>指一般行政管理事务，反映</w:t>
      </w:r>
      <w:r>
        <w:rPr>
          <w:rFonts w:hint="eastAsia" w:ascii="仿宋_GB2312" w:eastAsia="仿宋_GB2312" w:cs="仿宋_GB2312"/>
          <w:color w:val="000000"/>
          <w:sz w:val="32"/>
          <w:szCs w:val="32"/>
          <w:lang w:val="en-US" w:eastAsia="zh-CN"/>
        </w:rPr>
        <w:t>单位项目的</w:t>
      </w:r>
      <w:r>
        <w:rPr>
          <w:rFonts w:hint="eastAsia" w:ascii="仿宋_GB2312" w:eastAsia="仿宋_GB2312" w:cs="仿宋_GB2312"/>
          <w:color w:val="000000"/>
          <w:sz w:val="32"/>
          <w:szCs w:val="32"/>
        </w:rPr>
        <w:t>支出。2010</w:t>
      </w:r>
      <w:r>
        <w:rPr>
          <w:rFonts w:hint="eastAsia" w:ascii="仿宋_GB2312" w:eastAsia="仿宋_GB2312" w:cs="仿宋_GB2312"/>
          <w:color w:val="000000"/>
          <w:sz w:val="32"/>
          <w:szCs w:val="32"/>
          <w:lang w:val="en-US" w:eastAsia="zh-CN"/>
        </w:rPr>
        <w:t>350</w:t>
      </w:r>
      <w:bookmarkEnd w:id="93"/>
      <w:bookmarkEnd w:id="94"/>
      <w:bookmarkEnd w:id="95"/>
      <w:bookmarkStart w:id="96" w:name="_Toc23901"/>
      <w:bookmarkStart w:id="97" w:name="_Toc18095"/>
      <w:bookmarkStart w:id="98" w:name="_Toc13530"/>
      <w:r>
        <w:rPr>
          <w:rFonts w:hint="eastAsia" w:ascii="仿宋_GB2312" w:eastAsia="仿宋_GB2312" w:cs="仿宋_GB2312"/>
          <w:color w:val="000000"/>
          <w:sz w:val="32"/>
          <w:szCs w:val="32"/>
        </w:rPr>
        <w:t>指事业运行，反映事业</w:t>
      </w:r>
      <w:r>
        <w:rPr>
          <w:rFonts w:hint="eastAsia" w:ascii="仿宋_GB2312" w:eastAsia="仿宋_GB2312" w:cs="仿宋_GB2312"/>
          <w:color w:val="000000"/>
          <w:sz w:val="32"/>
          <w:szCs w:val="32"/>
          <w:lang w:eastAsia="zh-CN"/>
        </w:rPr>
        <w:t>单位</w:t>
      </w:r>
      <w:r>
        <w:rPr>
          <w:rFonts w:hint="eastAsia" w:ascii="仿宋_GB2312" w:eastAsia="仿宋_GB2312" w:cs="仿宋_GB2312"/>
          <w:color w:val="000000"/>
          <w:sz w:val="32"/>
          <w:szCs w:val="32"/>
        </w:rPr>
        <w:t>机构产生的人员经费及公用经费。</w:t>
      </w:r>
      <w:bookmarkEnd w:id="96"/>
      <w:bookmarkEnd w:id="97"/>
      <w:bookmarkEnd w:id="98"/>
    </w:p>
    <w:p w14:paraId="418455B1">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left"/>
        <w:textAlignment w:val="auto"/>
        <w:rPr>
          <w:sz w:val="32"/>
          <w:szCs w:val="32"/>
        </w:rPr>
      </w:pPr>
      <w:bookmarkStart w:id="99" w:name="_Toc19703"/>
      <w:bookmarkStart w:id="100" w:name="_Toc22387"/>
      <w:bookmarkStart w:id="101" w:name="_Toc25321"/>
      <w:r>
        <w:rPr>
          <w:rFonts w:hint="eastAsia" w:ascii="仿宋_GB2312" w:eastAsia="仿宋_GB2312" w:cs="仿宋_GB2312"/>
          <w:color w:val="000000"/>
          <w:sz w:val="32"/>
          <w:szCs w:val="32"/>
        </w:rPr>
        <w:t>6.社会保障和就业：2080505指机关事业单位基本养老保险缴费支出。2080506指机关事业单位职业年金缴费支出。</w:t>
      </w:r>
      <w:bookmarkEnd w:id="99"/>
      <w:bookmarkEnd w:id="100"/>
      <w:bookmarkEnd w:id="101"/>
    </w:p>
    <w:p w14:paraId="49A944CF">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both"/>
        <w:textAlignment w:val="auto"/>
        <w:rPr>
          <w:sz w:val="32"/>
          <w:szCs w:val="32"/>
        </w:rPr>
      </w:pPr>
      <w:bookmarkStart w:id="102" w:name="_Toc7898"/>
      <w:bookmarkStart w:id="103" w:name="_Toc11709"/>
      <w:bookmarkStart w:id="104" w:name="_Toc3261"/>
      <w:r>
        <w:rPr>
          <w:rFonts w:hint="eastAsia" w:ascii="仿宋_GB2312" w:eastAsia="仿宋_GB2312" w:cs="仿宋_GB2312"/>
          <w:color w:val="000000"/>
          <w:sz w:val="32"/>
          <w:szCs w:val="32"/>
        </w:rPr>
        <w:t>7.医疗卫生与计划生育：2101101指行政单位医疗保险支出。2101102指事业单位医疗保险支出。2101103指公务员医疗补助。2101199指其他行政事业单位医疗支出，反映事业单位职工补充医保。</w:t>
      </w:r>
      <w:bookmarkEnd w:id="102"/>
      <w:bookmarkEnd w:id="103"/>
      <w:bookmarkEnd w:id="104"/>
    </w:p>
    <w:p w14:paraId="3DCB10D2">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both"/>
        <w:textAlignment w:val="auto"/>
        <w:rPr>
          <w:sz w:val="32"/>
          <w:szCs w:val="32"/>
        </w:rPr>
      </w:pPr>
      <w:bookmarkStart w:id="105" w:name="_Toc14400"/>
      <w:bookmarkStart w:id="106" w:name="_Toc17531"/>
      <w:bookmarkStart w:id="107" w:name="_Toc27720"/>
      <w:r>
        <w:rPr>
          <w:rFonts w:hint="eastAsia" w:ascii="仿宋_GB2312" w:eastAsia="仿宋_GB2312" w:cs="仿宋_GB2312"/>
          <w:color w:val="000000"/>
          <w:sz w:val="32"/>
          <w:szCs w:val="32"/>
        </w:rPr>
        <w:t>8.住房保障：2210201指住房公积金。</w:t>
      </w:r>
      <w:bookmarkEnd w:id="105"/>
      <w:bookmarkEnd w:id="106"/>
      <w:bookmarkEnd w:id="107"/>
    </w:p>
    <w:p w14:paraId="22A159AB">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center"/>
        <w:textAlignment w:val="auto"/>
        <w:rPr>
          <w:sz w:val="32"/>
          <w:szCs w:val="32"/>
        </w:rPr>
      </w:pPr>
      <w:bookmarkStart w:id="108" w:name="_Toc969"/>
      <w:bookmarkStart w:id="109" w:name="_Toc15140"/>
      <w:bookmarkStart w:id="110" w:name="_Toc20801"/>
      <w:r>
        <w:rPr>
          <w:rFonts w:hint="eastAsia" w:ascii="仿宋_GB2312" w:eastAsia="仿宋_GB2312" w:cs="仿宋_GB2312"/>
          <w:color w:val="000000"/>
          <w:sz w:val="32"/>
          <w:szCs w:val="32"/>
        </w:rPr>
        <w:t>9.基本支出：指为保障机构正常运转、完成日常工作任务而</w:t>
      </w:r>
      <w:bookmarkEnd w:id="108"/>
      <w:bookmarkEnd w:id="109"/>
      <w:bookmarkEnd w:id="110"/>
    </w:p>
    <w:p w14:paraId="63570E04">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both"/>
        <w:textAlignment w:val="auto"/>
        <w:rPr>
          <w:sz w:val="32"/>
          <w:szCs w:val="32"/>
        </w:rPr>
      </w:pPr>
      <w:bookmarkStart w:id="111" w:name="_Toc2623"/>
      <w:bookmarkStart w:id="112" w:name="_Toc1908"/>
      <w:bookmarkStart w:id="113" w:name="_Toc4186"/>
      <w:r>
        <w:rPr>
          <w:rFonts w:hint="eastAsia" w:ascii="仿宋_GB2312" w:eastAsia="仿宋_GB2312" w:cs="仿宋_GB2312"/>
          <w:color w:val="000000"/>
          <w:sz w:val="32"/>
          <w:szCs w:val="32"/>
        </w:rPr>
        <w:t>发生的人员支出和公用支出。</w:t>
      </w:r>
      <w:bookmarkEnd w:id="111"/>
      <w:bookmarkEnd w:id="112"/>
      <w:bookmarkEnd w:id="113"/>
    </w:p>
    <w:p w14:paraId="1BA4C967">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center"/>
        <w:textAlignment w:val="auto"/>
        <w:rPr>
          <w:sz w:val="32"/>
          <w:szCs w:val="32"/>
        </w:rPr>
      </w:pPr>
      <w:bookmarkStart w:id="114" w:name="_Toc9649"/>
      <w:bookmarkStart w:id="115" w:name="_Toc27377"/>
      <w:bookmarkStart w:id="116" w:name="_Toc26501"/>
      <w:r>
        <w:rPr>
          <w:rFonts w:hint="eastAsia" w:ascii="仿宋_GB2312" w:eastAsia="仿宋_GB2312" w:cs="仿宋_GB2312"/>
          <w:color w:val="000000"/>
          <w:sz w:val="32"/>
          <w:szCs w:val="32"/>
        </w:rPr>
        <w:t>10.项目支出：指在基本支出之外为完成特定行政任务和事</w:t>
      </w:r>
      <w:bookmarkEnd w:id="114"/>
      <w:bookmarkEnd w:id="115"/>
      <w:bookmarkEnd w:id="116"/>
    </w:p>
    <w:p w14:paraId="44F03509">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both"/>
        <w:textAlignment w:val="auto"/>
        <w:rPr>
          <w:sz w:val="32"/>
          <w:szCs w:val="32"/>
        </w:rPr>
      </w:pPr>
      <w:bookmarkStart w:id="117" w:name="_Toc19535"/>
      <w:bookmarkStart w:id="118" w:name="_Toc30698"/>
      <w:bookmarkStart w:id="119" w:name="_Toc26892"/>
      <w:r>
        <w:rPr>
          <w:rFonts w:hint="eastAsia" w:ascii="仿宋_GB2312" w:eastAsia="仿宋_GB2312" w:cs="仿宋_GB2312"/>
          <w:color w:val="000000"/>
          <w:sz w:val="32"/>
          <w:szCs w:val="32"/>
        </w:rPr>
        <w:t>业发展目标所发生的支出。</w:t>
      </w:r>
      <w:bookmarkEnd w:id="117"/>
      <w:bookmarkEnd w:id="118"/>
      <w:bookmarkEnd w:id="119"/>
      <w:r>
        <w:rPr>
          <w:rFonts w:hint="eastAsia" w:ascii="仿宋_GB2312" w:eastAsia="仿宋_GB2312" w:cs="仿宋_GB2312"/>
          <w:color w:val="000000"/>
          <w:sz w:val="32"/>
          <w:szCs w:val="32"/>
        </w:rPr>
        <w:t> </w:t>
      </w:r>
    </w:p>
    <w:p w14:paraId="2A726098">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center"/>
        <w:textAlignment w:val="auto"/>
        <w:rPr>
          <w:sz w:val="32"/>
          <w:szCs w:val="32"/>
        </w:rPr>
      </w:pPr>
      <w:bookmarkStart w:id="120" w:name="_Toc21244"/>
      <w:bookmarkStart w:id="121" w:name="_Toc22739"/>
      <w:bookmarkStart w:id="122" w:name="_Toc27678"/>
      <w:r>
        <w:rPr>
          <w:rFonts w:hint="eastAsia" w:ascii="仿宋_GB2312" w:eastAsia="仿宋_GB2312" w:cs="仿宋_GB2312"/>
          <w:color w:val="000000"/>
          <w:sz w:val="32"/>
          <w:szCs w:val="32"/>
        </w:rPr>
        <w:t>11.“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w:t>
      </w:r>
      <w:bookmarkEnd w:id="120"/>
      <w:bookmarkEnd w:id="121"/>
      <w:bookmarkEnd w:id="122"/>
    </w:p>
    <w:p w14:paraId="1198ECD4">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both"/>
        <w:textAlignment w:val="auto"/>
        <w:rPr>
          <w:sz w:val="32"/>
          <w:szCs w:val="32"/>
        </w:rPr>
      </w:pPr>
      <w:bookmarkStart w:id="123" w:name="_Toc14809"/>
      <w:bookmarkStart w:id="124" w:name="_Toc11049"/>
      <w:bookmarkStart w:id="125" w:name="_Toc1029"/>
      <w:r>
        <w:rPr>
          <w:rFonts w:hint="eastAsia" w:ascii="仿宋_GB2312" w:eastAsia="仿宋_GB2312" w:cs="仿宋_GB2312"/>
          <w:color w:val="000000"/>
          <w:sz w:val="32"/>
          <w:szCs w:val="32"/>
        </w:rPr>
        <w:t>外宾接待）支出。</w:t>
      </w:r>
      <w:bookmarkEnd w:id="123"/>
      <w:bookmarkEnd w:id="124"/>
      <w:bookmarkEnd w:id="125"/>
    </w:p>
    <w:p w14:paraId="1AAB0A62">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center"/>
        <w:textAlignment w:val="auto"/>
        <w:rPr>
          <w:sz w:val="32"/>
          <w:szCs w:val="32"/>
        </w:rPr>
      </w:pPr>
      <w:bookmarkStart w:id="126" w:name="_Toc20693"/>
      <w:bookmarkStart w:id="127" w:name="_Toc28505"/>
      <w:bookmarkStart w:id="128" w:name="_Toc13615"/>
      <w:r>
        <w:rPr>
          <w:rFonts w:hint="eastAsia" w:ascii="仿宋_GB2312" w:eastAsia="仿宋_GB2312" w:cs="仿宋_GB2312"/>
          <w:color w:val="000000"/>
          <w:sz w:val="32"/>
          <w:szCs w:val="32"/>
        </w:rPr>
        <w:t>12.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w:t>
      </w:r>
      <w:bookmarkEnd w:id="126"/>
      <w:bookmarkEnd w:id="127"/>
      <w:bookmarkEnd w:id="128"/>
    </w:p>
    <w:p w14:paraId="1F0696C7">
      <w:pPr>
        <w:pStyle w:val="17"/>
        <w:keepNext w:val="0"/>
        <w:keepLines w:val="0"/>
        <w:pageBreakBefore w:val="0"/>
        <w:widowControl w:val="0"/>
        <w:suppressLineNumbers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0" w:beforeAutospacing="0" w:after="0" w:afterAutospacing="0" w:line="560" w:lineRule="exact"/>
        <w:jc w:val="both"/>
        <w:textAlignment w:val="auto"/>
        <w:rPr>
          <w:rFonts w:hint="eastAsia" w:ascii="仿宋_GB2312" w:hAnsi="仿宋_GB2312" w:eastAsia="仿宋_GB2312" w:cs="仿宋_GB2312"/>
          <w:color w:val="auto"/>
          <w:kern w:val="2"/>
          <w:sz w:val="32"/>
          <w:szCs w:val="32"/>
          <w:highlight w:val="none"/>
          <w:lang w:val="en-US" w:eastAsia="zh-CN" w:bidi="ar-SA"/>
        </w:rPr>
      </w:pPr>
      <w:bookmarkStart w:id="129" w:name="_Toc19910"/>
      <w:bookmarkStart w:id="130" w:name="_Toc23183"/>
      <w:bookmarkStart w:id="131" w:name="_Toc20644"/>
      <w:r>
        <w:rPr>
          <w:rFonts w:hint="eastAsia" w:ascii="仿宋_GB2312" w:eastAsia="仿宋_GB2312" w:cs="仿宋_GB2312"/>
          <w:color w:val="000000"/>
          <w:sz w:val="32"/>
          <w:szCs w:val="32"/>
        </w:rPr>
        <w:t>其他费用。</w:t>
      </w:r>
      <w:bookmarkEnd w:id="129"/>
      <w:bookmarkEnd w:id="130"/>
      <w:bookmarkEnd w:id="131"/>
    </w:p>
    <w:p w14:paraId="2BC06DB0">
      <w:pPr>
        <w:pageBreakBefore w:val="0"/>
        <w:kinsoku/>
        <w:wordWrap/>
        <w:overflowPunct/>
        <w:topLinePunct w:val="0"/>
        <w:autoSpaceDE/>
        <w:autoSpaceDN/>
        <w:bidi w:val="0"/>
        <w:spacing w:line="560" w:lineRule="exact"/>
        <w:jc w:val="center"/>
        <w:rPr>
          <w:rFonts w:hint="eastAsia" w:ascii="仿宋_GB2312" w:hAnsi="仿宋_GB2312" w:eastAsia="仿宋_GB2312" w:cs="仿宋_GB2312"/>
          <w:color w:val="auto"/>
          <w:kern w:val="2"/>
          <w:sz w:val="32"/>
          <w:szCs w:val="32"/>
          <w:highlight w:val="none"/>
          <w:lang w:val="en-US" w:eastAsia="zh-CN" w:bidi="ar-SA"/>
        </w:rPr>
      </w:pPr>
    </w:p>
    <w:p w14:paraId="6E735275">
      <w:pPr>
        <w:pStyle w:val="36"/>
        <w:rPr>
          <w:rFonts w:hint="eastAsia" w:ascii="仿宋_GB2312" w:hAnsi="仿宋_GB2312" w:eastAsia="仿宋_GB2312" w:cs="仿宋_GB2312"/>
          <w:color w:val="auto"/>
          <w:kern w:val="2"/>
          <w:sz w:val="32"/>
          <w:szCs w:val="32"/>
          <w:highlight w:val="none"/>
          <w:lang w:val="en-US" w:eastAsia="zh-CN" w:bidi="ar-SA"/>
        </w:rPr>
      </w:pPr>
    </w:p>
    <w:p w14:paraId="5411B43E">
      <w:pPr>
        <w:pStyle w:val="36"/>
        <w:rPr>
          <w:rFonts w:hint="eastAsia" w:ascii="仿宋_GB2312" w:hAnsi="仿宋_GB2312" w:eastAsia="仿宋_GB2312" w:cs="仿宋_GB2312"/>
          <w:color w:val="auto"/>
          <w:kern w:val="2"/>
          <w:sz w:val="32"/>
          <w:szCs w:val="32"/>
          <w:highlight w:val="none"/>
          <w:lang w:val="en-US" w:eastAsia="zh-CN" w:bidi="ar-SA"/>
        </w:rPr>
      </w:pPr>
    </w:p>
    <w:p w14:paraId="3D70B7F9">
      <w:pPr>
        <w:pStyle w:val="36"/>
        <w:rPr>
          <w:rFonts w:hint="eastAsia" w:ascii="仿宋_GB2312" w:hAnsi="仿宋_GB2312" w:eastAsia="仿宋_GB2312" w:cs="仿宋_GB2312"/>
          <w:color w:val="auto"/>
          <w:kern w:val="2"/>
          <w:sz w:val="32"/>
          <w:szCs w:val="32"/>
          <w:highlight w:val="none"/>
          <w:lang w:val="en-US" w:eastAsia="zh-CN" w:bidi="ar-SA"/>
        </w:rPr>
      </w:pPr>
    </w:p>
    <w:p w14:paraId="168E211A">
      <w:pPr>
        <w:pStyle w:val="36"/>
        <w:rPr>
          <w:rFonts w:hint="eastAsia" w:ascii="仿宋_GB2312" w:hAnsi="仿宋_GB2312" w:eastAsia="仿宋_GB2312" w:cs="仿宋_GB2312"/>
          <w:color w:val="auto"/>
          <w:kern w:val="2"/>
          <w:sz w:val="32"/>
          <w:szCs w:val="32"/>
          <w:highlight w:val="none"/>
          <w:lang w:val="en-US" w:eastAsia="zh-CN" w:bidi="ar-SA"/>
        </w:rPr>
      </w:pPr>
    </w:p>
    <w:p w14:paraId="77646804">
      <w:pPr>
        <w:pStyle w:val="36"/>
        <w:rPr>
          <w:rFonts w:hint="eastAsia" w:ascii="仿宋_GB2312" w:hAnsi="仿宋_GB2312" w:eastAsia="仿宋_GB2312" w:cs="仿宋_GB2312"/>
          <w:color w:val="auto"/>
          <w:kern w:val="2"/>
          <w:sz w:val="32"/>
          <w:szCs w:val="32"/>
          <w:highlight w:val="none"/>
          <w:lang w:val="en-US" w:eastAsia="zh-CN" w:bidi="ar-SA"/>
        </w:rPr>
      </w:pPr>
    </w:p>
    <w:p w14:paraId="063AFAF8">
      <w:pPr>
        <w:pStyle w:val="36"/>
        <w:rPr>
          <w:rFonts w:hint="eastAsia" w:ascii="仿宋_GB2312" w:hAnsi="仿宋_GB2312" w:eastAsia="仿宋_GB2312" w:cs="仿宋_GB2312"/>
          <w:color w:val="auto"/>
          <w:kern w:val="2"/>
          <w:sz w:val="32"/>
          <w:szCs w:val="32"/>
          <w:highlight w:val="none"/>
          <w:lang w:val="en-US" w:eastAsia="zh-CN" w:bidi="ar-SA"/>
        </w:rPr>
      </w:pPr>
    </w:p>
    <w:p w14:paraId="6A312483">
      <w:pPr>
        <w:pStyle w:val="36"/>
        <w:rPr>
          <w:rFonts w:hint="eastAsia" w:ascii="仿宋_GB2312" w:hAnsi="仿宋_GB2312" w:eastAsia="仿宋_GB2312" w:cs="仿宋_GB2312"/>
          <w:color w:val="auto"/>
          <w:kern w:val="2"/>
          <w:sz w:val="32"/>
          <w:szCs w:val="32"/>
          <w:highlight w:val="none"/>
          <w:lang w:val="en-US" w:eastAsia="zh-CN" w:bidi="ar-SA"/>
        </w:rPr>
      </w:pPr>
    </w:p>
    <w:p w14:paraId="728AB2A2">
      <w:pPr>
        <w:pStyle w:val="36"/>
        <w:rPr>
          <w:rFonts w:hint="eastAsia" w:ascii="仿宋_GB2312" w:hAnsi="仿宋_GB2312" w:eastAsia="仿宋_GB2312" w:cs="仿宋_GB2312"/>
          <w:color w:val="auto"/>
          <w:kern w:val="2"/>
          <w:sz w:val="32"/>
          <w:szCs w:val="32"/>
          <w:highlight w:val="none"/>
          <w:lang w:val="en-US" w:eastAsia="zh-CN" w:bidi="ar-SA"/>
        </w:rPr>
      </w:pPr>
    </w:p>
    <w:p w14:paraId="2766C67C">
      <w:pPr>
        <w:pStyle w:val="36"/>
        <w:rPr>
          <w:rFonts w:hint="eastAsia" w:ascii="仿宋_GB2312" w:hAnsi="仿宋_GB2312" w:eastAsia="仿宋_GB2312" w:cs="仿宋_GB2312"/>
          <w:color w:val="auto"/>
          <w:kern w:val="2"/>
          <w:sz w:val="32"/>
          <w:szCs w:val="32"/>
          <w:highlight w:val="none"/>
          <w:lang w:val="en-US" w:eastAsia="zh-CN" w:bidi="ar-SA"/>
        </w:rPr>
      </w:pPr>
    </w:p>
    <w:p w14:paraId="528DFAA2">
      <w:pPr>
        <w:pStyle w:val="36"/>
        <w:rPr>
          <w:rFonts w:hint="eastAsia" w:ascii="仿宋_GB2312" w:hAnsi="仿宋_GB2312" w:eastAsia="仿宋_GB2312" w:cs="仿宋_GB2312"/>
          <w:color w:val="auto"/>
          <w:kern w:val="2"/>
          <w:sz w:val="32"/>
          <w:szCs w:val="32"/>
          <w:highlight w:val="none"/>
          <w:lang w:val="en-US" w:eastAsia="zh-CN" w:bidi="ar-SA"/>
        </w:rPr>
      </w:pPr>
    </w:p>
    <w:p w14:paraId="6F39E023">
      <w:pPr>
        <w:pStyle w:val="36"/>
        <w:rPr>
          <w:rFonts w:hint="eastAsia" w:ascii="仿宋_GB2312" w:hAnsi="仿宋_GB2312" w:eastAsia="仿宋_GB2312" w:cs="仿宋_GB2312"/>
          <w:color w:val="auto"/>
          <w:kern w:val="2"/>
          <w:sz w:val="32"/>
          <w:szCs w:val="32"/>
          <w:highlight w:val="none"/>
          <w:lang w:val="en-US" w:eastAsia="zh-CN" w:bidi="ar-SA"/>
        </w:rPr>
      </w:pPr>
    </w:p>
    <w:p w14:paraId="216FAE81">
      <w:pPr>
        <w:pStyle w:val="36"/>
        <w:rPr>
          <w:rFonts w:hint="eastAsia" w:ascii="仿宋_GB2312" w:hAnsi="仿宋_GB2312" w:eastAsia="仿宋_GB2312" w:cs="仿宋_GB2312"/>
          <w:color w:val="auto"/>
          <w:kern w:val="2"/>
          <w:sz w:val="32"/>
          <w:szCs w:val="32"/>
          <w:highlight w:val="none"/>
          <w:lang w:val="en-US" w:eastAsia="zh-CN" w:bidi="ar-SA"/>
        </w:rPr>
      </w:pPr>
    </w:p>
    <w:p w14:paraId="08BD66C7">
      <w:pPr>
        <w:pStyle w:val="36"/>
        <w:rPr>
          <w:rFonts w:hint="eastAsia" w:ascii="仿宋_GB2312" w:hAnsi="仿宋_GB2312" w:eastAsia="仿宋_GB2312" w:cs="仿宋_GB2312"/>
          <w:color w:val="auto"/>
          <w:kern w:val="2"/>
          <w:sz w:val="32"/>
          <w:szCs w:val="32"/>
          <w:highlight w:val="none"/>
          <w:lang w:val="en-US" w:eastAsia="zh-CN" w:bidi="ar-SA"/>
        </w:rPr>
      </w:pPr>
    </w:p>
    <w:p w14:paraId="30AB0A9F">
      <w:pPr>
        <w:pStyle w:val="36"/>
        <w:rPr>
          <w:rFonts w:hint="eastAsia" w:ascii="仿宋_GB2312" w:hAnsi="仿宋_GB2312" w:eastAsia="仿宋_GB2312" w:cs="仿宋_GB2312"/>
          <w:color w:val="auto"/>
          <w:kern w:val="2"/>
          <w:sz w:val="32"/>
          <w:szCs w:val="32"/>
          <w:highlight w:val="none"/>
          <w:lang w:val="en-US" w:eastAsia="zh-CN" w:bidi="ar-SA"/>
        </w:rPr>
      </w:pPr>
    </w:p>
    <w:p w14:paraId="3D04CC59">
      <w:pPr>
        <w:pStyle w:val="36"/>
        <w:rPr>
          <w:rFonts w:hint="eastAsia" w:ascii="仿宋_GB2312" w:hAnsi="仿宋_GB2312" w:eastAsia="仿宋_GB2312" w:cs="仿宋_GB2312"/>
          <w:color w:val="auto"/>
          <w:kern w:val="2"/>
          <w:sz w:val="32"/>
          <w:szCs w:val="32"/>
          <w:highlight w:val="none"/>
          <w:lang w:val="en-US" w:eastAsia="zh-CN" w:bidi="ar-SA"/>
        </w:rPr>
      </w:pPr>
    </w:p>
    <w:p w14:paraId="575142E9">
      <w:pPr>
        <w:pStyle w:val="36"/>
        <w:rPr>
          <w:rFonts w:hint="eastAsia" w:ascii="仿宋_GB2312" w:hAnsi="仿宋_GB2312" w:eastAsia="仿宋_GB2312" w:cs="仿宋_GB2312"/>
          <w:color w:val="auto"/>
          <w:kern w:val="2"/>
          <w:sz w:val="32"/>
          <w:szCs w:val="32"/>
          <w:highlight w:val="none"/>
          <w:lang w:val="en-US" w:eastAsia="zh-CN" w:bidi="ar-SA"/>
        </w:rPr>
      </w:pPr>
    </w:p>
    <w:p w14:paraId="45F92438">
      <w:pPr>
        <w:pStyle w:val="36"/>
        <w:rPr>
          <w:rFonts w:hint="eastAsia" w:ascii="仿宋_GB2312" w:hAnsi="仿宋_GB2312" w:eastAsia="仿宋_GB2312" w:cs="仿宋_GB2312"/>
          <w:color w:val="auto"/>
          <w:kern w:val="2"/>
          <w:sz w:val="32"/>
          <w:szCs w:val="32"/>
          <w:highlight w:val="none"/>
          <w:lang w:val="en-US" w:eastAsia="zh-CN" w:bidi="ar-SA"/>
        </w:rPr>
      </w:pPr>
    </w:p>
    <w:p w14:paraId="6245ACD5">
      <w:pPr>
        <w:pStyle w:val="36"/>
        <w:rPr>
          <w:rFonts w:hint="eastAsia" w:ascii="仿宋_GB2312" w:hAnsi="仿宋_GB2312" w:eastAsia="仿宋_GB2312" w:cs="仿宋_GB2312"/>
          <w:color w:val="auto"/>
          <w:kern w:val="2"/>
          <w:sz w:val="32"/>
          <w:szCs w:val="32"/>
          <w:highlight w:val="none"/>
          <w:lang w:val="en-US" w:eastAsia="zh-CN" w:bidi="ar-SA"/>
        </w:rPr>
      </w:pPr>
    </w:p>
    <w:p w14:paraId="6E2D6CBA">
      <w:pPr>
        <w:pStyle w:val="36"/>
        <w:rPr>
          <w:rFonts w:hint="eastAsia" w:ascii="仿宋_GB2312" w:hAnsi="仿宋_GB2312" w:eastAsia="仿宋_GB2312" w:cs="仿宋_GB2312"/>
          <w:color w:val="auto"/>
          <w:kern w:val="2"/>
          <w:sz w:val="32"/>
          <w:szCs w:val="32"/>
          <w:highlight w:val="none"/>
          <w:lang w:val="en-US" w:eastAsia="zh-CN" w:bidi="ar-SA"/>
        </w:rPr>
      </w:pPr>
    </w:p>
    <w:p w14:paraId="25DF23B4">
      <w:pPr>
        <w:pStyle w:val="36"/>
        <w:rPr>
          <w:rFonts w:hint="eastAsia" w:ascii="仿宋_GB2312" w:hAnsi="仿宋_GB2312" w:eastAsia="仿宋_GB2312" w:cs="仿宋_GB2312"/>
          <w:color w:val="auto"/>
          <w:kern w:val="2"/>
          <w:sz w:val="32"/>
          <w:szCs w:val="32"/>
          <w:highlight w:val="none"/>
          <w:lang w:val="en-US" w:eastAsia="zh-CN" w:bidi="ar-SA"/>
        </w:rPr>
      </w:pPr>
    </w:p>
    <w:p w14:paraId="68AFEDC6">
      <w:pPr>
        <w:pageBreakBefore w:val="0"/>
        <w:kinsoku/>
        <w:wordWrap/>
        <w:overflowPunct/>
        <w:topLinePunct w:val="0"/>
        <w:bidi w:val="0"/>
        <w:spacing w:beforeAutospacing="0" w:afterAutospacing="0" w:line="576" w:lineRule="exact"/>
        <w:ind w:left="0" w:leftChars="0" w:right="0" w:firstLine="880" w:firstLineChars="200"/>
        <w:jc w:val="both"/>
        <w:outlineLvl w:val="0"/>
        <w:rPr>
          <w:rStyle w:val="22"/>
          <w:rFonts w:ascii="黑体" w:eastAsia="黑体"/>
          <w:b w:val="0"/>
        </w:rPr>
      </w:pPr>
      <w:r>
        <w:rPr>
          <w:rFonts w:hint="eastAsia" w:ascii="黑体" w:eastAsia="黑体"/>
          <w:sz w:val="44"/>
          <w:szCs w:val="44"/>
        </w:rPr>
        <w:t>第</w:t>
      </w:r>
      <w:r>
        <w:rPr>
          <w:rStyle w:val="22"/>
          <w:rFonts w:hint="eastAsia" w:ascii="黑体" w:eastAsia="黑体"/>
          <w:b w:val="0"/>
        </w:rPr>
        <w:t>四部分 附件</w:t>
      </w:r>
      <w:bookmarkEnd w:id="72"/>
      <w:bookmarkEnd w:id="73"/>
    </w:p>
    <w:p w14:paraId="627150EB">
      <w:pPr>
        <w:pageBreakBefore w:val="0"/>
        <w:kinsoku/>
        <w:wordWrap/>
        <w:overflowPunct/>
        <w:topLinePunct w:val="0"/>
        <w:bidi w:val="0"/>
        <w:spacing w:beforeAutospacing="0" w:afterAutospacing="0" w:line="576" w:lineRule="exact"/>
        <w:ind w:left="0" w:leftChars="0" w:right="0" w:firstLine="640" w:firstLineChars="200"/>
        <w:jc w:val="both"/>
        <w:outlineLvl w:val="0"/>
        <w:rPr>
          <w:rFonts w:ascii="方正小标宋简体" w:eastAsia="方正小标宋简体" w:cs="方正小标宋简体"/>
          <w:sz w:val="44"/>
          <w:szCs w:val="44"/>
        </w:rPr>
      </w:pPr>
      <w:bookmarkStart w:id="132" w:name="_Toc31443"/>
      <w:bookmarkStart w:id="133" w:name="_Toc4715"/>
      <w:r>
        <w:rPr>
          <w:rFonts w:hint="eastAsia" w:ascii="黑体" w:eastAsia="黑体" w:cs="黑体"/>
          <w:sz w:val="32"/>
          <w:szCs w:val="32"/>
        </w:rPr>
        <w:t>附件</w:t>
      </w:r>
      <w:bookmarkEnd w:id="132"/>
      <w:bookmarkEnd w:id="133"/>
    </w:p>
    <w:p w14:paraId="5F9E9AB4">
      <w:pPr>
        <w:pageBreakBefore w:val="0"/>
        <w:kinsoku/>
        <w:wordWrap/>
        <w:overflowPunct/>
        <w:topLinePunct w:val="0"/>
        <w:bidi w:val="0"/>
        <w:spacing w:beforeAutospacing="0" w:afterAutospacing="0" w:line="576" w:lineRule="exact"/>
        <w:ind w:left="0" w:leftChars="0" w:right="0" w:firstLine="880" w:firstLineChars="200"/>
        <w:jc w:val="both"/>
        <w:outlineLvl w:val="0"/>
        <w:rPr>
          <w:rFonts w:hint="eastAsia" w:ascii="黑体" w:eastAsia="黑体"/>
          <w:sz w:val="44"/>
          <w:szCs w:val="44"/>
        </w:rPr>
      </w:pPr>
      <w:bookmarkStart w:id="134" w:name="_Toc15396618"/>
      <w:bookmarkStart w:id="135" w:name="_Toc20539"/>
    </w:p>
    <w:p w14:paraId="55784C9D">
      <w:pPr>
        <w:keepNext w:val="0"/>
        <w:keepLines w:val="0"/>
        <w:pageBreakBefore w:val="0"/>
        <w:widowControl/>
        <w:kinsoku/>
        <w:wordWrap/>
        <w:overflowPunct/>
        <w:topLinePunct w:val="0"/>
        <w:autoSpaceDE/>
        <w:autoSpaceDN/>
        <w:bidi w:val="0"/>
        <w:adjustRightInd/>
        <w:snapToGrid/>
        <w:spacing w:line="570" w:lineRule="exact"/>
        <w:ind w:firstLine="880" w:firstLineChars="200"/>
        <w:contextualSpacing/>
        <w:jc w:val="center"/>
        <w:textAlignment w:val="auto"/>
        <w:rPr>
          <w:rFonts w:hint="eastAsia" w:ascii="方正小标宋简体" w:hAnsi="方正小标宋简体" w:eastAsia="方正小标宋简体" w:cs="方正小标宋简体"/>
          <w:bCs/>
          <w:sz w:val="44"/>
          <w:szCs w:val="44"/>
          <w:shd w:val="clear" w:color="auto" w:fill="FFFFFF"/>
        </w:rPr>
      </w:pPr>
      <w:r>
        <w:rPr>
          <w:rFonts w:hint="eastAsia" w:ascii="方正小标宋简体" w:hAnsi="方正小标宋简体" w:eastAsia="方正小标宋简体" w:cs="方正小标宋简体"/>
          <w:bCs/>
          <w:sz w:val="44"/>
          <w:szCs w:val="44"/>
          <w:shd w:val="clear" w:color="auto" w:fill="FFFFFF"/>
        </w:rPr>
        <w:t>红原县行政审批和政务服务管理局</w:t>
      </w:r>
    </w:p>
    <w:p w14:paraId="78148F17">
      <w:pPr>
        <w:keepNext w:val="0"/>
        <w:keepLines w:val="0"/>
        <w:pageBreakBefore w:val="0"/>
        <w:widowControl/>
        <w:kinsoku/>
        <w:wordWrap/>
        <w:overflowPunct/>
        <w:topLinePunct w:val="0"/>
        <w:autoSpaceDE/>
        <w:autoSpaceDN/>
        <w:bidi w:val="0"/>
        <w:adjustRightInd/>
        <w:snapToGrid/>
        <w:spacing w:line="570" w:lineRule="exact"/>
        <w:ind w:firstLine="880" w:firstLineChars="200"/>
        <w:contextualSpacing/>
        <w:jc w:val="center"/>
        <w:textAlignment w:val="auto"/>
        <w:rPr>
          <w:rFonts w:hint="eastAsia" w:ascii="方正小标宋简体" w:hAnsi="方正小标宋简体" w:eastAsia="方正小标宋简体" w:cs="方正小标宋简体"/>
          <w:bCs/>
          <w:sz w:val="44"/>
          <w:szCs w:val="44"/>
          <w:shd w:val="clear" w:color="auto" w:fill="FFFFFF"/>
        </w:rPr>
      </w:pPr>
      <w:r>
        <w:rPr>
          <w:rFonts w:hint="eastAsia" w:ascii="方正小标宋简体" w:hAnsi="方正小标宋简体" w:eastAsia="方正小标宋简体" w:cs="方正小标宋简体"/>
          <w:bCs/>
          <w:sz w:val="44"/>
          <w:szCs w:val="44"/>
          <w:shd w:val="clear" w:color="auto" w:fill="FFFFFF"/>
          <w:lang w:val="en-US" w:eastAsia="zh-CN"/>
        </w:rPr>
        <w:t>关于</w:t>
      </w:r>
      <w:r>
        <w:rPr>
          <w:rFonts w:hint="eastAsia" w:ascii="方正小标宋简体" w:hAnsi="方正小标宋简体" w:eastAsia="方正小标宋简体" w:cs="方正小标宋简体"/>
          <w:bCs/>
          <w:sz w:val="44"/>
          <w:szCs w:val="44"/>
          <w:shd w:val="clear" w:color="auto" w:fill="FFFFFF"/>
        </w:rPr>
        <w:t>202</w:t>
      </w:r>
      <w:r>
        <w:rPr>
          <w:rFonts w:hint="eastAsia" w:ascii="方正小标宋简体" w:hAnsi="方正小标宋简体" w:eastAsia="方正小标宋简体" w:cs="方正小标宋简体"/>
          <w:bCs/>
          <w:sz w:val="44"/>
          <w:szCs w:val="44"/>
          <w:shd w:val="clear" w:color="auto" w:fill="FFFFFF"/>
          <w:lang w:val="en-US" w:eastAsia="zh-CN"/>
        </w:rPr>
        <w:t>5</w:t>
      </w:r>
      <w:r>
        <w:rPr>
          <w:rFonts w:hint="eastAsia" w:ascii="方正小标宋简体" w:hAnsi="方正小标宋简体" w:eastAsia="方正小标宋简体" w:cs="方正小标宋简体"/>
          <w:bCs/>
          <w:sz w:val="44"/>
          <w:szCs w:val="44"/>
          <w:shd w:val="clear" w:color="auto" w:fill="FFFFFF"/>
        </w:rPr>
        <w:t>年度部门整体支出绩效评价</w:t>
      </w:r>
    </w:p>
    <w:p w14:paraId="1AC9C5CC">
      <w:pPr>
        <w:keepNext w:val="0"/>
        <w:keepLines w:val="0"/>
        <w:pageBreakBefore w:val="0"/>
        <w:widowControl/>
        <w:kinsoku/>
        <w:wordWrap/>
        <w:overflowPunct/>
        <w:topLinePunct w:val="0"/>
        <w:autoSpaceDE/>
        <w:autoSpaceDN/>
        <w:bidi w:val="0"/>
        <w:adjustRightInd/>
        <w:snapToGrid/>
        <w:spacing w:line="570" w:lineRule="exact"/>
        <w:ind w:firstLine="880" w:firstLineChars="200"/>
        <w:contextualSpacing/>
        <w:jc w:val="center"/>
        <w:textAlignment w:val="auto"/>
        <w:rPr>
          <w:rFonts w:hint="eastAsia" w:ascii="方正小标宋简体" w:hAnsi="方正小标宋简体" w:eastAsia="方正小标宋简体" w:cs="方正小标宋简体"/>
          <w:bCs/>
          <w:sz w:val="44"/>
          <w:szCs w:val="44"/>
          <w:shd w:val="clear" w:color="auto" w:fill="FFFFFF"/>
        </w:rPr>
      </w:pPr>
      <w:r>
        <w:rPr>
          <w:rFonts w:hint="eastAsia" w:ascii="方正小标宋简体" w:hAnsi="方正小标宋简体" w:eastAsia="方正小标宋简体" w:cs="方正小标宋简体"/>
          <w:bCs/>
          <w:sz w:val="44"/>
          <w:szCs w:val="44"/>
          <w:shd w:val="clear" w:color="auto" w:fill="FFFFFF"/>
        </w:rPr>
        <w:t>自评报告</w:t>
      </w:r>
    </w:p>
    <w:p w14:paraId="0DA22801">
      <w:pPr>
        <w:pStyle w:val="36"/>
        <w:rPr>
          <w:rFonts w:hint="default"/>
        </w:rPr>
      </w:pPr>
    </w:p>
    <w:p w14:paraId="769E9502">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contextualSpacing/>
        <w:jc w:val="both"/>
        <w:textAlignment w:val="auto"/>
        <w:rPr>
          <w:rFonts w:hint="eastAsia" w:ascii="黑体" w:hAnsi="黑体" w:eastAsia="黑体" w:cs="黑体"/>
          <w:sz w:val="32"/>
          <w:szCs w:val="32"/>
        </w:rPr>
      </w:pPr>
      <w:r>
        <w:rPr>
          <w:rFonts w:hint="eastAsia" w:ascii="黑体" w:hAnsi="黑体" w:eastAsia="黑体" w:cs="黑体"/>
          <w:color w:val="000000"/>
          <w:kern w:val="0"/>
          <w:sz w:val="32"/>
          <w:szCs w:val="32"/>
          <w:shd w:val="clear" w:color="auto" w:fill="FFFFFF"/>
          <w:lang w:val="zh-CN"/>
        </w:rPr>
        <w:t>一、部门（单位）基本情况</w:t>
      </w:r>
    </w:p>
    <w:p w14:paraId="3050F94E">
      <w:pPr>
        <w:pStyle w:val="9"/>
        <w:keepNext w:val="0"/>
        <w:keepLines w:val="0"/>
        <w:pageBreakBefore w:val="0"/>
        <w:kinsoku/>
        <w:wordWrap/>
        <w:overflowPunct/>
        <w:topLinePunct w:val="0"/>
        <w:autoSpaceDE/>
        <w:autoSpaceDN/>
        <w:bidi w:val="0"/>
        <w:spacing w:after="0" w:line="576" w:lineRule="exact"/>
        <w:ind w:left="0" w:leftChars="0" w:firstLine="643" w:firstLineChars="200"/>
        <w:jc w:val="both"/>
        <w:textAlignment w:val="auto"/>
        <w:rPr>
          <w:rFonts w:hint="eastAsia" w:ascii="楷体_GB2312" w:hAnsi="楷体_GB2312" w:eastAsia="楷体_GB2312" w:cs="楷体_GB2312"/>
          <w:b/>
          <w:bCs/>
          <w:color w:val="000000"/>
          <w:kern w:val="0"/>
          <w:sz w:val="32"/>
          <w:szCs w:val="32"/>
          <w:shd w:val="clear" w:color="auto" w:fill="FFFFFF"/>
          <w:lang w:val="zh-CN"/>
        </w:rPr>
      </w:pPr>
      <w:r>
        <w:rPr>
          <w:rFonts w:hint="eastAsia" w:ascii="楷体_GB2312" w:hAnsi="楷体_GB2312" w:eastAsia="楷体_GB2312" w:cs="楷体_GB2312"/>
          <w:b/>
          <w:bCs/>
          <w:color w:val="000000"/>
          <w:kern w:val="0"/>
          <w:sz w:val="32"/>
          <w:szCs w:val="32"/>
          <w:shd w:val="clear" w:color="auto" w:fill="FFFFFF"/>
          <w:lang w:val="zh-CN"/>
        </w:rPr>
        <w:t>（一）机构组成</w:t>
      </w:r>
    </w:p>
    <w:p w14:paraId="4496D056">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我单位为独立核算全额拨款行政单位，下属1个副科级事业机构是：红原县政务服务和公共资源交易服务</w:t>
      </w:r>
      <w:r>
        <w:rPr>
          <w:rFonts w:hint="eastAsia" w:eastAsia="仿宋_GB2312" w:cs="仿宋_GB2312"/>
          <w:sz w:val="32"/>
          <w:szCs w:val="32"/>
          <w:lang w:eastAsia="zh-CN"/>
        </w:rPr>
        <w:t>中</w:t>
      </w:r>
      <w:r>
        <w:rPr>
          <w:rFonts w:hint="eastAsia" w:ascii="仿宋_GB2312" w:hAnsi="仿宋_GB2312" w:eastAsia="仿宋_GB2312" w:cs="仿宋_GB2312"/>
          <w:sz w:val="32"/>
          <w:szCs w:val="32"/>
        </w:rPr>
        <w:t>心。</w:t>
      </w:r>
    </w:p>
    <w:p w14:paraId="6C682B66">
      <w:pPr>
        <w:pStyle w:val="2"/>
        <w:keepNext w:val="0"/>
        <w:keepLines w:val="0"/>
        <w:pageBreakBefore w:val="0"/>
        <w:numPr>
          <w:ilvl w:val="0"/>
          <w:numId w:val="4"/>
        </w:numPr>
        <w:kinsoku/>
        <w:wordWrap/>
        <w:overflowPunct/>
        <w:topLinePunct w:val="0"/>
        <w:autoSpaceDE/>
        <w:autoSpaceDN/>
        <w:bidi w:val="0"/>
        <w:adjustRightInd w:val="0"/>
        <w:snapToGrid w:val="0"/>
        <w:spacing w:beforeLines="0" w:after="0" w:line="576" w:lineRule="exact"/>
        <w:ind w:left="0" w:leftChars="0" w:firstLine="643" w:firstLineChars="200"/>
        <w:jc w:val="both"/>
        <w:textAlignment w:val="auto"/>
        <w:rPr>
          <w:rFonts w:hint="eastAsia" w:ascii="楷体_GB2312" w:hAnsi="楷体_GB2312" w:eastAsia="楷体_GB2312" w:cs="楷体_GB2312"/>
          <w:b/>
          <w:bCs/>
          <w:color w:val="000000"/>
          <w:kern w:val="0"/>
          <w:sz w:val="32"/>
          <w:szCs w:val="32"/>
          <w:shd w:val="clear" w:color="auto" w:fill="FFFFFF"/>
          <w:lang w:val="zh-CN"/>
        </w:rPr>
      </w:pPr>
      <w:r>
        <w:rPr>
          <w:rFonts w:hint="eastAsia" w:ascii="楷体_GB2312" w:hAnsi="楷体_GB2312" w:eastAsia="楷体_GB2312" w:cs="楷体_GB2312"/>
          <w:b/>
          <w:bCs/>
          <w:color w:val="000000"/>
          <w:kern w:val="0"/>
          <w:sz w:val="32"/>
          <w:szCs w:val="32"/>
          <w:shd w:val="clear" w:color="auto" w:fill="FFFFFF"/>
          <w:lang w:val="zh-CN"/>
        </w:rPr>
        <w:t>机构职能</w:t>
      </w:r>
    </w:p>
    <w:p w14:paraId="507E41BB">
      <w:pPr>
        <w:pStyle w:val="6"/>
        <w:keepNext w:val="0"/>
        <w:keepLines w:val="0"/>
        <w:pageBreakBefore w:val="0"/>
        <w:kinsoku/>
        <w:wordWrap/>
        <w:overflowPunct/>
        <w:topLinePunct w:val="0"/>
        <w:autoSpaceDE/>
        <w:autoSpaceDN/>
        <w:bidi w:val="0"/>
        <w:spacing w:line="576" w:lineRule="exact"/>
        <w:ind w:left="0" w:leftChars="0"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红原县行政审批局基本职能</w:t>
      </w:r>
    </w:p>
    <w:p w14:paraId="0C21065F">
      <w:pPr>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1.</w:t>
      </w:r>
      <w:r>
        <w:rPr>
          <w:rFonts w:hint="eastAsia" w:ascii="仿宋_GB2312" w:hAnsi="仿宋_GB2312" w:eastAsia="仿宋_GB2312" w:cs="仿宋_GB2312"/>
          <w:sz w:val="32"/>
          <w:szCs w:val="32"/>
        </w:rPr>
        <w:t>负责深化行政审批制度改革和“放管服”改革工作，拟订全县行政审批制度和“放管服”改革相关政策和规范性文件，承担县本级行政权力清单和责任清单的动态调整，指导全县行政权力清单和责任清单工作，建立完善相关工作机制。</w:t>
      </w:r>
    </w:p>
    <w:p w14:paraId="64AFBAAB">
      <w:pPr>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2.负责协调、指导入驻县政务服务大厅县级部门的行政审批工作。</w:t>
      </w:r>
    </w:p>
    <w:p w14:paraId="11D83128">
      <w:pPr>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3.指导乡镇便民服务中心工作</w:t>
      </w:r>
      <w:r>
        <w:rPr>
          <w:rFonts w:hint="eastAsia" w:ascii="仿宋_GB2312" w:hAnsi="仿宋_GB2312" w:eastAsia="仿宋_GB2312" w:cs="仿宋_GB2312"/>
          <w:sz w:val="32"/>
          <w:szCs w:val="32"/>
        </w:rPr>
        <w:t>。</w:t>
      </w:r>
    </w:p>
    <w:p w14:paraId="424CDC6F">
      <w:pPr>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 xml:space="preserve">4.负责全县政务服务管理工作，指导全县政务服务体系建设。 </w:t>
      </w:r>
    </w:p>
    <w:p w14:paraId="0ECA11BB">
      <w:pPr>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5.负责全县公共资源交易管理工作，指导全县公共资源交易服务体系建设。</w:t>
      </w:r>
    </w:p>
    <w:p w14:paraId="765D361C">
      <w:pPr>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6.负责对涉及县政务服务大厅、县公共资源交易中心、县行政审批服务机构的投诉举报的承办、转办和督办工作。</w:t>
      </w:r>
    </w:p>
    <w:p w14:paraId="142F4A1B">
      <w:pPr>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sz w:val="32"/>
          <w:szCs w:val="32"/>
        </w:rPr>
        <w:t>7.完成县委、县政府交办的其他任务。</w:t>
      </w:r>
    </w:p>
    <w:p w14:paraId="2B19A78B">
      <w:pPr>
        <w:pStyle w:val="6"/>
        <w:keepNext w:val="0"/>
        <w:keepLines w:val="0"/>
        <w:pageBreakBefore w:val="0"/>
        <w:kinsoku/>
        <w:wordWrap/>
        <w:overflowPunct/>
        <w:topLinePunct w:val="0"/>
        <w:autoSpaceDE/>
        <w:autoSpaceDN/>
        <w:bidi w:val="0"/>
        <w:spacing w:line="576" w:lineRule="exact"/>
        <w:ind w:left="0" w:leftChars="0" w:firstLine="643" w:firstLineChars="200"/>
        <w:jc w:val="both"/>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红原县政务服务和公共资源交易服务中心基本职能</w:t>
      </w:r>
    </w:p>
    <w:p w14:paraId="3F847893">
      <w:pPr>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负责按规定参与县级政务服务管理规章制度、工作流程和服务规范并组织实施，推行政务服务标准化。负责开展进入县级平台的并联审批协调服务工作，配合主管部门对县直各部门（单位）政务服务入驻窗口及人员进行监督管理，并实施考核，协助入驻部门做好工作纪律和作风建设。</w:t>
      </w:r>
    </w:p>
    <w:p w14:paraId="62320A5D">
      <w:pPr>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2.参与对县直部门（单位）行政审批制度改革、政务服务、公共资源交易开展情况的综合评估，协助相关行业部门开展监管工作。</w:t>
      </w:r>
    </w:p>
    <w:p w14:paraId="69FDF898">
      <w:pPr>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3.为县政务服务和公共资源交易活动提供场所、设施、信息和管理服务，承担县级政务服务和公共资源交易平台建设和管理工作。</w:t>
      </w:r>
    </w:p>
    <w:p w14:paraId="21A84DDA">
      <w:pPr>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4.负责全县政务服务和行政审批管理工作，并协调指导乡镇、村便民服务和乡镇行政审批相关工作。</w:t>
      </w:r>
    </w:p>
    <w:p w14:paraId="264F3BD7">
      <w:pPr>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5.对乡镇便民服务中心和村（社区）便民代办点进行业务指导，负责对相关业务工作的调研和培训。</w:t>
      </w:r>
    </w:p>
    <w:p w14:paraId="0C59B160">
      <w:pPr>
        <w:pStyle w:val="37"/>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依托上级部门及州公共资源交易中心，为全县工程建设项目招标投标、政府采购等各类公共资源交易活动中为市场主体提供服务，为政府监管提供平台，为交易活动提供场所、设施、信息和现场管理服务。负责制定公共资源交易现场管理规章制度、工作流程和服务规范并组织实施，推行公共资源交易标准化服务。</w:t>
      </w:r>
    </w:p>
    <w:p w14:paraId="277943E3">
      <w:pPr>
        <w:pStyle w:val="37"/>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按相关规定政府采购等各类交易信息和交易结果公告由交易中心在指定的网站上统一发布；受理交易申请，为开标、评标和定标等交易活动提供优质服务；协助各职能部门、监察部门对有关质疑投诉进行调查处理，维护交易场所内活动秩序；承办政府集中采购机构职责；承办县委、县政府和主管部门交办的其他事项。</w:t>
      </w:r>
    </w:p>
    <w:p w14:paraId="5B98A620">
      <w:pPr>
        <w:pStyle w:val="37"/>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8.参与电子化交易系统、信用评价体系等建设管理工作；建立公共资源交易从业者现场行为公开制度，开展场内信用信息记录、评价并对外发布。</w:t>
      </w:r>
    </w:p>
    <w:p w14:paraId="6B75EFB8">
      <w:pPr>
        <w:pStyle w:val="37"/>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9.负责按规定实施现场秩序管理和监督工作，记录、制止违反现场管理制度的行为；按职责分工移送处理违法、违规人员。</w:t>
      </w:r>
    </w:p>
    <w:p w14:paraId="46D836F6">
      <w:pPr>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b/>
          <w:bCs/>
          <w:color w:val="000000"/>
          <w:kern w:val="0"/>
          <w:sz w:val="32"/>
          <w:szCs w:val="32"/>
          <w:shd w:val="clear" w:color="auto" w:fill="FFFFFF"/>
          <w:lang w:val="zh-CN"/>
        </w:rPr>
      </w:pPr>
      <w:r>
        <w:rPr>
          <w:rFonts w:hint="eastAsia" w:ascii="仿宋_GB2312" w:hAnsi="仿宋_GB2312" w:eastAsia="仿宋_GB2312" w:cs="仿宋_GB2312"/>
          <w:sz w:val="32"/>
          <w:szCs w:val="32"/>
        </w:rPr>
        <w:t>10.完成县行政审批局交办的其他任务。</w:t>
      </w:r>
    </w:p>
    <w:p w14:paraId="31D0F77A">
      <w:pPr>
        <w:keepNext w:val="0"/>
        <w:keepLines w:val="0"/>
        <w:pageBreakBefore w:val="0"/>
        <w:kinsoku/>
        <w:wordWrap/>
        <w:overflowPunct/>
        <w:topLinePunct w:val="0"/>
        <w:autoSpaceDE/>
        <w:autoSpaceDN/>
        <w:bidi w:val="0"/>
        <w:spacing w:line="576" w:lineRule="exact"/>
        <w:ind w:left="0" w:leftChars="0" w:firstLine="643" w:firstLineChars="200"/>
        <w:jc w:val="both"/>
        <w:textAlignment w:val="auto"/>
        <w:rPr>
          <w:rFonts w:hint="eastAsia" w:ascii="楷体_GB2312" w:hAnsi="楷体_GB2312" w:eastAsia="楷体_GB2312" w:cs="楷体_GB2312"/>
          <w:b/>
          <w:bCs/>
          <w:color w:val="000000"/>
          <w:kern w:val="0"/>
          <w:sz w:val="32"/>
          <w:szCs w:val="32"/>
          <w:shd w:val="clear" w:color="auto" w:fill="FFFFFF"/>
          <w:lang w:val="zh-CN"/>
        </w:rPr>
      </w:pPr>
      <w:r>
        <w:rPr>
          <w:rFonts w:hint="eastAsia" w:ascii="楷体_GB2312" w:hAnsi="楷体_GB2312" w:eastAsia="楷体_GB2312" w:cs="楷体_GB2312"/>
          <w:b/>
          <w:bCs/>
          <w:color w:val="000000"/>
          <w:kern w:val="0"/>
          <w:sz w:val="32"/>
          <w:szCs w:val="32"/>
          <w:shd w:val="clear" w:color="auto" w:fill="FFFFFF"/>
          <w:lang w:val="zh-CN"/>
        </w:rPr>
        <w:t>（三）人员概况</w:t>
      </w:r>
    </w:p>
    <w:p w14:paraId="39AB46D9">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年末，我局共有编制15</w:t>
      </w:r>
      <w:r>
        <w:rPr>
          <w:rFonts w:hint="eastAsia" w:ascii="仿宋_GB2312" w:hAnsi="仿宋_GB2312" w:eastAsia="仿宋_GB2312" w:cs="仿宋_GB2312"/>
          <w:sz w:val="32"/>
          <w:szCs w:val="32"/>
          <w:lang w:val="en-US" w:eastAsia="zh-CN"/>
        </w:rPr>
        <w:t>人</w:t>
      </w:r>
      <w:r>
        <w:rPr>
          <w:rFonts w:hint="eastAsia" w:ascii="仿宋_GB2312" w:hAnsi="仿宋_GB2312" w:eastAsia="仿宋_GB2312" w:cs="仿宋_GB2312"/>
          <w:sz w:val="32"/>
          <w:szCs w:val="32"/>
        </w:rPr>
        <w:t>，其中公务员编制4</w:t>
      </w:r>
      <w:r>
        <w:rPr>
          <w:rFonts w:hint="eastAsia" w:ascii="仿宋_GB2312" w:hAnsi="仿宋_GB2312" w:eastAsia="仿宋_GB2312" w:cs="仿宋_GB2312"/>
          <w:sz w:val="32"/>
          <w:szCs w:val="32"/>
          <w:lang w:val="en-US" w:eastAsia="zh-CN"/>
        </w:rPr>
        <w:t>人</w:t>
      </w:r>
      <w:r>
        <w:rPr>
          <w:rFonts w:hint="eastAsia" w:ascii="仿宋_GB2312" w:hAnsi="仿宋_GB2312" w:eastAsia="仿宋_GB2312" w:cs="仿宋_GB2312"/>
          <w:sz w:val="32"/>
          <w:szCs w:val="32"/>
        </w:rPr>
        <w:t>，行政工勤编制1</w:t>
      </w:r>
      <w:r>
        <w:rPr>
          <w:rFonts w:hint="eastAsia" w:ascii="仿宋_GB2312" w:hAnsi="仿宋_GB2312" w:eastAsia="仿宋_GB2312" w:cs="仿宋_GB2312"/>
          <w:sz w:val="32"/>
          <w:szCs w:val="32"/>
          <w:lang w:val="en-US" w:eastAsia="zh-CN"/>
        </w:rPr>
        <w:t>人</w:t>
      </w:r>
      <w:r>
        <w:rPr>
          <w:rFonts w:hint="eastAsia" w:ascii="仿宋_GB2312" w:hAnsi="仿宋_GB2312" w:eastAsia="仿宋_GB2312" w:cs="仿宋_GB2312"/>
          <w:sz w:val="32"/>
          <w:szCs w:val="32"/>
        </w:rPr>
        <w:t>，事业编制10</w:t>
      </w:r>
      <w:r>
        <w:rPr>
          <w:rFonts w:hint="eastAsia" w:ascii="仿宋_GB2312" w:hAnsi="仿宋_GB2312" w:eastAsia="仿宋_GB2312" w:cs="仿宋_GB2312"/>
          <w:sz w:val="32"/>
          <w:szCs w:val="32"/>
          <w:lang w:val="en-US" w:eastAsia="zh-CN"/>
        </w:rPr>
        <w:t>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年末实有人数14人，公务员</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人</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行政工勤人员1人，事业</w:t>
      </w:r>
      <w:r>
        <w:rPr>
          <w:rFonts w:hint="eastAsia" w:ascii="仿宋_GB2312" w:hAnsi="仿宋_GB2312" w:eastAsia="仿宋_GB2312" w:cs="仿宋_GB2312"/>
          <w:sz w:val="32"/>
          <w:szCs w:val="32"/>
          <w:lang w:val="en-US" w:eastAsia="zh-CN"/>
        </w:rPr>
        <w:t>管理6人，事业专技2人，事业工勤1人</w:t>
      </w:r>
      <w:r>
        <w:rPr>
          <w:rFonts w:hint="eastAsia" w:ascii="仿宋_GB2312" w:hAnsi="仿宋_GB2312" w:eastAsia="仿宋_GB2312" w:cs="仿宋_GB2312"/>
          <w:sz w:val="32"/>
          <w:szCs w:val="32"/>
        </w:rPr>
        <w:t>。</w:t>
      </w:r>
    </w:p>
    <w:p w14:paraId="15E92401">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contextualSpacing/>
        <w:jc w:val="both"/>
        <w:textAlignment w:val="auto"/>
        <w:rPr>
          <w:rFonts w:hint="eastAsia" w:ascii="黑体" w:hAnsi="黑体" w:eastAsia="黑体" w:cs="黑体"/>
          <w:color w:val="000000"/>
          <w:kern w:val="0"/>
          <w:sz w:val="32"/>
          <w:szCs w:val="32"/>
          <w:shd w:val="clear" w:color="auto" w:fill="FFFFFF"/>
        </w:rPr>
      </w:pPr>
      <w:r>
        <w:rPr>
          <w:rFonts w:hint="eastAsia" w:ascii="黑体" w:hAnsi="黑体" w:eastAsia="黑体" w:cs="黑体"/>
          <w:color w:val="000000"/>
          <w:kern w:val="0"/>
          <w:sz w:val="32"/>
          <w:szCs w:val="32"/>
          <w:shd w:val="clear" w:color="auto" w:fill="FFFFFF"/>
        </w:rPr>
        <w:t>二、部门资金收支情况</w:t>
      </w:r>
    </w:p>
    <w:p w14:paraId="73217C89">
      <w:pPr>
        <w:keepNext w:val="0"/>
        <w:keepLines w:val="0"/>
        <w:pageBreakBefore w:val="0"/>
        <w:widowControl/>
        <w:kinsoku/>
        <w:wordWrap/>
        <w:overflowPunct/>
        <w:topLinePunct w:val="0"/>
        <w:autoSpaceDE/>
        <w:autoSpaceDN/>
        <w:bidi w:val="0"/>
        <w:adjustRightInd w:val="0"/>
        <w:snapToGrid w:val="0"/>
        <w:spacing w:line="576" w:lineRule="exact"/>
        <w:ind w:left="0" w:leftChars="0" w:firstLine="643" w:firstLineChars="200"/>
        <w:contextualSpacing/>
        <w:jc w:val="both"/>
        <w:textAlignment w:val="auto"/>
        <w:rPr>
          <w:rFonts w:hint="eastAsia" w:ascii="楷体_GB2312" w:hAnsi="楷体_GB2312" w:eastAsia="楷体_GB2312" w:cs="楷体_GB2312"/>
          <w:b/>
          <w:bCs/>
          <w:color w:val="000000"/>
          <w:kern w:val="0"/>
          <w:sz w:val="32"/>
          <w:szCs w:val="32"/>
          <w:shd w:val="clear" w:color="auto" w:fill="FFFFFF"/>
          <w:lang w:val="zh-CN"/>
        </w:rPr>
      </w:pPr>
      <w:r>
        <w:rPr>
          <w:rFonts w:hint="eastAsia" w:ascii="楷体_GB2312" w:hAnsi="楷体_GB2312" w:eastAsia="楷体_GB2312" w:cs="楷体_GB2312"/>
          <w:b/>
          <w:bCs/>
          <w:color w:val="000000"/>
          <w:kern w:val="0"/>
          <w:sz w:val="32"/>
          <w:szCs w:val="32"/>
          <w:shd w:val="clear" w:color="auto" w:fill="FFFFFF"/>
          <w:lang w:val="zh-CN"/>
        </w:rPr>
        <w:t>（一）收入情况</w:t>
      </w:r>
    </w:p>
    <w:p w14:paraId="3EB77556">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jc w:val="both"/>
        <w:textAlignment w:val="auto"/>
        <w:outlineLvl w:val="1"/>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年我局本年决算收入合计</w:t>
      </w:r>
      <w:r>
        <w:rPr>
          <w:rFonts w:hint="eastAsia" w:ascii="仿宋_GB2312" w:hAnsi="仿宋_GB2312" w:eastAsia="仿宋_GB2312" w:cs="仿宋_GB2312"/>
          <w:sz w:val="32"/>
          <w:szCs w:val="32"/>
          <w:lang w:val="en-US" w:eastAsia="zh-CN"/>
        </w:rPr>
        <w:t>606.08</w:t>
      </w:r>
      <w:r>
        <w:rPr>
          <w:rFonts w:hint="eastAsia" w:ascii="仿宋_GB2312" w:hAnsi="仿宋_GB2312" w:eastAsia="仿宋_GB2312" w:cs="仿宋_GB2312"/>
          <w:sz w:val="32"/>
          <w:szCs w:val="32"/>
        </w:rPr>
        <w:t>万元，其中一般公共预算</w:t>
      </w:r>
      <w:r>
        <w:rPr>
          <w:rFonts w:hint="eastAsia" w:ascii="仿宋_GB2312" w:hAnsi="仿宋_GB2312" w:eastAsia="仿宋_GB2312" w:cs="仿宋_GB2312"/>
          <w:sz w:val="32"/>
          <w:szCs w:val="32"/>
          <w:lang w:eastAsia="zh-CN"/>
        </w:rPr>
        <w:t>财政拨款</w:t>
      </w:r>
      <w:r>
        <w:rPr>
          <w:rFonts w:hint="eastAsia" w:ascii="仿宋_GB2312" w:hAnsi="仿宋_GB2312" w:eastAsia="仿宋_GB2312" w:cs="仿宋_GB2312"/>
          <w:sz w:val="32"/>
          <w:szCs w:val="32"/>
        </w:rPr>
        <w:t>收入</w:t>
      </w:r>
      <w:r>
        <w:rPr>
          <w:rFonts w:hint="eastAsia" w:ascii="仿宋_GB2312" w:hAnsi="仿宋_GB2312" w:eastAsia="仿宋_GB2312" w:cs="仿宋_GB2312"/>
          <w:sz w:val="32"/>
          <w:szCs w:val="32"/>
          <w:lang w:val="en-US" w:eastAsia="zh-CN"/>
        </w:rPr>
        <w:t>606.08</w:t>
      </w:r>
      <w:r>
        <w:rPr>
          <w:rFonts w:hint="eastAsia" w:ascii="仿宋_GB2312" w:hAnsi="仿宋_GB2312" w:eastAsia="仿宋_GB2312" w:cs="仿宋_GB2312"/>
          <w:sz w:val="32"/>
          <w:szCs w:val="32"/>
        </w:rPr>
        <w:t>万元。决算支出比上年</w:t>
      </w:r>
      <w:r>
        <w:rPr>
          <w:rFonts w:hint="eastAsia" w:ascii="仿宋_GB2312" w:hAnsi="仿宋_GB2312" w:eastAsia="仿宋_GB2312" w:cs="仿宋_GB2312"/>
          <w:sz w:val="32"/>
          <w:szCs w:val="32"/>
          <w:lang w:val="en-US" w:eastAsia="zh-CN"/>
        </w:rPr>
        <w:t>减少1202.07</w:t>
      </w:r>
      <w:r>
        <w:rPr>
          <w:rFonts w:hint="eastAsia" w:ascii="仿宋_GB2312" w:hAnsi="仿宋_GB2312" w:eastAsia="仿宋_GB2312" w:cs="仿宋_GB2312"/>
          <w:sz w:val="32"/>
          <w:szCs w:val="32"/>
        </w:rPr>
        <w:t>万元，</w:t>
      </w:r>
      <w:r>
        <w:rPr>
          <w:rFonts w:hint="eastAsia" w:ascii="仿宋_GB2312" w:hAnsi="仿宋_GB2312" w:eastAsia="仿宋_GB2312" w:cs="仿宋_GB2312"/>
          <w:sz w:val="32"/>
          <w:szCs w:val="32"/>
          <w:lang w:val="en-US" w:eastAsia="zh-CN"/>
        </w:rPr>
        <w:t>减少66.48</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减少</w:t>
      </w:r>
      <w:r>
        <w:rPr>
          <w:rFonts w:hint="eastAsia" w:ascii="仿宋_GB2312" w:hAnsi="仿宋_GB2312" w:eastAsia="仿宋_GB2312" w:cs="仿宋_GB2312"/>
          <w:sz w:val="32"/>
          <w:szCs w:val="32"/>
        </w:rPr>
        <w:t>原因为红原县政务服务中心建设项目（包括主体、装饰装修、信息化及设备采购等</w:t>
      </w:r>
      <w:r>
        <w:rPr>
          <w:rFonts w:hint="eastAsia" w:ascii="仿宋_GB2312" w:hAnsi="仿宋_GB2312" w:eastAsia="仿宋_GB2312" w:cs="仿宋_GB2312"/>
          <w:sz w:val="32"/>
          <w:szCs w:val="32"/>
          <w:lang w:val="en-US" w:eastAsia="zh-CN"/>
        </w:rPr>
        <w:t>项目已完工仅剩尾款未支付</w:t>
      </w:r>
      <w:r>
        <w:rPr>
          <w:rFonts w:hint="eastAsia" w:ascii="仿宋_GB2312" w:hAnsi="仿宋_GB2312" w:eastAsia="仿宋_GB2312" w:cs="仿宋_GB2312"/>
          <w:sz w:val="32"/>
          <w:szCs w:val="32"/>
        </w:rPr>
        <w:t>）。</w:t>
      </w:r>
    </w:p>
    <w:p w14:paraId="0280D611">
      <w:pPr>
        <w:keepNext w:val="0"/>
        <w:keepLines w:val="0"/>
        <w:pageBreakBefore w:val="0"/>
        <w:widowControl/>
        <w:kinsoku/>
        <w:wordWrap/>
        <w:overflowPunct/>
        <w:topLinePunct w:val="0"/>
        <w:autoSpaceDE/>
        <w:autoSpaceDN/>
        <w:bidi w:val="0"/>
        <w:adjustRightInd w:val="0"/>
        <w:snapToGrid w:val="0"/>
        <w:spacing w:line="576" w:lineRule="exact"/>
        <w:ind w:left="0" w:leftChars="0" w:firstLine="643" w:firstLineChars="200"/>
        <w:contextualSpacing/>
        <w:jc w:val="both"/>
        <w:textAlignment w:val="auto"/>
        <w:rPr>
          <w:rFonts w:hint="eastAsia" w:ascii="楷体_GB2312" w:hAnsi="楷体_GB2312" w:eastAsia="楷体_GB2312" w:cs="楷体_GB2312"/>
          <w:b/>
          <w:bCs/>
          <w:color w:val="000000"/>
          <w:kern w:val="0"/>
          <w:sz w:val="32"/>
          <w:szCs w:val="32"/>
          <w:shd w:val="clear" w:color="auto" w:fill="FFFFFF"/>
          <w:lang w:val="zh-CN"/>
        </w:rPr>
      </w:pPr>
      <w:r>
        <w:rPr>
          <w:rFonts w:hint="eastAsia" w:ascii="楷体_GB2312" w:hAnsi="楷体_GB2312" w:eastAsia="楷体_GB2312" w:cs="楷体_GB2312"/>
          <w:b/>
          <w:bCs/>
          <w:color w:val="000000"/>
          <w:kern w:val="0"/>
          <w:sz w:val="32"/>
          <w:szCs w:val="32"/>
          <w:shd w:val="clear" w:color="auto" w:fill="FFFFFF"/>
          <w:lang w:val="zh-CN"/>
        </w:rPr>
        <w:t>（</w:t>
      </w:r>
      <w:r>
        <w:rPr>
          <w:rFonts w:hint="eastAsia" w:ascii="楷体_GB2312" w:hAnsi="楷体_GB2312" w:eastAsia="楷体_GB2312" w:cs="楷体_GB2312"/>
          <w:b/>
          <w:bCs/>
          <w:color w:val="000000"/>
          <w:kern w:val="0"/>
          <w:sz w:val="32"/>
          <w:szCs w:val="32"/>
          <w:shd w:val="clear" w:color="auto" w:fill="FFFFFF"/>
        </w:rPr>
        <w:t>二</w:t>
      </w:r>
      <w:r>
        <w:rPr>
          <w:rFonts w:hint="eastAsia" w:ascii="楷体_GB2312" w:hAnsi="楷体_GB2312" w:eastAsia="楷体_GB2312" w:cs="楷体_GB2312"/>
          <w:b/>
          <w:bCs/>
          <w:color w:val="000000"/>
          <w:kern w:val="0"/>
          <w:sz w:val="32"/>
          <w:szCs w:val="32"/>
          <w:shd w:val="clear" w:color="auto" w:fill="FFFFFF"/>
          <w:lang w:val="zh-CN"/>
        </w:rPr>
        <w:t>）支出情况</w:t>
      </w:r>
    </w:p>
    <w:p w14:paraId="0DB3B05D">
      <w:pPr>
        <w:pStyle w:val="38"/>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576" w:lineRule="exact"/>
        <w:ind w:left="0" w:leftChars="0" w:right="0" w:rightChars="0" w:firstLine="640" w:firstLineChars="200"/>
        <w:jc w:val="both"/>
        <w:textAlignment w:val="auto"/>
        <w:rPr>
          <w:rFonts w:hint="eastAsia" w:ascii="仿宋_GB2312" w:hAnsi="仿宋_GB2312" w:eastAsia="仿宋_GB2312" w:cs="仿宋_GB2312"/>
          <w:b/>
          <w:sz w:val="32"/>
          <w:szCs w:val="32"/>
          <w:highlight w:val="none"/>
        </w:rPr>
      </w:pPr>
      <w:r>
        <w:rPr>
          <w:rFonts w:hint="eastAsia" w:ascii="仿宋_GB2312" w:hAnsi="仿宋_GB2312" w:eastAsia="仿宋_GB2312" w:cs="仿宋_GB2312"/>
          <w:kern w:val="0"/>
          <w:sz w:val="32"/>
          <w:szCs w:val="32"/>
          <w:shd w:val="clear" w:color="auto" w:fill="FFFFFF"/>
        </w:rPr>
        <w:t>本年度总支出为</w:t>
      </w:r>
      <w:r>
        <w:rPr>
          <w:rFonts w:hint="eastAsia" w:ascii="仿宋_GB2312" w:hAnsi="仿宋_GB2312" w:eastAsia="仿宋_GB2312" w:cs="仿宋_GB2312"/>
          <w:kern w:val="0"/>
          <w:sz w:val="32"/>
          <w:szCs w:val="32"/>
          <w:shd w:val="clear" w:color="auto" w:fill="FFFFFF"/>
          <w:lang w:val="en-US" w:eastAsia="zh-CN"/>
        </w:rPr>
        <w:t>606.08</w:t>
      </w:r>
      <w:r>
        <w:rPr>
          <w:rFonts w:hint="eastAsia" w:ascii="仿宋_GB2312" w:hAnsi="仿宋_GB2312" w:eastAsia="仿宋_GB2312" w:cs="仿宋_GB2312"/>
          <w:kern w:val="0"/>
          <w:sz w:val="32"/>
          <w:szCs w:val="32"/>
          <w:shd w:val="clear" w:color="auto" w:fill="FFFFFF"/>
        </w:rPr>
        <w:t>万元。其中：一般公共服务支出为</w:t>
      </w:r>
      <w:r>
        <w:rPr>
          <w:rFonts w:hint="eastAsia" w:ascii="仿宋_GB2312" w:hAnsi="仿宋_GB2312" w:eastAsia="仿宋_GB2312" w:cs="仿宋_GB2312"/>
          <w:kern w:val="0"/>
          <w:sz w:val="32"/>
          <w:szCs w:val="32"/>
          <w:shd w:val="clear" w:color="auto" w:fill="FFFFFF"/>
          <w:lang w:val="en-US" w:eastAsia="zh-CN"/>
        </w:rPr>
        <w:t>513.11</w:t>
      </w:r>
      <w:r>
        <w:rPr>
          <w:rFonts w:hint="eastAsia" w:ascii="仿宋_GB2312" w:hAnsi="仿宋_GB2312" w:eastAsia="仿宋_GB2312" w:cs="仿宋_GB2312"/>
          <w:kern w:val="0"/>
          <w:sz w:val="32"/>
          <w:szCs w:val="32"/>
          <w:shd w:val="clear" w:color="auto" w:fill="FFFFFF"/>
        </w:rPr>
        <w:t>万元，占比</w:t>
      </w:r>
      <w:r>
        <w:rPr>
          <w:rFonts w:hint="eastAsia" w:ascii="仿宋_GB2312" w:hAnsi="仿宋_GB2312" w:eastAsia="仿宋_GB2312" w:cs="仿宋_GB2312"/>
          <w:kern w:val="0"/>
          <w:sz w:val="32"/>
          <w:szCs w:val="32"/>
          <w:shd w:val="clear" w:color="auto" w:fill="FFFFFF"/>
          <w:lang w:val="en-US" w:eastAsia="zh-CN"/>
        </w:rPr>
        <w:t>84.26</w:t>
      </w:r>
      <w:r>
        <w:rPr>
          <w:rFonts w:hint="eastAsia" w:ascii="仿宋_GB2312" w:hAnsi="仿宋_GB2312" w:eastAsia="仿宋_GB2312" w:cs="仿宋_GB2312"/>
          <w:kern w:val="0"/>
          <w:sz w:val="32"/>
          <w:szCs w:val="32"/>
          <w:shd w:val="clear" w:color="auto" w:fill="FFFFFF"/>
        </w:rPr>
        <w:t>%；社会保障和就业支出为</w:t>
      </w:r>
      <w:r>
        <w:rPr>
          <w:rFonts w:hint="eastAsia" w:ascii="仿宋_GB2312" w:hAnsi="仿宋_GB2312" w:eastAsia="仿宋_GB2312" w:cs="仿宋_GB2312"/>
          <w:kern w:val="0"/>
          <w:sz w:val="32"/>
          <w:szCs w:val="32"/>
          <w:shd w:val="clear" w:color="auto" w:fill="FFFFFF"/>
          <w:lang w:val="en-US" w:eastAsia="zh-CN"/>
        </w:rPr>
        <w:t>49.66</w:t>
      </w:r>
      <w:r>
        <w:rPr>
          <w:rFonts w:hint="eastAsia" w:ascii="仿宋_GB2312" w:hAnsi="仿宋_GB2312" w:eastAsia="仿宋_GB2312" w:cs="仿宋_GB2312"/>
          <w:kern w:val="0"/>
          <w:sz w:val="32"/>
          <w:szCs w:val="32"/>
          <w:shd w:val="clear" w:color="auto" w:fill="FFFFFF"/>
        </w:rPr>
        <w:t>万元，占比</w:t>
      </w:r>
      <w:r>
        <w:rPr>
          <w:rFonts w:hint="eastAsia" w:ascii="仿宋_GB2312" w:hAnsi="仿宋_GB2312" w:eastAsia="仿宋_GB2312" w:cs="仿宋_GB2312"/>
          <w:kern w:val="0"/>
          <w:sz w:val="32"/>
          <w:szCs w:val="32"/>
          <w:shd w:val="clear" w:color="auto" w:fill="FFFFFF"/>
          <w:lang w:val="en-US" w:eastAsia="zh-CN"/>
        </w:rPr>
        <w:t>8.15</w:t>
      </w:r>
      <w:r>
        <w:rPr>
          <w:rFonts w:hint="eastAsia" w:ascii="仿宋_GB2312" w:hAnsi="仿宋_GB2312" w:eastAsia="仿宋_GB2312" w:cs="仿宋_GB2312"/>
          <w:kern w:val="0"/>
          <w:sz w:val="32"/>
          <w:szCs w:val="32"/>
          <w:shd w:val="clear" w:color="auto" w:fill="FFFFFF"/>
        </w:rPr>
        <w:t>%；卫生健康支出为</w:t>
      </w:r>
      <w:r>
        <w:rPr>
          <w:rFonts w:hint="eastAsia" w:ascii="仿宋_GB2312" w:hAnsi="仿宋_GB2312" w:eastAsia="仿宋_GB2312" w:cs="仿宋_GB2312"/>
          <w:kern w:val="0"/>
          <w:sz w:val="32"/>
          <w:szCs w:val="32"/>
          <w:shd w:val="clear" w:color="auto" w:fill="FFFFFF"/>
          <w:lang w:val="en-US" w:eastAsia="zh-CN"/>
        </w:rPr>
        <w:t>18.43</w:t>
      </w:r>
      <w:r>
        <w:rPr>
          <w:rFonts w:hint="eastAsia" w:ascii="仿宋_GB2312" w:hAnsi="仿宋_GB2312" w:eastAsia="仿宋_GB2312" w:cs="仿宋_GB2312"/>
          <w:kern w:val="0"/>
          <w:sz w:val="32"/>
          <w:szCs w:val="32"/>
          <w:shd w:val="clear" w:color="auto" w:fill="FFFFFF"/>
        </w:rPr>
        <w:t>万元，占比</w:t>
      </w:r>
      <w:r>
        <w:rPr>
          <w:rFonts w:hint="eastAsia" w:ascii="仿宋_GB2312" w:hAnsi="仿宋_GB2312" w:eastAsia="仿宋_GB2312" w:cs="仿宋_GB2312"/>
          <w:kern w:val="0"/>
          <w:sz w:val="32"/>
          <w:szCs w:val="32"/>
          <w:shd w:val="clear" w:color="auto" w:fill="FFFFFF"/>
          <w:lang w:val="en-US" w:eastAsia="zh-CN"/>
        </w:rPr>
        <w:t>3.03</w:t>
      </w:r>
      <w:r>
        <w:rPr>
          <w:rFonts w:hint="eastAsia" w:ascii="仿宋_GB2312" w:hAnsi="仿宋_GB2312" w:eastAsia="仿宋_GB2312" w:cs="仿宋_GB2312"/>
          <w:kern w:val="0"/>
          <w:sz w:val="32"/>
          <w:szCs w:val="32"/>
          <w:shd w:val="clear" w:color="auto" w:fill="FFFFFF"/>
        </w:rPr>
        <w:t>%；住房保障支出为</w:t>
      </w:r>
      <w:r>
        <w:rPr>
          <w:rFonts w:hint="eastAsia" w:ascii="仿宋_GB2312" w:hAnsi="仿宋_GB2312" w:eastAsia="仿宋_GB2312" w:cs="仿宋_GB2312"/>
          <w:kern w:val="0"/>
          <w:sz w:val="32"/>
          <w:szCs w:val="32"/>
          <w:shd w:val="clear" w:color="auto" w:fill="FFFFFF"/>
          <w:lang w:val="en-US" w:eastAsia="zh-CN"/>
        </w:rPr>
        <w:t>27.69</w:t>
      </w:r>
      <w:r>
        <w:rPr>
          <w:rFonts w:hint="eastAsia" w:ascii="仿宋_GB2312" w:hAnsi="仿宋_GB2312" w:eastAsia="仿宋_GB2312" w:cs="仿宋_GB2312"/>
          <w:kern w:val="0"/>
          <w:sz w:val="32"/>
          <w:szCs w:val="32"/>
          <w:shd w:val="clear" w:color="auto" w:fill="FFFFFF"/>
        </w:rPr>
        <w:t>万元，占比</w:t>
      </w:r>
      <w:r>
        <w:rPr>
          <w:rFonts w:hint="eastAsia" w:ascii="仿宋_GB2312" w:hAnsi="仿宋_GB2312" w:eastAsia="仿宋_GB2312" w:cs="仿宋_GB2312"/>
          <w:kern w:val="0"/>
          <w:sz w:val="32"/>
          <w:szCs w:val="32"/>
          <w:shd w:val="clear" w:color="auto" w:fill="FFFFFF"/>
          <w:lang w:val="en-US" w:eastAsia="zh-CN"/>
        </w:rPr>
        <w:t>4.56</w:t>
      </w:r>
      <w:r>
        <w:rPr>
          <w:rFonts w:hint="eastAsia" w:ascii="仿宋_GB2312" w:hAnsi="仿宋_GB2312" w:eastAsia="仿宋_GB2312" w:cs="仿宋_GB2312"/>
          <w:kern w:val="0"/>
          <w:sz w:val="32"/>
          <w:szCs w:val="32"/>
          <w:shd w:val="clear" w:color="auto" w:fill="FFFFFF"/>
        </w:rPr>
        <w:t>%。</w:t>
      </w:r>
    </w:p>
    <w:p w14:paraId="6EA93776">
      <w:pPr>
        <w:pStyle w:val="9"/>
        <w:keepNext w:val="0"/>
        <w:keepLines w:val="0"/>
        <w:pageBreakBefore w:val="0"/>
        <w:kinsoku/>
        <w:wordWrap/>
        <w:overflowPunct/>
        <w:topLinePunct w:val="0"/>
        <w:autoSpaceDE/>
        <w:autoSpaceDN/>
        <w:bidi w:val="0"/>
        <w:adjustRightInd/>
        <w:snapToGrid/>
        <w:spacing w:after="0" w:line="576" w:lineRule="exact"/>
        <w:ind w:left="0" w:leftChars="0"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整体支出主要完成任务在六个方面：</w:t>
      </w:r>
      <w:r>
        <w:rPr>
          <w:rFonts w:hint="eastAsia" w:ascii="仿宋_GB2312" w:hAnsi="仿宋_GB2312" w:eastAsia="仿宋_GB2312" w:cs="仿宋_GB2312"/>
          <w:b/>
          <w:bCs/>
          <w:sz w:val="32"/>
          <w:szCs w:val="32"/>
        </w:rPr>
        <w:t>一是</w:t>
      </w:r>
      <w:r>
        <w:rPr>
          <w:rFonts w:hint="eastAsia" w:ascii="仿宋_GB2312" w:hAnsi="仿宋_GB2312" w:eastAsia="仿宋_GB2312" w:cs="仿宋_GB2312"/>
          <w:sz w:val="32"/>
          <w:szCs w:val="32"/>
        </w:rPr>
        <w:t>保障单位基本正常运转，其中人员经费支出</w:t>
      </w:r>
      <w:r>
        <w:rPr>
          <w:rFonts w:hint="eastAsia" w:ascii="仿宋_GB2312" w:hAnsi="仿宋_GB2312" w:eastAsia="仿宋_GB2312" w:cs="仿宋_GB2312"/>
          <w:sz w:val="32"/>
          <w:szCs w:val="32"/>
          <w:lang w:val="en-US" w:eastAsia="zh-CN"/>
        </w:rPr>
        <w:t>336.67</w:t>
      </w:r>
      <w:r>
        <w:rPr>
          <w:rFonts w:hint="eastAsia" w:ascii="仿宋_GB2312" w:hAnsi="仿宋_GB2312" w:eastAsia="仿宋_GB2312" w:cs="仿宋_GB2312"/>
          <w:sz w:val="32"/>
          <w:szCs w:val="32"/>
        </w:rPr>
        <w:t>万元，日常公用经费</w:t>
      </w:r>
      <w:r>
        <w:rPr>
          <w:rFonts w:hint="eastAsia" w:ascii="仿宋_GB2312" w:hAnsi="仿宋_GB2312" w:eastAsia="仿宋_GB2312" w:cs="仿宋_GB2312"/>
          <w:sz w:val="32"/>
          <w:szCs w:val="32"/>
          <w:lang w:val="en-US" w:eastAsia="zh-CN"/>
        </w:rPr>
        <w:t>125.47</w:t>
      </w:r>
      <w:r>
        <w:rPr>
          <w:rFonts w:hint="eastAsia" w:ascii="仿宋_GB2312" w:hAnsi="仿宋_GB2312" w:eastAsia="仿宋_GB2312" w:cs="仿宋_GB2312"/>
          <w:sz w:val="32"/>
          <w:szCs w:val="32"/>
        </w:rPr>
        <w:t>万元。</w:t>
      </w:r>
      <w:r>
        <w:rPr>
          <w:rFonts w:hint="eastAsia" w:ascii="仿宋_GB2312" w:hAnsi="仿宋_GB2312" w:eastAsia="仿宋_GB2312" w:cs="仿宋_GB2312"/>
          <w:b/>
          <w:bCs/>
          <w:sz w:val="32"/>
          <w:szCs w:val="32"/>
        </w:rPr>
        <w:t>二是</w:t>
      </w:r>
      <w:r>
        <w:rPr>
          <w:rFonts w:hint="eastAsia" w:ascii="仿宋_GB2312" w:hAnsi="仿宋_GB2312" w:eastAsia="仿宋_GB2312" w:cs="仿宋_GB2312"/>
          <w:sz w:val="32"/>
          <w:szCs w:val="32"/>
        </w:rPr>
        <w:t>专项办公费支出6</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万元。</w:t>
      </w:r>
      <w:r>
        <w:rPr>
          <w:rFonts w:hint="eastAsia" w:ascii="仿宋_GB2312" w:hAnsi="仿宋_GB2312" w:eastAsia="仿宋_GB2312" w:cs="仿宋_GB2312"/>
          <w:b/>
          <w:bCs/>
          <w:sz w:val="32"/>
          <w:szCs w:val="32"/>
        </w:rPr>
        <w:t>三是</w:t>
      </w:r>
      <w:r>
        <w:rPr>
          <w:rFonts w:hint="eastAsia" w:ascii="仿宋_GB2312" w:hAnsi="仿宋_GB2312" w:eastAsia="仿宋_GB2312" w:cs="仿宋_GB2312"/>
          <w:sz w:val="32"/>
          <w:szCs w:val="32"/>
        </w:rPr>
        <w:t>红原县政务服务中心建设项目万元（包括主体、装饰装修、信息化及设备采购等资金支出）</w:t>
      </w:r>
      <w:r>
        <w:rPr>
          <w:rFonts w:hint="eastAsia" w:ascii="仿宋_GB2312" w:hAnsi="仿宋_GB2312" w:eastAsia="仿宋_GB2312" w:cs="仿宋_GB2312"/>
          <w:sz w:val="32"/>
          <w:szCs w:val="32"/>
          <w:lang w:val="en-US" w:eastAsia="zh-CN"/>
        </w:rPr>
        <w:t>42.59万元</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rPr>
        <w:t>四是</w:t>
      </w:r>
      <w:r>
        <w:rPr>
          <w:rFonts w:hint="eastAsia" w:ascii="仿宋_GB2312" w:hAnsi="仿宋_GB2312" w:eastAsia="仿宋_GB2312" w:cs="仿宋_GB2312"/>
          <w:b w:val="0"/>
          <w:bCs w:val="0"/>
          <w:sz w:val="32"/>
          <w:szCs w:val="32"/>
          <w:lang w:val="en-US" w:eastAsia="zh-CN"/>
        </w:rPr>
        <w:t>红原县政务服务中心院坝基础建设项目88.98</w:t>
      </w:r>
      <w:r>
        <w:rPr>
          <w:rFonts w:hint="eastAsia" w:ascii="仿宋_GB2312" w:hAnsi="仿宋_GB2312" w:eastAsia="仿宋_GB2312" w:cs="仿宋_GB2312"/>
          <w:sz w:val="32"/>
          <w:szCs w:val="32"/>
        </w:rPr>
        <w:t>万元。</w:t>
      </w:r>
      <w:r>
        <w:rPr>
          <w:rFonts w:hint="eastAsia" w:ascii="仿宋_GB2312" w:hAnsi="仿宋_GB2312" w:eastAsia="仿宋_GB2312" w:cs="仿宋_GB2312"/>
          <w:b/>
          <w:bCs/>
          <w:sz w:val="32"/>
          <w:szCs w:val="32"/>
        </w:rPr>
        <w:t>五是</w:t>
      </w:r>
      <w:r>
        <w:rPr>
          <w:rFonts w:hint="eastAsia" w:ascii="仿宋_GB2312" w:hAnsi="仿宋_GB2312" w:eastAsia="仿宋_GB2312" w:cs="仿宋_GB2312"/>
          <w:b w:val="0"/>
          <w:bCs w:val="0"/>
          <w:sz w:val="32"/>
          <w:szCs w:val="32"/>
          <w:lang w:val="en-US" w:eastAsia="zh-CN"/>
        </w:rPr>
        <w:t>2025年红原县交流交往交融项目-红原县政务服务暨营商环境领域建设工作人员交流学习19.3</w:t>
      </w:r>
      <w:r>
        <w:rPr>
          <w:rFonts w:hint="eastAsia" w:ascii="仿宋_GB2312" w:hAnsi="仿宋_GB2312" w:eastAsia="仿宋_GB2312" w:cs="仿宋_GB2312"/>
          <w:b w:val="0"/>
          <w:bCs w:val="0"/>
          <w:sz w:val="32"/>
          <w:szCs w:val="32"/>
        </w:rPr>
        <w:t>万元</w:t>
      </w:r>
      <w:r>
        <w:rPr>
          <w:rFonts w:hint="eastAsia" w:ascii="仿宋_GB2312" w:hAnsi="仿宋_GB2312" w:eastAsia="仿宋_GB2312" w:cs="仿宋_GB2312"/>
          <w:sz w:val="32"/>
          <w:szCs w:val="32"/>
        </w:rPr>
        <w:t>。</w:t>
      </w:r>
      <w:r>
        <w:rPr>
          <w:rFonts w:hint="eastAsia" w:ascii="仿宋_GB2312" w:hAnsi="仿宋_GB2312" w:eastAsia="仿宋_GB2312" w:cs="仿宋_GB2312"/>
          <w:b/>
          <w:bCs/>
          <w:sz w:val="32"/>
          <w:szCs w:val="32"/>
        </w:rPr>
        <w:t>六是</w:t>
      </w:r>
      <w:r>
        <w:rPr>
          <w:rFonts w:hint="eastAsia" w:ascii="仿宋_GB2312" w:hAnsi="仿宋_GB2312" w:eastAsia="仿宋_GB2312" w:cs="仿宋_GB2312"/>
          <w:sz w:val="32"/>
          <w:szCs w:val="32"/>
          <w:lang w:val="en-US" w:eastAsia="zh-CN"/>
        </w:rPr>
        <w:t>红原县集采目录内专家劳务费5.85万元</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七是政务服务和公共资源交易中心能力提升费用8.69万元。</w:t>
      </w:r>
    </w:p>
    <w:p w14:paraId="73CF0D74">
      <w:pPr>
        <w:keepNext w:val="0"/>
        <w:keepLines w:val="0"/>
        <w:pageBreakBefore w:val="0"/>
        <w:widowControl/>
        <w:numPr>
          <w:ilvl w:val="0"/>
          <w:numId w:val="4"/>
        </w:numPr>
        <w:kinsoku/>
        <w:wordWrap/>
        <w:overflowPunct/>
        <w:topLinePunct w:val="0"/>
        <w:autoSpaceDE/>
        <w:autoSpaceDN/>
        <w:bidi w:val="0"/>
        <w:adjustRightInd w:val="0"/>
        <w:snapToGrid w:val="0"/>
        <w:spacing w:line="576" w:lineRule="exact"/>
        <w:ind w:left="0" w:leftChars="0" w:firstLine="643" w:firstLineChars="200"/>
        <w:contextualSpacing/>
        <w:jc w:val="both"/>
        <w:textAlignment w:val="auto"/>
        <w:rPr>
          <w:rFonts w:hint="eastAsia" w:ascii="楷体_GB2312" w:hAnsi="楷体_GB2312" w:eastAsia="楷体_GB2312" w:cs="楷体_GB2312"/>
          <w:b/>
          <w:sz w:val="32"/>
          <w:szCs w:val="32"/>
        </w:rPr>
      </w:pPr>
      <w:r>
        <w:rPr>
          <w:rFonts w:hint="eastAsia" w:ascii="楷体_GB2312" w:hAnsi="楷体_GB2312" w:eastAsia="楷体_GB2312" w:cs="楷体_GB2312"/>
          <w:b/>
          <w:sz w:val="32"/>
          <w:szCs w:val="32"/>
        </w:rPr>
        <w:t>结余分配和结转结余情况</w:t>
      </w:r>
    </w:p>
    <w:p w14:paraId="451F88B3">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contextualSpacing/>
        <w:jc w:val="both"/>
        <w:textAlignment w:val="auto"/>
        <w:rPr>
          <w:rFonts w:hint="eastAsia" w:ascii="仿宋_GB2312" w:hAnsi="仿宋_GB2312" w:eastAsia="仿宋_GB2312" w:cs="仿宋_GB2312"/>
          <w:color w:val="000000"/>
          <w:kern w:val="0"/>
          <w:sz w:val="32"/>
          <w:szCs w:val="32"/>
          <w:shd w:val="clear" w:color="auto" w:fill="FFFFFF"/>
          <w:lang w:val="zh-CN"/>
        </w:rPr>
      </w:pPr>
      <w:r>
        <w:rPr>
          <w:rFonts w:hint="eastAsia" w:ascii="仿宋_GB2312" w:hAnsi="仿宋_GB2312" w:eastAsia="仿宋_GB2312" w:cs="仿宋_GB2312"/>
          <w:sz w:val="32"/>
          <w:szCs w:val="32"/>
        </w:rPr>
        <w:t>我局202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年无结转结余</w:t>
      </w:r>
      <w:r>
        <w:rPr>
          <w:rFonts w:hint="eastAsia" w:ascii="仿宋_GB2312" w:hAnsi="仿宋_GB2312" w:eastAsia="仿宋_GB2312" w:cs="仿宋_GB2312"/>
          <w:color w:val="000000"/>
          <w:kern w:val="0"/>
          <w:sz w:val="32"/>
          <w:szCs w:val="32"/>
          <w:shd w:val="clear" w:color="auto" w:fill="FFFFFF"/>
        </w:rPr>
        <w:t>情况。</w:t>
      </w:r>
    </w:p>
    <w:p w14:paraId="53B4AB30">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contextualSpacing/>
        <w:jc w:val="both"/>
        <w:textAlignment w:val="auto"/>
        <w:rPr>
          <w:rFonts w:hint="eastAsia" w:ascii="黑体" w:hAnsi="黑体" w:eastAsia="黑体" w:cs="黑体"/>
          <w:color w:val="000000" w:themeColor="text1"/>
          <w:kern w:val="0"/>
          <w:sz w:val="32"/>
          <w:szCs w:val="32"/>
          <w:shd w:val="clear" w:color="auto" w:fill="FFFFFF"/>
        </w:rPr>
      </w:pPr>
      <w:r>
        <w:rPr>
          <w:rFonts w:hint="eastAsia" w:ascii="黑体" w:hAnsi="黑体" w:eastAsia="黑体" w:cs="黑体"/>
          <w:color w:val="000000"/>
          <w:kern w:val="0"/>
          <w:sz w:val="32"/>
          <w:szCs w:val="32"/>
          <w:shd w:val="clear" w:color="auto" w:fill="FFFFFF"/>
        </w:rPr>
        <w:t>三、部门预算绩效分析</w:t>
      </w:r>
    </w:p>
    <w:p w14:paraId="3490EC16">
      <w:pPr>
        <w:keepNext w:val="0"/>
        <w:keepLines w:val="0"/>
        <w:pageBreakBefore w:val="0"/>
        <w:kinsoku/>
        <w:wordWrap/>
        <w:overflowPunct/>
        <w:topLinePunct w:val="0"/>
        <w:autoSpaceDE/>
        <w:autoSpaceDN/>
        <w:bidi w:val="0"/>
        <w:adjustRightInd w:val="0"/>
        <w:snapToGrid w:val="0"/>
        <w:spacing w:line="576" w:lineRule="exact"/>
        <w:ind w:left="0" w:leftChars="0" w:firstLine="643" w:firstLineChars="200"/>
        <w:contextualSpacing/>
        <w:jc w:val="both"/>
        <w:textAlignment w:val="auto"/>
        <w:rPr>
          <w:rFonts w:hint="eastAsia" w:ascii="仿宋_GB2312" w:hAnsi="仿宋_GB2312" w:eastAsia="仿宋_GB2312" w:cs="仿宋_GB2312"/>
          <w:sz w:val="32"/>
          <w:szCs w:val="32"/>
          <w:lang w:val="zh-CN"/>
        </w:rPr>
      </w:pPr>
      <w:r>
        <w:rPr>
          <w:rFonts w:hint="eastAsia" w:ascii="楷体_GB2312" w:hAnsi="楷体_GB2312" w:eastAsia="楷体_GB2312" w:cs="楷体_GB2312"/>
          <w:b/>
          <w:bCs/>
          <w:color w:val="000000"/>
          <w:kern w:val="0"/>
          <w:sz w:val="32"/>
          <w:szCs w:val="32"/>
          <w:shd w:val="clear" w:color="auto" w:fill="FFFFFF"/>
          <w:lang w:val="zh-CN"/>
        </w:rPr>
        <w:t>（一）部门预算总体绩效分析。</w:t>
      </w:r>
      <w:r>
        <w:rPr>
          <w:rFonts w:hint="eastAsia" w:ascii="仿宋_GB2312" w:hAnsi="仿宋_GB2312" w:eastAsia="仿宋_GB2312" w:cs="仿宋_GB2312"/>
          <w:color w:val="000000"/>
          <w:kern w:val="0"/>
          <w:sz w:val="32"/>
          <w:szCs w:val="32"/>
          <w:shd w:val="clear" w:color="auto" w:fill="FFFFFF"/>
          <w:lang w:val="zh-CN"/>
        </w:rPr>
        <w:t>根据部门预算绩效评价指标体系围绕履职效能、预算管理、财务管理、资产管理、采购管理等方面逐项分析：</w:t>
      </w:r>
    </w:p>
    <w:p w14:paraId="4E6D9E8E">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1. 履职效能（15分） </w:t>
      </w:r>
    </w:p>
    <w:p w14:paraId="391C76D8">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核心职能目标完成情况：</w:t>
      </w:r>
    </w:p>
    <w:p w14:paraId="3262E25A">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（1）</w:t>
      </w:r>
      <w:r>
        <w:rPr>
          <w:rFonts w:hint="eastAsia" w:ascii="仿宋_GB2312" w:hAnsi="仿宋_GB2312" w:eastAsia="仿宋_GB2312" w:cs="仿宋_GB2312"/>
          <w:color w:val="000000" w:themeColor="text1"/>
          <w:sz w:val="32"/>
          <w:szCs w:val="32"/>
        </w:rPr>
        <w:t>政务大厅日常运行及公共资源交易中心等工作</w:t>
      </w:r>
      <w:r>
        <w:rPr>
          <w:rFonts w:hint="eastAsia" w:ascii="仿宋_GB2312" w:hAnsi="仿宋_GB2312" w:eastAsia="仿宋_GB2312" w:cs="仿宋_GB2312"/>
          <w:color w:val="000000" w:themeColor="text1"/>
          <w:sz w:val="32"/>
          <w:szCs w:val="32"/>
          <w:lang w:val="zh-CN"/>
        </w:rPr>
        <w:t>（</w:t>
      </w:r>
      <w:r>
        <w:rPr>
          <w:rFonts w:hint="eastAsia" w:ascii="仿宋_GB2312" w:hAnsi="仿宋_GB2312" w:eastAsia="仿宋_GB2312" w:cs="仿宋_GB2312"/>
          <w:color w:val="000000" w:themeColor="text1"/>
          <w:sz w:val="32"/>
          <w:szCs w:val="32"/>
        </w:rPr>
        <w:t>10</w:t>
      </w:r>
      <w:r>
        <w:rPr>
          <w:rFonts w:hint="eastAsia" w:ascii="仿宋_GB2312" w:hAnsi="仿宋_GB2312" w:eastAsia="仿宋_GB2312" w:cs="仿宋_GB2312"/>
          <w:color w:val="000000" w:themeColor="text1"/>
          <w:sz w:val="32"/>
          <w:szCs w:val="32"/>
          <w:lang w:val="zh-CN"/>
        </w:rPr>
        <w:t xml:space="preserve">分）  </w:t>
      </w:r>
    </w:p>
    <w:p w14:paraId="3068AF36">
      <w:pPr>
        <w:pStyle w:val="9"/>
        <w:keepNext w:val="0"/>
        <w:keepLines w:val="0"/>
        <w:pageBreakBefore w:val="0"/>
        <w:widowControl w:val="0"/>
        <w:kinsoku/>
        <w:wordWrap/>
        <w:overflowPunct/>
        <w:topLinePunct w:val="0"/>
        <w:autoSpaceDE/>
        <w:autoSpaceDN/>
        <w:bidi w:val="0"/>
        <w:adjustRightInd/>
        <w:snapToGrid/>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color w:val="000000" w:themeColor="text1"/>
          <w:sz w:val="32"/>
          <w:szCs w:val="32"/>
          <w:lang w:val="zh-CN"/>
        </w:rPr>
        <w:t>完成情况：</w:t>
      </w:r>
      <w:r>
        <w:rPr>
          <w:rFonts w:hint="eastAsia" w:ascii="仿宋_GB2312" w:hAnsi="仿宋_GB2312" w:eastAsia="仿宋_GB2312" w:cs="仿宋_GB2312"/>
          <w:b/>
          <w:bCs/>
          <w:color w:val="000000" w:themeColor="text1"/>
          <w:sz w:val="32"/>
          <w:szCs w:val="32"/>
        </w:rPr>
        <w:t>一是</w:t>
      </w:r>
      <w:r>
        <w:rPr>
          <w:rFonts w:hint="eastAsia" w:ascii="仿宋_GB2312" w:hAnsi="仿宋_GB2312" w:eastAsia="仿宋_GB2312" w:cs="仿宋_GB2312"/>
          <w:color w:val="000000" w:themeColor="text1"/>
          <w:sz w:val="32"/>
          <w:szCs w:val="32"/>
        </w:rPr>
        <w:t>政务大厅提供了集中、一站式的服务，让群众无需在多个部门之间奔波，节省了时间和精力。其次，政务大厅规范了政务服务的流程和标准，提高了服务的质量和效率。切实让群众“最多跑一次”，让群众办事更加方便、快捷。202</w:t>
      </w:r>
      <w:r>
        <w:rPr>
          <w:rFonts w:hint="eastAsia" w:ascii="仿宋_GB2312" w:hAnsi="仿宋_GB2312" w:eastAsia="仿宋_GB2312" w:cs="仿宋_GB2312"/>
          <w:color w:val="000000" w:themeColor="text1"/>
          <w:sz w:val="32"/>
          <w:szCs w:val="32"/>
          <w:lang w:val="en-US" w:eastAsia="zh-CN"/>
        </w:rPr>
        <w:t>5</w:t>
      </w:r>
      <w:r>
        <w:rPr>
          <w:rFonts w:hint="eastAsia" w:ascii="仿宋_GB2312" w:hAnsi="仿宋_GB2312" w:eastAsia="仿宋_GB2312" w:cs="仿宋_GB2312"/>
          <w:color w:val="000000" w:themeColor="text1"/>
          <w:sz w:val="32"/>
          <w:szCs w:val="32"/>
        </w:rPr>
        <w:t>年政务大厅</w:t>
      </w:r>
      <w:r>
        <w:rPr>
          <w:rFonts w:hint="eastAsia" w:ascii="仿宋_GB2312" w:hAnsi="仿宋_GB2312" w:eastAsia="仿宋_GB2312" w:cs="仿宋_GB2312"/>
          <w:color w:val="000000" w:themeColor="text1"/>
          <w:sz w:val="32"/>
          <w:szCs w:val="32"/>
          <w:lang w:val="en-US" w:eastAsia="zh-CN"/>
        </w:rPr>
        <w:t>办件总数17213件，</w:t>
      </w:r>
      <w:r>
        <w:rPr>
          <w:rFonts w:hint="eastAsia" w:ascii="仿宋_GB2312" w:hAnsi="仿宋_GB2312" w:eastAsia="仿宋_GB2312" w:cs="仿宋_GB2312"/>
          <w:color w:val="000000" w:themeColor="text1"/>
          <w:sz w:val="32"/>
          <w:szCs w:val="32"/>
        </w:rPr>
        <w:t>为20000余人次提供服务。</w:t>
      </w:r>
      <w:r>
        <w:rPr>
          <w:rFonts w:hint="eastAsia" w:ascii="仿宋_GB2312" w:hAnsi="仿宋_GB2312" w:eastAsia="仿宋_GB2312" w:cs="仿宋_GB2312"/>
          <w:b/>
          <w:bCs/>
          <w:color w:val="000000" w:themeColor="text1"/>
          <w:sz w:val="32"/>
          <w:szCs w:val="32"/>
        </w:rPr>
        <w:t>二是</w:t>
      </w:r>
      <w:r>
        <w:rPr>
          <w:rFonts w:hint="eastAsia" w:ascii="仿宋_GB2312" w:hAnsi="仿宋_GB2312" w:eastAsia="仿宋_GB2312" w:cs="仿宋_GB2312"/>
          <w:b w:val="0"/>
          <w:bCs w:val="0"/>
          <w:color w:val="000000" w:themeColor="text1"/>
          <w:spacing w:val="0"/>
          <w:kern w:val="2"/>
          <w:sz w:val="32"/>
          <w:szCs w:val="32"/>
          <w:lang w:val="en-US" w:eastAsia="zh-CN" w:bidi="ar-SA"/>
        </w:rPr>
        <w:t>202</w:t>
      </w:r>
      <w:r>
        <w:rPr>
          <w:rFonts w:hint="eastAsia" w:ascii="仿宋_GB2312" w:hAnsi="仿宋_GB2312" w:eastAsia="仿宋_GB2312" w:cs="仿宋_GB2312"/>
          <w:b w:val="0"/>
          <w:bCs w:val="0"/>
          <w:color w:val="000000"/>
          <w:spacing w:val="0"/>
          <w:kern w:val="2"/>
          <w:sz w:val="32"/>
          <w:szCs w:val="32"/>
          <w:lang w:val="en-US" w:eastAsia="zh-CN" w:bidi="ar-SA"/>
        </w:rPr>
        <w:t>5年</w:t>
      </w:r>
      <w:r>
        <w:rPr>
          <w:rFonts w:hint="eastAsia" w:ascii="仿宋_GB2312" w:hAnsi="仿宋_GB2312" w:eastAsia="仿宋_GB2312" w:cs="仿宋_GB2312"/>
          <w:color w:val="000000"/>
          <w:spacing w:val="0"/>
          <w:kern w:val="2"/>
          <w:sz w:val="32"/>
          <w:szCs w:val="32"/>
          <w:highlight w:val="none"/>
          <w:lang w:val="en-US" w:eastAsia="zh-CN" w:bidi="ar-SA"/>
        </w:rPr>
        <w:t>按照政府采购有关制度规定切实保证交易流程公开透明、交易结果完整、真实。2025年已完成政府采购项目39个，预算价10348.15万元、中标价8948.19万元、节约财政资金1399.96万元，结余率为13%，有效地降低了财政支出，最大限度地发挥了财政资金使用效益</w:t>
      </w:r>
      <w:r>
        <w:rPr>
          <w:rFonts w:hint="eastAsia" w:ascii="仿宋_GB2312" w:hAnsi="仿宋_GB2312" w:eastAsia="仿宋_GB2312" w:cs="仿宋_GB2312"/>
          <w:sz w:val="32"/>
          <w:szCs w:val="32"/>
          <w:lang w:val="zh-CN"/>
        </w:rPr>
        <w:t xml:space="preserve">  </w:t>
      </w:r>
    </w:p>
    <w:p w14:paraId="343CEF1F">
      <w:pPr>
        <w:pStyle w:val="9"/>
        <w:keepNext w:val="0"/>
        <w:keepLines w:val="0"/>
        <w:pageBreakBefore w:val="0"/>
        <w:widowControl w:val="0"/>
        <w:kinsoku/>
        <w:wordWrap/>
        <w:overflowPunct/>
        <w:topLinePunct w:val="0"/>
        <w:autoSpaceDE/>
        <w:autoSpaceDN/>
        <w:bidi w:val="0"/>
        <w:adjustRightInd/>
        <w:snapToGrid/>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en-US" w:eastAsia="zh-CN"/>
        </w:rPr>
        <w:t>自</w:t>
      </w:r>
      <w:r>
        <w:rPr>
          <w:rFonts w:hint="eastAsia" w:ascii="仿宋_GB2312" w:hAnsi="仿宋_GB2312" w:eastAsia="仿宋_GB2312" w:cs="仿宋_GB2312"/>
          <w:sz w:val="32"/>
          <w:szCs w:val="32"/>
          <w:lang w:val="zh-CN"/>
        </w:rPr>
        <w:t>评</w:t>
      </w:r>
      <w:r>
        <w:rPr>
          <w:rFonts w:hint="eastAsia" w:ascii="仿宋_GB2312" w:hAnsi="仿宋_GB2312" w:eastAsia="仿宋_GB2312" w:cs="仿宋_GB2312"/>
          <w:sz w:val="32"/>
          <w:szCs w:val="32"/>
          <w:lang w:val="en-US" w:eastAsia="zh-CN"/>
        </w:rPr>
        <w:t>得分</w:t>
      </w:r>
      <w:r>
        <w:rPr>
          <w:rFonts w:hint="eastAsia" w:ascii="仿宋_GB2312" w:hAnsi="仿宋_GB2312" w:eastAsia="仿宋_GB2312" w:cs="仿宋_GB2312"/>
          <w:sz w:val="32"/>
          <w:szCs w:val="32"/>
          <w:lang w:val="zh-CN"/>
        </w:rPr>
        <w:t>：</w:t>
      </w:r>
      <w:r>
        <w:rPr>
          <w:rFonts w:hint="eastAsia" w:ascii="仿宋_GB2312" w:hAnsi="仿宋_GB2312" w:eastAsia="仿宋_GB2312" w:cs="仿宋_GB2312"/>
          <w:sz w:val="32"/>
          <w:szCs w:val="32"/>
        </w:rPr>
        <w:t>10</w:t>
      </w:r>
      <w:r>
        <w:rPr>
          <w:rFonts w:hint="eastAsia" w:ascii="仿宋_GB2312" w:hAnsi="仿宋_GB2312" w:eastAsia="仿宋_GB2312" w:cs="仿宋_GB2312"/>
          <w:sz w:val="32"/>
          <w:szCs w:val="32"/>
          <w:lang w:val="zh-CN"/>
        </w:rPr>
        <w:t xml:space="preserve">分  </w:t>
      </w:r>
    </w:p>
    <w:p w14:paraId="3FD5048E">
      <w:pPr>
        <w:pStyle w:val="9"/>
        <w:keepNext w:val="0"/>
        <w:keepLines w:val="0"/>
        <w:pageBreakBefore w:val="0"/>
        <w:widowControl w:val="0"/>
        <w:kinsoku/>
        <w:wordWrap/>
        <w:overflowPunct/>
        <w:topLinePunct w:val="0"/>
        <w:autoSpaceDE/>
        <w:autoSpaceDN/>
        <w:bidi w:val="0"/>
        <w:adjustRightInd/>
        <w:snapToGrid/>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zh-CN"/>
        </w:rPr>
        <w:t>）</w:t>
      </w:r>
      <w:r>
        <w:rPr>
          <w:rFonts w:hint="eastAsia" w:ascii="仿宋_GB2312" w:hAnsi="仿宋_GB2312" w:eastAsia="仿宋_GB2312" w:cs="仿宋_GB2312"/>
          <w:sz w:val="32"/>
          <w:szCs w:val="32"/>
        </w:rPr>
        <w:t>做好日常工作及后勤工作</w:t>
      </w:r>
      <w:r>
        <w:rPr>
          <w:rFonts w:hint="eastAsia" w:ascii="仿宋_GB2312" w:hAnsi="仿宋_GB2312" w:eastAsia="仿宋_GB2312" w:cs="仿宋_GB2312"/>
          <w:sz w:val="32"/>
          <w:szCs w:val="32"/>
          <w:lang w:val="zh-CN"/>
        </w:rPr>
        <w:t>（</w:t>
      </w: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val="zh-CN"/>
        </w:rPr>
        <w:t xml:space="preserve">分）  </w:t>
      </w:r>
    </w:p>
    <w:p w14:paraId="43DFCE80">
      <w:pPr>
        <w:pStyle w:val="9"/>
        <w:keepNext w:val="0"/>
        <w:keepLines w:val="0"/>
        <w:pageBreakBefore w:val="0"/>
        <w:widowControl w:val="0"/>
        <w:kinsoku/>
        <w:wordWrap/>
        <w:overflowPunct/>
        <w:topLinePunct w:val="0"/>
        <w:autoSpaceDE/>
        <w:autoSpaceDN/>
        <w:bidi w:val="0"/>
        <w:adjustRightInd/>
        <w:snapToGrid/>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完成情况：</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年我局细心谋划，做好各项工作的后勤保障工作</w:t>
      </w:r>
      <w:r>
        <w:rPr>
          <w:rFonts w:hint="eastAsia" w:ascii="仿宋_GB2312" w:hAnsi="仿宋_GB2312" w:eastAsia="仿宋_GB2312" w:cs="仿宋_GB2312"/>
          <w:sz w:val="32"/>
          <w:szCs w:val="32"/>
          <w:lang w:val="zh-CN"/>
        </w:rPr>
        <w:t>。</w:t>
      </w:r>
    </w:p>
    <w:p w14:paraId="15F25158">
      <w:pPr>
        <w:pStyle w:val="9"/>
        <w:keepNext w:val="0"/>
        <w:keepLines w:val="0"/>
        <w:pageBreakBefore w:val="0"/>
        <w:widowControl w:val="0"/>
        <w:kinsoku/>
        <w:wordWrap/>
        <w:overflowPunct/>
        <w:topLinePunct w:val="0"/>
        <w:autoSpaceDE/>
        <w:autoSpaceDN/>
        <w:bidi w:val="0"/>
        <w:adjustRightInd/>
        <w:snapToGrid/>
        <w:spacing w:after="0"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zh-CN"/>
        </w:rPr>
        <w:t>自评得分：</w:t>
      </w: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zh-CN"/>
        </w:rPr>
        <w:t xml:space="preserve">分    </w:t>
      </w:r>
      <w:r>
        <w:rPr>
          <w:rFonts w:hint="eastAsia" w:ascii="仿宋_GB2312" w:hAnsi="仿宋_GB2312" w:eastAsia="仿宋_GB2312" w:cs="仿宋_GB2312"/>
          <w:sz w:val="32"/>
          <w:szCs w:val="32"/>
        </w:rPr>
        <w:t xml:space="preserve"> </w:t>
      </w:r>
    </w:p>
    <w:p w14:paraId="1FA9657F">
      <w:pPr>
        <w:pStyle w:val="9"/>
        <w:keepNext w:val="0"/>
        <w:keepLines w:val="0"/>
        <w:pageBreakBefore w:val="0"/>
        <w:widowControl w:val="0"/>
        <w:kinsoku/>
        <w:wordWrap/>
        <w:overflowPunct/>
        <w:topLinePunct w:val="0"/>
        <w:autoSpaceDE/>
        <w:autoSpaceDN/>
        <w:bidi w:val="0"/>
        <w:adjustRightInd/>
        <w:snapToGrid/>
        <w:spacing w:after="0"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zh-CN"/>
        </w:rPr>
        <w:t>2. 预算管理（25分）</w:t>
      </w:r>
      <w:r>
        <w:rPr>
          <w:rFonts w:hint="eastAsia" w:ascii="仿宋_GB2312" w:hAnsi="仿宋_GB2312" w:eastAsia="仿宋_GB2312" w:cs="仿宋_GB2312"/>
          <w:sz w:val="32"/>
          <w:szCs w:val="32"/>
        </w:rPr>
        <w:t xml:space="preserve"> </w:t>
      </w:r>
    </w:p>
    <w:p w14:paraId="1DE82221">
      <w:pPr>
        <w:pStyle w:val="9"/>
        <w:keepNext w:val="0"/>
        <w:keepLines w:val="0"/>
        <w:pageBreakBefore w:val="0"/>
        <w:widowControl w:val="0"/>
        <w:kinsoku/>
        <w:wordWrap/>
        <w:overflowPunct/>
        <w:topLinePunct w:val="0"/>
        <w:autoSpaceDE/>
        <w:autoSpaceDN/>
        <w:bidi w:val="0"/>
        <w:adjustRightInd/>
        <w:snapToGrid/>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（1）预算编制质量（8分）  </w:t>
      </w:r>
    </w:p>
    <w:p w14:paraId="080FE554">
      <w:pPr>
        <w:pStyle w:val="9"/>
        <w:keepNext w:val="0"/>
        <w:keepLines w:val="0"/>
        <w:pageBreakBefore w:val="0"/>
        <w:widowControl w:val="0"/>
        <w:kinsoku/>
        <w:wordWrap/>
        <w:overflowPunct/>
        <w:topLinePunct w:val="0"/>
        <w:autoSpaceDE/>
        <w:autoSpaceDN/>
        <w:bidi w:val="0"/>
        <w:adjustRightInd/>
        <w:snapToGrid/>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分析：</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年我局严格按照部门预算编制要求编制年初预算，统筹兼顾，科学谋划，较好的完成了202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年部门预算编制工作，但仍存在少量执行过程中部分经济支出科目无法预计调整的情况</w:t>
      </w:r>
      <w:r>
        <w:rPr>
          <w:rFonts w:hint="eastAsia" w:ascii="仿宋_GB2312" w:hAnsi="仿宋_GB2312" w:eastAsia="仿宋_GB2312" w:cs="仿宋_GB2312"/>
          <w:sz w:val="32"/>
          <w:szCs w:val="32"/>
          <w:lang w:val="zh-CN"/>
        </w:rPr>
        <w:t>预算编制符合财政要求，</w:t>
      </w:r>
      <w:r>
        <w:rPr>
          <w:rFonts w:hint="eastAsia" w:ascii="仿宋_GB2312" w:hAnsi="仿宋_GB2312" w:eastAsia="仿宋_GB2312" w:cs="仿宋_GB2312"/>
          <w:sz w:val="32"/>
          <w:szCs w:val="32"/>
        </w:rPr>
        <w:t>部分科目</w:t>
      </w:r>
      <w:r>
        <w:rPr>
          <w:rFonts w:hint="eastAsia" w:ascii="仿宋_GB2312" w:hAnsi="仿宋_GB2312" w:eastAsia="仿宋_GB2312" w:cs="仿宋_GB2312"/>
          <w:sz w:val="32"/>
          <w:szCs w:val="32"/>
          <w:lang w:val="zh-CN"/>
        </w:rPr>
        <w:t xml:space="preserve">未细化绩效目标。 </w:t>
      </w:r>
    </w:p>
    <w:p w14:paraId="45120691">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自评得分：</w:t>
      </w: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lang w:val="zh-CN"/>
        </w:rPr>
        <w:t xml:space="preserve">分  </w:t>
      </w:r>
    </w:p>
    <w:p w14:paraId="56866B62">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（2）单位收入统筹（</w:t>
      </w: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zh-CN"/>
        </w:rPr>
        <w:t xml:space="preserve">分）  </w:t>
      </w:r>
    </w:p>
    <w:p w14:paraId="2709AABE">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分析：</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年我局</w:t>
      </w:r>
      <w:r>
        <w:rPr>
          <w:rFonts w:hint="eastAsia" w:ascii="仿宋_GB2312" w:hAnsi="仿宋_GB2312" w:eastAsia="仿宋_GB2312" w:cs="仿宋_GB2312"/>
          <w:sz w:val="32"/>
          <w:szCs w:val="32"/>
          <w:lang w:val="zh-CN"/>
        </w:rPr>
        <w:t xml:space="preserve">收入全部来自财政拨款，无其他收入来源，统筹效率较高。  </w:t>
      </w:r>
    </w:p>
    <w:p w14:paraId="5CE9BB83">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自评得分：</w:t>
      </w: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zh-CN"/>
        </w:rPr>
        <w:t xml:space="preserve">分  </w:t>
      </w:r>
    </w:p>
    <w:p w14:paraId="77DD9A10">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（3）支出执行进度（</w:t>
      </w:r>
      <w:r>
        <w:rPr>
          <w:rFonts w:hint="eastAsia" w:ascii="仿宋_GB2312" w:hAnsi="仿宋_GB2312" w:eastAsia="仿宋_GB2312" w:cs="仿宋_GB2312"/>
          <w:color w:val="000000" w:themeColor="text1"/>
          <w:sz w:val="32"/>
          <w:szCs w:val="32"/>
        </w:rPr>
        <w:t>6</w:t>
      </w:r>
      <w:r>
        <w:rPr>
          <w:rFonts w:hint="eastAsia" w:ascii="仿宋_GB2312" w:hAnsi="仿宋_GB2312" w:eastAsia="仿宋_GB2312" w:cs="仿宋_GB2312"/>
          <w:color w:val="000000" w:themeColor="text1"/>
          <w:sz w:val="32"/>
          <w:szCs w:val="32"/>
          <w:lang w:val="zh-CN"/>
        </w:rPr>
        <w:t xml:space="preserve">分）  </w:t>
      </w:r>
    </w:p>
    <w:p w14:paraId="27FA44B0">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分析：全年支出进度</w:t>
      </w:r>
      <w:r>
        <w:rPr>
          <w:rFonts w:hint="eastAsia" w:ascii="仿宋_GB2312" w:hAnsi="仿宋_GB2312" w:eastAsia="仿宋_GB2312" w:cs="仿宋_GB2312"/>
          <w:color w:val="000000" w:themeColor="text1"/>
          <w:sz w:val="32"/>
          <w:szCs w:val="32"/>
          <w:lang w:val="en-US" w:eastAsia="zh-CN"/>
        </w:rPr>
        <w:t>97.84</w:t>
      </w:r>
      <w:r>
        <w:rPr>
          <w:rFonts w:hint="eastAsia" w:ascii="仿宋_GB2312" w:hAnsi="仿宋_GB2312" w:eastAsia="仿宋_GB2312" w:cs="仿宋_GB2312"/>
          <w:color w:val="000000" w:themeColor="text1"/>
          <w:sz w:val="32"/>
          <w:szCs w:val="32"/>
          <w:lang w:val="zh-CN"/>
        </w:rPr>
        <w:t>%，</w:t>
      </w:r>
      <w:r>
        <w:rPr>
          <w:rFonts w:hint="eastAsia" w:ascii="仿宋_GB2312" w:hAnsi="仿宋_GB2312" w:eastAsia="仿宋_GB2312" w:cs="仿宋_GB2312"/>
          <w:color w:val="000000" w:themeColor="text1"/>
          <w:sz w:val="32"/>
          <w:szCs w:val="32"/>
        </w:rPr>
        <w:t>未达到100%原</w:t>
      </w:r>
      <w:r>
        <w:rPr>
          <w:rFonts w:hint="eastAsia" w:ascii="仿宋_GB2312" w:hAnsi="仿宋_GB2312" w:eastAsia="仿宋_GB2312" w:cs="仿宋_GB2312"/>
          <w:color w:val="000000" w:themeColor="text1"/>
          <w:sz w:val="32"/>
          <w:szCs w:val="32"/>
          <w:lang w:val="en-US" w:eastAsia="zh-CN"/>
        </w:rPr>
        <w:t>主要原因为</w:t>
      </w:r>
      <w:r>
        <w:rPr>
          <w:rFonts w:hint="eastAsia" w:ascii="仿宋_GB2312" w:hAnsi="仿宋_GB2312" w:eastAsia="仿宋_GB2312" w:cs="仿宋_GB2312"/>
          <w:kern w:val="0"/>
          <w:sz w:val="32"/>
          <w:szCs w:val="32"/>
          <w:shd w:val="clear" w:color="auto" w:fill="FFFFFF"/>
          <w:lang w:val="en-US" w:eastAsia="zh-CN"/>
        </w:rPr>
        <w:t>红原县集采目录内专家劳务费结余资金4.15万元、政务服务和公共资源交易服务能力提升结余资金1.31万元、2025年红原县交流交往交融项目结余资金0.44万元。以上资金2026年均不继续使用</w:t>
      </w:r>
      <w:r>
        <w:rPr>
          <w:rFonts w:hint="eastAsia" w:ascii="仿宋_GB2312" w:hAnsi="仿宋_GB2312" w:eastAsia="仿宋_GB2312" w:cs="仿宋_GB2312"/>
          <w:color w:val="000000" w:themeColor="text1"/>
          <w:sz w:val="32"/>
          <w:szCs w:val="32"/>
          <w:lang w:val="zh-CN"/>
        </w:rPr>
        <w:t xml:space="preserve">。  </w:t>
      </w:r>
    </w:p>
    <w:p w14:paraId="4DB6D721">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color w:val="000000" w:themeColor="text1"/>
          <w:sz w:val="32"/>
          <w:szCs w:val="32"/>
          <w:lang w:val="zh-CN"/>
        </w:rPr>
      </w:pPr>
      <w:r>
        <w:rPr>
          <w:rFonts w:hint="eastAsia" w:ascii="仿宋_GB2312" w:hAnsi="仿宋_GB2312" w:eastAsia="仿宋_GB2312" w:cs="仿宋_GB2312"/>
          <w:color w:val="000000" w:themeColor="text1"/>
          <w:sz w:val="32"/>
          <w:szCs w:val="32"/>
          <w:lang w:val="zh-CN"/>
        </w:rPr>
        <w:t>自评得分：</w:t>
      </w:r>
      <w:r>
        <w:rPr>
          <w:rFonts w:hint="eastAsia" w:ascii="仿宋_GB2312" w:hAnsi="仿宋_GB2312" w:eastAsia="仿宋_GB2312" w:cs="仿宋_GB2312"/>
          <w:color w:val="000000" w:themeColor="text1"/>
          <w:sz w:val="32"/>
          <w:szCs w:val="32"/>
          <w:lang w:val="en-US" w:eastAsia="zh-CN"/>
        </w:rPr>
        <w:t>4.8</w:t>
      </w:r>
      <w:r>
        <w:rPr>
          <w:rFonts w:hint="eastAsia" w:ascii="仿宋_GB2312" w:hAnsi="仿宋_GB2312" w:eastAsia="仿宋_GB2312" w:cs="仿宋_GB2312"/>
          <w:color w:val="000000" w:themeColor="text1"/>
          <w:sz w:val="32"/>
          <w:szCs w:val="32"/>
          <w:lang w:val="zh-CN"/>
        </w:rPr>
        <w:t xml:space="preserve">分  </w:t>
      </w:r>
    </w:p>
    <w:p w14:paraId="0867E4AC">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color w:val="000000" w:themeColor="text1"/>
          <w:sz w:val="32"/>
          <w:szCs w:val="32"/>
          <w:lang w:val="zh-CN"/>
        </w:rPr>
        <w:t>（4）预算年终结余（</w:t>
      </w:r>
      <w:r>
        <w:rPr>
          <w:rFonts w:hint="eastAsia" w:ascii="仿宋_GB2312" w:hAnsi="仿宋_GB2312" w:eastAsia="仿宋_GB2312" w:cs="仿宋_GB2312"/>
          <w:color w:val="000000" w:themeColor="text1"/>
          <w:sz w:val="32"/>
          <w:szCs w:val="32"/>
        </w:rPr>
        <w:t>2</w:t>
      </w:r>
      <w:r>
        <w:rPr>
          <w:rFonts w:hint="eastAsia" w:ascii="仿宋_GB2312" w:hAnsi="仿宋_GB2312" w:eastAsia="仿宋_GB2312" w:cs="仿宋_GB2312"/>
          <w:color w:val="000000" w:themeColor="text1"/>
          <w:sz w:val="32"/>
          <w:szCs w:val="32"/>
          <w:lang w:val="zh-CN"/>
        </w:rPr>
        <w:t>分）</w:t>
      </w:r>
      <w:r>
        <w:rPr>
          <w:rFonts w:hint="eastAsia" w:ascii="仿宋_GB2312" w:hAnsi="仿宋_GB2312" w:eastAsia="仿宋_GB2312" w:cs="仿宋_GB2312"/>
          <w:sz w:val="32"/>
          <w:szCs w:val="32"/>
          <w:lang w:val="zh-CN"/>
        </w:rPr>
        <w:t xml:space="preserve">  </w:t>
      </w:r>
    </w:p>
    <w:p w14:paraId="40D2482C">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分析：</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年我局预算年终结余</w:t>
      </w:r>
      <w:r>
        <w:rPr>
          <w:rFonts w:hint="eastAsia" w:ascii="仿宋_GB2312" w:hAnsi="仿宋_GB2312" w:eastAsia="仿宋_GB2312" w:cs="仿宋_GB2312"/>
          <w:sz w:val="32"/>
          <w:szCs w:val="32"/>
          <w:lang w:val="en-US" w:eastAsia="zh-CN"/>
        </w:rPr>
        <w:t>1344</w:t>
      </w:r>
      <w:r>
        <w:rPr>
          <w:rFonts w:hint="eastAsia" w:ascii="仿宋_GB2312" w:hAnsi="仿宋_GB2312" w:eastAsia="仿宋_GB2312" w:cs="仿宋_GB2312"/>
          <w:sz w:val="32"/>
          <w:szCs w:val="32"/>
        </w:rPr>
        <w:t>万元，执行率</w:t>
      </w:r>
      <w:r>
        <w:rPr>
          <w:rFonts w:hint="eastAsia" w:ascii="仿宋_GB2312" w:hAnsi="仿宋_GB2312" w:eastAsia="仿宋_GB2312" w:cs="仿宋_GB2312"/>
          <w:sz w:val="32"/>
          <w:szCs w:val="32"/>
          <w:lang w:val="en-US" w:eastAsia="zh-CN"/>
        </w:rPr>
        <w:t>97.84</w:t>
      </w:r>
      <w:r>
        <w:rPr>
          <w:rFonts w:hint="eastAsia" w:ascii="仿宋_GB2312" w:hAnsi="仿宋_GB2312" w:eastAsia="仿宋_GB2312" w:cs="仿宋_GB2312"/>
          <w:sz w:val="32"/>
          <w:szCs w:val="32"/>
        </w:rPr>
        <w:t>%，主要结余为</w:t>
      </w:r>
      <w:r>
        <w:rPr>
          <w:rFonts w:hint="eastAsia" w:ascii="仿宋_GB2312" w:hAnsi="仿宋_GB2312" w:eastAsia="仿宋_GB2312" w:cs="仿宋_GB2312"/>
          <w:kern w:val="0"/>
          <w:sz w:val="32"/>
          <w:szCs w:val="32"/>
          <w:shd w:val="clear" w:color="auto" w:fill="FFFFFF"/>
          <w:lang w:val="en-US" w:eastAsia="zh-CN"/>
        </w:rPr>
        <w:t>红原县集采目录内专家劳务费结余资金4.15万元、政务服务和公共资源交易服务能力提升结余资金1.31万元、2025年红原县交流交往交融项目结余资金0.44万元</w:t>
      </w:r>
      <w:r>
        <w:rPr>
          <w:rFonts w:hint="eastAsia" w:ascii="仿宋_GB2312" w:hAnsi="仿宋_GB2312" w:eastAsia="仿宋_GB2312" w:cs="仿宋_GB2312"/>
          <w:sz w:val="32"/>
          <w:szCs w:val="32"/>
        </w:rPr>
        <w:t>。</w:t>
      </w:r>
    </w:p>
    <w:p w14:paraId="342223A2">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自评得分：</w:t>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lang w:val="zh-CN"/>
        </w:rPr>
        <w:t xml:space="preserve">分  </w:t>
      </w:r>
    </w:p>
    <w:p w14:paraId="5B9DEAA7">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（5）严控一般性支出（</w:t>
      </w: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lang w:val="zh-CN"/>
        </w:rPr>
        <w:t xml:space="preserve">分）  </w:t>
      </w:r>
    </w:p>
    <w:p w14:paraId="4326168E">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分析：</w:t>
      </w:r>
      <w:r>
        <w:rPr>
          <w:rFonts w:hint="eastAsia" w:ascii="仿宋_GB2312" w:hAnsi="仿宋_GB2312" w:eastAsia="仿宋_GB2312" w:cs="仿宋_GB2312"/>
          <w:b/>
          <w:bCs/>
          <w:sz w:val="32"/>
          <w:szCs w:val="32"/>
        </w:rPr>
        <w:t xml:space="preserve"> </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年我局按照节能型机关建设等要求，厉行节约、严控</w:t>
      </w:r>
      <w:bookmarkStart w:id="192" w:name="_GoBack"/>
      <w:bookmarkEnd w:id="192"/>
      <w:r>
        <w:rPr>
          <w:rFonts w:hint="eastAsia" w:ascii="仿宋_GB2312" w:hAnsi="仿宋_GB2312" w:eastAsia="仿宋_GB2312" w:cs="仿宋_GB2312"/>
          <w:sz w:val="32"/>
          <w:szCs w:val="32"/>
        </w:rPr>
        <w:t>一般性支出，</w:t>
      </w:r>
      <w:r>
        <w:rPr>
          <w:rFonts w:hint="eastAsia" w:ascii="仿宋_GB2312" w:hAnsi="仿宋_GB2312" w:eastAsia="仿宋_GB2312" w:cs="仿宋_GB2312"/>
          <w:sz w:val="32"/>
          <w:szCs w:val="32"/>
          <w:lang w:val="en-US" w:eastAsia="zh-CN"/>
        </w:rPr>
        <w:t>2025年未有接待费</w:t>
      </w:r>
      <w:r>
        <w:rPr>
          <w:rFonts w:hint="eastAsia" w:ascii="仿宋_GB2312" w:hAnsi="仿宋_GB2312" w:eastAsia="仿宋_GB2312" w:cs="仿宋_GB2312"/>
          <w:sz w:val="32"/>
          <w:szCs w:val="32"/>
        </w:rPr>
        <w:t>。</w:t>
      </w:r>
    </w:p>
    <w:p w14:paraId="274AA8F3">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自评得分</w:t>
      </w:r>
      <w:r>
        <w:rPr>
          <w:rFonts w:hint="eastAsia" w:ascii="仿宋_GB2312" w:hAnsi="仿宋_GB2312" w:eastAsia="仿宋_GB2312" w:cs="仿宋_GB2312"/>
          <w:sz w:val="32"/>
          <w:szCs w:val="32"/>
          <w:lang w:val="en-US" w:eastAsia="zh-CN"/>
        </w:rPr>
        <w:t>:4.5</w:t>
      </w:r>
      <w:r>
        <w:rPr>
          <w:rFonts w:hint="eastAsia" w:ascii="仿宋_GB2312" w:hAnsi="仿宋_GB2312" w:eastAsia="仿宋_GB2312" w:cs="仿宋_GB2312"/>
          <w:sz w:val="32"/>
          <w:szCs w:val="32"/>
          <w:lang w:val="zh-CN"/>
        </w:rPr>
        <w:t xml:space="preserve">分  </w:t>
      </w:r>
    </w:p>
    <w:p w14:paraId="53062BB7">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3. 财务管理（10分） </w:t>
      </w:r>
    </w:p>
    <w:p w14:paraId="49FB8A44">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（1）财务管理制度健全性（4分）  </w:t>
      </w:r>
    </w:p>
    <w:p w14:paraId="4D1E01A7">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分析：内控制度完善，涵盖预算、收支、采购等环节。  </w:t>
      </w:r>
    </w:p>
    <w:p w14:paraId="7308C40E">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自评得分：4分  </w:t>
      </w:r>
    </w:p>
    <w:p w14:paraId="3749DB68">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（2）财务岗位设置合规性（</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zh-CN"/>
        </w:rPr>
        <w:t xml:space="preserve">分）  </w:t>
      </w:r>
    </w:p>
    <w:p w14:paraId="4EBAA276">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分析：会计、出纳岗位分离，职责明确。  </w:t>
      </w:r>
    </w:p>
    <w:p w14:paraId="1A23D98B">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自评得分：</w:t>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lang w:val="zh-CN"/>
        </w:rPr>
        <w:t xml:space="preserve">分  </w:t>
      </w:r>
    </w:p>
    <w:p w14:paraId="11487D5D">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（3）资金使用规范性（</w:t>
      </w: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zh-CN"/>
        </w:rPr>
        <w:t xml:space="preserve">分）  </w:t>
      </w:r>
    </w:p>
    <w:p w14:paraId="437E8883">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分析：</w:t>
      </w:r>
      <w:r>
        <w:rPr>
          <w:rFonts w:hint="eastAsia" w:ascii="仿宋_GB2312" w:hAnsi="仿宋_GB2312" w:eastAsia="仿宋_GB2312" w:cs="仿宋_GB2312"/>
          <w:sz w:val="32"/>
          <w:szCs w:val="32"/>
        </w:rPr>
        <w:t>我局资金严格按照资金使用办法及范围开支，不存在不按照财务管理制度规定违规使用资金的情况</w:t>
      </w:r>
      <w:r>
        <w:rPr>
          <w:rFonts w:hint="eastAsia" w:ascii="仿宋_GB2312" w:hAnsi="仿宋_GB2312" w:eastAsia="仿宋_GB2312" w:cs="仿宋_GB2312"/>
          <w:sz w:val="32"/>
          <w:szCs w:val="32"/>
          <w:lang w:val="zh-CN"/>
        </w:rPr>
        <w:t xml:space="preserve"> </w:t>
      </w:r>
    </w:p>
    <w:p w14:paraId="3EBD5D51">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自评得分：</w:t>
      </w:r>
      <w:r>
        <w:rPr>
          <w:rFonts w:hint="eastAsia" w:ascii="仿宋_GB2312" w:hAnsi="仿宋_GB2312" w:eastAsia="仿宋_GB2312" w:cs="仿宋_GB2312"/>
          <w:sz w:val="32"/>
          <w:szCs w:val="32"/>
        </w:rPr>
        <w:t>4</w:t>
      </w:r>
      <w:r>
        <w:rPr>
          <w:rFonts w:hint="eastAsia" w:ascii="仿宋_GB2312" w:hAnsi="仿宋_GB2312" w:eastAsia="仿宋_GB2312" w:cs="仿宋_GB2312"/>
          <w:sz w:val="32"/>
          <w:szCs w:val="32"/>
          <w:lang w:val="zh-CN"/>
        </w:rPr>
        <w:t xml:space="preserve">分  </w:t>
      </w:r>
    </w:p>
    <w:p w14:paraId="63DB01BB">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4. 资产管理（</w:t>
      </w:r>
      <w:r>
        <w:rPr>
          <w:rFonts w:hint="eastAsia" w:ascii="仿宋_GB2312" w:hAnsi="仿宋_GB2312" w:eastAsia="仿宋_GB2312" w:cs="仿宋_GB2312"/>
          <w:sz w:val="32"/>
          <w:szCs w:val="32"/>
        </w:rPr>
        <w:t>9</w:t>
      </w:r>
      <w:r>
        <w:rPr>
          <w:rFonts w:hint="eastAsia" w:ascii="仿宋_GB2312" w:hAnsi="仿宋_GB2312" w:eastAsia="仿宋_GB2312" w:cs="仿宋_GB2312"/>
          <w:sz w:val="32"/>
          <w:szCs w:val="32"/>
          <w:lang w:val="zh-CN"/>
        </w:rPr>
        <w:t xml:space="preserve">分） </w:t>
      </w:r>
    </w:p>
    <w:p w14:paraId="4D13011E">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（1）人均资产变化率（</w:t>
      </w: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zh-CN"/>
        </w:rPr>
        <w:t xml:space="preserve">分）  </w:t>
      </w:r>
    </w:p>
    <w:p w14:paraId="66F5E872">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分析：</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新增</w:t>
      </w:r>
      <w:r>
        <w:rPr>
          <w:rFonts w:hint="eastAsia" w:ascii="仿宋_GB2312" w:hAnsi="仿宋_GB2312" w:eastAsia="仿宋_GB2312" w:cs="仿宋_GB2312"/>
          <w:sz w:val="32"/>
          <w:szCs w:val="32"/>
        </w:rPr>
        <w:t>固定资产</w:t>
      </w:r>
      <w:r>
        <w:rPr>
          <w:rFonts w:hint="eastAsia" w:ascii="仿宋_GB2312" w:hAnsi="仿宋_GB2312" w:eastAsia="仿宋_GB2312" w:cs="仿宋_GB2312"/>
          <w:sz w:val="32"/>
          <w:szCs w:val="32"/>
          <w:lang w:val="en-US" w:eastAsia="zh-CN"/>
        </w:rPr>
        <w:t>125.55</w:t>
      </w:r>
      <w:r>
        <w:rPr>
          <w:rFonts w:hint="eastAsia" w:ascii="仿宋_GB2312" w:hAnsi="仿宋_GB2312" w:eastAsia="仿宋_GB2312" w:cs="仿宋_GB2312"/>
          <w:sz w:val="32"/>
          <w:szCs w:val="32"/>
          <w:lang w:val="zh-CN"/>
        </w:rPr>
        <w:t>万元，</w:t>
      </w:r>
      <w:r>
        <w:rPr>
          <w:rFonts w:hint="eastAsia" w:ascii="仿宋_GB2312" w:hAnsi="仿宋_GB2312" w:eastAsia="仿宋_GB2312" w:cs="仿宋_GB2312"/>
          <w:sz w:val="32"/>
          <w:szCs w:val="32"/>
        </w:rPr>
        <w:t>按类别划分：</w:t>
      </w:r>
      <w:r>
        <w:rPr>
          <w:rFonts w:hint="eastAsia" w:ascii="仿宋_GB2312" w:hAnsi="仿宋_GB2312" w:eastAsia="仿宋_GB2312" w:cs="仿宋_GB2312"/>
          <w:sz w:val="32"/>
          <w:szCs w:val="32"/>
          <w:lang w:val="en-US" w:eastAsia="zh-CN"/>
        </w:rPr>
        <w:t>设备33.51</w:t>
      </w:r>
      <w:r>
        <w:rPr>
          <w:rFonts w:hint="eastAsia" w:ascii="仿宋_GB2312" w:hAnsi="仿宋_GB2312" w:eastAsia="仿宋_GB2312" w:cs="仿宋_GB2312"/>
          <w:sz w:val="32"/>
          <w:szCs w:val="32"/>
        </w:rPr>
        <w:t>万元，为该类别资产的</w:t>
      </w:r>
      <w:r>
        <w:rPr>
          <w:rFonts w:hint="eastAsia" w:ascii="仿宋_GB2312" w:hAnsi="仿宋_GB2312" w:eastAsia="仿宋_GB2312" w:cs="仿宋_GB2312"/>
          <w:sz w:val="32"/>
          <w:szCs w:val="32"/>
          <w:lang w:val="en-US" w:eastAsia="zh-CN"/>
        </w:rPr>
        <w:t>5.31</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家具和用具3.07</w:t>
      </w:r>
      <w:r>
        <w:rPr>
          <w:rFonts w:hint="eastAsia" w:ascii="仿宋_GB2312" w:hAnsi="仿宋_GB2312" w:eastAsia="仿宋_GB2312" w:cs="仿宋_GB2312"/>
          <w:sz w:val="32"/>
          <w:szCs w:val="32"/>
        </w:rPr>
        <w:t>万元，为该类别资产的</w:t>
      </w:r>
      <w:r>
        <w:rPr>
          <w:rFonts w:hint="eastAsia" w:ascii="仿宋_GB2312" w:hAnsi="仿宋_GB2312" w:eastAsia="仿宋_GB2312" w:cs="仿宋_GB2312"/>
          <w:sz w:val="32"/>
          <w:szCs w:val="32"/>
          <w:lang w:val="en-US" w:eastAsia="zh-CN"/>
        </w:rPr>
        <w:t>2.54</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公共基础设施88.97万</w:t>
      </w:r>
      <w:r>
        <w:rPr>
          <w:rFonts w:hint="eastAsia" w:ascii="仿宋_GB2312" w:hAnsi="仿宋_GB2312" w:eastAsia="仿宋_GB2312" w:cs="仿宋_GB2312"/>
          <w:sz w:val="32"/>
          <w:szCs w:val="32"/>
        </w:rPr>
        <w:t>元，为该类别资产的</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zh-CN"/>
        </w:rPr>
        <w:t xml:space="preserve">但未量化资产使用效率提升情况。  </w:t>
      </w:r>
    </w:p>
    <w:p w14:paraId="094A723D">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自评得分：</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lang w:val="zh-CN"/>
        </w:rPr>
        <w:t xml:space="preserve">分  </w:t>
      </w:r>
    </w:p>
    <w:p w14:paraId="5CEC0767">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（2）资产利用率（3分）  </w:t>
      </w:r>
    </w:p>
    <w:p w14:paraId="2EFC9BE4">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分析：办公设备、车辆等使用正常，但未统计闲置率。  </w:t>
      </w:r>
    </w:p>
    <w:p w14:paraId="044F6F02">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自评得分：</w:t>
      </w:r>
      <w:r>
        <w:rPr>
          <w:rFonts w:hint="eastAsia" w:ascii="仿宋_GB2312" w:hAnsi="仿宋_GB2312" w:eastAsia="仿宋_GB2312" w:cs="仿宋_GB2312"/>
          <w:sz w:val="32"/>
          <w:szCs w:val="32"/>
          <w:lang w:val="en-US" w:eastAsia="zh-CN"/>
        </w:rPr>
        <w:t>2.5</w:t>
      </w:r>
      <w:r>
        <w:rPr>
          <w:rFonts w:hint="eastAsia" w:ascii="仿宋_GB2312" w:hAnsi="仿宋_GB2312" w:eastAsia="仿宋_GB2312" w:cs="仿宋_GB2312"/>
          <w:sz w:val="32"/>
          <w:szCs w:val="32"/>
          <w:lang w:val="zh-CN"/>
        </w:rPr>
        <w:t xml:space="preserve">分  </w:t>
      </w:r>
    </w:p>
    <w:p w14:paraId="6B56B45D">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（3）资产盘活率（3分）  </w:t>
      </w:r>
    </w:p>
    <w:p w14:paraId="6E16BD10">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分析：</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年资产均在使用无闲置需要盘活的资产，资产使用率高</w:t>
      </w:r>
      <w:r>
        <w:rPr>
          <w:rFonts w:hint="eastAsia" w:ascii="仿宋_GB2312" w:hAnsi="仿宋_GB2312" w:eastAsia="仿宋_GB2312" w:cs="仿宋_GB2312"/>
          <w:sz w:val="32"/>
          <w:szCs w:val="32"/>
          <w:lang w:val="zh-CN"/>
        </w:rPr>
        <w:t xml:space="preserve">。  </w:t>
      </w:r>
    </w:p>
    <w:p w14:paraId="458EB9C5">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自评得分：</w:t>
      </w: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zh-CN"/>
        </w:rPr>
        <w:t xml:space="preserve">分  </w:t>
      </w:r>
    </w:p>
    <w:p w14:paraId="210D5B63">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5. 采购管理（</w:t>
      </w: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val="zh-CN"/>
        </w:rPr>
        <w:t xml:space="preserve">分） </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zh-CN"/>
        </w:rPr>
        <w:t xml:space="preserve"> </w:t>
      </w:r>
    </w:p>
    <w:p w14:paraId="2F6BF9B0">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（1）支持中小企业发展（3分）  </w:t>
      </w:r>
    </w:p>
    <w:p w14:paraId="5E1E5DB4">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分析：</w:t>
      </w: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年严格执行政府采购促进中小企业发展相关管理办法要求，采购均在中小企业。</w:t>
      </w:r>
      <w:r>
        <w:rPr>
          <w:rFonts w:hint="eastAsia" w:ascii="仿宋_GB2312" w:hAnsi="仿宋_GB2312" w:eastAsia="仿宋_GB2312" w:cs="仿宋_GB2312"/>
          <w:sz w:val="32"/>
          <w:szCs w:val="32"/>
          <w:lang w:val="zh-CN"/>
        </w:rPr>
        <w:t xml:space="preserve"> </w:t>
      </w:r>
    </w:p>
    <w:p w14:paraId="7FD05A93">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自评得分：</w:t>
      </w: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zh-CN"/>
        </w:rPr>
        <w:t xml:space="preserve">分  </w:t>
      </w:r>
    </w:p>
    <w:p w14:paraId="0F0B8FF9">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（2）采购执行（</w:t>
      </w: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zh-CN"/>
        </w:rPr>
        <w:t xml:space="preserve">分）  </w:t>
      </w:r>
    </w:p>
    <w:p w14:paraId="039CEDF0">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分析：全年采购计划完成率100%，流程合规。  </w:t>
      </w:r>
    </w:p>
    <w:p w14:paraId="0E0DE949">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自评得分：</w:t>
      </w: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lang w:val="zh-CN"/>
        </w:rPr>
        <w:t xml:space="preserve">分  </w:t>
      </w:r>
    </w:p>
    <w:p w14:paraId="420AC459">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总体绩效自评得分汇总</w:t>
      </w:r>
    </w:p>
    <w:p w14:paraId="0B780086">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一级指标 | 分值 | 自评得分 | 得分率 |</w:t>
      </w:r>
    </w:p>
    <w:p w14:paraId="5CC9BAB1">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w:t>
      </w:r>
    </w:p>
    <w:p w14:paraId="723CC6F7">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 履职效能 | 15   | 14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val="zh-CN"/>
        </w:rPr>
        <w:t xml:space="preserve"> | 93.3%  |</w:t>
      </w:r>
    </w:p>
    <w:p w14:paraId="1057F997">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预算管理 | 25   | 2</w:t>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lang w:val="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val="zh-CN"/>
        </w:rPr>
        <w:t xml:space="preserve"> </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zh-CN"/>
        </w:rPr>
        <w:t xml:space="preserve">| </w:t>
      </w:r>
      <w:r>
        <w:rPr>
          <w:rFonts w:hint="eastAsia" w:ascii="仿宋_GB2312" w:hAnsi="仿宋_GB2312" w:eastAsia="仿宋_GB2312" w:cs="仿宋_GB2312"/>
          <w:sz w:val="32"/>
          <w:szCs w:val="32"/>
          <w:lang w:val="en-US" w:eastAsia="zh-CN"/>
        </w:rPr>
        <w:t xml:space="preserve">87.6% </w:t>
      </w:r>
      <w:r>
        <w:rPr>
          <w:rFonts w:hint="eastAsia" w:ascii="仿宋_GB2312" w:hAnsi="仿宋_GB2312" w:eastAsia="仿宋_GB2312" w:cs="仿宋_GB2312"/>
          <w:sz w:val="32"/>
          <w:szCs w:val="32"/>
          <w:lang w:val="zh-CN"/>
        </w:rPr>
        <w:t xml:space="preserve"> |</w:t>
      </w:r>
    </w:p>
    <w:p w14:paraId="643B9753">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 财务管理 | 10   | 10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val="zh-CN"/>
        </w:rPr>
        <w:t xml:space="preserve"> | 100%  |</w:t>
      </w:r>
    </w:p>
    <w:p w14:paraId="1A880DC7">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 资产管理 | </w:t>
      </w:r>
      <w:r>
        <w:rPr>
          <w:rFonts w:hint="eastAsia" w:ascii="仿宋_GB2312" w:hAnsi="仿宋_GB2312" w:eastAsia="仿宋_GB2312" w:cs="仿宋_GB2312"/>
          <w:sz w:val="32"/>
          <w:szCs w:val="32"/>
        </w:rPr>
        <w:t xml:space="preserve">9   </w:t>
      </w:r>
      <w:r>
        <w:rPr>
          <w:rFonts w:hint="eastAsia" w:ascii="仿宋_GB2312" w:hAnsi="仿宋_GB2312" w:eastAsia="仿宋_GB2312" w:cs="仿宋_GB2312"/>
          <w:sz w:val="32"/>
          <w:szCs w:val="32"/>
          <w:lang w:val="zh-CN"/>
        </w:rPr>
        <w:t xml:space="preserve"> | </w:t>
      </w:r>
      <w:r>
        <w:rPr>
          <w:rFonts w:hint="eastAsia" w:ascii="仿宋_GB2312" w:hAnsi="仿宋_GB2312" w:eastAsia="仿宋_GB2312" w:cs="仿宋_GB2312"/>
          <w:sz w:val="32"/>
          <w:szCs w:val="32"/>
          <w:lang w:val="en-US" w:eastAsia="zh-CN"/>
        </w:rPr>
        <w:t>7.5</w:t>
      </w:r>
      <w:r>
        <w:rPr>
          <w:rFonts w:hint="eastAsia" w:ascii="仿宋_GB2312" w:hAnsi="仿宋_GB2312" w:eastAsia="仿宋_GB2312" w:cs="仿宋_GB2312"/>
          <w:sz w:val="32"/>
          <w:szCs w:val="32"/>
          <w:lang w:val="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val="zh-CN"/>
        </w:rPr>
        <w:t xml:space="preserve"> | </w:t>
      </w:r>
      <w:r>
        <w:rPr>
          <w:rFonts w:hint="eastAsia" w:ascii="仿宋_GB2312" w:hAnsi="仿宋_GB2312" w:eastAsia="仿宋_GB2312" w:cs="仿宋_GB2312"/>
          <w:sz w:val="32"/>
          <w:szCs w:val="32"/>
          <w:lang w:val="en-US" w:eastAsia="zh-CN"/>
        </w:rPr>
        <w:t>83.3</w:t>
      </w:r>
      <w:r>
        <w:rPr>
          <w:rFonts w:hint="eastAsia" w:ascii="仿宋_GB2312" w:hAnsi="仿宋_GB2312" w:eastAsia="仿宋_GB2312" w:cs="仿宋_GB2312"/>
          <w:sz w:val="32"/>
          <w:szCs w:val="32"/>
          <w:lang w:val="zh-CN"/>
        </w:rPr>
        <w:t>%  |</w:t>
      </w:r>
    </w:p>
    <w:p w14:paraId="29B3F5FD">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xml:space="preserve">| 采购管理 | </w:t>
      </w: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val="zh-CN"/>
        </w:rPr>
        <w:t xml:space="preserve">    | </w:t>
      </w: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lang w:val="zh-CN"/>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val="zh-CN"/>
        </w:rPr>
        <w:t xml:space="preserve"> | </w:t>
      </w:r>
      <w:r>
        <w:rPr>
          <w:rFonts w:hint="eastAsia" w:ascii="仿宋_GB2312" w:hAnsi="仿宋_GB2312" w:eastAsia="仿宋_GB2312" w:cs="仿宋_GB2312"/>
          <w:sz w:val="32"/>
          <w:szCs w:val="32"/>
        </w:rPr>
        <w:t>100</w:t>
      </w:r>
      <w:r>
        <w:rPr>
          <w:rFonts w:hint="eastAsia" w:ascii="仿宋_GB2312" w:hAnsi="仿宋_GB2312" w:eastAsia="仿宋_GB2312" w:cs="仿宋_GB2312"/>
          <w:sz w:val="32"/>
          <w:szCs w:val="32"/>
          <w:lang w:val="zh-CN"/>
        </w:rPr>
        <w:t>%  |</w:t>
      </w:r>
    </w:p>
    <w:p w14:paraId="7CECEFB6">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 合</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zh-CN"/>
        </w:rPr>
        <w:t>计| 6</w:t>
      </w:r>
      <w:r>
        <w:rPr>
          <w:rFonts w:hint="eastAsia" w:ascii="仿宋_GB2312" w:hAnsi="仿宋_GB2312" w:eastAsia="仿宋_GB2312" w:cs="仿宋_GB2312"/>
          <w:sz w:val="32"/>
          <w:szCs w:val="32"/>
        </w:rPr>
        <w:t xml:space="preserve">5  </w:t>
      </w:r>
      <w:r>
        <w:rPr>
          <w:rFonts w:hint="eastAsia" w:ascii="仿宋_GB2312" w:hAnsi="仿宋_GB2312" w:eastAsia="仿宋_GB2312" w:cs="仿宋_GB2312"/>
          <w:sz w:val="32"/>
          <w:szCs w:val="32"/>
          <w:lang w:val="zh-CN"/>
        </w:rPr>
        <w:t xml:space="preserve"> | </w:t>
      </w:r>
      <w:r>
        <w:rPr>
          <w:rFonts w:hint="eastAsia" w:ascii="仿宋_GB2312" w:hAnsi="仿宋_GB2312" w:eastAsia="仿宋_GB2312" w:cs="仿宋_GB2312"/>
          <w:sz w:val="32"/>
          <w:szCs w:val="32"/>
          <w:lang w:val="en-US" w:eastAsia="zh-CN"/>
        </w:rPr>
        <w:t>59.4</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val="zh-CN"/>
        </w:rPr>
        <w:t>| 9</w:t>
      </w:r>
      <w:r>
        <w:rPr>
          <w:rFonts w:hint="eastAsia" w:ascii="仿宋_GB2312" w:hAnsi="仿宋_GB2312" w:eastAsia="仿宋_GB2312" w:cs="仿宋_GB2312"/>
          <w:sz w:val="32"/>
          <w:szCs w:val="32"/>
          <w:lang w:val="en-US" w:eastAsia="zh-CN"/>
        </w:rPr>
        <w:t>1.38</w:t>
      </w:r>
      <w:r>
        <w:rPr>
          <w:rFonts w:hint="eastAsia" w:ascii="仿宋_GB2312" w:hAnsi="仿宋_GB2312" w:eastAsia="仿宋_GB2312" w:cs="仿宋_GB2312"/>
          <w:sz w:val="32"/>
          <w:szCs w:val="32"/>
          <w:lang w:val="zh-CN"/>
        </w:rPr>
        <w:t>%</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val="zh-CN"/>
        </w:rPr>
        <w:t>|</w:t>
      </w:r>
    </w:p>
    <w:p w14:paraId="5CF365D5">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主要问题与改进方向</w:t>
      </w:r>
    </w:p>
    <w:p w14:paraId="04C3310A">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1.履职效能：继续加强各项工作的统筹协调、细化管理，更好的保障各项工作的顺利推进。</w:t>
      </w:r>
    </w:p>
    <w:p w14:paraId="2F522763">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sz w:val="32"/>
          <w:szCs w:val="32"/>
          <w:lang w:val="zh-CN"/>
        </w:rPr>
        <w:t>2</w:t>
      </w:r>
      <w:bookmarkStart w:id="136" w:name="OLE_LINK4"/>
      <w:bookmarkStart w:id="137" w:name="OLE_LINK3"/>
      <w:r>
        <w:rPr>
          <w:rFonts w:hint="eastAsia" w:ascii="仿宋_GB2312" w:hAnsi="仿宋_GB2312" w:eastAsia="仿宋_GB2312" w:cs="仿宋_GB2312"/>
          <w:sz w:val="32"/>
          <w:szCs w:val="32"/>
          <w:lang w:val="zh-CN"/>
        </w:rPr>
        <w:t>.</w:t>
      </w:r>
      <w:bookmarkEnd w:id="136"/>
      <w:bookmarkEnd w:id="137"/>
      <w:r>
        <w:rPr>
          <w:rFonts w:hint="eastAsia" w:ascii="仿宋_GB2312" w:hAnsi="仿宋_GB2312" w:eastAsia="仿宋_GB2312" w:cs="仿宋_GB2312"/>
          <w:sz w:val="32"/>
          <w:szCs w:val="32"/>
          <w:lang w:val="zh-CN"/>
        </w:rPr>
        <w:t xml:space="preserve">预算管理：科学谋划，统筹兼顾，细化预算，编制更加精准的预算。   </w:t>
      </w:r>
    </w:p>
    <w:p w14:paraId="5AF2F52D">
      <w:pPr>
        <w:keepNext w:val="0"/>
        <w:keepLines w:val="0"/>
        <w:pageBreakBefore w:val="0"/>
        <w:widowControl/>
        <w:kinsoku/>
        <w:wordWrap/>
        <w:overflowPunct/>
        <w:topLinePunct w:val="0"/>
        <w:autoSpaceDE/>
        <w:autoSpaceDN/>
        <w:bidi w:val="0"/>
        <w:adjustRightInd w:val="0"/>
        <w:snapToGrid w:val="0"/>
        <w:spacing w:line="576" w:lineRule="exact"/>
        <w:ind w:left="0" w:leftChars="0" w:firstLine="643" w:firstLineChars="200"/>
        <w:contextualSpacing/>
        <w:jc w:val="both"/>
        <w:textAlignment w:val="auto"/>
        <w:rPr>
          <w:rFonts w:hint="eastAsia" w:ascii="楷体_GB2312" w:hAnsi="楷体_GB2312" w:eastAsia="楷体_GB2312" w:cs="楷体_GB2312"/>
          <w:b/>
          <w:bCs/>
          <w:color w:val="000000"/>
          <w:kern w:val="0"/>
          <w:sz w:val="32"/>
          <w:szCs w:val="32"/>
          <w:shd w:val="clear" w:color="auto" w:fill="FFFFFF"/>
          <w:lang w:val="zh-CN"/>
        </w:rPr>
      </w:pPr>
      <w:r>
        <w:rPr>
          <w:rFonts w:hint="eastAsia" w:ascii="楷体_GB2312" w:hAnsi="楷体_GB2312" w:eastAsia="楷体_GB2312" w:cs="楷体_GB2312"/>
          <w:b/>
          <w:bCs/>
          <w:color w:val="000000"/>
          <w:kern w:val="0"/>
          <w:sz w:val="32"/>
          <w:szCs w:val="32"/>
          <w:shd w:val="clear" w:color="auto" w:fill="FFFFFF"/>
          <w:lang w:val="zh-CN"/>
        </w:rPr>
        <w:t>（二）部门预算项目绩效分析</w:t>
      </w:r>
    </w:p>
    <w:p w14:paraId="2BA78A4D">
      <w:pPr>
        <w:keepNext w:val="0"/>
        <w:keepLines w:val="0"/>
        <w:pageBreakBefore w:val="0"/>
        <w:kinsoku/>
        <w:wordWrap/>
        <w:overflowPunct/>
        <w:topLinePunct w:val="0"/>
        <w:autoSpaceDE/>
        <w:autoSpaceDN/>
        <w:bidi w:val="0"/>
        <w:adjustRightInd w:val="0"/>
        <w:snapToGrid w:val="0"/>
        <w:spacing w:line="576" w:lineRule="exact"/>
        <w:ind w:left="0" w:leftChars="0" w:firstLine="640" w:firstLineChars="200"/>
        <w:contextualSpacing/>
        <w:jc w:val="both"/>
        <w:textAlignment w:val="auto"/>
        <w:rPr>
          <w:rFonts w:hint="eastAsia" w:ascii="仿宋_GB2312" w:hAnsi="仿宋_GB2312" w:eastAsia="仿宋_GB2312" w:cs="仿宋_GB2312"/>
          <w:color w:val="000000"/>
          <w:kern w:val="0"/>
          <w:sz w:val="32"/>
          <w:szCs w:val="32"/>
          <w:shd w:val="clear" w:color="auto" w:fill="FFFFFF"/>
          <w:lang w:val="zh-CN"/>
        </w:rPr>
      </w:pPr>
      <w:r>
        <w:rPr>
          <w:rFonts w:hint="eastAsia" w:ascii="仿宋_GB2312" w:hAnsi="仿宋_GB2312" w:eastAsia="仿宋_GB2312" w:cs="仿宋_GB2312"/>
          <w:color w:val="000000"/>
          <w:kern w:val="0"/>
          <w:sz w:val="32"/>
          <w:szCs w:val="32"/>
          <w:shd w:val="clear" w:color="auto" w:fill="FFFFFF"/>
        </w:rPr>
        <w:t>常年项目绩效分析。</w:t>
      </w:r>
      <w:r>
        <w:rPr>
          <w:rFonts w:hint="eastAsia" w:ascii="仿宋_GB2312" w:hAnsi="仿宋_GB2312" w:eastAsia="仿宋_GB2312" w:cs="仿宋_GB2312"/>
          <w:color w:val="000000"/>
          <w:kern w:val="0"/>
          <w:sz w:val="32"/>
          <w:szCs w:val="32"/>
          <w:shd w:val="clear" w:color="auto" w:fill="FFFFFF"/>
          <w:lang w:val="zh-CN"/>
        </w:rPr>
        <w:t>该类项目总数</w:t>
      </w:r>
      <w:r>
        <w:rPr>
          <w:rFonts w:hint="eastAsia" w:ascii="仿宋_GB2312" w:hAnsi="仿宋_GB2312" w:eastAsia="仿宋_GB2312" w:cs="仿宋_GB2312"/>
          <w:color w:val="000000"/>
          <w:kern w:val="0"/>
          <w:sz w:val="32"/>
          <w:szCs w:val="32"/>
          <w:shd w:val="clear" w:color="auto" w:fill="FFFFFF"/>
          <w:lang w:val="en-US" w:eastAsia="zh-CN"/>
        </w:rPr>
        <w:t>2</w:t>
      </w:r>
      <w:r>
        <w:rPr>
          <w:rFonts w:hint="eastAsia" w:ascii="仿宋_GB2312" w:hAnsi="仿宋_GB2312" w:eastAsia="仿宋_GB2312" w:cs="仿宋_GB2312"/>
          <w:color w:val="000000"/>
          <w:kern w:val="0"/>
          <w:sz w:val="32"/>
          <w:szCs w:val="32"/>
          <w:shd w:val="clear" w:color="auto" w:fill="FFFFFF"/>
          <w:lang w:val="zh-CN"/>
        </w:rPr>
        <w:t>个，预算总金额</w:t>
      </w:r>
      <w:r>
        <w:rPr>
          <w:rFonts w:hint="eastAsia" w:ascii="仿宋_GB2312" w:hAnsi="仿宋_GB2312" w:eastAsia="仿宋_GB2312" w:cs="仿宋_GB2312"/>
          <w:color w:val="000000"/>
          <w:kern w:val="0"/>
          <w:sz w:val="32"/>
          <w:szCs w:val="32"/>
          <w:shd w:val="clear" w:color="auto" w:fill="FFFFFF"/>
          <w:lang w:val="en-US" w:eastAsia="zh-CN"/>
        </w:rPr>
        <w:t>79</w:t>
      </w:r>
      <w:r>
        <w:rPr>
          <w:rFonts w:hint="eastAsia" w:ascii="仿宋_GB2312" w:hAnsi="仿宋_GB2312" w:eastAsia="仿宋_GB2312" w:cs="仿宋_GB2312"/>
          <w:color w:val="000000"/>
          <w:kern w:val="0"/>
          <w:sz w:val="32"/>
          <w:szCs w:val="32"/>
          <w:shd w:val="clear" w:color="auto" w:fill="FFFFFF"/>
        </w:rPr>
        <w:t>万元，1</w:t>
      </w:r>
      <w:r>
        <w:rPr>
          <w:rFonts w:hint="eastAsia" w:ascii="仿宋_GB2312" w:hAnsi="仿宋_GB2312" w:eastAsia="仿宋_GB2312" w:cs="仿宋_GB2312"/>
          <w:color w:val="000000"/>
          <w:kern w:val="0"/>
          <w:sz w:val="32"/>
          <w:szCs w:val="32"/>
          <w:shd w:val="clear" w:color="auto" w:fill="FFFFFF"/>
          <w:lang w:val="zh-CN"/>
        </w:rPr>
        <w:t>—1</w:t>
      </w:r>
      <w:r>
        <w:rPr>
          <w:rFonts w:hint="eastAsia" w:ascii="仿宋_GB2312" w:hAnsi="仿宋_GB2312" w:eastAsia="仿宋_GB2312" w:cs="仿宋_GB2312"/>
          <w:color w:val="000000"/>
          <w:kern w:val="0"/>
          <w:sz w:val="32"/>
          <w:szCs w:val="32"/>
          <w:shd w:val="clear" w:color="auto" w:fill="FFFFFF"/>
        </w:rPr>
        <w:t>2</w:t>
      </w:r>
      <w:r>
        <w:rPr>
          <w:rFonts w:hint="eastAsia" w:ascii="仿宋_GB2312" w:hAnsi="仿宋_GB2312" w:eastAsia="仿宋_GB2312" w:cs="仿宋_GB2312"/>
          <w:color w:val="000000"/>
          <w:kern w:val="0"/>
          <w:sz w:val="32"/>
          <w:szCs w:val="32"/>
          <w:shd w:val="clear" w:color="auto" w:fill="FFFFFF"/>
          <w:lang w:val="zh-CN"/>
        </w:rPr>
        <w:t>月预算执行总体进度为</w:t>
      </w:r>
      <w:r>
        <w:rPr>
          <w:rFonts w:hint="eastAsia" w:ascii="仿宋_GB2312" w:hAnsi="仿宋_GB2312" w:eastAsia="仿宋_GB2312" w:cs="仿宋_GB2312"/>
          <w:color w:val="000000"/>
          <w:kern w:val="0"/>
          <w:sz w:val="32"/>
          <w:szCs w:val="32"/>
          <w:shd w:val="clear" w:color="auto" w:fill="FFFFFF"/>
          <w:lang w:val="en-US" w:eastAsia="zh-CN"/>
        </w:rPr>
        <w:t>94.75</w:t>
      </w:r>
      <w:r>
        <w:rPr>
          <w:rFonts w:hint="eastAsia" w:ascii="仿宋_GB2312" w:hAnsi="仿宋_GB2312" w:eastAsia="仿宋_GB2312" w:cs="仿宋_GB2312"/>
          <w:color w:val="000000"/>
          <w:kern w:val="0"/>
          <w:sz w:val="32"/>
          <w:szCs w:val="32"/>
          <w:shd w:val="clear" w:color="auto" w:fill="FFFFFF"/>
          <w:lang w:val="zh-CN"/>
        </w:rPr>
        <w:t>%。</w:t>
      </w:r>
    </w:p>
    <w:p w14:paraId="185BD66D">
      <w:pPr>
        <w:keepNext w:val="0"/>
        <w:keepLines w:val="0"/>
        <w:pageBreakBefore w:val="0"/>
        <w:kinsoku/>
        <w:wordWrap/>
        <w:overflowPunct/>
        <w:topLinePunct w:val="0"/>
        <w:autoSpaceDE/>
        <w:autoSpaceDN/>
        <w:bidi w:val="0"/>
        <w:adjustRightInd w:val="0"/>
        <w:snapToGrid w:val="0"/>
        <w:spacing w:line="576" w:lineRule="exact"/>
        <w:ind w:left="0" w:leftChars="0" w:firstLine="640" w:firstLineChars="200"/>
        <w:contextualSpacing/>
        <w:jc w:val="both"/>
        <w:textAlignment w:val="auto"/>
        <w:rPr>
          <w:rFonts w:hint="eastAsia" w:ascii="仿宋_GB2312" w:hAnsi="仿宋_GB2312" w:eastAsia="仿宋_GB2312" w:cs="仿宋_GB2312"/>
          <w:color w:val="000000"/>
          <w:kern w:val="0"/>
          <w:sz w:val="32"/>
          <w:szCs w:val="32"/>
          <w:shd w:val="clear" w:color="auto" w:fill="FFFFFF"/>
          <w:lang w:val="zh-CN"/>
        </w:rPr>
      </w:pPr>
      <w:r>
        <w:rPr>
          <w:rFonts w:hint="eastAsia" w:ascii="仿宋_GB2312" w:hAnsi="仿宋_GB2312" w:eastAsia="仿宋_GB2312" w:cs="仿宋_GB2312"/>
          <w:color w:val="000000"/>
          <w:kern w:val="0"/>
          <w:sz w:val="32"/>
          <w:szCs w:val="32"/>
          <w:shd w:val="clear" w:color="auto" w:fill="FFFFFF"/>
        </w:rPr>
        <w:t>阶段（含一次性）项目绩效分析。</w:t>
      </w:r>
      <w:r>
        <w:rPr>
          <w:rFonts w:hint="eastAsia" w:ascii="仿宋_GB2312" w:hAnsi="仿宋_GB2312" w:eastAsia="仿宋_GB2312" w:cs="仿宋_GB2312"/>
          <w:color w:val="000000"/>
          <w:kern w:val="0"/>
          <w:sz w:val="32"/>
          <w:szCs w:val="32"/>
          <w:shd w:val="clear" w:color="auto" w:fill="FFFFFF"/>
          <w:lang w:val="zh-CN"/>
        </w:rPr>
        <w:t>该类项目总数</w:t>
      </w:r>
      <w:r>
        <w:rPr>
          <w:rFonts w:hint="eastAsia" w:ascii="仿宋_GB2312" w:hAnsi="仿宋_GB2312" w:eastAsia="仿宋_GB2312" w:cs="仿宋_GB2312"/>
          <w:color w:val="000000"/>
          <w:kern w:val="0"/>
          <w:sz w:val="32"/>
          <w:szCs w:val="32"/>
          <w:shd w:val="clear" w:color="auto" w:fill="FFFFFF"/>
          <w:lang w:val="en-US" w:eastAsia="zh-CN"/>
        </w:rPr>
        <w:t>7</w:t>
      </w:r>
      <w:r>
        <w:rPr>
          <w:rFonts w:hint="eastAsia" w:ascii="仿宋_GB2312" w:hAnsi="仿宋_GB2312" w:eastAsia="仿宋_GB2312" w:cs="仿宋_GB2312"/>
          <w:color w:val="000000"/>
          <w:kern w:val="0"/>
          <w:sz w:val="32"/>
          <w:szCs w:val="32"/>
          <w:shd w:val="clear" w:color="auto" w:fill="FFFFFF"/>
          <w:lang w:val="zh-CN"/>
        </w:rPr>
        <w:t>个，涉及预算总金额</w:t>
      </w:r>
      <w:r>
        <w:rPr>
          <w:rFonts w:hint="eastAsia" w:ascii="仿宋_GB2312" w:hAnsi="仿宋_GB2312" w:eastAsia="仿宋_GB2312" w:cs="仿宋_GB2312"/>
          <w:color w:val="000000"/>
          <w:kern w:val="0"/>
          <w:sz w:val="32"/>
          <w:szCs w:val="32"/>
          <w:shd w:val="clear" w:color="auto" w:fill="FFFFFF"/>
          <w:lang w:val="en-US" w:eastAsia="zh-CN"/>
        </w:rPr>
        <w:t>167.628657</w:t>
      </w:r>
      <w:r>
        <w:rPr>
          <w:rFonts w:hint="eastAsia" w:ascii="仿宋_GB2312" w:hAnsi="仿宋_GB2312" w:eastAsia="仿宋_GB2312" w:cs="仿宋_GB2312"/>
          <w:color w:val="000000"/>
          <w:kern w:val="0"/>
          <w:sz w:val="32"/>
          <w:szCs w:val="32"/>
          <w:shd w:val="clear" w:color="auto" w:fill="FFFFFF"/>
          <w:lang w:val="zh-CN"/>
        </w:rPr>
        <w:t>万元，1—1</w:t>
      </w:r>
      <w:r>
        <w:rPr>
          <w:rFonts w:hint="eastAsia" w:ascii="仿宋_GB2312" w:hAnsi="仿宋_GB2312" w:eastAsia="仿宋_GB2312" w:cs="仿宋_GB2312"/>
          <w:color w:val="000000"/>
          <w:kern w:val="0"/>
          <w:sz w:val="32"/>
          <w:szCs w:val="32"/>
          <w:shd w:val="clear" w:color="auto" w:fill="FFFFFF"/>
        </w:rPr>
        <w:t>2</w:t>
      </w:r>
      <w:r>
        <w:rPr>
          <w:rFonts w:hint="eastAsia" w:ascii="仿宋_GB2312" w:hAnsi="仿宋_GB2312" w:eastAsia="仿宋_GB2312" w:cs="仿宋_GB2312"/>
          <w:color w:val="000000"/>
          <w:kern w:val="0"/>
          <w:sz w:val="32"/>
          <w:szCs w:val="32"/>
          <w:shd w:val="clear" w:color="auto" w:fill="FFFFFF"/>
          <w:lang w:val="zh-CN"/>
        </w:rPr>
        <w:t>月预算执行总体进度为</w:t>
      </w:r>
      <w:r>
        <w:rPr>
          <w:rFonts w:hint="eastAsia" w:ascii="仿宋_GB2312" w:hAnsi="仿宋_GB2312" w:eastAsia="仿宋_GB2312" w:cs="仿宋_GB2312"/>
          <w:color w:val="000000"/>
          <w:kern w:val="0"/>
          <w:sz w:val="32"/>
          <w:szCs w:val="32"/>
          <w:shd w:val="clear" w:color="auto" w:fill="FFFFFF"/>
          <w:lang w:val="en-US" w:eastAsia="zh-CN"/>
        </w:rPr>
        <w:t>98.98</w:t>
      </w:r>
      <w:r>
        <w:rPr>
          <w:rFonts w:hint="eastAsia" w:ascii="仿宋_GB2312" w:hAnsi="仿宋_GB2312" w:eastAsia="仿宋_GB2312" w:cs="仿宋_GB2312"/>
          <w:color w:val="000000"/>
          <w:kern w:val="0"/>
          <w:sz w:val="32"/>
          <w:szCs w:val="32"/>
          <w:shd w:val="clear" w:color="auto" w:fill="FFFFFF"/>
          <w:lang w:val="zh-CN"/>
        </w:rPr>
        <w:t>%，其中：预算结余率大于</w:t>
      </w:r>
      <w:r>
        <w:rPr>
          <w:rFonts w:hint="eastAsia" w:ascii="仿宋_GB2312" w:hAnsi="仿宋_GB2312" w:eastAsia="仿宋_GB2312" w:cs="仿宋_GB2312"/>
          <w:color w:val="000000"/>
          <w:kern w:val="0"/>
          <w:sz w:val="32"/>
          <w:szCs w:val="32"/>
          <w:shd w:val="clear" w:color="auto" w:fill="FFFFFF"/>
        </w:rPr>
        <w:t>10%</w:t>
      </w:r>
      <w:r>
        <w:rPr>
          <w:rFonts w:hint="eastAsia" w:ascii="仿宋_GB2312" w:hAnsi="仿宋_GB2312" w:eastAsia="仿宋_GB2312" w:cs="仿宋_GB2312"/>
          <w:color w:val="000000"/>
          <w:kern w:val="0"/>
          <w:sz w:val="32"/>
          <w:szCs w:val="32"/>
          <w:shd w:val="clear" w:color="auto" w:fill="FFFFFF"/>
          <w:lang w:val="zh-CN"/>
        </w:rPr>
        <w:t>的项目共计</w:t>
      </w:r>
      <w:r>
        <w:rPr>
          <w:rFonts w:hint="eastAsia" w:ascii="仿宋_GB2312" w:hAnsi="仿宋_GB2312" w:eastAsia="仿宋_GB2312" w:cs="仿宋_GB2312"/>
          <w:color w:val="000000"/>
          <w:kern w:val="0"/>
          <w:sz w:val="32"/>
          <w:szCs w:val="32"/>
          <w:shd w:val="clear" w:color="auto" w:fill="FFFFFF"/>
          <w:lang w:val="en-US" w:eastAsia="zh-CN"/>
        </w:rPr>
        <w:t>1</w:t>
      </w:r>
      <w:r>
        <w:rPr>
          <w:rFonts w:hint="eastAsia" w:ascii="仿宋_GB2312" w:hAnsi="仿宋_GB2312" w:eastAsia="仿宋_GB2312" w:cs="仿宋_GB2312"/>
          <w:color w:val="000000"/>
          <w:kern w:val="0"/>
          <w:sz w:val="32"/>
          <w:szCs w:val="32"/>
          <w:shd w:val="clear" w:color="auto" w:fill="FFFFFF"/>
          <w:lang w:val="zh-CN"/>
        </w:rPr>
        <w:t>个。</w:t>
      </w:r>
    </w:p>
    <w:p w14:paraId="2DC89CAA">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contextualSpacing/>
        <w:jc w:val="both"/>
        <w:textAlignment w:val="auto"/>
        <w:rPr>
          <w:rFonts w:hint="eastAsia" w:ascii="仿宋_GB2312" w:hAnsi="仿宋_GB2312" w:eastAsia="仿宋_GB2312" w:cs="仿宋_GB2312"/>
          <w:color w:val="000000"/>
          <w:kern w:val="0"/>
          <w:sz w:val="32"/>
          <w:szCs w:val="32"/>
          <w:shd w:val="clear" w:color="auto" w:fill="FFFFFF"/>
          <w:lang w:val="zh-CN"/>
        </w:rPr>
      </w:pPr>
      <w:r>
        <w:rPr>
          <w:rFonts w:hint="eastAsia" w:ascii="仿宋_GB2312" w:hAnsi="仿宋_GB2312" w:eastAsia="仿宋_GB2312" w:cs="仿宋_GB2312"/>
          <w:color w:val="000000"/>
          <w:kern w:val="0"/>
          <w:sz w:val="32"/>
          <w:szCs w:val="32"/>
          <w:shd w:val="clear" w:color="auto" w:fill="FFFFFF"/>
          <w:lang w:val="zh-CN"/>
        </w:rPr>
        <w:t>1. 项目决策（</w:t>
      </w:r>
      <w:r>
        <w:rPr>
          <w:rFonts w:hint="eastAsia" w:ascii="仿宋_GB2312" w:hAnsi="仿宋_GB2312" w:eastAsia="仿宋_GB2312" w:cs="仿宋_GB2312"/>
          <w:color w:val="000000"/>
          <w:kern w:val="0"/>
          <w:sz w:val="32"/>
          <w:szCs w:val="32"/>
          <w:shd w:val="clear" w:color="auto" w:fill="FFFFFF"/>
        </w:rPr>
        <w:t>12分</w:t>
      </w:r>
      <w:r>
        <w:rPr>
          <w:rFonts w:hint="eastAsia" w:ascii="仿宋_GB2312" w:hAnsi="仿宋_GB2312" w:eastAsia="仿宋_GB2312" w:cs="仿宋_GB2312"/>
          <w:color w:val="000000"/>
          <w:kern w:val="0"/>
          <w:sz w:val="32"/>
          <w:szCs w:val="32"/>
          <w:shd w:val="clear" w:color="auto" w:fill="FFFFFF"/>
          <w:lang w:val="zh-CN"/>
        </w:rPr>
        <w:t>）</w:t>
      </w:r>
    </w:p>
    <w:p w14:paraId="3A0ED14F">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contextualSpacing/>
        <w:jc w:val="both"/>
        <w:textAlignment w:val="auto"/>
        <w:rPr>
          <w:rFonts w:hint="eastAsia" w:ascii="仿宋_GB2312" w:hAnsi="仿宋_GB2312" w:eastAsia="仿宋_GB2312" w:cs="仿宋_GB2312"/>
          <w:color w:val="000000"/>
          <w:kern w:val="0"/>
          <w:sz w:val="32"/>
          <w:szCs w:val="32"/>
          <w:shd w:val="clear" w:color="auto" w:fill="FFFFFF"/>
          <w:lang w:val="zh-CN"/>
        </w:rPr>
      </w:pPr>
      <w:r>
        <w:rPr>
          <w:rFonts w:hint="eastAsia" w:ascii="仿宋_GB2312" w:hAnsi="仿宋_GB2312" w:eastAsia="仿宋_GB2312" w:cs="仿宋_GB2312"/>
          <w:color w:val="000000"/>
          <w:kern w:val="0"/>
          <w:sz w:val="32"/>
          <w:szCs w:val="32"/>
          <w:shd w:val="clear" w:color="auto" w:fill="FFFFFF"/>
          <w:lang w:val="zh-CN"/>
        </w:rPr>
        <w:t>决策程序：项目立项符合部门规划，审批流程规范。（</w:t>
      </w:r>
      <w:r>
        <w:rPr>
          <w:rFonts w:hint="eastAsia" w:ascii="仿宋_GB2312" w:hAnsi="仿宋_GB2312" w:eastAsia="仿宋_GB2312" w:cs="仿宋_GB2312"/>
          <w:color w:val="000000"/>
          <w:kern w:val="0"/>
          <w:sz w:val="32"/>
          <w:szCs w:val="32"/>
          <w:shd w:val="clear" w:color="auto" w:fill="FFFFFF"/>
        </w:rPr>
        <w:t>4分</w:t>
      </w:r>
      <w:r>
        <w:rPr>
          <w:rFonts w:hint="eastAsia" w:ascii="仿宋_GB2312" w:hAnsi="仿宋_GB2312" w:eastAsia="仿宋_GB2312" w:cs="仿宋_GB2312"/>
          <w:color w:val="000000"/>
          <w:kern w:val="0"/>
          <w:sz w:val="32"/>
          <w:szCs w:val="32"/>
          <w:shd w:val="clear" w:color="auto" w:fill="FFFFFF"/>
          <w:lang w:val="zh-CN"/>
        </w:rPr>
        <w:t>）</w:t>
      </w:r>
    </w:p>
    <w:p w14:paraId="4377BEBB">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color w:val="000000"/>
          <w:kern w:val="0"/>
          <w:sz w:val="32"/>
          <w:szCs w:val="32"/>
          <w:shd w:val="clear" w:color="auto" w:fill="FFFFFF"/>
          <w:lang w:eastAsia="zh-CN"/>
        </w:rPr>
        <w:t>自评得分</w:t>
      </w:r>
      <w:r>
        <w:rPr>
          <w:rFonts w:hint="eastAsia" w:ascii="仿宋_GB2312" w:hAnsi="仿宋_GB2312" w:eastAsia="仿宋_GB2312" w:cs="仿宋_GB2312"/>
          <w:b w:val="0"/>
          <w:bCs w:val="0"/>
          <w:color w:val="000000"/>
          <w:kern w:val="0"/>
          <w:sz w:val="32"/>
          <w:szCs w:val="32"/>
          <w:shd w:val="clear" w:color="auto" w:fill="FFFFFF"/>
        </w:rPr>
        <w:t>：3</w:t>
      </w:r>
      <w:r>
        <w:rPr>
          <w:rFonts w:hint="eastAsia" w:ascii="仿宋_GB2312" w:hAnsi="仿宋_GB2312" w:eastAsia="仿宋_GB2312" w:cs="仿宋_GB2312"/>
          <w:b w:val="0"/>
          <w:bCs w:val="0"/>
          <w:color w:val="000000"/>
          <w:kern w:val="0"/>
          <w:sz w:val="32"/>
          <w:szCs w:val="32"/>
          <w:shd w:val="clear" w:color="auto" w:fill="FFFFFF"/>
          <w:lang w:val="en-US" w:eastAsia="zh-CN"/>
        </w:rPr>
        <w:t>.5</w:t>
      </w:r>
      <w:r>
        <w:rPr>
          <w:rFonts w:hint="eastAsia" w:ascii="仿宋_GB2312" w:hAnsi="仿宋_GB2312" w:eastAsia="仿宋_GB2312" w:cs="仿宋_GB2312"/>
          <w:b w:val="0"/>
          <w:bCs w:val="0"/>
          <w:color w:val="000000"/>
          <w:kern w:val="0"/>
          <w:sz w:val="32"/>
          <w:szCs w:val="32"/>
          <w:shd w:val="clear" w:color="auto" w:fill="FFFFFF"/>
        </w:rPr>
        <w:t>分</w:t>
      </w:r>
    </w:p>
    <w:p w14:paraId="0CDCF37D">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contextualSpacing/>
        <w:jc w:val="both"/>
        <w:textAlignment w:val="auto"/>
        <w:rPr>
          <w:rFonts w:hint="eastAsia" w:ascii="仿宋_GB2312" w:hAnsi="仿宋_GB2312" w:eastAsia="仿宋_GB2312" w:cs="仿宋_GB2312"/>
          <w:color w:val="000000"/>
          <w:kern w:val="0"/>
          <w:sz w:val="32"/>
          <w:szCs w:val="32"/>
          <w:shd w:val="clear" w:color="auto" w:fill="FFFFFF"/>
          <w:lang w:val="zh-CN"/>
        </w:rPr>
      </w:pPr>
      <w:r>
        <w:rPr>
          <w:rFonts w:hint="eastAsia" w:ascii="仿宋_GB2312" w:hAnsi="仿宋_GB2312" w:eastAsia="仿宋_GB2312" w:cs="仿宋_GB2312"/>
          <w:color w:val="000000"/>
          <w:kern w:val="0"/>
          <w:sz w:val="32"/>
          <w:szCs w:val="32"/>
          <w:shd w:val="clear" w:color="auto" w:fill="FFFFFF"/>
          <w:lang w:val="zh-CN"/>
        </w:rPr>
        <w:t>目标设置：绩效目标清晰，</w:t>
      </w:r>
      <w:r>
        <w:rPr>
          <w:rFonts w:hint="eastAsia" w:ascii="仿宋_GB2312" w:hAnsi="仿宋_GB2312" w:eastAsia="仿宋_GB2312" w:cs="仿宋_GB2312"/>
          <w:color w:val="000000"/>
          <w:kern w:val="0"/>
          <w:sz w:val="32"/>
          <w:szCs w:val="32"/>
          <w:shd w:val="clear" w:color="auto" w:fill="FFFFFF"/>
        </w:rPr>
        <w:t>均设置了一、二、三、级指标，</w:t>
      </w:r>
      <w:r>
        <w:rPr>
          <w:rFonts w:hint="eastAsia" w:ascii="仿宋_GB2312" w:hAnsi="仿宋_GB2312" w:eastAsia="仿宋_GB2312" w:cs="仿宋_GB2312"/>
          <w:color w:val="000000"/>
          <w:kern w:val="0"/>
          <w:sz w:val="32"/>
          <w:szCs w:val="32"/>
          <w:shd w:val="clear" w:color="auto" w:fill="FFFFFF"/>
          <w:lang w:val="zh-CN"/>
        </w:rPr>
        <w:t>但指标</w:t>
      </w:r>
      <w:r>
        <w:rPr>
          <w:rFonts w:hint="eastAsia" w:ascii="仿宋_GB2312" w:hAnsi="仿宋_GB2312" w:eastAsia="仿宋_GB2312" w:cs="仿宋_GB2312"/>
          <w:color w:val="000000"/>
          <w:kern w:val="0"/>
          <w:sz w:val="32"/>
          <w:szCs w:val="32"/>
          <w:shd w:val="clear" w:color="auto" w:fill="FFFFFF"/>
        </w:rPr>
        <w:t>不够</w:t>
      </w:r>
      <w:r>
        <w:rPr>
          <w:rFonts w:hint="eastAsia" w:ascii="仿宋_GB2312" w:hAnsi="仿宋_GB2312" w:eastAsia="仿宋_GB2312" w:cs="仿宋_GB2312"/>
          <w:color w:val="000000"/>
          <w:kern w:val="0"/>
          <w:sz w:val="32"/>
          <w:szCs w:val="32"/>
          <w:shd w:val="clear" w:color="auto" w:fill="FFFFFF"/>
          <w:lang w:val="zh-CN"/>
        </w:rPr>
        <w:t>细化、</w:t>
      </w:r>
      <w:r>
        <w:rPr>
          <w:rFonts w:hint="eastAsia" w:ascii="仿宋_GB2312" w:hAnsi="仿宋_GB2312" w:eastAsia="仿宋_GB2312" w:cs="仿宋_GB2312"/>
          <w:color w:val="000000"/>
          <w:kern w:val="0"/>
          <w:sz w:val="32"/>
          <w:szCs w:val="32"/>
          <w:shd w:val="clear" w:color="auto" w:fill="FFFFFF"/>
        </w:rPr>
        <w:t>完善</w:t>
      </w:r>
      <w:r>
        <w:rPr>
          <w:rFonts w:hint="eastAsia" w:ascii="仿宋_GB2312" w:hAnsi="仿宋_GB2312" w:eastAsia="仿宋_GB2312" w:cs="仿宋_GB2312"/>
          <w:color w:val="000000"/>
          <w:kern w:val="0"/>
          <w:sz w:val="32"/>
          <w:szCs w:val="32"/>
          <w:shd w:val="clear" w:color="auto" w:fill="FFFFFF"/>
          <w:lang w:val="zh-CN"/>
        </w:rPr>
        <w:t>。（</w:t>
      </w:r>
      <w:r>
        <w:rPr>
          <w:rFonts w:hint="eastAsia" w:ascii="仿宋_GB2312" w:hAnsi="仿宋_GB2312" w:eastAsia="仿宋_GB2312" w:cs="仿宋_GB2312"/>
          <w:color w:val="000000"/>
          <w:kern w:val="0"/>
          <w:sz w:val="32"/>
          <w:szCs w:val="32"/>
          <w:shd w:val="clear" w:color="auto" w:fill="FFFFFF"/>
        </w:rPr>
        <w:t>4分</w:t>
      </w:r>
      <w:r>
        <w:rPr>
          <w:rFonts w:hint="eastAsia" w:ascii="仿宋_GB2312" w:hAnsi="仿宋_GB2312" w:eastAsia="仿宋_GB2312" w:cs="仿宋_GB2312"/>
          <w:color w:val="000000"/>
          <w:kern w:val="0"/>
          <w:sz w:val="32"/>
          <w:szCs w:val="32"/>
          <w:shd w:val="clear" w:color="auto" w:fill="FFFFFF"/>
          <w:lang w:val="zh-CN"/>
        </w:rPr>
        <w:t xml:space="preserve">）  </w:t>
      </w:r>
    </w:p>
    <w:p w14:paraId="11EF8563">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kern w:val="0"/>
          <w:sz w:val="32"/>
          <w:szCs w:val="32"/>
          <w:shd w:val="clear" w:color="auto" w:fill="FFFFFF"/>
          <w:lang w:eastAsia="zh-CN"/>
        </w:rPr>
        <w:t>自评得分</w:t>
      </w:r>
      <w:r>
        <w:rPr>
          <w:rFonts w:hint="eastAsia" w:ascii="仿宋_GB2312" w:hAnsi="仿宋_GB2312" w:eastAsia="仿宋_GB2312" w:cs="仿宋_GB2312"/>
          <w:color w:val="000000"/>
          <w:kern w:val="0"/>
          <w:sz w:val="32"/>
          <w:szCs w:val="32"/>
          <w:shd w:val="clear" w:color="auto" w:fill="FFFFFF"/>
        </w:rPr>
        <w:t>：</w:t>
      </w:r>
      <w:r>
        <w:rPr>
          <w:rFonts w:hint="eastAsia" w:ascii="仿宋_GB2312" w:hAnsi="仿宋_GB2312" w:eastAsia="仿宋_GB2312" w:cs="仿宋_GB2312"/>
          <w:color w:val="000000"/>
          <w:kern w:val="0"/>
          <w:sz w:val="32"/>
          <w:szCs w:val="32"/>
          <w:shd w:val="clear" w:color="auto" w:fill="FFFFFF"/>
          <w:lang w:val="en-US" w:eastAsia="zh-CN"/>
        </w:rPr>
        <w:t>3</w:t>
      </w:r>
      <w:r>
        <w:rPr>
          <w:rFonts w:hint="eastAsia" w:ascii="仿宋_GB2312" w:hAnsi="仿宋_GB2312" w:eastAsia="仿宋_GB2312" w:cs="仿宋_GB2312"/>
          <w:color w:val="000000"/>
          <w:kern w:val="0"/>
          <w:sz w:val="32"/>
          <w:szCs w:val="32"/>
          <w:shd w:val="clear" w:color="auto" w:fill="FFFFFF"/>
        </w:rPr>
        <w:t>分</w:t>
      </w:r>
    </w:p>
    <w:p w14:paraId="31A4DF7B">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contextualSpacing/>
        <w:jc w:val="both"/>
        <w:textAlignment w:val="auto"/>
        <w:rPr>
          <w:rFonts w:hint="eastAsia" w:ascii="仿宋_GB2312" w:hAnsi="仿宋_GB2312" w:eastAsia="仿宋_GB2312" w:cs="仿宋_GB2312"/>
          <w:color w:val="000000"/>
          <w:kern w:val="0"/>
          <w:sz w:val="32"/>
          <w:szCs w:val="32"/>
          <w:shd w:val="clear" w:color="auto" w:fill="FFFFFF"/>
          <w:lang w:val="zh-CN"/>
        </w:rPr>
      </w:pPr>
      <w:r>
        <w:rPr>
          <w:rFonts w:hint="eastAsia" w:ascii="仿宋_GB2312" w:hAnsi="仿宋_GB2312" w:eastAsia="仿宋_GB2312" w:cs="仿宋_GB2312"/>
          <w:color w:val="000000"/>
          <w:kern w:val="0"/>
          <w:sz w:val="32"/>
          <w:szCs w:val="32"/>
          <w:shd w:val="clear" w:color="auto" w:fill="FFFFFF"/>
          <w:lang w:val="zh-CN"/>
        </w:rPr>
        <w:t>项目入库：均纳入财政项目库管理，入库资料完整。（</w:t>
      </w:r>
      <w:r>
        <w:rPr>
          <w:rFonts w:hint="eastAsia" w:ascii="仿宋_GB2312" w:hAnsi="仿宋_GB2312" w:eastAsia="仿宋_GB2312" w:cs="仿宋_GB2312"/>
          <w:color w:val="000000"/>
          <w:kern w:val="0"/>
          <w:sz w:val="32"/>
          <w:szCs w:val="32"/>
          <w:shd w:val="clear" w:color="auto" w:fill="FFFFFF"/>
        </w:rPr>
        <w:t>4分</w:t>
      </w:r>
      <w:r>
        <w:rPr>
          <w:rFonts w:hint="eastAsia" w:ascii="仿宋_GB2312" w:hAnsi="仿宋_GB2312" w:eastAsia="仿宋_GB2312" w:cs="仿宋_GB2312"/>
          <w:color w:val="000000"/>
          <w:kern w:val="0"/>
          <w:sz w:val="32"/>
          <w:szCs w:val="32"/>
          <w:shd w:val="clear" w:color="auto" w:fill="FFFFFF"/>
          <w:lang w:val="zh-CN"/>
        </w:rPr>
        <w:t xml:space="preserve">） </w:t>
      </w:r>
    </w:p>
    <w:p w14:paraId="1D704E5A">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contextualSpacing/>
        <w:jc w:val="both"/>
        <w:textAlignment w:val="auto"/>
        <w:rPr>
          <w:rFonts w:hint="eastAsia" w:ascii="仿宋_GB2312" w:hAnsi="仿宋_GB2312" w:eastAsia="仿宋_GB2312" w:cs="仿宋_GB2312"/>
          <w:color w:val="000000"/>
          <w:kern w:val="0"/>
          <w:sz w:val="32"/>
          <w:szCs w:val="32"/>
          <w:shd w:val="clear" w:color="auto" w:fill="FFFFFF"/>
          <w:lang w:val="zh-CN"/>
        </w:rPr>
      </w:pPr>
      <w:r>
        <w:rPr>
          <w:rFonts w:hint="eastAsia" w:ascii="仿宋_GB2312" w:hAnsi="仿宋_GB2312" w:eastAsia="仿宋_GB2312" w:cs="仿宋_GB2312"/>
          <w:color w:val="000000"/>
          <w:kern w:val="0"/>
          <w:sz w:val="32"/>
          <w:szCs w:val="32"/>
          <w:shd w:val="clear" w:color="auto" w:fill="FFFFFF"/>
          <w:lang w:val="zh-CN"/>
        </w:rPr>
        <w:t>自评得分：</w:t>
      </w:r>
      <w:r>
        <w:rPr>
          <w:rFonts w:hint="eastAsia" w:ascii="仿宋_GB2312" w:hAnsi="仿宋_GB2312" w:eastAsia="仿宋_GB2312" w:cs="仿宋_GB2312"/>
          <w:color w:val="000000"/>
          <w:kern w:val="0"/>
          <w:sz w:val="32"/>
          <w:szCs w:val="32"/>
          <w:shd w:val="clear" w:color="auto" w:fill="FFFFFF"/>
          <w:lang w:val="en-US" w:eastAsia="zh-CN"/>
        </w:rPr>
        <w:t>4</w:t>
      </w:r>
      <w:r>
        <w:rPr>
          <w:rFonts w:hint="eastAsia" w:ascii="仿宋_GB2312" w:hAnsi="仿宋_GB2312" w:eastAsia="仿宋_GB2312" w:cs="仿宋_GB2312"/>
          <w:color w:val="000000"/>
          <w:kern w:val="0"/>
          <w:sz w:val="32"/>
          <w:szCs w:val="32"/>
          <w:shd w:val="clear" w:color="auto" w:fill="FFFFFF"/>
        </w:rPr>
        <w:t>分</w:t>
      </w:r>
      <w:r>
        <w:rPr>
          <w:rFonts w:hint="eastAsia" w:ascii="仿宋_GB2312" w:hAnsi="仿宋_GB2312" w:eastAsia="仿宋_GB2312" w:cs="仿宋_GB2312"/>
          <w:color w:val="000000"/>
          <w:kern w:val="0"/>
          <w:sz w:val="32"/>
          <w:szCs w:val="32"/>
          <w:shd w:val="clear" w:color="auto" w:fill="FFFFFF"/>
          <w:lang w:val="zh-CN"/>
        </w:rPr>
        <w:t xml:space="preserve">  </w:t>
      </w:r>
    </w:p>
    <w:p w14:paraId="1E770F31">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contextualSpacing/>
        <w:jc w:val="both"/>
        <w:textAlignment w:val="auto"/>
        <w:rPr>
          <w:rFonts w:hint="eastAsia" w:ascii="仿宋_GB2312" w:hAnsi="仿宋_GB2312" w:eastAsia="仿宋_GB2312" w:cs="仿宋_GB2312"/>
          <w:color w:val="000000"/>
          <w:kern w:val="0"/>
          <w:sz w:val="32"/>
          <w:szCs w:val="32"/>
          <w:shd w:val="clear" w:color="auto" w:fill="FFFFFF"/>
          <w:lang w:val="zh-CN"/>
        </w:rPr>
      </w:pPr>
      <w:r>
        <w:rPr>
          <w:rFonts w:hint="eastAsia" w:ascii="仿宋_GB2312" w:hAnsi="仿宋_GB2312" w:eastAsia="仿宋_GB2312" w:cs="仿宋_GB2312"/>
          <w:color w:val="000000"/>
          <w:kern w:val="0"/>
          <w:sz w:val="32"/>
          <w:szCs w:val="32"/>
          <w:shd w:val="clear" w:color="auto" w:fill="FFFFFF"/>
          <w:lang w:val="zh-CN"/>
        </w:rPr>
        <w:t>2. 项目执行（权重：</w:t>
      </w:r>
      <w:r>
        <w:rPr>
          <w:rFonts w:hint="eastAsia" w:ascii="仿宋_GB2312" w:hAnsi="仿宋_GB2312" w:eastAsia="仿宋_GB2312" w:cs="仿宋_GB2312"/>
          <w:color w:val="000000"/>
          <w:kern w:val="0"/>
          <w:sz w:val="32"/>
          <w:szCs w:val="32"/>
          <w:shd w:val="clear" w:color="auto" w:fill="FFFFFF"/>
        </w:rPr>
        <w:t>12分</w:t>
      </w:r>
      <w:r>
        <w:rPr>
          <w:rFonts w:hint="eastAsia" w:ascii="仿宋_GB2312" w:hAnsi="仿宋_GB2312" w:eastAsia="仿宋_GB2312" w:cs="仿宋_GB2312"/>
          <w:color w:val="000000"/>
          <w:kern w:val="0"/>
          <w:sz w:val="32"/>
          <w:szCs w:val="32"/>
          <w:shd w:val="clear" w:color="auto" w:fill="FFFFFF"/>
          <w:lang w:val="zh-CN"/>
        </w:rPr>
        <w:t xml:space="preserve">） </w:t>
      </w:r>
    </w:p>
    <w:p w14:paraId="60E34F58">
      <w:pPr>
        <w:keepNext w:val="0"/>
        <w:keepLines w:val="0"/>
        <w:pageBreakBefore w:val="0"/>
        <w:kinsoku/>
        <w:wordWrap/>
        <w:overflowPunct/>
        <w:topLinePunct w:val="0"/>
        <w:autoSpaceDE/>
        <w:autoSpaceDN/>
        <w:bidi w:val="0"/>
        <w:adjustRightInd w:val="0"/>
        <w:snapToGrid w:val="0"/>
        <w:spacing w:line="576" w:lineRule="exact"/>
        <w:ind w:left="0" w:leftChars="0" w:firstLine="640" w:firstLineChars="200"/>
        <w:contextualSpacing/>
        <w:jc w:val="both"/>
        <w:textAlignment w:val="auto"/>
        <w:rPr>
          <w:rFonts w:hint="eastAsia" w:ascii="仿宋_GB2312" w:hAnsi="仿宋_GB2312" w:eastAsia="仿宋_GB2312" w:cs="仿宋_GB2312"/>
          <w:b w:val="0"/>
          <w:bCs w:val="0"/>
          <w:color w:val="000000"/>
          <w:kern w:val="0"/>
          <w:sz w:val="32"/>
          <w:szCs w:val="32"/>
          <w:shd w:val="clear" w:color="auto" w:fill="FFFFFF"/>
          <w:lang w:val="zh-CN"/>
        </w:rPr>
      </w:pPr>
      <w:r>
        <w:rPr>
          <w:rFonts w:hint="eastAsia" w:ascii="仿宋_GB2312" w:hAnsi="仿宋_GB2312" w:eastAsia="仿宋_GB2312" w:cs="仿宋_GB2312"/>
          <w:b w:val="0"/>
          <w:bCs w:val="0"/>
          <w:color w:val="000000"/>
          <w:kern w:val="0"/>
          <w:sz w:val="32"/>
          <w:szCs w:val="32"/>
          <w:shd w:val="clear" w:color="auto" w:fill="FFFFFF"/>
          <w:lang w:val="zh-CN"/>
        </w:rPr>
        <w:t>（1）执行同向（</w:t>
      </w:r>
      <w:r>
        <w:rPr>
          <w:rFonts w:hint="eastAsia" w:ascii="仿宋_GB2312" w:hAnsi="仿宋_GB2312" w:eastAsia="仿宋_GB2312" w:cs="仿宋_GB2312"/>
          <w:b w:val="0"/>
          <w:bCs w:val="0"/>
          <w:color w:val="000000"/>
          <w:kern w:val="0"/>
          <w:sz w:val="32"/>
          <w:szCs w:val="32"/>
          <w:shd w:val="clear" w:color="auto" w:fill="FFFFFF"/>
        </w:rPr>
        <w:t>4分</w:t>
      </w:r>
      <w:r>
        <w:rPr>
          <w:rFonts w:hint="eastAsia" w:ascii="仿宋_GB2312" w:hAnsi="仿宋_GB2312" w:eastAsia="仿宋_GB2312" w:cs="仿宋_GB2312"/>
          <w:b w:val="0"/>
          <w:bCs w:val="0"/>
          <w:color w:val="000000"/>
          <w:kern w:val="0"/>
          <w:sz w:val="32"/>
          <w:szCs w:val="32"/>
          <w:shd w:val="clear" w:color="auto" w:fill="FFFFFF"/>
          <w:lang w:val="zh-CN"/>
        </w:rPr>
        <w:t>）</w:t>
      </w:r>
    </w:p>
    <w:p w14:paraId="0D427E7C">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color w:val="000000"/>
          <w:kern w:val="0"/>
          <w:sz w:val="32"/>
          <w:szCs w:val="32"/>
          <w:shd w:val="clear" w:color="auto" w:fill="FFFFFF"/>
        </w:rPr>
      </w:pPr>
      <w:r>
        <w:rPr>
          <w:rFonts w:hint="eastAsia" w:ascii="仿宋_GB2312" w:hAnsi="仿宋_GB2312" w:eastAsia="仿宋_GB2312" w:cs="仿宋_GB2312"/>
          <w:color w:val="000000"/>
          <w:kern w:val="0"/>
          <w:sz w:val="32"/>
          <w:szCs w:val="32"/>
          <w:shd w:val="clear" w:color="auto" w:fill="FFFFFF"/>
        </w:rPr>
        <w:t>202</w:t>
      </w:r>
      <w:r>
        <w:rPr>
          <w:rFonts w:hint="eastAsia" w:ascii="仿宋_GB2312" w:hAnsi="仿宋_GB2312" w:eastAsia="仿宋_GB2312" w:cs="仿宋_GB2312"/>
          <w:color w:val="000000"/>
          <w:kern w:val="0"/>
          <w:sz w:val="32"/>
          <w:szCs w:val="32"/>
          <w:shd w:val="clear" w:color="auto" w:fill="FFFFFF"/>
          <w:lang w:val="en-US" w:eastAsia="zh-CN"/>
        </w:rPr>
        <w:t>5</w:t>
      </w:r>
      <w:r>
        <w:rPr>
          <w:rFonts w:hint="eastAsia" w:ascii="仿宋_GB2312" w:hAnsi="仿宋_GB2312" w:eastAsia="仿宋_GB2312" w:cs="仿宋_GB2312"/>
          <w:color w:val="000000"/>
          <w:kern w:val="0"/>
          <w:sz w:val="32"/>
          <w:szCs w:val="32"/>
          <w:shd w:val="clear" w:color="auto" w:fill="FFFFFF"/>
        </w:rPr>
        <w:t>年我局</w:t>
      </w:r>
      <w:r>
        <w:rPr>
          <w:rFonts w:hint="eastAsia" w:ascii="仿宋_GB2312" w:hAnsi="仿宋_GB2312" w:eastAsia="仿宋_GB2312" w:cs="仿宋_GB2312"/>
          <w:color w:val="000000"/>
          <w:kern w:val="0"/>
          <w:sz w:val="32"/>
          <w:szCs w:val="32"/>
          <w:shd w:val="clear" w:color="auto" w:fill="FFFFFF"/>
          <w:lang w:val="en-US" w:eastAsia="zh-CN"/>
        </w:rPr>
        <w:t>9</w:t>
      </w:r>
      <w:r>
        <w:rPr>
          <w:rFonts w:hint="eastAsia" w:ascii="仿宋_GB2312" w:hAnsi="仿宋_GB2312" w:eastAsia="仿宋_GB2312" w:cs="仿宋_GB2312"/>
          <w:color w:val="000000"/>
          <w:kern w:val="0"/>
          <w:sz w:val="32"/>
          <w:szCs w:val="32"/>
          <w:shd w:val="clear" w:color="auto" w:fill="FFFFFF"/>
        </w:rPr>
        <w:t xml:space="preserve">个项目资金开支范围均符合绩效目标设置。 </w:t>
      </w:r>
    </w:p>
    <w:p w14:paraId="2FFCF215">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color w:val="000000"/>
          <w:kern w:val="0"/>
          <w:sz w:val="32"/>
          <w:szCs w:val="32"/>
          <w:shd w:val="clear" w:color="auto" w:fill="FFFFFF"/>
        </w:rPr>
      </w:pPr>
      <w:r>
        <w:rPr>
          <w:rFonts w:hint="eastAsia" w:ascii="仿宋_GB2312" w:hAnsi="仿宋_GB2312" w:eastAsia="仿宋_GB2312" w:cs="仿宋_GB2312"/>
          <w:color w:val="000000"/>
          <w:kern w:val="0"/>
          <w:sz w:val="32"/>
          <w:szCs w:val="32"/>
          <w:shd w:val="clear" w:color="auto" w:fill="FFFFFF"/>
          <w:lang w:eastAsia="zh-CN"/>
        </w:rPr>
        <w:t>自评得分</w:t>
      </w:r>
      <w:r>
        <w:rPr>
          <w:rFonts w:hint="eastAsia" w:ascii="仿宋_GB2312" w:hAnsi="仿宋_GB2312" w:eastAsia="仿宋_GB2312" w:cs="仿宋_GB2312"/>
          <w:color w:val="000000"/>
          <w:kern w:val="0"/>
          <w:sz w:val="32"/>
          <w:szCs w:val="32"/>
          <w:shd w:val="clear" w:color="auto" w:fill="FFFFFF"/>
        </w:rPr>
        <w:t>：4分</w:t>
      </w:r>
    </w:p>
    <w:p w14:paraId="09E08643">
      <w:pPr>
        <w:keepNext w:val="0"/>
        <w:keepLines w:val="0"/>
        <w:pageBreakBefore w:val="0"/>
        <w:kinsoku/>
        <w:wordWrap/>
        <w:overflowPunct/>
        <w:topLinePunct w:val="0"/>
        <w:autoSpaceDE/>
        <w:autoSpaceDN/>
        <w:bidi w:val="0"/>
        <w:adjustRightInd w:val="0"/>
        <w:snapToGrid w:val="0"/>
        <w:spacing w:line="576" w:lineRule="exact"/>
        <w:ind w:left="0" w:leftChars="0" w:firstLine="640" w:firstLineChars="200"/>
        <w:contextualSpacing/>
        <w:jc w:val="both"/>
        <w:textAlignment w:val="auto"/>
        <w:rPr>
          <w:rFonts w:hint="eastAsia" w:ascii="仿宋_GB2312" w:hAnsi="仿宋_GB2312" w:eastAsia="仿宋_GB2312" w:cs="仿宋_GB2312"/>
          <w:b w:val="0"/>
          <w:bCs w:val="0"/>
          <w:color w:val="000000"/>
          <w:kern w:val="0"/>
          <w:sz w:val="32"/>
          <w:szCs w:val="32"/>
          <w:shd w:val="clear" w:color="auto" w:fill="FFFFFF"/>
          <w:lang w:val="zh-CN"/>
        </w:rPr>
      </w:pPr>
      <w:r>
        <w:rPr>
          <w:rFonts w:hint="eastAsia" w:ascii="仿宋_GB2312" w:hAnsi="仿宋_GB2312" w:eastAsia="仿宋_GB2312" w:cs="仿宋_GB2312"/>
          <w:b w:val="0"/>
          <w:bCs w:val="0"/>
          <w:color w:val="000000"/>
          <w:kern w:val="0"/>
          <w:sz w:val="32"/>
          <w:szCs w:val="32"/>
          <w:shd w:val="clear" w:color="auto" w:fill="FFFFFF"/>
          <w:lang w:val="zh-CN"/>
        </w:rPr>
        <w:t>（2）项目调整（</w:t>
      </w:r>
      <w:r>
        <w:rPr>
          <w:rFonts w:hint="eastAsia" w:ascii="仿宋_GB2312" w:hAnsi="仿宋_GB2312" w:eastAsia="仿宋_GB2312" w:cs="仿宋_GB2312"/>
          <w:b w:val="0"/>
          <w:bCs w:val="0"/>
          <w:color w:val="000000"/>
          <w:kern w:val="0"/>
          <w:sz w:val="32"/>
          <w:szCs w:val="32"/>
          <w:shd w:val="clear" w:color="auto" w:fill="FFFFFF"/>
        </w:rPr>
        <w:t>4分</w:t>
      </w:r>
      <w:r>
        <w:rPr>
          <w:rFonts w:hint="eastAsia" w:ascii="仿宋_GB2312" w:hAnsi="仿宋_GB2312" w:eastAsia="仿宋_GB2312" w:cs="仿宋_GB2312"/>
          <w:b w:val="0"/>
          <w:bCs w:val="0"/>
          <w:color w:val="000000"/>
          <w:kern w:val="0"/>
          <w:sz w:val="32"/>
          <w:szCs w:val="32"/>
          <w:shd w:val="clear" w:color="auto" w:fill="FFFFFF"/>
          <w:lang w:val="zh-CN"/>
        </w:rPr>
        <w:t>）</w:t>
      </w:r>
    </w:p>
    <w:p w14:paraId="255F80C7">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color w:val="000000"/>
          <w:kern w:val="0"/>
          <w:sz w:val="32"/>
          <w:szCs w:val="32"/>
          <w:shd w:val="clear" w:color="auto" w:fill="FFFFFF"/>
        </w:rPr>
      </w:pPr>
      <w:r>
        <w:rPr>
          <w:rFonts w:hint="eastAsia" w:ascii="仿宋_GB2312" w:hAnsi="仿宋_GB2312" w:eastAsia="仿宋_GB2312" w:cs="仿宋_GB2312"/>
          <w:color w:val="000000"/>
          <w:kern w:val="0"/>
          <w:sz w:val="32"/>
          <w:szCs w:val="32"/>
          <w:shd w:val="clear" w:color="auto" w:fill="FFFFFF"/>
        </w:rPr>
        <w:t>202</w:t>
      </w:r>
      <w:r>
        <w:rPr>
          <w:rFonts w:hint="eastAsia" w:ascii="仿宋_GB2312" w:hAnsi="仿宋_GB2312" w:eastAsia="仿宋_GB2312" w:cs="仿宋_GB2312"/>
          <w:color w:val="000000"/>
          <w:kern w:val="0"/>
          <w:sz w:val="32"/>
          <w:szCs w:val="32"/>
          <w:shd w:val="clear" w:color="auto" w:fill="FFFFFF"/>
          <w:lang w:val="en-US" w:eastAsia="zh-CN"/>
        </w:rPr>
        <w:t>5</w:t>
      </w:r>
      <w:r>
        <w:rPr>
          <w:rFonts w:hint="eastAsia" w:ascii="仿宋_GB2312" w:hAnsi="仿宋_GB2312" w:eastAsia="仿宋_GB2312" w:cs="仿宋_GB2312"/>
          <w:color w:val="000000"/>
          <w:kern w:val="0"/>
          <w:sz w:val="32"/>
          <w:szCs w:val="32"/>
          <w:shd w:val="clear" w:color="auto" w:fill="FFFFFF"/>
        </w:rPr>
        <w:t>年我局</w:t>
      </w:r>
      <w:r>
        <w:rPr>
          <w:rFonts w:hint="eastAsia" w:ascii="仿宋_GB2312" w:hAnsi="仿宋_GB2312" w:eastAsia="仿宋_GB2312" w:cs="仿宋_GB2312"/>
          <w:color w:val="000000"/>
          <w:kern w:val="0"/>
          <w:sz w:val="32"/>
          <w:szCs w:val="32"/>
          <w:shd w:val="clear" w:color="auto" w:fill="FFFFFF"/>
          <w:lang w:val="en-US" w:eastAsia="zh-CN"/>
        </w:rPr>
        <w:t>9</w:t>
      </w:r>
      <w:r>
        <w:rPr>
          <w:rFonts w:hint="eastAsia" w:ascii="仿宋_GB2312" w:hAnsi="仿宋_GB2312" w:eastAsia="仿宋_GB2312" w:cs="仿宋_GB2312"/>
          <w:color w:val="000000"/>
          <w:kern w:val="0"/>
          <w:sz w:val="32"/>
          <w:szCs w:val="32"/>
          <w:shd w:val="clear" w:color="auto" w:fill="FFFFFF"/>
        </w:rPr>
        <w:t>个项目均按照预算要求及绩效目标设置执行，不存在项目调整的情况。</w:t>
      </w:r>
    </w:p>
    <w:p w14:paraId="426C7DB8">
      <w:pPr>
        <w:pStyle w:val="10"/>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color w:val="000000"/>
          <w:kern w:val="0"/>
          <w:sz w:val="32"/>
          <w:szCs w:val="32"/>
          <w:shd w:val="clear" w:color="auto" w:fill="FFFFFF"/>
        </w:rPr>
      </w:pPr>
      <w:r>
        <w:rPr>
          <w:rFonts w:hint="eastAsia" w:ascii="仿宋_GB2312" w:hAnsi="仿宋_GB2312" w:eastAsia="仿宋_GB2312" w:cs="仿宋_GB2312"/>
          <w:color w:val="000000"/>
          <w:kern w:val="0"/>
          <w:sz w:val="32"/>
          <w:szCs w:val="32"/>
          <w:shd w:val="clear" w:color="auto" w:fill="FFFFFF"/>
        </w:rPr>
        <w:t xml:space="preserve"> </w:t>
      </w:r>
      <w:r>
        <w:rPr>
          <w:rFonts w:hint="eastAsia" w:ascii="仿宋_GB2312" w:hAnsi="仿宋_GB2312" w:eastAsia="仿宋_GB2312" w:cs="仿宋_GB2312"/>
          <w:color w:val="000000"/>
          <w:kern w:val="0"/>
          <w:sz w:val="32"/>
          <w:szCs w:val="32"/>
          <w:shd w:val="clear" w:color="auto" w:fill="FFFFFF"/>
          <w:lang w:eastAsia="zh-CN"/>
        </w:rPr>
        <w:t>自评得分</w:t>
      </w:r>
      <w:r>
        <w:rPr>
          <w:rFonts w:hint="eastAsia" w:ascii="仿宋_GB2312" w:hAnsi="仿宋_GB2312" w:eastAsia="仿宋_GB2312" w:cs="仿宋_GB2312"/>
          <w:color w:val="000000"/>
          <w:kern w:val="0"/>
          <w:sz w:val="32"/>
          <w:szCs w:val="32"/>
          <w:shd w:val="clear" w:color="auto" w:fill="FFFFFF"/>
        </w:rPr>
        <w:t>：4分</w:t>
      </w:r>
    </w:p>
    <w:p w14:paraId="2BE9D77A">
      <w:pPr>
        <w:pStyle w:val="10"/>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color w:val="000000"/>
          <w:kern w:val="0"/>
          <w:sz w:val="32"/>
          <w:szCs w:val="32"/>
          <w:shd w:val="clear" w:color="auto" w:fill="FFFFFF"/>
          <w:lang w:val="zh-CN"/>
        </w:rPr>
        <w:t>（3）执行结果（</w:t>
      </w:r>
      <w:r>
        <w:rPr>
          <w:rFonts w:hint="eastAsia" w:ascii="仿宋_GB2312" w:hAnsi="仿宋_GB2312" w:eastAsia="仿宋_GB2312" w:cs="仿宋_GB2312"/>
          <w:b w:val="0"/>
          <w:bCs w:val="0"/>
          <w:color w:val="000000"/>
          <w:kern w:val="0"/>
          <w:sz w:val="32"/>
          <w:szCs w:val="32"/>
          <w:shd w:val="clear" w:color="auto" w:fill="FFFFFF"/>
        </w:rPr>
        <w:t>4分</w:t>
      </w:r>
      <w:r>
        <w:rPr>
          <w:rFonts w:hint="eastAsia" w:ascii="仿宋_GB2312" w:hAnsi="仿宋_GB2312" w:eastAsia="仿宋_GB2312" w:cs="仿宋_GB2312"/>
          <w:b w:val="0"/>
          <w:bCs w:val="0"/>
          <w:color w:val="000000"/>
          <w:kern w:val="0"/>
          <w:sz w:val="32"/>
          <w:szCs w:val="32"/>
          <w:shd w:val="clear" w:color="auto" w:fill="FFFFFF"/>
          <w:lang w:val="zh-CN"/>
        </w:rPr>
        <w:t>）</w:t>
      </w:r>
    </w:p>
    <w:p w14:paraId="3DA2A252">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color w:val="000000"/>
          <w:kern w:val="0"/>
          <w:sz w:val="32"/>
          <w:szCs w:val="32"/>
          <w:shd w:val="clear" w:color="auto" w:fill="FFFFFF"/>
        </w:rPr>
      </w:pPr>
      <w:r>
        <w:rPr>
          <w:rFonts w:hint="eastAsia" w:ascii="仿宋_GB2312" w:hAnsi="仿宋_GB2312" w:eastAsia="仿宋_GB2312" w:cs="仿宋_GB2312"/>
          <w:color w:val="000000"/>
          <w:kern w:val="0"/>
          <w:sz w:val="32"/>
          <w:szCs w:val="32"/>
          <w:shd w:val="clear" w:color="auto" w:fill="FFFFFF"/>
        </w:rPr>
        <w:t>202</w:t>
      </w:r>
      <w:r>
        <w:rPr>
          <w:rFonts w:hint="eastAsia" w:ascii="仿宋_GB2312" w:hAnsi="仿宋_GB2312" w:eastAsia="仿宋_GB2312" w:cs="仿宋_GB2312"/>
          <w:color w:val="000000"/>
          <w:kern w:val="0"/>
          <w:sz w:val="32"/>
          <w:szCs w:val="32"/>
          <w:shd w:val="clear" w:color="auto" w:fill="FFFFFF"/>
          <w:lang w:val="en-US" w:eastAsia="zh-CN"/>
        </w:rPr>
        <w:t>5</w:t>
      </w:r>
      <w:r>
        <w:rPr>
          <w:rFonts w:hint="eastAsia" w:ascii="仿宋_GB2312" w:hAnsi="仿宋_GB2312" w:eastAsia="仿宋_GB2312" w:cs="仿宋_GB2312"/>
          <w:color w:val="000000"/>
          <w:kern w:val="0"/>
          <w:sz w:val="32"/>
          <w:szCs w:val="32"/>
          <w:shd w:val="clear" w:color="auto" w:fill="FFFFFF"/>
        </w:rPr>
        <w:t>年我局</w:t>
      </w:r>
      <w:r>
        <w:rPr>
          <w:rFonts w:hint="eastAsia" w:ascii="仿宋_GB2312" w:hAnsi="仿宋_GB2312" w:eastAsia="仿宋_GB2312" w:cs="仿宋_GB2312"/>
          <w:color w:val="000000"/>
          <w:kern w:val="0"/>
          <w:sz w:val="32"/>
          <w:szCs w:val="32"/>
          <w:shd w:val="clear" w:color="auto" w:fill="FFFFFF"/>
          <w:lang w:val="en-US" w:eastAsia="zh-CN"/>
        </w:rPr>
        <w:t>9</w:t>
      </w:r>
      <w:r>
        <w:rPr>
          <w:rFonts w:hint="eastAsia" w:ascii="仿宋_GB2312" w:hAnsi="仿宋_GB2312" w:eastAsia="仿宋_GB2312" w:cs="仿宋_GB2312"/>
          <w:color w:val="000000"/>
          <w:kern w:val="0"/>
          <w:sz w:val="32"/>
          <w:szCs w:val="32"/>
          <w:shd w:val="clear" w:color="auto" w:fill="FFFFFF"/>
        </w:rPr>
        <w:t>个项目均按期支付，较好的实现了各项目标任务。</w:t>
      </w:r>
    </w:p>
    <w:p w14:paraId="755FCC3B">
      <w:pPr>
        <w:pStyle w:val="10"/>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color w:val="000000"/>
          <w:kern w:val="0"/>
          <w:sz w:val="32"/>
          <w:szCs w:val="32"/>
          <w:shd w:val="clear" w:color="auto" w:fill="FFFFFF"/>
        </w:rPr>
      </w:pPr>
      <w:r>
        <w:rPr>
          <w:rFonts w:hint="eastAsia" w:ascii="仿宋_GB2312" w:hAnsi="仿宋_GB2312" w:eastAsia="仿宋_GB2312" w:cs="仿宋_GB2312"/>
          <w:color w:val="000000"/>
          <w:kern w:val="0"/>
          <w:sz w:val="32"/>
          <w:szCs w:val="32"/>
          <w:shd w:val="clear" w:color="auto" w:fill="FFFFFF"/>
        </w:rPr>
        <w:t xml:space="preserve"> </w:t>
      </w:r>
      <w:r>
        <w:rPr>
          <w:rFonts w:hint="eastAsia" w:ascii="仿宋_GB2312" w:hAnsi="仿宋_GB2312" w:eastAsia="仿宋_GB2312" w:cs="仿宋_GB2312"/>
          <w:color w:val="000000"/>
          <w:kern w:val="0"/>
          <w:sz w:val="32"/>
          <w:szCs w:val="32"/>
          <w:shd w:val="clear" w:color="auto" w:fill="FFFFFF"/>
          <w:lang w:eastAsia="zh-CN"/>
        </w:rPr>
        <w:t>自评得分</w:t>
      </w:r>
      <w:r>
        <w:rPr>
          <w:rFonts w:hint="eastAsia" w:ascii="仿宋_GB2312" w:hAnsi="仿宋_GB2312" w:eastAsia="仿宋_GB2312" w:cs="仿宋_GB2312"/>
          <w:color w:val="000000"/>
          <w:kern w:val="0"/>
          <w:sz w:val="32"/>
          <w:szCs w:val="32"/>
          <w:shd w:val="clear" w:color="auto" w:fill="FFFFFF"/>
        </w:rPr>
        <w:t>：4分</w:t>
      </w:r>
    </w:p>
    <w:p w14:paraId="105854E4">
      <w:pPr>
        <w:pStyle w:val="10"/>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color w:val="000000"/>
          <w:kern w:val="0"/>
          <w:sz w:val="32"/>
          <w:szCs w:val="32"/>
          <w:shd w:val="clear" w:color="auto" w:fill="FFFFFF"/>
        </w:rPr>
        <w:t>3.</w:t>
      </w:r>
      <w:r>
        <w:rPr>
          <w:rFonts w:hint="eastAsia" w:ascii="仿宋_GB2312" w:hAnsi="仿宋_GB2312" w:eastAsia="仿宋_GB2312" w:cs="仿宋_GB2312"/>
          <w:b w:val="0"/>
          <w:bCs w:val="0"/>
          <w:color w:val="000000"/>
          <w:kern w:val="0"/>
          <w:sz w:val="32"/>
          <w:szCs w:val="32"/>
          <w:shd w:val="clear" w:color="auto" w:fill="FFFFFF"/>
          <w:lang w:val="zh-CN"/>
        </w:rPr>
        <w:t xml:space="preserve"> 目标实现（</w:t>
      </w:r>
      <w:r>
        <w:rPr>
          <w:rFonts w:hint="eastAsia" w:ascii="仿宋_GB2312" w:hAnsi="仿宋_GB2312" w:eastAsia="仿宋_GB2312" w:cs="仿宋_GB2312"/>
          <w:b w:val="0"/>
          <w:bCs w:val="0"/>
          <w:color w:val="000000"/>
          <w:kern w:val="0"/>
          <w:sz w:val="32"/>
          <w:szCs w:val="32"/>
          <w:shd w:val="clear" w:color="auto" w:fill="FFFFFF"/>
        </w:rPr>
        <w:t>11分</w:t>
      </w:r>
      <w:r>
        <w:rPr>
          <w:rFonts w:hint="eastAsia" w:ascii="仿宋_GB2312" w:hAnsi="仿宋_GB2312" w:eastAsia="仿宋_GB2312" w:cs="仿宋_GB2312"/>
          <w:b w:val="0"/>
          <w:bCs w:val="0"/>
          <w:color w:val="000000"/>
          <w:kern w:val="0"/>
          <w:sz w:val="32"/>
          <w:szCs w:val="32"/>
          <w:shd w:val="clear" w:color="auto" w:fill="FFFFFF"/>
          <w:lang w:val="zh-CN"/>
        </w:rPr>
        <w:t>）</w:t>
      </w:r>
    </w:p>
    <w:p w14:paraId="3C2AE1C0">
      <w:pPr>
        <w:pStyle w:val="10"/>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b w:val="0"/>
          <w:bCs w:val="0"/>
          <w:color w:val="000000"/>
          <w:kern w:val="0"/>
          <w:sz w:val="32"/>
          <w:szCs w:val="32"/>
          <w:shd w:val="clear" w:color="auto" w:fill="FFFFFF"/>
          <w:lang w:val="zh-CN"/>
        </w:rPr>
      </w:pPr>
      <w:r>
        <w:rPr>
          <w:rFonts w:hint="eastAsia" w:ascii="仿宋_GB2312" w:hAnsi="仿宋_GB2312" w:eastAsia="仿宋_GB2312" w:cs="仿宋_GB2312"/>
          <w:b w:val="0"/>
          <w:bCs w:val="0"/>
          <w:color w:val="000000"/>
          <w:kern w:val="0"/>
          <w:sz w:val="32"/>
          <w:szCs w:val="32"/>
          <w:shd w:val="clear" w:color="auto" w:fill="FFFFFF"/>
          <w:lang w:val="zh-CN"/>
        </w:rPr>
        <w:t>（1）目标完成（4分）</w:t>
      </w:r>
    </w:p>
    <w:p w14:paraId="1D70A103">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color w:val="000000"/>
          <w:kern w:val="0"/>
          <w:sz w:val="32"/>
          <w:szCs w:val="32"/>
          <w:shd w:val="clear" w:color="auto" w:fill="FFFFFF"/>
        </w:rPr>
      </w:pPr>
      <w:r>
        <w:rPr>
          <w:rFonts w:hint="eastAsia" w:ascii="仿宋_GB2312" w:hAnsi="仿宋_GB2312" w:eastAsia="仿宋_GB2312" w:cs="仿宋_GB2312"/>
          <w:color w:val="000000"/>
          <w:kern w:val="0"/>
          <w:sz w:val="32"/>
          <w:szCs w:val="32"/>
          <w:shd w:val="clear" w:color="auto" w:fill="FFFFFF"/>
        </w:rPr>
        <w:t>202</w:t>
      </w:r>
      <w:r>
        <w:rPr>
          <w:rFonts w:hint="eastAsia" w:ascii="仿宋_GB2312" w:hAnsi="仿宋_GB2312" w:eastAsia="仿宋_GB2312" w:cs="仿宋_GB2312"/>
          <w:color w:val="000000"/>
          <w:kern w:val="0"/>
          <w:sz w:val="32"/>
          <w:szCs w:val="32"/>
          <w:shd w:val="clear" w:color="auto" w:fill="FFFFFF"/>
          <w:lang w:val="en-US" w:eastAsia="zh-CN"/>
        </w:rPr>
        <w:t>5</w:t>
      </w:r>
      <w:r>
        <w:rPr>
          <w:rFonts w:hint="eastAsia" w:ascii="仿宋_GB2312" w:hAnsi="仿宋_GB2312" w:eastAsia="仿宋_GB2312" w:cs="仿宋_GB2312"/>
          <w:color w:val="000000"/>
          <w:kern w:val="0"/>
          <w:sz w:val="32"/>
          <w:szCs w:val="32"/>
          <w:shd w:val="clear" w:color="auto" w:fill="FFFFFF"/>
        </w:rPr>
        <w:t>年我局</w:t>
      </w:r>
      <w:r>
        <w:rPr>
          <w:rFonts w:hint="eastAsia" w:ascii="仿宋_GB2312" w:hAnsi="仿宋_GB2312" w:eastAsia="仿宋_GB2312" w:cs="仿宋_GB2312"/>
          <w:color w:val="000000"/>
          <w:kern w:val="0"/>
          <w:sz w:val="32"/>
          <w:szCs w:val="32"/>
          <w:shd w:val="clear" w:color="auto" w:fill="FFFFFF"/>
          <w:lang w:val="en-US" w:eastAsia="zh-CN"/>
        </w:rPr>
        <w:t>9</w:t>
      </w:r>
      <w:r>
        <w:rPr>
          <w:rFonts w:hint="eastAsia" w:ascii="仿宋_GB2312" w:hAnsi="仿宋_GB2312" w:eastAsia="仿宋_GB2312" w:cs="仿宋_GB2312"/>
          <w:color w:val="000000"/>
          <w:kern w:val="0"/>
          <w:sz w:val="32"/>
          <w:szCs w:val="32"/>
          <w:shd w:val="clear" w:color="auto" w:fill="FFFFFF"/>
        </w:rPr>
        <w:t>个项目较好的完成了绩效目标，不存在偏离绩效指标的情况。</w:t>
      </w:r>
    </w:p>
    <w:p w14:paraId="64864E78">
      <w:pPr>
        <w:pStyle w:val="10"/>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color w:val="000000"/>
          <w:kern w:val="0"/>
          <w:sz w:val="32"/>
          <w:szCs w:val="32"/>
          <w:shd w:val="clear" w:color="auto" w:fill="FFFFFF"/>
        </w:rPr>
      </w:pPr>
      <w:r>
        <w:rPr>
          <w:rFonts w:hint="eastAsia" w:ascii="仿宋_GB2312" w:hAnsi="仿宋_GB2312" w:eastAsia="仿宋_GB2312" w:cs="仿宋_GB2312"/>
          <w:color w:val="000000"/>
          <w:kern w:val="0"/>
          <w:sz w:val="32"/>
          <w:szCs w:val="32"/>
          <w:shd w:val="clear" w:color="auto" w:fill="FFFFFF"/>
          <w:lang w:eastAsia="zh-CN"/>
        </w:rPr>
        <w:t>自评得分</w:t>
      </w:r>
      <w:r>
        <w:rPr>
          <w:rFonts w:hint="eastAsia" w:ascii="仿宋_GB2312" w:hAnsi="仿宋_GB2312" w:eastAsia="仿宋_GB2312" w:cs="仿宋_GB2312"/>
          <w:color w:val="000000"/>
          <w:kern w:val="0"/>
          <w:sz w:val="32"/>
          <w:szCs w:val="32"/>
          <w:shd w:val="clear" w:color="auto" w:fill="FFFFFF"/>
        </w:rPr>
        <w:t>：4分</w:t>
      </w:r>
    </w:p>
    <w:p w14:paraId="2D4344C7">
      <w:pPr>
        <w:pStyle w:val="10"/>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color w:val="000000"/>
          <w:kern w:val="0"/>
          <w:sz w:val="32"/>
          <w:szCs w:val="32"/>
          <w:shd w:val="clear" w:color="auto" w:fill="FFFFFF"/>
          <w:lang w:val="zh-CN"/>
        </w:rPr>
        <w:t>（2）目标偏离（</w:t>
      </w:r>
      <w:r>
        <w:rPr>
          <w:rFonts w:hint="eastAsia" w:ascii="仿宋_GB2312" w:hAnsi="仿宋_GB2312" w:eastAsia="仿宋_GB2312" w:cs="仿宋_GB2312"/>
          <w:b w:val="0"/>
          <w:bCs w:val="0"/>
          <w:color w:val="000000"/>
          <w:kern w:val="0"/>
          <w:sz w:val="32"/>
          <w:szCs w:val="32"/>
          <w:shd w:val="clear" w:color="auto" w:fill="FFFFFF"/>
        </w:rPr>
        <w:t>4分</w:t>
      </w:r>
      <w:r>
        <w:rPr>
          <w:rFonts w:hint="eastAsia" w:ascii="仿宋_GB2312" w:hAnsi="仿宋_GB2312" w:eastAsia="仿宋_GB2312" w:cs="仿宋_GB2312"/>
          <w:b w:val="0"/>
          <w:bCs w:val="0"/>
          <w:color w:val="000000"/>
          <w:kern w:val="0"/>
          <w:sz w:val="32"/>
          <w:szCs w:val="32"/>
          <w:shd w:val="clear" w:color="auto" w:fill="FFFFFF"/>
          <w:lang w:val="zh-CN"/>
        </w:rPr>
        <w:t>）</w:t>
      </w:r>
    </w:p>
    <w:p w14:paraId="2AD36AB7">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color w:val="000000"/>
          <w:kern w:val="0"/>
          <w:sz w:val="32"/>
          <w:szCs w:val="32"/>
          <w:shd w:val="clear" w:color="auto" w:fill="FFFFFF"/>
        </w:rPr>
      </w:pPr>
      <w:r>
        <w:rPr>
          <w:rFonts w:hint="eastAsia" w:ascii="仿宋_GB2312" w:hAnsi="仿宋_GB2312" w:eastAsia="仿宋_GB2312" w:cs="仿宋_GB2312"/>
          <w:color w:val="000000"/>
          <w:kern w:val="0"/>
          <w:sz w:val="32"/>
          <w:szCs w:val="32"/>
          <w:shd w:val="clear" w:color="auto" w:fill="FFFFFF"/>
        </w:rPr>
        <w:t>202</w:t>
      </w:r>
      <w:r>
        <w:rPr>
          <w:rFonts w:hint="eastAsia" w:ascii="仿宋_GB2312" w:hAnsi="仿宋_GB2312" w:eastAsia="仿宋_GB2312" w:cs="仿宋_GB2312"/>
          <w:color w:val="000000"/>
          <w:kern w:val="0"/>
          <w:sz w:val="32"/>
          <w:szCs w:val="32"/>
          <w:shd w:val="clear" w:color="auto" w:fill="FFFFFF"/>
          <w:lang w:val="en-US" w:eastAsia="zh-CN"/>
        </w:rPr>
        <w:t>5</w:t>
      </w:r>
      <w:r>
        <w:rPr>
          <w:rFonts w:hint="eastAsia" w:ascii="仿宋_GB2312" w:hAnsi="仿宋_GB2312" w:eastAsia="仿宋_GB2312" w:cs="仿宋_GB2312"/>
          <w:color w:val="000000"/>
          <w:kern w:val="0"/>
          <w:sz w:val="32"/>
          <w:szCs w:val="32"/>
          <w:shd w:val="clear" w:color="auto" w:fill="FFFFFF"/>
        </w:rPr>
        <w:t>年我局</w:t>
      </w:r>
      <w:r>
        <w:rPr>
          <w:rFonts w:hint="eastAsia" w:ascii="仿宋_GB2312" w:hAnsi="仿宋_GB2312" w:eastAsia="仿宋_GB2312" w:cs="仿宋_GB2312"/>
          <w:color w:val="000000"/>
          <w:kern w:val="0"/>
          <w:sz w:val="32"/>
          <w:szCs w:val="32"/>
          <w:shd w:val="clear" w:color="auto" w:fill="FFFFFF"/>
          <w:lang w:val="en-US" w:eastAsia="zh-CN"/>
        </w:rPr>
        <w:t>9</w:t>
      </w:r>
      <w:r>
        <w:rPr>
          <w:rFonts w:hint="eastAsia" w:ascii="仿宋_GB2312" w:hAnsi="仿宋_GB2312" w:eastAsia="仿宋_GB2312" w:cs="仿宋_GB2312"/>
          <w:color w:val="000000"/>
          <w:kern w:val="0"/>
          <w:sz w:val="32"/>
          <w:szCs w:val="32"/>
          <w:shd w:val="clear" w:color="auto" w:fill="FFFFFF"/>
        </w:rPr>
        <w:t>个项目较好的完成了数量绩效目标，不存在偏离绩效指标的情况。</w:t>
      </w:r>
    </w:p>
    <w:p w14:paraId="69EC416F">
      <w:pPr>
        <w:pStyle w:val="10"/>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sz w:val="32"/>
          <w:szCs w:val="32"/>
          <w:lang w:val="zh-CN"/>
        </w:rPr>
      </w:pPr>
      <w:r>
        <w:rPr>
          <w:rFonts w:hint="eastAsia" w:ascii="仿宋_GB2312" w:hAnsi="仿宋_GB2312" w:eastAsia="仿宋_GB2312" w:cs="仿宋_GB2312"/>
          <w:color w:val="000000"/>
          <w:kern w:val="0"/>
          <w:sz w:val="32"/>
          <w:szCs w:val="32"/>
          <w:shd w:val="clear" w:color="auto" w:fill="FFFFFF"/>
          <w:lang w:eastAsia="zh-CN"/>
        </w:rPr>
        <w:t>自评得分</w:t>
      </w:r>
      <w:r>
        <w:rPr>
          <w:rFonts w:hint="eastAsia" w:ascii="仿宋_GB2312" w:hAnsi="仿宋_GB2312" w:eastAsia="仿宋_GB2312" w:cs="仿宋_GB2312"/>
          <w:color w:val="000000"/>
          <w:kern w:val="0"/>
          <w:sz w:val="32"/>
          <w:szCs w:val="32"/>
          <w:shd w:val="clear" w:color="auto" w:fill="FFFFFF"/>
        </w:rPr>
        <w:t>：4分</w:t>
      </w:r>
    </w:p>
    <w:p w14:paraId="709B1A4A">
      <w:pPr>
        <w:keepNext w:val="0"/>
        <w:keepLines w:val="0"/>
        <w:pageBreakBefore w:val="0"/>
        <w:kinsoku/>
        <w:wordWrap/>
        <w:overflowPunct/>
        <w:topLinePunct w:val="0"/>
        <w:autoSpaceDE/>
        <w:autoSpaceDN/>
        <w:bidi w:val="0"/>
        <w:adjustRightInd w:val="0"/>
        <w:snapToGrid w:val="0"/>
        <w:spacing w:line="576" w:lineRule="exact"/>
        <w:ind w:left="0" w:leftChars="0" w:firstLine="640" w:firstLineChars="200"/>
        <w:contextualSpacing/>
        <w:jc w:val="both"/>
        <w:textAlignment w:val="auto"/>
        <w:rPr>
          <w:rFonts w:hint="eastAsia" w:ascii="仿宋_GB2312" w:hAnsi="仿宋_GB2312" w:eastAsia="仿宋_GB2312" w:cs="仿宋_GB2312"/>
          <w:b w:val="0"/>
          <w:bCs w:val="0"/>
          <w:color w:val="000000"/>
          <w:kern w:val="0"/>
          <w:sz w:val="32"/>
          <w:szCs w:val="32"/>
          <w:shd w:val="clear" w:color="auto" w:fill="FFFFFF"/>
          <w:lang w:val="zh-CN"/>
        </w:rPr>
      </w:pPr>
      <w:r>
        <w:rPr>
          <w:rFonts w:hint="eastAsia" w:ascii="仿宋_GB2312" w:hAnsi="仿宋_GB2312" w:eastAsia="仿宋_GB2312" w:cs="仿宋_GB2312"/>
          <w:b w:val="0"/>
          <w:bCs w:val="0"/>
          <w:color w:val="000000"/>
          <w:kern w:val="0"/>
          <w:sz w:val="32"/>
          <w:szCs w:val="32"/>
          <w:shd w:val="clear" w:color="auto" w:fill="FFFFFF"/>
          <w:lang w:val="zh-CN"/>
        </w:rPr>
        <w:t>（3）实现效果（</w:t>
      </w:r>
      <w:r>
        <w:rPr>
          <w:rFonts w:hint="eastAsia" w:ascii="仿宋_GB2312" w:hAnsi="仿宋_GB2312" w:eastAsia="仿宋_GB2312" w:cs="仿宋_GB2312"/>
          <w:b w:val="0"/>
          <w:bCs w:val="0"/>
          <w:color w:val="000000"/>
          <w:kern w:val="0"/>
          <w:sz w:val="32"/>
          <w:szCs w:val="32"/>
          <w:shd w:val="clear" w:color="auto" w:fill="FFFFFF"/>
        </w:rPr>
        <w:t>3分</w:t>
      </w:r>
      <w:r>
        <w:rPr>
          <w:rFonts w:hint="eastAsia" w:ascii="仿宋_GB2312" w:hAnsi="仿宋_GB2312" w:eastAsia="仿宋_GB2312" w:cs="仿宋_GB2312"/>
          <w:b w:val="0"/>
          <w:bCs w:val="0"/>
          <w:color w:val="000000"/>
          <w:kern w:val="0"/>
          <w:sz w:val="32"/>
          <w:szCs w:val="32"/>
          <w:shd w:val="clear" w:color="auto" w:fill="FFFFFF"/>
          <w:lang w:val="zh-CN"/>
        </w:rPr>
        <w:t>）</w:t>
      </w:r>
    </w:p>
    <w:p w14:paraId="7AEE40BF">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color w:val="000000"/>
          <w:kern w:val="0"/>
          <w:sz w:val="32"/>
          <w:szCs w:val="32"/>
          <w:shd w:val="clear" w:color="auto" w:fill="FFFFFF"/>
        </w:rPr>
      </w:pPr>
      <w:r>
        <w:rPr>
          <w:rFonts w:hint="eastAsia" w:ascii="仿宋_GB2312" w:hAnsi="仿宋_GB2312" w:eastAsia="仿宋_GB2312" w:cs="仿宋_GB2312"/>
          <w:color w:val="000000"/>
          <w:kern w:val="0"/>
          <w:sz w:val="32"/>
          <w:szCs w:val="32"/>
          <w:shd w:val="clear" w:color="auto" w:fill="FFFFFF"/>
        </w:rPr>
        <w:t>202</w:t>
      </w:r>
      <w:r>
        <w:rPr>
          <w:rFonts w:hint="eastAsia" w:ascii="仿宋_GB2312" w:hAnsi="仿宋_GB2312" w:eastAsia="仿宋_GB2312" w:cs="仿宋_GB2312"/>
          <w:color w:val="000000"/>
          <w:kern w:val="0"/>
          <w:sz w:val="32"/>
          <w:szCs w:val="32"/>
          <w:shd w:val="clear" w:color="auto" w:fill="FFFFFF"/>
          <w:lang w:val="en-US" w:eastAsia="zh-CN"/>
        </w:rPr>
        <w:t>5</w:t>
      </w:r>
      <w:r>
        <w:rPr>
          <w:rFonts w:hint="eastAsia" w:ascii="仿宋_GB2312" w:hAnsi="仿宋_GB2312" w:eastAsia="仿宋_GB2312" w:cs="仿宋_GB2312"/>
          <w:color w:val="000000"/>
          <w:kern w:val="0"/>
          <w:sz w:val="32"/>
          <w:szCs w:val="32"/>
          <w:shd w:val="clear" w:color="auto" w:fill="FFFFFF"/>
        </w:rPr>
        <w:t>年我局政务服务大厅为群众提供一站式服务，让群众办事“最多跑一趟”，为红原县高质量发展做好政务服务工作。</w:t>
      </w:r>
    </w:p>
    <w:p w14:paraId="3EE6F0B1">
      <w:pPr>
        <w:pStyle w:val="10"/>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color w:val="000000"/>
          <w:kern w:val="0"/>
          <w:sz w:val="32"/>
          <w:szCs w:val="32"/>
          <w:shd w:val="clear" w:color="auto" w:fill="FFFFFF"/>
          <w:lang w:val="zh-CN"/>
        </w:rPr>
      </w:pPr>
      <w:r>
        <w:rPr>
          <w:rFonts w:hint="eastAsia" w:ascii="仿宋_GB2312" w:hAnsi="仿宋_GB2312" w:eastAsia="仿宋_GB2312" w:cs="仿宋_GB2312"/>
          <w:color w:val="000000"/>
          <w:kern w:val="0"/>
          <w:sz w:val="32"/>
          <w:szCs w:val="32"/>
          <w:shd w:val="clear" w:color="auto" w:fill="FFFFFF"/>
          <w:lang w:eastAsia="zh-CN"/>
        </w:rPr>
        <w:t>自评得分</w:t>
      </w:r>
      <w:r>
        <w:rPr>
          <w:rFonts w:hint="eastAsia" w:ascii="仿宋_GB2312" w:hAnsi="仿宋_GB2312" w:eastAsia="仿宋_GB2312" w:cs="仿宋_GB2312"/>
          <w:color w:val="000000"/>
          <w:kern w:val="0"/>
          <w:sz w:val="32"/>
          <w:szCs w:val="32"/>
          <w:shd w:val="clear" w:color="auto" w:fill="FFFFFF"/>
        </w:rPr>
        <w:t>：3分</w:t>
      </w:r>
    </w:p>
    <w:p w14:paraId="2199B87D">
      <w:pPr>
        <w:keepNext w:val="0"/>
        <w:keepLines w:val="0"/>
        <w:pageBreakBefore w:val="0"/>
        <w:numPr>
          <w:ilvl w:val="0"/>
          <w:numId w:val="0"/>
        </w:numPr>
        <w:kinsoku/>
        <w:wordWrap/>
        <w:overflowPunct/>
        <w:topLinePunct w:val="0"/>
        <w:autoSpaceDE/>
        <w:autoSpaceDN/>
        <w:bidi w:val="0"/>
        <w:snapToGrid w:val="0"/>
        <w:spacing w:line="576" w:lineRule="exact"/>
        <w:ind w:leftChars="200"/>
        <w:jc w:val="both"/>
        <w:textAlignment w:val="auto"/>
        <w:rPr>
          <w:rFonts w:hint="eastAsia" w:ascii="楷体_GB2312" w:hAnsi="楷体_GB2312" w:eastAsia="楷体_GB2312" w:cs="楷体_GB2312"/>
          <w:b/>
          <w:bCs/>
          <w:sz w:val="32"/>
          <w:szCs w:val="32"/>
          <w:lang w:val="zh-CN"/>
        </w:rPr>
      </w:pPr>
      <w:r>
        <w:rPr>
          <w:rFonts w:hint="eastAsia" w:ascii="楷体_GB2312" w:hAnsi="楷体_GB2312" w:eastAsia="楷体_GB2312" w:cs="楷体_GB2312"/>
          <w:b/>
          <w:bCs/>
          <w:sz w:val="32"/>
          <w:szCs w:val="32"/>
          <w:lang w:val="zh-CN"/>
        </w:rPr>
        <w:t>（</w:t>
      </w:r>
      <w:r>
        <w:rPr>
          <w:rFonts w:hint="eastAsia" w:ascii="楷体_GB2312" w:hAnsi="楷体_GB2312" w:eastAsia="楷体_GB2312" w:cs="楷体_GB2312"/>
          <w:b/>
          <w:bCs/>
          <w:sz w:val="32"/>
          <w:szCs w:val="32"/>
          <w:lang w:val="en-US" w:eastAsia="zh-CN"/>
        </w:rPr>
        <w:t>三</w:t>
      </w:r>
      <w:r>
        <w:rPr>
          <w:rFonts w:hint="eastAsia" w:ascii="楷体_GB2312" w:hAnsi="楷体_GB2312" w:eastAsia="楷体_GB2312" w:cs="楷体_GB2312"/>
          <w:b/>
          <w:bCs/>
          <w:sz w:val="32"/>
          <w:szCs w:val="32"/>
          <w:lang w:val="zh-CN"/>
        </w:rPr>
        <w:t>）绩效结果应用情况</w:t>
      </w:r>
    </w:p>
    <w:p w14:paraId="405324DA">
      <w:pPr>
        <w:keepNext w:val="0"/>
        <w:keepLines w:val="0"/>
        <w:pageBreakBefore w:val="0"/>
        <w:kinsoku/>
        <w:wordWrap/>
        <w:overflowPunct/>
        <w:topLinePunct w:val="0"/>
        <w:autoSpaceDE/>
        <w:autoSpaceDN/>
        <w:bidi w:val="0"/>
        <w:snapToGrid w:val="0"/>
        <w:spacing w:line="576" w:lineRule="exact"/>
        <w:ind w:left="0" w:leftChars="0" w:firstLine="640" w:firstLineChars="200"/>
        <w:jc w:val="both"/>
        <w:textAlignment w:val="auto"/>
        <w:rPr>
          <w:rFonts w:hint="eastAsia" w:ascii="仿宋_GB2312" w:hAnsi="仿宋_GB2312" w:eastAsia="仿宋_GB2312" w:cs="仿宋_GB2312"/>
          <w:b w:val="0"/>
          <w:bCs w:val="0"/>
          <w:sz w:val="32"/>
          <w:szCs w:val="32"/>
          <w:lang w:val="zh-CN"/>
        </w:rPr>
      </w:pPr>
      <w:r>
        <w:rPr>
          <w:rFonts w:hint="eastAsia" w:ascii="仿宋_GB2312" w:hAnsi="仿宋_GB2312" w:eastAsia="仿宋_GB2312" w:cs="仿宋_GB2312"/>
          <w:b w:val="0"/>
          <w:bCs w:val="0"/>
          <w:sz w:val="32"/>
          <w:szCs w:val="32"/>
          <w:lang w:val="zh-CN"/>
        </w:rPr>
        <w:t>1.</w:t>
      </w:r>
      <w:r>
        <w:rPr>
          <w:rFonts w:hint="eastAsia" w:ascii="仿宋_GB2312" w:hAnsi="仿宋_GB2312" w:eastAsia="仿宋_GB2312" w:cs="仿宋_GB2312"/>
          <w:b w:val="0"/>
          <w:bCs w:val="0"/>
          <w:sz w:val="32"/>
          <w:szCs w:val="32"/>
        </w:rPr>
        <w:t xml:space="preserve">内部应用情况 </w:t>
      </w:r>
    </w:p>
    <w:p w14:paraId="53656314">
      <w:pPr>
        <w:pStyle w:val="10"/>
        <w:keepNext w:val="0"/>
        <w:keepLines w:val="0"/>
        <w:pageBreakBefore w:val="0"/>
        <w:kinsoku/>
        <w:wordWrap/>
        <w:overflowPunct/>
        <w:topLinePunct w:val="0"/>
        <w:autoSpaceDE/>
        <w:autoSpaceDN/>
        <w:bidi w:val="0"/>
        <w:spacing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通过绩效评价找准了病根，如预算编制精准度不够，绩效指标设置不够细化全面。我局通过全面掌握预算需求，细心测算预算需求等办法，逐年提高了预算编制的精准度；通过加强学习，提升业务能力等办法，</w:t>
      </w:r>
      <w:r>
        <w:rPr>
          <w:rFonts w:hint="eastAsia" w:ascii="仿宋_GB2312" w:hAnsi="仿宋_GB2312" w:eastAsia="仿宋_GB2312" w:cs="仿宋_GB2312"/>
          <w:sz w:val="32"/>
          <w:szCs w:val="32"/>
          <w:lang w:val="en-US" w:eastAsia="zh-CN"/>
        </w:rPr>
        <w:t>确保</w:t>
      </w:r>
      <w:r>
        <w:rPr>
          <w:rFonts w:hint="eastAsia" w:ascii="仿宋_GB2312" w:hAnsi="仿宋_GB2312" w:eastAsia="仿宋_GB2312" w:cs="仿宋_GB2312"/>
          <w:sz w:val="32"/>
          <w:szCs w:val="32"/>
        </w:rPr>
        <w:t>绩效目标设置更加细化、合理。</w:t>
      </w:r>
    </w:p>
    <w:p w14:paraId="4B7FAC9C">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2. 信息公开情况 </w:t>
      </w:r>
    </w:p>
    <w:p w14:paraId="7CC0D6B9">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公开范围：绩效自评报告、重点项目评价结果已在部门官</w:t>
      </w:r>
    </w:p>
    <w:p w14:paraId="21140B31">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网公示。  </w:t>
      </w:r>
    </w:p>
    <w:p w14:paraId="3FCF3DE8">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公开时效：按要求在预算批复后20日内公开。  </w:t>
      </w:r>
    </w:p>
    <w:p w14:paraId="24DB3AC1">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 整改反馈情况  </w:t>
      </w:r>
    </w:p>
    <w:p w14:paraId="1FA9DE39">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问题整改：</w:t>
      </w:r>
      <w:r>
        <w:rPr>
          <w:rFonts w:hint="eastAsia" w:ascii="仿宋_GB2312" w:hAnsi="仿宋_GB2312" w:eastAsia="仿宋_GB2312" w:cs="仿宋_GB2312"/>
          <w:sz w:val="32"/>
          <w:szCs w:val="32"/>
          <w:lang w:val="en-US" w:eastAsia="zh-CN"/>
        </w:rPr>
        <w:t>2025年我局未</w:t>
      </w:r>
      <w:r>
        <w:rPr>
          <w:rFonts w:hint="eastAsia" w:ascii="仿宋_GB2312" w:hAnsi="仿宋_GB2312" w:eastAsia="仿宋_GB2312" w:cs="仿宋_GB2312"/>
          <w:sz w:val="32"/>
          <w:szCs w:val="32"/>
        </w:rPr>
        <w:t xml:space="preserve">。  </w:t>
      </w:r>
    </w:p>
    <w:p w14:paraId="24A6E5E9">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长效机制：建立“评价-反馈-整改-回头看”闭环管理流程，</w:t>
      </w:r>
    </w:p>
    <w:p w14:paraId="718E3216">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每季度开展执行督查。  </w:t>
      </w:r>
    </w:p>
    <w:p w14:paraId="4FD33FFE">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contextualSpacing/>
        <w:jc w:val="both"/>
        <w:textAlignment w:val="auto"/>
        <w:rPr>
          <w:rFonts w:hint="eastAsia" w:ascii="黑体" w:hAnsi="黑体" w:eastAsia="黑体" w:cs="黑体"/>
          <w:color w:val="000000"/>
          <w:kern w:val="0"/>
          <w:sz w:val="32"/>
          <w:szCs w:val="32"/>
          <w:shd w:val="clear" w:color="auto" w:fill="FFFFFF"/>
        </w:rPr>
      </w:pPr>
      <w:r>
        <w:rPr>
          <w:rFonts w:hint="eastAsia" w:ascii="黑体" w:hAnsi="黑体" w:eastAsia="黑体" w:cs="黑体"/>
          <w:color w:val="000000"/>
          <w:kern w:val="0"/>
          <w:sz w:val="32"/>
          <w:szCs w:val="32"/>
          <w:shd w:val="clear" w:color="auto" w:fill="FFFFFF"/>
        </w:rPr>
        <w:t>四、评价结论及建议</w:t>
      </w:r>
    </w:p>
    <w:p w14:paraId="6CBB9B9B">
      <w:pPr>
        <w:keepNext w:val="0"/>
        <w:keepLines w:val="0"/>
        <w:pageBreakBefore w:val="0"/>
        <w:widowControl/>
        <w:kinsoku/>
        <w:wordWrap/>
        <w:overflowPunct/>
        <w:topLinePunct w:val="0"/>
        <w:autoSpaceDE/>
        <w:autoSpaceDN/>
        <w:bidi w:val="0"/>
        <w:adjustRightInd w:val="0"/>
        <w:snapToGrid w:val="0"/>
        <w:spacing w:line="576" w:lineRule="exact"/>
        <w:ind w:left="0" w:leftChars="0" w:firstLine="643" w:firstLineChars="200"/>
        <w:jc w:val="both"/>
        <w:textAlignment w:val="auto"/>
        <w:rPr>
          <w:rFonts w:hint="eastAsia" w:ascii="楷体_GB2312" w:hAnsi="楷体_GB2312" w:eastAsia="楷体_GB2312" w:cs="楷体_GB2312"/>
          <w:b/>
          <w:bCs/>
          <w:color w:val="000000"/>
          <w:kern w:val="0"/>
          <w:sz w:val="32"/>
          <w:szCs w:val="32"/>
          <w:shd w:val="clear" w:color="auto" w:fill="FFFFFF"/>
          <w:lang w:val="zh-CN"/>
        </w:rPr>
      </w:pPr>
      <w:r>
        <w:rPr>
          <w:rFonts w:hint="eastAsia" w:ascii="楷体_GB2312" w:hAnsi="楷体_GB2312" w:eastAsia="楷体_GB2312" w:cs="楷体_GB2312"/>
          <w:b/>
          <w:bCs/>
          <w:color w:val="000000"/>
          <w:kern w:val="0"/>
          <w:sz w:val="32"/>
          <w:szCs w:val="32"/>
          <w:shd w:val="clear" w:color="auto" w:fill="FFFFFF"/>
          <w:lang w:val="zh-CN"/>
        </w:rPr>
        <w:t>（一）评价结论</w:t>
      </w:r>
    </w:p>
    <w:p w14:paraId="02A81718">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jc w:val="both"/>
        <w:textAlignment w:val="auto"/>
        <w:rPr>
          <w:rFonts w:hint="eastAsia" w:ascii="仿宋_GB2312" w:hAnsi="仿宋_GB2312" w:eastAsia="仿宋_GB2312" w:cs="仿宋_GB2312"/>
          <w:b/>
          <w:bCs/>
          <w:color w:val="000000"/>
          <w:kern w:val="0"/>
          <w:sz w:val="32"/>
          <w:szCs w:val="32"/>
          <w:lang w:val="zh-CN"/>
        </w:rPr>
      </w:pPr>
      <w:r>
        <w:rPr>
          <w:rFonts w:hint="eastAsia" w:ascii="仿宋_GB2312" w:hAnsi="仿宋_GB2312" w:eastAsia="仿宋_GB2312" w:cs="仿宋_GB2312"/>
          <w:color w:val="000000"/>
          <w:sz w:val="32"/>
          <w:szCs w:val="32"/>
        </w:rPr>
        <w:t>根据《红原县部门整体支出绩效评价指标体系》自查得分</w:t>
      </w:r>
      <w:r>
        <w:rPr>
          <w:rFonts w:hint="eastAsia" w:ascii="仿宋_GB2312" w:hAnsi="仿宋_GB2312" w:eastAsia="仿宋_GB2312" w:cs="仿宋_GB2312"/>
          <w:color w:val="000000"/>
          <w:sz w:val="32"/>
          <w:szCs w:val="32"/>
          <w:lang w:val="en-US" w:eastAsia="zh-CN"/>
        </w:rPr>
        <w:t>92.9</w:t>
      </w:r>
      <w:r>
        <w:rPr>
          <w:rFonts w:hint="eastAsia" w:ascii="仿宋_GB2312" w:hAnsi="仿宋_GB2312" w:eastAsia="仿宋_GB2312" w:cs="仿宋_GB2312"/>
          <w:color w:val="000000"/>
          <w:sz w:val="32"/>
          <w:szCs w:val="32"/>
        </w:rPr>
        <w:t>分，总体评价较好。</w:t>
      </w:r>
    </w:p>
    <w:p w14:paraId="7DCB457D">
      <w:pPr>
        <w:keepNext w:val="0"/>
        <w:keepLines w:val="0"/>
        <w:pageBreakBefore w:val="0"/>
        <w:widowControl/>
        <w:kinsoku/>
        <w:wordWrap/>
        <w:overflowPunct/>
        <w:topLinePunct w:val="0"/>
        <w:autoSpaceDE/>
        <w:autoSpaceDN/>
        <w:bidi w:val="0"/>
        <w:adjustRightInd w:val="0"/>
        <w:snapToGrid w:val="0"/>
        <w:spacing w:line="576" w:lineRule="exact"/>
        <w:ind w:left="0" w:leftChars="0" w:firstLine="643" w:firstLineChars="200"/>
        <w:contextualSpacing/>
        <w:jc w:val="both"/>
        <w:textAlignment w:val="auto"/>
        <w:rPr>
          <w:rFonts w:hint="eastAsia" w:ascii="楷体_GB2312" w:hAnsi="楷体_GB2312" w:eastAsia="楷体_GB2312" w:cs="楷体_GB2312"/>
          <w:b/>
          <w:bCs/>
          <w:color w:val="000000"/>
          <w:kern w:val="0"/>
          <w:sz w:val="32"/>
          <w:szCs w:val="32"/>
          <w:shd w:val="clear" w:color="auto" w:fill="FFFFFF"/>
          <w:lang w:val="zh-CN"/>
        </w:rPr>
      </w:pPr>
      <w:r>
        <w:rPr>
          <w:rFonts w:hint="eastAsia" w:ascii="楷体_GB2312" w:hAnsi="楷体_GB2312" w:eastAsia="楷体_GB2312" w:cs="楷体_GB2312"/>
          <w:b/>
          <w:bCs/>
          <w:color w:val="000000"/>
          <w:kern w:val="0"/>
          <w:sz w:val="32"/>
          <w:szCs w:val="32"/>
          <w:shd w:val="clear" w:color="auto" w:fill="FFFFFF"/>
          <w:lang w:val="zh-CN"/>
        </w:rPr>
        <w:t>（二）存在问题</w:t>
      </w:r>
    </w:p>
    <w:p w14:paraId="6349BCF9">
      <w:pPr>
        <w:keepNext w:val="0"/>
        <w:keepLines w:val="0"/>
        <w:pageBreakBefore w:val="0"/>
        <w:widowControl/>
        <w:kinsoku/>
        <w:wordWrap/>
        <w:overflowPunct/>
        <w:topLinePunct w:val="0"/>
        <w:autoSpaceDE/>
        <w:autoSpaceDN/>
        <w:bidi w:val="0"/>
        <w:adjustRightInd w:val="0"/>
        <w:snapToGrid w:val="0"/>
        <w:spacing w:line="576" w:lineRule="exact"/>
        <w:ind w:left="0" w:leftChars="0" w:firstLine="640"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预算编制不够精准，绩效目标设置不够细化、合理。</w:t>
      </w:r>
    </w:p>
    <w:p w14:paraId="3709504A">
      <w:pPr>
        <w:keepNext w:val="0"/>
        <w:keepLines w:val="0"/>
        <w:pageBreakBefore w:val="0"/>
        <w:widowControl/>
        <w:numPr>
          <w:ilvl w:val="0"/>
          <w:numId w:val="0"/>
        </w:numPr>
        <w:kinsoku/>
        <w:wordWrap/>
        <w:overflowPunct/>
        <w:topLinePunct w:val="0"/>
        <w:autoSpaceDE/>
        <w:autoSpaceDN/>
        <w:bidi w:val="0"/>
        <w:adjustRightInd w:val="0"/>
        <w:snapToGrid w:val="0"/>
        <w:spacing w:line="576" w:lineRule="exact"/>
        <w:ind w:leftChars="200" w:firstLine="321" w:firstLineChars="100"/>
        <w:contextualSpacing/>
        <w:jc w:val="both"/>
        <w:textAlignment w:val="auto"/>
        <w:rPr>
          <w:rFonts w:hint="eastAsia" w:ascii="楷体_GB2312" w:hAnsi="楷体_GB2312" w:eastAsia="楷体_GB2312" w:cs="楷体_GB2312"/>
          <w:b/>
          <w:bCs/>
          <w:color w:val="000000"/>
          <w:kern w:val="0"/>
          <w:sz w:val="32"/>
          <w:szCs w:val="32"/>
          <w:shd w:val="clear" w:color="auto" w:fill="FFFFFF"/>
          <w:lang w:val="zh-CN"/>
        </w:rPr>
      </w:pPr>
      <w:r>
        <w:rPr>
          <w:rFonts w:hint="eastAsia" w:ascii="楷体_GB2312" w:hAnsi="楷体_GB2312" w:eastAsia="楷体_GB2312" w:cs="楷体_GB2312"/>
          <w:b/>
          <w:bCs/>
          <w:color w:val="000000"/>
          <w:kern w:val="0"/>
          <w:sz w:val="32"/>
          <w:szCs w:val="32"/>
          <w:shd w:val="clear" w:color="auto" w:fill="FFFFFF"/>
          <w:lang w:val="zh-CN"/>
        </w:rPr>
        <w:t>（</w:t>
      </w:r>
      <w:r>
        <w:rPr>
          <w:rFonts w:hint="eastAsia" w:ascii="楷体_GB2312" w:hAnsi="楷体_GB2312" w:eastAsia="楷体_GB2312" w:cs="楷体_GB2312"/>
          <w:b/>
          <w:bCs/>
          <w:color w:val="000000"/>
          <w:kern w:val="0"/>
          <w:sz w:val="32"/>
          <w:szCs w:val="32"/>
          <w:shd w:val="clear" w:color="auto" w:fill="FFFFFF"/>
          <w:lang w:val="en-US" w:eastAsia="zh-CN"/>
        </w:rPr>
        <w:t>三</w:t>
      </w:r>
      <w:r>
        <w:rPr>
          <w:rFonts w:hint="eastAsia" w:ascii="楷体_GB2312" w:hAnsi="楷体_GB2312" w:eastAsia="楷体_GB2312" w:cs="楷体_GB2312"/>
          <w:b/>
          <w:bCs/>
          <w:color w:val="000000"/>
          <w:kern w:val="0"/>
          <w:sz w:val="32"/>
          <w:szCs w:val="32"/>
          <w:shd w:val="clear" w:color="auto" w:fill="FFFFFF"/>
          <w:lang w:val="zh-CN"/>
        </w:rPr>
        <w:t>）改进建议</w:t>
      </w:r>
      <w:bookmarkStart w:id="138" w:name="_Hlk110546638"/>
    </w:p>
    <w:p w14:paraId="727C9C3F">
      <w:pPr>
        <w:keepNext w:val="0"/>
        <w:keepLines w:val="0"/>
        <w:pageBreakBefore w:val="0"/>
        <w:widowControl/>
        <w:kinsoku/>
        <w:wordWrap/>
        <w:overflowPunct/>
        <w:topLinePunct w:val="0"/>
        <w:autoSpaceDE/>
        <w:autoSpaceDN/>
        <w:bidi w:val="0"/>
        <w:adjustRightInd w:val="0"/>
        <w:snapToGrid w:val="0"/>
        <w:spacing w:line="576" w:lineRule="exact"/>
        <w:ind w:left="0" w:leftChars="0" w:firstLine="643" w:firstLineChars="200"/>
        <w:contextualSpacing/>
        <w:jc w:val="both"/>
        <w:textAlignment w:val="auto"/>
        <w:rPr>
          <w:rFonts w:hint="eastAsia" w:ascii="仿宋_GB2312" w:hAnsi="仿宋_GB2312" w:eastAsia="仿宋_GB2312" w:cs="仿宋_GB2312"/>
          <w:b/>
          <w:bCs/>
          <w:color w:val="000000"/>
          <w:kern w:val="0"/>
          <w:sz w:val="32"/>
          <w:szCs w:val="32"/>
          <w:shd w:val="clear" w:color="auto" w:fill="FFFFFF"/>
          <w:lang w:val="zh-CN"/>
        </w:rPr>
      </w:pPr>
      <w:r>
        <w:rPr>
          <w:rFonts w:hint="eastAsia" w:ascii="仿宋_GB2312" w:hAnsi="仿宋_GB2312" w:eastAsia="仿宋_GB2312" w:cs="仿宋_GB2312"/>
          <w:b/>
          <w:bCs/>
          <w:sz w:val="32"/>
          <w:szCs w:val="32"/>
        </w:rPr>
        <w:t>一是</w:t>
      </w:r>
      <w:r>
        <w:rPr>
          <w:rFonts w:hint="eastAsia" w:ascii="仿宋_GB2312" w:hAnsi="仿宋_GB2312" w:eastAsia="仿宋_GB2312" w:cs="仿宋_GB2312"/>
          <w:sz w:val="32"/>
          <w:szCs w:val="32"/>
        </w:rPr>
        <w:t>全面统筹规划，细心核算各项经济成本，提高预算</w:t>
      </w:r>
    </w:p>
    <w:p w14:paraId="66428C02">
      <w:pPr>
        <w:pStyle w:val="9"/>
        <w:keepNext w:val="0"/>
        <w:keepLines w:val="0"/>
        <w:pageBreakBefore w:val="0"/>
        <w:kinsoku/>
        <w:wordWrap/>
        <w:overflowPunct/>
        <w:topLinePunct w:val="0"/>
        <w:autoSpaceDE/>
        <w:autoSpaceDN/>
        <w:bidi w:val="0"/>
        <w:spacing w:after="0" w:line="576" w:lineRule="exact"/>
        <w:ind w:left="0" w:leftChars="0"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编制精准度。</w:t>
      </w:r>
      <w:r>
        <w:rPr>
          <w:rFonts w:hint="eastAsia" w:ascii="仿宋_GB2312" w:hAnsi="仿宋_GB2312" w:eastAsia="仿宋_GB2312" w:cs="仿宋_GB2312"/>
          <w:b/>
          <w:bCs/>
          <w:sz w:val="32"/>
          <w:szCs w:val="32"/>
        </w:rPr>
        <w:t>二是</w:t>
      </w:r>
      <w:r>
        <w:rPr>
          <w:rFonts w:hint="eastAsia" w:ascii="仿宋_GB2312" w:hAnsi="仿宋_GB2312" w:eastAsia="仿宋_GB2312" w:cs="仿宋_GB2312"/>
          <w:sz w:val="32"/>
          <w:szCs w:val="32"/>
        </w:rPr>
        <w:t>加强业务学习、培训，提升绩效管理应用能力。</w:t>
      </w:r>
    </w:p>
    <w:bookmarkEnd w:id="138"/>
    <w:p w14:paraId="2F84AA4D">
      <w:pPr>
        <w:pageBreakBefore w:val="0"/>
        <w:kinsoku/>
        <w:wordWrap/>
        <w:overflowPunct/>
        <w:topLinePunct w:val="0"/>
        <w:bidi w:val="0"/>
        <w:spacing w:beforeAutospacing="0" w:afterAutospacing="0" w:line="576" w:lineRule="exact"/>
        <w:ind w:left="0" w:leftChars="0" w:right="0" w:firstLine="880" w:firstLineChars="200"/>
        <w:jc w:val="both"/>
        <w:outlineLvl w:val="0"/>
        <w:rPr>
          <w:rFonts w:hint="eastAsia" w:ascii="黑体" w:eastAsia="黑体"/>
          <w:sz w:val="44"/>
          <w:szCs w:val="44"/>
        </w:rPr>
      </w:pPr>
    </w:p>
    <w:p w14:paraId="3C3B65D4">
      <w:pPr>
        <w:pStyle w:val="2"/>
        <w:rPr>
          <w:rFonts w:hint="eastAsia"/>
        </w:rPr>
      </w:pPr>
    </w:p>
    <w:p w14:paraId="7EE35BF9">
      <w:pPr>
        <w:pStyle w:val="2"/>
        <w:pageBreakBefore w:val="0"/>
        <w:kinsoku/>
        <w:wordWrap/>
        <w:overflowPunct/>
        <w:topLinePunct w:val="0"/>
        <w:bidi w:val="0"/>
        <w:spacing w:beforeLines="0" w:beforeAutospacing="0" w:afterAutospacing="0" w:line="576" w:lineRule="exact"/>
        <w:ind w:right="0"/>
        <w:jc w:val="both"/>
        <w:rPr>
          <w:rFonts w:hint="eastAsia" w:ascii="黑体" w:eastAsia="黑体"/>
          <w:sz w:val="44"/>
          <w:szCs w:val="44"/>
        </w:rPr>
      </w:pPr>
    </w:p>
    <w:p w14:paraId="3FC90405">
      <w:pPr>
        <w:pageBreakBefore w:val="0"/>
        <w:widowControl w:val="0"/>
        <w:kinsoku/>
        <w:wordWrap/>
        <w:overflowPunct/>
        <w:topLinePunct w:val="0"/>
        <w:autoSpaceDE/>
        <w:autoSpaceDN/>
        <w:bidi w:val="0"/>
        <w:adjustRightInd/>
        <w:snapToGrid/>
        <w:spacing w:beforeAutospacing="0" w:afterAutospacing="0" w:line="576" w:lineRule="exact"/>
        <w:ind w:right="0" w:firstLine="880" w:firstLineChars="200"/>
        <w:jc w:val="both"/>
        <w:textAlignment w:val="auto"/>
        <w:outlineLvl w:val="0"/>
        <w:rPr>
          <w:rFonts w:ascii="仿宋" w:eastAsia="仿宋"/>
        </w:rPr>
      </w:pPr>
      <w:r>
        <w:rPr>
          <w:rFonts w:hint="eastAsia" w:ascii="黑体" w:eastAsia="黑体"/>
          <w:sz w:val="44"/>
          <w:szCs w:val="44"/>
        </w:rPr>
        <w:t>第</w:t>
      </w:r>
      <w:r>
        <w:rPr>
          <w:rStyle w:val="22"/>
          <w:rFonts w:hint="eastAsia" w:ascii="黑体" w:eastAsia="黑体"/>
          <w:b w:val="0"/>
        </w:rPr>
        <w:t>五部分 附表</w:t>
      </w:r>
      <w:bookmarkEnd w:id="74"/>
      <w:bookmarkEnd w:id="134"/>
      <w:bookmarkEnd w:id="135"/>
      <w:bookmarkStart w:id="139" w:name="_Toc15396619"/>
    </w:p>
    <w:p w14:paraId="17A6E411">
      <w:pPr>
        <w:pStyle w:val="4"/>
        <w:pageBreakBefore w:val="0"/>
        <w:widowControl w:val="0"/>
        <w:kinsoku/>
        <w:wordWrap/>
        <w:overflowPunct/>
        <w:topLinePunct w:val="0"/>
        <w:autoSpaceDE/>
        <w:autoSpaceDN/>
        <w:bidi w:val="0"/>
        <w:adjustRightInd/>
        <w:snapToGrid/>
        <w:spacing w:before="0" w:beforeAutospacing="0" w:after="0" w:afterAutospacing="0" w:line="576" w:lineRule="exact"/>
        <w:ind w:right="0" w:firstLine="640" w:firstLineChars="200"/>
        <w:jc w:val="both"/>
        <w:textAlignment w:val="auto"/>
        <w:rPr>
          <w:rFonts w:ascii="仿宋" w:eastAsia="仿宋"/>
        </w:rPr>
      </w:pPr>
      <w:bookmarkStart w:id="140" w:name="_Toc9836"/>
      <w:bookmarkStart w:id="141" w:name="_Toc7319"/>
      <w:bookmarkStart w:id="142" w:name="_Toc7114"/>
      <w:r>
        <w:rPr>
          <w:rFonts w:hint="eastAsia" w:ascii="仿宋" w:eastAsia="仿宋"/>
          <w:b w:val="0"/>
        </w:rPr>
        <w:t>一、收</w:t>
      </w:r>
      <w:r>
        <w:rPr>
          <w:rStyle w:val="23"/>
          <w:rFonts w:hint="eastAsia" w:ascii="仿宋" w:eastAsia="仿宋"/>
          <w:b w:val="0"/>
          <w:bCs w:val="0"/>
        </w:rPr>
        <w:t>入支出决算总表</w:t>
      </w:r>
      <w:bookmarkEnd w:id="139"/>
      <w:bookmarkEnd w:id="140"/>
      <w:bookmarkEnd w:id="141"/>
      <w:bookmarkEnd w:id="142"/>
    </w:p>
    <w:p w14:paraId="0B4E2F4A">
      <w:pPr>
        <w:pStyle w:val="4"/>
        <w:pageBreakBefore w:val="0"/>
        <w:widowControl w:val="0"/>
        <w:kinsoku/>
        <w:wordWrap/>
        <w:overflowPunct/>
        <w:topLinePunct w:val="0"/>
        <w:autoSpaceDE/>
        <w:autoSpaceDN/>
        <w:bidi w:val="0"/>
        <w:adjustRightInd/>
        <w:snapToGrid/>
        <w:spacing w:before="0" w:beforeAutospacing="0" w:after="0" w:afterAutospacing="0" w:line="576" w:lineRule="exact"/>
        <w:ind w:left="0" w:leftChars="0" w:right="0" w:firstLine="640" w:firstLineChars="200"/>
        <w:jc w:val="both"/>
        <w:textAlignment w:val="auto"/>
        <w:rPr>
          <w:rFonts w:ascii="仿宋" w:eastAsia="仿宋"/>
        </w:rPr>
      </w:pPr>
      <w:bookmarkStart w:id="143" w:name="_Toc31354"/>
      <w:bookmarkStart w:id="144" w:name="_Toc5275"/>
      <w:bookmarkStart w:id="145" w:name="_Toc31850"/>
      <w:bookmarkStart w:id="146" w:name="_Toc15396620"/>
      <w:r>
        <w:rPr>
          <w:rFonts w:hint="eastAsia" w:ascii="仿宋" w:eastAsia="仿宋"/>
          <w:b w:val="0"/>
        </w:rPr>
        <w:t>二、收</w:t>
      </w:r>
      <w:r>
        <w:rPr>
          <w:rStyle w:val="23"/>
          <w:rFonts w:hint="eastAsia" w:ascii="仿宋" w:eastAsia="仿宋"/>
          <w:b w:val="0"/>
          <w:bCs w:val="0"/>
        </w:rPr>
        <w:t>入决算表</w:t>
      </w:r>
      <w:bookmarkEnd w:id="143"/>
      <w:bookmarkEnd w:id="144"/>
      <w:bookmarkEnd w:id="145"/>
      <w:bookmarkEnd w:id="146"/>
    </w:p>
    <w:p w14:paraId="7757AC81">
      <w:pPr>
        <w:pStyle w:val="4"/>
        <w:pageBreakBefore w:val="0"/>
        <w:widowControl w:val="0"/>
        <w:kinsoku/>
        <w:wordWrap/>
        <w:overflowPunct/>
        <w:topLinePunct w:val="0"/>
        <w:autoSpaceDE/>
        <w:autoSpaceDN/>
        <w:bidi w:val="0"/>
        <w:adjustRightInd/>
        <w:snapToGrid/>
        <w:spacing w:before="0" w:beforeAutospacing="0" w:after="0" w:afterAutospacing="0" w:line="576" w:lineRule="exact"/>
        <w:ind w:left="0" w:leftChars="0" w:right="0" w:firstLine="640" w:firstLineChars="200"/>
        <w:jc w:val="both"/>
        <w:textAlignment w:val="auto"/>
        <w:rPr>
          <w:rFonts w:ascii="仿宋" w:eastAsia="仿宋"/>
        </w:rPr>
      </w:pPr>
      <w:bookmarkStart w:id="147" w:name="_Toc22743"/>
      <w:bookmarkStart w:id="148" w:name="_Toc15012"/>
      <w:bookmarkStart w:id="149" w:name="_Toc24023"/>
      <w:bookmarkStart w:id="150" w:name="_Toc15396621"/>
      <w:r>
        <w:rPr>
          <w:rStyle w:val="23"/>
          <w:rFonts w:hint="eastAsia" w:ascii="仿宋" w:eastAsia="仿宋"/>
          <w:b w:val="0"/>
          <w:bCs w:val="0"/>
        </w:rPr>
        <w:t>三、</w:t>
      </w:r>
      <w:r>
        <w:rPr>
          <w:rFonts w:hint="eastAsia" w:ascii="仿宋" w:eastAsia="仿宋"/>
          <w:b w:val="0"/>
        </w:rPr>
        <w:t>支</w:t>
      </w:r>
      <w:r>
        <w:rPr>
          <w:rStyle w:val="23"/>
          <w:rFonts w:hint="eastAsia" w:ascii="仿宋" w:eastAsia="仿宋"/>
          <w:b w:val="0"/>
          <w:bCs w:val="0"/>
        </w:rPr>
        <w:t>出决算表</w:t>
      </w:r>
      <w:bookmarkEnd w:id="147"/>
      <w:bookmarkEnd w:id="148"/>
      <w:bookmarkEnd w:id="149"/>
      <w:bookmarkEnd w:id="150"/>
    </w:p>
    <w:p w14:paraId="4C088BFC">
      <w:pPr>
        <w:pStyle w:val="4"/>
        <w:pageBreakBefore w:val="0"/>
        <w:widowControl w:val="0"/>
        <w:kinsoku/>
        <w:wordWrap/>
        <w:overflowPunct/>
        <w:topLinePunct w:val="0"/>
        <w:autoSpaceDE/>
        <w:autoSpaceDN/>
        <w:bidi w:val="0"/>
        <w:adjustRightInd/>
        <w:snapToGrid/>
        <w:spacing w:before="0" w:beforeAutospacing="0" w:after="0" w:afterAutospacing="0" w:line="576" w:lineRule="exact"/>
        <w:ind w:left="0" w:leftChars="0" w:right="0" w:firstLine="640" w:firstLineChars="200"/>
        <w:jc w:val="both"/>
        <w:textAlignment w:val="auto"/>
        <w:rPr>
          <w:rFonts w:ascii="仿宋" w:eastAsia="仿宋"/>
          <w:b w:val="0"/>
        </w:rPr>
      </w:pPr>
      <w:bookmarkStart w:id="151" w:name="_Toc15396622"/>
      <w:bookmarkStart w:id="152" w:name="_Toc2325"/>
      <w:bookmarkStart w:id="153" w:name="_Toc10976"/>
      <w:bookmarkStart w:id="154" w:name="_Toc3319"/>
      <w:r>
        <w:rPr>
          <w:rStyle w:val="23"/>
          <w:rFonts w:hint="eastAsia" w:ascii="仿宋" w:eastAsia="仿宋"/>
          <w:b w:val="0"/>
          <w:bCs w:val="0"/>
        </w:rPr>
        <w:t>四、</w:t>
      </w:r>
      <w:r>
        <w:rPr>
          <w:rFonts w:hint="eastAsia" w:ascii="仿宋" w:eastAsia="仿宋"/>
          <w:b w:val="0"/>
        </w:rPr>
        <w:t>财</w:t>
      </w:r>
      <w:r>
        <w:rPr>
          <w:rStyle w:val="23"/>
          <w:rFonts w:hint="eastAsia" w:ascii="仿宋" w:eastAsia="仿宋"/>
          <w:b w:val="0"/>
          <w:bCs w:val="0"/>
        </w:rPr>
        <w:t>政拨款收入支出决算总表</w:t>
      </w:r>
      <w:bookmarkEnd w:id="151"/>
      <w:bookmarkEnd w:id="152"/>
      <w:bookmarkEnd w:id="153"/>
      <w:bookmarkEnd w:id="154"/>
    </w:p>
    <w:p w14:paraId="0C49FD3F">
      <w:pPr>
        <w:pStyle w:val="4"/>
        <w:pageBreakBefore w:val="0"/>
        <w:widowControl w:val="0"/>
        <w:kinsoku/>
        <w:wordWrap/>
        <w:overflowPunct/>
        <w:topLinePunct w:val="0"/>
        <w:autoSpaceDE/>
        <w:autoSpaceDN/>
        <w:bidi w:val="0"/>
        <w:adjustRightInd/>
        <w:snapToGrid/>
        <w:spacing w:before="0" w:beforeAutospacing="0" w:after="0" w:afterAutospacing="0" w:line="576" w:lineRule="exact"/>
        <w:ind w:left="0" w:leftChars="0" w:right="0" w:firstLine="640" w:firstLineChars="200"/>
        <w:jc w:val="both"/>
        <w:textAlignment w:val="auto"/>
        <w:rPr>
          <w:rStyle w:val="23"/>
          <w:rFonts w:ascii="仿宋" w:eastAsia="仿宋"/>
          <w:b w:val="0"/>
          <w:bCs w:val="0"/>
        </w:rPr>
      </w:pPr>
      <w:bookmarkStart w:id="155" w:name="_Toc17946"/>
      <w:bookmarkStart w:id="156" w:name="_Toc15396623"/>
      <w:bookmarkStart w:id="157" w:name="_Toc9871"/>
      <w:bookmarkStart w:id="158" w:name="_Toc21466"/>
      <w:r>
        <w:rPr>
          <w:rStyle w:val="23"/>
          <w:rFonts w:hint="eastAsia" w:ascii="仿宋" w:eastAsia="仿宋"/>
          <w:b w:val="0"/>
          <w:bCs w:val="0"/>
        </w:rPr>
        <w:t>五、</w:t>
      </w:r>
      <w:r>
        <w:rPr>
          <w:rFonts w:hint="eastAsia" w:ascii="仿宋" w:eastAsia="仿宋"/>
          <w:b w:val="0"/>
        </w:rPr>
        <w:t>财</w:t>
      </w:r>
      <w:r>
        <w:rPr>
          <w:rStyle w:val="23"/>
          <w:rFonts w:hint="eastAsia" w:ascii="仿宋" w:eastAsia="仿宋"/>
          <w:b w:val="0"/>
          <w:bCs w:val="0"/>
        </w:rPr>
        <w:t>政拨款支出决算明细表</w:t>
      </w:r>
      <w:bookmarkEnd w:id="155"/>
      <w:bookmarkEnd w:id="156"/>
      <w:bookmarkEnd w:id="157"/>
      <w:bookmarkEnd w:id="158"/>
      <w:bookmarkStart w:id="159" w:name="_Toc15396624"/>
    </w:p>
    <w:p w14:paraId="193C9DEF">
      <w:pPr>
        <w:pStyle w:val="4"/>
        <w:pageBreakBefore w:val="0"/>
        <w:widowControl w:val="0"/>
        <w:kinsoku/>
        <w:wordWrap/>
        <w:overflowPunct/>
        <w:topLinePunct w:val="0"/>
        <w:autoSpaceDE/>
        <w:autoSpaceDN/>
        <w:bidi w:val="0"/>
        <w:adjustRightInd/>
        <w:snapToGrid/>
        <w:spacing w:before="0" w:beforeAutospacing="0" w:after="0" w:afterAutospacing="0" w:line="576" w:lineRule="exact"/>
        <w:ind w:left="0" w:leftChars="0" w:right="0" w:firstLine="640" w:firstLineChars="200"/>
        <w:jc w:val="both"/>
        <w:textAlignment w:val="auto"/>
        <w:rPr>
          <w:rFonts w:ascii="仿宋" w:eastAsia="仿宋"/>
        </w:rPr>
      </w:pPr>
      <w:bookmarkStart w:id="160" w:name="_Toc2800"/>
      <w:bookmarkStart w:id="161" w:name="_Toc2143"/>
      <w:bookmarkStart w:id="162" w:name="_Toc20117"/>
      <w:r>
        <w:rPr>
          <w:rStyle w:val="23"/>
          <w:rFonts w:hint="eastAsia" w:ascii="仿宋" w:eastAsia="仿宋"/>
          <w:b w:val="0"/>
          <w:bCs w:val="0"/>
        </w:rPr>
        <w:t>六、</w:t>
      </w:r>
      <w:r>
        <w:rPr>
          <w:rFonts w:hint="eastAsia" w:ascii="仿宋" w:eastAsia="仿宋"/>
          <w:b w:val="0"/>
        </w:rPr>
        <w:t>一</w:t>
      </w:r>
      <w:r>
        <w:rPr>
          <w:rStyle w:val="23"/>
          <w:rFonts w:hint="eastAsia" w:ascii="仿宋" w:eastAsia="仿宋"/>
          <w:b w:val="0"/>
          <w:bCs w:val="0"/>
        </w:rPr>
        <w:t>般公共预算财政拨款支出决算表</w:t>
      </w:r>
      <w:bookmarkEnd w:id="159"/>
      <w:bookmarkEnd w:id="160"/>
      <w:bookmarkEnd w:id="161"/>
      <w:bookmarkEnd w:id="162"/>
    </w:p>
    <w:p w14:paraId="5F62AE5F">
      <w:pPr>
        <w:pStyle w:val="4"/>
        <w:pageBreakBefore w:val="0"/>
        <w:widowControl w:val="0"/>
        <w:kinsoku/>
        <w:wordWrap/>
        <w:overflowPunct/>
        <w:topLinePunct w:val="0"/>
        <w:autoSpaceDE/>
        <w:autoSpaceDN/>
        <w:bidi w:val="0"/>
        <w:adjustRightInd/>
        <w:snapToGrid/>
        <w:spacing w:before="0" w:beforeAutospacing="0" w:after="0" w:afterAutospacing="0" w:line="576" w:lineRule="exact"/>
        <w:ind w:left="0" w:leftChars="0" w:right="0" w:firstLine="640" w:firstLineChars="200"/>
        <w:jc w:val="both"/>
        <w:textAlignment w:val="auto"/>
        <w:rPr>
          <w:rFonts w:ascii="仿宋" w:eastAsia="仿宋"/>
        </w:rPr>
      </w:pPr>
      <w:bookmarkStart w:id="163" w:name="_Toc32100"/>
      <w:bookmarkStart w:id="164" w:name="_Toc29704"/>
      <w:bookmarkStart w:id="165" w:name="_Toc10733"/>
      <w:bookmarkStart w:id="166" w:name="_Toc15396625"/>
      <w:r>
        <w:rPr>
          <w:rStyle w:val="23"/>
          <w:rFonts w:hint="eastAsia" w:ascii="仿宋" w:eastAsia="仿宋"/>
          <w:b w:val="0"/>
          <w:bCs w:val="0"/>
        </w:rPr>
        <w:t>七、</w:t>
      </w:r>
      <w:r>
        <w:rPr>
          <w:rFonts w:hint="eastAsia" w:ascii="仿宋" w:eastAsia="仿宋"/>
          <w:b w:val="0"/>
        </w:rPr>
        <w:t>一</w:t>
      </w:r>
      <w:r>
        <w:rPr>
          <w:rStyle w:val="23"/>
          <w:rFonts w:hint="eastAsia" w:ascii="仿宋" w:eastAsia="仿宋"/>
          <w:b w:val="0"/>
          <w:bCs w:val="0"/>
        </w:rPr>
        <w:t>般公共预算财政拨款支出决算明细表</w:t>
      </w:r>
      <w:bookmarkEnd w:id="163"/>
      <w:bookmarkEnd w:id="164"/>
      <w:bookmarkEnd w:id="165"/>
      <w:bookmarkEnd w:id="166"/>
    </w:p>
    <w:p w14:paraId="2F0B485F">
      <w:pPr>
        <w:pStyle w:val="4"/>
        <w:pageBreakBefore w:val="0"/>
        <w:widowControl w:val="0"/>
        <w:kinsoku/>
        <w:wordWrap/>
        <w:overflowPunct/>
        <w:topLinePunct w:val="0"/>
        <w:autoSpaceDE/>
        <w:autoSpaceDN/>
        <w:bidi w:val="0"/>
        <w:adjustRightInd/>
        <w:snapToGrid/>
        <w:spacing w:before="0" w:beforeAutospacing="0" w:after="0" w:afterAutospacing="0" w:line="576" w:lineRule="exact"/>
        <w:ind w:left="0" w:leftChars="0" w:right="0" w:firstLine="640" w:firstLineChars="200"/>
        <w:jc w:val="both"/>
        <w:textAlignment w:val="auto"/>
        <w:rPr>
          <w:rFonts w:ascii="仿宋" w:eastAsia="仿宋"/>
        </w:rPr>
      </w:pPr>
      <w:bookmarkStart w:id="167" w:name="_Toc17350"/>
      <w:bookmarkStart w:id="168" w:name="_Toc15396626"/>
      <w:bookmarkStart w:id="169" w:name="_Toc8432"/>
      <w:bookmarkStart w:id="170" w:name="_Toc30543"/>
      <w:r>
        <w:rPr>
          <w:rStyle w:val="23"/>
          <w:rFonts w:hint="eastAsia" w:ascii="仿宋" w:eastAsia="仿宋"/>
          <w:b w:val="0"/>
          <w:bCs w:val="0"/>
        </w:rPr>
        <w:t>八、</w:t>
      </w:r>
      <w:r>
        <w:rPr>
          <w:rFonts w:hint="eastAsia" w:ascii="仿宋" w:eastAsia="仿宋"/>
          <w:b w:val="0"/>
        </w:rPr>
        <w:t>一</w:t>
      </w:r>
      <w:r>
        <w:rPr>
          <w:rStyle w:val="23"/>
          <w:rFonts w:hint="eastAsia" w:ascii="仿宋" w:eastAsia="仿宋"/>
          <w:b w:val="0"/>
          <w:bCs w:val="0"/>
        </w:rPr>
        <w:t>般公共预算财政拨款基本支出决算表</w:t>
      </w:r>
      <w:bookmarkEnd w:id="167"/>
      <w:bookmarkEnd w:id="168"/>
      <w:bookmarkEnd w:id="169"/>
      <w:bookmarkEnd w:id="170"/>
    </w:p>
    <w:p w14:paraId="314C3199">
      <w:pPr>
        <w:pStyle w:val="4"/>
        <w:pageBreakBefore w:val="0"/>
        <w:widowControl w:val="0"/>
        <w:kinsoku/>
        <w:wordWrap/>
        <w:overflowPunct/>
        <w:topLinePunct w:val="0"/>
        <w:autoSpaceDE/>
        <w:autoSpaceDN/>
        <w:bidi w:val="0"/>
        <w:adjustRightInd/>
        <w:snapToGrid/>
        <w:spacing w:before="0" w:beforeAutospacing="0" w:after="0" w:afterAutospacing="0" w:line="576" w:lineRule="exact"/>
        <w:ind w:left="0" w:leftChars="0" w:right="0" w:firstLine="640" w:firstLineChars="200"/>
        <w:jc w:val="both"/>
        <w:textAlignment w:val="auto"/>
        <w:rPr>
          <w:rFonts w:ascii="仿宋" w:eastAsia="仿宋"/>
        </w:rPr>
      </w:pPr>
      <w:bookmarkStart w:id="171" w:name="_Toc15396627"/>
      <w:bookmarkStart w:id="172" w:name="_Toc10916"/>
      <w:bookmarkStart w:id="173" w:name="_Toc10434"/>
      <w:bookmarkStart w:id="174" w:name="_Toc28168"/>
      <w:r>
        <w:rPr>
          <w:rStyle w:val="23"/>
          <w:rFonts w:hint="eastAsia" w:ascii="仿宋" w:eastAsia="仿宋"/>
          <w:b w:val="0"/>
          <w:bCs w:val="0"/>
        </w:rPr>
        <w:t>九、</w:t>
      </w:r>
      <w:r>
        <w:rPr>
          <w:rFonts w:hint="eastAsia" w:ascii="仿宋" w:eastAsia="仿宋"/>
          <w:b w:val="0"/>
        </w:rPr>
        <w:t>一</w:t>
      </w:r>
      <w:r>
        <w:rPr>
          <w:rStyle w:val="23"/>
          <w:rFonts w:hint="eastAsia" w:ascii="仿宋" w:eastAsia="仿宋"/>
          <w:b w:val="0"/>
          <w:bCs w:val="0"/>
        </w:rPr>
        <w:t>般公共预算财政拨款项目支出决算表</w:t>
      </w:r>
      <w:bookmarkEnd w:id="171"/>
      <w:bookmarkEnd w:id="172"/>
      <w:bookmarkEnd w:id="173"/>
      <w:bookmarkEnd w:id="174"/>
    </w:p>
    <w:p w14:paraId="79504BBA">
      <w:pPr>
        <w:pStyle w:val="4"/>
        <w:pageBreakBefore w:val="0"/>
        <w:widowControl w:val="0"/>
        <w:kinsoku/>
        <w:wordWrap/>
        <w:overflowPunct/>
        <w:topLinePunct w:val="0"/>
        <w:autoSpaceDE/>
        <w:autoSpaceDN/>
        <w:bidi w:val="0"/>
        <w:adjustRightInd/>
        <w:snapToGrid/>
        <w:spacing w:before="0" w:beforeAutospacing="0" w:after="0" w:afterAutospacing="0" w:line="576" w:lineRule="exact"/>
        <w:ind w:left="0" w:leftChars="0" w:right="0" w:firstLine="640" w:firstLineChars="200"/>
        <w:jc w:val="both"/>
        <w:textAlignment w:val="auto"/>
        <w:rPr>
          <w:rFonts w:ascii="仿宋" w:eastAsia="仿宋"/>
        </w:rPr>
      </w:pPr>
      <w:bookmarkStart w:id="175" w:name="_Toc15396628"/>
      <w:bookmarkStart w:id="176" w:name="_Toc16699"/>
      <w:bookmarkStart w:id="177" w:name="_Toc13791"/>
      <w:bookmarkStart w:id="178" w:name="_Toc6168"/>
      <w:r>
        <w:rPr>
          <w:rStyle w:val="23"/>
          <w:rFonts w:hint="eastAsia" w:ascii="仿宋" w:eastAsia="仿宋"/>
          <w:b w:val="0"/>
          <w:bCs w:val="0"/>
        </w:rPr>
        <w:t>十、</w:t>
      </w:r>
      <w:bookmarkEnd w:id="175"/>
      <w:r>
        <w:rPr>
          <w:rFonts w:hint="eastAsia" w:ascii="仿宋" w:eastAsia="仿宋"/>
          <w:b w:val="0"/>
        </w:rPr>
        <w:t>政</w:t>
      </w:r>
      <w:r>
        <w:rPr>
          <w:rStyle w:val="23"/>
          <w:rFonts w:hint="eastAsia" w:ascii="仿宋" w:eastAsia="仿宋"/>
          <w:b w:val="0"/>
          <w:bCs w:val="0"/>
        </w:rPr>
        <w:t>府性基金预算财政拨款收入支出决算表</w:t>
      </w:r>
      <w:bookmarkEnd w:id="176"/>
      <w:bookmarkEnd w:id="177"/>
      <w:bookmarkEnd w:id="178"/>
    </w:p>
    <w:p w14:paraId="5077AE8F">
      <w:pPr>
        <w:pStyle w:val="4"/>
        <w:pageBreakBefore w:val="0"/>
        <w:widowControl w:val="0"/>
        <w:kinsoku/>
        <w:wordWrap/>
        <w:overflowPunct/>
        <w:topLinePunct w:val="0"/>
        <w:autoSpaceDE/>
        <w:autoSpaceDN/>
        <w:bidi w:val="0"/>
        <w:adjustRightInd/>
        <w:snapToGrid/>
        <w:spacing w:before="0" w:beforeAutospacing="0" w:after="0" w:afterAutospacing="0" w:line="576" w:lineRule="exact"/>
        <w:ind w:left="0" w:leftChars="0" w:right="0" w:firstLine="640" w:firstLineChars="200"/>
        <w:jc w:val="both"/>
        <w:textAlignment w:val="auto"/>
        <w:rPr>
          <w:rFonts w:ascii="仿宋" w:eastAsia="仿宋"/>
        </w:rPr>
      </w:pPr>
      <w:bookmarkStart w:id="179" w:name="_Toc15396629"/>
      <w:bookmarkStart w:id="180" w:name="_Toc23336"/>
      <w:bookmarkStart w:id="181" w:name="_Toc4423"/>
      <w:bookmarkStart w:id="182" w:name="_Toc8848"/>
      <w:r>
        <w:rPr>
          <w:rStyle w:val="23"/>
          <w:rFonts w:hint="eastAsia" w:ascii="仿宋" w:eastAsia="仿宋"/>
          <w:b w:val="0"/>
          <w:bCs w:val="0"/>
        </w:rPr>
        <w:t>十一、</w:t>
      </w:r>
      <w:bookmarkEnd w:id="179"/>
      <w:r>
        <w:rPr>
          <w:rFonts w:hint="eastAsia" w:ascii="仿宋" w:eastAsia="仿宋"/>
          <w:b w:val="0"/>
        </w:rPr>
        <w:t>国</w:t>
      </w:r>
      <w:r>
        <w:rPr>
          <w:rStyle w:val="23"/>
          <w:rFonts w:hint="eastAsia" w:ascii="仿宋" w:eastAsia="仿宋"/>
          <w:b w:val="0"/>
          <w:bCs w:val="0"/>
        </w:rPr>
        <w:t>有资本经营预算财政拨款收入支出决算表</w:t>
      </w:r>
      <w:bookmarkEnd w:id="180"/>
      <w:bookmarkEnd w:id="181"/>
      <w:bookmarkEnd w:id="182"/>
    </w:p>
    <w:p w14:paraId="2569E316">
      <w:pPr>
        <w:pStyle w:val="4"/>
        <w:pageBreakBefore w:val="0"/>
        <w:widowControl w:val="0"/>
        <w:kinsoku/>
        <w:wordWrap/>
        <w:overflowPunct/>
        <w:topLinePunct w:val="0"/>
        <w:autoSpaceDE/>
        <w:autoSpaceDN/>
        <w:bidi w:val="0"/>
        <w:adjustRightInd/>
        <w:snapToGrid/>
        <w:spacing w:before="0" w:beforeAutospacing="0" w:after="0" w:afterAutospacing="0" w:line="576" w:lineRule="exact"/>
        <w:ind w:left="0" w:leftChars="0" w:right="0" w:firstLine="640" w:firstLineChars="200"/>
        <w:jc w:val="both"/>
        <w:textAlignment w:val="auto"/>
        <w:rPr>
          <w:rFonts w:ascii="仿宋" w:eastAsia="仿宋"/>
        </w:rPr>
      </w:pPr>
      <w:bookmarkStart w:id="183" w:name="_Toc15396630"/>
      <w:bookmarkStart w:id="184" w:name="_Toc3767"/>
      <w:bookmarkStart w:id="185" w:name="_Toc375"/>
      <w:bookmarkStart w:id="186" w:name="_Toc23283"/>
      <w:r>
        <w:rPr>
          <w:rStyle w:val="23"/>
          <w:rFonts w:hint="eastAsia" w:ascii="仿宋" w:eastAsia="仿宋"/>
          <w:b w:val="0"/>
          <w:bCs w:val="0"/>
        </w:rPr>
        <w:t>十二、</w:t>
      </w:r>
      <w:bookmarkEnd w:id="183"/>
      <w:r>
        <w:rPr>
          <w:rStyle w:val="23"/>
          <w:rFonts w:hint="eastAsia" w:ascii="仿宋" w:eastAsia="仿宋"/>
          <w:b w:val="0"/>
          <w:bCs w:val="0"/>
        </w:rPr>
        <w:t>国有资本经营预算财政拨款支出决算表</w:t>
      </w:r>
      <w:bookmarkEnd w:id="184"/>
      <w:bookmarkEnd w:id="185"/>
      <w:bookmarkEnd w:id="186"/>
    </w:p>
    <w:p w14:paraId="65911022">
      <w:pPr>
        <w:pStyle w:val="4"/>
        <w:pageBreakBefore w:val="0"/>
        <w:widowControl w:val="0"/>
        <w:kinsoku/>
        <w:wordWrap/>
        <w:overflowPunct/>
        <w:topLinePunct w:val="0"/>
        <w:autoSpaceDE/>
        <w:autoSpaceDN/>
        <w:bidi w:val="0"/>
        <w:adjustRightInd/>
        <w:snapToGrid/>
        <w:spacing w:before="0" w:beforeAutospacing="0" w:after="0" w:afterAutospacing="0" w:line="576" w:lineRule="exact"/>
        <w:ind w:left="0" w:leftChars="0" w:right="0" w:firstLine="640" w:firstLineChars="200"/>
        <w:jc w:val="both"/>
        <w:textAlignment w:val="auto"/>
        <w:rPr>
          <w:rStyle w:val="23"/>
          <w:rFonts w:hint="eastAsia" w:ascii="仿宋" w:eastAsia="仿宋"/>
          <w:b w:val="0"/>
          <w:bCs w:val="0"/>
        </w:rPr>
      </w:pPr>
      <w:bookmarkStart w:id="187" w:name="_Toc15396631"/>
      <w:bookmarkStart w:id="188" w:name="_Toc23427"/>
      <w:bookmarkStart w:id="189" w:name="_Toc19470"/>
      <w:bookmarkStart w:id="190" w:name="_Toc6173"/>
      <w:r>
        <w:rPr>
          <w:rStyle w:val="23"/>
          <w:rFonts w:hint="eastAsia" w:ascii="仿宋" w:eastAsia="仿宋"/>
          <w:b w:val="0"/>
          <w:bCs w:val="0"/>
        </w:rPr>
        <w:t>十三、</w:t>
      </w:r>
      <w:bookmarkEnd w:id="187"/>
      <w:r>
        <w:rPr>
          <w:rStyle w:val="23"/>
          <w:rFonts w:hint="eastAsia" w:ascii="仿宋" w:eastAsia="仿宋"/>
          <w:b w:val="0"/>
          <w:bCs w:val="0"/>
        </w:rPr>
        <w:t>财政拨款“三公”经费支出决算表</w:t>
      </w:r>
      <w:bookmarkEnd w:id="188"/>
      <w:bookmarkEnd w:id="189"/>
      <w:bookmarkEnd w:id="190"/>
    </w:p>
    <w:p w14:paraId="184557AF">
      <w:pPr>
        <w:pageBreakBefore w:val="0"/>
        <w:widowControl w:val="0"/>
        <w:kinsoku/>
        <w:wordWrap/>
        <w:overflowPunct/>
        <w:topLinePunct w:val="0"/>
        <w:autoSpaceDE/>
        <w:autoSpaceDN/>
        <w:bidi w:val="0"/>
        <w:adjustRightInd/>
        <w:snapToGrid/>
        <w:spacing w:beforeAutospacing="0" w:afterAutospacing="0" w:line="576" w:lineRule="exact"/>
        <w:ind w:left="0" w:leftChars="0" w:right="0" w:firstLine="640" w:firstLineChars="200"/>
        <w:jc w:val="both"/>
        <w:textAlignment w:val="auto"/>
      </w:pPr>
      <w:bookmarkStart w:id="191" w:name="_Toc1273"/>
      <w:r>
        <w:rPr>
          <w:rStyle w:val="23"/>
          <w:rFonts w:hint="eastAsia" w:ascii="仿宋" w:eastAsia="仿宋"/>
          <w:b w:val="0"/>
          <w:bCs w:val="0"/>
        </w:rPr>
        <w:t>十四、部门项目支出绩效目标表</w:t>
      </w:r>
      <w:bookmarkEnd w:id="191"/>
    </w:p>
    <w:sectPr>
      <w:headerReference r:id="rId3" w:type="default"/>
      <w:footerReference r:id="rId4" w:type="default"/>
      <w:pgSz w:w="11906" w:h="16838"/>
      <w:pgMar w:top="1440" w:right="1800" w:bottom="1440" w:left="1800"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803050406030204"/>
    <w:charset w:val="00"/>
    <w:family w:val="roman"/>
    <w:pitch w:val="default"/>
    <w:sig w:usb0="E00006FF" w:usb1="4000045F"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Times New Roman"/>
    <w:panose1 w:val="00000000000000000000"/>
    <w:charset w:val="00"/>
    <w:family w:val="roman"/>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41616354"/>
    </w:sdtPr>
    <w:sdtContent>
      <w:p w14:paraId="05EBED10">
        <w:pPr>
          <w:pStyle w:val="13"/>
          <w:jc w:val="center"/>
        </w:pPr>
        <w:r>
          <w:fldChar w:fldCharType="begin"/>
        </w:r>
        <w:r>
          <w:instrText xml:space="preserve">PAGE   \* MERGEFORMAT</w:instrText>
        </w:r>
        <w:r>
          <w:fldChar w:fldCharType="separate"/>
        </w:r>
        <w:r>
          <w:rPr>
            <w:lang w:val="zh-CN"/>
          </w:rPr>
          <w:t>2</w:t>
        </w:r>
        <w:r>
          <w:fldChar w:fldCharType="end"/>
        </w:r>
      </w:p>
    </w:sdtContent>
  </w:sdt>
  <w:p w14:paraId="4BAFC47D">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B78239">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A81EBF"/>
    <w:multiLevelType w:val="singleLevel"/>
    <w:tmpl w:val="BEA81EBF"/>
    <w:lvl w:ilvl="0" w:tentative="0">
      <w:start w:val="4"/>
      <w:numFmt w:val="chineseCounting"/>
      <w:suff w:val="nothing"/>
      <w:lvlText w:val="%1、"/>
      <w:lvlJc w:val="left"/>
      <w:rPr>
        <w:rFonts w:hint="eastAsia"/>
      </w:rPr>
    </w:lvl>
  </w:abstractNum>
  <w:abstractNum w:abstractNumId="1">
    <w:nsid w:val="CF652CEC"/>
    <w:multiLevelType w:val="singleLevel"/>
    <w:tmpl w:val="CF652CEC"/>
    <w:lvl w:ilvl="0" w:tentative="0">
      <w:start w:val="9"/>
      <w:numFmt w:val="chineseCounting"/>
      <w:suff w:val="nothing"/>
      <w:lvlText w:val="%1、"/>
      <w:lvlJc w:val="left"/>
      <w:pPr>
        <w:ind w:left="0" w:firstLine="0"/>
      </w:pPr>
      <w:rPr>
        <w:rFonts w:hint="eastAsia"/>
      </w:rPr>
    </w:lvl>
  </w:abstractNum>
  <w:abstractNum w:abstractNumId="2">
    <w:nsid w:val="D76F065C"/>
    <w:multiLevelType w:val="singleLevel"/>
    <w:tmpl w:val="D76F065C"/>
    <w:lvl w:ilvl="0" w:tentative="0">
      <w:start w:val="2"/>
      <w:numFmt w:val="chineseCounting"/>
      <w:suff w:val="nothing"/>
      <w:lvlText w:val="（%1）"/>
      <w:lvlJc w:val="left"/>
      <w:rPr>
        <w:rFonts w:hint="eastAsia"/>
      </w:rPr>
    </w:lvl>
  </w:abstractNum>
  <w:abstractNum w:abstractNumId="3">
    <w:nsid w:val="E2FA047D"/>
    <w:multiLevelType w:val="singleLevel"/>
    <w:tmpl w:val="E2FA047D"/>
    <w:lvl w:ilvl="0" w:tentative="0">
      <w:start w:val="3"/>
      <w:numFmt w:val="chineseCounting"/>
      <w:suff w:val="space"/>
      <w:lvlText w:val="第%1部分"/>
      <w:lvlJc w:val="left"/>
      <w:pPr>
        <w:ind w:left="0" w:firstLine="0"/>
      </w:pPr>
      <w:rPr>
        <w:rFonts w:hint="eastAsia"/>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jBiOWIxN2FhMzAxNzRiNWJjMzA1YWY4MTVjNzk1NDcifQ=="/>
  </w:docVars>
  <w:rsids>
    <w:rsidRoot w:val="005346C9"/>
    <w:rsid w:val="00225378"/>
    <w:rsid w:val="002C1B69"/>
    <w:rsid w:val="005346C9"/>
    <w:rsid w:val="00535E7A"/>
    <w:rsid w:val="007C6D18"/>
    <w:rsid w:val="008A6D2B"/>
    <w:rsid w:val="00EB7E60"/>
    <w:rsid w:val="00F1191B"/>
    <w:rsid w:val="013C246A"/>
    <w:rsid w:val="019329D2"/>
    <w:rsid w:val="01E70628"/>
    <w:rsid w:val="02186A33"/>
    <w:rsid w:val="021B6E5B"/>
    <w:rsid w:val="021F6013"/>
    <w:rsid w:val="024B7594"/>
    <w:rsid w:val="02810A7C"/>
    <w:rsid w:val="02A824AD"/>
    <w:rsid w:val="02AA1175"/>
    <w:rsid w:val="02C16A01"/>
    <w:rsid w:val="02E96621"/>
    <w:rsid w:val="02F072F1"/>
    <w:rsid w:val="0305345B"/>
    <w:rsid w:val="03166E4C"/>
    <w:rsid w:val="031F3DF1"/>
    <w:rsid w:val="033B50CF"/>
    <w:rsid w:val="03E539A3"/>
    <w:rsid w:val="04420DC6"/>
    <w:rsid w:val="04421544"/>
    <w:rsid w:val="0442248D"/>
    <w:rsid w:val="04522421"/>
    <w:rsid w:val="045A1585"/>
    <w:rsid w:val="04966BE4"/>
    <w:rsid w:val="05253F5F"/>
    <w:rsid w:val="053C0C8A"/>
    <w:rsid w:val="054364BD"/>
    <w:rsid w:val="056B77C2"/>
    <w:rsid w:val="058D7738"/>
    <w:rsid w:val="05BE98A0"/>
    <w:rsid w:val="05CD3FD8"/>
    <w:rsid w:val="05D9297D"/>
    <w:rsid w:val="05F33481"/>
    <w:rsid w:val="05FA7D44"/>
    <w:rsid w:val="06112117"/>
    <w:rsid w:val="06BC02D5"/>
    <w:rsid w:val="06DF5D71"/>
    <w:rsid w:val="06E5739D"/>
    <w:rsid w:val="071050D0"/>
    <w:rsid w:val="0742534E"/>
    <w:rsid w:val="07454B02"/>
    <w:rsid w:val="07854B6B"/>
    <w:rsid w:val="07956677"/>
    <w:rsid w:val="081128A2"/>
    <w:rsid w:val="08253C58"/>
    <w:rsid w:val="083E4D1A"/>
    <w:rsid w:val="08B0361C"/>
    <w:rsid w:val="08E07D65"/>
    <w:rsid w:val="08F55D20"/>
    <w:rsid w:val="097F55EA"/>
    <w:rsid w:val="09C13E54"/>
    <w:rsid w:val="09F37FAD"/>
    <w:rsid w:val="09F77876"/>
    <w:rsid w:val="0A281ACE"/>
    <w:rsid w:val="0A481E7F"/>
    <w:rsid w:val="0AB6328D"/>
    <w:rsid w:val="0AB66BC3"/>
    <w:rsid w:val="0AEF5D5B"/>
    <w:rsid w:val="0B120D2B"/>
    <w:rsid w:val="0B81081E"/>
    <w:rsid w:val="0B9619C7"/>
    <w:rsid w:val="0BCD3D94"/>
    <w:rsid w:val="0BD100F8"/>
    <w:rsid w:val="0C0A5B78"/>
    <w:rsid w:val="0C0E07AB"/>
    <w:rsid w:val="0C272694"/>
    <w:rsid w:val="0C50326D"/>
    <w:rsid w:val="0CA912FB"/>
    <w:rsid w:val="0CE71E24"/>
    <w:rsid w:val="0CF602B9"/>
    <w:rsid w:val="0D5D3E94"/>
    <w:rsid w:val="0D661C0C"/>
    <w:rsid w:val="0DA6726B"/>
    <w:rsid w:val="0DF465A6"/>
    <w:rsid w:val="0E1E54C4"/>
    <w:rsid w:val="0E4D5CB6"/>
    <w:rsid w:val="0E632100"/>
    <w:rsid w:val="0EAA135B"/>
    <w:rsid w:val="0EAF54E9"/>
    <w:rsid w:val="0EAF6971"/>
    <w:rsid w:val="0EB67D00"/>
    <w:rsid w:val="0ECA7307"/>
    <w:rsid w:val="0EF60B2A"/>
    <w:rsid w:val="0F2033CB"/>
    <w:rsid w:val="0F6B7FF6"/>
    <w:rsid w:val="0F8200EE"/>
    <w:rsid w:val="0F9C5147"/>
    <w:rsid w:val="103B3A0C"/>
    <w:rsid w:val="10434B91"/>
    <w:rsid w:val="106B4B1A"/>
    <w:rsid w:val="106D2640"/>
    <w:rsid w:val="10751948"/>
    <w:rsid w:val="107B5BE0"/>
    <w:rsid w:val="107C15D5"/>
    <w:rsid w:val="10900A00"/>
    <w:rsid w:val="109202F8"/>
    <w:rsid w:val="10CA684D"/>
    <w:rsid w:val="111D7BC2"/>
    <w:rsid w:val="114E0781"/>
    <w:rsid w:val="11576D6C"/>
    <w:rsid w:val="116352D6"/>
    <w:rsid w:val="116E3A5D"/>
    <w:rsid w:val="117B6FDE"/>
    <w:rsid w:val="11B36B4A"/>
    <w:rsid w:val="11BF6ECB"/>
    <w:rsid w:val="122A4C8C"/>
    <w:rsid w:val="1232769D"/>
    <w:rsid w:val="12A6008B"/>
    <w:rsid w:val="12EA7589"/>
    <w:rsid w:val="132D30A8"/>
    <w:rsid w:val="133E02C4"/>
    <w:rsid w:val="13595D0D"/>
    <w:rsid w:val="138F2686"/>
    <w:rsid w:val="13BD743A"/>
    <w:rsid w:val="13C44C6D"/>
    <w:rsid w:val="142478A0"/>
    <w:rsid w:val="144D6A10"/>
    <w:rsid w:val="144E60BD"/>
    <w:rsid w:val="149B0E8A"/>
    <w:rsid w:val="14F7697C"/>
    <w:rsid w:val="15121A08"/>
    <w:rsid w:val="154F67B8"/>
    <w:rsid w:val="157B135B"/>
    <w:rsid w:val="15B57A2D"/>
    <w:rsid w:val="15CC605B"/>
    <w:rsid w:val="15DA49E7"/>
    <w:rsid w:val="160863B2"/>
    <w:rsid w:val="16495B3E"/>
    <w:rsid w:val="16526AE4"/>
    <w:rsid w:val="16573B76"/>
    <w:rsid w:val="16A14DF1"/>
    <w:rsid w:val="16C62AAA"/>
    <w:rsid w:val="16D451C7"/>
    <w:rsid w:val="16D74CB7"/>
    <w:rsid w:val="171F5FCF"/>
    <w:rsid w:val="17AB08EF"/>
    <w:rsid w:val="18463EA2"/>
    <w:rsid w:val="19151713"/>
    <w:rsid w:val="193957B5"/>
    <w:rsid w:val="194C06C0"/>
    <w:rsid w:val="196F1358"/>
    <w:rsid w:val="19837F2A"/>
    <w:rsid w:val="19D125E1"/>
    <w:rsid w:val="1A0758B3"/>
    <w:rsid w:val="1A2E30FE"/>
    <w:rsid w:val="1A4E703E"/>
    <w:rsid w:val="1A893148"/>
    <w:rsid w:val="1B0F5EB1"/>
    <w:rsid w:val="1B114F1D"/>
    <w:rsid w:val="1B1A2B1A"/>
    <w:rsid w:val="1B375D24"/>
    <w:rsid w:val="1B6F4B1B"/>
    <w:rsid w:val="1BA61858"/>
    <w:rsid w:val="1BC33495"/>
    <w:rsid w:val="1BD16179"/>
    <w:rsid w:val="1BF965F2"/>
    <w:rsid w:val="1C0F6CA1"/>
    <w:rsid w:val="1C1F7EE7"/>
    <w:rsid w:val="1C387FA6"/>
    <w:rsid w:val="1C3A1F70"/>
    <w:rsid w:val="1C6012AB"/>
    <w:rsid w:val="1D0C6A66"/>
    <w:rsid w:val="1D234B0A"/>
    <w:rsid w:val="1D5D57EA"/>
    <w:rsid w:val="1DF919B7"/>
    <w:rsid w:val="1E22594E"/>
    <w:rsid w:val="1E2F362A"/>
    <w:rsid w:val="1EBA0B8A"/>
    <w:rsid w:val="1ECB3486"/>
    <w:rsid w:val="1EEE287B"/>
    <w:rsid w:val="1EFA1543"/>
    <w:rsid w:val="1F185C1B"/>
    <w:rsid w:val="1F2D7B6A"/>
    <w:rsid w:val="1F980D5B"/>
    <w:rsid w:val="20476A09"/>
    <w:rsid w:val="20614532"/>
    <w:rsid w:val="206C46C2"/>
    <w:rsid w:val="207F70B2"/>
    <w:rsid w:val="20801F1B"/>
    <w:rsid w:val="20917D1D"/>
    <w:rsid w:val="20B836E6"/>
    <w:rsid w:val="217F6677"/>
    <w:rsid w:val="21AE4866"/>
    <w:rsid w:val="21B856E5"/>
    <w:rsid w:val="21BF6A73"/>
    <w:rsid w:val="21EB188E"/>
    <w:rsid w:val="22235254"/>
    <w:rsid w:val="223C144D"/>
    <w:rsid w:val="223D4010"/>
    <w:rsid w:val="22D402FC"/>
    <w:rsid w:val="230A5F68"/>
    <w:rsid w:val="232F0837"/>
    <w:rsid w:val="23A61C99"/>
    <w:rsid w:val="23D100BE"/>
    <w:rsid w:val="23F51683"/>
    <w:rsid w:val="243E6375"/>
    <w:rsid w:val="24813D24"/>
    <w:rsid w:val="248A5117"/>
    <w:rsid w:val="249C4E4A"/>
    <w:rsid w:val="25374CE2"/>
    <w:rsid w:val="2548274D"/>
    <w:rsid w:val="25693679"/>
    <w:rsid w:val="259756BC"/>
    <w:rsid w:val="25FB1098"/>
    <w:rsid w:val="26040EF9"/>
    <w:rsid w:val="260C30F7"/>
    <w:rsid w:val="26111954"/>
    <w:rsid w:val="272950BB"/>
    <w:rsid w:val="276C632F"/>
    <w:rsid w:val="27764078"/>
    <w:rsid w:val="27AA4F6F"/>
    <w:rsid w:val="27B54BA0"/>
    <w:rsid w:val="27CB6172"/>
    <w:rsid w:val="281605C1"/>
    <w:rsid w:val="28D85F1E"/>
    <w:rsid w:val="28E15521"/>
    <w:rsid w:val="28E8063A"/>
    <w:rsid w:val="2929693C"/>
    <w:rsid w:val="2942621E"/>
    <w:rsid w:val="29565B6D"/>
    <w:rsid w:val="29DD218D"/>
    <w:rsid w:val="29DF4D7B"/>
    <w:rsid w:val="2A135BAE"/>
    <w:rsid w:val="2A4C2E6E"/>
    <w:rsid w:val="2A92703F"/>
    <w:rsid w:val="2AA077A9"/>
    <w:rsid w:val="2AA424A8"/>
    <w:rsid w:val="2AA809EC"/>
    <w:rsid w:val="2AFA0B1C"/>
    <w:rsid w:val="2AFE0EA8"/>
    <w:rsid w:val="2B2678B7"/>
    <w:rsid w:val="2B694756"/>
    <w:rsid w:val="2B7B6DE1"/>
    <w:rsid w:val="2B801021"/>
    <w:rsid w:val="2B8266EC"/>
    <w:rsid w:val="2B91322F"/>
    <w:rsid w:val="2B9164A3"/>
    <w:rsid w:val="2B98057D"/>
    <w:rsid w:val="2BF233C5"/>
    <w:rsid w:val="2BFB4ED7"/>
    <w:rsid w:val="2BFC7F66"/>
    <w:rsid w:val="2C025EDA"/>
    <w:rsid w:val="2C106827"/>
    <w:rsid w:val="2C113116"/>
    <w:rsid w:val="2C204AC9"/>
    <w:rsid w:val="2C351E0C"/>
    <w:rsid w:val="2C3F4B36"/>
    <w:rsid w:val="2C534988"/>
    <w:rsid w:val="2C554B35"/>
    <w:rsid w:val="2C8608B9"/>
    <w:rsid w:val="2CC72906"/>
    <w:rsid w:val="2CE23E3F"/>
    <w:rsid w:val="2D855015"/>
    <w:rsid w:val="2D9B0395"/>
    <w:rsid w:val="2E2957DE"/>
    <w:rsid w:val="2E3A195C"/>
    <w:rsid w:val="2E9420B6"/>
    <w:rsid w:val="2EE23DA1"/>
    <w:rsid w:val="2EE47B19"/>
    <w:rsid w:val="2EF73CF0"/>
    <w:rsid w:val="2F0B5447"/>
    <w:rsid w:val="2F3E36CD"/>
    <w:rsid w:val="2FA31782"/>
    <w:rsid w:val="2FC11C09"/>
    <w:rsid w:val="2FEC353D"/>
    <w:rsid w:val="301D32E3"/>
    <w:rsid w:val="30542A7D"/>
    <w:rsid w:val="305667F5"/>
    <w:rsid w:val="30BD4AC6"/>
    <w:rsid w:val="30C85944"/>
    <w:rsid w:val="30F54260"/>
    <w:rsid w:val="31440B67"/>
    <w:rsid w:val="31541AE4"/>
    <w:rsid w:val="31CD6F8B"/>
    <w:rsid w:val="31D16A7B"/>
    <w:rsid w:val="31D9148B"/>
    <w:rsid w:val="31F40390"/>
    <w:rsid w:val="32015C68"/>
    <w:rsid w:val="322875D1"/>
    <w:rsid w:val="32701331"/>
    <w:rsid w:val="328412DF"/>
    <w:rsid w:val="32A44717"/>
    <w:rsid w:val="32F0738F"/>
    <w:rsid w:val="332B6E3F"/>
    <w:rsid w:val="33920C6F"/>
    <w:rsid w:val="33BB353F"/>
    <w:rsid w:val="34272982"/>
    <w:rsid w:val="346C2A8B"/>
    <w:rsid w:val="347831DE"/>
    <w:rsid w:val="347B2CCE"/>
    <w:rsid w:val="34866EB2"/>
    <w:rsid w:val="349C065E"/>
    <w:rsid w:val="34AA5361"/>
    <w:rsid w:val="35037A49"/>
    <w:rsid w:val="35140511"/>
    <w:rsid w:val="3578720D"/>
    <w:rsid w:val="35B0678D"/>
    <w:rsid w:val="35B430FE"/>
    <w:rsid w:val="35E31F79"/>
    <w:rsid w:val="36370E76"/>
    <w:rsid w:val="364658EE"/>
    <w:rsid w:val="369F2781"/>
    <w:rsid w:val="36A22794"/>
    <w:rsid w:val="36D02C6D"/>
    <w:rsid w:val="36E93C13"/>
    <w:rsid w:val="370D7188"/>
    <w:rsid w:val="37203D70"/>
    <w:rsid w:val="372F1B4E"/>
    <w:rsid w:val="374675C3"/>
    <w:rsid w:val="37557806"/>
    <w:rsid w:val="37A62A66"/>
    <w:rsid w:val="37CB2491"/>
    <w:rsid w:val="37EB1F18"/>
    <w:rsid w:val="38417D8A"/>
    <w:rsid w:val="384229D7"/>
    <w:rsid w:val="38555B96"/>
    <w:rsid w:val="38896E55"/>
    <w:rsid w:val="38A40870"/>
    <w:rsid w:val="38EB0930"/>
    <w:rsid w:val="38EE3768"/>
    <w:rsid w:val="38F452F3"/>
    <w:rsid w:val="391A3141"/>
    <w:rsid w:val="392C4014"/>
    <w:rsid w:val="39565AB7"/>
    <w:rsid w:val="39B27192"/>
    <w:rsid w:val="39DB3B32"/>
    <w:rsid w:val="39EB4452"/>
    <w:rsid w:val="39F64B63"/>
    <w:rsid w:val="3A4122C4"/>
    <w:rsid w:val="3A72247D"/>
    <w:rsid w:val="3A8F2CDA"/>
    <w:rsid w:val="3AEC456D"/>
    <w:rsid w:val="3AEE3385"/>
    <w:rsid w:val="3AF17846"/>
    <w:rsid w:val="3B313DD8"/>
    <w:rsid w:val="3BD72A99"/>
    <w:rsid w:val="3BDC576A"/>
    <w:rsid w:val="3C1D667F"/>
    <w:rsid w:val="3C7F70D3"/>
    <w:rsid w:val="3C9219DA"/>
    <w:rsid w:val="3C9568F7"/>
    <w:rsid w:val="3CA32E35"/>
    <w:rsid w:val="3CAA05F4"/>
    <w:rsid w:val="3CF211DC"/>
    <w:rsid w:val="3CF96E86"/>
    <w:rsid w:val="3D8C7CFA"/>
    <w:rsid w:val="3D8E23A0"/>
    <w:rsid w:val="3DCF328D"/>
    <w:rsid w:val="3DD11BB1"/>
    <w:rsid w:val="3DF15DAF"/>
    <w:rsid w:val="3DF37D79"/>
    <w:rsid w:val="3E5F540E"/>
    <w:rsid w:val="3E7665CE"/>
    <w:rsid w:val="3E91626C"/>
    <w:rsid w:val="3EC42269"/>
    <w:rsid w:val="3EEA117C"/>
    <w:rsid w:val="3F1A6CC0"/>
    <w:rsid w:val="3F1E2BD3"/>
    <w:rsid w:val="3F23344A"/>
    <w:rsid w:val="3F3A37F1"/>
    <w:rsid w:val="3FFD4619"/>
    <w:rsid w:val="404137B4"/>
    <w:rsid w:val="40464190"/>
    <w:rsid w:val="407B1322"/>
    <w:rsid w:val="40BF0298"/>
    <w:rsid w:val="40CF3AE1"/>
    <w:rsid w:val="418D1EB5"/>
    <w:rsid w:val="41C94730"/>
    <w:rsid w:val="41CA7043"/>
    <w:rsid w:val="41ED2A5B"/>
    <w:rsid w:val="41FD0E53"/>
    <w:rsid w:val="42122365"/>
    <w:rsid w:val="42A74A51"/>
    <w:rsid w:val="42B850ED"/>
    <w:rsid w:val="42D863FB"/>
    <w:rsid w:val="42FE4D96"/>
    <w:rsid w:val="431B0182"/>
    <w:rsid w:val="433C5FEC"/>
    <w:rsid w:val="433C7ACC"/>
    <w:rsid w:val="439F7ECC"/>
    <w:rsid w:val="43CF26EE"/>
    <w:rsid w:val="43DD305D"/>
    <w:rsid w:val="43E837B0"/>
    <w:rsid w:val="44911445"/>
    <w:rsid w:val="44A72A1B"/>
    <w:rsid w:val="44BC0EC5"/>
    <w:rsid w:val="44D75CFE"/>
    <w:rsid w:val="44DB384C"/>
    <w:rsid w:val="452D591E"/>
    <w:rsid w:val="45326705"/>
    <w:rsid w:val="45521C06"/>
    <w:rsid w:val="45523641"/>
    <w:rsid w:val="45553C41"/>
    <w:rsid w:val="45643C61"/>
    <w:rsid w:val="45D313B0"/>
    <w:rsid w:val="45EC57D9"/>
    <w:rsid w:val="4645313C"/>
    <w:rsid w:val="46483B96"/>
    <w:rsid w:val="465E2559"/>
    <w:rsid w:val="46733559"/>
    <w:rsid w:val="467B63B8"/>
    <w:rsid w:val="4689127A"/>
    <w:rsid w:val="468C691A"/>
    <w:rsid w:val="46996820"/>
    <w:rsid w:val="46AA485D"/>
    <w:rsid w:val="46E125B8"/>
    <w:rsid w:val="46EB5A91"/>
    <w:rsid w:val="46ED56CD"/>
    <w:rsid w:val="46FA2178"/>
    <w:rsid w:val="470E79D1"/>
    <w:rsid w:val="471F0B67"/>
    <w:rsid w:val="4723522B"/>
    <w:rsid w:val="47571378"/>
    <w:rsid w:val="477932D9"/>
    <w:rsid w:val="47D222B5"/>
    <w:rsid w:val="47F46BC7"/>
    <w:rsid w:val="480916A9"/>
    <w:rsid w:val="481375AF"/>
    <w:rsid w:val="48157B15"/>
    <w:rsid w:val="48A16BAF"/>
    <w:rsid w:val="48A26623"/>
    <w:rsid w:val="48D1071F"/>
    <w:rsid w:val="48DD45D3"/>
    <w:rsid w:val="49634005"/>
    <w:rsid w:val="49DF11B1"/>
    <w:rsid w:val="4A1A51E7"/>
    <w:rsid w:val="4A500B9B"/>
    <w:rsid w:val="4A62606A"/>
    <w:rsid w:val="4A91694F"/>
    <w:rsid w:val="4AC00FE3"/>
    <w:rsid w:val="4ACA3C0F"/>
    <w:rsid w:val="4ADA3DD2"/>
    <w:rsid w:val="4ADB7BCB"/>
    <w:rsid w:val="4B2772B4"/>
    <w:rsid w:val="4B7A73E4"/>
    <w:rsid w:val="4BE24953"/>
    <w:rsid w:val="4BF91DDB"/>
    <w:rsid w:val="4C3103EA"/>
    <w:rsid w:val="4C5D11DF"/>
    <w:rsid w:val="4C664DAD"/>
    <w:rsid w:val="4CD34FFD"/>
    <w:rsid w:val="4CDF1BF4"/>
    <w:rsid w:val="4D1A3604"/>
    <w:rsid w:val="4D265A75"/>
    <w:rsid w:val="4D7F6F33"/>
    <w:rsid w:val="4E4837C9"/>
    <w:rsid w:val="4EA053B3"/>
    <w:rsid w:val="4ECC5CC5"/>
    <w:rsid w:val="4EF433CA"/>
    <w:rsid w:val="4F781E8C"/>
    <w:rsid w:val="4F9D5D96"/>
    <w:rsid w:val="50190581"/>
    <w:rsid w:val="50504BB7"/>
    <w:rsid w:val="50A54F03"/>
    <w:rsid w:val="50B0566A"/>
    <w:rsid w:val="50CA7228"/>
    <w:rsid w:val="50CF1F80"/>
    <w:rsid w:val="50D77086"/>
    <w:rsid w:val="510F4A72"/>
    <w:rsid w:val="5115685D"/>
    <w:rsid w:val="512027DB"/>
    <w:rsid w:val="514C1822"/>
    <w:rsid w:val="51840FBC"/>
    <w:rsid w:val="51874608"/>
    <w:rsid w:val="51B7313F"/>
    <w:rsid w:val="51D6733E"/>
    <w:rsid w:val="52224331"/>
    <w:rsid w:val="523A5B1F"/>
    <w:rsid w:val="52410C5B"/>
    <w:rsid w:val="52552958"/>
    <w:rsid w:val="526861E8"/>
    <w:rsid w:val="526D1A50"/>
    <w:rsid w:val="5281374D"/>
    <w:rsid w:val="52B4767F"/>
    <w:rsid w:val="53095C1D"/>
    <w:rsid w:val="535F4698"/>
    <w:rsid w:val="53C66AC7"/>
    <w:rsid w:val="53CF5879"/>
    <w:rsid w:val="53D845EF"/>
    <w:rsid w:val="53E07CA7"/>
    <w:rsid w:val="53E2021C"/>
    <w:rsid w:val="544B0D60"/>
    <w:rsid w:val="54524DC7"/>
    <w:rsid w:val="54F076C7"/>
    <w:rsid w:val="54F9581D"/>
    <w:rsid w:val="5527753F"/>
    <w:rsid w:val="55306D65"/>
    <w:rsid w:val="555E33D0"/>
    <w:rsid w:val="557E5D22"/>
    <w:rsid w:val="559049A1"/>
    <w:rsid w:val="55E95CE9"/>
    <w:rsid w:val="56187031"/>
    <w:rsid w:val="57342B3C"/>
    <w:rsid w:val="575E5BD0"/>
    <w:rsid w:val="57AE25BB"/>
    <w:rsid w:val="57B7551B"/>
    <w:rsid w:val="57CD55D6"/>
    <w:rsid w:val="58005114"/>
    <w:rsid w:val="580F5357"/>
    <w:rsid w:val="58140E42"/>
    <w:rsid w:val="581806B0"/>
    <w:rsid w:val="58577395"/>
    <w:rsid w:val="585A02E4"/>
    <w:rsid w:val="59213594"/>
    <w:rsid w:val="59254E33"/>
    <w:rsid w:val="592B61C1"/>
    <w:rsid w:val="593E2B6E"/>
    <w:rsid w:val="595349E6"/>
    <w:rsid w:val="59722042"/>
    <w:rsid w:val="597B5A68"/>
    <w:rsid w:val="5999312B"/>
    <w:rsid w:val="59D32AE1"/>
    <w:rsid w:val="59DB1995"/>
    <w:rsid w:val="59F64A21"/>
    <w:rsid w:val="5A09375D"/>
    <w:rsid w:val="5A0A6F9A"/>
    <w:rsid w:val="5A1D5B0A"/>
    <w:rsid w:val="5A3A17F8"/>
    <w:rsid w:val="5A5654C0"/>
    <w:rsid w:val="5A673AE1"/>
    <w:rsid w:val="5A9D6525"/>
    <w:rsid w:val="5AA77AC9"/>
    <w:rsid w:val="5ACF2DEC"/>
    <w:rsid w:val="5ADA7E9F"/>
    <w:rsid w:val="5AFC4F25"/>
    <w:rsid w:val="5B041AE6"/>
    <w:rsid w:val="5B3274C4"/>
    <w:rsid w:val="5B3B1009"/>
    <w:rsid w:val="5B490B80"/>
    <w:rsid w:val="5B595267"/>
    <w:rsid w:val="5B5D7173"/>
    <w:rsid w:val="5B6F3FE4"/>
    <w:rsid w:val="5B77068B"/>
    <w:rsid w:val="5B7C03DA"/>
    <w:rsid w:val="5B944892"/>
    <w:rsid w:val="5BA65138"/>
    <w:rsid w:val="5C0D1BAE"/>
    <w:rsid w:val="5C2A6C04"/>
    <w:rsid w:val="5C2C7C7B"/>
    <w:rsid w:val="5CD94CAE"/>
    <w:rsid w:val="5CE768A3"/>
    <w:rsid w:val="5CEE34C1"/>
    <w:rsid w:val="5D3635FE"/>
    <w:rsid w:val="5D5B2388"/>
    <w:rsid w:val="5D5C103F"/>
    <w:rsid w:val="5D5F6439"/>
    <w:rsid w:val="5D9748FB"/>
    <w:rsid w:val="5E136863"/>
    <w:rsid w:val="5EA7022C"/>
    <w:rsid w:val="5EC92704"/>
    <w:rsid w:val="5ED13367"/>
    <w:rsid w:val="5EE27322"/>
    <w:rsid w:val="5EEB605F"/>
    <w:rsid w:val="5EEE216B"/>
    <w:rsid w:val="5F357D99"/>
    <w:rsid w:val="5F597F1C"/>
    <w:rsid w:val="5F93AE37"/>
    <w:rsid w:val="5F9956BD"/>
    <w:rsid w:val="602816AC"/>
    <w:rsid w:val="6075099A"/>
    <w:rsid w:val="6089214B"/>
    <w:rsid w:val="60BB607C"/>
    <w:rsid w:val="60F342AE"/>
    <w:rsid w:val="613F0A5C"/>
    <w:rsid w:val="614147D4"/>
    <w:rsid w:val="61581B1D"/>
    <w:rsid w:val="619012B7"/>
    <w:rsid w:val="61954B1F"/>
    <w:rsid w:val="619A0388"/>
    <w:rsid w:val="61B00EE2"/>
    <w:rsid w:val="61EE23E6"/>
    <w:rsid w:val="62314848"/>
    <w:rsid w:val="624731C8"/>
    <w:rsid w:val="62593D9F"/>
    <w:rsid w:val="62634C1E"/>
    <w:rsid w:val="628506F0"/>
    <w:rsid w:val="62E0626E"/>
    <w:rsid w:val="631E66D7"/>
    <w:rsid w:val="637A5DE0"/>
    <w:rsid w:val="639B6977"/>
    <w:rsid w:val="63A3408B"/>
    <w:rsid w:val="63B15515"/>
    <w:rsid w:val="63C10E3C"/>
    <w:rsid w:val="64B251C5"/>
    <w:rsid w:val="64CD3547"/>
    <w:rsid w:val="650773BA"/>
    <w:rsid w:val="656B12B1"/>
    <w:rsid w:val="657F5D22"/>
    <w:rsid w:val="658E5B0E"/>
    <w:rsid w:val="65B61F12"/>
    <w:rsid w:val="65D52626"/>
    <w:rsid w:val="662D3578"/>
    <w:rsid w:val="667E5B82"/>
    <w:rsid w:val="66853989"/>
    <w:rsid w:val="66B41C83"/>
    <w:rsid w:val="66E2751B"/>
    <w:rsid w:val="67343515"/>
    <w:rsid w:val="676F652F"/>
    <w:rsid w:val="679C7C07"/>
    <w:rsid w:val="67B11F87"/>
    <w:rsid w:val="67DC0B0B"/>
    <w:rsid w:val="681542C4"/>
    <w:rsid w:val="689B5F7F"/>
    <w:rsid w:val="691049E1"/>
    <w:rsid w:val="69540864"/>
    <w:rsid w:val="695452C0"/>
    <w:rsid w:val="69692B1A"/>
    <w:rsid w:val="69AA5C34"/>
    <w:rsid w:val="6A002D52"/>
    <w:rsid w:val="6A0C5C75"/>
    <w:rsid w:val="6A2A593C"/>
    <w:rsid w:val="6A650389"/>
    <w:rsid w:val="6A6E0E27"/>
    <w:rsid w:val="6AA656A7"/>
    <w:rsid w:val="6ABD5F60"/>
    <w:rsid w:val="6ABE0EA2"/>
    <w:rsid w:val="6AE10832"/>
    <w:rsid w:val="6B1B71F2"/>
    <w:rsid w:val="6B64130B"/>
    <w:rsid w:val="6B6A0DCB"/>
    <w:rsid w:val="6B8C0D41"/>
    <w:rsid w:val="6BE7241B"/>
    <w:rsid w:val="6C733CAF"/>
    <w:rsid w:val="6CEF6A2B"/>
    <w:rsid w:val="6D1504AB"/>
    <w:rsid w:val="6D81111B"/>
    <w:rsid w:val="6DCB5EE1"/>
    <w:rsid w:val="6DE36C13"/>
    <w:rsid w:val="6DE85FD7"/>
    <w:rsid w:val="6DEB3BAA"/>
    <w:rsid w:val="6E0F17B6"/>
    <w:rsid w:val="6E166FE8"/>
    <w:rsid w:val="6E1A4B6F"/>
    <w:rsid w:val="6E5354E0"/>
    <w:rsid w:val="6E535B46"/>
    <w:rsid w:val="6E612268"/>
    <w:rsid w:val="6E7C509D"/>
    <w:rsid w:val="6E940BEF"/>
    <w:rsid w:val="6EF3446D"/>
    <w:rsid w:val="6F324855"/>
    <w:rsid w:val="6F5A2F04"/>
    <w:rsid w:val="6F681F38"/>
    <w:rsid w:val="6FB24AEE"/>
    <w:rsid w:val="6FC7611F"/>
    <w:rsid w:val="6FF2313D"/>
    <w:rsid w:val="70840239"/>
    <w:rsid w:val="70C858DB"/>
    <w:rsid w:val="70D84F19"/>
    <w:rsid w:val="70F829D5"/>
    <w:rsid w:val="713C2A8A"/>
    <w:rsid w:val="71914721"/>
    <w:rsid w:val="7194581F"/>
    <w:rsid w:val="71A31C07"/>
    <w:rsid w:val="71E73B2D"/>
    <w:rsid w:val="71F15DA2"/>
    <w:rsid w:val="72331F17"/>
    <w:rsid w:val="727B38BE"/>
    <w:rsid w:val="729D599C"/>
    <w:rsid w:val="72AA0407"/>
    <w:rsid w:val="72B1108D"/>
    <w:rsid w:val="72B15531"/>
    <w:rsid w:val="72CB65F3"/>
    <w:rsid w:val="72D00747"/>
    <w:rsid w:val="72E66F89"/>
    <w:rsid w:val="73055389"/>
    <w:rsid w:val="734F0FD2"/>
    <w:rsid w:val="736B3932"/>
    <w:rsid w:val="736C0702"/>
    <w:rsid w:val="73843460"/>
    <w:rsid w:val="73A52A1A"/>
    <w:rsid w:val="73EC25BF"/>
    <w:rsid w:val="7416389E"/>
    <w:rsid w:val="741C4C2C"/>
    <w:rsid w:val="74882D2E"/>
    <w:rsid w:val="74DB737D"/>
    <w:rsid w:val="75101E4D"/>
    <w:rsid w:val="75220020"/>
    <w:rsid w:val="752E4BC6"/>
    <w:rsid w:val="75492C16"/>
    <w:rsid w:val="75502DDF"/>
    <w:rsid w:val="75941825"/>
    <w:rsid w:val="75BA294F"/>
    <w:rsid w:val="75BA7A8F"/>
    <w:rsid w:val="760D0CD1"/>
    <w:rsid w:val="76507837"/>
    <w:rsid w:val="765D667A"/>
    <w:rsid w:val="766528BB"/>
    <w:rsid w:val="76982FF6"/>
    <w:rsid w:val="770C0F88"/>
    <w:rsid w:val="772933AF"/>
    <w:rsid w:val="77976AA4"/>
    <w:rsid w:val="77FE5BD9"/>
    <w:rsid w:val="780F5FBF"/>
    <w:rsid w:val="78173FB2"/>
    <w:rsid w:val="785250C1"/>
    <w:rsid w:val="787F19EA"/>
    <w:rsid w:val="78AC0D2E"/>
    <w:rsid w:val="78D67AA0"/>
    <w:rsid w:val="78F543CA"/>
    <w:rsid w:val="795B3AF3"/>
    <w:rsid w:val="79780B57"/>
    <w:rsid w:val="797F3C93"/>
    <w:rsid w:val="7981755F"/>
    <w:rsid w:val="7A6A66F1"/>
    <w:rsid w:val="7A6C19E9"/>
    <w:rsid w:val="7AA65071"/>
    <w:rsid w:val="7ADA2285"/>
    <w:rsid w:val="7ADB75EF"/>
    <w:rsid w:val="7ADD3367"/>
    <w:rsid w:val="7AF05987"/>
    <w:rsid w:val="7B0A1C83"/>
    <w:rsid w:val="7B3B008E"/>
    <w:rsid w:val="7B570946"/>
    <w:rsid w:val="7BBF2A6D"/>
    <w:rsid w:val="7C1F52BA"/>
    <w:rsid w:val="7CC145C3"/>
    <w:rsid w:val="7CCD4D16"/>
    <w:rsid w:val="7D380D29"/>
    <w:rsid w:val="7D6A07B6"/>
    <w:rsid w:val="7D71005D"/>
    <w:rsid w:val="7D853AE4"/>
    <w:rsid w:val="7D87580C"/>
    <w:rsid w:val="7DEA37BD"/>
    <w:rsid w:val="7DF32EA2"/>
    <w:rsid w:val="7DFB633E"/>
    <w:rsid w:val="7E3D5ECB"/>
    <w:rsid w:val="7E4C077A"/>
    <w:rsid w:val="7E775881"/>
    <w:rsid w:val="7F1070E3"/>
    <w:rsid w:val="7F7F7D64"/>
    <w:rsid w:val="7F887631"/>
    <w:rsid w:val="7F8C710A"/>
    <w:rsid w:val="7FBDD5BE"/>
    <w:rsid w:val="997B55C8"/>
    <w:rsid w:val="C0FE876C"/>
    <w:rsid w:val="CF1EA9BD"/>
    <w:rsid w:val="D7F601AA"/>
    <w:rsid w:val="DFD72E95"/>
    <w:rsid w:val="EB9FD40C"/>
    <w:rsid w:val="EDAE5BD7"/>
    <w:rsid w:val="FAFD6703"/>
    <w:rsid w:val="FEC538CC"/>
    <w:rsid w:val="FEFD9086"/>
    <w:rsid w:val="FF6F7A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qFormat="1" w:unhideWhenUsed="0" w:uiPriority="0" w:semiHidden="0"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2"/>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23"/>
    <w:qFormat/>
    <w:uiPriority w:val="0"/>
    <w:pPr>
      <w:keepNext/>
      <w:keepLines/>
      <w:spacing w:before="260" w:after="260" w:line="415" w:lineRule="auto"/>
      <w:outlineLvl w:val="1"/>
    </w:pPr>
    <w:rPr>
      <w:rFonts w:ascii="Cambria" w:hAnsi="Cambria"/>
      <w:b/>
      <w:bCs/>
      <w:sz w:val="32"/>
      <w:szCs w:val="32"/>
    </w:rPr>
  </w:style>
  <w:style w:type="paragraph" w:styleId="5">
    <w:name w:val="heading 3"/>
    <w:basedOn w:val="1"/>
    <w:next w:val="1"/>
    <w:qFormat/>
    <w:uiPriority w:val="0"/>
    <w:pPr>
      <w:keepNext/>
      <w:keepLines/>
      <w:spacing w:before="260" w:after="260" w:line="415" w:lineRule="auto"/>
      <w:outlineLvl w:val="2"/>
    </w:pPr>
    <w:rPr>
      <w:b/>
      <w:bCs/>
      <w:sz w:val="32"/>
      <w:szCs w:val="32"/>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beforeLines="30"/>
    </w:pPr>
    <w:rPr>
      <w:rFonts w:ascii="仿宋_GB2312" w:eastAsia="仿宋_GB2312"/>
      <w:kern w:val="0"/>
      <w:sz w:val="30"/>
    </w:rPr>
  </w:style>
  <w:style w:type="paragraph" w:styleId="6">
    <w:name w:val="index 8"/>
    <w:basedOn w:val="1"/>
    <w:next w:val="1"/>
    <w:qFormat/>
    <w:uiPriority w:val="0"/>
    <w:pPr>
      <w:ind w:left="2940"/>
    </w:pPr>
    <w:rPr>
      <w:rFonts w:eastAsia="宋体"/>
    </w:rPr>
  </w:style>
  <w:style w:type="paragraph" w:styleId="7">
    <w:name w:val="index 5"/>
    <w:basedOn w:val="1"/>
    <w:next w:val="1"/>
    <w:qFormat/>
    <w:uiPriority w:val="0"/>
    <w:pPr>
      <w:ind w:left="1680"/>
    </w:pPr>
  </w:style>
  <w:style w:type="paragraph" w:styleId="8">
    <w:name w:val="Body Text Indent"/>
    <w:basedOn w:val="1"/>
    <w:next w:val="9"/>
    <w:qFormat/>
    <w:uiPriority w:val="0"/>
    <w:pPr>
      <w:spacing w:after="120"/>
      <w:ind w:left="200" w:leftChars="200"/>
    </w:pPr>
    <w:rPr>
      <w:rFonts w:ascii="仿宋_GB2312" w:hAnsi="仿宋_GB2312"/>
      <w:szCs w:val="32"/>
    </w:rPr>
  </w:style>
  <w:style w:type="paragraph" w:styleId="9">
    <w:name w:val="Body Text First Indent 2"/>
    <w:basedOn w:val="8"/>
    <w:next w:val="10"/>
    <w:qFormat/>
    <w:uiPriority w:val="0"/>
    <w:pPr>
      <w:ind w:firstLine="200" w:firstLineChars="200"/>
    </w:pPr>
  </w:style>
  <w:style w:type="paragraph" w:styleId="10">
    <w:name w:val="Plain Text"/>
    <w:basedOn w:val="1"/>
    <w:unhideWhenUsed/>
    <w:qFormat/>
    <w:uiPriority w:val="99"/>
    <w:rPr>
      <w:rFonts w:ascii="宋体" w:hAnsi="Courier New"/>
    </w:rPr>
  </w:style>
  <w:style w:type="paragraph" w:styleId="11">
    <w:name w:val="toc 3"/>
    <w:basedOn w:val="1"/>
    <w:next w:val="1"/>
    <w:qFormat/>
    <w:uiPriority w:val="0"/>
    <w:pPr>
      <w:tabs>
        <w:tab w:val="right" w:leader="dot" w:pos="8296"/>
      </w:tabs>
      <w:ind w:left="400" w:leftChars="400"/>
    </w:pPr>
  </w:style>
  <w:style w:type="paragraph" w:styleId="12">
    <w:name w:val="Balloon Text"/>
    <w:basedOn w:val="1"/>
    <w:qFormat/>
    <w:uiPriority w:val="0"/>
    <w:rPr>
      <w:sz w:val="18"/>
      <w:szCs w:val="18"/>
    </w:rPr>
  </w:style>
  <w:style w:type="paragraph" w:styleId="13">
    <w:name w:val="footer"/>
    <w:basedOn w:val="1"/>
    <w:next w:val="1"/>
    <w:qFormat/>
    <w:uiPriority w:val="0"/>
    <w:pPr>
      <w:tabs>
        <w:tab w:val="center" w:pos="4153"/>
        <w:tab w:val="right" w:pos="8306"/>
      </w:tabs>
      <w:snapToGrid w:val="0"/>
      <w:jc w:val="left"/>
    </w:pPr>
    <w:rPr>
      <w:rFonts w:ascii="Calibri" w:hAnsi="Calibri"/>
      <w:kern w:val="0"/>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5">
    <w:name w:val="toc 1"/>
    <w:basedOn w:val="1"/>
    <w:next w:val="1"/>
    <w:qFormat/>
    <w:uiPriority w:val="0"/>
    <w:pPr>
      <w:tabs>
        <w:tab w:val="right" w:leader="dot" w:pos="8296"/>
      </w:tabs>
      <w:spacing w:before="93"/>
      <w:jc w:val="center"/>
    </w:pPr>
    <w:rPr>
      <w:rFonts w:ascii="仿宋" w:eastAsia="仿宋"/>
      <w:sz w:val="28"/>
      <w:szCs w:val="28"/>
    </w:rPr>
  </w:style>
  <w:style w:type="paragraph" w:styleId="16">
    <w:name w:val="toc 2"/>
    <w:basedOn w:val="1"/>
    <w:next w:val="1"/>
    <w:qFormat/>
    <w:uiPriority w:val="0"/>
    <w:pPr>
      <w:tabs>
        <w:tab w:val="right" w:leader="dot" w:pos="8296"/>
      </w:tabs>
      <w:ind w:left="200" w:leftChars="200"/>
    </w:pPr>
  </w:style>
  <w:style w:type="paragraph" w:styleId="17">
    <w:name w:val="Normal (Web)"/>
    <w:basedOn w:val="1"/>
    <w:next w:val="1"/>
    <w:qFormat/>
    <w:uiPriority w:val="0"/>
    <w:pPr>
      <w:shd w:val="clear" w:color="auto" w:fill="auto"/>
      <w:spacing w:before="100" w:beforeAutospacing="1" w:after="100" w:afterAutospacing="1"/>
      <w:ind w:left="0" w:right="0"/>
      <w:jc w:val="left"/>
    </w:pPr>
    <w:rPr>
      <w:kern w:val="0"/>
      <w:sz w:val="24"/>
      <w:shd w:val="clear" w:color="auto" w:fill="auto"/>
      <w:lang w:val="en-US" w:eastAsia="zh-CN" w:bidi="ar"/>
    </w:rPr>
  </w:style>
  <w:style w:type="character" w:styleId="20">
    <w:name w:val="Strong"/>
    <w:basedOn w:val="19"/>
    <w:qFormat/>
    <w:uiPriority w:val="0"/>
    <w:rPr>
      <w:b/>
    </w:rPr>
  </w:style>
  <w:style w:type="character" w:styleId="21">
    <w:name w:val="Hyperlink"/>
    <w:basedOn w:val="19"/>
    <w:qFormat/>
    <w:uiPriority w:val="0"/>
    <w:rPr>
      <w:color w:val="0000FF"/>
      <w:u w:val="single"/>
    </w:rPr>
  </w:style>
  <w:style w:type="character" w:customStyle="1" w:styleId="22">
    <w:name w:val="标题 1 Char"/>
    <w:basedOn w:val="19"/>
    <w:link w:val="3"/>
    <w:qFormat/>
    <w:uiPriority w:val="0"/>
    <w:rPr>
      <w:rFonts w:ascii="Times New Roman" w:hAnsi="Times New Roman" w:eastAsia="宋体" w:cs="Times New Roman"/>
      <w:b/>
      <w:bCs/>
      <w:kern w:val="44"/>
      <w:sz w:val="44"/>
      <w:szCs w:val="44"/>
      <w:lang w:val="en-US" w:eastAsia="zh-CN" w:bidi="ar-SA"/>
    </w:rPr>
  </w:style>
  <w:style w:type="character" w:customStyle="1" w:styleId="23">
    <w:name w:val="标题 2 Char"/>
    <w:basedOn w:val="19"/>
    <w:link w:val="4"/>
    <w:qFormat/>
    <w:uiPriority w:val="0"/>
    <w:rPr>
      <w:rFonts w:ascii="Cambria" w:hAnsi="Cambria" w:eastAsia="宋体" w:cs="Times New Roman"/>
      <w:b/>
      <w:bCs/>
      <w:kern w:val="2"/>
      <w:sz w:val="32"/>
      <w:szCs w:val="32"/>
      <w:lang w:val="en-US" w:eastAsia="zh-CN" w:bidi="ar-SA"/>
    </w:rPr>
  </w:style>
  <w:style w:type="paragraph" w:customStyle="1" w:styleId="24">
    <w:name w:val="标题 5（有编号）（绿盟科技）"/>
    <w:next w:val="1"/>
    <w:qFormat/>
    <w:uiPriority w:val="0"/>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character" w:customStyle="1" w:styleId="25">
    <w:name w:val="Header Char"/>
    <w:basedOn w:val="19"/>
    <w:qFormat/>
    <w:uiPriority w:val="0"/>
    <w:rPr>
      <w:rFonts w:ascii="Times New Roman" w:hAnsi="Times New Roman"/>
      <w:sz w:val="18"/>
      <w:szCs w:val="18"/>
    </w:rPr>
  </w:style>
  <w:style w:type="character" w:customStyle="1" w:styleId="26">
    <w:name w:val="Footer Char"/>
    <w:basedOn w:val="19"/>
    <w:qFormat/>
    <w:uiPriority w:val="0"/>
    <w:rPr>
      <w:rFonts w:ascii="Times New Roman" w:hAnsi="Times New Roman"/>
      <w:sz w:val="18"/>
      <w:szCs w:val="18"/>
    </w:rPr>
  </w:style>
  <w:style w:type="character" w:customStyle="1" w:styleId="27">
    <w:name w:val="Body Text Char"/>
    <w:basedOn w:val="19"/>
    <w:qFormat/>
    <w:uiPriority w:val="0"/>
    <w:rPr>
      <w:rFonts w:ascii="Times New Roman" w:hAnsi="Times New Roman"/>
      <w:szCs w:val="24"/>
    </w:rPr>
  </w:style>
  <w:style w:type="paragraph" w:customStyle="1" w:styleId="28">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styleId="29">
    <w:name w:val="List Paragraph"/>
    <w:basedOn w:val="1"/>
    <w:qFormat/>
    <w:uiPriority w:val="0"/>
    <w:pPr>
      <w:ind w:firstLine="200" w:firstLineChars="200"/>
    </w:pPr>
  </w:style>
  <w:style w:type="paragraph" w:customStyle="1" w:styleId="30">
    <w:name w:val="TOC 标题1"/>
    <w:basedOn w:val="3"/>
    <w:next w:val="1"/>
    <w:qFormat/>
    <w:uiPriority w:val="0"/>
    <w:pPr>
      <w:widowControl/>
      <w:spacing w:before="480" w:after="0" w:line="276" w:lineRule="auto"/>
      <w:jc w:val="left"/>
      <w:outlineLvl w:val="9"/>
    </w:pPr>
    <w:rPr>
      <w:rFonts w:ascii="Cambria" w:hAnsi="Cambria"/>
      <w:color w:val="376092"/>
      <w:kern w:val="0"/>
      <w:sz w:val="28"/>
      <w:szCs w:val="28"/>
    </w:rPr>
  </w:style>
  <w:style w:type="paragraph" w:customStyle="1" w:styleId="31">
    <w:name w:val="TOC 标题2"/>
    <w:basedOn w:val="3"/>
    <w:next w:val="1"/>
    <w:qFormat/>
    <w:uiPriority w:val="0"/>
    <w:pPr>
      <w:widowControl/>
      <w:spacing w:before="480" w:after="0" w:line="276" w:lineRule="auto"/>
      <w:jc w:val="left"/>
      <w:outlineLvl w:val="9"/>
    </w:pPr>
    <w:rPr>
      <w:rFonts w:ascii="Cambria" w:hAnsi="Cambria"/>
      <w:color w:val="376092"/>
      <w:kern w:val="0"/>
      <w:sz w:val="28"/>
      <w:szCs w:val="28"/>
    </w:rPr>
  </w:style>
  <w:style w:type="paragraph" w:customStyle="1" w:styleId="32">
    <w:name w:val="四号正文"/>
    <w:basedOn w:val="1"/>
    <w:qFormat/>
    <w:uiPriority w:val="0"/>
    <w:pPr>
      <w:spacing w:line="360" w:lineRule="auto"/>
    </w:pPr>
    <w:rPr>
      <w:rFonts w:ascii="??" w:hAnsi="??"/>
      <w:color w:val="000000"/>
      <w:kern w:val="0"/>
      <w:sz w:val="28"/>
      <w:szCs w:val="21"/>
      <w:lang w:val="zh-CN"/>
    </w:rPr>
  </w:style>
  <w:style w:type="paragraph" w:customStyle="1" w:styleId="33">
    <w:name w:val="WPSOffice手动目录 1"/>
    <w:qFormat/>
    <w:uiPriority w:val="0"/>
    <w:pPr>
      <w:ind w:leftChars="0"/>
    </w:pPr>
    <w:rPr>
      <w:rFonts w:ascii="Times New Roman" w:hAnsi="Times New Roman" w:eastAsia="宋体" w:cs="Times New Roman"/>
      <w:sz w:val="20"/>
      <w:szCs w:val="20"/>
    </w:rPr>
  </w:style>
  <w:style w:type="paragraph" w:customStyle="1" w:styleId="34">
    <w:name w:val="WPSOffice手动目录 2"/>
    <w:qFormat/>
    <w:uiPriority w:val="0"/>
    <w:pPr>
      <w:ind w:leftChars="200"/>
    </w:pPr>
    <w:rPr>
      <w:rFonts w:ascii="Times New Roman" w:hAnsi="Times New Roman" w:eastAsia="宋体" w:cs="Times New Roman"/>
      <w:sz w:val="20"/>
      <w:szCs w:val="20"/>
    </w:rPr>
  </w:style>
  <w:style w:type="paragraph" w:customStyle="1" w:styleId="35">
    <w:name w:val="No Spacing"/>
    <w:qFormat/>
    <w:uiPriority w:val="0"/>
    <w:pPr>
      <w:ind w:firstLine="200" w:firstLineChars="200"/>
    </w:pPr>
    <w:rPr>
      <w:rFonts w:ascii="Times New Roman" w:hAnsi="Times New Roman" w:eastAsia="仿宋_GB2312" w:cs="Times New Roman"/>
      <w:sz w:val="30"/>
      <w:szCs w:val="22"/>
      <w:lang w:val="en-US" w:eastAsia="zh-CN" w:bidi="ar-SA"/>
    </w:rPr>
  </w:style>
  <w:style w:type="paragraph" w:customStyle="1" w:styleId="36">
    <w:name w:val="正文首行缩进 21"/>
    <w:basedOn w:val="1"/>
    <w:qFormat/>
    <w:uiPriority w:val="0"/>
    <w:pPr>
      <w:spacing w:line="540" w:lineRule="exact"/>
      <w:ind w:firstLine="200" w:firstLineChars="200"/>
      <w:textAlignment w:val="baseline"/>
    </w:pPr>
    <w:rPr>
      <w:kern w:val="0"/>
      <w:szCs w:val="32"/>
    </w:rPr>
  </w:style>
  <w:style w:type="paragraph" w:customStyle="1" w:styleId="37">
    <w:name w:val="称呼1"/>
    <w:basedOn w:val="1"/>
    <w:next w:val="1"/>
    <w:qFormat/>
    <w:uiPriority w:val="99"/>
  </w:style>
  <w:style w:type="paragraph" w:customStyle="1" w:styleId="38">
    <w:name w:val="普通(网站) Char"/>
    <w:basedOn w:val="1"/>
    <w:qFormat/>
    <w:uiPriority w:val="0"/>
    <w:pPr>
      <w:spacing w:before="100" w:beforeAutospacing="1" w:after="100" w:afterAutospacing="1"/>
      <w:ind w:left="0" w:right="0"/>
      <w:jc w:val="left"/>
    </w:pPr>
    <w:rPr>
      <w:rFonts w:hint="eastAsia" w:ascii="宋体" w:hAnsi="宋体" w:eastAsia="宋体" w:cs="宋体"/>
      <w:kern w:val="0"/>
      <w:sz w:val="24"/>
      <w:szCs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_rels/chart2.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3.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4.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7.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收入支出上下年对比图</a:t>
            </a: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delete val="1"/>
          </c:dLbls>
          <c:cat>
            <c:strRef>
              <c:f>Sheet1!$A$2:$A$3</c:f>
              <c:strCache>
                <c:ptCount val="2"/>
                <c:pt idx="0">
                  <c:v>2025年</c:v>
                </c:pt>
                <c:pt idx="1">
                  <c:v>2024年</c:v>
                </c:pt>
              </c:strCache>
            </c:strRef>
          </c:cat>
          <c:val>
            <c:numRef>
              <c:f>Sheet1!$B$2:$B$3</c:f>
              <c:numCache>
                <c:formatCode>General</c:formatCode>
                <c:ptCount val="2"/>
                <c:pt idx="0">
                  <c:v>606.08</c:v>
                </c:pt>
                <c:pt idx="1">
                  <c:v>1808.15</c:v>
                </c:pt>
              </c:numCache>
            </c:numRef>
          </c:val>
        </c:ser>
        <c:ser>
          <c:idx val="1"/>
          <c:order val="1"/>
          <c:tx>
            <c:strRef>
              <c:f>Sheet1!$C$1</c:f>
              <c:strCache>
                <c:ptCount val="1"/>
                <c:pt idx="0">
                  <c:v>支出</c:v>
                </c:pt>
              </c:strCache>
            </c:strRef>
          </c:tx>
          <c:spPr>
            <a:solidFill>
              <a:schemeClr val="accent2"/>
            </a:solidFill>
            <a:ln>
              <a:noFill/>
            </a:ln>
            <a:effectLst/>
          </c:spPr>
          <c:invertIfNegative val="0"/>
          <c:dLbls>
            <c:delete val="1"/>
          </c:dLbls>
          <c:cat>
            <c:strRef>
              <c:f>Sheet1!$A$2:$A$3</c:f>
              <c:strCache>
                <c:ptCount val="2"/>
                <c:pt idx="0">
                  <c:v>2025年</c:v>
                </c:pt>
                <c:pt idx="1">
                  <c:v>2024年</c:v>
                </c:pt>
              </c:strCache>
            </c:strRef>
          </c:cat>
          <c:val>
            <c:numRef>
              <c:f>Sheet1!$C$2:$C$3</c:f>
              <c:numCache>
                <c:formatCode>General</c:formatCode>
                <c:ptCount val="2"/>
                <c:pt idx="0">
                  <c:v>606.08</c:v>
                </c:pt>
                <c:pt idx="1">
                  <c:v>1808.15</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2025年</c:v>
                </c:pt>
                <c:pt idx="1">
                  <c:v>2024年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228417857"/>
        <c:axId val="70905423"/>
      </c:barChart>
      <c:catAx>
        <c:axId val="22841785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0905423"/>
        <c:crosses val="autoZero"/>
        <c:auto val="1"/>
        <c:lblAlgn val="ctr"/>
        <c:lblOffset val="100"/>
        <c:noMultiLvlLbl val="0"/>
      </c:catAx>
      <c:valAx>
        <c:axId val="709054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28417857"/>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5392688-8974-4714-848d-95c4084b39d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收入结构图</a:t>
            </a:r>
          </a:p>
        </c:rich>
      </c:tx>
      <c:layout/>
      <c:overlay val="0"/>
      <c:spPr>
        <a:noFill/>
        <a:ln>
          <a:noFill/>
        </a:ln>
        <a:effectLst/>
      </c:spPr>
    </c:title>
    <c:autoTitleDeleted val="0"/>
    <c:plotArea>
      <c:layout>
        <c:manualLayout>
          <c:layoutTarget val="inner"/>
          <c:xMode val="edge"/>
          <c:yMode val="edge"/>
          <c:x val="0.360408703322552"/>
          <c:y val="0.425589836660617"/>
          <c:w val="0.27477212584534"/>
          <c:h val="0.565335753176044"/>
        </c:manualLayout>
      </c:layout>
      <c:pieChart>
        <c:varyColors val="1"/>
        <c:ser>
          <c:idx val="0"/>
          <c:order val="0"/>
          <c:tx>
            <c:strRef>
              <c:f>Sheet1!$B$1</c:f>
              <c:strCache>
                <c:ptCount val="1"/>
                <c:pt idx="0">
                  <c:v>财政拨款收入</c:v>
                </c:pt>
              </c:strCache>
            </c:strRef>
          </c:tx>
          <c:spPr/>
          <c:explosion val="0"/>
          <c:dPt>
            <c:idx val="0"/>
            <c:bubble3D val="0"/>
            <c:spPr>
              <a:solidFill>
                <a:schemeClr val="accent1"/>
              </a:solidFill>
              <a:ln w="19050">
                <a:solidFill>
                  <a:schemeClr val="lt1"/>
                </a:solidFill>
              </a:ln>
              <a:effectLst/>
            </c:spPr>
          </c:dPt>
          <c:dLbls>
            <c:delete val="1"/>
          </c:dLbls>
          <c:cat>
            <c:strRef>
              <c:f>Sheet1!$A$2</c:f>
              <c:strCache>
                <c:ptCount val="1"/>
                <c:pt idx="0">
                  <c:v>2026年财政拨款收入</c:v>
                </c:pt>
              </c:strCache>
            </c:strRef>
          </c:cat>
          <c:val>
            <c:numRef>
              <c:f>Sheet1!$B$2</c:f>
              <c:numCache>
                <c:formatCode>General</c:formatCode>
                <c:ptCount val="1"/>
                <c:pt idx="0">
                  <c:v>606.08</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f68a272-6af1-4131-87bf-3be9756339f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支出结构图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365.31</c:v>
                </c:pt>
                <c:pt idx="1">
                  <c:v>240.77</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e433ef7-8ce6-4a84-9f3d-a04b9440871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财政拨款收入支出上下年对比图</a:t>
            </a:r>
          </a:p>
        </c:rich>
      </c:tx>
      <c:layout/>
      <c:overlay val="0"/>
      <c:spPr>
        <a:noFill/>
        <a:ln>
          <a:noFill/>
        </a:ln>
        <a:effectLst/>
      </c:spPr>
    </c:title>
    <c:autoTitleDeleted val="0"/>
    <c:plotArea>
      <c:layout>
        <c:manualLayout>
          <c:layoutTarget val="inner"/>
          <c:xMode val="edge"/>
          <c:yMode val="edge"/>
          <c:x val="0.0896233666410454"/>
          <c:y val="0.256265840608279"/>
          <c:w val="0.891160645657187"/>
          <c:h val="0.521655871585469"/>
        </c:manualLayout>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delete val="1"/>
          </c:dLbls>
          <c:cat>
            <c:strRef>
              <c:f>Sheet1!$A$2:$A$3</c:f>
              <c:strCache>
                <c:ptCount val="2"/>
                <c:pt idx="0">
                  <c:v>2025年</c:v>
                </c:pt>
                <c:pt idx="1">
                  <c:v>2024年</c:v>
                </c:pt>
              </c:strCache>
            </c:strRef>
          </c:cat>
          <c:val>
            <c:numRef>
              <c:f>Sheet1!$B$2:$B$3</c:f>
              <c:numCache>
                <c:formatCode>General</c:formatCode>
                <c:ptCount val="2"/>
                <c:pt idx="0">
                  <c:v>606.08</c:v>
                </c:pt>
                <c:pt idx="1">
                  <c:v>1808.15</c:v>
                </c:pt>
              </c:numCache>
            </c:numRef>
          </c:val>
        </c:ser>
        <c:ser>
          <c:idx val="1"/>
          <c:order val="1"/>
          <c:tx>
            <c:strRef>
              <c:f>Sheet1!$C$1</c:f>
              <c:strCache>
                <c:ptCount val="1"/>
                <c:pt idx="0">
                  <c:v>支出</c:v>
                </c:pt>
              </c:strCache>
            </c:strRef>
          </c:tx>
          <c:spPr>
            <a:solidFill>
              <a:schemeClr val="accent2"/>
            </a:solidFill>
            <a:ln>
              <a:noFill/>
            </a:ln>
            <a:effectLst/>
          </c:spPr>
          <c:invertIfNegative val="0"/>
          <c:dLbls>
            <c:delete val="1"/>
          </c:dLbls>
          <c:cat>
            <c:strRef>
              <c:f>Sheet1!$A$2:$A$3</c:f>
              <c:strCache>
                <c:ptCount val="2"/>
                <c:pt idx="0">
                  <c:v>2025年</c:v>
                </c:pt>
                <c:pt idx="1">
                  <c:v>2024年</c:v>
                </c:pt>
              </c:strCache>
            </c:strRef>
          </c:cat>
          <c:val>
            <c:numRef>
              <c:f>Sheet1!$C$2:$C$3</c:f>
              <c:numCache>
                <c:formatCode>General</c:formatCode>
                <c:ptCount val="2"/>
                <c:pt idx="0">
                  <c:v>606.08</c:v>
                </c:pt>
                <c:pt idx="1">
                  <c:v>1808.15</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2025年</c:v>
                </c:pt>
                <c:pt idx="1">
                  <c:v>2024年</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228417857"/>
        <c:axId val="70905423"/>
      </c:barChart>
      <c:catAx>
        <c:axId val="22841785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0905423"/>
        <c:crosses val="autoZero"/>
        <c:auto val="1"/>
        <c:lblAlgn val="ctr"/>
        <c:lblOffset val="100"/>
        <c:noMultiLvlLbl val="0"/>
      </c:catAx>
      <c:valAx>
        <c:axId val="709054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28417857"/>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1d3b91ed-aa67-4039-a68e-d385a639cbaa}"/>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一般公共财政拨款支出上下年变动表</a:t>
            </a:r>
          </a:p>
        </c:rich>
      </c:tx>
      <c:layout>
        <c:manualLayout>
          <c:xMode val="edge"/>
          <c:yMode val="edge"/>
          <c:x val="0.13639116208113"/>
          <c:y val="0.0225"/>
        </c:manualLayout>
      </c:layout>
      <c:overlay val="0"/>
      <c:spPr>
        <a:noFill/>
        <a:ln>
          <a:noFill/>
        </a:ln>
        <a:effectLst/>
      </c:spPr>
    </c:title>
    <c:autoTitleDeleted val="0"/>
    <c:plotArea>
      <c:layout>
        <c:manualLayout>
          <c:layoutTarget val="inner"/>
          <c:xMode val="edge"/>
          <c:yMode val="edge"/>
          <c:x val="0.076825"/>
          <c:y val="0.221640488656195"/>
          <c:w val="0.8938"/>
          <c:h val="0.505933682373473"/>
        </c:manualLayout>
      </c:layout>
      <c:barChart>
        <c:barDir val="col"/>
        <c:grouping val="clustered"/>
        <c:varyColors val="0"/>
        <c:ser>
          <c:idx val="0"/>
          <c:order val="0"/>
          <c:tx>
            <c:strRef>
              <c:f>Sheet1!$B$1</c:f>
              <c:strCache>
                <c:ptCount val="1"/>
                <c:pt idx="0">
                  <c:v>2025年</c:v>
                </c:pt>
              </c:strCache>
            </c:strRef>
          </c:tx>
          <c:spPr>
            <a:solidFill>
              <a:schemeClr val="accent1"/>
            </a:solidFill>
            <a:ln>
              <a:noFill/>
            </a:ln>
            <a:effectLst/>
          </c:spPr>
          <c:invertIfNegative val="0"/>
          <c:dLbls>
            <c:delete val="1"/>
          </c:dLbls>
          <c:cat>
            <c:strRef>
              <c:f>Sheet1!$A$2</c:f>
              <c:strCache>
                <c:ptCount val="1"/>
                <c:pt idx="0">
                  <c:v>一般公共财政拨款支出</c:v>
                </c:pt>
              </c:strCache>
            </c:strRef>
          </c:cat>
          <c:val>
            <c:numRef>
              <c:f>Sheet1!$B$2</c:f>
              <c:numCache>
                <c:formatCode>General</c:formatCode>
                <c:ptCount val="1"/>
                <c:pt idx="0">
                  <c:v>606.08</c:v>
                </c:pt>
              </c:numCache>
            </c:numRef>
          </c:val>
        </c:ser>
        <c:ser>
          <c:idx val="1"/>
          <c:order val="1"/>
          <c:tx>
            <c:strRef>
              <c:f>Sheet1!$C$1</c:f>
              <c:strCache>
                <c:ptCount val="1"/>
                <c:pt idx="0">
                  <c:v>2024年</c:v>
                </c:pt>
              </c:strCache>
            </c:strRef>
          </c:tx>
          <c:spPr>
            <a:solidFill>
              <a:schemeClr val="accent2"/>
            </a:solidFill>
            <a:ln>
              <a:noFill/>
            </a:ln>
            <a:effectLst/>
          </c:spPr>
          <c:invertIfNegative val="0"/>
          <c:dLbls>
            <c:delete val="1"/>
          </c:dLbls>
          <c:cat>
            <c:strRef>
              <c:f>Sheet1!$A$2</c:f>
              <c:strCache>
                <c:ptCount val="1"/>
                <c:pt idx="0">
                  <c:v>一般公共财政拨款支出</c:v>
                </c:pt>
              </c:strCache>
            </c:strRef>
          </c:cat>
          <c:val>
            <c:numRef>
              <c:f>Sheet1!$C$2</c:f>
              <c:numCache>
                <c:formatCode>General</c:formatCode>
                <c:ptCount val="1"/>
                <c:pt idx="0">
                  <c:v>1808.15</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c:f>
              <c:strCache>
                <c:ptCount val="1"/>
                <c:pt idx="0">
                  <c:v>一般公共财政拨款支出</c:v>
                </c:pt>
              </c:strCache>
            </c:strRef>
          </c:cat>
          <c:val>
            <c:numRef>
              <c:f>Sheet1!#REF!</c:f>
              <c:numCache>
                <c:formatCode>General</c:formatCode>
                <c:ptCount val="1"/>
                <c:pt idx="0">
                  <c:v>1</c:v>
                </c:pt>
              </c:numCache>
            </c:numRef>
          </c:val>
        </c:ser>
        <c:dLbls>
          <c:showLegendKey val="0"/>
          <c:showVal val="0"/>
          <c:showCatName val="0"/>
          <c:showSerName val="0"/>
          <c:showPercent val="0"/>
          <c:showBubbleSize val="0"/>
        </c:dLbls>
        <c:gapWidth val="219"/>
        <c:overlap val="-27"/>
        <c:axId val="823431935"/>
        <c:axId val="169162847"/>
      </c:barChart>
      <c:catAx>
        <c:axId val="82343193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69162847"/>
        <c:crosses val="autoZero"/>
        <c:auto val="1"/>
        <c:lblAlgn val="ctr"/>
        <c:lblOffset val="100"/>
        <c:noMultiLvlLbl val="0"/>
      </c:catAx>
      <c:valAx>
        <c:axId val="16916284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23431935"/>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c73fe385-3095-40de-a105-7ab8a09e76d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一般公共预算财政拨款支出构成图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elete val="1"/>
          </c:dLbls>
          <c:cat>
            <c:strRef>
              <c:f>Sheet1!$A$2:$A$5</c:f>
              <c:strCache>
                <c:ptCount val="4"/>
                <c:pt idx="0">
                  <c:v>一般公共服务支出</c:v>
                </c:pt>
                <c:pt idx="1">
                  <c:v>社会保障和就业支出</c:v>
                </c:pt>
                <c:pt idx="2">
                  <c:v>卫生健康支出</c:v>
                </c:pt>
                <c:pt idx="3">
                  <c:v>住房保障支出</c:v>
                </c:pt>
              </c:strCache>
            </c:strRef>
          </c:cat>
          <c:val>
            <c:numRef>
              <c:f>Sheet1!$B$2:$B$5</c:f>
              <c:numCache>
                <c:formatCode>General</c:formatCode>
                <c:ptCount val="4"/>
                <c:pt idx="0">
                  <c:v>510.3</c:v>
                </c:pt>
                <c:pt idx="1">
                  <c:v>49.66</c:v>
                </c:pt>
                <c:pt idx="2">
                  <c:v>27.69</c:v>
                </c:pt>
                <c:pt idx="3">
                  <c:v>54.19</c:v>
                </c:pt>
              </c:numCache>
            </c:numRef>
          </c:val>
        </c:ser>
        <c:dLbls>
          <c:showLegendKey val="0"/>
          <c:showVal val="0"/>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894e1a5d-2bc3-4000-b606-3479aa7e0a3b}"/>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pieChart>
        <c:varyColors val="1"/>
        <c:ser>
          <c:idx val="0"/>
          <c:order val="0"/>
          <c:tx>
            <c:strRef>
              <c:f>Sheet1!$B$1</c:f>
              <c:strCache>
                <c:ptCount val="1"/>
                <c:pt idx="0">
                  <c:v>三公经费支出情况表</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因公出国</c:v>
                </c:pt>
                <c:pt idx="1">
                  <c:v>公务用车运行维护费</c:v>
                </c:pt>
                <c:pt idx="2">
                  <c:v>公务接待费</c:v>
                </c:pt>
              </c:strCache>
            </c:strRef>
          </c:cat>
          <c:val>
            <c:numRef>
              <c:f>Sheet1!$B$2:$B$4</c:f>
              <c:numCache>
                <c:formatCode>General</c:formatCode>
                <c:ptCount val="3"/>
                <c:pt idx="0">
                  <c:v>0</c:v>
                </c:pt>
                <c:pt idx="1">
                  <c:v>5.43</c:v>
                </c:pt>
                <c:pt idx="2">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38a6fe8-9b09-4835-8638-2c0e2f16ce22}"/>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四川省财政厅</Company>
  <Pages>38</Pages>
  <Words>14085</Words>
  <Characters>15616</Characters>
  <Lines>1</Lines>
  <Paragraphs>1</Paragraphs>
  <TotalTime>19</TotalTime>
  <ScaleCrop>false</ScaleCrop>
  <LinksUpToDate>false</LinksUpToDate>
  <CharactersWithSpaces>15939</CharactersWithSpaces>
  <Application>WPS Office_12.1.2.28080_F1E327BC-269C-435d-A152-05C5408002CA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2020-08-05T17:49:00Z</dcterms:created>
  <dc:creator>曹颖</dc:creator>
  <cp:lastModifiedBy>user</cp:lastModifiedBy>
  <cp:lastPrinted>2025-09-18T18:53:00Z</cp:lastPrinted>
  <dcterms:modified xsi:type="dcterms:W3CDTF">2026-10-16T10:42:26Z</dcterms:modified>
  <dc:title>四川省***</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2052-12.1.2.28080</vt:lpwstr>
  </property>
  <property fmtid="{D5CDD505-2E9C-101B-9397-08002B2CF9AE}" pid="3" name="ICV">
    <vt:lpwstr>EEBB459259A34692A3BE4F4236310D61</vt:lpwstr>
  </property>
  <property fmtid="{D5CDD505-2E9C-101B-9397-08002B2CF9AE}" pid="4" name="KSOTemplateDocerSaveRecord">
    <vt:lpwstr>eyJoZGlkIjoiMzk3MmE1NTM5OTI0MWM2NWZiNjlkYTFmNDI5MGJlNGIiLCJ1c2VySWQiOiI3MTI5NTg5MjIifQ==</vt:lpwstr>
  </property>
</Properties>
</file>