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theme/themeOverride1.xml" ContentType="application/vnd.openxmlformats-officedocument.themeOverride+xml"/>
  <Override PartName="/word/theme/themeOverride2.xml" ContentType="application/vnd.openxmlformats-officedocument.themeOverride+xml"/>
  <Override PartName="/word/theme/themeOverride3.xml" ContentType="application/vnd.openxmlformats-officedocument.themeOverride+xml"/>
  <Override PartName="/word/theme/themeOverride4.xml" ContentType="application/vnd.openxmlformats-officedocument.themeOverride+xml"/>
  <Override PartName="/word/theme/themeOverride5.xml" ContentType="application/vnd.openxmlformats-officedocument.themeOverride+xml"/>
  <Override PartName="/word/theme/themeOverride6.xml" ContentType="application/vnd.openxmlformats-officedocument.themeOverrid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widowControl/>
        <w:suppressLineNumbers w:val="0"/>
        <w:adjustRightInd w:val="0"/>
        <w:snapToGrid w:val="0"/>
        <w:spacing w:line="360" w:lineRule="auto"/>
        <w:jc w:val="center"/>
        <w:rPr>
          <w:rFonts w:hint="eastAsia" w:ascii="方正小标宋简体" w:hAnsi="宋体" w:eastAsia="方正小标宋简体" w:cs="宋体"/>
          <w:color w:val="000000"/>
          <w:kern w:val="0"/>
          <w:sz w:val="72"/>
          <w:szCs w:val="72"/>
        </w:rPr>
      </w:pPr>
      <w:bookmarkStart w:id="0" w:name="_Toc15377425"/>
      <w:bookmarkEnd w:id="0"/>
      <w:bookmarkStart w:id="1" w:name="_Toc15396597"/>
      <w:bookmarkEnd w:id="1"/>
      <w:bookmarkStart w:id="2" w:name="_Toc15378441"/>
      <w:bookmarkEnd w:id="2"/>
      <w:bookmarkStart w:id="3" w:name="_Toc15396475"/>
      <w:bookmarkEnd w:id="3"/>
      <w:bookmarkStart w:id="4" w:name="_Toc15377193"/>
      <w:r>
        <w:rPr>
          <w:rFonts w:hint="eastAsia" w:ascii="黑体" w:hAnsi="宋体" w:eastAsia="黑体" w:cs="宋体"/>
          <w:color w:val="000000"/>
          <w:kern w:val="0"/>
          <w:sz w:val="72"/>
          <w:szCs w:val="72"/>
        </w:rPr>
        <w:t>20</w:t>
      </w:r>
      <w:bookmarkEnd w:id="4"/>
      <w:r>
        <w:rPr>
          <w:rFonts w:hint="eastAsia" w:ascii="黑体" w:eastAsia="黑体" w:cs="宋体"/>
          <w:color w:val="000000"/>
          <w:kern w:val="0"/>
          <w:sz w:val="72"/>
          <w:szCs w:val="72"/>
          <w:lang w:val="en-US" w:eastAsia="zh-CN"/>
        </w:rPr>
        <w:t>25</w:t>
      </w:r>
      <w:r>
        <w:rPr>
          <w:rFonts w:hint="eastAsia" w:ascii="方正小标宋简体" w:hAnsi="方正小标宋简体" w:eastAsia="方正小标宋简体" w:cs="方正小标宋简体"/>
          <w:color w:val="000000"/>
          <w:kern w:val="0"/>
          <w:sz w:val="72"/>
          <w:szCs w:val="72"/>
        </w:rPr>
        <w:t>年度</w:t>
      </w:r>
    </w:p>
    <w:p>
      <w:pPr>
        <w:keepNext w:val="0"/>
        <w:keepLines w:val="0"/>
        <w:widowControl/>
        <w:suppressLineNumbers w:val="0"/>
        <w:adjustRightInd w:val="0"/>
        <w:snapToGrid w:val="0"/>
        <w:spacing w:line="360" w:lineRule="auto"/>
        <w:jc w:val="center"/>
        <w:rPr>
          <w:rFonts w:hint="eastAsia" w:ascii="方正小标宋简体" w:hAnsi="宋体" w:eastAsia="方正小标宋简体" w:cs="宋体"/>
          <w:color w:val="000000"/>
          <w:kern w:val="0"/>
          <w:sz w:val="72"/>
          <w:szCs w:val="72"/>
        </w:rPr>
      </w:pPr>
      <w:bookmarkStart w:id="5" w:name="_Toc15396598"/>
      <w:bookmarkEnd w:id="5"/>
      <w:bookmarkStart w:id="6" w:name="_Toc15377194"/>
      <w:bookmarkEnd w:id="6"/>
      <w:bookmarkStart w:id="7" w:name="_Toc15378442"/>
      <w:bookmarkEnd w:id="7"/>
      <w:bookmarkStart w:id="8" w:name="_Toc15306268"/>
      <w:bookmarkEnd w:id="8"/>
      <w:bookmarkStart w:id="9" w:name="_Toc15377426"/>
      <w:bookmarkEnd w:id="9"/>
      <w:bookmarkStart w:id="10" w:name="_Toc15396476"/>
      <w:r>
        <w:rPr>
          <w:rFonts w:hint="eastAsia" w:ascii="方正小标宋简体" w:hAnsi="方正小标宋简体" w:eastAsia="方正小标宋简体" w:cs="方正小标宋简体"/>
          <w:color w:val="000000"/>
          <w:kern w:val="0"/>
          <w:sz w:val="72"/>
          <w:szCs w:val="72"/>
        </w:rPr>
        <w:t>四川省红原县寄宿制藏文中学</w:t>
      </w:r>
      <w:bookmarkEnd w:id="10"/>
      <w:r>
        <w:rPr>
          <w:rFonts w:hint="eastAsia" w:ascii="方正小标宋简体" w:hAnsi="方正小标宋简体" w:eastAsia="方正小标宋简体" w:cs="方正小标宋简体"/>
          <w:color w:val="000000"/>
          <w:kern w:val="0"/>
          <w:sz w:val="72"/>
          <w:szCs w:val="72"/>
        </w:rPr>
        <w:t>部门决算</w:t>
      </w:r>
    </w:p>
    <w:p>
      <w:pPr>
        <w:pStyle w:val="8"/>
        <w:keepNext w:val="0"/>
        <w:keepLines w:val="0"/>
        <w:widowControl/>
        <w:suppressLineNumbers w:val="0"/>
        <w:spacing w:before="0" w:beforeAutospacing="0"/>
        <w:ind w:left="0"/>
        <w:jc w:val="center"/>
        <w:rPr>
          <w:rFonts w:hint="eastAsia" w:ascii="宋体" w:hAnsi="宋体" w:eastAsia="宋体" w:cs="宋体"/>
          <w:kern w:val="0"/>
          <w:sz w:val="24"/>
          <w:szCs w:val="24"/>
        </w:rPr>
      </w:pPr>
      <w:r>
        <w:rPr>
          <w:rFonts w:hint="eastAsia" w:ascii="宋体" w:hAnsi="宋体" w:eastAsia="宋体" w:cs="宋体"/>
          <w:kern w:val="0"/>
          <w:sz w:val="24"/>
          <w:szCs w:val="24"/>
          <w:shd w:val="clear" w:fill="FFFFFF"/>
        </w:rPr>
        <w:t xml:space="preserve"> </w:t>
      </w:r>
    </w:p>
    <w:p>
      <w:pPr>
        <w:pStyle w:val="8"/>
        <w:keepNext w:val="0"/>
        <w:keepLines w:val="0"/>
        <w:widowControl/>
        <w:suppressLineNumbers w:val="0"/>
        <w:spacing w:before="0" w:beforeAutospacing="0"/>
        <w:ind w:left="0"/>
        <w:jc w:val="center"/>
        <w:rPr>
          <w:rFonts w:hint="eastAsia" w:ascii="宋体" w:hAnsi="宋体" w:eastAsia="宋体" w:cs="宋体"/>
          <w:kern w:val="0"/>
          <w:sz w:val="24"/>
          <w:szCs w:val="24"/>
        </w:rPr>
      </w:pPr>
      <w:r>
        <w:rPr>
          <w:rFonts w:hint="eastAsia" w:ascii="宋体" w:hAnsi="宋体" w:eastAsia="宋体" w:cs="宋体"/>
          <w:kern w:val="0"/>
          <w:sz w:val="24"/>
          <w:szCs w:val="24"/>
          <w:shd w:val="clear" w:fill="FFFFFF"/>
        </w:rPr>
        <w:t xml:space="preserve"> </w:t>
      </w:r>
    </w:p>
    <w:p>
      <w:pPr>
        <w:pStyle w:val="8"/>
        <w:keepNext w:val="0"/>
        <w:keepLines w:val="0"/>
        <w:widowControl/>
        <w:suppressLineNumbers w:val="0"/>
        <w:spacing w:before="0" w:beforeAutospacing="0"/>
        <w:ind w:left="0"/>
        <w:jc w:val="center"/>
        <w:rPr>
          <w:rFonts w:hint="eastAsia" w:ascii="宋体" w:hAnsi="宋体" w:eastAsia="宋体" w:cs="宋体"/>
          <w:kern w:val="0"/>
          <w:sz w:val="24"/>
          <w:szCs w:val="24"/>
        </w:rPr>
      </w:pPr>
      <w:r>
        <w:rPr>
          <w:rFonts w:hint="eastAsia" w:ascii="宋体" w:hAnsi="宋体" w:eastAsia="宋体" w:cs="宋体"/>
          <w:kern w:val="0"/>
          <w:sz w:val="24"/>
          <w:szCs w:val="24"/>
          <w:shd w:val="clear" w:fill="FFFFFF"/>
        </w:rPr>
        <w:t xml:space="preserve"> </w:t>
      </w:r>
    </w:p>
    <w:p>
      <w:pPr>
        <w:pStyle w:val="8"/>
        <w:keepNext w:val="0"/>
        <w:keepLines w:val="0"/>
        <w:widowControl/>
        <w:suppressLineNumbers w:val="0"/>
        <w:spacing w:before="0" w:beforeAutospacing="0"/>
        <w:ind w:left="0"/>
        <w:jc w:val="center"/>
        <w:rPr>
          <w:rFonts w:hint="eastAsia" w:ascii="宋体" w:hAnsi="宋体" w:eastAsia="宋体" w:cs="宋体"/>
          <w:kern w:val="0"/>
          <w:sz w:val="24"/>
          <w:szCs w:val="24"/>
        </w:rPr>
      </w:pPr>
      <w:r>
        <w:rPr>
          <w:rFonts w:hint="eastAsia" w:ascii="宋体" w:hAnsi="宋体" w:eastAsia="宋体" w:cs="宋体"/>
          <w:kern w:val="0"/>
          <w:sz w:val="24"/>
          <w:szCs w:val="24"/>
          <w:shd w:val="clear" w:fill="FFFFFF"/>
        </w:rPr>
        <w:t xml:space="preserve"> </w:t>
      </w:r>
    </w:p>
    <w:p>
      <w:pPr>
        <w:pStyle w:val="8"/>
        <w:keepNext w:val="0"/>
        <w:keepLines w:val="0"/>
        <w:widowControl/>
        <w:suppressLineNumbers w:val="0"/>
        <w:spacing w:before="0" w:beforeAutospacing="0"/>
        <w:ind w:left="0"/>
        <w:jc w:val="center"/>
        <w:rPr>
          <w:rFonts w:hint="eastAsia" w:ascii="宋体" w:hAnsi="宋体" w:eastAsia="宋体" w:cs="宋体"/>
          <w:kern w:val="0"/>
          <w:sz w:val="24"/>
          <w:szCs w:val="24"/>
        </w:rPr>
      </w:pPr>
      <w:r>
        <w:rPr>
          <w:rFonts w:hint="eastAsia" w:ascii="宋体" w:hAnsi="宋体" w:eastAsia="宋体" w:cs="宋体"/>
          <w:kern w:val="0"/>
          <w:sz w:val="24"/>
          <w:szCs w:val="24"/>
          <w:shd w:val="clear" w:fill="FFFFFF"/>
        </w:rPr>
        <w:t xml:space="preserve"> </w:t>
      </w:r>
    </w:p>
    <w:p>
      <w:pPr>
        <w:pStyle w:val="8"/>
        <w:keepNext w:val="0"/>
        <w:keepLines w:val="0"/>
        <w:widowControl/>
        <w:suppressLineNumbers w:val="0"/>
        <w:spacing w:before="0" w:beforeAutospacing="0"/>
        <w:ind w:left="0"/>
        <w:jc w:val="center"/>
        <w:rPr>
          <w:rFonts w:hint="eastAsia" w:ascii="宋体" w:hAnsi="宋体" w:eastAsia="宋体" w:cs="宋体"/>
          <w:kern w:val="0"/>
          <w:sz w:val="24"/>
          <w:szCs w:val="24"/>
        </w:rPr>
      </w:pPr>
      <w:r>
        <w:rPr>
          <w:rFonts w:hint="eastAsia" w:ascii="宋体" w:hAnsi="宋体" w:eastAsia="宋体" w:cs="宋体"/>
          <w:kern w:val="0"/>
          <w:sz w:val="24"/>
          <w:szCs w:val="24"/>
          <w:shd w:val="clear" w:fill="FFFFFF"/>
        </w:rPr>
        <w:t xml:space="preserve"> </w:t>
      </w:r>
    </w:p>
    <w:p>
      <w:pPr>
        <w:pStyle w:val="8"/>
        <w:keepNext w:val="0"/>
        <w:keepLines w:val="0"/>
        <w:widowControl/>
        <w:suppressLineNumbers w:val="0"/>
        <w:spacing w:before="0" w:beforeAutospacing="0"/>
        <w:ind w:left="0"/>
        <w:jc w:val="center"/>
        <w:rPr>
          <w:rFonts w:hint="eastAsia" w:ascii="宋体" w:hAnsi="宋体" w:eastAsia="宋体" w:cs="宋体"/>
          <w:kern w:val="0"/>
          <w:sz w:val="24"/>
          <w:szCs w:val="24"/>
        </w:rPr>
      </w:pPr>
      <w:r>
        <w:rPr>
          <w:rFonts w:hint="eastAsia" w:ascii="宋体" w:hAnsi="宋体" w:eastAsia="宋体" w:cs="宋体"/>
          <w:kern w:val="0"/>
          <w:sz w:val="24"/>
          <w:szCs w:val="24"/>
          <w:shd w:val="clear" w:fill="FFFFFF"/>
        </w:rPr>
        <w:t xml:space="preserve"> </w:t>
      </w:r>
    </w:p>
    <w:p>
      <w:pPr>
        <w:pStyle w:val="8"/>
        <w:keepNext w:val="0"/>
        <w:keepLines w:val="0"/>
        <w:widowControl/>
        <w:suppressLineNumbers w:val="0"/>
        <w:spacing w:before="0" w:beforeAutospacing="0"/>
        <w:ind w:left="0"/>
        <w:jc w:val="center"/>
        <w:rPr>
          <w:rFonts w:hint="eastAsia" w:ascii="宋体" w:hAnsi="宋体" w:eastAsia="宋体" w:cs="宋体"/>
          <w:kern w:val="0"/>
          <w:sz w:val="24"/>
          <w:szCs w:val="24"/>
        </w:rPr>
      </w:pPr>
      <w:r>
        <w:rPr>
          <w:rFonts w:hint="eastAsia" w:ascii="宋体" w:hAnsi="宋体" w:eastAsia="宋体" w:cs="宋体"/>
          <w:kern w:val="0"/>
          <w:sz w:val="24"/>
          <w:szCs w:val="24"/>
          <w:shd w:val="clear" w:fill="FFFFFF"/>
        </w:rPr>
        <w:t xml:space="preserve"> </w:t>
      </w:r>
    </w:p>
    <w:p>
      <w:pPr>
        <w:pStyle w:val="8"/>
        <w:keepNext w:val="0"/>
        <w:keepLines w:val="0"/>
        <w:widowControl/>
        <w:suppressLineNumbers w:val="0"/>
        <w:spacing w:before="0" w:beforeAutospacing="0"/>
        <w:ind w:left="0"/>
        <w:jc w:val="center"/>
        <w:rPr>
          <w:rFonts w:hint="eastAsia" w:ascii="宋体" w:hAnsi="宋体" w:eastAsia="宋体" w:cs="宋体"/>
          <w:kern w:val="0"/>
          <w:sz w:val="24"/>
          <w:szCs w:val="24"/>
        </w:rPr>
      </w:pPr>
      <w:r>
        <w:rPr>
          <w:rFonts w:hint="eastAsia" w:ascii="宋体" w:hAnsi="宋体" w:eastAsia="宋体" w:cs="宋体"/>
          <w:kern w:val="0"/>
          <w:sz w:val="24"/>
          <w:szCs w:val="24"/>
          <w:shd w:val="clear" w:fill="FFFFFF"/>
        </w:rPr>
        <w:t xml:space="preserve"> </w:t>
      </w:r>
    </w:p>
    <w:p>
      <w:pPr>
        <w:pStyle w:val="8"/>
        <w:keepNext w:val="0"/>
        <w:keepLines w:val="0"/>
        <w:widowControl/>
        <w:suppressLineNumbers w:val="0"/>
        <w:spacing w:before="0" w:beforeAutospacing="0"/>
        <w:ind w:left="0"/>
        <w:jc w:val="center"/>
        <w:rPr>
          <w:rFonts w:hint="eastAsia" w:ascii="宋体" w:hAnsi="宋体" w:eastAsia="宋体" w:cs="宋体"/>
          <w:kern w:val="0"/>
          <w:sz w:val="24"/>
          <w:szCs w:val="24"/>
        </w:rPr>
      </w:pPr>
      <w:r>
        <w:rPr>
          <w:rFonts w:hint="eastAsia" w:ascii="宋体" w:hAnsi="宋体" w:eastAsia="宋体" w:cs="宋体"/>
          <w:kern w:val="0"/>
          <w:sz w:val="24"/>
          <w:szCs w:val="24"/>
          <w:shd w:val="clear" w:fill="FFFFFF"/>
        </w:rPr>
        <w:t xml:space="preserve"> </w:t>
      </w:r>
    </w:p>
    <w:p>
      <w:pPr>
        <w:pStyle w:val="8"/>
        <w:keepNext w:val="0"/>
        <w:keepLines w:val="0"/>
        <w:widowControl/>
        <w:suppressLineNumbers w:val="0"/>
        <w:spacing w:before="0" w:beforeAutospacing="0"/>
        <w:ind w:left="0"/>
        <w:jc w:val="center"/>
        <w:rPr>
          <w:rFonts w:hint="eastAsia" w:ascii="宋体" w:hAnsi="宋体" w:eastAsia="宋体" w:cs="宋体"/>
          <w:kern w:val="0"/>
          <w:sz w:val="24"/>
          <w:szCs w:val="24"/>
        </w:rPr>
      </w:pPr>
      <w:r>
        <w:rPr>
          <w:rFonts w:hint="eastAsia" w:ascii="宋体" w:hAnsi="宋体" w:eastAsia="宋体" w:cs="宋体"/>
          <w:kern w:val="0"/>
          <w:sz w:val="24"/>
          <w:szCs w:val="24"/>
          <w:shd w:val="clear" w:fill="FFFFFF"/>
        </w:rPr>
        <w:t xml:space="preserve"> </w:t>
      </w:r>
    </w:p>
    <w:p>
      <w:pPr>
        <w:pStyle w:val="8"/>
        <w:keepNext w:val="0"/>
        <w:keepLines w:val="0"/>
        <w:widowControl/>
        <w:suppressLineNumbers w:val="0"/>
        <w:spacing w:before="0" w:beforeAutospacing="0"/>
        <w:ind w:left="0"/>
        <w:jc w:val="left"/>
        <w:rPr>
          <w:rFonts w:hint="eastAsia" w:ascii="宋体" w:hAnsi="宋体" w:eastAsia="宋体" w:cs="宋体"/>
          <w:kern w:val="0"/>
          <w:sz w:val="24"/>
          <w:szCs w:val="24"/>
        </w:rPr>
      </w:pPr>
      <w:r>
        <w:rPr>
          <w:rFonts w:hint="eastAsia" w:ascii="宋体" w:hAnsi="宋体" w:eastAsia="宋体" w:cs="宋体"/>
          <w:kern w:val="0"/>
          <w:sz w:val="24"/>
          <w:szCs w:val="24"/>
          <w:shd w:val="clear" w:fill="FFFFFF"/>
        </w:rPr>
        <w:t xml:space="preserve"> </w:t>
      </w:r>
    </w:p>
    <w:p>
      <w:pPr>
        <w:pStyle w:val="8"/>
        <w:keepNext w:val="0"/>
        <w:keepLines w:val="0"/>
        <w:widowControl/>
        <w:suppressLineNumbers w:val="0"/>
        <w:spacing w:before="0" w:beforeAutospacing="0"/>
        <w:ind w:left="0"/>
        <w:jc w:val="left"/>
        <w:rPr>
          <w:rFonts w:hint="eastAsia" w:ascii="宋体" w:hAnsi="宋体" w:eastAsia="宋体" w:cs="宋体"/>
          <w:kern w:val="0"/>
          <w:sz w:val="24"/>
          <w:szCs w:val="24"/>
        </w:rPr>
      </w:pPr>
      <w:r>
        <w:rPr>
          <w:rFonts w:hint="eastAsia" w:ascii="宋体" w:hAnsi="宋体" w:eastAsia="宋体" w:cs="宋体"/>
          <w:kern w:val="0"/>
          <w:sz w:val="24"/>
          <w:szCs w:val="24"/>
          <w:shd w:val="clear" w:fill="FFFFFF"/>
        </w:rPr>
        <w:t xml:space="preserve"> </w:t>
      </w:r>
    </w:p>
    <w:p>
      <w:pPr>
        <w:pStyle w:val="8"/>
        <w:keepNext w:val="0"/>
        <w:keepLines w:val="0"/>
        <w:widowControl/>
        <w:suppressLineNumbers w:val="0"/>
        <w:spacing w:before="0" w:beforeAutospacing="0"/>
        <w:ind w:left="0"/>
        <w:jc w:val="left"/>
        <w:rPr>
          <w:rFonts w:hint="eastAsia" w:ascii="宋体" w:hAnsi="宋体" w:eastAsia="宋体" w:cs="宋体"/>
          <w:kern w:val="0"/>
          <w:sz w:val="24"/>
          <w:szCs w:val="24"/>
        </w:rPr>
      </w:pPr>
      <w:r>
        <w:rPr>
          <w:rFonts w:hint="eastAsia" w:ascii="宋体" w:hAnsi="宋体" w:eastAsia="宋体" w:cs="宋体"/>
          <w:kern w:val="0"/>
          <w:sz w:val="24"/>
          <w:szCs w:val="24"/>
          <w:shd w:val="clear" w:fill="FFFFFF"/>
        </w:rPr>
        <w:t xml:space="preserve"> </w:t>
      </w:r>
    </w:p>
    <w:p>
      <w:pPr>
        <w:pStyle w:val="8"/>
        <w:keepNext w:val="0"/>
        <w:keepLines w:val="0"/>
        <w:widowControl/>
        <w:suppressLineNumbers w:val="0"/>
        <w:spacing w:before="0" w:beforeAutospacing="0"/>
        <w:ind w:left="0"/>
        <w:jc w:val="left"/>
        <w:rPr>
          <w:rFonts w:hint="eastAsia" w:ascii="宋体" w:hAnsi="宋体" w:eastAsia="宋体" w:cs="宋体"/>
          <w:kern w:val="0"/>
          <w:sz w:val="24"/>
          <w:szCs w:val="24"/>
        </w:rPr>
      </w:pPr>
      <w:r>
        <w:rPr>
          <w:rFonts w:hint="eastAsia" w:ascii="宋体" w:hAnsi="宋体" w:eastAsia="宋体" w:cs="宋体"/>
          <w:kern w:val="0"/>
          <w:sz w:val="24"/>
          <w:szCs w:val="24"/>
          <w:shd w:val="clear" w:fill="FFFFFF"/>
        </w:rPr>
        <w:t xml:space="preserve"> </w:t>
      </w:r>
    </w:p>
    <w:p>
      <w:pPr>
        <w:pStyle w:val="8"/>
        <w:keepNext w:val="0"/>
        <w:keepLines w:val="0"/>
        <w:widowControl/>
        <w:suppressLineNumbers w:val="0"/>
        <w:spacing w:before="0" w:beforeAutospacing="0"/>
        <w:ind w:left="0"/>
        <w:jc w:val="center"/>
        <w:rPr>
          <w:rStyle w:val="9"/>
          <w:rFonts w:hint="eastAsia" w:ascii="宋体" w:hAnsi="宋体" w:eastAsia="宋体" w:cs="宋体"/>
          <w:b/>
          <w:bCs/>
          <w:sz w:val="30"/>
          <w:szCs w:val="30"/>
          <w:shd w:val="clear" w:fill="FFFFFF"/>
        </w:rPr>
        <w:sectPr>
          <w:pgSz w:w="11915" w:h="16851"/>
          <w:pgMar w:top="1440" w:right="1800" w:bottom="1440" w:left="1800" w:header="851" w:footer="992" w:gutter="0"/>
          <w:cols w:space="0" w:num="1"/>
          <w:docGrid w:type="lines" w:linePitch="312" w:charSpace="0"/>
        </w:sectPr>
      </w:pPr>
    </w:p>
    <w:p>
      <w:pPr>
        <w:pStyle w:val="8"/>
        <w:keepNext w:val="0"/>
        <w:keepLines w:val="0"/>
        <w:widowControl/>
        <w:suppressLineNumbers w:val="0"/>
        <w:spacing w:before="0" w:beforeAutospacing="0"/>
        <w:ind w:left="0"/>
        <w:jc w:val="center"/>
        <w:rPr>
          <w:rFonts w:hint="eastAsia" w:ascii="黑体" w:hAnsi="宋体" w:eastAsia="黑体" w:cs="Times New Roman"/>
          <w:color w:val="000000"/>
          <w:kern w:val="2"/>
          <w:sz w:val="48"/>
          <w:szCs w:val="48"/>
        </w:rPr>
      </w:pPr>
      <w:r>
        <w:rPr>
          <w:rStyle w:val="9"/>
          <w:rFonts w:hint="eastAsia" w:ascii="宋体" w:hAnsi="宋体" w:eastAsia="宋体" w:cs="宋体"/>
          <w:b/>
          <w:bCs/>
          <w:sz w:val="30"/>
          <w:szCs w:val="30"/>
          <w:shd w:val="clear" w:fill="FFFFFF"/>
        </w:rPr>
        <w:t xml:space="preserve"> </w:t>
      </w:r>
      <w:r>
        <w:rPr>
          <w:rFonts w:hint="eastAsia" w:ascii="黑体" w:hAnsi="宋体" w:eastAsia="黑体" w:cs="黑体"/>
          <w:color w:val="000000"/>
          <w:kern w:val="2"/>
          <w:sz w:val="48"/>
          <w:szCs w:val="48"/>
        </w:rPr>
        <w:t>目</w:t>
      </w:r>
      <w:r>
        <w:rPr>
          <w:rFonts w:hint="eastAsia" w:ascii="黑体" w:hAnsi="宋体" w:eastAsia="黑体" w:cs="Times New Roman"/>
          <w:color w:val="000000"/>
          <w:kern w:val="2"/>
          <w:sz w:val="48"/>
          <w:szCs w:val="48"/>
        </w:rPr>
        <w:t xml:space="preserve">        </w:t>
      </w:r>
      <w:r>
        <w:rPr>
          <w:rFonts w:hint="eastAsia" w:ascii="黑体" w:hAnsi="宋体" w:eastAsia="黑体" w:cs="黑体"/>
          <w:color w:val="000000"/>
          <w:kern w:val="2"/>
          <w:sz w:val="48"/>
          <w:szCs w:val="48"/>
        </w:rPr>
        <w:t>录</w:t>
      </w:r>
    </w:p>
    <w:p>
      <w:pPr>
        <w:keepNext w:val="0"/>
        <w:keepLines w:val="0"/>
        <w:widowControl/>
        <w:suppressLineNumbers w:val="0"/>
        <w:spacing w:before="0" w:beforeAutospacing="0" w:after="0" w:afterAutospacing="0"/>
        <w:ind w:left="0" w:right="0"/>
        <w:jc w:val="center"/>
        <w:outlineLvl w:val="0"/>
        <w:rPr>
          <w:rFonts w:hint="eastAsia" w:ascii="黑体" w:hAnsi="宋体" w:eastAsia="黑体" w:cs="Times New Roman"/>
          <w:color w:val="000000"/>
          <w:kern w:val="2"/>
          <w:sz w:val="48"/>
          <w:szCs w:val="48"/>
        </w:rPr>
      </w:pPr>
      <w:r>
        <w:rPr>
          <w:rFonts w:hint="eastAsia" w:ascii="黑体" w:hAnsi="宋体" w:eastAsia="黑体" w:cs="黑体"/>
          <w:color w:val="000000"/>
          <w:kern w:val="2"/>
          <w:sz w:val="32"/>
          <w:szCs w:val="32"/>
        </w:rPr>
        <w:t>公开时间：</w:t>
      </w:r>
      <w:r>
        <w:rPr>
          <w:rFonts w:hint="eastAsia" w:ascii="黑体" w:hAnsi="宋体" w:eastAsia="黑体" w:cs="Times New Roman"/>
          <w:color w:val="000000"/>
          <w:kern w:val="2"/>
          <w:sz w:val="32"/>
          <w:szCs w:val="32"/>
        </w:rPr>
        <w:t>202</w:t>
      </w:r>
      <w:r>
        <w:rPr>
          <w:rFonts w:hint="eastAsia" w:ascii="黑体" w:eastAsia="黑体" w:cs="Times New Roman"/>
          <w:color w:val="000000"/>
          <w:kern w:val="2"/>
          <w:sz w:val="32"/>
          <w:szCs w:val="32"/>
          <w:lang w:val="en-US" w:eastAsia="zh-CN"/>
        </w:rPr>
        <w:t>6</w:t>
      </w:r>
      <w:r>
        <w:rPr>
          <w:rFonts w:hint="eastAsia" w:ascii="黑体" w:hAnsi="宋体" w:eastAsia="黑体" w:cs="黑体"/>
          <w:color w:val="000000"/>
          <w:kern w:val="2"/>
          <w:sz w:val="32"/>
          <w:szCs w:val="32"/>
        </w:rPr>
        <w:t>年</w:t>
      </w:r>
      <w:r>
        <w:rPr>
          <w:rFonts w:hint="eastAsia" w:ascii="黑体" w:hAnsi="宋体" w:eastAsia="黑体" w:cs="Times New Roman"/>
          <w:color w:val="000000"/>
          <w:kern w:val="2"/>
          <w:sz w:val="32"/>
          <w:szCs w:val="32"/>
        </w:rPr>
        <w:t xml:space="preserve"> 1</w:t>
      </w:r>
      <w:r>
        <w:rPr>
          <w:rFonts w:hint="eastAsia" w:ascii="黑体" w:eastAsia="黑体" w:cs="Times New Roman"/>
          <w:color w:val="000000"/>
          <w:kern w:val="2"/>
          <w:sz w:val="32"/>
          <w:szCs w:val="32"/>
          <w:lang w:val="en-US" w:eastAsia="zh-CN"/>
        </w:rPr>
        <w:t>0</w:t>
      </w:r>
      <w:r>
        <w:rPr>
          <w:rFonts w:hint="eastAsia" w:ascii="黑体" w:hAnsi="宋体" w:eastAsia="黑体" w:cs="Times New Roman"/>
          <w:color w:val="000000"/>
          <w:kern w:val="2"/>
          <w:sz w:val="32"/>
          <w:szCs w:val="32"/>
        </w:rPr>
        <w:t xml:space="preserve"> </w:t>
      </w:r>
      <w:r>
        <w:rPr>
          <w:rFonts w:hint="eastAsia" w:ascii="黑体" w:hAnsi="宋体" w:eastAsia="黑体" w:cs="黑体"/>
          <w:color w:val="000000"/>
          <w:kern w:val="2"/>
          <w:sz w:val="32"/>
          <w:szCs w:val="32"/>
        </w:rPr>
        <w:t>月</w:t>
      </w:r>
      <w:r>
        <w:rPr>
          <w:rFonts w:hint="eastAsia" w:ascii="黑体" w:eastAsia="黑体" w:cs="黑体"/>
          <w:color w:val="000000"/>
          <w:kern w:val="2"/>
          <w:sz w:val="32"/>
          <w:szCs w:val="32"/>
          <w:lang w:val="en-US" w:eastAsia="zh-CN"/>
        </w:rPr>
        <w:t xml:space="preserve"> </w:t>
      </w:r>
      <w:r>
        <w:rPr>
          <w:rFonts w:hint="eastAsia" w:ascii="黑体" w:eastAsia="黑体" w:cs="Times New Roman"/>
          <w:color w:val="000000"/>
          <w:kern w:val="2"/>
          <w:sz w:val="32"/>
          <w:szCs w:val="32"/>
          <w:lang w:val="en-US" w:eastAsia="zh-CN"/>
        </w:rPr>
        <w:t>9</w:t>
      </w:r>
      <w:r>
        <w:rPr>
          <w:rFonts w:hint="eastAsia" w:ascii="黑体" w:hAnsi="宋体" w:eastAsia="黑体" w:cs="黑体"/>
          <w:color w:val="000000"/>
          <w:kern w:val="2"/>
          <w:sz w:val="32"/>
          <w:szCs w:val="32"/>
        </w:rPr>
        <w:t>日</w:t>
      </w:r>
    </w:p>
    <w:p>
      <w:pPr>
        <w:pStyle w:val="8"/>
        <w:keepNext w:val="0"/>
        <w:keepLines w:val="0"/>
        <w:widowControl/>
        <w:suppressLineNumbers w:val="0"/>
        <w:spacing w:before="0" w:beforeAutospacing="0"/>
        <w:ind w:left="0"/>
        <w:jc w:val="left"/>
        <w:rPr>
          <w:rFonts w:hint="eastAsia" w:ascii="宋体" w:hAnsi="宋体" w:eastAsia="宋体" w:cs="宋体"/>
          <w:kern w:val="0"/>
          <w:sz w:val="24"/>
          <w:szCs w:val="24"/>
        </w:rPr>
      </w:pPr>
      <w:r>
        <w:rPr>
          <w:rFonts w:hint="eastAsia" w:ascii="宋体" w:hAnsi="宋体" w:eastAsia="宋体" w:cs="宋体"/>
          <w:kern w:val="0"/>
          <w:sz w:val="24"/>
          <w:szCs w:val="24"/>
          <w:shd w:val="clear" w:fill="FFFFFF"/>
        </w:rPr>
        <w:t>第一部分 部门概况</w:t>
      </w:r>
    </w:p>
    <w:p>
      <w:pPr>
        <w:pStyle w:val="8"/>
        <w:keepNext w:val="0"/>
        <w:keepLines w:val="0"/>
        <w:widowControl/>
        <w:suppressLineNumbers w:val="0"/>
        <w:spacing w:before="0" w:beforeAutospacing="0"/>
        <w:ind w:left="0"/>
        <w:jc w:val="left"/>
        <w:rPr>
          <w:rFonts w:hint="eastAsia" w:ascii="宋体" w:hAnsi="宋体" w:eastAsia="宋体" w:cs="宋体"/>
          <w:kern w:val="0"/>
          <w:sz w:val="24"/>
          <w:szCs w:val="24"/>
        </w:rPr>
      </w:pPr>
      <w:r>
        <w:rPr>
          <w:rFonts w:hint="eastAsia" w:ascii="宋体" w:hAnsi="宋体" w:eastAsia="宋体" w:cs="宋体"/>
          <w:kern w:val="0"/>
          <w:sz w:val="24"/>
          <w:szCs w:val="24"/>
          <w:shd w:val="clear" w:fill="FFFFFF"/>
        </w:rPr>
        <w:t>一、基本职能及主要工作</w:t>
      </w:r>
    </w:p>
    <w:p>
      <w:pPr>
        <w:pStyle w:val="8"/>
        <w:keepNext w:val="0"/>
        <w:keepLines w:val="0"/>
        <w:widowControl/>
        <w:suppressLineNumbers w:val="0"/>
        <w:spacing w:before="0" w:beforeAutospacing="0"/>
        <w:ind w:left="0"/>
        <w:jc w:val="left"/>
        <w:rPr>
          <w:rFonts w:hint="eastAsia" w:ascii="宋体" w:hAnsi="宋体" w:eastAsia="宋体" w:cs="宋体"/>
          <w:kern w:val="0"/>
          <w:sz w:val="24"/>
          <w:szCs w:val="24"/>
        </w:rPr>
      </w:pPr>
      <w:r>
        <w:rPr>
          <w:rFonts w:hint="eastAsia" w:ascii="宋体" w:hAnsi="宋体" w:eastAsia="宋体" w:cs="宋体"/>
          <w:kern w:val="0"/>
          <w:sz w:val="24"/>
          <w:szCs w:val="24"/>
          <w:shd w:val="clear" w:fill="FFFFFF"/>
        </w:rPr>
        <w:t>（一）主要职能。</w:t>
      </w:r>
    </w:p>
    <w:p>
      <w:pPr>
        <w:pStyle w:val="8"/>
        <w:keepNext w:val="0"/>
        <w:keepLines w:val="0"/>
        <w:widowControl/>
        <w:suppressLineNumbers w:val="0"/>
        <w:spacing w:before="0" w:beforeAutospacing="0"/>
        <w:ind w:left="0"/>
        <w:jc w:val="left"/>
        <w:rPr>
          <w:rFonts w:hint="eastAsia" w:ascii="宋体" w:hAnsi="宋体" w:eastAsia="宋体" w:cs="宋体"/>
          <w:kern w:val="0"/>
          <w:sz w:val="24"/>
          <w:szCs w:val="24"/>
        </w:rPr>
      </w:pPr>
      <w:r>
        <w:rPr>
          <w:rFonts w:hint="eastAsia" w:ascii="宋体" w:hAnsi="宋体" w:eastAsia="宋体" w:cs="宋体"/>
          <w:kern w:val="0"/>
          <w:sz w:val="24"/>
          <w:szCs w:val="24"/>
          <w:shd w:val="clear" w:fill="FFFFFF"/>
        </w:rPr>
        <w:t>（二）202</w:t>
      </w:r>
      <w:r>
        <w:rPr>
          <w:rFonts w:hint="eastAsia" w:cs="宋体"/>
          <w:kern w:val="0"/>
          <w:sz w:val="24"/>
          <w:szCs w:val="24"/>
          <w:shd w:val="clear" w:fill="FFFFFF"/>
          <w:lang w:val="en-US" w:eastAsia="zh-CN"/>
        </w:rPr>
        <w:t>5</w:t>
      </w:r>
      <w:r>
        <w:rPr>
          <w:rFonts w:hint="eastAsia" w:ascii="宋体" w:hAnsi="宋体" w:eastAsia="宋体" w:cs="宋体"/>
          <w:kern w:val="0"/>
          <w:sz w:val="24"/>
          <w:szCs w:val="24"/>
          <w:shd w:val="clear" w:fill="FFFFFF"/>
        </w:rPr>
        <w:t>年重点工作完成情况。</w:t>
      </w:r>
    </w:p>
    <w:p>
      <w:pPr>
        <w:pStyle w:val="8"/>
        <w:keepNext w:val="0"/>
        <w:keepLines w:val="0"/>
        <w:widowControl/>
        <w:suppressLineNumbers w:val="0"/>
        <w:spacing w:before="0" w:beforeAutospacing="0"/>
        <w:ind w:left="0"/>
        <w:jc w:val="left"/>
        <w:rPr>
          <w:rFonts w:hint="eastAsia" w:ascii="宋体" w:hAnsi="宋体" w:eastAsia="宋体" w:cs="宋体"/>
          <w:kern w:val="0"/>
          <w:sz w:val="24"/>
          <w:szCs w:val="24"/>
        </w:rPr>
      </w:pPr>
      <w:r>
        <w:rPr>
          <w:rFonts w:hint="eastAsia" w:ascii="宋体" w:hAnsi="宋体" w:eastAsia="宋体" w:cs="宋体"/>
          <w:kern w:val="0"/>
          <w:sz w:val="24"/>
          <w:szCs w:val="24"/>
          <w:shd w:val="clear" w:fill="FFFFFF"/>
        </w:rPr>
        <w:t>二、机构设置</w:t>
      </w:r>
    </w:p>
    <w:p>
      <w:pPr>
        <w:pStyle w:val="8"/>
        <w:keepNext w:val="0"/>
        <w:keepLines w:val="0"/>
        <w:widowControl/>
        <w:suppressLineNumbers w:val="0"/>
        <w:spacing w:before="0" w:beforeAutospacing="0"/>
        <w:ind w:left="0"/>
        <w:jc w:val="left"/>
        <w:rPr>
          <w:rFonts w:hint="eastAsia" w:ascii="宋体" w:hAnsi="宋体" w:eastAsia="宋体" w:cs="宋体"/>
          <w:kern w:val="0"/>
          <w:sz w:val="24"/>
          <w:szCs w:val="24"/>
        </w:rPr>
      </w:pPr>
      <w:r>
        <w:rPr>
          <w:rFonts w:hint="eastAsia" w:ascii="宋体" w:hAnsi="宋体" w:eastAsia="宋体" w:cs="宋体"/>
          <w:kern w:val="0"/>
          <w:sz w:val="24"/>
          <w:szCs w:val="24"/>
          <w:shd w:val="clear" w:fill="FFFFFF"/>
        </w:rPr>
        <w:t>第二部分 202</w:t>
      </w:r>
      <w:r>
        <w:rPr>
          <w:rFonts w:hint="eastAsia" w:cs="宋体"/>
          <w:kern w:val="0"/>
          <w:sz w:val="24"/>
          <w:szCs w:val="24"/>
          <w:shd w:val="clear" w:fill="FFFFFF"/>
          <w:lang w:val="en-US" w:eastAsia="zh-CN"/>
        </w:rPr>
        <w:t>5</w:t>
      </w:r>
      <w:r>
        <w:rPr>
          <w:rFonts w:hint="eastAsia" w:ascii="宋体" w:hAnsi="宋体" w:eastAsia="宋体" w:cs="宋体"/>
          <w:kern w:val="0"/>
          <w:sz w:val="24"/>
          <w:szCs w:val="24"/>
          <w:shd w:val="clear" w:fill="FFFFFF"/>
        </w:rPr>
        <w:t>年度部门决算情况说明</w:t>
      </w:r>
    </w:p>
    <w:p>
      <w:pPr>
        <w:pStyle w:val="8"/>
        <w:keepNext w:val="0"/>
        <w:keepLines w:val="0"/>
        <w:widowControl/>
        <w:suppressLineNumbers w:val="0"/>
        <w:spacing w:before="0" w:beforeAutospacing="0"/>
        <w:ind w:left="0"/>
        <w:jc w:val="left"/>
        <w:rPr>
          <w:rFonts w:hint="eastAsia" w:ascii="宋体" w:hAnsi="宋体" w:eastAsia="宋体" w:cs="宋体"/>
          <w:kern w:val="0"/>
          <w:sz w:val="24"/>
          <w:szCs w:val="24"/>
        </w:rPr>
      </w:pPr>
      <w:r>
        <w:rPr>
          <w:rFonts w:hint="eastAsia" w:ascii="宋体" w:hAnsi="宋体" w:eastAsia="宋体" w:cs="宋体"/>
          <w:kern w:val="0"/>
          <w:sz w:val="24"/>
          <w:szCs w:val="24"/>
          <w:shd w:val="clear" w:fill="FFFFFF"/>
        </w:rPr>
        <w:t>一、收入支出决算总体情况说明</w:t>
      </w:r>
    </w:p>
    <w:p>
      <w:pPr>
        <w:pStyle w:val="8"/>
        <w:keepNext w:val="0"/>
        <w:keepLines w:val="0"/>
        <w:widowControl/>
        <w:suppressLineNumbers w:val="0"/>
        <w:spacing w:before="0" w:beforeAutospacing="0"/>
        <w:ind w:left="0"/>
        <w:jc w:val="left"/>
        <w:rPr>
          <w:rFonts w:hint="eastAsia" w:ascii="宋体" w:hAnsi="宋体" w:eastAsia="宋体" w:cs="宋体"/>
          <w:kern w:val="0"/>
          <w:sz w:val="24"/>
          <w:szCs w:val="24"/>
        </w:rPr>
      </w:pPr>
      <w:r>
        <w:rPr>
          <w:rFonts w:hint="eastAsia" w:ascii="宋体" w:hAnsi="宋体" w:eastAsia="宋体" w:cs="宋体"/>
          <w:kern w:val="0"/>
          <w:sz w:val="24"/>
          <w:szCs w:val="24"/>
          <w:shd w:val="clear" w:fill="FFFFFF"/>
        </w:rPr>
        <w:t>二、收入决算情况说明</w:t>
      </w:r>
    </w:p>
    <w:p>
      <w:pPr>
        <w:pStyle w:val="8"/>
        <w:keepNext w:val="0"/>
        <w:keepLines w:val="0"/>
        <w:widowControl/>
        <w:suppressLineNumbers w:val="0"/>
        <w:spacing w:before="0" w:beforeAutospacing="0"/>
        <w:ind w:left="0"/>
        <w:jc w:val="left"/>
        <w:rPr>
          <w:rFonts w:hint="eastAsia" w:ascii="宋体" w:hAnsi="宋体" w:eastAsia="宋体" w:cs="宋体"/>
          <w:kern w:val="0"/>
          <w:sz w:val="24"/>
          <w:szCs w:val="24"/>
        </w:rPr>
      </w:pPr>
      <w:r>
        <w:rPr>
          <w:rFonts w:hint="eastAsia" w:ascii="宋体" w:hAnsi="宋体" w:eastAsia="宋体" w:cs="宋体"/>
          <w:kern w:val="0"/>
          <w:sz w:val="24"/>
          <w:szCs w:val="24"/>
          <w:shd w:val="clear" w:fill="FFFFFF"/>
        </w:rPr>
        <w:t>三、支出决算情况说明</w:t>
      </w:r>
    </w:p>
    <w:p>
      <w:pPr>
        <w:pStyle w:val="8"/>
        <w:keepNext w:val="0"/>
        <w:keepLines w:val="0"/>
        <w:widowControl/>
        <w:suppressLineNumbers w:val="0"/>
        <w:spacing w:before="0" w:beforeAutospacing="0"/>
        <w:ind w:left="0"/>
        <w:jc w:val="left"/>
        <w:rPr>
          <w:rFonts w:hint="eastAsia" w:ascii="宋体" w:hAnsi="宋体" w:eastAsia="宋体" w:cs="宋体"/>
          <w:kern w:val="0"/>
          <w:sz w:val="24"/>
          <w:szCs w:val="24"/>
        </w:rPr>
      </w:pPr>
      <w:r>
        <w:rPr>
          <w:rFonts w:hint="eastAsia" w:ascii="宋体" w:hAnsi="宋体" w:eastAsia="宋体" w:cs="宋体"/>
          <w:kern w:val="0"/>
          <w:sz w:val="24"/>
          <w:szCs w:val="24"/>
          <w:shd w:val="clear" w:fill="FFFFFF"/>
        </w:rPr>
        <w:t>四、财政拨款收入支出决算总体情况说明</w:t>
      </w:r>
    </w:p>
    <w:p>
      <w:pPr>
        <w:pStyle w:val="8"/>
        <w:keepNext w:val="0"/>
        <w:keepLines w:val="0"/>
        <w:widowControl/>
        <w:suppressLineNumbers w:val="0"/>
        <w:spacing w:before="0" w:beforeAutospacing="0"/>
        <w:ind w:left="0"/>
        <w:jc w:val="left"/>
        <w:rPr>
          <w:rFonts w:hint="eastAsia" w:ascii="宋体" w:hAnsi="宋体" w:eastAsia="宋体" w:cs="宋体"/>
          <w:kern w:val="0"/>
          <w:sz w:val="24"/>
          <w:szCs w:val="24"/>
        </w:rPr>
      </w:pPr>
      <w:r>
        <w:rPr>
          <w:rFonts w:hint="eastAsia" w:ascii="宋体" w:hAnsi="宋体" w:eastAsia="宋体" w:cs="宋体"/>
          <w:kern w:val="0"/>
          <w:sz w:val="24"/>
          <w:szCs w:val="24"/>
          <w:shd w:val="clear" w:fill="FFFFFF"/>
        </w:rPr>
        <w:t>五、</w:t>
      </w:r>
      <w:r>
        <w:rPr>
          <w:rStyle w:val="9"/>
          <w:rFonts w:hint="eastAsia" w:ascii="宋体" w:hAnsi="宋体" w:eastAsia="宋体" w:cs="宋体"/>
          <w:b/>
          <w:bCs/>
          <w:sz w:val="24"/>
          <w:szCs w:val="24"/>
          <w:shd w:val="clear" w:fill="FFFFFF"/>
        </w:rPr>
        <w:t>一</w:t>
      </w:r>
      <w:r>
        <w:rPr>
          <w:rFonts w:hint="eastAsia" w:ascii="宋体" w:hAnsi="宋体" w:eastAsia="宋体" w:cs="宋体"/>
          <w:kern w:val="0"/>
          <w:sz w:val="24"/>
          <w:szCs w:val="24"/>
          <w:shd w:val="clear" w:fill="FFFFFF"/>
        </w:rPr>
        <w:t>般公共预算财政拨款支出决算情况说明</w:t>
      </w:r>
    </w:p>
    <w:p>
      <w:pPr>
        <w:pStyle w:val="8"/>
        <w:keepNext w:val="0"/>
        <w:keepLines w:val="0"/>
        <w:widowControl/>
        <w:suppressLineNumbers w:val="0"/>
        <w:spacing w:before="0" w:beforeAutospacing="0"/>
        <w:ind w:left="0"/>
        <w:jc w:val="left"/>
        <w:rPr>
          <w:rFonts w:hint="eastAsia" w:ascii="宋体" w:hAnsi="宋体" w:eastAsia="宋体" w:cs="宋体"/>
          <w:kern w:val="0"/>
          <w:sz w:val="24"/>
          <w:szCs w:val="24"/>
        </w:rPr>
      </w:pPr>
      <w:r>
        <w:rPr>
          <w:rStyle w:val="9"/>
          <w:rFonts w:hint="eastAsia" w:ascii="宋体" w:hAnsi="宋体" w:eastAsia="宋体" w:cs="宋体"/>
          <w:b/>
          <w:bCs/>
          <w:sz w:val="24"/>
          <w:szCs w:val="24"/>
          <w:shd w:val="clear" w:fill="FFFFFF"/>
        </w:rPr>
        <w:t>（一）一般公共预算财政拨款支出决算总体情况</w:t>
      </w:r>
    </w:p>
    <w:p>
      <w:pPr>
        <w:pStyle w:val="8"/>
        <w:keepNext w:val="0"/>
        <w:keepLines w:val="0"/>
        <w:widowControl/>
        <w:suppressLineNumbers w:val="0"/>
        <w:spacing w:before="0" w:beforeAutospacing="0"/>
        <w:ind w:left="0"/>
        <w:jc w:val="left"/>
        <w:rPr>
          <w:rFonts w:hint="eastAsia" w:ascii="宋体" w:hAnsi="宋体" w:eastAsia="宋体" w:cs="宋体"/>
          <w:kern w:val="0"/>
          <w:sz w:val="24"/>
          <w:szCs w:val="24"/>
        </w:rPr>
      </w:pPr>
      <w:r>
        <w:rPr>
          <w:rStyle w:val="9"/>
          <w:rFonts w:hint="eastAsia" w:ascii="宋体" w:hAnsi="宋体" w:eastAsia="宋体" w:cs="宋体"/>
          <w:b/>
          <w:bCs/>
          <w:sz w:val="24"/>
          <w:szCs w:val="24"/>
          <w:shd w:val="clear" w:fill="FFFFFF"/>
        </w:rPr>
        <w:t>（二）一般公共预算财政拨款支出决算结构情况</w:t>
      </w:r>
    </w:p>
    <w:p>
      <w:pPr>
        <w:pStyle w:val="8"/>
        <w:keepNext w:val="0"/>
        <w:keepLines w:val="0"/>
        <w:widowControl/>
        <w:suppressLineNumbers w:val="0"/>
        <w:spacing w:before="0" w:beforeAutospacing="0"/>
        <w:ind w:left="0"/>
        <w:jc w:val="left"/>
        <w:rPr>
          <w:rFonts w:hint="eastAsia" w:ascii="宋体" w:hAnsi="宋体" w:eastAsia="宋体" w:cs="宋体"/>
          <w:kern w:val="0"/>
          <w:sz w:val="24"/>
          <w:szCs w:val="24"/>
        </w:rPr>
      </w:pPr>
      <w:r>
        <w:rPr>
          <w:rStyle w:val="9"/>
          <w:rFonts w:hint="eastAsia" w:ascii="宋体" w:hAnsi="宋体" w:eastAsia="宋体" w:cs="宋体"/>
          <w:b/>
          <w:bCs/>
          <w:sz w:val="24"/>
          <w:szCs w:val="24"/>
          <w:shd w:val="clear" w:fill="FFFFFF"/>
        </w:rPr>
        <w:t>（三）一般公共预算财政拨款支出决算具体情况</w:t>
      </w:r>
    </w:p>
    <w:p>
      <w:pPr>
        <w:pStyle w:val="8"/>
        <w:keepNext w:val="0"/>
        <w:keepLines w:val="0"/>
        <w:widowControl/>
        <w:suppressLineNumbers w:val="0"/>
        <w:spacing w:before="0" w:beforeAutospacing="0"/>
        <w:ind w:left="0"/>
        <w:jc w:val="left"/>
        <w:rPr>
          <w:rFonts w:hint="eastAsia" w:ascii="宋体" w:hAnsi="宋体" w:eastAsia="宋体" w:cs="宋体"/>
          <w:kern w:val="0"/>
          <w:sz w:val="24"/>
          <w:szCs w:val="24"/>
        </w:rPr>
      </w:pPr>
      <w:r>
        <w:rPr>
          <w:rFonts w:hint="eastAsia" w:ascii="宋体" w:hAnsi="宋体" w:eastAsia="宋体" w:cs="宋体"/>
          <w:kern w:val="0"/>
          <w:sz w:val="24"/>
          <w:szCs w:val="24"/>
          <w:shd w:val="clear" w:fill="FFFFFF"/>
        </w:rPr>
        <w:t>六</w:t>
      </w:r>
      <w:r>
        <w:rPr>
          <w:rStyle w:val="9"/>
          <w:rFonts w:hint="eastAsia" w:ascii="宋体" w:hAnsi="宋体" w:eastAsia="宋体" w:cs="宋体"/>
          <w:b/>
          <w:bCs/>
          <w:sz w:val="24"/>
          <w:szCs w:val="24"/>
          <w:shd w:val="clear" w:fill="FFFFFF"/>
        </w:rPr>
        <w:t>、一</w:t>
      </w:r>
      <w:r>
        <w:rPr>
          <w:rFonts w:hint="eastAsia" w:ascii="宋体" w:hAnsi="宋体" w:eastAsia="宋体" w:cs="宋体"/>
          <w:kern w:val="0"/>
          <w:sz w:val="24"/>
          <w:szCs w:val="24"/>
          <w:shd w:val="clear" w:fill="FFFFFF"/>
        </w:rPr>
        <w:t>般公共预算财政拨款基本支出决算情况说明</w:t>
      </w:r>
    </w:p>
    <w:p>
      <w:pPr>
        <w:pStyle w:val="8"/>
        <w:keepNext w:val="0"/>
        <w:keepLines w:val="0"/>
        <w:widowControl/>
        <w:suppressLineNumbers w:val="0"/>
        <w:spacing w:before="0" w:beforeAutospacing="0"/>
        <w:ind w:left="0"/>
        <w:jc w:val="left"/>
        <w:rPr>
          <w:rFonts w:hint="eastAsia" w:ascii="宋体" w:hAnsi="宋体" w:eastAsia="宋体" w:cs="宋体"/>
          <w:kern w:val="0"/>
          <w:sz w:val="24"/>
          <w:szCs w:val="24"/>
        </w:rPr>
      </w:pPr>
      <w:r>
        <w:rPr>
          <w:rFonts w:hint="eastAsia" w:ascii="宋体" w:hAnsi="宋体" w:eastAsia="宋体" w:cs="宋体"/>
          <w:kern w:val="0"/>
          <w:sz w:val="24"/>
          <w:szCs w:val="24"/>
          <w:shd w:val="clear" w:fill="FFFFFF"/>
        </w:rPr>
        <w:t>七、</w:t>
      </w:r>
      <w:r>
        <w:rPr>
          <w:rStyle w:val="9"/>
          <w:rFonts w:hint="eastAsia" w:ascii="宋体" w:hAnsi="宋体" w:eastAsia="宋体" w:cs="宋体"/>
          <w:b/>
          <w:bCs/>
          <w:sz w:val="24"/>
          <w:szCs w:val="24"/>
          <w:shd w:val="clear" w:fill="FFFFFF"/>
        </w:rPr>
        <w:t>“</w:t>
      </w:r>
      <w:r>
        <w:rPr>
          <w:rFonts w:hint="eastAsia" w:ascii="宋体" w:hAnsi="宋体" w:eastAsia="宋体" w:cs="宋体"/>
          <w:kern w:val="0"/>
          <w:sz w:val="24"/>
          <w:szCs w:val="24"/>
          <w:shd w:val="clear" w:fill="FFFFFF"/>
        </w:rPr>
        <w:t>三公”经费财政拨款支出决算情况说明</w:t>
      </w:r>
    </w:p>
    <w:p>
      <w:pPr>
        <w:pStyle w:val="8"/>
        <w:keepNext w:val="0"/>
        <w:keepLines w:val="0"/>
        <w:widowControl/>
        <w:suppressLineNumbers w:val="0"/>
        <w:spacing w:before="0" w:beforeAutospacing="0"/>
        <w:ind w:left="0"/>
        <w:jc w:val="left"/>
        <w:rPr>
          <w:rFonts w:hint="eastAsia" w:ascii="宋体" w:hAnsi="宋体" w:eastAsia="宋体" w:cs="宋体"/>
          <w:kern w:val="0"/>
          <w:sz w:val="24"/>
          <w:szCs w:val="24"/>
        </w:rPr>
      </w:pPr>
      <w:r>
        <w:rPr>
          <w:rStyle w:val="9"/>
          <w:rFonts w:hint="eastAsia" w:ascii="宋体" w:hAnsi="宋体" w:eastAsia="宋体" w:cs="宋体"/>
          <w:b/>
          <w:bCs/>
          <w:sz w:val="24"/>
          <w:szCs w:val="24"/>
          <w:shd w:val="clear" w:fill="FFFFFF"/>
        </w:rPr>
        <w:t>（一）“三公”经费财政拨款支出决算总体情况说明</w:t>
      </w:r>
    </w:p>
    <w:p>
      <w:pPr>
        <w:pStyle w:val="8"/>
        <w:keepNext w:val="0"/>
        <w:keepLines w:val="0"/>
        <w:widowControl/>
        <w:suppressLineNumbers w:val="0"/>
        <w:spacing w:before="0" w:beforeAutospacing="0"/>
        <w:ind w:left="0"/>
        <w:jc w:val="left"/>
        <w:rPr>
          <w:rFonts w:hint="eastAsia" w:ascii="宋体" w:hAnsi="宋体" w:eastAsia="宋体" w:cs="宋体"/>
          <w:kern w:val="0"/>
          <w:sz w:val="24"/>
          <w:szCs w:val="24"/>
        </w:rPr>
      </w:pPr>
      <w:r>
        <w:rPr>
          <w:rStyle w:val="9"/>
          <w:rFonts w:hint="eastAsia" w:ascii="宋体" w:hAnsi="宋体" w:eastAsia="宋体" w:cs="宋体"/>
          <w:b/>
          <w:bCs/>
          <w:sz w:val="24"/>
          <w:szCs w:val="24"/>
          <w:shd w:val="clear" w:fill="FFFFFF"/>
        </w:rPr>
        <w:t>（二）“三公”经费财政拨款支出决算具体情况说明</w:t>
      </w:r>
    </w:p>
    <w:p>
      <w:pPr>
        <w:pStyle w:val="8"/>
        <w:keepNext w:val="0"/>
        <w:keepLines w:val="0"/>
        <w:widowControl/>
        <w:suppressLineNumbers w:val="0"/>
        <w:spacing w:before="0" w:beforeAutospacing="0"/>
        <w:ind w:left="0"/>
        <w:jc w:val="left"/>
        <w:rPr>
          <w:rFonts w:hint="eastAsia" w:ascii="宋体" w:hAnsi="宋体" w:eastAsia="宋体" w:cs="宋体"/>
          <w:kern w:val="0"/>
          <w:sz w:val="24"/>
          <w:szCs w:val="24"/>
        </w:rPr>
      </w:pPr>
      <w:r>
        <w:rPr>
          <w:rFonts w:hint="eastAsia" w:ascii="宋体" w:hAnsi="宋体" w:eastAsia="宋体" w:cs="宋体"/>
          <w:kern w:val="0"/>
          <w:sz w:val="24"/>
          <w:szCs w:val="24"/>
          <w:shd w:val="clear" w:fill="FFFFFF"/>
        </w:rPr>
        <w:t>八、政府性基金预算支出决算情况说明</w:t>
      </w:r>
    </w:p>
    <w:p>
      <w:pPr>
        <w:pStyle w:val="8"/>
        <w:keepNext w:val="0"/>
        <w:keepLines w:val="0"/>
        <w:widowControl/>
        <w:suppressLineNumbers w:val="0"/>
        <w:spacing w:before="0" w:beforeAutospacing="0"/>
        <w:ind w:left="0"/>
        <w:jc w:val="left"/>
        <w:rPr>
          <w:rFonts w:hint="eastAsia" w:ascii="宋体" w:hAnsi="宋体" w:eastAsia="宋体" w:cs="宋体"/>
          <w:kern w:val="0"/>
          <w:sz w:val="24"/>
          <w:szCs w:val="24"/>
          <w:shd w:val="clear" w:fill="FFFFFF"/>
        </w:rPr>
        <w:sectPr>
          <w:footerReference r:id="rId3" w:type="default"/>
          <w:pgSz w:w="11915" w:h="16851"/>
          <w:pgMar w:top="1440" w:right="1800" w:bottom="1440" w:left="1800" w:header="851" w:footer="992" w:gutter="0"/>
          <w:pgNumType w:start="1"/>
          <w:cols w:space="0" w:num="1"/>
          <w:docGrid w:type="lines" w:linePitch="312" w:charSpace="0"/>
        </w:sectPr>
      </w:pPr>
    </w:p>
    <w:p>
      <w:pPr>
        <w:pStyle w:val="8"/>
        <w:keepNext w:val="0"/>
        <w:keepLines w:val="0"/>
        <w:widowControl/>
        <w:suppressLineNumbers w:val="0"/>
        <w:spacing w:before="0" w:beforeAutospacing="0"/>
        <w:ind w:left="0"/>
        <w:jc w:val="left"/>
        <w:rPr>
          <w:rFonts w:hint="eastAsia" w:ascii="宋体" w:hAnsi="宋体" w:eastAsia="宋体" w:cs="宋体"/>
          <w:kern w:val="0"/>
          <w:sz w:val="24"/>
          <w:szCs w:val="24"/>
        </w:rPr>
      </w:pPr>
      <w:r>
        <w:rPr>
          <w:rFonts w:hint="eastAsia" w:ascii="宋体" w:hAnsi="宋体" w:eastAsia="宋体" w:cs="宋体"/>
          <w:kern w:val="0"/>
          <w:sz w:val="24"/>
          <w:szCs w:val="24"/>
          <w:shd w:val="clear" w:fill="FFFFFF"/>
        </w:rPr>
        <w:t>九、 国有资本经营预算支出决算情况说明</w:t>
      </w:r>
    </w:p>
    <w:p>
      <w:pPr>
        <w:pStyle w:val="8"/>
        <w:keepNext w:val="0"/>
        <w:keepLines w:val="0"/>
        <w:widowControl/>
        <w:suppressLineNumbers w:val="0"/>
        <w:spacing w:before="0" w:beforeAutospacing="0"/>
        <w:ind w:left="0"/>
        <w:jc w:val="left"/>
        <w:rPr>
          <w:rFonts w:hint="eastAsia" w:ascii="宋体" w:hAnsi="宋体" w:eastAsia="宋体" w:cs="宋体"/>
          <w:kern w:val="0"/>
          <w:sz w:val="24"/>
          <w:szCs w:val="24"/>
        </w:rPr>
      </w:pPr>
      <w:r>
        <w:rPr>
          <w:rFonts w:hint="eastAsia" w:ascii="宋体" w:hAnsi="宋体" w:eastAsia="宋体" w:cs="宋体"/>
          <w:kern w:val="0"/>
          <w:sz w:val="24"/>
          <w:szCs w:val="24"/>
          <w:shd w:val="clear" w:fill="FFFFFF"/>
        </w:rPr>
        <w:t>十</w:t>
      </w:r>
      <w:r>
        <w:rPr>
          <w:rStyle w:val="9"/>
          <w:rFonts w:hint="eastAsia" w:ascii="宋体" w:hAnsi="宋体" w:eastAsia="宋体" w:cs="宋体"/>
          <w:b/>
          <w:bCs/>
          <w:sz w:val="24"/>
          <w:szCs w:val="24"/>
          <w:shd w:val="clear" w:fill="FFFFFF"/>
        </w:rPr>
        <w:t>、</w:t>
      </w:r>
      <w:r>
        <w:rPr>
          <w:rFonts w:hint="eastAsia" w:ascii="宋体" w:hAnsi="宋体" w:eastAsia="宋体" w:cs="宋体"/>
          <w:kern w:val="0"/>
          <w:sz w:val="24"/>
          <w:szCs w:val="24"/>
          <w:shd w:val="clear" w:fill="FFFFFF"/>
        </w:rPr>
        <w:t>其他重要事项的情况说明</w:t>
      </w:r>
    </w:p>
    <w:p>
      <w:pPr>
        <w:pStyle w:val="8"/>
        <w:keepNext w:val="0"/>
        <w:keepLines w:val="0"/>
        <w:widowControl/>
        <w:suppressLineNumbers w:val="0"/>
        <w:spacing w:before="0" w:beforeAutospacing="0"/>
        <w:ind w:left="0"/>
        <w:jc w:val="left"/>
        <w:rPr>
          <w:rFonts w:hint="eastAsia" w:ascii="宋体" w:hAnsi="宋体" w:eastAsia="宋体" w:cs="宋体"/>
          <w:kern w:val="0"/>
          <w:sz w:val="24"/>
          <w:szCs w:val="24"/>
        </w:rPr>
      </w:pPr>
      <w:r>
        <w:rPr>
          <w:rStyle w:val="9"/>
          <w:rFonts w:hint="eastAsia" w:ascii="宋体" w:hAnsi="宋体" w:eastAsia="宋体" w:cs="宋体"/>
          <w:b/>
          <w:bCs/>
          <w:sz w:val="24"/>
          <w:szCs w:val="24"/>
          <w:shd w:val="clear" w:fill="FFFFFF"/>
        </w:rPr>
        <w:t>（一）机关运行经费支出情况</w:t>
      </w:r>
    </w:p>
    <w:p>
      <w:pPr>
        <w:pStyle w:val="8"/>
        <w:keepNext w:val="0"/>
        <w:keepLines w:val="0"/>
        <w:widowControl/>
        <w:suppressLineNumbers w:val="0"/>
        <w:spacing w:before="0" w:beforeAutospacing="0"/>
        <w:ind w:left="0"/>
        <w:jc w:val="left"/>
        <w:rPr>
          <w:rFonts w:hint="eastAsia" w:ascii="宋体" w:hAnsi="宋体" w:eastAsia="宋体" w:cs="宋体"/>
          <w:kern w:val="0"/>
          <w:sz w:val="24"/>
          <w:szCs w:val="24"/>
        </w:rPr>
      </w:pPr>
      <w:r>
        <w:rPr>
          <w:rStyle w:val="9"/>
          <w:rFonts w:hint="eastAsia" w:ascii="宋体" w:hAnsi="宋体" w:eastAsia="宋体" w:cs="宋体"/>
          <w:b/>
          <w:bCs/>
          <w:sz w:val="24"/>
          <w:szCs w:val="24"/>
          <w:shd w:val="clear" w:fill="FFFFFF"/>
        </w:rPr>
        <w:t>（二）政府采购支出情况</w:t>
      </w:r>
    </w:p>
    <w:p>
      <w:pPr>
        <w:pStyle w:val="8"/>
        <w:keepNext w:val="0"/>
        <w:keepLines w:val="0"/>
        <w:widowControl/>
        <w:suppressLineNumbers w:val="0"/>
        <w:spacing w:before="0" w:beforeAutospacing="0"/>
        <w:ind w:left="0"/>
        <w:jc w:val="left"/>
        <w:rPr>
          <w:rFonts w:hint="eastAsia" w:ascii="宋体" w:hAnsi="宋体" w:eastAsia="宋体" w:cs="宋体"/>
          <w:kern w:val="0"/>
          <w:sz w:val="24"/>
          <w:szCs w:val="24"/>
        </w:rPr>
      </w:pPr>
      <w:r>
        <w:rPr>
          <w:rStyle w:val="9"/>
          <w:rFonts w:hint="eastAsia" w:ascii="宋体" w:hAnsi="宋体" w:eastAsia="宋体" w:cs="宋体"/>
          <w:b/>
          <w:bCs/>
          <w:sz w:val="24"/>
          <w:szCs w:val="24"/>
          <w:shd w:val="clear" w:fill="FFFFFF"/>
        </w:rPr>
        <w:t>（三）国有资产占有使用情况</w:t>
      </w:r>
    </w:p>
    <w:p>
      <w:pPr>
        <w:pStyle w:val="8"/>
        <w:keepNext w:val="0"/>
        <w:keepLines w:val="0"/>
        <w:widowControl/>
        <w:suppressLineNumbers w:val="0"/>
        <w:spacing w:before="0" w:beforeAutospacing="0"/>
        <w:ind w:left="0"/>
        <w:jc w:val="left"/>
        <w:rPr>
          <w:rFonts w:hint="eastAsia" w:ascii="宋体" w:hAnsi="宋体" w:eastAsia="宋体" w:cs="宋体"/>
          <w:kern w:val="0"/>
          <w:sz w:val="24"/>
          <w:szCs w:val="24"/>
        </w:rPr>
      </w:pPr>
      <w:r>
        <w:rPr>
          <w:rStyle w:val="9"/>
          <w:rFonts w:hint="eastAsia" w:ascii="宋体" w:hAnsi="宋体" w:eastAsia="宋体" w:cs="宋体"/>
          <w:b/>
          <w:bCs/>
          <w:sz w:val="24"/>
          <w:szCs w:val="24"/>
          <w:shd w:val="clear" w:fill="FFFFFF"/>
        </w:rPr>
        <w:t>（四）预算绩效管理情况。</w:t>
      </w:r>
    </w:p>
    <w:p>
      <w:pPr>
        <w:pStyle w:val="8"/>
        <w:keepNext w:val="0"/>
        <w:keepLines w:val="0"/>
        <w:widowControl/>
        <w:suppressLineNumbers w:val="0"/>
        <w:spacing w:before="0" w:beforeAutospacing="0"/>
        <w:ind w:left="0"/>
        <w:jc w:val="left"/>
        <w:rPr>
          <w:rFonts w:hint="eastAsia" w:ascii="宋体" w:hAnsi="宋体" w:eastAsia="宋体" w:cs="宋体"/>
          <w:kern w:val="0"/>
          <w:sz w:val="24"/>
          <w:szCs w:val="24"/>
        </w:rPr>
      </w:pPr>
      <w:r>
        <w:rPr>
          <w:rFonts w:hint="eastAsia" w:ascii="宋体" w:hAnsi="宋体" w:eastAsia="宋体" w:cs="宋体"/>
          <w:kern w:val="0"/>
          <w:sz w:val="24"/>
          <w:szCs w:val="24"/>
          <w:shd w:val="clear" w:fill="FFFFFF"/>
        </w:rPr>
        <w:t>第三部分 名词解释</w:t>
      </w:r>
    </w:p>
    <w:p>
      <w:pPr>
        <w:pStyle w:val="8"/>
        <w:keepNext w:val="0"/>
        <w:keepLines w:val="0"/>
        <w:widowControl/>
        <w:suppressLineNumbers w:val="0"/>
        <w:spacing w:before="0" w:beforeAutospacing="0"/>
        <w:ind w:left="0"/>
        <w:jc w:val="left"/>
        <w:rPr>
          <w:rFonts w:hint="eastAsia" w:ascii="宋体" w:hAnsi="宋体" w:eastAsia="宋体" w:cs="宋体"/>
          <w:kern w:val="0"/>
          <w:sz w:val="24"/>
          <w:szCs w:val="24"/>
        </w:rPr>
      </w:pPr>
      <w:r>
        <w:rPr>
          <w:rFonts w:hint="eastAsia" w:ascii="宋体" w:hAnsi="宋体" w:eastAsia="宋体" w:cs="宋体"/>
          <w:kern w:val="0"/>
          <w:sz w:val="24"/>
          <w:szCs w:val="24"/>
          <w:shd w:val="clear" w:fill="FFFFFF"/>
        </w:rPr>
        <w:t>第四部分 附件</w:t>
      </w:r>
    </w:p>
    <w:p>
      <w:pPr>
        <w:pStyle w:val="8"/>
        <w:keepNext w:val="0"/>
        <w:keepLines w:val="0"/>
        <w:widowControl/>
        <w:suppressLineNumbers w:val="0"/>
        <w:spacing w:before="0" w:beforeAutospacing="0"/>
        <w:ind w:left="0"/>
        <w:jc w:val="left"/>
        <w:rPr>
          <w:rFonts w:hint="eastAsia" w:ascii="宋体" w:hAnsi="宋体" w:eastAsia="宋体" w:cs="宋体"/>
          <w:kern w:val="0"/>
          <w:sz w:val="24"/>
          <w:szCs w:val="24"/>
        </w:rPr>
      </w:pPr>
      <w:r>
        <w:rPr>
          <w:rFonts w:hint="eastAsia" w:ascii="宋体" w:hAnsi="宋体" w:eastAsia="宋体" w:cs="宋体"/>
          <w:kern w:val="0"/>
          <w:sz w:val="24"/>
          <w:szCs w:val="24"/>
          <w:shd w:val="clear" w:fill="FFFFFF"/>
        </w:rPr>
        <w:t>附件1</w:t>
      </w:r>
    </w:p>
    <w:p>
      <w:pPr>
        <w:pStyle w:val="8"/>
        <w:keepNext w:val="0"/>
        <w:keepLines w:val="0"/>
        <w:widowControl/>
        <w:suppressLineNumbers w:val="0"/>
        <w:spacing w:before="0" w:beforeAutospacing="0"/>
        <w:ind w:left="0"/>
        <w:jc w:val="left"/>
        <w:rPr>
          <w:rFonts w:hint="eastAsia" w:ascii="宋体" w:hAnsi="宋体" w:eastAsia="宋体" w:cs="宋体"/>
          <w:kern w:val="0"/>
          <w:sz w:val="24"/>
          <w:szCs w:val="24"/>
        </w:rPr>
      </w:pPr>
      <w:r>
        <w:rPr>
          <w:rFonts w:hint="eastAsia" w:ascii="宋体" w:hAnsi="宋体" w:eastAsia="宋体" w:cs="宋体"/>
          <w:kern w:val="0"/>
          <w:sz w:val="24"/>
          <w:szCs w:val="24"/>
          <w:shd w:val="clear" w:fill="FFFFFF"/>
        </w:rPr>
        <w:t>第五部分 附表</w:t>
      </w:r>
    </w:p>
    <w:p>
      <w:pPr>
        <w:pStyle w:val="8"/>
        <w:keepNext w:val="0"/>
        <w:keepLines w:val="0"/>
        <w:widowControl/>
        <w:suppressLineNumbers w:val="0"/>
        <w:spacing w:before="0" w:beforeAutospacing="0"/>
        <w:ind w:left="0"/>
        <w:jc w:val="left"/>
        <w:rPr>
          <w:rFonts w:hint="eastAsia" w:ascii="宋体" w:hAnsi="宋体" w:eastAsia="宋体" w:cs="宋体"/>
          <w:kern w:val="0"/>
          <w:sz w:val="24"/>
          <w:szCs w:val="24"/>
        </w:rPr>
      </w:pPr>
      <w:r>
        <w:rPr>
          <w:rFonts w:hint="eastAsia" w:ascii="宋体" w:hAnsi="宋体" w:eastAsia="宋体" w:cs="宋体"/>
          <w:kern w:val="0"/>
          <w:sz w:val="24"/>
          <w:szCs w:val="24"/>
          <w:shd w:val="clear" w:fill="FFFFFF"/>
        </w:rPr>
        <w:t>一、收入支出决算总表</w:t>
      </w:r>
    </w:p>
    <w:p>
      <w:pPr>
        <w:pStyle w:val="8"/>
        <w:keepNext w:val="0"/>
        <w:keepLines w:val="0"/>
        <w:widowControl/>
        <w:suppressLineNumbers w:val="0"/>
        <w:spacing w:before="0" w:beforeAutospacing="0"/>
        <w:ind w:left="0"/>
        <w:jc w:val="left"/>
        <w:rPr>
          <w:rFonts w:hint="eastAsia" w:ascii="宋体" w:hAnsi="宋体" w:eastAsia="宋体" w:cs="宋体"/>
          <w:kern w:val="0"/>
          <w:sz w:val="24"/>
          <w:szCs w:val="24"/>
        </w:rPr>
      </w:pPr>
      <w:r>
        <w:rPr>
          <w:rFonts w:hint="eastAsia" w:ascii="宋体" w:hAnsi="宋体" w:eastAsia="宋体" w:cs="宋体"/>
          <w:kern w:val="0"/>
          <w:sz w:val="24"/>
          <w:szCs w:val="24"/>
          <w:shd w:val="clear" w:fill="FFFFFF"/>
        </w:rPr>
        <w:t>二、收入决算表</w:t>
      </w:r>
    </w:p>
    <w:p>
      <w:pPr>
        <w:pStyle w:val="8"/>
        <w:keepNext w:val="0"/>
        <w:keepLines w:val="0"/>
        <w:widowControl/>
        <w:suppressLineNumbers w:val="0"/>
        <w:spacing w:before="0" w:beforeAutospacing="0"/>
        <w:ind w:left="0"/>
        <w:jc w:val="left"/>
        <w:rPr>
          <w:rFonts w:hint="eastAsia" w:ascii="宋体" w:hAnsi="宋体" w:eastAsia="宋体" w:cs="宋体"/>
          <w:kern w:val="0"/>
          <w:sz w:val="24"/>
          <w:szCs w:val="24"/>
        </w:rPr>
      </w:pPr>
      <w:r>
        <w:rPr>
          <w:rFonts w:hint="eastAsia" w:ascii="宋体" w:hAnsi="宋体" w:eastAsia="宋体" w:cs="宋体"/>
          <w:kern w:val="0"/>
          <w:sz w:val="24"/>
          <w:szCs w:val="24"/>
          <w:shd w:val="clear" w:fill="FFFFFF"/>
        </w:rPr>
        <w:t>三、支出决算表</w:t>
      </w:r>
    </w:p>
    <w:p>
      <w:pPr>
        <w:pStyle w:val="8"/>
        <w:keepNext w:val="0"/>
        <w:keepLines w:val="0"/>
        <w:widowControl/>
        <w:suppressLineNumbers w:val="0"/>
        <w:spacing w:before="0" w:beforeAutospacing="0"/>
        <w:ind w:left="0"/>
        <w:jc w:val="left"/>
        <w:rPr>
          <w:rFonts w:hint="eastAsia" w:ascii="宋体" w:hAnsi="宋体" w:eastAsia="宋体" w:cs="宋体"/>
          <w:kern w:val="0"/>
          <w:sz w:val="24"/>
          <w:szCs w:val="24"/>
        </w:rPr>
      </w:pPr>
      <w:r>
        <w:rPr>
          <w:rFonts w:hint="eastAsia" w:ascii="宋体" w:hAnsi="宋体" w:eastAsia="宋体" w:cs="宋体"/>
          <w:kern w:val="0"/>
          <w:sz w:val="24"/>
          <w:szCs w:val="24"/>
          <w:shd w:val="clear" w:fill="FFFFFF"/>
        </w:rPr>
        <w:t>四、财政拨款收入支出决算总表</w:t>
      </w:r>
    </w:p>
    <w:p>
      <w:pPr>
        <w:pStyle w:val="8"/>
        <w:keepNext w:val="0"/>
        <w:keepLines w:val="0"/>
        <w:widowControl/>
        <w:suppressLineNumbers w:val="0"/>
        <w:spacing w:before="0" w:beforeAutospacing="0"/>
        <w:ind w:left="0"/>
        <w:jc w:val="left"/>
        <w:rPr>
          <w:rFonts w:hint="eastAsia" w:ascii="宋体" w:hAnsi="宋体" w:eastAsia="宋体" w:cs="宋体"/>
          <w:kern w:val="0"/>
          <w:sz w:val="24"/>
          <w:szCs w:val="24"/>
        </w:rPr>
      </w:pPr>
      <w:r>
        <w:rPr>
          <w:rFonts w:hint="eastAsia" w:ascii="宋体" w:hAnsi="宋体" w:eastAsia="宋体" w:cs="宋体"/>
          <w:kern w:val="0"/>
          <w:sz w:val="24"/>
          <w:szCs w:val="24"/>
          <w:shd w:val="clear" w:fill="FFFFFF"/>
        </w:rPr>
        <w:t>五、财政拨款支出决算明细表</w:t>
      </w:r>
    </w:p>
    <w:p>
      <w:pPr>
        <w:pStyle w:val="8"/>
        <w:keepNext w:val="0"/>
        <w:keepLines w:val="0"/>
        <w:widowControl/>
        <w:suppressLineNumbers w:val="0"/>
        <w:spacing w:before="0" w:beforeAutospacing="0"/>
        <w:ind w:left="0"/>
        <w:jc w:val="left"/>
        <w:rPr>
          <w:rFonts w:hint="eastAsia" w:ascii="宋体" w:hAnsi="宋体" w:eastAsia="宋体" w:cs="宋体"/>
          <w:kern w:val="0"/>
          <w:sz w:val="24"/>
          <w:szCs w:val="24"/>
        </w:rPr>
      </w:pPr>
      <w:r>
        <w:rPr>
          <w:rFonts w:hint="eastAsia" w:ascii="宋体" w:hAnsi="宋体" w:eastAsia="宋体" w:cs="宋体"/>
          <w:kern w:val="0"/>
          <w:sz w:val="24"/>
          <w:szCs w:val="24"/>
          <w:shd w:val="clear" w:fill="FFFFFF"/>
        </w:rPr>
        <w:t>六、一般公共预算财政拨款支出决算表</w:t>
      </w:r>
    </w:p>
    <w:p>
      <w:pPr>
        <w:pStyle w:val="8"/>
        <w:keepNext w:val="0"/>
        <w:keepLines w:val="0"/>
        <w:widowControl/>
        <w:suppressLineNumbers w:val="0"/>
        <w:spacing w:before="0" w:beforeAutospacing="0"/>
        <w:ind w:left="0"/>
        <w:jc w:val="left"/>
        <w:rPr>
          <w:rFonts w:hint="eastAsia" w:ascii="宋体" w:hAnsi="宋体" w:eastAsia="宋体" w:cs="宋体"/>
          <w:kern w:val="0"/>
          <w:sz w:val="24"/>
          <w:szCs w:val="24"/>
        </w:rPr>
      </w:pPr>
      <w:r>
        <w:rPr>
          <w:rFonts w:hint="eastAsia" w:ascii="宋体" w:hAnsi="宋体" w:eastAsia="宋体" w:cs="宋体"/>
          <w:kern w:val="0"/>
          <w:sz w:val="24"/>
          <w:szCs w:val="24"/>
          <w:shd w:val="clear" w:fill="FFFFFF"/>
        </w:rPr>
        <w:t>七、一般公共预算财政拨款支出决算明细表</w:t>
      </w:r>
    </w:p>
    <w:p>
      <w:pPr>
        <w:pStyle w:val="8"/>
        <w:keepNext w:val="0"/>
        <w:keepLines w:val="0"/>
        <w:widowControl/>
        <w:suppressLineNumbers w:val="0"/>
        <w:spacing w:before="0" w:beforeAutospacing="0"/>
        <w:ind w:left="0"/>
        <w:jc w:val="left"/>
        <w:rPr>
          <w:rFonts w:hint="eastAsia" w:ascii="宋体" w:hAnsi="宋体" w:eastAsia="宋体" w:cs="宋体"/>
          <w:kern w:val="0"/>
          <w:sz w:val="24"/>
          <w:szCs w:val="24"/>
        </w:rPr>
      </w:pPr>
      <w:r>
        <w:rPr>
          <w:rFonts w:hint="eastAsia" w:ascii="宋体" w:hAnsi="宋体" w:eastAsia="宋体" w:cs="宋体"/>
          <w:kern w:val="0"/>
          <w:sz w:val="24"/>
          <w:szCs w:val="24"/>
          <w:shd w:val="clear" w:fill="FFFFFF"/>
        </w:rPr>
        <w:t>八、一般公共预算财政拨款基本支出决算表</w:t>
      </w:r>
    </w:p>
    <w:p>
      <w:pPr>
        <w:pStyle w:val="8"/>
        <w:keepNext w:val="0"/>
        <w:keepLines w:val="0"/>
        <w:widowControl/>
        <w:suppressLineNumbers w:val="0"/>
        <w:spacing w:before="0" w:beforeAutospacing="0"/>
        <w:ind w:left="0"/>
        <w:jc w:val="left"/>
        <w:rPr>
          <w:rFonts w:hint="eastAsia" w:ascii="宋体" w:hAnsi="宋体" w:eastAsia="宋体" w:cs="宋体"/>
          <w:kern w:val="0"/>
          <w:sz w:val="24"/>
          <w:szCs w:val="24"/>
        </w:rPr>
      </w:pPr>
      <w:r>
        <w:rPr>
          <w:rFonts w:hint="eastAsia" w:ascii="宋体" w:hAnsi="宋体" w:eastAsia="宋体" w:cs="宋体"/>
          <w:kern w:val="0"/>
          <w:sz w:val="24"/>
          <w:szCs w:val="24"/>
          <w:shd w:val="clear" w:fill="FFFFFF"/>
        </w:rPr>
        <w:t>九、一般公共预算财政拨款项目支出决算表</w:t>
      </w:r>
    </w:p>
    <w:p>
      <w:pPr>
        <w:pStyle w:val="8"/>
        <w:keepNext w:val="0"/>
        <w:keepLines w:val="0"/>
        <w:widowControl/>
        <w:suppressLineNumbers w:val="0"/>
        <w:spacing w:before="0" w:beforeAutospacing="0"/>
        <w:ind w:left="0"/>
        <w:jc w:val="left"/>
        <w:rPr>
          <w:rFonts w:hint="eastAsia" w:ascii="宋体" w:hAnsi="宋体" w:eastAsia="宋体" w:cs="宋体"/>
          <w:kern w:val="0"/>
          <w:sz w:val="24"/>
          <w:szCs w:val="24"/>
        </w:rPr>
      </w:pPr>
      <w:r>
        <w:rPr>
          <w:rFonts w:hint="eastAsia" w:ascii="宋体" w:hAnsi="宋体" w:eastAsia="宋体" w:cs="宋体"/>
          <w:kern w:val="0"/>
          <w:sz w:val="24"/>
          <w:szCs w:val="24"/>
          <w:shd w:val="clear" w:fill="FFFFFF"/>
        </w:rPr>
        <w:t>十、一般公共预算财政拨款“三公”经费支出决算表</w:t>
      </w:r>
    </w:p>
    <w:p>
      <w:pPr>
        <w:pStyle w:val="8"/>
        <w:keepNext w:val="0"/>
        <w:keepLines w:val="0"/>
        <w:widowControl/>
        <w:suppressLineNumbers w:val="0"/>
        <w:spacing w:before="0" w:beforeAutospacing="0"/>
        <w:ind w:left="0"/>
        <w:jc w:val="left"/>
        <w:rPr>
          <w:rFonts w:hint="eastAsia" w:ascii="宋体" w:hAnsi="宋体" w:eastAsia="宋体" w:cs="宋体"/>
          <w:kern w:val="0"/>
          <w:sz w:val="24"/>
          <w:szCs w:val="24"/>
        </w:rPr>
      </w:pPr>
      <w:r>
        <w:rPr>
          <w:rFonts w:hint="eastAsia" w:ascii="宋体" w:hAnsi="宋体" w:eastAsia="宋体" w:cs="宋体"/>
          <w:kern w:val="0"/>
          <w:sz w:val="24"/>
          <w:szCs w:val="24"/>
          <w:shd w:val="clear" w:fill="FFFFFF"/>
        </w:rPr>
        <w:t>十一、政府性基金预算财政拨款收入支出决算表</w:t>
      </w:r>
    </w:p>
    <w:p>
      <w:pPr>
        <w:pStyle w:val="8"/>
        <w:keepNext w:val="0"/>
        <w:keepLines w:val="0"/>
        <w:widowControl/>
        <w:suppressLineNumbers w:val="0"/>
        <w:spacing w:before="0" w:beforeAutospacing="0"/>
        <w:ind w:left="0"/>
        <w:jc w:val="left"/>
        <w:rPr>
          <w:rFonts w:hint="eastAsia" w:ascii="宋体" w:hAnsi="宋体" w:eastAsia="宋体" w:cs="宋体"/>
          <w:kern w:val="0"/>
          <w:sz w:val="24"/>
          <w:szCs w:val="24"/>
        </w:rPr>
      </w:pPr>
      <w:r>
        <w:rPr>
          <w:rFonts w:hint="eastAsia" w:ascii="宋体" w:hAnsi="宋体" w:eastAsia="宋体" w:cs="宋体"/>
          <w:kern w:val="0"/>
          <w:sz w:val="24"/>
          <w:szCs w:val="24"/>
          <w:shd w:val="clear" w:fill="FFFFFF"/>
        </w:rPr>
        <w:t>十二、政府性基金预算财政拨款“三公”经费支出决算表</w:t>
      </w:r>
    </w:p>
    <w:p>
      <w:pPr>
        <w:pStyle w:val="8"/>
        <w:keepNext w:val="0"/>
        <w:keepLines w:val="0"/>
        <w:widowControl/>
        <w:suppressLineNumbers w:val="0"/>
        <w:spacing w:before="0" w:beforeAutospacing="0"/>
        <w:ind w:left="0"/>
        <w:jc w:val="left"/>
        <w:rPr>
          <w:rFonts w:hint="eastAsia" w:ascii="宋体" w:hAnsi="宋体" w:eastAsia="宋体" w:cs="宋体"/>
          <w:kern w:val="0"/>
          <w:sz w:val="24"/>
          <w:szCs w:val="24"/>
        </w:rPr>
      </w:pPr>
      <w:r>
        <w:rPr>
          <w:rFonts w:hint="eastAsia" w:ascii="宋体" w:hAnsi="宋体" w:eastAsia="宋体" w:cs="宋体"/>
          <w:kern w:val="0"/>
          <w:sz w:val="24"/>
          <w:szCs w:val="24"/>
          <w:shd w:val="clear" w:fill="FFFFFF"/>
        </w:rPr>
        <w:t>十三、国有资本经营预算财政拨款收入支出决算表</w:t>
      </w:r>
    </w:p>
    <w:p>
      <w:pPr>
        <w:pStyle w:val="8"/>
        <w:keepNext w:val="0"/>
        <w:keepLines w:val="0"/>
        <w:widowControl/>
        <w:suppressLineNumbers w:val="0"/>
        <w:spacing w:before="0" w:beforeAutospacing="0"/>
        <w:ind w:left="0"/>
        <w:jc w:val="left"/>
        <w:rPr>
          <w:rFonts w:hint="eastAsia" w:ascii="宋体" w:hAnsi="宋体" w:eastAsia="宋体" w:cs="宋体"/>
          <w:kern w:val="0"/>
          <w:sz w:val="24"/>
          <w:szCs w:val="24"/>
        </w:rPr>
      </w:pPr>
      <w:r>
        <w:rPr>
          <w:rFonts w:hint="eastAsia" w:ascii="宋体" w:hAnsi="宋体" w:eastAsia="宋体" w:cs="宋体"/>
          <w:kern w:val="0"/>
          <w:sz w:val="24"/>
          <w:szCs w:val="24"/>
          <w:shd w:val="clear" w:fill="FFFFFF"/>
        </w:rPr>
        <w:t>十四、国有资本经营预算财政拨款支出决算表</w:t>
      </w:r>
    </w:p>
    <w:p>
      <w:pPr>
        <w:pStyle w:val="8"/>
        <w:keepNext w:val="0"/>
        <w:keepLines w:val="0"/>
        <w:widowControl/>
        <w:suppressLineNumbers w:val="0"/>
        <w:spacing w:before="0" w:beforeAutospacing="0"/>
        <w:ind w:left="0"/>
        <w:jc w:val="left"/>
        <w:rPr>
          <w:rFonts w:hint="eastAsia" w:ascii="宋体" w:hAnsi="宋体" w:eastAsia="宋体" w:cs="宋体"/>
          <w:kern w:val="0"/>
          <w:sz w:val="24"/>
          <w:szCs w:val="24"/>
          <w:shd w:val="clear" w:fill="FFFFFF"/>
        </w:rPr>
        <w:sectPr>
          <w:footerReference r:id="rId4" w:type="default"/>
          <w:pgSz w:w="11915" w:h="16851"/>
          <w:pgMar w:top="1440" w:right="1800" w:bottom="1440" w:left="1800" w:header="851" w:footer="992" w:gutter="0"/>
          <w:pgNumType w:start="1"/>
          <w:cols w:space="0" w:num="1"/>
          <w:docGrid w:type="lines" w:linePitch="312" w:charSpace="0"/>
        </w:sectPr>
      </w:pPr>
    </w:p>
    <w:p>
      <w:pPr>
        <w:pStyle w:val="8"/>
        <w:keepNext w:val="0"/>
        <w:keepLines w:val="0"/>
        <w:widowControl/>
        <w:suppressLineNumbers w:val="0"/>
        <w:spacing w:before="0" w:beforeAutospacing="0"/>
        <w:ind w:left="0"/>
        <w:jc w:val="left"/>
        <w:rPr>
          <w:rFonts w:hint="eastAsia" w:ascii="黑体" w:hAnsi="宋体" w:eastAsia="黑体" w:cs="Times New Roman"/>
          <w:b/>
          <w:bCs/>
          <w:color w:val="000000"/>
          <w:kern w:val="2"/>
          <w:sz w:val="44"/>
          <w:szCs w:val="44"/>
        </w:rPr>
      </w:pPr>
      <w:r>
        <w:rPr>
          <w:rFonts w:hint="eastAsia" w:ascii="宋体" w:hAnsi="宋体" w:eastAsia="宋体" w:cs="宋体"/>
          <w:kern w:val="0"/>
          <w:sz w:val="24"/>
          <w:szCs w:val="24"/>
          <w:shd w:val="clear" w:fill="FFFFFF"/>
        </w:rPr>
        <w:t xml:space="preserve">    </w:t>
      </w:r>
      <w:r>
        <w:rPr>
          <w:rFonts w:hint="eastAsia" w:ascii="黑体" w:hAnsi="宋体" w:eastAsia="黑体" w:cs="黑体"/>
          <w:b/>
          <w:bCs/>
          <w:color w:val="000000"/>
          <w:kern w:val="2"/>
          <w:sz w:val="44"/>
          <w:szCs w:val="44"/>
        </w:rPr>
        <w:t>第一部分</w:t>
      </w:r>
      <w:r>
        <w:rPr>
          <w:rFonts w:hint="eastAsia" w:ascii="黑体" w:hAnsi="宋体" w:eastAsia="黑体" w:cs="Times New Roman"/>
          <w:b/>
          <w:bCs/>
          <w:color w:val="000000"/>
          <w:kern w:val="2"/>
          <w:sz w:val="44"/>
          <w:szCs w:val="44"/>
        </w:rPr>
        <w:t xml:space="preserve"> </w:t>
      </w:r>
      <w:r>
        <w:rPr>
          <w:rFonts w:hint="eastAsia" w:ascii="黑体" w:hAnsi="宋体" w:eastAsia="黑体" w:cs="黑体"/>
          <w:b/>
          <w:bCs/>
          <w:color w:val="000000"/>
          <w:kern w:val="2"/>
          <w:sz w:val="44"/>
          <w:szCs w:val="44"/>
        </w:rPr>
        <w:t>部门概况</w:t>
      </w:r>
    </w:p>
    <w:p>
      <w:pPr>
        <w:pStyle w:val="2"/>
        <w:keepNext/>
        <w:keepLines/>
        <w:widowControl w:val="0"/>
        <w:suppressLineNumbers w:val="0"/>
        <w:spacing w:before="260" w:beforeAutospacing="0" w:after="260" w:afterAutospacing="0" w:line="408" w:lineRule="auto"/>
        <w:ind w:left="0" w:right="0"/>
        <w:jc w:val="both"/>
        <w:outlineLvl w:val="1"/>
        <w:rPr>
          <w:rFonts w:hint="eastAsia" w:ascii="黑体" w:hAnsi="宋体" w:eastAsia="黑体" w:cs="Times New Roman"/>
          <w:b w:val="0"/>
          <w:bCs w:val="0"/>
          <w:kern w:val="2"/>
          <w:sz w:val="32"/>
          <w:szCs w:val="32"/>
        </w:rPr>
      </w:pPr>
      <w:r>
        <w:rPr>
          <w:rStyle w:val="10"/>
          <w:rFonts w:hint="eastAsia" w:ascii="黑体" w:hAnsi="宋体" w:eastAsia="黑体" w:cs="Times New Roman"/>
          <w:b w:val="0"/>
          <w:bCs w:val="0"/>
          <w:kern w:val="2"/>
          <w:sz w:val="32"/>
          <w:szCs w:val="32"/>
        </w:rPr>
        <w:t xml:space="preserve"> </w:t>
      </w:r>
      <w:r>
        <w:rPr>
          <w:rStyle w:val="10"/>
          <w:rFonts w:hint="eastAsia" w:ascii="黑体" w:hAnsi="宋体" w:eastAsia="黑体" w:cs="黑体"/>
          <w:b w:val="0"/>
          <w:bCs w:val="0"/>
          <w:kern w:val="2"/>
          <w:sz w:val="32"/>
          <w:szCs w:val="32"/>
        </w:rPr>
        <w:t>一、基本职能及主要工作</w:t>
      </w:r>
    </w:p>
    <w:p>
      <w:pPr>
        <w:pStyle w:val="8"/>
        <w:keepNext w:val="0"/>
        <w:keepLines w:val="0"/>
        <w:widowControl/>
        <w:suppressLineNumbers w:val="0"/>
        <w:spacing w:before="0" w:beforeAutospacing="0"/>
        <w:ind w:left="0"/>
        <w:jc w:val="left"/>
        <w:rPr>
          <w:rFonts w:hint="eastAsia" w:ascii="仿宋" w:hAnsi="仿宋" w:eastAsia="仿宋" w:cs="仿宋"/>
          <w:color w:val="000000"/>
          <w:kern w:val="0"/>
          <w:sz w:val="32"/>
          <w:szCs w:val="32"/>
        </w:rPr>
      </w:pPr>
      <w:r>
        <w:rPr>
          <w:rFonts w:hint="eastAsia" w:ascii="仿宋" w:hAnsi="仿宋" w:eastAsia="仿宋" w:cs="仿宋"/>
          <w:color w:val="000000"/>
          <w:kern w:val="0"/>
          <w:sz w:val="32"/>
          <w:szCs w:val="32"/>
        </w:rPr>
        <w:t>（一）主要职能</w:t>
      </w:r>
    </w:p>
    <w:p>
      <w:pPr>
        <w:pStyle w:val="8"/>
        <w:keepNext w:val="0"/>
        <w:keepLines w:val="0"/>
        <w:widowControl/>
        <w:suppressLineNumbers w:val="0"/>
        <w:spacing w:before="0" w:beforeAutospacing="0"/>
        <w:ind w:left="0" w:firstLine="640" w:firstLineChars="200"/>
        <w:jc w:val="left"/>
        <w:rPr>
          <w:rFonts w:hint="eastAsia" w:ascii="仿宋" w:hAnsi="仿宋" w:eastAsia="仿宋" w:cs="宋体"/>
          <w:color w:val="000000"/>
          <w:kern w:val="0"/>
          <w:sz w:val="32"/>
          <w:szCs w:val="32"/>
        </w:rPr>
      </w:pPr>
      <w:r>
        <w:rPr>
          <w:rFonts w:hint="eastAsia" w:ascii="仿宋_GB2312" w:hAnsi="宋体" w:eastAsia="仿宋_GB2312" w:cs="仿宋_GB2312"/>
          <w:color w:val="000000"/>
          <w:kern w:val="0"/>
          <w:sz w:val="32"/>
          <w:szCs w:val="32"/>
        </w:rPr>
        <w:t>九年制义务教育的实施，促进基础教育发展，培养学生高尚的思想道德情操，丰富的科学文化知识，良好的身体素质，促进学生全面发展，业务范围是从事学前教育</w:t>
      </w:r>
      <w:r>
        <w:rPr>
          <w:rFonts w:hint="eastAsia" w:ascii="仿宋" w:hAnsi="仿宋" w:eastAsia="仿宋" w:cs="仿宋"/>
          <w:color w:val="000000"/>
          <w:kern w:val="0"/>
          <w:sz w:val="32"/>
          <w:szCs w:val="32"/>
        </w:rPr>
        <w:t>。</w:t>
      </w:r>
    </w:p>
    <w:p>
      <w:pPr>
        <w:pStyle w:val="3"/>
        <w:keepNext w:val="0"/>
        <w:keepLines w:val="0"/>
        <w:widowControl/>
        <w:suppressLineNumbers w:val="0"/>
        <w:adjustRightInd w:val="0"/>
        <w:snapToGrid w:val="0"/>
        <w:spacing w:before="93" w:beforeLines="30" w:beforeAutospacing="0" w:after="0" w:afterAutospacing="1" w:line="600" w:lineRule="exact"/>
        <w:ind w:right="0"/>
        <w:jc w:val="left"/>
        <w:outlineLvl w:val="2"/>
        <w:rPr>
          <w:rFonts w:hint="eastAsia" w:ascii="仿宋" w:hAnsi="仿宋" w:eastAsia="仿宋" w:cs="宋体"/>
          <w:color w:val="000000"/>
          <w:kern w:val="0"/>
          <w:sz w:val="32"/>
          <w:szCs w:val="32"/>
        </w:rPr>
      </w:pPr>
      <w:r>
        <w:rPr>
          <w:rFonts w:hint="eastAsia" w:ascii="仿宋" w:hAnsi="仿宋" w:eastAsia="仿宋" w:cs="仿宋"/>
          <w:color w:val="000000"/>
          <w:kern w:val="0"/>
          <w:sz w:val="32"/>
          <w:szCs w:val="32"/>
        </w:rPr>
        <w:t>（二）</w:t>
      </w:r>
      <w:r>
        <w:rPr>
          <w:rFonts w:hint="eastAsia" w:ascii="仿宋" w:hAnsi="仿宋" w:eastAsia="仿宋" w:cs="宋体"/>
          <w:color w:val="000000"/>
          <w:kern w:val="0"/>
          <w:sz w:val="32"/>
          <w:szCs w:val="32"/>
        </w:rPr>
        <w:t>202</w:t>
      </w:r>
      <w:r>
        <w:rPr>
          <w:rFonts w:hint="eastAsia" w:ascii="仿宋" w:hAnsi="仿宋" w:eastAsia="仿宋" w:cs="宋体"/>
          <w:color w:val="000000"/>
          <w:kern w:val="0"/>
          <w:sz w:val="32"/>
          <w:szCs w:val="32"/>
          <w:lang w:val="en-US" w:eastAsia="zh-CN"/>
        </w:rPr>
        <w:t>5</w:t>
      </w:r>
      <w:r>
        <w:rPr>
          <w:rFonts w:hint="eastAsia" w:ascii="仿宋" w:hAnsi="仿宋" w:eastAsia="仿宋" w:cs="仿宋"/>
          <w:color w:val="000000"/>
          <w:kern w:val="0"/>
          <w:sz w:val="32"/>
          <w:szCs w:val="32"/>
        </w:rPr>
        <w:t>年重点工作完成情况。</w:t>
      </w:r>
    </w:p>
    <w:p>
      <w:pPr>
        <w:pStyle w:val="3"/>
        <w:keepNext w:val="0"/>
        <w:keepLines w:val="0"/>
        <w:widowControl w:val="0"/>
        <w:suppressLineNumbers w:val="0"/>
        <w:adjustRightInd w:val="0"/>
        <w:snapToGrid w:val="0"/>
        <w:spacing w:before="0" w:beforeLines="30" w:beforeAutospacing="0" w:after="0" w:afterAutospacing="1" w:line="560" w:lineRule="exact"/>
        <w:ind w:left="0" w:right="0" w:rightChars="0" w:firstLine="640" w:firstLineChars="200"/>
        <w:rPr>
          <w:rFonts w:hint="eastAsia" w:ascii="仿宋" w:hAnsi="仿宋" w:eastAsia="仿宋" w:cs="宋体"/>
          <w:color w:val="000000"/>
          <w:kern w:val="0"/>
          <w:sz w:val="32"/>
          <w:szCs w:val="32"/>
        </w:rPr>
      </w:pPr>
      <w:r>
        <w:rPr>
          <w:rFonts w:hint="eastAsia" w:ascii="仿宋_GB2312" w:hAnsi="宋体" w:eastAsia="仿宋_GB2312" w:cs="仿宋_GB2312"/>
          <w:color w:val="000000"/>
          <w:kern w:val="0"/>
          <w:sz w:val="32"/>
          <w:szCs w:val="32"/>
        </w:rPr>
        <w:t>我校今年根据财政资金的安排情况，加强了资金的管理，合理用于教育事业，对我校贫困学生实行帮扶。资金合理合法使用。</w:t>
      </w:r>
    </w:p>
    <w:p>
      <w:pPr>
        <w:pStyle w:val="8"/>
        <w:keepNext w:val="0"/>
        <w:keepLines w:val="0"/>
        <w:widowControl/>
        <w:suppressLineNumbers w:val="0"/>
        <w:spacing w:before="0" w:beforeAutospacing="0"/>
        <w:ind w:left="0"/>
        <w:jc w:val="left"/>
        <w:rPr>
          <w:rFonts w:hint="eastAsia" w:ascii="黑体" w:hAnsi="宋体" w:eastAsia="黑体" w:cs="Times New Roman"/>
          <w:b w:val="0"/>
          <w:bCs w:val="0"/>
          <w:kern w:val="2"/>
          <w:sz w:val="32"/>
          <w:szCs w:val="32"/>
        </w:rPr>
      </w:pPr>
      <w:r>
        <w:rPr>
          <w:rFonts w:hint="eastAsia" w:ascii="宋体" w:hAnsi="宋体" w:eastAsia="宋体" w:cs="宋体"/>
          <w:kern w:val="0"/>
          <w:sz w:val="24"/>
          <w:szCs w:val="24"/>
        </w:rPr>
        <w:t xml:space="preserve"> </w:t>
      </w:r>
      <w:r>
        <w:rPr>
          <w:rStyle w:val="10"/>
          <w:rFonts w:hint="eastAsia" w:ascii="黑体" w:hAnsi="宋体" w:eastAsia="黑体" w:cs="黑体"/>
          <w:b w:val="0"/>
          <w:bCs w:val="0"/>
          <w:kern w:val="2"/>
          <w:sz w:val="32"/>
          <w:szCs w:val="32"/>
        </w:rPr>
        <w:t>二、机构设置</w:t>
      </w:r>
    </w:p>
    <w:p>
      <w:pPr>
        <w:pStyle w:val="3"/>
        <w:keepNext w:val="0"/>
        <w:keepLines w:val="0"/>
        <w:widowControl w:val="0"/>
        <w:suppressLineNumbers w:val="0"/>
        <w:adjustRightInd w:val="0"/>
        <w:snapToGrid w:val="0"/>
        <w:spacing w:before="0" w:beforeLines="30" w:beforeAutospacing="0" w:after="0" w:afterAutospacing="1" w:line="560" w:lineRule="exact"/>
        <w:ind w:left="0" w:leftChars="0" w:right="0" w:rightChars="0" w:firstLine="672" w:firstLineChars="210"/>
        <w:rPr>
          <w:rFonts w:hint="eastAsia" w:ascii="仿宋_GB2312" w:hAnsi="宋体" w:eastAsia="仿宋_GB2312" w:cs="宋体"/>
          <w:color w:val="000000"/>
          <w:kern w:val="0"/>
          <w:sz w:val="32"/>
          <w:szCs w:val="32"/>
        </w:rPr>
      </w:pPr>
      <w:r>
        <w:rPr>
          <w:rFonts w:hint="eastAsia" w:ascii="仿宋_GB2312" w:hAnsi="宋体" w:eastAsia="仿宋_GB2312" w:cs="仿宋_GB2312"/>
          <w:color w:val="000000"/>
          <w:kern w:val="0"/>
          <w:sz w:val="32"/>
          <w:szCs w:val="32"/>
        </w:rPr>
        <w:t>我校属于红原县教育局下属的二级预算单位，执行的是中小学事业单位会计制度，我单位为独立核算财政全额拨款事业单位，红原县寄宿制藏文中学共有编制</w:t>
      </w:r>
      <w:r>
        <w:rPr>
          <w:rFonts w:hint="eastAsia" w:ascii="仿宋_GB2312" w:hAnsi="宋体" w:eastAsia="仿宋_GB2312" w:cs="宋体"/>
          <w:color w:val="000000"/>
          <w:kern w:val="0"/>
          <w:sz w:val="32"/>
          <w:szCs w:val="32"/>
        </w:rPr>
        <w:t>1</w:t>
      </w:r>
      <w:r>
        <w:rPr>
          <w:rFonts w:hint="eastAsia" w:cs="宋体"/>
          <w:color w:val="000000"/>
          <w:kern w:val="0"/>
          <w:sz w:val="32"/>
          <w:szCs w:val="32"/>
          <w:lang w:val="en-US" w:eastAsia="zh-CN"/>
        </w:rPr>
        <w:t>62</w:t>
      </w:r>
      <w:r>
        <w:rPr>
          <w:rFonts w:hint="eastAsia" w:ascii="仿宋_GB2312" w:hAnsi="宋体" w:eastAsia="仿宋_GB2312" w:cs="仿宋_GB2312"/>
          <w:color w:val="000000"/>
          <w:kern w:val="0"/>
          <w:sz w:val="32"/>
          <w:szCs w:val="32"/>
        </w:rPr>
        <w:t>人，截止</w:t>
      </w:r>
      <w:r>
        <w:rPr>
          <w:rFonts w:hint="eastAsia" w:ascii="仿宋_GB2312" w:hAnsi="宋体" w:eastAsia="仿宋_GB2312" w:cs="宋体"/>
          <w:color w:val="000000"/>
          <w:kern w:val="0"/>
          <w:sz w:val="32"/>
          <w:szCs w:val="32"/>
        </w:rPr>
        <w:t>202</w:t>
      </w:r>
      <w:r>
        <w:rPr>
          <w:rFonts w:hint="eastAsia" w:cs="宋体"/>
          <w:color w:val="000000"/>
          <w:kern w:val="0"/>
          <w:sz w:val="32"/>
          <w:szCs w:val="32"/>
          <w:lang w:val="en-US" w:eastAsia="zh-CN"/>
        </w:rPr>
        <w:t>5</w:t>
      </w:r>
      <w:r>
        <w:rPr>
          <w:rFonts w:hint="eastAsia" w:ascii="仿宋_GB2312" w:hAnsi="宋体" w:eastAsia="仿宋_GB2312" w:cs="仿宋_GB2312"/>
          <w:color w:val="000000"/>
          <w:kern w:val="0"/>
          <w:sz w:val="32"/>
          <w:szCs w:val="32"/>
        </w:rPr>
        <w:t>年底在职职工</w:t>
      </w:r>
      <w:r>
        <w:rPr>
          <w:rFonts w:hint="eastAsia" w:cs="宋体"/>
          <w:color w:val="000000"/>
          <w:kern w:val="0"/>
          <w:sz w:val="32"/>
          <w:szCs w:val="32"/>
          <w:lang w:val="en-US" w:eastAsia="zh-CN"/>
        </w:rPr>
        <w:t>163</w:t>
      </w:r>
      <w:r>
        <w:rPr>
          <w:rFonts w:hint="eastAsia" w:ascii="仿宋_GB2312" w:hAnsi="宋体" w:eastAsia="仿宋_GB2312" w:cs="仿宋_GB2312"/>
          <w:color w:val="000000"/>
          <w:kern w:val="0"/>
          <w:sz w:val="32"/>
          <w:szCs w:val="32"/>
        </w:rPr>
        <w:t>人，上年度在职</w:t>
      </w:r>
      <w:r>
        <w:rPr>
          <w:rFonts w:hint="eastAsia" w:cs="宋体"/>
          <w:color w:val="000000"/>
          <w:kern w:val="0"/>
          <w:sz w:val="32"/>
          <w:szCs w:val="32"/>
          <w:lang w:val="en-US" w:eastAsia="zh-CN"/>
        </w:rPr>
        <w:t>163</w:t>
      </w:r>
      <w:r>
        <w:rPr>
          <w:rFonts w:hint="eastAsia" w:ascii="仿宋_GB2312" w:hAnsi="宋体" w:eastAsia="仿宋_GB2312" w:cs="仿宋_GB2312"/>
          <w:color w:val="000000"/>
          <w:kern w:val="0"/>
          <w:sz w:val="32"/>
          <w:szCs w:val="32"/>
        </w:rPr>
        <w:t>人。</w:t>
      </w:r>
    </w:p>
    <w:p>
      <w:pPr>
        <w:pStyle w:val="8"/>
        <w:keepNext w:val="0"/>
        <w:keepLines w:val="0"/>
        <w:widowControl/>
        <w:suppressLineNumbers w:val="0"/>
        <w:spacing w:before="0" w:beforeAutospacing="0"/>
        <w:ind w:left="0"/>
        <w:jc w:val="left"/>
        <w:rPr>
          <w:rFonts w:hint="eastAsia" w:ascii="黑体" w:hAnsi="宋体" w:eastAsia="黑体" w:cs="黑体"/>
          <w:b/>
          <w:bCs/>
          <w:color w:val="000000"/>
          <w:kern w:val="2"/>
          <w:sz w:val="44"/>
          <w:szCs w:val="44"/>
        </w:rPr>
      </w:pPr>
      <w:r>
        <w:rPr>
          <w:rFonts w:hint="eastAsia" w:ascii="黑体" w:hAnsi="宋体" w:eastAsia="黑体" w:cs="黑体"/>
          <w:b/>
          <w:bCs/>
          <w:color w:val="000000"/>
          <w:kern w:val="2"/>
          <w:sz w:val="44"/>
          <w:szCs w:val="44"/>
        </w:rPr>
        <w:t xml:space="preserve"> 第二部分 202</w:t>
      </w:r>
      <w:r>
        <w:rPr>
          <w:rFonts w:hint="eastAsia" w:ascii="黑体" w:eastAsia="黑体" w:cs="黑体"/>
          <w:b/>
          <w:bCs/>
          <w:color w:val="000000"/>
          <w:kern w:val="2"/>
          <w:sz w:val="44"/>
          <w:szCs w:val="44"/>
          <w:lang w:val="en-US" w:eastAsia="zh-CN"/>
        </w:rPr>
        <w:t>5</w:t>
      </w:r>
      <w:r>
        <w:rPr>
          <w:rFonts w:hint="eastAsia" w:ascii="黑体" w:hAnsi="宋体" w:eastAsia="黑体" w:cs="黑体"/>
          <w:b/>
          <w:bCs/>
          <w:color w:val="000000"/>
          <w:kern w:val="2"/>
          <w:sz w:val="44"/>
          <w:szCs w:val="44"/>
        </w:rPr>
        <w:t>年度部门决算情况说明</w:t>
      </w:r>
    </w:p>
    <w:p>
      <w:pPr>
        <w:pStyle w:val="2"/>
        <w:keepNext/>
        <w:keepLines/>
        <w:widowControl w:val="0"/>
        <w:suppressLineNumbers w:val="0"/>
        <w:spacing w:before="260" w:beforeAutospacing="0" w:after="260" w:afterAutospacing="0" w:line="408" w:lineRule="auto"/>
        <w:ind w:left="0" w:right="0"/>
        <w:jc w:val="both"/>
        <w:outlineLvl w:val="1"/>
        <w:rPr>
          <w:rFonts w:hint="eastAsia" w:ascii="黑体" w:hAnsi="宋体" w:eastAsia="黑体" w:cs="Times New Roman"/>
          <w:b w:val="0"/>
          <w:bCs w:val="0"/>
          <w:kern w:val="2"/>
          <w:sz w:val="32"/>
          <w:szCs w:val="32"/>
        </w:rPr>
      </w:pPr>
      <w:r>
        <w:rPr>
          <w:rStyle w:val="10"/>
          <w:rFonts w:hint="eastAsia" w:ascii="黑体" w:hAnsi="宋体" w:eastAsia="黑体" w:cs="Times New Roman"/>
          <w:b w:val="0"/>
          <w:bCs w:val="0"/>
          <w:kern w:val="2"/>
          <w:sz w:val="32"/>
          <w:szCs w:val="32"/>
        </w:rPr>
        <w:t xml:space="preserve"> </w:t>
      </w:r>
      <w:r>
        <w:rPr>
          <w:rStyle w:val="10"/>
          <w:rFonts w:hint="eastAsia" w:ascii="黑体" w:hAnsi="宋体" w:eastAsia="黑体" w:cs="黑体"/>
          <w:b w:val="0"/>
          <w:bCs w:val="0"/>
          <w:kern w:val="2"/>
          <w:sz w:val="32"/>
          <w:szCs w:val="32"/>
        </w:rPr>
        <w:t>一、</w:t>
      </w:r>
      <w:r>
        <w:rPr>
          <w:rStyle w:val="10"/>
          <w:rFonts w:hint="eastAsia" w:ascii="黑体" w:hAnsi="宋体" w:eastAsia="黑体" w:cs="Times New Roman"/>
          <w:b w:val="0"/>
          <w:bCs w:val="0"/>
          <w:kern w:val="2"/>
          <w:sz w:val="32"/>
          <w:szCs w:val="32"/>
        </w:rPr>
        <w:t xml:space="preserve"> </w:t>
      </w:r>
      <w:r>
        <w:rPr>
          <w:rStyle w:val="10"/>
          <w:rFonts w:hint="eastAsia" w:ascii="黑体" w:hAnsi="宋体" w:eastAsia="黑体" w:cs="黑体"/>
          <w:b w:val="0"/>
          <w:bCs w:val="0"/>
          <w:kern w:val="2"/>
          <w:sz w:val="32"/>
          <w:szCs w:val="32"/>
        </w:rPr>
        <w:t>收入支出决算总体情况说明</w:t>
      </w:r>
    </w:p>
    <w:p>
      <w:pPr>
        <w:pStyle w:val="3"/>
        <w:keepNext w:val="0"/>
        <w:keepLines w:val="0"/>
        <w:widowControl w:val="0"/>
        <w:suppressLineNumbers w:val="0"/>
        <w:adjustRightInd w:val="0"/>
        <w:snapToGrid w:val="0"/>
        <w:spacing w:before="0" w:beforeLines="30" w:beforeAutospacing="0" w:after="0" w:afterAutospacing="1" w:line="560" w:lineRule="exact"/>
        <w:ind w:left="0" w:leftChars="0" w:right="0" w:rightChars="0" w:firstLine="504" w:firstLineChars="210"/>
        <w:jc w:val="left"/>
        <w:rPr>
          <w:rFonts w:hint="eastAsia" w:ascii="仿宋_GB2312" w:hAnsi="宋体" w:eastAsia="仿宋_GB2312" w:cs="仿宋_GB2312"/>
          <w:color w:val="000000"/>
          <w:kern w:val="0"/>
          <w:sz w:val="32"/>
          <w:szCs w:val="32"/>
        </w:rPr>
      </w:pPr>
      <w:r>
        <w:rPr>
          <w:rFonts w:hint="eastAsia" w:ascii="宋体" w:hAnsi="宋体" w:eastAsia="宋体" w:cs="宋体"/>
          <w:kern w:val="0"/>
          <w:sz w:val="24"/>
          <w:szCs w:val="24"/>
          <w:shd w:val="clear" w:fill="FFFFFF"/>
        </w:rPr>
        <w:t xml:space="preserve"> </w:t>
      </w:r>
      <w:r>
        <w:rPr>
          <w:rFonts w:hint="eastAsia" w:ascii="仿宋_GB2312" w:hAnsi="宋体" w:eastAsia="仿宋_GB2312" w:cs="仿宋_GB2312"/>
          <w:color w:val="000000"/>
          <w:kern w:val="0"/>
          <w:sz w:val="32"/>
          <w:szCs w:val="32"/>
        </w:rPr>
        <w:t xml:space="preserve"> 202</w:t>
      </w:r>
      <w:r>
        <w:rPr>
          <w:rFonts w:hint="eastAsia" w:cs="仿宋_GB2312"/>
          <w:color w:val="000000"/>
          <w:kern w:val="0"/>
          <w:sz w:val="32"/>
          <w:szCs w:val="32"/>
          <w:lang w:val="en-US" w:eastAsia="zh-CN"/>
        </w:rPr>
        <w:t>5</w:t>
      </w:r>
      <w:r>
        <w:rPr>
          <w:rFonts w:hint="eastAsia" w:ascii="仿宋_GB2312" w:hAnsi="宋体" w:eastAsia="仿宋_GB2312" w:cs="仿宋_GB2312"/>
          <w:color w:val="000000"/>
          <w:kern w:val="0"/>
          <w:sz w:val="32"/>
          <w:szCs w:val="32"/>
        </w:rPr>
        <w:t>年度收、支总计</w:t>
      </w:r>
      <w:r>
        <w:rPr>
          <w:rFonts w:hint="eastAsia" w:ascii="仿宋_GB2312" w:hAnsi="仿宋_GB2312" w:eastAsia="仿宋_GB2312" w:cs="仿宋_GB2312"/>
          <w:sz w:val="32"/>
          <w:szCs w:val="32"/>
        </w:rPr>
        <w:t>5137.22</w:t>
      </w:r>
      <w:r>
        <w:rPr>
          <w:rFonts w:hint="eastAsia" w:cs="仿宋_GB2312"/>
          <w:color w:val="000000"/>
          <w:kern w:val="0"/>
          <w:sz w:val="32"/>
          <w:szCs w:val="32"/>
          <w:lang w:val="en-US" w:eastAsia="zh-CN"/>
        </w:rPr>
        <w:t>万</w:t>
      </w:r>
      <w:r>
        <w:rPr>
          <w:rFonts w:hint="eastAsia" w:ascii="仿宋_GB2312" w:hAnsi="宋体" w:eastAsia="仿宋_GB2312" w:cs="仿宋_GB2312"/>
          <w:color w:val="000000"/>
          <w:kern w:val="0"/>
          <w:sz w:val="32"/>
          <w:szCs w:val="32"/>
        </w:rPr>
        <w:t>元。与202</w:t>
      </w:r>
      <w:r>
        <w:rPr>
          <w:rFonts w:hint="eastAsia" w:cs="仿宋_GB2312"/>
          <w:color w:val="000000"/>
          <w:kern w:val="0"/>
          <w:sz w:val="32"/>
          <w:szCs w:val="32"/>
          <w:lang w:val="en-US" w:eastAsia="zh-CN"/>
        </w:rPr>
        <w:t>4</w:t>
      </w:r>
      <w:r>
        <w:rPr>
          <w:rFonts w:hint="eastAsia" w:ascii="仿宋_GB2312" w:hAnsi="宋体" w:eastAsia="仿宋_GB2312" w:cs="仿宋_GB2312"/>
          <w:color w:val="000000"/>
          <w:kern w:val="0"/>
          <w:sz w:val="32"/>
          <w:szCs w:val="32"/>
        </w:rPr>
        <w:t>年相比，收、支总计各增加</w:t>
      </w:r>
      <w:r>
        <w:rPr>
          <w:rFonts w:hint="eastAsia" w:cs="仿宋_GB2312"/>
          <w:color w:val="000000"/>
          <w:kern w:val="0"/>
          <w:sz w:val="32"/>
          <w:szCs w:val="32"/>
          <w:lang w:val="en-US" w:eastAsia="zh-CN"/>
        </w:rPr>
        <w:t>452.98</w:t>
      </w:r>
      <w:r>
        <w:rPr>
          <w:rFonts w:hint="eastAsia" w:ascii="仿宋_GB2312" w:hAnsi="宋体" w:eastAsia="仿宋_GB2312" w:cs="仿宋_GB2312"/>
          <w:color w:val="000000"/>
          <w:kern w:val="0"/>
          <w:sz w:val="32"/>
          <w:szCs w:val="32"/>
        </w:rPr>
        <w:t>万元，增长</w:t>
      </w:r>
      <w:r>
        <w:rPr>
          <w:rFonts w:hint="eastAsia" w:cs="仿宋_GB2312"/>
          <w:color w:val="000000"/>
          <w:kern w:val="0"/>
          <w:sz w:val="32"/>
          <w:szCs w:val="32"/>
          <w:lang w:val="en-US" w:eastAsia="zh-CN"/>
        </w:rPr>
        <w:t>9.67</w:t>
      </w:r>
      <w:r>
        <w:rPr>
          <w:rFonts w:hint="eastAsia" w:ascii="仿宋_GB2312" w:hAnsi="宋体" w:eastAsia="仿宋_GB2312" w:cs="仿宋_GB2312"/>
          <w:color w:val="000000"/>
          <w:kern w:val="0"/>
          <w:sz w:val="32"/>
          <w:szCs w:val="32"/>
        </w:rPr>
        <w:t>%。主要变动原因是主要变动原因是202</w:t>
      </w:r>
      <w:r>
        <w:rPr>
          <w:rFonts w:hint="eastAsia" w:cs="仿宋_GB2312"/>
          <w:color w:val="000000"/>
          <w:kern w:val="0"/>
          <w:sz w:val="32"/>
          <w:szCs w:val="32"/>
          <w:lang w:val="en-US" w:eastAsia="zh-CN"/>
        </w:rPr>
        <w:t>5</w:t>
      </w:r>
      <w:r>
        <w:rPr>
          <w:rFonts w:hint="eastAsia" w:ascii="仿宋_GB2312" w:hAnsi="宋体" w:eastAsia="仿宋_GB2312" w:cs="仿宋_GB2312"/>
          <w:color w:val="000000"/>
          <w:kern w:val="0"/>
          <w:sz w:val="32"/>
          <w:szCs w:val="32"/>
        </w:rPr>
        <w:t>年人员工资增加，项目支出增加。收入支出相应增加。</w:t>
      </w:r>
    </w:p>
    <w:p>
      <w:pPr>
        <w:pStyle w:val="3"/>
        <w:keepNext w:val="0"/>
        <w:keepLines w:val="0"/>
        <w:widowControl w:val="0"/>
        <w:suppressLineNumbers w:val="0"/>
        <w:adjustRightInd w:val="0"/>
        <w:snapToGrid w:val="0"/>
        <w:spacing w:before="0" w:beforeLines="30" w:beforeAutospacing="0" w:after="0" w:afterAutospacing="1" w:line="560" w:lineRule="exact"/>
        <w:ind w:left="0" w:leftChars="0" w:right="0" w:rightChars="0" w:firstLine="504" w:firstLineChars="210"/>
        <w:jc w:val="left"/>
        <w:rPr>
          <w:rFonts w:hint="eastAsia" w:ascii="宋体" w:hAnsi="宋体" w:eastAsia="宋体" w:cs="宋体"/>
          <w:kern w:val="0"/>
          <w:sz w:val="24"/>
          <w:szCs w:val="24"/>
          <w:shd w:val="clear" w:fill="FFFFFF"/>
        </w:rPr>
      </w:pPr>
      <w:r>
        <w:rPr>
          <w:rFonts w:hint="eastAsia" w:ascii="宋体" w:hAnsi="宋体" w:eastAsia="宋体" w:cs="宋体"/>
          <w:kern w:val="0"/>
          <w:sz w:val="24"/>
          <w:szCs w:val="24"/>
          <w:shd w:val="clear" w:fill="FFFFFF"/>
        </w:rPr>
        <w:t xml:space="preserve">（图1：收、支决算总计变动情况图）（柱状图） </w:t>
      </w:r>
    </w:p>
    <w:p>
      <w:pPr>
        <w:pStyle w:val="8"/>
        <w:keepNext w:val="0"/>
        <w:keepLines w:val="0"/>
        <w:widowControl/>
        <w:suppressLineNumbers w:val="0"/>
        <w:spacing w:before="0" w:beforeAutospacing="0"/>
        <w:ind w:left="0"/>
        <w:jc w:val="left"/>
        <w:rPr>
          <w:rFonts w:hint="eastAsia" w:ascii="宋体" w:hAnsi="宋体" w:eastAsia="宋体" w:cs="宋体"/>
          <w:kern w:val="0"/>
          <w:sz w:val="24"/>
          <w:szCs w:val="24"/>
          <w:shd w:val="clear" w:fill="FFFFFF"/>
        </w:rPr>
      </w:pPr>
      <w:r>
        <w:drawing>
          <wp:inline distT="0" distB="0" distL="114300" distR="114300">
            <wp:extent cx="4239260" cy="2520950"/>
            <wp:effectExtent l="4445" t="4445" r="8255" b="19685"/>
            <wp:docPr id="1795" name="图表 2"/>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pPr>
        <w:pStyle w:val="8"/>
        <w:keepNext w:val="0"/>
        <w:keepLines w:val="0"/>
        <w:widowControl/>
        <w:suppressLineNumbers w:val="0"/>
        <w:spacing w:before="0" w:beforeAutospacing="0"/>
        <w:ind w:left="0"/>
        <w:jc w:val="left"/>
        <w:rPr>
          <w:rFonts w:hint="eastAsia" w:ascii="黑体" w:hAnsi="宋体" w:eastAsia="黑体" w:cs="Times New Roman"/>
          <w:b w:val="0"/>
          <w:bCs w:val="0"/>
          <w:kern w:val="2"/>
          <w:sz w:val="32"/>
          <w:szCs w:val="32"/>
        </w:rPr>
      </w:pPr>
      <w:r>
        <w:rPr>
          <w:rStyle w:val="10"/>
          <w:rFonts w:hint="eastAsia" w:ascii="黑体" w:hAnsi="宋体" w:eastAsia="黑体" w:cs="黑体"/>
          <w:b w:val="0"/>
          <w:bCs w:val="0"/>
          <w:kern w:val="2"/>
          <w:sz w:val="32"/>
          <w:szCs w:val="32"/>
        </w:rPr>
        <w:t>二、收入决算情况说明</w:t>
      </w:r>
    </w:p>
    <w:p>
      <w:pPr>
        <w:pStyle w:val="8"/>
        <w:keepNext w:val="0"/>
        <w:keepLines w:val="0"/>
        <w:widowControl/>
        <w:suppressLineNumbers w:val="0"/>
        <w:spacing w:before="0" w:beforeAutospacing="0"/>
        <w:ind w:left="0"/>
        <w:jc w:val="left"/>
        <w:rPr>
          <w:rFonts w:hint="eastAsia" w:ascii="宋体" w:hAnsi="宋体" w:eastAsia="宋体" w:cs="宋体"/>
          <w:kern w:val="0"/>
          <w:sz w:val="24"/>
          <w:szCs w:val="24"/>
          <w:shd w:val="clear" w:fill="FFFFFF"/>
        </w:rPr>
      </w:pPr>
      <w:r>
        <w:rPr>
          <w:rFonts w:hint="eastAsia" w:ascii="宋体" w:hAnsi="宋体" w:eastAsia="宋体" w:cs="宋体"/>
          <w:kern w:val="0"/>
          <w:sz w:val="24"/>
          <w:szCs w:val="24"/>
          <w:shd w:val="clear" w:fill="FFFFFF"/>
        </w:rPr>
        <w:t xml:space="preserve">  </w:t>
      </w:r>
      <w:r>
        <w:rPr>
          <w:rFonts w:hint="eastAsia" w:ascii="仿宋_GB2312" w:hAnsi="宋体" w:eastAsia="仿宋_GB2312" w:cs="仿宋_GB2312"/>
          <w:color w:val="000000"/>
          <w:kern w:val="0"/>
          <w:sz w:val="32"/>
          <w:szCs w:val="32"/>
        </w:rPr>
        <w:t xml:space="preserve"> </w:t>
      </w:r>
      <w:r>
        <w:rPr>
          <w:rFonts w:hint="eastAsia" w:ascii="宋体" w:hAnsi="宋体" w:eastAsia="宋体" w:cs="宋体"/>
          <w:kern w:val="0"/>
          <w:sz w:val="24"/>
          <w:szCs w:val="24"/>
          <w:shd w:val="clear" w:fill="FFFFFF"/>
        </w:rPr>
        <w:t xml:space="preserve">  </w:t>
      </w:r>
      <w:r>
        <w:rPr>
          <w:rFonts w:hint="eastAsia" w:ascii="仿宋_GB2312" w:hAnsi="宋体" w:eastAsia="仿宋_GB2312" w:cs="宋体"/>
          <w:color w:val="000000"/>
          <w:kern w:val="0"/>
          <w:sz w:val="32"/>
          <w:szCs w:val="32"/>
        </w:rPr>
        <w:t>202</w:t>
      </w:r>
      <w:r>
        <w:rPr>
          <w:rFonts w:hint="eastAsia" w:ascii="仿宋_GB2312" w:eastAsia="仿宋_GB2312" w:cs="宋体"/>
          <w:color w:val="000000"/>
          <w:kern w:val="0"/>
          <w:sz w:val="32"/>
          <w:szCs w:val="32"/>
          <w:lang w:val="en-US" w:eastAsia="zh-CN"/>
        </w:rPr>
        <w:t>5</w:t>
      </w:r>
      <w:r>
        <w:rPr>
          <w:rFonts w:hint="eastAsia" w:ascii="仿宋_GB2312" w:hAnsi="宋体" w:eastAsia="仿宋_GB2312" w:cs="仿宋_GB2312"/>
          <w:color w:val="000000"/>
          <w:kern w:val="0"/>
          <w:sz w:val="32"/>
          <w:szCs w:val="32"/>
        </w:rPr>
        <w:t>年本年收入合计</w:t>
      </w:r>
      <w:r>
        <w:rPr>
          <w:rFonts w:hint="eastAsia" w:ascii="仿宋_GB2312" w:eastAsia="仿宋_GB2312" w:cs="宋体"/>
          <w:color w:val="000000"/>
          <w:kern w:val="0"/>
          <w:sz w:val="32"/>
          <w:szCs w:val="32"/>
          <w:lang w:val="en-US" w:eastAsia="zh-CN"/>
        </w:rPr>
        <w:t>5137.22</w:t>
      </w:r>
      <w:r>
        <w:rPr>
          <w:rFonts w:hint="eastAsia" w:ascii="仿宋_GB2312" w:hAnsi="宋体" w:eastAsia="仿宋_GB2312" w:cs="仿宋_GB2312"/>
          <w:color w:val="000000"/>
          <w:kern w:val="0"/>
          <w:sz w:val="32"/>
          <w:szCs w:val="32"/>
        </w:rPr>
        <w:t>万元，其中：一般公共预算财政拨款收入</w:t>
      </w:r>
      <w:r>
        <w:rPr>
          <w:rFonts w:hint="eastAsia" w:ascii="仿宋_GB2312" w:eastAsia="仿宋_GB2312" w:cs="仿宋_GB2312"/>
          <w:color w:val="000000"/>
          <w:kern w:val="0"/>
          <w:sz w:val="32"/>
          <w:szCs w:val="32"/>
          <w:lang w:val="en-US" w:eastAsia="zh-CN"/>
        </w:rPr>
        <w:t>5040.82</w:t>
      </w:r>
      <w:r>
        <w:rPr>
          <w:rFonts w:hint="eastAsia" w:ascii="仿宋_GB2312" w:hAnsi="宋体" w:eastAsia="仿宋_GB2312" w:cs="仿宋_GB2312"/>
          <w:color w:val="000000"/>
          <w:kern w:val="0"/>
          <w:sz w:val="32"/>
          <w:szCs w:val="32"/>
        </w:rPr>
        <w:t>万元，占</w:t>
      </w:r>
      <w:r>
        <w:rPr>
          <w:rFonts w:hint="eastAsia" w:ascii="仿宋_GB2312" w:hAnsi="宋体" w:eastAsia="仿宋_GB2312" w:cs="宋体"/>
          <w:color w:val="000000"/>
          <w:kern w:val="0"/>
          <w:sz w:val="32"/>
          <w:szCs w:val="32"/>
        </w:rPr>
        <w:t xml:space="preserve"> </w:t>
      </w:r>
      <w:r>
        <w:rPr>
          <w:rFonts w:hint="eastAsia" w:ascii="仿宋_GB2312" w:eastAsia="仿宋_GB2312" w:cs="宋体"/>
          <w:color w:val="000000"/>
          <w:kern w:val="0"/>
          <w:sz w:val="32"/>
          <w:szCs w:val="32"/>
          <w:lang w:val="en-US" w:eastAsia="zh-CN"/>
        </w:rPr>
        <w:t>98.12</w:t>
      </w:r>
      <w:r>
        <w:rPr>
          <w:rFonts w:hint="eastAsia" w:ascii="仿宋_GB2312" w:hAnsi="宋体" w:eastAsia="仿宋_GB2312" w:cs="宋体"/>
          <w:color w:val="000000"/>
          <w:kern w:val="0"/>
          <w:sz w:val="32"/>
          <w:szCs w:val="32"/>
        </w:rPr>
        <w:t>%；政府性基金预算财政拨款收入0.00万元，占 0.00%；国有资本经营预算财政拨款收入0.00万元，占 0.00%;上级补助收入0.00万元，占 0.00%；事业收入0.00万元，占 0.00%；经营收入0.00万元，占 0.00%；附属单位上缴收入0.00万元，占 0.00%；</w:t>
      </w:r>
      <w:r>
        <w:rPr>
          <w:rFonts w:hint="eastAsia" w:ascii="Times New Roman" w:hAnsi="Times New Roman" w:eastAsia="仿宋_GB2312" w:cs="仿宋_GB2312"/>
          <w:color w:val="auto"/>
          <w:sz w:val="32"/>
          <w:szCs w:val="32"/>
          <w:highlight w:val="none"/>
          <w:lang w:eastAsia="zh-CN"/>
        </w:rPr>
        <w:t>其他收入</w:t>
      </w:r>
      <w:r>
        <w:rPr>
          <w:rFonts w:hint="eastAsia" w:ascii="仿宋_GB2312" w:hAnsi="仿宋_GB2312" w:eastAsia="仿宋_GB2312" w:cs="仿宋_GB2312"/>
          <w:sz w:val="32"/>
          <w:szCs w:val="32"/>
        </w:rPr>
        <w:t>96.4</w:t>
      </w:r>
      <w:r>
        <w:rPr>
          <w:rFonts w:hint="eastAsia" w:ascii="Times New Roman" w:hAnsi="Times New Roman" w:eastAsia="仿宋_GB2312" w:cs="仿宋_GB2312"/>
          <w:color w:val="auto"/>
          <w:sz w:val="32"/>
          <w:szCs w:val="32"/>
          <w:highlight w:val="none"/>
          <w:lang w:eastAsia="zh-CN"/>
        </w:rPr>
        <w:t>万元，占</w:t>
      </w:r>
      <w:r>
        <w:rPr>
          <w:rFonts w:hint="eastAsia" w:ascii="仿宋_GB2312" w:hAnsi="仿宋_GB2312" w:eastAsia="仿宋_GB2312" w:cs="仿宋_GB2312"/>
          <w:sz w:val="32"/>
          <w:szCs w:val="32"/>
        </w:rPr>
        <w:t>1.87</w:t>
      </w:r>
      <w:r>
        <w:rPr>
          <w:rFonts w:hint="eastAsia" w:ascii="Times New Roman" w:hAnsi="Times New Roman" w:eastAsia="仿宋_GB2312" w:cs="仿宋_GB2312"/>
          <w:color w:val="auto"/>
          <w:sz w:val="32"/>
          <w:szCs w:val="32"/>
          <w:highlight w:val="none"/>
          <w:lang w:eastAsia="zh-CN"/>
        </w:rPr>
        <w:t>%。</w:t>
      </w:r>
      <w:r>
        <w:rPr>
          <w:rFonts w:hint="eastAsia" w:ascii="宋体" w:hAnsi="宋体" w:eastAsia="宋体" w:cs="宋体"/>
          <w:kern w:val="0"/>
          <w:sz w:val="24"/>
          <w:szCs w:val="24"/>
          <w:shd w:val="clear" w:fill="FFFFFF"/>
        </w:rPr>
        <w:t xml:space="preserve"> （图2：收入决算结构图）（饼状图）</w:t>
      </w:r>
    </w:p>
    <w:p>
      <w:pPr>
        <w:pStyle w:val="8"/>
        <w:keepNext w:val="0"/>
        <w:keepLines w:val="0"/>
        <w:widowControl/>
        <w:suppressLineNumbers w:val="0"/>
        <w:spacing w:before="0" w:beforeAutospacing="0"/>
        <w:ind w:left="0"/>
        <w:jc w:val="left"/>
        <w:rPr>
          <w:rFonts w:hint="eastAsia" w:ascii="宋体" w:hAnsi="宋体" w:eastAsia="宋体" w:cs="宋体"/>
          <w:kern w:val="0"/>
          <w:sz w:val="24"/>
          <w:szCs w:val="24"/>
          <w:shd w:val="clear" w:fill="FFFFFF"/>
        </w:rPr>
      </w:pPr>
      <w:r>
        <w:drawing>
          <wp:inline distT="0" distB="0" distL="114300" distR="114300">
            <wp:extent cx="4571365" cy="3000375"/>
            <wp:effectExtent l="4445" t="4445" r="11430" b="12700"/>
            <wp:docPr id="1796" name="图表 5"/>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pPr>
        <w:pStyle w:val="8"/>
        <w:keepNext w:val="0"/>
        <w:keepLines w:val="0"/>
        <w:widowControl/>
        <w:suppressLineNumbers w:val="0"/>
        <w:spacing w:before="0" w:beforeAutospacing="0"/>
        <w:ind w:left="0"/>
        <w:jc w:val="left"/>
        <w:rPr>
          <w:rFonts w:hint="eastAsia" w:ascii="黑体" w:hAnsi="宋体" w:eastAsia="黑体" w:cs="Times New Roman"/>
          <w:b w:val="0"/>
          <w:bCs w:val="0"/>
          <w:kern w:val="2"/>
          <w:sz w:val="32"/>
          <w:szCs w:val="32"/>
        </w:rPr>
      </w:pPr>
      <w:r>
        <w:rPr>
          <w:rStyle w:val="10"/>
          <w:rFonts w:hint="eastAsia" w:ascii="黑体" w:hAnsi="宋体" w:eastAsia="黑体" w:cs="黑体"/>
          <w:b w:val="0"/>
          <w:bCs w:val="0"/>
          <w:kern w:val="2"/>
          <w:sz w:val="32"/>
          <w:szCs w:val="32"/>
        </w:rPr>
        <w:t>三、支出决算情况说明</w:t>
      </w:r>
    </w:p>
    <w:p>
      <w:pPr>
        <w:pStyle w:val="3"/>
        <w:keepNext w:val="0"/>
        <w:keepLines w:val="0"/>
        <w:widowControl w:val="0"/>
        <w:suppressLineNumbers w:val="0"/>
        <w:adjustRightInd w:val="0"/>
        <w:snapToGrid w:val="0"/>
        <w:spacing w:before="0" w:beforeLines="30" w:beforeAutospacing="0" w:after="0" w:afterAutospacing="1" w:line="560" w:lineRule="exact"/>
        <w:ind w:left="0" w:leftChars="0" w:right="0" w:rightChars="0" w:firstLine="672" w:firstLineChars="210"/>
        <w:jc w:val="left"/>
        <w:rPr>
          <w:rFonts w:hint="eastAsia" w:ascii="仿宋_GB2312" w:hAnsi="宋体" w:eastAsia="仿宋_GB2312" w:cs="仿宋_GB2312"/>
          <w:color w:val="000000"/>
          <w:kern w:val="0"/>
          <w:sz w:val="32"/>
          <w:szCs w:val="32"/>
        </w:rPr>
      </w:pPr>
      <w:r>
        <w:rPr>
          <w:rFonts w:hint="eastAsia" w:ascii="仿宋_GB2312" w:hAnsi="宋体" w:eastAsia="仿宋_GB2312" w:cs="仿宋_GB2312"/>
          <w:color w:val="000000"/>
          <w:kern w:val="0"/>
          <w:sz w:val="32"/>
          <w:szCs w:val="32"/>
        </w:rPr>
        <w:t xml:space="preserve">   202</w:t>
      </w:r>
      <w:r>
        <w:rPr>
          <w:rFonts w:hint="eastAsia" w:cs="仿宋_GB2312"/>
          <w:color w:val="000000"/>
          <w:kern w:val="0"/>
          <w:sz w:val="32"/>
          <w:szCs w:val="32"/>
          <w:lang w:val="en-US" w:eastAsia="zh-CN"/>
        </w:rPr>
        <w:t>5</w:t>
      </w:r>
      <w:r>
        <w:rPr>
          <w:rFonts w:hint="eastAsia" w:ascii="仿宋_GB2312" w:hAnsi="宋体" w:eastAsia="仿宋_GB2312" w:cs="仿宋_GB2312"/>
          <w:color w:val="000000"/>
          <w:kern w:val="0"/>
          <w:sz w:val="32"/>
          <w:szCs w:val="32"/>
        </w:rPr>
        <w:t>年本年支出合计</w:t>
      </w:r>
      <w:r>
        <w:rPr>
          <w:rFonts w:hint="eastAsia" w:ascii="仿宋_GB2312" w:hAnsi="仿宋_GB2312" w:eastAsia="仿宋_GB2312" w:cs="仿宋_GB2312"/>
          <w:sz w:val="32"/>
          <w:szCs w:val="32"/>
        </w:rPr>
        <w:t>5137.22</w:t>
      </w:r>
      <w:r>
        <w:rPr>
          <w:rFonts w:hint="eastAsia" w:ascii="仿宋_GB2312" w:hAnsi="宋体" w:eastAsia="仿宋_GB2312" w:cs="仿宋_GB2312"/>
          <w:color w:val="000000"/>
          <w:kern w:val="0"/>
          <w:sz w:val="32"/>
          <w:szCs w:val="32"/>
        </w:rPr>
        <w:t>万元，其中</w:t>
      </w:r>
      <w:r>
        <w:rPr>
          <w:rFonts w:hint="eastAsia" w:ascii="Times New Roman" w:hAnsi="Times New Roman" w:eastAsia="仿宋_GB2312" w:cs="仿宋_GB2312"/>
          <w:color w:val="auto"/>
          <w:sz w:val="32"/>
          <w:szCs w:val="32"/>
          <w:highlight w:val="none"/>
          <w:lang w:eastAsia="zh-CN"/>
        </w:rPr>
        <w:t>其中：基本支出</w:t>
      </w:r>
      <w:r>
        <w:rPr>
          <w:rFonts w:hint="eastAsia" w:ascii="仿宋_GB2312" w:hAnsi="仿宋_GB2312" w:eastAsia="仿宋_GB2312" w:cs="仿宋_GB2312"/>
          <w:sz w:val="32"/>
          <w:szCs w:val="32"/>
        </w:rPr>
        <w:t>4387.36</w:t>
      </w:r>
      <w:r>
        <w:rPr>
          <w:rFonts w:hint="eastAsia" w:ascii="Times New Roman" w:hAnsi="Times New Roman" w:eastAsia="仿宋_GB2312" w:cs="仿宋_GB2312"/>
          <w:color w:val="auto"/>
          <w:sz w:val="32"/>
          <w:szCs w:val="32"/>
          <w:highlight w:val="none"/>
          <w:lang w:eastAsia="zh-CN"/>
        </w:rPr>
        <w:t>万元，占</w:t>
      </w:r>
      <w:r>
        <w:rPr>
          <w:rFonts w:hint="eastAsia" w:ascii="仿宋_GB2312" w:hAnsi="仿宋_GB2312" w:eastAsia="仿宋_GB2312" w:cs="仿宋_GB2312"/>
          <w:sz w:val="32"/>
          <w:szCs w:val="32"/>
        </w:rPr>
        <w:t>85.4</w:t>
      </w:r>
      <w:r>
        <w:rPr>
          <w:rFonts w:hint="eastAsia" w:ascii="Times New Roman" w:hAnsi="Times New Roman" w:eastAsia="仿宋_GB2312" w:cs="仿宋_GB2312"/>
          <w:color w:val="auto"/>
          <w:sz w:val="32"/>
          <w:szCs w:val="32"/>
          <w:highlight w:val="none"/>
          <w:lang w:eastAsia="zh-CN"/>
        </w:rPr>
        <w:t>%；项目支出</w:t>
      </w:r>
      <w:r>
        <w:rPr>
          <w:rFonts w:hint="eastAsia" w:ascii="仿宋_GB2312" w:hAnsi="仿宋_GB2312" w:eastAsia="仿宋_GB2312" w:cs="仿宋_GB2312"/>
          <w:sz w:val="32"/>
          <w:szCs w:val="32"/>
        </w:rPr>
        <w:t>749.86</w:t>
      </w:r>
      <w:r>
        <w:rPr>
          <w:rFonts w:hint="eastAsia" w:ascii="Times New Roman" w:hAnsi="Times New Roman" w:eastAsia="仿宋_GB2312" w:cs="仿宋_GB2312"/>
          <w:color w:val="auto"/>
          <w:sz w:val="32"/>
          <w:szCs w:val="32"/>
          <w:highlight w:val="none"/>
          <w:lang w:eastAsia="zh-CN"/>
        </w:rPr>
        <w:t>万元，占</w:t>
      </w:r>
      <w:r>
        <w:rPr>
          <w:rFonts w:hint="eastAsia" w:ascii="仿宋_GB2312" w:hAnsi="仿宋_GB2312" w:eastAsia="仿宋_GB2312" w:cs="仿宋_GB2312"/>
          <w:sz w:val="32"/>
          <w:szCs w:val="32"/>
        </w:rPr>
        <w:t>14.59</w:t>
      </w:r>
      <w:r>
        <w:rPr>
          <w:rFonts w:hint="eastAsia" w:ascii="Times New Roman" w:hAnsi="Times New Roman" w:eastAsia="仿宋_GB2312" w:cs="仿宋_GB2312"/>
          <w:color w:val="auto"/>
          <w:sz w:val="32"/>
          <w:szCs w:val="32"/>
          <w:highlight w:val="none"/>
          <w:lang w:eastAsia="zh-CN"/>
        </w:rPr>
        <w:t>%；上缴上级支出</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sz w:val="32"/>
          <w:szCs w:val="32"/>
          <w:highlight w:val="none"/>
          <w:lang w:eastAsia="zh-CN"/>
        </w:rPr>
        <w:t>万元，占</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sz w:val="32"/>
          <w:szCs w:val="32"/>
          <w:highlight w:val="none"/>
          <w:lang w:eastAsia="zh-CN"/>
        </w:rPr>
        <w:t>%；经营支出</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sz w:val="32"/>
          <w:szCs w:val="32"/>
          <w:highlight w:val="none"/>
          <w:lang w:eastAsia="zh-CN"/>
        </w:rPr>
        <w:t>万元，占</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sz w:val="32"/>
          <w:szCs w:val="32"/>
          <w:highlight w:val="none"/>
          <w:lang w:eastAsia="zh-CN"/>
        </w:rPr>
        <w:t>%；对附属单位补助支出</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sz w:val="32"/>
          <w:szCs w:val="32"/>
          <w:highlight w:val="none"/>
          <w:lang w:eastAsia="zh-CN"/>
        </w:rPr>
        <w:t>万元，占</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sz w:val="32"/>
          <w:szCs w:val="32"/>
          <w:highlight w:val="none"/>
          <w:lang w:eastAsia="zh-CN"/>
        </w:rPr>
        <w:t>%</w:t>
      </w:r>
      <w:r>
        <w:rPr>
          <w:rFonts w:hint="eastAsia" w:ascii="仿宋_GB2312" w:hAnsi="宋体" w:eastAsia="仿宋_GB2312" w:cs="仿宋_GB2312"/>
          <w:color w:val="000000"/>
          <w:kern w:val="0"/>
          <w:sz w:val="32"/>
          <w:szCs w:val="32"/>
        </w:rPr>
        <w:t>。</w:t>
      </w:r>
    </w:p>
    <w:p>
      <w:pPr>
        <w:pStyle w:val="8"/>
        <w:keepNext w:val="0"/>
        <w:keepLines w:val="0"/>
        <w:widowControl/>
        <w:suppressLineNumbers w:val="0"/>
        <w:spacing w:before="0" w:beforeAutospacing="0"/>
        <w:ind w:left="0"/>
        <w:jc w:val="both"/>
        <w:rPr>
          <w:rFonts w:hint="eastAsia" w:ascii="宋体" w:hAnsi="宋体" w:eastAsia="宋体" w:cs="宋体"/>
          <w:kern w:val="0"/>
          <w:sz w:val="24"/>
          <w:szCs w:val="24"/>
          <w:shd w:val="clear" w:fill="FFFFFF"/>
        </w:rPr>
      </w:pPr>
      <w:r>
        <w:rPr>
          <w:rFonts w:hint="eastAsia" w:ascii="宋体" w:hAnsi="宋体" w:eastAsia="宋体" w:cs="宋体"/>
          <w:kern w:val="0"/>
          <w:sz w:val="24"/>
          <w:szCs w:val="24"/>
          <w:shd w:val="clear" w:fill="FFFFFF"/>
        </w:rPr>
        <w:t>（图3：支出决算结构图）（饼状图）</w:t>
      </w:r>
    </w:p>
    <w:p>
      <w:pPr>
        <w:pStyle w:val="8"/>
        <w:keepNext w:val="0"/>
        <w:keepLines w:val="0"/>
        <w:widowControl/>
        <w:suppressLineNumbers w:val="0"/>
        <w:spacing w:before="0" w:beforeAutospacing="0"/>
        <w:ind w:left="0"/>
        <w:jc w:val="both"/>
        <w:rPr>
          <w:rFonts w:hint="eastAsia" w:ascii="宋体" w:hAnsi="宋体" w:eastAsia="宋体" w:cs="宋体"/>
          <w:kern w:val="0"/>
          <w:sz w:val="24"/>
          <w:szCs w:val="24"/>
          <w:shd w:val="clear" w:fill="FFFFFF"/>
        </w:rPr>
      </w:pPr>
      <w:r>
        <w:rPr>
          <w:rFonts w:hint="eastAsia"/>
          <w:lang w:val="en-US" w:eastAsia="zh-CN"/>
        </w:rPr>
        <w:t xml:space="preserve">   </w:t>
      </w:r>
      <w:r>
        <w:drawing>
          <wp:inline distT="0" distB="0" distL="114300" distR="114300">
            <wp:extent cx="4785995" cy="2292350"/>
            <wp:effectExtent l="4445" t="4445" r="10160" b="19685"/>
            <wp:docPr id="1797" name="图表 6"/>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pPr>
        <w:pStyle w:val="8"/>
        <w:keepNext w:val="0"/>
        <w:keepLines w:val="0"/>
        <w:widowControl/>
        <w:suppressLineNumbers w:val="0"/>
        <w:spacing w:before="0" w:beforeAutospacing="0"/>
        <w:ind w:left="0"/>
        <w:jc w:val="center"/>
        <w:rPr>
          <w:rFonts w:hint="eastAsia" w:ascii="宋体" w:hAnsi="宋体" w:eastAsia="宋体" w:cs="宋体"/>
          <w:kern w:val="0"/>
          <w:sz w:val="24"/>
          <w:szCs w:val="24"/>
          <w:shd w:val="clear" w:fill="FFFFFF"/>
        </w:rPr>
      </w:pPr>
      <w:r>
        <w:rPr>
          <w:rFonts w:hint="eastAsia" w:ascii="宋体" w:hAnsi="宋体" w:eastAsia="宋体" w:cs="宋体"/>
          <w:kern w:val="0"/>
          <w:sz w:val="24"/>
          <w:szCs w:val="24"/>
          <w:shd w:val="clear" w:fill="FFFFFF"/>
        </w:rPr>
        <w:t xml:space="preserve"> </w:t>
      </w:r>
    </w:p>
    <w:p>
      <w:pPr>
        <w:pStyle w:val="8"/>
        <w:keepNext w:val="0"/>
        <w:keepLines w:val="0"/>
        <w:widowControl/>
        <w:numPr>
          <w:ilvl w:val="0"/>
          <w:numId w:val="1"/>
        </w:numPr>
        <w:suppressLineNumbers w:val="0"/>
        <w:spacing w:before="0" w:beforeAutospacing="0"/>
        <w:ind w:left="0"/>
        <w:jc w:val="both"/>
        <w:rPr>
          <w:rFonts w:hint="eastAsia" w:ascii="仿宋_GB2312" w:hAnsi="宋体" w:eastAsia="仿宋_GB2312" w:cs="仿宋_GB2312"/>
          <w:b/>
          <w:bCs/>
          <w:color w:val="000000"/>
          <w:kern w:val="0"/>
          <w:sz w:val="32"/>
          <w:szCs w:val="32"/>
        </w:rPr>
      </w:pPr>
      <w:r>
        <w:rPr>
          <w:rStyle w:val="10"/>
          <w:rFonts w:hint="eastAsia" w:ascii="黑体" w:hAnsi="宋体" w:eastAsia="黑体" w:cs="黑体"/>
          <w:b/>
          <w:bCs/>
          <w:kern w:val="2"/>
          <w:sz w:val="32"/>
          <w:szCs w:val="32"/>
        </w:rPr>
        <w:t>财政拨款收入支出决算总体情况说明</w:t>
      </w:r>
    </w:p>
    <w:p>
      <w:pPr>
        <w:pStyle w:val="8"/>
        <w:keepNext w:val="0"/>
        <w:keepLines w:val="0"/>
        <w:widowControl/>
        <w:numPr>
          <w:ilvl w:val="0"/>
          <w:numId w:val="0"/>
        </w:numPr>
        <w:suppressLineNumbers w:val="0"/>
        <w:spacing w:before="0" w:beforeAutospacing="0"/>
        <w:ind w:right="0" w:rightChars="0" w:firstLine="640" w:firstLineChars="200"/>
        <w:jc w:val="both"/>
        <w:rPr>
          <w:rFonts w:hint="eastAsia" w:ascii="仿宋_GB2312" w:hAnsi="宋体" w:eastAsia="仿宋_GB2312" w:cs="仿宋_GB2312"/>
          <w:color w:val="000000"/>
          <w:kern w:val="0"/>
          <w:sz w:val="32"/>
          <w:szCs w:val="32"/>
        </w:rPr>
      </w:pPr>
      <w:r>
        <w:rPr>
          <w:rFonts w:hint="eastAsia" w:ascii="仿宋_GB2312" w:eastAsia="仿宋_GB2312" w:cs="仿宋_GB2312"/>
          <w:color w:val="000000"/>
          <w:kern w:val="0"/>
          <w:sz w:val="32"/>
          <w:szCs w:val="32"/>
          <w:lang w:val="en-US" w:eastAsia="zh-CN"/>
        </w:rPr>
        <w:t>2</w:t>
      </w:r>
      <w:r>
        <w:rPr>
          <w:rFonts w:hint="eastAsia" w:ascii="仿宋_GB2312" w:hAnsi="宋体" w:eastAsia="仿宋_GB2312" w:cs="仿宋_GB2312"/>
          <w:color w:val="000000"/>
          <w:kern w:val="0"/>
          <w:sz w:val="32"/>
          <w:szCs w:val="32"/>
        </w:rPr>
        <w:t>02</w:t>
      </w:r>
      <w:r>
        <w:rPr>
          <w:rFonts w:hint="eastAsia" w:ascii="仿宋_GB2312" w:eastAsia="仿宋_GB2312" w:cs="仿宋_GB2312"/>
          <w:color w:val="000000"/>
          <w:kern w:val="0"/>
          <w:sz w:val="32"/>
          <w:szCs w:val="32"/>
          <w:lang w:val="en-US" w:eastAsia="zh-CN"/>
        </w:rPr>
        <w:t>5</w:t>
      </w:r>
      <w:r>
        <w:rPr>
          <w:rFonts w:hint="eastAsia" w:ascii="仿宋_GB2312" w:hAnsi="宋体" w:eastAsia="仿宋_GB2312" w:cs="仿宋_GB2312"/>
          <w:color w:val="000000"/>
          <w:kern w:val="0"/>
          <w:sz w:val="32"/>
          <w:szCs w:val="32"/>
        </w:rPr>
        <w:t>年财政拨款收、支总计</w:t>
      </w:r>
      <w:r>
        <w:rPr>
          <w:rFonts w:hint="eastAsia" w:ascii="仿宋_GB2312" w:eastAsia="仿宋_GB2312" w:cs="仿宋_GB2312"/>
          <w:color w:val="000000"/>
          <w:kern w:val="0"/>
          <w:sz w:val="32"/>
          <w:szCs w:val="32"/>
          <w:lang w:val="en-US" w:eastAsia="zh-CN"/>
        </w:rPr>
        <w:t>5040.82</w:t>
      </w:r>
      <w:r>
        <w:rPr>
          <w:rFonts w:hint="eastAsia" w:ascii="仿宋_GB2312" w:hAnsi="宋体" w:eastAsia="仿宋_GB2312" w:cs="仿宋_GB2312"/>
          <w:color w:val="000000"/>
          <w:kern w:val="0"/>
          <w:sz w:val="32"/>
          <w:szCs w:val="32"/>
        </w:rPr>
        <w:t>万元。与202</w:t>
      </w:r>
      <w:r>
        <w:rPr>
          <w:rFonts w:hint="eastAsia" w:ascii="仿宋_GB2312" w:eastAsia="仿宋_GB2312" w:cs="仿宋_GB2312"/>
          <w:color w:val="000000"/>
          <w:kern w:val="0"/>
          <w:sz w:val="32"/>
          <w:szCs w:val="32"/>
          <w:lang w:val="en-US" w:eastAsia="zh-CN"/>
        </w:rPr>
        <w:t>4</w:t>
      </w:r>
      <w:r>
        <w:rPr>
          <w:rFonts w:hint="eastAsia" w:ascii="仿宋_GB2312" w:hAnsi="宋体" w:eastAsia="仿宋_GB2312" w:cs="仿宋_GB2312"/>
          <w:color w:val="000000"/>
          <w:kern w:val="0"/>
          <w:sz w:val="32"/>
          <w:szCs w:val="32"/>
        </w:rPr>
        <w:t>年相比，财政拨款收、支总计各增加</w:t>
      </w:r>
      <w:r>
        <w:rPr>
          <w:rFonts w:hint="eastAsia" w:ascii="仿宋_GB2312" w:eastAsia="仿宋_GB2312" w:cs="仿宋_GB2312"/>
          <w:color w:val="000000"/>
          <w:kern w:val="0"/>
          <w:sz w:val="32"/>
          <w:szCs w:val="32"/>
          <w:lang w:val="en-US" w:eastAsia="zh-CN"/>
        </w:rPr>
        <w:t>585.88</w:t>
      </w:r>
      <w:r>
        <w:rPr>
          <w:rFonts w:hint="eastAsia" w:ascii="仿宋_GB2312" w:hAnsi="宋体" w:eastAsia="仿宋_GB2312" w:cs="仿宋_GB2312"/>
          <w:color w:val="000000"/>
          <w:kern w:val="0"/>
          <w:sz w:val="32"/>
          <w:szCs w:val="32"/>
        </w:rPr>
        <w:t>万元，增长</w:t>
      </w:r>
      <w:r>
        <w:rPr>
          <w:rFonts w:hint="eastAsia" w:ascii="仿宋_GB2312" w:eastAsia="仿宋_GB2312" w:cs="仿宋_GB2312"/>
          <w:color w:val="000000"/>
          <w:kern w:val="0"/>
          <w:sz w:val="32"/>
          <w:szCs w:val="32"/>
          <w:lang w:val="en-US" w:eastAsia="zh-CN"/>
        </w:rPr>
        <w:t>13.15</w:t>
      </w:r>
      <w:r>
        <w:rPr>
          <w:rFonts w:hint="eastAsia" w:ascii="仿宋_GB2312" w:hAnsi="宋体" w:eastAsia="仿宋_GB2312" w:cs="仿宋_GB2312"/>
          <w:color w:val="000000"/>
          <w:kern w:val="0"/>
          <w:sz w:val="32"/>
          <w:szCs w:val="32"/>
        </w:rPr>
        <w:t>%。主要变动原因是</w:t>
      </w:r>
      <w:r>
        <w:rPr>
          <w:rFonts w:hint="eastAsia" w:ascii="仿宋_GB2312" w:hAnsi="Times New Roman" w:eastAsia="仿宋_GB2312" w:cs="仿宋_GB2312"/>
          <w:color w:val="000000"/>
          <w:kern w:val="0"/>
          <w:sz w:val="32"/>
          <w:szCs w:val="32"/>
        </w:rPr>
        <w:t>人员</w:t>
      </w:r>
      <w:r>
        <w:rPr>
          <w:rFonts w:hint="eastAsia" w:ascii="仿宋_GB2312" w:hAnsi="宋体" w:eastAsia="仿宋_GB2312" w:cs="仿宋_GB2312"/>
          <w:color w:val="000000"/>
          <w:kern w:val="0"/>
          <w:sz w:val="32"/>
          <w:szCs w:val="32"/>
        </w:rPr>
        <w:t>增加</w:t>
      </w:r>
      <w:r>
        <w:rPr>
          <w:rFonts w:hint="eastAsia" w:ascii="仿宋_GB2312" w:hAnsi="Times New Roman" w:eastAsia="仿宋_GB2312" w:cs="仿宋_GB2312"/>
          <w:color w:val="000000"/>
          <w:kern w:val="0"/>
          <w:sz w:val="32"/>
          <w:szCs w:val="32"/>
        </w:rPr>
        <w:t>，</w:t>
      </w:r>
      <w:r>
        <w:rPr>
          <w:rFonts w:hint="eastAsia" w:ascii="仿宋_GB2312" w:hAnsi="宋体" w:eastAsia="仿宋_GB2312" w:cs="仿宋_GB2312"/>
          <w:color w:val="000000"/>
          <w:kern w:val="0"/>
          <w:sz w:val="32"/>
          <w:szCs w:val="32"/>
        </w:rPr>
        <w:t>增加项目，</w:t>
      </w:r>
      <w:r>
        <w:rPr>
          <w:rFonts w:hint="eastAsia" w:ascii="仿宋_GB2312" w:hAnsi="Times New Roman" w:eastAsia="仿宋_GB2312" w:cs="仿宋_GB2312"/>
          <w:color w:val="000000"/>
          <w:kern w:val="0"/>
          <w:sz w:val="32"/>
          <w:szCs w:val="32"/>
        </w:rPr>
        <w:t>财政拨款增加。</w:t>
      </w:r>
    </w:p>
    <w:p>
      <w:pPr>
        <w:pStyle w:val="8"/>
        <w:keepNext w:val="0"/>
        <w:keepLines w:val="0"/>
        <w:widowControl/>
        <w:suppressLineNumbers w:val="0"/>
        <w:spacing w:before="0" w:beforeAutospacing="0"/>
        <w:ind w:left="0"/>
        <w:jc w:val="left"/>
        <w:rPr>
          <w:rFonts w:hint="eastAsia" w:ascii="宋体" w:hAnsi="宋体" w:eastAsia="宋体" w:cs="宋体"/>
          <w:kern w:val="0"/>
          <w:sz w:val="24"/>
          <w:szCs w:val="24"/>
          <w:shd w:val="clear" w:fill="FFFFFF"/>
        </w:rPr>
      </w:pPr>
      <w:r>
        <w:rPr>
          <w:rFonts w:hint="eastAsia" w:ascii="宋体" w:hAnsi="宋体" w:eastAsia="宋体" w:cs="宋体"/>
          <w:kern w:val="0"/>
          <w:sz w:val="24"/>
          <w:szCs w:val="24"/>
          <w:shd w:val="clear" w:fill="FFFFFF"/>
        </w:rPr>
        <w:t xml:space="preserve"> （图4：财政拨款收、支决算总计变动情况）（柱状图）</w:t>
      </w:r>
    </w:p>
    <w:p>
      <w:pPr>
        <w:pStyle w:val="8"/>
        <w:keepNext w:val="0"/>
        <w:keepLines w:val="0"/>
        <w:widowControl/>
        <w:suppressLineNumbers w:val="0"/>
        <w:spacing w:before="0" w:beforeAutospacing="0"/>
        <w:ind w:left="0"/>
        <w:jc w:val="left"/>
        <w:rPr>
          <w:rFonts w:hint="eastAsia" w:ascii="宋体" w:hAnsi="宋体" w:eastAsia="宋体" w:cs="宋体"/>
          <w:kern w:val="0"/>
          <w:sz w:val="24"/>
          <w:szCs w:val="24"/>
          <w:shd w:val="clear" w:fill="FFFFFF"/>
        </w:rPr>
      </w:pPr>
      <w:r>
        <w:drawing>
          <wp:inline distT="0" distB="0" distL="114300" distR="114300">
            <wp:extent cx="4239260" cy="2520950"/>
            <wp:effectExtent l="4445" t="4445" r="8255" b="19685"/>
            <wp:docPr id="2" name="图表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pPr>
        <w:pStyle w:val="8"/>
        <w:keepNext w:val="0"/>
        <w:keepLines w:val="0"/>
        <w:widowControl/>
        <w:suppressLineNumbers w:val="0"/>
        <w:spacing w:before="0" w:beforeAutospacing="0"/>
        <w:ind w:left="0"/>
        <w:jc w:val="both"/>
        <w:rPr>
          <w:rFonts w:hint="eastAsia" w:ascii="黑体" w:hAnsi="宋体" w:eastAsia="黑体" w:cs="Times New Roman"/>
          <w:b w:val="0"/>
          <w:bCs w:val="0"/>
          <w:kern w:val="2"/>
          <w:sz w:val="32"/>
          <w:szCs w:val="32"/>
        </w:rPr>
      </w:pPr>
      <w:r>
        <w:rPr>
          <w:rStyle w:val="10"/>
          <w:rFonts w:hint="eastAsia" w:ascii="黑体" w:hAnsi="宋体" w:eastAsia="黑体" w:cs="黑体"/>
          <w:b w:val="0"/>
          <w:bCs w:val="0"/>
          <w:kern w:val="2"/>
          <w:sz w:val="32"/>
          <w:szCs w:val="32"/>
        </w:rPr>
        <w:t>五、一般公共预算财政拨款支出决算情况说明</w:t>
      </w:r>
    </w:p>
    <w:p>
      <w:pPr>
        <w:pStyle w:val="2"/>
        <w:keepNext/>
        <w:keepLines/>
        <w:widowControl w:val="0"/>
        <w:suppressLineNumbers w:val="0"/>
        <w:spacing w:before="260" w:beforeAutospacing="0" w:after="260" w:afterAutospacing="0" w:line="408" w:lineRule="auto"/>
        <w:ind w:left="0" w:right="0"/>
        <w:jc w:val="both"/>
        <w:outlineLvl w:val="1"/>
        <w:rPr>
          <w:rFonts w:hint="eastAsia" w:ascii="黑体" w:hAnsi="宋体" w:eastAsia="黑体" w:cs="Times New Roman"/>
          <w:b w:val="0"/>
          <w:bCs w:val="0"/>
          <w:kern w:val="2"/>
          <w:sz w:val="32"/>
          <w:szCs w:val="32"/>
        </w:rPr>
      </w:pPr>
      <w:r>
        <w:rPr>
          <w:rStyle w:val="10"/>
          <w:rFonts w:hint="eastAsia" w:ascii="黑体" w:hAnsi="宋体" w:eastAsia="黑体" w:cs="黑体"/>
          <w:b w:val="0"/>
          <w:bCs w:val="0"/>
          <w:kern w:val="2"/>
          <w:sz w:val="32"/>
          <w:szCs w:val="32"/>
        </w:rPr>
        <w:t>（一）一般公共预算财政拨款支出决算总体情况</w:t>
      </w:r>
    </w:p>
    <w:p>
      <w:pPr>
        <w:keepNext w:val="0"/>
        <w:keepLines w:val="0"/>
        <w:widowControl/>
        <w:suppressLineNumbers w:val="0"/>
        <w:spacing w:line="600" w:lineRule="exact"/>
        <w:ind w:left="0" w:firstLine="480" w:firstLineChars="200"/>
        <w:rPr>
          <w:rFonts w:hint="eastAsia" w:ascii="仿宋_GB2312" w:hAnsi="Times New Roman" w:eastAsia="仿宋_GB2312" w:cs="Times New Roman"/>
          <w:color w:val="0000FF"/>
          <w:kern w:val="0"/>
          <w:sz w:val="32"/>
          <w:szCs w:val="32"/>
        </w:rPr>
      </w:pPr>
      <w:r>
        <w:rPr>
          <w:rFonts w:hint="eastAsia" w:ascii="宋体" w:hAnsi="宋体" w:eastAsia="宋体" w:cs="宋体"/>
          <w:kern w:val="0"/>
          <w:sz w:val="24"/>
          <w:szCs w:val="24"/>
          <w:shd w:val="clear" w:fill="FFFFFF"/>
        </w:rPr>
        <w:t xml:space="preserve">  </w:t>
      </w:r>
      <w:r>
        <w:rPr>
          <w:rFonts w:hint="eastAsia" w:ascii="仿宋_GB2312" w:hAnsi="宋体" w:eastAsia="仿宋_GB2312" w:cs="仿宋_GB2312"/>
          <w:color w:val="000000"/>
          <w:kern w:val="0"/>
          <w:sz w:val="32"/>
          <w:szCs w:val="32"/>
        </w:rPr>
        <w:t xml:space="preserve"> 202</w:t>
      </w:r>
      <w:r>
        <w:rPr>
          <w:rFonts w:hint="eastAsia" w:ascii="仿宋_GB2312" w:eastAsia="仿宋_GB2312" w:cs="仿宋_GB2312"/>
          <w:color w:val="000000"/>
          <w:kern w:val="0"/>
          <w:sz w:val="32"/>
          <w:szCs w:val="32"/>
          <w:lang w:val="en-US" w:eastAsia="zh-CN"/>
        </w:rPr>
        <w:t>5</w:t>
      </w:r>
      <w:r>
        <w:rPr>
          <w:rFonts w:hint="eastAsia" w:ascii="仿宋_GB2312" w:hAnsi="宋体" w:eastAsia="仿宋_GB2312" w:cs="仿宋_GB2312"/>
          <w:color w:val="000000"/>
          <w:kern w:val="0"/>
          <w:sz w:val="32"/>
          <w:szCs w:val="32"/>
        </w:rPr>
        <w:t>年一般公共预算财政拨款支出</w:t>
      </w:r>
      <w:r>
        <w:rPr>
          <w:rFonts w:hint="eastAsia" w:ascii="仿宋_GB2312" w:eastAsia="仿宋_GB2312" w:cs="仿宋_GB2312"/>
          <w:color w:val="000000"/>
          <w:kern w:val="0"/>
          <w:sz w:val="32"/>
          <w:szCs w:val="32"/>
          <w:lang w:val="en-US" w:eastAsia="zh-CN"/>
        </w:rPr>
        <w:t>5040.82</w:t>
      </w:r>
      <w:r>
        <w:rPr>
          <w:rFonts w:hint="eastAsia" w:ascii="仿宋_GB2312" w:hAnsi="宋体" w:eastAsia="仿宋_GB2312" w:cs="仿宋_GB2312"/>
          <w:color w:val="000000"/>
          <w:kern w:val="0"/>
          <w:sz w:val="32"/>
          <w:szCs w:val="32"/>
        </w:rPr>
        <w:t>万元，占本年支出合计</w:t>
      </w:r>
      <w:r>
        <w:rPr>
          <w:rFonts w:hint="eastAsia" w:ascii="仿宋_GB2312" w:eastAsia="仿宋_GB2312" w:cs="仿宋_GB2312"/>
          <w:color w:val="000000"/>
          <w:kern w:val="0"/>
          <w:sz w:val="32"/>
          <w:szCs w:val="32"/>
          <w:lang w:val="en-US" w:eastAsia="zh-CN"/>
        </w:rPr>
        <w:t>98.1</w:t>
      </w:r>
      <w:r>
        <w:rPr>
          <w:rFonts w:hint="eastAsia" w:ascii="仿宋_GB2312" w:hAnsi="宋体" w:eastAsia="仿宋_GB2312" w:cs="仿宋_GB2312"/>
          <w:color w:val="000000"/>
          <w:kern w:val="0"/>
          <w:sz w:val="32"/>
          <w:szCs w:val="32"/>
        </w:rPr>
        <w:t>%。与202</w:t>
      </w:r>
      <w:r>
        <w:rPr>
          <w:rFonts w:hint="eastAsia" w:ascii="仿宋_GB2312" w:eastAsia="仿宋_GB2312" w:cs="仿宋_GB2312"/>
          <w:color w:val="000000"/>
          <w:kern w:val="0"/>
          <w:sz w:val="32"/>
          <w:szCs w:val="32"/>
          <w:lang w:val="en-US" w:eastAsia="zh-CN"/>
        </w:rPr>
        <w:t>4</w:t>
      </w:r>
      <w:r>
        <w:rPr>
          <w:rFonts w:hint="eastAsia" w:ascii="仿宋_GB2312" w:hAnsi="宋体" w:eastAsia="仿宋_GB2312" w:cs="仿宋_GB2312"/>
          <w:color w:val="000000"/>
          <w:kern w:val="0"/>
          <w:sz w:val="32"/>
          <w:szCs w:val="32"/>
        </w:rPr>
        <w:t>年相比，一般公共预算财政拨款增加</w:t>
      </w:r>
      <w:r>
        <w:rPr>
          <w:rFonts w:hint="eastAsia" w:ascii="仿宋_GB2312" w:eastAsia="仿宋_GB2312" w:cs="仿宋_GB2312"/>
          <w:color w:val="000000"/>
          <w:kern w:val="0"/>
          <w:sz w:val="32"/>
          <w:szCs w:val="32"/>
          <w:lang w:val="en-US" w:eastAsia="zh-CN"/>
        </w:rPr>
        <w:t>585.88</w:t>
      </w:r>
      <w:r>
        <w:rPr>
          <w:rFonts w:hint="eastAsia" w:ascii="仿宋_GB2312" w:hAnsi="宋体" w:eastAsia="仿宋_GB2312" w:cs="仿宋_GB2312"/>
          <w:color w:val="000000"/>
          <w:kern w:val="0"/>
          <w:sz w:val="32"/>
          <w:szCs w:val="32"/>
        </w:rPr>
        <w:t>万元，增长</w:t>
      </w:r>
      <w:r>
        <w:rPr>
          <w:rFonts w:hint="eastAsia" w:ascii="仿宋_GB2312" w:eastAsia="仿宋_GB2312" w:cs="仿宋_GB2312"/>
          <w:color w:val="000000"/>
          <w:kern w:val="0"/>
          <w:sz w:val="32"/>
          <w:szCs w:val="32"/>
          <w:lang w:val="en-US" w:eastAsia="zh-CN"/>
        </w:rPr>
        <w:t>13.15</w:t>
      </w:r>
      <w:r>
        <w:rPr>
          <w:rFonts w:hint="eastAsia" w:ascii="仿宋_GB2312" w:hAnsi="宋体" w:eastAsia="仿宋_GB2312" w:cs="仿宋_GB2312"/>
          <w:color w:val="000000"/>
          <w:kern w:val="0"/>
          <w:sz w:val="32"/>
          <w:szCs w:val="32"/>
        </w:rPr>
        <w:t>%。主要变动原因是</w:t>
      </w:r>
      <w:r>
        <w:rPr>
          <w:rFonts w:hint="eastAsia" w:ascii="仿宋_GB2312" w:hAnsi="宋体" w:eastAsia="仿宋_GB2312" w:cs="Times New Roman"/>
          <w:color w:val="000000"/>
          <w:kern w:val="0"/>
          <w:sz w:val="32"/>
          <w:szCs w:val="32"/>
        </w:rPr>
        <w:t>202</w:t>
      </w:r>
      <w:r>
        <w:rPr>
          <w:rFonts w:hint="eastAsia" w:ascii="仿宋_GB2312" w:eastAsia="仿宋_GB2312" w:cs="Times New Roman"/>
          <w:color w:val="000000"/>
          <w:kern w:val="0"/>
          <w:sz w:val="32"/>
          <w:szCs w:val="32"/>
          <w:lang w:val="en-US" w:eastAsia="zh-CN"/>
        </w:rPr>
        <w:t>5</w:t>
      </w:r>
      <w:r>
        <w:rPr>
          <w:rFonts w:hint="eastAsia" w:ascii="仿宋_GB2312" w:hAnsi="Times New Roman" w:eastAsia="仿宋_GB2312" w:cs="仿宋_GB2312"/>
          <w:color w:val="000000"/>
          <w:kern w:val="0"/>
          <w:sz w:val="32"/>
          <w:szCs w:val="32"/>
        </w:rPr>
        <w:t>年人员</w:t>
      </w:r>
      <w:r>
        <w:rPr>
          <w:rFonts w:hint="eastAsia" w:ascii="仿宋_GB2312" w:hAnsi="宋体" w:eastAsia="仿宋_GB2312" w:cs="仿宋_GB2312"/>
          <w:color w:val="000000"/>
          <w:kern w:val="0"/>
          <w:sz w:val="32"/>
          <w:szCs w:val="32"/>
        </w:rPr>
        <w:t>增加</w:t>
      </w:r>
      <w:r>
        <w:rPr>
          <w:rFonts w:hint="eastAsia" w:ascii="仿宋_GB2312" w:hAnsi="Times New Roman" w:eastAsia="仿宋_GB2312" w:cs="仿宋_GB2312"/>
          <w:color w:val="000000"/>
          <w:kern w:val="0"/>
          <w:sz w:val="32"/>
          <w:szCs w:val="32"/>
        </w:rPr>
        <w:t>，人员经费增加，工资和保险相应增加。</w:t>
      </w:r>
    </w:p>
    <w:p>
      <w:pPr>
        <w:pStyle w:val="8"/>
        <w:keepNext w:val="0"/>
        <w:keepLines w:val="0"/>
        <w:widowControl/>
        <w:suppressLineNumbers w:val="0"/>
        <w:spacing w:before="0" w:beforeAutospacing="0"/>
        <w:ind w:left="0"/>
        <w:jc w:val="left"/>
        <w:rPr>
          <w:rFonts w:hint="eastAsia" w:ascii="宋体" w:hAnsi="宋体" w:eastAsia="宋体" w:cs="宋体"/>
          <w:kern w:val="0"/>
          <w:sz w:val="24"/>
          <w:szCs w:val="24"/>
          <w:shd w:val="clear" w:fill="FFFFFF"/>
        </w:rPr>
      </w:pPr>
      <w:r>
        <w:rPr>
          <w:rFonts w:hint="eastAsia" w:ascii="宋体" w:hAnsi="宋体" w:eastAsia="宋体" w:cs="宋体"/>
          <w:kern w:val="0"/>
          <w:sz w:val="24"/>
          <w:szCs w:val="24"/>
          <w:shd w:val="clear" w:fill="FFFFFF"/>
        </w:rPr>
        <w:t xml:space="preserve"> （图5：一般公共预算财政拨款支出决算变动情况）（柱状图） </w:t>
      </w:r>
    </w:p>
    <w:p>
      <w:pPr>
        <w:pStyle w:val="8"/>
        <w:keepNext w:val="0"/>
        <w:keepLines w:val="0"/>
        <w:widowControl/>
        <w:suppressLineNumbers w:val="0"/>
        <w:spacing w:before="0" w:beforeAutospacing="0"/>
        <w:ind w:left="0"/>
        <w:jc w:val="left"/>
        <w:rPr>
          <w:rFonts w:hint="eastAsia" w:ascii="宋体" w:hAnsi="宋体" w:eastAsia="宋体" w:cs="宋体"/>
          <w:kern w:val="0"/>
          <w:sz w:val="24"/>
          <w:szCs w:val="24"/>
          <w:shd w:val="clear" w:fill="FFFFFF"/>
        </w:rPr>
      </w:pPr>
      <w:r>
        <w:drawing>
          <wp:inline distT="0" distB="0" distL="114300" distR="114300">
            <wp:extent cx="5120640" cy="2307590"/>
            <wp:effectExtent l="4445" t="4445" r="10795" b="19685"/>
            <wp:docPr id="1798" name="图表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pPr>
        <w:pStyle w:val="8"/>
        <w:keepNext w:val="0"/>
        <w:keepLines w:val="0"/>
        <w:widowControl/>
        <w:suppressLineNumbers w:val="0"/>
        <w:spacing w:before="0" w:beforeAutospacing="0"/>
        <w:ind w:left="0"/>
        <w:jc w:val="left"/>
        <w:rPr>
          <w:rStyle w:val="10"/>
          <w:rFonts w:hint="eastAsia" w:ascii="黑体" w:hAnsi="宋体" w:eastAsia="黑体" w:cs="黑体"/>
          <w:b w:val="0"/>
          <w:bCs w:val="0"/>
          <w:kern w:val="2"/>
          <w:sz w:val="32"/>
          <w:szCs w:val="32"/>
        </w:rPr>
      </w:pPr>
      <w:r>
        <w:rPr>
          <w:rStyle w:val="10"/>
          <w:rFonts w:hint="eastAsia" w:ascii="黑体" w:hAnsi="宋体" w:eastAsia="黑体" w:cs="黑体"/>
          <w:b w:val="0"/>
          <w:bCs w:val="0"/>
          <w:kern w:val="2"/>
          <w:sz w:val="32"/>
          <w:szCs w:val="32"/>
        </w:rPr>
        <w:t>（二）一般公共预算财政拨款支出决算结构情况</w:t>
      </w:r>
    </w:p>
    <w:p>
      <w:pPr>
        <w:pStyle w:val="8"/>
        <w:keepNext w:val="0"/>
        <w:keepLines w:val="0"/>
        <w:widowControl/>
        <w:suppressLineNumbers w:val="0"/>
        <w:spacing w:before="0" w:beforeAutospacing="0"/>
        <w:ind w:firstLine="640" w:firstLineChars="200"/>
        <w:jc w:val="left"/>
        <w:rPr>
          <w:rFonts w:hint="eastAsia" w:ascii="仿宋_GB2312" w:hAnsi="宋体" w:eastAsia="仿宋_GB2312" w:cs="仿宋_GB2312"/>
          <w:color w:val="000000"/>
          <w:kern w:val="0"/>
          <w:sz w:val="32"/>
          <w:szCs w:val="32"/>
        </w:rPr>
      </w:pPr>
      <w:r>
        <w:rPr>
          <w:rFonts w:hint="eastAsia" w:ascii="仿宋_GB2312" w:hAnsi="宋体" w:eastAsia="仿宋_GB2312" w:cs="仿宋_GB2312"/>
          <w:color w:val="000000"/>
          <w:kern w:val="0"/>
          <w:sz w:val="32"/>
          <w:szCs w:val="32"/>
        </w:rPr>
        <w:t>202</w:t>
      </w:r>
      <w:r>
        <w:rPr>
          <w:rFonts w:hint="eastAsia" w:ascii="仿宋_GB2312" w:eastAsia="仿宋_GB2312" w:cs="仿宋_GB2312"/>
          <w:color w:val="000000"/>
          <w:kern w:val="0"/>
          <w:sz w:val="32"/>
          <w:szCs w:val="32"/>
          <w:lang w:val="en-US" w:eastAsia="zh-CN"/>
        </w:rPr>
        <w:t>5</w:t>
      </w:r>
      <w:r>
        <w:rPr>
          <w:rFonts w:hint="eastAsia" w:ascii="仿宋_GB2312" w:hAnsi="宋体" w:eastAsia="仿宋_GB2312" w:cs="仿宋_GB2312"/>
          <w:color w:val="000000"/>
          <w:kern w:val="0"/>
          <w:sz w:val="32"/>
          <w:szCs w:val="32"/>
        </w:rPr>
        <w:t>年一般公共预算财政拨款支出</w:t>
      </w:r>
      <w:r>
        <w:rPr>
          <w:rFonts w:hint="eastAsia" w:ascii="仿宋_GB2312" w:eastAsia="仿宋_GB2312" w:cs="仿宋_GB2312"/>
          <w:color w:val="000000"/>
          <w:kern w:val="0"/>
          <w:sz w:val="32"/>
          <w:szCs w:val="32"/>
          <w:lang w:val="en-US" w:eastAsia="zh-CN"/>
        </w:rPr>
        <w:t>5040.82</w:t>
      </w:r>
      <w:r>
        <w:rPr>
          <w:rFonts w:hint="eastAsia" w:ascii="仿宋_GB2312" w:hAnsi="宋体" w:eastAsia="仿宋_GB2312" w:cs="仿宋_GB2312"/>
          <w:color w:val="000000"/>
          <w:kern w:val="0"/>
          <w:sz w:val="32"/>
          <w:szCs w:val="32"/>
        </w:rPr>
        <w:t>万元，主要用于以下方面:一般公共服务（类）支出0.00万元，占0.00%；外交支出（类）0.00万元，占0.00%，国防支出（类）0.00万元，占0.00%；公共安全支出（类）0.00万元，占0.00%；教育支出（类）</w:t>
      </w:r>
      <w:r>
        <w:rPr>
          <w:rFonts w:hint="eastAsia" w:ascii="仿宋_GB2312" w:eastAsia="仿宋_GB2312" w:cs="仿宋_GB2312"/>
          <w:color w:val="000000"/>
          <w:kern w:val="0"/>
          <w:sz w:val="32"/>
          <w:szCs w:val="32"/>
          <w:lang w:val="en-US" w:eastAsia="zh-CN"/>
        </w:rPr>
        <w:t>3836.07</w:t>
      </w:r>
      <w:r>
        <w:rPr>
          <w:rFonts w:hint="eastAsia" w:ascii="仿宋_GB2312" w:hAnsi="宋体" w:eastAsia="仿宋_GB2312" w:cs="仿宋_GB2312"/>
          <w:color w:val="000000"/>
          <w:kern w:val="0"/>
          <w:sz w:val="32"/>
          <w:szCs w:val="32"/>
        </w:rPr>
        <w:t>万元，占</w:t>
      </w:r>
      <w:r>
        <w:rPr>
          <w:rFonts w:hint="eastAsia" w:ascii="仿宋_GB2312" w:eastAsia="仿宋_GB2312" w:cs="仿宋_GB2312"/>
          <w:color w:val="000000"/>
          <w:kern w:val="0"/>
          <w:sz w:val="32"/>
          <w:szCs w:val="32"/>
          <w:lang w:val="en-US" w:eastAsia="zh-CN"/>
        </w:rPr>
        <w:t>76.1</w:t>
      </w:r>
      <w:r>
        <w:rPr>
          <w:rFonts w:hint="eastAsia" w:ascii="仿宋_GB2312" w:hAnsi="宋体" w:eastAsia="仿宋_GB2312" w:cs="仿宋_GB2312"/>
          <w:color w:val="000000"/>
          <w:kern w:val="0"/>
          <w:sz w:val="32"/>
          <w:szCs w:val="32"/>
        </w:rPr>
        <w:t>%；科学技术（类）支出0.00万元，占0.00%；文化旅游体育与传媒（类）支出0.00万元，占0.00%；社会保障和就业（类）支出</w:t>
      </w:r>
      <w:r>
        <w:rPr>
          <w:rFonts w:hint="eastAsia" w:ascii="仿宋_GB2312" w:eastAsia="仿宋_GB2312" w:cs="仿宋_GB2312"/>
          <w:color w:val="000000"/>
          <w:kern w:val="0"/>
          <w:sz w:val="32"/>
          <w:szCs w:val="32"/>
          <w:lang w:val="en-US" w:eastAsia="zh-CN"/>
        </w:rPr>
        <w:t>611.64</w:t>
      </w:r>
      <w:r>
        <w:rPr>
          <w:rFonts w:hint="eastAsia" w:ascii="仿宋_GB2312" w:hAnsi="宋体" w:eastAsia="仿宋_GB2312" w:cs="仿宋_GB2312"/>
          <w:color w:val="000000"/>
          <w:kern w:val="0"/>
          <w:sz w:val="32"/>
          <w:szCs w:val="32"/>
        </w:rPr>
        <w:t>万元，占</w:t>
      </w:r>
      <w:r>
        <w:rPr>
          <w:rFonts w:hint="eastAsia" w:ascii="仿宋_GB2312" w:eastAsia="仿宋_GB2312" w:cs="仿宋_GB2312"/>
          <w:color w:val="000000"/>
          <w:kern w:val="0"/>
          <w:sz w:val="32"/>
          <w:szCs w:val="32"/>
          <w:lang w:val="en-US" w:eastAsia="zh-CN"/>
        </w:rPr>
        <w:t>12.13</w:t>
      </w:r>
      <w:r>
        <w:rPr>
          <w:rFonts w:hint="eastAsia" w:ascii="仿宋_GB2312" w:hAnsi="宋体" w:eastAsia="仿宋_GB2312" w:cs="仿宋_GB2312"/>
          <w:color w:val="000000"/>
          <w:kern w:val="0"/>
          <w:sz w:val="32"/>
          <w:szCs w:val="32"/>
        </w:rPr>
        <w:t>%；卫生健康支出（类）</w:t>
      </w:r>
      <w:r>
        <w:rPr>
          <w:rFonts w:hint="eastAsia" w:ascii="仿宋_GB2312" w:eastAsia="仿宋_GB2312" w:cs="仿宋_GB2312"/>
          <w:color w:val="000000"/>
          <w:kern w:val="0"/>
          <w:sz w:val="32"/>
          <w:szCs w:val="32"/>
          <w:lang w:val="en-US" w:eastAsia="zh-CN"/>
        </w:rPr>
        <w:t>225.14</w:t>
      </w:r>
      <w:r>
        <w:rPr>
          <w:rFonts w:hint="eastAsia" w:ascii="仿宋_GB2312" w:hAnsi="宋体" w:eastAsia="仿宋_GB2312" w:cs="仿宋_GB2312"/>
          <w:color w:val="000000"/>
          <w:kern w:val="0"/>
          <w:sz w:val="32"/>
          <w:szCs w:val="32"/>
        </w:rPr>
        <w:t>万元，占</w:t>
      </w:r>
      <w:r>
        <w:rPr>
          <w:rFonts w:hint="eastAsia" w:ascii="仿宋_GB2312" w:eastAsia="仿宋_GB2312" w:cs="仿宋_GB2312"/>
          <w:color w:val="000000"/>
          <w:kern w:val="0"/>
          <w:sz w:val="32"/>
          <w:szCs w:val="32"/>
          <w:lang w:val="en-US" w:eastAsia="zh-CN"/>
        </w:rPr>
        <w:t>4.47</w:t>
      </w:r>
      <w:r>
        <w:rPr>
          <w:rFonts w:hint="eastAsia" w:ascii="仿宋_GB2312" w:hAnsi="宋体" w:eastAsia="仿宋_GB2312" w:cs="仿宋_GB2312"/>
          <w:color w:val="000000"/>
          <w:kern w:val="0"/>
          <w:sz w:val="32"/>
          <w:szCs w:val="32"/>
        </w:rPr>
        <w:t>%；节能环保支出（类）0.00万元，占0.00%；城乡社区支出（类）0.00万元，占0.00%；农林水支出（类）0.00万元，占0.00%；交通运输支出（类）0.00万元，占0.00%；资源勘探信息等支出（类）0.00万元，占0.00%；商业服务业等支出（类）0.00万元，占0.00%；金融支出（类）0.00万元，占0.00%；援助其他地区支出（类）0.00万元，占0.00%；自然资源海洋气象等支出（类）0.00万元，占0.00%；住房保障支出（类）</w:t>
      </w:r>
      <w:r>
        <w:rPr>
          <w:rFonts w:hint="eastAsia" w:ascii="仿宋_GB2312" w:eastAsia="仿宋_GB2312" w:cs="仿宋_GB2312"/>
          <w:color w:val="000000"/>
          <w:kern w:val="0"/>
          <w:sz w:val="32"/>
          <w:szCs w:val="32"/>
          <w:lang w:val="en-US" w:eastAsia="zh-CN"/>
        </w:rPr>
        <w:t>329.74</w:t>
      </w:r>
      <w:r>
        <w:rPr>
          <w:rFonts w:hint="eastAsia" w:ascii="仿宋_GB2312" w:hAnsi="宋体" w:eastAsia="仿宋_GB2312" w:cs="仿宋_GB2312"/>
          <w:color w:val="000000"/>
          <w:kern w:val="0"/>
          <w:sz w:val="32"/>
          <w:szCs w:val="32"/>
        </w:rPr>
        <w:t>万元，占</w:t>
      </w:r>
      <w:r>
        <w:rPr>
          <w:rFonts w:hint="eastAsia" w:ascii="仿宋_GB2312" w:eastAsia="仿宋_GB2312" w:cs="仿宋_GB2312"/>
          <w:color w:val="000000"/>
          <w:kern w:val="0"/>
          <w:sz w:val="32"/>
          <w:szCs w:val="32"/>
          <w:lang w:val="en-US" w:eastAsia="zh-CN"/>
        </w:rPr>
        <w:t>6.54</w:t>
      </w:r>
      <w:r>
        <w:rPr>
          <w:rFonts w:hint="eastAsia" w:ascii="仿宋_GB2312" w:hAnsi="宋体" w:eastAsia="仿宋_GB2312" w:cs="仿宋_GB2312"/>
          <w:color w:val="000000"/>
          <w:kern w:val="0"/>
          <w:sz w:val="32"/>
          <w:szCs w:val="32"/>
        </w:rPr>
        <w:t>%；粮油物资储备支出（类）0.00万元，占0.00%；国有资本经营预算支出（类）0.00万元，占0.00%；灾害防治及应急管理支出（类）0.00万元，占0.00%；其他支出（类）0.00万元，占0.00%；债务还本支出（类）0.00万元，占0.00%；债务付息支出（类）0.00万元，占0.00%；抗役特别国债安排的支出（类）0.00万元，占0.00%。</w:t>
      </w:r>
    </w:p>
    <w:p>
      <w:pPr>
        <w:pStyle w:val="8"/>
        <w:keepNext w:val="0"/>
        <w:keepLines w:val="0"/>
        <w:widowControl/>
        <w:suppressLineNumbers w:val="0"/>
        <w:spacing w:before="0" w:beforeAutospacing="0"/>
        <w:ind w:left="0"/>
        <w:jc w:val="left"/>
        <w:rPr>
          <w:rFonts w:hint="eastAsia" w:ascii="宋体" w:hAnsi="宋体" w:eastAsia="宋体" w:cs="宋体"/>
          <w:kern w:val="0"/>
          <w:sz w:val="24"/>
          <w:szCs w:val="24"/>
          <w:shd w:val="clear" w:fill="FFFFFF"/>
        </w:rPr>
      </w:pPr>
      <w:r>
        <w:rPr>
          <w:rFonts w:hint="eastAsia" w:ascii="宋体" w:hAnsi="宋体" w:eastAsia="宋体" w:cs="宋体"/>
          <w:kern w:val="0"/>
          <w:sz w:val="24"/>
          <w:szCs w:val="24"/>
          <w:shd w:val="clear" w:fill="FFFFFF"/>
        </w:rPr>
        <w:t xml:space="preserve"> （图6：一般公共预算财政拨款支出决算结构）（饼状图） </w:t>
      </w:r>
    </w:p>
    <w:p>
      <w:pPr>
        <w:pStyle w:val="8"/>
        <w:keepNext w:val="0"/>
        <w:keepLines w:val="0"/>
        <w:widowControl/>
        <w:suppressLineNumbers w:val="0"/>
        <w:spacing w:before="0" w:beforeAutospacing="0"/>
        <w:ind w:left="0"/>
        <w:jc w:val="left"/>
        <w:rPr>
          <w:rFonts w:hint="eastAsia" w:ascii="宋体" w:hAnsi="宋体" w:eastAsia="宋体" w:cs="宋体"/>
          <w:kern w:val="0"/>
          <w:sz w:val="24"/>
          <w:szCs w:val="24"/>
          <w:shd w:val="clear" w:fill="FFFFFF"/>
        </w:rPr>
      </w:pPr>
      <w:r>
        <w:drawing>
          <wp:inline distT="0" distB="0" distL="114300" distR="114300">
            <wp:extent cx="4580890" cy="2491740"/>
            <wp:effectExtent l="4445" t="4445" r="17145" b="18415"/>
            <wp:docPr id="3" name="图表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r>
        <w:rPr>
          <w:rFonts w:hint="eastAsia" w:ascii="宋体" w:hAnsi="宋体" w:eastAsia="宋体" w:cs="宋体"/>
          <w:kern w:val="0"/>
          <w:sz w:val="24"/>
          <w:szCs w:val="24"/>
          <w:shd w:val="clear" w:fill="FFFFFF"/>
        </w:rPr>
        <w:t xml:space="preserve"> </w:t>
      </w:r>
    </w:p>
    <w:p>
      <w:pPr>
        <w:pStyle w:val="2"/>
        <w:keepNext/>
        <w:keepLines/>
        <w:widowControl w:val="0"/>
        <w:suppressLineNumbers w:val="0"/>
        <w:spacing w:before="260" w:beforeAutospacing="0" w:after="260" w:afterAutospacing="0" w:line="408" w:lineRule="auto"/>
        <w:ind w:left="0" w:right="0"/>
        <w:jc w:val="both"/>
        <w:outlineLvl w:val="1"/>
        <w:rPr>
          <w:rFonts w:hint="eastAsia" w:ascii="黑体" w:hAnsi="宋体" w:eastAsia="黑体" w:cs="Times New Roman"/>
          <w:b w:val="0"/>
          <w:bCs w:val="0"/>
          <w:kern w:val="2"/>
          <w:sz w:val="32"/>
          <w:szCs w:val="32"/>
        </w:rPr>
      </w:pPr>
      <w:r>
        <w:rPr>
          <w:rStyle w:val="10"/>
          <w:rFonts w:hint="eastAsia" w:ascii="黑体" w:hAnsi="宋体" w:eastAsia="黑体" w:cs="黑体"/>
          <w:b w:val="0"/>
          <w:bCs w:val="0"/>
          <w:kern w:val="2"/>
          <w:sz w:val="32"/>
          <w:szCs w:val="32"/>
        </w:rPr>
        <w:t>（三）一般公共预算财政拨款支出决算具体情况</w:t>
      </w:r>
    </w:p>
    <w:p>
      <w:pPr>
        <w:pStyle w:val="3"/>
        <w:keepNext w:val="0"/>
        <w:keepLines w:val="0"/>
        <w:widowControl w:val="0"/>
        <w:suppressLineNumbers w:val="0"/>
        <w:adjustRightInd w:val="0"/>
        <w:snapToGrid w:val="0"/>
        <w:spacing w:before="0" w:beforeLines="30" w:beforeAutospacing="0" w:after="0" w:afterAutospacing="1" w:line="560" w:lineRule="exact"/>
        <w:ind w:left="0" w:leftChars="0" w:right="0" w:rightChars="0" w:firstLine="504" w:firstLineChars="210"/>
        <w:jc w:val="left"/>
        <w:rPr>
          <w:rFonts w:hint="eastAsia" w:ascii="仿宋_GB2312" w:hAnsi="宋体" w:eastAsia="仿宋_GB2312" w:cs="仿宋_GB2312"/>
          <w:color w:val="000000"/>
          <w:kern w:val="0"/>
          <w:sz w:val="32"/>
          <w:szCs w:val="32"/>
        </w:rPr>
      </w:pPr>
      <w:r>
        <w:rPr>
          <w:rFonts w:hint="eastAsia" w:ascii="宋体" w:hAnsi="宋体" w:eastAsia="宋体" w:cs="宋体"/>
          <w:kern w:val="0"/>
          <w:sz w:val="24"/>
          <w:szCs w:val="24"/>
          <w:shd w:val="clear" w:fill="FFFFFF"/>
        </w:rPr>
        <w:t xml:space="preserve"> </w:t>
      </w:r>
      <w:r>
        <w:rPr>
          <w:rFonts w:hint="eastAsia" w:ascii="仿宋_GB2312" w:hAnsi="宋体" w:eastAsia="仿宋_GB2312" w:cs="仿宋_GB2312"/>
          <w:color w:val="000000"/>
          <w:kern w:val="0"/>
          <w:sz w:val="32"/>
          <w:szCs w:val="32"/>
        </w:rPr>
        <w:t xml:space="preserve"> 202</w:t>
      </w:r>
      <w:r>
        <w:rPr>
          <w:rFonts w:hint="eastAsia" w:cs="仿宋_GB2312"/>
          <w:color w:val="000000"/>
          <w:kern w:val="0"/>
          <w:sz w:val="32"/>
          <w:szCs w:val="32"/>
          <w:lang w:val="en-US" w:eastAsia="zh-CN"/>
        </w:rPr>
        <w:t>5</w:t>
      </w:r>
      <w:r>
        <w:rPr>
          <w:rFonts w:hint="eastAsia" w:ascii="仿宋_GB2312" w:hAnsi="宋体" w:eastAsia="仿宋_GB2312" w:cs="仿宋_GB2312"/>
          <w:color w:val="000000"/>
          <w:kern w:val="0"/>
          <w:sz w:val="32"/>
          <w:szCs w:val="32"/>
        </w:rPr>
        <w:t>年一般公共预算支出决算数为</w:t>
      </w:r>
      <w:r>
        <w:rPr>
          <w:rFonts w:hint="eastAsia" w:cs="仿宋_GB2312"/>
          <w:color w:val="000000"/>
          <w:kern w:val="0"/>
          <w:sz w:val="32"/>
          <w:szCs w:val="32"/>
          <w:lang w:val="en-US" w:eastAsia="zh-CN"/>
        </w:rPr>
        <w:t>5040.82</w:t>
      </w:r>
      <w:r>
        <w:rPr>
          <w:rFonts w:hint="eastAsia" w:ascii="仿宋_GB2312" w:hAnsi="宋体" w:eastAsia="仿宋_GB2312" w:cs="仿宋_GB2312"/>
          <w:color w:val="000000"/>
          <w:kern w:val="0"/>
          <w:sz w:val="32"/>
          <w:szCs w:val="32"/>
        </w:rPr>
        <w:t>，完成预算100%。其中：</w:t>
      </w:r>
    </w:p>
    <w:p>
      <w:pPr>
        <w:keepNext w:val="0"/>
        <w:keepLines w:val="0"/>
        <w:widowControl/>
        <w:suppressLineNumbers w:val="0"/>
        <w:spacing w:line="360" w:lineRule="auto"/>
        <w:ind w:left="0" w:firstLine="643" w:firstLineChars="200"/>
        <w:rPr>
          <w:rFonts w:hint="eastAsia" w:ascii="仿宋_GB2312" w:hAnsi="Times New Roman" w:eastAsia="仿宋" w:cs="Times New Roman"/>
          <w:color w:val="000000"/>
          <w:kern w:val="0"/>
          <w:sz w:val="32"/>
          <w:szCs w:val="32"/>
        </w:rPr>
      </w:pPr>
      <w:r>
        <w:rPr>
          <w:rStyle w:val="9"/>
          <w:rFonts w:hint="eastAsia" w:ascii="仿宋" w:hAnsi="仿宋" w:eastAsia="仿宋" w:cs="Times New Roman"/>
          <w:b/>
          <w:bCs/>
          <w:color w:val="000000"/>
          <w:sz w:val="32"/>
          <w:szCs w:val="32"/>
        </w:rPr>
        <w:t>1.</w:t>
      </w:r>
      <w:r>
        <w:rPr>
          <w:rStyle w:val="9"/>
          <w:rFonts w:hint="eastAsia" w:ascii="仿宋" w:hAnsi="仿宋" w:eastAsia="仿宋" w:cs="仿宋"/>
          <w:b/>
          <w:bCs/>
          <w:color w:val="000000"/>
          <w:sz w:val="32"/>
          <w:szCs w:val="32"/>
        </w:rPr>
        <w:t>教育支出</w:t>
      </w:r>
      <w:r>
        <w:rPr>
          <w:rStyle w:val="9"/>
          <w:rFonts w:hint="eastAsia" w:ascii="仿宋" w:hAnsi="仿宋" w:eastAsia="仿宋" w:cs="Times New Roman"/>
          <w:b/>
          <w:bCs/>
          <w:color w:val="000000"/>
          <w:sz w:val="32"/>
          <w:szCs w:val="32"/>
        </w:rPr>
        <w:t>2050203:</w:t>
      </w:r>
      <w:r>
        <w:rPr>
          <w:rStyle w:val="9"/>
          <w:rFonts w:hint="eastAsia" w:ascii="仿宋" w:hAnsi="仿宋" w:eastAsia="仿宋" w:cs="Times New Roman"/>
          <w:b w:val="0"/>
          <w:bCs w:val="0"/>
          <w:color w:val="000000"/>
          <w:sz w:val="32"/>
          <w:szCs w:val="32"/>
        </w:rPr>
        <w:t xml:space="preserve"> </w:t>
      </w:r>
      <w:r>
        <w:rPr>
          <w:rFonts w:hint="eastAsia" w:ascii="仿宋_GB2312" w:hAnsi="Times New Roman" w:eastAsia="仿宋_GB2312" w:cs="仿宋_GB2312"/>
          <w:color w:val="000000"/>
          <w:kern w:val="0"/>
          <w:sz w:val="32"/>
          <w:szCs w:val="32"/>
        </w:rPr>
        <w:t>支出决算为</w:t>
      </w:r>
      <w:r>
        <w:rPr>
          <w:rFonts w:hint="eastAsia" w:ascii="仿宋_GB2312" w:eastAsia="仿宋_GB2312" w:cs="Times New Roman"/>
          <w:color w:val="000000"/>
          <w:kern w:val="0"/>
          <w:sz w:val="32"/>
          <w:szCs w:val="32"/>
          <w:lang w:val="en-US" w:eastAsia="zh-CN"/>
        </w:rPr>
        <w:t>3741.52</w:t>
      </w:r>
      <w:r>
        <w:rPr>
          <w:rFonts w:hint="eastAsia" w:ascii="仿宋_GB2312" w:hAnsi="Times New Roman" w:eastAsia="仿宋_GB2312" w:cs="仿宋_GB2312"/>
          <w:color w:val="000000"/>
          <w:kern w:val="0"/>
          <w:sz w:val="32"/>
          <w:szCs w:val="32"/>
        </w:rPr>
        <w:t>万元，完成预算</w:t>
      </w:r>
      <w:r>
        <w:rPr>
          <w:rFonts w:hint="eastAsia" w:ascii="仿宋_GB2312" w:hAnsi="Times New Roman" w:eastAsia="仿宋_GB2312" w:cs="Times New Roman"/>
          <w:color w:val="000000"/>
          <w:kern w:val="0"/>
          <w:sz w:val="32"/>
          <w:szCs w:val="32"/>
        </w:rPr>
        <w:t>100%</w:t>
      </w:r>
      <w:r>
        <w:rPr>
          <w:rFonts w:hint="eastAsia" w:ascii="仿宋_GB2312" w:hAnsi="Times New Roman" w:eastAsia="仿宋_GB2312" w:cs="仿宋_GB2312"/>
          <w:color w:val="000000"/>
          <w:kern w:val="0"/>
          <w:sz w:val="32"/>
          <w:szCs w:val="32"/>
        </w:rPr>
        <w:t>。</w:t>
      </w:r>
      <w:r>
        <w:rPr>
          <w:rStyle w:val="9"/>
          <w:rFonts w:hint="eastAsia" w:ascii="仿宋" w:hAnsi="仿宋" w:eastAsia="仿宋" w:cs="Times New Roman"/>
          <w:b/>
          <w:bCs/>
          <w:color w:val="000000"/>
          <w:sz w:val="32"/>
          <w:szCs w:val="32"/>
        </w:rPr>
        <w:t>2050204：</w:t>
      </w:r>
      <w:r>
        <w:rPr>
          <w:rFonts w:hint="eastAsia" w:ascii="仿宋_GB2312" w:hAnsi="Times New Roman" w:eastAsia="仿宋_GB2312" w:cs="仿宋_GB2312"/>
          <w:color w:val="000000"/>
          <w:kern w:val="0"/>
          <w:sz w:val="32"/>
          <w:szCs w:val="32"/>
        </w:rPr>
        <w:t>支出决算为</w:t>
      </w:r>
      <w:r>
        <w:rPr>
          <w:rFonts w:hint="eastAsia" w:ascii="仿宋_GB2312" w:eastAsia="仿宋_GB2312" w:cs="Times New Roman"/>
          <w:color w:val="000000"/>
          <w:kern w:val="0"/>
          <w:sz w:val="32"/>
          <w:szCs w:val="32"/>
          <w:lang w:val="en-US" w:eastAsia="zh-CN"/>
        </w:rPr>
        <w:t>0</w:t>
      </w:r>
      <w:r>
        <w:rPr>
          <w:rFonts w:hint="eastAsia" w:ascii="仿宋_GB2312" w:hAnsi="Times New Roman" w:eastAsia="仿宋_GB2312" w:cs="仿宋_GB2312"/>
          <w:color w:val="000000"/>
          <w:kern w:val="0"/>
          <w:sz w:val="32"/>
          <w:szCs w:val="32"/>
        </w:rPr>
        <w:t>万元，完成预算</w:t>
      </w:r>
      <w:r>
        <w:rPr>
          <w:rFonts w:hint="eastAsia" w:ascii="仿宋_GB2312" w:hAnsi="Times New Roman" w:eastAsia="仿宋_GB2312" w:cs="Times New Roman"/>
          <w:color w:val="000000"/>
          <w:kern w:val="0"/>
          <w:sz w:val="32"/>
          <w:szCs w:val="32"/>
          <w:lang w:val="en-US" w:eastAsia="zh-CN"/>
        </w:rPr>
        <w:t>0</w:t>
      </w:r>
      <w:r>
        <w:rPr>
          <w:rFonts w:hint="eastAsia" w:ascii="仿宋_GB2312" w:hAnsi="Times New Roman" w:eastAsia="仿宋_GB2312" w:cs="Times New Roman"/>
          <w:color w:val="000000"/>
          <w:kern w:val="0"/>
          <w:sz w:val="32"/>
          <w:szCs w:val="32"/>
        </w:rPr>
        <w:t>%</w:t>
      </w:r>
      <w:r>
        <w:rPr>
          <w:rFonts w:hint="eastAsia" w:ascii="仿宋_GB2312" w:hAnsi="Times New Roman" w:eastAsia="仿宋_GB2312" w:cs="仿宋_GB2312"/>
          <w:color w:val="000000"/>
          <w:kern w:val="0"/>
          <w:sz w:val="32"/>
          <w:szCs w:val="32"/>
        </w:rPr>
        <w:t>。</w:t>
      </w:r>
      <w:r>
        <w:rPr>
          <w:rStyle w:val="9"/>
          <w:rFonts w:hint="eastAsia" w:ascii="仿宋" w:hAnsi="仿宋" w:eastAsia="仿宋" w:cs="Times New Roman"/>
          <w:b/>
          <w:bCs/>
          <w:color w:val="000000"/>
          <w:sz w:val="32"/>
          <w:szCs w:val="32"/>
        </w:rPr>
        <w:t>2050299：</w:t>
      </w:r>
      <w:r>
        <w:rPr>
          <w:rFonts w:hint="eastAsia" w:ascii="仿宋_GB2312" w:hAnsi="Times New Roman" w:eastAsia="仿宋_GB2312" w:cs="仿宋_GB2312"/>
          <w:color w:val="000000"/>
          <w:kern w:val="0"/>
          <w:sz w:val="32"/>
          <w:szCs w:val="32"/>
        </w:rPr>
        <w:t>支出决算为</w:t>
      </w:r>
      <w:r>
        <w:rPr>
          <w:rFonts w:hint="eastAsia" w:ascii="仿宋_GB2312" w:eastAsia="仿宋_GB2312" w:cs="Times New Roman"/>
          <w:color w:val="000000"/>
          <w:kern w:val="0"/>
          <w:sz w:val="32"/>
          <w:szCs w:val="32"/>
          <w:lang w:val="en-US" w:eastAsia="zh-CN"/>
        </w:rPr>
        <w:t>94.55</w:t>
      </w:r>
      <w:r>
        <w:rPr>
          <w:rFonts w:hint="eastAsia" w:ascii="仿宋_GB2312" w:hAnsi="Times New Roman" w:eastAsia="仿宋_GB2312" w:cs="仿宋_GB2312"/>
          <w:color w:val="000000"/>
          <w:kern w:val="0"/>
          <w:sz w:val="32"/>
          <w:szCs w:val="32"/>
        </w:rPr>
        <w:t>万元，完成预算</w:t>
      </w:r>
      <w:r>
        <w:rPr>
          <w:rFonts w:hint="eastAsia" w:ascii="仿宋_GB2312" w:hAnsi="Times New Roman" w:eastAsia="仿宋_GB2312" w:cs="Times New Roman"/>
          <w:color w:val="000000"/>
          <w:kern w:val="0"/>
          <w:sz w:val="32"/>
          <w:szCs w:val="32"/>
        </w:rPr>
        <w:t>100%</w:t>
      </w:r>
      <w:r>
        <w:rPr>
          <w:rFonts w:hint="eastAsia" w:ascii="仿宋_GB2312" w:hAnsi="宋体" w:eastAsia="仿宋_GB2312" w:cs="Times New Roman"/>
          <w:color w:val="000000"/>
          <w:kern w:val="0"/>
          <w:sz w:val="32"/>
          <w:szCs w:val="32"/>
        </w:rPr>
        <w:t>.</w:t>
      </w:r>
    </w:p>
    <w:p>
      <w:pPr>
        <w:keepNext w:val="0"/>
        <w:keepLines w:val="0"/>
        <w:widowControl/>
        <w:suppressLineNumbers w:val="0"/>
        <w:spacing w:line="360" w:lineRule="auto"/>
        <w:ind w:left="0" w:firstLine="643" w:firstLineChars="200"/>
        <w:rPr>
          <w:rFonts w:hint="eastAsia" w:ascii="仿宋_GB2312" w:hAnsi="Times New Roman" w:eastAsia="仿宋_GB2312" w:cs="Times New Roman"/>
          <w:color w:val="000000"/>
          <w:kern w:val="0"/>
          <w:sz w:val="32"/>
          <w:szCs w:val="32"/>
        </w:rPr>
      </w:pPr>
      <w:r>
        <w:rPr>
          <w:rStyle w:val="9"/>
          <w:rFonts w:hint="eastAsia" w:ascii="仿宋" w:hAnsi="仿宋" w:eastAsia="仿宋" w:cs="Times New Roman"/>
          <w:b/>
          <w:bCs/>
          <w:color w:val="000000"/>
          <w:sz w:val="32"/>
          <w:szCs w:val="32"/>
        </w:rPr>
        <w:t>2.</w:t>
      </w:r>
      <w:r>
        <w:rPr>
          <w:rStyle w:val="9"/>
          <w:rFonts w:hint="eastAsia" w:ascii="仿宋" w:hAnsi="仿宋" w:eastAsia="仿宋" w:cs="仿宋"/>
          <w:b/>
          <w:bCs/>
          <w:color w:val="000000"/>
          <w:sz w:val="32"/>
          <w:szCs w:val="32"/>
        </w:rPr>
        <w:t>社会保障和就业</w:t>
      </w:r>
      <w:r>
        <w:rPr>
          <w:rStyle w:val="9"/>
          <w:rFonts w:hint="eastAsia" w:ascii="仿宋" w:hAnsi="仿宋" w:eastAsia="仿宋" w:cs="Times New Roman"/>
          <w:b/>
          <w:bCs/>
          <w:color w:val="000000"/>
          <w:sz w:val="32"/>
          <w:szCs w:val="32"/>
        </w:rPr>
        <w:t>2080505:</w:t>
      </w:r>
      <w:r>
        <w:rPr>
          <w:rStyle w:val="9"/>
          <w:rFonts w:hint="eastAsia" w:ascii="仿宋" w:hAnsi="仿宋" w:eastAsia="仿宋" w:cs="Times New Roman"/>
          <w:b w:val="0"/>
          <w:bCs w:val="0"/>
          <w:color w:val="000000"/>
          <w:sz w:val="32"/>
          <w:szCs w:val="32"/>
        </w:rPr>
        <w:t xml:space="preserve"> </w:t>
      </w:r>
      <w:r>
        <w:rPr>
          <w:rFonts w:hint="eastAsia" w:ascii="仿宋_GB2312" w:hAnsi="Times New Roman" w:eastAsia="仿宋_GB2312" w:cs="仿宋_GB2312"/>
          <w:color w:val="000000"/>
          <w:kern w:val="0"/>
          <w:sz w:val="32"/>
          <w:szCs w:val="32"/>
        </w:rPr>
        <w:t>支出决算为</w:t>
      </w:r>
      <w:r>
        <w:rPr>
          <w:rFonts w:hint="eastAsia" w:ascii="仿宋_GB2312" w:eastAsia="仿宋_GB2312" w:cs="Times New Roman"/>
          <w:color w:val="000000"/>
          <w:kern w:val="0"/>
          <w:sz w:val="32"/>
          <w:szCs w:val="32"/>
          <w:lang w:val="en-US" w:eastAsia="zh-CN"/>
        </w:rPr>
        <w:t>407.76</w:t>
      </w:r>
      <w:r>
        <w:rPr>
          <w:rFonts w:hint="eastAsia" w:ascii="仿宋_GB2312" w:hAnsi="Times New Roman" w:eastAsia="仿宋_GB2312" w:cs="仿宋_GB2312"/>
          <w:color w:val="000000"/>
          <w:kern w:val="0"/>
          <w:sz w:val="32"/>
          <w:szCs w:val="32"/>
        </w:rPr>
        <w:t>万元，完成预算</w:t>
      </w:r>
      <w:r>
        <w:rPr>
          <w:rFonts w:hint="eastAsia" w:ascii="仿宋_GB2312" w:hAnsi="Times New Roman" w:eastAsia="仿宋_GB2312" w:cs="Times New Roman"/>
          <w:color w:val="000000"/>
          <w:kern w:val="0"/>
          <w:sz w:val="32"/>
          <w:szCs w:val="32"/>
        </w:rPr>
        <w:t>100%，</w:t>
      </w:r>
      <w:r>
        <w:rPr>
          <w:rStyle w:val="9"/>
          <w:rFonts w:hint="eastAsia" w:ascii="仿宋" w:hAnsi="仿宋" w:eastAsia="仿宋" w:cs="Times New Roman"/>
          <w:b/>
          <w:bCs/>
          <w:color w:val="000000"/>
          <w:sz w:val="32"/>
          <w:szCs w:val="32"/>
        </w:rPr>
        <w:t>2080506:</w:t>
      </w:r>
      <w:r>
        <w:rPr>
          <w:rStyle w:val="9"/>
          <w:rFonts w:hint="eastAsia" w:ascii="仿宋" w:hAnsi="仿宋" w:eastAsia="仿宋" w:cs="Times New Roman"/>
          <w:b w:val="0"/>
          <w:bCs w:val="0"/>
          <w:color w:val="000000"/>
          <w:sz w:val="32"/>
          <w:szCs w:val="32"/>
        </w:rPr>
        <w:t xml:space="preserve"> </w:t>
      </w:r>
      <w:r>
        <w:rPr>
          <w:rFonts w:hint="eastAsia" w:ascii="仿宋_GB2312" w:hAnsi="Times New Roman" w:eastAsia="仿宋_GB2312" w:cs="仿宋_GB2312"/>
          <w:color w:val="000000"/>
          <w:kern w:val="0"/>
          <w:sz w:val="32"/>
          <w:szCs w:val="32"/>
        </w:rPr>
        <w:t>支出决算为</w:t>
      </w:r>
      <w:r>
        <w:rPr>
          <w:rFonts w:hint="eastAsia" w:ascii="仿宋_GB2312" w:eastAsia="仿宋_GB2312" w:cs="Times New Roman"/>
          <w:color w:val="000000"/>
          <w:kern w:val="0"/>
          <w:sz w:val="32"/>
          <w:szCs w:val="32"/>
          <w:lang w:val="en-US" w:eastAsia="zh-CN"/>
        </w:rPr>
        <w:t>203.88</w:t>
      </w:r>
      <w:r>
        <w:rPr>
          <w:rFonts w:hint="eastAsia" w:ascii="仿宋_GB2312" w:hAnsi="Times New Roman" w:eastAsia="仿宋_GB2312" w:cs="仿宋_GB2312"/>
          <w:color w:val="000000"/>
          <w:kern w:val="0"/>
          <w:sz w:val="32"/>
          <w:szCs w:val="32"/>
        </w:rPr>
        <w:t>万元，完成预算</w:t>
      </w:r>
      <w:r>
        <w:rPr>
          <w:rFonts w:hint="eastAsia" w:ascii="仿宋_GB2312" w:hAnsi="Times New Roman" w:eastAsia="仿宋_GB2312" w:cs="Times New Roman"/>
          <w:color w:val="000000"/>
          <w:kern w:val="0"/>
          <w:sz w:val="32"/>
          <w:szCs w:val="32"/>
        </w:rPr>
        <w:t>100%。</w:t>
      </w:r>
    </w:p>
    <w:p>
      <w:pPr>
        <w:keepNext w:val="0"/>
        <w:keepLines w:val="0"/>
        <w:widowControl/>
        <w:suppressLineNumbers w:val="0"/>
        <w:spacing w:line="360" w:lineRule="auto"/>
        <w:ind w:left="0" w:firstLine="643" w:firstLineChars="200"/>
        <w:rPr>
          <w:rFonts w:hint="eastAsia" w:ascii="仿宋_GB2312" w:hAnsi="Times New Roman" w:eastAsia="仿宋_GB2312" w:cs="Times New Roman"/>
          <w:color w:val="000000"/>
          <w:kern w:val="0"/>
          <w:sz w:val="32"/>
          <w:szCs w:val="32"/>
        </w:rPr>
      </w:pPr>
      <w:r>
        <w:rPr>
          <w:rStyle w:val="9"/>
          <w:rFonts w:hint="eastAsia" w:ascii="仿宋" w:hAnsi="仿宋" w:eastAsia="仿宋" w:cs="Times New Roman"/>
          <w:b/>
          <w:bCs/>
          <w:color w:val="000000"/>
          <w:sz w:val="32"/>
          <w:szCs w:val="32"/>
        </w:rPr>
        <w:t>3.</w:t>
      </w:r>
      <w:r>
        <w:rPr>
          <w:rStyle w:val="9"/>
          <w:rFonts w:hint="eastAsia" w:ascii="仿宋" w:hAnsi="仿宋" w:eastAsia="仿宋" w:cs="仿宋"/>
          <w:b/>
          <w:bCs/>
          <w:color w:val="000000"/>
          <w:sz w:val="32"/>
          <w:szCs w:val="32"/>
        </w:rPr>
        <w:t>医疗卫生与计划生育</w:t>
      </w:r>
      <w:r>
        <w:rPr>
          <w:rStyle w:val="9"/>
          <w:rFonts w:hint="eastAsia" w:ascii="仿宋" w:hAnsi="仿宋" w:eastAsia="仿宋" w:cs="Times New Roman"/>
          <w:b/>
          <w:bCs/>
          <w:color w:val="000000"/>
          <w:sz w:val="32"/>
          <w:szCs w:val="32"/>
        </w:rPr>
        <w:t>2101102:</w:t>
      </w:r>
      <w:r>
        <w:rPr>
          <w:rFonts w:hint="eastAsia" w:ascii="仿宋_GB2312" w:hAnsi="Times New Roman" w:eastAsia="仿宋_GB2312" w:cs="仿宋_GB2312"/>
          <w:color w:val="000000"/>
          <w:kern w:val="0"/>
          <w:sz w:val="32"/>
          <w:szCs w:val="32"/>
        </w:rPr>
        <w:t>支出决算为</w:t>
      </w:r>
      <w:r>
        <w:rPr>
          <w:rFonts w:hint="eastAsia" w:ascii="仿宋_GB2312" w:eastAsia="仿宋_GB2312" w:cs="Times New Roman"/>
          <w:color w:val="000000"/>
          <w:kern w:val="0"/>
          <w:sz w:val="32"/>
          <w:szCs w:val="32"/>
          <w:lang w:val="en-US" w:eastAsia="zh-CN"/>
        </w:rPr>
        <w:t>188.98</w:t>
      </w:r>
      <w:r>
        <w:rPr>
          <w:rFonts w:hint="eastAsia" w:ascii="仿宋_GB2312" w:hAnsi="Times New Roman" w:eastAsia="仿宋_GB2312" w:cs="仿宋_GB2312"/>
          <w:color w:val="000000"/>
          <w:kern w:val="0"/>
          <w:sz w:val="32"/>
          <w:szCs w:val="32"/>
        </w:rPr>
        <w:t>万元，完成预算</w:t>
      </w:r>
      <w:r>
        <w:rPr>
          <w:rFonts w:hint="eastAsia" w:ascii="仿宋_GB2312" w:hAnsi="Times New Roman" w:eastAsia="仿宋_GB2312" w:cs="Times New Roman"/>
          <w:color w:val="000000"/>
          <w:kern w:val="0"/>
          <w:sz w:val="32"/>
          <w:szCs w:val="32"/>
        </w:rPr>
        <w:t>100%，</w:t>
      </w:r>
      <w:r>
        <w:rPr>
          <w:rStyle w:val="9"/>
          <w:rFonts w:hint="eastAsia" w:ascii="仿宋" w:hAnsi="仿宋" w:eastAsia="仿宋" w:cs="Times New Roman"/>
          <w:b/>
          <w:bCs/>
          <w:color w:val="000000"/>
          <w:sz w:val="32"/>
          <w:szCs w:val="32"/>
        </w:rPr>
        <w:t>2101199:</w:t>
      </w:r>
      <w:r>
        <w:rPr>
          <w:rFonts w:hint="eastAsia" w:ascii="仿宋_GB2312" w:hAnsi="Times New Roman" w:eastAsia="仿宋_GB2312" w:cs="仿宋_GB2312"/>
          <w:color w:val="000000"/>
          <w:kern w:val="0"/>
          <w:sz w:val="32"/>
          <w:szCs w:val="32"/>
        </w:rPr>
        <w:t>支出决算为</w:t>
      </w:r>
      <w:r>
        <w:rPr>
          <w:rFonts w:hint="eastAsia" w:ascii="仿宋_GB2312" w:eastAsia="仿宋_GB2312" w:cs="Times New Roman"/>
          <w:color w:val="000000"/>
          <w:kern w:val="0"/>
          <w:sz w:val="32"/>
          <w:szCs w:val="32"/>
          <w:lang w:val="en-US" w:eastAsia="zh-CN"/>
        </w:rPr>
        <w:t>36.16</w:t>
      </w:r>
      <w:r>
        <w:rPr>
          <w:rFonts w:hint="eastAsia" w:ascii="仿宋_GB2312" w:hAnsi="Times New Roman" w:eastAsia="仿宋_GB2312" w:cs="仿宋_GB2312"/>
          <w:color w:val="000000"/>
          <w:kern w:val="0"/>
          <w:sz w:val="32"/>
          <w:szCs w:val="32"/>
        </w:rPr>
        <w:t>万元，完成预算</w:t>
      </w:r>
      <w:r>
        <w:rPr>
          <w:rFonts w:hint="eastAsia" w:ascii="仿宋_GB2312" w:hAnsi="Times New Roman" w:eastAsia="仿宋_GB2312" w:cs="Times New Roman"/>
          <w:color w:val="000000"/>
          <w:kern w:val="0"/>
          <w:sz w:val="32"/>
          <w:szCs w:val="32"/>
        </w:rPr>
        <w:t>100%。</w:t>
      </w:r>
    </w:p>
    <w:p>
      <w:pPr>
        <w:keepNext w:val="0"/>
        <w:keepLines w:val="0"/>
        <w:widowControl/>
        <w:suppressLineNumbers w:val="0"/>
        <w:spacing w:line="360" w:lineRule="auto"/>
        <w:ind w:left="0" w:firstLine="640" w:firstLineChars="200"/>
        <w:rPr>
          <w:rFonts w:hint="eastAsia" w:ascii="仿宋_GB2312" w:hAnsi="Times New Roman" w:eastAsia="仿宋_GB2312" w:cs="Times New Roman"/>
          <w:color w:val="000000"/>
          <w:kern w:val="0"/>
          <w:sz w:val="32"/>
          <w:szCs w:val="32"/>
        </w:rPr>
      </w:pPr>
      <w:r>
        <w:rPr>
          <w:rStyle w:val="9"/>
          <w:rFonts w:hint="eastAsia" w:ascii="仿宋" w:hAnsi="仿宋" w:eastAsia="仿宋" w:cs="Times New Roman"/>
          <w:b w:val="0"/>
          <w:bCs w:val="0"/>
          <w:color w:val="000000"/>
          <w:sz w:val="32"/>
          <w:szCs w:val="32"/>
        </w:rPr>
        <w:t>4.</w:t>
      </w:r>
      <w:r>
        <w:rPr>
          <w:rStyle w:val="9"/>
          <w:rFonts w:hint="eastAsia" w:ascii="仿宋" w:hAnsi="仿宋" w:eastAsia="仿宋" w:cs="仿宋"/>
          <w:b/>
          <w:bCs/>
          <w:color w:val="000000"/>
          <w:sz w:val="32"/>
          <w:szCs w:val="32"/>
        </w:rPr>
        <w:t>住房保障</w:t>
      </w:r>
      <w:r>
        <w:rPr>
          <w:rStyle w:val="9"/>
          <w:rFonts w:hint="eastAsia" w:ascii="仿宋" w:hAnsi="仿宋" w:eastAsia="仿宋" w:cs="Times New Roman"/>
          <w:b/>
          <w:bCs/>
          <w:color w:val="000000"/>
          <w:sz w:val="32"/>
          <w:szCs w:val="32"/>
        </w:rPr>
        <w:t>2210201</w:t>
      </w:r>
      <w:r>
        <w:rPr>
          <w:rStyle w:val="9"/>
          <w:rFonts w:hint="eastAsia" w:ascii="仿宋" w:hAnsi="仿宋" w:eastAsia="仿宋" w:cs="仿宋"/>
          <w:b w:val="0"/>
          <w:bCs w:val="0"/>
          <w:color w:val="000000"/>
          <w:sz w:val="32"/>
          <w:szCs w:val="32"/>
        </w:rPr>
        <w:t>：</w:t>
      </w:r>
      <w:r>
        <w:rPr>
          <w:rFonts w:hint="eastAsia" w:ascii="仿宋_GB2312" w:hAnsi="Times New Roman" w:eastAsia="仿宋_GB2312" w:cs="仿宋_GB2312"/>
          <w:color w:val="000000"/>
          <w:kern w:val="0"/>
          <w:sz w:val="32"/>
          <w:szCs w:val="32"/>
        </w:rPr>
        <w:t>支出决算为</w:t>
      </w:r>
      <w:r>
        <w:rPr>
          <w:rFonts w:hint="eastAsia" w:ascii="仿宋_GB2312" w:hAnsi="Times New Roman" w:eastAsia="仿宋_GB2312" w:cs="Times New Roman"/>
          <w:color w:val="000000"/>
          <w:kern w:val="0"/>
          <w:sz w:val="32"/>
          <w:szCs w:val="32"/>
        </w:rPr>
        <w:t>:</w:t>
      </w:r>
      <w:r>
        <w:rPr>
          <w:rFonts w:hint="eastAsia" w:ascii="仿宋_GB2312" w:eastAsia="仿宋_GB2312" w:cs="Times New Roman"/>
          <w:color w:val="000000"/>
          <w:kern w:val="0"/>
          <w:sz w:val="32"/>
          <w:szCs w:val="32"/>
          <w:lang w:val="en-US" w:eastAsia="zh-CN"/>
        </w:rPr>
        <w:t>329.74</w:t>
      </w:r>
      <w:r>
        <w:rPr>
          <w:rFonts w:hint="eastAsia" w:ascii="仿宋_GB2312" w:hAnsi="Times New Roman" w:eastAsia="仿宋_GB2312" w:cs="仿宋_GB2312"/>
          <w:color w:val="000000"/>
          <w:kern w:val="0"/>
          <w:sz w:val="32"/>
          <w:szCs w:val="32"/>
        </w:rPr>
        <w:t>万元，完成预算</w:t>
      </w:r>
      <w:r>
        <w:rPr>
          <w:rFonts w:hint="eastAsia" w:ascii="仿宋_GB2312" w:hAnsi="Times New Roman" w:eastAsia="仿宋_GB2312" w:cs="Times New Roman"/>
          <w:color w:val="000000"/>
          <w:kern w:val="0"/>
          <w:sz w:val="32"/>
          <w:szCs w:val="32"/>
        </w:rPr>
        <w:t>100%</w:t>
      </w:r>
      <w:r>
        <w:rPr>
          <w:rFonts w:hint="eastAsia" w:ascii="仿宋_GB2312" w:hAnsi="Times New Roman" w:eastAsia="仿宋_GB2312" w:cs="仿宋_GB2312"/>
          <w:color w:val="000000"/>
          <w:kern w:val="0"/>
          <w:sz w:val="32"/>
          <w:szCs w:val="32"/>
        </w:rPr>
        <w:t>。</w:t>
      </w:r>
    </w:p>
    <w:p>
      <w:pPr>
        <w:keepNext w:val="0"/>
        <w:keepLines w:val="0"/>
        <w:widowControl/>
        <w:suppressLineNumbers w:val="0"/>
        <w:spacing w:line="360" w:lineRule="auto"/>
        <w:ind w:left="0" w:firstLine="640" w:firstLineChars="200"/>
        <w:rPr>
          <w:rFonts w:hint="eastAsia" w:ascii="黑体" w:hAnsi="宋体" w:eastAsia="黑体" w:cs="Times New Roman"/>
          <w:b w:val="0"/>
          <w:bCs w:val="0"/>
          <w:kern w:val="2"/>
          <w:sz w:val="32"/>
          <w:szCs w:val="32"/>
        </w:rPr>
      </w:pPr>
      <w:r>
        <w:rPr>
          <w:rStyle w:val="10"/>
          <w:rFonts w:hint="eastAsia" w:ascii="黑体" w:hAnsi="宋体" w:eastAsia="黑体" w:cs="黑体"/>
          <w:b w:val="0"/>
          <w:bCs w:val="0"/>
          <w:kern w:val="2"/>
          <w:sz w:val="32"/>
          <w:szCs w:val="32"/>
        </w:rPr>
        <w:t>六、一般公共预算财政拨款基本支出决算情况说明</w:t>
      </w:r>
      <w:r>
        <w:rPr>
          <w:rStyle w:val="10"/>
          <w:rFonts w:hint="eastAsia" w:ascii="黑体" w:hAnsi="宋体" w:eastAsia="黑体" w:cs="Times New Roman"/>
          <w:b w:val="0"/>
          <w:bCs w:val="0"/>
          <w:kern w:val="2"/>
          <w:sz w:val="32"/>
          <w:szCs w:val="32"/>
        </w:rPr>
        <w:t xml:space="preserve">      </w:t>
      </w:r>
    </w:p>
    <w:p>
      <w:pPr>
        <w:pStyle w:val="3"/>
        <w:keepNext w:val="0"/>
        <w:keepLines w:val="0"/>
        <w:widowControl w:val="0"/>
        <w:suppressLineNumbers w:val="0"/>
        <w:adjustRightInd w:val="0"/>
        <w:snapToGrid w:val="0"/>
        <w:spacing w:before="0" w:beforeLines="30" w:beforeAutospacing="0" w:after="0" w:afterAutospacing="1" w:line="560" w:lineRule="exact"/>
        <w:ind w:left="0" w:leftChars="0" w:right="0" w:rightChars="0" w:firstLine="672" w:firstLineChars="210"/>
        <w:jc w:val="left"/>
        <w:rPr>
          <w:rFonts w:hint="eastAsia" w:ascii="仿宋_GB2312" w:hAnsi="宋体" w:eastAsia="仿宋_GB2312" w:cs="仿宋_GB2312"/>
          <w:color w:val="000000"/>
          <w:kern w:val="0"/>
          <w:sz w:val="32"/>
          <w:szCs w:val="32"/>
          <w:lang w:eastAsia="zh-CN"/>
        </w:rPr>
      </w:pPr>
      <w:r>
        <w:rPr>
          <w:rFonts w:hint="eastAsia" w:ascii="仿宋_GB2312" w:hAnsi="宋体" w:eastAsia="仿宋_GB2312" w:cs="仿宋_GB2312"/>
          <w:color w:val="000000"/>
          <w:kern w:val="0"/>
          <w:sz w:val="32"/>
          <w:szCs w:val="32"/>
        </w:rPr>
        <w:t>202</w:t>
      </w:r>
      <w:r>
        <w:rPr>
          <w:rFonts w:hint="eastAsia" w:cs="仿宋_GB2312"/>
          <w:color w:val="000000"/>
          <w:kern w:val="0"/>
          <w:sz w:val="32"/>
          <w:szCs w:val="32"/>
          <w:lang w:val="en-US" w:eastAsia="zh-CN"/>
        </w:rPr>
        <w:t>5</w:t>
      </w:r>
      <w:r>
        <w:rPr>
          <w:rFonts w:hint="eastAsia" w:ascii="仿宋_GB2312" w:hAnsi="宋体" w:eastAsia="仿宋_GB2312" w:cs="仿宋_GB2312"/>
          <w:color w:val="000000"/>
          <w:kern w:val="0"/>
          <w:sz w:val="32"/>
          <w:szCs w:val="32"/>
        </w:rPr>
        <w:t>年一般公共预算财政拨款基本支出</w:t>
      </w:r>
      <w:r>
        <w:rPr>
          <w:rFonts w:hint="eastAsia" w:cs="仿宋_GB2312"/>
          <w:color w:val="000000"/>
          <w:kern w:val="0"/>
          <w:sz w:val="32"/>
          <w:szCs w:val="32"/>
          <w:lang w:val="en-US" w:eastAsia="zh-CN"/>
        </w:rPr>
        <w:t>5040.82</w:t>
      </w:r>
      <w:r>
        <w:rPr>
          <w:rFonts w:hint="eastAsia" w:ascii="仿宋_GB2312" w:hAnsi="宋体" w:eastAsia="仿宋_GB2312" w:cs="仿宋_GB2312"/>
          <w:color w:val="000000"/>
          <w:kern w:val="0"/>
          <w:sz w:val="32"/>
          <w:szCs w:val="32"/>
        </w:rPr>
        <w:t>万元，其中：人员经费</w:t>
      </w:r>
      <w:r>
        <w:rPr>
          <w:rFonts w:hint="eastAsia" w:cs="仿宋_GB2312"/>
          <w:color w:val="000000"/>
          <w:kern w:val="0"/>
          <w:sz w:val="32"/>
          <w:szCs w:val="32"/>
          <w:lang w:val="en-US" w:eastAsia="zh-CN"/>
        </w:rPr>
        <w:t>4175.28</w:t>
      </w:r>
      <w:r>
        <w:rPr>
          <w:rFonts w:hint="eastAsia" w:ascii="仿宋_GB2312" w:hAnsi="宋体" w:eastAsia="仿宋_GB2312" w:cs="仿宋_GB2312"/>
          <w:color w:val="000000"/>
          <w:kern w:val="0"/>
          <w:sz w:val="32"/>
          <w:szCs w:val="32"/>
        </w:rPr>
        <w:t>万元，主要包括：基本工资、津贴补贴、奖金、伙食补助费、绩效工资、机关事业单位基本养老保险缴费、职业年金缴费、其他社会保障缴费、其他工资福利支出、离休费、退休费、抚恤金、生活补助、医疗费补助、奖励金、住房公积金、其他对个人和家庭的补助支出等。</w:t>
      </w:r>
    </w:p>
    <w:p>
      <w:pPr>
        <w:pStyle w:val="3"/>
        <w:keepNext w:val="0"/>
        <w:keepLines w:val="0"/>
        <w:widowControl w:val="0"/>
        <w:suppressLineNumbers w:val="0"/>
        <w:adjustRightInd w:val="0"/>
        <w:snapToGrid w:val="0"/>
        <w:spacing w:before="0" w:beforeLines="30" w:beforeAutospacing="0" w:after="0" w:afterAutospacing="1" w:line="560" w:lineRule="exact"/>
        <w:ind w:left="0" w:leftChars="0" w:right="0" w:rightChars="0" w:firstLine="672" w:firstLineChars="210"/>
        <w:jc w:val="left"/>
        <w:rPr>
          <w:rFonts w:hint="eastAsia" w:ascii="仿宋_GB2312" w:hAnsi="宋体" w:eastAsia="仿宋_GB2312" w:cs="仿宋_GB2312"/>
          <w:color w:val="000000"/>
          <w:kern w:val="0"/>
          <w:sz w:val="32"/>
          <w:szCs w:val="32"/>
        </w:rPr>
      </w:pPr>
      <w:r>
        <w:rPr>
          <w:rFonts w:hint="eastAsia" w:ascii="仿宋_GB2312" w:hAnsi="宋体" w:eastAsia="仿宋_GB2312" w:cs="仿宋_GB2312"/>
          <w:color w:val="000000"/>
          <w:kern w:val="0"/>
          <w:sz w:val="32"/>
          <w:szCs w:val="32"/>
        </w:rPr>
        <w:t xml:space="preserve"> 日常公用经费</w:t>
      </w:r>
      <w:r>
        <w:rPr>
          <w:rFonts w:hint="eastAsia" w:cs="仿宋_GB2312"/>
          <w:color w:val="000000"/>
          <w:kern w:val="0"/>
          <w:sz w:val="32"/>
          <w:szCs w:val="32"/>
          <w:lang w:val="en-US" w:eastAsia="zh-CN"/>
        </w:rPr>
        <w:t>115.68</w:t>
      </w:r>
      <w:r>
        <w:rPr>
          <w:rFonts w:hint="eastAsia" w:ascii="仿宋_GB2312" w:hAnsi="宋体" w:eastAsia="仿宋_GB2312" w:cs="仿宋_GB2312"/>
          <w:color w:val="000000"/>
          <w:kern w:val="0"/>
          <w:sz w:val="32"/>
          <w:szCs w:val="32"/>
        </w:rPr>
        <w:t>万元，主要包括：办公费、印刷费、咨询费、手续费、水费、电费、邮电费、取暖费、物业管理费、差旅费、因公出国 （境）费用、维修（护）费、租赁费、会议费、培训费、公务接待费、劳务费、委托业务费、工会经费、福利费、公务用车运行维护费、其他交通费、税金及附加费 用、其他商品和服务支出、办公设备购置、专用设备购置、信息网络及软件购置更新、其他资本性支出等。</w:t>
      </w:r>
    </w:p>
    <w:p>
      <w:pPr>
        <w:pStyle w:val="2"/>
        <w:keepNext/>
        <w:keepLines/>
        <w:widowControl w:val="0"/>
        <w:suppressLineNumbers w:val="0"/>
        <w:spacing w:before="260" w:beforeAutospacing="0" w:after="260" w:afterAutospacing="0" w:line="408" w:lineRule="auto"/>
        <w:ind w:left="0" w:right="0"/>
        <w:jc w:val="both"/>
        <w:outlineLvl w:val="1"/>
        <w:rPr>
          <w:rFonts w:hint="eastAsia" w:ascii="黑体" w:hAnsi="宋体" w:eastAsia="黑体" w:cs="Times New Roman"/>
          <w:b w:val="0"/>
          <w:bCs w:val="0"/>
          <w:kern w:val="2"/>
          <w:sz w:val="32"/>
          <w:szCs w:val="32"/>
        </w:rPr>
      </w:pPr>
      <w:r>
        <w:rPr>
          <w:rStyle w:val="10"/>
          <w:rFonts w:hint="eastAsia" w:ascii="黑体" w:hAnsi="宋体" w:eastAsia="黑体" w:cs="黑体"/>
          <w:b w:val="0"/>
          <w:bCs w:val="0"/>
          <w:kern w:val="2"/>
          <w:sz w:val="32"/>
          <w:szCs w:val="32"/>
        </w:rPr>
        <w:t>七、</w:t>
      </w:r>
      <w:r>
        <w:rPr>
          <w:rStyle w:val="10"/>
          <w:rFonts w:hint="eastAsia" w:ascii="黑体" w:hAnsi="宋体" w:eastAsia="黑体" w:cs="Times New Roman"/>
          <w:b w:val="0"/>
          <w:bCs w:val="0"/>
          <w:kern w:val="2"/>
          <w:sz w:val="32"/>
          <w:szCs w:val="32"/>
        </w:rPr>
        <w:t>“三公”经费财政拨款支出决算情况说明</w:t>
      </w:r>
    </w:p>
    <w:p>
      <w:pPr>
        <w:pStyle w:val="2"/>
        <w:keepNext/>
        <w:keepLines/>
        <w:widowControl w:val="0"/>
        <w:suppressLineNumbers w:val="0"/>
        <w:spacing w:before="260" w:beforeAutospacing="0" w:after="260" w:afterAutospacing="0" w:line="408" w:lineRule="auto"/>
        <w:ind w:left="0" w:right="0"/>
        <w:jc w:val="both"/>
        <w:outlineLvl w:val="1"/>
        <w:rPr>
          <w:rFonts w:hint="eastAsia" w:ascii="黑体" w:hAnsi="宋体" w:eastAsia="黑体" w:cs="Times New Roman"/>
          <w:b w:val="0"/>
          <w:bCs w:val="0"/>
          <w:kern w:val="2"/>
          <w:sz w:val="32"/>
          <w:szCs w:val="32"/>
        </w:rPr>
      </w:pPr>
      <w:r>
        <w:rPr>
          <w:rStyle w:val="10"/>
          <w:rFonts w:hint="eastAsia" w:ascii="黑体" w:hAnsi="宋体" w:eastAsia="黑体" w:cs="黑体"/>
          <w:b w:val="0"/>
          <w:bCs w:val="0"/>
          <w:kern w:val="2"/>
          <w:sz w:val="32"/>
          <w:szCs w:val="32"/>
        </w:rPr>
        <w:t>（一）</w:t>
      </w:r>
      <w:r>
        <w:rPr>
          <w:rStyle w:val="10"/>
          <w:rFonts w:hint="eastAsia" w:ascii="黑体" w:hAnsi="宋体" w:eastAsia="黑体" w:cs="Times New Roman"/>
          <w:b w:val="0"/>
          <w:bCs w:val="0"/>
          <w:kern w:val="2"/>
          <w:sz w:val="32"/>
          <w:szCs w:val="32"/>
        </w:rPr>
        <w:t>“三公”经费财政拨款支出决算总体情况说明</w:t>
      </w:r>
    </w:p>
    <w:p>
      <w:pPr>
        <w:pStyle w:val="3"/>
        <w:keepNext w:val="0"/>
        <w:keepLines w:val="0"/>
        <w:widowControl w:val="0"/>
        <w:suppressLineNumbers w:val="0"/>
        <w:adjustRightInd w:val="0"/>
        <w:snapToGrid w:val="0"/>
        <w:spacing w:before="0" w:beforeLines="30" w:beforeAutospacing="0" w:after="0" w:afterAutospacing="1" w:line="560" w:lineRule="exact"/>
        <w:ind w:left="0" w:leftChars="0" w:right="0" w:rightChars="0" w:firstLine="672" w:firstLineChars="210"/>
        <w:jc w:val="left"/>
        <w:rPr>
          <w:rFonts w:hint="eastAsia" w:ascii="仿宋_GB2312" w:hAnsi="宋体" w:eastAsia="仿宋_GB2312" w:cs="仿宋_GB2312"/>
          <w:color w:val="000000"/>
          <w:kern w:val="0"/>
          <w:sz w:val="32"/>
          <w:szCs w:val="32"/>
        </w:rPr>
      </w:pPr>
      <w:r>
        <w:rPr>
          <w:rFonts w:hint="eastAsia" w:ascii="仿宋_GB2312" w:hAnsi="宋体" w:eastAsia="仿宋_GB2312" w:cs="仿宋_GB2312"/>
          <w:color w:val="000000"/>
          <w:kern w:val="0"/>
          <w:sz w:val="32"/>
          <w:szCs w:val="32"/>
        </w:rPr>
        <w:t xml:space="preserve"> 202</w:t>
      </w:r>
      <w:r>
        <w:rPr>
          <w:rFonts w:hint="eastAsia" w:cs="仿宋_GB2312"/>
          <w:color w:val="000000"/>
          <w:kern w:val="0"/>
          <w:sz w:val="32"/>
          <w:szCs w:val="32"/>
          <w:lang w:val="en-US" w:eastAsia="zh-CN"/>
        </w:rPr>
        <w:t>5</w:t>
      </w:r>
      <w:r>
        <w:rPr>
          <w:rFonts w:hint="eastAsia" w:ascii="仿宋_GB2312" w:hAnsi="宋体" w:eastAsia="仿宋_GB2312" w:cs="仿宋_GB2312"/>
          <w:color w:val="000000"/>
          <w:kern w:val="0"/>
          <w:sz w:val="32"/>
          <w:szCs w:val="32"/>
        </w:rPr>
        <w:t>年“三公”经费财政拨款支出决算为</w:t>
      </w:r>
      <w:r>
        <w:rPr>
          <w:rFonts w:hint="eastAsia" w:cs="仿宋_GB2312"/>
          <w:color w:val="000000"/>
          <w:kern w:val="0"/>
          <w:sz w:val="32"/>
          <w:szCs w:val="32"/>
          <w:lang w:val="en-US" w:eastAsia="zh-CN"/>
        </w:rPr>
        <w:t>0</w:t>
      </w:r>
      <w:r>
        <w:rPr>
          <w:rFonts w:hint="eastAsia" w:ascii="仿宋_GB2312" w:hAnsi="宋体" w:eastAsia="仿宋_GB2312" w:cs="仿宋_GB2312"/>
          <w:color w:val="000000"/>
          <w:kern w:val="0"/>
          <w:sz w:val="32"/>
          <w:szCs w:val="32"/>
        </w:rPr>
        <w:t>万元，完成预算0.00%。</w:t>
      </w:r>
    </w:p>
    <w:p>
      <w:pPr>
        <w:pStyle w:val="2"/>
        <w:keepNext/>
        <w:keepLines/>
        <w:widowControl w:val="0"/>
        <w:suppressLineNumbers w:val="0"/>
        <w:spacing w:before="260" w:beforeAutospacing="0" w:after="260" w:afterAutospacing="0" w:line="408" w:lineRule="auto"/>
        <w:ind w:left="0" w:right="0"/>
        <w:jc w:val="both"/>
        <w:outlineLvl w:val="1"/>
        <w:rPr>
          <w:rFonts w:hint="eastAsia" w:ascii="黑体" w:hAnsi="宋体" w:eastAsia="黑体" w:cs="Times New Roman"/>
          <w:b w:val="0"/>
          <w:bCs w:val="0"/>
          <w:kern w:val="2"/>
          <w:sz w:val="32"/>
          <w:szCs w:val="32"/>
        </w:rPr>
      </w:pPr>
      <w:r>
        <w:rPr>
          <w:rStyle w:val="10"/>
          <w:rFonts w:hint="eastAsia" w:ascii="黑体" w:hAnsi="宋体" w:eastAsia="黑体" w:cs="黑体"/>
          <w:b w:val="0"/>
          <w:bCs w:val="0"/>
          <w:kern w:val="2"/>
          <w:sz w:val="32"/>
          <w:szCs w:val="32"/>
        </w:rPr>
        <w:t>（二）</w:t>
      </w:r>
      <w:r>
        <w:rPr>
          <w:rStyle w:val="10"/>
          <w:rFonts w:hint="eastAsia" w:ascii="黑体" w:hAnsi="宋体" w:eastAsia="黑体" w:cs="Times New Roman"/>
          <w:b w:val="0"/>
          <w:bCs w:val="0"/>
          <w:kern w:val="2"/>
          <w:sz w:val="32"/>
          <w:szCs w:val="32"/>
        </w:rPr>
        <w:t>“三公”经费财政拨款支出决算具体情况说明</w:t>
      </w:r>
    </w:p>
    <w:p>
      <w:pPr>
        <w:pStyle w:val="3"/>
        <w:keepNext w:val="0"/>
        <w:keepLines w:val="0"/>
        <w:widowControl w:val="0"/>
        <w:suppressLineNumbers w:val="0"/>
        <w:adjustRightInd w:val="0"/>
        <w:snapToGrid w:val="0"/>
        <w:spacing w:before="0" w:beforeLines="30" w:beforeAutospacing="0" w:after="0" w:afterAutospacing="1" w:line="560" w:lineRule="exact"/>
        <w:ind w:left="0" w:leftChars="0" w:right="0" w:rightChars="0" w:firstLine="672" w:firstLineChars="210"/>
        <w:jc w:val="left"/>
        <w:rPr>
          <w:rFonts w:hint="eastAsia" w:ascii="仿宋_GB2312" w:hAnsi="宋体" w:eastAsia="仿宋_GB2312" w:cs="仿宋_GB2312"/>
          <w:color w:val="000000"/>
          <w:kern w:val="0"/>
          <w:sz w:val="32"/>
          <w:szCs w:val="32"/>
        </w:rPr>
      </w:pPr>
      <w:r>
        <w:rPr>
          <w:rFonts w:hint="eastAsia" w:ascii="仿宋_GB2312" w:hAnsi="宋体" w:eastAsia="仿宋_GB2312" w:cs="仿宋_GB2312"/>
          <w:color w:val="000000"/>
          <w:kern w:val="0"/>
          <w:sz w:val="32"/>
          <w:szCs w:val="32"/>
        </w:rPr>
        <w:t xml:space="preserve"> 202</w:t>
      </w:r>
      <w:r>
        <w:rPr>
          <w:rFonts w:hint="eastAsia" w:cs="仿宋_GB2312"/>
          <w:color w:val="000000"/>
          <w:kern w:val="0"/>
          <w:sz w:val="32"/>
          <w:szCs w:val="32"/>
          <w:lang w:val="en-US" w:eastAsia="zh-CN"/>
        </w:rPr>
        <w:t>5</w:t>
      </w:r>
      <w:r>
        <w:rPr>
          <w:rFonts w:hint="eastAsia" w:ascii="仿宋_GB2312" w:hAnsi="宋体" w:eastAsia="仿宋_GB2312" w:cs="仿宋_GB2312"/>
          <w:color w:val="000000"/>
          <w:kern w:val="0"/>
          <w:sz w:val="32"/>
          <w:szCs w:val="32"/>
        </w:rPr>
        <w:t>年“三公”经费财政拨款支出决算中，因公出国（境）费支出决算0.00万元，占 0.00%；公务用车购置及运行维护费支出决算</w:t>
      </w:r>
      <w:r>
        <w:rPr>
          <w:rFonts w:hint="eastAsia" w:cs="仿宋_GB2312"/>
          <w:color w:val="000000"/>
          <w:kern w:val="0"/>
          <w:sz w:val="32"/>
          <w:szCs w:val="32"/>
          <w:lang w:val="en-US" w:eastAsia="zh-CN"/>
        </w:rPr>
        <w:t>0</w:t>
      </w:r>
      <w:r>
        <w:rPr>
          <w:rFonts w:hint="eastAsia" w:ascii="仿宋_GB2312" w:hAnsi="宋体" w:eastAsia="仿宋_GB2312" w:cs="仿宋_GB2312"/>
          <w:color w:val="000000"/>
          <w:kern w:val="0"/>
          <w:sz w:val="32"/>
          <w:szCs w:val="32"/>
        </w:rPr>
        <w:t xml:space="preserve">万元，占 </w:t>
      </w:r>
      <w:r>
        <w:rPr>
          <w:rFonts w:hint="eastAsia" w:cs="仿宋_GB2312"/>
          <w:color w:val="000000"/>
          <w:kern w:val="0"/>
          <w:sz w:val="32"/>
          <w:szCs w:val="32"/>
          <w:lang w:val="en-US" w:eastAsia="zh-CN"/>
        </w:rPr>
        <w:t>0.00</w:t>
      </w:r>
      <w:r>
        <w:rPr>
          <w:rFonts w:hint="eastAsia" w:ascii="仿宋_GB2312" w:hAnsi="宋体" w:eastAsia="仿宋_GB2312" w:cs="仿宋_GB2312"/>
          <w:color w:val="000000"/>
          <w:kern w:val="0"/>
          <w:sz w:val="32"/>
          <w:szCs w:val="32"/>
        </w:rPr>
        <w:t xml:space="preserve">%；公务接待费支出决算0万元，占 </w:t>
      </w:r>
      <w:r>
        <w:rPr>
          <w:rFonts w:hint="eastAsia" w:cs="仿宋_GB2312"/>
          <w:color w:val="000000"/>
          <w:kern w:val="0"/>
          <w:sz w:val="32"/>
          <w:szCs w:val="32"/>
          <w:lang w:val="en-US" w:eastAsia="zh-CN"/>
        </w:rPr>
        <w:t>0.00</w:t>
      </w:r>
      <w:r>
        <w:rPr>
          <w:rFonts w:hint="eastAsia" w:ascii="仿宋_GB2312" w:hAnsi="宋体" w:eastAsia="仿宋_GB2312" w:cs="仿宋_GB2312"/>
          <w:color w:val="000000"/>
          <w:kern w:val="0"/>
          <w:sz w:val="32"/>
          <w:szCs w:val="32"/>
        </w:rPr>
        <w:t>%。具体情况如下：</w:t>
      </w:r>
    </w:p>
    <w:p>
      <w:pPr>
        <w:pStyle w:val="8"/>
        <w:keepNext w:val="0"/>
        <w:keepLines w:val="0"/>
        <w:widowControl/>
        <w:suppressLineNumbers w:val="0"/>
        <w:spacing w:before="0" w:beforeAutospacing="0"/>
        <w:ind w:left="0"/>
        <w:jc w:val="center"/>
        <w:rPr>
          <w:rFonts w:hint="eastAsia" w:ascii="仿宋_GB2312" w:hAnsi="宋体" w:eastAsia="仿宋_GB2312" w:cs="仿宋_GB2312"/>
          <w:color w:val="000000"/>
          <w:kern w:val="0"/>
          <w:sz w:val="32"/>
          <w:szCs w:val="32"/>
        </w:rPr>
      </w:pPr>
      <w:r>
        <w:rPr>
          <w:rFonts w:hint="eastAsia" w:ascii="宋体" w:hAnsi="宋体" w:eastAsia="宋体" w:cs="宋体"/>
          <w:kern w:val="0"/>
          <w:sz w:val="24"/>
          <w:szCs w:val="24"/>
          <w:shd w:val="clear" w:fill="FFFFFF"/>
        </w:rPr>
        <w:t xml:space="preserve"> </w:t>
      </w:r>
      <w:r>
        <w:rPr>
          <w:rFonts w:hint="eastAsia" w:ascii="仿宋_GB2312" w:hAnsi="宋体" w:eastAsia="仿宋_GB2312" w:cs="仿宋_GB2312"/>
          <w:color w:val="000000"/>
          <w:kern w:val="0"/>
          <w:sz w:val="32"/>
          <w:szCs w:val="32"/>
        </w:rPr>
        <w:t>1.因公出国（境）经费支出0.00万元，完成预算0.00%。全年安排因公出国（境）团组0个，出国（境）0人。因公出国（境）支出决算比202</w:t>
      </w:r>
      <w:r>
        <w:rPr>
          <w:rFonts w:hint="eastAsia" w:ascii="仿宋_GB2312" w:eastAsia="仿宋_GB2312" w:cs="仿宋_GB2312"/>
          <w:color w:val="000000"/>
          <w:kern w:val="0"/>
          <w:sz w:val="32"/>
          <w:szCs w:val="32"/>
          <w:lang w:val="en-US" w:eastAsia="zh-CN"/>
        </w:rPr>
        <w:t>4</w:t>
      </w:r>
      <w:r>
        <w:rPr>
          <w:rFonts w:hint="eastAsia" w:ascii="仿宋_GB2312" w:hAnsi="宋体" w:eastAsia="仿宋_GB2312" w:cs="仿宋_GB2312"/>
          <w:color w:val="000000"/>
          <w:kern w:val="0"/>
          <w:sz w:val="32"/>
          <w:szCs w:val="32"/>
        </w:rPr>
        <w:t>年增加 0.00万元，增长0.00%。</w:t>
      </w:r>
    </w:p>
    <w:p>
      <w:pPr>
        <w:pStyle w:val="3"/>
        <w:keepNext w:val="0"/>
        <w:keepLines w:val="0"/>
        <w:widowControl w:val="0"/>
        <w:suppressLineNumbers w:val="0"/>
        <w:adjustRightInd w:val="0"/>
        <w:snapToGrid w:val="0"/>
        <w:spacing w:before="0" w:beforeLines="30" w:beforeAutospacing="0" w:after="0" w:afterAutospacing="1" w:line="560" w:lineRule="exact"/>
        <w:ind w:left="0" w:right="0" w:rightChars="0" w:firstLine="320" w:firstLineChars="100"/>
        <w:jc w:val="left"/>
        <w:rPr>
          <w:rFonts w:hint="eastAsia" w:ascii="仿宋_GB2312" w:hAnsi="宋体" w:eastAsia="仿宋_GB2312" w:cs="仿宋_GB2312"/>
          <w:color w:val="000000"/>
          <w:kern w:val="0"/>
          <w:sz w:val="32"/>
          <w:szCs w:val="32"/>
        </w:rPr>
      </w:pPr>
      <w:r>
        <w:rPr>
          <w:rFonts w:hint="eastAsia" w:ascii="仿宋_GB2312" w:hAnsi="宋体" w:eastAsia="仿宋_GB2312" w:cs="仿宋_GB2312"/>
          <w:color w:val="000000"/>
          <w:kern w:val="0"/>
          <w:sz w:val="32"/>
          <w:szCs w:val="32"/>
        </w:rPr>
        <w:t>2.公务用车购置及运行维护费支出</w:t>
      </w:r>
      <w:r>
        <w:rPr>
          <w:rFonts w:hint="eastAsia" w:cs="仿宋_GB2312"/>
          <w:color w:val="000000"/>
          <w:kern w:val="0"/>
          <w:sz w:val="32"/>
          <w:szCs w:val="32"/>
          <w:lang w:val="en-US" w:eastAsia="zh-CN"/>
        </w:rPr>
        <w:t>0.00</w:t>
      </w:r>
      <w:r>
        <w:rPr>
          <w:rFonts w:hint="eastAsia" w:ascii="仿宋_GB2312" w:hAnsi="宋体" w:eastAsia="仿宋_GB2312" w:cs="仿宋_GB2312"/>
          <w:color w:val="000000"/>
          <w:kern w:val="0"/>
          <w:sz w:val="32"/>
          <w:szCs w:val="32"/>
        </w:rPr>
        <w:t>万元,完成预算0.00%。公务用车购置及运行维护费支出决算比20</w:t>
      </w:r>
      <w:r>
        <w:rPr>
          <w:rFonts w:hint="eastAsia" w:cs="仿宋_GB2312"/>
          <w:color w:val="000000"/>
          <w:kern w:val="0"/>
          <w:sz w:val="32"/>
          <w:szCs w:val="32"/>
          <w:lang w:val="en-US" w:eastAsia="zh-CN"/>
        </w:rPr>
        <w:t>24</w:t>
      </w:r>
      <w:r>
        <w:rPr>
          <w:rFonts w:hint="eastAsia" w:ascii="仿宋_GB2312" w:hAnsi="宋体" w:eastAsia="仿宋_GB2312" w:cs="仿宋_GB2312"/>
          <w:color w:val="000000"/>
          <w:kern w:val="0"/>
          <w:sz w:val="32"/>
          <w:szCs w:val="32"/>
        </w:rPr>
        <w:t>年减少0.</w:t>
      </w:r>
      <w:r>
        <w:rPr>
          <w:rFonts w:hint="eastAsia" w:cs="仿宋_GB2312"/>
          <w:color w:val="000000"/>
          <w:kern w:val="0"/>
          <w:sz w:val="32"/>
          <w:szCs w:val="32"/>
          <w:lang w:val="en-US" w:eastAsia="zh-CN"/>
        </w:rPr>
        <w:t>00</w:t>
      </w:r>
      <w:r>
        <w:rPr>
          <w:rFonts w:hint="eastAsia" w:ascii="仿宋_GB2312" w:hAnsi="宋体" w:eastAsia="仿宋_GB2312" w:cs="仿宋_GB2312"/>
          <w:color w:val="000000"/>
          <w:kern w:val="0"/>
          <w:sz w:val="32"/>
          <w:szCs w:val="32"/>
        </w:rPr>
        <w:t>万元，增长</w:t>
      </w:r>
      <w:r>
        <w:rPr>
          <w:rFonts w:hint="eastAsia" w:cs="仿宋_GB2312"/>
          <w:color w:val="000000"/>
          <w:kern w:val="0"/>
          <w:sz w:val="32"/>
          <w:szCs w:val="32"/>
          <w:lang w:val="en-US" w:eastAsia="zh-CN"/>
        </w:rPr>
        <w:t>0</w:t>
      </w:r>
      <w:r>
        <w:rPr>
          <w:rFonts w:hint="eastAsia" w:ascii="仿宋_GB2312" w:hAnsi="宋体" w:eastAsia="仿宋_GB2312" w:cs="仿宋_GB2312"/>
          <w:color w:val="000000"/>
          <w:kern w:val="0"/>
          <w:sz w:val="32"/>
          <w:szCs w:val="32"/>
        </w:rPr>
        <w:t>%。其中：公务用车购置支出0.00万元。全年按规定更新购置公务用车0辆，金额0.00万元。截至202</w:t>
      </w:r>
      <w:r>
        <w:rPr>
          <w:rFonts w:hint="eastAsia" w:cs="仿宋_GB2312"/>
          <w:color w:val="000000"/>
          <w:kern w:val="0"/>
          <w:sz w:val="32"/>
          <w:szCs w:val="32"/>
          <w:lang w:val="en-US" w:eastAsia="zh-CN"/>
        </w:rPr>
        <w:t>5</w:t>
      </w:r>
      <w:r>
        <w:rPr>
          <w:rFonts w:hint="eastAsia" w:ascii="仿宋_GB2312" w:hAnsi="宋体" w:eastAsia="仿宋_GB2312" w:cs="仿宋_GB2312"/>
          <w:color w:val="000000"/>
          <w:kern w:val="0"/>
          <w:sz w:val="32"/>
          <w:szCs w:val="32"/>
        </w:rPr>
        <w:t>年12月底，单位共有公务用车 1辆，其中：主要领导干部用车0辆、机要通信用车0辆、应急保障用车1辆、执法执勤用车0辆、特种专业技术用车0 辆、离退休干部用车0辆、其他用车0辆。</w:t>
      </w:r>
    </w:p>
    <w:p>
      <w:pPr>
        <w:pStyle w:val="3"/>
        <w:keepNext w:val="0"/>
        <w:keepLines w:val="0"/>
        <w:widowControl w:val="0"/>
        <w:suppressLineNumbers w:val="0"/>
        <w:adjustRightInd w:val="0"/>
        <w:snapToGrid w:val="0"/>
        <w:spacing w:before="0" w:beforeLines="30" w:beforeAutospacing="0" w:after="0" w:afterAutospacing="1" w:line="560" w:lineRule="exact"/>
        <w:ind w:left="0" w:leftChars="0" w:right="0" w:rightChars="0" w:firstLine="672" w:firstLineChars="210"/>
        <w:jc w:val="left"/>
        <w:rPr>
          <w:rFonts w:hint="eastAsia" w:ascii="仿宋_GB2312" w:hAnsi="宋体" w:eastAsia="仿宋_GB2312" w:cs="仿宋_GB2312"/>
          <w:color w:val="000000"/>
          <w:kern w:val="0"/>
          <w:sz w:val="32"/>
          <w:szCs w:val="32"/>
        </w:rPr>
      </w:pPr>
      <w:r>
        <w:rPr>
          <w:rFonts w:hint="eastAsia" w:ascii="仿宋_GB2312" w:hAnsi="宋体" w:eastAsia="仿宋_GB2312" w:cs="仿宋_GB2312"/>
          <w:color w:val="000000"/>
          <w:kern w:val="0"/>
          <w:sz w:val="32"/>
          <w:szCs w:val="32"/>
        </w:rPr>
        <w:t>公务用车运行维护费支出</w:t>
      </w:r>
      <w:r>
        <w:rPr>
          <w:rFonts w:hint="eastAsia" w:cs="仿宋_GB2312"/>
          <w:color w:val="000000"/>
          <w:kern w:val="0"/>
          <w:sz w:val="32"/>
          <w:szCs w:val="32"/>
          <w:lang w:val="en-US" w:eastAsia="zh-CN"/>
        </w:rPr>
        <w:t>0.00</w:t>
      </w:r>
      <w:r>
        <w:rPr>
          <w:rFonts w:hint="eastAsia" w:ascii="仿宋_GB2312" w:hAnsi="宋体" w:eastAsia="仿宋_GB2312" w:cs="仿宋_GB2312"/>
          <w:color w:val="000000"/>
          <w:kern w:val="0"/>
          <w:sz w:val="32"/>
          <w:szCs w:val="32"/>
        </w:rPr>
        <w:t>万元。主要用于公务用车燃料费、维修费、过路过桥费、保险费等支出。</w:t>
      </w:r>
    </w:p>
    <w:p>
      <w:pPr>
        <w:pStyle w:val="3"/>
        <w:keepNext w:val="0"/>
        <w:keepLines w:val="0"/>
        <w:widowControl w:val="0"/>
        <w:numPr>
          <w:ilvl w:val="0"/>
          <w:numId w:val="2"/>
        </w:numPr>
        <w:suppressLineNumbers w:val="0"/>
        <w:adjustRightInd w:val="0"/>
        <w:snapToGrid w:val="0"/>
        <w:spacing w:before="0" w:beforeLines="30" w:beforeAutospacing="0" w:after="0" w:afterAutospacing="1" w:line="560" w:lineRule="exact"/>
        <w:ind w:left="0" w:leftChars="0" w:right="0" w:rightChars="0" w:firstLine="672" w:firstLineChars="210"/>
        <w:jc w:val="left"/>
        <w:rPr>
          <w:rFonts w:hint="eastAsia" w:ascii="仿宋_GB2312" w:hAnsi="宋体" w:eastAsia="仿宋_GB2312" w:cs="仿宋_GB2312"/>
          <w:color w:val="000000"/>
          <w:kern w:val="0"/>
          <w:sz w:val="32"/>
          <w:szCs w:val="32"/>
        </w:rPr>
      </w:pPr>
      <w:r>
        <w:rPr>
          <w:rFonts w:hint="eastAsia" w:ascii="仿宋_GB2312" w:hAnsi="宋体" w:eastAsia="仿宋_GB2312" w:cs="仿宋_GB2312"/>
          <w:color w:val="000000"/>
          <w:kern w:val="0"/>
          <w:sz w:val="32"/>
          <w:szCs w:val="32"/>
        </w:rPr>
        <w:t>公务接待费支出</w:t>
      </w:r>
      <w:r>
        <w:rPr>
          <w:rFonts w:hint="eastAsia" w:cs="仿宋_GB2312"/>
          <w:color w:val="000000"/>
          <w:kern w:val="0"/>
          <w:sz w:val="32"/>
          <w:szCs w:val="32"/>
          <w:lang w:val="en-US" w:eastAsia="zh-CN"/>
        </w:rPr>
        <w:t>0</w:t>
      </w:r>
      <w:r>
        <w:rPr>
          <w:rFonts w:hint="eastAsia" w:ascii="仿宋_GB2312" w:hAnsi="宋体" w:eastAsia="仿宋_GB2312" w:cs="仿宋_GB2312"/>
          <w:color w:val="000000"/>
          <w:kern w:val="0"/>
          <w:sz w:val="32"/>
          <w:szCs w:val="32"/>
        </w:rPr>
        <w:t>万元，完成预算</w:t>
      </w:r>
      <w:r>
        <w:rPr>
          <w:rFonts w:hint="eastAsia" w:cs="仿宋_GB2312"/>
          <w:color w:val="000000"/>
          <w:kern w:val="0"/>
          <w:sz w:val="32"/>
          <w:szCs w:val="32"/>
          <w:lang w:val="en-US" w:eastAsia="zh-CN"/>
        </w:rPr>
        <w:t>0.0</w:t>
      </w:r>
      <w:r>
        <w:rPr>
          <w:rFonts w:hint="eastAsia" w:ascii="仿宋_GB2312" w:hAnsi="宋体" w:eastAsia="仿宋_GB2312" w:cs="仿宋_GB2312"/>
          <w:color w:val="000000"/>
          <w:kern w:val="0"/>
          <w:sz w:val="32"/>
          <w:szCs w:val="32"/>
        </w:rPr>
        <w:t>0%。公务接待费支出决算比202</w:t>
      </w:r>
      <w:r>
        <w:rPr>
          <w:rFonts w:hint="eastAsia" w:cs="仿宋_GB2312"/>
          <w:color w:val="000000"/>
          <w:kern w:val="0"/>
          <w:sz w:val="32"/>
          <w:szCs w:val="32"/>
          <w:lang w:val="en-US" w:eastAsia="zh-CN"/>
        </w:rPr>
        <w:t>4</w:t>
      </w:r>
      <w:r>
        <w:rPr>
          <w:rFonts w:hint="eastAsia" w:ascii="仿宋_GB2312" w:hAnsi="宋体" w:eastAsia="仿宋_GB2312" w:cs="仿宋_GB2312"/>
          <w:color w:val="000000"/>
          <w:kern w:val="0"/>
          <w:sz w:val="32"/>
          <w:szCs w:val="32"/>
        </w:rPr>
        <w:t>年增加0万元，增长</w:t>
      </w:r>
      <w:r>
        <w:rPr>
          <w:rFonts w:hint="eastAsia" w:cs="仿宋_GB2312"/>
          <w:color w:val="000000"/>
          <w:kern w:val="0"/>
          <w:sz w:val="32"/>
          <w:szCs w:val="32"/>
          <w:lang w:val="en-US" w:eastAsia="zh-CN"/>
        </w:rPr>
        <w:t>0.00</w:t>
      </w:r>
      <w:r>
        <w:rPr>
          <w:rFonts w:hint="eastAsia" w:ascii="仿宋_GB2312" w:hAnsi="宋体" w:eastAsia="仿宋_GB2312" w:cs="仿宋_GB2312"/>
          <w:color w:val="000000"/>
          <w:kern w:val="0"/>
          <w:sz w:val="32"/>
          <w:szCs w:val="32"/>
        </w:rPr>
        <w:t>%。</w:t>
      </w:r>
    </w:p>
    <w:p>
      <w:pPr>
        <w:pStyle w:val="3"/>
        <w:keepNext w:val="0"/>
        <w:keepLines w:val="0"/>
        <w:widowControl w:val="0"/>
        <w:numPr>
          <w:ilvl w:val="0"/>
          <w:numId w:val="0"/>
        </w:numPr>
        <w:suppressLineNumbers w:val="0"/>
        <w:adjustRightInd w:val="0"/>
        <w:snapToGrid w:val="0"/>
        <w:spacing w:before="0" w:beforeLines="30" w:beforeAutospacing="0" w:after="0" w:afterAutospacing="1" w:line="560" w:lineRule="exact"/>
        <w:ind w:right="0" w:rightChars="0" w:firstLine="640" w:firstLineChars="200"/>
        <w:jc w:val="left"/>
        <w:rPr>
          <w:rFonts w:hint="eastAsia" w:ascii="仿宋_GB2312" w:hAnsi="宋体" w:eastAsia="仿宋_GB2312" w:cs="仿宋_GB2312"/>
          <w:color w:val="000000"/>
          <w:kern w:val="0"/>
          <w:sz w:val="32"/>
          <w:szCs w:val="32"/>
        </w:rPr>
      </w:pPr>
      <w:r>
        <w:rPr>
          <w:rFonts w:hint="eastAsia" w:ascii="仿宋_GB2312" w:hAnsi="宋体" w:eastAsia="仿宋_GB2312" w:cs="仿宋_GB2312"/>
          <w:color w:val="000000"/>
          <w:kern w:val="0"/>
          <w:sz w:val="32"/>
          <w:szCs w:val="32"/>
        </w:rPr>
        <w:t>国内公务接待支出</w:t>
      </w:r>
      <w:r>
        <w:rPr>
          <w:rFonts w:hint="eastAsia" w:cs="仿宋_GB2312"/>
          <w:color w:val="000000"/>
          <w:kern w:val="0"/>
          <w:sz w:val="32"/>
          <w:szCs w:val="32"/>
          <w:lang w:val="en-US" w:eastAsia="zh-CN"/>
        </w:rPr>
        <w:t>0</w:t>
      </w:r>
      <w:r>
        <w:rPr>
          <w:rFonts w:hint="eastAsia" w:ascii="仿宋_GB2312" w:hAnsi="宋体" w:eastAsia="仿宋_GB2312" w:cs="仿宋_GB2312"/>
          <w:color w:val="000000"/>
          <w:kern w:val="0"/>
          <w:sz w:val="32"/>
          <w:szCs w:val="32"/>
        </w:rPr>
        <w:t>万元，主要用于执行公务、开展业务活动开支的交通费。国内公务接待</w:t>
      </w:r>
      <w:r>
        <w:rPr>
          <w:rFonts w:hint="eastAsia" w:cs="仿宋_GB2312"/>
          <w:color w:val="000000"/>
          <w:kern w:val="0"/>
          <w:sz w:val="32"/>
          <w:szCs w:val="32"/>
          <w:lang w:val="en-US" w:eastAsia="zh-CN"/>
        </w:rPr>
        <w:t>0</w:t>
      </w:r>
      <w:r>
        <w:rPr>
          <w:rFonts w:hint="eastAsia" w:ascii="仿宋_GB2312" w:hAnsi="宋体" w:eastAsia="仿宋_GB2312" w:cs="仿宋_GB2312"/>
          <w:color w:val="000000"/>
          <w:kern w:val="0"/>
          <w:sz w:val="32"/>
          <w:szCs w:val="32"/>
        </w:rPr>
        <w:t>批 次，</w:t>
      </w:r>
      <w:r>
        <w:rPr>
          <w:rFonts w:hint="eastAsia" w:cs="仿宋_GB2312"/>
          <w:color w:val="000000"/>
          <w:kern w:val="0"/>
          <w:sz w:val="32"/>
          <w:szCs w:val="32"/>
          <w:lang w:val="en-US" w:eastAsia="zh-CN"/>
        </w:rPr>
        <w:t>0</w:t>
      </w:r>
      <w:r>
        <w:rPr>
          <w:rFonts w:hint="eastAsia" w:ascii="仿宋_GB2312" w:hAnsi="宋体" w:eastAsia="仿宋_GB2312" w:cs="仿宋_GB2312"/>
          <w:color w:val="000000"/>
          <w:kern w:val="0"/>
          <w:sz w:val="32"/>
          <w:szCs w:val="32"/>
        </w:rPr>
        <w:t>人次（不包括陪同人员），共计支出</w:t>
      </w:r>
      <w:r>
        <w:rPr>
          <w:rFonts w:hint="eastAsia" w:cs="仿宋_GB2312"/>
          <w:color w:val="000000"/>
          <w:kern w:val="0"/>
          <w:sz w:val="32"/>
          <w:szCs w:val="32"/>
          <w:lang w:val="en-US" w:eastAsia="zh-CN"/>
        </w:rPr>
        <w:t>0</w:t>
      </w:r>
      <w:r>
        <w:rPr>
          <w:rFonts w:hint="eastAsia" w:ascii="仿宋_GB2312" w:hAnsi="宋体" w:eastAsia="仿宋_GB2312" w:cs="仿宋_GB2312"/>
          <w:color w:val="000000"/>
          <w:kern w:val="0"/>
          <w:sz w:val="32"/>
          <w:szCs w:val="32"/>
        </w:rPr>
        <w:t>万元。具体内容包括开展业务活动开支的交通费</w:t>
      </w:r>
      <w:r>
        <w:rPr>
          <w:rFonts w:hint="eastAsia" w:cs="仿宋_GB2312"/>
          <w:color w:val="000000"/>
          <w:kern w:val="0"/>
          <w:sz w:val="32"/>
          <w:szCs w:val="32"/>
          <w:lang w:val="en-US" w:eastAsia="zh-CN"/>
        </w:rPr>
        <w:t>0</w:t>
      </w:r>
      <w:r>
        <w:rPr>
          <w:rFonts w:hint="eastAsia" w:ascii="仿宋_GB2312" w:hAnsi="宋体" w:eastAsia="仿宋_GB2312" w:cs="仿宋_GB2312"/>
          <w:color w:val="000000"/>
          <w:kern w:val="0"/>
          <w:sz w:val="32"/>
          <w:szCs w:val="32"/>
        </w:rPr>
        <w:t>万元。</w:t>
      </w:r>
    </w:p>
    <w:p>
      <w:pPr>
        <w:pStyle w:val="3"/>
        <w:keepNext w:val="0"/>
        <w:keepLines w:val="0"/>
        <w:widowControl w:val="0"/>
        <w:suppressLineNumbers w:val="0"/>
        <w:adjustRightInd w:val="0"/>
        <w:snapToGrid w:val="0"/>
        <w:spacing w:before="0" w:beforeLines="30" w:beforeAutospacing="0" w:after="0" w:afterAutospacing="1" w:line="560" w:lineRule="exact"/>
        <w:ind w:left="0" w:leftChars="0" w:right="0" w:rightChars="0" w:firstLine="672" w:firstLineChars="210"/>
        <w:jc w:val="left"/>
        <w:rPr>
          <w:rFonts w:hint="eastAsia" w:ascii="仿宋_GB2312" w:hAnsi="宋体" w:eastAsia="仿宋_GB2312" w:cs="仿宋_GB2312"/>
          <w:color w:val="000000"/>
          <w:kern w:val="0"/>
          <w:sz w:val="32"/>
          <w:szCs w:val="32"/>
        </w:rPr>
      </w:pPr>
      <w:r>
        <w:rPr>
          <w:rFonts w:hint="eastAsia" w:ascii="仿宋_GB2312" w:hAnsi="宋体" w:eastAsia="仿宋_GB2312" w:cs="仿宋_GB2312"/>
          <w:color w:val="000000"/>
          <w:kern w:val="0"/>
          <w:sz w:val="32"/>
          <w:szCs w:val="32"/>
        </w:rPr>
        <w:t>外事接待支出0.00 万元，外事接待0批次，0人，共计支出0.00 万元。</w:t>
      </w:r>
    </w:p>
    <w:p>
      <w:pPr>
        <w:pStyle w:val="8"/>
        <w:keepNext w:val="0"/>
        <w:keepLines w:val="0"/>
        <w:widowControl/>
        <w:numPr>
          <w:ilvl w:val="0"/>
          <w:numId w:val="3"/>
        </w:numPr>
        <w:suppressLineNumbers w:val="0"/>
        <w:spacing w:before="0" w:beforeAutospacing="0"/>
        <w:ind w:left="120" w:leftChars="0" w:firstLine="0" w:firstLineChars="0"/>
        <w:jc w:val="left"/>
        <w:rPr>
          <w:rFonts w:hint="eastAsia" w:ascii="黑体" w:hAnsi="宋体" w:eastAsia="黑体" w:cs="黑体"/>
          <w:b w:val="0"/>
          <w:bCs w:val="0"/>
          <w:kern w:val="2"/>
          <w:sz w:val="32"/>
          <w:szCs w:val="32"/>
        </w:rPr>
      </w:pPr>
      <w:r>
        <w:rPr>
          <w:rStyle w:val="10"/>
          <w:rFonts w:hint="eastAsia" w:ascii="黑体" w:hAnsi="宋体" w:eastAsia="黑体" w:cs="黑体"/>
          <w:b w:val="0"/>
          <w:bCs w:val="0"/>
          <w:kern w:val="2"/>
          <w:sz w:val="32"/>
          <w:szCs w:val="32"/>
        </w:rPr>
        <w:t>政府性基金预算支出决算情况说明</w:t>
      </w:r>
    </w:p>
    <w:p>
      <w:pPr>
        <w:pStyle w:val="8"/>
        <w:keepNext w:val="0"/>
        <w:keepLines w:val="0"/>
        <w:widowControl/>
        <w:suppressLineNumbers w:val="0"/>
        <w:spacing w:before="0" w:beforeAutospacing="0"/>
        <w:ind w:left="120" w:leftChars="0" w:right="0" w:rightChars="0"/>
        <w:jc w:val="left"/>
        <w:rPr>
          <w:rFonts w:hint="eastAsia" w:ascii="仿宋_GB2312" w:hAnsi="宋体" w:eastAsia="仿宋_GB2312" w:cs="仿宋_GB2312"/>
          <w:color w:val="000000"/>
          <w:kern w:val="0"/>
          <w:sz w:val="32"/>
          <w:szCs w:val="32"/>
        </w:rPr>
      </w:pPr>
      <w:r>
        <w:rPr>
          <w:rFonts w:hint="eastAsia" w:ascii="仿宋_GB2312" w:hAnsi="宋体" w:eastAsia="仿宋_GB2312" w:cs="仿宋_GB2312"/>
          <w:color w:val="000000"/>
          <w:kern w:val="0"/>
          <w:sz w:val="32"/>
          <w:szCs w:val="32"/>
        </w:rPr>
        <w:t xml:space="preserve"> 202</w:t>
      </w:r>
      <w:r>
        <w:rPr>
          <w:rFonts w:hint="eastAsia" w:ascii="仿宋_GB2312" w:eastAsia="仿宋_GB2312" w:cs="仿宋_GB2312"/>
          <w:color w:val="000000"/>
          <w:kern w:val="0"/>
          <w:sz w:val="32"/>
          <w:szCs w:val="32"/>
          <w:lang w:val="en-US" w:eastAsia="zh-CN"/>
        </w:rPr>
        <w:t>5</w:t>
      </w:r>
      <w:r>
        <w:rPr>
          <w:rFonts w:hint="eastAsia" w:ascii="仿宋_GB2312" w:hAnsi="宋体" w:eastAsia="仿宋_GB2312" w:cs="仿宋_GB2312"/>
          <w:color w:val="000000"/>
          <w:kern w:val="0"/>
          <w:sz w:val="32"/>
          <w:szCs w:val="32"/>
        </w:rPr>
        <w:t>年政府性基金预算拨款支出0.00万元。</w:t>
      </w:r>
    </w:p>
    <w:p>
      <w:pPr>
        <w:pStyle w:val="8"/>
        <w:keepNext w:val="0"/>
        <w:keepLines w:val="0"/>
        <w:widowControl/>
        <w:suppressLineNumbers w:val="0"/>
        <w:spacing w:before="0" w:beforeAutospacing="0"/>
        <w:ind w:left="0"/>
        <w:jc w:val="left"/>
        <w:rPr>
          <w:rFonts w:hint="eastAsia" w:ascii="黑体" w:hAnsi="宋体" w:eastAsia="黑体" w:cs="Times New Roman"/>
          <w:b w:val="0"/>
          <w:bCs w:val="0"/>
          <w:kern w:val="2"/>
          <w:sz w:val="32"/>
          <w:szCs w:val="32"/>
        </w:rPr>
      </w:pPr>
      <w:r>
        <w:rPr>
          <w:rFonts w:hint="eastAsia" w:ascii="宋体" w:hAnsi="宋体" w:eastAsia="宋体" w:cs="宋体"/>
          <w:kern w:val="0"/>
          <w:sz w:val="24"/>
          <w:szCs w:val="24"/>
          <w:shd w:val="clear" w:fill="FFFFFF"/>
        </w:rPr>
        <w:t xml:space="preserve"> </w:t>
      </w:r>
      <w:r>
        <w:rPr>
          <w:rStyle w:val="10"/>
          <w:rFonts w:hint="eastAsia" w:ascii="黑体" w:hAnsi="宋体" w:eastAsia="黑体" w:cs="黑体"/>
          <w:b w:val="0"/>
          <w:bCs w:val="0"/>
          <w:kern w:val="2"/>
          <w:sz w:val="32"/>
          <w:szCs w:val="32"/>
        </w:rPr>
        <w:t>九、国有资本经营预算支出决算情况说明</w:t>
      </w:r>
    </w:p>
    <w:p>
      <w:pPr>
        <w:pStyle w:val="3"/>
        <w:keepNext w:val="0"/>
        <w:keepLines w:val="0"/>
        <w:widowControl w:val="0"/>
        <w:suppressLineNumbers w:val="0"/>
        <w:adjustRightInd w:val="0"/>
        <w:snapToGrid w:val="0"/>
        <w:spacing w:before="0" w:beforeLines="30" w:beforeAutospacing="0" w:after="0" w:afterAutospacing="1" w:line="560" w:lineRule="exact"/>
        <w:ind w:right="0" w:rightChars="0"/>
        <w:jc w:val="left"/>
        <w:rPr>
          <w:rFonts w:hint="eastAsia" w:ascii="仿宋_GB2312" w:hAnsi="宋体" w:eastAsia="仿宋_GB2312" w:cs="仿宋_GB2312"/>
          <w:color w:val="000000"/>
          <w:kern w:val="0"/>
          <w:sz w:val="32"/>
          <w:szCs w:val="32"/>
        </w:rPr>
      </w:pPr>
      <w:r>
        <w:rPr>
          <w:rFonts w:hint="eastAsia" w:ascii="仿宋_GB2312" w:hAnsi="宋体" w:eastAsia="仿宋_GB2312" w:cs="仿宋_GB2312"/>
          <w:color w:val="000000"/>
          <w:kern w:val="0"/>
          <w:sz w:val="32"/>
          <w:szCs w:val="32"/>
        </w:rPr>
        <w:t xml:space="preserve"> </w:t>
      </w:r>
      <w:r>
        <w:rPr>
          <w:rFonts w:hint="eastAsia" w:cs="仿宋_GB2312"/>
          <w:color w:val="000000"/>
          <w:kern w:val="0"/>
          <w:sz w:val="32"/>
          <w:szCs w:val="32"/>
          <w:lang w:val="en-US" w:eastAsia="zh-CN"/>
        </w:rPr>
        <w:t xml:space="preserve"> </w:t>
      </w:r>
      <w:r>
        <w:rPr>
          <w:rFonts w:hint="eastAsia" w:ascii="仿宋_GB2312" w:hAnsi="宋体" w:eastAsia="仿宋_GB2312" w:cs="仿宋_GB2312"/>
          <w:color w:val="000000"/>
          <w:kern w:val="0"/>
          <w:sz w:val="32"/>
          <w:szCs w:val="32"/>
        </w:rPr>
        <w:t>20</w:t>
      </w:r>
      <w:r>
        <w:rPr>
          <w:rFonts w:hint="eastAsia" w:cs="仿宋_GB2312"/>
          <w:color w:val="000000"/>
          <w:kern w:val="0"/>
          <w:sz w:val="32"/>
          <w:szCs w:val="32"/>
          <w:lang w:val="en-US" w:eastAsia="zh-CN"/>
        </w:rPr>
        <w:t>25</w:t>
      </w:r>
      <w:r>
        <w:rPr>
          <w:rFonts w:hint="eastAsia" w:ascii="仿宋_GB2312" w:hAnsi="宋体" w:eastAsia="仿宋_GB2312" w:cs="仿宋_GB2312"/>
          <w:color w:val="000000"/>
          <w:kern w:val="0"/>
          <w:sz w:val="32"/>
          <w:szCs w:val="32"/>
        </w:rPr>
        <w:t>年国有资本经营预算拨款支出0.00万元。</w:t>
      </w:r>
    </w:p>
    <w:p>
      <w:pPr>
        <w:pStyle w:val="3"/>
        <w:keepNext w:val="0"/>
        <w:keepLines w:val="0"/>
        <w:widowControl w:val="0"/>
        <w:suppressLineNumbers w:val="0"/>
        <w:adjustRightInd w:val="0"/>
        <w:snapToGrid w:val="0"/>
        <w:spacing w:before="0" w:beforeLines="30" w:beforeAutospacing="0" w:after="0" w:afterAutospacing="1" w:line="560" w:lineRule="exact"/>
        <w:ind w:right="0" w:rightChars="0"/>
        <w:jc w:val="left"/>
        <w:rPr>
          <w:rFonts w:hint="eastAsia" w:ascii="黑体" w:hAnsi="宋体" w:eastAsia="黑体" w:cs="Times New Roman"/>
          <w:b w:val="0"/>
          <w:bCs w:val="0"/>
          <w:kern w:val="2"/>
          <w:sz w:val="32"/>
          <w:szCs w:val="32"/>
        </w:rPr>
      </w:pPr>
      <w:r>
        <w:rPr>
          <w:rStyle w:val="10"/>
          <w:rFonts w:hint="eastAsia" w:ascii="黑体" w:hAnsi="宋体" w:eastAsia="黑体" w:cs="黑体"/>
          <w:b w:val="0"/>
          <w:bCs w:val="0"/>
          <w:kern w:val="2"/>
          <w:sz w:val="32"/>
          <w:szCs w:val="32"/>
        </w:rPr>
        <w:t>十、其他重要事项的情况说明</w:t>
      </w:r>
    </w:p>
    <w:p>
      <w:pPr>
        <w:pStyle w:val="2"/>
        <w:keepNext/>
        <w:keepLines/>
        <w:widowControl w:val="0"/>
        <w:suppressLineNumbers w:val="0"/>
        <w:spacing w:before="260" w:beforeAutospacing="0" w:after="260" w:afterAutospacing="0" w:line="408" w:lineRule="auto"/>
        <w:ind w:left="0" w:right="0"/>
        <w:jc w:val="both"/>
        <w:outlineLvl w:val="1"/>
        <w:rPr>
          <w:rFonts w:hint="eastAsia" w:ascii="黑体" w:hAnsi="宋体" w:eastAsia="黑体" w:cs="Times New Roman"/>
          <w:b w:val="0"/>
          <w:bCs w:val="0"/>
          <w:kern w:val="2"/>
          <w:sz w:val="32"/>
          <w:szCs w:val="32"/>
        </w:rPr>
      </w:pPr>
      <w:r>
        <w:rPr>
          <w:rStyle w:val="10"/>
          <w:rFonts w:hint="eastAsia" w:ascii="黑体" w:hAnsi="宋体" w:eastAsia="黑体" w:cs="黑体"/>
          <w:b w:val="0"/>
          <w:bCs w:val="0"/>
          <w:kern w:val="2"/>
          <w:sz w:val="32"/>
          <w:szCs w:val="32"/>
        </w:rPr>
        <w:t>（一）机关运行经费支出情况</w:t>
      </w:r>
    </w:p>
    <w:p>
      <w:pPr>
        <w:pStyle w:val="3"/>
        <w:keepNext w:val="0"/>
        <w:keepLines w:val="0"/>
        <w:widowControl w:val="0"/>
        <w:suppressLineNumbers w:val="0"/>
        <w:adjustRightInd w:val="0"/>
        <w:snapToGrid w:val="0"/>
        <w:spacing w:before="0" w:beforeLines="30" w:beforeAutospacing="0" w:after="0" w:afterAutospacing="1" w:line="560" w:lineRule="exact"/>
        <w:ind w:right="0" w:rightChars="0" w:firstLine="640" w:firstLineChars="200"/>
        <w:jc w:val="left"/>
        <w:rPr>
          <w:rFonts w:hint="eastAsia" w:ascii="仿宋_GB2312" w:hAnsi="宋体" w:eastAsia="仿宋_GB2312" w:cs="仿宋_GB2312"/>
          <w:color w:val="000000"/>
          <w:kern w:val="0"/>
          <w:sz w:val="32"/>
          <w:szCs w:val="32"/>
        </w:rPr>
      </w:pPr>
      <w:r>
        <w:rPr>
          <w:rFonts w:hint="eastAsia" w:ascii="仿宋_GB2312" w:hAnsi="宋体" w:eastAsia="仿宋_GB2312" w:cs="仿宋_GB2312"/>
          <w:color w:val="000000"/>
          <w:kern w:val="0"/>
          <w:sz w:val="32"/>
          <w:szCs w:val="32"/>
        </w:rPr>
        <w:t>202</w:t>
      </w:r>
      <w:r>
        <w:rPr>
          <w:rFonts w:hint="eastAsia" w:cs="仿宋_GB2312"/>
          <w:color w:val="000000"/>
          <w:kern w:val="0"/>
          <w:sz w:val="32"/>
          <w:szCs w:val="32"/>
          <w:lang w:val="en-US" w:eastAsia="zh-CN"/>
        </w:rPr>
        <w:t>5</w:t>
      </w:r>
      <w:r>
        <w:rPr>
          <w:rFonts w:hint="eastAsia" w:ascii="仿宋_GB2312" w:hAnsi="宋体" w:eastAsia="仿宋_GB2312" w:cs="仿宋_GB2312"/>
          <w:color w:val="000000"/>
          <w:kern w:val="0"/>
          <w:sz w:val="32"/>
          <w:szCs w:val="32"/>
        </w:rPr>
        <w:t>年，阿坝州红原县寄宿制藏文中学机关运行经费支出0.00万元，比202</w:t>
      </w:r>
      <w:r>
        <w:rPr>
          <w:rFonts w:hint="eastAsia" w:cs="仿宋_GB2312"/>
          <w:color w:val="000000"/>
          <w:kern w:val="0"/>
          <w:sz w:val="32"/>
          <w:szCs w:val="32"/>
          <w:lang w:val="en-US" w:eastAsia="zh-CN"/>
        </w:rPr>
        <w:t>4</w:t>
      </w:r>
      <w:r>
        <w:rPr>
          <w:rFonts w:hint="eastAsia" w:ascii="仿宋_GB2312" w:hAnsi="宋体" w:eastAsia="仿宋_GB2312" w:cs="仿宋_GB2312"/>
          <w:color w:val="000000"/>
          <w:kern w:val="0"/>
          <w:sz w:val="32"/>
          <w:szCs w:val="32"/>
        </w:rPr>
        <w:t>年增加 0.00万元，增长0.00%，与202</w:t>
      </w:r>
      <w:r>
        <w:rPr>
          <w:rFonts w:hint="eastAsia" w:cs="仿宋_GB2312"/>
          <w:color w:val="000000"/>
          <w:kern w:val="0"/>
          <w:sz w:val="32"/>
          <w:szCs w:val="32"/>
          <w:lang w:val="en-US" w:eastAsia="zh-CN"/>
        </w:rPr>
        <w:t>4</w:t>
      </w:r>
      <w:r>
        <w:rPr>
          <w:rFonts w:hint="eastAsia" w:ascii="仿宋_GB2312" w:hAnsi="宋体" w:eastAsia="仿宋_GB2312" w:cs="仿宋_GB2312"/>
          <w:color w:val="000000"/>
          <w:kern w:val="0"/>
          <w:sz w:val="32"/>
          <w:szCs w:val="32"/>
        </w:rPr>
        <w:t>年决算数持平。</w:t>
      </w:r>
    </w:p>
    <w:p>
      <w:pPr>
        <w:pStyle w:val="8"/>
        <w:keepNext w:val="0"/>
        <w:keepLines w:val="0"/>
        <w:widowControl/>
        <w:suppressLineNumbers w:val="0"/>
        <w:spacing w:before="0" w:beforeAutospacing="0"/>
        <w:ind w:left="0"/>
        <w:jc w:val="left"/>
        <w:rPr>
          <w:rFonts w:hint="eastAsia" w:ascii="宋体" w:hAnsi="宋体" w:eastAsia="宋体" w:cs="宋体"/>
          <w:kern w:val="0"/>
          <w:sz w:val="24"/>
          <w:szCs w:val="24"/>
        </w:rPr>
      </w:pPr>
      <w:r>
        <w:rPr>
          <w:rStyle w:val="9"/>
          <w:rFonts w:hint="eastAsia" w:ascii="宋体" w:hAnsi="宋体" w:eastAsia="宋体" w:cs="宋体"/>
          <w:b/>
          <w:bCs/>
          <w:sz w:val="24"/>
          <w:szCs w:val="24"/>
          <w:shd w:val="clear" w:fill="FFFFFF"/>
        </w:rPr>
        <w:t>（注：数据来源于财决附03表）</w:t>
      </w:r>
    </w:p>
    <w:p>
      <w:pPr>
        <w:pStyle w:val="8"/>
        <w:keepNext w:val="0"/>
        <w:keepLines w:val="0"/>
        <w:widowControl/>
        <w:suppressLineNumbers w:val="0"/>
        <w:spacing w:before="0" w:beforeAutospacing="0"/>
        <w:ind w:left="0"/>
        <w:jc w:val="left"/>
        <w:rPr>
          <w:rFonts w:hint="eastAsia" w:ascii="黑体" w:hAnsi="宋体" w:eastAsia="黑体" w:cs="Times New Roman"/>
          <w:b w:val="0"/>
          <w:bCs w:val="0"/>
          <w:kern w:val="2"/>
          <w:sz w:val="32"/>
          <w:szCs w:val="32"/>
        </w:rPr>
      </w:pPr>
      <w:r>
        <w:rPr>
          <w:rStyle w:val="9"/>
          <w:rFonts w:hint="eastAsia" w:ascii="宋体" w:hAnsi="宋体" w:eastAsia="宋体" w:cs="宋体"/>
          <w:b/>
          <w:bCs/>
          <w:sz w:val="24"/>
          <w:szCs w:val="24"/>
          <w:shd w:val="clear" w:fill="FFFFFF"/>
        </w:rPr>
        <w:t>（</w:t>
      </w:r>
      <w:r>
        <w:rPr>
          <w:rStyle w:val="10"/>
          <w:rFonts w:hint="eastAsia" w:ascii="黑体" w:hAnsi="宋体" w:eastAsia="黑体" w:cs="黑体"/>
          <w:b w:val="0"/>
          <w:bCs w:val="0"/>
          <w:kern w:val="2"/>
          <w:sz w:val="32"/>
          <w:szCs w:val="32"/>
        </w:rPr>
        <w:t>二）政府采购支出情况</w:t>
      </w:r>
    </w:p>
    <w:p>
      <w:pPr>
        <w:pStyle w:val="3"/>
        <w:keepNext w:val="0"/>
        <w:keepLines w:val="0"/>
        <w:widowControl w:val="0"/>
        <w:suppressLineNumbers w:val="0"/>
        <w:adjustRightInd w:val="0"/>
        <w:snapToGrid w:val="0"/>
        <w:spacing w:before="0" w:beforeLines="30" w:beforeAutospacing="0" w:after="0" w:afterAutospacing="1" w:line="560" w:lineRule="exact"/>
        <w:ind w:left="0" w:leftChars="0" w:right="0" w:rightChars="0" w:firstLine="672" w:firstLineChars="210"/>
        <w:jc w:val="left"/>
        <w:rPr>
          <w:rFonts w:hint="eastAsia" w:ascii="仿宋_GB2312" w:hAnsi="宋体" w:eastAsia="仿宋_GB2312" w:cs="仿宋_GB2312"/>
          <w:color w:val="000000"/>
          <w:kern w:val="0"/>
          <w:sz w:val="32"/>
          <w:szCs w:val="32"/>
        </w:rPr>
      </w:pPr>
      <w:r>
        <w:rPr>
          <w:rFonts w:hint="eastAsia" w:ascii="仿宋_GB2312" w:hAnsi="宋体" w:eastAsia="仿宋_GB2312" w:cs="仿宋_GB2312"/>
          <w:color w:val="000000"/>
          <w:kern w:val="0"/>
          <w:sz w:val="32"/>
          <w:szCs w:val="32"/>
        </w:rPr>
        <w:t xml:space="preserve"> 202</w:t>
      </w:r>
      <w:r>
        <w:rPr>
          <w:rFonts w:hint="eastAsia" w:cs="仿宋_GB2312"/>
          <w:color w:val="000000"/>
          <w:kern w:val="0"/>
          <w:sz w:val="32"/>
          <w:szCs w:val="32"/>
          <w:lang w:val="en-US" w:eastAsia="zh-CN"/>
        </w:rPr>
        <w:t>5</w:t>
      </w:r>
      <w:r>
        <w:rPr>
          <w:rFonts w:hint="eastAsia" w:ascii="仿宋_GB2312" w:hAnsi="宋体" w:eastAsia="仿宋_GB2312" w:cs="仿宋_GB2312"/>
          <w:color w:val="000000"/>
          <w:kern w:val="0"/>
          <w:sz w:val="32"/>
          <w:szCs w:val="32"/>
        </w:rPr>
        <w:t>年，阿坝州红原县寄宿制藏文中学政府采购支出总额0.00万元，其中：政府采购货物支出 0.00万元、政府采购工程支出0.00万元、政府采购服务支出0.00万元。授予中小企 业合同金额0.00万元，占政府采购支出总额的0.00%，其中：授予小微企业合同金额0.00万元，占政府采购支出总额的0.00%。</w:t>
      </w:r>
    </w:p>
    <w:p>
      <w:pPr>
        <w:pStyle w:val="8"/>
        <w:keepNext w:val="0"/>
        <w:keepLines w:val="0"/>
        <w:widowControl/>
        <w:suppressLineNumbers w:val="0"/>
        <w:spacing w:before="0" w:beforeAutospacing="0"/>
        <w:ind w:left="0"/>
        <w:jc w:val="left"/>
        <w:rPr>
          <w:rFonts w:hint="eastAsia" w:ascii="宋体" w:hAnsi="宋体" w:eastAsia="宋体" w:cs="宋体"/>
          <w:kern w:val="0"/>
          <w:sz w:val="24"/>
          <w:szCs w:val="24"/>
        </w:rPr>
      </w:pPr>
      <w:r>
        <w:rPr>
          <w:rStyle w:val="9"/>
          <w:rFonts w:hint="eastAsia" w:ascii="宋体" w:hAnsi="宋体" w:eastAsia="宋体" w:cs="宋体"/>
          <w:b/>
          <w:bCs/>
          <w:sz w:val="24"/>
          <w:szCs w:val="24"/>
          <w:shd w:val="clear" w:fill="FFFFFF"/>
        </w:rPr>
        <w:t>（注：数据来源于财决附03表）</w:t>
      </w:r>
    </w:p>
    <w:p>
      <w:pPr>
        <w:pStyle w:val="2"/>
        <w:keepNext/>
        <w:keepLines/>
        <w:widowControl w:val="0"/>
        <w:suppressLineNumbers w:val="0"/>
        <w:spacing w:before="260" w:beforeAutospacing="0" w:after="260" w:afterAutospacing="0" w:line="408" w:lineRule="auto"/>
        <w:ind w:left="0" w:right="0"/>
        <w:jc w:val="both"/>
        <w:outlineLvl w:val="1"/>
        <w:rPr>
          <w:rFonts w:hint="eastAsia" w:ascii="黑体" w:hAnsi="宋体" w:eastAsia="黑体" w:cs="Times New Roman"/>
          <w:b w:val="0"/>
          <w:bCs w:val="0"/>
          <w:kern w:val="2"/>
          <w:sz w:val="32"/>
          <w:szCs w:val="32"/>
        </w:rPr>
      </w:pPr>
      <w:r>
        <w:rPr>
          <w:rStyle w:val="10"/>
          <w:rFonts w:hint="eastAsia" w:ascii="黑体" w:hAnsi="宋体" w:eastAsia="黑体" w:cs="黑体"/>
          <w:b w:val="0"/>
          <w:bCs w:val="0"/>
          <w:kern w:val="2"/>
          <w:sz w:val="32"/>
          <w:szCs w:val="32"/>
        </w:rPr>
        <w:t>（三）国有资产占有使用情况</w:t>
      </w:r>
    </w:p>
    <w:p>
      <w:pPr>
        <w:pStyle w:val="8"/>
        <w:keepNext w:val="0"/>
        <w:keepLines w:val="0"/>
        <w:widowControl/>
        <w:suppressLineNumbers w:val="0"/>
        <w:spacing w:before="0" w:beforeAutospacing="0"/>
        <w:ind w:left="0" w:firstLine="640" w:firstLineChars="200"/>
        <w:jc w:val="left"/>
        <w:rPr>
          <w:rFonts w:hint="eastAsia" w:ascii="宋体" w:hAnsi="宋体" w:eastAsia="宋体" w:cs="宋体"/>
          <w:kern w:val="0"/>
          <w:sz w:val="24"/>
          <w:szCs w:val="24"/>
        </w:rPr>
      </w:pPr>
      <w:r>
        <w:rPr>
          <w:rFonts w:hint="eastAsia" w:ascii="仿宋_GB2312" w:hAnsi="宋体" w:eastAsia="仿宋_GB2312" w:cs="仿宋_GB2312"/>
          <w:color w:val="000000"/>
          <w:kern w:val="0"/>
          <w:sz w:val="32"/>
          <w:szCs w:val="32"/>
        </w:rPr>
        <w:t>截至202</w:t>
      </w:r>
      <w:r>
        <w:rPr>
          <w:rFonts w:hint="eastAsia" w:ascii="仿宋_GB2312" w:eastAsia="仿宋_GB2312" w:cs="仿宋_GB2312"/>
          <w:color w:val="000000"/>
          <w:kern w:val="0"/>
          <w:sz w:val="32"/>
          <w:szCs w:val="32"/>
          <w:lang w:val="en-US" w:eastAsia="zh-CN"/>
        </w:rPr>
        <w:t>5</w:t>
      </w:r>
      <w:r>
        <w:rPr>
          <w:rFonts w:hint="eastAsia" w:ascii="仿宋_GB2312" w:hAnsi="宋体" w:eastAsia="仿宋_GB2312" w:cs="仿宋_GB2312"/>
          <w:color w:val="000000"/>
          <w:kern w:val="0"/>
          <w:sz w:val="32"/>
          <w:szCs w:val="32"/>
        </w:rPr>
        <w:t>年12月31日，四川省红原县寄宿制藏文中学共有车辆1辆，其中：主要领导干部用车0 辆、机要通信用车0辆、应急保障用车1辆、执法执勤用车0 辆、特种专业技术用车0辆、离退休干部用车0辆、其他用车 0辆。主要是用于乡下招生用车。单价50万元以上通用设备0台（套），单价100万元以上专用设备0台（套）。</w:t>
      </w:r>
    </w:p>
    <w:p>
      <w:pPr>
        <w:pStyle w:val="2"/>
        <w:keepNext/>
        <w:keepLines/>
        <w:widowControl w:val="0"/>
        <w:suppressLineNumbers w:val="0"/>
        <w:spacing w:before="260" w:beforeAutospacing="0" w:after="260" w:afterAutospacing="0" w:line="408" w:lineRule="auto"/>
        <w:ind w:left="0" w:right="0"/>
        <w:jc w:val="both"/>
        <w:outlineLvl w:val="1"/>
        <w:rPr>
          <w:rFonts w:hint="eastAsia" w:ascii="黑体" w:hAnsi="宋体" w:eastAsia="黑体" w:cs="Times New Roman"/>
          <w:b w:val="0"/>
          <w:bCs w:val="0"/>
          <w:kern w:val="2"/>
          <w:sz w:val="32"/>
          <w:szCs w:val="32"/>
        </w:rPr>
      </w:pPr>
      <w:r>
        <w:rPr>
          <w:rStyle w:val="10"/>
          <w:rFonts w:hint="eastAsia" w:ascii="黑体" w:hAnsi="宋体" w:eastAsia="黑体" w:cs="黑体"/>
          <w:b w:val="0"/>
          <w:bCs w:val="0"/>
          <w:kern w:val="2"/>
          <w:sz w:val="32"/>
          <w:szCs w:val="32"/>
        </w:rPr>
        <w:t>（四）预算绩效管理情况。</w:t>
      </w:r>
    </w:p>
    <w:p>
      <w:pPr>
        <w:keepNext w:val="0"/>
        <w:keepLines w:val="0"/>
        <w:widowControl/>
        <w:suppressLineNumbers w:val="0"/>
        <w:ind w:left="0" w:firstLine="640" w:firstLineChars="200"/>
        <w:rPr>
          <w:rFonts w:hint="eastAsia" w:ascii="仿宋_GB2312" w:hAnsi="Times New Roman" w:eastAsia="仿宋_GB2312" w:cs="Times New Roman"/>
          <w:color w:val="000000"/>
          <w:kern w:val="0"/>
          <w:sz w:val="32"/>
          <w:szCs w:val="32"/>
        </w:rPr>
      </w:pPr>
      <w:r>
        <w:rPr>
          <w:rFonts w:hint="eastAsia" w:ascii="仿宋_GB2312" w:hAnsi="Times New Roman" w:eastAsia="仿宋_GB2312" w:cs="仿宋_GB2312"/>
          <w:color w:val="000000"/>
          <w:kern w:val="0"/>
          <w:sz w:val="32"/>
          <w:szCs w:val="32"/>
        </w:rPr>
        <w:t>根据预算绩效管理要求，本单位在年初预算编制阶段，由学校领导牵头召开会议，制定学校规章制度，通过会议明确各处职责，学校开展考勤制度，确保执行，强化绩效，公开透明的公开化，管好用好财政资金更好的使用绩效。绩效考核作为资金管理与分配的核心依据，根据工作规划和重点工作规划，积极履行职责，强化本单位预算管理，单位进一步提高预算绩效管理认识，学校建立内部绩效评价工作考核制度，年终对有关业务的绩效评价工作开展情况进行考核，作为年终工作目标量化考核内容之一。强化以</w:t>
      </w:r>
      <w:r>
        <w:rPr>
          <w:rFonts w:hint="eastAsia" w:ascii="仿宋_GB2312" w:hAnsi="Times New Roman" w:eastAsia="仿宋_GB2312" w:cs="Times New Roman"/>
          <w:color w:val="000000"/>
          <w:kern w:val="0"/>
          <w:sz w:val="32"/>
          <w:szCs w:val="32"/>
        </w:rPr>
        <w:t>“绩效为中心、对支出结果负责、对社会公众负责”的理念，在绩效目标编制方面，数量目标和质量目标量化不细，效益目标编制不完整等方面加以了改善。加强预算绩效动态监控管理，加强相关人员的业务培训，进一步提高预算绩效评价质量。</w:t>
      </w:r>
    </w:p>
    <w:p>
      <w:pPr>
        <w:keepNext w:val="0"/>
        <w:keepLines w:val="0"/>
        <w:widowControl/>
        <w:suppressLineNumbers w:val="0"/>
        <w:ind w:left="0" w:firstLine="640" w:firstLineChars="200"/>
        <w:rPr>
          <w:rFonts w:hint="eastAsia" w:ascii="仿宋_GB2312" w:hAnsi="Times New Roman" w:eastAsia="仿宋_GB2312" w:cs="Times New Roman"/>
          <w:color w:val="000000"/>
          <w:kern w:val="0"/>
          <w:sz w:val="32"/>
          <w:szCs w:val="32"/>
        </w:rPr>
      </w:pPr>
      <w:r>
        <w:rPr>
          <w:rFonts w:hint="eastAsia" w:ascii="仿宋_GB2312" w:hAnsi="Times New Roman" w:eastAsia="仿宋_GB2312" w:cs="仿宋_GB2312"/>
          <w:color w:val="000000"/>
          <w:kern w:val="0"/>
          <w:sz w:val="32"/>
          <w:szCs w:val="32"/>
        </w:rPr>
        <w:t>在绩效目标编制方面，加强预算绩效动态监控管理，加强相关人员的业务培训，进一步提高预算绩效评价质量。积极履行职责，强化本单位预算管理，较好地完成年初绩效工作。</w:t>
      </w:r>
    </w:p>
    <w:p>
      <w:pPr>
        <w:keepNext w:val="0"/>
        <w:keepLines w:val="0"/>
        <w:widowControl/>
        <w:suppressLineNumbers w:val="0"/>
        <w:ind w:left="0" w:firstLine="640" w:firstLineChars="200"/>
        <w:rPr>
          <w:rFonts w:hint="eastAsia" w:ascii="仿宋_GB2312" w:hAnsi="Times New Roman" w:eastAsia="仿宋_GB2312" w:cs="Times New Roman"/>
          <w:color w:val="000000"/>
          <w:kern w:val="0"/>
          <w:sz w:val="32"/>
          <w:szCs w:val="32"/>
        </w:rPr>
      </w:pPr>
      <w:r>
        <w:rPr>
          <w:rFonts w:hint="eastAsia" w:ascii="仿宋_GB2312" w:hAnsi="Times New Roman" w:eastAsia="仿宋_GB2312" w:cs="仿宋_GB2312"/>
          <w:color w:val="000000"/>
          <w:kern w:val="0"/>
          <w:sz w:val="32"/>
          <w:szCs w:val="32"/>
        </w:rPr>
        <w:t>绩效管理机制工作不断推进，学校绩效目标编制方面，针对绩效目标设置指向不清、预算和目标匹配不足，目标编制不完整等方面加以了改善。目前单位绩效评价结果还停留在反映情况、找问题、提建议层面，评价结果和预算安排有机结合的机制尚未真正建立，还在逐步搭建，要进一步提高预算绩效管理认识，更好的实施绩效管理工作。</w:t>
      </w:r>
    </w:p>
    <w:p>
      <w:pPr>
        <w:keepNext w:val="0"/>
        <w:keepLines w:val="0"/>
        <w:widowControl/>
        <w:suppressLineNumbers w:val="0"/>
        <w:ind w:left="0" w:firstLine="640" w:firstLineChars="200"/>
        <w:rPr>
          <w:rFonts w:hint="eastAsia" w:ascii="仿宋_GB2312" w:hAnsi="Times New Roman" w:eastAsia="仿宋_GB2312" w:cs="Times New Roman"/>
          <w:color w:val="000000"/>
          <w:kern w:val="0"/>
          <w:sz w:val="32"/>
          <w:szCs w:val="32"/>
        </w:rPr>
      </w:pPr>
      <w:r>
        <w:rPr>
          <w:rFonts w:hint="eastAsia" w:ascii="仿宋_GB2312" w:hAnsi="Times New Roman" w:eastAsia="仿宋_GB2312" w:cs="仿宋_GB2312"/>
          <w:color w:val="000000"/>
          <w:kern w:val="0"/>
          <w:sz w:val="32"/>
          <w:szCs w:val="32"/>
        </w:rPr>
        <w:t>本部门按要求对</w:t>
      </w:r>
      <w:r>
        <w:rPr>
          <w:rFonts w:hint="eastAsia" w:ascii="仿宋_GB2312" w:hAnsi="宋体" w:eastAsia="仿宋_GB2312" w:cs="Times New Roman"/>
          <w:color w:val="000000"/>
          <w:kern w:val="0"/>
          <w:sz w:val="32"/>
          <w:szCs w:val="32"/>
        </w:rPr>
        <w:t>202</w:t>
      </w:r>
      <w:r>
        <w:rPr>
          <w:rFonts w:hint="eastAsia" w:ascii="仿宋_GB2312" w:eastAsia="仿宋_GB2312" w:cs="Times New Roman"/>
          <w:color w:val="000000"/>
          <w:kern w:val="0"/>
          <w:sz w:val="32"/>
          <w:szCs w:val="32"/>
          <w:lang w:val="en-US" w:eastAsia="zh-CN"/>
        </w:rPr>
        <w:t>5</w:t>
      </w:r>
      <w:r>
        <w:rPr>
          <w:rFonts w:hint="eastAsia" w:ascii="仿宋_GB2312" w:hAnsi="Times New Roman" w:eastAsia="仿宋_GB2312" w:cs="仿宋_GB2312"/>
          <w:color w:val="000000"/>
          <w:kern w:val="0"/>
          <w:sz w:val="32"/>
          <w:szCs w:val="32"/>
        </w:rPr>
        <w:t>年部门整体支出绩效评价情况开展自评，《红原县</w:t>
      </w:r>
      <w:r>
        <w:rPr>
          <w:rFonts w:hint="eastAsia" w:ascii="仿宋_GB2312" w:hAnsi="宋体" w:eastAsia="仿宋_GB2312" w:cs="仿宋_GB2312"/>
          <w:color w:val="000000"/>
          <w:kern w:val="0"/>
          <w:sz w:val="32"/>
          <w:szCs w:val="32"/>
        </w:rPr>
        <w:t>寄宿制藏文中学</w:t>
      </w:r>
      <w:r>
        <w:rPr>
          <w:rFonts w:hint="eastAsia" w:ascii="仿宋_GB2312" w:hAnsi="宋体" w:eastAsia="仿宋_GB2312" w:cs="Times New Roman"/>
          <w:color w:val="000000"/>
          <w:kern w:val="0"/>
          <w:sz w:val="32"/>
          <w:szCs w:val="32"/>
        </w:rPr>
        <w:t>202</w:t>
      </w:r>
      <w:r>
        <w:rPr>
          <w:rFonts w:hint="eastAsia" w:ascii="仿宋_GB2312" w:eastAsia="仿宋_GB2312" w:cs="Times New Roman"/>
          <w:color w:val="000000"/>
          <w:kern w:val="0"/>
          <w:sz w:val="32"/>
          <w:szCs w:val="32"/>
          <w:lang w:val="en-US" w:eastAsia="zh-CN"/>
        </w:rPr>
        <w:t>5</w:t>
      </w:r>
      <w:r>
        <w:rPr>
          <w:rFonts w:hint="eastAsia" w:ascii="仿宋_GB2312" w:hAnsi="Times New Roman" w:eastAsia="仿宋_GB2312" w:cs="仿宋_GB2312"/>
          <w:color w:val="000000"/>
          <w:kern w:val="0"/>
          <w:sz w:val="32"/>
          <w:szCs w:val="32"/>
        </w:rPr>
        <w:t>年部门整体支出绩效评价报告》见附件</w:t>
      </w:r>
      <w:r>
        <w:rPr>
          <w:rFonts w:hint="eastAsia" w:ascii="仿宋_GB2312" w:hAnsi="Times New Roman" w:eastAsia="仿宋_GB2312" w:cs="Times New Roman"/>
          <w:color w:val="000000"/>
          <w:kern w:val="0"/>
          <w:sz w:val="32"/>
          <w:szCs w:val="32"/>
        </w:rPr>
        <w:t>1</w:t>
      </w:r>
      <w:bookmarkStart w:id="11" w:name="_Toc15377221"/>
      <w:bookmarkEnd w:id="11"/>
    </w:p>
    <w:p>
      <w:pPr>
        <w:keepNext w:val="0"/>
        <w:keepLines w:val="0"/>
        <w:widowControl/>
        <w:suppressLineNumbers w:val="0"/>
        <w:spacing w:line="600" w:lineRule="atLeast"/>
        <w:ind w:left="0" w:firstLine="643" w:firstLineChars="200"/>
        <w:rPr>
          <w:rFonts w:hint="eastAsia" w:ascii="仿宋_GB2312" w:hAnsi="宋体" w:eastAsia="仿宋_GB2312" w:cs="宋体"/>
          <w:b/>
          <w:bCs/>
          <w:color w:val="000000"/>
          <w:kern w:val="0"/>
          <w:sz w:val="32"/>
          <w:szCs w:val="32"/>
        </w:rPr>
      </w:pPr>
      <w:r>
        <w:rPr>
          <w:rFonts w:hint="eastAsia" w:ascii="仿宋_GB2312" w:hAnsi="宋体" w:eastAsia="仿宋_GB2312" w:cs="宋体"/>
          <w:b/>
          <w:bCs/>
          <w:color w:val="000000"/>
          <w:kern w:val="0"/>
          <w:sz w:val="32"/>
          <w:szCs w:val="32"/>
        </w:rPr>
        <w:t xml:space="preserve"> </w:t>
      </w:r>
    </w:p>
    <w:p>
      <w:pPr>
        <w:keepNext w:val="0"/>
        <w:keepLines w:val="0"/>
        <w:widowControl/>
        <w:suppressLineNumbers w:val="0"/>
        <w:spacing w:line="600" w:lineRule="atLeast"/>
        <w:ind w:left="0" w:firstLine="643" w:firstLineChars="200"/>
        <w:rPr>
          <w:rFonts w:hint="eastAsia" w:ascii="仿宋_GB2312" w:hAnsi="宋体" w:eastAsia="仿宋_GB2312" w:cs="宋体"/>
          <w:b/>
          <w:bCs/>
          <w:color w:val="000000"/>
          <w:kern w:val="0"/>
          <w:sz w:val="32"/>
          <w:szCs w:val="32"/>
        </w:rPr>
      </w:pPr>
      <w:r>
        <w:rPr>
          <w:rFonts w:hint="eastAsia" w:ascii="仿宋_GB2312" w:hAnsi="宋体" w:eastAsia="仿宋_GB2312" w:cs="宋体"/>
          <w:b/>
          <w:bCs/>
          <w:color w:val="000000"/>
          <w:kern w:val="0"/>
          <w:sz w:val="32"/>
          <w:szCs w:val="32"/>
        </w:rPr>
        <w:t xml:space="preserve"> </w:t>
      </w:r>
    </w:p>
    <w:p>
      <w:pPr>
        <w:pStyle w:val="8"/>
        <w:keepNext w:val="0"/>
        <w:keepLines w:val="0"/>
        <w:widowControl/>
        <w:suppressLineNumbers w:val="0"/>
        <w:spacing w:before="0" w:beforeAutospacing="0"/>
        <w:ind w:left="0" w:firstLine="1325" w:firstLineChars="300"/>
        <w:jc w:val="left"/>
        <w:rPr>
          <w:rFonts w:hint="eastAsia" w:ascii="黑体" w:hAnsi="宋体" w:eastAsia="黑体" w:cs="黑体"/>
          <w:b/>
          <w:bCs/>
          <w:color w:val="000000"/>
          <w:kern w:val="2"/>
          <w:sz w:val="44"/>
          <w:szCs w:val="44"/>
        </w:rPr>
      </w:pPr>
    </w:p>
    <w:p>
      <w:pPr>
        <w:pStyle w:val="8"/>
        <w:keepNext w:val="0"/>
        <w:keepLines w:val="0"/>
        <w:widowControl/>
        <w:suppressLineNumbers w:val="0"/>
        <w:spacing w:before="0" w:beforeAutospacing="0"/>
        <w:ind w:left="0" w:firstLine="1325" w:firstLineChars="300"/>
        <w:jc w:val="left"/>
        <w:rPr>
          <w:rFonts w:hint="eastAsia" w:ascii="黑体" w:hAnsi="宋体" w:eastAsia="黑体" w:cs="黑体"/>
          <w:b/>
          <w:bCs/>
          <w:color w:val="000000"/>
          <w:kern w:val="2"/>
          <w:sz w:val="44"/>
          <w:szCs w:val="44"/>
        </w:rPr>
      </w:pPr>
    </w:p>
    <w:p>
      <w:pPr>
        <w:pStyle w:val="8"/>
        <w:keepNext w:val="0"/>
        <w:keepLines w:val="0"/>
        <w:widowControl/>
        <w:suppressLineNumbers w:val="0"/>
        <w:spacing w:before="0" w:beforeAutospacing="0"/>
        <w:ind w:left="0" w:firstLine="1325" w:firstLineChars="300"/>
        <w:jc w:val="left"/>
        <w:rPr>
          <w:rFonts w:hint="eastAsia" w:ascii="黑体" w:hAnsi="宋体" w:eastAsia="黑体" w:cs="Times New Roman"/>
          <w:b/>
          <w:bCs/>
          <w:color w:val="000000"/>
          <w:kern w:val="2"/>
          <w:sz w:val="44"/>
          <w:szCs w:val="44"/>
        </w:rPr>
      </w:pPr>
      <w:r>
        <w:rPr>
          <w:rFonts w:hint="eastAsia" w:ascii="黑体" w:hAnsi="宋体" w:eastAsia="黑体" w:cs="黑体"/>
          <w:b/>
          <w:bCs/>
          <w:color w:val="000000"/>
          <w:kern w:val="2"/>
          <w:sz w:val="44"/>
          <w:szCs w:val="44"/>
        </w:rPr>
        <w:t>第三部分</w:t>
      </w:r>
      <w:r>
        <w:rPr>
          <w:rFonts w:hint="eastAsia" w:ascii="黑体" w:hAnsi="宋体" w:eastAsia="黑体" w:cs="Times New Roman"/>
          <w:b/>
          <w:bCs/>
          <w:color w:val="000000"/>
          <w:kern w:val="2"/>
          <w:sz w:val="44"/>
          <w:szCs w:val="44"/>
        </w:rPr>
        <w:t xml:space="preserve"> </w:t>
      </w:r>
      <w:r>
        <w:rPr>
          <w:rFonts w:hint="eastAsia" w:ascii="黑体" w:hAnsi="宋体" w:eastAsia="黑体" w:cs="黑体"/>
          <w:b/>
          <w:bCs/>
          <w:color w:val="000000"/>
          <w:kern w:val="2"/>
          <w:sz w:val="44"/>
          <w:szCs w:val="44"/>
        </w:rPr>
        <w:t>名词解释</w:t>
      </w:r>
    </w:p>
    <w:p>
      <w:pPr>
        <w:pStyle w:val="8"/>
        <w:keepNext w:val="0"/>
        <w:keepLines w:val="0"/>
        <w:widowControl/>
        <w:suppressLineNumbers w:val="0"/>
        <w:spacing w:before="0" w:beforeAutospacing="0"/>
        <w:ind w:left="0"/>
        <w:jc w:val="left"/>
        <w:rPr>
          <w:rFonts w:hint="eastAsia" w:ascii="仿宋_GB2312" w:hAnsi="Calibri" w:eastAsia="仿宋_GB2312" w:cs="仿宋"/>
          <w:color w:val="000000"/>
          <w:kern w:val="0"/>
          <w:sz w:val="32"/>
          <w:szCs w:val="32"/>
        </w:rPr>
      </w:pPr>
      <w:r>
        <w:rPr>
          <w:rFonts w:hint="eastAsia" w:ascii="宋体" w:hAnsi="宋体" w:eastAsia="宋体" w:cs="宋体"/>
          <w:kern w:val="0"/>
          <w:sz w:val="24"/>
          <w:szCs w:val="24"/>
          <w:shd w:val="clear" w:fill="FFFFFF"/>
        </w:rPr>
        <w:t xml:space="preserve"> </w:t>
      </w:r>
      <w:r>
        <w:rPr>
          <w:rFonts w:hint="eastAsia" w:cs="宋体"/>
          <w:kern w:val="0"/>
          <w:sz w:val="24"/>
          <w:szCs w:val="24"/>
          <w:shd w:val="clear" w:fill="FFFFFF"/>
          <w:lang w:val="en-US" w:eastAsia="zh-CN"/>
        </w:rPr>
        <w:t xml:space="preserve">    </w:t>
      </w:r>
      <w:r>
        <w:rPr>
          <w:rFonts w:hint="eastAsia" w:ascii="仿宋_GB2312" w:hAnsi="Calibri" w:eastAsia="仿宋_GB2312" w:cs="仿宋"/>
          <w:color w:val="000000"/>
          <w:kern w:val="0"/>
          <w:sz w:val="32"/>
          <w:szCs w:val="32"/>
        </w:rPr>
        <w:t>1.</w:t>
      </w:r>
      <w:r>
        <w:rPr>
          <w:rFonts w:hint="eastAsia" w:ascii="仿宋_GB2312" w:hAnsi="Calibri" w:eastAsia="仿宋_GB2312" w:cs="仿宋_GB2312"/>
          <w:color w:val="000000"/>
          <w:kern w:val="0"/>
          <w:sz w:val="32"/>
          <w:szCs w:val="32"/>
        </w:rPr>
        <w:t>财政拨款收入：指单位从同级财政部门取得的财政预算资金。</w:t>
      </w:r>
    </w:p>
    <w:p>
      <w:pPr>
        <w:pStyle w:val="11"/>
        <w:spacing w:line="560" w:lineRule="exact"/>
        <w:ind w:left="0" w:firstLine="640" w:firstLineChars="200"/>
        <w:rPr>
          <w:rFonts w:hint="eastAsia" w:ascii="仿宋_GB2312" w:hAnsi="Calibri" w:eastAsia="仿宋_GB2312" w:cs="仿宋"/>
          <w:color w:val="000000"/>
          <w:kern w:val="0"/>
          <w:sz w:val="32"/>
          <w:szCs w:val="32"/>
        </w:rPr>
      </w:pPr>
      <w:r>
        <w:rPr>
          <w:rFonts w:hint="eastAsia" w:ascii="仿宋_GB2312" w:hAnsi="Calibri" w:eastAsia="仿宋_GB2312" w:cs="仿宋"/>
          <w:color w:val="000000"/>
          <w:kern w:val="0"/>
          <w:sz w:val="32"/>
          <w:szCs w:val="32"/>
        </w:rPr>
        <w:t>2.</w:t>
      </w:r>
      <w:r>
        <w:rPr>
          <w:rFonts w:hint="eastAsia" w:ascii="仿宋_GB2312" w:hAnsi="Calibri" w:eastAsia="仿宋_GB2312" w:cs="仿宋_GB2312"/>
          <w:color w:val="000000"/>
          <w:kern w:val="0"/>
          <w:sz w:val="32"/>
          <w:szCs w:val="32"/>
        </w:rPr>
        <w:t>事业收入：指事业单位开展专业业务活动及辅助活动取得的收入。</w:t>
      </w:r>
    </w:p>
    <w:p>
      <w:pPr>
        <w:pStyle w:val="11"/>
        <w:spacing w:line="560" w:lineRule="exact"/>
        <w:ind w:left="0" w:firstLine="640" w:firstLineChars="200"/>
        <w:rPr>
          <w:rFonts w:hint="eastAsia" w:ascii="仿宋_GB2312" w:hAnsi="Calibri" w:eastAsia="仿宋_GB2312" w:cs="仿宋"/>
          <w:color w:val="000000"/>
          <w:kern w:val="0"/>
          <w:sz w:val="32"/>
          <w:szCs w:val="32"/>
        </w:rPr>
      </w:pPr>
      <w:r>
        <w:rPr>
          <w:rFonts w:hint="eastAsia" w:ascii="仿宋_GB2312" w:hAnsi="Calibri" w:eastAsia="仿宋_GB2312" w:cs="仿宋"/>
          <w:color w:val="000000"/>
          <w:kern w:val="0"/>
          <w:sz w:val="32"/>
          <w:szCs w:val="32"/>
        </w:rPr>
        <w:t>3.</w:t>
      </w:r>
      <w:r>
        <w:rPr>
          <w:rFonts w:hint="eastAsia" w:ascii="仿宋_GB2312" w:hAnsi="Calibri" w:eastAsia="仿宋_GB2312" w:cs="仿宋_GB2312"/>
          <w:color w:val="000000"/>
          <w:kern w:val="0"/>
          <w:sz w:val="32"/>
          <w:szCs w:val="32"/>
        </w:rPr>
        <w:t>经营收入：指事业单位在专业业务活动及其辅助活动之外开展非独立核算经营活动取得的收入。</w:t>
      </w:r>
    </w:p>
    <w:p>
      <w:pPr>
        <w:pStyle w:val="11"/>
        <w:spacing w:line="560" w:lineRule="exact"/>
        <w:ind w:left="0" w:firstLine="640" w:firstLineChars="200"/>
        <w:rPr>
          <w:rFonts w:hint="eastAsia" w:ascii="仿宋_GB2312" w:hAnsi="Calibri" w:eastAsia="仿宋_GB2312" w:cs="仿宋"/>
          <w:color w:val="000000"/>
          <w:kern w:val="0"/>
          <w:sz w:val="32"/>
          <w:szCs w:val="32"/>
        </w:rPr>
      </w:pPr>
      <w:r>
        <w:rPr>
          <w:rFonts w:hint="eastAsia" w:ascii="仿宋_GB2312" w:hAnsi="Calibri" w:eastAsia="仿宋_GB2312" w:cs="仿宋"/>
          <w:color w:val="000000"/>
          <w:kern w:val="0"/>
          <w:sz w:val="32"/>
          <w:szCs w:val="32"/>
        </w:rPr>
        <w:t>4.</w:t>
      </w:r>
      <w:r>
        <w:rPr>
          <w:rFonts w:hint="eastAsia" w:ascii="仿宋_GB2312" w:hAnsi="Calibri" w:eastAsia="仿宋_GB2312" w:cs="仿宋_GB2312"/>
          <w:color w:val="000000"/>
          <w:kern w:val="0"/>
          <w:sz w:val="32"/>
          <w:szCs w:val="32"/>
        </w:rPr>
        <w:t>其他收入：指单位取得的除上述收入以外的各项收入。主要是教育局转入公用经费及利息收入等。</w:t>
      </w:r>
      <w:r>
        <w:rPr>
          <w:rFonts w:hint="eastAsia" w:ascii="仿宋_GB2312" w:hAnsi="Calibri" w:eastAsia="仿宋_GB2312" w:cs="仿宋"/>
          <w:color w:val="000000"/>
          <w:kern w:val="0"/>
          <w:sz w:val="32"/>
          <w:szCs w:val="32"/>
        </w:rPr>
        <w:t xml:space="preserve"> </w:t>
      </w:r>
    </w:p>
    <w:p>
      <w:pPr>
        <w:pStyle w:val="11"/>
        <w:spacing w:line="560" w:lineRule="exact"/>
        <w:ind w:left="0" w:firstLine="640" w:firstLineChars="200"/>
        <w:rPr>
          <w:rFonts w:hint="eastAsia" w:ascii="仿宋_GB2312" w:hAnsi="Calibri" w:eastAsia="仿宋_GB2312" w:cs="仿宋"/>
          <w:color w:val="000000"/>
          <w:kern w:val="0"/>
          <w:sz w:val="32"/>
          <w:szCs w:val="32"/>
        </w:rPr>
      </w:pPr>
      <w:r>
        <w:rPr>
          <w:rFonts w:hint="eastAsia" w:ascii="仿宋_GB2312" w:hAnsi="Calibri" w:eastAsia="仿宋_GB2312" w:cs="仿宋"/>
          <w:color w:val="000000"/>
          <w:kern w:val="0"/>
          <w:sz w:val="32"/>
          <w:szCs w:val="32"/>
        </w:rPr>
        <w:t>5.</w:t>
      </w:r>
      <w:r>
        <w:rPr>
          <w:rFonts w:hint="eastAsia" w:ascii="仿宋_GB2312" w:hAnsi="Calibri" w:eastAsia="仿宋_GB2312" w:cs="仿宋_GB2312"/>
          <w:color w:val="000000"/>
          <w:kern w:val="0"/>
          <w:sz w:val="32"/>
          <w:szCs w:val="32"/>
        </w:rPr>
        <w:t>用事业基金弥补收支差额：指事业单位在当年的财政拨款收入、事业收入、经营收入、其他收入不足以安排当年支出的情况下，使用以前年度积累的事业基金（事业单位当年收支相抵后按国家规定提取、用于弥补以后年度收支差额的基金）弥补本年度收支缺口的资金。</w:t>
      </w:r>
      <w:r>
        <w:rPr>
          <w:rFonts w:hint="eastAsia" w:ascii="仿宋_GB2312" w:hAnsi="Calibri" w:eastAsia="仿宋_GB2312" w:cs="仿宋"/>
          <w:color w:val="000000"/>
          <w:kern w:val="0"/>
          <w:sz w:val="32"/>
          <w:szCs w:val="32"/>
        </w:rPr>
        <w:t xml:space="preserve"> </w:t>
      </w:r>
    </w:p>
    <w:p>
      <w:pPr>
        <w:pStyle w:val="11"/>
        <w:spacing w:line="560" w:lineRule="exact"/>
        <w:ind w:left="0" w:firstLine="640" w:firstLineChars="200"/>
        <w:rPr>
          <w:rFonts w:hint="eastAsia" w:ascii="仿宋_GB2312" w:hAnsi="Calibri" w:eastAsia="仿宋_GB2312" w:cs="仿宋"/>
          <w:color w:val="000000"/>
          <w:kern w:val="0"/>
          <w:sz w:val="32"/>
          <w:szCs w:val="32"/>
        </w:rPr>
      </w:pPr>
      <w:r>
        <w:rPr>
          <w:rFonts w:hint="eastAsia" w:ascii="仿宋_GB2312" w:hAnsi="Calibri" w:eastAsia="仿宋_GB2312" w:cs="仿宋"/>
          <w:color w:val="000000"/>
          <w:kern w:val="0"/>
          <w:sz w:val="32"/>
          <w:szCs w:val="32"/>
        </w:rPr>
        <w:t>6.</w:t>
      </w:r>
      <w:r>
        <w:rPr>
          <w:rFonts w:hint="eastAsia" w:ascii="仿宋_GB2312" w:hAnsi="Calibri" w:eastAsia="仿宋_GB2312" w:cs="仿宋_GB2312"/>
          <w:color w:val="000000"/>
          <w:kern w:val="0"/>
          <w:sz w:val="32"/>
          <w:szCs w:val="32"/>
        </w:rPr>
        <w:t>年初结转和结余：指以前年度尚未完成、结转到本年按有关规定继续使用的资金。</w:t>
      </w:r>
      <w:r>
        <w:rPr>
          <w:rFonts w:hint="eastAsia" w:ascii="仿宋_GB2312" w:hAnsi="Calibri" w:eastAsia="仿宋_GB2312" w:cs="仿宋"/>
          <w:color w:val="000000"/>
          <w:kern w:val="0"/>
          <w:sz w:val="32"/>
          <w:szCs w:val="32"/>
        </w:rPr>
        <w:t xml:space="preserve"> </w:t>
      </w:r>
    </w:p>
    <w:p>
      <w:pPr>
        <w:pStyle w:val="11"/>
        <w:spacing w:line="560" w:lineRule="exact"/>
        <w:ind w:left="0" w:firstLine="640" w:firstLineChars="200"/>
        <w:rPr>
          <w:rFonts w:hint="eastAsia" w:ascii="仿宋_GB2312" w:hAnsi="Calibri" w:eastAsia="仿宋_GB2312" w:cs="仿宋"/>
          <w:color w:val="000000"/>
          <w:kern w:val="0"/>
          <w:sz w:val="32"/>
          <w:szCs w:val="32"/>
        </w:rPr>
      </w:pPr>
      <w:r>
        <w:rPr>
          <w:rFonts w:hint="eastAsia" w:ascii="仿宋_GB2312" w:hAnsi="Calibri" w:eastAsia="仿宋_GB2312" w:cs="仿宋"/>
          <w:color w:val="000000"/>
          <w:kern w:val="0"/>
          <w:sz w:val="32"/>
          <w:szCs w:val="32"/>
        </w:rPr>
        <w:t>7.</w:t>
      </w:r>
      <w:r>
        <w:rPr>
          <w:rFonts w:hint="eastAsia" w:ascii="仿宋_GB2312" w:hAnsi="Calibri" w:eastAsia="仿宋_GB2312" w:cs="仿宋_GB2312"/>
          <w:color w:val="000000"/>
          <w:kern w:val="0"/>
          <w:sz w:val="32"/>
          <w:szCs w:val="32"/>
        </w:rPr>
        <w:t>结余分配：指事业单位按照事业单位会计制度的规定从非财政补助结余中分配的事业基金和职工福利基金等。</w:t>
      </w:r>
    </w:p>
    <w:p>
      <w:pPr>
        <w:pStyle w:val="11"/>
        <w:spacing w:line="560" w:lineRule="exact"/>
        <w:ind w:left="0" w:firstLine="640" w:firstLineChars="200"/>
        <w:rPr>
          <w:rFonts w:hint="eastAsia" w:ascii="仿宋_GB2312" w:hAnsi="Calibri" w:eastAsia="仿宋_GB2312" w:cs="仿宋"/>
          <w:color w:val="000000"/>
          <w:kern w:val="0"/>
          <w:sz w:val="32"/>
          <w:szCs w:val="32"/>
        </w:rPr>
      </w:pPr>
      <w:r>
        <w:rPr>
          <w:rFonts w:hint="eastAsia" w:ascii="仿宋_GB2312" w:hAnsi="Calibri" w:eastAsia="仿宋_GB2312" w:cs="仿宋"/>
          <w:color w:val="000000"/>
          <w:kern w:val="0"/>
          <w:sz w:val="32"/>
          <w:szCs w:val="32"/>
        </w:rPr>
        <w:t>8</w:t>
      </w:r>
      <w:r>
        <w:rPr>
          <w:rFonts w:hint="eastAsia" w:ascii="仿宋_GB2312" w:hAnsi="Calibri" w:eastAsia="仿宋_GB2312" w:cs="仿宋_GB2312"/>
          <w:color w:val="000000"/>
          <w:kern w:val="0"/>
          <w:sz w:val="32"/>
          <w:szCs w:val="32"/>
        </w:rPr>
        <w:t>、年末结转和结余：指单位按有关规定结转到下年或以后年度继续使用的资金。</w:t>
      </w:r>
    </w:p>
    <w:p>
      <w:pPr>
        <w:keepNext w:val="0"/>
        <w:keepLines w:val="0"/>
        <w:widowControl/>
        <w:suppressLineNumbers w:val="0"/>
        <w:ind w:left="0" w:firstLine="640" w:firstLineChars="200"/>
        <w:rPr>
          <w:rFonts w:hint="eastAsia" w:ascii="仿宋_GB2312" w:hAnsi="宋体" w:eastAsia="仿宋_GB2312" w:cs="宋体"/>
          <w:color w:val="000000"/>
          <w:kern w:val="0"/>
          <w:sz w:val="32"/>
          <w:szCs w:val="32"/>
        </w:rPr>
      </w:pPr>
      <w:r>
        <w:rPr>
          <w:rFonts w:hint="eastAsia" w:ascii="仿宋_GB2312" w:hAnsi="宋体" w:eastAsia="仿宋_GB2312" w:cs="宋体"/>
          <w:color w:val="000000"/>
          <w:kern w:val="0"/>
          <w:sz w:val="32"/>
          <w:szCs w:val="32"/>
        </w:rPr>
        <w:t>9.</w:t>
      </w:r>
      <w:r>
        <w:rPr>
          <w:rFonts w:hint="eastAsia" w:ascii="仿宋_GB2312" w:hAnsi="宋体" w:eastAsia="仿宋_GB2312" w:cs="仿宋_GB2312"/>
          <w:color w:val="000000"/>
          <w:kern w:val="0"/>
          <w:sz w:val="32"/>
          <w:szCs w:val="32"/>
        </w:rPr>
        <w:t>教育</w:t>
      </w:r>
      <w:r>
        <w:rPr>
          <w:rFonts w:hint="eastAsia" w:ascii="仿宋_GB2312" w:hAnsi="宋体" w:eastAsia="仿宋_GB2312" w:cs="宋体"/>
          <w:color w:val="000000"/>
          <w:kern w:val="0"/>
          <w:sz w:val="32"/>
          <w:szCs w:val="32"/>
        </w:rPr>
        <w:t>2050203</w:t>
      </w:r>
      <w:r>
        <w:rPr>
          <w:rFonts w:hint="eastAsia" w:ascii="仿宋_GB2312" w:hAnsi="宋体" w:eastAsia="仿宋_GB2312" w:cs="仿宋_GB2312"/>
          <w:color w:val="000000"/>
          <w:kern w:val="0"/>
          <w:sz w:val="32"/>
          <w:szCs w:val="32"/>
        </w:rPr>
        <w:t>：指初中教育支出；</w:t>
      </w:r>
      <w:r>
        <w:rPr>
          <w:rFonts w:hint="eastAsia" w:ascii="仿宋_GB2312" w:hAnsi="宋体" w:eastAsia="仿宋_GB2312" w:cs="宋体"/>
          <w:color w:val="000000"/>
          <w:kern w:val="0"/>
          <w:sz w:val="32"/>
          <w:szCs w:val="32"/>
        </w:rPr>
        <w:t>2050204</w:t>
      </w:r>
      <w:r>
        <w:rPr>
          <w:rFonts w:hint="eastAsia" w:ascii="仿宋_GB2312" w:hAnsi="宋体" w:eastAsia="仿宋_GB2312" w:cs="仿宋_GB2312"/>
          <w:color w:val="000000"/>
          <w:kern w:val="0"/>
          <w:sz w:val="32"/>
          <w:szCs w:val="32"/>
        </w:rPr>
        <w:t>：指高中教育支出；</w:t>
      </w:r>
      <w:r>
        <w:rPr>
          <w:rFonts w:hint="eastAsia" w:ascii="仿宋_GB2312" w:hAnsi="宋体" w:eastAsia="仿宋_GB2312" w:cs="宋体"/>
          <w:color w:val="000000"/>
          <w:kern w:val="0"/>
          <w:sz w:val="32"/>
          <w:szCs w:val="32"/>
        </w:rPr>
        <w:t>2050299</w:t>
      </w:r>
      <w:r>
        <w:rPr>
          <w:rFonts w:hint="eastAsia" w:ascii="仿宋_GB2312" w:hAnsi="宋体" w:eastAsia="仿宋_GB2312" w:cs="仿宋_GB2312"/>
          <w:color w:val="000000"/>
          <w:kern w:val="0"/>
          <w:sz w:val="32"/>
          <w:szCs w:val="32"/>
        </w:rPr>
        <w:t>：指其他普通教育支出。</w:t>
      </w:r>
    </w:p>
    <w:p>
      <w:pPr>
        <w:keepNext w:val="0"/>
        <w:keepLines w:val="0"/>
        <w:widowControl/>
        <w:suppressLineNumbers w:val="0"/>
        <w:ind w:left="0" w:firstLine="640" w:firstLineChars="200"/>
        <w:rPr>
          <w:rFonts w:hint="eastAsia" w:ascii="仿宋_GB2312" w:hAnsi="宋体" w:eastAsia="仿宋_GB2312" w:cs="宋体"/>
          <w:color w:val="000000"/>
          <w:kern w:val="0"/>
          <w:sz w:val="32"/>
          <w:szCs w:val="32"/>
        </w:rPr>
      </w:pPr>
      <w:r>
        <w:rPr>
          <w:rFonts w:hint="eastAsia" w:ascii="仿宋_GB2312" w:hAnsi="宋体" w:eastAsia="仿宋_GB2312" w:cs="宋体"/>
          <w:color w:val="000000"/>
          <w:kern w:val="0"/>
          <w:sz w:val="32"/>
          <w:szCs w:val="32"/>
        </w:rPr>
        <w:t>10.</w:t>
      </w:r>
      <w:r>
        <w:rPr>
          <w:rFonts w:hint="eastAsia" w:ascii="仿宋_GB2312" w:hAnsi="宋体" w:eastAsia="仿宋_GB2312" w:cs="仿宋_GB2312"/>
          <w:color w:val="000000"/>
          <w:kern w:val="0"/>
          <w:sz w:val="32"/>
          <w:szCs w:val="32"/>
        </w:rPr>
        <w:t>社会保障和就业</w:t>
      </w:r>
      <w:r>
        <w:rPr>
          <w:rFonts w:hint="eastAsia" w:ascii="仿宋_GB2312" w:hAnsi="宋体" w:eastAsia="仿宋_GB2312" w:cs="宋体"/>
          <w:color w:val="000000"/>
          <w:kern w:val="0"/>
          <w:sz w:val="32"/>
          <w:szCs w:val="32"/>
        </w:rPr>
        <w:t>2080505</w:t>
      </w:r>
      <w:r>
        <w:rPr>
          <w:rFonts w:hint="eastAsia" w:ascii="仿宋_GB2312" w:hAnsi="宋体" w:eastAsia="仿宋_GB2312" w:cs="仿宋_GB2312"/>
          <w:color w:val="000000"/>
          <w:kern w:val="0"/>
          <w:sz w:val="32"/>
          <w:szCs w:val="32"/>
        </w:rPr>
        <w:t>：</w:t>
      </w:r>
      <w:r>
        <w:rPr>
          <w:rFonts w:hint="eastAsia" w:ascii="仿宋_GB2312" w:hAnsi="宋体" w:eastAsia="仿宋_GB2312" w:cs="宋体"/>
          <w:color w:val="000000"/>
          <w:kern w:val="0"/>
          <w:sz w:val="32"/>
          <w:szCs w:val="32"/>
        </w:rPr>
        <w:t xml:space="preserve"> </w:t>
      </w:r>
      <w:r>
        <w:rPr>
          <w:rFonts w:hint="eastAsia" w:ascii="仿宋_GB2312" w:hAnsi="宋体" w:eastAsia="仿宋_GB2312" w:cs="仿宋_GB2312"/>
          <w:color w:val="000000"/>
          <w:kern w:val="0"/>
          <w:sz w:val="32"/>
          <w:szCs w:val="32"/>
        </w:rPr>
        <w:t>指机关事业单位基本养老保险支出；</w:t>
      </w:r>
      <w:r>
        <w:rPr>
          <w:rFonts w:hint="eastAsia" w:ascii="仿宋_GB2312" w:hAnsi="宋体" w:eastAsia="仿宋_GB2312" w:cs="宋体"/>
          <w:color w:val="000000"/>
          <w:kern w:val="0"/>
          <w:sz w:val="32"/>
          <w:szCs w:val="32"/>
        </w:rPr>
        <w:t>2080506</w:t>
      </w:r>
      <w:r>
        <w:rPr>
          <w:rFonts w:hint="eastAsia" w:ascii="仿宋_GB2312" w:hAnsi="宋体" w:eastAsia="仿宋_GB2312" w:cs="仿宋_GB2312"/>
          <w:color w:val="000000"/>
          <w:kern w:val="0"/>
          <w:sz w:val="32"/>
          <w:szCs w:val="32"/>
        </w:rPr>
        <w:t>：指机关事业单位职业年金缴费支出。</w:t>
      </w:r>
    </w:p>
    <w:p>
      <w:pPr>
        <w:keepNext w:val="0"/>
        <w:keepLines w:val="0"/>
        <w:widowControl/>
        <w:suppressLineNumbers w:val="0"/>
        <w:ind w:left="0" w:firstLine="640" w:firstLineChars="200"/>
        <w:rPr>
          <w:rFonts w:hint="eastAsia" w:ascii="仿宋_GB2312" w:hAnsi="宋体" w:eastAsia="仿宋_GB2312" w:cs="宋体"/>
          <w:color w:val="000000"/>
          <w:kern w:val="0"/>
          <w:sz w:val="32"/>
          <w:szCs w:val="32"/>
        </w:rPr>
      </w:pPr>
      <w:r>
        <w:rPr>
          <w:rFonts w:hint="eastAsia" w:ascii="仿宋_GB2312" w:hAnsi="宋体" w:eastAsia="仿宋_GB2312" w:cs="宋体"/>
          <w:color w:val="000000"/>
          <w:kern w:val="0"/>
          <w:sz w:val="32"/>
          <w:szCs w:val="32"/>
        </w:rPr>
        <w:t>11.</w:t>
      </w:r>
      <w:r>
        <w:rPr>
          <w:rFonts w:hint="eastAsia" w:ascii="仿宋_GB2312" w:hAnsi="宋体" w:eastAsia="仿宋_GB2312" w:cs="仿宋_GB2312"/>
          <w:color w:val="000000"/>
          <w:kern w:val="0"/>
          <w:sz w:val="32"/>
          <w:szCs w:val="32"/>
        </w:rPr>
        <w:t>医疗卫生与计划生育</w:t>
      </w:r>
      <w:r>
        <w:rPr>
          <w:rFonts w:hint="eastAsia" w:ascii="仿宋_GB2312" w:hAnsi="宋体" w:eastAsia="仿宋_GB2312" w:cs="宋体"/>
          <w:color w:val="000000"/>
          <w:kern w:val="0"/>
          <w:sz w:val="32"/>
          <w:szCs w:val="32"/>
        </w:rPr>
        <w:t>2101102</w:t>
      </w:r>
      <w:r>
        <w:rPr>
          <w:rFonts w:hint="eastAsia" w:ascii="仿宋_GB2312" w:hAnsi="宋体" w:eastAsia="仿宋_GB2312" w:cs="仿宋_GB2312"/>
          <w:color w:val="000000"/>
          <w:kern w:val="0"/>
          <w:sz w:val="32"/>
          <w:szCs w:val="32"/>
        </w:rPr>
        <w:t>：指事业单位医疗支出；</w:t>
      </w:r>
      <w:r>
        <w:rPr>
          <w:rFonts w:hint="eastAsia" w:ascii="仿宋_GB2312" w:hAnsi="宋体" w:eastAsia="仿宋_GB2312" w:cs="宋体"/>
          <w:color w:val="000000"/>
          <w:kern w:val="0"/>
          <w:sz w:val="32"/>
          <w:szCs w:val="32"/>
        </w:rPr>
        <w:t>2101199;</w:t>
      </w:r>
      <w:r>
        <w:rPr>
          <w:rFonts w:hint="eastAsia" w:ascii="仿宋_GB2312" w:hAnsi="宋体" w:eastAsia="仿宋_GB2312" w:cs="仿宋_GB2312"/>
          <w:color w:val="000000"/>
          <w:kern w:val="0"/>
          <w:sz w:val="32"/>
          <w:szCs w:val="32"/>
        </w:rPr>
        <w:t>指其他行政事业单位医疗支出。</w:t>
      </w:r>
    </w:p>
    <w:p>
      <w:pPr>
        <w:keepNext w:val="0"/>
        <w:keepLines w:val="0"/>
        <w:widowControl/>
        <w:suppressLineNumbers w:val="0"/>
        <w:ind w:left="0" w:firstLine="640" w:firstLineChars="200"/>
        <w:rPr>
          <w:rFonts w:hint="eastAsia" w:ascii="仿宋_GB2312" w:hAnsi="宋体" w:eastAsia="仿宋_GB2312" w:cs="宋体"/>
          <w:color w:val="000000"/>
          <w:kern w:val="0"/>
          <w:sz w:val="32"/>
          <w:szCs w:val="32"/>
        </w:rPr>
      </w:pPr>
      <w:r>
        <w:rPr>
          <w:rFonts w:hint="eastAsia" w:ascii="仿宋_GB2312" w:hAnsi="宋体" w:eastAsia="仿宋_GB2312" w:cs="宋体"/>
          <w:color w:val="000000"/>
          <w:kern w:val="0"/>
          <w:sz w:val="32"/>
          <w:szCs w:val="32"/>
        </w:rPr>
        <w:t>12.</w:t>
      </w:r>
      <w:r>
        <w:rPr>
          <w:rFonts w:hint="eastAsia" w:ascii="仿宋_GB2312" w:hAnsi="宋体" w:eastAsia="仿宋_GB2312" w:cs="仿宋_GB2312"/>
          <w:color w:val="000000"/>
          <w:kern w:val="0"/>
          <w:sz w:val="32"/>
          <w:szCs w:val="32"/>
        </w:rPr>
        <w:t>住房保障</w:t>
      </w:r>
      <w:r>
        <w:rPr>
          <w:rFonts w:hint="eastAsia" w:ascii="仿宋_GB2312" w:hAnsi="宋体" w:eastAsia="仿宋_GB2312" w:cs="宋体"/>
          <w:color w:val="000000"/>
          <w:kern w:val="0"/>
          <w:sz w:val="32"/>
          <w:szCs w:val="32"/>
        </w:rPr>
        <w:t>2210201</w:t>
      </w:r>
      <w:r>
        <w:rPr>
          <w:rFonts w:hint="eastAsia" w:ascii="仿宋_GB2312" w:hAnsi="宋体" w:eastAsia="仿宋_GB2312" w:cs="仿宋_GB2312"/>
          <w:color w:val="000000"/>
          <w:kern w:val="0"/>
          <w:sz w:val="32"/>
          <w:szCs w:val="32"/>
        </w:rPr>
        <w:t>：指住房公积金。</w:t>
      </w:r>
    </w:p>
    <w:p>
      <w:pPr>
        <w:keepNext w:val="0"/>
        <w:keepLines w:val="0"/>
        <w:widowControl/>
        <w:suppressLineNumbers w:val="0"/>
        <w:ind w:left="0" w:firstLine="640" w:firstLineChars="200"/>
        <w:rPr>
          <w:rFonts w:hint="eastAsia" w:ascii="仿宋_GB2312" w:hAnsi="宋体" w:eastAsia="仿宋_GB2312" w:cs="宋体"/>
          <w:color w:val="000000"/>
          <w:kern w:val="0"/>
          <w:sz w:val="32"/>
          <w:szCs w:val="32"/>
        </w:rPr>
      </w:pPr>
      <w:r>
        <w:rPr>
          <w:rFonts w:hint="eastAsia" w:ascii="仿宋_GB2312" w:hAnsi="宋体" w:eastAsia="仿宋_GB2312" w:cs="宋体"/>
          <w:color w:val="000000"/>
          <w:kern w:val="0"/>
          <w:sz w:val="32"/>
          <w:szCs w:val="32"/>
        </w:rPr>
        <w:t>13.</w:t>
      </w:r>
      <w:r>
        <w:rPr>
          <w:rFonts w:hint="eastAsia" w:ascii="仿宋_GB2312" w:hAnsi="宋体" w:eastAsia="仿宋_GB2312" w:cs="仿宋_GB2312"/>
          <w:color w:val="000000"/>
          <w:kern w:val="0"/>
          <w:sz w:val="32"/>
          <w:szCs w:val="32"/>
        </w:rPr>
        <w:t>基本支出：指为保障机构正常运转、完成日常工作任务而发生的人员支出和公用支出。</w:t>
      </w:r>
    </w:p>
    <w:p>
      <w:pPr>
        <w:keepNext w:val="0"/>
        <w:keepLines w:val="0"/>
        <w:widowControl/>
        <w:suppressLineNumbers w:val="0"/>
        <w:ind w:left="0" w:firstLine="640" w:firstLineChars="200"/>
        <w:rPr>
          <w:rFonts w:hint="eastAsia" w:ascii="仿宋" w:hAnsi="仿宋" w:eastAsia="仿宋" w:cs="宋体"/>
          <w:b/>
          <w:bCs/>
          <w:color w:val="000000"/>
          <w:kern w:val="0"/>
          <w:sz w:val="32"/>
          <w:szCs w:val="32"/>
        </w:rPr>
      </w:pPr>
      <w:r>
        <w:rPr>
          <w:rFonts w:hint="eastAsia" w:ascii="仿宋_GB2312" w:hAnsi="宋体" w:eastAsia="仿宋_GB2312" w:cs="宋体"/>
          <w:color w:val="000000"/>
          <w:kern w:val="0"/>
          <w:sz w:val="32"/>
          <w:szCs w:val="32"/>
        </w:rPr>
        <w:t>14.</w:t>
      </w:r>
      <w:r>
        <w:rPr>
          <w:rFonts w:hint="eastAsia" w:ascii="仿宋_GB2312" w:hAnsi="宋体" w:eastAsia="仿宋_GB2312" w:cs="仿宋_GB2312"/>
          <w:color w:val="000000"/>
          <w:kern w:val="0"/>
          <w:sz w:val="32"/>
          <w:szCs w:val="32"/>
        </w:rPr>
        <w:t>项目支出：指在基本支出之外为完成特定行政任务和事业发展目标所发生的支出。</w:t>
      </w:r>
    </w:p>
    <w:p>
      <w:pPr>
        <w:keepNext w:val="0"/>
        <w:keepLines w:val="0"/>
        <w:widowControl/>
        <w:suppressLineNumbers w:val="0"/>
        <w:spacing w:line="600" w:lineRule="exact"/>
        <w:jc w:val="center"/>
        <w:rPr>
          <w:rFonts w:hint="eastAsia" w:ascii="黑体" w:hAnsi="宋体" w:eastAsia="黑体" w:cs="宋体"/>
          <w:color w:val="000000"/>
          <w:kern w:val="0"/>
          <w:sz w:val="44"/>
          <w:szCs w:val="44"/>
        </w:rPr>
      </w:pPr>
      <w:r>
        <w:rPr>
          <w:rFonts w:hint="eastAsia" w:ascii="黑体" w:hAnsi="宋体" w:eastAsia="黑体" w:cs="宋体"/>
          <w:color w:val="000000"/>
          <w:kern w:val="0"/>
          <w:sz w:val="44"/>
          <w:szCs w:val="44"/>
        </w:rPr>
        <w:t xml:space="preserve"> </w:t>
      </w:r>
    </w:p>
    <w:p>
      <w:pPr>
        <w:pStyle w:val="8"/>
        <w:keepNext w:val="0"/>
        <w:keepLines w:val="0"/>
        <w:widowControl/>
        <w:suppressLineNumbers w:val="0"/>
        <w:spacing w:before="0" w:beforeAutospacing="0"/>
        <w:ind w:left="0"/>
        <w:jc w:val="center"/>
        <w:rPr>
          <w:rFonts w:hint="eastAsia" w:ascii="黑体" w:hAnsi="宋体" w:eastAsia="黑体" w:cs="Times New Roman"/>
          <w:color w:val="000000"/>
          <w:kern w:val="2"/>
          <w:sz w:val="44"/>
          <w:szCs w:val="44"/>
        </w:rPr>
      </w:pPr>
      <w:r>
        <w:rPr>
          <w:rFonts w:hint="eastAsia" w:ascii="宋体" w:hAnsi="宋体" w:eastAsia="宋体" w:cs="宋体"/>
          <w:kern w:val="0"/>
          <w:sz w:val="24"/>
          <w:szCs w:val="24"/>
          <w:shd w:val="clear" w:fill="FFFFFF"/>
        </w:rPr>
        <w:t xml:space="preserve"> </w:t>
      </w:r>
      <w:r>
        <w:rPr>
          <w:rFonts w:hint="eastAsia" w:ascii="黑体" w:hAnsi="宋体" w:eastAsia="黑体" w:cs="黑体"/>
          <w:color w:val="000000"/>
          <w:kern w:val="2"/>
          <w:sz w:val="44"/>
          <w:szCs w:val="44"/>
        </w:rPr>
        <w:t>第四部分</w:t>
      </w:r>
      <w:r>
        <w:rPr>
          <w:rFonts w:hint="eastAsia" w:ascii="黑体" w:hAnsi="宋体" w:eastAsia="黑体" w:cs="Times New Roman"/>
          <w:color w:val="000000"/>
          <w:kern w:val="2"/>
          <w:sz w:val="44"/>
          <w:szCs w:val="44"/>
        </w:rPr>
        <w:t xml:space="preserve"> </w:t>
      </w:r>
      <w:r>
        <w:rPr>
          <w:rFonts w:hint="eastAsia" w:ascii="黑体" w:hAnsi="宋体" w:eastAsia="黑体" w:cs="黑体"/>
          <w:color w:val="000000"/>
          <w:kern w:val="2"/>
          <w:sz w:val="44"/>
          <w:szCs w:val="44"/>
        </w:rPr>
        <w:t>附件</w:t>
      </w:r>
    </w:p>
    <w:p>
      <w:pPr>
        <w:pStyle w:val="8"/>
        <w:keepNext w:val="0"/>
        <w:keepLines w:val="0"/>
        <w:widowControl/>
        <w:suppressLineNumbers w:val="0"/>
        <w:spacing w:before="0" w:beforeAutospacing="0"/>
        <w:ind w:left="0"/>
        <w:jc w:val="left"/>
        <w:rPr>
          <w:rFonts w:hint="eastAsia" w:ascii="宋体" w:hAnsi="宋体" w:eastAsia="宋体" w:cs="宋体"/>
          <w:kern w:val="0"/>
          <w:sz w:val="24"/>
          <w:szCs w:val="24"/>
        </w:rPr>
      </w:pPr>
      <w:r>
        <w:rPr>
          <w:rFonts w:hint="eastAsia" w:ascii="宋体" w:hAnsi="宋体" w:eastAsia="宋体" w:cs="宋体"/>
          <w:kern w:val="0"/>
          <w:sz w:val="24"/>
          <w:szCs w:val="24"/>
          <w:shd w:val="clear" w:fill="FFFFFF"/>
        </w:rPr>
        <w:t xml:space="preserve"> 附件1</w:t>
      </w:r>
    </w:p>
    <w:p>
      <w:pPr>
        <w:keepNext w:val="0"/>
        <w:keepLines w:val="0"/>
        <w:widowControl/>
        <w:suppressLineNumbers w:val="0"/>
        <w:spacing w:before="0" w:beforeAutospacing="0" w:after="0" w:afterAutospacing="0" w:line="480" w:lineRule="exact"/>
        <w:ind w:left="0" w:right="0"/>
        <w:jc w:val="center"/>
        <w:rPr>
          <w:rFonts w:hint="eastAsia" w:ascii="方正小标宋简体" w:hAnsi="宋体" w:eastAsia="方正小标宋简体" w:cs="方正小标宋简体"/>
          <w:kern w:val="2"/>
          <w:sz w:val="44"/>
          <w:szCs w:val="44"/>
        </w:rPr>
      </w:pPr>
      <w:r>
        <w:rPr>
          <w:rFonts w:hint="eastAsia" w:ascii="方正小标宋简体" w:hAnsi="方正小标宋简体" w:eastAsia="方正小标宋简体" w:cs="方正小标宋简体"/>
          <w:kern w:val="2"/>
          <w:sz w:val="44"/>
          <w:szCs w:val="44"/>
        </w:rPr>
        <w:t>红原县寄宿制藏文中学</w:t>
      </w:r>
    </w:p>
    <w:p>
      <w:pPr>
        <w:keepNext w:val="0"/>
        <w:keepLines w:val="0"/>
        <w:widowControl/>
        <w:suppressLineNumbers w:val="0"/>
        <w:spacing w:before="0" w:beforeAutospacing="0" w:after="0" w:afterAutospacing="0" w:line="480" w:lineRule="exact"/>
        <w:ind w:left="0" w:right="0"/>
        <w:jc w:val="center"/>
        <w:rPr>
          <w:rFonts w:hint="eastAsia" w:ascii="方正小标宋简体" w:hAnsi="宋体" w:eastAsia="方正小标宋简体" w:cs="方正小标宋简体"/>
          <w:kern w:val="0"/>
          <w:sz w:val="44"/>
          <w:szCs w:val="44"/>
        </w:rPr>
      </w:pPr>
      <w:r>
        <w:rPr>
          <w:rFonts w:hint="eastAsia" w:ascii="方正小标宋简体" w:hAnsi="宋体" w:eastAsia="方正小标宋简体" w:cs="方正小标宋简体"/>
          <w:kern w:val="2"/>
          <w:sz w:val="44"/>
          <w:szCs w:val="44"/>
        </w:rPr>
        <w:t>202</w:t>
      </w:r>
      <w:r>
        <w:rPr>
          <w:rFonts w:hint="eastAsia" w:ascii="方正小标宋简体" w:eastAsia="方正小标宋简体" w:cs="方正小标宋简体"/>
          <w:kern w:val="2"/>
          <w:sz w:val="44"/>
          <w:szCs w:val="44"/>
          <w:lang w:val="en-US" w:eastAsia="zh-CN"/>
        </w:rPr>
        <w:t>5</w:t>
      </w:r>
      <w:r>
        <w:rPr>
          <w:rFonts w:hint="eastAsia" w:ascii="方正小标宋简体" w:hAnsi="方正小标宋简体" w:eastAsia="方正小标宋简体" w:cs="方正小标宋简体"/>
          <w:kern w:val="2"/>
          <w:sz w:val="44"/>
          <w:szCs w:val="44"/>
        </w:rPr>
        <w:t>年部门整体支出绩效报告</w:t>
      </w:r>
    </w:p>
    <w:p>
      <w:pPr>
        <w:pStyle w:val="8"/>
        <w:keepNext w:val="0"/>
        <w:keepLines w:val="0"/>
        <w:widowControl/>
        <w:suppressLineNumbers w:val="0"/>
        <w:spacing w:before="0" w:beforeAutospacing="0"/>
        <w:ind w:left="0"/>
        <w:jc w:val="center"/>
        <w:rPr>
          <w:rFonts w:hint="eastAsia" w:ascii="宋体" w:hAnsi="宋体" w:eastAsia="宋体" w:cs="宋体"/>
          <w:kern w:val="0"/>
          <w:sz w:val="24"/>
          <w:szCs w:val="24"/>
        </w:rPr>
      </w:pPr>
      <w:r>
        <w:rPr>
          <w:rFonts w:hint="eastAsia" w:ascii="宋体" w:hAnsi="宋体" w:eastAsia="宋体" w:cs="宋体"/>
          <w:kern w:val="0"/>
          <w:sz w:val="24"/>
          <w:szCs w:val="24"/>
          <w:shd w:val="clear" w:fill="FFFFFF"/>
        </w:rPr>
        <w:t xml:space="preserve"> </w:t>
      </w:r>
    </w:p>
    <w:p>
      <w:pPr>
        <w:keepNext w:val="0"/>
        <w:keepLines w:val="0"/>
        <w:widowControl/>
        <w:suppressLineNumbers w:val="0"/>
        <w:adjustRightInd w:val="0"/>
        <w:snapToGrid w:val="0"/>
        <w:spacing w:before="0" w:beforeAutospacing="0" w:after="0" w:afterAutospacing="0" w:line="480" w:lineRule="exact"/>
        <w:ind w:right="0"/>
        <w:jc w:val="left"/>
        <w:rPr>
          <w:rFonts w:hint="eastAsia" w:ascii="黑体" w:hAnsi="宋体" w:eastAsia="黑体" w:cs="宋体"/>
          <w:color w:val="000000"/>
          <w:kern w:val="0"/>
          <w:sz w:val="24"/>
          <w:szCs w:val="24"/>
        </w:rPr>
      </w:pPr>
      <w:r>
        <w:rPr>
          <w:rFonts w:hint="eastAsia" w:ascii="宋体" w:hAnsi="宋体" w:eastAsia="宋体" w:cs="宋体"/>
          <w:kern w:val="0"/>
          <w:sz w:val="24"/>
          <w:szCs w:val="24"/>
          <w:shd w:val="clear" w:fill="FFFFFF"/>
        </w:rPr>
        <w:t xml:space="preserve"> </w:t>
      </w:r>
      <w:r>
        <w:rPr>
          <w:rFonts w:hint="eastAsia" w:ascii="黑体" w:hAnsi="宋体" w:eastAsia="黑体" w:cs="黑体"/>
          <w:color w:val="000000"/>
          <w:kern w:val="0"/>
          <w:sz w:val="32"/>
          <w:szCs w:val="32"/>
        </w:rPr>
        <w:t>一、部门（单位）概况</w:t>
      </w:r>
    </w:p>
    <w:p>
      <w:pPr>
        <w:keepNext w:val="0"/>
        <w:keepLines w:val="0"/>
        <w:widowControl/>
        <w:suppressLineNumbers w:val="0"/>
        <w:adjustRightInd w:val="0"/>
        <w:snapToGrid w:val="0"/>
        <w:spacing w:line="480" w:lineRule="exact"/>
        <w:ind w:left="0" w:firstLine="640" w:firstLineChars="200"/>
        <w:jc w:val="left"/>
        <w:rPr>
          <w:rFonts w:hint="eastAsia" w:ascii="楷体" w:hAnsi="楷体" w:eastAsia="楷体" w:cs="楷体"/>
          <w:color w:val="000000"/>
          <w:kern w:val="0"/>
          <w:sz w:val="32"/>
          <w:szCs w:val="32"/>
        </w:rPr>
      </w:pPr>
      <w:r>
        <w:rPr>
          <w:rFonts w:hint="eastAsia" w:ascii="楷体" w:hAnsi="楷体" w:eastAsia="楷体" w:cs="楷体"/>
          <w:color w:val="000000"/>
          <w:kern w:val="0"/>
          <w:sz w:val="32"/>
          <w:szCs w:val="32"/>
        </w:rPr>
        <w:t>（一）机构组成</w:t>
      </w:r>
    </w:p>
    <w:p>
      <w:pPr>
        <w:pStyle w:val="3"/>
        <w:keepNext w:val="0"/>
        <w:keepLines w:val="0"/>
        <w:widowControl/>
        <w:suppressLineNumbers w:val="0"/>
        <w:adjustRightInd w:val="0"/>
        <w:snapToGrid w:val="0"/>
        <w:spacing w:before="93" w:beforeLines="30" w:beforeAutospacing="0" w:line="580" w:lineRule="exact"/>
        <w:ind w:left="0" w:firstLine="640" w:firstLineChars="200"/>
        <w:rPr>
          <w:rFonts w:hint="eastAsia" w:ascii="仿宋_GB2312" w:hAnsi="宋体" w:eastAsia="仿宋_GB2312" w:cs="宋体"/>
          <w:color w:val="000000"/>
          <w:kern w:val="0"/>
          <w:sz w:val="32"/>
          <w:szCs w:val="32"/>
        </w:rPr>
      </w:pPr>
      <w:r>
        <w:rPr>
          <w:rFonts w:hint="eastAsia" w:ascii="仿宋_GB2312" w:hAnsi="宋体" w:eastAsia="仿宋_GB2312" w:cs="仿宋_GB2312"/>
          <w:kern w:val="0"/>
          <w:sz w:val="32"/>
          <w:szCs w:val="32"/>
        </w:rPr>
        <w:t>我园属于红原县教育局下属的二级预算、财政全额拨款的事业单位，执行的是中小学事业单位会计制度。</w:t>
      </w:r>
    </w:p>
    <w:p>
      <w:pPr>
        <w:keepNext w:val="0"/>
        <w:keepLines w:val="0"/>
        <w:widowControl/>
        <w:suppressLineNumbers w:val="0"/>
        <w:adjustRightInd w:val="0"/>
        <w:snapToGrid w:val="0"/>
        <w:spacing w:line="480" w:lineRule="exact"/>
        <w:ind w:left="0" w:firstLine="640" w:firstLineChars="200"/>
        <w:jc w:val="left"/>
        <w:rPr>
          <w:rFonts w:hint="eastAsia" w:ascii="楷体" w:hAnsi="楷体" w:eastAsia="楷体" w:cs="楷体"/>
          <w:color w:val="000000"/>
          <w:kern w:val="0"/>
          <w:sz w:val="32"/>
          <w:szCs w:val="32"/>
        </w:rPr>
      </w:pPr>
      <w:r>
        <w:rPr>
          <w:rFonts w:hint="eastAsia" w:ascii="楷体" w:hAnsi="楷体" w:eastAsia="楷体" w:cs="楷体"/>
          <w:color w:val="000000"/>
          <w:kern w:val="0"/>
          <w:sz w:val="32"/>
          <w:szCs w:val="32"/>
        </w:rPr>
        <w:t>（二）机构职能</w:t>
      </w:r>
    </w:p>
    <w:p>
      <w:pPr>
        <w:pStyle w:val="3"/>
        <w:keepNext w:val="0"/>
        <w:keepLines w:val="0"/>
        <w:widowControl w:val="0"/>
        <w:suppressLineNumbers w:val="0"/>
        <w:adjustRightInd w:val="0"/>
        <w:snapToGrid w:val="0"/>
        <w:spacing w:beforeLines="30" w:beforeAutospacing="0" w:line="560" w:lineRule="exact"/>
        <w:ind w:left="0" w:right="0" w:rightChars="0" w:firstLine="640" w:firstLineChars="200"/>
        <w:rPr>
          <w:rFonts w:hint="eastAsia" w:ascii="仿宋_GB2312" w:hAnsi="宋体" w:eastAsia="仿宋_GB2312" w:cs="宋体"/>
          <w:color w:val="000000"/>
          <w:kern w:val="0"/>
          <w:sz w:val="32"/>
          <w:szCs w:val="32"/>
        </w:rPr>
      </w:pPr>
      <w:r>
        <w:rPr>
          <w:rFonts w:hint="eastAsia" w:ascii="仿宋_GB2312" w:hAnsi="宋体" w:eastAsia="仿宋_GB2312" w:cs="仿宋_GB2312"/>
          <w:color w:val="000000"/>
          <w:kern w:val="0"/>
          <w:sz w:val="32"/>
          <w:szCs w:val="32"/>
        </w:rPr>
        <w:t>学前义务教育的实施，促进基础教育发展，培养学生高尚的思想道德情操，丰富的科学文化知识，良好的身体素质，促进学生全面发展，业务范围是从事</w:t>
      </w:r>
      <w:r>
        <w:rPr>
          <w:rFonts w:hint="eastAsia" w:cs="仿宋_GB2312"/>
          <w:color w:val="000000"/>
          <w:kern w:val="0"/>
          <w:sz w:val="32"/>
          <w:szCs w:val="32"/>
          <w:lang w:val="en-US" w:eastAsia="zh-CN"/>
        </w:rPr>
        <w:t>中</w:t>
      </w:r>
      <w:r>
        <w:rPr>
          <w:rFonts w:hint="eastAsia" w:ascii="仿宋_GB2312" w:hAnsi="宋体" w:eastAsia="仿宋_GB2312" w:cs="仿宋_GB2312"/>
          <w:color w:val="000000"/>
          <w:kern w:val="0"/>
          <w:sz w:val="32"/>
          <w:szCs w:val="32"/>
        </w:rPr>
        <w:t>学教育。</w:t>
      </w:r>
    </w:p>
    <w:p>
      <w:pPr>
        <w:keepNext w:val="0"/>
        <w:keepLines w:val="0"/>
        <w:widowControl/>
        <w:suppressLineNumbers w:val="0"/>
        <w:adjustRightInd w:val="0"/>
        <w:snapToGrid w:val="0"/>
        <w:spacing w:line="480" w:lineRule="exact"/>
        <w:ind w:left="0" w:firstLine="640" w:firstLineChars="200"/>
        <w:jc w:val="left"/>
        <w:rPr>
          <w:rFonts w:hint="eastAsia" w:ascii="楷体" w:hAnsi="楷体" w:eastAsia="楷体" w:cs="楷体"/>
          <w:color w:val="000000"/>
          <w:kern w:val="0"/>
          <w:sz w:val="32"/>
          <w:szCs w:val="32"/>
        </w:rPr>
      </w:pPr>
      <w:r>
        <w:rPr>
          <w:rFonts w:hint="eastAsia" w:ascii="楷体" w:hAnsi="楷体" w:eastAsia="楷体" w:cs="楷体"/>
          <w:color w:val="000000"/>
          <w:kern w:val="0"/>
          <w:sz w:val="32"/>
          <w:szCs w:val="32"/>
        </w:rPr>
        <w:t>（三）人员概况</w:t>
      </w:r>
    </w:p>
    <w:p>
      <w:pPr>
        <w:pStyle w:val="3"/>
        <w:keepNext w:val="0"/>
        <w:keepLines w:val="0"/>
        <w:widowControl w:val="0"/>
        <w:suppressLineNumbers w:val="0"/>
        <w:adjustRightInd w:val="0"/>
        <w:snapToGrid w:val="0"/>
        <w:spacing w:beforeLines="30" w:beforeAutospacing="0" w:line="360" w:lineRule="auto"/>
        <w:ind w:left="0" w:right="0" w:rightChars="0" w:firstLine="640" w:firstLineChars="200"/>
        <w:rPr>
          <w:rFonts w:hint="default" w:ascii="仿宋_GB2312" w:hAnsi="宋体" w:eastAsia="仿宋_GB2312" w:cs="宋体"/>
          <w:color w:val="000000"/>
          <w:kern w:val="0"/>
          <w:sz w:val="32"/>
          <w:szCs w:val="32"/>
          <w:lang w:val="en-US" w:eastAsia="zh-CN"/>
        </w:rPr>
      </w:pPr>
      <w:r>
        <w:rPr>
          <w:rFonts w:hint="eastAsia" w:ascii="仿宋_GB2312" w:hAnsi="Times New Roman" w:eastAsia="仿宋_GB2312" w:cs="仿宋_GB2312"/>
          <w:color w:val="000000"/>
          <w:kern w:val="0"/>
          <w:sz w:val="32"/>
          <w:szCs w:val="32"/>
        </w:rPr>
        <w:t>我单位共有编制</w:t>
      </w:r>
      <w:r>
        <w:rPr>
          <w:rFonts w:hint="eastAsia" w:ascii="仿宋_GB2312" w:hAnsi="Times New Roman" w:eastAsia="仿宋_GB2312" w:cs="Times New Roman"/>
          <w:color w:val="000000"/>
          <w:kern w:val="0"/>
          <w:sz w:val="32"/>
          <w:szCs w:val="32"/>
        </w:rPr>
        <w:t>1</w:t>
      </w:r>
      <w:r>
        <w:rPr>
          <w:rFonts w:hint="eastAsia" w:hAnsi="Times New Roman" w:cs="Times New Roman"/>
          <w:color w:val="000000"/>
          <w:kern w:val="0"/>
          <w:sz w:val="32"/>
          <w:szCs w:val="32"/>
          <w:lang w:val="en-US" w:eastAsia="zh-CN"/>
        </w:rPr>
        <w:t>62</w:t>
      </w:r>
      <w:r>
        <w:rPr>
          <w:rFonts w:hint="eastAsia" w:ascii="仿宋_GB2312" w:hAnsi="Times New Roman" w:eastAsia="仿宋_GB2312" w:cs="仿宋_GB2312"/>
          <w:color w:val="000000"/>
          <w:kern w:val="0"/>
          <w:sz w:val="32"/>
          <w:szCs w:val="32"/>
        </w:rPr>
        <w:t>人，截止</w:t>
      </w:r>
      <w:r>
        <w:rPr>
          <w:rFonts w:hint="eastAsia" w:ascii="仿宋_GB2312" w:hAnsi="宋体" w:eastAsia="仿宋_GB2312" w:cs="Times New Roman"/>
          <w:color w:val="000000"/>
          <w:kern w:val="0"/>
          <w:sz w:val="32"/>
          <w:szCs w:val="32"/>
        </w:rPr>
        <w:t>202</w:t>
      </w:r>
      <w:r>
        <w:rPr>
          <w:rFonts w:hint="eastAsia" w:cs="Times New Roman"/>
          <w:color w:val="000000"/>
          <w:kern w:val="0"/>
          <w:sz w:val="32"/>
          <w:szCs w:val="32"/>
          <w:lang w:val="en-US" w:eastAsia="zh-CN"/>
        </w:rPr>
        <w:t>5</w:t>
      </w:r>
      <w:r>
        <w:rPr>
          <w:rFonts w:hint="eastAsia" w:ascii="仿宋_GB2312" w:hAnsi="Times New Roman" w:eastAsia="仿宋_GB2312" w:cs="仿宋_GB2312"/>
          <w:color w:val="000000"/>
          <w:kern w:val="0"/>
          <w:sz w:val="32"/>
          <w:szCs w:val="32"/>
        </w:rPr>
        <w:t>年底在职职工</w:t>
      </w:r>
      <w:r>
        <w:rPr>
          <w:rFonts w:hint="eastAsia" w:ascii="仿宋_GB2312" w:hAnsi="宋体" w:eastAsia="仿宋_GB2312" w:cs="Times New Roman"/>
          <w:color w:val="000000"/>
          <w:kern w:val="0"/>
          <w:sz w:val="32"/>
          <w:szCs w:val="32"/>
        </w:rPr>
        <w:t>1</w:t>
      </w:r>
      <w:r>
        <w:rPr>
          <w:rFonts w:hint="eastAsia" w:cs="Times New Roman"/>
          <w:color w:val="000000"/>
          <w:kern w:val="0"/>
          <w:sz w:val="32"/>
          <w:szCs w:val="32"/>
          <w:lang w:val="en-US" w:eastAsia="zh-CN"/>
        </w:rPr>
        <w:t>63</w:t>
      </w:r>
      <w:r>
        <w:rPr>
          <w:rFonts w:hint="eastAsia" w:ascii="仿宋_GB2312" w:hAnsi="Times New Roman" w:eastAsia="仿宋_GB2312" w:cs="仿宋_GB2312"/>
          <w:color w:val="000000"/>
          <w:kern w:val="0"/>
          <w:sz w:val="32"/>
          <w:szCs w:val="32"/>
        </w:rPr>
        <w:t>人</w:t>
      </w:r>
      <w:r>
        <w:rPr>
          <w:rFonts w:hint="eastAsia" w:hAnsi="Times New Roman" w:cs="仿宋_GB2312"/>
          <w:color w:val="000000"/>
          <w:kern w:val="0"/>
          <w:sz w:val="32"/>
          <w:szCs w:val="32"/>
          <w:lang w:eastAsia="zh-CN"/>
        </w:rPr>
        <w:t>，</w:t>
      </w:r>
      <w:r>
        <w:rPr>
          <w:rFonts w:hint="eastAsia" w:hAnsi="Times New Roman" w:cs="仿宋_GB2312"/>
          <w:color w:val="000000"/>
          <w:kern w:val="0"/>
          <w:sz w:val="32"/>
          <w:szCs w:val="32"/>
          <w:lang w:val="en-US" w:eastAsia="zh-CN"/>
        </w:rPr>
        <w:t>超编1人。</w:t>
      </w:r>
    </w:p>
    <w:p>
      <w:pPr>
        <w:keepNext w:val="0"/>
        <w:keepLines w:val="0"/>
        <w:widowControl/>
        <w:suppressLineNumbers w:val="0"/>
        <w:adjustRightInd w:val="0"/>
        <w:snapToGrid w:val="0"/>
        <w:spacing w:before="0" w:beforeAutospacing="0" w:after="0" w:afterAutospacing="0" w:line="360" w:lineRule="auto"/>
        <w:ind w:right="0"/>
        <w:jc w:val="left"/>
        <w:rPr>
          <w:rFonts w:hint="eastAsia" w:ascii="黑体" w:hAnsi="宋体" w:eastAsia="黑体" w:cs="宋体"/>
          <w:color w:val="000000"/>
          <w:kern w:val="0"/>
          <w:sz w:val="24"/>
          <w:szCs w:val="24"/>
        </w:rPr>
      </w:pPr>
      <w:r>
        <w:rPr>
          <w:rFonts w:hint="eastAsia" w:ascii="黑体" w:hAnsi="宋体" w:eastAsia="黑体" w:cs="黑体"/>
          <w:color w:val="000000"/>
          <w:kern w:val="0"/>
          <w:sz w:val="32"/>
          <w:szCs w:val="32"/>
        </w:rPr>
        <w:t>二、部门财政资金收支情况</w:t>
      </w:r>
    </w:p>
    <w:p>
      <w:pPr>
        <w:keepNext w:val="0"/>
        <w:keepLines w:val="0"/>
        <w:widowControl/>
        <w:suppressLineNumbers w:val="0"/>
        <w:adjustRightInd w:val="0"/>
        <w:snapToGrid w:val="0"/>
        <w:spacing w:line="480" w:lineRule="exact"/>
        <w:ind w:left="0" w:firstLine="640" w:firstLineChars="200"/>
        <w:jc w:val="left"/>
        <w:rPr>
          <w:rFonts w:hint="eastAsia" w:ascii="楷体" w:hAnsi="楷体" w:eastAsia="楷体" w:cs="楷体"/>
          <w:color w:val="000000"/>
          <w:kern w:val="0"/>
          <w:sz w:val="32"/>
          <w:szCs w:val="32"/>
        </w:rPr>
      </w:pPr>
      <w:r>
        <w:rPr>
          <w:rFonts w:hint="eastAsia" w:ascii="楷体" w:hAnsi="楷体" w:eastAsia="楷体" w:cs="楷体"/>
          <w:color w:val="000000"/>
          <w:kern w:val="0"/>
          <w:sz w:val="32"/>
          <w:szCs w:val="32"/>
        </w:rPr>
        <w:t>（一）部门财政资金收入情况</w:t>
      </w:r>
    </w:p>
    <w:p>
      <w:pPr>
        <w:keepNext w:val="0"/>
        <w:keepLines w:val="0"/>
        <w:widowControl/>
        <w:suppressLineNumbers w:val="0"/>
        <w:spacing w:line="600" w:lineRule="exact"/>
        <w:ind w:left="0" w:firstLine="640" w:firstLineChars="200"/>
        <w:rPr>
          <w:rFonts w:hint="eastAsia" w:ascii="仿宋_GB2312" w:hAnsi="宋体" w:eastAsia="仿宋_GB2312" w:cs="宋体"/>
          <w:color w:val="000000"/>
          <w:kern w:val="0"/>
          <w:sz w:val="32"/>
          <w:szCs w:val="32"/>
        </w:rPr>
      </w:pPr>
      <w:r>
        <w:rPr>
          <w:rFonts w:hint="eastAsia" w:ascii="仿宋_GB2312" w:hAnsi="宋体" w:eastAsia="仿宋_GB2312" w:cs="仿宋_GB2312"/>
          <w:color w:val="000000"/>
          <w:kern w:val="0"/>
          <w:sz w:val="32"/>
          <w:szCs w:val="32"/>
        </w:rPr>
        <w:t>收入：</w:t>
      </w:r>
      <w:r>
        <w:rPr>
          <w:rFonts w:hint="eastAsia" w:ascii="仿宋" w:hAnsi="仿宋" w:eastAsia="仿宋" w:cs="宋体"/>
          <w:color w:val="000000"/>
          <w:kern w:val="0"/>
          <w:sz w:val="32"/>
          <w:szCs w:val="32"/>
        </w:rPr>
        <w:t>202</w:t>
      </w:r>
      <w:r>
        <w:rPr>
          <w:rFonts w:hint="eastAsia" w:ascii="仿宋" w:hAnsi="仿宋" w:eastAsia="仿宋" w:cs="宋体"/>
          <w:color w:val="000000"/>
          <w:kern w:val="0"/>
          <w:sz w:val="32"/>
          <w:szCs w:val="32"/>
          <w:lang w:val="en-US" w:eastAsia="zh-CN"/>
        </w:rPr>
        <w:t>5</w:t>
      </w:r>
      <w:r>
        <w:rPr>
          <w:rFonts w:hint="eastAsia" w:ascii="仿宋" w:hAnsi="仿宋" w:eastAsia="仿宋" w:cs="仿宋"/>
          <w:color w:val="000000"/>
          <w:kern w:val="0"/>
          <w:sz w:val="32"/>
          <w:szCs w:val="32"/>
        </w:rPr>
        <w:t>年收入总计</w:t>
      </w:r>
      <w:r>
        <w:rPr>
          <w:rFonts w:hint="eastAsia" w:ascii="仿宋" w:hAnsi="仿宋" w:eastAsia="仿宋" w:cs="宋体"/>
          <w:color w:val="000000"/>
          <w:kern w:val="0"/>
          <w:sz w:val="32"/>
          <w:szCs w:val="32"/>
          <w:lang w:val="en-US" w:eastAsia="zh-CN"/>
        </w:rPr>
        <w:t>5137.22</w:t>
      </w:r>
      <w:r>
        <w:rPr>
          <w:rFonts w:hint="eastAsia" w:ascii="仿宋" w:hAnsi="仿宋" w:eastAsia="仿宋" w:cs="仿宋"/>
          <w:color w:val="000000"/>
          <w:kern w:val="0"/>
          <w:sz w:val="32"/>
          <w:szCs w:val="32"/>
        </w:rPr>
        <w:t>万元。其中：一般公共预算财政拨款收入</w:t>
      </w:r>
      <w:r>
        <w:rPr>
          <w:rFonts w:hint="eastAsia" w:ascii="仿宋" w:hAnsi="仿宋" w:eastAsia="仿宋" w:cs="宋体"/>
          <w:color w:val="000000"/>
          <w:kern w:val="0"/>
          <w:sz w:val="32"/>
          <w:szCs w:val="32"/>
          <w:lang w:val="en-US" w:eastAsia="zh-CN"/>
        </w:rPr>
        <w:t>5040.82</w:t>
      </w:r>
      <w:r>
        <w:rPr>
          <w:rFonts w:hint="eastAsia" w:ascii="仿宋" w:hAnsi="仿宋" w:eastAsia="仿宋" w:cs="仿宋"/>
          <w:color w:val="000000"/>
          <w:kern w:val="0"/>
          <w:sz w:val="32"/>
          <w:szCs w:val="32"/>
        </w:rPr>
        <w:t>万元，其他收入</w:t>
      </w:r>
      <w:r>
        <w:rPr>
          <w:rFonts w:hint="eastAsia" w:ascii="仿宋" w:hAnsi="仿宋" w:eastAsia="仿宋" w:cs="宋体"/>
          <w:color w:val="000000"/>
          <w:kern w:val="0"/>
          <w:sz w:val="32"/>
          <w:szCs w:val="32"/>
          <w:lang w:val="en-US" w:eastAsia="zh-CN"/>
        </w:rPr>
        <w:t>96.4</w:t>
      </w:r>
      <w:r>
        <w:rPr>
          <w:rFonts w:hint="eastAsia" w:ascii="仿宋" w:hAnsi="仿宋" w:eastAsia="仿宋" w:cs="仿宋"/>
          <w:color w:val="000000"/>
          <w:kern w:val="0"/>
          <w:sz w:val="32"/>
          <w:szCs w:val="32"/>
        </w:rPr>
        <w:t>万元。</w:t>
      </w:r>
    </w:p>
    <w:p>
      <w:pPr>
        <w:keepNext w:val="0"/>
        <w:keepLines w:val="0"/>
        <w:widowControl/>
        <w:suppressLineNumbers w:val="0"/>
        <w:adjustRightInd w:val="0"/>
        <w:snapToGrid w:val="0"/>
        <w:spacing w:line="480" w:lineRule="exact"/>
        <w:ind w:left="0" w:firstLine="640" w:firstLineChars="200"/>
        <w:jc w:val="left"/>
        <w:rPr>
          <w:rFonts w:hint="eastAsia" w:ascii="楷体" w:hAnsi="楷体" w:eastAsia="楷体" w:cs="楷体"/>
          <w:color w:val="000000"/>
          <w:kern w:val="0"/>
          <w:sz w:val="32"/>
          <w:szCs w:val="32"/>
        </w:rPr>
      </w:pPr>
      <w:r>
        <w:rPr>
          <w:rFonts w:hint="eastAsia" w:ascii="楷体" w:hAnsi="楷体" w:eastAsia="楷体" w:cs="楷体"/>
          <w:color w:val="000000"/>
          <w:kern w:val="0"/>
          <w:sz w:val="32"/>
          <w:szCs w:val="32"/>
        </w:rPr>
        <w:t>（二）部门财政资金支出情况</w:t>
      </w:r>
    </w:p>
    <w:p>
      <w:pPr>
        <w:keepNext w:val="0"/>
        <w:keepLines w:val="0"/>
        <w:widowControl/>
        <w:suppressLineNumbers w:val="0"/>
        <w:adjustRightInd w:val="0"/>
        <w:snapToGrid w:val="0"/>
        <w:spacing w:before="0" w:beforeAutospacing="0" w:after="0" w:afterAutospacing="0" w:line="480" w:lineRule="exact"/>
        <w:ind w:left="0" w:right="0" w:rightChars="0" w:firstLine="640" w:firstLineChars="200"/>
        <w:jc w:val="left"/>
        <w:rPr>
          <w:rFonts w:hint="eastAsia" w:ascii="仿宋_GB2312" w:hAnsi="宋体" w:eastAsia="仿宋_GB2312" w:cs="宋体"/>
          <w:color w:val="000000"/>
          <w:kern w:val="0"/>
          <w:sz w:val="32"/>
          <w:szCs w:val="32"/>
        </w:rPr>
      </w:pPr>
      <w:r>
        <w:rPr>
          <w:rFonts w:hint="eastAsia" w:ascii="仿宋_GB2312" w:hAnsi="宋体" w:eastAsia="仿宋_GB2312" w:cs="仿宋_GB2312"/>
          <w:color w:val="000000"/>
          <w:kern w:val="0"/>
          <w:sz w:val="32"/>
          <w:szCs w:val="32"/>
        </w:rPr>
        <w:t>支出：</w:t>
      </w:r>
      <w:r>
        <w:rPr>
          <w:rFonts w:hint="eastAsia" w:ascii="仿宋" w:hAnsi="仿宋" w:eastAsia="仿宋" w:cs="宋体"/>
          <w:color w:val="000000"/>
          <w:kern w:val="0"/>
          <w:sz w:val="32"/>
          <w:szCs w:val="32"/>
        </w:rPr>
        <w:t>20</w:t>
      </w:r>
      <w:r>
        <w:rPr>
          <w:rFonts w:hint="eastAsia" w:ascii="仿宋" w:hAnsi="仿宋" w:eastAsia="仿宋" w:cs="宋体"/>
          <w:color w:val="000000"/>
          <w:kern w:val="0"/>
          <w:sz w:val="32"/>
          <w:szCs w:val="32"/>
          <w:lang w:val="en-US" w:eastAsia="zh-CN"/>
        </w:rPr>
        <w:t>25</w:t>
      </w:r>
      <w:r>
        <w:rPr>
          <w:rFonts w:hint="eastAsia" w:ascii="仿宋" w:hAnsi="仿宋" w:eastAsia="仿宋" w:cs="仿宋"/>
          <w:color w:val="000000"/>
          <w:kern w:val="0"/>
          <w:sz w:val="32"/>
          <w:szCs w:val="32"/>
        </w:rPr>
        <w:t>年财政拨款支出总计</w:t>
      </w:r>
      <w:r>
        <w:rPr>
          <w:rFonts w:hint="eastAsia" w:ascii="仿宋" w:hAnsi="仿宋" w:eastAsia="仿宋" w:cs="宋体"/>
          <w:color w:val="000000"/>
          <w:kern w:val="0"/>
          <w:sz w:val="32"/>
          <w:szCs w:val="32"/>
          <w:lang w:val="en-US" w:eastAsia="zh-CN"/>
        </w:rPr>
        <w:t>5040.82</w:t>
      </w:r>
      <w:r>
        <w:rPr>
          <w:rFonts w:hint="eastAsia" w:ascii="仿宋" w:hAnsi="仿宋" w:eastAsia="仿宋" w:cs="仿宋"/>
          <w:color w:val="000000"/>
          <w:kern w:val="0"/>
          <w:sz w:val="32"/>
          <w:szCs w:val="32"/>
        </w:rPr>
        <w:t>万元。其中：</w:t>
      </w:r>
      <w:r>
        <w:rPr>
          <w:rFonts w:hint="eastAsia" w:ascii="仿宋_GB2312" w:hAnsi="宋体" w:eastAsia="仿宋_GB2312" w:cs="仿宋_GB2312"/>
          <w:color w:val="000000"/>
          <w:kern w:val="0"/>
          <w:sz w:val="32"/>
          <w:szCs w:val="32"/>
        </w:rPr>
        <w:t>基本支出</w:t>
      </w:r>
      <w:r>
        <w:rPr>
          <w:rFonts w:hint="eastAsia" w:ascii="仿宋_GB2312" w:eastAsia="仿宋_GB2312" w:cs="宋体"/>
          <w:color w:val="000000"/>
          <w:kern w:val="0"/>
          <w:sz w:val="32"/>
          <w:szCs w:val="32"/>
          <w:lang w:val="en-US" w:eastAsia="zh-CN"/>
        </w:rPr>
        <w:t>4290.96万</w:t>
      </w:r>
      <w:r>
        <w:rPr>
          <w:rFonts w:hint="eastAsia" w:ascii="仿宋_GB2312" w:hAnsi="宋体" w:eastAsia="仿宋_GB2312" w:cs="仿宋_GB2312"/>
          <w:color w:val="000000"/>
          <w:kern w:val="0"/>
          <w:sz w:val="32"/>
          <w:szCs w:val="32"/>
        </w:rPr>
        <w:t>元，项目支出</w:t>
      </w:r>
      <w:r>
        <w:rPr>
          <w:rFonts w:hint="eastAsia" w:ascii="仿宋_GB2312" w:eastAsia="仿宋_GB2312" w:cs="Times New Roman"/>
          <w:color w:val="000000"/>
          <w:kern w:val="0"/>
          <w:sz w:val="32"/>
          <w:szCs w:val="32"/>
          <w:lang w:val="en-US" w:eastAsia="zh-CN"/>
        </w:rPr>
        <w:t>749.86</w:t>
      </w:r>
      <w:r>
        <w:rPr>
          <w:rFonts w:hint="eastAsia" w:ascii="仿宋_GB2312" w:hAnsi="宋体" w:eastAsia="仿宋_GB2312" w:cs="仿宋_GB2312"/>
          <w:color w:val="000000"/>
          <w:kern w:val="0"/>
          <w:sz w:val="32"/>
          <w:szCs w:val="32"/>
        </w:rPr>
        <w:t>万元。</w:t>
      </w:r>
    </w:p>
    <w:p>
      <w:pPr>
        <w:keepNext w:val="0"/>
        <w:keepLines w:val="0"/>
        <w:widowControl/>
        <w:suppressLineNumbers w:val="0"/>
        <w:adjustRightInd w:val="0"/>
        <w:snapToGrid w:val="0"/>
        <w:spacing w:before="0" w:beforeAutospacing="0" w:after="0" w:afterAutospacing="0" w:line="480" w:lineRule="exact"/>
        <w:ind w:left="0" w:right="0" w:rightChars="0" w:firstLine="640" w:firstLineChars="200"/>
        <w:jc w:val="left"/>
        <w:rPr>
          <w:rFonts w:hint="eastAsia" w:ascii="仿宋_GB2312" w:hAnsi="宋体" w:eastAsia="仿宋_GB2312" w:cs="宋体"/>
          <w:color w:val="000000"/>
          <w:kern w:val="0"/>
          <w:sz w:val="32"/>
          <w:szCs w:val="32"/>
        </w:rPr>
      </w:pPr>
      <w:r>
        <w:rPr>
          <w:rFonts w:hint="eastAsia" w:ascii="仿宋_GB2312" w:hAnsi="宋体" w:eastAsia="仿宋_GB2312" w:cs="宋体"/>
          <w:color w:val="000000"/>
          <w:kern w:val="0"/>
          <w:sz w:val="32"/>
          <w:szCs w:val="32"/>
        </w:rPr>
        <w:t xml:space="preserve"> </w:t>
      </w:r>
    </w:p>
    <w:p>
      <w:pPr>
        <w:keepNext w:val="0"/>
        <w:keepLines w:val="0"/>
        <w:widowControl/>
        <w:suppressLineNumbers w:val="0"/>
        <w:adjustRightInd w:val="0"/>
        <w:snapToGrid w:val="0"/>
        <w:spacing w:before="0" w:beforeAutospacing="0" w:after="0" w:afterAutospacing="0" w:line="480" w:lineRule="exact"/>
        <w:ind w:right="0"/>
        <w:jc w:val="left"/>
        <w:rPr>
          <w:rFonts w:hint="eastAsia" w:ascii="黑体" w:hAnsi="宋体" w:eastAsia="黑体" w:cs="宋体"/>
          <w:color w:val="000000"/>
          <w:kern w:val="0"/>
          <w:sz w:val="24"/>
          <w:szCs w:val="24"/>
          <w:lang w:val="en-US" w:eastAsia="zh-CN"/>
        </w:rPr>
      </w:pPr>
      <w:r>
        <w:rPr>
          <w:rFonts w:hint="eastAsia" w:ascii="黑体" w:hAnsi="宋体" w:eastAsia="黑体" w:cs="黑体"/>
          <w:color w:val="000000"/>
          <w:kern w:val="0"/>
          <w:sz w:val="32"/>
          <w:szCs w:val="32"/>
        </w:rPr>
        <w:t>三、部门财政支出管理情况</w:t>
      </w:r>
    </w:p>
    <w:p>
      <w:pPr>
        <w:keepNext w:val="0"/>
        <w:keepLines w:val="0"/>
        <w:widowControl/>
        <w:suppressLineNumbers w:val="0"/>
        <w:adjustRightInd w:val="0"/>
        <w:snapToGrid w:val="0"/>
        <w:spacing w:before="0" w:beforeAutospacing="0" w:after="0" w:afterAutospacing="0" w:line="480" w:lineRule="exact"/>
        <w:ind w:left="0" w:right="0" w:firstLine="720"/>
        <w:jc w:val="left"/>
        <w:rPr>
          <w:rFonts w:hint="eastAsia" w:ascii="楷体" w:hAnsi="楷体" w:eastAsia="楷体" w:cs="宋体"/>
          <w:color w:val="000000"/>
          <w:kern w:val="0"/>
          <w:sz w:val="24"/>
          <w:szCs w:val="24"/>
        </w:rPr>
      </w:pPr>
      <w:r>
        <w:rPr>
          <w:rFonts w:hint="eastAsia" w:ascii="楷体" w:hAnsi="楷体" w:eastAsia="楷体" w:cs="楷体"/>
          <w:color w:val="000000"/>
          <w:kern w:val="0"/>
          <w:sz w:val="32"/>
          <w:szCs w:val="32"/>
        </w:rPr>
        <w:t>（一）预算编制情况</w:t>
      </w:r>
    </w:p>
    <w:p>
      <w:pPr>
        <w:pStyle w:val="12"/>
        <w:keepNext w:val="0"/>
        <w:keepLines w:val="0"/>
        <w:widowControl/>
        <w:suppressLineNumbers w:val="0"/>
        <w:shd w:val="clear" w:fill="FFFFFF"/>
        <w:spacing w:before="150" w:beforeAutospacing="0" w:after="150" w:afterAutospacing="0" w:line="435" w:lineRule="atLeast"/>
        <w:ind w:left="0" w:firstLine="640" w:firstLineChars="200"/>
        <w:rPr>
          <w:rFonts w:hint="eastAsia" w:ascii="仿宋_GB2312" w:hAnsi="Times New Roman" w:eastAsia="仿宋_GB2312" w:cs="Times New Roman"/>
          <w:color w:val="000000"/>
          <w:kern w:val="0"/>
          <w:sz w:val="32"/>
          <w:szCs w:val="32"/>
          <w:shd w:val="clear" w:fill="FFFFFF"/>
        </w:rPr>
      </w:pPr>
      <w:r>
        <w:rPr>
          <w:rFonts w:hint="eastAsia" w:ascii="仿宋_GB2312" w:hAnsi="Times New Roman" w:eastAsia="仿宋_GB2312" w:cs="仿宋_GB2312"/>
          <w:color w:val="000000"/>
          <w:kern w:val="0"/>
          <w:sz w:val="32"/>
          <w:szCs w:val="32"/>
          <w:shd w:val="clear" w:fill="FFFFFF"/>
        </w:rPr>
        <w:t xml:space="preserve">我单位预算编制向同财政部门及时沟通学习，在学校领导的支持下积极进行财政部门组织的决算、编报、审核等方面工作按时完成，认真如实填报。不断强化预算意识，实行部门综合预算管理，保证预算编制质量。结合单位情况，进行科学合理分配细化，部门预算经批复后，科学合理安排支出，降低预算支出的波动幅度。  </w:t>
      </w:r>
    </w:p>
    <w:p>
      <w:pPr>
        <w:pStyle w:val="12"/>
        <w:keepNext w:val="0"/>
        <w:keepLines w:val="0"/>
        <w:widowControl/>
        <w:suppressLineNumbers w:val="0"/>
        <w:shd w:val="clear" w:fill="FFFFFF"/>
        <w:spacing w:before="150" w:beforeAutospacing="0" w:after="150" w:afterAutospacing="0" w:line="435" w:lineRule="atLeast"/>
        <w:ind w:left="0" w:firstLine="640" w:firstLineChars="200"/>
        <w:rPr>
          <w:rFonts w:hint="default" w:ascii="??_GB2312" w:hAnsi="宋体" w:eastAsia="宋体" w:cs="宋体"/>
          <w:color w:val="000000"/>
          <w:kern w:val="0"/>
          <w:sz w:val="24"/>
          <w:szCs w:val="24"/>
          <w:shd w:val="clear" w:fill="FFFFFF"/>
        </w:rPr>
      </w:pPr>
      <w:r>
        <w:rPr>
          <w:rFonts w:hint="eastAsia" w:ascii="仿宋_GB2312" w:hAnsi="Times New Roman" w:eastAsia="仿宋_GB2312" w:cs="仿宋_GB2312"/>
          <w:color w:val="000000"/>
          <w:kern w:val="0"/>
          <w:sz w:val="32"/>
          <w:szCs w:val="32"/>
          <w:shd w:val="clear" w:fill="FFFFFF"/>
        </w:rPr>
        <w:t>规范预算编制，严格按照预算的执行。人员支出按工资统发数据为准安排，部门收入预算指本部门所有收入，包括：财政拨款收入、上级补助收入、其他收入。支出预算包括职工工资福利，日常公用经费，个人家庭补助等预算。对预算和决算公开工作、及主管部门对所属单位按规定批复决算的各项工作按规定认真执行，该填制及时填制，该公开及时公开，该上报及时上报，在工作中进一步提高预算的编制和执行。</w:t>
      </w:r>
    </w:p>
    <w:p>
      <w:pPr>
        <w:keepNext w:val="0"/>
        <w:keepLines w:val="0"/>
        <w:widowControl/>
        <w:suppressLineNumbers w:val="0"/>
        <w:adjustRightInd w:val="0"/>
        <w:snapToGrid w:val="0"/>
        <w:spacing w:before="0" w:beforeAutospacing="0" w:after="0" w:afterAutospacing="0" w:line="480" w:lineRule="exact"/>
        <w:ind w:left="0" w:right="0" w:firstLine="720"/>
        <w:jc w:val="left"/>
        <w:rPr>
          <w:rFonts w:hint="eastAsia" w:ascii="楷体" w:hAnsi="楷体" w:eastAsia="楷体" w:cs="宋体"/>
          <w:color w:val="000000"/>
          <w:kern w:val="0"/>
          <w:sz w:val="24"/>
          <w:szCs w:val="24"/>
        </w:rPr>
      </w:pPr>
      <w:r>
        <w:rPr>
          <w:rFonts w:hint="eastAsia" w:ascii="楷体" w:hAnsi="楷体" w:eastAsia="楷体" w:cs="楷体"/>
          <w:color w:val="000000"/>
          <w:kern w:val="0"/>
          <w:sz w:val="32"/>
          <w:szCs w:val="32"/>
        </w:rPr>
        <w:t>（二）执行管理情况</w:t>
      </w:r>
    </w:p>
    <w:p>
      <w:pPr>
        <w:keepNext w:val="0"/>
        <w:keepLines w:val="0"/>
        <w:widowControl/>
        <w:suppressLineNumbers w:val="0"/>
        <w:spacing w:line="600" w:lineRule="exact"/>
        <w:ind w:left="0" w:firstLine="640" w:firstLineChars="200"/>
        <w:rPr>
          <w:rFonts w:hint="eastAsia" w:ascii="仿宋_GB2312" w:hAnsi="Times New Roman" w:eastAsia="仿宋_GB2312" w:cs="Times New Roman"/>
          <w:color w:val="000000"/>
          <w:kern w:val="0"/>
          <w:sz w:val="32"/>
          <w:szCs w:val="32"/>
        </w:rPr>
      </w:pPr>
      <w:r>
        <w:rPr>
          <w:rFonts w:hint="eastAsia" w:ascii="仿宋_GB2312" w:hAnsi="Times New Roman" w:eastAsia="仿宋_GB2312" w:cs="仿宋_GB2312"/>
          <w:color w:val="000000"/>
          <w:kern w:val="0"/>
          <w:sz w:val="32"/>
          <w:szCs w:val="32"/>
        </w:rPr>
        <w:t>资金支出总额严格控制在预算总额内，集中财力保障内部平稳运转，与发展计划相协调，严格按照预算执行。</w:t>
      </w:r>
    </w:p>
    <w:p>
      <w:pPr>
        <w:keepNext w:val="0"/>
        <w:keepLines w:val="0"/>
        <w:widowControl/>
        <w:suppressLineNumbers w:val="0"/>
        <w:spacing w:line="600" w:lineRule="exact"/>
        <w:ind w:left="0" w:firstLine="645"/>
        <w:rPr>
          <w:rFonts w:hint="eastAsia" w:ascii="仿宋_GB2312" w:hAnsi="Times New Roman" w:eastAsia="仿宋_GB2312" w:cs="Times New Roman"/>
          <w:color w:val="000000"/>
          <w:kern w:val="0"/>
          <w:sz w:val="32"/>
          <w:szCs w:val="32"/>
        </w:rPr>
      </w:pPr>
      <w:r>
        <w:rPr>
          <w:rFonts w:hint="eastAsia" w:ascii="仿宋_GB2312" w:hAnsi="宋体" w:eastAsia="仿宋_GB2312" w:cs="Times New Roman"/>
          <w:color w:val="000000"/>
          <w:kern w:val="0"/>
          <w:sz w:val="32"/>
          <w:szCs w:val="32"/>
        </w:rPr>
        <w:t>202</w:t>
      </w:r>
      <w:r>
        <w:rPr>
          <w:rFonts w:hint="eastAsia" w:ascii="仿宋_GB2312" w:eastAsia="仿宋_GB2312" w:cs="Times New Roman"/>
          <w:color w:val="000000"/>
          <w:kern w:val="0"/>
          <w:sz w:val="32"/>
          <w:szCs w:val="32"/>
          <w:lang w:val="en-US" w:eastAsia="zh-CN"/>
        </w:rPr>
        <w:t>5</w:t>
      </w:r>
      <w:r>
        <w:rPr>
          <w:rFonts w:hint="eastAsia" w:ascii="仿宋_GB2312" w:hAnsi="Times New Roman" w:eastAsia="仿宋_GB2312" w:cs="仿宋_GB2312"/>
          <w:color w:val="000000"/>
          <w:kern w:val="0"/>
          <w:sz w:val="32"/>
          <w:szCs w:val="32"/>
        </w:rPr>
        <w:t>年一般公共预算财政拨款基本支出</w:t>
      </w:r>
      <w:r>
        <w:rPr>
          <w:rFonts w:hint="eastAsia" w:ascii="仿宋_GB2312" w:hAnsi="Times New Roman" w:eastAsia="仿宋_GB2312" w:cs="Times New Roman"/>
          <w:color w:val="000000"/>
          <w:kern w:val="0"/>
          <w:sz w:val="32"/>
          <w:szCs w:val="32"/>
          <w:lang w:val="en-US" w:eastAsia="zh-CN"/>
        </w:rPr>
        <w:t>5040.82</w:t>
      </w:r>
      <w:r>
        <w:rPr>
          <w:rFonts w:hint="eastAsia" w:ascii="仿宋_GB2312" w:hAnsi="Times New Roman" w:eastAsia="仿宋_GB2312" w:cs="仿宋_GB2312"/>
          <w:color w:val="000000"/>
          <w:kern w:val="0"/>
          <w:sz w:val="32"/>
          <w:szCs w:val="32"/>
        </w:rPr>
        <w:t>万元，其中：</w:t>
      </w:r>
    </w:p>
    <w:p>
      <w:pPr>
        <w:keepNext w:val="0"/>
        <w:keepLines w:val="0"/>
        <w:widowControl/>
        <w:suppressLineNumbers w:val="0"/>
        <w:spacing w:line="600" w:lineRule="exact"/>
        <w:ind w:left="0" w:firstLine="645"/>
        <w:rPr>
          <w:rFonts w:hint="eastAsia" w:ascii="仿宋" w:hAnsi="仿宋" w:eastAsia="仿宋" w:cs="宋体"/>
          <w:color w:val="000000"/>
          <w:kern w:val="0"/>
          <w:sz w:val="32"/>
          <w:szCs w:val="32"/>
        </w:rPr>
      </w:pPr>
      <w:r>
        <w:rPr>
          <w:rFonts w:hint="eastAsia" w:ascii="仿宋_GB2312" w:hAnsi="Times New Roman" w:eastAsia="仿宋_GB2312" w:cs="仿宋_GB2312"/>
          <w:color w:val="000000"/>
          <w:kern w:val="0"/>
          <w:sz w:val="32"/>
          <w:szCs w:val="32"/>
        </w:rPr>
        <w:t>人员经费</w:t>
      </w:r>
      <w:r>
        <w:rPr>
          <w:rFonts w:hint="eastAsia" w:ascii="仿宋_GB2312" w:eastAsia="仿宋_GB2312" w:cs="Times New Roman"/>
          <w:color w:val="000000"/>
          <w:kern w:val="0"/>
          <w:sz w:val="32"/>
          <w:szCs w:val="32"/>
          <w:lang w:val="en-US" w:eastAsia="zh-CN"/>
        </w:rPr>
        <w:t>4125.68</w:t>
      </w:r>
      <w:r>
        <w:rPr>
          <w:rFonts w:hint="eastAsia" w:ascii="仿宋_GB2312" w:hAnsi="Times New Roman" w:eastAsia="仿宋_GB2312" w:cs="仿宋_GB2312"/>
          <w:color w:val="000000"/>
          <w:kern w:val="0"/>
          <w:sz w:val="32"/>
          <w:szCs w:val="32"/>
        </w:rPr>
        <w:t>万元，主要包括：基本工资</w:t>
      </w:r>
      <w:r>
        <w:rPr>
          <w:rFonts w:hint="eastAsia" w:ascii="仿宋_GB2312" w:eastAsia="仿宋_GB2312" w:cs="Times New Roman"/>
          <w:color w:val="000000"/>
          <w:kern w:val="0"/>
          <w:sz w:val="32"/>
          <w:szCs w:val="32"/>
          <w:lang w:val="en-US" w:eastAsia="zh-CN"/>
        </w:rPr>
        <w:t>895.6</w:t>
      </w:r>
      <w:r>
        <w:rPr>
          <w:rFonts w:hint="eastAsia" w:ascii="仿宋_GB2312" w:hAnsi="Times New Roman" w:eastAsia="仿宋_GB2312" w:cs="仿宋_GB2312"/>
          <w:color w:val="000000"/>
          <w:kern w:val="0"/>
          <w:sz w:val="32"/>
          <w:szCs w:val="32"/>
        </w:rPr>
        <w:t>万元、津贴补贴</w:t>
      </w:r>
      <w:r>
        <w:rPr>
          <w:rFonts w:hint="eastAsia" w:ascii="仿宋_GB2312" w:eastAsia="仿宋_GB2312" w:cs="Times New Roman"/>
          <w:color w:val="000000"/>
          <w:kern w:val="0"/>
          <w:sz w:val="32"/>
          <w:szCs w:val="32"/>
          <w:lang w:val="en-US" w:eastAsia="zh-CN"/>
        </w:rPr>
        <w:t>610.17</w:t>
      </w:r>
      <w:r>
        <w:rPr>
          <w:rFonts w:hint="eastAsia" w:ascii="仿宋_GB2312" w:hAnsi="Times New Roman" w:eastAsia="仿宋_GB2312" w:cs="仿宋_GB2312"/>
          <w:color w:val="000000"/>
          <w:kern w:val="0"/>
          <w:sz w:val="32"/>
          <w:szCs w:val="32"/>
        </w:rPr>
        <w:t>万元、奖金</w:t>
      </w:r>
      <w:r>
        <w:rPr>
          <w:rFonts w:hint="eastAsia" w:ascii="仿宋_GB2312" w:eastAsia="仿宋_GB2312" w:cs="Times New Roman"/>
          <w:color w:val="000000"/>
          <w:kern w:val="0"/>
          <w:sz w:val="32"/>
          <w:szCs w:val="32"/>
          <w:lang w:val="en-US" w:eastAsia="zh-CN"/>
        </w:rPr>
        <w:t>856.33</w:t>
      </w:r>
      <w:r>
        <w:rPr>
          <w:rFonts w:hint="eastAsia" w:ascii="仿宋_GB2312" w:hAnsi="Times New Roman" w:eastAsia="仿宋_GB2312" w:cs="仿宋_GB2312"/>
          <w:color w:val="000000"/>
          <w:kern w:val="0"/>
          <w:sz w:val="32"/>
          <w:szCs w:val="32"/>
        </w:rPr>
        <w:t>万元、绩效工资</w:t>
      </w:r>
      <w:r>
        <w:rPr>
          <w:rFonts w:hint="eastAsia" w:ascii="仿宋_GB2312" w:eastAsia="仿宋_GB2312" w:cs="Times New Roman"/>
          <w:color w:val="000000"/>
          <w:kern w:val="0"/>
          <w:sz w:val="32"/>
          <w:szCs w:val="32"/>
          <w:lang w:val="en-US" w:eastAsia="zh-CN"/>
        </w:rPr>
        <w:t>543.18</w:t>
      </w:r>
      <w:r>
        <w:rPr>
          <w:rFonts w:hint="eastAsia" w:ascii="仿宋_GB2312" w:hAnsi="Times New Roman" w:eastAsia="仿宋_GB2312" w:cs="仿宋_GB2312"/>
          <w:color w:val="000000"/>
          <w:kern w:val="0"/>
          <w:sz w:val="32"/>
          <w:szCs w:val="32"/>
        </w:rPr>
        <w:t>万元、机关事业单位基本养老保险缴费</w:t>
      </w:r>
      <w:r>
        <w:rPr>
          <w:rFonts w:hint="eastAsia" w:ascii="仿宋_GB2312" w:eastAsia="仿宋_GB2312" w:cs="Times New Roman"/>
          <w:color w:val="000000"/>
          <w:kern w:val="0"/>
          <w:sz w:val="32"/>
          <w:szCs w:val="32"/>
          <w:lang w:val="en-US" w:eastAsia="zh-CN"/>
        </w:rPr>
        <w:t>407.76</w:t>
      </w:r>
      <w:r>
        <w:rPr>
          <w:rFonts w:hint="eastAsia" w:ascii="仿宋_GB2312" w:hAnsi="Times New Roman" w:eastAsia="仿宋_GB2312" w:cs="仿宋_GB2312"/>
          <w:color w:val="000000"/>
          <w:kern w:val="0"/>
          <w:sz w:val="32"/>
          <w:szCs w:val="32"/>
        </w:rPr>
        <w:t>万元、职业年金缴费</w:t>
      </w:r>
      <w:r>
        <w:rPr>
          <w:rFonts w:hint="eastAsia" w:ascii="仿宋_GB2312" w:eastAsia="仿宋_GB2312" w:cs="Times New Roman"/>
          <w:color w:val="000000"/>
          <w:kern w:val="0"/>
          <w:sz w:val="32"/>
          <w:szCs w:val="32"/>
          <w:lang w:val="en-US" w:eastAsia="zh-CN"/>
        </w:rPr>
        <w:t>203.88</w:t>
      </w:r>
      <w:r>
        <w:rPr>
          <w:rFonts w:hint="eastAsia" w:ascii="仿宋_GB2312" w:hAnsi="Times New Roman" w:eastAsia="仿宋_GB2312" w:cs="仿宋_GB2312"/>
          <w:color w:val="000000"/>
          <w:kern w:val="0"/>
          <w:sz w:val="32"/>
          <w:szCs w:val="32"/>
        </w:rPr>
        <w:t>万元、职工基本医疗保险缴费</w:t>
      </w:r>
      <w:r>
        <w:rPr>
          <w:rFonts w:hint="eastAsia" w:ascii="仿宋_GB2312" w:eastAsia="仿宋_GB2312" w:cs="Times New Roman"/>
          <w:color w:val="000000"/>
          <w:kern w:val="0"/>
          <w:sz w:val="32"/>
          <w:szCs w:val="32"/>
          <w:lang w:val="en-US" w:eastAsia="zh-CN"/>
        </w:rPr>
        <w:t>188.98</w:t>
      </w:r>
      <w:r>
        <w:rPr>
          <w:rFonts w:hint="eastAsia" w:ascii="仿宋_GB2312" w:hAnsi="Times New Roman" w:eastAsia="仿宋_GB2312" w:cs="仿宋_GB2312"/>
          <w:color w:val="000000"/>
          <w:kern w:val="0"/>
          <w:sz w:val="32"/>
          <w:szCs w:val="32"/>
        </w:rPr>
        <w:t>万元，公务员医疗补助缴费</w:t>
      </w:r>
      <w:r>
        <w:rPr>
          <w:rFonts w:hint="eastAsia" w:ascii="仿宋_GB2312" w:eastAsia="仿宋_GB2312" w:cs="Times New Roman"/>
          <w:color w:val="000000"/>
          <w:kern w:val="0"/>
          <w:sz w:val="32"/>
          <w:szCs w:val="32"/>
          <w:lang w:val="en-US" w:eastAsia="zh-CN"/>
        </w:rPr>
        <w:t>36.16</w:t>
      </w:r>
      <w:r>
        <w:rPr>
          <w:rFonts w:hint="eastAsia" w:ascii="仿宋_GB2312" w:hAnsi="宋体" w:eastAsia="仿宋_GB2312" w:cs="仿宋_GB2312"/>
          <w:color w:val="000000"/>
          <w:kern w:val="0"/>
          <w:sz w:val="32"/>
          <w:szCs w:val="32"/>
        </w:rPr>
        <w:t>万元、</w:t>
      </w:r>
      <w:r>
        <w:rPr>
          <w:rFonts w:hint="eastAsia" w:ascii="仿宋_GB2312" w:hAnsi="Times New Roman" w:eastAsia="仿宋_GB2312" w:cs="仿宋_GB2312"/>
          <w:color w:val="000000"/>
          <w:kern w:val="0"/>
          <w:sz w:val="32"/>
          <w:szCs w:val="32"/>
        </w:rPr>
        <w:t>其他社会保障缴费</w:t>
      </w:r>
      <w:r>
        <w:rPr>
          <w:rFonts w:hint="eastAsia" w:ascii="仿宋_GB2312" w:eastAsia="仿宋_GB2312" w:cs="Times New Roman"/>
          <w:color w:val="000000"/>
          <w:kern w:val="0"/>
          <w:sz w:val="32"/>
          <w:szCs w:val="32"/>
          <w:lang w:val="en-US" w:eastAsia="zh-CN"/>
        </w:rPr>
        <w:t>19.76</w:t>
      </w:r>
      <w:r>
        <w:rPr>
          <w:rFonts w:hint="eastAsia" w:ascii="仿宋_GB2312" w:hAnsi="Times New Roman" w:eastAsia="仿宋_GB2312" w:cs="仿宋_GB2312"/>
          <w:color w:val="000000"/>
          <w:kern w:val="0"/>
          <w:sz w:val="32"/>
          <w:szCs w:val="32"/>
        </w:rPr>
        <w:t>万元、住房公积金</w:t>
      </w:r>
      <w:r>
        <w:rPr>
          <w:rFonts w:hint="eastAsia" w:ascii="仿宋_GB2312" w:eastAsia="仿宋_GB2312" w:cs="Times New Roman"/>
          <w:color w:val="000000"/>
          <w:kern w:val="0"/>
          <w:sz w:val="32"/>
          <w:szCs w:val="32"/>
          <w:lang w:val="en-US" w:eastAsia="zh-CN"/>
        </w:rPr>
        <w:t>329.74</w:t>
      </w:r>
      <w:r>
        <w:rPr>
          <w:rFonts w:hint="eastAsia" w:ascii="仿宋_GB2312" w:hAnsi="Times New Roman" w:eastAsia="仿宋_GB2312" w:cs="仿宋_GB2312"/>
          <w:color w:val="000000"/>
          <w:kern w:val="0"/>
          <w:sz w:val="32"/>
          <w:szCs w:val="32"/>
        </w:rPr>
        <w:t>万元</w:t>
      </w:r>
      <w:r>
        <w:rPr>
          <w:rFonts w:hint="eastAsia" w:ascii="仿宋_GB2312" w:hAnsi="Times New Roman" w:eastAsia="仿宋_GB2312" w:cs="仿宋_GB2312"/>
          <w:color w:val="000000"/>
          <w:kern w:val="0"/>
          <w:sz w:val="32"/>
          <w:szCs w:val="32"/>
          <w:lang w:eastAsia="zh-CN"/>
        </w:rPr>
        <w:t>、</w:t>
      </w:r>
      <w:r>
        <w:rPr>
          <w:rFonts w:hint="eastAsia" w:ascii="仿宋_GB2312" w:hAnsi="Times New Roman" w:eastAsia="仿宋_GB2312" w:cs="仿宋_GB2312"/>
          <w:color w:val="000000"/>
          <w:kern w:val="0"/>
          <w:sz w:val="32"/>
          <w:szCs w:val="32"/>
          <w:lang w:val="en-US" w:eastAsia="zh-CN"/>
        </w:rPr>
        <w:t>医疗费34.13</w:t>
      </w:r>
      <w:r>
        <w:rPr>
          <w:rFonts w:hint="eastAsia" w:ascii="仿宋_GB2312" w:hAnsi="Times New Roman" w:eastAsia="仿宋_GB2312" w:cs="仿宋_GB2312"/>
          <w:color w:val="000000"/>
          <w:kern w:val="0"/>
          <w:sz w:val="32"/>
          <w:szCs w:val="32"/>
        </w:rPr>
        <w:t>万元。</w:t>
      </w:r>
      <w:r>
        <w:rPr>
          <w:rFonts w:hint="eastAsia" w:ascii="仿宋" w:hAnsi="仿宋" w:eastAsia="仿宋" w:cs="仿宋"/>
          <w:color w:val="000000"/>
          <w:kern w:val="0"/>
          <w:sz w:val="32"/>
          <w:szCs w:val="32"/>
        </w:rPr>
        <w:t xml:space="preserve"> </w:t>
      </w:r>
    </w:p>
    <w:p>
      <w:pPr>
        <w:keepNext w:val="0"/>
        <w:keepLines w:val="0"/>
        <w:widowControl/>
        <w:suppressLineNumbers w:val="0"/>
        <w:spacing w:line="600" w:lineRule="exact"/>
        <w:ind w:left="0" w:firstLine="645"/>
        <w:rPr>
          <w:rFonts w:hint="default" w:ascii="仿宋" w:hAnsi="仿宋" w:eastAsia="仿宋" w:cs="宋体"/>
          <w:color w:val="000000"/>
          <w:kern w:val="0"/>
          <w:sz w:val="32"/>
          <w:szCs w:val="32"/>
          <w:lang w:val="en-US" w:eastAsia="zh-CN"/>
        </w:rPr>
      </w:pPr>
      <w:r>
        <w:rPr>
          <w:rFonts w:hint="eastAsia" w:ascii="仿宋" w:hAnsi="仿宋" w:eastAsia="仿宋" w:cs="仿宋"/>
          <w:color w:val="000000"/>
          <w:kern w:val="0"/>
          <w:sz w:val="32"/>
          <w:szCs w:val="32"/>
        </w:rPr>
        <w:t>商品和服务支出</w:t>
      </w:r>
      <w:r>
        <w:rPr>
          <w:rFonts w:hint="eastAsia" w:ascii="仿宋" w:hAnsi="仿宋" w:eastAsia="仿宋" w:cs="宋体"/>
          <w:color w:val="000000"/>
          <w:kern w:val="0"/>
          <w:sz w:val="32"/>
          <w:szCs w:val="32"/>
          <w:lang w:val="en-US" w:eastAsia="zh-CN"/>
        </w:rPr>
        <w:t>513.25</w:t>
      </w:r>
      <w:r>
        <w:rPr>
          <w:rFonts w:hint="eastAsia" w:ascii="仿宋" w:hAnsi="仿宋" w:eastAsia="仿宋" w:cs="仿宋"/>
          <w:color w:val="000000"/>
          <w:kern w:val="0"/>
          <w:sz w:val="32"/>
          <w:szCs w:val="32"/>
        </w:rPr>
        <w:t>万元，主要包括：办公费</w:t>
      </w:r>
      <w:r>
        <w:rPr>
          <w:rFonts w:hint="eastAsia" w:ascii="仿宋" w:hAnsi="仿宋" w:eastAsia="仿宋" w:cs="宋体"/>
          <w:color w:val="000000"/>
          <w:kern w:val="0"/>
          <w:sz w:val="32"/>
          <w:szCs w:val="32"/>
          <w:lang w:val="en-US" w:eastAsia="zh-CN"/>
        </w:rPr>
        <w:t>140.19</w:t>
      </w:r>
      <w:r>
        <w:rPr>
          <w:rFonts w:hint="eastAsia" w:ascii="仿宋" w:hAnsi="仿宋" w:eastAsia="仿宋" w:cs="仿宋"/>
          <w:color w:val="000000"/>
          <w:kern w:val="0"/>
          <w:sz w:val="32"/>
          <w:szCs w:val="32"/>
        </w:rPr>
        <w:t>万元，</w:t>
      </w:r>
      <w:r>
        <w:rPr>
          <w:rFonts w:hint="eastAsia" w:ascii="仿宋" w:hAnsi="仿宋" w:eastAsia="仿宋" w:cs="仿宋"/>
          <w:color w:val="000000"/>
          <w:kern w:val="0"/>
          <w:sz w:val="32"/>
          <w:szCs w:val="32"/>
          <w:lang w:val="en-US" w:eastAsia="zh-CN"/>
        </w:rPr>
        <w:t>印刷费4.1万元，</w:t>
      </w:r>
      <w:r>
        <w:rPr>
          <w:rFonts w:hint="eastAsia" w:ascii="仿宋" w:hAnsi="仿宋" w:eastAsia="仿宋" w:cs="仿宋"/>
          <w:color w:val="000000"/>
          <w:kern w:val="0"/>
          <w:sz w:val="32"/>
          <w:szCs w:val="32"/>
        </w:rPr>
        <w:t>电费</w:t>
      </w:r>
      <w:r>
        <w:rPr>
          <w:rFonts w:hint="eastAsia" w:ascii="仿宋" w:hAnsi="仿宋" w:eastAsia="仿宋" w:cs="宋体"/>
          <w:color w:val="000000"/>
          <w:kern w:val="0"/>
          <w:sz w:val="32"/>
          <w:szCs w:val="32"/>
          <w:lang w:val="en-US" w:eastAsia="zh-CN"/>
        </w:rPr>
        <w:t>62.79</w:t>
      </w:r>
      <w:r>
        <w:rPr>
          <w:rFonts w:hint="eastAsia" w:ascii="仿宋" w:hAnsi="仿宋" w:eastAsia="仿宋" w:cs="仿宋"/>
          <w:color w:val="000000"/>
          <w:kern w:val="0"/>
          <w:sz w:val="32"/>
          <w:szCs w:val="32"/>
        </w:rPr>
        <w:t>万元</w:t>
      </w:r>
      <w:r>
        <w:rPr>
          <w:rFonts w:hint="eastAsia" w:ascii="仿宋" w:hAnsi="仿宋" w:eastAsia="仿宋" w:cs="仿宋"/>
          <w:color w:val="000000"/>
          <w:kern w:val="0"/>
          <w:sz w:val="32"/>
          <w:szCs w:val="32"/>
          <w:lang w:eastAsia="zh-CN"/>
        </w:rPr>
        <w:t>，</w:t>
      </w:r>
      <w:r>
        <w:rPr>
          <w:rFonts w:hint="eastAsia" w:ascii="仿宋" w:hAnsi="仿宋" w:eastAsia="仿宋" w:cs="仿宋"/>
          <w:color w:val="000000"/>
          <w:kern w:val="0"/>
          <w:sz w:val="32"/>
          <w:szCs w:val="32"/>
        </w:rPr>
        <w:t>邮电费</w:t>
      </w:r>
      <w:r>
        <w:rPr>
          <w:rFonts w:hint="eastAsia" w:ascii="仿宋" w:hAnsi="仿宋" w:eastAsia="仿宋" w:cs="宋体"/>
          <w:color w:val="000000"/>
          <w:kern w:val="0"/>
          <w:sz w:val="32"/>
          <w:szCs w:val="32"/>
          <w:lang w:val="en-US" w:eastAsia="zh-CN"/>
        </w:rPr>
        <w:t>6.61</w:t>
      </w:r>
      <w:r>
        <w:rPr>
          <w:rFonts w:hint="eastAsia" w:ascii="仿宋" w:hAnsi="仿宋" w:eastAsia="仿宋" w:cs="仿宋"/>
          <w:color w:val="000000"/>
          <w:kern w:val="0"/>
          <w:sz w:val="32"/>
          <w:szCs w:val="32"/>
        </w:rPr>
        <w:t>万元</w:t>
      </w:r>
      <w:r>
        <w:rPr>
          <w:rFonts w:hint="eastAsia" w:ascii="仿宋" w:hAnsi="仿宋" w:eastAsia="仿宋" w:cs="仿宋"/>
          <w:color w:val="000000"/>
          <w:kern w:val="0"/>
          <w:sz w:val="32"/>
          <w:szCs w:val="32"/>
          <w:lang w:eastAsia="zh-CN"/>
        </w:rPr>
        <w:t>，</w:t>
      </w:r>
      <w:r>
        <w:rPr>
          <w:rFonts w:hint="eastAsia" w:ascii="仿宋" w:hAnsi="仿宋" w:eastAsia="仿宋" w:cs="仿宋"/>
          <w:color w:val="000000"/>
          <w:kern w:val="0"/>
          <w:sz w:val="32"/>
          <w:szCs w:val="32"/>
        </w:rPr>
        <w:t>取暖费</w:t>
      </w:r>
      <w:r>
        <w:rPr>
          <w:rFonts w:hint="eastAsia" w:ascii="仿宋" w:hAnsi="仿宋" w:eastAsia="仿宋" w:cs="宋体"/>
          <w:color w:val="000000"/>
          <w:kern w:val="0"/>
          <w:sz w:val="32"/>
          <w:szCs w:val="32"/>
          <w:lang w:val="en-US" w:eastAsia="zh-CN"/>
        </w:rPr>
        <w:t>44.53</w:t>
      </w:r>
      <w:r>
        <w:rPr>
          <w:rFonts w:hint="eastAsia" w:ascii="仿宋" w:hAnsi="仿宋" w:eastAsia="仿宋" w:cs="仿宋"/>
          <w:color w:val="000000"/>
          <w:kern w:val="0"/>
          <w:sz w:val="32"/>
          <w:szCs w:val="32"/>
        </w:rPr>
        <w:t>万元</w:t>
      </w:r>
      <w:r>
        <w:rPr>
          <w:rFonts w:hint="eastAsia" w:ascii="仿宋" w:hAnsi="仿宋" w:eastAsia="仿宋" w:cs="仿宋"/>
          <w:color w:val="000000"/>
          <w:kern w:val="0"/>
          <w:sz w:val="32"/>
          <w:szCs w:val="32"/>
          <w:lang w:eastAsia="zh-CN"/>
        </w:rPr>
        <w:t>，</w:t>
      </w:r>
      <w:r>
        <w:rPr>
          <w:rFonts w:hint="eastAsia" w:ascii="仿宋" w:hAnsi="仿宋" w:eastAsia="仿宋" w:cs="仿宋"/>
          <w:color w:val="000000"/>
          <w:kern w:val="0"/>
          <w:sz w:val="32"/>
          <w:szCs w:val="32"/>
        </w:rPr>
        <w:t>差旅费万</w:t>
      </w:r>
      <w:r>
        <w:rPr>
          <w:rFonts w:hint="eastAsia" w:ascii="仿宋" w:hAnsi="仿宋" w:eastAsia="仿宋" w:cs="宋体"/>
          <w:color w:val="000000"/>
          <w:kern w:val="0"/>
          <w:sz w:val="32"/>
          <w:szCs w:val="32"/>
          <w:lang w:val="en-US" w:eastAsia="zh-CN"/>
        </w:rPr>
        <w:t>7.94</w:t>
      </w:r>
      <w:r>
        <w:rPr>
          <w:rFonts w:hint="eastAsia" w:ascii="仿宋" w:hAnsi="仿宋" w:eastAsia="仿宋" w:cs="宋体"/>
          <w:color w:val="000000"/>
          <w:kern w:val="0"/>
          <w:sz w:val="32"/>
          <w:szCs w:val="32"/>
        </w:rPr>
        <w:t>元</w:t>
      </w:r>
      <w:r>
        <w:rPr>
          <w:rFonts w:hint="eastAsia" w:ascii="仿宋" w:hAnsi="仿宋" w:eastAsia="仿宋" w:cs="宋体"/>
          <w:color w:val="000000"/>
          <w:kern w:val="0"/>
          <w:sz w:val="32"/>
          <w:szCs w:val="32"/>
          <w:lang w:eastAsia="zh-CN"/>
        </w:rPr>
        <w:t>，</w:t>
      </w:r>
      <w:r>
        <w:rPr>
          <w:rFonts w:hint="eastAsia" w:ascii="仿宋" w:hAnsi="仿宋" w:eastAsia="仿宋" w:cs="仿宋"/>
          <w:color w:val="000000"/>
          <w:kern w:val="0"/>
          <w:sz w:val="32"/>
          <w:szCs w:val="32"/>
        </w:rPr>
        <w:t>维修（护）费</w:t>
      </w:r>
      <w:r>
        <w:rPr>
          <w:rFonts w:hint="eastAsia" w:ascii="仿宋" w:hAnsi="仿宋" w:eastAsia="仿宋" w:cs="宋体"/>
          <w:color w:val="000000"/>
          <w:kern w:val="0"/>
          <w:sz w:val="32"/>
          <w:szCs w:val="32"/>
          <w:lang w:val="en-US" w:eastAsia="zh-CN"/>
        </w:rPr>
        <w:t>123.15</w:t>
      </w:r>
      <w:r>
        <w:rPr>
          <w:rFonts w:hint="eastAsia" w:ascii="仿宋" w:hAnsi="仿宋" w:eastAsia="仿宋" w:cs="仿宋"/>
          <w:color w:val="000000"/>
          <w:kern w:val="0"/>
          <w:sz w:val="32"/>
          <w:szCs w:val="32"/>
        </w:rPr>
        <w:t>万元</w:t>
      </w:r>
      <w:r>
        <w:rPr>
          <w:rFonts w:hint="eastAsia" w:ascii="仿宋" w:hAnsi="仿宋" w:eastAsia="仿宋" w:cs="仿宋"/>
          <w:color w:val="000000"/>
          <w:kern w:val="0"/>
          <w:sz w:val="32"/>
          <w:szCs w:val="32"/>
          <w:lang w:eastAsia="zh-CN"/>
        </w:rPr>
        <w:t>，</w:t>
      </w:r>
      <w:r>
        <w:rPr>
          <w:rFonts w:hint="eastAsia" w:ascii="仿宋" w:hAnsi="仿宋" w:eastAsia="仿宋" w:cs="宋体"/>
          <w:color w:val="000000"/>
          <w:kern w:val="0"/>
          <w:sz w:val="32"/>
          <w:szCs w:val="32"/>
          <w:lang w:val="en-US" w:eastAsia="zh-CN"/>
        </w:rPr>
        <w:t>租赁</w:t>
      </w:r>
      <w:r>
        <w:rPr>
          <w:rFonts w:hint="eastAsia" w:ascii="仿宋" w:hAnsi="仿宋" w:eastAsia="仿宋" w:cs="宋体"/>
          <w:color w:val="000000"/>
          <w:kern w:val="0"/>
          <w:sz w:val="32"/>
          <w:szCs w:val="32"/>
        </w:rPr>
        <w:t>费</w:t>
      </w:r>
      <w:r>
        <w:rPr>
          <w:rFonts w:hint="eastAsia" w:ascii="仿宋" w:hAnsi="仿宋" w:eastAsia="仿宋" w:cs="宋体"/>
          <w:color w:val="000000"/>
          <w:kern w:val="0"/>
          <w:sz w:val="32"/>
          <w:szCs w:val="32"/>
          <w:lang w:val="en-US" w:eastAsia="zh-CN"/>
        </w:rPr>
        <w:t>4.9</w:t>
      </w:r>
      <w:r>
        <w:rPr>
          <w:rFonts w:hint="eastAsia" w:ascii="仿宋" w:hAnsi="仿宋" w:eastAsia="仿宋" w:cs="宋体"/>
          <w:color w:val="000000"/>
          <w:kern w:val="0"/>
          <w:sz w:val="32"/>
          <w:szCs w:val="32"/>
        </w:rPr>
        <w:t>万元</w:t>
      </w:r>
      <w:r>
        <w:rPr>
          <w:rFonts w:hint="eastAsia" w:ascii="仿宋" w:hAnsi="仿宋" w:eastAsia="仿宋" w:cs="宋体"/>
          <w:color w:val="000000"/>
          <w:kern w:val="0"/>
          <w:sz w:val="32"/>
          <w:szCs w:val="32"/>
          <w:lang w:eastAsia="zh-CN"/>
        </w:rPr>
        <w:t>，</w:t>
      </w:r>
      <w:r>
        <w:rPr>
          <w:rFonts w:hint="eastAsia" w:ascii="仿宋" w:hAnsi="仿宋" w:eastAsia="仿宋" w:cs="宋体"/>
          <w:color w:val="000000"/>
          <w:kern w:val="0"/>
          <w:sz w:val="32"/>
          <w:szCs w:val="32"/>
        </w:rPr>
        <w:t>培训费</w:t>
      </w:r>
      <w:r>
        <w:rPr>
          <w:rFonts w:hint="eastAsia" w:ascii="仿宋" w:hAnsi="仿宋" w:eastAsia="仿宋" w:cs="宋体"/>
          <w:color w:val="000000"/>
          <w:kern w:val="0"/>
          <w:sz w:val="32"/>
          <w:szCs w:val="32"/>
          <w:lang w:val="en-US" w:eastAsia="zh-CN"/>
        </w:rPr>
        <w:t>6.71</w:t>
      </w:r>
      <w:r>
        <w:rPr>
          <w:rFonts w:hint="eastAsia" w:ascii="仿宋" w:hAnsi="仿宋" w:eastAsia="仿宋" w:cs="宋体"/>
          <w:color w:val="000000"/>
          <w:kern w:val="0"/>
          <w:sz w:val="32"/>
          <w:szCs w:val="32"/>
        </w:rPr>
        <w:t>万元</w:t>
      </w:r>
      <w:r>
        <w:rPr>
          <w:rFonts w:hint="eastAsia" w:ascii="仿宋" w:hAnsi="仿宋" w:eastAsia="仿宋" w:cs="宋体"/>
          <w:color w:val="000000"/>
          <w:kern w:val="0"/>
          <w:sz w:val="32"/>
          <w:szCs w:val="32"/>
          <w:lang w:eastAsia="zh-CN"/>
        </w:rPr>
        <w:t>，专用材料费</w:t>
      </w:r>
      <w:r>
        <w:rPr>
          <w:rFonts w:hint="eastAsia" w:ascii="仿宋" w:hAnsi="仿宋" w:eastAsia="仿宋" w:cs="宋体"/>
          <w:color w:val="000000"/>
          <w:kern w:val="0"/>
          <w:sz w:val="32"/>
          <w:szCs w:val="32"/>
          <w:lang w:val="en-US" w:eastAsia="zh-CN"/>
        </w:rPr>
        <w:t>0万元，委托业务费14.19万元，</w:t>
      </w:r>
      <w:r>
        <w:rPr>
          <w:rFonts w:hint="eastAsia" w:ascii="仿宋" w:hAnsi="仿宋" w:eastAsia="仿宋" w:cs="宋体"/>
          <w:color w:val="000000"/>
          <w:kern w:val="0"/>
          <w:sz w:val="32"/>
          <w:szCs w:val="32"/>
          <w:lang w:eastAsia="zh-CN"/>
        </w:rPr>
        <w:t>工会经费</w:t>
      </w:r>
      <w:r>
        <w:rPr>
          <w:rFonts w:hint="eastAsia" w:ascii="仿宋" w:hAnsi="仿宋" w:eastAsia="仿宋" w:cs="宋体"/>
          <w:color w:val="000000"/>
          <w:kern w:val="0"/>
          <w:sz w:val="32"/>
          <w:szCs w:val="32"/>
          <w:lang w:val="en-US" w:eastAsia="zh-CN"/>
        </w:rPr>
        <w:t>29.43万元，福利费29.45万元，其他交通费用0.91万元，其他商品和服务支出34.48万元。</w:t>
      </w:r>
    </w:p>
    <w:p>
      <w:pPr>
        <w:keepNext w:val="0"/>
        <w:keepLines w:val="0"/>
        <w:widowControl/>
        <w:suppressLineNumbers w:val="0"/>
        <w:spacing w:line="600" w:lineRule="exact"/>
        <w:ind w:left="0" w:firstLine="645"/>
        <w:rPr>
          <w:rFonts w:hint="eastAsia" w:ascii="仿宋" w:hAnsi="仿宋" w:eastAsia="仿宋" w:cs="宋体"/>
          <w:color w:val="000000"/>
          <w:kern w:val="0"/>
          <w:sz w:val="32"/>
          <w:szCs w:val="32"/>
          <w:lang w:val="en-US" w:eastAsia="zh-CN"/>
        </w:rPr>
      </w:pPr>
      <w:r>
        <w:rPr>
          <w:rFonts w:hint="eastAsia" w:ascii="仿宋" w:hAnsi="仿宋" w:eastAsia="仿宋" w:cs="宋体"/>
          <w:color w:val="000000"/>
          <w:kern w:val="0"/>
          <w:sz w:val="32"/>
          <w:szCs w:val="32"/>
          <w:lang w:eastAsia="zh-CN"/>
        </w:rPr>
        <w:t>对个人和家庭的补助支出</w:t>
      </w:r>
      <w:r>
        <w:rPr>
          <w:rFonts w:hint="eastAsia" w:ascii="仿宋" w:hAnsi="仿宋" w:eastAsia="仿宋" w:cs="宋体"/>
          <w:color w:val="000000"/>
          <w:kern w:val="0"/>
          <w:sz w:val="32"/>
          <w:szCs w:val="32"/>
          <w:lang w:val="en-US" w:eastAsia="zh-CN"/>
        </w:rPr>
        <w:t>360.13万元，主要包括：生活补助354.23万元，医疗费补助5.4万元，助学金0万元，奖励金（独子费）0.2万元，其他对个人和家庭的补助0.3万元。</w:t>
      </w:r>
    </w:p>
    <w:p>
      <w:pPr>
        <w:keepNext w:val="0"/>
        <w:keepLines w:val="0"/>
        <w:widowControl/>
        <w:suppressLineNumbers w:val="0"/>
        <w:spacing w:line="600" w:lineRule="exact"/>
        <w:ind w:left="0" w:firstLine="645"/>
        <w:rPr>
          <w:rFonts w:hint="default" w:ascii="仿宋" w:hAnsi="仿宋" w:eastAsia="仿宋" w:cs="宋体"/>
          <w:color w:val="000000"/>
          <w:kern w:val="0"/>
          <w:sz w:val="32"/>
          <w:szCs w:val="32"/>
          <w:lang w:val="en-US" w:eastAsia="zh-CN"/>
        </w:rPr>
      </w:pPr>
      <w:r>
        <w:rPr>
          <w:rFonts w:hint="default" w:ascii="仿宋" w:hAnsi="仿宋" w:eastAsia="仿宋" w:cs="宋体"/>
          <w:color w:val="000000"/>
          <w:kern w:val="0"/>
          <w:sz w:val="32"/>
          <w:szCs w:val="32"/>
          <w:lang w:val="en-US" w:eastAsia="zh-CN"/>
        </w:rPr>
        <w:t>资本性支出</w:t>
      </w:r>
      <w:r>
        <w:rPr>
          <w:rFonts w:hint="eastAsia" w:ascii="仿宋" w:hAnsi="仿宋" w:eastAsia="仿宋" w:cs="宋体"/>
          <w:color w:val="000000"/>
          <w:kern w:val="0"/>
          <w:sz w:val="32"/>
          <w:szCs w:val="32"/>
          <w:lang w:val="en-US" w:eastAsia="zh-CN"/>
        </w:rPr>
        <w:t>41.75万元，主要包括专用设备购置3.49万元，办公设备购置0.24万元，基础设施建设38.02万元。</w:t>
      </w:r>
    </w:p>
    <w:p>
      <w:pPr>
        <w:keepNext w:val="0"/>
        <w:keepLines w:val="0"/>
        <w:widowControl/>
        <w:suppressLineNumbers w:val="0"/>
        <w:spacing w:line="600" w:lineRule="exact"/>
        <w:ind w:left="0" w:firstLine="645"/>
        <w:rPr>
          <w:rFonts w:hint="eastAsia" w:ascii="楷体" w:hAnsi="楷体" w:eastAsia="楷体" w:cs="宋体"/>
          <w:color w:val="000000"/>
          <w:kern w:val="0"/>
          <w:sz w:val="24"/>
          <w:szCs w:val="24"/>
        </w:rPr>
      </w:pPr>
      <w:r>
        <w:rPr>
          <w:rFonts w:hint="eastAsia" w:ascii="楷体" w:hAnsi="楷体" w:eastAsia="楷体" w:cs="楷体"/>
          <w:color w:val="000000"/>
          <w:kern w:val="0"/>
          <w:sz w:val="32"/>
          <w:szCs w:val="32"/>
        </w:rPr>
        <w:t>（三）综合管理情况</w:t>
      </w:r>
    </w:p>
    <w:p>
      <w:pPr>
        <w:keepNext w:val="0"/>
        <w:keepLines w:val="0"/>
        <w:widowControl/>
        <w:suppressLineNumbers w:val="0"/>
        <w:spacing w:line="600" w:lineRule="exact"/>
        <w:ind w:left="0" w:firstLine="645"/>
        <w:rPr>
          <w:rFonts w:hint="eastAsia" w:ascii="仿宋" w:hAnsi="仿宋" w:eastAsia="仿宋" w:cs="宋体"/>
          <w:color w:val="000000"/>
          <w:kern w:val="0"/>
          <w:sz w:val="32"/>
          <w:szCs w:val="32"/>
          <w:lang w:val="en-US" w:eastAsia="zh-CN"/>
        </w:rPr>
      </w:pPr>
      <w:r>
        <w:rPr>
          <w:rFonts w:hint="eastAsia" w:ascii="仿宋" w:hAnsi="仿宋" w:eastAsia="仿宋" w:cs="宋体"/>
          <w:color w:val="000000"/>
          <w:kern w:val="0"/>
          <w:sz w:val="32"/>
          <w:szCs w:val="32"/>
          <w:lang w:val="en-US" w:eastAsia="zh-CN"/>
        </w:rPr>
        <w:t>1.资产管理</w:t>
      </w:r>
    </w:p>
    <w:p>
      <w:pPr>
        <w:keepNext w:val="0"/>
        <w:keepLines w:val="0"/>
        <w:widowControl/>
        <w:suppressLineNumbers w:val="0"/>
        <w:spacing w:line="600" w:lineRule="exact"/>
        <w:ind w:left="0" w:firstLine="645"/>
        <w:rPr>
          <w:rFonts w:hint="eastAsia" w:ascii="仿宋" w:hAnsi="仿宋" w:eastAsia="仿宋" w:cs="宋体"/>
          <w:color w:val="000000"/>
          <w:kern w:val="0"/>
          <w:sz w:val="32"/>
          <w:szCs w:val="32"/>
          <w:lang w:eastAsia="zh-CN"/>
        </w:rPr>
      </w:pPr>
      <w:r>
        <w:rPr>
          <w:rFonts w:hint="eastAsia" w:ascii="仿宋" w:hAnsi="仿宋" w:eastAsia="仿宋" w:cs="宋体"/>
          <w:color w:val="000000"/>
          <w:kern w:val="0"/>
          <w:sz w:val="32"/>
          <w:szCs w:val="32"/>
          <w:lang w:val="en-US" w:eastAsia="zh-CN"/>
        </w:rPr>
        <w:t>加强学校资产管理，严格执行现行固定资产管理制度，防止学校固定资产的流失。做到账实相符，对购入的固定资产及时入账，编制固定资产</w:t>
      </w:r>
      <w:r>
        <w:rPr>
          <w:rFonts w:hint="eastAsia" w:ascii="仿宋" w:hAnsi="仿宋" w:eastAsia="仿宋" w:cs="宋体"/>
          <w:color w:val="000000"/>
          <w:kern w:val="0"/>
          <w:sz w:val="32"/>
          <w:szCs w:val="32"/>
          <w:lang w:eastAsia="zh-CN"/>
        </w:rPr>
        <w:t>卡片，确保账面上能真实、完整的反映单位的固定资产情况，并结合本单位的实际情况，完善固定资产管理制度。学校的固定资产一般分为土地房屋及构筑物、通用设备、专用设备、文物和陈列品、图书档案、家具用具装具及动植物这几种。学校固定资产有较多的低值易耗品，在使用过程中监管不力很容易损坏，学校应重视资产的管理，延长资产使用寿命。提高资产的使用效率。</w:t>
      </w:r>
    </w:p>
    <w:p>
      <w:pPr>
        <w:keepNext w:val="0"/>
        <w:keepLines w:val="0"/>
        <w:widowControl/>
        <w:suppressLineNumbers w:val="0"/>
        <w:spacing w:line="560" w:lineRule="exact"/>
        <w:ind w:left="0" w:firstLine="640" w:firstLineChars="200"/>
        <w:rPr>
          <w:rFonts w:hint="eastAsia" w:ascii="仿宋_GB2312" w:hAnsi="宋体" w:eastAsia="仿宋_GB2312" w:cs="仿宋_GB2312"/>
          <w:kern w:val="0"/>
          <w:sz w:val="32"/>
          <w:szCs w:val="32"/>
        </w:rPr>
      </w:pPr>
      <w:r>
        <w:rPr>
          <w:rFonts w:hint="eastAsia" w:ascii="仿宋_GB2312" w:hAnsi="宋体" w:eastAsia="仿宋_GB2312" w:cs="仿宋_GB2312"/>
          <w:kern w:val="0"/>
          <w:sz w:val="32"/>
          <w:szCs w:val="32"/>
        </w:rPr>
        <w:t>2.内控管理</w:t>
      </w:r>
    </w:p>
    <w:p>
      <w:pPr>
        <w:keepNext w:val="0"/>
        <w:keepLines w:val="0"/>
        <w:widowControl/>
        <w:suppressLineNumbers w:val="0"/>
        <w:spacing w:line="600" w:lineRule="exact"/>
        <w:ind w:left="0" w:firstLine="645"/>
        <w:rPr>
          <w:rFonts w:hint="eastAsia" w:ascii="仿宋" w:hAnsi="仿宋" w:eastAsia="仿宋" w:cs="宋体"/>
          <w:color w:val="000000"/>
          <w:kern w:val="0"/>
          <w:sz w:val="32"/>
          <w:szCs w:val="32"/>
          <w:lang w:eastAsia="zh-CN"/>
        </w:rPr>
      </w:pPr>
      <w:r>
        <w:rPr>
          <w:rFonts w:hint="eastAsia" w:ascii="仿宋" w:hAnsi="仿宋" w:eastAsia="仿宋" w:cs="宋体"/>
          <w:color w:val="000000"/>
          <w:kern w:val="0"/>
          <w:sz w:val="32"/>
          <w:szCs w:val="32"/>
          <w:lang w:eastAsia="zh-CN"/>
        </w:rPr>
        <w:t>加强财务内部控制制度的认识，健全完善部门内控制度，形成常态的规划管理。明确业务分工，运用不相容岗位相互分离、提高风险防范能力。信息内部公开等内部控制基本方法，加强对单位层面和业务层面的内部控制，实现内部控制体系全面、有效实施。建立单位内控监督约束机制，确保资金安全、合理、有效使用，提高学校管理水平，保证学校协调、持续、稳定发展。</w:t>
      </w:r>
    </w:p>
    <w:p>
      <w:pPr>
        <w:keepNext w:val="0"/>
        <w:keepLines w:val="0"/>
        <w:widowControl/>
        <w:suppressLineNumbers w:val="0"/>
        <w:spacing w:line="560" w:lineRule="exact"/>
        <w:ind w:left="0" w:firstLine="640" w:firstLineChars="200"/>
        <w:rPr>
          <w:rFonts w:hint="eastAsia" w:ascii="仿宋_GB2312" w:hAnsi="宋体" w:eastAsia="仿宋_GB2312" w:cs="仿宋_GB2312"/>
          <w:kern w:val="0"/>
          <w:sz w:val="32"/>
          <w:szCs w:val="32"/>
        </w:rPr>
      </w:pPr>
      <w:r>
        <w:rPr>
          <w:rFonts w:hint="eastAsia" w:ascii="仿宋_GB2312" w:hAnsi="宋体" w:eastAsia="仿宋_GB2312" w:cs="仿宋_GB2312"/>
          <w:kern w:val="0"/>
          <w:sz w:val="32"/>
          <w:szCs w:val="32"/>
        </w:rPr>
        <w:t>3.绩效管理</w:t>
      </w:r>
    </w:p>
    <w:p>
      <w:pPr>
        <w:keepNext w:val="0"/>
        <w:keepLines w:val="0"/>
        <w:widowControl/>
        <w:suppressLineNumbers w:val="0"/>
        <w:spacing w:line="600" w:lineRule="exact"/>
        <w:ind w:left="0" w:firstLine="645"/>
        <w:rPr>
          <w:rFonts w:hint="eastAsia" w:ascii="仿宋" w:hAnsi="仿宋" w:eastAsia="仿宋" w:cs="宋体"/>
          <w:color w:val="000000"/>
          <w:kern w:val="0"/>
          <w:sz w:val="32"/>
          <w:szCs w:val="32"/>
          <w:lang w:eastAsia="zh-CN"/>
        </w:rPr>
      </w:pPr>
      <w:r>
        <w:rPr>
          <w:rFonts w:hint="eastAsia" w:ascii="仿宋" w:hAnsi="仿宋" w:eastAsia="仿宋" w:cs="宋体"/>
          <w:color w:val="000000"/>
          <w:kern w:val="0"/>
          <w:sz w:val="32"/>
          <w:szCs w:val="32"/>
          <w:lang w:eastAsia="zh-CN"/>
        </w:rPr>
        <w:t xml:space="preserve">学校坚持多劳多得、注重实效、优绩优效的原则，把师德放在首位。我单位教师年度考核是绩效考核的主要依据，学校按照教师绩效考核的名次进行进行分配。重点考核教师拓展专业知识，提高教育教学能力的情况，包括教师技能培训、完成规定的教师继续教育任务，参与教学教研等方面的情况，还通过教师考勤、工作量、教育教学效果等内容进行进行绩效考核。学校应该进一步提高预算绩效评价质量使教师们满意。 </w:t>
      </w:r>
    </w:p>
    <w:p>
      <w:pPr>
        <w:keepNext w:val="0"/>
        <w:keepLines w:val="0"/>
        <w:widowControl/>
        <w:suppressLineNumbers w:val="0"/>
        <w:spacing w:line="560" w:lineRule="exact"/>
        <w:ind w:left="0" w:firstLine="640" w:firstLineChars="200"/>
        <w:rPr>
          <w:rFonts w:hint="eastAsia" w:ascii="仿宋_GB2312" w:hAnsi="宋体" w:eastAsia="仿宋_GB2312" w:cs="仿宋_GB2312"/>
          <w:kern w:val="0"/>
          <w:sz w:val="32"/>
          <w:szCs w:val="32"/>
        </w:rPr>
      </w:pPr>
      <w:r>
        <w:rPr>
          <w:rFonts w:hint="eastAsia" w:ascii="仿宋_GB2312" w:hAnsi="宋体" w:eastAsia="仿宋_GB2312" w:cs="仿宋_GB2312"/>
          <w:kern w:val="0"/>
          <w:sz w:val="32"/>
          <w:szCs w:val="32"/>
        </w:rPr>
        <w:t>4.信息公开</w:t>
      </w:r>
    </w:p>
    <w:p>
      <w:pPr>
        <w:keepNext w:val="0"/>
        <w:keepLines w:val="0"/>
        <w:widowControl/>
        <w:suppressLineNumbers w:val="0"/>
        <w:spacing w:line="600" w:lineRule="exact"/>
        <w:ind w:left="0" w:firstLine="645"/>
        <w:rPr>
          <w:rFonts w:hint="eastAsia" w:ascii="仿宋" w:hAnsi="仿宋" w:eastAsia="仿宋" w:cs="宋体"/>
          <w:color w:val="000000"/>
          <w:kern w:val="0"/>
          <w:sz w:val="32"/>
          <w:szCs w:val="32"/>
          <w:lang w:eastAsia="zh-CN"/>
        </w:rPr>
      </w:pPr>
      <w:r>
        <w:rPr>
          <w:rFonts w:hint="eastAsia" w:ascii="仿宋" w:hAnsi="仿宋" w:eastAsia="仿宋" w:cs="宋体"/>
          <w:color w:val="000000"/>
          <w:kern w:val="0"/>
          <w:sz w:val="32"/>
          <w:szCs w:val="32"/>
          <w:lang w:eastAsia="zh-CN"/>
        </w:rPr>
        <w:t>我单位按照政府信息公开应当遵循合法、真实、及时便民的原则，经财政部门对我校公开的信息进行真实性的审查，在信息公开办网站上进行了预决算公开。</w:t>
      </w:r>
    </w:p>
    <w:p>
      <w:pPr>
        <w:keepNext w:val="0"/>
        <w:keepLines w:val="0"/>
        <w:widowControl/>
        <w:suppressLineNumbers w:val="0"/>
        <w:spacing w:line="560" w:lineRule="exact"/>
        <w:ind w:left="0" w:firstLine="640" w:firstLineChars="200"/>
        <w:rPr>
          <w:rFonts w:hint="eastAsia" w:ascii="仿宋_GB2312" w:hAnsi="宋体" w:eastAsia="仿宋_GB2312" w:cs="仿宋_GB2312"/>
          <w:kern w:val="0"/>
          <w:sz w:val="32"/>
          <w:szCs w:val="32"/>
        </w:rPr>
      </w:pPr>
      <w:r>
        <w:rPr>
          <w:rFonts w:hint="eastAsia" w:ascii="仿宋_GB2312" w:hAnsi="宋体" w:eastAsia="仿宋_GB2312" w:cs="仿宋_GB2312"/>
          <w:kern w:val="0"/>
          <w:sz w:val="32"/>
          <w:szCs w:val="32"/>
        </w:rPr>
        <w:t>5.财政监督</w:t>
      </w:r>
    </w:p>
    <w:p>
      <w:pPr>
        <w:keepNext w:val="0"/>
        <w:keepLines w:val="0"/>
        <w:widowControl/>
        <w:suppressLineNumbers w:val="0"/>
        <w:spacing w:line="600" w:lineRule="exact"/>
        <w:ind w:left="0" w:firstLine="645"/>
        <w:rPr>
          <w:rFonts w:hint="eastAsia" w:ascii="仿宋" w:hAnsi="仿宋" w:eastAsia="仿宋" w:cs="宋体"/>
          <w:color w:val="000000"/>
          <w:kern w:val="0"/>
          <w:sz w:val="32"/>
          <w:szCs w:val="32"/>
          <w:lang w:eastAsia="zh-CN"/>
        </w:rPr>
      </w:pPr>
      <w:r>
        <w:rPr>
          <w:rFonts w:hint="eastAsia" w:ascii="仿宋" w:hAnsi="仿宋" w:eastAsia="仿宋" w:cs="宋体"/>
          <w:color w:val="000000"/>
          <w:kern w:val="0"/>
          <w:sz w:val="32"/>
          <w:szCs w:val="32"/>
          <w:lang w:eastAsia="zh-CN"/>
        </w:rPr>
        <w:t>我校坚持将财政监督工作贯穿于学校的财务工作之中。确保财政监督工作的有效性实施，强化事前、事中、事后监督，提高财政监督信息化水平，逐步建立起预算编制、执行、监督紧密衔接，相互促进，实现对财政资金运行全过程的科学、规范、有效监督和管理。</w:t>
      </w:r>
    </w:p>
    <w:p>
      <w:pPr>
        <w:keepNext w:val="0"/>
        <w:keepLines w:val="0"/>
        <w:widowControl/>
        <w:suppressLineNumbers w:val="0"/>
        <w:adjustRightInd w:val="0"/>
        <w:snapToGrid w:val="0"/>
        <w:spacing w:before="0" w:beforeAutospacing="0" w:after="0" w:afterAutospacing="0" w:line="480" w:lineRule="exact"/>
        <w:ind w:left="0" w:right="0" w:firstLine="640" w:firstLineChars="200"/>
        <w:jc w:val="left"/>
        <w:rPr>
          <w:rFonts w:hint="eastAsia" w:ascii="楷体" w:hAnsi="楷体" w:eastAsia="楷体" w:cs="宋体"/>
          <w:color w:val="000000"/>
          <w:kern w:val="0"/>
          <w:sz w:val="24"/>
          <w:szCs w:val="24"/>
        </w:rPr>
      </w:pPr>
      <w:r>
        <w:rPr>
          <w:rFonts w:hint="eastAsia" w:ascii="楷体" w:hAnsi="楷体" w:eastAsia="楷体" w:cs="楷体"/>
          <w:color w:val="000000"/>
          <w:kern w:val="0"/>
          <w:sz w:val="32"/>
          <w:szCs w:val="32"/>
        </w:rPr>
        <w:t>（四）整体绩效</w:t>
      </w:r>
    </w:p>
    <w:p>
      <w:pPr>
        <w:keepNext w:val="0"/>
        <w:keepLines w:val="0"/>
        <w:widowControl/>
        <w:suppressLineNumbers w:val="0"/>
        <w:spacing w:line="600" w:lineRule="exact"/>
        <w:ind w:left="0" w:firstLine="645"/>
        <w:rPr>
          <w:rFonts w:hint="eastAsia" w:ascii="仿宋" w:hAnsi="仿宋" w:eastAsia="仿宋" w:cs="宋体"/>
          <w:color w:val="000000"/>
          <w:kern w:val="0"/>
          <w:sz w:val="32"/>
          <w:szCs w:val="32"/>
          <w:lang w:eastAsia="zh-CN"/>
        </w:rPr>
      </w:pPr>
      <w:r>
        <w:rPr>
          <w:rFonts w:hint="eastAsia" w:ascii="仿宋" w:hAnsi="仿宋" w:eastAsia="仿宋" w:cs="宋体"/>
          <w:color w:val="000000"/>
          <w:kern w:val="0"/>
          <w:sz w:val="32"/>
          <w:szCs w:val="32"/>
          <w:lang w:eastAsia="zh-CN"/>
        </w:rPr>
        <w:t>学校提高预算绩效管理认识，强化以“绩效为中心、对支出结果负责、对社会公众负责”的理念，在绩效目标编制方面，针对绩效目标设置指向不清、预算和目标匹配不足，数量目标和质量目标量化不细，效益目标编制不完整等方面加以了改善。加强预算绩效动态监控管理，加强相关人员的业务培训，进一步扩大预算绩效评价范围。</w:t>
      </w:r>
    </w:p>
    <w:p>
      <w:pPr>
        <w:keepNext w:val="0"/>
        <w:keepLines w:val="0"/>
        <w:widowControl/>
        <w:suppressLineNumbers w:val="0"/>
        <w:spacing w:line="600" w:lineRule="exact"/>
        <w:ind w:left="0" w:firstLine="645"/>
        <w:rPr>
          <w:rFonts w:hint="eastAsia" w:ascii="仿宋" w:hAnsi="仿宋" w:eastAsia="仿宋" w:cs="宋体"/>
          <w:color w:val="000000"/>
          <w:kern w:val="0"/>
          <w:sz w:val="32"/>
          <w:szCs w:val="32"/>
          <w:lang w:eastAsia="zh-CN"/>
        </w:rPr>
      </w:pPr>
      <w:r>
        <w:rPr>
          <w:rFonts w:hint="eastAsia" w:ascii="仿宋" w:hAnsi="仿宋" w:eastAsia="仿宋" w:cs="宋体"/>
          <w:color w:val="000000"/>
          <w:kern w:val="0"/>
          <w:sz w:val="32"/>
          <w:szCs w:val="32"/>
          <w:lang w:eastAsia="zh-CN"/>
        </w:rPr>
        <w:t>对财务管理进行规范化，同财政部门及时沟通学习，积极进行财政部门组织的决算、编报、审核等方面工作按时完成，认真如实填报。不断强化预算意识，实行部门综合预算管理，保证预算编制质量。结合单位情况，进行科学合理分配细化，部门预算经批复后，科学合理安排支出，降低预算支出的波动幅度。对预算和决算公开工作、及主管部门对所属单位按规定批复决算的各项工作按规定批复决算的各项工作按规定认真执行。</w:t>
      </w:r>
    </w:p>
    <w:p>
      <w:pPr>
        <w:keepNext w:val="0"/>
        <w:keepLines w:val="0"/>
        <w:widowControl/>
        <w:suppressLineNumbers w:val="0"/>
        <w:adjustRightInd w:val="0"/>
        <w:snapToGrid w:val="0"/>
        <w:spacing w:before="0" w:beforeAutospacing="0" w:after="0" w:afterAutospacing="0"/>
        <w:ind w:right="0"/>
        <w:jc w:val="left"/>
        <w:rPr>
          <w:rFonts w:hint="eastAsia" w:ascii="黑体" w:hAnsi="宋体" w:eastAsia="黑体" w:cs="宋体"/>
          <w:color w:val="000000"/>
          <w:kern w:val="0"/>
          <w:sz w:val="24"/>
          <w:szCs w:val="24"/>
        </w:rPr>
      </w:pPr>
      <w:r>
        <w:rPr>
          <w:rFonts w:hint="eastAsia" w:ascii="黑体" w:hAnsi="宋体" w:eastAsia="黑体" w:cs="黑体"/>
          <w:color w:val="000000"/>
          <w:kern w:val="0"/>
          <w:sz w:val="32"/>
          <w:szCs w:val="32"/>
        </w:rPr>
        <w:t>四、评价结论及建议</w:t>
      </w:r>
    </w:p>
    <w:p>
      <w:pPr>
        <w:keepNext w:val="0"/>
        <w:keepLines w:val="0"/>
        <w:widowControl/>
        <w:suppressLineNumbers w:val="0"/>
        <w:spacing w:line="560" w:lineRule="exact"/>
        <w:ind w:left="0" w:firstLine="640" w:firstLineChars="200"/>
        <w:rPr>
          <w:rFonts w:hint="eastAsia" w:ascii="楷体" w:hAnsi="楷体" w:eastAsia="楷体" w:cs="楷体"/>
          <w:kern w:val="0"/>
          <w:sz w:val="32"/>
          <w:szCs w:val="32"/>
        </w:rPr>
      </w:pPr>
      <w:r>
        <w:rPr>
          <w:rFonts w:hint="eastAsia" w:ascii="楷体" w:hAnsi="楷体" w:eastAsia="楷体" w:cs="楷体"/>
          <w:kern w:val="0"/>
          <w:sz w:val="32"/>
          <w:szCs w:val="32"/>
        </w:rPr>
        <w:t>(一）评价结论</w:t>
      </w:r>
    </w:p>
    <w:p>
      <w:pPr>
        <w:keepNext w:val="0"/>
        <w:keepLines w:val="0"/>
        <w:widowControl/>
        <w:suppressLineNumbers w:val="0"/>
        <w:spacing w:line="600" w:lineRule="exact"/>
        <w:ind w:left="0" w:firstLine="645"/>
        <w:rPr>
          <w:rFonts w:hint="eastAsia" w:ascii="仿宋" w:hAnsi="仿宋" w:eastAsia="仿宋" w:cs="宋体"/>
          <w:color w:val="000000"/>
          <w:kern w:val="0"/>
          <w:sz w:val="32"/>
          <w:szCs w:val="32"/>
          <w:lang w:eastAsia="zh-CN"/>
        </w:rPr>
      </w:pPr>
      <w:r>
        <w:rPr>
          <w:rFonts w:hint="eastAsia" w:ascii="仿宋" w:hAnsi="仿宋" w:eastAsia="仿宋" w:cs="宋体"/>
          <w:color w:val="000000"/>
          <w:kern w:val="0"/>
          <w:sz w:val="32"/>
          <w:szCs w:val="32"/>
          <w:lang w:eastAsia="zh-CN"/>
        </w:rPr>
        <w:t>在上级部门的领导下，我单位扎实工作，全面完成了各项工作任务，按照年初预算进行部门整体支出，在支出过程中，能遵守各项规章制度基本按方案组织实施，并加强了监督，达到了节约、高效的支出目标。始终突出工作重点，积极发挥综合协调作用。筹落实各项任务，推动面上工作平衡发展。认真履行主体责任，切实加强干部队伍建设。我单位对财务管理进行规范化，同财政部门及时沟通学习，积极进行财政部门组织的决算、编报、审核等方面工作按时完成，认真如实填报。不断强化预算意识，实行部门综合预算管理，保证预算编制质量。结合单位情况，进行科学合理分配细化，部门预算经批复后，科学合理安排支出，降低预算支出的波动幅度。对预算和决算公开工作、及主管部门对所属单位按规定批复决算的各项工作按规定认真执行。</w:t>
      </w:r>
    </w:p>
    <w:p>
      <w:pPr>
        <w:keepNext w:val="0"/>
        <w:keepLines w:val="0"/>
        <w:widowControl/>
        <w:suppressLineNumbers w:val="0"/>
        <w:spacing w:line="560" w:lineRule="exact"/>
        <w:ind w:left="0" w:firstLine="640" w:firstLineChars="200"/>
        <w:rPr>
          <w:rFonts w:hint="eastAsia" w:ascii="楷体" w:hAnsi="楷体" w:eastAsia="楷体" w:cs="楷体"/>
          <w:kern w:val="0"/>
          <w:sz w:val="32"/>
          <w:szCs w:val="32"/>
        </w:rPr>
      </w:pPr>
      <w:r>
        <w:rPr>
          <w:rFonts w:hint="eastAsia" w:ascii="楷体" w:hAnsi="楷体" w:eastAsia="楷体" w:cs="楷体"/>
          <w:kern w:val="0"/>
          <w:sz w:val="32"/>
          <w:szCs w:val="32"/>
        </w:rPr>
        <w:t>（二）存在问题</w:t>
      </w:r>
    </w:p>
    <w:p>
      <w:pPr>
        <w:keepNext w:val="0"/>
        <w:keepLines w:val="0"/>
        <w:widowControl/>
        <w:suppressLineNumbers w:val="0"/>
        <w:spacing w:line="560" w:lineRule="exact"/>
        <w:ind w:left="0" w:firstLine="640" w:firstLineChars="200"/>
        <w:rPr>
          <w:rFonts w:hint="default" w:ascii="仿宋" w:hAnsi="仿宋" w:eastAsia="仿宋" w:cs="宋体"/>
          <w:color w:val="000000"/>
          <w:kern w:val="0"/>
          <w:sz w:val="32"/>
          <w:szCs w:val="32"/>
          <w:lang w:eastAsia="zh-CN"/>
        </w:rPr>
      </w:pPr>
      <w:r>
        <w:rPr>
          <w:rFonts w:hint="eastAsia" w:ascii="仿宋" w:hAnsi="仿宋" w:eastAsia="仿宋" w:cs="宋体"/>
          <w:color w:val="000000"/>
          <w:kern w:val="0"/>
          <w:sz w:val="32"/>
          <w:szCs w:val="32"/>
          <w:lang w:eastAsia="zh-CN"/>
        </w:rPr>
        <w:t>绩效评价指标体系还不够完善、合理，绩效资金预算有待进一步规范，绩效评价管理制度尚不健全。绩效评价开展缺乏强有力的制度保障。绩效评价指标体系还不够完善、合理，绩效资金预算有待进一步规范。</w:t>
      </w:r>
    </w:p>
    <w:p>
      <w:pPr>
        <w:keepNext w:val="0"/>
        <w:keepLines w:val="0"/>
        <w:widowControl/>
        <w:suppressLineNumbers w:val="0"/>
        <w:spacing w:line="560" w:lineRule="exact"/>
        <w:ind w:left="0" w:firstLine="640" w:firstLineChars="200"/>
        <w:rPr>
          <w:rFonts w:hint="eastAsia" w:ascii="楷体" w:hAnsi="楷体" w:eastAsia="楷体" w:cs="楷体"/>
          <w:kern w:val="0"/>
          <w:sz w:val="32"/>
          <w:szCs w:val="32"/>
        </w:rPr>
      </w:pPr>
      <w:r>
        <w:rPr>
          <w:rFonts w:hint="eastAsia" w:ascii="楷体" w:hAnsi="楷体" w:eastAsia="楷体" w:cs="楷体"/>
          <w:kern w:val="0"/>
          <w:sz w:val="32"/>
          <w:szCs w:val="32"/>
        </w:rPr>
        <w:t>（三）改进建议</w:t>
      </w:r>
    </w:p>
    <w:p>
      <w:pPr>
        <w:keepNext w:val="0"/>
        <w:keepLines w:val="0"/>
        <w:widowControl/>
        <w:suppressLineNumbers w:val="0"/>
        <w:spacing w:line="560" w:lineRule="exact"/>
        <w:ind w:left="0" w:firstLine="640" w:firstLineChars="200"/>
        <w:rPr>
          <w:rFonts w:hint="eastAsia" w:ascii="仿宋" w:hAnsi="仿宋" w:eastAsia="仿宋" w:cs="宋体"/>
          <w:color w:val="000000"/>
          <w:kern w:val="0"/>
          <w:sz w:val="32"/>
          <w:szCs w:val="32"/>
          <w:lang w:eastAsia="zh-CN"/>
        </w:rPr>
      </w:pPr>
      <w:r>
        <w:rPr>
          <w:rFonts w:hint="eastAsia" w:ascii="仿宋" w:hAnsi="仿宋" w:eastAsia="仿宋" w:cs="宋体"/>
          <w:color w:val="000000"/>
          <w:kern w:val="0"/>
          <w:sz w:val="32"/>
          <w:szCs w:val="32"/>
          <w:lang w:eastAsia="zh-CN"/>
        </w:rPr>
        <w:t>加强资金管理，确保专款专用，切实提高资金使用绩效。主管部门应指导和督促各单位根据评价建议及时拟定整改方案，明确整改步骤。对绩效评价工作流程进行指导和监督，督促其改进预算和管理工作。学校应建立健全绩效评价制度，更好的确保资金的规范使用。</w:t>
      </w:r>
    </w:p>
    <w:p>
      <w:pPr>
        <w:keepNext w:val="0"/>
        <w:keepLines w:val="0"/>
        <w:widowControl w:val="0"/>
        <w:suppressLineNumbers w:val="0"/>
        <w:spacing w:before="0" w:beforeAutospacing="0" w:after="0" w:afterAutospacing="0" w:line="600" w:lineRule="exact"/>
        <w:ind w:left="0" w:right="0" w:firstLine="1760" w:firstLineChars="400"/>
        <w:jc w:val="both"/>
        <w:outlineLvl w:val="0"/>
        <w:rPr>
          <w:rStyle w:val="14"/>
          <w:rFonts w:hint="eastAsia" w:ascii="黑体" w:hAnsi="宋体" w:eastAsia="黑体" w:cs="黑体"/>
          <w:b w:val="0"/>
          <w:bCs w:val="0"/>
          <w:kern w:val="44"/>
          <w:sz w:val="44"/>
          <w:szCs w:val="44"/>
        </w:rPr>
      </w:pPr>
    </w:p>
    <w:p>
      <w:pPr>
        <w:keepNext w:val="0"/>
        <w:keepLines w:val="0"/>
        <w:widowControl w:val="0"/>
        <w:suppressLineNumbers w:val="0"/>
        <w:spacing w:before="0" w:beforeAutospacing="0" w:after="0" w:afterAutospacing="0" w:line="600" w:lineRule="exact"/>
        <w:ind w:left="0" w:right="0" w:firstLine="1760" w:firstLineChars="400"/>
        <w:jc w:val="both"/>
        <w:outlineLvl w:val="0"/>
        <w:rPr>
          <w:rFonts w:hint="eastAsia" w:ascii="黑体" w:hAnsi="宋体" w:eastAsia="黑体" w:cs="Times New Roman"/>
          <w:b w:val="0"/>
          <w:bCs w:val="0"/>
          <w:kern w:val="44"/>
          <w:sz w:val="44"/>
          <w:szCs w:val="44"/>
        </w:rPr>
      </w:pPr>
      <w:r>
        <w:rPr>
          <w:rStyle w:val="14"/>
          <w:rFonts w:hint="eastAsia" w:ascii="黑体" w:hAnsi="宋体" w:eastAsia="黑体" w:cs="黑体"/>
          <w:b w:val="0"/>
          <w:bCs w:val="0"/>
          <w:kern w:val="44"/>
          <w:sz w:val="44"/>
          <w:szCs w:val="44"/>
        </w:rPr>
        <w:t>第五部分</w:t>
      </w:r>
      <w:r>
        <w:rPr>
          <w:rStyle w:val="14"/>
          <w:rFonts w:hint="eastAsia" w:ascii="黑体" w:hAnsi="宋体" w:eastAsia="黑体" w:cs="Times New Roman"/>
          <w:b w:val="0"/>
          <w:bCs w:val="0"/>
          <w:kern w:val="44"/>
          <w:sz w:val="44"/>
          <w:szCs w:val="44"/>
        </w:rPr>
        <w:t xml:space="preserve"> </w:t>
      </w:r>
      <w:r>
        <w:rPr>
          <w:rStyle w:val="14"/>
          <w:rFonts w:hint="eastAsia" w:ascii="黑体" w:hAnsi="宋体" w:eastAsia="黑体" w:cs="黑体"/>
          <w:b w:val="0"/>
          <w:bCs w:val="0"/>
          <w:kern w:val="44"/>
          <w:sz w:val="44"/>
          <w:szCs w:val="44"/>
        </w:rPr>
        <w:t>附表</w:t>
      </w:r>
    </w:p>
    <w:p>
      <w:pPr>
        <w:pStyle w:val="2"/>
        <w:keepNext w:val="0"/>
        <w:keepLines w:val="0"/>
        <w:widowControl/>
        <w:suppressLineNumbers w:val="0"/>
        <w:spacing w:before="0" w:beforeAutospacing="0"/>
        <w:ind w:left="0"/>
        <w:jc w:val="left"/>
        <w:rPr>
          <w:rFonts w:hint="eastAsia" w:ascii="宋体" w:hAnsi="宋体" w:eastAsia="宋体" w:cs="宋体"/>
          <w:b/>
          <w:bCs/>
          <w:kern w:val="0"/>
          <w:sz w:val="24"/>
          <w:szCs w:val="24"/>
          <w:shd w:val="clear" w:fill="FFFFFF"/>
        </w:rPr>
      </w:pPr>
      <w:r>
        <w:rPr>
          <w:rFonts w:hint="eastAsia" w:ascii="宋体" w:hAnsi="宋体" w:eastAsia="宋体" w:cs="宋体"/>
          <w:b/>
          <w:bCs/>
          <w:kern w:val="0"/>
          <w:sz w:val="24"/>
          <w:szCs w:val="24"/>
          <w:shd w:val="clear" w:fill="FFFFFF"/>
        </w:rPr>
        <w:t xml:space="preserve"> </w:t>
      </w:r>
    </w:p>
    <w:p>
      <w:pPr>
        <w:pStyle w:val="2"/>
        <w:keepNext w:val="0"/>
        <w:keepLines w:val="0"/>
        <w:widowControl/>
        <w:suppressLineNumbers w:val="0"/>
        <w:spacing w:before="0" w:beforeAutospacing="0"/>
        <w:ind w:left="0"/>
        <w:jc w:val="left"/>
        <w:rPr>
          <w:rFonts w:hint="eastAsia" w:ascii="宋体" w:hAnsi="宋体" w:eastAsia="宋体" w:cs="宋体"/>
          <w:b/>
          <w:bCs/>
          <w:kern w:val="0"/>
          <w:sz w:val="36"/>
          <w:szCs w:val="36"/>
        </w:rPr>
      </w:pPr>
      <w:r>
        <w:rPr>
          <w:rFonts w:hint="eastAsia" w:ascii="宋体" w:hAnsi="宋体" w:eastAsia="宋体" w:cs="宋体"/>
          <w:b/>
          <w:bCs/>
          <w:kern w:val="0"/>
          <w:sz w:val="24"/>
          <w:szCs w:val="24"/>
          <w:shd w:val="clear" w:fill="FFFFFF"/>
        </w:rPr>
        <w:t>一、收入支出决算总表</w:t>
      </w:r>
    </w:p>
    <w:p>
      <w:pPr>
        <w:pStyle w:val="2"/>
        <w:keepNext w:val="0"/>
        <w:keepLines w:val="0"/>
        <w:widowControl/>
        <w:suppressLineNumbers w:val="0"/>
        <w:spacing w:before="0" w:beforeAutospacing="0"/>
        <w:ind w:left="0"/>
        <w:jc w:val="left"/>
        <w:rPr>
          <w:rFonts w:hint="eastAsia" w:ascii="宋体" w:hAnsi="宋体" w:eastAsia="宋体" w:cs="宋体"/>
          <w:b/>
          <w:bCs/>
          <w:kern w:val="0"/>
          <w:sz w:val="36"/>
          <w:szCs w:val="36"/>
        </w:rPr>
      </w:pPr>
      <w:r>
        <w:rPr>
          <w:rFonts w:hint="eastAsia" w:ascii="宋体" w:hAnsi="宋体" w:eastAsia="宋体" w:cs="宋体"/>
          <w:b/>
          <w:bCs/>
          <w:kern w:val="0"/>
          <w:sz w:val="24"/>
          <w:szCs w:val="24"/>
          <w:shd w:val="clear" w:fill="FFFFFF"/>
        </w:rPr>
        <w:t>二、收入决算表</w:t>
      </w:r>
    </w:p>
    <w:p>
      <w:pPr>
        <w:pStyle w:val="2"/>
        <w:keepNext w:val="0"/>
        <w:keepLines w:val="0"/>
        <w:widowControl/>
        <w:suppressLineNumbers w:val="0"/>
        <w:spacing w:before="0" w:beforeAutospacing="0"/>
        <w:ind w:left="0"/>
        <w:jc w:val="left"/>
        <w:rPr>
          <w:rFonts w:hint="eastAsia" w:ascii="宋体" w:hAnsi="宋体" w:eastAsia="宋体" w:cs="宋体"/>
          <w:b/>
          <w:bCs/>
          <w:kern w:val="0"/>
          <w:sz w:val="36"/>
          <w:szCs w:val="36"/>
        </w:rPr>
      </w:pPr>
      <w:r>
        <w:rPr>
          <w:rFonts w:hint="eastAsia" w:ascii="宋体" w:hAnsi="宋体" w:eastAsia="宋体" w:cs="宋体"/>
          <w:b/>
          <w:bCs/>
          <w:kern w:val="0"/>
          <w:sz w:val="24"/>
          <w:szCs w:val="24"/>
          <w:shd w:val="clear" w:fill="FFFFFF"/>
        </w:rPr>
        <w:t>三、支出决算表</w:t>
      </w:r>
    </w:p>
    <w:p>
      <w:pPr>
        <w:pStyle w:val="2"/>
        <w:keepNext w:val="0"/>
        <w:keepLines w:val="0"/>
        <w:widowControl/>
        <w:suppressLineNumbers w:val="0"/>
        <w:spacing w:before="0" w:beforeAutospacing="0"/>
        <w:ind w:left="0"/>
        <w:jc w:val="left"/>
        <w:rPr>
          <w:rFonts w:hint="eastAsia" w:ascii="宋体" w:hAnsi="宋体" w:eastAsia="宋体" w:cs="宋体"/>
          <w:b/>
          <w:bCs/>
          <w:kern w:val="0"/>
          <w:sz w:val="36"/>
          <w:szCs w:val="36"/>
        </w:rPr>
      </w:pPr>
      <w:r>
        <w:rPr>
          <w:rFonts w:hint="eastAsia" w:ascii="宋体" w:hAnsi="宋体" w:eastAsia="宋体" w:cs="宋体"/>
          <w:b/>
          <w:bCs/>
          <w:kern w:val="0"/>
          <w:sz w:val="24"/>
          <w:szCs w:val="24"/>
          <w:shd w:val="clear" w:fill="FFFFFF"/>
        </w:rPr>
        <w:t>四、财政拨款收入支出决算总表</w:t>
      </w:r>
    </w:p>
    <w:p>
      <w:pPr>
        <w:pStyle w:val="2"/>
        <w:keepNext w:val="0"/>
        <w:keepLines w:val="0"/>
        <w:widowControl/>
        <w:suppressLineNumbers w:val="0"/>
        <w:spacing w:before="0" w:beforeAutospacing="0"/>
        <w:ind w:left="0"/>
        <w:jc w:val="left"/>
        <w:rPr>
          <w:rFonts w:hint="eastAsia" w:ascii="宋体" w:hAnsi="宋体" w:eastAsia="宋体" w:cs="宋体"/>
          <w:b/>
          <w:bCs/>
          <w:kern w:val="0"/>
          <w:sz w:val="36"/>
          <w:szCs w:val="36"/>
        </w:rPr>
      </w:pPr>
      <w:r>
        <w:rPr>
          <w:rFonts w:hint="eastAsia" w:ascii="宋体" w:hAnsi="宋体" w:eastAsia="宋体" w:cs="宋体"/>
          <w:b/>
          <w:bCs/>
          <w:kern w:val="0"/>
          <w:sz w:val="24"/>
          <w:szCs w:val="24"/>
          <w:shd w:val="clear" w:fill="FFFFFF"/>
        </w:rPr>
        <w:t>五、财政拨款支出决算明细表</w:t>
      </w:r>
    </w:p>
    <w:p>
      <w:pPr>
        <w:pStyle w:val="2"/>
        <w:keepNext w:val="0"/>
        <w:keepLines w:val="0"/>
        <w:widowControl/>
        <w:suppressLineNumbers w:val="0"/>
        <w:spacing w:before="0" w:beforeAutospacing="0"/>
        <w:ind w:left="0"/>
        <w:jc w:val="left"/>
        <w:rPr>
          <w:rFonts w:hint="eastAsia" w:ascii="宋体" w:hAnsi="宋体" w:eastAsia="宋体" w:cs="宋体"/>
          <w:b/>
          <w:bCs/>
          <w:kern w:val="0"/>
          <w:sz w:val="36"/>
          <w:szCs w:val="36"/>
        </w:rPr>
      </w:pPr>
      <w:r>
        <w:rPr>
          <w:rFonts w:hint="eastAsia" w:ascii="宋体" w:hAnsi="宋体" w:eastAsia="宋体" w:cs="宋体"/>
          <w:b/>
          <w:bCs/>
          <w:kern w:val="0"/>
          <w:sz w:val="24"/>
          <w:szCs w:val="24"/>
          <w:shd w:val="clear" w:fill="FFFFFF"/>
        </w:rPr>
        <w:t>六、一般公共预算财政拨款支出决算表</w:t>
      </w:r>
    </w:p>
    <w:p>
      <w:pPr>
        <w:pStyle w:val="2"/>
        <w:keepNext w:val="0"/>
        <w:keepLines w:val="0"/>
        <w:widowControl/>
        <w:suppressLineNumbers w:val="0"/>
        <w:spacing w:before="0" w:beforeAutospacing="0"/>
        <w:ind w:left="0"/>
        <w:jc w:val="left"/>
        <w:rPr>
          <w:rFonts w:hint="eastAsia" w:ascii="宋体" w:hAnsi="宋体" w:eastAsia="宋体" w:cs="宋体"/>
          <w:b/>
          <w:bCs/>
          <w:kern w:val="0"/>
          <w:sz w:val="36"/>
          <w:szCs w:val="36"/>
        </w:rPr>
      </w:pPr>
      <w:r>
        <w:rPr>
          <w:rFonts w:hint="eastAsia" w:ascii="宋体" w:hAnsi="宋体" w:eastAsia="宋体" w:cs="宋体"/>
          <w:b/>
          <w:bCs/>
          <w:kern w:val="0"/>
          <w:sz w:val="24"/>
          <w:szCs w:val="24"/>
          <w:shd w:val="clear" w:fill="FFFFFF"/>
        </w:rPr>
        <w:t>七、一般公共预算财政拨款支出决算明细表</w:t>
      </w:r>
    </w:p>
    <w:p>
      <w:pPr>
        <w:pStyle w:val="2"/>
        <w:keepNext w:val="0"/>
        <w:keepLines w:val="0"/>
        <w:widowControl/>
        <w:suppressLineNumbers w:val="0"/>
        <w:spacing w:before="0" w:beforeAutospacing="0"/>
        <w:ind w:left="0"/>
        <w:jc w:val="left"/>
        <w:rPr>
          <w:rFonts w:hint="eastAsia" w:ascii="宋体" w:hAnsi="宋体" w:eastAsia="宋体" w:cs="宋体"/>
          <w:b/>
          <w:bCs/>
          <w:kern w:val="0"/>
          <w:sz w:val="36"/>
          <w:szCs w:val="36"/>
        </w:rPr>
      </w:pPr>
      <w:r>
        <w:rPr>
          <w:rFonts w:hint="eastAsia" w:ascii="宋体" w:hAnsi="宋体" w:eastAsia="宋体" w:cs="宋体"/>
          <w:b/>
          <w:bCs/>
          <w:kern w:val="0"/>
          <w:sz w:val="24"/>
          <w:szCs w:val="24"/>
          <w:shd w:val="clear" w:fill="FFFFFF"/>
        </w:rPr>
        <w:t>八、一般公共预算财政拨款基本支出决算表</w:t>
      </w:r>
    </w:p>
    <w:p>
      <w:pPr>
        <w:pStyle w:val="2"/>
        <w:keepNext w:val="0"/>
        <w:keepLines w:val="0"/>
        <w:widowControl/>
        <w:suppressLineNumbers w:val="0"/>
        <w:spacing w:before="0" w:beforeAutospacing="0"/>
        <w:ind w:left="0"/>
        <w:jc w:val="left"/>
        <w:rPr>
          <w:rFonts w:hint="eastAsia" w:ascii="宋体" w:hAnsi="宋体" w:eastAsia="宋体" w:cs="宋体"/>
          <w:b/>
          <w:bCs/>
          <w:kern w:val="0"/>
          <w:sz w:val="36"/>
          <w:szCs w:val="36"/>
        </w:rPr>
      </w:pPr>
      <w:r>
        <w:rPr>
          <w:rFonts w:hint="eastAsia" w:ascii="宋体" w:hAnsi="宋体" w:eastAsia="宋体" w:cs="宋体"/>
          <w:b/>
          <w:bCs/>
          <w:kern w:val="0"/>
          <w:sz w:val="24"/>
          <w:szCs w:val="24"/>
          <w:shd w:val="clear" w:fill="FFFFFF"/>
        </w:rPr>
        <w:t>九、一般公共预算财政拨款项目支出决算表</w:t>
      </w:r>
    </w:p>
    <w:p>
      <w:pPr>
        <w:pStyle w:val="2"/>
        <w:keepNext w:val="0"/>
        <w:keepLines w:val="0"/>
        <w:widowControl/>
        <w:suppressLineNumbers w:val="0"/>
        <w:spacing w:before="0" w:beforeAutospacing="0"/>
        <w:ind w:left="0"/>
        <w:jc w:val="left"/>
        <w:rPr>
          <w:rFonts w:hint="eastAsia" w:ascii="宋体" w:hAnsi="宋体" w:eastAsia="宋体" w:cs="宋体"/>
          <w:b/>
          <w:bCs/>
          <w:kern w:val="0"/>
          <w:sz w:val="36"/>
          <w:szCs w:val="36"/>
        </w:rPr>
      </w:pPr>
      <w:r>
        <w:rPr>
          <w:rFonts w:hint="eastAsia" w:ascii="宋体" w:hAnsi="宋体" w:eastAsia="宋体" w:cs="宋体"/>
          <w:b/>
          <w:bCs/>
          <w:kern w:val="0"/>
          <w:sz w:val="24"/>
          <w:szCs w:val="24"/>
          <w:shd w:val="clear" w:fill="FFFFFF"/>
        </w:rPr>
        <w:t>十、一般公共预算财政拨款“三公”经费支出决算表</w:t>
      </w:r>
    </w:p>
    <w:p>
      <w:pPr>
        <w:pStyle w:val="2"/>
        <w:keepNext w:val="0"/>
        <w:keepLines w:val="0"/>
        <w:widowControl/>
        <w:suppressLineNumbers w:val="0"/>
        <w:spacing w:before="0" w:beforeAutospacing="0"/>
        <w:ind w:left="0"/>
        <w:jc w:val="left"/>
        <w:rPr>
          <w:rFonts w:hint="eastAsia" w:ascii="宋体" w:hAnsi="宋体" w:eastAsia="宋体" w:cs="宋体"/>
          <w:b/>
          <w:bCs/>
          <w:kern w:val="0"/>
          <w:sz w:val="36"/>
          <w:szCs w:val="36"/>
        </w:rPr>
      </w:pPr>
      <w:r>
        <w:rPr>
          <w:rFonts w:hint="eastAsia" w:ascii="宋体" w:hAnsi="宋体" w:eastAsia="宋体" w:cs="宋体"/>
          <w:b/>
          <w:bCs/>
          <w:kern w:val="0"/>
          <w:sz w:val="24"/>
          <w:szCs w:val="24"/>
          <w:shd w:val="clear" w:fill="FFFFFF"/>
        </w:rPr>
        <w:t>十一、政府性基金预算财政拨款收入支出决算表</w:t>
      </w:r>
    </w:p>
    <w:p>
      <w:pPr>
        <w:pStyle w:val="2"/>
        <w:keepNext w:val="0"/>
        <w:keepLines w:val="0"/>
        <w:widowControl/>
        <w:suppressLineNumbers w:val="0"/>
        <w:spacing w:before="0" w:beforeAutospacing="0"/>
        <w:ind w:left="0"/>
        <w:jc w:val="left"/>
        <w:rPr>
          <w:rFonts w:hint="eastAsia" w:ascii="宋体" w:hAnsi="宋体" w:eastAsia="宋体" w:cs="宋体"/>
          <w:b/>
          <w:bCs/>
          <w:kern w:val="0"/>
          <w:sz w:val="36"/>
          <w:szCs w:val="36"/>
        </w:rPr>
      </w:pPr>
      <w:r>
        <w:rPr>
          <w:rFonts w:hint="eastAsia" w:ascii="宋体" w:hAnsi="宋体" w:eastAsia="宋体" w:cs="宋体"/>
          <w:b/>
          <w:bCs/>
          <w:kern w:val="0"/>
          <w:sz w:val="24"/>
          <w:szCs w:val="24"/>
          <w:shd w:val="clear" w:fill="FFFFFF"/>
        </w:rPr>
        <w:t>十二、政府性基金预算财政拨款“三公”经费支出决算表</w:t>
      </w:r>
    </w:p>
    <w:p>
      <w:pPr>
        <w:pStyle w:val="2"/>
        <w:keepNext w:val="0"/>
        <w:keepLines w:val="0"/>
        <w:widowControl/>
        <w:suppressLineNumbers w:val="0"/>
        <w:spacing w:before="0" w:beforeAutospacing="0"/>
        <w:ind w:left="0"/>
        <w:jc w:val="left"/>
        <w:rPr>
          <w:rFonts w:hint="eastAsia" w:ascii="宋体" w:hAnsi="宋体" w:eastAsia="宋体" w:cs="宋体"/>
          <w:b/>
          <w:bCs/>
          <w:kern w:val="0"/>
          <w:sz w:val="36"/>
          <w:szCs w:val="36"/>
        </w:rPr>
      </w:pPr>
      <w:r>
        <w:rPr>
          <w:rFonts w:hint="eastAsia" w:ascii="宋体" w:hAnsi="宋体" w:eastAsia="宋体" w:cs="宋体"/>
          <w:b/>
          <w:bCs/>
          <w:kern w:val="0"/>
          <w:sz w:val="24"/>
          <w:szCs w:val="24"/>
          <w:shd w:val="clear" w:fill="FFFFFF"/>
        </w:rPr>
        <w:t>十三、国有资本经营预算财政拨款收入支出决算表</w:t>
      </w:r>
    </w:p>
    <w:p>
      <w:pPr>
        <w:pStyle w:val="2"/>
        <w:keepNext w:val="0"/>
        <w:keepLines w:val="0"/>
        <w:widowControl/>
        <w:suppressLineNumbers w:val="0"/>
        <w:spacing w:before="0" w:beforeAutospacing="0"/>
        <w:ind w:left="0"/>
        <w:jc w:val="left"/>
        <w:rPr>
          <w:rFonts w:hint="eastAsia" w:ascii="宋体" w:hAnsi="宋体" w:eastAsia="宋体" w:cs="宋体"/>
          <w:b/>
          <w:bCs/>
          <w:kern w:val="0"/>
          <w:sz w:val="24"/>
          <w:szCs w:val="24"/>
          <w:shd w:val="clear" w:fill="FFFFFF"/>
        </w:rPr>
      </w:pPr>
      <w:r>
        <w:rPr>
          <w:rFonts w:hint="eastAsia" w:ascii="宋体" w:hAnsi="宋体" w:eastAsia="宋体" w:cs="宋体"/>
          <w:b/>
          <w:bCs/>
          <w:kern w:val="0"/>
          <w:sz w:val="24"/>
          <w:szCs w:val="24"/>
          <w:shd w:val="clear" w:fill="FFFFFF"/>
        </w:rPr>
        <w:t>十四、国有资本经营预算财政拨款支出决算表</w:t>
      </w:r>
    </w:p>
    <w:p>
      <w:pPr>
        <w:keepNext w:val="0"/>
        <w:keepLines w:val="0"/>
        <w:widowControl/>
        <w:suppressLineNumbers w:val="0"/>
        <w:rPr>
          <w:rFonts w:hint="eastAsia" w:ascii="宋体" w:hAnsi="宋体" w:eastAsia="宋体" w:cs="宋体"/>
          <w:b/>
          <w:bCs/>
          <w:kern w:val="0"/>
          <w:sz w:val="24"/>
          <w:szCs w:val="24"/>
          <w:shd w:val="clear" w:fill="FFFFFF"/>
        </w:rPr>
      </w:pPr>
      <w:r>
        <w:rPr>
          <w:rFonts w:hint="eastAsia" w:ascii="宋体" w:hAnsi="宋体" w:eastAsia="宋体" w:cs="宋体"/>
          <w:b/>
          <w:bCs/>
          <w:kern w:val="0"/>
          <w:sz w:val="24"/>
          <w:szCs w:val="24"/>
          <w:shd w:val="clear" w:fill="FFFFFF"/>
        </w:rPr>
        <w:t xml:space="preserve"> </w:t>
      </w:r>
    </w:p>
    <w:p>
      <w:pPr>
        <w:keepNext w:val="0"/>
        <w:keepLines w:val="0"/>
        <w:widowControl/>
        <w:suppressLineNumbers w:val="0"/>
        <w:rPr>
          <w:rFonts w:hint="eastAsia" w:ascii="宋体" w:hAnsi="宋体" w:eastAsia="宋体" w:cs="宋体"/>
          <w:b/>
          <w:bCs/>
          <w:kern w:val="0"/>
          <w:sz w:val="24"/>
          <w:szCs w:val="24"/>
          <w:shd w:val="clear" w:fill="FFFFFF"/>
        </w:rPr>
      </w:pPr>
      <w:r>
        <w:rPr>
          <w:rFonts w:hint="eastAsia" w:ascii="宋体" w:hAnsi="宋体" w:eastAsia="宋体" w:cs="宋体"/>
          <w:b/>
          <w:bCs/>
          <w:kern w:val="0"/>
          <w:sz w:val="24"/>
          <w:szCs w:val="24"/>
          <w:shd w:val="clear" w:fill="FFFFFF"/>
        </w:rPr>
        <w:t xml:space="preserve"> </w:t>
      </w:r>
    </w:p>
    <w:p>
      <w:pPr>
        <w:keepNext w:val="0"/>
        <w:keepLines w:val="0"/>
        <w:widowControl/>
        <w:suppressLineNumbers w:val="0"/>
        <w:rPr>
          <w:rFonts w:hint="eastAsia" w:ascii="宋体" w:hAnsi="宋体" w:eastAsia="宋体" w:cs="宋体"/>
          <w:b/>
          <w:bCs/>
          <w:kern w:val="0"/>
          <w:sz w:val="24"/>
          <w:szCs w:val="24"/>
          <w:shd w:val="clear" w:fill="FFFFFF"/>
        </w:rPr>
      </w:pPr>
      <w:r>
        <w:rPr>
          <w:rFonts w:hint="eastAsia" w:ascii="宋体" w:hAnsi="宋体" w:eastAsia="宋体" w:cs="宋体"/>
          <w:b/>
          <w:bCs/>
          <w:kern w:val="0"/>
          <w:sz w:val="24"/>
          <w:szCs w:val="24"/>
          <w:shd w:val="clear" w:fill="FFFFFF"/>
        </w:rPr>
        <w:t xml:space="preserve"> </w:t>
      </w:r>
    </w:p>
    <w:p>
      <w:pPr>
        <w:keepNext w:val="0"/>
        <w:keepLines w:val="0"/>
        <w:widowControl/>
        <w:suppressLineNumbers w:val="0"/>
        <w:rPr>
          <w:rFonts w:hint="eastAsia" w:ascii="宋体" w:hAnsi="宋体" w:eastAsia="宋体" w:cs="宋体"/>
          <w:b/>
          <w:bCs/>
          <w:kern w:val="0"/>
          <w:sz w:val="24"/>
          <w:szCs w:val="24"/>
          <w:shd w:val="clear" w:fill="FFFFFF"/>
        </w:rPr>
      </w:pPr>
      <w:r>
        <w:rPr>
          <w:rFonts w:hint="eastAsia" w:ascii="宋体" w:hAnsi="宋体" w:eastAsia="宋体" w:cs="宋体"/>
          <w:b/>
          <w:bCs/>
          <w:kern w:val="0"/>
          <w:sz w:val="24"/>
          <w:szCs w:val="24"/>
          <w:shd w:val="clear" w:fill="FFFFFF"/>
        </w:rPr>
        <w:t xml:space="preserve"> </w:t>
      </w:r>
    </w:p>
    <w:p>
      <w:pPr>
        <w:keepNext w:val="0"/>
        <w:keepLines w:val="0"/>
        <w:widowControl/>
        <w:suppressLineNumbers w:val="0"/>
        <w:rPr>
          <w:rFonts w:hint="eastAsia" w:ascii="宋体" w:hAnsi="宋体" w:eastAsia="宋体" w:cs="宋体"/>
          <w:b/>
          <w:bCs/>
          <w:kern w:val="0"/>
          <w:sz w:val="24"/>
          <w:szCs w:val="24"/>
          <w:shd w:val="clear" w:fill="FFFFFF"/>
        </w:rPr>
      </w:pPr>
      <w:r>
        <w:rPr>
          <w:rFonts w:hint="eastAsia" w:ascii="宋体" w:hAnsi="宋体" w:eastAsia="宋体" w:cs="宋体"/>
          <w:b/>
          <w:bCs/>
          <w:kern w:val="0"/>
          <w:sz w:val="24"/>
          <w:szCs w:val="24"/>
          <w:shd w:val="clear" w:fill="FFFFFF"/>
        </w:rPr>
        <w:t xml:space="preserve"> </w:t>
      </w:r>
    </w:p>
    <w:p>
      <w:pPr>
        <w:keepNext w:val="0"/>
        <w:keepLines w:val="0"/>
        <w:widowControl/>
        <w:suppressLineNumbers w:val="0"/>
        <w:rPr>
          <w:rFonts w:hint="eastAsia" w:ascii="宋体" w:hAnsi="宋体" w:eastAsia="宋体" w:cs="宋体"/>
          <w:b/>
          <w:bCs/>
          <w:kern w:val="0"/>
          <w:sz w:val="24"/>
          <w:szCs w:val="24"/>
          <w:shd w:val="clear" w:fill="FFFFFF"/>
        </w:rPr>
      </w:pPr>
      <w:r>
        <w:rPr>
          <w:rFonts w:hint="eastAsia" w:ascii="宋体" w:hAnsi="宋体" w:eastAsia="宋体" w:cs="宋体"/>
          <w:b/>
          <w:bCs/>
          <w:kern w:val="0"/>
          <w:sz w:val="24"/>
          <w:szCs w:val="24"/>
          <w:shd w:val="clear" w:fill="FFFFFF"/>
        </w:rPr>
        <w:t xml:space="preserve"> </w:t>
      </w:r>
    </w:p>
    <w:p>
      <w:pPr>
        <w:keepNext w:val="0"/>
        <w:keepLines w:val="0"/>
        <w:widowControl/>
        <w:suppressLineNumbers w:val="0"/>
        <w:rPr>
          <w:rFonts w:hint="eastAsia" w:ascii="宋体" w:hAnsi="宋体" w:eastAsia="宋体" w:cs="宋体"/>
          <w:b/>
          <w:bCs/>
          <w:kern w:val="0"/>
          <w:sz w:val="24"/>
          <w:szCs w:val="24"/>
          <w:shd w:val="clear" w:fill="FFFFFF"/>
        </w:rPr>
      </w:pPr>
      <w:r>
        <w:rPr>
          <w:rFonts w:hint="eastAsia" w:ascii="宋体" w:hAnsi="宋体" w:eastAsia="宋体" w:cs="宋体"/>
          <w:b/>
          <w:bCs/>
          <w:kern w:val="0"/>
          <w:sz w:val="24"/>
          <w:szCs w:val="24"/>
          <w:shd w:val="clear" w:fill="FFFFFF"/>
        </w:rPr>
        <w:t xml:space="preserve"> </w:t>
      </w:r>
    </w:p>
    <w:p>
      <w:pPr>
        <w:keepNext w:val="0"/>
        <w:keepLines w:val="0"/>
        <w:widowControl/>
        <w:suppressLineNumbers w:val="0"/>
        <w:rPr>
          <w:rFonts w:hint="eastAsia" w:ascii="宋体" w:hAnsi="宋体" w:eastAsia="宋体" w:cs="宋体"/>
          <w:b/>
          <w:bCs/>
          <w:kern w:val="0"/>
          <w:sz w:val="24"/>
          <w:szCs w:val="24"/>
          <w:shd w:val="clear" w:fill="FFFFFF"/>
        </w:rPr>
      </w:pPr>
      <w:r>
        <w:rPr>
          <w:rFonts w:hint="eastAsia" w:ascii="宋体" w:hAnsi="宋体" w:eastAsia="宋体" w:cs="宋体"/>
          <w:b/>
          <w:bCs/>
          <w:kern w:val="0"/>
          <w:sz w:val="24"/>
          <w:szCs w:val="24"/>
          <w:shd w:val="clear" w:fill="FFFFFF"/>
        </w:rPr>
        <w:t xml:space="preserve"> </w:t>
      </w:r>
    </w:p>
    <w:p>
      <w:pPr>
        <w:keepNext w:val="0"/>
        <w:keepLines w:val="0"/>
        <w:widowControl/>
        <w:suppressLineNumbers w:val="0"/>
        <w:rPr>
          <w:rFonts w:hint="eastAsia" w:ascii="宋体" w:hAnsi="宋体" w:eastAsia="宋体" w:cs="宋体"/>
          <w:b/>
          <w:bCs/>
          <w:kern w:val="0"/>
          <w:sz w:val="24"/>
          <w:szCs w:val="24"/>
          <w:shd w:val="clear" w:fill="FFFFFF"/>
        </w:rPr>
      </w:pPr>
      <w:r>
        <w:rPr>
          <w:rFonts w:hint="eastAsia" w:ascii="宋体" w:hAnsi="宋体" w:eastAsia="宋体" w:cs="宋体"/>
          <w:b/>
          <w:bCs/>
          <w:kern w:val="0"/>
          <w:sz w:val="24"/>
          <w:szCs w:val="24"/>
          <w:shd w:val="clear" w:fill="FFFFFF"/>
        </w:rPr>
        <w:t xml:space="preserve"> </w:t>
      </w:r>
    </w:p>
    <w:p>
      <w:pPr>
        <w:keepNext w:val="0"/>
        <w:keepLines w:val="0"/>
        <w:widowControl/>
        <w:suppressLineNumbers w:val="0"/>
        <w:rPr>
          <w:rFonts w:hint="eastAsia" w:ascii="宋体" w:hAnsi="宋体" w:eastAsia="宋体" w:cs="宋体"/>
          <w:b/>
          <w:bCs/>
          <w:kern w:val="0"/>
          <w:sz w:val="24"/>
          <w:szCs w:val="24"/>
          <w:shd w:val="clear" w:fill="FFFFFF"/>
        </w:rPr>
      </w:pPr>
      <w:r>
        <w:rPr>
          <w:rFonts w:hint="eastAsia" w:ascii="宋体" w:hAnsi="宋体" w:eastAsia="宋体" w:cs="宋体"/>
          <w:b/>
          <w:bCs/>
          <w:kern w:val="0"/>
          <w:sz w:val="24"/>
          <w:szCs w:val="24"/>
          <w:shd w:val="clear" w:fill="FFFFFF"/>
        </w:rPr>
        <w:t xml:space="preserve"> </w:t>
      </w:r>
    </w:p>
    <w:p>
      <w:pPr>
        <w:keepNext w:val="0"/>
        <w:keepLines w:val="0"/>
        <w:widowControl/>
        <w:suppressLineNumbers w:val="0"/>
        <w:rPr>
          <w:rFonts w:hint="eastAsia" w:ascii="宋体" w:hAnsi="宋体" w:eastAsia="宋体" w:cs="宋体"/>
          <w:b/>
          <w:bCs/>
          <w:kern w:val="0"/>
          <w:sz w:val="24"/>
          <w:szCs w:val="24"/>
          <w:shd w:val="clear" w:fill="FFFFFF"/>
        </w:rPr>
      </w:pPr>
      <w:r>
        <w:rPr>
          <w:rFonts w:hint="eastAsia" w:ascii="宋体" w:hAnsi="宋体" w:eastAsia="宋体" w:cs="宋体"/>
          <w:b/>
          <w:bCs/>
          <w:kern w:val="0"/>
          <w:sz w:val="24"/>
          <w:szCs w:val="24"/>
          <w:shd w:val="clear" w:fill="FFFFFF"/>
        </w:rPr>
        <w:t xml:space="preserve"> </w:t>
      </w:r>
    </w:p>
    <w:p>
      <w:pPr>
        <w:keepNext w:val="0"/>
        <w:keepLines w:val="0"/>
        <w:widowControl/>
        <w:suppressLineNumbers w:val="0"/>
        <w:rPr>
          <w:rFonts w:hint="eastAsia" w:ascii="宋体" w:hAnsi="宋体" w:eastAsia="宋体" w:cs="宋体"/>
          <w:b/>
          <w:bCs/>
          <w:kern w:val="0"/>
          <w:sz w:val="24"/>
          <w:szCs w:val="24"/>
          <w:shd w:val="clear" w:fill="FFFFFF"/>
        </w:rPr>
      </w:pPr>
      <w:r>
        <w:rPr>
          <w:rFonts w:hint="eastAsia" w:ascii="宋体" w:hAnsi="宋体" w:eastAsia="宋体" w:cs="宋体"/>
          <w:b/>
          <w:bCs/>
          <w:kern w:val="0"/>
          <w:sz w:val="24"/>
          <w:szCs w:val="24"/>
          <w:shd w:val="clear" w:fill="FFFFFF"/>
        </w:rPr>
        <w:t xml:space="preserve"> </w:t>
      </w:r>
    </w:p>
    <w:p>
      <w:pPr>
        <w:pStyle w:val="8"/>
        <w:keepNext w:val="0"/>
        <w:keepLines w:val="0"/>
        <w:widowControl/>
        <w:suppressLineNumbers w:val="0"/>
        <w:spacing w:before="0" w:beforeAutospacing="0"/>
        <w:ind w:left="0"/>
        <w:jc w:val="left"/>
        <w:rPr>
          <w:rFonts w:hint="eastAsia" w:ascii="宋体" w:hAnsi="宋体" w:eastAsia="宋体" w:cs="宋体"/>
          <w:kern w:val="0"/>
          <w:sz w:val="24"/>
          <w:szCs w:val="24"/>
        </w:rPr>
      </w:pPr>
      <w:r>
        <w:rPr>
          <w:rFonts w:hint="eastAsia" w:ascii="宋体" w:hAnsi="宋体" w:eastAsia="宋体" w:cs="宋体"/>
          <w:kern w:val="0"/>
          <w:sz w:val="24"/>
          <w:szCs w:val="24"/>
          <w:shd w:val="clear" w:fill="FFFFFF"/>
        </w:rPr>
        <w:t xml:space="preserve"> </w:t>
      </w:r>
      <w:bookmarkStart w:id="12" w:name="_GoBack"/>
      <w:bookmarkEnd w:id="12"/>
      <w:r>
        <w:rPr>
          <w:rFonts w:hint="eastAsia" w:ascii="宋体" w:hAnsi="宋体" w:eastAsia="宋体" w:cs="宋体"/>
          <w:kern w:val="0"/>
          <w:sz w:val="24"/>
          <w:szCs w:val="24"/>
          <w:shd w:val="clear" w:fill="FFFFFF"/>
        </w:rPr>
        <w:t>保密审查情况：已审查，内容审定</w:t>
      </w:r>
    </w:p>
    <w:p>
      <w:pPr>
        <w:pStyle w:val="8"/>
        <w:keepNext w:val="0"/>
        <w:keepLines w:val="0"/>
        <w:widowControl/>
        <w:suppressLineNumbers w:val="0"/>
        <w:spacing w:before="0" w:beforeAutospacing="0"/>
        <w:ind w:left="0"/>
        <w:jc w:val="left"/>
      </w:pPr>
      <w:r>
        <w:rPr>
          <w:rFonts w:hint="eastAsia" w:ascii="宋体" w:hAnsi="宋体" w:eastAsia="宋体" w:cs="宋体"/>
          <w:kern w:val="0"/>
          <w:sz w:val="24"/>
          <w:szCs w:val="24"/>
          <w:shd w:val="clear" w:fill="FFFFFF"/>
        </w:rPr>
        <w:t xml:space="preserve">   部门主要负责人审签情况：已审签，同意对外公开</w:t>
      </w:r>
    </w:p>
    <w:sectPr>
      <w:footerReference r:id="rId5" w:type="default"/>
      <w:pgSz w:w="11915" w:h="16851"/>
      <w:pgMar w:top="1440" w:right="1800" w:bottom="1440" w:left="1800" w:header="851" w:footer="992" w:gutter="0"/>
      <w:pgNumType w:start="1"/>
      <w:cols w:space="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方正小标宋简体">
    <w:panose1 w:val="03000509000000000000"/>
    <w:charset w:val="86"/>
    <w:family w:val="auto"/>
    <w:pitch w:val="default"/>
    <w:sig w:usb0="00000001" w:usb1="080E0000" w:usb2="00000000" w:usb3="00000000" w:csb0="00040000" w:csb1="00000000"/>
  </w:font>
  <w:font w:name="微软雅黑">
    <w:panose1 w:val="020B0503020204020204"/>
    <w:charset w:val="86"/>
    <w:family w:val="swiss"/>
    <w:pitch w:val="default"/>
    <w:sig w:usb0="80000287" w:usb1="2ACF3C50" w:usb2="00000016" w:usb3="00000000" w:csb0="0004001F" w:csb1="00000000"/>
  </w:font>
  <w:font w:name="楷体">
    <w:panose1 w:val="02010609060101010101"/>
    <w:charset w:val="86"/>
    <w:family w:val="auto"/>
    <w:pitch w:val="default"/>
    <w:sig w:usb0="800002BF" w:usb1="38CF7CFA" w:usb2="00000016" w:usb3="00000000" w:csb0="00040001" w:csb1="00000000"/>
  </w:font>
  <w:font w:name="??_GB2312">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CzSVju0AAAAAUBAAAPAAAAAAAAAAEAIAAA&#10;ACIAAABkcnMvZG93bnJldi54bWxQSwECFAAUAAAACACHTuJAXtCZFRQCAAATBAAADgAAAAAAAAAB&#10;ACAAAAAfAQAAZHJzL2Uyb0RvYy54bWxQSwUGAAAAAAYABgBZAQAApQUAAAAA&#10;">
              <v:fill on="f" focussize="0,0"/>
              <v:stroke on="f" weight="0.5pt"/>
              <v:imagedata o:title=""/>
              <o:lock v:ext="edit" aspectratio="f"/>
              <v:textbox inset="0mm,0mm,0mm,0mm" style="mso-fit-shape-to-text:t;">
                <w:txbxContent>
                  <w:p>
                    <w:pPr>
                      <w:pStyle w:val="4"/>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DB7339D9"/>
    <w:multiLevelType w:val="singleLevel"/>
    <w:tmpl w:val="DB7339D9"/>
    <w:lvl w:ilvl="0" w:tentative="0">
      <w:start w:val="3"/>
      <w:numFmt w:val="decimal"/>
      <w:lvlText w:val="%1."/>
      <w:lvlJc w:val="left"/>
      <w:pPr>
        <w:tabs>
          <w:tab w:val="left" w:pos="312"/>
        </w:tabs>
      </w:pPr>
    </w:lvl>
  </w:abstractNum>
  <w:abstractNum w:abstractNumId="1">
    <w:nsid w:val="44696694"/>
    <w:multiLevelType w:val="singleLevel"/>
    <w:tmpl w:val="44696694"/>
    <w:lvl w:ilvl="0" w:tentative="0">
      <w:start w:val="4"/>
      <w:numFmt w:val="chineseCounting"/>
      <w:suff w:val="nothing"/>
      <w:lvlText w:val="%1、"/>
      <w:lvlJc w:val="left"/>
      <w:rPr>
        <w:rFonts w:hint="eastAsia"/>
      </w:rPr>
    </w:lvl>
  </w:abstractNum>
  <w:abstractNum w:abstractNumId="2">
    <w:nsid w:val="7925921A"/>
    <w:multiLevelType w:val="multilevel"/>
    <w:tmpl w:val="7925921A"/>
    <w:lvl w:ilvl="0" w:tentative="0">
      <w:start w:val="8"/>
      <w:numFmt w:val="chineseCounting"/>
      <w:suff w:val="nothing"/>
      <w:lvlText w:val="%1、"/>
      <w:lvlJc w:val="left"/>
      <w:pPr>
        <w:tabs>
          <w:tab w:val="left" w:pos="0"/>
        </w:tabs>
        <w:ind w:left="120" w:firstLine="0"/>
      </w:pPr>
      <w:rPr>
        <w:rFonts w:hint="eastAsia" w:ascii="宋体" w:hAnsi="宋体" w:eastAsia="宋体" w:cs="宋体"/>
      </w:rPr>
    </w:lvl>
    <w:lvl w:ilvl="1" w:tentative="0">
      <w:start w:val="1"/>
      <w:numFmt w:val="decimal"/>
      <w:lvlText w:val="%2."/>
      <w:lvlJc w:val="left"/>
      <w:pPr>
        <w:tabs>
          <w:tab w:val="left" w:pos="1440"/>
        </w:tabs>
        <w:ind w:left="1440" w:hanging="360"/>
      </w:pPr>
      <w:rPr>
        <w:rFonts w:hint="default" w:ascii="Times New Roman" w:hAnsi="Times New Roman" w:cs="Times New Roman"/>
      </w:rPr>
    </w:lvl>
    <w:lvl w:ilvl="2" w:tentative="0">
      <w:start w:val="1"/>
      <w:numFmt w:val="decimal"/>
      <w:lvlText w:val="%3."/>
      <w:lvlJc w:val="left"/>
      <w:pPr>
        <w:tabs>
          <w:tab w:val="left" w:pos="2160"/>
        </w:tabs>
        <w:ind w:left="2160" w:hanging="360"/>
      </w:pPr>
      <w:rPr>
        <w:rFonts w:hint="default" w:ascii="Times New Roman" w:hAnsi="Times New Roman" w:cs="Times New Roman"/>
      </w:rPr>
    </w:lvl>
    <w:lvl w:ilvl="3" w:tentative="0">
      <w:start w:val="1"/>
      <w:numFmt w:val="decimal"/>
      <w:lvlText w:val="%4."/>
      <w:lvlJc w:val="left"/>
      <w:pPr>
        <w:tabs>
          <w:tab w:val="left" w:pos="2880"/>
        </w:tabs>
        <w:ind w:left="2880" w:hanging="360"/>
      </w:pPr>
      <w:rPr>
        <w:rFonts w:hint="default" w:ascii="Times New Roman" w:hAnsi="Times New Roman" w:cs="Times New Roman"/>
      </w:rPr>
    </w:lvl>
    <w:lvl w:ilvl="4" w:tentative="0">
      <w:start w:val="1"/>
      <w:numFmt w:val="decimal"/>
      <w:lvlText w:val="%5."/>
      <w:lvlJc w:val="left"/>
      <w:pPr>
        <w:tabs>
          <w:tab w:val="left" w:pos="3600"/>
        </w:tabs>
        <w:ind w:left="3600" w:hanging="360"/>
      </w:pPr>
      <w:rPr>
        <w:rFonts w:hint="default" w:ascii="Times New Roman" w:hAnsi="Times New Roman" w:cs="Times New Roman"/>
      </w:rPr>
    </w:lvl>
    <w:lvl w:ilvl="5" w:tentative="0">
      <w:start w:val="1"/>
      <w:numFmt w:val="decimal"/>
      <w:lvlText w:val="%6."/>
      <w:lvlJc w:val="left"/>
      <w:pPr>
        <w:tabs>
          <w:tab w:val="left" w:pos="4320"/>
        </w:tabs>
        <w:ind w:left="4320" w:hanging="360"/>
      </w:pPr>
      <w:rPr>
        <w:rFonts w:hint="default" w:ascii="Times New Roman" w:hAnsi="Times New Roman" w:cs="Times New Roman"/>
      </w:rPr>
    </w:lvl>
    <w:lvl w:ilvl="6" w:tentative="0">
      <w:start w:val="1"/>
      <w:numFmt w:val="decimal"/>
      <w:lvlText w:val="%7."/>
      <w:lvlJc w:val="left"/>
      <w:pPr>
        <w:tabs>
          <w:tab w:val="left" w:pos="5040"/>
        </w:tabs>
        <w:ind w:left="5040" w:hanging="360"/>
      </w:pPr>
      <w:rPr>
        <w:rFonts w:hint="default" w:ascii="Times New Roman" w:hAnsi="Times New Roman" w:cs="Times New Roman"/>
      </w:rPr>
    </w:lvl>
    <w:lvl w:ilvl="7" w:tentative="0">
      <w:start w:val="1"/>
      <w:numFmt w:val="decimal"/>
      <w:lvlText w:val="%8."/>
      <w:lvlJc w:val="left"/>
      <w:pPr>
        <w:tabs>
          <w:tab w:val="left" w:pos="5760"/>
        </w:tabs>
        <w:ind w:left="5760" w:hanging="360"/>
      </w:pPr>
      <w:rPr>
        <w:rFonts w:hint="default" w:ascii="Times New Roman" w:hAnsi="Times New Roman" w:cs="Times New Roman"/>
      </w:rPr>
    </w:lvl>
    <w:lvl w:ilvl="8" w:tentative="0">
      <w:start w:val="1"/>
      <w:numFmt w:val="decimal"/>
      <w:lvlText w:val="%9."/>
      <w:lvlJc w:val="left"/>
      <w:pPr>
        <w:tabs>
          <w:tab w:val="left" w:pos="6480"/>
        </w:tabs>
        <w:ind w:left="6480" w:hanging="360"/>
      </w:pPr>
      <w:rPr>
        <w:rFonts w:hint="default" w:ascii="Times New Roman" w:hAnsi="Times New Roman" w:cs="Times New Roman"/>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kwNTlkZjVlYzQzYjkyMWIyYzE2MDMzZGMxYTFiNTUifQ=="/>
  </w:docVars>
  <w:rsids>
    <w:rsidRoot w:val="00000000"/>
    <w:rsid w:val="00155351"/>
    <w:rsid w:val="0153236B"/>
    <w:rsid w:val="016E1F29"/>
    <w:rsid w:val="01EE2ABF"/>
    <w:rsid w:val="02614812"/>
    <w:rsid w:val="026C4FD1"/>
    <w:rsid w:val="03A52EAE"/>
    <w:rsid w:val="05157BA2"/>
    <w:rsid w:val="05325954"/>
    <w:rsid w:val="05E01F5E"/>
    <w:rsid w:val="08A621A5"/>
    <w:rsid w:val="0C0B3BA7"/>
    <w:rsid w:val="0C1E2386"/>
    <w:rsid w:val="0C3C3C66"/>
    <w:rsid w:val="0CC64C4C"/>
    <w:rsid w:val="0EA74F92"/>
    <w:rsid w:val="1017391A"/>
    <w:rsid w:val="102E1B18"/>
    <w:rsid w:val="10DE26D6"/>
    <w:rsid w:val="129D6EA5"/>
    <w:rsid w:val="12E1394D"/>
    <w:rsid w:val="13481C47"/>
    <w:rsid w:val="138168D4"/>
    <w:rsid w:val="13AB0ED1"/>
    <w:rsid w:val="13E2013D"/>
    <w:rsid w:val="152C76ED"/>
    <w:rsid w:val="1583071C"/>
    <w:rsid w:val="15A837DD"/>
    <w:rsid w:val="15EF05A5"/>
    <w:rsid w:val="164F4801"/>
    <w:rsid w:val="16E954AF"/>
    <w:rsid w:val="16F86D4E"/>
    <w:rsid w:val="17E245B2"/>
    <w:rsid w:val="1BB90B82"/>
    <w:rsid w:val="1CD34CC7"/>
    <w:rsid w:val="1CF2284B"/>
    <w:rsid w:val="1DED7356"/>
    <w:rsid w:val="1E291E80"/>
    <w:rsid w:val="1EB07EA0"/>
    <w:rsid w:val="20823623"/>
    <w:rsid w:val="2139572C"/>
    <w:rsid w:val="22BD7457"/>
    <w:rsid w:val="232C52F9"/>
    <w:rsid w:val="233B6801"/>
    <w:rsid w:val="23743D86"/>
    <w:rsid w:val="2639487F"/>
    <w:rsid w:val="27165388"/>
    <w:rsid w:val="280276BA"/>
    <w:rsid w:val="294955D6"/>
    <w:rsid w:val="2ABC72A4"/>
    <w:rsid w:val="2D960FD0"/>
    <w:rsid w:val="2F561AA3"/>
    <w:rsid w:val="2FAD5743"/>
    <w:rsid w:val="3101451A"/>
    <w:rsid w:val="316A68B1"/>
    <w:rsid w:val="33CF24E6"/>
    <w:rsid w:val="34FC2127"/>
    <w:rsid w:val="372E44D5"/>
    <w:rsid w:val="37811E60"/>
    <w:rsid w:val="379E1D98"/>
    <w:rsid w:val="392F6D7A"/>
    <w:rsid w:val="3A200CC6"/>
    <w:rsid w:val="3B71757E"/>
    <w:rsid w:val="3DAD5D58"/>
    <w:rsid w:val="3FCC56E2"/>
    <w:rsid w:val="401D67F9"/>
    <w:rsid w:val="40632FAE"/>
    <w:rsid w:val="40B03A35"/>
    <w:rsid w:val="414365DD"/>
    <w:rsid w:val="41AB5D7C"/>
    <w:rsid w:val="42C65A5C"/>
    <w:rsid w:val="44323395"/>
    <w:rsid w:val="44350E74"/>
    <w:rsid w:val="474B3217"/>
    <w:rsid w:val="482A7FC4"/>
    <w:rsid w:val="495810E0"/>
    <w:rsid w:val="4A336491"/>
    <w:rsid w:val="4A4B76D8"/>
    <w:rsid w:val="4C8277D4"/>
    <w:rsid w:val="4DF6222E"/>
    <w:rsid w:val="4E300DC1"/>
    <w:rsid w:val="4E767FEC"/>
    <w:rsid w:val="4F9D10F1"/>
    <w:rsid w:val="504F1937"/>
    <w:rsid w:val="508A02E8"/>
    <w:rsid w:val="509D0063"/>
    <w:rsid w:val="50B26F5B"/>
    <w:rsid w:val="51C168CC"/>
    <w:rsid w:val="51C5165A"/>
    <w:rsid w:val="52BC1106"/>
    <w:rsid w:val="52F47B72"/>
    <w:rsid w:val="53A0699F"/>
    <w:rsid w:val="541A31C0"/>
    <w:rsid w:val="58870507"/>
    <w:rsid w:val="5A0270F9"/>
    <w:rsid w:val="5B2D4472"/>
    <w:rsid w:val="5FC60212"/>
    <w:rsid w:val="60DF4FB3"/>
    <w:rsid w:val="617B0D4B"/>
    <w:rsid w:val="61E43ED8"/>
    <w:rsid w:val="634215AF"/>
    <w:rsid w:val="64857BDA"/>
    <w:rsid w:val="653D5BF3"/>
    <w:rsid w:val="655F47C7"/>
    <w:rsid w:val="661F3C54"/>
    <w:rsid w:val="67140D1D"/>
    <w:rsid w:val="685F7C8E"/>
    <w:rsid w:val="68CB3621"/>
    <w:rsid w:val="69A20A75"/>
    <w:rsid w:val="69D94724"/>
    <w:rsid w:val="6A5B27F4"/>
    <w:rsid w:val="6ACE20BE"/>
    <w:rsid w:val="6B0B0D9F"/>
    <w:rsid w:val="6BF648FA"/>
    <w:rsid w:val="6BF67A71"/>
    <w:rsid w:val="6CC664D5"/>
    <w:rsid w:val="6D5946EE"/>
    <w:rsid w:val="6EB309D4"/>
    <w:rsid w:val="6F2E47A8"/>
    <w:rsid w:val="6F9F677E"/>
    <w:rsid w:val="70BE7448"/>
    <w:rsid w:val="70F66138"/>
    <w:rsid w:val="715A3A24"/>
    <w:rsid w:val="7233317F"/>
    <w:rsid w:val="73715A5C"/>
    <w:rsid w:val="74BE58A4"/>
    <w:rsid w:val="755A6067"/>
    <w:rsid w:val="773E1EAA"/>
    <w:rsid w:val="7A990D85"/>
    <w:rsid w:val="7B3E544D"/>
    <w:rsid w:val="7DB87DA9"/>
    <w:rsid w:val="7DC52D52"/>
    <w:rsid w:val="7F153239"/>
    <w:rsid w:val="7FF368C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iPriority="99"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unhideWhenUsed/>
    <w:qFormat/>
    <w:uiPriority w:val="99"/>
    <w:pPr>
      <w:spacing w:before="0" w:beforeAutospacing="0" w:after="0" w:afterAutospacing="0"/>
      <w:ind w:left="0" w:right="0"/>
      <w:jc w:val="left"/>
    </w:pPr>
    <w:rPr>
      <w:rFonts w:hint="eastAsia" w:ascii="宋体" w:hAnsi="宋体" w:eastAsia="宋体" w:cs="宋体"/>
      <w:kern w:val="0"/>
      <w:sz w:val="24"/>
      <w:szCs w:val="24"/>
      <w:lang w:val="en-US" w:eastAsia="zh-CN" w:bidi="ar"/>
    </w:rPr>
  </w:style>
  <w:style w:type="paragraph" w:styleId="2">
    <w:name w:val="heading 2"/>
    <w:basedOn w:val="1"/>
    <w:next w:val="1"/>
    <w:qFormat/>
    <w:uiPriority w:val="0"/>
    <w:pPr>
      <w:spacing w:before="0" w:beforeAutospacing="1" w:after="0" w:afterAutospacing="1"/>
      <w:ind w:left="0" w:right="0"/>
      <w:jc w:val="left"/>
    </w:pPr>
    <w:rPr>
      <w:rFonts w:hint="eastAsia" w:ascii="宋体" w:hAnsi="宋体" w:eastAsia="宋体" w:cs="宋体"/>
      <w:b/>
      <w:bCs/>
      <w:kern w:val="0"/>
      <w:sz w:val="36"/>
      <w:szCs w:val="36"/>
      <w:lang w:val="en-US" w:eastAsia="zh-CN" w:bidi="ar"/>
    </w:rPr>
  </w:style>
  <w:style w:type="character" w:default="1" w:styleId="7">
    <w:name w:val="Default Paragraph Font"/>
    <w:semiHidden/>
    <w:qFormat/>
    <w:uiPriority w:val="0"/>
  </w:style>
  <w:style w:type="table" w:default="1" w:styleId="6">
    <w:name w:val="Normal Table"/>
    <w:semiHidden/>
    <w:qFormat/>
    <w:uiPriority w:val="0"/>
    <w:tblPr>
      <w:tblLayout w:type="fixed"/>
      <w:tblCellMar>
        <w:top w:w="0" w:type="dxa"/>
        <w:left w:w="108" w:type="dxa"/>
        <w:bottom w:w="0" w:type="dxa"/>
        <w:right w:w="108" w:type="dxa"/>
      </w:tblCellMar>
    </w:tblPr>
  </w:style>
  <w:style w:type="paragraph" w:styleId="3">
    <w:name w:val="Body Text"/>
    <w:basedOn w:val="1"/>
    <w:qFormat/>
    <w:uiPriority w:val="99"/>
    <w:pPr>
      <w:spacing w:before="0" w:beforeLines="30" w:beforeAutospacing="0" w:after="0" w:afterAutospacing="0"/>
      <w:ind w:left="0" w:right="0"/>
      <w:jc w:val="left"/>
    </w:pPr>
    <w:rPr>
      <w:rFonts w:hint="eastAsia" w:ascii="仿宋_GB2312" w:hAnsi="宋体" w:eastAsia="仿宋_GB2312" w:cs="宋体"/>
      <w:kern w:val="0"/>
      <w:sz w:val="30"/>
      <w:szCs w:val="30"/>
      <w:lang w:val="en-US" w:eastAsia="zh-CN" w:bidi="ar"/>
    </w:rPr>
  </w:style>
  <w:style w:type="paragraph" w:styleId="4">
    <w:name w:val="footer"/>
    <w:basedOn w:val="1"/>
    <w:uiPriority w:val="0"/>
    <w:pPr>
      <w:tabs>
        <w:tab w:val="center" w:pos="4153"/>
        <w:tab w:val="right" w:pos="8306"/>
      </w:tabs>
      <w:snapToGrid w:val="0"/>
      <w:jc w:val="left"/>
    </w:pPr>
    <w:rPr>
      <w:sz w:val="18"/>
    </w:rPr>
  </w:style>
  <w:style w:type="paragraph" w:styleId="5">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customStyle="1" w:styleId="8">
    <w:name w:val="普通(网站) Char"/>
    <w:basedOn w:val="1"/>
    <w:qFormat/>
    <w:uiPriority w:val="0"/>
    <w:pPr>
      <w:spacing w:before="0" w:beforeAutospacing="1" w:after="0" w:afterAutospacing="1"/>
      <w:ind w:left="0" w:right="0"/>
      <w:jc w:val="left"/>
    </w:pPr>
    <w:rPr>
      <w:rFonts w:hint="eastAsia" w:ascii="宋体" w:hAnsi="宋体" w:eastAsia="宋体" w:cs="宋体"/>
      <w:kern w:val="0"/>
      <w:sz w:val="24"/>
      <w:szCs w:val="24"/>
      <w:lang w:val="en-US" w:eastAsia="zh-CN" w:bidi="ar"/>
    </w:rPr>
  </w:style>
  <w:style w:type="character" w:customStyle="1" w:styleId="9">
    <w:name w:val="16"/>
    <w:basedOn w:val="7"/>
    <w:qFormat/>
    <w:uiPriority w:val="0"/>
    <w:rPr>
      <w:rFonts w:hint="default" w:ascii="Times New Roman" w:hAnsi="Times New Roman" w:cs="Times New Roman"/>
      <w:b/>
      <w:bCs/>
    </w:rPr>
  </w:style>
  <w:style w:type="character" w:customStyle="1" w:styleId="10">
    <w:name w:val="17"/>
    <w:basedOn w:val="7"/>
    <w:qFormat/>
    <w:uiPriority w:val="0"/>
    <w:rPr>
      <w:rFonts w:hint="eastAsia" w:ascii="宋体" w:hAnsi="宋体" w:eastAsia="宋体" w:cs="宋体"/>
      <w:b/>
      <w:bCs/>
      <w:sz w:val="36"/>
      <w:szCs w:val="36"/>
    </w:rPr>
  </w:style>
  <w:style w:type="paragraph" w:customStyle="1" w:styleId="11">
    <w:name w:val="Default"/>
    <w:basedOn w:val="1"/>
    <w:qFormat/>
    <w:uiPriority w:val="0"/>
    <w:pPr>
      <w:keepNext w:val="0"/>
      <w:keepLines w:val="0"/>
      <w:widowControl w:val="0"/>
      <w:suppressLineNumbers w:val="0"/>
      <w:autoSpaceDE w:val="0"/>
      <w:autoSpaceDN w:val="0"/>
      <w:adjustRightInd w:val="0"/>
      <w:spacing w:before="0" w:beforeAutospacing="0" w:after="0" w:afterAutospacing="0"/>
      <w:ind w:left="0" w:right="0"/>
      <w:jc w:val="left"/>
    </w:pPr>
    <w:rPr>
      <w:rFonts w:hint="eastAsia" w:ascii="仿宋" w:hAnsi="Calibri" w:eastAsia="仿宋" w:cs="仿宋"/>
      <w:color w:val="000000"/>
      <w:kern w:val="0"/>
      <w:sz w:val="24"/>
      <w:szCs w:val="24"/>
      <w:lang w:val="en-US" w:eastAsia="zh-CN" w:bidi="ar"/>
    </w:rPr>
  </w:style>
  <w:style w:type="paragraph" w:customStyle="1" w:styleId="12">
    <w:name w:val="HTML 预设格式 Char Char Char"/>
    <w:basedOn w:val="1"/>
    <w:qFormat/>
    <w:uiPriority w:val="0"/>
    <w:pPr>
      <w:spacing w:before="0" w:beforeAutospacing="0" w:after="0" w:afterAutospacing="0"/>
      <w:ind w:left="0" w:right="0"/>
      <w:jc w:val="left"/>
    </w:pPr>
    <w:rPr>
      <w:rFonts w:hint="eastAsia" w:ascii="宋体" w:hAnsi="宋体" w:eastAsia="宋体" w:cs="宋体"/>
      <w:kern w:val="0"/>
      <w:sz w:val="24"/>
      <w:szCs w:val="24"/>
      <w:lang w:val="en-US" w:eastAsia="zh-CN" w:bidi="ar"/>
    </w:rPr>
  </w:style>
  <w:style w:type="paragraph" w:customStyle="1" w:styleId="13">
    <w:name w:val="普通(网站) Char Char"/>
    <w:basedOn w:val="1"/>
    <w:qFormat/>
    <w:uiPriority w:val="0"/>
    <w:pPr>
      <w:spacing w:before="0" w:beforeAutospacing="1" w:after="0" w:afterAutospacing="1"/>
      <w:ind w:left="0" w:right="0"/>
      <w:jc w:val="left"/>
    </w:pPr>
    <w:rPr>
      <w:rFonts w:hint="eastAsia" w:ascii="宋体" w:hAnsi="宋体" w:eastAsia="宋体" w:cs="宋体"/>
      <w:kern w:val="0"/>
      <w:sz w:val="24"/>
      <w:szCs w:val="24"/>
      <w:lang w:val="en-US" w:eastAsia="zh-CN" w:bidi="ar"/>
    </w:rPr>
  </w:style>
  <w:style w:type="character" w:customStyle="1" w:styleId="14">
    <w:name w:val="20"/>
    <w:basedOn w:val="7"/>
    <w:qFormat/>
    <w:uiPriority w:val="0"/>
    <w:rPr>
      <w:rFonts w:hint="eastAsia" w:ascii="宋体" w:hAnsi="宋体" w:eastAsia="宋体" w:cs="宋体"/>
      <w:b/>
      <w:bCs/>
      <w:kern w:val="44"/>
      <w:sz w:val="48"/>
      <w:szCs w:val="48"/>
    </w:rPr>
  </w:style>
</w:styles>
</file>

<file path=word/_rels/document.xml.rels><?xml version="1.0" encoding="UTF-8" standalone="yes"?>
<Relationships xmlns="http://schemas.openxmlformats.org/package/2006/relationships"><Relationship Id="rId9" Type="http://schemas.openxmlformats.org/officeDocument/2006/relationships/chart" Target="charts/chart3.xml"/><Relationship Id="rId8" Type="http://schemas.openxmlformats.org/officeDocument/2006/relationships/chart" Target="charts/chart2.xml"/><Relationship Id="rId7" Type="http://schemas.openxmlformats.org/officeDocument/2006/relationships/chart" Target="charts/chart1.xml"/><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chart" Target="charts/chart6.xml"/><Relationship Id="rId11" Type="http://schemas.openxmlformats.org/officeDocument/2006/relationships/chart" Target="charts/chart5.xml"/><Relationship Id="rId10" Type="http://schemas.openxmlformats.org/officeDocument/2006/relationships/chart" Target="charts/chart4.xml"/><Relationship Id="rId1" Type="http://schemas.openxmlformats.org/officeDocument/2006/relationships/styles" Target="styles.xml"/></Relationships>
</file>

<file path=word/charts/_rels/chart1.xml.rels><?xml version="1.0" encoding="UTF-8" standalone="yes"?>
<Relationships xmlns="http://schemas.openxmlformats.org/package/2006/relationships"><Relationship Id="rId2" Type="http://schemas.openxmlformats.org/officeDocument/2006/relationships/themeOverride" Target="../theme/themeOverride6.xml"/><Relationship Id="rId1" Type="http://schemas.openxmlformats.org/officeDocument/2006/relationships/oleObject" Target="file:///C:\Users\Administrator\Desktop\2026&#24180;&#36130;&#21153;%20&#40065;&#23567;&#32418;\2026.10\10.09&#65288;2025&#24180;&#20915;&#31639;&#32534;&#21046;&#20844;&#24320;&#65289;\&#34255;&#20013;&#22270;&#34920;.xls" TargetMode="External"/></Relationships>
</file>

<file path=word/charts/_rels/chart2.xml.rels><?xml version="1.0" encoding="UTF-8" standalone="yes"?>
<Relationships xmlns="http://schemas.openxmlformats.org/package/2006/relationships"><Relationship Id="rId2" Type="http://schemas.openxmlformats.org/officeDocument/2006/relationships/themeOverride" Target="../theme/themeOverride5.xml"/><Relationship Id="rId1" Type="http://schemas.openxmlformats.org/officeDocument/2006/relationships/oleObject" Target="file:///C:\Users\Administrator\Desktop\2026&#24180;&#36130;&#21153;%20&#40065;&#23567;&#32418;\2026.10\10.09&#65288;2025&#24180;&#20915;&#31639;&#32534;&#21046;&#20844;&#24320;&#65289;\&#34255;&#20013;&#22270;&#34920;.xls" TargetMode="External"/></Relationships>
</file>

<file path=word/charts/_rels/chart3.xml.rels><?xml version="1.0" encoding="UTF-8" standalone="yes"?>
<Relationships xmlns="http://schemas.openxmlformats.org/package/2006/relationships"><Relationship Id="rId2" Type="http://schemas.openxmlformats.org/officeDocument/2006/relationships/themeOverride" Target="../theme/themeOverride4.xml"/><Relationship Id="rId1" Type="http://schemas.openxmlformats.org/officeDocument/2006/relationships/oleObject" Target="file:///C:\Users\Administrator\Desktop\2026&#24180;&#36130;&#21153;%20&#40065;&#23567;&#32418;\2026.10\10.09&#65288;2025&#24180;&#20915;&#31639;&#32534;&#21046;&#20844;&#24320;&#65289;\&#34255;&#20013;&#22270;&#34920;.xls" TargetMode="External"/></Relationships>
</file>

<file path=word/charts/_rels/chart4.xml.rels><?xml version="1.0" encoding="UTF-8" standalone="yes"?>
<Relationships xmlns="http://schemas.openxmlformats.org/package/2006/relationships"><Relationship Id="rId2" Type="http://schemas.openxmlformats.org/officeDocument/2006/relationships/themeOverride" Target="../theme/themeOverride3.xml"/><Relationship Id="rId1" Type="http://schemas.openxmlformats.org/officeDocument/2006/relationships/oleObject" Target="file:///C:\Users\Administrator\Desktop\2026&#24180;&#36130;&#21153;%20&#40065;&#23567;&#32418;\2026.10\10.09&#65288;2025&#24180;&#20915;&#31639;&#32534;&#21046;&#20844;&#24320;&#65289;\&#34255;&#20013;&#22270;&#34920;.xls" TargetMode="External"/></Relationships>
</file>

<file path=word/charts/_rels/chart5.xml.rels><?xml version="1.0" encoding="UTF-8" standalone="yes"?>
<Relationships xmlns="http://schemas.openxmlformats.org/package/2006/relationships"><Relationship Id="rId2" Type="http://schemas.openxmlformats.org/officeDocument/2006/relationships/themeOverride" Target="../theme/themeOverride2.xml"/><Relationship Id="rId1" Type="http://schemas.openxmlformats.org/officeDocument/2006/relationships/oleObject" Target="file:///C:\Users\Administrator\Desktop\2026&#24180;&#36130;&#21153;%20&#40065;&#23567;&#32418;\2026.10\10.09&#65288;2025&#24180;&#20915;&#31639;&#32534;&#21046;&#20844;&#24320;&#65289;\&#34255;&#20013;&#22270;&#34920;.xls" TargetMode="External"/></Relationships>
</file>

<file path=word/charts/_rels/chart6.xml.rels><?xml version="1.0" encoding="UTF-8" standalone="yes"?>
<Relationships xmlns="http://schemas.openxmlformats.org/package/2006/relationships"><Relationship Id="rId2" Type="http://schemas.openxmlformats.org/officeDocument/2006/relationships/themeOverride" Target="../theme/themeOverride1.xml"/><Relationship Id="rId1" Type="http://schemas.openxmlformats.org/officeDocument/2006/relationships/oleObject" Target="file:///C:\Users\Administrator\Desktop\2026&#24180;&#36130;&#21153;%20&#40065;&#23567;&#32418;\2026.10\10.09&#65288;2025&#24180;&#20915;&#31639;&#32534;&#21046;&#20844;&#24320;&#65289;\&#34255;&#20013;&#22270;&#34920;.xls"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0" vertOverflow="ellipsis" vert="horz" wrap="square" anchor="ctr" anchorCtr="1"/>
          <a:lstStyle/>
          <a:p>
            <a:pPr defTabSz="914400">
              <a:defRPr lang="zh-CN" sz="1200" b="0" i="0" u="none" strike="noStrike" kern="1200" baseline="0">
                <a:solidFill>
                  <a:srgbClr val="000000">
                    <a:alpha val="100000"/>
                  </a:srgbClr>
                </a:solidFill>
                <a:latin typeface="宋体" panose="02010600030101010101" charset="-122"/>
                <a:ea typeface="宋体" panose="02010600030101010101" charset="-122"/>
                <a:cs typeface="宋体" panose="02010600030101010101" charset="-122"/>
              </a:defRPr>
            </a:pPr>
            <a:r>
              <a:t>收、支决算总计变动情况图</a:t>
            </a:r>
            <a:endParaRPr sz="1200" b="0" i="0" u="none" strike="noStrike" baseline="0">
              <a:solidFill>
                <a:srgbClr val="000000">
                  <a:alpha val="100000"/>
                </a:srgbClr>
              </a:solidFill>
              <a:latin typeface="宋体" panose="02010600030101010101" charset="-122"/>
              <a:ea typeface="宋体" panose="02010600030101010101" charset="-122"/>
              <a:cs typeface="宋体" panose="02010600030101010101" charset="-122"/>
            </a:endParaRPr>
          </a:p>
        </c:rich>
      </c:tx>
      <c:layout>
        <c:manualLayout>
          <c:xMode val="edge"/>
          <c:yMode val="edge"/>
          <c:x val="0.328230460725814"/>
          <c:y val="0.022002200220022"/>
        </c:manualLayout>
      </c:layout>
      <c:overlay val="0"/>
    </c:title>
    <c:autoTitleDeleted val="0"/>
    <c:plotArea>
      <c:layout>
        <c:manualLayout>
          <c:layoutTarget val="inner"/>
          <c:xMode val="edge"/>
          <c:yMode val="edge"/>
          <c:x val="0.150798722044728"/>
          <c:y val="0.199074074074074"/>
          <c:w val="0.835310459786081"/>
          <c:h val="0.595"/>
        </c:manualLayout>
      </c:layout>
      <c:barChart>
        <c:barDir val="col"/>
        <c:grouping val="clustered"/>
        <c:varyColors val="0"/>
        <c:ser>
          <c:idx val="0"/>
          <c:order val="0"/>
          <c:tx>
            <c:strRef>
              <c:f>[藏中图表.xls]Sheet1!$A$2</c:f>
              <c:strCache>
                <c:ptCount val="1"/>
                <c:pt idx="0">
                  <c:v>2024年</c:v>
                </c:pt>
              </c:strCache>
            </c:strRef>
          </c:tx>
          <c:spPr>
            <a:solidFill>
              <a:srgbClr val="5B9BD5">
                <a:alpha val="100000"/>
              </a:srgbClr>
            </a:solidFill>
            <a:ln w="3175">
              <a:noFill/>
            </a:ln>
          </c:spPr>
          <c:invertIfNegative val="0"/>
          <c:dLbls>
            <c:numFmt formatCode="General" sourceLinked="1"/>
            <c:spPr>
              <a:noFill/>
              <a:ln w="3175">
                <a:noFill/>
              </a:ln>
              <a:effectLst/>
            </c:spPr>
            <c:txPr>
              <a:bodyPr rot="0" spcFirstLastPara="0" vertOverflow="ellipsis" vert="horz" wrap="square" lIns="38100" tIns="19050" rIns="38100" bIns="19050" anchor="ctr" anchorCtr="1"/>
              <a:lstStyle/>
              <a:p>
                <a:pPr>
                  <a:defRPr lang="zh-CN" sz="900" b="0" i="0" u="none" strike="noStrike" kern="1200" baseline="0">
                    <a:solidFill>
                      <a:srgbClr val="FFFFFF">
                        <a:alpha val="100000"/>
                      </a:srgbClr>
                    </a:solidFill>
                    <a:latin typeface="宋体" panose="02010600030101010101" charset="-122"/>
                    <a:ea typeface="宋体" panose="02010600030101010101" charset="-122"/>
                    <a:cs typeface="宋体" panose="02010600030101010101" charset="-122"/>
                  </a:defRPr>
                </a:pPr>
              </a:p>
            </c:txPr>
            <c:dLblPos val="inEnd"/>
            <c:showLegendKey val="0"/>
            <c:showVal val="1"/>
            <c:showCatName val="0"/>
            <c:showSerName val="0"/>
            <c:showPercent val="0"/>
            <c:showBubbleSize val="0"/>
            <c:showLeaderLines val="0"/>
            <c:extLst>
              <c:ext xmlns:c15="http://schemas.microsoft.com/office/drawing/2012/chart" uri="{CE6537A1-D6FC-4f65-9D91-7224C49458BB}">
                <c15:layout/>
                <c15:showLeaderLines val="0"/>
                <c15:leaderLines/>
              </c:ext>
            </c:extLst>
          </c:dLbls>
          <c:cat>
            <c:strRef>
              <c:f>[藏中图表.xls]Sheet1!$B$1:$C$1</c:f>
              <c:strCache>
                <c:ptCount val="2"/>
                <c:pt idx="0">
                  <c:v>收入（万元）</c:v>
                </c:pt>
                <c:pt idx="1">
                  <c:v>   支出（万元）</c:v>
                </c:pt>
              </c:strCache>
            </c:strRef>
          </c:cat>
          <c:val>
            <c:numRef>
              <c:f>[藏中图表.xls]Sheet1!$B$2:$C$2</c:f>
              <c:numCache>
                <c:formatCode>#,##0.00</c:formatCode>
                <c:ptCount val="2"/>
                <c:pt idx="0">
                  <c:v>4684.24</c:v>
                </c:pt>
                <c:pt idx="1">
                  <c:v>4684.24</c:v>
                </c:pt>
              </c:numCache>
            </c:numRef>
          </c:val>
        </c:ser>
        <c:ser>
          <c:idx val="1"/>
          <c:order val="1"/>
          <c:tx>
            <c:strRef>
              <c:f>[藏中图表.xls]Sheet1!$A$3</c:f>
              <c:strCache>
                <c:ptCount val="1"/>
                <c:pt idx="0">
                  <c:v>2025年</c:v>
                </c:pt>
              </c:strCache>
            </c:strRef>
          </c:tx>
          <c:spPr>
            <a:solidFill>
              <a:srgbClr val="ED7D31">
                <a:alpha val="100000"/>
              </a:srgbClr>
            </a:solidFill>
            <a:ln w="3175">
              <a:noFill/>
            </a:ln>
          </c:spPr>
          <c:invertIfNegative val="0"/>
          <c:dLbls>
            <c:numFmt formatCode="General" sourceLinked="1"/>
            <c:spPr>
              <a:noFill/>
              <a:ln w="3175">
                <a:noFill/>
              </a:ln>
              <a:effectLst/>
            </c:spPr>
            <c:txPr>
              <a:bodyPr rot="0" spcFirstLastPara="0" vertOverflow="ellipsis" vert="horz" wrap="square" lIns="38100" tIns="19050" rIns="38100" bIns="19050" anchor="ctr" anchorCtr="1"/>
              <a:lstStyle/>
              <a:p>
                <a:pPr>
                  <a:defRPr lang="zh-CN" sz="900" b="0" i="0" u="none" strike="noStrike" kern="1200" baseline="0">
                    <a:solidFill>
                      <a:srgbClr val="FFFFFF">
                        <a:alpha val="100000"/>
                      </a:srgbClr>
                    </a:solidFill>
                    <a:latin typeface="宋体" panose="02010600030101010101" charset="-122"/>
                    <a:ea typeface="宋体" panose="02010600030101010101" charset="-122"/>
                    <a:cs typeface="宋体" panose="02010600030101010101" charset="-122"/>
                  </a:defRPr>
                </a:pPr>
              </a:p>
            </c:txPr>
            <c:dLblPos val="inEnd"/>
            <c:showLegendKey val="0"/>
            <c:showVal val="1"/>
            <c:showCatName val="0"/>
            <c:showSerName val="0"/>
            <c:showPercent val="0"/>
            <c:showBubbleSize val="0"/>
            <c:showLeaderLines val="0"/>
            <c:extLst>
              <c:ext xmlns:c15="http://schemas.microsoft.com/office/drawing/2012/chart" uri="{CE6537A1-D6FC-4f65-9D91-7224C49458BB}">
                <c15:layout/>
                <c15:showLeaderLines val="0"/>
                <c15:leaderLines/>
              </c:ext>
            </c:extLst>
          </c:dLbls>
          <c:cat>
            <c:strRef>
              <c:f>[藏中图表.xls]Sheet1!$B$1:$C$1</c:f>
              <c:strCache>
                <c:ptCount val="2"/>
                <c:pt idx="0">
                  <c:v>收入（万元）</c:v>
                </c:pt>
                <c:pt idx="1">
                  <c:v>   支出（万元）</c:v>
                </c:pt>
              </c:strCache>
            </c:strRef>
          </c:cat>
          <c:val>
            <c:numRef>
              <c:f>[藏中图表.xls]Sheet1!$B$3:$C$3</c:f>
              <c:numCache>
                <c:formatCode>#,##0.00</c:formatCode>
                <c:ptCount val="2"/>
                <c:pt idx="0">
                  <c:v>5137.22</c:v>
                </c:pt>
                <c:pt idx="1">
                  <c:v>5137.22</c:v>
                </c:pt>
              </c:numCache>
            </c:numRef>
          </c:val>
        </c:ser>
        <c:dLbls>
          <c:showLegendKey val="0"/>
          <c:showVal val="0"/>
          <c:showCatName val="0"/>
          <c:showSerName val="0"/>
          <c:showPercent val="0"/>
          <c:showBubbleSize val="0"/>
        </c:dLbls>
        <c:gapWidth val="219"/>
        <c:overlap val="-10"/>
        <c:axId val="776495744"/>
        <c:axId val="439114906"/>
      </c:barChart>
      <c:catAx>
        <c:axId val="776495744"/>
        <c:scaling>
          <c:orientation val="minMax"/>
        </c:scaling>
        <c:delete val="0"/>
        <c:axPos val="b"/>
        <c:majorTickMark val="none"/>
        <c:minorTickMark val="none"/>
        <c:tickLblPos val="nextTo"/>
        <c:spPr>
          <a:noFill/>
          <a:ln w="9525" cap="flat" cmpd="sng" algn="ctr">
            <a:solidFill>
              <a:schemeClr val="bg1">
                <a:lumMod val="95000"/>
              </a:schemeClr>
            </a:solidFill>
            <a:prstDash val="solid"/>
            <a:round/>
          </a:ln>
          <a:effectLst/>
        </c:spPr>
        <c:txPr>
          <a:bodyPr rot="0" spcFirstLastPara="0" vertOverflow="ellipsis" vert="horz" wrap="square" anchor="ctr" anchorCtr="1"/>
          <a:lstStyle/>
          <a:p>
            <a:pPr>
              <a:defRPr lang="zh-CN" sz="900" b="0" i="0" u="none" strike="noStrike" kern="1200" baseline="0">
                <a:solidFill>
                  <a:srgbClr val="333333">
                    <a:alpha val="100000"/>
                  </a:srgbClr>
                </a:solidFill>
                <a:latin typeface="微软雅黑" panose="020B0503020204020204" pitchFamily="2" charset="-122"/>
                <a:ea typeface="微软雅黑" panose="020B0503020204020204" pitchFamily="2" charset="-122"/>
                <a:cs typeface="微软雅黑" panose="020B0503020204020204" pitchFamily="2" charset="-122"/>
              </a:defRPr>
            </a:pPr>
          </a:p>
        </c:txPr>
        <c:crossAx val="439114906"/>
        <c:crosses val="autoZero"/>
        <c:auto val="1"/>
        <c:lblAlgn val="ctr"/>
        <c:lblOffset val="100"/>
        <c:noMultiLvlLbl val="0"/>
      </c:catAx>
      <c:valAx>
        <c:axId val="439114906"/>
        <c:scaling>
          <c:orientation val="minMax"/>
        </c:scaling>
        <c:delete val="0"/>
        <c:axPos val="l"/>
        <c:majorGridlines>
          <c:spPr>
            <a:ln w="9525" cap="flat" cmpd="sng" algn="ctr">
              <a:solidFill>
                <a:schemeClr val="bg1">
                  <a:lumMod val="95000"/>
                </a:schemeClr>
              </a:solidFill>
              <a:prstDash val="solid"/>
              <a:round/>
            </a:ln>
            <a:effectLst/>
          </c:spPr>
        </c:majorGridlines>
        <c:numFmt formatCode="#,##0.00" sourceLinked="1"/>
        <c:majorTickMark val="none"/>
        <c:minorTickMark val="none"/>
        <c:tickLblPos val="nextTo"/>
        <c:spPr>
          <a:ln w="3175" cap="flat" cmpd="sng" algn="ctr">
            <a:noFill/>
            <a:prstDash val="solid"/>
            <a:round/>
          </a:ln>
        </c:spPr>
        <c:txPr>
          <a:bodyPr rot="0" spcFirstLastPara="0" vertOverflow="ellipsis" vert="horz" wrap="square" anchor="ctr" anchorCtr="1"/>
          <a:lstStyle/>
          <a:p>
            <a:pPr>
              <a:defRPr lang="zh-CN" sz="900" b="0" i="0" u="none" strike="noStrike" kern="1200" baseline="0">
                <a:solidFill>
                  <a:srgbClr val="333333">
                    <a:alpha val="100000"/>
                  </a:srgbClr>
                </a:solidFill>
                <a:latin typeface="宋体" panose="02010600030101010101" charset="-122"/>
                <a:ea typeface="宋体" panose="02010600030101010101" charset="-122"/>
                <a:cs typeface="宋体" panose="02010600030101010101" charset="-122"/>
              </a:defRPr>
            </a:pPr>
          </a:p>
        </c:txPr>
        <c:crossAx val="776495744"/>
        <c:crosses val="autoZero"/>
        <c:crossBetween val="between"/>
      </c:valAx>
      <c:spPr>
        <a:noFill/>
        <a:ln w="3175">
          <a:noFill/>
        </a:ln>
      </c:spPr>
    </c:plotArea>
    <c:legend>
      <c:legendPos val="r"/>
      <c:layout>
        <c:manualLayout>
          <c:xMode val="edge"/>
          <c:yMode val="edge"/>
          <c:x val="0.3085"/>
          <c:y val="0.90325"/>
          <c:w val="0.37"/>
          <c:h val="0.07025"/>
        </c:manualLayout>
      </c:layout>
      <c:overlay val="0"/>
      <c:spPr>
        <a:noFill/>
        <a:ln w="3175">
          <a:noFill/>
        </a:ln>
      </c:spPr>
      <c:txPr>
        <a:bodyPr rot="0" spcFirstLastPara="0" vertOverflow="ellipsis" vert="horz" wrap="square" anchor="ctr" anchorCtr="1"/>
        <a:lstStyle/>
        <a:p>
          <a:pPr>
            <a:defRPr lang="zh-CN" sz="825" b="0" i="0" u="none" strike="noStrike" kern="1200" baseline="0">
              <a:solidFill>
                <a:srgbClr val="333333"/>
              </a:solidFill>
              <a:latin typeface="微软雅黑" panose="020B0503020204020204" pitchFamily="2" charset="-122"/>
              <a:ea typeface="微软雅黑" panose="020B0503020204020204" pitchFamily="2" charset="-122"/>
              <a:cs typeface="微软雅黑" panose="020B0503020204020204" pitchFamily="2" charset="-122"/>
            </a:defRPr>
          </a:pPr>
        </a:p>
      </c:txPr>
    </c:legend>
    <c:plotVisOnly val="1"/>
    <c:dispBlanksAs val="gap"/>
    <c:showDLblsOverMax val="0"/>
  </c:chart>
  <c:spPr>
    <a:solidFill>
      <a:schemeClr val="bg1"/>
    </a:solidFill>
    <a:ln w="9525" cap="flat" cmpd="sng" algn="ctr">
      <a:solidFill>
        <a:schemeClr val="bg1">
          <a:lumMod val="95000"/>
        </a:schemeClr>
      </a:solidFill>
      <a:prstDash val="solid"/>
      <a:round/>
    </a:ln>
    <a:effectLst/>
  </c:spPr>
  <c:txPr>
    <a:bodyPr rot="0" wrap="square" anchor="ctr" anchorCtr="1"/>
    <a:lstStyle/>
    <a:p>
      <a:pPr>
        <a:defRPr lang="zh-CN" sz="1000" b="0" i="0" u="none" strike="noStrike" baseline="0">
          <a:solidFill>
            <a:srgbClr val="000000">
              <a:alpha val="100000"/>
            </a:srgbClr>
          </a:solidFill>
          <a:latin typeface="宋体" panose="02010600030101010101" charset="-122"/>
          <a:ea typeface="宋体" panose="02010600030101010101" charset="-122"/>
          <a:cs typeface="宋体" panose="02010600030101010101" charset="-122"/>
        </a:defRPr>
      </a:pPr>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5"/>
    </mc:Choice>
    <mc:Fallback>
      <c:style val="5"/>
    </mc:Fallback>
  </mc:AlternateContent>
  <c:clrMapOvr bg1="lt1" tx1="dk1" bg2="lt2" tx2="dk2" accent1="accent1" accent2="accent2" accent3="accent3" accent4="accent4" accent5="accent5" accent6="accent6" hlink="hlink" folHlink="folHlink"/>
  <c:chart>
    <c:title>
      <c:tx>
        <c:rich>
          <a:bodyPr rot="0" spcFirstLastPara="0" vertOverflow="ellipsis" vert="horz" wrap="square" anchor="ctr" anchorCtr="1"/>
          <a:lstStyle/>
          <a:p>
            <a:pPr defTabSz="914400">
              <a:defRPr lang="zh-CN" sz="1400" b="1" i="0" u="none" strike="noStrike" kern="1200" baseline="0">
                <a:solidFill>
                  <a:srgbClr val="808080">
                    <a:alpha val="100000"/>
                  </a:srgbClr>
                </a:solidFill>
                <a:latin typeface="宋体" panose="02010600030101010101" charset="-122"/>
                <a:ea typeface="宋体" panose="02010600030101010101" charset="-122"/>
                <a:cs typeface="宋体" panose="02010600030101010101" charset="-122"/>
              </a:defRPr>
            </a:pPr>
            <a:r>
              <a:rPr lang="en-US" altLang="zh-CN" sz="1400" b="1" i="0" u="none" strike="noStrike" baseline="0">
                <a:solidFill>
                  <a:srgbClr val="808080"/>
                </a:solidFill>
                <a:latin typeface="宋体" panose="02010600030101010101" charset="-122"/>
                <a:ea typeface="宋体" panose="02010600030101010101" charset="-122"/>
                <a:cs typeface="宋体" panose="02010600030101010101" charset="-122"/>
              </a:rPr>
              <a:t>2025</a:t>
            </a:r>
            <a:r>
              <a:rPr sz="1400" b="1" i="0" u="none" strike="noStrike" baseline="0">
                <a:solidFill>
                  <a:srgbClr val="808080"/>
                </a:solidFill>
                <a:latin typeface="宋体" panose="02010600030101010101" charset="-122"/>
                <a:ea typeface="宋体" panose="02010600030101010101" charset="-122"/>
                <a:cs typeface="宋体" panose="02010600030101010101" charset="-122"/>
              </a:rPr>
              <a:t>收入决算结构图</a:t>
            </a:r>
            <a:endParaRPr sz="1200" b="0" i="0" u="none" strike="noStrike" baseline="0">
              <a:solidFill>
                <a:srgbClr val="000000"/>
              </a:solidFill>
              <a:latin typeface="宋体" panose="02010600030101010101" charset="-122"/>
              <a:ea typeface="宋体" panose="02010600030101010101" charset="-122"/>
              <a:cs typeface="宋体" panose="02010600030101010101" charset="-122"/>
            </a:endParaRPr>
          </a:p>
        </c:rich>
      </c:tx>
      <c:layout/>
      <c:overlay val="0"/>
      <c:spPr>
        <a:noFill/>
        <a:ln w="3175">
          <a:noFill/>
        </a:ln>
      </c:spPr>
    </c:title>
    <c:autoTitleDeleted val="0"/>
    <c:plotArea>
      <c:layout/>
      <c:pieChart>
        <c:varyColors val="1"/>
        <c:ser>
          <c:idx val="0"/>
          <c:order val="0"/>
          <c:explosion val="0"/>
          <c:dPt>
            <c:idx val="0"/>
            <c:bubble3D val="0"/>
            <c:explosion val="0"/>
            <c:spPr>
              <a:solidFill>
                <a:srgbClr val="00B050">
                  <a:alpha val="100000"/>
                </a:srgbClr>
              </a:solidFill>
              <a:ln w="19050">
                <a:solidFill>
                  <a:srgbClr val="FFFFFF">
                    <a:alpha val="100000"/>
                  </a:srgbClr>
                </a:solidFill>
                <a:prstDash val="solid"/>
              </a:ln>
            </c:spPr>
          </c:dPt>
          <c:dPt>
            <c:idx val="1"/>
            <c:bubble3D val="0"/>
            <c:explosion val="0"/>
            <c:spPr>
              <a:gradFill>
                <a:gsLst>
                  <a:gs pos="0">
                    <a:srgbClr val="007BD3"/>
                  </a:gs>
                  <a:gs pos="100000">
                    <a:srgbClr val="034373"/>
                  </a:gs>
                </a:gsLst>
                <a:lin ang="5400000" scaled="0"/>
              </a:gradFill>
              <a:ln w="19050">
                <a:solidFill>
                  <a:schemeClr val="lt1"/>
                </a:solidFill>
              </a:ln>
              <a:effectLst/>
            </c:spPr>
          </c:dPt>
          <c:dPt>
            <c:idx val="2"/>
            <c:bubble3D val="0"/>
            <c:explosion val="0"/>
            <c:spPr>
              <a:solidFill>
                <a:srgbClr val="FFC000">
                  <a:alpha val="50000"/>
                </a:srgbClr>
              </a:solidFill>
              <a:ln w="19050">
                <a:solidFill>
                  <a:schemeClr val="lt1"/>
                </a:solidFill>
              </a:ln>
              <a:effectLst/>
            </c:spPr>
          </c:dPt>
          <c:dLbls>
            <c:dLbl>
              <c:idx val="0"/>
              <c:layout>
                <c:manualLayout>
                  <c:x val="0.00878769038091444"/>
                  <c:y val="-0.128788959312302"/>
                </c:manualLayout>
              </c:layout>
              <c:numFmt formatCode="General" sourceLinked="1"/>
              <c:spPr>
                <a:noFill/>
                <a:ln w="3175">
                  <a:noFill/>
                </a:ln>
                <a:effectLst/>
              </c:spPr>
              <c:txPr>
                <a:bodyPr rot="0" spcFirstLastPara="0" vertOverflow="ellipsis" vert="horz" wrap="square" lIns="38100" tIns="19050" rIns="38100" bIns="19050" anchor="ctr" anchorCtr="1"/>
                <a:lstStyle/>
                <a:p>
                  <a:pPr>
                    <a:defRPr lang="zh-CN" sz="900" b="0" i="0" u="none" strike="noStrike" kern="1200" baseline="0">
                      <a:solidFill>
                        <a:srgbClr val="333333">
                          <a:alpha val="100000"/>
                        </a:srgbClr>
                      </a:solidFill>
                      <a:latin typeface="宋体" panose="02010600030101010101" charset="-122"/>
                      <a:ea typeface="宋体" panose="02010600030101010101" charset="-122"/>
                      <a:cs typeface="宋体" panose="02010600030101010101" charset="-122"/>
                    </a:defRPr>
                  </a:pPr>
                </a:p>
              </c:txPr>
              <c:dLblPos val="bestFit"/>
              <c:showLegendKey val="0"/>
              <c:showVal val="1"/>
              <c:showCatName val="0"/>
              <c:showSerName val="0"/>
              <c:showPercent val="0"/>
              <c:showBubbleSize val="0"/>
              <c:extLst>
                <c:ext xmlns:c15="http://schemas.microsoft.com/office/drawing/2012/chart" uri="{CE6537A1-D6FC-4f65-9D91-7224C49458BB}">
                  <c15:layout/>
                </c:ext>
              </c:extLst>
            </c:dLbl>
            <c:dLbl>
              <c:idx val="1"/>
              <c:layout>
                <c:manualLayout>
                  <c:x val="0.043253565855233"/>
                  <c:y val="0.00494695779970653"/>
                </c:manualLayout>
              </c:layout>
              <c:numFmt formatCode="General" sourceLinked="1"/>
              <c:spPr>
                <a:solidFill>
                  <a:srgbClr val="70AD47">
                    <a:alpha val="100000"/>
                  </a:srgbClr>
                </a:solidFill>
                <a:ln w="3175">
                  <a:noFill/>
                </a:ln>
                <a:effectLst/>
              </c:spPr>
              <c:txPr>
                <a:bodyPr rot="0" spcFirstLastPara="0" vertOverflow="ellipsis" vert="horz" wrap="square" lIns="38100" tIns="19050" rIns="38100" bIns="19050" anchor="ctr" anchorCtr="1"/>
                <a:lstStyle/>
                <a:p>
                  <a:pPr>
                    <a:defRPr lang="zh-CN" sz="900" b="0" i="0" u="none" strike="noStrike" kern="1200" baseline="0">
                      <a:solidFill>
                        <a:srgbClr val="333333">
                          <a:alpha val="100000"/>
                        </a:srgbClr>
                      </a:solidFill>
                      <a:latin typeface="宋体" panose="02010600030101010101" charset="-122"/>
                      <a:ea typeface="宋体" panose="02010600030101010101" charset="-122"/>
                      <a:cs typeface="宋体" panose="02010600030101010101" charset="-122"/>
                    </a:defRPr>
                  </a:pPr>
                </a:p>
              </c:txPr>
              <c:dLblPos val="bestFit"/>
              <c:showLegendKey val="0"/>
              <c:showVal val="1"/>
              <c:showCatName val="0"/>
              <c:showSerName val="0"/>
              <c:showPercent val="0"/>
              <c:showBubbleSize val="0"/>
              <c:extLst>
                <c:ext xmlns:c15="http://schemas.microsoft.com/office/drawing/2012/chart" uri="{CE6537A1-D6FC-4f65-9D91-7224C49458BB}">
                  <c15:layout/>
                </c:ext>
              </c:extLst>
            </c:dLbl>
            <c:dLbl>
              <c:idx val="2"/>
              <c:layout>
                <c:manualLayout>
                  <c:x val="-0.0497262452272019"/>
                  <c:y val="0.00848495416906387"/>
                </c:manualLayout>
              </c:layout>
              <c:numFmt formatCode="General" sourceLinked="1"/>
              <c:spPr>
                <a:solidFill>
                  <a:srgbClr val="FFC000">
                    <a:alpha val="100000"/>
                  </a:srgbClr>
                </a:solidFill>
                <a:ln w="3175">
                  <a:noFill/>
                </a:ln>
                <a:effectLst/>
              </c:spPr>
              <c:txPr>
                <a:bodyPr rot="0" spcFirstLastPara="0" vertOverflow="ellipsis" vert="horz" wrap="square" lIns="38100" tIns="19050" rIns="38100" bIns="19050" anchor="ctr" anchorCtr="1"/>
                <a:lstStyle/>
                <a:p>
                  <a:pPr>
                    <a:defRPr lang="zh-CN" sz="900" b="0" i="0" u="none" strike="noStrike" kern="1200" baseline="0">
                      <a:solidFill>
                        <a:srgbClr val="333333">
                          <a:alpha val="100000"/>
                        </a:srgbClr>
                      </a:solidFill>
                      <a:latin typeface="宋体" panose="02010600030101010101" charset="-122"/>
                      <a:ea typeface="宋体" panose="02010600030101010101" charset="-122"/>
                      <a:cs typeface="宋体" panose="02010600030101010101" charset="-122"/>
                    </a:defRPr>
                  </a:pPr>
                </a:p>
              </c:txPr>
              <c:dLblPos val="bestFit"/>
              <c:showLegendKey val="0"/>
              <c:showVal val="1"/>
              <c:showCatName val="0"/>
              <c:showSerName val="0"/>
              <c:showPercent val="0"/>
              <c:showBubbleSize val="0"/>
              <c:extLst>
                <c:ext xmlns:c15="http://schemas.microsoft.com/office/drawing/2012/chart" uri="{CE6537A1-D6FC-4f65-9D91-7224C49458BB}">
                  <c15:layout/>
                </c:ext>
              </c:extLst>
            </c:dLbl>
            <c:numFmt formatCode="General" sourceLinked="1"/>
            <c:spPr>
              <a:noFill/>
              <a:ln w="3175">
                <a:noFill/>
              </a:ln>
              <a:effectLst/>
            </c:spPr>
            <c:txPr>
              <a:bodyPr rot="0" spcFirstLastPara="0" vertOverflow="ellipsis" vert="horz" wrap="square" lIns="38100" tIns="19050" rIns="38100" bIns="19050" anchor="ctr" anchorCtr="1"/>
              <a:lstStyle/>
              <a:p>
                <a:pPr>
                  <a:defRPr lang="zh-CN" sz="900" b="0" i="0" u="none" strike="noStrike" kern="1200" baseline="0">
                    <a:solidFill>
                      <a:srgbClr val="333333">
                        <a:alpha val="100000"/>
                      </a:srgbClr>
                    </a:solidFill>
                    <a:latin typeface="宋体" panose="02010600030101010101" charset="-122"/>
                    <a:ea typeface="宋体" panose="02010600030101010101" charset="-122"/>
                    <a:cs typeface="宋体" panose="02010600030101010101" charset="-122"/>
                  </a:defRPr>
                </a:pPr>
              </a:p>
            </c:txPr>
            <c:dLblPos val="bestFit"/>
            <c:showLegendKey val="0"/>
            <c:showVal val="1"/>
            <c:showCatName val="0"/>
            <c:showSerName val="0"/>
            <c:showPercent val="0"/>
            <c:showBubbleSize val="0"/>
            <c:showLeaderLines val="1"/>
            <c:extLst>
              <c:ext xmlns:c15="http://schemas.microsoft.com/office/drawing/2012/chart" uri="{CE6537A1-D6FC-4f65-9D91-7224C49458BB}">
                <c15:layout/>
                <c15:showLeaderLines val="1"/>
                <c15:leaderLines>
                  <c:spPr>
                    <a:ln w="9525" cap="flat" cmpd="sng" algn="ctr">
                      <a:solidFill>
                        <a:srgbClr val="969696">
                          <a:alpha val="100000"/>
                        </a:srgbClr>
                      </a:solidFill>
                      <a:prstDash val="solid"/>
                      <a:round/>
                    </a:ln>
                  </c:spPr>
                </c15:leaderLines>
              </c:ext>
            </c:extLst>
          </c:dLbls>
          <c:cat>
            <c:strRef>
              <c:f>[藏中图表.xls]Sheet1!$G$1:$H$1</c:f>
              <c:strCache>
                <c:ptCount val="2"/>
                <c:pt idx="0">
                  <c:v>一般公共预算财政拨款收入</c:v>
                </c:pt>
                <c:pt idx="1">
                  <c:v>其他收入</c:v>
                </c:pt>
              </c:strCache>
            </c:strRef>
          </c:cat>
          <c:val>
            <c:numRef>
              <c:f>[藏中图表.xls]Sheet1!$G$2:$I$2</c:f>
              <c:numCache>
                <c:formatCode>General</c:formatCode>
                <c:ptCount val="3"/>
                <c:pt idx="0">
                  <c:v>5040.82</c:v>
                </c:pt>
                <c:pt idx="1">
                  <c:v>96.4</c:v>
                </c:pt>
              </c:numCache>
            </c:numRef>
          </c:val>
        </c:ser>
        <c:dLbls>
          <c:showLegendKey val="0"/>
          <c:showVal val="0"/>
          <c:showCatName val="0"/>
          <c:showSerName val="0"/>
          <c:showPercent val="0"/>
          <c:showBubbleSize val="0"/>
          <c:showLeaderLines val="1"/>
        </c:dLbls>
        <c:firstSliceAng val="0"/>
      </c:pieChart>
      <c:spPr>
        <a:noFill/>
        <a:ln w="3175">
          <a:noFill/>
        </a:ln>
      </c:spPr>
    </c:plotArea>
    <c:legend>
      <c:legendPos val="r"/>
      <c:legendEntry>
        <c:idx val="2"/>
        <c:delete val="1"/>
      </c:legendEntry>
      <c:layout>
        <c:manualLayout>
          <c:xMode val="edge"/>
          <c:yMode val="edge"/>
          <c:x val="0.647833101819697"/>
          <c:y val="0.435"/>
          <c:w val="0.32775"/>
          <c:h val="0.14075"/>
        </c:manualLayout>
      </c:layout>
      <c:overlay val="0"/>
      <c:spPr>
        <a:solidFill>
          <a:schemeClr val="lt1">
            <a:alpha val="50000"/>
          </a:schemeClr>
        </a:solidFill>
        <a:ln>
          <a:noFill/>
        </a:ln>
        <a:effectLst/>
      </c:spPr>
      <c:txPr>
        <a:bodyPr rot="0" spcFirstLastPara="0" vertOverflow="ellipsis" vert="horz" wrap="square" anchor="ctr" anchorCtr="1"/>
        <a:lstStyle/>
        <a:p>
          <a:pPr>
            <a:defRPr lang="zh-CN" sz="825" b="0" i="0" u="none" strike="noStrike" kern="1200" baseline="0">
              <a:solidFill>
                <a:srgbClr val="333333"/>
              </a:solidFill>
              <a:latin typeface="宋体" panose="02010600030101010101" charset="-122"/>
              <a:ea typeface="宋体" panose="02010600030101010101" charset="-122"/>
              <a:cs typeface="宋体" panose="02010600030101010101" charset="-122"/>
            </a:defRPr>
          </a:pPr>
        </a:p>
      </c:txPr>
    </c:legend>
    <c:plotVisOnly val="1"/>
    <c:dispBlanksAs val="gap"/>
    <c:showDLblsOverMax val="0"/>
  </c:chart>
  <c:spPr>
    <a:pattFill prst="dkDnDiag">
      <a:fgClr>
        <a:schemeClr val="lt1"/>
      </a:fgClr>
      <a:bgClr>
        <a:sysClr val="window" lastClr="FFFFFF"/>
      </a:bgClr>
    </a:pattFill>
    <a:ln w="9525" cap="flat" cmpd="sng" algn="ctr">
      <a:solidFill>
        <a:schemeClr val="dk1">
          <a:lumMod val="15000"/>
          <a:lumOff val="85000"/>
        </a:schemeClr>
      </a:solidFill>
      <a:prstDash val="solid"/>
      <a:round/>
    </a:ln>
    <a:effectLst/>
  </c:spPr>
  <c:txPr>
    <a:bodyPr rot="0" wrap="square" anchor="ctr" anchorCtr="1"/>
    <a:lstStyle/>
    <a:p>
      <a:pPr>
        <a:defRPr lang="zh-CN" sz="1000" b="0" i="0" u="none" strike="noStrike" baseline="0">
          <a:solidFill>
            <a:srgbClr val="000000">
              <a:alpha val="100000"/>
            </a:srgbClr>
          </a:solidFill>
          <a:latin typeface="宋体" panose="02010600030101010101" charset="-122"/>
          <a:ea typeface="宋体" panose="02010600030101010101" charset="-122"/>
          <a:cs typeface="宋体" panose="02010600030101010101" charset="-122"/>
        </a:defRPr>
      </a:pPr>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5"/>
    </mc:Choice>
    <mc:Fallback>
      <c:style val="5"/>
    </mc:Fallback>
  </mc:AlternateContent>
  <c:clrMapOvr bg1="lt1" tx1="dk1" bg2="lt2" tx2="dk2" accent1="accent1" accent2="accent2" accent3="accent3" accent4="accent4" accent5="accent5" accent6="accent6" hlink="hlink" folHlink="folHlink"/>
  <c:chart>
    <c:title>
      <c:tx>
        <c:rich>
          <a:bodyPr rot="0" spcFirstLastPara="0" vertOverflow="ellipsis" vert="horz" wrap="square" anchor="ctr" anchorCtr="1"/>
          <a:lstStyle/>
          <a:p>
            <a:pPr defTabSz="914400">
              <a:defRPr lang="zh-CN" sz="1400" b="1" i="0" u="none" strike="noStrike" kern="1200" baseline="0">
                <a:solidFill>
                  <a:srgbClr val="808080">
                    <a:alpha val="100000"/>
                  </a:srgbClr>
                </a:solidFill>
                <a:latin typeface="宋体" panose="02010600030101010101" charset="-122"/>
                <a:ea typeface="宋体" panose="02010600030101010101" charset="-122"/>
                <a:cs typeface="宋体" panose="02010600030101010101" charset="-122"/>
              </a:defRPr>
            </a:pPr>
            <a:r>
              <a:rPr lang="en-US" altLang="zh-CN" sz="1400" b="1" i="0" u="none" strike="noStrike" baseline="0">
                <a:solidFill>
                  <a:srgbClr val="808080"/>
                </a:solidFill>
                <a:latin typeface="宋体" panose="02010600030101010101" charset="-122"/>
                <a:ea typeface="宋体" panose="02010600030101010101" charset="-122"/>
                <a:cs typeface="宋体" panose="02010600030101010101" charset="-122"/>
              </a:rPr>
              <a:t>2025</a:t>
            </a:r>
            <a:r>
              <a:rPr altLang="en-US" sz="1400" b="1" i="0" u="none" strike="noStrike" baseline="0">
                <a:solidFill>
                  <a:srgbClr val="808080"/>
                </a:solidFill>
                <a:latin typeface="宋体" panose="02010600030101010101" charset="-122"/>
                <a:ea typeface="宋体" panose="02010600030101010101" charset="-122"/>
                <a:cs typeface="宋体" panose="02010600030101010101" charset="-122"/>
              </a:rPr>
              <a:t>年支出</a:t>
            </a:r>
            <a:r>
              <a:rPr sz="1400" b="1" i="0" u="none" strike="noStrike" baseline="0">
                <a:solidFill>
                  <a:srgbClr val="808080"/>
                </a:solidFill>
                <a:latin typeface="宋体" panose="02010600030101010101" charset="-122"/>
                <a:ea typeface="宋体" panose="02010600030101010101" charset="-122"/>
                <a:cs typeface="宋体" panose="02010600030101010101" charset="-122"/>
              </a:rPr>
              <a:t>决算结构图</a:t>
            </a:r>
            <a:endParaRPr sz="1200" b="0" i="0" u="none" strike="noStrike" baseline="0">
              <a:solidFill>
                <a:srgbClr val="000000"/>
              </a:solidFill>
              <a:latin typeface="宋体" panose="02010600030101010101" charset="-122"/>
              <a:ea typeface="宋体" panose="02010600030101010101" charset="-122"/>
              <a:cs typeface="宋体" panose="02010600030101010101" charset="-122"/>
            </a:endParaRPr>
          </a:p>
        </c:rich>
      </c:tx>
      <c:layout/>
      <c:overlay val="0"/>
    </c:title>
    <c:autoTitleDeleted val="0"/>
    <c:plotArea>
      <c:layout/>
      <c:pieChart>
        <c:varyColors val="1"/>
        <c:ser>
          <c:idx val="0"/>
          <c:order val="0"/>
          <c:spPr>
            <a:solidFill>
              <a:srgbClr val="5B9BD5">
                <a:lumMod val="75000"/>
              </a:srgbClr>
            </a:solidFill>
          </c:spPr>
          <c:explosion val="0"/>
          <c:dPt>
            <c:idx val="0"/>
            <c:bubble3D val="0"/>
            <c:explosion val="0"/>
            <c:spPr>
              <a:gradFill>
                <a:gsLst>
                  <a:gs pos="0">
                    <a:srgbClr val="14CD68"/>
                  </a:gs>
                  <a:gs pos="100000">
                    <a:srgbClr val="0B6E38"/>
                  </a:gs>
                </a:gsLst>
                <a:lin ang="5400000" scaled="0"/>
              </a:gradFill>
              <a:ln w="19050">
                <a:solidFill>
                  <a:srgbClr val="FFFFFF">
                    <a:alpha val="100000"/>
                  </a:srgbClr>
                </a:solidFill>
                <a:prstDash val="solid"/>
              </a:ln>
            </c:spPr>
          </c:dPt>
          <c:dPt>
            <c:idx val="1"/>
            <c:bubble3D val="0"/>
            <c:explosion val="0"/>
            <c:spPr>
              <a:solidFill>
                <a:srgbClr val="5B9BD5">
                  <a:lumMod val="75000"/>
                </a:srgbClr>
              </a:solidFill>
              <a:ln w="19050">
                <a:solidFill>
                  <a:srgbClr val="FFFFFF">
                    <a:alpha val="100000"/>
                  </a:srgbClr>
                </a:solidFill>
                <a:prstDash val="solid"/>
              </a:ln>
            </c:spPr>
          </c:dPt>
          <c:dLbls>
            <c:numFmt formatCode="General" sourceLinked="1"/>
            <c:spPr>
              <a:noFill/>
              <a:ln w="3175">
                <a:noFill/>
              </a:ln>
              <a:effectLst/>
            </c:spPr>
            <c:txPr>
              <a:bodyPr rot="0" spcFirstLastPara="0" vertOverflow="ellipsis" vert="horz" wrap="square" lIns="38100" tIns="19050" rIns="38100" bIns="19050" anchor="ctr" anchorCtr="1"/>
              <a:lstStyle/>
              <a:p>
                <a:pPr>
                  <a:defRPr lang="zh-CN" sz="900" b="0" i="0" u="none" strike="noStrike" kern="1200" baseline="0">
                    <a:solidFill>
                      <a:srgbClr val="333333">
                        <a:alpha val="100000"/>
                      </a:srgbClr>
                    </a:solidFill>
                    <a:latin typeface="宋体" panose="02010600030101010101" charset="-122"/>
                    <a:ea typeface="宋体" panose="02010600030101010101" charset="-122"/>
                    <a:cs typeface="宋体" panose="02010600030101010101" charset="-122"/>
                  </a:defRPr>
                </a:pPr>
              </a:p>
            </c:txPr>
            <c:dLblPos val="bestFit"/>
            <c:showLegendKey val="0"/>
            <c:showVal val="1"/>
            <c:showCatName val="0"/>
            <c:showSerName val="0"/>
            <c:showPercent val="0"/>
            <c:showBubbleSize val="0"/>
            <c:showLeaderLines val="1"/>
            <c:extLst>
              <c:ext xmlns:c15="http://schemas.microsoft.com/office/drawing/2012/chart" uri="{CE6537A1-D6FC-4f65-9D91-7224C49458BB}">
                <c15:layout/>
                <c15:showLeaderLines val="1"/>
                <c15:leaderLines>
                  <c:spPr>
                    <a:ln w="9525" cap="flat" cmpd="sng" algn="ctr">
                      <a:solidFill>
                        <a:srgbClr val="969696">
                          <a:alpha val="100000"/>
                        </a:srgbClr>
                      </a:solidFill>
                      <a:prstDash val="solid"/>
                      <a:round/>
                    </a:ln>
                  </c:spPr>
                </c15:leaderLines>
              </c:ext>
            </c:extLst>
          </c:dLbls>
          <c:cat>
            <c:strRef>
              <c:f>[藏中图表.xls]Sheet1!$A$22:$B$22</c:f>
              <c:strCache>
                <c:ptCount val="2"/>
                <c:pt idx="0">
                  <c:v>基本支出</c:v>
                </c:pt>
                <c:pt idx="1">
                  <c:v>项目支出</c:v>
                </c:pt>
              </c:strCache>
            </c:strRef>
          </c:cat>
          <c:val>
            <c:numRef>
              <c:f>[藏中图表.xls]Sheet1!$A$23:$B$23</c:f>
              <c:numCache>
                <c:formatCode>General</c:formatCode>
                <c:ptCount val="2"/>
                <c:pt idx="0">
                  <c:v>4387.36</c:v>
                </c:pt>
                <c:pt idx="1">
                  <c:v>749.86</c:v>
                </c:pt>
              </c:numCache>
            </c:numRef>
          </c:val>
        </c:ser>
        <c:dLbls>
          <c:showLegendKey val="0"/>
          <c:showVal val="0"/>
          <c:showCatName val="0"/>
          <c:showSerName val="0"/>
          <c:showPercent val="0"/>
          <c:showBubbleSize val="0"/>
          <c:showLeaderLines val="1"/>
        </c:dLbls>
        <c:firstSliceAng val="0"/>
      </c:pieChart>
      <c:spPr>
        <a:noFill/>
        <a:ln w="3175">
          <a:noFill/>
        </a:ln>
      </c:spPr>
    </c:plotArea>
    <c:legend>
      <c:legendPos val="r"/>
      <c:layout>
        <c:manualLayout>
          <c:xMode val="edge"/>
          <c:yMode val="edge"/>
          <c:x val="0.818"/>
          <c:y val="0.499"/>
          <c:w val="0.09375"/>
          <c:h val="0.4135"/>
        </c:manualLayout>
      </c:layout>
      <c:overlay val="0"/>
      <c:spPr>
        <a:solidFill>
          <a:schemeClr val="lt1">
            <a:alpha val="50000"/>
          </a:schemeClr>
        </a:solidFill>
        <a:ln>
          <a:noFill/>
        </a:ln>
        <a:effectLst/>
      </c:spPr>
      <c:txPr>
        <a:bodyPr rot="0" spcFirstLastPara="0" vertOverflow="ellipsis" vert="horz" wrap="square" anchor="ctr" anchorCtr="1"/>
        <a:lstStyle/>
        <a:p>
          <a:pPr>
            <a:defRPr lang="zh-CN" sz="825" b="0" i="0" u="none" strike="noStrike" kern="1200" baseline="0">
              <a:solidFill>
                <a:srgbClr val="333333"/>
              </a:solidFill>
              <a:latin typeface="宋体" panose="02010600030101010101" charset="-122"/>
              <a:ea typeface="宋体" panose="02010600030101010101" charset="-122"/>
              <a:cs typeface="宋体" panose="02010600030101010101" charset="-122"/>
            </a:defRPr>
          </a:pPr>
        </a:p>
      </c:txPr>
    </c:legend>
    <c:plotVisOnly val="1"/>
    <c:dispBlanksAs val="gap"/>
    <c:showDLblsOverMax val="0"/>
  </c:chart>
  <c:spPr>
    <a:pattFill prst="dkDnDiag">
      <a:fgClr>
        <a:schemeClr val="lt1"/>
      </a:fgClr>
      <a:bgClr>
        <a:sysClr val="window" lastClr="FFFFFF"/>
      </a:bgClr>
    </a:pattFill>
    <a:ln w="9525" cap="flat" cmpd="sng" algn="ctr">
      <a:solidFill>
        <a:schemeClr val="dk1">
          <a:lumMod val="15000"/>
          <a:lumOff val="85000"/>
        </a:schemeClr>
      </a:solidFill>
      <a:prstDash val="solid"/>
      <a:round/>
    </a:ln>
    <a:effectLst/>
  </c:spPr>
  <c:txPr>
    <a:bodyPr rot="0" wrap="square" anchor="ctr" anchorCtr="1"/>
    <a:lstStyle/>
    <a:p>
      <a:pPr>
        <a:defRPr lang="zh-CN" sz="1000" b="0" i="0" u="none" strike="noStrike" baseline="0">
          <a:solidFill>
            <a:srgbClr val="000000">
              <a:alpha val="100000"/>
            </a:srgbClr>
          </a:solidFill>
          <a:latin typeface="宋体" panose="02010600030101010101" charset="-122"/>
          <a:ea typeface="宋体" panose="02010600030101010101" charset="-122"/>
          <a:cs typeface="宋体" panose="02010600030101010101" charset="-122"/>
        </a:defRPr>
      </a:pPr>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0" vertOverflow="ellipsis" vert="horz" wrap="square" anchor="ctr" anchorCtr="1"/>
          <a:lstStyle/>
          <a:p>
            <a:pPr defTabSz="914400">
              <a:defRPr lang="zh-CN" sz="1200" b="0" i="0" u="none" strike="noStrike" kern="1200" baseline="0">
                <a:solidFill>
                  <a:srgbClr val="000000">
                    <a:alpha val="100000"/>
                  </a:srgbClr>
                </a:solidFill>
                <a:latin typeface="宋体" panose="02010600030101010101" charset="-122"/>
                <a:ea typeface="宋体" panose="02010600030101010101" charset="-122"/>
                <a:cs typeface="宋体" panose="02010600030101010101" charset="-122"/>
              </a:defRPr>
            </a:pPr>
            <a:r>
              <a:t>财政拨款收、支决算总计变动情况图</a:t>
            </a:r>
            <a:endParaRPr sz="1200" b="0" i="0" u="none" strike="noStrike" baseline="0">
              <a:solidFill>
                <a:srgbClr val="000000">
                  <a:alpha val="100000"/>
                </a:srgbClr>
              </a:solidFill>
              <a:latin typeface="宋体" panose="02010600030101010101" charset="-122"/>
              <a:ea typeface="宋体" panose="02010600030101010101" charset="-122"/>
              <a:cs typeface="宋体" panose="02010600030101010101" charset="-122"/>
            </a:endParaRPr>
          </a:p>
        </c:rich>
      </c:tx>
      <c:layout>
        <c:manualLayout>
          <c:xMode val="edge"/>
          <c:yMode val="edge"/>
          <c:x val="0.328230460725814"/>
          <c:y val="0.022002200220022"/>
        </c:manualLayout>
      </c:layout>
      <c:overlay val="0"/>
    </c:title>
    <c:autoTitleDeleted val="0"/>
    <c:plotArea>
      <c:layout>
        <c:manualLayout>
          <c:layoutTarget val="inner"/>
          <c:xMode val="edge"/>
          <c:yMode val="edge"/>
          <c:x val="0.150798722044728"/>
          <c:y val="0.199074074074074"/>
          <c:w val="0.835310459786081"/>
          <c:h val="0.595"/>
        </c:manualLayout>
      </c:layout>
      <c:barChart>
        <c:barDir val="col"/>
        <c:grouping val="clustered"/>
        <c:varyColors val="0"/>
        <c:ser>
          <c:idx val="0"/>
          <c:order val="0"/>
          <c:tx>
            <c:strRef>
              <c:f>[藏中图表.xls]Sheet1!$A$2</c:f>
              <c:strCache>
                <c:ptCount val="1"/>
                <c:pt idx="0">
                  <c:v>2024年</c:v>
                </c:pt>
              </c:strCache>
            </c:strRef>
          </c:tx>
          <c:spPr>
            <a:solidFill>
              <a:srgbClr val="5B9BD5">
                <a:alpha val="100000"/>
              </a:srgbClr>
            </a:solidFill>
            <a:ln w="3175">
              <a:noFill/>
            </a:ln>
          </c:spPr>
          <c:invertIfNegative val="0"/>
          <c:dLbls>
            <c:numFmt formatCode="General" sourceLinked="1"/>
            <c:spPr>
              <a:noFill/>
              <a:ln w="3175">
                <a:noFill/>
              </a:ln>
              <a:effectLst/>
            </c:spPr>
            <c:txPr>
              <a:bodyPr rot="0" spcFirstLastPara="0" vertOverflow="ellipsis" vert="horz" wrap="square" lIns="38100" tIns="19050" rIns="38100" bIns="19050" anchor="ctr" anchorCtr="1"/>
              <a:lstStyle/>
              <a:p>
                <a:pPr>
                  <a:defRPr lang="zh-CN" sz="900" b="0" i="0" u="none" strike="noStrike" kern="1200" baseline="0">
                    <a:solidFill>
                      <a:srgbClr val="FFFFFF">
                        <a:alpha val="100000"/>
                      </a:srgbClr>
                    </a:solidFill>
                    <a:latin typeface="宋体" panose="02010600030101010101" charset="-122"/>
                    <a:ea typeface="宋体" panose="02010600030101010101" charset="-122"/>
                    <a:cs typeface="宋体" panose="02010600030101010101" charset="-122"/>
                  </a:defRPr>
                </a:pPr>
              </a:p>
            </c:txPr>
            <c:dLblPos val="inEnd"/>
            <c:showLegendKey val="0"/>
            <c:showVal val="1"/>
            <c:showCatName val="0"/>
            <c:showSerName val="0"/>
            <c:showPercent val="0"/>
            <c:showBubbleSize val="0"/>
            <c:showLeaderLines val="0"/>
            <c:extLst>
              <c:ext xmlns:c15="http://schemas.microsoft.com/office/drawing/2012/chart" uri="{CE6537A1-D6FC-4f65-9D91-7224C49458BB}">
                <c15:layout/>
                <c15:showLeaderLines val="0"/>
                <c15:leaderLines/>
              </c:ext>
            </c:extLst>
          </c:dLbls>
          <c:cat>
            <c:strRef>
              <c:f>[藏中图表.xls]Sheet1!$B$1:$C$1</c:f>
              <c:strCache>
                <c:ptCount val="2"/>
                <c:pt idx="0">
                  <c:v>收入（万元）</c:v>
                </c:pt>
                <c:pt idx="1">
                  <c:v>   支出（万元）</c:v>
                </c:pt>
              </c:strCache>
            </c:strRef>
          </c:cat>
          <c:val>
            <c:numRef>
              <c:f>[藏中图表.xls]Sheet1!$B$2:$C$2</c:f>
              <c:numCache>
                <c:formatCode>#,##0.00</c:formatCode>
                <c:ptCount val="2"/>
                <c:pt idx="0">
                  <c:v>4454.94</c:v>
                </c:pt>
                <c:pt idx="1">
                  <c:v>4454.94</c:v>
                </c:pt>
              </c:numCache>
            </c:numRef>
          </c:val>
        </c:ser>
        <c:ser>
          <c:idx val="1"/>
          <c:order val="1"/>
          <c:tx>
            <c:strRef>
              <c:f>[藏中图表.xls]Sheet1!$A$3</c:f>
              <c:strCache>
                <c:ptCount val="1"/>
                <c:pt idx="0">
                  <c:v>2025年</c:v>
                </c:pt>
              </c:strCache>
            </c:strRef>
          </c:tx>
          <c:spPr>
            <a:solidFill>
              <a:srgbClr val="ED7D31">
                <a:alpha val="100000"/>
              </a:srgbClr>
            </a:solidFill>
            <a:ln w="3175">
              <a:noFill/>
            </a:ln>
          </c:spPr>
          <c:invertIfNegative val="0"/>
          <c:dLbls>
            <c:numFmt formatCode="General" sourceLinked="1"/>
            <c:spPr>
              <a:noFill/>
              <a:ln w="3175">
                <a:noFill/>
              </a:ln>
              <a:effectLst/>
            </c:spPr>
            <c:txPr>
              <a:bodyPr rot="0" spcFirstLastPara="0" vertOverflow="ellipsis" vert="horz" wrap="square" lIns="38100" tIns="19050" rIns="38100" bIns="19050" anchor="ctr" anchorCtr="1"/>
              <a:lstStyle/>
              <a:p>
                <a:pPr>
                  <a:defRPr lang="zh-CN" sz="900" b="0" i="0" u="none" strike="noStrike" kern="1200" baseline="0">
                    <a:solidFill>
                      <a:srgbClr val="FFFFFF">
                        <a:alpha val="100000"/>
                      </a:srgbClr>
                    </a:solidFill>
                    <a:latin typeface="宋体" panose="02010600030101010101" charset="-122"/>
                    <a:ea typeface="宋体" panose="02010600030101010101" charset="-122"/>
                    <a:cs typeface="宋体" panose="02010600030101010101" charset="-122"/>
                  </a:defRPr>
                </a:pPr>
              </a:p>
            </c:txPr>
            <c:dLblPos val="inEnd"/>
            <c:showLegendKey val="0"/>
            <c:showVal val="1"/>
            <c:showCatName val="0"/>
            <c:showSerName val="0"/>
            <c:showPercent val="0"/>
            <c:showBubbleSize val="0"/>
            <c:showLeaderLines val="0"/>
            <c:extLst>
              <c:ext xmlns:c15="http://schemas.microsoft.com/office/drawing/2012/chart" uri="{CE6537A1-D6FC-4f65-9D91-7224C49458BB}">
                <c15:layout/>
                <c15:showLeaderLines val="0"/>
                <c15:leaderLines/>
              </c:ext>
            </c:extLst>
          </c:dLbls>
          <c:cat>
            <c:strRef>
              <c:f>[藏中图表.xls]Sheet1!$B$1:$C$1</c:f>
              <c:strCache>
                <c:ptCount val="2"/>
                <c:pt idx="0">
                  <c:v>收入（万元）</c:v>
                </c:pt>
                <c:pt idx="1">
                  <c:v>   支出（万元）</c:v>
                </c:pt>
              </c:strCache>
            </c:strRef>
          </c:cat>
          <c:val>
            <c:numRef>
              <c:f>[藏中图表.xls]Sheet1!$B$3:$C$3</c:f>
              <c:numCache>
                <c:formatCode>#,##0.00</c:formatCode>
                <c:ptCount val="2"/>
                <c:pt idx="0">
                  <c:v>5040.82</c:v>
                </c:pt>
                <c:pt idx="1">
                  <c:v>5040.82</c:v>
                </c:pt>
              </c:numCache>
            </c:numRef>
          </c:val>
        </c:ser>
        <c:dLbls>
          <c:showLegendKey val="0"/>
          <c:showVal val="0"/>
          <c:showCatName val="0"/>
          <c:showSerName val="0"/>
          <c:showPercent val="0"/>
          <c:showBubbleSize val="0"/>
        </c:dLbls>
        <c:gapWidth val="219"/>
        <c:overlap val="-10"/>
        <c:axId val="776495744"/>
        <c:axId val="439114906"/>
      </c:barChart>
      <c:catAx>
        <c:axId val="776495744"/>
        <c:scaling>
          <c:orientation val="minMax"/>
        </c:scaling>
        <c:delete val="0"/>
        <c:axPos val="b"/>
        <c:majorTickMark val="none"/>
        <c:minorTickMark val="none"/>
        <c:tickLblPos val="nextTo"/>
        <c:spPr>
          <a:noFill/>
          <a:ln w="9525" cap="flat" cmpd="sng" algn="ctr">
            <a:solidFill>
              <a:schemeClr val="bg1">
                <a:lumMod val="95000"/>
              </a:schemeClr>
            </a:solidFill>
            <a:prstDash val="solid"/>
            <a:round/>
          </a:ln>
          <a:effectLst/>
        </c:spPr>
        <c:txPr>
          <a:bodyPr rot="0" spcFirstLastPara="0" vertOverflow="ellipsis" vert="horz" wrap="square" anchor="ctr" anchorCtr="1"/>
          <a:lstStyle/>
          <a:p>
            <a:pPr>
              <a:defRPr lang="zh-CN" sz="900" b="0" i="0" u="none" strike="noStrike" kern="1200" baseline="0">
                <a:solidFill>
                  <a:srgbClr val="333333">
                    <a:alpha val="100000"/>
                  </a:srgbClr>
                </a:solidFill>
                <a:latin typeface="微软雅黑" panose="020B0503020204020204" pitchFamily="2" charset="-122"/>
                <a:ea typeface="微软雅黑" panose="020B0503020204020204" pitchFamily="2" charset="-122"/>
                <a:cs typeface="微软雅黑" panose="020B0503020204020204" pitchFamily="2" charset="-122"/>
              </a:defRPr>
            </a:pPr>
          </a:p>
        </c:txPr>
        <c:crossAx val="439114906"/>
        <c:crosses val="autoZero"/>
        <c:auto val="1"/>
        <c:lblAlgn val="ctr"/>
        <c:lblOffset val="100"/>
        <c:noMultiLvlLbl val="0"/>
      </c:catAx>
      <c:valAx>
        <c:axId val="439114906"/>
        <c:scaling>
          <c:orientation val="minMax"/>
        </c:scaling>
        <c:delete val="0"/>
        <c:axPos val="l"/>
        <c:majorGridlines>
          <c:spPr>
            <a:ln w="9525" cap="flat" cmpd="sng" algn="ctr">
              <a:solidFill>
                <a:schemeClr val="bg1">
                  <a:lumMod val="95000"/>
                </a:schemeClr>
              </a:solidFill>
              <a:prstDash val="solid"/>
              <a:round/>
            </a:ln>
            <a:effectLst/>
          </c:spPr>
        </c:majorGridlines>
        <c:numFmt formatCode="#,##0.00" sourceLinked="1"/>
        <c:majorTickMark val="none"/>
        <c:minorTickMark val="none"/>
        <c:tickLblPos val="nextTo"/>
        <c:spPr>
          <a:ln w="3175" cap="flat" cmpd="sng" algn="ctr">
            <a:noFill/>
            <a:prstDash val="solid"/>
            <a:round/>
          </a:ln>
        </c:spPr>
        <c:txPr>
          <a:bodyPr rot="0" spcFirstLastPara="0" vertOverflow="ellipsis" vert="horz" wrap="square" anchor="ctr" anchorCtr="1"/>
          <a:lstStyle/>
          <a:p>
            <a:pPr>
              <a:defRPr lang="zh-CN" sz="900" b="0" i="0" u="none" strike="noStrike" kern="1200" baseline="0">
                <a:solidFill>
                  <a:srgbClr val="333333">
                    <a:alpha val="100000"/>
                  </a:srgbClr>
                </a:solidFill>
                <a:latin typeface="宋体" panose="02010600030101010101" charset="-122"/>
                <a:ea typeface="宋体" panose="02010600030101010101" charset="-122"/>
                <a:cs typeface="宋体" panose="02010600030101010101" charset="-122"/>
              </a:defRPr>
            </a:pPr>
          </a:p>
        </c:txPr>
        <c:crossAx val="776495744"/>
        <c:crosses val="autoZero"/>
        <c:crossBetween val="between"/>
      </c:valAx>
      <c:spPr>
        <a:noFill/>
        <a:ln w="3175">
          <a:noFill/>
        </a:ln>
      </c:spPr>
    </c:plotArea>
    <c:legend>
      <c:legendPos val="r"/>
      <c:layout>
        <c:manualLayout>
          <c:xMode val="edge"/>
          <c:yMode val="edge"/>
          <c:x val="0.3085"/>
          <c:y val="0.90325"/>
          <c:w val="0.37"/>
          <c:h val="0.07025"/>
        </c:manualLayout>
      </c:layout>
      <c:overlay val="0"/>
      <c:spPr>
        <a:noFill/>
        <a:ln w="3175">
          <a:noFill/>
        </a:ln>
      </c:spPr>
      <c:txPr>
        <a:bodyPr rot="0" spcFirstLastPara="0" vertOverflow="ellipsis" vert="horz" wrap="square" anchor="ctr" anchorCtr="1"/>
        <a:lstStyle/>
        <a:p>
          <a:pPr>
            <a:defRPr lang="zh-CN" sz="825" b="0" i="0" u="none" strike="noStrike" kern="1200" baseline="0">
              <a:solidFill>
                <a:srgbClr val="333333"/>
              </a:solidFill>
              <a:latin typeface="微软雅黑" panose="020B0503020204020204" pitchFamily="2" charset="-122"/>
              <a:ea typeface="微软雅黑" panose="020B0503020204020204" pitchFamily="2" charset="-122"/>
              <a:cs typeface="微软雅黑" panose="020B0503020204020204" pitchFamily="2" charset="-122"/>
            </a:defRPr>
          </a:pPr>
        </a:p>
      </c:txPr>
    </c:legend>
    <c:plotVisOnly val="1"/>
    <c:dispBlanksAs val="gap"/>
    <c:showDLblsOverMax val="0"/>
  </c:chart>
  <c:spPr>
    <a:solidFill>
      <a:schemeClr val="bg1"/>
    </a:solidFill>
    <a:ln w="9525" cap="flat" cmpd="sng" algn="ctr">
      <a:solidFill>
        <a:schemeClr val="bg1">
          <a:lumMod val="95000"/>
        </a:schemeClr>
      </a:solidFill>
      <a:prstDash val="solid"/>
      <a:round/>
    </a:ln>
    <a:effectLst/>
  </c:spPr>
  <c:txPr>
    <a:bodyPr rot="0" wrap="square" anchor="ctr" anchorCtr="1"/>
    <a:lstStyle/>
    <a:p>
      <a:pPr>
        <a:defRPr lang="zh-CN" sz="1000" b="0" i="0" u="none" strike="noStrike" baseline="0">
          <a:solidFill>
            <a:srgbClr val="000000">
              <a:alpha val="100000"/>
            </a:srgbClr>
          </a:solidFill>
          <a:latin typeface="宋体" panose="02010600030101010101" charset="-122"/>
          <a:ea typeface="宋体" panose="02010600030101010101" charset="-122"/>
          <a:cs typeface="宋体" panose="02010600030101010101" charset="-122"/>
        </a:defRPr>
      </a:pPr>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0" vertOverflow="ellipsis" vert="horz" wrap="square" anchor="ctr" anchorCtr="1"/>
          <a:lstStyle/>
          <a:p>
            <a:pPr defTabSz="914400">
              <a:defRPr lang="zh-CN" sz="1400" b="0" i="0" u="none" strike="noStrike" kern="1200" baseline="0">
                <a:solidFill>
                  <a:srgbClr val="333333">
                    <a:alpha val="100000"/>
                  </a:srgbClr>
                </a:solidFill>
                <a:latin typeface="微软雅黑" panose="020B0503020204020204" pitchFamily="2" charset="-122"/>
                <a:ea typeface="微软雅黑" panose="020B0503020204020204" pitchFamily="2" charset="-122"/>
                <a:cs typeface="微软雅黑" panose="020B0503020204020204" pitchFamily="2" charset="-122"/>
              </a:defRPr>
            </a:pPr>
            <a:r>
              <a:t>一般公共预算财政拨款支出决算变动情况</a:t>
            </a:r>
            <a:endParaRPr sz="1400" b="0" i="0" u="none" strike="noStrike" baseline="0">
              <a:solidFill>
                <a:srgbClr val="333333">
                  <a:alpha val="100000"/>
                </a:srgbClr>
              </a:solidFill>
              <a:latin typeface="微软雅黑" panose="020B0503020204020204" pitchFamily="2" charset="-122"/>
              <a:ea typeface="微软雅黑" panose="020B0503020204020204" pitchFamily="2" charset="-122"/>
              <a:cs typeface="微软雅黑" panose="020B0503020204020204" pitchFamily="2" charset="-122"/>
            </a:endParaRPr>
          </a:p>
        </c:rich>
      </c:tx>
      <c:layout/>
      <c:overlay val="0"/>
      <c:spPr>
        <a:noFill/>
        <a:ln w="3175">
          <a:noFill/>
        </a:ln>
      </c:spPr>
    </c:title>
    <c:autoTitleDeleted val="0"/>
    <c:plotArea>
      <c:layout/>
      <c:barChart>
        <c:barDir val="col"/>
        <c:grouping val="clustered"/>
        <c:varyColors val="0"/>
        <c:ser>
          <c:idx val="0"/>
          <c:order val="0"/>
          <c:tx>
            <c:strRef>
              <c:f>[藏中图表.xls]Sheet1!$A$44</c:f>
              <c:strCache>
                <c:ptCount val="1"/>
                <c:pt idx="0">
                  <c:v>一般公共预算财政拨款支出</c:v>
                </c:pt>
              </c:strCache>
            </c:strRef>
          </c:tx>
          <c:spPr>
            <a:solidFill>
              <a:srgbClr val="5B9BD5">
                <a:alpha val="100000"/>
              </a:srgbClr>
            </a:solidFill>
            <a:ln w="3175">
              <a:noFill/>
            </a:ln>
          </c:spPr>
          <c:invertIfNegative val="0"/>
          <c:dLbls>
            <c:numFmt formatCode="General" sourceLinked="1"/>
            <c:spPr>
              <a:noFill/>
              <a:ln w="3175">
                <a:noFill/>
              </a:ln>
              <a:effectLst/>
            </c:spPr>
            <c:txPr>
              <a:bodyPr rot="0" spcFirstLastPara="0" vertOverflow="ellipsis" vert="horz" wrap="square" lIns="38100" tIns="19050" rIns="38100" bIns="19050" anchor="ctr" anchorCtr="1"/>
              <a:lstStyle/>
              <a:p>
                <a:pPr>
                  <a:defRPr lang="zh-CN" sz="900" b="0" i="0" u="none" strike="noStrike" kern="1200" baseline="0">
                    <a:solidFill>
                      <a:srgbClr val="FFFFFF">
                        <a:alpha val="100000"/>
                      </a:srgbClr>
                    </a:solidFill>
                    <a:latin typeface="宋体" panose="02010600030101010101" charset="-122"/>
                    <a:ea typeface="宋体" panose="02010600030101010101" charset="-122"/>
                    <a:cs typeface="宋体" panose="02010600030101010101" charset="-122"/>
                  </a:defRPr>
                </a:pPr>
              </a:p>
            </c:txPr>
            <c:dLblPos val="inEnd"/>
            <c:showLegendKey val="0"/>
            <c:showVal val="1"/>
            <c:showCatName val="0"/>
            <c:showSerName val="0"/>
            <c:showPercent val="0"/>
            <c:showBubbleSize val="0"/>
            <c:showLeaderLines val="0"/>
            <c:extLst>
              <c:ext xmlns:c15="http://schemas.microsoft.com/office/drawing/2012/chart" uri="{CE6537A1-D6FC-4f65-9D91-7224C49458BB}">
                <c15:layout/>
                <c15:showLeaderLines val="0"/>
                <c15:leaderLines/>
              </c:ext>
            </c:extLst>
          </c:dLbls>
          <c:cat>
            <c:strRef>
              <c:f>[藏中图表.xls]Sheet1!$B$43:$C$43</c:f>
              <c:strCache>
                <c:ptCount val="2"/>
                <c:pt idx="0">
                  <c:v>2024年</c:v>
                </c:pt>
                <c:pt idx="1">
                  <c:v>2025年</c:v>
                </c:pt>
              </c:strCache>
            </c:strRef>
          </c:cat>
          <c:val>
            <c:numRef>
              <c:f>[藏中图表.xls]Sheet1!$B$44:$C$44</c:f>
              <c:numCache>
                <c:formatCode>#,##0.00</c:formatCode>
                <c:ptCount val="2"/>
                <c:pt idx="0">
                  <c:v>4454.94</c:v>
                </c:pt>
                <c:pt idx="1">
                  <c:v>5040.82</c:v>
                </c:pt>
              </c:numCache>
            </c:numRef>
          </c:val>
        </c:ser>
        <c:dLbls>
          <c:showLegendKey val="0"/>
          <c:showVal val="0"/>
          <c:showCatName val="0"/>
          <c:showSerName val="0"/>
          <c:showPercent val="0"/>
          <c:showBubbleSize val="0"/>
        </c:dLbls>
        <c:gapWidth val="219"/>
        <c:overlap val="-10"/>
        <c:axId val="329946108"/>
        <c:axId val="340401634"/>
      </c:barChart>
      <c:catAx>
        <c:axId val="329946108"/>
        <c:scaling>
          <c:orientation val="minMax"/>
        </c:scaling>
        <c:delete val="0"/>
        <c:axPos val="b"/>
        <c:majorTickMark val="none"/>
        <c:minorTickMark val="none"/>
        <c:tickLblPos val="nextTo"/>
        <c:spPr>
          <a:noFill/>
          <a:ln w="9525" cap="flat" cmpd="sng" algn="ctr">
            <a:solidFill>
              <a:schemeClr val="bg1">
                <a:lumMod val="95000"/>
              </a:schemeClr>
            </a:solidFill>
            <a:prstDash val="solid"/>
            <a:round/>
          </a:ln>
          <a:effectLst/>
        </c:spPr>
        <c:txPr>
          <a:bodyPr rot="0" spcFirstLastPara="0" vertOverflow="ellipsis" vert="horz" wrap="square" anchor="ctr" anchorCtr="1"/>
          <a:lstStyle/>
          <a:p>
            <a:pPr>
              <a:defRPr lang="zh-CN" sz="900" b="0" i="0" u="none" strike="noStrike" kern="1200" baseline="0">
                <a:solidFill>
                  <a:srgbClr val="333333">
                    <a:alpha val="100000"/>
                  </a:srgbClr>
                </a:solidFill>
                <a:latin typeface="微软雅黑" panose="020B0503020204020204" pitchFamily="2" charset="-122"/>
                <a:ea typeface="微软雅黑" panose="020B0503020204020204" pitchFamily="2" charset="-122"/>
                <a:cs typeface="微软雅黑" panose="020B0503020204020204" pitchFamily="2" charset="-122"/>
              </a:defRPr>
            </a:pPr>
          </a:p>
        </c:txPr>
        <c:crossAx val="340401634"/>
        <c:crosses val="autoZero"/>
        <c:auto val="1"/>
        <c:lblAlgn val="ctr"/>
        <c:lblOffset val="100"/>
        <c:noMultiLvlLbl val="0"/>
      </c:catAx>
      <c:valAx>
        <c:axId val="340401634"/>
        <c:scaling>
          <c:orientation val="minMax"/>
        </c:scaling>
        <c:delete val="0"/>
        <c:axPos val="l"/>
        <c:majorGridlines>
          <c:spPr>
            <a:ln w="9525" cap="flat" cmpd="sng" algn="ctr">
              <a:solidFill>
                <a:schemeClr val="bg1">
                  <a:lumMod val="95000"/>
                </a:schemeClr>
              </a:solidFill>
              <a:prstDash val="solid"/>
              <a:round/>
            </a:ln>
            <a:effectLst/>
          </c:spPr>
        </c:majorGridlines>
        <c:numFmt formatCode="#,##0.00" sourceLinked="1"/>
        <c:majorTickMark val="none"/>
        <c:minorTickMark val="none"/>
        <c:tickLblPos val="nextTo"/>
        <c:spPr>
          <a:ln w="3175" cap="flat" cmpd="sng" algn="ctr">
            <a:noFill/>
            <a:prstDash val="solid"/>
            <a:round/>
          </a:ln>
        </c:spPr>
        <c:txPr>
          <a:bodyPr rot="0" spcFirstLastPara="0" vertOverflow="ellipsis" vert="horz" wrap="square" anchor="ctr" anchorCtr="1"/>
          <a:lstStyle/>
          <a:p>
            <a:pPr>
              <a:defRPr lang="zh-CN" sz="900" b="0" i="0" u="none" strike="noStrike" kern="1200" baseline="0">
                <a:solidFill>
                  <a:srgbClr val="333333">
                    <a:alpha val="100000"/>
                  </a:srgbClr>
                </a:solidFill>
                <a:latin typeface="宋体" panose="02010600030101010101" charset="-122"/>
                <a:ea typeface="宋体" panose="02010600030101010101" charset="-122"/>
                <a:cs typeface="宋体" panose="02010600030101010101" charset="-122"/>
              </a:defRPr>
            </a:pPr>
          </a:p>
        </c:txPr>
        <c:crossAx val="329946108"/>
        <c:crosses val="autoZero"/>
        <c:crossBetween val="between"/>
      </c:valAx>
      <c:spPr>
        <a:noFill/>
        <a:ln w="3175">
          <a:noFill/>
        </a:ln>
      </c:spPr>
    </c:plotArea>
    <c:plotVisOnly val="1"/>
    <c:dispBlanksAs val="gap"/>
    <c:showDLblsOverMax val="0"/>
  </c:chart>
  <c:spPr>
    <a:solidFill>
      <a:schemeClr val="bg1"/>
    </a:solidFill>
    <a:ln w="9525" cap="flat" cmpd="sng" algn="ctr">
      <a:solidFill>
        <a:schemeClr val="bg1">
          <a:lumMod val="95000"/>
        </a:schemeClr>
      </a:solidFill>
      <a:prstDash val="solid"/>
      <a:round/>
    </a:ln>
    <a:effectLst/>
  </c:spPr>
  <c:txPr>
    <a:bodyPr rot="0" wrap="square" anchor="ctr" anchorCtr="1"/>
    <a:lstStyle/>
    <a:p>
      <a:pPr>
        <a:defRPr lang="zh-CN" sz="1000" b="0" i="0" u="none" strike="noStrike" baseline="0">
          <a:solidFill>
            <a:srgbClr val="000000">
              <a:alpha val="100000"/>
            </a:srgbClr>
          </a:solidFill>
          <a:latin typeface="宋体" panose="02010600030101010101" charset="-122"/>
          <a:ea typeface="宋体" panose="02010600030101010101" charset="-122"/>
          <a:cs typeface="宋体" panose="02010600030101010101" charset="-122"/>
        </a:defRPr>
      </a:pPr>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5"/>
    </mc:Choice>
    <mc:Fallback>
      <c:style val="5"/>
    </mc:Fallback>
  </mc:AlternateContent>
  <c:clrMapOvr bg1="lt1" tx1="dk1" bg2="lt2" tx2="dk2" accent1="accent1" accent2="accent2" accent3="accent3" accent4="accent4" accent5="accent5" accent6="accent6" hlink="hlink" folHlink="folHlink"/>
  <c:chart>
    <c:title>
      <c:tx>
        <c:rich>
          <a:bodyPr rot="0" spcFirstLastPara="0" vertOverflow="ellipsis" vert="horz" wrap="square" anchor="ctr" anchorCtr="1"/>
          <a:lstStyle/>
          <a:p>
            <a:pPr defTabSz="914400">
              <a:defRPr lang="zh-CN" sz="1400" b="1" i="0" u="none" strike="noStrike" kern="1200" baseline="0">
                <a:solidFill>
                  <a:srgbClr val="808080">
                    <a:alpha val="100000"/>
                  </a:srgbClr>
                </a:solidFill>
                <a:latin typeface="宋体" panose="02010600030101010101" charset="-122"/>
                <a:ea typeface="宋体" panose="02010600030101010101" charset="-122"/>
                <a:cs typeface="宋体" panose="02010600030101010101" charset="-122"/>
              </a:defRPr>
            </a:pPr>
            <a:r>
              <a:t>一般公共预算财政拨款支出决算结构</a:t>
            </a:r>
            <a:endParaRPr sz="1400" b="1" i="0" u="none" strike="noStrike" baseline="0">
              <a:solidFill>
                <a:srgbClr val="808080">
                  <a:alpha val="100000"/>
                </a:srgbClr>
              </a:solidFill>
              <a:latin typeface="宋体" panose="02010600030101010101" charset="-122"/>
              <a:ea typeface="宋体" panose="02010600030101010101" charset="-122"/>
              <a:cs typeface="宋体" panose="02010600030101010101" charset="-122"/>
            </a:endParaRPr>
          </a:p>
        </c:rich>
      </c:tx>
      <c:layout>
        <c:manualLayout>
          <c:xMode val="edge"/>
          <c:yMode val="edge"/>
          <c:x val="0.180972222222222"/>
          <c:y val="0.901851851851852"/>
        </c:manualLayout>
      </c:layout>
      <c:overlay val="0"/>
      <c:spPr>
        <a:noFill/>
        <a:ln w="3175">
          <a:noFill/>
        </a:ln>
      </c:spPr>
    </c:title>
    <c:autoTitleDeleted val="0"/>
    <c:plotArea>
      <c:layout/>
      <c:pieChart>
        <c:varyColors val="1"/>
        <c:ser>
          <c:idx val="0"/>
          <c:order val="0"/>
          <c:explosion val="0"/>
          <c:dPt>
            <c:idx val="0"/>
            <c:bubble3D val="0"/>
            <c:explosion val="0"/>
            <c:spPr>
              <a:solidFill>
                <a:srgbClr val="70AD47">
                  <a:alpha val="100000"/>
                </a:srgbClr>
              </a:solidFill>
              <a:ln w="19050">
                <a:solidFill>
                  <a:srgbClr val="FFFFFF">
                    <a:alpha val="100000"/>
                  </a:srgbClr>
                </a:solidFill>
                <a:prstDash val="solid"/>
              </a:ln>
            </c:spPr>
          </c:dPt>
          <c:dPt>
            <c:idx val="1"/>
            <c:bubble3D val="0"/>
            <c:explosion val="0"/>
            <c:spPr>
              <a:solidFill>
                <a:srgbClr val="5B9BD5">
                  <a:alpha val="100000"/>
                </a:srgbClr>
              </a:solidFill>
              <a:ln w="19050">
                <a:solidFill>
                  <a:srgbClr val="FFFFFF">
                    <a:alpha val="100000"/>
                  </a:srgbClr>
                </a:solidFill>
                <a:prstDash val="solid"/>
              </a:ln>
            </c:spPr>
          </c:dPt>
          <c:dPt>
            <c:idx val="2"/>
            <c:bubble3D val="0"/>
            <c:explosion val="0"/>
            <c:spPr>
              <a:solidFill>
                <a:srgbClr val="FFC000">
                  <a:alpha val="100000"/>
                </a:srgbClr>
              </a:solidFill>
              <a:ln w="19050">
                <a:solidFill>
                  <a:srgbClr val="FFFFFF">
                    <a:alpha val="100000"/>
                  </a:srgbClr>
                </a:solidFill>
                <a:prstDash val="solid"/>
              </a:ln>
            </c:spPr>
          </c:dPt>
          <c:dPt>
            <c:idx val="3"/>
            <c:bubble3D val="0"/>
            <c:explosion val="0"/>
            <c:spPr>
              <a:solidFill>
                <a:srgbClr val="ED7D31">
                  <a:alpha val="100000"/>
                </a:srgbClr>
              </a:solidFill>
              <a:ln w="19050">
                <a:solidFill>
                  <a:srgbClr val="FFFFFF">
                    <a:alpha val="100000"/>
                  </a:srgbClr>
                </a:solidFill>
                <a:prstDash val="solid"/>
              </a:ln>
            </c:spPr>
          </c:dPt>
          <c:dLbls>
            <c:dLbl>
              <c:idx val="0"/>
              <c:layout>
                <c:manualLayout>
                  <c:x val="0.037693853945879"/>
                  <c:y val="-0.0471362878663148"/>
                </c:manualLayout>
              </c:layout>
              <c:numFmt formatCode="General" sourceLinked="1"/>
              <c:spPr>
                <a:solidFill>
                  <a:srgbClr val="70AD47">
                    <a:alpha val="100000"/>
                  </a:srgbClr>
                </a:solidFill>
                <a:ln w="3175">
                  <a:noFill/>
                </a:ln>
                <a:effectLst/>
              </c:spPr>
              <c:txPr>
                <a:bodyPr rot="0" spcFirstLastPara="0" vertOverflow="ellipsis" vert="horz" wrap="square" lIns="38100" tIns="19050" rIns="38100" bIns="19050" anchor="ctr" anchorCtr="1"/>
                <a:lstStyle/>
                <a:p>
                  <a:pPr>
                    <a:defRPr lang="zh-CN" sz="900" b="0" i="0" u="none" strike="noStrike" kern="1200" baseline="0">
                      <a:solidFill>
                        <a:srgbClr val="333333">
                          <a:alpha val="100000"/>
                        </a:srgbClr>
                      </a:solidFill>
                      <a:latin typeface="宋体" panose="02010600030101010101" charset="-122"/>
                      <a:ea typeface="宋体" panose="02010600030101010101" charset="-122"/>
                      <a:cs typeface="宋体" panose="02010600030101010101" charset="-122"/>
                    </a:defRPr>
                  </a:pPr>
                </a:p>
              </c:txPr>
              <c:dLblPos val="bestFit"/>
              <c:showLegendKey val="0"/>
              <c:showVal val="1"/>
              <c:showCatName val="0"/>
              <c:showSerName val="0"/>
              <c:showPercent val="0"/>
              <c:showBubbleSize val="0"/>
              <c:extLst>
                <c:ext xmlns:c15="http://schemas.microsoft.com/office/drawing/2012/chart" uri="{CE6537A1-D6FC-4f65-9D91-7224C49458BB}">
                  <c15:layout/>
                </c:ext>
              </c:extLst>
            </c:dLbl>
            <c:dLbl>
              <c:idx val="2"/>
              <c:layout>
                <c:manualLayout>
                  <c:x val="-0.0825785823655661"/>
                  <c:y val="0.029251724540949"/>
                </c:manualLayout>
              </c:layout>
              <c:numFmt formatCode="General" sourceLinked="1"/>
              <c:spPr>
                <a:solidFill>
                  <a:srgbClr val="FFC000">
                    <a:alpha val="100000"/>
                  </a:srgbClr>
                </a:solidFill>
                <a:ln w="3175">
                  <a:noFill/>
                </a:ln>
                <a:effectLst/>
              </c:spPr>
              <c:txPr>
                <a:bodyPr rot="0" spcFirstLastPara="0" vertOverflow="ellipsis" vert="horz" wrap="square" lIns="38100" tIns="19050" rIns="38100" bIns="19050" anchor="ctr" anchorCtr="1"/>
                <a:lstStyle/>
                <a:p>
                  <a:pPr>
                    <a:defRPr lang="zh-CN" sz="900" b="0" i="0" u="none" strike="noStrike" kern="1200" baseline="0">
                      <a:solidFill>
                        <a:srgbClr val="333333">
                          <a:alpha val="100000"/>
                        </a:srgbClr>
                      </a:solidFill>
                      <a:latin typeface="宋体" panose="02010600030101010101" charset="-122"/>
                      <a:ea typeface="宋体" panose="02010600030101010101" charset="-122"/>
                      <a:cs typeface="宋体" panose="02010600030101010101" charset="-122"/>
                    </a:defRPr>
                  </a:pPr>
                </a:p>
              </c:txPr>
              <c:dLblPos val="bestFit"/>
              <c:showLegendKey val="0"/>
              <c:showVal val="1"/>
              <c:showCatName val="0"/>
              <c:showSerName val="0"/>
              <c:showPercent val="0"/>
              <c:showBubbleSize val="0"/>
              <c:extLst>
                <c:ext xmlns:c15="http://schemas.microsoft.com/office/drawing/2012/chart" uri="{CE6537A1-D6FC-4f65-9D91-7224C49458BB}">
                  <c15:layout/>
                </c:ext>
              </c:extLst>
            </c:dLbl>
            <c:dLbl>
              <c:idx val="3"/>
              <c:layout>
                <c:manualLayout>
                  <c:x val="-0.0336623642926775"/>
                  <c:y val="-0.0470761325922897"/>
                </c:manualLayout>
              </c:layout>
              <c:numFmt formatCode="General" sourceLinked="1"/>
              <c:spPr>
                <a:solidFill>
                  <a:srgbClr val="ED7D31">
                    <a:alpha val="50000"/>
                  </a:srgbClr>
                </a:solidFill>
                <a:ln>
                  <a:noFill/>
                </a:ln>
                <a:effectLst/>
              </c:spPr>
              <c:txPr>
                <a:bodyPr rot="0" spcFirstLastPara="0" vertOverflow="ellipsis" vert="horz" wrap="square" lIns="38100" tIns="19050" rIns="38100" bIns="19050" anchor="ctr" anchorCtr="1"/>
                <a:lstStyle/>
                <a:p>
                  <a:pPr>
                    <a:defRPr lang="zh-CN" sz="900" b="0" i="0" u="none" strike="noStrike" kern="1200" baseline="0">
                      <a:solidFill>
                        <a:srgbClr val="333333">
                          <a:alpha val="100000"/>
                        </a:srgbClr>
                      </a:solidFill>
                      <a:latin typeface="宋体" panose="02010600030101010101" charset="-122"/>
                      <a:ea typeface="宋体" panose="02010600030101010101" charset="-122"/>
                      <a:cs typeface="宋体" panose="02010600030101010101" charset="-122"/>
                    </a:defRPr>
                  </a:pPr>
                </a:p>
              </c:txPr>
              <c:dLblPos val="bestFit"/>
              <c:showLegendKey val="0"/>
              <c:showVal val="1"/>
              <c:showCatName val="0"/>
              <c:showSerName val="0"/>
              <c:showPercent val="0"/>
              <c:showBubbleSize val="0"/>
              <c:extLst>
                <c:ext xmlns:c15="http://schemas.microsoft.com/office/drawing/2012/chart" uri="{CE6537A1-D6FC-4f65-9D91-7224C49458BB}">
                  <c15:layout/>
                </c:ext>
              </c:extLst>
            </c:dLbl>
            <c:numFmt formatCode="General" sourceLinked="1"/>
            <c:spPr>
              <a:noFill/>
              <a:ln w="3175">
                <a:noFill/>
              </a:ln>
              <a:effectLst/>
            </c:spPr>
            <c:txPr>
              <a:bodyPr rot="0" spcFirstLastPara="0" vertOverflow="ellipsis" vert="horz" wrap="square" lIns="38100" tIns="19050" rIns="38100" bIns="19050" anchor="ctr" anchorCtr="1"/>
              <a:lstStyle/>
              <a:p>
                <a:pPr>
                  <a:defRPr lang="zh-CN" sz="900" b="0" i="0" u="none" strike="noStrike" kern="1200" baseline="0">
                    <a:solidFill>
                      <a:srgbClr val="333333">
                        <a:alpha val="100000"/>
                      </a:srgbClr>
                    </a:solidFill>
                    <a:latin typeface="宋体" panose="02010600030101010101" charset="-122"/>
                    <a:ea typeface="宋体" panose="02010600030101010101" charset="-122"/>
                    <a:cs typeface="宋体" panose="02010600030101010101" charset="-122"/>
                  </a:defRPr>
                </a:pPr>
              </a:p>
            </c:txPr>
            <c:dLblPos val="bestFit"/>
            <c:showLegendKey val="0"/>
            <c:showVal val="1"/>
            <c:showCatName val="0"/>
            <c:showSerName val="0"/>
            <c:showPercent val="0"/>
            <c:showBubbleSize val="0"/>
            <c:showLeaderLines val="1"/>
            <c:extLst>
              <c:ext xmlns:c15="http://schemas.microsoft.com/office/drawing/2012/chart" uri="{CE6537A1-D6FC-4f65-9D91-7224C49458BB}">
                <c15:layout/>
                <c15:showLeaderLines val="1"/>
                <c15:leaderLines>
                  <c:spPr>
                    <a:ln w="9525" cap="flat" cmpd="sng" algn="ctr">
                      <a:solidFill>
                        <a:srgbClr val="969696">
                          <a:alpha val="100000"/>
                        </a:srgbClr>
                      </a:solidFill>
                      <a:prstDash val="solid"/>
                      <a:round/>
                    </a:ln>
                  </c:spPr>
                </c15:leaderLines>
              </c:ext>
            </c:extLst>
          </c:dLbls>
          <c:cat>
            <c:strRef>
              <c:f>[藏中图表.xls]Sheet1!$A$64:$D$64</c:f>
              <c:strCache>
                <c:ptCount val="4"/>
                <c:pt idx="0">
                  <c:v>教育支出</c:v>
                </c:pt>
                <c:pt idx="1">
                  <c:v>社会保障和就业支出</c:v>
                </c:pt>
                <c:pt idx="2">
                  <c:v>卫生健康支出</c:v>
                </c:pt>
                <c:pt idx="3">
                  <c:v>住房保障支出</c:v>
                </c:pt>
              </c:strCache>
            </c:strRef>
          </c:cat>
          <c:val>
            <c:numRef>
              <c:f>[藏中图表.xls]Sheet1!$A$65:$D$65</c:f>
              <c:numCache>
                <c:formatCode>#,##0.00</c:formatCode>
                <c:ptCount val="4"/>
                <c:pt idx="0">
                  <c:v>3836.07</c:v>
                </c:pt>
                <c:pt idx="1">
                  <c:v>611.64</c:v>
                </c:pt>
                <c:pt idx="2">
                  <c:v>225.14</c:v>
                </c:pt>
                <c:pt idx="3">
                  <c:v>329.74</c:v>
                </c:pt>
              </c:numCache>
            </c:numRef>
          </c:val>
        </c:ser>
        <c:dLbls>
          <c:showLegendKey val="0"/>
          <c:showVal val="0"/>
          <c:showCatName val="0"/>
          <c:showSerName val="0"/>
          <c:showPercent val="0"/>
          <c:showBubbleSize val="0"/>
          <c:showLeaderLines val="1"/>
        </c:dLbls>
        <c:firstSliceAng val="0"/>
      </c:pieChart>
    </c:plotArea>
    <c:legend>
      <c:legendPos val="r"/>
      <c:layout>
        <c:manualLayout>
          <c:xMode val="edge"/>
          <c:yMode val="edge"/>
          <c:x val="0.696"/>
          <c:y val="0.42675"/>
          <c:w val="0.283"/>
          <c:h val="0.255"/>
        </c:manualLayout>
      </c:layout>
      <c:overlay val="0"/>
      <c:spPr>
        <a:solidFill>
          <a:schemeClr val="lt1">
            <a:alpha val="50000"/>
          </a:schemeClr>
        </a:solidFill>
        <a:ln>
          <a:noFill/>
        </a:ln>
        <a:effectLst/>
      </c:spPr>
      <c:txPr>
        <a:bodyPr rot="0" spcFirstLastPara="0" vertOverflow="ellipsis" vert="horz" wrap="square" anchor="ctr" anchorCtr="1"/>
        <a:lstStyle/>
        <a:p>
          <a:pPr>
            <a:defRPr lang="zh-CN" sz="825" b="0" i="0" u="none" strike="noStrike" kern="1200" baseline="0">
              <a:solidFill>
                <a:srgbClr val="333333"/>
              </a:solidFill>
              <a:latin typeface="宋体" panose="02010600030101010101" charset="-122"/>
              <a:ea typeface="宋体" panose="02010600030101010101" charset="-122"/>
              <a:cs typeface="宋体" panose="02010600030101010101" charset="-122"/>
            </a:defRPr>
          </a:pPr>
        </a:p>
      </c:txPr>
    </c:legend>
    <c:plotVisOnly val="1"/>
    <c:dispBlanksAs val="gap"/>
    <c:showDLblsOverMax val="0"/>
  </c:chart>
  <c:spPr>
    <a:pattFill prst="dkDnDiag">
      <a:fgClr>
        <a:schemeClr val="lt1"/>
      </a:fgClr>
      <a:bgClr>
        <a:sysClr val="window" lastClr="FFFFFF"/>
      </a:bgClr>
    </a:pattFill>
    <a:ln w="9525" cap="flat" cmpd="sng" algn="ctr">
      <a:solidFill>
        <a:schemeClr val="dk1">
          <a:lumMod val="15000"/>
          <a:lumOff val="85000"/>
        </a:schemeClr>
      </a:solidFill>
      <a:prstDash val="solid"/>
      <a:round/>
    </a:ln>
    <a:effectLst/>
  </c:spPr>
  <c:txPr>
    <a:bodyPr rot="0" wrap="square" anchor="ctr" anchorCtr="1"/>
    <a:lstStyle/>
    <a:p>
      <a:pPr>
        <a:defRPr lang="zh-CN" sz="1000" b="0" i="0" u="none" strike="noStrike" baseline="0">
          <a:solidFill>
            <a:srgbClr val="000000">
              <a:alpha val="100000"/>
            </a:srgbClr>
          </a:solidFill>
          <a:latin typeface="宋体" panose="02010600030101010101" charset="-122"/>
          <a:ea typeface="宋体" panose="02010600030101010101" charset="-122"/>
          <a:cs typeface="宋体" panose="02010600030101010101" charset="-122"/>
        </a:defRPr>
      </a:pPr>
    </a:p>
  </c:txPr>
  <c:externalData r:id="rId1">
    <c:autoUpdate val="0"/>
  </c:externalData>
</c:chartSpace>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word/theme/themeOverride1.xml><?xml version="1.0" encoding="utf-8"?>
<a:themeOverride xmlns:a="http://schemas.openxmlformats.org/drawingml/2006/main">
  <a:clrScheme name="基本">
    <a:dk1>
      <a:srgbClr val="000000"/>
    </a:dk1>
    <a:lt1>
      <a:srgbClr val="FFFFFF"/>
    </a:lt1>
    <a:dk2>
      <a:srgbClr val="D1282E"/>
    </a:dk2>
    <a:lt2>
      <a:srgbClr val="C8C8B1"/>
    </a:lt2>
    <a:accent1>
      <a:srgbClr val="7A7A7A"/>
    </a:accent1>
    <a:accent2>
      <a:srgbClr val="F5C201"/>
    </a:accent2>
    <a:accent3>
      <a:srgbClr val="526DB0"/>
    </a:accent3>
    <a:accent4>
      <a:srgbClr val="989AAC"/>
    </a:accent4>
    <a:accent5>
      <a:srgbClr val="DC5924"/>
    </a:accent5>
    <a:accent6>
      <a:srgbClr val="B4B392"/>
    </a:accent6>
    <a:hlink>
      <a:srgbClr val="CC9900"/>
    </a:hlink>
    <a:folHlink>
      <a:srgbClr val="969696"/>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xml><?xml version="1.0" encoding="utf-8"?>
<a:themeOverride xmlns:a="http://schemas.openxmlformats.org/drawingml/2006/main">
  <a:clrScheme name="基本">
    <a:dk1>
      <a:srgbClr val="000000"/>
    </a:dk1>
    <a:lt1>
      <a:srgbClr val="FFFFFF"/>
    </a:lt1>
    <a:dk2>
      <a:srgbClr val="D1282E"/>
    </a:dk2>
    <a:lt2>
      <a:srgbClr val="C8C8B1"/>
    </a:lt2>
    <a:accent1>
      <a:srgbClr val="7A7A7A"/>
    </a:accent1>
    <a:accent2>
      <a:srgbClr val="F5C201"/>
    </a:accent2>
    <a:accent3>
      <a:srgbClr val="526DB0"/>
    </a:accent3>
    <a:accent4>
      <a:srgbClr val="989AAC"/>
    </a:accent4>
    <a:accent5>
      <a:srgbClr val="DC5924"/>
    </a:accent5>
    <a:accent6>
      <a:srgbClr val="B4B392"/>
    </a:accent6>
    <a:hlink>
      <a:srgbClr val="CC9900"/>
    </a:hlink>
    <a:folHlink>
      <a:srgbClr val="969696"/>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5.xml><?xml version="1.0" encoding="utf-8"?>
<a:themeOverride xmlns:a="http://schemas.openxmlformats.org/drawingml/2006/main">
  <a:clrScheme name="基本">
    <a:dk1>
      <a:srgbClr val="000000"/>
    </a:dk1>
    <a:lt1>
      <a:srgbClr val="FFFFFF"/>
    </a:lt1>
    <a:dk2>
      <a:srgbClr val="D1282E"/>
    </a:dk2>
    <a:lt2>
      <a:srgbClr val="C8C8B1"/>
    </a:lt2>
    <a:accent1>
      <a:srgbClr val="7A7A7A"/>
    </a:accent1>
    <a:accent2>
      <a:srgbClr val="F5C201"/>
    </a:accent2>
    <a:accent3>
      <a:srgbClr val="526DB0"/>
    </a:accent3>
    <a:accent4>
      <a:srgbClr val="989AAC"/>
    </a:accent4>
    <a:accent5>
      <a:srgbClr val="DC5924"/>
    </a:accent5>
    <a:accent6>
      <a:srgbClr val="B4B392"/>
    </a:accent6>
    <a:hlink>
      <a:srgbClr val="CC9900"/>
    </a:hlink>
    <a:folHlink>
      <a:srgbClr val="969696"/>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6.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43</TotalTime>
  <ScaleCrop>false</ScaleCrop>
  <LinksUpToDate>false</LinksUpToDate>
  <CharactersWithSpaces>0</CharactersWithSpaces>
  <Application>WPS Office_11.8.2.8696_F1E327BC-269C-435d-A152-05C5408002CA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2023-09-15T01:30:00Z</dcterms:created>
  <dc:creator>Administrator</dc:creator>
  <cp:lastModifiedBy>Administrator</cp:lastModifiedBy>
  <dcterms:modified xsi:type="dcterms:W3CDTF">2026-10-09T03:55:08Z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2052-11.8.2.8696</vt:lpwstr>
  </property>
  <property fmtid="{D5CDD505-2E9C-101B-9397-08002B2CF9AE}" pid="3" name="ICV">
    <vt:lpwstr>20AFD7159822485F9C1BFA64B9A5AE82_12</vt:lpwstr>
  </property>
</Properties>
</file>