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colors8.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charts/style8.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CDFED9">
      <w:pPr>
        <w:pStyle w:val="2"/>
        <w:rPr>
          <w:rFonts w:hint="eastAsia" w:ascii="Times New Roman" w:hAnsi="Times New Roman" w:eastAsia="方正小标宋简体" w:cs="Times New Roman"/>
          <w:color w:val="auto"/>
          <w:kern w:val="2"/>
          <w:sz w:val="72"/>
          <w:szCs w:val="72"/>
          <w:highlight w:val="none"/>
          <w:lang w:val="en-US" w:eastAsia="zh-CN" w:bidi="ar-SA"/>
        </w:rPr>
      </w:pPr>
      <w:bookmarkStart w:id="0" w:name="_Toc15377425"/>
      <w:bookmarkStart w:id="1" w:name="_Toc15377193"/>
      <w:bookmarkStart w:id="2" w:name="_Toc15396597"/>
      <w:bookmarkStart w:id="3" w:name="_Toc15306267"/>
      <w:bookmarkStart w:id="4" w:name="_Toc15378441"/>
      <w:bookmarkStart w:id="5" w:name="_Toc15396475"/>
    </w:p>
    <w:p w14:paraId="3C2EF824">
      <w:pPr>
        <w:pStyle w:val="2"/>
        <w:rPr>
          <w:rFonts w:hint="eastAsia" w:ascii="Times New Roman" w:hAnsi="Times New Roman" w:eastAsia="方正小标宋简体" w:cs="Times New Roman"/>
          <w:color w:val="auto"/>
          <w:kern w:val="2"/>
          <w:sz w:val="72"/>
          <w:szCs w:val="72"/>
          <w:highlight w:val="none"/>
          <w:lang w:val="en-US" w:eastAsia="zh-CN" w:bidi="ar-SA"/>
        </w:rPr>
      </w:pPr>
    </w:p>
    <w:p w14:paraId="270FBD6C">
      <w:pPr>
        <w:pStyle w:val="2"/>
        <w:rPr>
          <w:rFonts w:hint="eastAsia" w:ascii="Times New Roman" w:hAnsi="Times New Roman" w:eastAsia="方正小标宋简体" w:cs="Times New Roman"/>
          <w:color w:val="auto"/>
          <w:kern w:val="2"/>
          <w:sz w:val="72"/>
          <w:szCs w:val="72"/>
          <w:highlight w:val="none"/>
          <w:lang w:val="en-US" w:eastAsia="zh-CN" w:bidi="ar-SA"/>
        </w:rPr>
      </w:pPr>
    </w:p>
    <w:p w14:paraId="44D747E2">
      <w:pPr>
        <w:pStyle w:val="18"/>
        <w:keepNext w:val="0"/>
        <w:keepLines w:val="0"/>
        <w:widowControl/>
        <w:suppressLineNumbers w:val="0"/>
        <w:ind w:left="0" w:right="75"/>
        <w:jc w:val="center"/>
        <w:rPr>
          <w:rFonts w:hint="eastAsia" w:ascii="方正小标宋简体" w:hAnsi="方正小标宋简体" w:eastAsia="方正小标宋简体" w:cs="方正小标宋简体"/>
          <w:sz w:val="44"/>
          <w:szCs w:val="44"/>
        </w:rPr>
      </w:pPr>
      <w:r>
        <w:rPr>
          <w:rStyle w:val="22"/>
          <w:rFonts w:hint="eastAsia" w:ascii="方正小标宋简体" w:hAnsi="方正小标宋简体" w:eastAsia="方正小标宋简体" w:cs="方正小标宋简体"/>
          <w:sz w:val="44"/>
          <w:szCs w:val="44"/>
          <w:shd w:val="clear" w:color="auto" w:fill="FFFFFF"/>
        </w:rPr>
        <w:t>202</w:t>
      </w:r>
      <w:r>
        <w:rPr>
          <w:rStyle w:val="22"/>
          <w:rFonts w:hint="eastAsia" w:ascii="方正小标宋简体" w:hAnsi="方正小标宋简体" w:eastAsia="方正小标宋简体" w:cs="方正小标宋简体"/>
          <w:sz w:val="44"/>
          <w:szCs w:val="44"/>
          <w:shd w:val="clear" w:color="auto" w:fill="FFFFFF"/>
          <w:lang w:val="en-US" w:eastAsia="zh-CN"/>
        </w:rPr>
        <w:t>5</w:t>
      </w:r>
      <w:r>
        <w:rPr>
          <w:rStyle w:val="22"/>
          <w:rFonts w:hint="eastAsia" w:ascii="方正小标宋简体" w:hAnsi="方正小标宋简体" w:eastAsia="方正小标宋简体" w:cs="方正小标宋简体"/>
          <w:sz w:val="44"/>
          <w:szCs w:val="44"/>
          <w:shd w:val="clear" w:color="auto" w:fill="FFFFFF"/>
        </w:rPr>
        <w:t>年度</w:t>
      </w:r>
    </w:p>
    <w:p w14:paraId="48413475">
      <w:pPr>
        <w:pStyle w:val="18"/>
        <w:keepNext w:val="0"/>
        <w:keepLines w:val="0"/>
        <w:widowControl/>
        <w:suppressLineNumbers w:val="0"/>
        <w:ind w:left="0" w:right="75"/>
        <w:jc w:val="center"/>
        <w:rPr>
          <w:rStyle w:val="22"/>
          <w:rFonts w:hint="eastAsia" w:ascii="方正小标宋简体" w:hAnsi="方正小标宋简体" w:eastAsia="方正小标宋简体" w:cs="方正小标宋简体"/>
          <w:sz w:val="44"/>
          <w:szCs w:val="44"/>
          <w:shd w:val="clear" w:color="auto" w:fill="FFFFFF"/>
          <w:lang w:eastAsia="zh-CN"/>
        </w:rPr>
      </w:pPr>
      <w:r>
        <w:rPr>
          <w:rStyle w:val="22"/>
          <w:rFonts w:hint="eastAsia" w:ascii="方正小标宋简体" w:hAnsi="方正小标宋简体" w:eastAsia="方正小标宋简体" w:cs="方正小标宋简体"/>
          <w:sz w:val="44"/>
          <w:szCs w:val="44"/>
          <w:shd w:val="clear" w:color="auto" w:fill="FFFFFF"/>
        </w:rPr>
        <w:t>红原县人民</w:t>
      </w:r>
      <w:r>
        <w:rPr>
          <w:rStyle w:val="22"/>
          <w:rFonts w:hint="eastAsia" w:ascii="方正小标宋简体" w:hAnsi="方正小标宋简体" w:eastAsia="方正小标宋简体" w:cs="方正小标宋简体"/>
          <w:sz w:val="44"/>
          <w:szCs w:val="44"/>
          <w:shd w:val="clear" w:color="auto" w:fill="FFFFFF"/>
          <w:lang w:eastAsia="zh-CN"/>
        </w:rPr>
        <w:t>政府</w:t>
      </w:r>
      <w:r>
        <w:rPr>
          <w:rStyle w:val="22"/>
          <w:rFonts w:hint="eastAsia" w:ascii="方正小标宋简体" w:hAnsi="方正小标宋简体" w:eastAsia="方正小标宋简体" w:cs="方正小标宋简体"/>
          <w:sz w:val="44"/>
          <w:szCs w:val="44"/>
          <w:shd w:val="clear" w:color="auto" w:fill="FFFFFF"/>
        </w:rPr>
        <w:t>办公</w:t>
      </w:r>
      <w:r>
        <w:rPr>
          <w:rStyle w:val="22"/>
          <w:rFonts w:hint="eastAsia" w:ascii="方正小标宋简体" w:hAnsi="方正小标宋简体" w:eastAsia="方正小标宋简体" w:cs="方正小标宋简体"/>
          <w:sz w:val="44"/>
          <w:szCs w:val="44"/>
          <w:shd w:val="clear" w:color="auto" w:fill="FFFFFF"/>
          <w:lang w:eastAsia="zh-CN"/>
        </w:rPr>
        <w:t>室</w:t>
      </w:r>
    </w:p>
    <w:p w14:paraId="0C550F16">
      <w:pPr>
        <w:pStyle w:val="18"/>
        <w:keepNext w:val="0"/>
        <w:keepLines w:val="0"/>
        <w:widowControl/>
        <w:suppressLineNumbers w:val="0"/>
        <w:ind w:left="0" w:right="75"/>
        <w:jc w:val="center"/>
        <w:rPr>
          <w:rFonts w:hint="eastAsia" w:ascii="方正小标宋简体" w:hAnsi="方正小标宋简体" w:eastAsia="方正小标宋简体" w:cs="方正小标宋简体"/>
          <w:sz w:val="44"/>
          <w:szCs w:val="44"/>
          <w:lang w:eastAsia="zh-CN"/>
        </w:rPr>
      </w:pPr>
      <w:r>
        <w:rPr>
          <w:rStyle w:val="22"/>
          <w:rFonts w:hint="eastAsia" w:ascii="方正小标宋简体" w:hAnsi="方正小标宋简体" w:eastAsia="方正小标宋简体" w:cs="方正小标宋简体"/>
          <w:sz w:val="44"/>
          <w:szCs w:val="44"/>
          <w:shd w:val="clear" w:color="auto" w:fill="FFFFFF"/>
        </w:rPr>
        <w:t>部门决算</w:t>
      </w:r>
      <w:r>
        <w:rPr>
          <w:rStyle w:val="22"/>
          <w:rFonts w:hint="eastAsia" w:ascii="方正小标宋简体" w:hAnsi="方正小标宋简体" w:eastAsia="方正小标宋简体" w:cs="方正小标宋简体"/>
          <w:sz w:val="44"/>
          <w:szCs w:val="44"/>
          <w:shd w:val="clear" w:color="auto" w:fill="FFFFFF"/>
          <w:lang w:eastAsia="zh-CN"/>
        </w:rPr>
        <w:t>公开编制说明</w:t>
      </w:r>
    </w:p>
    <w:p w14:paraId="5A559113">
      <w:pPr>
        <w:widowControl/>
        <w:jc w:val="center"/>
        <w:rPr>
          <w:rFonts w:ascii="方正小标宋简体" w:eastAsia="方正小标宋简体"/>
          <w:sz w:val="36"/>
          <w:szCs w:val="36"/>
        </w:rPr>
      </w:pPr>
    </w:p>
    <w:p w14:paraId="6C696326">
      <w:pPr>
        <w:spacing w:line="600" w:lineRule="exact"/>
        <w:jc w:val="center"/>
        <w:outlineLvl w:val="0"/>
        <w:rPr>
          <w:rFonts w:ascii="Times New Roman" w:hAnsi="Times New Roman" w:eastAsia="方正小标宋简体"/>
          <w:color w:val="auto"/>
          <w:sz w:val="72"/>
          <w:szCs w:val="72"/>
          <w:highlight w:val="none"/>
        </w:rPr>
      </w:pPr>
    </w:p>
    <w:p w14:paraId="719CE5AB">
      <w:pPr>
        <w:pStyle w:val="7"/>
        <w:rPr>
          <w:rFonts w:ascii="Times New Roman" w:hAnsi="Times New Roman" w:eastAsia="方正小标宋简体"/>
          <w:color w:val="auto"/>
          <w:sz w:val="72"/>
          <w:szCs w:val="72"/>
          <w:highlight w:val="none"/>
        </w:rPr>
      </w:pPr>
    </w:p>
    <w:p w14:paraId="245D90C7">
      <w:pPr>
        <w:rPr>
          <w:rFonts w:ascii="Times New Roman" w:hAnsi="Times New Roman" w:eastAsia="方正小标宋简体"/>
          <w:color w:val="auto"/>
          <w:sz w:val="72"/>
          <w:szCs w:val="72"/>
          <w:highlight w:val="none"/>
        </w:rPr>
      </w:pPr>
    </w:p>
    <w:p w14:paraId="33CB2BA8">
      <w:pPr>
        <w:pStyle w:val="7"/>
        <w:rPr>
          <w:rFonts w:ascii="Times New Roman" w:hAnsi="Times New Roman" w:eastAsia="方正小标宋简体"/>
          <w:color w:val="auto"/>
          <w:sz w:val="72"/>
          <w:szCs w:val="72"/>
          <w:highlight w:val="none"/>
        </w:rPr>
      </w:pPr>
    </w:p>
    <w:p w14:paraId="14122E30">
      <w:pPr>
        <w:rPr>
          <w:rFonts w:ascii="Times New Roman" w:hAnsi="Times New Roman" w:eastAsia="方正小标宋简体"/>
          <w:color w:val="auto"/>
          <w:sz w:val="72"/>
          <w:szCs w:val="72"/>
          <w:highlight w:val="none"/>
        </w:rPr>
      </w:pPr>
    </w:p>
    <w:p w14:paraId="4A9FF62E">
      <w:pPr>
        <w:pStyle w:val="18"/>
        <w:keepNext w:val="0"/>
        <w:keepLines w:val="0"/>
        <w:widowControl/>
        <w:suppressLineNumbers w:val="0"/>
        <w:ind w:left="0" w:right="75"/>
        <w:jc w:val="left"/>
      </w:pPr>
      <w:r>
        <w:rPr>
          <w:sz w:val="24"/>
          <w:szCs w:val="24"/>
          <w:shd w:val="clear" w:color="auto" w:fill="FFFFFF"/>
        </w:rPr>
        <w:t>保密审查情况：已审查，内容审定</w:t>
      </w:r>
    </w:p>
    <w:p w14:paraId="7A9ED523">
      <w:pPr>
        <w:pStyle w:val="18"/>
        <w:keepNext w:val="0"/>
        <w:keepLines w:val="0"/>
        <w:widowControl/>
        <w:suppressLineNumbers w:val="0"/>
        <w:ind w:left="0" w:right="75"/>
        <w:jc w:val="left"/>
        <w:rPr>
          <w:rFonts w:ascii="Times New Roman" w:hAnsi="Times New Roman"/>
        </w:rPr>
        <w:sectPr>
          <w:footerReference r:id="rId5" w:type="first"/>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r>
        <w:rPr>
          <w:sz w:val="24"/>
          <w:szCs w:val="24"/>
          <w:shd w:val="clear" w:color="auto" w:fill="FFFFFF"/>
        </w:rPr>
        <w:t>部门主要负责人审签情况：已审签，同意对外</w:t>
      </w:r>
    </w:p>
    <w:p w14:paraId="602751A5">
      <w:pPr>
        <w:pStyle w:val="2"/>
        <w:jc w:val="both"/>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1EF41851">
      <w:pPr>
        <w:widowControl/>
        <w:jc w:val="center"/>
        <w:rPr>
          <w:rFonts w:ascii="黑体" w:eastAsia="黑体"/>
          <w:sz w:val="48"/>
          <w:szCs w:val="48"/>
        </w:rPr>
      </w:pPr>
      <w:r>
        <w:rPr>
          <w:rFonts w:hint="eastAsia" w:ascii="黑体" w:eastAsia="黑体"/>
          <w:sz w:val="48"/>
          <w:szCs w:val="48"/>
        </w:rPr>
        <w:t>目录</w:t>
      </w:r>
    </w:p>
    <w:p w14:paraId="3DF688F3">
      <w:pPr>
        <w:widowControl/>
        <w:jc w:val="center"/>
        <w:rPr>
          <w:rFonts w:ascii="黑体" w:eastAsia="黑体" w:cs="Arial"/>
          <w:sz w:val="28"/>
          <w:szCs w:val="28"/>
        </w:rPr>
      </w:pPr>
    </w:p>
    <w:p w14:paraId="3B88B552">
      <w:pPr>
        <w:pStyle w:val="15"/>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r>
        <w:rPr>
          <w:rFonts w:hint="eastAsia"/>
          <w:lang w:val="en-US" w:eastAsia="zh-CN"/>
        </w:rPr>
        <w:t>10</w:t>
      </w:r>
      <w:r>
        <w:rPr>
          <w:rFonts w:hint="eastAsia"/>
        </w:rPr>
        <w:t>日</w:t>
      </w:r>
    </w:p>
    <w:p w14:paraId="396C9DDF"/>
    <w:sdt>
      <w:sdtPr>
        <w:rPr>
          <w:rFonts w:ascii="宋体" w:hAnsi="宋体" w:eastAsia="宋体" w:cs="Times New Roman"/>
          <w:kern w:val="2"/>
          <w:sz w:val="21"/>
          <w:szCs w:val="24"/>
          <w:lang w:val="en-US" w:eastAsia="zh-CN" w:bidi="ar-SA"/>
        </w:rPr>
        <w:id w:val="147451071"/>
        <w15:color w:val="DBDBDB"/>
        <w:docPartObj>
          <w:docPartGallery w:val="Table of Contents"/>
          <w:docPartUnique/>
        </w:docPartObj>
      </w:sdtPr>
      <w:sdtEndPr>
        <w:rPr>
          <w:rFonts w:hint="eastAsia" w:ascii="仿宋_GB2312" w:hAnsi="仿宋_GB2312" w:eastAsia="仿宋_GB2312" w:cs="仿宋_GB2312"/>
          <w:b/>
          <w:color w:val="auto"/>
          <w:kern w:val="2"/>
          <w:sz w:val="28"/>
          <w:szCs w:val="28"/>
          <w:lang w:val="en-US" w:eastAsia="zh-CN" w:bidi="ar-SA"/>
        </w:rPr>
      </w:sdtEndPr>
      <w:sdtContent>
        <w:p w14:paraId="473C5491">
          <w:pPr>
            <w:spacing w:before="0" w:beforeLines="0" w:after="0" w:afterLines="0" w:line="240" w:lineRule="auto"/>
            <w:ind w:left="0" w:leftChars="0" w:right="0" w:rightChars="0" w:firstLine="0" w:firstLineChars="0"/>
            <w:jc w:val="center"/>
          </w:pPr>
        </w:p>
        <w:p w14:paraId="46973F10">
          <w:pPr>
            <w:pStyle w:val="15"/>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TOC \o "1-2" \h \u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_Toc16019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第一部分 部门概况</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_Toc16019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14:paraId="71B1782E">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_Toc31358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一、 部门职责</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_Toc31358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43D88BFF">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_Toc13721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二、机构设置</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_Toc13721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6A4ED27B">
          <w:pPr>
            <w:pStyle w:val="15"/>
            <w:tabs>
              <w:tab w:val="right" w:leader="dot" w:pos="8306"/>
              <w:tab w:val="clear" w:pos="8296"/>
            </w:tabs>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_Toc16164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第二部分 202</w:t>
          </w:r>
          <w:r>
            <w:rPr>
              <w:rFonts w:hint="eastAsia" w:ascii="仿宋_GB2312" w:hAnsi="仿宋_GB2312" w:eastAsia="仿宋_GB2312" w:cs="仿宋_GB2312"/>
              <w:b/>
              <w:bCs/>
              <w:sz w:val="28"/>
              <w:szCs w:val="28"/>
              <w:lang w:val="en-US" w:eastAsia="zh-CN"/>
            </w:rPr>
            <w:t>5</w:t>
          </w:r>
          <w:r>
            <w:rPr>
              <w:rFonts w:hint="eastAsia" w:ascii="仿宋_GB2312" w:hAnsi="仿宋_GB2312" w:eastAsia="仿宋_GB2312" w:cs="仿宋_GB2312"/>
              <w:b/>
              <w:bCs/>
              <w:sz w:val="28"/>
              <w:szCs w:val="28"/>
            </w:rPr>
            <w:t>年度部门决算情况说明</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_Toc16164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10</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14:paraId="0AAB491E">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_Toc7064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一、 收入支出决算总体情况说明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_Toc7064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10</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03570B7B">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_Toc24050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二、 收入决算情况说明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_Toc24050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10</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5812807B">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_Toc1784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三、 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_Toc1784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5465E3F3">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_Toc31432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四、财政拨款收入支出决算总体情况说明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_Toc31432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29F695D3">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_Toc17525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五、一般公共预算财政拨款支出决算情况说明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_Toc17525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12</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22D68621">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_Toc13941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六、一般公共预算财政拨款基本支出决算情况说明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_Toc13941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15</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5A3C0091">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_Toc4299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七、财政拨款“三公”经费支出决算情况说明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_Toc4299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5D3CD27A">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_Toc22646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八、政府性基金预算支出决算情况说明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_Toc22646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5BD302EB">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_Toc1631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九、 国有资本经营预算支出决算情况说明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_Toc1631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6738F991">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_Toc4892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十、 其他重要事项的情况说明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_Toc4892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27981B67">
          <w:pPr>
            <w:pStyle w:val="15"/>
            <w:tabs>
              <w:tab w:val="right" w:leader="dot" w:pos="8306"/>
              <w:tab w:val="clear" w:pos="8296"/>
            </w:tabs>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_Toc31207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第三部分 名词解释</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_Toc31207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31</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14:paraId="7C0F6485">
          <w:pPr>
            <w:pStyle w:val="15"/>
            <w:tabs>
              <w:tab w:val="right" w:leader="dot" w:pos="8306"/>
              <w:tab w:val="clear" w:pos="8296"/>
            </w:tabs>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_Toc17629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第四部分 附件</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_Toc17629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33</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14:paraId="352A9131">
          <w:pPr>
            <w:pStyle w:val="15"/>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_Toc20539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第五部分 附表</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_Toc20539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33</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14:paraId="4320A771">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_Toc7319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一、收</w:t>
          </w:r>
          <w:r>
            <w:rPr>
              <w:rFonts w:hint="eastAsia" w:ascii="仿宋_GB2312" w:hAnsi="仿宋_GB2312" w:eastAsia="仿宋_GB2312" w:cs="仿宋_GB2312"/>
              <w:bCs w:val="0"/>
              <w:sz w:val="28"/>
              <w:szCs w:val="28"/>
            </w:rPr>
            <w:t>入支出决算总表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_Toc7319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5ED66275">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_Toc31354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二、收</w:t>
          </w:r>
          <w:r>
            <w:rPr>
              <w:rFonts w:hint="eastAsia" w:ascii="仿宋_GB2312" w:hAnsi="仿宋_GB2312" w:eastAsia="仿宋_GB2312" w:cs="仿宋_GB2312"/>
              <w:bCs w:val="0"/>
              <w:sz w:val="28"/>
              <w:szCs w:val="28"/>
            </w:rPr>
            <w:t>入决算表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_Toc31354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23D626E8">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_Toc24023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三、</w:t>
          </w:r>
          <w:r>
            <w:rPr>
              <w:rFonts w:hint="eastAsia" w:ascii="仿宋_GB2312" w:hAnsi="仿宋_GB2312" w:eastAsia="仿宋_GB2312" w:cs="仿宋_GB2312"/>
              <w:sz w:val="28"/>
              <w:szCs w:val="28"/>
            </w:rPr>
            <w:t>支</w:t>
          </w:r>
          <w:r>
            <w:rPr>
              <w:rFonts w:hint="eastAsia" w:ascii="仿宋_GB2312" w:hAnsi="仿宋_GB2312" w:eastAsia="仿宋_GB2312" w:cs="仿宋_GB2312"/>
              <w:bCs w:val="0"/>
              <w:sz w:val="28"/>
              <w:szCs w:val="28"/>
            </w:rPr>
            <w:t>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_Toc24023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37A09C81">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_Toc10976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四、</w:t>
          </w:r>
          <w:r>
            <w:rPr>
              <w:rFonts w:hint="eastAsia" w:ascii="仿宋_GB2312" w:hAnsi="仿宋_GB2312" w:eastAsia="仿宋_GB2312" w:cs="仿宋_GB2312"/>
              <w:sz w:val="28"/>
              <w:szCs w:val="28"/>
            </w:rPr>
            <w:t>财</w:t>
          </w:r>
          <w:r>
            <w:rPr>
              <w:rFonts w:hint="eastAsia" w:ascii="仿宋_GB2312" w:hAnsi="仿宋_GB2312" w:eastAsia="仿宋_GB2312" w:cs="仿宋_GB2312"/>
              <w:bCs w:val="0"/>
              <w:sz w:val="28"/>
              <w:szCs w:val="28"/>
            </w:rPr>
            <w:t>政拨款收入支出决算总表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_Toc10976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3B46F301">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_Toc21466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五、</w:t>
          </w:r>
          <w:r>
            <w:rPr>
              <w:rFonts w:hint="eastAsia" w:ascii="仿宋_GB2312" w:hAnsi="仿宋_GB2312" w:eastAsia="仿宋_GB2312" w:cs="仿宋_GB2312"/>
              <w:sz w:val="28"/>
              <w:szCs w:val="28"/>
            </w:rPr>
            <w:t>财</w:t>
          </w:r>
          <w:r>
            <w:rPr>
              <w:rFonts w:hint="eastAsia" w:ascii="仿宋_GB2312" w:hAnsi="仿宋_GB2312" w:eastAsia="仿宋_GB2312" w:cs="仿宋_GB2312"/>
              <w:bCs w:val="0"/>
              <w:sz w:val="28"/>
              <w:szCs w:val="28"/>
            </w:rPr>
            <w:t>政拨款支出决算明细表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_Toc21466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1D7969AD">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_Toc2143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六、</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_Toc2143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250EBB02">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_Toc32100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七、</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般公共预算财政拨款支出决算明细表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_Toc32100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4ECAC012">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_Toc17350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八、</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般公共预算财政拨款基本支出决算表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_Toc17350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27DBE0E4">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_Toc10434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九、</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般公共预算财政拨款项目支出决算表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_Toc10434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59D63999">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_Toc6168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w:t>
          </w:r>
          <w:r>
            <w:rPr>
              <w:rFonts w:hint="eastAsia" w:ascii="仿宋_GB2312" w:hAnsi="仿宋_GB2312" w:eastAsia="仿宋_GB2312" w:cs="仿宋_GB2312"/>
              <w:sz w:val="28"/>
              <w:szCs w:val="28"/>
            </w:rPr>
            <w:t>政</w:t>
          </w:r>
          <w:r>
            <w:rPr>
              <w:rFonts w:hint="eastAsia" w:ascii="仿宋_GB2312" w:hAnsi="仿宋_GB2312" w:eastAsia="仿宋_GB2312" w:cs="仿宋_GB2312"/>
              <w:bCs w:val="0"/>
              <w:sz w:val="28"/>
              <w:szCs w:val="28"/>
            </w:rPr>
            <w:t>府性基金预算财政拨款收入支出决算表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_Toc6168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11AEF47E">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_Toc23336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十一、</w:t>
          </w:r>
          <w:r>
            <w:rPr>
              <w:rFonts w:hint="eastAsia" w:ascii="仿宋_GB2312" w:hAnsi="仿宋_GB2312" w:eastAsia="仿宋_GB2312" w:cs="仿宋_GB2312"/>
              <w:sz w:val="28"/>
              <w:szCs w:val="28"/>
            </w:rPr>
            <w:t>国</w:t>
          </w:r>
          <w:r>
            <w:rPr>
              <w:rFonts w:hint="eastAsia" w:ascii="仿宋_GB2312" w:hAnsi="仿宋_GB2312" w:eastAsia="仿宋_GB2312" w:cs="仿宋_GB2312"/>
              <w:bCs w:val="0"/>
              <w:sz w:val="28"/>
              <w:szCs w:val="28"/>
            </w:rPr>
            <w:t>有资本经营预算财政拨款收入支出决算表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_Toc23336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681EB42F">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_Toc23283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十二、国有资本经营预算财政拨款支出决算表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_Toc23283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5164D43F">
          <w:pPr>
            <w:pStyle w:val="17"/>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_Toc19470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十三、财政拨款“三公”经费支出决算表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_Toc19470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4</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04522CF8">
          <w:pPr>
            <w:pStyle w:val="17"/>
            <w:tabs>
              <w:tab w:val="right" w:leader="dot" w:pos="8306"/>
              <w:tab w:val="clear" w:pos="8296"/>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_Toc1273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十四、部门项目支出绩效目标表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6</w:t>
          </w:r>
        </w:p>
        <w:p w14:paraId="570D5728">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end"/>
          </w:r>
        </w:p>
      </w:sdtContent>
    </w:sdt>
    <w:p w14:paraId="42908531">
      <w:pPr>
        <w:pStyle w:val="4"/>
        <w:jc w:val="center"/>
        <w:rPr>
          <w:rFonts w:hint="eastAsia" w:ascii="黑体" w:eastAsia="黑体"/>
          <w:b w:val="0"/>
        </w:rPr>
      </w:pPr>
    </w:p>
    <w:p w14:paraId="1C3C76C1">
      <w:pPr>
        <w:pStyle w:val="4"/>
        <w:jc w:val="both"/>
        <w:rPr>
          <w:rFonts w:hint="eastAsia" w:ascii="黑体" w:eastAsia="黑体"/>
          <w:b w:val="0"/>
        </w:rPr>
      </w:pPr>
    </w:p>
    <w:p w14:paraId="37738EB1">
      <w:pPr>
        <w:rPr>
          <w:rFonts w:hint="eastAsia"/>
        </w:rPr>
      </w:pPr>
    </w:p>
    <w:p w14:paraId="776A81E2">
      <w:pPr>
        <w:widowControl/>
        <w:jc w:val="center"/>
        <w:rPr>
          <w:rFonts w:ascii="Times New Roman" w:hAnsi="Times New Roman" w:eastAsia="方正小标宋简体"/>
          <w:color w:val="auto"/>
          <w:sz w:val="36"/>
          <w:szCs w:val="36"/>
          <w:highlight w:val="none"/>
        </w:rPr>
      </w:pPr>
    </w:p>
    <w:p w14:paraId="33C164FC">
      <w:pPr>
        <w:widowControl/>
        <w:jc w:val="center"/>
        <w:rPr>
          <w:rFonts w:ascii="Times New Roman" w:hAnsi="Times New Roman" w:eastAsia="方正小标宋简体"/>
          <w:color w:val="auto"/>
          <w:sz w:val="36"/>
          <w:szCs w:val="36"/>
          <w:highlight w:val="none"/>
        </w:rPr>
      </w:pPr>
    </w:p>
    <w:p w14:paraId="387396B6">
      <w:pPr>
        <w:pStyle w:val="7"/>
        <w:rPr>
          <w:rFonts w:hint="eastAsia"/>
        </w:rPr>
      </w:pPr>
      <w:bookmarkStart w:id="6" w:name="_Toc15377196"/>
      <w:bookmarkStart w:id="7" w:name="_Toc15396599"/>
    </w:p>
    <w:p w14:paraId="431EA573">
      <w:pPr>
        <w:pStyle w:val="4"/>
        <w:jc w:val="center"/>
        <w:rPr>
          <w:rStyle w:val="33"/>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3"/>
          <w:rFonts w:hint="eastAsia" w:ascii="Times New Roman" w:hAnsi="Times New Roman" w:eastAsia="方正小标宋简体" w:cs="方正小标宋简体"/>
          <w:b w:val="0"/>
          <w:bCs w:val="0"/>
          <w:color w:val="auto"/>
          <w:highlight w:val="none"/>
        </w:rPr>
        <w:t>部门概况</w:t>
      </w:r>
      <w:bookmarkEnd w:id="6"/>
      <w:bookmarkEnd w:id="7"/>
    </w:p>
    <w:p w14:paraId="1B210F50">
      <w:pPr>
        <w:pStyle w:val="5"/>
        <w:numPr>
          <w:ilvl w:val="0"/>
          <w:numId w:val="0"/>
        </w:numPr>
        <w:ind w:firstLine="320" w:firstLineChars="100"/>
        <w:rPr>
          <w:rFonts w:ascii="Times New Roman" w:hAnsi="Times New Roman" w:eastAsia="黑体"/>
          <w:color w:val="auto"/>
          <w:sz w:val="32"/>
          <w:szCs w:val="32"/>
          <w:highlight w:val="none"/>
        </w:rPr>
      </w:pPr>
      <w:r>
        <w:rPr>
          <w:rFonts w:hint="eastAsia" w:ascii="Times New Roman" w:hAnsi="Times New Roman" w:eastAsia="黑体"/>
          <w:b w:val="0"/>
          <w:color w:val="auto"/>
          <w:highlight w:val="none"/>
          <w:lang w:eastAsia="zh-CN"/>
        </w:rPr>
        <w:t>部门职责</w:t>
      </w:r>
    </w:p>
    <w:p w14:paraId="400D6835">
      <w:pPr>
        <w:pStyle w:val="15"/>
        <w:numPr>
          <w:ilvl w:val="0"/>
          <w:numId w:val="1"/>
        </w:numPr>
        <w:bidi w:val="0"/>
        <w:jc w:val="both"/>
        <w:rPr>
          <w:rFonts w:hint="eastAsia"/>
        </w:rPr>
      </w:pPr>
      <w:r>
        <w:rPr>
          <w:rFonts w:hint="eastAsia"/>
        </w:rPr>
        <w:t>主要职能。</w:t>
      </w:r>
    </w:p>
    <w:p w14:paraId="5FC42DEC">
      <w:pPr>
        <w:ind w:firstLine="640" w:firstLineChars="200"/>
        <w:rPr>
          <w:rFonts w:ascii="仿宋_GB2312" w:hAnsi="宋体" w:eastAsia="仿宋_GB2312"/>
          <w:sz w:val="32"/>
          <w:szCs w:val="32"/>
        </w:rPr>
      </w:pPr>
      <w:r>
        <w:rPr>
          <w:rFonts w:hint="eastAsia" w:ascii="仿宋_GB2312" w:eastAsia="仿宋_GB2312"/>
          <w:sz w:val="32"/>
          <w:szCs w:val="32"/>
        </w:rPr>
        <w:t>协助县政府领导组织起草或审核以县政府、县政府办公室名义发布的公文。办理州政府、州政府办公室及各州直部门发送县政府的文电。指导全县行政机关公文处理工作。</w:t>
      </w:r>
    </w:p>
    <w:p w14:paraId="231FF3A7">
      <w:pPr>
        <w:pStyle w:val="32"/>
        <w:ind w:left="-29" w:leftChars="-14" w:firstLine="0" w:firstLineChars="0"/>
        <w:rPr>
          <w:rFonts w:ascii="仿宋_GB2312" w:eastAsia="仿宋_GB2312"/>
          <w:sz w:val="32"/>
          <w:szCs w:val="32"/>
        </w:rPr>
      </w:pPr>
      <w:r>
        <w:rPr>
          <w:rFonts w:hint="eastAsia" w:ascii="仿宋_GB2312" w:eastAsia="仿宋_GB2312"/>
          <w:sz w:val="32"/>
          <w:szCs w:val="32"/>
        </w:rPr>
        <w:t>研究县政府各部门和各乡、镇人民政府请示县政府的事项，提出审核意见，报县政府领导审批。</w:t>
      </w:r>
    </w:p>
    <w:p w14:paraId="74E322E5">
      <w:pPr>
        <w:ind w:firstLine="640" w:firstLineChars="200"/>
        <w:rPr>
          <w:rFonts w:ascii="仿宋_GB2312" w:eastAsia="仿宋_GB2312"/>
          <w:sz w:val="32"/>
          <w:szCs w:val="32"/>
        </w:rPr>
      </w:pPr>
      <w:r>
        <w:rPr>
          <w:rFonts w:hint="eastAsia" w:ascii="仿宋_GB2312" w:eastAsia="仿宋_GB2312"/>
          <w:sz w:val="32"/>
          <w:szCs w:val="32"/>
        </w:rPr>
        <w:t>负责县政府会议的准备工作，协助县政府领导组织实施会议决定事项。根据县政府领导的指示，对县政府各部门和各乡、镇人民政府间争议问题提出处理意见和建议，报县政府领导决定。</w:t>
      </w:r>
    </w:p>
    <w:p w14:paraId="27E7A6A4">
      <w:pPr>
        <w:ind w:firstLine="640" w:firstLineChars="200"/>
        <w:rPr>
          <w:rFonts w:ascii="仿宋_GB2312" w:eastAsia="仿宋_GB2312"/>
          <w:sz w:val="32"/>
          <w:szCs w:val="32"/>
        </w:rPr>
      </w:pPr>
      <w:r>
        <w:rPr>
          <w:rFonts w:hint="eastAsia" w:ascii="仿宋_GB2312" w:eastAsia="仿宋_GB2312"/>
          <w:sz w:val="32"/>
          <w:szCs w:val="32"/>
        </w:rPr>
        <w:t>督促检查县政府各部门和各乡、镇人民政府对县政府决定事项及县政府领导指示的贯彻落实情况，及时向县政府领导报告。</w:t>
      </w:r>
    </w:p>
    <w:p w14:paraId="2E230A10">
      <w:pPr>
        <w:ind w:firstLine="640" w:firstLineChars="200"/>
        <w:rPr>
          <w:rFonts w:ascii="仿宋_GB2312" w:eastAsia="仿宋_GB2312"/>
          <w:sz w:val="32"/>
          <w:szCs w:val="32"/>
        </w:rPr>
      </w:pPr>
      <w:r>
        <w:rPr>
          <w:rFonts w:hint="eastAsia" w:ascii="仿宋_GB2312" w:eastAsia="仿宋_GB2312"/>
          <w:sz w:val="32"/>
          <w:szCs w:val="32"/>
        </w:rPr>
        <w:t>负责县政府值班工作，指导各乡、镇人民政府和全县政府各部门值班工作，及时报告重要情况。</w:t>
      </w:r>
    </w:p>
    <w:p w14:paraId="764D836A">
      <w:pPr>
        <w:ind w:firstLine="640" w:firstLineChars="200"/>
        <w:rPr>
          <w:rFonts w:ascii="仿宋_GB2312" w:eastAsia="仿宋_GB2312"/>
          <w:sz w:val="32"/>
          <w:szCs w:val="32"/>
        </w:rPr>
      </w:pPr>
      <w:r>
        <w:rPr>
          <w:rFonts w:hint="eastAsia" w:ascii="仿宋_GB2312" w:eastAsia="仿宋_GB2312"/>
          <w:sz w:val="32"/>
          <w:szCs w:val="32"/>
        </w:rPr>
        <w:t>指导、监督全县政府信息公开工作和机关行政效能建设工作，指导、监督全县政府系统电子政务工作和政府网站建设。</w:t>
      </w:r>
    </w:p>
    <w:p w14:paraId="4B25F4E6">
      <w:pPr>
        <w:ind w:firstLine="640" w:firstLineChars="200"/>
        <w:rPr>
          <w:rFonts w:ascii="仿宋_GB2312" w:eastAsia="仿宋_GB2312"/>
          <w:sz w:val="32"/>
          <w:szCs w:val="32"/>
        </w:rPr>
      </w:pPr>
      <w:r>
        <w:rPr>
          <w:rFonts w:hint="eastAsia" w:ascii="仿宋_GB2312" w:eastAsia="仿宋_GB2312"/>
          <w:sz w:val="32"/>
          <w:szCs w:val="32"/>
        </w:rPr>
        <w:t>组织办理涉及县政府工作的人大代表议案、批评、建议和政协委员提案、建议案工作。</w:t>
      </w:r>
    </w:p>
    <w:p w14:paraId="5F00966F">
      <w:pPr>
        <w:ind w:firstLine="640" w:firstLineChars="200"/>
        <w:rPr>
          <w:rFonts w:ascii="仿宋_GB2312" w:eastAsia="仿宋_GB2312"/>
          <w:sz w:val="32"/>
          <w:szCs w:val="32"/>
        </w:rPr>
      </w:pPr>
      <w:r>
        <w:rPr>
          <w:rFonts w:hint="eastAsia" w:ascii="仿宋_GB2312" w:eastAsia="仿宋_GB2312"/>
          <w:sz w:val="32"/>
          <w:szCs w:val="32"/>
        </w:rPr>
        <w:t>指导全县应急管理工作，协助县政府领导做好需由县政府组织处理的突发事件的应急处置工作。</w:t>
      </w:r>
    </w:p>
    <w:p w14:paraId="6D1230AD">
      <w:pPr>
        <w:rPr>
          <w:rFonts w:ascii="仿宋_GB2312" w:eastAsia="仿宋_GB2312"/>
          <w:sz w:val="32"/>
          <w:szCs w:val="32"/>
        </w:rPr>
      </w:pPr>
      <w:r>
        <w:rPr>
          <w:rFonts w:hint="eastAsia" w:ascii="仿宋_GB2312" w:eastAsia="仿宋_GB2312"/>
          <w:sz w:val="32"/>
          <w:szCs w:val="32"/>
        </w:rPr>
        <w:t>围绕县政府中心工作和县政府领导的指示，组织专题调查研究，及时反映情况，提出政策性建议。</w:t>
      </w:r>
    </w:p>
    <w:p w14:paraId="58F7C494">
      <w:pPr>
        <w:rPr>
          <w:rFonts w:ascii="仿宋_GB2312" w:eastAsia="仿宋_GB2312"/>
          <w:sz w:val="32"/>
          <w:szCs w:val="32"/>
        </w:rPr>
      </w:pPr>
      <w:r>
        <w:rPr>
          <w:rFonts w:hint="eastAsia" w:ascii="仿宋_GB2312" w:eastAsia="仿宋_GB2312"/>
          <w:sz w:val="32"/>
          <w:szCs w:val="32"/>
        </w:rPr>
        <w:t>指导全县政务服务中心建设，组织全县各部门集中开展行政审批和公共服务。</w:t>
      </w:r>
    </w:p>
    <w:p w14:paraId="5858691E">
      <w:pPr>
        <w:ind w:firstLine="640" w:firstLineChars="200"/>
        <w:rPr>
          <w:rFonts w:ascii="仿宋_GB2312" w:eastAsia="仿宋_GB2312"/>
          <w:sz w:val="32"/>
          <w:szCs w:val="32"/>
        </w:rPr>
      </w:pPr>
      <w:r>
        <w:rPr>
          <w:rFonts w:hint="eastAsia" w:ascii="仿宋_GB2312" w:eastAsia="仿宋_GB2312"/>
          <w:sz w:val="32"/>
          <w:szCs w:val="32"/>
        </w:rPr>
        <w:t>负责县政府人民防空和民防工作，指导全县人民防空和民防工作。</w:t>
      </w:r>
    </w:p>
    <w:p w14:paraId="16CEE31E">
      <w:pPr>
        <w:ind w:firstLine="640" w:firstLineChars="200"/>
        <w:rPr>
          <w:rFonts w:ascii="仿宋_GB2312" w:eastAsia="仿宋_GB2312"/>
          <w:sz w:val="32"/>
          <w:szCs w:val="32"/>
        </w:rPr>
      </w:pPr>
      <w:r>
        <w:rPr>
          <w:rFonts w:hint="eastAsia" w:ascii="仿宋_GB2312" w:eastAsia="仿宋_GB2312"/>
          <w:sz w:val="32"/>
          <w:szCs w:val="32"/>
        </w:rPr>
        <w:t>负责全县机关事业单位小汽车编制审核报批事项。</w:t>
      </w:r>
    </w:p>
    <w:p w14:paraId="4EB2A7FB">
      <w:pPr>
        <w:rPr>
          <w:rFonts w:hint="eastAsia" w:ascii="仿宋_GB2312" w:eastAsia="仿宋_GB2312"/>
          <w:sz w:val="32"/>
          <w:szCs w:val="32"/>
        </w:rPr>
      </w:pPr>
      <w:r>
        <w:rPr>
          <w:rFonts w:hint="eastAsia" w:ascii="仿宋_GB2312" w:eastAsia="仿宋_GB2312"/>
          <w:sz w:val="32"/>
          <w:szCs w:val="32"/>
        </w:rPr>
        <w:t>承办县政府和县政府领导交办的其他事项。</w:t>
      </w:r>
    </w:p>
    <w:p w14:paraId="6B5EB947">
      <w:pPr>
        <w:pStyle w:val="2"/>
        <w:keepNext w:val="0"/>
        <w:keepLines w:val="0"/>
        <w:pageBreakBefore w:val="0"/>
        <w:kinsoku/>
        <w:wordWrap/>
        <w:overflowPunct/>
        <w:topLinePunct w:val="0"/>
        <w:autoSpaceDE/>
        <w:autoSpaceDN/>
        <w:bidi w:val="0"/>
        <w:adjustRightInd w:val="0"/>
        <w:snapToGrid w:val="0"/>
        <w:spacing w:line="560" w:lineRule="exact"/>
        <w:ind w:left="0" w:leftChars="0" w:right="0" w:rightChars="0" w:firstLine="675" w:firstLineChars="210"/>
        <w:textAlignment w:val="auto"/>
        <w:rPr>
          <w:rFonts w:hint="eastAsia" w:ascii="楷体_GB2312" w:hAnsi="楷体_GB2312" w:eastAsia="楷体_GB2312" w:cs="楷体_GB2312"/>
          <w:b/>
          <w:bCs w:val="0"/>
          <w:sz w:val="32"/>
          <w:szCs w:val="32"/>
          <w:lang w:eastAsia="zh-CN"/>
        </w:rPr>
      </w:pPr>
      <w:r>
        <w:rPr>
          <w:rFonts w:hint="eastAsia" w:ascii="楷体_GB2312" w:hAnsi="楷体_GB2312" w:eastAsia="楷体_GB2312" w:cs="楷体_GB2312"/>
          <w:b/>
          <w:bCs w:val="0"/>
          <w:sz w:val="32"/>
          <w:szCs w:val="32"/>
          <w:lang w:eastAsia="zh-CN"/>
        </w:rPr>
        <w:t>（二）202</w:t>
      </w:r>
      <w:r>
        <w:rPr>
          <w:rFonts w:hint="eastAsia" w:ascii="楷体_GB2312" w:hAnsi="楷体_GB2312" w:eastAsia="楷体_GB2312" w:cs="楷体_GB2312"/>
          <w:b/>
          <w:bCs w:val="0"/>
          <w:sz w:val="32"/>
          <w:szCs w:val="32"/>
          <w:lang w:val="en-US" w:eastAsia="zh-CN"/>
        </w:rPr>
        <w:t>5</w:t>
      </w:r>
      <w:r>
        <w:rPr>
          <w:rFonts w:hint="eastAsia" w:ascii="楷体_GB2312" w:hAnsi="楷体_GB2312" w:eastAsia="楷体_GB2312" w:cs="楷体_GB2312"/>
          <w:b/>
          <w:bCs w:val="0"/>
          <w:sz w:val="32"/>
          <w:szCs w:val="32"/>
          <w:lang w:eastAsia="zh-CN"/>
        </w:rPr>
        <w:t>年重点工作任务</w:t>
      </w:r>
    </w:p>
    <w:p w14:paraId="43D1D7D9">
      <w:pPr>
        <w:keepNext w:val="0"/>
        <w:keepLines w:val="0"/>
        <w:pageBreakBefore w:val="0"/>
        <w:widowControl w:val="0"/>
        <w:kinsoku/>
        <w:wordWrap/>
        <w:overflowPunct/>
        <w:topLinePunct w:val="0"/>
        <w:autoSpaceDE/>
        <w:autoSpaceDN/>
        <w:bidi w:val="0"/>
        <w:adjustRightInd/>
        <w:snapToGrid/>
        <w:spacing w:before="313" w:beforeLines="100" w:line="576" w:lineRule="exact"/>
        <w:ind w:firstLine="640"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仿宋_GB2312" w:cs="Times New Roman"/>
          <w:color w:val="auto"/>
          <w:sz w:val="32"/>
          <w:szCs w:val="32"/>
        </w:rPr>
        <w:t>202</w:t>
      </w:r>
      <w:r>
        <w:rPr>
          <w:rStyle w:val="40"/>
          <w:rFonts w:hint="eastAsia" w:ascii="Times New Roman" w:hAnsi="Times New Roman" w:eastAsia="仿宋_GB2312" w:cs="Times New Roman"/>
          <w:color w:val="auto"/>
          <w:sz w:val="32"/>
          <w:szCs w:val="32"/>
          <w:lang w:val="en-US" w:eastAsia="zh-CN"/>
        </w:rPr>
        <w:t>5</w:t>
      </w:r>
      <w:r>
        <w:rPr>
          <w:rStyle w:val="40"/>
          <w:rFonts w:hint="default" w:ascii="Times New Roman" w:hAnsi="Times New Roman" w:eastAsia="仿宋_GB2312" w:cs="Times New Roman"/>
          <w:color w:val="auto"/>
          <w:sz w:val="32"/>
          <w:szCs w:val="32"/>
        </w:rPr>
        <w:t>年是</w:t>
      </w:r>
      <w:r>
        <w:rPr>
          <w:rStyle w:val="40"/>
          <w:rFonts w:hint="default" w:ascii="Times New Roman" w:hAnsi="Times New Roman" w:eastAsia="仿宋_GB2312" w:cs="Times New Roman"/>
          <w:color w:val="auto"/>
          <w:sz w:val="32"/>
          <w:szCs w:val="32"/>
          <w:lang w:eastAsia="zh-CN"/>
        </w:rPr>
        <w:t>推进中国式现代化走向深入的关键之年，</w:t>
      </w:r>
      <w:r>
        <w:rPr>
          <w:rStyle w:val="40"/>
          <w:rFonts w:hint="default" w:ascii="Times New Roman" w:hAnsi="Times New Roman" w:eastAsia="仿宋_GB2312" w:cs="Times New Roman"/>
          <w:color w:val="auto"/>
          <w:sz w:val="32"/>
          <w:szCs w:val="32"/>
        </w:rPr>
        <w:t>是深入实施“十四五”规划的</w:t>
      </w:r>
      <w:r>
        <w:rPr>
          <w:rStyle w:val="40"/>
          <w:rFonts w:hint="eastAsia" w:ascii="Times New Roman" w:hAnsi="Times New Roman" w:eastAsia="仿宋_GB2312" w:cs="Times New Roman"/>
          <w:color w:val="auto"/>
          <w:sz w:val="32"/>
          <w:szCs w:val="32"/>
          <w:lang w:eastAsia="zh-CN"/>
        </w:rPr>
        <w:t>收官</w:t>
      </w:r>
      <w:r>
        <w:rPr>
          <w:rStyle w:val="40"/>
          <w:rFonts w:hint="default" w:ascii="Times New Roman" w:hAnsi="Times New Roman" w:eastAsia="仿宋_GB2312" w:cs="Times New Roman"/>
          <w:color w:val="auto"/>
          <w:sz w:val="32"/>
          <w:szCs w:val="32"/>
        </w:rPr>
        <w:t>之年。习近平总书记对四川对阿坝工作作出重要指示批示，</w:t>
      </w:r>
      <w:r>
        <w:rPr>
          <w:rStyle w:val="40"/>
          <w:rFonts w:hint="default" w:ascii="Times New Roman" w:hAnsi="Times New Roman" w:eastAsia="仿宋_GB2312" w:cs="Times New Roman"/>
          <w:color w:val="auto"/>
          <w:sz w:val="32"/>
          <w:szCs w:val="32"/>
          <w:lang w:eastAsia="zh-CN"/>
        </w:rPr>
        <w:t>中央、省委</w:t>
      </w:r>
      <w:r>
        <w:rPr>
          <w:rStyle w:val="40"/>
          <w:rFonts w:hint="default" w:ascii="Times New Roman" w:hAnsi="Times New Roman" w:eastAsia="仿宋_GB2312" w:cs="Times New Roman"/>
          <w:color w:val="auto"/>
          <w:sz w:val="32"/>
          <w:szCs w:val="32"/>
        </w:rPr>
        <w:t>、</w:t>
      </w:r>
      <w:r>
        <w:rPr>
          <w:rStyle w:val="40"/>
          <w:rFonts w:hint="default" w:ascii="Times New Roman" w:hAnsi="Times New Roman" w:eastAsia="仿宋_GB2312" w:cs="Times New Roman"/>
          <w:color w:val="auto"/>
          <w:sz w:val="32"/>
          <w:szCs w:val="32"/>
          <w:lang w:eastAsia="zh-CN"/>
        </w:rPr>
        <w:t>州委、县委先后明确</w:t>
      </w:r>
      <w:r>
        <w:rPr>
          <w:rStyle w:val="40"/>
          <w:rFonts w:hint="default" w:ascii="Times New Roman" w:hAnsi="Times New Roman" w:eastAsia="仿宋_GB2312" w:cs="Times New Roman"/>
          <w:color w:val="auto"/>
          <w:sz w:val="32"/>
          <w:szCs w:val="32"/>
        </w:rPr>
        <w:t>了扎实推动经济高质量发展</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加快构建现代化产业体系、深入推进城乡融合</w:t>
      </w:r>
      <w:r>
        <w:rPr>
          <w:rStyle w:val="40"/>
          <w:rFonts w:hint="default" w:ascii="Times New Roman" w:hAnsi="Times New Roman" w:eastAsia="仿宋_GB2312" w:cs="Times New Roman"/>
          <w:color w:val="auto"/>
          <w:sz w:val="32"/>
          <w:szCs w:val="32"/>
          <w:lang w:eastAsia="zh-CN"/>
        </w:rPr>
        <w:t>的</w:t>
      </w:r>
      <w:r>
        <w:rPr>
          <w:rStyle w:val="40"/>
          <w:rFonts w:hint="default" w:ascii="Times New Roman" w:hAnsi="Times New Roman" w:eastAsia="仿宋_GB2312" w:cs="Times New Roman"/>
          <w:color w:val="auto"/>
          <w:sz w:val="32"/>
          <w:szCs w:val="32"/>
        </w:rPr>
        <w:t>战略部署。</w:t>
      </w:r>
      <w:r>
        <w:rPr>
          <w:rStyle w:val="40"/>
          <w:rFonts w:hint="default" w:ascii="Times New Roman" w:hAnsi="Times New Roman" w:eastAsia="仿宋_GB2312" w:cs="Times New Roman"/>
          <w:color w:val="auto"/>
          <w:sz w:val="32"/>
          <w:szCs w:val="32"/>
          <w:lang w:eastAsia="zh-CN"/>
        </w:rPr>
        <w:t>为我们做好工作指明了方向、提供了遵循，接续奋斗、攻坚突破其时已至、其势已成、其兴可待。</w:t>
      </w:r>
    </w:p>
    <w:p w14:paraId="138A8673">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黑体" w:cs="Times New Roman"/>
          <w:color w:val="auto"/>
          <w:sz w:val="32"/>
          <w:szCs w:val="32"/>
        </w:rPr>
        <w:t>202</w:t>
      </w:r>
      <w:r>
        <w:rPr>
          <w:rStyle w:val="40"/>
          <w:rFonts w:hint="eastAsia" w:ascii="Times New Roman" w:hAnsi="Times New Roman" w:eastAsia="黑体" w:cs="Times New Roman"/>
          <w:color w:val="auto"/>
          <w:sz w:val="32"/>
          <w:szCs w:val="32"/>
          <w:lang w:val="en-US" w:eastAsia="zh-CN"/>
        </w:rPr>
        <w:t>5</w:t>
      </w:r>
      <w:r>
        <w:rPr>
          <w:rStyle w:val="40"/>
          <w:rFonts w:hint="default" w:ascii="Times New Roman" w:hAnsi="Times New Roman" w:eastAsia="黑体" w:cs="Times New Roman"/>
          <w:color w:val="auto"/>
          <w:sz w:val="32"/>
          <w:szCs w:val="32"/>
        </w:rPr>
        <w:t>年政府工作的总体要求是：</w:t>
      </w:r>
      <w:r>
        <w:rPr>
          <w:rStyle w:val="40"/>
          <w:rFonts w:hint="default" w:ascii="Times New Roman" w:hAnsi="Times New Roman" w:eastAsia="仿宋_GB2312" w:cs="Times New Roman"/>
          <w:color w:val="auto"/>
          <w:sz w:val="32"/>
          <w:szCs w:val="32"/>
        </w:rPr>
        <w:t>坚定以习近平新时代中国特色社会主义思想为指导，全面贯彻党的二十大、二十届历次全会精神，</w:t>
      </w:r>
      <w:r>
        <w:rPr>
          <w:rStyle w:val="40"/>
          <w:rFonts w:hint="default" w:ascii="Times New Roman" w:hAnsi="Times New Roman" w:eastAsia="仿宋_GB2312" w:cs="Times New Roman"/>
          <w:color w:val="auto"/>
          <w:sz w:val="32"/>
          <w:szCs w:val="32"/>
          <w:lang w:eastAsia="zh-CN"/>
        </w:rPr>
        <w:t>坚定贯彻习近平总书记对四川对阿坝工作系列重要指示批示精神，</w:t>
      </w:r>
      <w:r>
        <w:rPr>
          <w:rStyle w:val="40"/>
          <w:rFonts w:hint="default" w:ascii="Times New Roman" w:hAnsi="Times New Roman" w:eastAsia="仿宋_GB2312" w:cs="Times New Roman"/>
          <w:color w:val="auto"/>
          <w:sz w:val="32"/>
          <w:szCs w:val="32"/>
        </w:rPr>
        <w:t>认真落实省委十二届三次四次全会、州委十</w:t>
      </w:r>
      <w:r>
        <w:rPr>
          <w:rStyle w:val="40"/>
          <w:rFonts w:hint="default" w:ascii="Times New Roman" w:hAnsi="Times New Roman" w:eastAsia="仿宋_GB2312" w:cs="Times New Roman"/>
          <w:color w:val="auto"/>
          <w:sz w:val="32"/>
          <w:szCs w:val="32"/>
          <w:lang w:eastAsia="zh-CN"/>
        </w:rPr>
        <w:t>二</w:t>
      </w:r>
      <w:r>
        <w:rPr>
          <w:rStyle w:val="40"/>
          <w:rFonts w:hint="default" w:ascii="Times New Roman" w:hAnsi="Times New Roman" w:eastAsia="仿宋_GB2312" w:cs="Times New Roman"/>
          <w:color w:val="auto"/>
          <w:sz w:val="32"/>
          <w:szCs w:val="32"/>
        </w:rPr>
        <w:t>届三次四次全会</w:t>
      </w:r>
      <w:r>
        <w:rPr>
          <w:rStyle w:val="40"/>
          <w:rFonts w:hint="default" w:ascii="Times New Roman" w:hAnsi="Times New Roman" w:eastAsia="仿宋_GB2312" w:cs="Times New Roman"/>
          <w:color w:val="auto"/>
          <w:sz w:val="32"/>
          <w:szCs w:val="32"/>
          <w:lang w:eastAsia="zh-CN"/>
        </w:rPr>
        <w:t>战略决策</w:t>
      </w:r>
      <w:r>
        <w:rPr>
          <w:rStyle w:val="40"/>
          <w:rFonts w:hint="default" w:ascii="Times New Roman" w:hAnsi="Times New Roman" w:eastAsia="仿宋_GB2312" w:cs="Times New Roman"/>
          <w:color w:val="auto"/>
          <w:sz w:val="32"/>
          <w:szCs w:val="32"/>
        </w:rPr>
        <w:t>和县委</w:t>
      </w:r>
      <w:r>
        <w:rPr>
          <w:rStyle w:val="40"/>
          <w:rFonts w:hint="default" w:ascii="Times New Roman" w:hAnsi="Times New Roman" w:eastAsia="仿宋_GB2312" w:cs="Times New Roman"/>
          <w:color w:val="auto"/>
          <w:sz w:val="32"/>
          <w:szCs w:val="32"/>
          <w:lang w:eastAsia="zh-CN"/>
        </w:rPr>
        <w:t>十三届三次四次全会</w:t>
      </w:r>
      <w:r>
        <w:rPr>
          <w:rStyle w:val="40"/>
          <w:rFonts w:hint="default" w:ascii="Times New Roman" w:hAnsi="Times New Roman" w:eastAsia="仿宋_GB2312" w:cs="Times New Roman"/>
          <w:color w:val="auto"/>
          <w:sz w:val="32"/>
          <w:szCs w:val="32"/>
        </w:rPr>
        <w:t>部署要求，坚持“稳中求进、以进促稳，先立后破”</w:t>
      </w:r>
      <w:r>
        <w:rPr>
          <w:rStyle w:val="40"/>
          <w:rFonts w:hint="default" w:ascii="Times New Roman" w:hAnsi="Times New Roman" w:eastAsia="仿宋_GB2312" w:cs="Times New Roman"/>
          <w:color w:val="auto"/>
          <w:sz w:val="32"/>
          <w:szCs w:val="32"/>
          <w:lang w:eastAsia="zh-CN"/>
        </w:rPr>
        <w:t>工作总基调</w:t>
      </w:r>
      <w:r>
        <w:rPr>
          <w:rStyle w:val="40"/>
          <w:rFonts w:hint="default" w:ascii="Times New Roman" w:hAnsi="Times New Roman" w:eastAsia="仿宋_GB2312" w:cs="Times New Roman"/>
          <w:color w:val="auto"/>
          <w:sz w:val="32"/>
          <w:szCs w:val="32"/>
        </w:rPr>
        <w:t>，立足新发展阶段，完整、准确、全面贯彻新发展理念，主动融入新发展格局，紧扣高质量发展主线，聚焦省委“四化同步、城乡融合、五区共兴”和州委“一州两区三家园”战略新目标，紧扣“五个关键”，实施“五个工程”，争创“五个示范”，建成“五个家园”</w:t>
      </w:r>
      <w:r>
        <w:rPr>
          <w:rStyle w:val="40"/>
          <w:rFonts w:hint="default" w:ascii="Times New Roman" w:hAnsi="Times New Roman" w:eastAsia="仿宋_GB2312" w:cs="Times New Roman"/>
          <w:color w:val="auto"/>
          <w:sz w:val="32"/>
          <w:szCs w:val="32"/>
          <w:lang w:eastAsia="zh-CN"/>
        </w:rPr>
        <w:t>奋斗目标</w:t>
      </w:r>
      <w:r>
        <w:rPr>
          <w:rStyle w:val="40"/>
          <w:rFonts w:hint="default" w:ascii="Times New Roman" w:hAnsi="Times New Roman" w:eastAsia="仿宋_GB2312" w:cs="Times New Roman"/>
          <w:color w:val="auto"/>
          <w:sz w:val="32"/>
          <w:szCs w:val="32"/>
        </w:rPr>
        <w:t>，提振大干之志、鼓舞快干之姿</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狠下实干之功，力促各项工作迈上新台阶、取得新成绩。</w:t>
      </w:r>
    </w:p>
    <w:p w14:paraId="7071334B">
      <w:pPr>
        <w:keepNext w:val="0"/>
        <w:keepLines w:val="0"/>
        <w:pageBreakBefore w:val="0"/>
        <w:widowControl w:val="0"/>
        <w:kinsoku/>
        <w:wordWrap/>
        <w:overflowPunct/>
        <w:topLinePunct w:val="0"/>
        <w:autoSpaceDE/>
        <w:autoSpaceDN/>
        <w:bidi w:val="0"/>
        <w:adjustRightInd/>
        <w:snapToGrid/>
        <w:spacing w:line="576" w:lineRule="exact"/>
        <w:ind w:firstLine="616" w:firstLineChars="200"/>
        <w:jc w:val="both"/>
        <w:textAlignment w:val="auto"/>
        <w:outlineLvl w:val="9"/>
        <w:rPr>
          <w:rStyle w:val="40"/>
          <w:rFonts w:hint="default" w:ascii="Times New Roman" w:hAnsi="Times New Roman" w:eastAsia="仿宋_GB2312" w:cs="Times New Roman"/>
          <w:color w:val="auto"/>
          <w:spacing w:val="-6"/>
          <w:sz w:val="32"/>
          <w:szCs w:val="32"/>
          <w:lang w:eastAsia="zh-CN"/>
        </w:rPr>
      </w:pPr>
      <w:r>
        <w:rPr>
          <w:rStyle w:val="40"/>
          <w:rFonts w:hint="default" w:ascii="Times New Roman" w:hAnsi="Times New Roman" w:eastAsia="仿宋_GB2312" w:cs="Times New Roman"/>
          <w:color w:val="auto"/>
          <w:spacing w:val="-6"/>
          <w:sz w:val="32"/>
          <w:szCs w:val="32"/>
          <w:lang w:eastAsia="zh-CN"/>
        </w:rPr>
        <w:t>下一步，县人民政府将准确把握时与势，辩证看待危与机，精准研判稳与进，</w:t>
      </w:r>
      <w:r>
        <w:rPr>
          <w:rStyle w:val="40"/>
          <w:rFonts w:hint="default" w:ascii="Times New Roman" w:hAnsi="Times New Roman" w:eastAsia="仿宋_GB2312" w:cs="Times New Roman"/>
          <w:color w:val="auto"/>
          <w:spacing w:val="-6"/>
          <w:sz w:val="32"/>
          <w:szCs w:val="32"/>
        </w:rPr>
        <w:t>在</w:t>
      </w:r>
      <w:r>
        <w:rPr>
          <w:rStyle w:val="40"/>
          <w:rFonts w:hint="default" w:ascii="Times New Roman" w:hAnsi="Times New Roman" w:eastAsia="仿宋_GB2312" w:cs="Times New Roman"/>
          <w:color w:val="auto"/>
          <w:spacing w:val="-6"/>
          <w:sz w:val="32"/>
          <w:szCs w:val="32"/>
          <w:lang w:eastAsia="zh-CN"/>
        </w:rPr>
        <w:t>州委州政府和县委</w:t>
      </w:r>
      <w:r>
        <w:rPr>
          <w:rStyle w:val="40"/>
          <w:rFonts w:hint="default" w:ascii="Times New Roman" w:hAnsi="Times New Roman" w:eastAsia="仿宋_GB2312" w:cs="Times New Roman"/>
          <w:color w:val="auto"/>
          <w:spacing w:val="-6"/>
          <w:sz w:val="32"/>
          <w:szCs w:val="32"/>
        </w:rPr>
        <w:t>的坚强领导下，凝智聚力</w:t>
      </w:r>
      <w:r>
        <w:rPr>
          <w:rStyle w:val="40"/>
          <w:rFonts w:hint="default" w:ascii="Times New Roman" w:hAnsi="Times New Roman" w:eastAsia="仿宋_GB2312" w:cs="Times New Roman"/>
          <w:color w:val="auto"/>
          <w:spacing w:val="-6"/>
          <w:sz w:val="32"/>
          <w:szCs w:val="32"/>
          <w:lang w:eastAsia="zh-CN"/>
        </w:rPr>
        <w:t>、</w:t>
      </w:r>
      <w:r>
        <w:rPr>
          <w:rStyle w:val="40"/>
          <w:rFonts w:hint="default" w:ascii="Times New Roman" w:hAnsi="Times New Roman" w:eastAsia="仿宋_GB2312" w:cs="Times New Roman"/>
          <w:color w:val="auto"/>
          <w:spacing w:val="-6"/>
          <w:sz w:val="32"/>
          <w:szCs w:val="32"/>
        </w:rPr>
        <w:t>同心奋斗</w:t>
      </w:r>
      <w:r>
        <w:rPr>
          <w:rStyle w:val="40"/>
          <w:rFonts w:hint="default" w:ascii="Times New Roman" w:hAnsi="Times New Roman" w:eastAsia="仿宋_GB2312" w:cs="Times New Roman"/>
          <w:color w:val="auto"/>
          <w:spacing w:val="-6"/>
          <w:sz w:val="32"/>
          <w:szCs w:val="32"/>
          <w:lang w:eastAsia="zh-CN"/>
        </w:rPr>
        <w:t>，加快解决一批立足当下、事关长远的关键小事，办成</w:t>
      </w:r>
      <w:r>
        <w:rPr>
          <w:rStyle w:val="40"/>
          <w:rFonts w:hint="default" w:ascii="Times New Roman" w:hAnsi="Times New Roman" w:eastAsia="仿宋_GB2312" w:cs="Times New Roman"/>
          <w:color w:val="auto"/>
          <w:spacing w:val="-6"/>
          <w:sz w:val="32"/>
          <w:szCs w:val="32"/>
        </w:rPr>
        <w:t>一批</w:t>
      </w:r>
      <w:r>
        <w:rPr>
          <w:rStyle w:val="40"/>
          <w:rFonts w:hint="default" w:ascii="Times New Roman" w:hAnsi="Times New Roman" w:eastAsia="仿宋_GB2312" w:cs="Times New Roman"/>
          <w:color w:val="auto"/>
          <w:spacing w:val="-6"/>
          <w:sz w:val="32"/>
          <w:szCs w:val="32"/>
          <w:lang w:eastAsia="zh-CN"/>
        </w:rPr>
        <w:t>悬而未决、久拖未办</w:t>
      </w:r>
      <w:r>
        <w:rPr>
          <w:rStyle w:val="40"/>
          <w:rFonts w:hint="default" w:ascii="Times New Roman" w:hAnsi="Times New Roman" w:eastAsia="仿宋_GB2312" w:cs="Times New Roman"/>
          <w:color w:val="auto"/>
          <w:spacing w:val="-6"/>
          <w:sz w:val="32"/>
          <w:szCs w:val="32"/>
        </w:rPr>
        <w:t>的</w:t>
      </w:r>
      <w:r>
        <w:rPr>
          <w:rStyle w:val="40"/>
          <w:rFonts w:hint="default" w:ascii="Times New Roman" w:hAnsi="Times New Roman" w:eastAsia="仿宋_GB2312" w:cs="Times New Roman"/>
          <w:color w:val="auto"/>
          <w:spacing w:val="-6"/>
          <w:sz w:val="32"/>
          <w:szCs w:val="32"/>
          <w:lang w:eastAsia="zh-CN"/>
        </w:rPr>
        <w:t>暖心实事，促成一批示范引领、全域带动</w:t>
      </w:r>
      <w:r>
        <w:rPr>
          <w:rStyle w:val="40"/>
          <w:rFonts w:hint="default" w:ascii="Times New Roman" w:hAnsi="Times New Roman" w:eastAsia="仿宋_GB2312" w:cs="Times New Roman"/>
          <w:color w:val="auto"/>
          <w:spacing w:val="-6"/>
          <w:sz w:val="32"/>
          <w:szCs w:val="32"/>
          <w:lang w:val="en-US" w:eastAsia="zh-CN"/>
        </w:rPr>
        <w:t>的</w:t>
      </w:r>
      <w:r>
        <w:rPr>
          <w:rStyle w:val="40"/>
          <w:rFonts w:hint="default" w:ascii="Times New Roman" w:hAnsi="Times New Roman" w:eastAsia="仿宋_GB2312" w:cs="Times New Roman"/>
          <w:color w:val="auto"/>
          <w:spacing w:val="-6"/>
          <w:sz w:val="32"/>
          <w:szCs w:val="32"/>
          <w:lang w:eastAsia="zh-CN"/>
        </w:rPr>
        <w:t>发展大事。</w:t>
      </w:r>
    </w:p>
    <w:p w14:paraId="4DD01237">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Fonts w:hint="default" w:ascii="Times New Roman" w:hAnsi="Times New Roman" w:cs="Times New Roman"/>
          <w:color w:val="auto"/>
        </w:rPr>
      </w:pPr>
      <w:r>
        <w:rPr>
          <w:rStyle w:val="40"/>
          <w:rFonts w:hint="default" w:ascii="Times New Roman" w:hAnsi="Times New Roman" w:eastAsia="黑体" w:cs="Times New Roman"/>
          <w:color w:val="auto"/>
          <w:sz w:val="32"/>
          <w:szCs w:val="32"/>
        </w:rPr>
        <w:t>重点抓好以下七个方面的工作。</w:t>
      </w:r>
    </w:p>
    <w:p w14:paraId="14BE5796">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Fonts w:hint="default" w:ascii="Times New Roman" w:hAnsi="Times New Roman" w:cs="Times New Roman"/>
          <w:color w:val="auto"/>
        </w:rPr>
      </w:pPr>
      <w:r>
        <w:rPr>
          <w:rStyle w:val="40"/>
          <w:rFonts w:hint="default" w:ascii="Times New Roman" w:hAnsi="Times New Roman" w:eastAsia="黑体" w:cs="Times New Roman"/>
          <w:color w:val="auto"/>
          <w:sz w:val="32"/>
          <w:szCs w:val="32"/>
        </w:rPr>
        <w:t>一、实施比学赶超行动，全力稳住经济增长增速</w:t>
      </w:r>
    </w:p>
    <w:p w14:paraId="5C4F9FAD">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仿宋_GB2312" w:cs="Times New Roman"/>
          <w:color w:val="auto"/>
          <w:spacing w:val="-6"/>
          <w:sz w:val="32"/>
          <w:szCs w:val="32"/>
        </w:rPr>
      </w:pPr>
      <w:r>
        <w:rPr>
          <w:rStyle w:val="40"/>
          <w:rFonts w:hint="default" w:ascii="Times New Roman" w:hAnsi="Times New Roman" w:eastAsia="仿宋_GB2312" w:cs="Times New Roman"/>
          <w:color w:val="auto"/>
          <w:sz w:val="32"/>
          <w:szCs w:val="32"/>
        </w:rPr>
        <w:t>瞄</w:t>
      </w:r>
      <w:r>
        <w:rPr>
          <w:rStyle w:val="40"/>
          <w:rFonts w:hint="default" w:ascii="Times New Roman" w:hAnsi="Times New Roman" w:eastAsia="仿宋_GB2312" w:cs="Times New Roman"/>
          <w:color w:val="auto"/>
          <w:spacing w:val="-6"/>
          <w:sz w:val="32"/>
          <w:szCs w:val="32"/>
        </w:rPr>
        <w:t>准打响“开门红”、夺取“满堂彩”，积极</w:t>
      </w:r>
      <w:r>
        <w:rPr>
          <w:rStyle w:val="40"/>
          <w:rFonts w:hint="default" w:ascii="Times New Roman" w:hAnsi="Times New Roman" w:eastAsia="仿宋_GB2312" w:cs="Times New Roman"/>
          <w:color w:val="auto"/>
          <w:spacing w:val="-6"/>
          <w:sz w:val="32"/>
          <w:szCs w:val="32"/>
          <w:lang w:eastAsia="zh-CN"/>
        </w:rPr>
        <w:t>构建进位创优</w:t>
      </w:r>
      <w:r>
        <w:rPr>
          <w:rStyle w:val="40"/>
          <w:rFonts w:hint="default" w:ascii="Times New Roman" w:hAnsi="Times New Roman" w:eastAsia="仿宋_GB2312" w:cs="Times New Roman"/>
          <w:color w:val="auto"/>
          <w:spacing w:val="-6"/>
          <w:sz w:val="32"/>
          <w:szCs w:val="32"/>
        </w:rPr>
        <w:t>、奋进发展生动局面，以争先之志圆满实现冲刺抢跑</w:t>
      </w:r>
      <w:r>
        <w:rPr>
          <w:rStyle w:val="40"/>
          <w:rFonts w:hint="default" w:ascii="Times New Roman" w:hAnsi="Times New Roman" w:eastAsia="仿宋_GB2312" w:cs="Times New Roman"/>
          <w:color w:val="auto"/>
          <w:spacing w:val="-6"/>
          <w:sz w:val="32"/>
          <w:szCs w:val="32"/>
          <w:lang w:eastAsia="zh-CN"/>
        </w:rPr>
        <w:t>、稳中有进</w:t>
      </w:r>
      <w:r>
        <w:rPr>
          <w:rStyle w:val="40"/>
          <w:rFonts w:hint="default" w:ascii="Times New Roman" w:hAnsi="Times New Roman" w:eastAsia="仿宋_GB2312" w:cs="Times New Roman"/>
          <w:color w:val="auto"/>
          <w:spacing w:val="-6"/>
          <w:sz w:val="32"/>
          <w:szCs w:val="32"/>
        </w:rPr>
        <w:t>。</w:t>
      </w:r>
    </w:p>
    <w:p w14:paraId="2AF3DE63">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坚持行业牵头、引领推动，实现业务能力“大提升”。</w:t>
      </w:r>
      <w:r>
        <w:rPr>
          <w:rStyle w:val="40"/>
          <w:rFonts w:hint="default" w:ascii="Times New Roman" w:hAnsi="Times New Roman" w:eastAsia="仿宋_GB2312" w:cs="Times New Roman"/>
          <w:color w:val="auto"/>
          <w:sz w:val="32"/>
          <w:szCs w:val="32"/>
        </w:rPr>
        <w:t>以点带面推动提质强能，打造“拼经济”模范单位、“搞建设”示范机关、“抓发展”服务窗口，确保重点行业推得好、重要领域干得实、关键指标上得去。精心组织开展第五次全国经济普查</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严格执行“旬分析、月调度、季小结、年终决算”</w:t>
      </w:r>
      <w:r>
        <w:rPr>
          <w:rStyle w:val="40"/>
          <w:rFonts w:hint="default" w:ascii="Times New Roman" w:hAnsi="Times New Roman" w:eastAsia="仿宋_GB2312" w:cs="Times New Roman"/>
          <w:color w:val="auto"/>
          <w:sz w:val="32"/>
          <w:szCs w:val="32"/>
          <w:lang w:eastAsia="zh-CN"/>
        </w:rPr>
        <w:t>机制，继续推行</w:t>
      </w:r>
      <w:r>
        <w:rPr>
          <w:rStyle w:val="40"/>
          <w:rFonts w:hint="default" w:ascii="Times New Roman" w:hAnsi="Times New Roman" w:eastAsia="仿宋_GB2312" w:cs="Times New Roman"/>
          <w:color w:val="auto"/>
          <w:sz w:val="32"/>
          <w:szCs w:val="32"/>
        </w:rPr>
        <w:t>“军令状”“清单化”管理，</w:t>
      </w:r>
      <w:r>
        <w:rPr>
          <w:rStyle w:val="40"/>
          <w:rFonts w:hint="default" w:ascii="Times New Roman" w:hAnsi="Times New Roman" w:eastAsia="仿宋_GB2312" w:cs="Times New Roman"/>
          <w:color w:val="auto"/>
          <w:sz w:val="32"/>
          <w:szCs w:val="32"/>
          <w:lang w:eastAsia="zh-CN"/>
        </w:rPr>
        <w:t>力争</w:t>
      </w:r>
      <w:r>
        <w:rPr>
          <w:rStyle w:val="40"/>
          <w:rFonts w:hint="default" w:ascii="Times New Roman" w:hAnsi="Times New Roman" w:eastAsia="仿宋_GB2312" w:cs="Times New Roman"/>
          <w:color w:val="auto"/>
          <w:sz w:val="32"/>
          <w:szCs w:val="32"/>
        </w:rPr>
        <w:t>城乡居民人均可支配收入、工业增加值追平赶超，</w:t>
      </w:r>
      <w:r>
        <w:rPr>
          <w:rStyle w:val="40"/>
          <w:rFonts w:hint="default" w:ascii="Times New Roman" w:hAnsi="Times New Roman" w:eastAsia="仿宋_GB2312" w:cs="Times New Roman"/>
          <w:color w:val="auto"/>
          <w:sz w:val="32"/>
          <w:szCs w:val="32"/>
          <w:lang w:eastAsia="zh-CN"/>
        </w:rPr>
        <w:t>全力</w:t>
      </w:r>
      <w:r>
        <w:rPr>
          <w:rStyle w:val="40"/>
          <w:rFonts w:hint="default" w:ascii="Times New Roman" w:hAnsi="Times New Roman" w:eastAsia="仿宋_GB2312" w:cs="Times New Roman"/>
          <w:color w:val="auto"/>
          <w:sz w:val="32"/>
          <w:szCs w:val="32"/>
        </w:rPr>
        <w:t>提升社会消费品零售总额、全社会固定资产投资、一般公共预算收入</w:t>
      </w:r>
      <w:r>
        <w:rPr>
          <w:rStyle w:val="40"/>
          <w:rFonts w:hint="default" w:ascii="Times New Roman" w:hAnsi="Times New Roman" w:eastAsia="仿宋_GB2312" w:cs="Times New Roman"/>
          <w:color w:val="auto"/>
          <w:sz w:val="32"/>
          <w:szCs w:val="32"/>
          <w:lang w:eastAsia="zh-CN"/>
        </w:rPr>
        <w:t>等经济指标排名</w:t>
      </w:r>
      <w:r>
        <w:rPr>
          <w:rStyle w:val="40"/>
          <w:rFonts w:hint="default" w:ascii="Times New Roman" w:hAnsi="Times New Roman" w:eastAsia="仿宋_GB2312" w:cs="Times New Roman"/>
          <w:color w:val="auto"/>
          <w:sz w:val="32"/>
          <w:szCs w:val="32"/>
        </w:rPr>
        <w:t>位次。</w:t>
      </w:r>
      <w:r>
        <w:rPr>
          <w:rStyle w:val="40"/>
          <w:rFonts w:hint="default" w:ascii="Times New Roman" w:hAnsi="Times New Roman" w:eastAsia="仿宋_GB2312" w:cs="Times New Roman"/>
          <w:color w:val="auto"/>
          <w:sz w:val="32"/>
          <w:szCs w:val="32"/>
          <w:lang w:eastAsia="zh-CN"/>
        </w:rPr>
        <w:t>强化全国民族团结进步示范县、省级全域旅游示范区</w:t>
      </w:r>
      <w:r>
        <w:rPr>
          <w:rStyle w:val="40"/>
          <w:rFonts w:hint="default" w:ascii="Times New Roman" w:hAnsi="Times New Roman" w:eastAsia="仿宋_GB2312" w:cs="Times New Roman"/>
          <w:color w:val="auto"/>
          <w:sz w:val="32"/>
          <w:szCs w:val="32"/>
        </w:rPr>
        <w:t>创建</w:t>
      </w:r>
      <w:r>
        <w:rPr>
          <w:rStyle w:val="40"/>
          <w:rFonts w:hint="default" w:ascii="Times New Roman" w:hAnsi="Times New Roman" w:eastAsia="仿宋_GB2312" w:cs="Times New Roman"/>
          <w:color w:val="auto"/>
          <w:sz w:val="32"/>
          <w:szCs w:val="32"/>
          <w:lang w:eastAsia="zh-CN"/>
        </w:rPr>
        <w:t>经验总结和运用，全面提速</w:t>
      </w:r>
      <w:r>
        <w:rPr>
          <w:rStyle w:val="40"/>
          <w:rFonts w:hint="default" w:ascii="Times New Roman" w:hAnsi="Times New Roman" w:eastAsia="仿宋_GB2312" w:cs="Times New Roman"/>
          <w:color w:val="auto"/>
          <w:sz w:val="32"/>
          <w:szCs w:val="32"/>
        </w:rPr>
        <w:t>国家生态文明建设示范区、国家农业现代化示范区</w:t>
      </w:r>
      <w:r>
        <w:rPr>
          <w:rStyle w:val="40"/>
          <w:rFonts w:hint="default" w:ascii="Times New Roman" w:hAnsi="Times New Roman" w:eastAsia="仿宋_GB2312" w:cs="Times New Roman"/>
          <w:color w:val="auto"/>
          <w:sz w:val="32"/>
          <w:szCs w:val="32"/>
          <w:lang w:eastAsia="zh-CN"/>
        </w:rPr>
        <w:t>创建，确保</w:t>
      </w:r>
      <w:r>
        <w:rPr>
          <w:rStyle w:val="40"/>
          <w:rFonts w:hint="default" w:ascii="Times New Roman" w:hAnsi="Times New Roman" w:eastAsia="仿宋_GB2312" w:cs="Times New Roman"/>
          <w:color w:val="auto"/>
          <w:sz w:val="32"/>
          <w:szCs w:val="32"/>
        </w:rPr>
        <w:t>达标创成。</w:t>
      </w:r>
    </w:p>
    <w:p w14:paraId="046F2C48">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lang w:eastAsia="zh-CN"/>
        </w:rPr>
      </w:pPr>
      <w:r>
        <w:rPr>
          <w:rStyle w:val="40"/>
          <w:rFonts w:hint="default" w:ascii="Times New Roman" w:hAnsi="Times New Roman" w:eastAsia="楷体_GB2312" w:cs="Times New Roman"/>
          <w:b/>
          <w:bCs/>
          <w:color w:val="auto"/>
          <w:sz w:val="32"/>
          <w:szCs w:val="32"/>
        </w:rPr>
        <w:t>坚持项目牵引、投资拉动，开展质量效益“大比拼”。</w:t>
      </w:r>
      <w:r>
        <w:rPr>
          <w:rStyle w:val="40"/>
          <w:rFonts w:hint="default" w:ascii="Times New Roman" w:hAnsi="Times New Roman" w:eastAsia="仿宋_GB2312" w:cs="Times New Roman"/>
          <w:color w:val="auto"/>
          <w:sz w:val="32"/>
          <w:szCs w:val="32"/>
        </w:rPr>
        <w:t>完善项目谋划、储备、开工、投产“四个一批”滚动更新机制，确保</w:t>
      </w:r>
      <w:r>
        <w:rPr>
          <w:rStyle w:val="40"/>
          <w:rFonts w:hint="default" w:ascii="Times New Roman" w:hAnsi="Times New Roman" w:eastAsia="仿宋_GB2312" w:cs="Times New Roman"/>
          <w:color w:val="auto"/>
          <w:sz w:val="32"/>
          <w:szCs w:val="32"/>
          <w:lang w:eastAsia="zh-CN"/>
        </w:rPr>
        <w:t>重大</w:t>
      </w:r>
      <w:r>
        <w:rPr>
          <w:rStyle w:val="40"/>
          <w:rFonts w:hint="default" w:ascii="Times New Roman" w:hAnsi="Times New Roman" w:eastAsia="仿宋_GB2312" w:cs="Times New Roman"/>
          <w:color w:val="auto"/>
          <w:sz w:val="32"/>
          <w:szCs w:val="32"/>
        </w:rPr>
        <w:t>项目接续当下、备足长远。</w:t>
      </w:r>
      <w:r>
        <w:rPr>
          <w:rStyle w:val="40"/>
          <w:rFonts w:hint="default" w:ascii="Times New Roman" w:hAnsi="Times New Roman" w:eastAsia="仿宋_GB2312" w:cs="Times New Roman"/>
          <w:color w:val="auto"/>
          <w:sz w:val="32"/>
          <w:szCs w:val="32"/>
          <w:lang w:eastAsia="zh-CN"/>
        </w:rPr>
        <w:t>谋划储备省道九寨沟至马尔康高速公路（川主寺至马尔康段）、阿木卡水库、污水管网提升改造（三期）等重大项目40个以上、投资额达190亿元以上，超前谋划申报3.9万亿</w:t>
      </w:r>
      <w:r>
        <w:rPr>
          <w:rStyle w:val="40"/>
          <w:rFonts w:hint="default" w:ascii="Times New Roman" w:hAnsi="Times New Roman" w:eastAsia="仿宋_GB2312" w:cs="Times New Roman"/>
          <w:color w:val="auto"/>
          <w:sz w:val="32"/>
          <w:szCs w:val="32"/>
        </w:rPr>
        <w:t>国债项目。严格领导包联、专班推进、全程调度，督查问效措施，</w:t>
      </w:r>
      <w:r>
        <w:rPr>
          <w:rStyle w:val="40"/>
          <w:rFonts w:hint="default" w:ascii="Times New Roman" w:hAnsi="Times New Roman" w:eastAsia="仿宋_GB2312" w:cs="Times New Roman"/>
          <w:color w:val="auto"/>
          <w:sz w:val="32"/>
          <w:szCs w:val="32"/>
          <w:lang w:eastAsia="zh-CN"/>
        </w:rPr>
        <w:t>定期发布项目“红黑榜”，</w:t>
      </w:r>
      <w:r>
        <w:rPr>
          <w:rStyle w:val="40"/>
          <w:rFonts w:hint="default" w:ascii="Times New Roman" w:hAnsi="Times New Roman" w:eastAsia="仿宋_GB2312" w:cs="Times New Roman"/>
          <w:color w:val="auto"/>
          <w:sz w:val="32"/>
          <w:szCs w:val="32"/>
        </w:rPr>
        <w:t>全力推进G248县城过境段改建、久马高速（红原段）等6</w:t>
      </w:r>
      <w:r>
        <w:rPr>
          <w:rStyle w:val="40"/>
          <w:rFonts w:hint="default" w:ascii="Times New Roman" w:hAnsi="Times New Roman" w:eastAsia="仿宋_GB2312" w:cs="Times New Roman"/>
          <w:color w:val="auto"/>
          <w:sz w:val="32"/>
          <w:szCs w:val="32"/>
          <w:lang w:val="en-US" w:eastAsia="zh-CN"/>
        </w:rPr>
        <w:t>1</w:t>
      </w:r>
      <w:r>
        <w:rPr>
          <w:rStyle w:val="40"/>
          <w:rFonts w:hint="default" w:ascii="Times New Roman" w:hAnsi="Times New Roman" w:eastAsia="仿宋_GB2312" w:cs="Times New Roman"/>
          <w:color w:val="auto"/>
          <w:sz w:val="32"/>
          <w:szCs w:val="32"/>
        </w:rPr>
        <w:t>个重点建设项目</w:t>
      </w:r>
      <w:r>
        <w:rPr>
          <w:rStyle w:val="40"/>
          <w:rFonts w:hint="default" w:ascii="Times New Roman" w:hAnsi="Times New Roman" w:eastAsia="仿宋_GB2312" w:cs="Times New Roman"/>
          <w:color w:val="auto"/>
          <w:sz w:val="32"/>
          <w:szCs w:val="32"/>
          <w:lang w:eastAsia="zh-CN"/>
        </w:rPr>
        <w:t>，计划总</w:t>
      </w:r>
      <w:r>
        <w:rPr>
          <w:rStyle w:val="40"/>
          <w:rFonts w:hint="default" w:ascii="Times New Roman" w:hAnsi="Times New Roman" w:eastAsia="仿宋_GB2312" w:cs="Times New Roman"/>
          <w:color w:val="auto"/>
          <w:sz w:val="32"/>
          <w:szCs w:val="32"/>
        </w:rPr>
        <w:t>投资471</w:t>
      </w:r>
      <w:r>
        <w:rPr>
          <w:rStyle w:val="40"/>
          <w:rFonts w:hint="default" w:ascii="Times New Roman" w:hAnsi="Times New Roman" w:eastAsia="仿宋_GB2312" w:cs="Times New Roman"/>
          <w:color w:val="auto"/>
          <w:sz w:val="32"/>
          <w:szCs w:val="32"/>
          <w:lang w:val="en-US" w:eastAsia="zh-CN"/>
        </w:rPr>
        <w:t>970</w:t>
      </w:r>
      <w:r>
        <w:rPr>
          <w:rStyle w:val="40"/>
          <w:rFonts w:hint="default" w:ascii="Times New Roman" w:hAnsi="Times New Roman" w:eastAsia="仿宋_GB2312" w:cs="Times New Roman"/>
          <w:color w:val="auto"/>
          <w:sz w:val="32"/>
          <w:szCs w:val="32"/>
          <w:lang w:eastAsia="zh-CN"/>
        </w:rPr>
        <w:t>万</w:t>
      </w:r>
      <w:r>
        <w:rPr>
          <w:rStyle w:val="40"/>
          <w:rFonts w:hint="default" w:ascii="Times New Roman" w:hAnsi="Times New Roman" w:eastAsia="仿宋_GB2312" w:cs="Times New Roman"/>
          <w:color w:val="auto"/>
          <w:sz w:val="32"/>
          <w:szCs w:val="32"/>
        </w:rPr>
        <w:t>元</w:t>
      </w:r>
      <w:r>
        <w:rPr>
          <w:rStyle w:val="40"/>
          <w:rFonts w:hint="default" w:ascii="Times New Roman" w:hAnsi="Times New Roman" w:eastAsia="仿宋_GB2312" w:cs="Times New Roman"/>
          <w:color w:val="auto"/>
          <w:sz w:val="32"/>
          <w:szCs w:val="32"/>
          <w:lang w:eastAsia="zh-CN"/>
        </w:rPr>
        <w:t>。</w:t>
      </w:r>
    </w:p>
    <w:p w14:paraId="58413BDB">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坚持改革牵线、合作带动，力促服务环境“大转变”。</w:t>
      </w:r>
      <w:r>
        <w:rPr>
          <w:rStyle w:val="40"/>
          <w:rFonts w:hint="default" w:ascii="Times New Roman" w:hAnsi="Times New Roman" w:eastAsia="仿宋_GB2312" w:cs="Times New Roman"/>
          <w:color w:val="auto"/>
          <w:sz w:val="32"/>
          <w:szCs w:val="32"/>
        </w:rPr>
        <w:t>深化财税体制、金融机制、行政机构、供销等领域改革，</w:t>
      </w:r>
      <w:r>
        <w:rPr>
          <w:rStyle w:val="40"/>
          <w:rFonts w:hint="default" w:ascii="Times New Roman" w:hAnsi="Times New Roman" w:eastAsia="仿宋_GB2312" w:cs="Times New Roman"/>
          <w:color w:val="auto"/>
          <w:sz w:val="32"/>
          <w:szCs w:val="32"/>
          <w:lang w:eastAsia="zh-CN"/>
        </w:rPr>
        <w:t>有序</w:t>
      </w:r>
      <w:r>
        <w:rPr>
          <w:rStyle w:val="40"/>
          <w:rFonts w:hint="default" w:ascii="Times New Roman" w:hAnsi="Times New Roman" w:eastAsia="仿宋_GB2312" w:cs="Times New Roman"/>
          <w:color w:val="auto"/>
          <w:sz w:val="32"/>
          <w:szCs w:val="32"/>
        </w:rPr>
        <w:t>破除体制机制障碍。纵深推进“一网通办”前提下“最多跑一次”改革，持续开展“天府通办”分站点试点。实施“国有企业改革深化提升”行动，高效落实支持民营经济发展25条措施，兑现减税降费、电价支持等政策，培育民营经济新增量。强化政府、企业、院校合作，</w:t>
      </w:r>
      <w:r>
        <w:rPr>
          <w:rStyle w:val="40"/>
          <w:rFonts w:hint="default" w:ascii="Times New Roman" w:hAnsi="Times New Roman" w:eastAsia="仿宋_GB2312" w:cs="Times New Roman"/>
          <w:color w:val="auto"/>
          <w:sz w:val="32"/>
          <w:szCs w:val="32"/>
          <w:lang w:eastAsia="zh-CN"/>
        </w:rPr>
        <w:t>积极搭建</w:t>
      </w:r>
      <w:r>
        <w:rPr>
          <w:rStyle w:val="40"/>
          <w:rFonts w:hint="default" w:ascii="Times New Roman" w:hAnsi="Times New Roman" w:eastAsia="仿宋_GB2312" w:cs="Times New Roman"/>
          <w:color w:val="auto"/>
          <w:sz w:val="32"/>
          <w:szCs w:val="32"/>
        </w:rPr>
        <w:t>“高质量发展智库</w:t>
      </w:r>
      <w:r>
        <w:rPr>
          <w:rStyle w:val="40"/>
          <w:rFonts w:hint="default" w:ascii="Times New Roman" w:hAnsi="Times New Roman" w:eastAsia="仿宋_GB2312" w:cs="Times New Roman"/>
          <w:color w:val="auto"/>
          <w:sz w:val="32"/>
          <w:szCs w:val="32"/>
          <w:lang w:eastAsia="zh-CN"/>
        </w:rPr>
        <w:t>平台</w:t>
      </w:r>
      <w:r>
        <w:rPr>
          <w:rStyle w:val="40"/>
          <w:rFonts w:hint="default" w:ascii="Times New Roman" w:hAnsi="Times New Roman" w:eastAsia="仿宋_GB2312" w:cs="Times New Roman"/>
          <w:color w:val="auto"/>
          <w:sz w:val="32"/>
          <w:szCs w:val="32"/>
        </w:rPr>
        <w:t>”，打造产学研用示范点1个。</w:t>
      </w:r>
    </w:p>
    <w:p w14:paraId="2DE1EEEF">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黑体" w:cs="Times New Roman"/>
          <w:color w:val="auto"/>
          <w:sz w:val="32"/>
          <w:szCs w:val="32"/>
        </w:rPr>
      </w:pPr>
      <w:r>
        <w:rPr>
          <w:rStyle w:val="40"/>
          <w:rFonts w:hint="default" w:ascii="Times New Roman" w:hAnsi="Times New Roman" w:eastAsia="黑体" w:cs="Times New Roman"/>
          <w:color w:val="auto"/>
          <w:sz w:val="32"/>
          <w:szCs w:val="32"/>
        </w:rPr>
        <w:t>二、实施集中攻坚行动，全速构建现代产业体系</w:t>
      </w:r>
    </w:p>
    <w:p w14:paraId="77BB2DE4">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仿宋_GB2312" w:cs="Times New Roman"/>
          <w:color w:val="auto"/>
          <w:sz w:val="32"/>
          <w:szCs w:val="32"/>
        </w:rPr>
        <w:t>高效推动资源要素向产业集聚、政策措施向产业倾斜、</w:t>
      </w:r>
      <w:r>
        <w:rPr>
          <w:rStyle w:val="40"/>
          <w:rFonts w:hint="default" w:ascii="Times New Roman" w:hAnsi="Times New Roman" w:eastAsia="仿宋_GB2312" w:cs="Times New Roman"/>
          <w:color w:val="auto"/>
          <w:sz w:val="32"/>
          <w:szCs w:val="32"/>
          <w:lang w:eastAsia="zh-CN"/>
        </w:rPr>
        <w:t>资金项目</w:t>
      </w:r>
      <w:r>
        <w:rPr>
          <w:rStyle w:val="40"/>
          <w:rFonts w:hint="default" w:ascii="Times New Roman" w:hAnsi="Times New Roman" w:eastAsia="仿宋_GB2312" w:cs="Times New Roman"/>
          <w:color w:val="auto"/>
          <w:sz w:val="32"/>
          <w:szCs w:val="32"/>
        </w:rPr>
        <w:t>向产业</w:t>
      </w:r>
      <w:r>
        <w:rPr>
          <w:rStyle w:val="40"/>
          <w:rFonts w:hint="default" w:ascii="Times New Roman" w:hAnsi="Times New Roman" w:eastAsia="仿宋_GB2312" w:cs="Times New Roman"/>
          <w:color w:val="auto"/>
          <w:sz w:val="32"/>
          <w:szCs w:val="32"/>
          <w:lang w:eastAsia="zh-CN"/>
        </w:rPr>
        <w:t>延伸</w:t>
      </w:r>
      <w:r>
        <w:rPr>
          <w:rStyle w:val="40"/>
          <w:rFonts w:hint="default" w:ascii="Times New Roman" w:hAnsi="Times New Roman" w:eastAsia="仿宋_GB2312" w:cs="Times New Roman"/>
          <w:color w:val="auto"/>
          <w:sz w:val="32"/>
          <w:szCs w:val="32"/>
        </w:rPr>
        <w:t>，以务实之策精心打造现代特色产业体系。</w:t>
      </w:r>
    </w:p>
    <w:p w14:paraId="14AC6DC1">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lang w:val="en-US" w:eastAsia="zh-CN"/>
        </w:rPr>
      </w:pPr>
      <w:bookmarkStart w:id="8" w:name="_Hlk155374531"/>
      <w:r>
        <w:rPr>
          <w:rStyle w:val="40"/>
          <w:rFonts w:hint="default" w:ascii="Times New Roman" w:hAnsi="Times New Roman" w:eastAsia="楷体_GB2312" w:cs="Times New Roman"/>
          <w:b/>
          <w:bCs/>
          <w:color w:val="auto"/>
          <w:sz w:val="32"/>
          <w:szCs w:val="32"/>
          <w:lang w:eastAsia="zh-CN"/>
        </w:rPr>
        <w:t>坚持</w:t>
      </w:r>
      <w:r>
        <w:rPr>
          <w:rStyle w:val="40"/>
          <w:rFonts w:hint="default" w:ascii="Times New Roman" w:hAnsi="Times New Roman" w:eastAsia="楷体_GB2312" w:cs="Times New Roman"/>
          <w:b/>
          <w:bCs/>
          <w:color w:val="auto"/>
          <w:sz w:val="32"/>
          <w:szCs w:val="32"/>
        </w:rPr>
        <w:t>“四化”标准，做</w:t>
      </w:r>
      <w:r>
        <w:rPr>
          <w:rStyle w:val="40"/>
          <w:rFonts w:hint="default" w:ascii="Times New Roman" w:hAnsi="Times New Roman" w:eastAsia="楷体_GB2312" w:cs="Times New Roman"/>
          <w:b/>
          <w:bCs/>
          <w:color w:val="auto"/>
          <w:sz w:val="32"/>
          <w:szCs w:val="32"/>
          <w:lang w:eastAsia="zh-CN"/>
        </w:rPr>
        <w:t>优</w:t>
      </w:r>
      <w:r>
        <w:rPr>
          <w:rStyle w:val="40"/>
          <w:rFonts w:hint="default" w:ascii="Times New Roman" w:hAnsi="Times New Roman" w:eastAsia="楷体_GB2312" w:cs="Times New Roman"/>
          <w:b/>
          <w:bCs/>
          <w:color w:val="auto"/>
          <w:sz w:val="32"/>
          <w:szCs w:val="32"/>
        </w:rPr>
        <w:t>草原畜牧“土特产”。</w:t>
      </w:r>
      <w:bookmarkEnd w:id="8"/>
      <w:r>
        <w:rPr>
          <w:rStyle w:val="40"/>
          <w:rFonts w:hint="default" w:ascii="Times New Roman" w:hAnsi="Times New Roman" w:eastAsia="仿宋_GB2312" w:cs="Times New Roman"/>
          <w:color w:val="auto"/>
          <w:sz w:val="32"/>
          <w:szCs w:val="32"/>
        </w:rPr>
        <w:t>加速国家级现代农业园区创建，高标准实施国家草原畜牧业转型升级试点、牦牛产业集群、“高原粮仓”等项目，</w:t>
      </w:r>
      <w:r>
        <w:rPr>
          <w:rStyle w:val="40"/>
          <w:rFonts w:hint="default" w:ascii="Times New Roman" w:hAnsi="Times New Roman" w:eastAsia="仿宋_GB2312" w:cs="Times New Roman"/>
          <w:color w:val="auto"/>
          <w:sz w:val="32"/>
          <w:szCs w:val="32"/>
          <w:lang w:eastAsia="zh-CN"/>
        </w:rPr>
        <w:t>全面提升</w:t>
      </w:r>
      <w:r>
        <w:rPr>
          <w:rStyle w:val="40"/>
          <w:rFonts w:hint="default" w:ascii="Times New Roman" w:hAnsi="Times New Roman" w:eastAsia="仿宋_GB2312" w:cs="Times New Roman"/>
          <w:color w:val="auto"/>
          <w:sz w:val="32"/>
          <w:szCs w:val="32"/>
        </w:rPr>
        <w:t>规模化种养、标准化生产、集约化管理、市场化经营</w:t>
      </w:r>
      <w:r>
        <w:rPr>
          <w:rStyle w:val="40"/>
          <w:rFonts w:hint="default" w:ascii="Times New Roman" w:hAnsi="Times New Roman" w:eastAsia="仿宋_GB2312" w:cs="Times New Roman"/>
          <w:color w:val="auto"/>
          <w:sz w:val="32"/>
          <w:szCs w:val="32"/>
          <w:lang w:eastAsia="zh-CN"/>
        </w:rPr>
        <w:t>水平</w:t>
      </w:r>
      <w:r>
        <w:rPr>
          <w:rStyle w:val="40"/>
          <w:rFonts w:hint="default" w:ascii="Times New Roman" w:hAnsi="Times New Roman" w:eastAsia="仿宋_GB2312" w:cs="Times New Roman"/>
          <w:color w:val="auto"/>
          <w:sz w:val="32"/>
          <w:szCs w:val="32"/>
        </w:rPr>
        <w:t>，</w:t>
      </w:r>
      <w:r>
        <w:rPr>
          <w:rStyle w:val="40"/>
          <w:rFonts w:hint="default" w:ascii="Times New Roman" w:hAnsi="Times New Roman" w:eastAsia="仿宋_GB2312" w:cs="Times New Roman"/>
          <w:b w:val="0"/>
          <w:bCs w:val="0"/>
          <w:color w:val="auto"/>
          <w:sz w:val="32"/>
          <w:szCs w:val="32"/>
        </w:rPr>
        <w:t>坚持标准化建设养殖基地、规模化建设种草基地、企业化建设加工基地、品质化推进良种繁育</w:t>
      </w:r>
      <w:r>
        <w:rPr>
          <w:rStyle w:val="40"/>
          <w:rFonts w:hint="default" w:ascii="Times New Roman" w:hAnsi="Times New Roman" w:eastAsia="仿宋_GB2312" w:cs="Times New Roman"/>
          <w:b w:val="0"/>
          <w:bCs w:val="0"/>
          <w:color w:val="auto"/>
          <w:sz w:val="32"/>
          <w:szCs w:val="32"/>
          <w:lang w:eastAsia="zh-CN"/>
        </w:rPr>
        <w:t>基地</w:t>
      </w:r>
      <w:r>
        <w:rPr>
          <w:rStyle w:val="40"/>
          <w:rFonts w:hint="default" w:ascii="Times New Roman" w:hAnsi="Times New Roman" w:eastAsia="仿宋_GB2312" w:cs="Times New Roman"/>
          <w:b w:val="0"/>
          <w:bCs w:val="0"/>
          <w:color w:val="auto"/>
          <w:sz w:val="32"/>
          <w:szCs w:val="32"/>
        </w:rPr>
        <w:t>，</w:t>
      </w:r>
      <w:r>
        <w:rPr>
          <w:rStyle w:val="40"/>
          <w:rFonts w:hint="default" w:ascii="Times New Roman" w:hAnsi="Times New Roman" w:eastAsia="仿宋_GB2312" w:cs="Times New Roman"/>
          <w:b w:val="0"/>
          <w:bCs w:val="0"/>
          <w:color w:val="auto"/>
          <w:sz w:val="32"/>
          <w:szCs w:val="32"/>
          <w:lang w:eastAsia="zh-CN"/>
        </w:rPr>
        <w:t>确保做足“牛文章”、</w:t>
      </w:r>
      <w:r>
        <w:rPr>
          <w:rStyle w:val="40"/>
          <w:rFonts w:hint="default" w:ascii="Times New Roman" w:hAnsi="Times New Roman" w:eastAsia="仿宋_GB2312" w:cs="Times New Roman"/>
          <w:b w:val="0"/>
          <w:bCs w:val="0"/>
          <w:color w:val="auto"/>
          <w:sz w:val="32"/>
          <w:szCs w:val="32"/>
        </w:rPr>
        <w:t>放大“牛优势”</w:t>
      </w:r>
      <w:r>
        <w:rPr>
          <w:rStyle w:val="40"/>
          <w:rFonts w:hint="default" w:ascii="Times New Roman" w:hAnsi="Times New Roman" w:eastAsia="仿宋_GB2312" w:cs="Times New Roman"/>
          <w:b w:val="0"/>
          <w:bCs w:val="0"/>
          <w:color w:val="auto"/>
          <w:sz w:val="32"/>
          <w:szCs w:val="32"/>
          <w:lang w:eastAsia="zh-CN"/>
        </w:rPr>
        <w:t>、过好“牛日子”</w:t>
      </w:r>
      <w:r>
        <w:rPr>
          <w:rStyle w:val="40"/>
          <w:rFonts w:hint="default" w:ascii="Times New Roman" w:hAnsi="Times New Roman" w:eastAsia="仿宋_GB2312" w:cs="Times New Roman"/>
          <w:b w:val="0"/>
          <w:bCs w:val="0"/>
          <w:color w:val="auto"/>
          <w:sz w:val="32"/>
          <w:szCs w:val="32"/>
        </w:rPr>
        <w:t>。计划总投资221</w:t>
      </w:r>
      <w:r>
        <w:rPr>
          <w:rStyle w:val="40"/>
          <w:rFonts w:hint="default" w:ascii="Times New Roman" w:hAnsi="Times New Roman" w:eastAsia="仿宋_GB2312" w:cs="Times New Roman"/>
          <w:b w:val="0"/>
          <w:bCs w:val="0"/>
          <w:color w:val="auto"/>
          <w:sz w:val="32"/>
          <w:szCs w:val="32"/>
          <w:lang w:val="en-US" w:eastAsia="zh-CN"/>
        </w:rPr>
        <w:t>00</w:t>
      </w:r>
      <w:r>
        <w:rPr>
          <w:rStyle w:val="40"/>
          <w:rFonts w:hint="default" w:ascii="Times New Roman" w:hAnsi="Times New Roman" w:eastAsia="仿宋_GB2312" w:cs="Times New Roman"/>
          <w:b w:val="0"/>
          <w:bCs w:val="0"/>
          <w:color w:val="auto"/>
          <w:sz w:val="32"/>
          <w:szCs w:val="32"/>
          <w:lang w:eastAsia="zh-CN"/>
        </w:rPr>
        <w:t>万</w:t>
      </w:r>
      <w:r>
        <w:rPr>
          <w:rStyle w:val="40"/>
          <w:rFonts w:hint="default" w:ascii="Times New Roman" w:hAnsi="Times New Roman" w:eastAsia="仿宋_GB2312" w:cs="Times New Roman"/>
          <w:b w:val="0"/>
          <w:bCs w:val="0"/>
          <w:color w:val="auto"/>
          <w:sz w:val="32"/>
          <w:szCs w:val="32"/>
        </w:rPr>
        <w:t>元，推动农村农旅</w:t>
      </w:r>
      <w:r>
        <w:rPr>
          <w:rStyle w:val="40"/>
          <w:rFonts w:hint="default" w:ascii="Times New Roman" w:hAnsi="Times New Roman" w:eastAsia="仿宋_GB2312" w:cs="Times New Roman"/>
          <w:color w:val="auto"/>
          <w:sz w:val="32"/>
          <w:szCs w:val="32"/>
        </w:rPr>
        <w:t>融合发展示范项目投产达效，新建麦洼牦牛种畜繁育</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标准化养殖示范</w:t>
      </w:r>
      <w:r>
        <w:rPr>
          <w:rStyle w:val="40"/>
          <w:rFonts w:hint="default" w:ascii="Times New Roman" w:hAnsi="Times New Roman" w:eastAsia="仿宋_GB2312" w:cs="Times New Roman"/>
          <w:color w:val="auto"/>
          <w:sz w:val="32"/>
          <w:szCs w:val="32"/>
          <w:lang w:eastAsia="zh-CN"/>
        </w:rPr>
        <w:t>和</w:t>
      </w:r>
      <w:r>
        <w:rPr>
          <w:rStyle w:val="40"/>
          <w:rFonts w:hint="default" w:ascii="Times New Roman" w:hAnsi="Times New Roman" w:eastAsia="仿宋_GB2312" w:cs="Times New Roman"/>
          <w:color w:val="auto"/>
          <w:sz w:val="32"/>
          <w:szCs w:val="32"/>
        </w:rPr>
        <w:t>高产稳产优质饲草基地</w:t>
      </w:r>
      <w:r>
        <w:rPr>
          <w:rStyle w:val="40"/>
          <w:rFonts w:hint="default" w:ascii="Times New Roman" w:hAnsi="Times New Roman" w:eastAsia="仿宋_GB2312" w:cs="Times New Roman"/>
          <w:color w:val="auto"/>
          <w:sz w:val="32"/>
          <w:szCs w:val="32"/>
          <w:lang w:val="en-US" w:eastAsia="zh-CN"/>
        </w:rPr>
        <w:t>7</w:t>
      </w:r>
      <w:r>
        <w:rPr>
          <w:rStyle w:val="40"/>
          <w:rFonts w:hint="default" w:ascii="Times New Roman" w:hAnsi="Times New Roman" w:eastAsia="仿宋_GB2312" w:cs="Times New Roman"/>
          <w:color w:val="auto"/>
          <w:sz w:val="32"/>
          <w:szCs w:val="32"/>
        </w:rPr>
        <w:t>个，提升生态家庭牧场32个，</w:t>
      </w:r>
      <w:r>
        <w:rPr>
          <w:rStyle w:val="40"/>
          <w:rFonts w:hint="default" w:ascii="Times New Roman" w:hAnsi="Times New Roman" w:eastAsia="仿宋_GB2312" w:cs="Times New Roman"/>
          <w:color w:val="auto"/>
          <w:sz w:val="32"/>
          <w:szCs w:val="32"/>
          <w:lang w:eastAsia="zh-CN"/>
        </w:rPr>
        <w:t>预计完成</w:t>
      </w:r>
      <w:r>
        <w:rPr>
          <w:rStyle w:val="40"/>
          <w:rFonts w:hint="default" w:ascii="Times New Roman" w:hAnsi="Times New Roman" w:eastAsia="仿宋_GB2312" w:cs="Times New Roman"/>
          <w:color w:val="auto"/>
          <w:sz w:val="32"/>
          <w:szCs w:val="32"/>
        </w:rPr>
        <w:t>牦牛出栏15万头以上</w:t>
      </w:r>
      <w:r>
        <w:rPr>
          <w:rStyle w:val="40"/>
          <w:rFonts w:hint="default" w:ascii="Times New Roman" w:hAnsi="Times New Roman" w:eastAsia="仿宋_GB2312" w:cs="Times New Roman"/>
          <w:color w:val="auto"/>
          <w:sz w:val="32"/>
          <w:szCs w:val="32"/>
          <w:lang w:eastAsia="zh-CN"/>
        </w:rPr>
        <w:t>，肉奶产量分别达</w:t>
      </w:r>
      <w:r>
        <w:rPr>
          <w:rStyle w:val="40"/>
          <w:rFonts w:hint="default" w:ascii="Times New Roman" w:hAnsi="Times New Roman" w:eastAsia="仿宋_GB2312" w:cs="Times New Roman"/>
          <w:color w:val="auto"/>
          <w:sz w:val="32"/>
          <w:szCs w:val="32"/>
          <w:lang w:val="en-US" w:eastAsia="zh-CN"/>
        </w:rPr>
        <w:t>1.8万吨、4万吨</w:t>
      </w:r>
      <w:r>
        <w:rPr>
          <w:rStyle w:val="40"/>
          <w:rFonts w:hint="default" w:ascii="Times New Roman" w:hAnsi="Times New Roman" w:eastAsia="仿宋_GB2312" w:cs="Times New Roman"/>
          <w:color w:val="auto"/>
          <w:sz w:val="32"/>
          <w:szCs w:val="32"/>
        </w:rPr>
        <w:t>；培育龙头企业1家，新认证“三品一标”“净土阿坝”名特优农畜产品2个以上</w:t>
      </w:r>
      <w:r>
        <w:rPr>
          <w:rStyle w:val="40"/>
          <w:rFonts w:hint="default" w:ascii="Times New Roman" w:hAnsi="Times New Roman" w:eastAsia="仿宋_GB2312" w:cs="Times New Roman"/>
          <w:color w:val="auto"/>
          <w:sz w:val="32"/>
          <w:szCs w:val="32"/>
          <w:lang w:eastAsia="zh-CN"/>
        </w:rPr>
        <w:t>，实现</w:t>
      </w:r>
      <w:r>
        <w:rPr>
          <w:rStyle w:val="40"/>
          <w:rFonts w:hint="default" w:ascii="Times New Roman" w:hAnsi="Times New Roman" w:eastAsia="仿宋_GB2312" w:cs="Times New Roman"/>
          <w:color w:val="auto"/>
          <w:sz w:val="32"/>
          <w:szCs w:val="32"/>
        </w:rPr>
        <w:t>畜牧业全</w:t>
      </w:r>
      <w:r>
        <w:rPr>
          <w:rStyle w:val="40"/>
          <w:rFonts w:hint="default" w:ascii="Times New Roman" w:hAnsi="Times New Roman" w:eastAsia="仿宋_GB2312" w:cs="Times New Roman"/>
          <w:color w:val="auto"/>
          <w:sz w:val="32"/>
          <w:szCs w:val="32"/>
          <w:lang w:eastAsia="zh-CN"/>
        </w:rPr>
        <w:t>链条</w:t>
      </w:r>
      <w:r>
        <w:rPr>
          <w:rStyle w:val="40"/>
          <w:rFonts w:hint="default" w:ascii="Times New Roman" w:hAnsi="Times New Roman" w:eastAsia="仿宋_GB2312" w:cs="Times New Roman"/>
          <w:color w:val="auto"/>
          <w:sz w:val="32"/>
          <w:szCs w:val="32"/>
        </w:rPr>
        <w:t>提升、全产业融合、全要素保障</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lang w:val="en-US" w:eastAsia="zh-CN"/>
        </w:rPr>
        <w:t xml:space="preserve"> </w:t>
      </w:r>
    </w:p>
    <w:p w14:paraId="1463EB85">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Fonts w:hint="default" w:ascii="Times New Roman" w:hAnsi="Times New Roman" w:eastAsia="仿宋_GB2312" w:cs="Times New Roman"/>
          <w:color w:val="auto"/>
        </w:rPr>
      </w:pPr>
      <w:r>
        <w:rPr>
          <w:rStyle w:val="40"/>
          <w:rFonts w:hint="default" w:ascii="Times New Roman" w:hAnsi="Times New Roman" w:eastAsia="楷体_GB2312" w:cs="Times New Roman"/>
          <w:b/>
          <w:bCs/>
          <w:color w:val="auto"/>
          <w:sz w:val="32"/>
          <w:szCs w:val="32"/>
        </w:rPr>
        <w:t>推进“五链”融合，做大绿色工业“集群圈”。</w:t>
      </w:r>
      <w:r>
        <w:rPr>
          <w:rStyle w:val="40"/>
          <w:rFonts w:hint="default" w:ascii="Times New Roman" w:hAnsi="Times New Roman" w:eastAsia="仿宋_GB2312" w:cs="Times New Roman"/>
          <w:color w:val="auto"/>
          <w:sz w:val="32"/>
          <w:szCs w:val="32"/>
        </w:rPr>
        <w:t>聚焦产业链、创新链、人才链、资本链、服务链深度融合、集成发力，加速清洁能源、民族医药等新兴产业集聚，同步发展精深加工、民族特色手工等传统工业，形成链条完整、功能健全、配套完善、布局合理的工业矩阵。完善绿色产业园牦牛现代农业园区基础设施配套，</w:t>
      </w:r>
      <w:r>
        <w:rPr>
          <w:rStyle w:val="40"/>
          <w:rFonts w:hint="default" w:ascii="Times New Roman" w:hAnsi="Times New Roman" w:eastAsia="仿宋_GB2312" w:cs="Times New Roman"/>
          <w:color w:val="auto"/>
          <w:sz w:val="32"/>
          <w:szCs w:val="32"/>
          <w:lang w:eastAsia="zh-CN"/>
        </w:rPr>
        <w:t>推动</w:t>
      </w:r>
      <w:r>
        <w:rPr>
          <w:rStyle w:val="40"/>
          <w:rFonts w:hint="default" w:ascii="Times New Roman" w:hAnsi="Times New Roman" w:eastAsia="仿宋_GB2312" w:cs="Times New Roman"/>
          <w:color w:val="auto"/>
          <w:sz w:val="32"/>
          <w:szCs w:val="32"/>
          <w:lang w:val="en-US" w:eastAsia="zh-CN"/>
        </w:rPr>
        <w:t>安曲25万千瓦“光伏+清洁供暖”项目全面开工、</w:t>
      </w:r>
      <w:r>
        <w:rPr>
          <w:rStyle w:val="40"/>
          <w:rFonts w:hint="default" w:ascii="Times New Roman" w:hAnsi="Times New Roman" w:eastAsia="仿宋_GB2312" w:cs="Times New Roman"/>
          <w:color w:val="auto"/>
          <w:sz w:val="32"/>
          <w:szCs w:val="32"/>
        </w:rPr>
        <w:t>2</w:t>
      </w:r>
      <w:r>
        <w:rPr>
          <w:rStyle w:val="40"/>
          <w:rFonts w:hint="default" w:ascii="Times New Roman" w:hAnsi="Times New Roman" w:eastAsia="仿宋_GB2312" w:cs="Times New Roman"/>
          <w:color w:val="auto"/>
          <w:sz w:val="32"/>
          <w:szCs w:val="32"/>
          <w:lang w:val="en-US" w:eastAsia="zh-CN"/>
        </w:rPr>
        <w:t>.</w:t>
      </w:r>
      <w:r>
        <w:rPr>
          <w:rStyle w:val="40"/>
          <w:rFonts w:hint="default" w:ascii="Times New Roman" w:hAnsi="Times New Roman" w:eastAsia="仿宋_GB2312" w:cs="Times New Roman"/>
          <w:color w:val="auto"/>
          <w:sz w:val="32"/>
          <w:szCs w:val="32"/>
        </w:rPr>
        <w:t>94</w:t>
      </w:r>
      <w:r>
        <w:rPr>
          <w:rStyle w:val="40"/>
          <w:rFonts w:hint="default" w:ascii="Times New Roman" w:hAnsi="Times New Roman" w:eastAsia="仿宋_GB2312" w:cs="Times New Roman"/>
          <w:color w:val="auto"/>
          <w:sz w:val="32"/>
          <w:szCs w:val="32"/>
          <w:lang w:val="en-US" w:eastAsia="zh-CN"/>
        </w:rPr>
        <w:t>万千瓦</w:t>
      </w:r>
      <w:r>
        <w:rPr>
          <w:rStyle w:val="40"/>
          <w:rFonts w:hint="default" w:ascii="Times New Roman" w:hAnsi="Times New Roman" w:eastAsia="仿宋_GB2312" w:cs="Times New Roman"/>
          <w:color w:val="auto"/>
          <w:sz w:val="32"/>
          <w:szCs w:val="32"/>
        </w:rPr>
        <w:t>分布式光伏</w:t>
      </w:r>
      <w:r>
        <w:rPr>
          <w:rStyle w:val="40"/>
          <w:rFonts w:hint="default" w:ascii="Times New Roman" w:hAnsi="Times New Roman" w:eastAsia="仿宋_GB2312" w:cs="Times New Roman"/>
          <w:color w:val="auto"/>
          <w:sz w:val="32"/>
          <w:szCs w:val="32"/>
          <w:lang w:eastAsia="zh-CN"/>
        </w:rPr>
        <w:t>全面</w:t>
      </w:r>
      <w:r>
        <w:rPr>
          <w:rStyle w:val="40"/>
          <w:rFonts w:hint="default" w:ascii="Times New Roman" w:hAnsi="Times New Roman" w:eastAsia="仿宋_GB2312" w:cs="Times New Roman"/>
          <w:color w:val="auto"/>
          <w:sz w:val="32"/>
          <w:szCs w:val="32"/>
        </w:rPr>
        <w:t>投产，加速阿坝红原500</w:t>
      </w:r>
      <w:r>
        <w:rPr>
          <w:rStyle w:val="40"/>
          <w:rFonts w:hint="default" w:ascii="Times New Roman" w:hAnsi="Times New Roman" w:eastAsia="仿宋_GB2312" w:cs="Times New Roman"/>
          <w:color w:val="auto"/>
          <w:sz w:val="32"/>
          <w:szCs w:val="32"/>
          <w:lang w:val="en-US" w:eastAsia="zh-CN"/>
        </w:rPr>
        <w:t>千伏</w:t>
      </w:r>
      <w:r>
        <w:rPr>
          <w:rStyle w:val="40"/>
          <w:rFonts w:hint="default" w:ascii="Times New Roman" w:hAnsi="Times New Roman" w:eastAsia="仿宋_GB2312" w:cs="Times New Roman"/>
          <w:color w:val="auto"/>
          <w:sz w:val="32"/>
          <w:szCs w:val="32"/>
        </w:rPr>
        <w:t>输变电站</w:t>
      </w:r>
      <w:r>
        <w:rPr>
          <w:rStyle w:val="40"/>
          <w:rFonts w:hint="default" w:ascii="Times New Roman" w:hAnsi="Times New Roman" w:eastAsia="仿宋_GB2312" w:cs="Times New Roman"/>
          <w:color w:val="auto"/>
          <w:sz w:val="32"/>
          <w:szCs w:val="32"/>
          <w:lang w:eastAsia="zh-CN"/>
        </w:rPr>
        <w:t>全面落地</w:t>
      </w:r>
      <w:r>
        <w:rPr>
          <w:rStyle w:val="40"/>
          <w:rFonts w:hint="default" w:ascii="Times New Roman" w:hAnsi="Times New Roman" w:eastAsia="仿宋_GB2312" w:cs="Times New Roman"/>
          <w:color w:val="auto"/>
          <w:sz w:val="32"/>
          <w:szCs w:val="32"/>
        </w:rPr>
        <w:t>，全力打造清洁能源产业发展示范基地。</w:t>
      </w:r>
      <w:r>
        <w:rPr>
          <w:rStyle w:val="40"/>
          <w:rFonts w:hint="default" w:ascii="Times New Roman" w:hAnsi="Times New Roman" w:eastAsia="仿宋_GB2312" w:cs="Times New Roman"/>
          <w:color w:val="auto"/>
          <w:sz w:val="32"/>
          <w:szCs w:val="32"/>
          <w:lang w:eastAsia="zh-CN"/>
        </w:rPr>
        <w:t>健全完善</w:t>
      </w:r>
      <w:r>
        <w:rPr>
          <w:rStyle w:val="40"/>
          <w:rFonts w:hint="default" w:ascii="Times New Roman" w:hAnsi="Times New Roman" w:eastAsia="仿宋_GB2312" w:cs="Times New Roman"/>
          <w:color w:val="auto"/>
          <w:sz w:val="32"/>
          <w:szCs w:val="32"/>
        </w:rPr>
        <w:t>“三台·红原·温州”飞地产业园协调</w:t>
      </w:r>
      <w:r>
        <w:rPr>
          <w:rStyle w:val="40"/>
          <w:rFonts w:hint="default" w:ascii="Times New Roman" w:hAnsi="Times New Roman" w:eastAsia="仿宋_GB2312" w:cs="Times New Roman"/>
          <w:color w:val="auto"/>
          <w:sz w:val="32"/>
          <w:szCs w:val="32"/>
          <w:lang w:eastAsia="zh-CN"/>
        </w:rPr>
        <w:t>联席</w:t>
      </w:r>
      <w:r>
        <w:rPr>
          <w:rStyle w:val="40"/>
          <w:rFonts w:hint="default" w:ascii="Times New Roman" w:hAnsi="Times New Roman" w:eastAsia="仿宋_GB2312" w:cs="Times New Roman"/>
          <w:color w:val="auto"/>
          <w:sz w:val="32"/>
          <w:szCs w:val="32"/>
        </w:rPr>
        <w:t>机制、激励</w:t>
      </w:r>
      <w:r>
        <w:rPr>
          <w:rStyle w:val="40"/>
          <w:rFonts w:hint="default" w:ascii="Times New Roman" w:hAnsi="Times New Roman" w:eastAsia="仿宋_GB2312" w:cs="Times New Roman"/>
          <w:color w:val="auto"/>
          <w:sz w:val="32"/>
          <w:szCs w:val="32"/>
          <w:lang w:eastAsia="zh-CN"/>
        </w:rPr>
        <w:t>支持</w:t>
      </w:r>
      <w:r>
        <w:rPr>
          <w:rStyle w:val="40"/>
          <w:rFonts w:hint="default" w:ascii="Times New Roman" w:hAnsi="Times New Roman" w:eastAsia="仿宋_GB2312" w:cs="Times New Roman"/>
          <w:color w:val="auto"/>
          <w:sz w:val="32"/>
          <w:szCs w:val="32"/>
        </w:rPr>
        <w:t>机制</w:t>
      </w:r>
      <w:r>
        <w:rPr>
          <w:rStyle w:val="40"/>
          <w:rFonts w:hint="default" w:ascii="Times New Roman" w:hAnsi="Times New Roman" w:eastAsia="仿宋_GB2312" w:cs="Times New Roman"/>
          <w:color w:val="auto"/>
          <w:sz w:val="32"/>
          <w:szCs w:val="32"/>
          <w:lang w:eastAsia="zh-CN"/>
        </w:rPr>
        <w:t>和</w:t>
      </w:r>
      <w:r>
        <w:rPr>
          <w:rStyle w:val="40"/>
          <w:rFonts w:hint="default" w:ascii="Times New Roman" w:hAnsi="Times New Roman" w:eastAsia="仿宋_GB2312" w:cs="Times New Roman"/>
          <w:color w:val="auto"/>
          <w:sz w:val="32"/>
          <w:szCs w:val="32"/>
        </w:rPr>
        <w:t>利益分配机制，“飞地经济”成为</w:t>
      </w:r>
      <w:r>
        <w:rPr>
          <w:rStyle w:val="40"/>
          <w:rFonts w:hint="default" w:ascii="Times New Roman" w:hAnsi="Times New Roman" w:eastAsia="仿宋_GB2312" w:cs="Times New Roman"/>
          <w:color w:val="auto"/>
          <w:sz w:val="32"/>
          <w:szCs w:val="32"/>
          <w:lang w:eastAsia="zh-CN"/>
        </w:rPr>
        <w:t>经济增长</w:t>
      </w:r>
      <w:r>
        <w:rPr>
          <w:rStyle w:val="40"/>
          <w:rFonts w:hint="default" w:ascii="Times New Roman" w:hAnsi="Times New Roman" w:eastAsia="仿宋_GB2312" w:cs="Times New Roman"/>
          <w:color w:val="auto"/>
          <w:sz w:val="32"/>
          <w:szCs w:val="32"/>
        </w:rPr>
        <w:t>新拉动。完成2户企业升规入统，</w:t>
      </w:r>
      <w:r>
        <w:rPr>
          <w:rStyle w:val="40"/>
          <w:rFonts w:hint="default" w:ascii="Times New Roman" w:hAnsi="Times New Roman" w:eastAsia="仿宋_GB2312" w:cs="Times New Roman"/>
          <w:color w:val="auto"/>
          <w:sz w:val="32"/>
          <w:szCs w:val="32"/>
          <w:lang w:eastAsia="zh-CN"/>
        </w:rPr>
        <w:t>实现</w:t>
      </w:r>
      <w:r>
        <w:rPr>
          <w:rStyle w:val="40"/>
          <w:rFonts w:hint="default" w:ascii="Times New Roman" w:hAnsi="Times New Roman" w:eastAsia="仿宋_GB2312" w:cs="Times New Roman"/>
          <w:color w:val="auto"/>
          <w:sz w:val="32"/>
          <w:szCs w:val="32"/>
        </w:rPr>
        <w:t>全县规上企业</w:t>
      </w:r>
      <w:r>
        <w:rPr>
          <w:rStyle w:val="40"/>
          <w:rFonts w:hint="default" w:ascii="Times New Roman" w:hAnsi="Times New Roman" w:eastAsia="仿宋_GB2312" w:cs="Times New Roman"/>
          <w:color w:val="auto"/>
          <w:sz w:val="32"/>
          <w:szCs w:val="32"/>
          <w:lang w:eastAsia="zh-CN"/>
        </w:rPr>
        <w:t>总量和质量双提升</w:t>
      </w:r>
      <w:r>
        <w:rPr>
          <w:rStyle w:val="40"/>
          <w:rFonts w:hint="default" w:ascii="Times New Roman" w:hAnsi="Times New Roman" w:eastAsia="仿宋_GB2312" w:cs="Times New Roman"/>
          <w:color w:val="auto"/>
          <w:sz w:val="32"/>
          <w:szCs w:val="32"/>
        </w:rPr>
        <w:t>。</w:t>
      </w:r>
    </w:p>
    <w:p w14:paraId="1FA1A2D4">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紧扣“三区”引领，做靓文旅融合“新场景”。</w:t>
      </w:r>
      <w:r>
        <w:rPr>
          <w:rStyle w:val="40"/>
          <w:rFonts w:hint="default" w:ascii="Times New Roman" w:hAnsi="Times New Roman" w:eastAsia="仿宋_GB2312" w:cs="Times New Roman"/>
          <w:color w:val="auto"/>
          <w:sz w:val="32"/>
          <w:szCs w:val="32"/>
        </w:rPr>
        <w:t>深入实施“旅游+”战略，对标国家全域旅游示范区、省级文旅融合发展示范区、省级生态旅游示范区，打造多点串联、区域协同的文旅融合产业功能布局。</w:t>
      </w:r>
      <w:r>
        <w:rPr>
          <w:rStyle w:val="40"/>
          <w:rFonts w:hint="default" w:ascii="Times New Roman" w:hAnsi="Times New Roman" w:eastAsia="仿宋_GB2312" w:cs="Times New Roman"/>
          <w:color w:val="auto"/>
          <w:sz w:val="32"/>
          <w:szCs w:val="32"/>
          <w:lang w:eastAsia="zh-CN"/>
        </w:rPr>
        <w:t>实施</w:t>
      </w:r>
      <w:r>
        <w:rPr>
          <w:rStyle w:val="40"/>
          <w:rFonts w:hint="default" w:ascii="Times New Roman" w:hAnsi="Times New Roman" w:eastAsia="仿宋_GB2312" w:cs="Times New Roman"/>
          <w:color w:val="auto"/>
          <w:sz w:val="32"/>
          <w:szCs w:val="32"/>
        </w:rPr>
        <w:t>全域旅游景观打造、节点提升</w:t>
      </w:r>
      <w:r>
        <w:rPr>
          <w:rStyle w:val="40"/>
          <w:rFonts w:hint="default" w:ascii="Times New Roman" w:hAnsi="Times New Roman" w:eastAsia="仿宋_GB2312" w:cs="Times New Roman"/>
          <w:color w:val="auto"/>
          <w:sz w:val="32"/>
          <w:szCs w:val="32"/>
          <w:lang w:eastAsia="zh-CN"/>
        </w:rPr>
        <w:t>建设项目</w:t>
      </w:r>
      <w:r>
        <w:rPr>
          <w:rStyle w:val="40"/>
          <w:rFonts w:hint="default" w:ascii="Times New Roman" w:hAnsi="Times New Roman" w:eastAsia="仿宋_GB2312" w:cs="Times New Roman"/>
          <w:color w:val="auto"/>
          <w:sz w:val="32"/>
          <w:szCs w:val="32"/>
        </w:rPr>
        <w:t>。加速长征国家文化公园创建</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发挥“红色草原”理事长单位作用，</w:t>
      </w:r>
      <w:r>
        <w:rPr>
          <w:rStyle w:val="40"/>
          <w:rFonts w:hint="default" w:ascii="Times New Roman" w:hAnsi="Times New Roman" w:eastAsia="仿宋_GB2312" w:cs="Times New Roman"/>
          <w:color w:val="auto"/>
          <w:sz w:val="32"/>
          <w:szCs w:val="32"/>
          <w:lang w:eastAsia="zh-CN"/>
        </w:rPr>
        <w:t>建设</w:t>
      </w:r>
      <w:r>
        <w:rPr>
          <w:rStyle w:val="40"/>
          <w:rFonts w:hint="default" w:ascii="Times New Roman" w:hAnsi="Times New Roman" w:eastAsia="仿宋_GB2312" w:cs="Times New Roman"/>
          <w:color w:val="auto"/>
          <w:sz w:val="32"/>
          <w:szCs w:val="32"/>
        </w:rPr>
        <w:t>红色景点、推出红色线路、培育红色品牌，打造红色文化弘扬传承高地</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支持围麓、野奢、牧星空等打造网红露营地、精品民宿，进一步丰富旅游业态、完善要素功能，推动全域旅游深层次融合、宽领域发展。高质量举办第七届“雅克音乐季”及雅克看花季、雅克赛马季、雅克冰雪季、“阿坝畅坝·和美乡村”等系列重大文旅活动，推动品牌上下串联、左右贯通、内外协调，充分凝聚红原的人气、商气、烟火气。</w:t>
      </w:r>
    </w:p>
    <w:p w14:paraId="131158B0">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黑体" w:cs="Times New Roman"/>
          <w:color w:val="auto"/>
          <w:sz w:val="32"/>
          <w:szCs w:val="32"/>
        </w:rPr>
      </w:pPr>
      <w:r>
        <w:rPr>
          <w:rStyle w:val="40"/>
          <w:rFonts w:hint="default" w:ascii="Times New Roman" w:hAnsi="Times New Roman" w:eastAsia="黑体" w:cs="Times New Roman"/>
          <w:color w:val="auto"/>
          <w:sz w:val="32"/>
          <w:szCs w:val="32"/>
        </w:rPr>
        <w:t>三、实施护绿增绿行动，全面推进生态保护治理</w:t>
      </w:r>
    </w:p>
    <w:p w14:paraId="6BB3FBDF">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仿宋_GB2312" w:cs="Times New Roman"/>
          <w:color w:val="auto"/>
          <w:sz w:val="32"/>
          <w:szCs w:val="32"/>
        </w:rPr>
        <w:t>树牢“绿水青山就是金山银山”理念，着力提升“含绿量、含氧量、含金量”，以精准之法持续扮靓生态家园、大美红原。</w:t>
      </w:r>
    </w:p>
    <w:p w14:paraId="1E389DF8">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加快“</w:t>
      </w:r>
      <w:r>
        <w:rPr>
          <w:rStyle w:val="40"/>
          <w:rFonts w:hint="default" w:ascii="Times New Roman" w:hAnsi="Times New Roman" w:eastAsia="楷体_GB2312" w:cs="Times New Roman"/>
          <w:b/>
          <w:bCs/>
          <w:color w:val="auto"/>
          <w:sz w:val="32"/>
          <w:szCs w:val="32"/>
          <w:lang w:eastAsia="zh-CN"/>
        </w:rPr>
        <w:t>增</w:t>
      </w:r>
      <w:r>
        <w:rPr>
          <w:rStyle w:val="40"/>
          <w:rFonts w:hint="default" w:ascii="Times New Roman" w:hAnsi="Times New Roman" w:eastAsia="楷体_GB2312" w:cs="Times New Roman"/>
          <w:b/>
          <w:bCs/>
          <w:color w:val="auto"/>
          <w:sz w:val="32"/>
          <w:szCs w:val="32"/>
        </w:rPr>
        <w:t>绿”速度。</w:t>
      </w:r>
      <w:r>
        <w:rPr>
          <w:rStyle w:val="40"/>
          <w:rFonts w:hint="default" w:ascii="Times New Roman" w:hAnsi="Times New Roman" w:eastAsia="仿宋_GB2312" w:cs="Times New Roman"/>
          <w:color w:val="auto"/>
          <w:sz w:val="32"/>
          <w:szCs w:val="32"/>
        </w:rPr>
        <w:t>深入实施“七大保护”行动，高位落实河（湖）长制、草（林）长制和田长制，全面完成46个“山水工程”项目。做深做实美丽四川先行县建设，积极争创“两山”理论实践创新基地，高效协同完成若尔盖国家公园创建，建成刷经寺片区高标准农田2000亩。计划投资5</w:t>
      </w:r>
      <w:r>
        <w:rPr>
          <w:rStyle w:val="40"/>
          <w:rFonts w:hint="default" w:ascii="Times New Roman" w:hAnsi="Times New Roman" w:eastAsia="仿宋_GB2312" w:cs="Times New Roman"/>
          <w:color w:val="auto"/>
          <w:sz w:val="32"/>
          <w:szCs w:val="32"/>
          <w:lang w:val="en-US" w:eastAsia="zh-CN"/>
        </w:rPr>
        <w:t>0000万</w:t>
      </w:r>
      <w:r>
        <w:rPr>
          <w:rStyle w:val="40"/>
          <w:rFonts w:hint="default" w:ascii="Times New Roman" w:hAnsi="Times New Roman" w:eastAsia="仿宋_GB2312" w:cs="Times New Roman"/>
          <w:color w:val="auto"/>
          <w:sz w:val="32"/>
          <w:szCs w:val="32"/>
        </w:rPr>
        <w:t>元，加快实施嘎曲国家湿地公园保护展示</w:t>
      </w:r>
      <w:r>
        <w:rPr>
          <w:rStyle w:val="40"/>
          <w:rFonts w:hint="default" w:ascii="Times New Roman" w:hAnsi="Times New Roman" w:eastAsia="仿宋_GB2312" w:cs="Times New Roman"/>
          <w:color w:val="auto"/>
          <w:sz w:val="32"/>
          <w:szCs w:val="32"/>
          <w:lang w:eastAsia="zh-CN"/>
        </w:rPr>
        <w:t>、黄河流域水资源监测体系、黄河上游水源涵养地补给区生态综合治理、饮用水源地提升改造及综合治理</w:t>
      </w:r>
      <w:r>
        <w:rPr>
          <w:rStyle w:val="40"/>
          <w:rFonts w:hint="default" w:ascii="Times New Roman" w:hAnsi="Times New Roman" w:eastAsia="仿宋_GB2312" w:cs="Times New Roman"/>
          <w:color w:val="auto"/>
          <w:sz w:val="32"/>
          <w:szCs w:val="32"/>
        </w:rPr>
        <w:t>等项目，改良草原31.4万亩，人工种草2.25万亩，鼠害防治20万亩，修复湿地750亩，治理沙化土地3174亩，新建</w:t>
      </w:r>
      <w:r>
        <w:rPr>
          <w:rStyle w:val="40"/>
          <w:rFonts w:hint="default" w:ascii="Times New Roman" w:hAnsi="Times New Roman" w:eastAsia="仿宋_GB2312" w:cs="Times New Roman"/>
          <w:color w:val="auto"/>
          <w:sz w:val="32"/>
          <w:szCs w:val="32"/>
          <w:lang w:eastAsia="zh-CN"/>
        </w:rPr>
        <w:t>堤防</w:t>
      </w:r>
      <w:r>
        <w:rPr>
          <w:rStyle w:val="40"/>
          <w:rFonts w:hint="default" w:ascii="Times New Roman" w:hAnsi="Times New Roman" w:eastAsia="仿宋_GB2312" w:cs="Times New Roman"/>
          <w:color w:val="auto"/>
          <w:sz w:val="32"/>
          <w:szCs w:val="32"/>
        </w:rPr>
        <w:t>护岸4.5公里。</w:t>
      </w:r>
    </w:p>
    <w:p w14:paraId="5554B7ED">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提升“治污”强度。</w:t>
      </w:r>
      <w:r>
        <w:rPr>
          <w:rStyle w:val="40"/>
          <w:rFonts w:hint="default" w:ascii="Times New Roman" w:hAnsi="Times New Roman" w:eastAsia="仿宋_GB2312" w:cs="Times New Roman"/>
          <w:color w:val="auto"/>
          <w:sz w:val="32"/>
          <w:szCs w:val="32"/>
        </w:rPr>
        <w:t>纵深推进“七大治理”工程，巩固提升黄河流域生态环境问题整改成果，持续打好“碧水、蓝天、净土”保卫战，力争大气、水环境质量排名稳步提升，土壤环境持续保持稳定。持续抓好中央、省、州环保督察反馈问题整改，整改率达97%</w:t>
      </w:r>
      <w:r>
        <w:rPr>
          <w:rStyle w:val="40"/>
          <w:rFonts w:hint="default" w:ascii="Times New Roman" w:hAnsi="Times New Roman" w:eastAsia="仿宋_GB2312" w:cs="Times New Roman"/>
          <w:color w:val="auto"/>
          <w:sz w:val="32"/>
          <w:szCs w:val="32"/>
          <w:lang w:eastAsia="zh-CN"/>
        </w:rPr>
        <w:t>以上</w:t>
      </w:r>
      <w:r>
        <w:rPr>
          <w:rStyle w:val="40"/>
          <w:rFonts w:hint="default" w:ascii="Times New Roman" w:hAnsi="Times New Roman" w:eastAsia="仿宋_GB2312" w:cs="Times New Roman"/>
          <w:color w:val="auto"/>
          <w:sz w:val="32"/>
          <w:szCs w:val="32"/>
        </w:rPr>
        <w:t>，有序做好第三轮中央生态环保督察迎检。健全完善县、乡、村垃圾分类</w:t>
      </w:r>
      <w:r>
        <w:rPr>
          <w:rStyle w:val="40"/>
          <w:rFonts w:hint="default" w:ascii="Times New Roman" w:hAnsi="Times New Roman" w:eastAsia="仿宋_GB2312" w:cs="Times New Roman"/>
          <w:color w:val="auto"/>
          <w:sz w:val="32"/>
          <w:szCs w:val="32"/>
          <w:lang w:eastAsia="zh-CN"/>
        </w:rPr>
        <w:t>和</w:t>
      </w:r>
      <w:r>
        <w:rPr>
          <w:rStyle w:val="40"/>
          <w:rFonts w:hint="default" w:ascii="Times New Roman" w:hAnsi="Times New Roman" w:eastAsia="仿宋_GB2312" w:cs="Times New Roman"/>
          <w:color w:val="auto"/>
          <w:sz w:val="32"/>
          <w:szCs w:val="32"/>
        </w:rPr>
        <w:t>污水处置体系，</w:t>
      </w:r>
      <w:r>
        <w:rPr>
          <w:rStyle w:val="40"/>
          <w:rFonts w:hint="default" w:ascii="Times New Roman" w:hAnsi="Times New Roman" w:eastAsia="仿宋_GB2312" w:cs="Times New Roman"/>
          <w:color w:val="auto"/>
          <w:sz w:val="32"/>
          <w:szCs w:val="32"/>
          <w:lang w:eastAsia="zh-CN"/>
        </w:rPr>
        <w:t>争取</w:t>
      </w:r>
      <w:r>
        <w:rPr>
          <w:rStyle w:val="40"/>
          <w:rFonts w:hint="default" w:ascii="Times New Roman" w:hAnsi="Times New Roman" w:eastAsia="仿宋_GB2312" w:cs="Times New Roman"/>
          <w:color w:val="auto"/>
          <w:sz w:val="32"/>
          <w:szCs w:val="32"/>
        </w:rPr>
        <w:t>餐厨垃圾无害化处理</w:t>
      </w:r>
      <w:r>
        <w:rPr>
          <w:rStyle w:val="40"/>
          <w:rFonts w:hint="default" w:ascii="Times New Roman" w:hAnsi="Times New Roman" w:eastAsia="仿宋_GB2312" w:cs="Times New Roman"/>
          <w:color w:val="auto"/>
          <w:sz w:val="32"/>
          <w:szCs w:val="32"/>
          <w:lang w:eastAsia="zh-CN"/>
        </w:rPr>
        <w:t>、城区雨污分流提标改造等</w:t>
      </w:r>
      <w:r>
        <w:rPr>
          <w:rStyle w:val="40"/>
          <w:rFonts w:hint="default" w:ascii="Times New Roman" w:hAnsi="Times New Roman" w:eastAsia="仿宋_GB2312" w:cs="Times New Roman"/>
          <w:color w:val="auto"/>
          <w:sz w:val="32"/>
          <w:szCs w:val="32"/>
        </w:rPr>
        <w:t>项目</w:t>
      </w:r>
      <w:r>
        <w:rPr>
          <w:rStyle w:val="40"/>
          <w:rFonts w:hint="default" w:ascii="Times New Roman" w:hAnsi="Times New Roman" w:eastAsia="仿宋_GB2312" w:cs="Times New Roman"/>
          <w:color w:val="auto"/>
          <w:sz w:val="32"/>
          <w:szCs w:val="32"/>
          <w:lang w:eastAsia="zh-CN"/>
        </w:rPr>
        <w:t>建设</w:t>
      </w:r>
      <w:r>
        <w:rPr>
          <w:rStyle w:val="40"/>
          <w:rFonts w:hint="default" w:ascii="Times New Roman" w:hAnsi="Times New Roman" w:eastAsia="仿宋_GB2312" w:cs="Times New Roman"/>
          <w:color w:val="auto"/>
          <w:sz w:val="32"/>
          <w:szCs w:val="32"/>
        </w:rPr>
        <w:t>，加强乡镇污水处理厂运行管理，垃圾无害化处理率达95%以上、建制镇污水处理率达45%以上。严把环评审批、排污许可关，严厉打击破坏生态、草原征占、非法采砂、泥炭盗采等违法行为。</w:t>
      </w:r>
    </w:p>
    <w:p w14:paraId="65AF80F7">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rPr>
      </w:pPr>
      <w:bookmarkStart w:id="9" w:name="_Hlk155374552"/>
      <w:r>
        <w:rPr>
          <w:rStyle w:val="40"/>
          <w:rFonts w:hint="default" w:ascii="Times New Roman" w:hAnsi="Times New Roman" w:eastAsia="楷体_GB2312" w:cs="Times New Roman"/>
          <w:b/>
          <w:bCs/>
          <w:color w:val="auto"/>
          <w:sz w:val="32"/>
          <w:szCs w:val="32"/>
        </w:rPr>
        <w:t>加大“控碳”力度。</w:t>
      </w:r>
      <w:r>
        <w:rPr>
          <w:rStyle w:val="40"/>
          <w:rFonts w:hint="default" w:ascii="Times New Roman" w:hAnsi="Times New Roman" w:eastAsia="仿宋_GB2312" w:cs="Times New Roman"/>
          <w:color w:val="auto"/>
          <w:sz w:val="32"/>
          <w:szCs w:val="32"/>
        </w:rPr>
        <w:t>落实“双碳”战略，严格执行产业负面清单，有序引导传统产业优化能源结构，抓好工业、建筑、交通等重点领域节能减排，推动能耗“双控”向碳排放“双控”转变。加快开展草地定级估价试点，科学编制林草湿生态系统碳汇开发规划，试点推进造林碳汇，健全生态产品价值实现机制，丰富林草碳汇开发试点成果模式，促进生态与生计、增绿与增收有机统一。</w:t>
      </w:r>
      <w:r>
        <w:rPr>
          <w:rStyle w:val="40"/>
          <w:rFonts w:hint="default" w:ascii="Times New Roman" w:hAnsi="Times New Roman" w:eastAsia="仿宋_GB2312" w:cs="Times New Roman"/>
          <w:color w:val="auto"/>
          <w:sz w:val="32"/>
          <w:szCs w:val="32"/>
          <w:lang w:eastAsia="zh-CN"/>
        </w:rPr>
        <w:t>持续深化</w:t>
      </w:r>
      <w:r>
        <w:rPr>
          <w:rStyle w:val="40"/>
          <w:rFonts w:hint="default" w:ascii="Times New Roman" w:hAnsi="Times New Roman" w:eastAsia="仿宋_GB2312" w:cs="Times New Roman"/>
          <w:color w:val="auto"/>
          <w:sz w:val="32"/>
          <w:szCs w:val="32"/>
        </w:rPr>
        <w:t>节约型、节能型机关</w:t>
      </w:r>
      <w:r>
        <w:rPr>
          <w:rStyle w:val="40"/>
          <w:rFonts w:hint="default" w:ascii="Times New Roman" w:hAnsi="Times New Roman" w:eastAsia="仿宋_GB2312" w:cs="Times New Roman"/>
          <w:color w:val="auto"/>
          <w:sz w:val="32"/>
          <w:szCs w:val="32"/>
          <w:lang w:eastAsia="zh-CN"/>
        </w:rPr>
        <w:t>（单位）</w:t>
      </w:r>
      <w:r>
        <w:rPr>
          <w:rStyle w:val="40"/>
          <w:rFonts w:hint="default" w:ascii="Times New Roman" w:hAnsi="Times New Roman" w:eastAsia="仿宋_GB2312" w:cs="Times New Roman"/>
          <w:color w:val="auto"/>
          <w:sz w:val="32"/>
          <w:szCs w:val="32"/>
        </w:rPr>
        <w:t>、绿色（村）社区等</w:t>
      </w:r>
      <w:r>
        <w:rPr>
          <w:rStyle w:val="40"/>
          <w:rFonts w:hint="default" w:ascii="Times New Roman" w:hAnsi="Times New Roman" w:eastAsia="仿宋_GB2312" w:cs="Times New Roman"/>
          <w:color w:val="auto"/>
          <w:sz w:val="32"/>
          <w:szCs w:val="32"/>
          <w:lang w:eastAsia="zh-CN"/>
        </w:rPr>
        <w:t>示范</w:t>
      </w:r>
      <w:r>
        <w:rPr>
          <w:rStyle w:val="40"/>
          <w:rFonts w:hint="default" w:ascii="Times New Roman" w:hAnsi="Times New Roman" w:eastAsia="仿宋_GB2312" w:cs="Times New Roman"/>
          <w:color w:val="auto"/>
          <w:sz w:val="32"/>
          <w:szCs w:val="32"/>
        </w:rPr>
        <w:t>创建，让低碳节约成为社会新风尚。</w:t>
      </w:r>
    </w:p>
    <w:bookmarkEnd w:id="9"/>
    <w:p w14:paraId="65803F1A">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黑体" w:cs="Times New Roman"/>
          <w:color w:val="auto"/>
          <w:sz w:val="32"/>
          <w:szCs w:val="32"/>
        </w:rPr>
      </w:pPr>
      <w:r>
        <w:rPr>
          <w:rStyle w:val="40"/>
          <w:rFonts w:hint="default" w:ascii="Times New Roman" w:hAnsi="Times New Roman" w:eastAsia="黑体" w:cs="Times New Roman"/>
          <w:color w:val="auto"/>
          <w:sz w:val="32"/>
          <w:szCs w:val="32"/>
        </w:rPr>
        <w:t>四、实施建管提升行动，全域拓展城乡发展空间</w:t>
      </w:r>
    </w:p>
    <w:p w14:paraId="4FFFF904">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仿宋_GB2312" w:cs="Times New Roman"/>
          <w:color w:val="auto"/>
          <w:sz w:val="32"/>
          <w:szCs w:val="32"/>
        </w:rPr>
        <w:t>突出县域核心、节点城镇、和美乡村，进一步提升宜居宜业宜游魅力颜值，以创新之举加速创建</w:t>
      </w:r>
      <w:r>
        <w:rPr>
          <w:rStyle w:val="40"/>
          <w:rFonts w:hint="default" w:ascii="Times New Roman" w:hAnsi="Times New Roman" w:eastAsia="仿宋_GB2312" w:cs="Times New Roman"/>
          <w:color w:val="auto"/>
          <w:sz w:val="32"/>
          <w:szCs w:val="32"/>
          <w:lang w:eastAsia="zh-CN"/>
        </w:rPr>
        <w:t>城乡</w:t>
      </w:r>
      <w:r>
        <w:rPr>
          <w:rStyle w:val="40"/>
          <w:rFonts w:hint="default" w:ascii="Times New Roman" w:hAnsi="Times New Roman" w:eastAsia="仿宋_GB2312" w:cs="Times New Roman"/>
          <w:color w:val="auto"/>
          <w:sz w:val="32"/>
          <w:szCs w:val="32"/>
        </w:rPr>
        <w:t>融合示范样板。</w:t>
      </w:r>
    </w:p>
    <w:p w14:paraId="2A73294E">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精心规划完善城乡功能。</w:t>
      </w:r>
      <w:r>
        <w:rPr>
          <w:rStyle w:val="40"/>
          <w:rFonts w:hint="default" w:ascii="Times New Roman" w:hAnsi="Times New Roman" w:eastAsia="仿宋_GB2312" w:cs="Times New Roman"/>
          <w:color w:val="auto"/>
          <w:sz w:val="32"/>
          <w:szCs w:val="32"/>
        </w:rPr>
        <w:t>坚持“全域统筹、多规合一、一张蓝图”，严格“先</w:t>
      </w:r>
      <w:r>
        <w:rPr>
          <w:rStyle w:val="40"/>
          <w:rFonts w:hint="eastAsia" w:ascii="Times New Roman" w:hAnsi="Times New Roman" w:eastAsia="仿宋_GB2312" w:cs="Times New Roman"/>
          <w:color w:val="auto"/>
          <w:sz w:val="32"/>
          <w:szCs w:val="32"/>
          <w:lang w:eastAsia="zh-CN"/>
        </w:rPr>
        <w:t>地下后地上、先</w:t>
      </w:r>
      <w:r>
        <w:rPr>
          <w:rStyle w:val="40"/>
          <w:rFonts w:hint="default" w:ascii="Times New Roman" w:hAnsi="Times New Roman" w:eastAsia="仿宋_GB2312" w:cs="Times New Roman"/>
          <w:color w:val="auto"/>
          <w:sz w:val="32"/>
          <w:szCs w:val="32"/>
        </w:rPr>
        <w:t>规划后建设、无规划不建设”刚性要求，用好“三区三线”划定成果，</w:t>
      </w:r>
      <w:r>
        <w:rPr>
          <w:rStyle w:val="40"/>
          <w:rFonts w:hint="default" w:ascii="Times New Roman" w:hAnsi="Times New Roman" w:eastAsia="仿宋_GB2312" w:cs="Times New Roman"/>
          <w:color w:val="auto"/>
          <w:sz w:val="32"/>
          <w:szCs w:val="32"/>
          <w:lang w:eastAsia="zh-CN"/>
        </w:rPr>
        <w:t>加快高原土地整理进程，</w:t>
      </w:r>
      <w:r>
        <w:rPr>
          <w:rStyle w:val="40"/>
          <w:rFonts w:hint="default" w:ascii="Times New Roman" w:hAnsi="Times New Roman" w:eastAsia="仿宋_GB2312" w:cs="Times New Roman"/>
          <w:color w:val="auto"/>
          <w:sz w:val="32"/>
          <w:szCs w:val="32"/>
        </w:rPr>
        <w:t>推进国土空间规划与城镇规划无缝衔接，实现城乡“规建管运”一体联动。</w:t>
      </w:r>
      <w:r>
        <w:rPr>
          <w:rStyle w:val="40"/>
          <w:rFonts w:hint="default" w:ascii="Times New Roman" w:hAnsi="Times New Roman" w:eastAsia="仿宋_GB2312" w:cs="Times New Roman"/>
          <w:color w:val="auto"/>
          <w:sz w:val="32"/>
          <w:szCs w:val="32"/>
          <w:lang w:eastAsia="zh-CN"/>
        </w:rPr>
        <w:t>加快</w:t>
      </w:r>
      <w:r>
        <w:rPr>
          <w:rStyle w:val="40"/>
          <w:rFonts w:hint="default" w:ascii="Times New Roman" w:hAnsi="Times New Roman" w:eastAsia="仿宋_GB2312" w:cs="Times New Roman"/>
          <w:color w:val="auto"/>
          <w:sz w:val="32"/>
          <w:szCs w:val="32"/>
        </w:rPr>
        <w:t>供暖设施</w:t>
      </w:r>
      <w:r>
        <w:rPr>
          <w:rStyle w:val="40"/>
          <w:rFonts w:hint="default" w:ascii="Times New Roman" w:hAnsi="Times New Roman" w:eastAsia="仿宋_GB2312" w:cs="Times New Roman"/>
          <w:color w:val="auto"/>
          <w:sz w:val="32"/>
          <w:szCs w:val="32"/>
          <w:lang w:eastAsia="zh-CN"/>
        </w:rPr>
        <w:t>技改升级。完善</w:t>
      </w:r>
      <w:r>
        <w:rPr>
          <w:rStyle w:val="40"/>
          <w:rFonts w:hint="default" w:ascii="Times New Roman" w:hAnsi="Times New Roman" w:eastAsia="仿宋_GB2312" w:cs="Times New Roman"/>
          <w:color w:val="auto"/>
          <w:sz w:val="32"/>
          <w:szCs w:val="32"/>
        </w:rPr>
        <w:t>充电桩、停车场等</w:t>
      </w:r>
      <w:r>
        <w:rPr>
          <w:rStyle w:val="40"/>
          <w:rFonts w:hint="default" w:ascii="Times New Roman" w:hAnsi="Times New Roman" w:eastAsia="仿宋_GB2312" w:cs="Times New Roman"/>
          <w:color w:val="auto"/>
          <w:sz w:val="32"/>
          <w:szCs w:val="32"/>
          <w:lang w:eastAsia="zh-CN"/>
        </w:rPr>
        <w:t>设施</w:t>
      </w:r>
      <w:r>
        <w:rPr>
          <w:rStyle w:val="40"/>
          <w:rFonts w:hint="default" w:ascii="Times New Roman" w:hAnsi="Times New Roman" w:eastAsia="仿宋_GB2312" w:cs="Times New Roman"/>
          <w:color w:val="auto"/>
          <w:sz w:val="32"/>
          <w:szCs w:val="32"/>
        </w:rPr>
        <w:t>配套，争取玉龙片区道路改造</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城区高原试点供氧</w:t>
      </w:r>
      <w:r>
        <w:rPr>
          <w:rStyle w:val="40"/>
          <w:rFonts w:hint="default" w:ascii="Times New Roman" w:hAnsi="Times New Roman" w:eastAsia="仿宋_GB2312" w:cs="Times New Roman"/>
          <w:color w:val="auto"/>
          <w:sz w:val="32"/>
          <w:szCs w:val="32"/>
          <w:lang w:eastAsia="zh-CN"/>
        </w:rPr>
        <w:t>、县城市政道路提升改造、既有建筑节能试点等项目</w:t>
      </w:r>
      <w:r>
        <w:rPr>
          <w:rStyle w:val="40"/>
          <w:rFonts w:hint="default" w:ascii="Times New Roman" w:hAnsi="Times New Roman" w:eastAsia="仿宋_GB2312" w:cs="Times New Roman"/>
          <w:color w:val="auto"/>
          <w:sz w:val="32"/>
          <w:szCs w:val="32"/>
        </w:rPr>
        <w:t>落地</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提升城乡功能品质和承载力。</w:t>
      </w:r>
    </w:p>
    <w:p w14:paraId="7F9B10F9">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pacing w:val="-6"/>
          <w:sz w:val="32"/>
          <w:szCs w:val="32"/>
        </w:rPr>
      </w:pPr>
      <w:r>
        <w:rPr>
          <w:rStyle w:val="40"/>
          <w:rFonts w:hint="default" w:ascii="Times New Roman" w:hAnsi="Times New Roman" w:eastAsia="楷体_GB2312" w:cs="Times New Roman"/>
          <w:b/>
          <w:bCs/>
          <w:color w:val="auto"/>
          <w:sz w:val="32"/>
          <w:szCs w:val="32"/>
        </w:rPr>
        <w:t>精品建设打造活力空间。</w:t>
      </w:r>
      <w:r>
        <w:rPr>
          <w:rStyle w:val="40"/>
          <w:rFonts w:hint="default" w:ascii="Times New Roman" w:hAnsi="Times New Roman" w:eastAsia="仿宋_GB2312" w:cs="Times New Roman"/>
          <w:color w:val="auto"/>
          <w:sz w:val="32"/>
          <w:szCs w:val="32"/>
        </w:rPr>
        <w:t>做实县城区、中心镇、特色镇、美丽村</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依托红原机场、西成铁路、久马高速及</w:t>
      </w:r>
      <w:r>
        <w:rPr>
          <w:rStyle w:val="40"/>
          <w:rFonts w:hint="default" w:ascii="Times New Roman" w:hAnsi="Times New Roman" w:eastAsia="仿宋_GB2312" w:cs="Times New Roman"/>
          <w:color w:val="auto"/>
          <w:sz w:val="32"/>
          <w:szCs w:val="32"/>
          <w:lang w:eastAsia="zh-CN"/>
        </w:rPr>
        <w:t>产业</w:t>
      </w:r>
      <w:r>
        <w:rPr>
          <w:rStyle w:val="40"/>
          <w:rFonts w:hint="default" w:ascii="Times New Roman" w:hAnsi="Times New Roman" w:eastAsia="仿宋_GB2312" w:cs="Times New Roman"/>
          <w:color w:val="auto"/>
          <w:sz w:val="32"/>
          <w:szCs w:val="32"/>
        </w:rPr>
        <w:t>资源，</w:t>
      </w:r>
      <w:r>
        <w:rPr>
          <w:rStyle w:val="40"/>
          <w:rFonts w:hint="default" w:ascii="Times New Roman" w:hAnsi="Times New Roman" w:eastAsia="仿宋_GB2312" w:cs="Times New Roman"/>
          <w:color w:val="auto"/>
          <w:sz w:val="32"/>
          <w:szCs w:val="32"/>
          <w:lang w:eastAsia="zh-CN"/>
        </w:rPr>
        <w:t>支持刷经寺镇、</w:t>
      </w:r>
      <w:r>
        <w:rPr>
          <w:rStyle w:val="40"/>
          <w:rFonts w:hint="default" w:ascii="Times New Roman" w:hAnsi="Times New Roman" w:eastAsia="仿宋_GB2312" w:cs="Times New Roman"/>
          <w:color w:val="auto"/>
          <w:sz w:val="32"/>
          <w:szCs w:val="32"/>
          <w:lang w:val="en-US" w:eastAsia="zh-CN"/>
        </w:rPr>
        <w:t>色地镇</w:t>
      </w:r>
      <w:r>
        <w:rPr>
          <w:rStyle w:val="40"/>
          <w:rFonts w:hint="default" w:ascii="Times New Roman" w:hAnsi="Times New Roman" w:eastAsia="仿宋_GB2312" w:cs="Times New Roman"/>
          <w:color w:val="auto"/>
          <w:sz w:val="32"/>
          <w:szCs w:val="32"/>
          <w:lang w:eastAsia="zh-CN"/>
        </w:rPr>
        <w:t>加快打造县域副中心，</w:t>
      </w:r>
      <w:r>
        <w:rPr>
          <w:rStyle w:val="40"/>
          <w:rFonts w:hint="default" w:ascii="Times New Roman" w:hAnsi="Times New Roman" w:eastAsia="仿宋_GB2312" w:cs="Times New Roman"/>
          <w:color w:val="auto"/>
          <w:sz w:val="32"/>
          <w:szCs w:val="32"/>
        </w:rPr>
        <w:t>加速色地、龙日、安曲等</w:t>
      </w:r>
      <w:r>
        <w:rPr>
          <w:rStyle w:val="40"/>
          <w:rFonts w:hint="default" w:ascii="Times New Roman" w:hAnsi="Times New Roman" w:eastAsia="仿宋_GB2312" w:cs="Times New Roman"/>
          <w:color w:val="auto"/>
          <w:sz w:val="32"/>
          <w:szCs w:val="32"/>
          <w:lang w:eastAsia="zh-CN"/>
        </w:rPr>
        <w:t>乡镇</w:t>
      </w:r>
      <w:r>
        <w:rPr>
          <w:rStyle w:val="40"/>
          <w:rFonts w:hint="default" w:ascii="Times New Roman" w:hAnsi="Times New Roman" w:eastAsia="仿宋_GB2312" w:cs="Times New Roman"/>
          <w:color w:val="auto"/>
          <w:sz w:val="32"/>
          <w:szCs w:val="32"/>
        </w:rPr>
        <w:t>节点</w:t>
      </w:r>
      <w:r>
        <w:rPr>
          <w:rStyle w:val="40"/>
          <w:rFonts w:hint="default" w:ascii="Times New Roman" w:hAnsi="Times New Roman" w:eastAsia="仿宋_GB2312" w:cs="Times New Roman"/>
          <w:color w:val="auto"/>
          <w:sz w:val="32"/>
          <w:szCs w:val="32"/>
          <w:lang w:eastAsia="zh-CN"/>
        </w:rPr>
        <w:t>化</w:t>
      </w:r>
      <w:r>
        <w:rPr>
          <w:rStyle w:val="40"/>
          <w:rFonts w:hint="default" w:ascii="Times New Roman" w:hAnsi="Times New Roman" w:eastAsia="仿宋_GB2312" w:cs="Times New Roman"/>
          <w:color w:val="auto"/>
          <w:sz w:val="32"/>
          <w:szCs w:val="32"/>
        </w:rPr>
        <w:t>打造</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pacing w:val="-6"/>
          <w:sz w:val="32"/>
          <w:szCs w:val="32"/>
        </w:rPr>
        <w:t>发展文化旅游、特色商贸、物流集散等镇域经济，促进以业兴镇、以业聚人，实现城乡高效联通、产业高效协同，全县城镇化率达到45.7%。计划投资36</w:t>
      </w:r>
      <w:r>
        <w:rPr>
          <w:rStyle w:val="40"/>
          <w:rFonts w:hint="default" w:ascii="Times New Roman" w:hAnsi="Times New Roman" w:eastAsia="仿宋_GB2312" w:cs="Times New Roman"/>
          <w:color w:val="auto"/>
          <w:spacing w:val="-6"/>
          <w:sz w:val="32"/>
          <w:szCs w:val="32"/>
          <w:lang w:val="en-US" w:eastAsia="zh-CN"/>
        </w:rPr>
        <w:t>000</w:t>
      </w:r>
      <w:r>
        <w:rPr>
          <w:rStyle w:val="40"/>
          <w:rFonts w:hint="default" w:ascii="Times New Roman" w:hAnsi="Times New Roman" w:eastAsia="仿宋_GB2312" w:cs="Times New Roman"/>
          <w:color w:val="auto"/>
          <w:spacing w:val="-6"/>
          <w:sz w:val="32"/>
          <w:szCs w:val="32"/>
          <w:lang w:eastAsia="zh-CN"/>
        </w:rPr>
        <w:t>万</w:t>
      </w:r>
      <w:r>
        <w:rPr>
          <w:rStyle w:val="40"/>
          <w:rFonts w:hint="default" w:ascii="Times New Roman" w:hAnsi="Times New Roman" w:eastAsia="仿宋_GB2312" w:cs="Times New Roman"/>
          <w:color w:val="auto"/>
          <w:spacing w:val="-6"/>
          <w:sz w:val="32"/>
          <w:szCs w:val="32"/>
        </w:rPr>
        <w:t>元，建</w:t>
      </w:r>
      <w:r>
        <w:rPr>
          <w:rStyle w:val="40"/>
          <w:rFonts w:hint="default" w:ascii="Times New Roman" w:hAnsi="Times New Roman" w:eastAsia="仿宋_GB2312" w:cs="Times New Roman"/>
          <w:color w:val="auto"/>
          <w:spacing w:val="-6"/>
          <w:sz w:val="32"/>
          <w:szCs w:val="32"/>
          <w:lang w:eastAsia="zh-CN"/>
        </w:rPr>
        <w:t>成西成</w:t>
      </w:r>
      <w:r>
        <w:rPr>
          <w:rStyle w:val="40"/>
          <w:rFonts w:hint="default" w:ascii="Times New Roman" w:hAnsi="Times New Roman" w:eastAsia="仿宋_GB2312" w:cs="Times New Roman"/>
          <w:color w:val="auto"/>
          <w:spacing w:val="-6"/>
          <w:sz w:val="32"/>
          <w:szCs w:val="32"/>
        </w:rPr>
        <w:t>铁路</w:t>
      </w:r>
      <w:r>
        <w:rPr>
          <w:rStyle w:val="40"/>
          <w:rFonts w:hint="default" w:ascii="Times New Roman" w:hAnsi="Times New Roman" w:eastAsia="仿宋_GB2312" w:cs="Times New Roman"/>
          <w:color w:val="auto"/>
          <w:spacing w:val="-6"/>
          <w:sz w:val="32"/>
          <w:szCs w:val="32"/>
          <w:lang w:eastAsia="zh-CN"/>
        </w:rPr>
        <w:t>（红原段）</w:t>
      </w:r>
      <w:r>
        <w:rPr>
          <w:rStyle w:val="40"/>
          <w:rFonts w:hint="default" w:ascii="Times New Roman" w:hAnsi="Times New Roman" w:eastAsia="仿宋_GB2312" w:cs="Times New Roman"/>
          <w:color w:val="auto"/>
          <w:spacing w:val="-6"/>
          <w:sz w:val="32"/>
          <w:szCs w:val="32"/>
        </w:rPr>
        <w:t>4.7公里，同步完成红原站配套建设。</w:t>
      </w:r>
    </w:p>
    <w:p w14:paraId="331EC636">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精细管理突出颜值品质。</w:t>
      </w:r>
      <w:r>
        <w:rPr>
          <w:rStyle w:val="40"/>
          <w:rFonts w:hint="default" w:ascii="Times New Roman" w:hAnsi="Times New Roman" w:eastAsia="仿宋_GB2312" w:cs="Times New Roman"/>
          <w:color w:val="auto"/>
          <w:sz w:val="32"/>
          <w:szCs w:val="32"/>
        </w:rPr>
        <w:t>持续开展“全域全员全天”生态环境综合治理、“六五”环境日、全国低碳日等活动，加强主次干道、背街小巷等重点区域环境整治，坚决打击乱圈乱占、乱搭乱建，确保违建数量“零增长”、存量违建“负增长”。加快国际大酒店、红橙蓝街区、吉祥天城等闲置土地</w:t>
      </w:r>
      <w:r>
        <w:rPr>
          <w:rStyle w:val="40"/>
          <w:rFonts w:hint="eastAsia" w:ascii="Times New Roman" w:hAnsi="Times New Roman" w:eastAsia="仿宋_GB2312" w:cs="Times New Roman"/>
          <w:color w:val="auto"/>
          <w:sz w:val="32"/>
          <w:szCs w:val="32"/>
          <w:lang w:eastAsia="zh-CN"/>
        </w:rPr>
        <w:t>、闲置资产</w:t>
      </w:r>
      <w:r>
        <w:rPr>
          <w:rStyle w:val="40"/>
          <w:rFonts w:hint="default" w:ascii="Times New Roman" w:hAnsi="Times New Roman" w:eastAsia="仿宋_GB2312" w:cs="Times New Roman"/>
          <w:color w:val="auto"/>
          <w:sz w:val="32"/>
          <w:szCs w:val="32"/>
        </w:rPr>
        <w:t>处置，有效盘活用好闲置资源。加强市政工程设施管理维护，探索建立物业、房地产等科学化、规范化管理机制，建设“智慧小区”2个，加快不动产登记遗留问题化解减存。用好省级文明城市创建成果，开展文明窗口、文明交通等活动，进一步提升城市文明程度。</w:t>
      </w:r>
    </w:p>
    <w:p w14:paraId="33122F24">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黑体" w:cs="Times New Roman"/>
          <w:color w:val="auto"/>
          <w:sz w:val="32"/>
          <w:szCs w:val="32"/>
        </w:rPr>
      </w:pPr>
      <w:r>
        <w:rPr>
          <w:rStyle w:val="40"/>
          <w:rFonts w:hint="default" w:ascii="Times New Roman" w:hAnsi="Times New Roman" w:eastAsia="黑体" w:cs="Times New Roman"/>
          <w:color w:val="auto"/>
          <w:sz w:val="32"/>
          <w:szCs w:val="32"/>
        </w:rPr>
        <w:t>五、实施民生增进行动，全情投入改善生活品质</w:t>
      </w:r>
    </w:p>
    <w:p w14:paraId="02B0E845">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仿宋_GB2312" w:cs="Times New Roman"/>
          <w:color w:val="auto"/>
          <w:sz w:val="32"/>
          <w:szCs w:val="32"/>
        </w:rPr>
        <w:t>高质量办好民生实事，兜住、兜准、兜牢民生底线，以超常之力凝心推动共同富裕可感可及。</w:t>
      </w:r>
    </w:p>
    <w:p w14:paraId="3A56B081">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pacing w:val="-6"/>
          <w:sz w:val="32"/>
          <w:szCs w:val="32"/>
        </w:rPr>
      </w:pPr>
      <w:r>
        <w:rPr>
          <w:rStyle w:val="40"/>
          <w:rFonts w:hint="default" w:ascii="Times New Roman" w:hAnsi="Times New Roman" w:eastAsia="楷体_GB2312" w:cs="Times New Roman"/>
          <w:b/>
          <w:bCs/>
          <w:color w:val="auto"/>
          <w:sz w:val="32"/>
          <w:szCs w:val="32"/>
        </w:rPr>
        <w:t>推进乡村振兴共建。</w:t>
      </w:r>
      <w:r>
        <w:rPr>
          <w:rStyle w:val="40"/>
          <w:rFonts w:hint="default" w:ascii="Times New Roman" w:hAnsi="Times New Roman" w:eastAsia="仿宋_GB2312" w:cs="Times New Roman"/>
          <w:color w:val="auto"/>
          <w:sz w:val="32"/>
          <w:szCs w:val="32"/>
          <w:lang w:eastAsia="zh-CN"/>
        </w:rPr>
        <w:t>强力推进</w:t>
      </w:r>
      <w:r>
        <w:rPr>
          <w:rStyle w:val="40"/>
          <w:rFonts w:hint="default" w:ascii="Times New Roman" w:hAnsi="Times New Roman" w:eastAsia="仿宋_GB2312" w:cs="Times New Roman"/>
          <w:color w:val="auto"/>
          <w:sz w:val="32"/>
          <w:szCs w:val="32"/>
        </w:rPr>
        <w:t>国家乡村振兴示范县创建，</w:t>
      </w:r>
      <w:r>
        <w:rPr>
          <w:rFonts w:hint="default" w:ascii="Times New Roman" w:hAnsi="Times New Roman" w:eastAsia="仿宋_GB2312" w:cs="Times New Roman"/>
          <w:color w:val="auto"/>
          <w:sz w:val="31"/>
          <w:szCs w:val="31"/>
          <w:lang w:val="en-US" w:eastAsia="zh-CN"/>
        </w:rPr>
        <w:t>高质量巩固拓展脱贫攻坚成果，</w:t>
      </w:r>
      <w:r>
        <w:rPr>
          <w:rStyle w:val="40"/>
          <w:rFonts w:hint="default" w:ascii="Times New Roman" w:hAnsi="Times New Roman" w:eastAsia="仿宋_GB2312" w:cs="Times New Roman"/>
          <w:color w:val="auto"/>
          <w:sz w:val="32"/>
          <w:szCs w:val="32"/>
        </w:rPr>
        <w:t>推动防返贫、促增收常态长效。计划投入</w:t>
      </w:r>
      <w:r>
        <w:rPr>
          <w:rStyle w:val="40"/>
          <w:rFonts w:hint="default" w:ascii="Times New Roman" w:hAnsi="Times New Roman" w:eastAsia="仿宋_GB2312" w:cs="Times New Roman"/>
          <w:color w:val="auto"/>
          <w:sz w:val="32"/>
          <w:szCs w:val="32"/>
          <w:lang w:val="en-US" w:eastAsia="zh-CN"/>
        </w:rPr>
        <w:t>11500</w:t>
      </w:r>
      <w:r>
        <w:rPr>
          <w:rStyle w:val="40"/>
          <w:rFonts w:hint="default" w:ascii="Times New Roman" w:hAnsi="Times New Roman" w:eastAsia="仿宋_GB2312" w:cs="Times New Roman"/>
          <w:color w:val="auto"/>
          <w:sz w:val="32"/>
          <w:szCs w:val="32"/>
        </w:rPr>
        <w:t>万元，</w:t>
      </w:r>
      <w:r>
        <w:rPr>
          <w:rStyle w:val="40"/>
          <w:rFonts w:hint="default" w:ascii="Times New Roman" w:hAnsi="Times New Roman" w:eastAsia="仿宋_GB2312" w:cs="Times New Roman"/>
          <w:color w:val="auto"/>
          <w:spacing w:val="-6"/>
          <w:sz w:val="32"/>
          <w:szCs w:val="32"/>
        </w:rPr>
        <w:t>全面完成邛溪镇、刷经寺镇、色地镇等</w:t>
      </w:r>
      <w:r>
        <w:rPr>
          <w:rStyle w:val="40"/>
          <w:rFonts w:hint="default" w:ascii="Times New Roman" w:hAnsi="Times New Roman" w:eastAsia="仿宋_GB2312" w:cs="Times New Roman"/>
          <w:color w:val="auto"/>
          <w:spacing w:val="-6"/>
          <w:sz w:val="32"/>
          <w:szCs w:val="32"/>
          <w:lang w:val="en-US" w:eastAsia="zh-CN"/>
        </w:rPr>
        <w:t>3</w:t>
      </w:r>
      <w:r>
        <w:rPr>
          <w:rStyle w:val="40"/>
          <w:rFonts w:hint="default" w:ascii="Times New Roman" w:hAnsi="Times New Roman" w:eastAsia="仿宋_GB2312" w:cs="Times New Roman"/>
          <w:color w:val="auto"/>
          <w:spacing w:val="-6"/>
          <w:sz w:val="32"/>
          <w:szCs w:val="32"/>
        </w:rPr>
        <w:t>个乡镇“三家园”抓点示范打造。制发乡村建设行动实施总方案、12大重点任务子方案，全域提标建设宜居宜业和美乡村。计划投资17</w:t>
      </w:r>
      <w:r>
        <w:rPr>
          <w:rStyle w:val="40"/>
          <w:rFonts w:hint="default" w:ascii="Times New Roman" w:hAnsi="Times New Roman" w:eastAsia="仿宋_GB2312" w:cs="Times New Roman"/>
          <w:color w:val="auto"/>
          <w:spacing w:val="-6"/>
          <w:sz w:val="32"/>
          <w:szCs w:val="32"/>
          <w:lang w:val="en-US" w:eastAsia="zh-CN"/>
        </w:rPr>
        <w:t>424</w:t>
      </w:r>
      <w:r>
        <w:rPr>
          <w:rStyle w:val="40"/>
          <w:rFonts w:hint="default" w:ascii="Times New Roman" w:hAnsi="Times New Roman" w:eastAsia="仿宋_GB2312" w:cs="Times New Roman"/>
          <w:color w:val="auto"/>
          <w:spacing w:val="-6"/>
          <w:sz w:val="32"/>
          <w:szCs w:val="32"/>
        </w:rPr>
        <w:t>万元，深入实施基础设施提升、</w:t>
      </w:r>
      <w:r>
        <w:rPr>
          <w:rFonts w:hint="default" w:ascii="Times New Roman" w:hAnsi="Times New Roman" w:eastAsia="仿宋_GB2312" w:cs="Times New Roman"/>
          <w:color w:val="auto"/>
          <w:spacing w:val="-6"/>
          <w:sz w:val="31"/>
          <w:szCs w:val="31"/>
          <w:lang w:val="en-US" w:eastAsia="zh-CN"/>
        </w:rPr>
        <w:t>人居环境整治、</w:t>
      </w:r>
      <w:r>
        <w:rPr>
          <w:rStyle w:val="40"/>
          <w:rFonts w:hint="default" w:ascii="Times New Roman" w:hAnsi="Times New Roman" w:eastAsia="仿宋_GB2312" w:cs="Times New Roman"/>
          <w:color w:val="auto"/>
          <w:spacing w:val="-6"/>
          <w:sz w:val="32"/>
          <w:szCs w:val="32"/>
        </w:rPr>
        <w:t>产业发展等</w:t>
      </w:r>
      <w:r>
        <w:rPr>
          <w:rStyle w:val="40"/>
          <w:rFonts w:hint="default" w:ascii="Times New Roman" w:hAnsi="Times New Roman" w:eastAsia="仿宋_GB2312" w:cs="Times New Roman"/>
          <w:color w:val="auto"/>
          <w:spacing w:val="-6"/>
          <w:sz w:val="32"/>
          <w:szCs w:val="32"/>
          <w:lang w:val="en-US" w:eastAsia="zh-CN"/>
        </w:rPr>
        <w:t>29</w:t>
      </w:r>
      <w:r>
        <w:rPr>
          <w:rStyle w:val="40"/>
          <w:rFonts w:hint="default" w:ascii="Times New Roman" w:hAnsi="Times New Roman" w:eastAsia="仿宋_GB2312" w:cs="Times New Roman"/>
          <w:color w:val="auto"/>
          <w:spacing w:val="-6"/>
          <w:sz w:val="32"/>
          <w:szCs w:val="32"/>
        </w:rPr>
        <w:t>个项目，计划投资9000</w:t>
      </w:r>
      <w:r>
        <w:rPr>
          <w:rStyle w:val="40"/>
          <w:rFonts w:hint="default" w:ascii="Times New Roman" w:hAnsi="Times New Roman" w:eastAsia="仿宋_GB2312" w:cs="Times New Roman"/>
          <w:color w:val="auto"/>
          <w:spacing w:val="-6"/>
          <w:sz w:val="32"/>
          <w:szCs w:val="32"/>
          <w:lang w:eastAsia="zh-CN"/>
        </w:rPr>
        <w:t>余</w:t>
      </w:r>
      <w:r>
        <w:rPr>
          <w:rStyle w:val="40"/>
          <w:rFonts w:hint="default" w:ascii="Times New Roman" w:hAnsi="Times New Roman" w:eastAsia="仿宋_GB2312" w:cs="Times New Roman"/>
          <w:color w:val="auto"/>
          <w:spacing w:val="-6"/>
          <w:sz w:val="32"/>
          <w:szCs w:val="32"/>
        </w:rPr>
        <w:t>万元，有序</w:t>
      </w:r>
      <w:r>
        <w:rPr>
          <w:rStyle w:val="40"/>
          <w:rFonts w:hint="default" w:ascii="Times New Roman" w:hAnsi="Times New Roman" w:eastAsia="仿宋_GB2312" w:cs="Times New Roman"/>
          <w:color w:val="auto"/>
          <w:spacing w:val="-6"/>
          <w:sz w:val="32"/>
          <w:szCs w:val="32"/>
          <w:lang w:eastAsia="zh-CN"/>
        </w:rPr>
        <w:t>推进</w:t>
      </w:r>
      <w:r>
        <w:rPr>
          <w:rStyle w:val="40"/>
          <w:rFonts w:hint="default" w:ascii="Times New Roman" w:hAnsi="Times New Roman" w:eastAsia="仿宋_GB2312" w:cs="Times New Roman"/>
          <w:color w:val="auto"/>
          <w:spacing w:val="-6"/>
          <w:sz w:val="32"/>
          <w:szCs w:val="32"/>
        </w:rPr>
        <w:t>浙江、绵阳12个结对帮扶、对口支援项目，同步谋划推动省内定点帮扶、</w:t>
      </w:r>
      <w:r>
        <w:rPr>
          <w:rStyle w:val="40"/>
          <w:rFonts w:hint="eastAsia" w:ascii="Times New Roman" w:hAnsi="Times New Roman" w:eastAsia="仿宋_GB2312" w:cs="Times New Roman"/>
          <w:color w:val="auto"/>
          <w:spacing w:val="-6"/>
          <w:sz w:val="32"/>
          <w:szCs w:val="32"/>
          <w:lang w:val="en-US" w:eastAsia="zh-CN"/>
        </w:rPr>
        <w:t>39个</w:t>
      </w:r>
      <w:r>
        <w:rPr>
          <w:rStyle w:val="40"/>
          <w:rFonts w:hint="default" w:ascii="Times New Roman" w:hAnsi="Times New Roman" w:eastAsia="仿宋_GB2312" w:cs="Times New Roman"/>
          <w:color w:val="auto"/>
          <w:spacing w:val="-6"/>
          <w:sz w:val="32"/>
          <w:szCs w:val="32"/>
        </w:rPr>
        <w:t>欠发达地区托底性帮扶，</w:t>
      </w:r>
      <w:r>
        <w:rPr>
          <w:rStyle w:val="40"/>
          <w:rFonts w:hint="default" w:ascii="Times New Roman" w:hAnsi="Times New Roman" w:eastAsia="仿宋_GB2312" w:cs="Times New Roman"/>
          <w:color w:val="auto"/>
          <w:spacing w:val="-6"/>
          <w:sz w:val="32"/>
          <w:szCs w:val="32"/>
          <w:lang w:eastAsia="zh-CN"/>
        </w:rPr>
        <w:t>最大化发挥集成效益，</w:t>
      </w:r>
      <w:r>
        <w:rPr>
          <w:rStyle w:val="40"/>
          <w:rFonts w:hint="default" w:ascii="Times New Roman" w:hAnsi="Times New Roman" w:eastAsia="仿宋_GB2312" w:cs="Times New Roman"/>
          <w:color w:val="auto"/>
          <w:spacing w:val="-6"/>
          <w:sz w:val="32"/>
          <w:szCs w:val="32"/>
        </w:rPr>
        <w:t>壮大乡村集体经济、提升乡村基础建设、提高乡村治理</w:t>
      </w:r>
      <w:r>
        <w:rPr>
          <w:rStyle w:val="40"/>
          <w:rFonts w:hint="default" w:ascii="Times New Roman" w:hAnsi="Times New Roman" w:eastAsia="仿宋_GB2312" w:cs="Times New Roman"/>
          <w:color w:val="auto"/>
          <w:spacing w:val="-6"/>
          <w:sz w:val="32"/>
          <w:szCs w:val="32"/>
          <w:lang w:eastAsia="zh-CN"/>
        </w:rPr>
        <w:t>能力</w:t>
      </w:r>
      <w:r>
        <w:rPr>
          <w:rStyle w:val="40"/>
          <w:rFonts w:hint="default" w:ascii="Times New Roman" w:hAnsi="Times New Roman" w:eastAsia="仿宋_GB2312" w:cs="Times New Roman"/>
          <w:color w:val="auto"/>
          <w:spacing w:val="-6"/>
          <w:sz w:val="32"/>
          <w:szCs w:val="32"/>
        </w:rPr>
        <w:t>。</w:t>
      </w:r>
    </w:p>
    <w:p w14:paraId="40456E90">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推进社会事业共荣。</w:t>
      </w:r>
      <w:r>
        <w:rPr>
          <w:rStyle w:val="40"/>
          <w:rFonts w:hint="default" w:ascii="Times New Roman" w:hAnsi="Times New Roman" w:eastAsia="仿宋_GB2312" w:cs="Times New Roman"/>
          <w:color w:val="auto"/>
          <w:sz w:val="32"/>
          <w:szCs w:val="32"/>
        </w:rPr>
        <w:t>落实《红原县教育高质量发展五年行动计划（2022年-2026年）》，推进国家</w:t>
      </w:r>
      <w:r>
        <w:rPr>
          <w:rStyle w:val="40"/>
          <w:rFonts w:hint="default" w:ascii="Times New Roman" w:hAnsi="Times New Roman" w:eastAsia="仿宋_GB2312" w:cs="Times New Roman"/>
          <w:color w:val="auto"/>
          <w:sz w:val="32"/>
          <w:szCs w:val="32"/>
          <w:lang w:eastAsia="zh-CN"/>
        </w:rPr>
        <w:t>通用语言文字教育教学和</w:t>
      </w:r>
      <w:r>
        <w:rPr>
          <w:rStyle w:val="40"/>
          <w:rFonts w:hint="default" w:ascii="Times New Roman" w:hAnsi="Times New Roman" w:eastAsia="仿宋_GB2312" w:cs="Times New Roman"/>
          <w:color w:val="auto"/>
          <w:sz w:val="32"/>
          <w:szCs w:val="32"/>
        </w:rPr>
        <w:t>通用语言文字推广。计划投资3200万元，</w:t>
      </w:r>
      <w:r>
        <w:rPr>
          <w:rStyle w:val="40"/>
          <w:rFonts w:hint="default" w:ascii="Times New Roman" w:hAnsi="Times New Roman" w:eastAsia="仿宋_GB2312" w:cs="Times New Roman"/>
          <w:color w:val="auto"/>
          <w:sz w:val="32"/>
          <w:szCs w:val="32"/>
          <w:lang w:eastAsia="zh-CN"/>
        </w:rPr>
        <w:t>实施</w:t>
      </w:r>
      <w:r>
        <w:rPr>
          <w:rStyle w:val="40"/>
          <w:rFonts w:hint="default" w:ascii="Times New Roman" w:hAnsi="Times New Roman" w:eastAsia="仿宋_GB2312" w:cs="Times New Roman"/>
          <w:color w:val="auto"/>
          <w:sz w:val="32"/>
          <w:szCs w:val="32"/>
        </w:rPr>
        <w:t>瓦切镇和麦洼乡小学学生宿舍、龙日镇小学综合楼、藏文中学食堂及浴室等建设</w:t>
      </w:r>
      <w:r>
        <w:rPr>
          <w:rStyle w:val="40"/>
          <w:rFonts w:hint="eastAsia" w:ascii="Times New Roman" w:hAnsi="Times New Roman" w:eastAsia="仿宋_GB2312" w:cs="Times New Roman"/>
          <w:color w:val="auto"/>
          <w:sz w:val="32"/>
          <w:szCs w:val="32"/>
          <w:lang w:eastAsia="zh-CN"/>
        </w:rPr>
        <w:t>项目</w:t>
      </w:r>
      <w:r>
        <w:rPr>
          <w:rStyle w:val="40"/>
          <w:rFonts w:hint="default" w:ascii="Times New Roman" w:hAnsi="Times New Roman" w:eastAsia="仿宋_GB2312" w:cs="Times New Roman"/>
          <w:color w:val="auto"/>
          <w:sz w:val="32"/>
          <w:szCs w:val="32"/>
        </w:rPr>
        <w:t>，持续改善办学条件。落实《健康红原2030行动纲要》，积极开展健康四川示范县创建，支持县人民医院争创三乙医院、</w:t>
      </w:r>
      <w:r>
        <w:rPr>
          <w:rStyle w:val="40"/>
          <w:rFonts w:hint="default" w:ascii="Times New Roman" w:hAnsi="Times New Roman" w:eastAsia="仿宋_GB2312" w:cs="Times New Roman"/>
          <w:color w:val="auto"/>
          <w:sz w:val="32"/>
          <w:szCs w:val="32"/>
          <w:lang w:eastAsia="zh-CN"/>
        </w:rPr>
        <w:t>县疾控中心争创二甲疾控中心，</w:t>
      </w:r>
      <w:r>
        <w:rPr>
          <w:rStyle w:val="40"/>
          <w:rFonts w:hint="default" w:ascii="Times New Roman" w:hAnsi="Times New Roman" w:eastAsia="仿宋_GB2312" w:cs="Times New Roman"/>
          <w:color w:val="auto"/>
          <w:sz w:val="32"/>
          <w:szCs w:val="32"/>
        </w:rPr>
        <w:t>打造智慧医院</w:t>
      </w:r>
      <w:r>
        <w:rPr>
          <w:rStyle w:val="40"/>
          <w:rFonts w:hint="default" w:ascii="Times New Roman" w:hAnsi="Times New Roman" w:eastAsia="仿宋_GB2312" w:cs="Times New Roman"/>
          <w:color w:val="auto"/>
          <w:sz w:val="32"/>
          <w:szCs w:val="32"/>
          <w:lang w:val="en-US" w:eastAsia="zh-CN"/>
        </w:rPr>
        <w:t>1个</w:t>
      </w:r>
      <w:r>
        <w:rPr>
          <w:rStyle w:val="40"/>
          <w:rFonts w:hint="default" w:ascii="Times New Roman" w:hAnsi="Times New Roman" w:eastAsia="仿宋_GB2312" w:cs="Times New Roman"/>
          <w:color w:val="auto"/>
          <w:sz w:val="32"/>
          <w:szCs w:val="32"/>
        </w:rPr>
        <w:t>。计划投资4</w:t>
      </w:r>
      <w:r>
        <w:rPr>
          <w:rStyle w:val="40"/>
          <w:rFonts w:hint="default" w:ascii="Times New Roman" w:hAnsi="Times New Roman" w:eastAsia="仿宋_GB2312" w:cs="Times New Roman"/>
          <w:color w:val="auto"/>
          <w:sz w:val="32"/>
          <w:szCs w:val="32"/>
          <w:lang w:val="en-US" w:eastAsia="zh-CN"/>
        </w:rPr>
        <w:t>500</w:t>
      </w:r>
      <w:r>
        <w:rPr>
          <w:rStyle w:val="40"/>
          <w:rFonts w:hint="default" w:ascii="Times New Roman" w:hAnsi="Times New Roman" w:eastAsia="仿宋_GB2312" w:cs="Times New Roman"/>
          <w:color w:val="auto"/>
          <w:sz w:val="32"/>
          <w:szCs w:val="32"/>
        </w:rPr>
        <w:t>万元，实施县域医疗次中心、</w:t>
      </w:r>
      <w:r>
        <w:rPr>
          <w:rStyle w:val="40"/>
          <w:rFonts w:hint="default" w:ascii="Times New Roman" w:hAnsi="Times New Roman" w:eastAsia="仿宋_GB2312" w:cs="Times New Roman"/>
          <w:color w:val="auto"/>
          <w:sz w:val="32"/>
          <w:szCs w:val="32"/>
          <w:lang w:eastAsia="zh-CN"/>
        </w:rPr>
        <w:t>色地镇卫生院业务用房、</w:t>
      </w:r>
      <w:r>
        <w:rPr>
          <w:rStyle w:val="40"/>
          <w:rFonts w:hint="default" w:ascii="Times New Roman" w:hAnsi="Times New Roman" w:eastAsia="仿宋_GB2312" w:cs="Times New Roman"/>
          <w:color w:val="auto"/>
          <w:sz w:val="32"/>
          <w:szCs w:val="32"/>
        </w:rPr>
        <w:t>藏医院能力提升等</w:t>
      </w:r>
      <w:r>
        <w:rPr>
          <w:rStyle w:val="40"/>
          <w:rFonts w:hint="default" w:ascii="Times New Roman" w:hAnsi="Times New Roman" w:eastAsia="仿宋_GB2312" w:cs="Times New Roman"/>
          <w:color w:val="auto"/>
          <w:sz w:val="32"/>
          <w:szCs w:val="32"/>
          <w:lang w:eastAsia="zh-CN"/>
        </w:rPr>
        <w:t>建设</w:t>
      </w:r>
      <w:r>
        <w:rPr>
          <w:rStyle w:val="40"/>
          <w:rFonts w:hint="default" w:ascii="Times New Roman" w:hAnsi="Times New Roman" w:eastAsia="仿宋_GB2312" w:cs="Times New Roman"/>
          <w:color w:val="auto"/>
          <w:sz w:val="32"/>
          <w:szCs w:val="32"/>
        </w:rPr>
        <w:t>项目，全力构建“一中心、多支点、全覆盖”医疗体系。实施文化惠民工程，</w:t>
      </w:r>
      <w:r>
        <w:rPr>
          <w:rStyle w:val="40"/>
          <w:rFonts w:hint="default" w:ascii="Times New Roman" w:hAnsi="Times New Roman" w:eastAsia="仿宋_GB2312" w:cs="Times New Roman"/>
          <w:color w:val="auto"/>
          <w:sz w:val="32"/>
          <w:szCs w:val="32"/>
          <w:lang w:eastAsia="zh-CN"/>
        </w:rPr>
        <w:t>编撰出版乡镇村志系列丛书，</w:t>
      </w:r>
      <w:r>
        <w:rPr>
          <w:rStyle w:val="40"/>
          <w:rFonts w:hint="default" w:ascii="Times New Roman" w:hAnsi="Times New Roman" w:eastAsia="仿宋_GB2312" w:cs="Times New Roman"/>
          <w:color w:val="auto"/>
          <w:sz w:val="32"/>
          <w:szCs w:val="32"/>
        </w:rPr>
        <w:t>提升“三馆一站”免开水平，文化传承大厅实现全面开放。</w:t>
      </w:r>
      <w:r>
        <w:rPr>
          <w:rStyle w:val="40"/>
          <w:rFonts w:hint="default" w:ascii="Times New Roman" w:hAnsi="Times New Roman" w:eastAsia="仿宋_GB2312" w:cs="Times New Roman"/>
          <w:color w:val="auto"/>
          <w:sz w:val="32"/>
          <w:szCs w:val="32"/>
          <w:lang w:eastAsia="zh-CN"/>
        </w:rPr>
        <w:t>持续深挖</w:t>
      </w:r>
      <w:r>
        <w:rPr>
          <w:rStyle w:val="40"/>
          <w:rFonts w:hint="default" w:ascii="Times New Roman" w:hAnsi="Times New Roman" w:eastAsia="仿宋_GB2312" w:cs="Times New Roman"/>
          <w:color w:val="auto"/>
          <w:sz w:val="32"/>
          <w:szCs w:val="32"/>
        </w:rPr>
        <w:t>牦牛文化</w:t>
      </w:r>
      <w:r>
        <w:rPr>
          <w:rStyle w:val="40"/>
          <w:rFonts w:hint="default" w:ascii="Times New Roman" w:hAnsi="Times New Roman" w:eastAsia="仿宋_GB2312" w:cs="Times New Roman"/>
          <w:color w:val="auto"/>
          <w:sz w:val="32"/>
          <w:szCs w:val="32"/>
          <w:lang w:eastAsia="zh-CN"/>
        </w:rPr>
        <w:t>潜力，做强做特马术竞技</w:t>
      </w:r>
      <w:r>
        <w:rPr>
          <w:rStyle w:val="40"/>
          <w:rFonts w:hint="default" w:ascii="Times New Roman" w:hAnsi="Times New Roman" w:eastAsia="仿宋_GB2312" w:cs="Times New Roman"/>
          <w:color w:val="auto"/>
          <w:sz w:val="32"/>
          <w:szCs w:val="32"/>
        </w:rPr>
        <w:t>等赛事品牌，繁荣发展文体事业。</w:t>
      </w:r>
    </w:p>
    <w:p w14:paraId="5FA5D19B">
      <w:pPr>
        <w:keepNext w:val="0"/>
        <w:keepLines w:val="0"/>
        <w:pageBreakBefore w:val="0"/>
        <w:widowControl w:val="0"/>
        <w:kinsoku/>
        <w:wordWrap/>
        <w:overflowPunct/>
        <w:topLinePunct w:val="0"/>
        <w:autoSpaceDE/>
        <w:autoSpaceDN/>
        <w:bidi w:val="0"/>
        <w:adjustRightInd/>
        <w:snapToGrid/>
        <w:spacing w:line="576" w:lineRule="exact"/>
        <w:ind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推进保障服务共享。</w:t>
      </w:r>
      <w:r>
        <w:rPr>
          <w:rStyle w:val="40"/>
          <w:rFonts w:hint="default" w:ascii="Times New Roman" w:hAnsi="Times New Roman" w:eastAsia="仿宋_GB2312" w:cs="Times New Roman"/>
          <w:color w:val="auto"/>
          <w:sz w:val="32"/>
          <w:szCs w:val="32"/>
        </w:rPr>
        <w:t>坚持做好基础性、兜底性民生工作，民生支出占比保持在75%以上。圆满完成灾后恢复重建</w:t>
      </w:r>
      <w:r>
        <w:rPr>
          <w:rStyle w:val="40"/>
          <w:rFonts w:hint="default" w:ascii="Times New Roman" w:hAnsi="Times New Roman" w:eastAsia="仿宋_GB2312" w:cs="Times New Roman"/>
          <w:color w:val="auto"/>
          <w:sz w:val="32"/>
          <w:szCs w:val="32"/>
          <w:lang w:eastAsia="zh-CN"/>
        </w:rPr>
        <w:t>任务</w:t>
      </w:r>
      <w:r>
        <w:rPr>
          <w:rStyle w:val="40"/>
          <w:rFonts w:hint="default" w:ascii="Times New Roman" w:hAnsi="Times New Roman" w:eastAsia="仿宋_GB2312" w:cs="Times New Roman"/>
          <w:color w:val="auto"/>
          <w:sz w:val="32"/>
          <w:szCs w:val="32"/>
        </w:rPr>
        <w:t>。实施就业优先战略，差异化落实稳就业促就业措施，新开发公益性岗位350个，促进脱贫人口、大学毕业生、退役军人、农民工等重点群体自主创业、灵活就业，新增城镇就业340人、转移农村劳动力4000人，城镇登记失业率控制在3.8%以内。健全多层次社会保障体系，</w:t>
      </w:r>
      <w:r>
        <w:rPr>
          <w:rStyle w:val="40"/>
          <w:rFonts w:hint="default" w:ascii="Times New Roman" w:hAnsi="Times New Roman" w:eastAsia="仿宋_GB2312" w:cs="Times New Roman"/>
          <w:color w:val="auto"/>
          <w:sz w:val="32"/>
          <w:szCs w:val="32"/>
          <w:lang w:eastAsia="zh-CN"/>
        </w:rPr>
        <w:t>城乡居民</w:t>
      </w:r>
      <w:r>
        <w:rPr>
          <w:rStyle w:val="40"/>
          <w:rFonts w:hint="default" w:ascii="Times New Roman" w:hAnsi="Times New Roman" w:eastAsia="仿宋_GB2312" w:cs="Times New Roman"/>
          <w:color w:val="auto"/>
          <w:sz w:val="32"/>
          <w:szCs w:val="32"/>
        </w:rPr>
        <w:t>医保参保率持续稳定在95%以上、养老保险参保率达80%以上。</w:t>
      </w:r>
      <w:r>
        <w:rPr>
          <w:rStyle w:val="40"/>
          <w:rFonts w:hint="default" w:ascii="Times New Roman" w:hAnsi="Times New Roman" w:eastAsia="仿宋_GB2312" w:cs="Times New Roman"/>
          <w:color w:val="auto"/>
          <w:sz w:val="32"/>
          <w:szCs w:val="32"/>
          <w:lang w:eastAsia="zh-CN"/>
        </w:rPr>
        <w:t>精准落实“一老一小一困”服务措施，</w:t>
      </w:r>
      <w:r>
        <w:rPr>
          <w:rStyle w:val="40"/>
          <w:rFonts w:hint="default" w:ascii="Times New Roman" w:hAnsi="Times New Roman" w:eastAsia="仿宋_GB2312" w:cs="Times New Roman"/>
          <w:color w:val="auto"/>
          <w:sz w:val="32"/>
          <w:szCs w:val="32"/>
        </w:rPr>
        <w:t>推进青年发展型城市建设。</w:t>
      </w:r>
    </w:p>
    <w:p w14:paraId="00BC2DB0">
      <w:pPr>
        <w:keepNext w:val="0"/>
        <w:keepLines w:val="0"/>
        <w:pageBreakBefore w:val="0"/>
        <w:widowControl w:val="0"/>
        <w:kinsoku/>
        <w:wordWrap/>
        <w:overflowPunct/>
        <w:topLinePunct w:val="0"/>
        <w:autoSpaceDE/>
        <w:autoSpaceDN/>
        <w:bidi w:val="0"/>
        <w:adjustRightInd/>
        <w:snapToGrid/>
        <w:spacing w:line="576" w:lineRule="exact"/>
        <w:ind w:firstLine="640" w:firstLineChars="200"/>
        <w:jc w:val="both"/>
        <w:textAlignment w:val="auto"/>
        <w:outlineLvl w:val="9"/>
        <w:rPr>
          <w:rStyle w:val="40"/>
          <w:rFonts w:hint="default" w:ascii="Times New Roman" w:hAnsi="Times New Roman" w:eastAsia="方正仿宋_GBK" w:cs="Times New Roman"/>
          <w:color w:val="auto"/>
          <w:sz w:val="32"/>
          <w:szCs w:val="32"/>
        </w:rPr>
      </w:pPr>
      <w:r>
        <w:rPr>
          <w:rStyle w:val="40"/>
          <w:rFonts w:hint="default" w:ascii="Times New Roman" w:hAnsi="Times New Roman" w:eastAsia="黑体" w:cs="Times New Roman"/>
          <w:color w:val="auto"/>
          <w:sz w:val="32"/>
          <w:szCs w:val="32"/>
        </w:rPr>
        <w:t>六、实施基层善治行动，全时维护社会和谐稳定</w:t>
      </w:r>
    </w:p>
    <w:p w14:paraId="4F3BC7B8">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仿宋_GB2312" w:cs="Times New Roman"/>
          <w:color w:val="auto"/>
          <w:sz w:val="32"/>
          <w:szCs w:val="32"/>
        </w:rPr>
        <w:t>健全社会治安防控体系，提升矛盾纠纷多元化解质效，以</w:t>
      </w:r>
      <w:r>
        <w:rPr>
          <w:rStyle w:val="40"/>
          <w:rFonts w:hint="default" w:ascii="Times New Roman" w:hAnsi="Times New Roman" w:eastAsia="仿宋_GB2312" w:cs="Times New Roman"/>
          <w:color w:val="auto"/>
          <w:sz w:val="32"/>
          <w:szCs w:val="32"/>
          <w:lang w:eastAsia="zh-CN"/>
        </w:rPr>
        <w:t>应变之勇奋力建设更高水平平安红原、法治红原</w:t>
      </w:r>
      <w:r>
        <w:rPr>
          <w:rStyle w:val="40"/>
          <w:rFonts w:hint="default" w:ascii="Times New Roman" w:hAnsi="Times New Roman" w:eastAsia="仿宋_GB2312" w:cs="Times New Roman"/>
          <w:color w:val="auto"/>
          <w:sz w:val="32"/>
          <w:szCs w:val="32"/>
        </w:rPr>
        <w:t>。</w:t>
      </w:r>
    </w:p>
    <w:p w14:paraId="486BDD9D">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立体式强化基层治理。</w:t>
      </w:r>
      <w:r>
        <w:rPr>
          <w:rStyle w:val="40"/>
          <w:rFonts w:hint="default" w:ascii="Times New Roman" w:hAnsi="Times New Roman" w:eastAsia="仿宋_GB2312" w:cs="Times New Roman"/>
          <w:color w:val="auto"/>
          <w:sz w:val="32"/>
          <w:szCs w:val="32"/>
        </w:rPr>
        <w:t>坚持和发展新时代“枫桥经验”，提升“天网”“雪亮工程”“网格化”等管理服务平台。</w:t>
      </w:r>
      <w:r>
        <w:rPr>
          <w:rStyle w:val="40"/>
          <w:rFonts w:hint="default" w:ascii="Times New Roman" w:hAnsi="Times New Roman" w:eastAsia="仿宋_GB2312" w:cs="Times New Roman"/>
          <w:color w:val="auto"/>
          <w:sz w:val="32"/>
          <w:szCs w:val="32"/>
          <w:lang w:eastAsia="zh-CN"/>
        </w:rPr>
        <w:t>持续深化“三反两防”</w:t>
      </w:r>
      <w:r>
        <w:rPr>
          <w:rStyle w:val="40"/>
          <w:rFonts w:hint="default" w:ascii="Times New Roman" w:hAnsi="Times New Roman" w:eastAsia="仿宋_GB2312" w:cs="Times New Roman"/>
          <w:color w:val="auto"/>
          <w:sz w:val="32"/>
          <w:szCs w:val="32"/>
        </w:rPr>
        <w:t>“扫黑除恶”斗争，严厉打击盗抢骗、黄赌毒、食药环等违法犯罪。发展壮大群防群治力量，修订完善村规民约，以“小村规”撬动“大治理”。持续推进“八五”普法，提升公共法律服务质量，创建</w:t>
      </w:r>
      <w:r>
        <w:rPr>
          <w:rStyle w:val="40"/>
          <w:rFonts w:hint="default" w:ascii="Times New Roman" w:hAnsi="Times New Roman" w:eastAsia="仿宋_GB2312" w:cs="Times New Roman"/>
          <w:color w:val="auto"/>
          <w:sz w:val="32"/>
          <w:szCs w:val="32"/>
          <w:lang w:eastAsia="zh-CN"/>
        </w:rPr>
        <w:t>州级</w:t>
      </w:r>
      <w:r>
        <w:rPr>
          <w:rStyle w:val="40"/>
          <w:rFonts w:hint="default" w:ascii="Times New Roman" w:hAnsi="Times New Roman" w:eastAsia="仿宋_GB2312" w:cs="Times New Roman"/>
          <w:color w:val="auto"/>
          <w:sz w:val="32"/>
          <w:szCs w:val="32"/>
        </w:rPr>
        <w:t>法治示范单位2个。</w:t>
      </w:r>
      <w:r>
        <w:rPr>
          <w:rStyle w:val="40"/>
          <w:rFonts w:hint="default" w:ascii="Times New Roman" w:hAnsi="Times New Roman" w:eastAsia="仿宋_GB2312" w:cs="Times New Roman"/>
          <w:color w:val="auto"/>
          <w:sz w:val="32"/>
          <w:szCs w:val="32"/>
          <w:lang w:eastAsia="zh-CN"/>
        </w:rPr>
        <w:t>全面推进信访工作法治化、依法维护群众合法权益</w:t>
      </w:r>
      <w:r>
        <w:rPr>
          <w:rStyle w:val="40"/>
          <w:rFonts w:hint="default" w:ascii="Times New Roman" w:hAnsi="Times New Roman" w:eastAsia="仿宋_GB2312" w:cs="Times New Roman"/>
          <w:color w:val="auto"/>
          <w:sz w:val="32"/>
          <w:szCs w:val="32"/>
        </w:rPr>
        <w:t>。</w:t>
      </w:r>
    </w:p>
    <w:p w14:paraId="3A12AE59">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3" w:firstLineChars="200"/>
        <w:jc w:val="both"/>
        <w:textAlignment w:val="auto"/>
        <w:outlineLvl w:val="9"/>
        <w:rPr>
          <w:rStyle w:val="40"/>
          <w:rFonts w:hint="eastAsia" w:ascii="Times New Roman" w:hAnsi="Times New Roman" w:eastAsia="仿宋_GB2312" w:cs="Times New Roman"/>
          <w:color w:val="auto"/>
          <w:sz w:val="32"/>
          <w:szCs w:val="32"/>
          <w:lang w:eastAsia="zh-CN"/>
        </w:rPr>
      </w:pPr>
      <w:r>
        <w:rPr>
          <w:rStyle w:val="40"/>
          <w:rFonts w:hint="default" w:ascii="Times New Roman" w:hAnsi="Times New Roman" w:eastAsia="楷体_GB2312" w:cs="Times New Roman"/>
          <w:b/>
          <w:bCs/>
          <w:color w:val="auto"/>
          <w:sz w:val="32"/>
          <w:szCs w:val="32"/>
        </w:rPr>
        <w:t>多维度防范化解风险。</w:t>
      </w:r>
      <w:r>
        <w:rPr>
          <w:rStyle w:val="40"/>
          <w:rFonts w:hint="default" w:ascii="Times New Roman" w:hAnsi="Times New Roman" w:eastAsia="仿宋_GB2312" w:cs="Times New Roman"/>
          <w:color w:val="auto"/>
          <w:sz w:val="32"/>
          <w:szCs w:val="32"/>
        </w:rPr>
        <w:t>坚持安全发展理念，深入推进财税金融、</w:t>
      </w:r>
      <w:r>
        <w:rPr>
          <w:rStyle w:val="40"/>
          <w:rFonts w:hint="eastAsia" w:ascii="Times New Roman" w:hAnsi="Times New Roman" w:eastAsia="仿宋_GB2312" w:cs="Times New Roman"/>
          <w:color w:val="auto"/>
          <w:sz w:val="32"/>
          <w:szCs w:val="32"/>
          <w:lang w:eastAsia="zh-CN"/>
        </w:rPr>
        <w:t>政府隐形债务、</w:t>
      </w:r>
      <w:r>
        <w:rPr>
          <w:rStyle w:val="40"/>
          <w:rFonts w:hint="default" w:ascii="Times New Roman" w:hAnsi="Times New Roman" w:eastAsia="仿宋_GB2312" w:cs="Times New Roman"/>
          <w:color w:val="auto"/>
          <w:sz w:val="32"/>
          <w:szCs w:val="32"/>
        </w:rPr>
        <w:t>民间借贷、拖欠企业账款、非法集资等重点行业领域排查整治。加强森林草原防灭火、建筑施工、交通运输、城镇燃气、危化品、自建房等重点行业领域安全监管，</w:t>
      </w:r>
      <w:r>
        <w:rPr>
          <w:rStyle w:val="40"/>
          <w:rFonts w:hint="default" w:ascii="Times New Roman" w:hAnsi="Times New Roman" w:eastAsia="仿宋_GB2312" w:cs="Times New Roman"/>
          <w:color w:val="auto"/>
          <w:sz w:val="32"/>
          <w:szCs w:val="32"/>
          <w:lang w:eastAsia="zh-CN"/>
        </w:rPr>
        <w:t>坚决守住不发生重特大安全事故的底线</w:t>
      </w:r>
      <w:r>
        <w:rPr>
          <w:rStyle w:val="40"/>
          <w:rFonts w:hint="default" w:ascii="Times New Roman" w:hAnsi="Times New Roman" w:eastAsia="仿宋_GB2312" w:cs="Times New Roman"/>
          <w:color w:val="auto"/>
          <w:sz w:val="32"/>
          <w:szCs w:val="32"/>
        </w:rPr>
        <w:t>。推进地质灾害综合防治体系建设</w:t>
      </w:r>
      <w:r>
        <w:rPr>
          <w:rStyle w:val="40"/>
          <w:rFonts w:hint="eastAsia" w:ascii="Times New Roman" w:hAnsi="Times New Roman" w:eastAsia="仿宋_GB2312" w:cs="Times New Roman"/>
          <w:color w:val="auto"/>
          <w:sz w:val="32"/>
          <w:szCs w:val="32"/>
          <w:lang w:eastAsia="zh-CN"/>
        </w:rPr>
        <w:t>。</w:t>
      </w:r>
    </w:p>
    <w:p w14:paraId="1BE62CEA">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3" w:firstLineChars="200"/>
        <w:jc w:val="both"/>
        <w:textAlignment w:val="auto"/>
        <w:outlineLvl w:val="9"/>
        <w:rPr>
          <w:rStyle w:val="40"/>
          <w:rFonts w:hint="default" w:ascii="Times New Roman" w:hAnsi="Times New Roman" w:eastAsia="仿宋_GB2312" w:cs="Times New Roman"/>
          <w:b/>
          <w:bCs/>
          <w:color w:val="auto"/>
          <w:sz w:val="32"/>
          <w:szCs w:val="32"/>
        </w:rPr>
      </w:pPr>
      <w:r>
        <w:rPr>
          <w:rStyle w:val="40"/>
          <w:rFonts w:hint="default" w:ascii="Times New Roman" w:hAnsi="Times New Roman" w:eastAsia="楷体_GB2312" w:cs="Times New Roman"/>
          <w:b/>
          <w:bCs/>
          <w:color w:val="auto"/>
          <w:sz w:val="32"/>
          <w:szCs w:val="32"/>
        </w:rPr>
        <w:t>全方位推进民族团结。</w:t>
      </w:r>
      <w:r>
        <w:rPr>
          <w:rStyle w:val="40"/>
          <w:rFonts w:hint="default" w:ascii="Times New Roman" w:hAnsi="Times New Roman" w:eastAsia="仿宋_GB2312" w:cs="Times New Roman"/>
          <w:color w:val="auto"/>
          <w:sz w:val="32"/>
          <w:szCs w:val="32"/>
        </w:rPr>
        <w:t>以铸牢中华民族共同体意识为主线，巩固全国民族团结进步示范县创建成果，完成1个省级、5个州级示范创建。计划投资</w:t>
      </w:r>
      <w:r>
        <w:rPr>
          <w:rStyle w:val="40"/>
          <w:rFonts w:hint="default" w:ascii="Times New Roman" w:hAnsi="Times New Roman" w:eastAsia="仿宋_GB2312" w:cs="Times New Roman"/>
          <w:color w:val="auto"/>
          <w:sz w:val="32"/>
          <w:szCs w:val="32"/>
          <w:lang w:val="en-US" w:eastAsia="zh-CN"/>
        </w:rPr>
        <w:t>1000</w:t>
      </w:r>
      <w:r>
        <w:rPr>
          <w:rStyle w:val="40"/>
          <w:rFonts w:hint="default" w:ascii="Times New Roman" w:hAnsi="Times New Roman" w:eastAsia="仿宋_GB2312" w:cs="Times New Roman"/>
          <w:color w:val="auto"/>
          <w:sz w:val="32"/>
          <w:szCs w:val="32"/>
        </w:rPr>
        <w:t>万元，</w:t>
      </w:r>
      <w:r>
        <w:rPr>
          <w:rStyle w:val="40"/>
          <w:rFonts w:hint="default" w:ascii="Times New Roman" w:hAnsi="Times New Roman" w:eastAsia="仿宋_GB2312" w:cs="Times New Roman"/>
          <w:color w:val="auto"/>
          <w:sz w:val="32"/>
          <w:szCs w:val="32"/>
          <w:lang w:eastAsia="zh-CN"/>
        </w:rPr>
        <w:t>加速</w:t>
      </w:r>
      <w:r>
        <w:rPr>
          <w:rStyle w:val="40"/>
          <w:rFonts w:hint="default" w:ascii="Times New Roman" w:hAnsi="Times New Roman" w:eastAsia="仿宋_GB2312" w:cs="Times New Roman"/>
          <w:color w:val="auto"/>
          <w:sz w:val="32"/>
          <w:szCs w:val="32"/>
        </w:rPr>
        <w:t>推进瓦切镇唐日村民族团结进步示范建设项目。积极争创全国双拥模范县，构建中华民族共有精神家园。</w:t>
      </w:r>
      <w:r>
        <w:rPr>
          <w:rStyle w:val="40"/>
          <w:rFonts w:hint="default" w:ascii="Times New Roman" w:hAnsi="Times New Roman" w:eastAsia="仿宋_GB2312" w:cs="Times New Roman"/>
          <w:color w:val="auto"/>
          <w:sz w:val="32"/>
          <w:szCs w:val="32"/>
          <w:lang w:eastAsia="zh-CN"/>
        </w:rPr>
        <w:t>持续推进寺庙依法规范管理，发挥“四室”一体作用，深化</w:t>
      </w:r>
      <w:r>
        <w:rPr>
          <w:rStyle w:val="40"/>
          <w:rFonts w:hint="default" w:ascii="Times New Roman" w:hAnsi="Times New Roman" w:eastAsia="仿宋_GB2312" w:cs="Times New Roman"/>
          <w:color w:val="auto"/>
          <w:sz w:val="32"/>
          <w:szCs w:val="32"/>
        </w:rPr>
        <w:t>“一寺一策”“一僧一档”分类管理，加强寺庙财务监管，常态开展寺庙巡回法治宣讲、“爱国爱教爱家乡”等系列活动，积极引导</w:t>
      </w:r>
      <w:r>
        <w:rPr>
          <w:rStyle w:val="40"/>
          <w:rFonts w:hint="default" w:ascii="Times New Roman" w:hAnsi="Times New Roman" w:eastAsia="仿宋_GB2312" w:cs="Times New Roman"/>
          <w:color w:val="auto"/>
          <w:sz w:val="32"/>
          <w:szCs w:val="32"/>
          <w:lang w:eastAsia="zh-CN"/>
        </w:rPr>
        <w:t>藏传佛教</w:t>
      </w:r>
      <w:r>
        <w:rPr>
          <w:rStyle w:val="40"/>
          <w:rFonts w:hint="default" w:ascii="Times New Roman" w:hAnsi="Times New Roman" w:eastAsia="仿宋_GB2312" w:cs="Times New Roman"/>
          <w:color w:val="auto"/>
          <w:sz w:val="32"/>
          <w:szCs w:val="32"/>
        </w:rPr>
        <w:t>与社会主义社会相适应。</w:t>
      </w:r>
    </w:p>
    <w:p w14:paraId="16B84640">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jc w:val="both"/>
        <w:textAlignment w:val="auto"/>
        <w:outlineLvl w:val="9"/>
        <w:rPr>
          <w:rStyle w:val="40"/>
          <w:rFonts w:hint="default" w:ascii="Times New Roman" w:hAnsi="Times New Roman" w:eastAsia="黑体" w:cs="Times New Roman"/>
          <w:color w:val="auto"/>
          <w:sz w:val="32"/>
          <w:szCs w:val="32"/>
        </w:rPr>
      </w:pPr>
      <w:r>
        <w:rPr>
          <w:rStyle w:val="40"/>
          <w:rFonts w:hint="default" w:ascii="Times New Roman" w:hAnsi="Times New Roman" w:eastAsia="黑体" w:cs="Times New Roman"/>
          <w:color w:val="auto"/>
          <w:sz w:val="32"/>
          <w:szCs w:val="32"/>
        </w:rPr>
        <w:t>七、实施廉洁清风行动，全程打造务实高效政府</w:t>
      </w:r>
    </w:p>
    <w:p w14:paraId="18E00EAD">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仿宋_GB2312" w:cs="Times New Roman"/>
          <w:color w:val="auto"/>
          <w:sz w:val="32"/>
          <w:szCs w:val="32"/>
        </w:rPr>
        <w:t>坚持以政治建设为统领，持之以恒</w:t>
      </w:r>
      <w:r>
        <w:rPr>
          <w:rStyle w:val="40"/>
          <w:rFonts w:hint="default" w:ascii="Times New Roman" w:hAnsi="Times New Roman" w:eastAsia="仿宋_GB2312" w:cs="Times New Roman"/>
          <w:color w:val="auto"/>
          <w:sz w:val="32"/>
          <w:szCs w:val="32"/>
          <w:lang w:eastAsia="zh-CN"/>
        </w:rPr>
        <w:t>提升政府效能</w:t>
      </w:r>
      <w:r>
        <w:rPr>
          <w:rStyle w:val="40"/>
          <w:rFonts w:hint="default" w:ascii="Times New Roman" w:hAnsi="Times New Roman" w:eastAsia="仿宋_GB2312" w:cs="Times New Roman"/>
          <w:color w:val="auto"/>
          <w:sz w:val="32"/>
          <w:szCs w:val="32"/>
        </w:rPr>
        <w:t>，以恒久之功切实提高政府执行力和公信力。</w:t>
      </w:r>
    </w:p>
    <w:p w14:paraId="00044975">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始终恪守忠诚之心。</w:t>
      </w:r>
      <w:r>
        <w:rPr>
          <w:rStyle w:val="40"/>
          <w:rFonts w:hint="default" w:ascii="Times New Roman" w:hAnsi="Times New Roman" w:eastAsia="仿宋_GB2312" w:cs="Times New Roman"/>
          <w:color w:val="auto"/>
          <w:sz w:val="32"/>
          <w:szCs w:val="32"/>
        </w:rPr>
        <w:t>坚持用习近平新时代中国特色社会主义思想凝心铸魂，进一步增强</w:t>
      </w:r>
      <w:r>
        <w:rPr>
          <w:rStyle w:val="40"/>
          <w:rFonts w:hint="default" w:ascii="Times New Roman" w:hAnsi="Times New Roman" w:eastAsia="仿宋_GB2312" w:cs="Times New Roman"/>
          <w:color w:val="auto"/>
          <w:sz w:val="32"/>
          <w:szCs w:val="32"/>
          <w:lang w:eastAsia="zh-CN"/>
        </w:rPr>
        <w:t>拥护</w:t>
      </w:r>
      <w:r>
        <w:rPr>
          <w:rStyle w:val="40"/>
          <w:rFonts w:hint="default" w:ascii="Times New Roman" w:hAnsi="Times New Roman" w:eastAsia="仿宋_GB2312" w:cs="Times New Roman"/>
          <w:color w:val="auto"/>
          <w:sz w:val="32"/>
          <w:szCs w:val="32"/>
        </w:rPr>
        <w:t>“两个确立”、做到“两个维护”的思想自觉、政治自觉、行动自觉，不断提高政治判断力、政治领悟力、政治执行力</w:t>
      </w:r>
      <w:r>
        <w:rPr>
          <w:rStyle w:val="40"/>
          <w:rFonts w:hint="eastAsia"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坚决把党中央路线方针和省</w:t>
      </w:r>
      <w:r>
        <w:rPr>
          <w:rStyle w:val="40"/>
          <w:rFonts w:hint="eastAsia" w:ascii="Times New Roman" w:hAnsi="Times New Roman" w:eastAsia="仿宋_GB2312" w:cs="Times New Roman"/>
          <w:color w:val="auto"/>
          <w:sz w:val="32"/>
          <w:szCs w:val="32"/>
          <w:lang w:eastAsia="zh-CN"/>
        </w:rPr>
        <w:t>委</w:t>
      </w:r>
      <w:r>
        <w:rPr>
          <w:rStyle w:val="40"/>
          <w:rFonts w:hint="default" w:ascii="Times New Roman" w:hAnsi="Times New Roman" w:eastAsia="仿宋_GB2312" w:cs="Times New Roman"/>
          <w:color w:val="auto"/>
          <w:sz w:val="32"/>
          <w:szCs w:val="32"/>
          <w:lang w:eastAsia="zh-CN"/>
        </w:rPr>
        <w:t>、</w:t>
      </w:r>
      <w:r>
        <w:rPr>
          <w:rStyle w:val="40"/>
          <w:rFonts w:hint="default" w:ascii="Times New Roman" w:hAnsi="Times New Roman" w:eastAsia="仿宋_GB2312" w:cs="Times New Roman"/>
          <w:color w:val="auto"/>
          <w:sz w:val="32"/>
          <w:szCs w:val="32"/>
        </w:rPr>
        <w:t>州</w:t>
      </w:r>
      <w:r>
        <w:rPr>
          <w:rStyle w:val="40"/>
          <w:rFonts w:hint="eastAsia" w:ascii="Times New Roman" w:hAnsi="Times New Roman" w:eastAsia="仿宋_GB2312" w:cs="Times New Roman"/>
          <w:color w:val="auto"/>
          <w:sz w:val="32"/>
          <w:szCs w:val="32"/>
          <w:lang w:eastAsia="zh-CN"/>
        </w:rPr>
        <w:t>委、县委</w:t>
      </w:r>
      <w:r>
        <w:rPr>
          <w:rStyle w:val="40"/>
          <w:rFonts w:hint="default" w:ascii="Times New Roman" w:hAnsi="Times New Roman" w:eastAsia="仿宋_GB2312" w:cs="Times New Roman"/>
          <w:color w:val="auto"/>
          <w:sz w:val="32"/>
          <w:szCs w:val="32"/>
        </w:rPr>
        <w:t>决策部署落到实处。用好用活第二批主题教育成果，</w:t>
      </w:r>
      <w:r>
        <w:rPr>
          <w:rStyle w:val="40"/>
          <w:rFonts w:hint="eastAsia" w:ascii="Times New Roman" w:hAnsi="Times New Roman" w:eastAsia="仿宋_GB2312" w:cs="Times New Roman"/>
          <w:color w:val="auto"/>
          <w:sz w:val="32"/>
          <w:szCs w:val="32"/>
          <w:lang w:eastAsia="zh-CN"/>
        </w:rPr>
        <w:t>严格</w:t>
      </w:r>
      <w:r>
        <w:rPr>
          <w:rStyle w:val="40"/>
          <w:rFonts w:hint="default" w:ascii="Times New Roman" w:hAnsi="Times New Roman" w:eastAsia="仿宋_GB2312" w:cs="Times New Roman"/>
          <w:color w:val="auto"/>
          <w:sz w:val="32"/>
          <w:szCs w:val="32"/>
        </w:rPr>
        <w:t>落实“四下基层”要求，推进“两联一进”群众工作全覆盖</w:t>
      </w:r>
      <w:r>
        <w:rPr>
          <w:rStyle w:val="40"/>
          <w:rFonts w:hint="default" w:ascii="Times New Roman" w:hAnsi="Times New Roman" w:eastAsia="仿宋_GB2312" w:cs="Times New Roman"/>
          <w:color w:val="auto"/>
          <w:sz w:val="32"/>
          <w:szCs w:val="32"/>
          <w:lang w:eastAsia="zh-CN"/>
        </w:rPr>
        <w:t>，提升群众获得感，增强政府公信力。</w:t>
      </w:r>
    </w:p>
    <w:p w14:paraId="57DFA56F">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始终恪守敬畏之心。</w:t>
      </w:r>
      <w:r>
        <w:rPr>
          <w:rStyle w:val="40"/>
          <w:rFonts w:hint="default" w:ascii="Times New Roman" w:hAnsi="Times New Roman" w:eastAsia="仿宋_GB2312" w:cs="Times New Roman"/>
          <w:color w:val="auto"/>
          <w:sz w:val="32"/>
          <w:szCs w:val="32"/>
        </w:rPr>
        <w:t>严格执行重大行政决策法定程序，深化政府常务会议会前学法学纪，用好用活“法律顾问”制度，出台法律顾问管理办法，做到依法用权、依规履责、依章办事。自觉接受人大法律监督、政协民主监督，主动接受监察监督、</w:t>
      </w:r>
      <w:r>
        <w:rPr>
          <w:rStyle w:val="40"/>
          <w:rFonts w:hint="default" w:ascii="Times New Roman" w:hAnsi="Times New Roman" w:eastAsia="仿宋_GB2312" w:cs="Times New Roman"/>
          <w:color w:val="auto"/>
          <w:sz w:val="32"/>
          <w:szCs w:val="32"/>
          <w:lang w:eastAsia="zh-CN"/>
        </w:rPr>
        <w:t>巡察</w:t>
      </w:r>
      <w:r>
        <w:rPr>
          <w:rStyle w:val="40"/>
          <w:rFonts w:hint="default" w:ascii="Times New Roman" w:hAnsi="Times New Roman" w:eastAsia="仿宋_GB2312" w:cs="Times New Roman"/>
          <w:color w:val="auto"/>
          <w:sz w:val="32"/>
          <w:szCs w:val="32"/>
        </w:rPr>
        <w:t>监督、社会监督和舆论监督，严格执行人大决议，办好人大代表建议和政协提案，提升行政决策科学化、民主化、法治化水平。扎实开展提升行政执法质量三年行动计划，全面推广“法治账图”模式，确保严格规范公正文明执法。</w:t>
      </w:r>
    </w:p>
    <w:p w14:paraId="4A351304">
      <w:pPr>
        <w:pStyle w:val="41"/>
        <w:keepNext w:val="0"/>
        <w:keepLines w:val="0"/>
        <w:pageBreakBefore w:val="0"/>
        <w:widowControl w:val="0"/>
        <w:kinsoku/>
        <w:wordWrap/>
        <w:overflowPunct/>
        <w:topLinePunct w:val="0"/>
        <w:autoSpaceDE/>
        <w:autoSpaceDN/>
        <w:bidi w:val="0"/>
        <w:adjustRightInd/>
        <w:snapToGrid/>
        <w:spacing w:line="576" w:lineRule="exact"/>
        <w:ind w:left="0" w:leftChars="0" w:firstLine="643" w:firstLineChars="200"/>
        <w:jc w:val="both"/>
        <w:textAlignment w:val="auto"/>
        <w:outlineLvl w:val="9"/>
        <w:rPr>
          <w:rStyle w:val="40"/>
          <w:rFonts w:hint="default" w:ascii="Times New Roman" w:hAnsi="Times New Roman" w:eastAsia="仿宋_GB2312" w:cs="Times New Roman"/>
          <w:color w:val="auto"/>
          <w:sz w:val="32"/>
          <w:szCs w:val="32"/>
        </w:rPr>
      </w:pPr>
      <w:r>
        <w:rPr>
          <w:rStyle w:val="40"/>
          <w:rFonts w:hint="default" w:ascii="Times New Roman" w:hAnsi="Times New Roman" w:eastAsia="楷体_GB2312" w:cs="Times New Roman"/>
          <w:b/>
          <w:bCs/>
          <w:color w:val="auto"/>
          <w:sz w:val="32"/>
          <w:szCs w:val="32"/>
        </w:rPr>
        <w:t>始终恪守清廉之心。</w:t>
      </w:r>
      <w:r>
        <w:rPr>
          <w:rStyle w:val="40"/>
          <w:rFonts w:hint="default" w:ascii="Times New Roman" w:hAnsi="Times New Roman" w:eastAsia="仿宋_GB2312" w:cs="Times New Roman"/>
          <w:color w:val="auto"/>
          <w:sz w:val="32"/>
          <w:szCs w:val="32"/>
        </w:rPr>
        <w:t>严格落实党风廉政建设主体责任和“一岗双责”，深化以案促改、以案促治，纵深推进政府系统党风廉政建设和反腐败</w:t>
      </w:r>
      <w:r>
        <w:rPr>
          <w:rStyle w:val="40"/>
          <w:rFonts w:hint="default" w:ascii="Times New Roman" w:hAnsi="Times New Roman" w:eastAsia="仿宋_GB2312" w:cs="Times New Roman"/>
          <w:color w:val="auto"/>
          <w:sz w:val="32"/>
          <w:szCs w:val="32"/>
          <w:lang w:eastAsia="zh-CN"/>
        </w:rPr>
        <w:t>斗争</w:t>
      </w:r>
      <w:r>
        <w:rPr>
          <w:rStyle w:val="40"/>
          <w:rFonts w:hint="default" w:ascii="Times New Roman" w:hAnsi="Times New Roman" w:eastAsia="仿宋_GB2312" w:cs="Times New Roman"/>
          <w:color w:val="auto"/>
          <w:sz w:val="32"/>
          <w:szCs w:val="32"/>
        </w:rPr>
        <w:t>。严格落实中央八项规定及其实施细则，加强审批、资源、资产、资金、项目等重点领域制度建设，落实落细各项惠民利民、助企纾困政策措施，抓实省委巡视、生态环境、乡村振兴等领域问题的务实整改，大力惩治群众身边的不正之风和腐败问题，营造风清气正的良好政治生态。</w:t>
      </w:r>
    </w:p>
    <w:p w14:paraId="19943F16">
      <w:pPr>
        <w:pStyle w:val="2"/>
      </w:pPr>
    </w:p>
    <w:p w14:paraId="7C971FCB">
      <w:pPr>
        <w:pStyle w:val="5"/>
        <w:rPr>
          <w:rStyle w:val="34"/>
          <w:rFonts w:hint="eastAsia" w:ascii="Times New Roman" w:hAnsi="Times New Roman" w:eastAsia="黑体"/>
          <w:b w:val="0"/>
          <w:bCs w:val="0"/>
          <w:color w:val="auto"/>
          <w:highlight w:val="none"/>
        </w:rPr>
      </w:pPr>
      <w:bookmarkStart w:id="10" w:name="_Toc15396601"/>
      <w:bookmarkStart w:id="11" w:name="_Toc15377200"/>
      <w:r>
        <w:rPr>
          <w:rFonts w:hint="eastAsia" w:ascii="Times New Roman" w:hAnsi="Times New Roman" w:eastAsia="黑体"/>
          <w:b w:val="0"/>
          <w:color w:val="auto"/>
          <w:highlight w:val="none"/>
        </w:rPr>
        <w:t>二、机</w:t>
      </w:r>
      <w:r>
        <w:rPr>
          <w:rStyle w:val="34"/>
          <w:rFonts w:hint="eastAsia" w:ascii="Times New Roman" w:hAnsi="Times New Roman" w:eastAsia="黑体"/>
          <w:b w:val="0"/>
          <w:bCs w:val="0"/>
          <w:color w:val="auto"/>
          <w:highlight w:val="none"/>
        </w:rPr>
        <w:t>构设置</w:t>
      </w:r>
      <w:bookmarkEnd w:id="10"/>
      <w:bookmarkEnd w:id="11"/>
    </w:p>
    <w:p w14:paraId="0FFF757E">
      <w:pPr>
        <w:pStyle w:val="2"/>
        <w:adjustRightInd w:val="0"/>
        <w:snapToGrid w:val="0"/>
        <w:spacing w:beforeLines="0" w:line="600" w:lineRule="exact"/>
        <w:ind w:firstLine="668" w:firstLineChars="20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红原县人民政府</w:t>
      </w:r>
      <w:r>
        <w:rPr>
          <w:rFonts w:hint="eastAsia" w:ascii="仿宋_GB2312" w:hAnsi="仿宋_GB2312" w:eastAsia="仿宋_GB2312" w:cs="仿宋_GB2312"/>
          <w:sz w:val="32"/>
          <w:szCs w:val="32"/>
        </w:rPr>
        <w:t>下属二级预算单位</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个，其中</w:t>
      </w:r>
      <w:r>
        <w:rPr>
          <w:rFonts w:hint="eastAsia" w:ascii="仿宋_GB2312" w:hAnsi="仿宋_GB2312" w:eastAsia="仿宋_GB2312" w:cs="仿宋_GB2312"/>
          <w:sz w:val="32"/>
          <w:szCs w:val="32"/>
          <w:lang w:eastAsia="zh-CN"/>
        </w:rPr>
        <w:t>全额拨款</w:t>
      </w:r>
      <w:r>
        <w:rPr>
          <w:rFonts w:hint="eastAsia" w:ascii="仿宋_GB2312" w:hAnsi="仿宋_GB2312" w:eastAsia="仿宋_GB2312" w:cs="仿宋_GB2312"/>
          <w:sz w:val="32"/>
          <w:szCs w:val="32"/>
        </w:rPr>
        <w:t>行政单位</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w:t>
      </w:r>
      <w:r>
        <w:rPr>
          <w:rFonts w:hint="eastAsia" w:ascii="仿宋_GB2312" w:hAnsi="仿宋_GB2312" w:eastAsia="仿宋_GB2312" w:cs="仿宋_GB2312"/>
          <w:sz w:val="32"/>
          <w:szCs w:val="32"/>
          <w:lang w:eastAsia="zh-CN"/>
        </w:rPr>
        <w:t>（红原人民政府办公室本级）</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红原县人民政府办公室</w:t>
      </w:r>
      <w:r>
        <w:rPr>
          <w:rFonts w:hint="eastAsia" w:ascii="仿宋_GB2312" w:hAnsi="仿宋_GB2312" w:eastAsia="仿宋_GB2312" w:cs="仿宋_GB2312"/>
          <w:sz w:val="32"/>
          <w:szCs w:val="32"/>
        </w:rPr>
        <w:t>内设</w:t>
      </w:r>
      <w:r>
        <w:rPr>
          <w:rFonts w:hint="eastAsia" w:ascii="仿宋_GB2312" w:hAnsi="仿宋_GB2312" w:eastAsia="仿宋_GB2312" w:cs="仿宋_GB2312"/>
          <w:sz w:val="32"/>
          <w:szCs w:val="32"/>
          <w:lang w:eastAsia="zh-CN"/>
        </w:rPr>
        <w:t>秘书股、综合股</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机要股、财务人事股、行政效能股、机关事务股、国动股。全额拨款股级</w:t>
      </w:r>
      <w:r>
        <w:rPr>
          <w:rFonts w:hint="eastAsia" w:ascii="仿宋_GB2312" w:hAnsi="仿宋_GB2312" w:eastAsia="仿宋_GB2312" w:cs="仿宋_GB2312"/>
          <w:sz w:val="32"/>
          <w:szCs w:val="32"/>
        </w:rPr>
        <w:t>事业</w:t>
      </w:r>
      <w:r>
        <w:rPr>
          <w:rFonts w:hint="eastAsia" w:ascii="仿宋_GB2312" w:hAnsi="仿宋_GB2312" w:eastAsia="仿宋_GB2312" w:cs="仿宋_GB2312"/>
          <w:sz w:val="32"/>
          <w:szCs w:val="32"/>
          <w:lang w:eastAsia="zh-CN"/>
        </w:rPr>
        <w:t>机构</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w:t>
      </w:r>
      <w:r>
        <w:rPr>
          <w:rFonts w:hint="eastAsia" w:ascii="仿宋_GB2312" w:hAnsi="仿宋_GB2312" w:eastAsia="仿宋_GB2312" w:cs="仿宋_GB2312"/>
          <w:sz w:val="32"/>
          <w:szCs w:val="32"/>
          <w:lang w:eastAsia="zh-CN"/>
        </w:rPr>
        <w:t>（信息公开工作中心、国防动员事务中心）</w:t>
      </w:r>
      <w:r>
        <w:rPr>
          <w:rFonts w:hint="eastAsia" w:ascii="仿宋_GB2312" w:hAnsi="仿宋_GB2312" w:eastAsia="仿宋_GB2312" w:cs="仿宋_GB2312"/>
          <w:sz w:val="32"/>
          <w:szCs w:val="32"/>
        </w:rPr>
        <w:t>。截止</w:t>
      </w:r>
      <w:r>
        <w:rPr>
          <w:rFonts w:hint="eastAsia" w:ascii="仿宋_GB2312" w:hAnsi="仿宋_GB2312" w:eastAsia="仿宋_GB2312" w:cs="仿宋_GB2312"/>
          <w:sz w:val="32"/>
          <w:szCs w:val="32"/>
          <w:lang w:val="en-US" w:eastAsia="zh-CN"/>
        </w:rPr>
        <w:t>202</w:t>
      </w:r>
      <w:r>
        <w:rPr>
          <w:rFonts w:hint="eastAsia" w:hAnsi="仿宋_GB2312" w:cs="仿宋_GB2312"/>
          <w:sz w:val="32"/>
          <w:szCs w:val="32"/>
          <w:lang w:val="en-US" w:eastAsia="zh-CN"/>
        </w:rPr>
        <w:t>5</w:t>
      </w:r>
      <w:r>
        <w:rPr>
          <w:rFonts w:hint="eastAsia" w:ascii="仿宋_GB2312" w:hAnsi="仿宋_GB2312" w:eastAsia="仿宋_GB2312" w:cs="仿宋_GB2312"/>
          <w:sz w:val="32"/>
          <w:szCs w:val="32"/>
        </w:rPr>
        <w:t>年底我单位共有在职</w:t>
      </w:r>
      <w:r>
        <w:rPr>
          <w:rFonts w:hint="eastAsia" w:ascii="仿宋_GB2312" w:hAnsi="仿宋_GB2312" w:eastAsia="仿宋_GB2312" w:cs="仿宋_GB2312"/>
          <w:sz w:val="32"/>
          <w:szCs w:val="32"/>
          <w:lang w:eastAsia="zh-CN"/>
        </w:rPr>
        <w:t>人员</w:t>
      </w:r>
      <w:r>
        <w:rPr>
          <w:rFonts w:hint="eastAsia" w:hAnsi="仿宋_GB2312" w:cs="仿宋_GB2312"/>
          <w:sz w:val="32"/>
          <w:szCs w:val="32"/>
          <w:lang w:val="en-US" w:eastAsia="zh-CN"/>
        </w:rPr>
        <w:t>39</w:t>
      </w:r>
      <w:r>
        <w:rPr>
          <w:rFonts w:hint="eastAsia" w:ascii="仿宋_GB2312" w:hAnsi="仿宋_GB2312" w:eastAsia="仿宋_GB2312" w:cs="仿宋_GB2312"/>
          <w:sz w:val="32"/>
          <w:szCs w:val="32"/>
        </w:rPr>
        <w:t>人，其中公务员</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人，行政工勤</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，非参公事业人员</w:t>
      </w:r>
      <w:r>
        <w:rPr>
          <w:rFonts w:hint="eastAsia" w:hAnsi="仿宋_GB2312" w:cs="仿宋_GB2312"/>
          <w:sz w:val="32"/>
          <w:szCs w:val="32"/>
          <w:lang w:val="en-US" w:eastAsia="zh-CN"/>
        </w:rPr>
        <w:t>9</w:t>
      </w:r>
      <w:r>
        <w:rPr>
          <w:rFonts w:hint="eastAsia" w:ascii="仿宋_GB2312" w:hAnsi="仿宋_GB2312" w:eastAsia="仿宋_GB2312" w:cs="仿宋_GB2312"/>
          <w:sz w:val="32"/>
          <w:szCs w:val="32"/>
          <w:lang w:val="en-US" w:eastAsia="zh-CN"/>
        </w:rPr>
        <w:t>人，同比去年减少</w:t>
      </w:r>
      <w:r>
        <w:rPr>
          <w:rFonts w:hint="eastAsia" w:hAnsi="仿宋_GB2312" w:cs="仿宋_GB2312"/>
          <w:sz w:val="32"/>
          <w:szCs w:val="32"/>
          <w:lang w:val="en-US" w:eastAsia="zh-CN"/>
        </w:rPr>
        <w:t>3</w:t>
      </w:r>
      <w:r>
        <w:rPr>
          <w:rFonts w:hint="eastAsia" w:ascii="仿宋_GB2312" w:hAnsi="仿宋_GB2312" w:eastAsia="仿宋_GB2312" w:cs="仿宋_GB2312"/>
          <w:sz w:val="32"/>
          <w:szCs w:val="32"/>
          <w:lang w:val="en-US" w:eastAsia="zh-CN"/>
        </w:rPr>
        <w:t>人，主要变动原因是人员调出</w:t>
      </w:r>
      <w:r>
        <w:rPr>
          <w:rFonts w:hint="eastAsia" w:ascii="仿宋_GB2312" w:hAnsi="仿宋_GB2312" w:eastAsia="仿宋_GB2312" w:cs="仿宋_GB2312"/>
          <w:sz w:val="32"/>
          <w:szCs w:val="32"/>
        </w:rPr>
        <w:t>。</w:t>
      </w:r>
    </w:p>
    <w:p w14:paraId="7C81E4AA">
      <w:pPr>
        <w:pStyle w:val="2"/>
        <w:adjustRightInd w:val="0"/>
        <w:snapToGrid w:val="0"/>
        <w:spacing w:beforeLines="0" w:line="600" w:lineRule="exact"/>
        <w:ind w:firstLine="668" w:firstLineChars="20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纳入</w:t>
      </w:r>
      <w:r>
        <w:rPr>
          <w:rFonts w:hint="eastAsia" w:ascii="仿宋_GB2312" w:hAnsi="仿宋_GB2312" w:eastAsia="仿宋_GB2312" w:cs="仿宋_GB2312"/>
          <w:sz w:val="32"/>
          <w:szCs w:val="32"/>
          <w:lang w:eastAsia="zh-CN"/>
        </w:rPr>
        <w:t>红原</w:t>
      </w:r>
      <w:r>
        <w:rPr>
          <w:rFonts w:hint="eastAsia" w:hAnsi="仿宋_GB2312" w:cs="仿宋_GB2312"/>
          <w:sz w:val="32"/>
          <w:szCs w:val="32"/>
          <w:lang w:eastAsia="zh-CN"/>
        </w:rPr>
        <w:t>人民政府</w:t>
      </w:r>
      <w:r>
        <w:rPr>
          <w:rFonts w:hint="eastAsia" w:ascii="仿宋_GB2312" w:hAnsi="仿宋_GB2312" w:eastAsia="仿宋_GB2312" w:cs="仿宋_GB2312"/>
          <w:sz w:val="32"/>
          <w:szCs w:val="32"/>
        </w:rPr>
        <w:t>办公室202</w:t>
      </w:r>
      <w:r>
        <w:rPr>
          <w:rFonts w:hint="eastAsia" w:hAnsi="仿宋_GB2312" w:cs="仿宋_GB2312"/>
          <w:sz w:val="32"/>
          <w:szCs w:val="32"/>
          <w:lang w:val="en-US" w:eastAsia="zh-CN"/>
        </w:rPr>
        <w:t>5</w:t>
      </w:r>
      <w:r>
        <w:rPr>
          <w:rFonts w:hint="eastAsia" w:ascii="仿宋_GB2312" w:hAnsi="仿宋_GB2312" w:eastAsia="仿宋_GB2312" w:cs="仿宋_GB2312"/>
          <w:sz w:val="32"/>
          <w:szCs w:val="32"/>
        </w:rPr>
        <w:t>年度部门决算编制范围的二级预算单位包括：</w:t>
      </w:r>
    </w:p>
    <w:p w14:paraId="59C6B378">
      <w:pPr>
        <w:pStyle w:val="2"/>
        <w:numPr>
          <w:ilvl w:val="0"/>
          <w:numId w:val="0"/>
        </w:numPr>
        <w:adjustRightInd w:val="0"/>
        <w:snapToGrid w:val="0"/>
        <w:spacing w:beforeLines="0" w:line="600" w:lineRule="exact"/>
        <w:ind w:left="672" w:leftChars="0"/>
        <w:outlineLvl w:val="2"/>
        <w:rPr>
          <w:rFonts w:hint="eastAsia" w:ascii="仿宋_GB2312" w:hAnsi="仿宋_GB2312" w:eastAsia="仿宋_GB2312" w:cs="仿宋_GB2312"/>
          <w:sz w:val="32"/>
          <w:szCs w:val="32"/>
        </w:rPr>
      </w:pPr>
      <w:r>
        <w:rPr>
          <w:rFonts w:hint="eastAsia" w:hAnsi="仿宋_GB2312" w:cs="仿宋_GB2312"/>
          <w:sz w:val="32"/>
          <w:szCs w:val="32"/>
          <w:lang w:val="en-US" w:eastAsia="zh-CN"/>
        </w:rPr>
        <w:t>1.</w:t>
      </w:r>
      <w:r>
        <w:rPr>
          <w:rFonts w:hint="eastAsia" w:ascii="仿宋_GB2312" w:hAnsi="仿宋_GB2312" w:eastAsia="仿宋_GB2312" w:cs="仿宋_GB2312"/>
          <w:sz w:val="32"/>
          <w:szCs w:val="32"/>
          <w:lang w:eastAsia="zh-CN"/>
        </w:rPr>
        <w:t>红原县</w:t>
      </w:r>
      <w:r>
        <w:rPr>
          <w:rFonts w:hint="eastAsia" w:hAnsi="仿宋_GB2312" w:cs="仿宋_GB2312"/>
          <w:sz w:val="32"/>
          <w:szCs w:val="32"/>
          <w:lang w:eastAsia="zh-CN"/>
        </w:rPr>
        <w:t>人民政府</w:t>
      </w:r>
      <w:r>
        <w:rPr>
          <w:rFonts w:hint="eastAsia" w:ascii="仿宋_GB2312" w:hAnsi="仿宋_GB2312" w:eastAsia="仿宋_GB2312" w:cs="仿宋_GB2312"/>
          <w:sz w:val="32"/>
          <w:szCs w:val="32"/>
          <w:lang w:eastAsia="zh-CN"/>
        </w:rPr>
        <w:t>办公室本级</w:t>
      </w:r>
    </w:p>
    <w:p w14:paraId="1C967613">
      <w:pPr>
        <w:widowControl/>
        <w:ind w:firstLine="640" w:firstLineChars="200"/>
        <w:jc w:val="lef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红原县国防动员事务中心</w:t>
      </w:r>
    </w:p>
    <w:p w14:paraId="53CF64E5">
      <w:pPr>
        <w:widowControl/>
        <w:jc w:val="left"/>
        <w:rPr>
          <w:rFonts w:ascii="Times New Roman" w:hAnsi="Times New Roman" w:eastAsia="仿宋"/>
          <w:color w:val="auto"/>
          <w:kern w:val="0"/>
          <w:sz w:val="32"/>
          <w:szCs w:val="32"/>
          <w:highlight w:val="none"/>
        </w:rPr>
      </w:pPr>
      <w:r>
        <w:rPr>
          <w:rFonts w:ascii="Times New Roman" w:hAnsi="Times New Roman" w:eastAsia="仿宋"/>
          <w:color w:val="auto"/>
          <w:sz w:val="32"/>
          <w:szCs w:val="32"/>
          <w:highlight w:val="none"/>
        </w:rPr>
        <w:br w:type="page"/>
      </w:r>
    </w:p>
    <w:p w14:paraId="30DB1BA8">
      <w:pPr>
        <w:pStyle w:val="4"/>
        <w:jc w:val="center"/>
        <w:rPr>
          <w:rFonts w:hint="eastAsia" w:ascii="Times New Roman" w:hAnsi="Times New Roman" w:eastAsia="方正小标宋简体" w:cs="方正小标宋简体"/>
          <w:b w:val="0"/>
          <w:color w:val="auto"/>
          <w:highlight w:val="none"/>
        </w:rPr>
      </w:pPr>
      <w:bookmarkStart w:id="12" w:name="_Toc15377204"/>
      <w:bookmarkStart w:id="13" w:name="_Toc1539660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w:t>
      </w:r>
      <w:r>
        <w:rPr>
          <w:rFonts w:hint="eastAsia" w:eastAsia="方正小标宋简体" w:cs="方正小标宋简体"/>
          <w:b w:val="0"/>
          <w:color w:val="auto"/>
          <w:highlight w:val="none"/>
          <w:lang w:val="en-US" w:eastAsia="zh-CN"/>
        </w:rPr>
        <w:t>5</w:t>
      </w:r>
      <w:r>
        <w:rPr>
          <w:rFonts w:hint="eastAsia" w:ascii="Times New Roman" w:hAnsi="Times New Roman" w:eastAsia="方正小标宋简体" w:cs="方正小标宋简体"/>
          <w:b w:val="0"/>
          <w:color w:val="auto"/>
          <w:highlight w:val="none"/>
          <w:lang w:val="en-US" w:eastAsia="zh-CN"/>
        </w:rPr>
        <w:t>年度</w:t>
      </w:r>
      <w:r>
        <w:rPr>
          <w:rFonts w:hint="eastAsia" w:ascii="Times New Roman" w:hAnsi="Times New Roman" w:eastAsia="方正小标宋简体" w:cs="方正小标宋简体"/>
          <w:b w:val="0"/>
          <w:color w:val="auto"/>
          <w:highlight w:val="none"/>
        </w:rPr>
        <w:t>部门决算情况说明</w:t>
      </w:r>
      <w:bookmarkEnd w:id="12"/>
      <w:bookmarkEnd w:id="13"/>
    </w:p>
    <w:p w14:paraId="3A632745">
      <w:pPr>
        <w:rPr>
          <w:rFonts w:ascii="Times New Roman" w:hAnsi="Times New Roman"/>
          <w:color w:val="auto"/>
          <w:highlight w:val="none"/>
        </w:rPr>
      </w:pPr>
    </w:p>
    <w:p w14:paraId="635FB5E6">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4"/>
          <w:rFonts w:hint="eastAsia" w:ascii="Times New Roman" w:hAnsi="Times New Roman" w:eastAsia="黑体"/>
          <w:b w:val="0"/>
          <w:color w:val="auto"/>
          <w:highlight w:val="none"/>
        </w:rPr>
      </w:pPr>
      <w:bookmarkStart w:id="14" w:name="_Toc15377205"/>
      <w:bookmarkStart w:id="15"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4"/>
          <w:rFonts w:hint="eastAsia" w:ascii="Times New Roman" w:hAnsi="Times New Roman" w:eastAsia="黑体"/>
          <w:b w:val="0"/>
          <w:color w:val="auto"/>
          <w:highlight w:val="none"/>
        </w:rPr>
        <w:t>入支出决算总体情况说明</w:t>
      </w:r>
      <w:bookmarkEnd w:id="14"/>
      <w:bookmarkEnd w:id="15"/>
    </w:p>
    <w:p w14:paraId="2F89E2C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eastAsia="zh-CN"/>
        </w:rPr>
        <w:t>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lang w:val="en-US" w:eastAsia="zh-CN"/>
        </w:rPr>
        <w:t>1980.10</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251.7</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eastAsia="zh-CN"/>
        </w:rPr>
        <w:t>了</w:t>
      </w:r>
      <w:r>
        <w:rPr>
          <w:rFonts w:hint="eastAsia" w:eastAsia="仿宋_GB2312" w:cs="仿宋_GB2312"/>
          <w:color w:val="auto"/>
          <w:sz w:val="32"/>
          <w:szCs w:val="32"/>
          <w:highlight w:val="none"/>
          <w:lang w:val="en-US" w:eastAsia="zh-CN"/>
        </w:rPr>
        <w:t>14.56</w:t>
      </w:r>
      <w:r>
        <w:rPr>
          <w:rFonts w:hint="eastAsia" w:ascii="Times New Roman" w:hAnsi="Times New Roman" w:eastAsia="仿宋_GB2312" w:cs="仿宋_GB2312"/>
          <w:color w:val="auto"/>
          <w:sz w:val="32"/>
          <w:szCs w:val="32"/>
          <w:highlight w:val="none"/>
        </w:rPr>
        <w:t>%。主要变动原因</w:t>
      </w:r>
      <w:r>
        <w:rPr>
          <w:rFonts w:hint="eastAsia" w:eastAsia="仿宋_GB2312" w:cs="仿宋_GB2312"/>
          <w:color w:val="auto"/>
          <w:sz w:val="32"/>
          <w:szCs w:val="32"/>
          <w:highlight w:val="none"/>
          <w:lang w:eastAsia="zh-CN"/>
        </w:rPr>
        <w:t>：</w:t>
      </w:r>
      <w:r>
        <w:rPr>
          <w:rFonts w:hint="eastAsia" w:eastAsia="仿宋_GB2312" w:cs="仿宋_GB2312"/>
          <w:b/>
          <w:bCs/>
          <w:color w:val="auto"/>
          <w:sz w:val="32"/>
          <w:szCs w:val="32"/>
          <w:highlight w:val="none"/>
          <w:lang w:eastAsia="zh-CN"/>
        </w:rPr>
        <w:t>一</w:t>
      </w:r>
      <w:r>
        <w:rPr>
          <w:rFonts w:hint="eastAsia" w:ascii="Times New Roman" w:hAnsi="Times New Roman" w:eastAsia="仿宋_GB2312" w:cs="仿宋_GB2312"/>
          <w:b/>
          <w:bCs/>
          <w:color w:val="auto"/>
          <w:sz w:val="32"/>
          <w:szCs w:val="32"/>
          <w:highlight w:val="none"/>
        </w:rPr>
        <w:t>是</w:t>
      </w:r>
      <w:r>
        <w:rPr>
          <w:rFonts w:hint="eastAsia" w:eastAsia="仿宋_GB2312" w:cs="仿宋_GB2312"/>
          <w:color w:val="auto"/>
          <w:sz w:val="32"/>
          <w:szCs w:val="32"/>
          <w:highlight w:val="none"/>
          <w:lang w:eastAsia="zh-CN"/>
        </w:rPr>
        <w:t>新增</w:t>
      </w:r>
      <w:r>
        <w:rPr>
          <w:rFonts w:hint="eastAsia" w:eastAsia="仿宋_GB2312" w:cs="仿宋_GB2312"/>
          <w:color w:val="auto"/>
          <w:sz w:val="32"/>
          <w:szCs w:val="32"/>
          <w:highlight w:val="none"/>
          <w:lang w:val="en-US" w:eastAsia="zh-CN"/>
        </w:rPr>
        <w:t>13号楼大型修缮337.25万元；</w:t>
      </w:r>
      <w:r>
        <w:rPr>
          <w:rFonts w:hint="eastAsia" w:eastAsia="仿宋_GB2312" w:cs="仿宋_GB2312"/>
          <w:b/>
          <w:bCs/>
          <w:color w:val="auto"/>
          <w:sz w:val="32"/>
          <w:szCs w:val="32"/>
          <w:highlight w:val="none"/>
          <w:lang w:val="en-US" w:eastAsia="zh-CN"/>
        </w:rPr>
        <w:t>二是</w:t>
      </w:r>
      <w:r>
        <w:rPr>
          <w:rFonts w:hint="eastAsia" w:eastAsia="仿宋_GB2312" w:cs="仿宋_GB2312"/>
          <w:color w:val="auto"/>
          <w:sz w:val="32"/>
          <w:szCs w:val="32"/>
          <w:highlight w:val="none"/>
          <w:lang w:val="en-US" w:eastAsia="zh-CN"/>
        </w:rPr>
        <w:t>新购公务用车57.68万；</w:t>
      </w:r>
      <w:r>
        <w:rPr>
          <w:rFonts w:hint="eastAsia" w:eastAsia="仿宋_GB2312" w:cs="仿宋_GB2312"/>
          <w:b/>
          <w:bCs/>
          <w:color w:val="auto"/>
          <w:sz w:val="32"/>
          <w:szCs w:val="32"/>
          <w:highlight w:val="none"/>
          <w:lang w:val="en-US" w:eastAsia="zh-CN"/>
        </w:rPr>
        <w:t>三是</w:t>
      </w:r>
      <w:r>
        <w:rPr>
          <w:rFonts w:hint="eastAsia" w:ascii="仿宋_GB2312" w:eastAsia="仿宋_GB2312" w:cs="仿宋_GB2312"/>
          <w:sz w:val="32"/>
          <w:szCs w:val="32"/>
          <w:lang w:val="en-US" w:eastAsia="zh-CN"/>
        </w:rPr>
        <w:t>国动机动指挥平台建设126.71万元</w:t>
      </w:r>
      <w:r>
        <w:rPr>
          <w:rFonts w:hint="eastAsia" w:eastAsia="仿宋_GB2312" w:cs="仿宋_GB2312"/>
          <w:color w:val="auto"/>
          <w:sz w:val="32"/>
          <w:szCs w:val="32"/>
          <w:highlight w:val="none"/>
          <w:lang w:eastAsia="zh-CN"/>
        </w:rPr>
        <w:t>。</w:t>
      </w:r>
    </w:p>
    <w:p w14:paraId="120BA57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4F60B813">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（图1：收、支决算总计变动情况图）（柱状图）</w:t>
      </w:r>
    </w:p>
    <w:p w14:paraId="495B4AC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r>
        <w:rPr>
          <w:rFonts w:hint="eastAsia" w:ascii="仿宋_GB2312" w:eastAsia="仿宋_GB2312"/>
          <w:sz w:val="32"/>
          <w:szCs w:val="32"/>
          <w:lang w:eastAsia="zh-CN"/>
        </w:rPr>
        <w:drawing>
          <wp:inline distT="0" distB="0" distL="114300" distR="114300">
            <wp:extent cx="4157980" cy="2655570"/>
            <wp:effectExtent l="4445" t="4445" r="13335" b="698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F8038BE">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仿宋_GB2312" w:cs="仿宋_GB2312"/>
          <w:color w:val="auto"/>
          <w:sz w:val="32"/>
          <w:szCs w:val="32"/>
          <w:highlight w:val="none"/>
        </w:rPr>
      </w:pPr>
    </w:p>
    <w:p w14:paraId="16DC9D54">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textAlignment w:val="auto"/>
        <w:outlineLvl w:val="1"/>
        <w:rPr>
          <w:rFonts w:hint="eastAsia" w:ascii="Times New Roman" w:hAnsi="Times New Roman" w:eastAsia="黑体"/>
          <w:color w:val="auto"/>
          <w:sz w:val="32"/>
          <w:szCs w:val="32"/>
          <w:highlight w:val="none"/>
          <w:lang w:eastAsia="zh-CN"/>
        </w:rPr>
      </w:pPr>
      <w:bookmarkStart w:id="16" w:name="_Toc15377206"/>
      <w:bookmarkStart w:id="17" w:name="_Toc15396604"/>
      <w:r>
        <w:rPr>
          <w:rFonts w:hint="eastAsia" w:ascii="Times New Roman" w:hAnsi="Times New Roman" w:eastAsia="黑体"/>
          <w:color w:val="auto"/>
          <w:sz w:val="32"/>
          <w:szCs w:val="32"/>
          <w:highlight w:val="none"/>
          <w:lang w:eastAsia="zh-CN"/>
        </w:rPr>
        <w:t>二、收入决算情况说明</w:t>
      </w:r>
      <w:bookmarkEnd w:id="16"/>
      <w:bookmarkEnd w:id="17"/>
    </w:p>
    <w:p w14:paraId="1573BE77">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年度本年收入合计</w:t>
      </w:r>
      <w:r>
        <w:rPr>
          <w:rFonts w:hint="eastAsia" w:ascii="仿宋_GB2312" w:hAnsi="仿宋_GB2312" w:eastAsia="仿宋_GB2312" w:cs="仿宋_GB2312"/>
          <w:sz w:val="32"/>
          <w:szCs w:val="32"/>
          <w:lang w:val="en-US" w:eastAsia="zh-CN"/>
        </w:rPr>
        <w:t>1980.10</w:t>
      </w:r>
      <w:r>
        <w:rPr>
          <w:rFonts w:hint="eastAsia" w:ascii="仿宋_GB2312" w:hAnsi="仿宋_GB2312" w:eastAsia="仿宋_GB2312" w:cs="仿宋_GB2312"/>
          <w:sz w:val="32"/>
          <w:szCs w:val="32"/>
        </w:rPr>
        <w:t>万元，其中：一般公共预算财政拨款收入</w:t>
      </w:r>
      <w:r>
        <w:rPr>
          <w:rFonts w:hint="eastAsia" w:ascii="仿宋_GB2312" w:hAnsi="仿宋_GB2312" w:eastAsia="仿宋_GB2312" w:cs="仿宋_GB2312"/>
          <w:sz w:val="32"/>
          <w:szCs w:val="32"/>
          <w:lang w:val="en-US" w:eastAsia="zh-CN"/>
        </w:rPr>
        <w:t>1980.10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3CD3D731">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7B254126">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sz w:val="32"/>
          <w:szCs w:val="32"/>
          <w:lang w:eastAsia="zh-CN"/>
        </w:rPr>
        <w:drawing>
          <wp:anchor distT="0" distB="0" distL="114300" distR="114300" simplePos="0" relativeHeight="251660288" behindDoc="0" locked="0" layoutInCell="1" allowOverlap="1">
            <wp:simplePos x="0" y="0"/>
            <wp:positionH relativeFrom="column">
              <wp:posOffset>166370</wp:posOffset>
            </wp:positionH>
            <wp:positionV relativeFrom="paragraph">
              <wp:posOffset>180340</wp:posOffset>
            </wp:positionV>
            <wp:extent cx="5257800" cy="3309620"/>
            <wp:effectExtent l="4445" t="4445" r="14605" b="19685"/>
            <wp:wrapTopAndBottom/>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1CA5596F">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4"/>
          <w:rFonts w:hint="eastAsia" w:ascii="Times New Roman" w:hAnsi="Times New Roman" w:eastAsia="黑体"/>
          <w:b w:val="0"/>
          <w:color w:val="auto"/>
          <w:highlight w:val="none"/>
        </w:rPr>
      </w:pPr>
      <w:bookmarkStart w:id="18" w:name="_Toc15396605"/>
      <w:bookmarkStart w:id="19"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4"/>
          <w:rFonts w:hint="eastAsia" w:ascii="Times New Roman" w:hAnsi="Times New Roman" w:eastAsia="黑体"/>
          <w:b w:val="0"/>
          <w:color w:val="auto"/>
          <w:highlight w:val="none"/>
        </w:rPr>
        <w:t>出决算情况说明</w:t>
      </w:r>
      <w:bookmarkEnd w:id="18"/>
      <w:bookmarkEnd w:id="19"/>
    </w:p>
    <w:p w14:paraId="1B6C1C07">
      <w:pPr>
        <w:pStyle w:val="3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lang w:eastAsia="zh-CN"/>
        </w:rPr>
        <w:t>年度本年支出合计</w:t>
      </w:r>
      <w:r>
        <w:rPr>
          <w:rFonts w:hint="eastAsia" w:ascii="仿宋_GB2312" w:hAnsi="仿宋_GB2312" w:eastAsia="仿宋_GB2312" w:cs="仿宋_GB2312"/>
          <w:sz w:val="32"/>
          <w:szCs w:val="32"/>
          <w:lang w:val="en-US" w:eastAsia="zh-CN"/>
        </w:rPr>
        <w:t>1980.1</w:t>
      </w:r>
      <w:r>
        <w:rPr>
          <w:rFonts w:hint="eastAsia" w:ascii="仿宋_GB2312" w:hAnsi="仿宋_GB2312"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lang w:val="en-US" w:eastAsia="zh-CN"/>
        </w:rPr>
        <w:t>1183.53</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lang w:val="en-US" w:eastAsia="zh-CN"/>
        </w:rPr>
        <w:t>59.78</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lang w:val="en-US" w:eastAsia="zh-CN"/>
        </w:rPr>
        <w:t>796.57</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color w:val="auto"/>
          <w:sz w:val="32"/>
          <w:szCs w:val="32"/>
          <w:highlight w:val="none"/>
          <w:lang w:val="en-US" w:eastAsia="zh-CN"/>
        </w:rPr>
        <w:t>40.22</w:t>
      </w:r>
      <w:r>
        <w:rPr>
          <w:rFonts w:hint="eastAsia" w:ascii="仿宋_GB2312" w:hAnsi="仿宋_GB2312"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1BC5FF6C">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7CA8A767">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仿宋_GB2312" w:hAnsi="仿宋_GB2312" w:eastAsia="仿宋_GB2312" w:cs="仿宋_GB2312"/>
          <w:sz w:val="32"/>
          <w:szCs w:val="32"/>
          <w:lang w:eastAsia="zh-CN"/>
        </w:rPr>
        <w:drawing>
          <wp:anchor distT="0" distB="0" distL="114300" distR="114300" simplePos="0" relativeHeight="251661312" behindDoc="1" locked="0" layoutInCell="1" allowOverlap="1">
            <wp:simplePos x="0" y="0"/>
            <wp:positionH relativeFrom="column">
              <wp:posOffset>52070</wp:posOffset>
            </wp:positionH>
            <wp:positionV relativeFrom="paragraph">
              <wp:posOffset>197485</wp:posOffset>
            </wp:positionV>
            <wp:extent cx="4813300" cy="2473325"/>
            <wp:effectExtent l="4445" t="5080" r="20955" b="17145"/>
            <wp:wrapTight wrapText="bothSides">
              <wp:wrapPolygon>
                <wp:start x="-20" y="-44"/>
                <wp:lineTo x="-20" y="21417"/>
                <wp:lineTo x="21523" y="21417"/>
                <wp:lineTo x="21523" y="-44"/>
                <wp:lineTo x="-20" y="-44"/>
              </wp:wrapPolygon>
            </wp:wrapTight>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123706F8">
      <w:pPr>
        <w:ind w:firstLine="800" w:firstLineChars="250"/>
        <w:rPr>
          <w:rFonts w:hint="eastAsia" w:ascii="Times New Roman" w:hAnsi="Times New Roman" w:eastAsia="仿宋_GB2312" w:cs="仿宋_GB2312"/>
          <w:color w:val="auto"/>
          <w:sz w:val="32"/>
          <w:szCs w:val="32"/>
          <w:highlight w:val="none"/>
          <w:lang w:eastAsia="zh-CN"/>
        </w:rPr>
      </w:pPr>
    </w:p>
    <w:p w14:paraId="6D507AA7">
      <w:pPr>
        <w:ind w:firstLine="800" w:firstLineChars="250"/>
        <w:rPr>
          <w:rFonts w:hint="eastAsia" w:ascii="Times New Roman" w:hAnsi="Times New Roman" w:eastAsia="仿宋_GB2312" w:cs="仿宋_GB2312"/>
          <w:color w:val="auto"/>
          <w:sz w:val="32"/>
          <w:szCs w:val="32"/>
          <w:highlight w:val="none"/>
          <w:lang w:eastAsia="zh-CN"/>
        </w:rPr>
      </w:pPr>
    </w:p>
    <w:p w14:paraId="536229D9">
      <w:pPr>
        <w:ind w:firstLine="800" w:firstLineChars="250"/>
        <w:rPr>
          <w:rFonts w:hint="eastAsia" w:ascii="Times New Roman" w:hAnsi="Times New Roman" w:eastAsia="仿宋_GB2312" w:cs="仿宋_GB2312"/>
          <w:color w:val="auto"/>
          <w:sz w:val="32"/>
          <w:szCs w:val="32"/>
          <w:highlight w:val="none"/>
          <w:lang w:eastAsia="zh-CN"/>
        </w:rPr>
      </w:pPr>
    </w:p>
    <w:p w14:paraId="068CD614">
      <w:pPr>
        <w:ind w:firstLine="800" w:firstLineChars="250"/>
        <w:rPr>
          <w:rFonts w:hint="eastAsia" w:ascii="Times New Roman" w:hAnsi="Times New Roman" w:eastAsia="仿宋_GB2312" w:cs="仿宋_GB2312"/>
          <w:color w:val="auto"/>
          <w:sz w:val="32"/>
          <w:szCs w:val="32"/>
          <w:highlight w:val="none"/>
          <w:lang w:eastAsia="zh-CN"/>
        </w:rPr>
      </w:pPr>
    </w:p>
    <w:p w14:paraId="3B28ABBD">
      <w:pPr>
        <w:ind w:firstLine="800" w:firstLineChars="250"/>
        <w:rPr>
          <w:rFonts w:hint="eastAsia" w:ascii="Times New Roman" w:hAnsi="Times New Roman" w:eastAsia="仿宋_GB2312" w:cs="仿宋_GB2312"/>
          <w:color w:val="auto"/>
          <w:sz w:val="32"/>
          <w:szCs w:val="32"/>
          <w:highlight w:val="none"/>
          <w:lang w:eastAsia="zh-CN"/>
        </w:rPr>
      </w:pPr>
    </w:p>
    <w:p w14:paraId="64ACC1DD">
      <w:pPr>
        <w:ind w:firstLine="800" w:firstLineChars="250"/>
        <w:rPr>
          <w:rFonts w:hint="eastAsia" w:ascii="Times New Roman" w:hAnsi="Times New Roman" w:eastAsia="仿宋_GB2312" w:cs="仿宋_GB2312"/>
          <w:color w:val="auto"/>
          <w:sz w:val="32"/>
          <w:szCs w:val="32"/>
          <w:highlight w:val="none"/>
          <w:lang w:eastAsia="zh-CN"/>
        </w:rPr>
      </w:pPr>
    </w:p>
    <w:p w14:paraId="7B3A500F">
      <w:pPr>
        <w:rPr>
          <w:rFonts w:hint="eastAsia" w:ascii="Times New Roman" w:hAnsi="Times New Roman" w:eastAsia="仿宋_GB2312" w:cs="仿宋_GB2312"/>
          <w:color w:val="auto"/>
          <w:sz w:val="32"/>
          <w:szCs w:val="32"/>
          <w:highlight w:val="none"/>
          <w:lang w:eastAsia="zh-CN"/>
        </w:rPr>
      </w:pPr>
    </w:p>
    <w:p w14:paraId="7E217EBF">
      <w:pPr>
        <w:spacing w:line="600" w:lineRule="exact"/>
        <w:ind w:firstLine="640" w:firstLineChars="200"/>
        <w:outlineLvl w:val="1"/>
        <w:rPr>
          <w:rStyle w:val="34"/>
          <w:rFonts w:ascii="Times New Roman" w:hAnsi="Times New Roman" w:eastAsia="黑体"/>
          <w:b w:val="0"/>
          <w:color w:val="auto"/>
          <w:highlight w:val="none"/>
        </w:rPr>
      </w:pPr>
      <w:bookmarkStart w:id="20" w:name="_Toc15377208"/>
      <w:bookmarkStart w:id="21" w:name="_Toc15396606"/>
      <w:r>
        <w:rPr>
          <w:rFonts w:hint="eastAsia" w:ascii="Times New Roman" w:hAnsi="Times New Roman" w:eastAsia="黑体"/>
          <w:color w:val="auto"/>
          <w:sz w:val="32"/>
          <w:szCs w:val="32"/>
          <w:highlight w:val="none"/>
        </w:rPr>
        <w:t>四、财</w:t>
      </w:r>
      <w:r>
        <w:rPr>
          <w:rStyle w:val="34"/>
          <w:rFonts w:hint="eastAsia" w:ascii="Times New Roman" w:hAnsi="Times New Roman" w:eastAsia="黑体"/>
          <w:b w:val="0"/>
          <w:color w:val="auto"/>
          <w:highlight w:val="none"/>
        </w:rPr>
        <w:t>政拨款收入支出决算总体情况说明</w:t>
      </w:r>
      <w:bookmarkEnd w:id="20"/>
      <w:bookmarkEnd w:id="21"/>
    </w:p>
    <w:p w14:paraId="45E8FBA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年度财政拨款收入、支出总计均为</w:t>
      </w:r>
      <w:r>
        <w:rPr>
          <w:rFonts w:hint="eastAsia" w:ascii="仿宋_GB2312" w:hAnsi="仿宋_GB2312" w:eastAsia="仿宋_GB2312" w:cs="仿宋_GB2312"/>
          <w:sz w:val="32"/>
          <w:szCs w:val="32"/>
          <w:lang w:val="en-US" w:eastAsia="zh-CN"/>
        </w:rPr>
        <w:t>1980.1</w:t>
      </w:r>
      <w:r>
        <w:rPr>
          <w:rFonts w:hint="eastAsia" w:ascii="Times New Roman" w:hAnsi="Times New Roman" w:eastAsia="仿宋_GB2312" w:cs="仿宋_GB2312"/>
          <w:color w:val="auto"/>
          <w:kern w:val="2"/>
          <w:sz w:val="32"/>
          <w:szCs w:val="32"/>
          <w:highlight w:val="none"/>
          <w:lang w:val="en-US" w:eastAsia="zh-CN" w:bidi="ar-SA"/>
        </w:rPr>
        <w:t>万元。与202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年度相比，财政拨款收入总计、支出总计各增加</w:t>
      </w:r>
      <w:r>
        <w:rPr>
          <w:rFonts w:hint="eastAsia" w:eastAsia="仿宋_GB2312" w:cs="仿宋_GB2312"/>
          <w:color w:val="auto"/>
          <w:kern w:val="2"/>
          <w:sz w:val="32"/>
          <w:szCs w:val="32"/>
          <w:highlight w:val="none"/>
          <w:lang w:val="en-US" w:eastAsia="zh-CN" w:bidi="ar-SA"/>
        </w:rPr>
        <w:t>251.7</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了14.56</w:t>
      </w:r>
      <w:r>
        <w:rPr>
          <w:rFonts w:hint="eastAsia" w:ascii="Times New Roman" w:hAnsi="Times New Roman" w:eastAsia="仿宋_GB2312" w:cs="仿宋_GB2312"/>
          <w:color w:val="auto"/>
          <w:kern w:val="2"/>
          <w:sz w:val="32"/>
          <w:szCs w:val="32"/>
          <w:highlight w:val="none"/>
          <w:lang w:val="en-US" w:eastAsia="zh-CN" w:bidi="ar-SA"/>
        </w:rPr>
        <w:t>%。主要变动原因</w:t>
      </w:r>
      <w:r>
        <w:rPr>
          <w:rFonts w:hint="eastAsia" w:eastAsia="仿宋_GB2312" w:cs="仿宋_GB2312"/>
          <w:color w:val="auto"/>
          <w:kern w:val="2"/>
          <w:sz w:val="32"/>
          <w:szCs w:val="32"/>
          <w:highlight w:val="none"/>
          <w:lang w:val="en-US" w:eastAsia="zh-CN" w:bidi="ar-SA"/>
        </w:rPr>
        <w:t>：</w:t>
      </w:r>
      <w:r>
        <w:rPr>
          <w:rFonts w:hint="eastAsia" w:eastAsia="仿宋_GB2312" w:cs="仿宋_GB2312"/>
          <w:b/>
          <w:bCs/>
          <w:color w:val="auto"/>
          <w:sz w:val="32"/>
          <w:szCs w:val="32"/>
          <w:highlight w:val="none"/>
          <w:lang w:eastAsia="zh-CN"/>
        </w:rPr>
        <w:t>一</w:t>
      </w:r>
      <w:r>
        <w:rPr>
          <w:rFonts w:hint="eastAsia" w:ascii="Times New Roman" w:hAnsi="Times New Roman" w:eastAsia="仿宋_GB2312" w:cs="仿宋_GB2312"/>
          <w:b/>
          <w:bCs/>
          <w:color w:val="auto"/>
          <w:sz w:val="32"/>
          <w:szCs w:val="32"/>
          <w:highlight w:val="none"/>
        </w:rPr>
        <w:t>是</w:t>
      </w:r>
      <w:r>
        <w:rPr>
          <w:rFonts w:hint="eastAsia" w:eastAsia="仿宋_GB2312" w:cs="仿宋_GB2312"/>
          <w:color w:val="auto"/>
          <w:sz w:val="32"/>
          <w:szCs w:val="32"/>
          <w:highlight w:val="none"/>
          <w:lang w:eastAsia="zh-CN"/>
        </w:rPr>
        <w:t>新增</w:t>
      </w:r>
      <w:r>
        <w:rPr>
          <w:rFonts w:hint="eastAsia" w:eastAsia="仿宋_GB2312" w:cs="仿宋_GB2312"/>
          <w:color w:val="auto"/>
          <w:sz w:val="32"/>
          <w:szCs w:val="32"/>
          <w:highlight w:val="none"/>
          <w:lang w:val="en-US" w:eastAsia="zh-CN"/>
        </w:rPr>
        <w:t>13号楼大型修缮337.25万元；</w:t>
      </w:r>
      <w:r>
        <w:rPr>
          <w:rFonts w:hint="eastAsia" w:eastAsia="仿宋_GB2312" w:cs="仿宋_GB2312"/>
          <w:b/>
          <w:bCs/>
          <w:color w:val="auto"/>
          <w:sz w:val="32"/>
          <w:szCs w:val="32"/>
          <w:highlight w:val="none"/>
          <w:lang w:val="en-US" w:eastAsia="zh-CN"/>
        </w:rPr>
        <w:t>二是</w:t>
      </w:r>
      <w:r>
        <w:rPr>
          <w:rFonts w:hint="eastAsia" w:eastAsia="仿宋_GB2312" w:cs="仿宋_GB2312"/>
          <w:color w:val="auto"/>
          <w:sz w:val="32"/>
          <w:szCs w:val="32"/>
          <w:highlight w:val="none"/>
          <w:lang w:val="en-US" w:eastAsia="zh-CN"/>
        </w:rPr>
        <w:t>新购公务用车57.68万；</w:t>
      </w:r>
      <w:r>
        <w:rPr>
          <w:rFonts w:hint="eastAsia" w:eastAsia="仿宋_GB2312" w:cs="仿宋_GB2312"/>
          <w:b/>
          <w:bCs/>
          <w:color w:val="auto"/>
          <w:sz w:val="32"/>
          <w:szCs w:val="32"/>
          <w:highlight w:val="none"/>
          <w:lang w:val="en-US" w:eastAsia="zh-CN"/>
        </w:rPr>
        <w:t>三是</w:t>
      </w:r>
      <w:r>
        <w:rPr>
          <w:rFonts w:hint="eastAsia" w:ascii="仿宋_GB2312" w:eastAsia="仿宋_GB2312" w:cs="仿宋_GB2312"/>
          <w:sz w:val="32"/>
          <w:szCs w:val="32"/>
          <w:lang w:val="en-US" w:eastAsia="zh-CN"/>
        </w:rPr>
        <w:t>国动机动指挥平台建设126.71万元。</w:t>
      </w:r>
    </w:p>
    <w:p w14:paraId="05B28E6E">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63167E0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7DAD9C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5070687">
      <w:pPr>
        <w:spacing w:line="600" w:lineRule="exact"/>
        <w:rPr>
          <w:rFonts w:hint="eastAsia" w:ascii="Times New Roman" w:hAnsi="Times New Roman" w:eastAsia="仿宋_GB2312" w:cs="仿宋_GB2312"/>
          <w:color w:val="auto"/>
          <w:kern w:val="2"/>
          <w:sz w:val="32"/>
          <w:szCs w:val="32"/>
          <w:highlight w:val="none"/>
          <w:lang w:val="en-US" w:eastAsia="zh-CN" w:bidi="ar-SA"/>
        </w:rPr>
      </w:pPr>
    </w:p>
    <w:p w14:paraId="1A1590CB">
      <w:pPr>
        <w:pStyle w:val="2"/>
        <w:rPr>
          <w:rFonts w:hint="eastAsia"/>
          <w:lang w:val="en-US" w:eastAsia="zh-CN"/>
        </w:rPr>
      </w:pPr>
    </w:p>
    <w:p w14:paraId="3BABF610">
      <w:pPr>
        <w:spacing w:line="600" w:lineRule="exact"/>
        <w:ind w:firstLine="640" w:firstLineChars="200"/>
        <w:outlineLvl w:val="1"/>
        <w:rPr>
          <w:rFonts w:hint="eastAsia" w:ascii="Times New Roman" w:hAnsi="Times New Roman" w:eastAsia="黑体"/>
          <w:color w:val="auto"/>
          <w:sz w:val="32"/>
          <w:szCs w:val="32"/>
          <w:highlight w:val="none"/>
        </w:rPr>
      </w:pPr>
      <w:bookmarkStart w:id="22" w:name="_Toc15377209"/>
      <w:bookmarkStart w:id="23" w:name="_Toc15396607"/>
    </w:p>
    <w:p w14:paraId="427B473F">
      <w:pPr>
        <w:spacing w:line="600" w:lineRule="exact"/>
        <w:outlineLvl w:val="1"/>
        <w:rPr>
          <w:rFonts w:hint="eastAsia" w:ascii="Times New Roman" w:hAnsi="Times New Roman" w:eastAsia="黑体"/>
          <w:color w:val="auto"/>
          <w:sz w:val="32"/>
          <w:szCs w:val="32"/>
          <w:highlight w:val="none"/>
        </w:rPr>
      </w:pPr>
    </w:p>
    <w:p w14:paraId="2FD3249E">
      <w:pPr>
        <w:spacing w:line="600" w:lineRule="exact"/>
        <w:ind w:firstLine="640" w:firstLineChars="200"/>
        <w:outlineLvl w:val="1"/>
        <w:rPr>
          <w:rFonts w:hint="eastAsia" w:ascii="Times New Roman" w:hAnsi="Times New Roman" w:eastAsia="黑体"/>
          <w:color w:val="auto"/>
          <w:sz w:val="32"/>
          <w:szCs w:val="32"/>
          <w:highlight w:val="none"/>
        </w:rPr>
      </w:pPr>
    </w:p>
    <w:p w14:paraId="5CBE1E31">
      <w:pPr>
        <w:pStyle w:val="2"/>
        <w:rPr>
          <w:rFonts w:hint="eastAsia" w:ascii="Times New Roman" w:hAnsi="Times New Roman" w:eastAsia="黑体"/>
          <w:color w:val="auto"/>
          <w:sz w:val="32"/>
          <w:szCs w:val="32"/>
          <w:highlight w:val="none"/>
        </w:rPr>
      </w:pPr>
    </w:p>
    <w:p w14:paraId="04EAA426">
      <w:pPr>
        <w:pStyle w:val="3"/>
        <w:ind w:left="0" w:leftChars="0" w:firstLine="0" w:firstLineChars="0"/>
        <w:rPr>
          <w:rFonts w:hint="eastAsia"/>
        </w:rPr>
      </w:pPr>
      <w:r>
        <w:rPr>
          <w:rFonts w:hint="eastAsia" w:ascii="仿宋_GB2312" w:eastAsia="仿宋_GB2312"/>
          <w:sz w:val="32"/>
          <w:szCs w:val="32"/>
          <w:lang w:eastAsia="zh-CN"/>
        </w:rPr>
        <w:drawing>
          <wp:inline distT="0" distB="0" distL="114300" distR="114300">
            <wp:extent cx="4662170" cy="1940560"/>
            <wp:effectExtent l="4445" t="4445" r="19685" b="17145"/>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D5BD16">
      <w:pPr>
        <w:pStyle w:val="3"/>
        <w:ind w:left="0" w:leftChars="0" w:firstLine="0" w:firstLineChars="0"/>
        <w:rPr>
          <w:rFonts w:hint="eastAsia"/>
        </w:rPr>
      </w:pPr>
    </w:p>
    <w:p w14:paraId="7B08F631">
      <w:pPr>
        <w:rPr>
          <w:rFonts w:hint="eastAsia"/>
        </w:rPr>
      </w:pPr>
    </w:p>
    <w:p w14:paraId="29A080ED">
      <w:pPr>
        <w:spacing w:line="600" w:lineRule="exact"/>
        <w:ind w:firstLine="640" w:firstLineChars="200"/>
        <w:outlineLvl w:val="1"/>
        <w:rPr>
          <w:rStyle w:val="34"/>
          <w:rFonts w:ascii="Times New Roman" w:hAnsi="Times New Roman" w:eastAsia="黑体"/>
          <w:b w:val="0"/>
          <w:color w:val="auto"/>
          <w:highlight w:val="none"/>
        </w:rPr>
      </w:pPr>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4"/>
          <w:rFonts w:hint="eastAsia" w:ascii="Times New Roman" w:hAnsi="Times New Roman" w:eastAsia="黑体"/>
          <w:b w:val="0"/>
          <w:color w:val="auto"/>
          <w:highlight w:val="none"/>
        </w:rPr>
        <w:t>般公共预算财政拨款支出决算情况说明</w:t>
      </w:r>
      <w:bookmarkEnd w:id="22"/>
      <w:bookmarkEnd w:id="23"/>
    </w:p>
    <w:p w14:paraId="229C1A2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4"/>
    </w:p>
    <w:p w14:paraId="568F8FA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仿宋_GB2312"/>
          <w:color w:val="auto"/>
          <w:sz w:val="32"/>
          <w:szCs w:val="32"/>
          <w:highlight w:val="none"/>
          <w:lang w:val="en-US" w:eastAsia="zh-CN"/>
        </w:rPr>
      </w:pPr>
      <w:r>
        <w:rPr>
          <w:rFonts w:hint="eastAsia" w:ascii="仿宋_GB2312" w:hAnsi="仿宋_GB2312" w:eastAsia="仿宋_GB2312" w:cs="仿宋_GB2312"/>
          <w:color w:val="auto"/>
          <w:kern w:val="2"/>
          <w:sz w:val="32"/>
          <w:szCs w:val="32"/>
          <w:highlight w:val="none"/>
          <w:lang w:val="en-US" w:eastAsia="zh-CN" w:bidi="ar-SA"/>
        </w:rPr>
        <w:t>2025年度一般公共预算财政拨款支出1980.1万元，占本年支出合计的</w:t>
      </w:r>
      <w:r>
        <w:rPr>
          <w:rFonts w:hint="eastAsia" w:ascii="仿宋_GB2312" w:hAnsi="仿宋_GB2312" w:eastAsia="仿宋_GB2312" w:cs="仿宋_GB2312"/>
          <w:sz w:val="32"/>
          <w:szCs w:val="32"/>
        </w:rPr>
        <w:t>100</w:t>
      </w:r>
      <w:r>
        <w:rPr>
          <w:rFonts w:hint="eastAsia" w:ascii="仿宋_GB2312" w:hAnsi="仿宋_GB2312" w:eastAsia="仿宋_GB2312" w:cs="仿宋_GB2312"/>
          <w:color w:val="auto"/>
          <w:kern w:val="2"/>
          <w:sz w:val="32"/>
          <w:szCs w:val="32"/>
          <w:highlight w:val="none"/>
          <w:lang w:val="en-US" w:eastAsia="zh-CN" w:bidi="ar-SA"/>
        </w:rPr>
        <w:t>%。与2024年度相比，一般公共预算财政拨款支出增长了251.7万元，增长了14.56%。主要变动原因：</w:t>
      </w:r>
      <w:r>
        <w:rPr>
          <w:rFonts w:hint="eastAsia" w:eastAsia="仿宋_GB2312" w:cs="仿宋_GB2312"/>
          <w:b/>
          <w:bCs/>
          <w:color w:val="auto"/>
          <w:sz w:val="32"/>
          <w:szCs w:val="32"/>
          <w:highlight w:val="none"/>
          <w:lang w:eastAsia="zh-CN"/>
        </w:rPr>
        <w:t>一</w:t>
      </w:r>
      <w:r>
        <w:rPr>
          <w:rFonts w:hint="eastAsia" w:ascii="Times New Roman" w:hAnsi="Times New Roman" w:eastAsia="仿宋_GB2312" w:cs="仿宋_GB2312"/>
          <w:b/>
          <w:bCs/>
          <w:color w:val="auto"/>
          <w:sz w:val="32"/>
          <w:szCs w:val="32"/>
          <w:highlight w:val="none"/>
        </w:rPr>
        <w:t>是</w:t>
      </w:r>
      <w:r>
        <w:rPr>
          <w:rFonts w:hint="eastAsia" w:eastAsia="仿宋_GB2312" w:cs="仿宋_GB2312"/>
          <w:color w:val="auto"/>
          <w:sz w:val="32"/>
          <w:szCs w:val="32"/>
          <w:highlight w:val="none"/>
          <w:lang w:eastAsia="zh-CN"/>
        </w:rPr>
        <w:t>新增</w:t>
      </w:r>
      <w:r>
        <w:rPr>
          <w:rFonts w:hint="eastAsia" w:eastAsia="仿宋_GB2312" w:cs="仿宋_GB2312"/>
          <w:color w:val="auto"/>
          <w:sz w:val="32"/>
          <w:szCs w:val="32"/>
          <w:highlight w:val="none"/>
          <w:lang w:val="en-US" w:eastAsia="zh-CN"/>
        </w:rPr>
        <w:t>13号楼大型修缮337.25万元；</w:t>
      </w:r>
      <w:r>
        <w:rPr>
          <w:rFonts w:hint="eastAsia" w:eastAsia="仿宋_GB2312" w:cs="仿宋_GB2312"/>
          <w:b/>
          <w:bCs/>
          <w:color w:val="auto"/>
          <w:sz w:val="32"/>
          <w:szCs w:val="32"/>
          <w:highlight w:val="none"/>
          <w:lang w:val="en-US" w:eastAsia="zh-CN"/>
        </w:rPr>
        <w:t>二是</w:t>
      </w:r>
      <w:r>
        <w:rPr>
          <w:rFonts w:hint="eastAsia" w:eastAsia="仿宋_GB2312" w:cs="仿宋_GB2312"/>
          <w:color w:val="auto"/>
          <w:sz w:val="32"/>
          <w:szCs w:val="32"/>
          <w:highlight w:val="none"/>
          <w:lang w:val="en-US" w:eastAsia="zh-CN"/>
        </w:rPr>
        <w:t>新购公务用车57.68万；</w:t>
      </w:r>
      <w:r>
        <w:rPr>
          <w:rFonts w:hint="eastAsia" w:eastAsia="仿宋_GB2312" w:cs="仿宋_GB2312"/>
          <w:b/>
          <w:bCs/>
          <w:color w:val="auto"/>
          <w:sz w:val="32"/>
          <w:szCs w:val="32"/>
          <w:highlight w:val="none"/>
          <w:lang w:val="en-US" w:eastAsia="zh-CN"/>
        </w:rPr>
        <w:t>三是</w:t>
      </w:r>
      <w:r>
        <w:rPr>
          <w:rFonts w:hint="eastAsia" w:ascii="仿宋_GB2312" w:eastAsia="仿宋_GB2312" w:cs="仿宋_GB2312"/>
          <w:sz w:val="32"/>
          <w:szCs w:val="32"/>
          <w:lang w:val="en-US" w:eastAsia="zh-CN"/>
        </w:rPr>
        <w:t>国动机动指挥平台建设126.71万元，</w:t>
      </w:r>
      <w:r>
        <w:rPr>
          <w:rFonts w:hint="eastAsia" w:eastAsia="仿宋_GB2312" w:cs="仿宋_GB2312"/>
          <w:b/>
          <w:bCs/>
          <w:color w:val="auto"/>
          <w:sz w:val="32"/>
          <w:szCs w:val="32"/>
          <w:highlight w:val="none"/>
          <w:lang w:val="en-US" w:eastAsia="zh-CN"/>
        </w:rPr>
        <w:t>四是</w:t>
      </w:r>
      <w:r>
        <w:rPr>
          <w:rFonts w:hint="eastAsia" w:eastAsia="仿宋_GB2312" w:cs="仿宋_GB2312"/>
          <w:color w:val="auto"/>
          <w:sz w:val="32"/>
          <w:szCs w:val="32"/>
          <w:highlight w:val="none"/>
          <w:lang w:eastAsia="zh-CN"/>
        </w:rPr>
        <w:t>人员变动，养老保险基数调整。</w:t>
      </w:r>
    </w:p>
    <w:p w14:paraId="68316BB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（5：一般公共预算财政拨款支出决算变动情况）（柱状图）</w:t>
      </w:r>
    </w:p>
    <w:p w14:paraId="2C5F365E">
      <w:pPr>
        <w:pStyle w:val="2"/>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eastAsia="仿宋_GB2312"/>
          <w:sz w:val="32"/>
          <w:szCs w:val="32"/>
          <w:lang w:eastAsia="zh-CN"/>
        </w:rPr>
        <w:drawing>
          <wp:inline distT="0" distB="0" distL="114300" distR="114300">
            <wp:extent cx="4681855" cy="2788285"/>
            <wp:effectExtent l="4445" t="4445" r="19050" b="762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D3645A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5"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5"/>
    </w:p>
    <w:p w14:paraId="1439B7E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w:t>
      </w:r>
      <w:r>
        <w:rPr>
          <w:rFonts w:hint="eastAsia" w:ascii="仿宋_GB2312" w:hAnsi="仿宋_GB2312" w:eastAsia="仿宋_GB2312" w:cs="仿宋_GB2312"/>
          <w:sz w:val="32"/>
          <w:szCs w:val="32"/>
          <w:lang w:val="en-US" w:eastAsia="zh-CN"/>
        </w:rPr>
        <w:t>1980.1</w:t>
      </w:r>
      <w:r>
        <w:rPr>
          <w:rFonts w:hint="eastAsia" w:ascii="仿宋_GB2312" w:hAnsi="仿宋_GB2312" w:eastAsia="仿宋_GB2312" w:cs="仿宋_GB2312"/>
          <w:color w:val="auto"/>
          <w:kern w:val="2"/>
          <w:sz w:val="32"/>
          <w:szCs w:val="32"/>
          <w:highlight w:val="none"/>
          <w:lang w:val="en-US" w:eastAsia="zh-CN" w:bidi="ar-SA"/>
        </w:rPr>
        <w:t>万元</w:t>
      </w:r>
      <w:r>
        <w:rPr>
          <w:rFonts w:hint="eastAsia" w:ascii="Times New Roman" w:hAnsi="Times New Roman" w:eastAsia="仿宋_GB2312" w:cs="仿宋_GB2312"/>
          <w:color w:val="auto"/>
          <w:kern w:val="2"/>
          <w:sz w:val="32"/>
          <w:szCs w:val="32"/>
          <w:highlight w:val="none"/>
          <w:lang w:val="en-US" w:eastAsia="zh-CN" w:bidi="ar-SA"/>
        </w:rPr>
        <w:t>，主要用于以下方面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1774.47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89.62</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国防支出129.17万元，占6.52%，</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153.91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55.91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2.8</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81.88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w:t>
      </w:r>
    </w:p>
    <w:p w14:paraId="06B4B5C9">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282BBC9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6537DA2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18FC0FF">
      <w:pPr>
        <w:tabs>
          <w:tab w:val="left" w:pos="1693"/>
        </w:tabs>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sz w:val="32"/>
          <w:szCs w:val="32"/>
          <w:lang w:eastAsia="zh-CN"/>
        </w:rPr>
        <w:drawing>
          <wp:anchor distT="0" distB="0" distL="114300" distR="114300" simplePos="0" relativeHeight="251663360" behindDoc="1" locked="0" layoutInCell="1" allowOverlap="1">
            <wp:simplePos x="0" y="0"/>
            <wp:positionH relativeFrom="column">
              <wp:posOffset>366395</wp:posOffset>
            </wp:positionH>
            <wp:positionV relativeFrom="paragraph">
              <wp:posOffset>278130</wp:posOffset>
            </wp:positionV>
            <wp:extent cx="4813300" cy="2473325"/>
            <wp:effectExtent l="4445" t="5080" r="20955" b="17145"/>
            <wp:wrapTight wrapText="bothSides">
              <wp:wrapPolygon>
                <wp:start x="-20" y="-44"/>
                <wp:lineTo x="-20" y="21417"/>
                <wp:lineTo x="21523" y="21417"/>
                <wp:lineTo x="21523" y="-44"/>
                <wp:lineTo x="-20" y="-44"/>
              </wp:wrapPolygon>
            </wp:wrapTight>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eastAsia="仿宋_GB2312" w:cs="仿宋_GB2312"/>
          <w:color w:val="auto"/>
          <w:kern w:val="2"/>
          <w:sz w:val="32"/>
          <w:szCs w:val="32"/>
          <w:highlight w:val="none"/>
          <w:lang w:val="en-US" w:eastAsia="zh-CN" w:bidi="ar-SA"/>
        </w:rPr>
        <w:tab/>
      </w:r>
    </w:p>
    <w:p w14:paraId="0C838F0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6"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6"/>
    </w:p>
    <w:p w14:paraId="4127F91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7" w:name="_Toc15377213"/>
      <w:bookmarkStart w:id="28" w:name="_Toc15377444"/>
      <w:bookmarkStart w:id="29" w:name="_Toc15378460"/>
      <w:r>
        <w:rPr>
          <w:rFonts w:hint="eastAsia" w:ascii="Times New Roman" w:hAnsi="Times New Roman" w:eastAsia="仿宋_GB2312" w:cs="仿宋_GB2312"/>
          <w:color w:val="auto"/>
          <w:kern w:val="2"/>
          <w:sz w:val="32"/>
          <w:szCs w:val="32"/>
          <w:highlight w:val="none"/>
          <w:lang w:val="en-US" w:eastAsia="zh-CN" w:bidi="ar-SA"/>
        </w:rPr>
        <w:t>202年度一般公共预算财政拨款支出决算数为</w:t>
      </w:r>
      <w:r>
        <w:rPr>
          <w:rFonts w:hint="eastAsia" w:ascii="仿宋_GB2312" w:hAnsi="仿宋_GB2312" w:eastAsia="仿宋_GB2312" w:cs="仿宋_GB2312"/>
          <w:sz w:val="32"/>
          <w:szCs w:val="32"/>
          <w:lang w:val="en-US" w:eastAsia="zh-CN"/>
        </w:rPr>
        <w:t>1980.1</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7"/>
      <w:bookmarkEnd w:id="28"/>
      <w:bookmarkEnd w:id="29"/>
    </w:p>
    <w:p w14:paraId="1AE1112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b/>
          <w:bCs/>
          <w:color w:val="000000" w:themeColor="text1"/>
          <w:sz w:val="32"/>
          <w:szCs w:val="32"/>
          <w14:textFill>
            <w14:solidFill>
              <w14:schemeClr w14:val="tx1"/>
            </w14:solidFill>
          </w14:textFill>
        </w:rPr>
        <w:t>201</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一</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1774.47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89.62</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国防支出129.17万元，占6.52%，</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153.91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55.91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2.8</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81.88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w:t>
      </w:r>
    </w:p>
    <w:p w14:paraId="034B362E">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14:paraId="0AA0C25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sz w:val="32"/>
          <w:szCs w:val="32"/>
          <w:lang w:eastAsia="zh-CN"/>
        </w:rPr>
        <w:drawing>
          <wp:anchor distT="0" distB="0" distL="114300" distR="114300" simplePos="0" relativeHeight="251664384" behindDoc="1" locked="0" layoutInCell="1" allowOverlap="1">
            <wp:simplePos x="0" y="0"/>
            <wp:positionH relativeFrom="column">
              <wp:posOffset>42545</wp:posOffset>
            </wp:positionH>
            <wp:positionV relativeFrom="paragraph">
              <wp:posOffset>109220</wp:posOffset>
            </wp:positionV>
            <wp:extent cx="5361940" cy="3267710"/>
            <wp:effectExtent l="4445" t="4445" r="5715" b="23495"/>
            <wp:wrapTight wrapText="bothSides">
              <wp:wrapPolygon>
                <wp:start x="-18" y="-29"/>
                <wp:lineTo x="-18" y="21503"/>
                <wp:lineTo x="21546" y="21503"/>
                <wp:lineTo x="21546" y="-29"/>
                <wp:lineTo x="-18" y="-29"/>
              </wp:wrapPolygon>
            </wp:wrapTight>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4D658540">
      <w:pPr>
        <w:tabs>
          <w:tab w:val="right" w:pos="8306"/>
        </w:tabs>
        <w:spacing w:line="600" w:lineRule="exact"/>
        <w:ind w:firstLine="640"/>
        <w:outlineLvl w:val="1"/>
        <w:rPr>
          <w:rStyle w:val="34"/>
          <w:rFonts w:ascii="Times New Roman" w:hAnsi="Times New Roman"/>
          <w:color w:val="auto"/>
          <w:highlight w:val="none"/>
        </w:rPr>
      </w:pPr>
      <w:bookmarkStart w:id="30" w:name="_Toc15377214"/>
      <w:bookmarkStart w:id="31"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4"/>
          <w:rFonts w:hint="eastAsia" w:ascii="Times New Roman" w:hAnsi="Times New Roman" w:eastAsia="黑体"/>
          <w:b w:val="0"/>
          <w:color w:val="auto"/>
          <w:highlight w:val="none"/>
        </w:rPr>
        <w:t>般公共预算财政拨款基本支出决算情况说明</w:t>
      </w:r>
      <w:bookmarkEnd w:id="30"/>
      <w:bookmarkEnd w:id="31"/>
      <w:r>
        <w:rPr>
          <w:rStyle w:val="34"/>
          <w:rFonts w:ascii="Times New Roman" w:hAnsi="Times New Roman" w:eastAsia="黑体"/>
          <w:b w:val="0"/>
          <w:color w:val="auto"/>
          <w:highlight w:val="none"/>
        </w:rPr>
        <w:tab/>
      </w:r>
    </w:p>
    <w:p w14:paraId="7E753B5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年度一般公共预算财政拨款基本支出</w:t>
      </w:r>
      <w:r>
        <w:rPr>
          <w:rFonts w:hint="eastAsia" w:ascii="仿宋_GB2312" w:hAnsi="仿宋_GB2312" w:eastAsia="仿宋_GB2312" w:cs="仿宋_GB2312"/>
          <w:sz w:val="32"/>
          <w:szCs w:val="32"/>
          <w:lang w:val="en-US" w:eastAsia="zh-CN"/>
        </w:rPr>
        <w:t>1183.53</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元，其中：</w:t>
      </w:r>
    </w:p>
    <w:p w14:paraId="10DFBC2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lang w:val="en-US" w:eastAsia="zh-CN"/>
        </w:rPr>
        <w:t>1018.59</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w:t>
      </w:r>
      <w:r>
        <w:rPr>
          <w:rFonts w:hint="eastAsia" w:eastAsia="仿宋_GB2312" w:cs="仿宋_GB2312"/>
          <w:color w:val="auto"/>
          <w:kern w:val="2"/>
          <w:sz w:val="32"/>
          <w:szCs w:val="32"/>
          <w:highlight w:val="none"/>
          <w:lang w:val="en-US" w:eastAsia="zh-CN" w:bidi="ar-SA"/>
        </w:rPr>
        <w:t>203.43万元</w:t>
      </w:r>
      <w:r>
        <w:rPr>
          <w:rFonts w:hint="eastAsia" w:ascii="Times New Roman" w:hAnsi="Times New Roman" w:eastAsia="仿宋_GB2312" w:cs="仿宋_GB2312"/>
          <w:color w:val="auto"/>
          <w:kern w:val="2"/>
          <w:sz w:val="32"/>
          <w:szCs w:val="32"/>
          <w:highlight w:val="none"/>
          <w:lang w:val="en-US" w:eastAsia="zh-CN" w:bidi="ar-SA"/>
        </w:rPr>
        <w:t>、津贴补贴</w:t>
      </w:r>
      <w:r>
        <w:rPr>
          <w:rFonts w:hint="eastAsia" w:eastAsia="仿宋_GB2312" w:cs="仿宋_GB2312"/>
          <w:color w:val="auto"/>
          <w:kern w:val="2"/>
          <w:sz w:val="32"/>
          <w:szCs w:val="32"/>
          <w:highlight w:val="none"/>
          <w:lang w:val="en-US" w:eastAsia="zh-CN" w:bidi="ar-SA"/>
        </w:rPr>
        <w:t>247.83万元</w:t>
      </w:r>
      <w:r>
        <w:rPr>
          <w:rFonts w:hint="eastAsia" w:ascii="Times New Roman" w:hAnsi="Times New Roman" w:eastAsia="仿宋_GB2312" w:cs="仿宋_GB2312"/>
          <w:color w:val="auto"/>
          <w:kern w:val="2"/>
          <w:sz w:val="32"/>
          <w:szCs w:val="32"/>
          <w:highlight w:val="none"/>
          <w:lang w:val="en-US" w:eastAsia="zh-CN" w:bidi="ar-SA"/>
        </w:rPr>
        <w:t>、奖金</w:t>
      </w:r>
      <w:r>
        <w:rPr>
          <w:rFonts w:hint="eastAsia" w:eastAsia="仿宋_GB2312" w:cs="仿宋_GB2312"/>
          <w:color w:val="auto"/>
          <w:kern w:val="2"/>
          <w:sz w:val="32"/>
          <w:szCs w:val="32"/>
          <w:highlight w:val="none"/>
          <w:lang w:val="en-US" w:eastAsia="zh-CN" w:bidi="ar-SA"/>
        </w:rPr>
        <w:t>242.62万元</w:t>
      </w:r>
      <w:r>
        <w:rPr>
          <w:rFonts w:hint="eastAsia" w:ascii="Times New Roman" w:hAnsi="Times New Roman" w:eastAsia="仿宋_GB2312" w:cs="仿宋_GB2312"/>
          <w:color w:val="auto"/>
          <w:kern w:val="2"/>
          <w:sz w:val="32"/>
          <w:szCs w:val="32"/>
          <w:highlight w:val="none"/>
          <w:lang w:val="en-US" w:eastAsia="zh-CN" w:bidi="ar-SA"/>
        </w:rPr>
        <w:t>、绩效工资</w:t>
      </w:r>
      <w:r>
        <w:rPr>
          <w:rFonts w:hint="eastAsia" w:eastAsia="仿宋_GB2312" w:cs="仿宋_GB2312"/>
          <w:color w:val="auto"/>
          <w:kern w:val="2"/>
          <w:sz w:val="32"/>
          <w:szCs w:val="32"/>
          <w:highlight w:val="none"/>
          <w:lang w:val="en-US" w:eastAsia="zh-CN" w:bidi="ar-SA"/>
        </w:rPr>
        <w:t>26.49万元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w:t>
      </w:r>
      <w:r>
        <w:rPr>
          <w:rFonts w:hint="eastAsia" w:eastAsia="仿宋_GB2312" w:cs="仿宋_GB2312"/>
          <w:color w:val="auto"/>
          <w:kern w:val="2"/>
          <w:sz w:val="32"/>
          <w:szCs w:val="32"/>
          <w:highlight w:val="none"/>
          <w:lang w:val="en-US" w:eastAsia="zh-CN" w:bidi="ar-SA"/>
        </w:rPr>
        <w:t>102.6万元</w:t>
      </w:r>
      <w:r>
        <w:rPr>
          <w:rFonts w:hint="eastAsia" w:ascii="Times New Roman" w:hAnsi="Times New Roman" w:eastAsia="仿宋_GB2312" w:cs="仿宋_GB2312"/>
          <w:color w:val="auto"/>
          <w:kern w:val="2"/>
          <w:sz w:val="32"/>
          <w:szCs w:val="32"/>
          <w:highlight w:val="none"/>
          <w:lang w:val="en-US" w:eastAsia="zh-CN" w:bidi="ar-SA"/>
        </w:rPr>
        <w:t>、职业年金缴费</w:t>
      </w:r>
      <w:r>
        <w:rPr>
          <w:rFonts w:hint="eastAsia" w:eastAsia="仿宋_GB2312" w:cs="仿宋_GB2312"/>
          <w:color w:val="auto"/>
          <w:kern w:val="2"/>
          <w:sz w:val="32"/>
          <w:szCs w:val="32"/>
          <w:highlight w:val="none"/>
          <w:lang w:val="en-US" w:eastAsia="zh-CN" w:bidi="ar-SA"/>
        </w:rPr>
        <w:t>51.3万元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职工基本医疗保险46.33万元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 xml:space="preserve">公务员医疗补助9.58万元 </w:t>
      </w:r>
      <w:r>
        <w:rPr>
          <w:rFonts w:hint="eastAsia" w:ascii="Times New Roman" w:hAnsi="Times New Roman" w:eastAsia="仿宋_GB2312" w:cs="仿宋_GB2312"/>
          <w:color w:val="auto"/>
          <w:kern w:val="2"/>
          <w:sz w:val="32"/>
          <w:szCs w:val="32"/>
          <w:highlight w:val="none"/>
          <w:lang w:val="en-US" w:eastAsia="zh-CN" w:bidi="ar-SA"/>
        </w:rPr>
        <w:t>、住房公积金</w:t>
      </w:r>
      <w:r>
        <w:rPr>
          <w:rFonts w:hint="eastAsia" w:eastAsia="仿宋_GB2312" w:cs="仿宋_GB2312"/>
          <w:color w:val="auto"/>
          <w:kern w:val="2"/>
          <w:sz w:val="32"/>
          <w:szCs w:val="32"/>
          <w:highlight w:val="none"/>
          <w:lang w:val="en-US" w:eastAsia="zh-CN" w:bidi="ar-SA"/>
        </w:rPr>
        <w:t>81.88万元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医疗费3.51万元，</w:t>
      </w:r>
      <w:r>
        <w:rPr>
          <w:rFonts w:hint="eastAsia" w:ascii="Times New Roman" w:hAnsi="Times New Roman" w:eastAsia="仿宋_GB2312" w:cs="仿宋_GB2312"/>
          <w:color w:val="auto"/>
          <w:kern w:val="2"/>
          <w:sz w:val="32"/>
          <w:szCs w:val="32"/>
          <w:highlight w:val="none"/>
          <w:lang w:val="en-US" w:eastAsia="zh-CN" w:bidi="ar-SA"/>
        </w:rPr>
        <w:t>其他对个人和家庭的补助支出等</w:t>
      </w:r>
      <w:r>
        <w:rPr>
          <w:rFonts w:hint="eastAsia" w:eastAsia="仿宋_GB2312" w:cs="仿宋_GB2312"/>
          <w:color w:val="auto"/>
          <w:kern w:val="2"/>
          <w:sz w:val="32"/>
          <w:szCs w:val="32"/>
          <w:highlight w:val="none"/>
          <w:lang w:val="en-US" w:eastAsia="zh-CN" w:bidi="ar-SA"/>
        </w:rPr>
        <w:t>21.94万元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lang w:val="en-US" w:eastAsia="zh-CN"/>
        </w:rPr>
        <w:t>617.26</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元，主要包括：办公费</w:t>
      </w:r>
      <w:r>
        <w:rPr>
          <w:rFonts w:hint="eastAsia" w:eastAsia="仿宋_GB2312" w:cs="仿宋_GB2312"/>
          <w:color w:val="auto"/>
          <w:kern w:val="2"/>
          <w:sz w:val="32"/>
          <w:szCs w:val="32"/>
          <w:highlight w:val="none"/>
          <w:lang w:val="en-US" w:eastAsia="zh-CN" w:bidi="ar-SA"/>
        </w:rPr>
        <w:t>50.57万元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印刷费5.37万元，</w:t>
      </w:r>
      <w:r>
        <w:rPr>
          <w:rFonts w:hint="eastAsia" w:ascii="Times New Roman" w:hAnsi="Times New Roman" w:eastAsia="仿宋_GB2312" w:cs="仿宋_GB2312"/>
          <w:color w:val="auto"/>
          <w:kern w:val="2"/>
          <w:sz w:val="32"/>
          <w:szCs w:val="32"/>
          <w:highlight w:val="none"/>
          <w:lang w:val="en-US" w:eastAsia="zh-CN" w:bidi="ar-SA"/>
        </w:rPr>
        <w:t>手续费</w:t>
      </w:r>
      <w:r>
        <w:rPr>
          <w:rFonts w:hint="eastAsia" w:eastAsia="仿宋_GB2312" w:cs="仿宋_GB2312"/>
          <w:color w:val="auto"/>
          <w:kern w:val="2"/>
          <w:sz w:val="32"/>
          <w:szCs w:val="32"/>
          <w:highlight w:val="none"/>
          <w:lang w:val="en-US" w:eastAsia="zh-CN" w:bidi="ar-SA"/>
        </w:rPr>
        <w:t>0.09万元</w:t>
      </w:r>
      <w:r>
        <w:rPr>
          <w:rFonts w:hint="eastAsia" w:ascii="Times New Roman" w:hAnsi="Times New Roman" w:eastAsia="仿宋_GB2312" w:cs="仿宋_GB2312"/>
          <w:color w:val="auto"/>
          <w:kern w:val="2"/>
          <w:sz w:val="32"/>
          <w:szCs w:val="32"/>
          <w:highlight w:val="none"/>
          <w:lang w:val="en-US" w:eastAsia="zh-CN" w:bidi="ar-SA"/>
        </w:rPr>
        <w:t>、水费</w:t>
      </w:r>
      <w:r>
        <w:rPr>
          <w:rFonts w:hint="eastAsia" w:eastAsia="仿宋_GB2312" w:cs="仿宋_GB2312"/>
          <w:color w:val="auto"/>
          <w:kern w:val="2"/>
          <w:sz w:val="32"/>
          <w:szCs w:val="32"/>
          <w:highlight w:val="none"/>
          <w:lang w:val="en-US" w:eastAsia="zh-CN" w:bidi="ar-SA"/>
        </w:rPr>
        <w:t>1.08万元</w:t>
      </w:r>
      <w:r>
        <w:rPr>
          <w:rFonts w:hint="eastAsia" w:ascii="Times New Roman" w:hAnsi="Times New Roman" w:eastAsia="仿宋_GB2312" w:cs="仿宋_GB2312"/>
          <w:color w:val="auto"/>
          <w:kern w:val="2"/>
          <w:sz w:val="32"/>
          <w:szCs w:val="32"/>
          <w:highlight w:val="none"/>
          <w:lang w:val="en-US" w:eastAsia="zh-CN" w:bidi="ar-SA"/>
        </w:rPr>
        <w:t>、电费</w:t>
      </w:r>
      <w:r>
        <w:rPr>
          <w:rFonts w:hint="eastAsia" w:eastAsia="仿宋_GB2312" w:cs="仿宋_GB2312"/>
          <w:color w:val="auto"/>
          <w:kern w:val="2"/>
          <w:sz w:val="32"/>
          <w:szCs w:val="32"/>
          <w:highlight w:val="none"/>
          <w:lang w:val="en-US" w:eastAsia="zh-CN" w:bidi="ar-SA"/>
        </w:rPr>
        <w:t>0.66万元</w:t>
      </w:r>
      <w:r>
        <w:rPr>
          <w:rFonts w:hint="eastAsia" w:ascii="Times New Roman" w:hAnsi="Times New Roman" w:eastAsia="仿宋_GB2312" w:cs="仿宋_GB2312"/>
          <w:color w:val="auto"/>
          <w:kern w:val="2"/>
          <w:sz w:val="32"/>
          <w:szCs w:val="32"/>
          <w:highlight w:val="none"/>
          <w:lang w:val="en-US" w:eastAsia="zh-CN" w:bidi="ar-SA"/>
        </w:rPr>
        <w:t>、邮电费</w:t>
      </w:r>
      <w:r>
        <w:rPr>
          <w:rFonts w:hint="eastAsia" w:eastAsia="仿宋_GB2312" w:cs="仿宋_GB2312"/>
          <w:color w:val="auto"/>
          <w:kern w:val="2"/>
          <w:sz w:val="32"/>
          <w:szCs w:val="32"/>
          <w:highlight w:val="none"/>
          <w:lang w:val="en-US" w:eastAsia="zh-CN" w:bidi="ar-SA"/>
        </w:rPr>
        <w:t>23.47万元</w:t>
      </w:r>
      <w:r>
        <w:rPr>
          <w:rFonts w:hint="eastAsia" w:ascii="Times New Roman" w:hAnsi="Times New Roman" w:eastAsia="仿宋_GB2312" w:cs="仿宋_GB2312"/>
          <w:color w:val="auto"/>
          <w:kern w:val="2"/>
          <w:sz w:val="32"/>
          <w:szCs w:val="32"/>
          <w:highlight w:val="none"/>
          <w:lang w:val="en-US" w:eastAsia="zh-CN" w:bidi="ar-SA"/>
        </w:rPr>
        <w:t>、取暖费</w:t>
      </w:r>
      <w:r>
        <w:rPr>
          <w:rFonts w:hint="eastAsia" w:eastAsia="仿宋_GB2312" w:cs="仿宋_GB2312"/>
          <w:color w:val="auto"/>
          <w:kern w:val="2"/>
          <w:sz w:val="32"/>
          <w:szCs w:val="32"/>
          <w:highlight w:val="none"/>
          <w:lang w:val="en-US" w:eastAsia="zh-CN" w:bidi="ar-SA"/>
        </w:rPr>
        <w:t>3.93万元</w:t>
      </w:r>
      <w:r>
        <w:rPr>
          <w:rFonts w:hint="eastAsia" w:ascii="Times New Roman" w:hAnsi="Times New Roman" w:eastAsia="仿宋_GB2312" w:cs="仿宋_GB2312"/>
          <w:color w:val="auto"/>
          <w:kern w:val="2"/>
          <w:sz w:val="32"/>
          <w:szCs w:val="32"/>
          <w:highlight w:val="none"/>
          <w:lang w:val="en-US" w:eastAsia="zh-CN" w:bidi="ar-SA"/>
        </w:rPr>
        <w:t>、差旅费</w:t>
      </w:r>
      <w:r>
        <w:rPr>
          <w:rFonts w:hint="eastAsia" w:eastAsia="仿宋_GB2312" w:cs="仿宋_GB2312"/>
          <w:color w:val="auto"/>
          <w:kern w:val="2"/>
          <w:sz w:val="32"/>
          <w:szCs w:val="32"/>
          <w:highlight w:val="none"/>
          <w:lang w:val="en-US" w:eastAsia="zh-CN" w:bidi="ar-SA"/>
        </w:rPr>
        <w:t>98.03万元</w:t>
      </w:r>
      <w:r>
        <w:rPr>
          <w:rFonts w:hint="eastAsia" w:ascii="Times New Roman" w:hAnsi="Times New Roman" w:eastAsia="仿宋_GB2312" w:cs="仿宋_GB2312"/>
          <w:color w:val="auto"/>
          <w:kern w:val="2"/>
          <w:sz w:val="32"/>
          <w:szCs w:val="32"/>
          <w:highlight w:val="none"/>
          <w:lang w:val="en-US" w:eastAsia="zh-CN" w:bidi="ar-SA"/>
        </w:rPr>
        <w:t>、因公出国（境）费用</w:t>
      </w:r>
      <w:r>
        <w:rPr>
          <w:rFonts w:hint="eastAsia" w:eastAsia="仿宋_GB2312" w:cs="仿宋_GB2312"/>
          <w:color w:val="auto"/>
          <w:kern w:val="2"/>
          <w:sz w:val="32"/>
          <w:szCs w:val="32"/>
          <w:highlight w:val="none"/>
          <w:lang w:val="en-US" w:eastAsia="zh-CN" w:bidi="ar-SA"/>
        </w:rPr>
        <w:t>0万元</w:t>
      </w:r>
      <w:r>
        <w:rPr>
          <w:rFonts w:hint="eastAsia" w:ascii="Times New Roman" w:hAnsi="Times New Roman" w:eastAsia="仿宋_GB2312" w:cs="仿宋_GB2312"/>
          <w:color w:val="auto"/>
          <w:kern w:val="2"/>
          <w:sz w:val="32"/>
          <w:szCs w:val="32"/>
          <w:highlight w:val="none"/>
          <w:lang w:val="en-US" w:eastAsia="zh-CN" w:bidi="ar-SA"/>
        </w:rPr>
        <w:t>、维修（护）费</w:t>
      </w:r>
      <w:r>
        <w:rPr>
          <w:rFonts w:hint="eastAsia" w:eastAsia="仿宋_GB2312" w:cs="仿宋_GB2312"/>
          <w:color w:val="auto"/>
          <w:kern w:val="2"/>
          <w:sz w:val="32"/>
          <w:szCs w:val="32"/>
          <w:highlight w:val="none"/>
          <w:lang w:val="en-US" w:eastAsia="zh-CN" w:bidi="ar-SA"/>
        </w:rPr>
        <w:t>18.22万元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培训费0.05万元、</w:t>
      </w:r>
      <w:r>
        <w:rPr>
          <w:rFonts w:hint="eastAsia" w:ascii="Times New Roman" w:hAnsi="Times New Roman" w:eastAsia="仿宋_GB2312" w:cs="仿宋_GB2312"/>
          <w:color w:val="auto"/>
          <w:kern w:val="2"/>
          <w:sz w:val="32"/>
          <w:szCs w:val="32"/>
          <w:highlight w:val="none"/>
          <w:lang w:val="en-US" w:eastAsia="zh-CN" w:bidi="ar-SA"/>
        </w:rPr>
        <w:t>公务接待费</w:t>
      </w:r>
      <w:r>
        <w:rPr>
          <w:rFonts w:hint="eastAsia" w:eastAsia="仿宋_GB2312" w:cs="仿宋_GB2312"/>
          <w:color w:val="auto"/>
          <w:kern w:val="2"/>
          <w:sz w:val="32"/>
          <w:szCs w:val="32"/>
          <w:highlight w:val="none"/>
          <w:lang w:val="en-US" w:eastAsia="zh-CN" w:bidi="ar-SA"/>
        </w:rPr>
        <w:t>0.44万元</w:t>
      </w:r>
      <w:r>
        <w:rPr>
          <w:rFonts w:hint="eastAsia" w:ascii="Times New Roman" w:hAnsi="Times New Roman" w:eastAsia="仿宋_GB2312" w:cs="仿宋_GB2312"/>
          <w:color w:val="auto"/>
          <w:kern w:val="2"/>
          <w:sz w:val="32"/>
          <w:szCs w:val="32"/>
          <w:highlight w:val="none"/>
          <w:lang w:val="en-US" w:eastAsia="zh-CN" w:bidi="ar-SA"/>
        </w:rPr>
        <w:t>、委托业务费</w:t>
      </w:r>
      <w:r>
        <w:rPr>
          <w:rFonts w:hint="eastAsia" w:eastAsia="仿宋_GB2312" w:cs="仿宋_GB2312"/>
          <w:color w:val="auto"/>
          <w:kern w:val="2"/>
          <w:sz w:val="32"/>
          <w:szCs w:val="32"/>
          <w:highlight w:val="none"/>
          <w:lang w:val="en-US" w:eastAsia="zh-CN" w:bidi="ar-SA"/>
        </w:rPr>
        <w:t>13.62万元</w:t>
      </w:r>
      <w:r>
        <w:rPr>
          <w:rFonts w:hint="eastAsia" w:ascii="Times New Roman" w:hAnsi="Times New Roman" w:eastAsia="仿宋_GB2312" w:cs="仿宋_GB2312"/>
          <w:color w:val="auto"/>
          <w:kern w:val="2"/>
          <w:sz w:val="32"/>
          <w:szCs w:val="32"/>
          <w:highlight w:val="none"/>
          <w:lang w:val="en-US" w:eastAsia="zh-CN" w:bidi="ar-SA"/>
        </w:rPr>
        <w:t>、工会经费</w:t>
      </w:r>
      <w:r>
        <w:rPr>
          <w:rFonts w:hint="eastAsia" w:eastAsia="仿宋_GB2312" w:cs="仿宋_GB2312"/>
          <w:color w:val="auto"/>
          <w:kern w:val="2"/>
          <w:sz w:val="32"/>
          <w:szCs w:val="32"/>
          <w:highlight w:val="none"/>
          <w:lang w:val="en-US" w:eastAsia="zh-CN" w:bidi="ar-SA"/>
        </w:rPr>
        <w:t>7.74万元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福利费9.41万元，</w:t>
      </w:r>
      <w:r>
        <w:rPr>
          <w:rFonts w:hint="eastAsia" w:ascii="Times New Roman" w:hAnsi="Times New Roman" w:eastAsia="仿宋_GB2312" w:cs="仿宋_GB2312"/>
          <w:color w:val="auto"/>
          <w:kern w:val="2"/>
          <w:sz w:val="32"/>
          <w:szCs w:val="32"/>
          <w:highlight w:val="none"/>
          <w:lang w:val="en-US" w:eastAsia="zh-CN" w:bidi="ar-SA"/>
        </w:rPr>
        <w:t>公务用车运行维护费</w:t>
      </w:r>
      <w:r>
        <w:rPr>
          <w:rFonts w:hint="eastAsia" w:eastAsia="仿宋_GB2312" w:cs="仿宋_GB2312"/>
          <w:color w:val="auto"/>
          <w:kern w:val="2"/>
          <w:sz w:val="32"/>
          <w:szCs w:val="32"/>
          <w:highlight w:val="none"/>
          <w:lang w:val="en-US" w:eastAsia="zh-CN" w:bidi="ar-SA"/>
        </w:rPr>
        <w:t>160.63万元</w:t>
      </w:r>
      <w:r>
        <w:rPr>
          <w:rFonts w:hint="eastAsia" w:ascii="Times New Roman" w:hAnsi="Times New Roman" w:eastAsia="仿宋_GB2312" w:cs="仿宋_GB2312"/>
          <w:color w:val="auto"/>
          <w:kern w:val="2"/>
          <w:sz w:val="32"/>
          <w:szCs w:val="32"/>
          <w:highlight w:val="none"/>
          <w:lang w:val="en-US" w:eastAsia="zh-CN" w:bidi="ar-SA"/>
        </w:rPr>
        <w:t>、其他交通费</w:t>
      </w:r>
      <w:r>
        <w:rPr>
          <w:rFonts w:hint="eastAsia" w:eastAsia="仿宋_GB2312" w:cs="仿宋_GB2312"/>
          <w:color w:val="auto"/>
          <w:kern w:val="2"/>
          <w:sz w:val="32"/>
          <w:szCs w:val="32"/>
          <w:highlight w:val="none"/>
          <w:lang w:val="en-US" w:eastAsia="zh-CN" w:bidi="ar-SA"/>
        </w:rPr>
        <w:t>22.4万元，其他商品服务费9.27万元，个人家庭补助支出21.95万元，资本性基本建设支出337.25万元，资本性支出142.61，其中</w:t>
      </w:r>
      <w:r>
        <w:rPr>
          <w:rFonts w:hint="eastAsia" w:ascii="Times New Roman" w:hAnsi="Times New Roman" w:eastAsia="仿宋_GB2312" w:cs="仿宋_GB2312"/>
          <w:color w:val="auto"/>
          <w:kern w:val="2"/>
          <w:sz w:val="32"/>
          <w:szCs w:val="32"/>
          <w:highlight w:val="none"/>
          <w:lang w:val="en-US" w:eastAsia="zh-CN" w:bidi="ar-SA"/>
        </w:rPr>
        <w:t>办公设备购置</w:t>
      </w:r>
      <w:r>
        <w:rPr>
          <w:rFonts w:hint="eastAsia" w:eastAsia="仿宋_GB2312" w:cs="仿宋_GB2312"/>
          <w:color w:val="auto"/>
          <w:kern w:val="2"/>
          <w:sz w:val="32"/>
          <w:szCs w:val="32"/>
          <w:highlight w:val="none"/>
          <w:lang w:val="en-US" w:eastAsia="zh-CN" w:bidi="ar-SA"/>
        </w:rPr>
        <w:t>12.08万元，其他交通设备购置126.17万元</w:t>
      </w:r>
      <w:r>
        <w:rPr>
          <w:rFonts w:hint="eastAsia" w:ascii="Times New Roman" w:hAnsi="Times New Roman" w:eastAsia="仿宋_GB2312" w:cs="仿宋_GB2312"/>
          <w:color w:val="auto"/>
          <w:kern w:val="2"/>
          <w:sz w:val="32"/>
          <w:szCs w:val="32"/>
          <w:highlight w:val="none"/>
          <w:lang w:val="en-US" w:eastAsia="zh-CN" w:bidi="ar-SA"/>
        </w:rPr>
        <w:t>。</w:t>
      </w:r>
    </w:p>
    <w:p w14:paraId="64820E48">
      <w:pPr>
        <w:pStyle w:val="13"/>
        <w:rPr>
          <w:rFonts w:hint="eastAsia"/>
          <w:lang w:val="en-US" w:eastAsia="zh-CN"/>
        </w:rPr>
      </w:pPr>
    </w:p>
    <w:p w14:paraId="436138B7">
      <w:pPr>
        <w:spacing w:line="600" w:lineRule="exact"/>
        <w:ind w:firstLine="640"/>
        <w:outlineLvl w:val="1"/>
        <w:rPr>
          <w:rStyle w:val="34"/>
          <w:rFonts w:ascii="Times New Roman" w:hAnsi="Times New Roman" w:eastAsia="黑体"/>
          <w:b w:val="0"/>
          <w:color w:val="auto"/>
          <w:highlight w:val="none"/>
        </w:rPr>
      </w:pPr>
      <w:bookmarkStart w:id="32" w:name="_Toc15396609"/>
      <w:bookmarkStart w:id="33" w:name="_Toc15377215"/>
      <w:r>
        <w:rPr>
          <w:rFonts w:hint="eastAsia" w:ascii="Times New Roman" w:hAnsi="Times New Roman" w:eastAsia="黑体"/>
          <w:color w:val="auto"/>
          <w:sz w:val="32"/>
          <w:szCs w:val="32"/>
          <w:highlight w:val="none"/>
        </w:rPr>
        <w:t>七、</w:t>
      </w:r>
      <w:r>
        <w:rPr>
          <w:rStyle w:val="34"/>
          <w:rFonts w:hint="eastAsia" w:ascii="Times New Roman" w:hAnsi="Times New Roman" w:eastAsia="黑体"/>
          <w:b w:val="0"/>
          <w:color w:val="auto"/>
          <w:highlight w:val="none"/>
        </w:rPr>
        <w:t>财政拨款</w:t>
      </w:r>
      <w:r>
        <w:rPr>
          <w:rStyle w:val="34"/>
          <w:rFonts w:hint="eastAsia" w:ascii="Times New Roman" w:hAnsi="Times New Roman" w:eastAsia="黑体"/>
          <w:color w:val="auto"/>
          <w:highlight w:val="none"/>
        </w:rPr>
        <w:t>“</w:t>
      </w:r>
      <w:r>
        <w:rPr>
          <w:rStyle w:val="34"/>
          <w:rFonts w:hint="eastAsia" w:ascii="Times New Roman" w:hAnsi="Times New Roman" w:eastAsia="黑体"/>
          <w:b w:val="0"/>
          <w:color w:val="auto"/>
          <w:highlight w:val="none"/>
        </w:rPr>
        <w:t>三公”经费支出决算情况说明</w:t>
      </w:r>
      <w:bookmarkEnd w:id="32"/>
      <w:bookmarkEnd w:id="33"/>
    </w:p>
    <w:p w14:paraId="09702B4A">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4"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4"/>
    </w:p>
    <w:p w14:paraId="3601468F">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年度“三公”经费财政拨款支出决算为</w:t>
      </w:r>
      <w:r>
        <w:rPr>
          <w:rFonts w:hint="eastAsia" w:ascii="仿宋_GB2312" w:hAnsi="仿宋_GB2312" w:eastAsia="仿宋_GB2312" w:cs="仿宋_GB2312"/>
          <w:sz w:val="32"/>
          <w:szCs w:val="32"/>
          <w:lang w:val="en-US" w:eastAsia="zh-CN"/>
        </w:rPr>
        <w:t>218.75</w:t>
      </w:r>
      <w:r>
        <w:rPr>
          <w:rFonts w:hint="eastAsia" w:ascii="仿宋_GB2312" w:hAnsi="仿宋_GB2312"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98.66</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较上年度增</w:t>
      </w:r>
      <w:r>
        <w:rPr>
          <w:rFonts w:hint="eastAsia" w:eastAsia="仿宋_GB2312" w:cs="仿宋_GB2312"/>
          <w:color w:val="auto"/>
          <w:kern w:val="2"/>
          <w:sz w:val="32"/>
          <w:szCs w:val="32"/>
          <w:highlight w:val="none"/>
          <w:lang w:val="en-US" w:eastAsia="zh-CN" w:bidi="ar-SA"/>
        </w:rPr>
        <w:t>减少了4.31</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减少1.97</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厉行节约，减少不必要开支。</w:t>
      </w:r>
    </w:p>
    <w:p w14:paraId="2B462DB4">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5"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5"/>
    </w:p>
    <w:p w14:paraId="7C7B97F6">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2025年度“三公”经费财政拨款支出决算中，公务用车购置及运行维护费支出决算</w:t>
      </w:r>
      <w:r>
        <w:rPr>
          <w:rFonts w:hint="eastAsia" w:ascii="仿宋_GB2312" w:hAnsi="仿宋_GB2312" w:eastAsia="仿宋_GB2312" w:cs="仿宋_GB2312"/>
          <w:sz w:val="32"/>
          <w:szCs w:val="32"/>
          <w:lang w:val="en-US" w:eastAsia="zh-CN"/>
        </w:rPr>
        <w:t>218.31</w:t>
      </w:r>
      <w:r>
        <w:rPr>
          <w:rFonts w:hint="eastAsia" w:ascii="仿宋_GB2312" w:hAnsi="仿宋_GB2312" w:eastAsia="仿宋_GB2312" w:cs="仿宋_GB2312"/>
          <w:color w:val="auto"/>
          <w:kern w:val="2"/>
          <w:sz w:val="32"/>
          <w:szCs w:val="32"/>
          <w:highlight w:val="none"/>
          <w:lang w:val="en-US" w:eastAsia="zh-CN" w:bidi="ar-SA"/>
        </w:rPr>
        <w:t>万元，占99.79%；公务接待费支出决算</w:t>
      </w:r>
      <w:r>
        <w:rPr>
          <w:rFonts w:hint="eastAsia" w:ascii="仿宋_GB2312" w:hAnsi="仿宋_GB2312" w:eastAsia="仿宋_GB2312" w:cs="仿宋_GB2312"/>
          <w:sz w:val="32"/>
          <w:szCs w:val="32"/>
        </w:rPr>
        <w:t>0.4</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color w:val="auto"/>
          <w:kern w:val="2"/>
          <w:sz w:val="32"/>
          <w:szCs w:val="32"/>
          <w:highlight w:val="none"/>
          <w:lang w:val="en-US" w:eastAsia="zh-CN" w:bidi="ar-SA"/>
        </w:rPr>
        <w:t>万元，占1%。具体情况如下：</w:t>
      </w:r>
    </w:p>
    <w:p w14:paraId="4B43D46B">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（图7：“三公”经费财政拨款支出结构）（饼状图）</w:t>
      </w:r>
    </w:p>
    <w:p w14:paraId="31FE02B0">
      <w:pPr>
        <w:pStyle w:val="13"/>
        <w:rPr>
          <w:rFonts w:hint="eastAsia"/>
          <w:lang w:val="en-US" w:eastAsia="zh-CN"/>
        </w:rPr>
      </w:pPr>
      <w:r>
        <w:rPr>
          <w:rFonts w:hint="eastAsia" w:ascii="仿宋_GB2312" w:hAnsi="仿宋_GB2312" w:eastAsia="仿宋_GB2312" w:cs="仿宋_GB2312"/>
          <w:sz w:val="32"/>
          <w:szCs w:val="32"/>
          <w:lang w:eastAsia="zh-CN"/>
        </w:rPr>
        <w:drawing>
          <wp:anchor distT="0" distB="0" distL="114300" distR="114300" simplePos="0" relativeHeight="251665408" behindDoc="1" locked="0" layoutInCell="1" allowOverlap="1">
            <wp:simplePos x="0" y="0"/>
            <wp:positionH relativeFrom="column">
              <wp:posOffset>-37465</wp:posOffset>
            </wp:positionH>
            <wp:positionV relativeFrom="paragraph">
              <wp:posOffset>1606550</wp:posOffset>
            </wp:positionV>
            <wp:extent cx="4935220" cy="2391410"/>
            <wp:effectExtent l="4445" t="4445" r="59055" b="42545"/>
            <wp:wrapTight wrapText="bothSides">
              <wp:wrapPolygon>
                <wp:start x="-19" y="-40"/>
                <wp:lineTo x="-19" y="21571"/>
                <wp:lineTo x="21525" y="21571"/>
                <wp:lineTo x="21525" y="-40"/>
                <wp:lineTo x="-19" y="-40"/>
              </wp:wrapPolygon>
            </wp:wrapTight>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53425763">
      <w:pPr>
        <w:numPr>
          <w:ilvl w:val="0"/>
          <w:numId w:val="0"/>
        </w:num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b/>
          <w:bCs/>
          <w:color w:val="auto"/>
          <w:kern w:val="2"/>
          <w:sz w:val="32"/>
          <w:szCs w:val="32"/>
          <w:highlight w:val="none"/>
          <w:lang w:val="en-US" w:eastAsia="zh-CN" w:bidi="ar-SA"/>
        </w:rPr>
        <w:t>1、</w:t>
      </w:r>
      <w:r>
        <w:rPr>
          <w:rFonts w:hint="eastAsia" w:ascii="Times New Roman" w:hAnsi="Times New Roman" w:eastAsia="仿宋_GB2312" w:cs="仿宋_GB2312"/>
          <w:b/>
          <w:bCs/>
          <w:color w:val="auto"/>
          <w:kern w:val="2"/>
          <w:sz w:val="32"/>
          <w:szCs w:val="32"/>
          <w:highlight w:val="none"/>
          <w:lang w:val="en-US" w:eastAsia="zh-CN" w:bidi="ar-SA"/>
        </w:rPr>
        <w:t>公务用车购置及运行维护费支出</w:t>
      </w:r>
      <w:r>
        <w:rPr>
          <w:rFonts w:hint="eastAsia" w:eastAsia="仿宋_GB2312" w:cs="仿宋_GB2312"/>
          <w:b/>
          <w:bCs/>
          <w:color w:val="auto"/>
          <w:kern w:val="2"/>
          <w:sz w:val="32"/>
          <w:szCs w:val="32"/>
          <w:highlight w:val="none"/>
          <w:lang w:val="en-US" w:eastAsia="zh-CN" w:bidi="ar-SA"/>
        </w:rPr>
        <w:t>218.31</w:t>
      </w:r>
      <w:r>
        <w:rPr>
          <w:rFonts w:hint="eastAsia" w:ascii="仿宋_GB2312" w:hAnsi="仿宋_GB2312" w:eastAsia="仿宋_GB2312" w:cs="仿宋_GB2312"/>
          <w:b/>
          <w:bCs/>
          <w:color w:val="auto"/>
          <w:kern w:val="2"/>
          <w:sz w:val="32"/>
          <w:szCs w:val="32"/>
          <w:highlight w:val="none"/>
          <w:lang w:val="en-US" w:eastAsia="zh-CN" w:bidi="ar-SA"/>
        </w:rPr>
        <w:t>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5.63</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2.64</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新购公务用车一辆。</w:t>
      </w:r>
    </w:p>
    <w:p w14:paraId="15C810A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w:t>
      </w:r>
      <w:r>
        <w:rPr>
          <w:rFonts w:hint="eastAsia" w:ascii="仿宋_GB2312" w:hAnsi="仿宋_GB2312" w:eastAsia="仿宋_GB2312" w:cs="仿宋_GB2312"/>
          <w:color w:val="auto"/>
          <w:kern w:val="2"/>
          <w:sz w:val="32"/>
          <w:szCs w:val="32"/>
          <w:highlight w:val="none"/>
          <w:lang w:val="en-US" w:eastAsia="zh-CN" w:bidi="ar-SA"/>
        </w:rPr>
        <w:t>出57.68</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辆，其中：越野车</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辆、金额</w:t>
      </w:r>
      <w:r>
        <w:rPr>
          <w:rFonts w:hint="eastAsia" w:eastAsia="仿宋_GB2312" w:cs="仿宋_GB2312"/>
          <w:color w:val="auto"/>
          <w:kern w:val="2"/>
          <w:sz w:val="32"/>
          <w:szCs w:val="32"/>
          <w:highlight w:val="none"/>
          <w:lang w:val="en-US" w:eastAsia="zh-CN" w:bidi="ar-SA"/>
        </w:rPr>
        <w:t>57.68</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应急保障用车</w:t>
      </w: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14</w:t>
      </w:r>
      <w:r>
        <w:rPr>
          <w:rFonts w:hint="eastAsia" w:ascii="Times New Roman" w:hAnsi="Times New Roman" w:eastAsia="仿宋_GB2312" w:cs="仿宋_GB2312"/>
          <w:color w:val="auto"/>
          <w:kern w:val="2"/>
          <w:sz w:val="32"/>
          <w:szCs w:val="32"/>
          <w:highlight w:val="none"/>
          <w:lang w:val="en-US" w:eastAsia="zh-CN" w:bidi="ar-SA"/>
        </w:rPr>
        <w:t>辆，其中：越野车</w:t>
      </w:r>
      <w:r>
        <w:rPr>
          <w:rFonts w:hint="eastAsia" w:eastAsia="仿宋_GB2312" w:cs="仿宋_GB2312"/>
          <w:color w:val="auto"/>
          <w:kern w:val="2"/>
          <w:sz w:val="32"/>
          <w:szCs w:val="32"/>
          <w:highlight w:val="none"/>
          <w:lang w:val="en-US" w:eastAsia="zh-CN" w:bidi="ar-SA"/>
        </w:rPr>
        <w:t>14</w:t>
      </w:r>
      <w:r>
        <w:rPr>
          <w:rFonts w:hint="eastAsia" w:ascii="Times New Roman" w:hAnsi="Times New Roman" w:eastAsia="仿宋_GB2312" w:cs="仿宋_GB2312"/>
          <w:color w:val="auto"/>
          <w:kern w:val="2"/>
          <w:sz w:val="32"/>
          <w:szCs w:val="32"/>
          <w:highlight w:val="none"/>
          <w:lang w:val="en-US" w:eastAsia="zh-CN" w:bidi="ar-SA"/>
        </w:rPr>
        <w:t>辆。</w:t>
      </w:r>
    </w:p>
    <w:p w14:paraId="553FECAD">
      <w:pPr>
        <w:spacing w:line="600" w:lineRule="exact"/>
        <w:ind w:firstLine="640"/>
        <w:rPr>
          <w:rFonts w:hint="eastAsia" w:ascii="仿宋_GB2312" w:hAnsi="仿宋_GB2312" w:eastAsia="仿宋_GB2312" w:cs="仿宋_GB2312"/>
          <w:color w:val="000000"/>
          <w:sz w:val="32"/>
          <w:szCs w:val="32"/>
          <w:lang w:eastAsia="zh-CN"/>
        </w:rPr>
      </w:pPr>
      <w:r>
        <w:rPr>
          <w:rFonts w:hint="eastAsia" w:ascii="Times New Roman" w:hAnsi="Times New Roman" w:eastAsia="仿宋_GB2312" w:cs="仿宋_GB2312"/>
          <w:color w:val="auto"/>
          <w:kern w:val="2"/>
          <w:sz w:val="32"/>
          <w:szCs w:val="32"/>
          <w:highlight w:val="none"/>
          <w:lang w:val="en-US" w:eastAsia="zh-CN" w:bidi="ar-SA"/>
        </w:rPr>
        <w:t>公务用车运行维护费支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lang w:val="en-US" w:eastAsia="zh-CN"/>
        </w:rPr>
        <w:t>160.63</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保障办公室日常出差</w:t>
      </w:r>
      <w:r>
        <w:rPr>
          <w:rFonts w:hint="eastAsia" w:ascii="仿宋_GB2312" w:hAnsi="仿宋_GB2312" w:eastAsia="仿宋_GB2312" w:cs="仿宋_GB2312"/>
          <w:sz w:val="32"/>
          <w:szCs w:val="32"/>
          <w:lang w:eastAsia="zh-CN"/>
        </w:rPr>
        <w:t>主要用于办公室</w:t>
      </w:r>
      <w:r>
        <w:rPr>
          <w:rFonts w:hint="eastAsia" w:ascii="仿宋_GB2312" w:hAnsi="仿宋_GB2312" w:eastAsia="仿宋_GB2312" w:cs="仿宋_GB2312"/>
          <w:color w:val="000000"/>
          <w:sz w:val="32"/>
          <w:szCs w:val="32"/>
          <w:lang w:eastAsia="zh-CN"/>
        </w:rPr>
        <w:t>工作出差、开展脱贫攻坚工作下乡、浙江、绵阳援建等所需的公务用车燃料费、维修费、过路过桥费、保险费等支出。</w:t>
      </w:r>
    </w:p>
    <w:p w14:paraId="2766482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0.45万</w:t>
      </w:r>
      <w:r>
        <w:rPr>
          <w:rFonts w:hint="eastAsia" w:ascii="Times New Roman" w:hAnsi="Times New Roman" w:eastAsia="仿宋_GB2312" w:cs="仿宋_GB2312"/>
          <w:b/>
          <w:bCs/>
          <w:color w:val="auto"/>
          <w:kern w:val="2"/>
          <w:sz w:val="32"/>
          <w:szCs w:val="32"/>
          <w:highlight w:val="none"/>
          <w:lang w:val="en-US" w:eastAsia="zh-CN" w:bidi="ar-SA"/>
        </w:rPr>
        <w:t>元，完成预算</w:t>
      </w:r>
      <w:r>
        <w:rPr>
          <w:rFonts w:hint="eastAsia" w:eastAsia="仿宋_GB2312" w:cs="仿宋_GB2312"/>
          <w:b/>
          <w:bCs/>
          <w:color w:val="auto"/>
          <w:kern w:val="2"/>
          <w:sz w:val="32"/>
          <w:szCs w:val="32"/>
          <w:highlight w:val="none"/>
          <w:lang w:val="en-US" w:eastAsia="zh-CN" w:bidi="ar-SA"/>
        </w:rPr>
        <w:t>45.92</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公务接待费支出决算比20</w:t>
      </w:r>
      <w:r>
        <w:rPr>
          <w:rFonts w:hint="eastAsia" w:eastAsia="仿宋_GB2312" w:cs="仿宋_GB2312"/>
          <w:color w:val="auto"/>
          <w:kern w:val="2"/>
          <w:sz w:val="32"/>
          <w:szCs w:val="32"/>
          <w:highlight w:val="none"/>
          <w:lang w:val="en-US" w:eastAsia="zh-CN" w:bidi="ar-SA"/>
        </w:rPr>
        <w:t>24</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了0.041</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增加了1</w:t>
      </w:r>
      <w:r>
        <w:rPr>
          <w:rFonts w:hint="eastAsia" w:ascii="Times New Roman" w:hAnsi="Times New Roman" w:eastAsia="仿宋_GB2312" w:cs="仿宋_GB2312"/>
          <w:color w:val="auto"/>
          <w:kern w:val="2"/>
          <w:sz w:val="32"/>
          <w:szCs w:val="32"/>
          <w:highlight w:val="none"/>
          <w:lang w:val="en-US" w:eastAsia="zh-CN" w:bidi="ar-SA"/>
        </w:rPr>
        <w:t>%。。其中：</w:t>
      </w:r>
    </w:p>
    <w:p w14:paraId="6F0E720A">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0.4</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元，主要用于执行公务、开展业务活动开支的交通费、住宿费、用餐费等国内公务接</w:t>
      </w:r>
      <w:r>
        <w:rPr>
          <w:rFonts w:hint="eastAsia" w:ascii="仿宋_GB2312" w:hAnsi="仿宋_GB2312" w:eastAsia="仿宋_GB2312" w:cs="仿宋_GB2312"/>
          <w:color w:val="auto"/>
          <w:kern w:val="2"/>
          <w:sz w:val="32"/>
          <w:szCs w:val="32"/>
          <w:highlight w:val="none"/>
          <w:lang w:val="en-US" w:eastAsia="zh-CN" w:bidi="ar-SA"/>
        </w:rPr>
        <w:t>待5批次，56</w:t>
      </w:r>
      <w:r>
        <w:rPr>
          <w:rFonts w:hint="eastAsia" w:ascii="Times New Roman" w:hAnsi="Times New Roman" w:eastAsia="仿宋_GB2312" w:cs="仿宋_GB2312"/>
          <w:color w:val="auto"/>
          <w:kern w:val="2"/>
          <w:sz w:val="32"/>
          <w:szCs w:val="32"/>
          <w:highlight w:val="none"/>
          <w:lang w:val="en-US" w:eastAsia="zh-CN" w:bidi="ar-SA"/>
        </w:rPr>
        <w:t>人次（不包括陪同人员），共计支出</w:t>
      </w:r>
      <w:r>
        <w:rPr>
          <w:rFonts w:hint="eastAsia" w:eastAsia="仿宋_GB2312" w:cs="仿宋_GB2312"/>
          <w:color w:val="auto"/>
          <w:kern w:val="2"/>
          <w:sz w:val="32"/>
          <w:szCs w:val="32"/>
          <w:highlight w:val="none"/>
          <w:lang w:val="en-US" w:eastAsia="zh-CN" w:bidi="ar-SA"/>
        </w:rPr>
        <w:t>0.44</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外事接待支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bookmarkStart w:id="36" w:name="_Toc15377218"/>
      <w:bookmarkStart w:id="37" w:name="_Toc15396610"/>
      <w:r>
        <w:rPr>
          <w:rFonts w:hint="eastAsia" w:ascii="仿宋_GB2312" w:hAnsi="仿宋_GB2312" w:eastAsia="仿宋_GB2312" w:cs="仿宋_GB2312"/>
          <w:color w:val="auto"/>
          <w:kern w:val="2"/>
          <w:sz w:val="32"/>
          <w:szCs w:val="32"/>
          <w:highlight w:val="none"/>
          <w:lang w:val="en-US" w:eastAsia="zh-CN" w:bidi="ar-SA"/>
        </w:rPr>
        <w:t>.</w:t>
      </w:r>
    </w:p>
    <w:p w14:paraId="6356CD47">
      <w:pPr>
        <w:spacing w:line="600" w:lineRule="exact"/>
        <w:ind w:firstLine="640"/>
        <w:outlineLvl w:val="1"/>
        <w:rPr>
          <w:rStyle w:val="34"/>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4"/>
          <w:rFonts w:hint="eastAsia" w:ascii="Times New Roman" w:hAnsi="Times New Roman" w:eastAsia="黑体"/>
          <w:b w:val="0"/>
          <w:color w:val="auto"/>
          <w:highlight w:val="none"/>
        </w:rPr>
        <w:t>政府性基金预算支出决算情况说明</w:t>
      </w:r>
      <w:bookmarkEnd w:id="36"/>
      <w:bookmarkEnd w:id="37"/>
    </w:p>
    <w:p w14:paraId="1F808AA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14:paraId="44E75886">
      <w:pPr>
        <w:numPr>
          <w:ilvl w:val="0"/>
          <w:numId w:val="0"/>
        </w:numPr>
        <w:spacing w:line="600" w:lineRule="exact"/>
        <w:ind w:left="630" w:leftChars="0"/>
        <w:outlineLvl w:val="1"/>
        <w:rPr>
          <w:rStyle w:val="34"/>
          <w:rFonts w:ascii="Times New Roman" w:hAnsi="Times New Roman" w:eastAsia="黑体"/>
          <w:b w:val="0"/>
          <w:color w:val="auto"/>
          <w:highlight w:val="none"/>
        </w:rPr>
      </w:pPr>
      <w:bookmarkStart w:id="38" w:name="_Toc15396611"/>
      <w:bookmarkStart w:id="39" w:name="_Toc15377219"/>
      <w:r>
        <w:rPr>
          <w:rStyle w:val="34"/>
          <w:rFonts w:hint="eastAsia" w:ascii="Times New Roman" w:hAnsi="Times New Roman" w:eastAsia="黑体"/>
          <w:b w:val="0"/>
          <w:color w:val="auto"/>
          <w:highlight w:val="none"/>
          <w:lang w:eastAsia="zh-CN"/>
        </w:rPr>
        <w:t>九、</w:t>
      </w:r>
      <w:r>
        <w:rPr>
          <w:rStyle w:val="34"/>
          <w:rFonts w:hint="eastAsia" w:ascii="Times New Roman" w:hAnsi="Times New Roman" w:eastAsia="黑体"/>
          <w:b w:val="0"/>
          <w:color w:val="auto"/>
          <w:highlight w:val="none"/>
        </w:rPr>
        <w:t>国有资本经营预算支出决算情况说明</w:t>
      </w:r>
      <w:bookmarkEnd w:id="38"/>
      <w:bookmarkEnd w:id="39"/>
    </w:p>
    <w:p w14:paraId="1B8509F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14:paraId="7795AF8B">
      <w:pPr>
        <w:numPr>
          <w:ilvl w:val="0"/>
          <w:numId w:val="0"/>
        </w:numPr>
        <w:spacing w:line="600" w:lineRule="exact"/>
        <w:ind w:left="630" w:leftChars="0"/>
        <w:outlineLvl w:val="1"/>
        <w:rPr>
          <w:rStyle w:val="34"/>
          <w:rFonts w:hint="eastAsia" w:ascii="Times New Roman" w:hAnsi="Times New Roman" w:eastAsia="黑体"/>
          <w:b w:val="0"/>
          <w:color w:val="auto"/>
          <w:highlight w:val="none"/>
        </w:rPr>
      </w:pPr>
      <w:bookmarkStart w:id="40" w:name="_Toc15396612"/>
      <w:bookmarkStart w:id="41" w:name="_Toc15377221"/>
      <w:r>
        <w:rPr>
          <w:rStyle w:val="34"/>
          <w:rFonts w:hint="eastAsia" w:ascii="Times New Roman" w:hAnsi="Times New Roman" w:eastAsia="黑体"/>
          <w:b w:val="0"/>
          <w:color w:val="auto"/>
          <w:highlight w:val="none"/>
          <w:lang w:eastAsia="zh-CN"/>
        </w:rPr>
        <w:t>十、</w:t>
      </w:r>
      <w:r>
        <w:rPr>
          <w:rStyle w:val="34"/>
          <w:rFonts w:hint="eastAsia" w:ascii="Times New Roman" w:hAnsi="Times New Roman" w:eastAsia="黑体"/>
          <w:b w:val="0"/>
          <w:color w:val="auto"/>
          <w:highlight w:val="none"/>
        </w:rPr>
        <w:t>其他重要事项的情况说明</w:t>
      </w:r>
      <w:bookmarkEnd w:id="40"/>
      <w:bookmarkEnd w:id="41"/>
    </w:p>
    <w:p w14:paraId="2596E01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2"/>
      <w:r>
        <w:rPr>
          <w:rFonts w:hint="eastAsia" w:ascii="Times New Roman" w:hAnsi="Times New Roman" w:eastAsia="楷体_GB2312" w:cs="楷体_GB2312"/>
          <w:b/>
          <w:color w:val="auto"/>
          <w:sz w:val="32"/>
          <w:szCs w:val="32"/>
          <w:highlight w:val="none"/>
        </w:rPr>
        <w:t>（一）机关运行经费支出情况</w:t>
      </w:r>
      <w:bookmarkEnd w:id="42"/>
    </w:p>
    <w:p w14:paraId="345B1DD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红原县人民政府办公室</w:t>
      </w:r>
      <w:r>
        <w:rPr>
          <w:rFonts w:hint="eastAsia" w:ascii="仿宋_GB2312" w:hAnsi="仿宋_GB2312"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lang w:val="en-US" w:eastAsia="zh-CN"/>
        </w:rPr>
        <w:t>128.37</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eastAsia="仿宋_GB2312" w:cs="仿宋_GB2312"/>
          <w:color w:val="auto"/>
          <w:kern w:val="2"/>
          <w:sz w:val="32"/>
          <w:szCs w:val="32"/>
          <w:highlight w:val="none"/>
          <w:lang w:val="en-US" w:eastAsia="zh-CN" w:bidi="ar-SA"/>
        </w:rPr>
        <w:t>增加了9.54</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主要</w:t>
      </w:r>
      <w:r>
        <w:rPr>
          <w:rFonts w:hint="eastAsia" w:eastAsia="仿宋_GB2312" w:cs="仿宋_GB2312"/>
          <w:color w:val="auto"/>
          <w:kern w:val="2"/>
          <w:sz w:val="32"/>
          <w:szCs w:val="32"/>
          <w:highlight w:val="none"/>
          <w:lang w:val="en-US" w:eastAsia="zh-CN" w:bidi="ar-SA"/>
        </w:rPr>
        <w:t>增加公务用车一辆，费用增加。</w:t>
      </w:r>
    </w:p>
    <w:p w14:paraId="4C04B2CA">
      <w:pPr>
        <w:spacing w:line="600" w:lineRule="exact"/>
        <w:ind w:firstLine="643" w:firstLineChars="200"/>
        <w:outlineLvl w:val="2"/>
        <w:rPr>
          <w:rFonts w:hint="eastAsia" w:ascii="Times New Roman" w:hAnsi="Times New Roman" w:eastAsia="楷体_GB2312" w:cs="楷体_GB2312"/>
          <w:b/>
          <w:color w:val="000000" w:themeColor="text1"/>
          <w:sz w:val="32"/>
          <w:szCs w:val="32"/>
          <w:highlight w:val="none"/>
          <w14:textFill>
            <w14:solidFill>
              <w14:schemeClr w14:val="tx1"/>
            </w14:solidFill>
          </w14:textFill>
        </w:rPr>
      </w:pPr>
      <w:bookmarkStart w:id="43" w:name="_Toc15377223"/>
      <w:r>
        <w:rPr>
          <w:rFonts w:hint="eastAsia" w:ascii="Times New Roman" w:hAnsi="Times New Roman" w:eastAsia="楷体_GB2312" w:cs="楷体_GB2312"/>
          <w:b/>
          <w:color w:val="000000" w:themeColor="text1"/>
          <w:sz w:val="32"/>
          <w:szCs w:val="32"/>
          <w:highlight w:val="none"/>
          <w14:textFill>
            <w14:solidFill>
              <w14:schemeClr w14:val="tx1"/>
            </w14:solidFill>
          </w14:textFill>
        </w:rPr>
        <w:t>（二）政府采购支出情况</w:t>
      </w:r>
      <w:bookmarkEnd w:id="43"/>
    </w:p>
    <w:p w14:paraId="6B40252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w:t>
      </w:r>
      <w:r>
        <w:rPr>
          <w:rFonts w:hint="eastAsia" w:ascii="仿宋_GB2312" w:hAnsi="仿宋_GB2312" w:eastAsia="仿宋_GB2312" w:cs="仿宋_GB2312"/>
          <w:sz w:val="32"/>
          <w:szCs w:val="32"/>
        </w:rPr>
        <w:t>红原县人民政府办公室</w:t>
      </w:r>
      <w:r>
        <w:rPr>
          <w:rFonts w:hint="eastAsia" w:ascii="仿宋_GB2312" w:hAnsi="仿宋_GB2312" w:eastAsia="仿宋_GB2312" w:cs="仿宋_GB2312"/>
          <w:color w:val="auto"/>
          <w:kern w:val="2"/>
          <w:sz w:val="32"/>
          <w:szCs w:val="32"/>
          <w:highlight w:val="none"/>
          <w:lang w:val="en-US" w:eastAsia="zh-CN" w:bidi="ar-SA"/>
        </w:rPr>
        <w:t>政府采购支出总额60万元，其中：政府采购货物支出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万元。主要用采购公务用车一辆用于保障办公室出差、下乡、调研。其中：授予小微企业合同金额60万元，占政府采购支出总额的100%。</w:t>
      </w:r>
    </w:p>
    <w:p w14:paraId="321E3A5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4" w:name="_Toc15377224"/>
      <w:r>
        <w:rPr>
          <w:rFonts w:hint="eastAsia" w:ascii="Times New Roman" w:hAnsi="Times New Roman" w:eastAsia="楷体_GB2312" w:cs="楷体_GB2312"/>
          <w:b/>
          <w:color w:val="auto"/>
          <w:sz w:val="32"/>
          <w:szCs w:val="32"/>
          <w:highlight w:val="none"/>
        </w:rPr>
        <w:t>（三）国有资产占有使用情况</w:t>
      </w:r>
      <w:bookmarkEnd w:id="44"/>
    </w:p>
    <w:p w14:paraId="3B618075">
      <w:pPr>
        <w:pStyle w:val="18"/>
        <w:keepNext w:val="0"/>
        <w:keepLines w:val="0"/>
        <w:widowControl/>
        <w:numPr>
          <w:ilvl w:val="0"/>
          <w:numId w:val="0"/>
        </w:numPr>
        <w:suppressLineNumbers w:val="0"/>
        <w:shd w:val="clear" w:color="auto" w:fill="auto"/>
        <w:ind w:leftChars="0" w:right="75" w:rightChars="0" w:firstLine="640" w:firstLineChars="200"/>
        <w:rPr>
          <w:rFonts w:hint="eastAsia" w:ascii="仿宋_GB2312" w:eastAsia="仿宋_GB2312"/>
          <w:color w:val="000000"/>
          <w:sz w:val="32"/>
          <w:szCs w:val="32"/>
          <w:lang w:eastAsia="zh-CN"/>
        </w:rPr>
      </w:pPr>
      <w:r>
        <w:rPr>
          <w:rFonts w:hint="eastAsia" w:ascii="仿宋_GB2312" w:eastAsia="仿宋_GB2312"/>
          <w:sz w:val="32"/>
          <w:szCs w:val="32"/>
        </w:rPr>
        <w:t>截至</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ascii="仿宋_GB2312" w:eastAsia="仿宋_GB2312"/>
          <w:sz w:val="32"/>
          <w:szCs w:val="32"/>
          <w:lang w:eastAsia="zh-CN"/>
        </w:rPr>
        <w:t>我单位</w:t>
      </w:r>
      <w:r>
        <w:rPr>
          <w:rFonts w:hint="eastAsia" w:ascii="仿宋_GB2312" w:eastAsia="仿宋_GB2312"/>
          <w:sz w:val="32"/>
          <w:szCs w:val="32"/>
        </w:rPr>
        <w:t>共有车辆</w:t>
      </w:r>
      <w:r>
        <w:rPr>
          <w:rFonts w:hint="eastAsia" w:ascii="仿宋_GB2312" w:eastAsia="仿宋_GB2312"/>
          <w:sz w:val="32"/>
          <w:szCs w:val="32"/>
          <w:lang w:val="en-US" w:eastAsia="zh-CN"/>
        </w:rPr>
        <w:t>14</w:t>
      </w:r>
      <w:r>
        <w:rPr>
          <w:rFonts w:hint="eastAsia" w:ascii="仿宋_GB2312" w:eastAsia="仿宋_GB2312"/>
          <w:sz w:val="32"/>
          <w:szCs w:val="32"/>
        </w:rPr>
        <w:t>辆</w:t>
      </w:r>
      <w:r>
        <w:rPr>
          <w:rFonts w:hint="eastAsia" w:ascii="仿宋_GB2312" w:eastAsia="仿宋_GB2312"/>
          <w:sz w:val="32"/>
          <w:szCs w:val="32"/>
          <w:lang w:eastAsia="zh-CN"/>
        </w:rPr>
        <w:t>，全部为应急保障用车</w:t>
      </w:r>
      <w:r>
        <w:rPr>
          <w:rFonts w:hint="eastAsia" w:ascii="仿宋_GB2312" w:eastAsia="仿宋_GB2312"/>
          <w:sz w:val="32"/>
          <w:szCs w:val="32"/>
        </w:rPr>
        <w:t>。单价</w:t>
      </w:r>
      <w:r>
        <w:rPr>
          <w:rFonts w:ascii="仿宋_GB2312" w:eastAsia="仿宋_GB2312"/>
          <w:sz w:val="32"/>
          <w:szCs w:val="32"/>
        </w:rPr>
        <w:t>100</w:t>
      </w:r>
      <w:r>
        <w:rPr>
          <w:rFonts w:hint="eastAsia" w:ascii="仿宋_GB2312" w:eastAsia="仿宋_GB2312"/>
          <w:sz w:val="32"/>
          <w:szCs w:val="32"/>
        </w:rPr>
        <w:t>万元以上专用设备</w:t>
      </w:r>
      <w:r>
        <w:rPr>
          <w:rFonts w:hint="eastAsia" w:ascii="仿宋_GB2312" w:eastAsia="仿宋_GB2312"/>
          <w:sz w:val="32"/>
          <w:szCs w:val="32"/>
          <w:lang w:val="en-US" w:eastAsia="zh-CN"/>
        </w:rPr>
        <w:t>0</w:t>
      </w:r>
      <w:r>
        <w:rPr>
          <w:rFonts w:hint="eastAsia" w:ascii="仿宋_GB2312" w:eastAsia="仿宋_GB2312"/>
          <w:sz w:val="32"/>
          <w:szCs w:val="32"/>
        </w:rPr>
        <w:t>台（套）。</w:t>
      </w:r>
      <w:r>
        <w:rPr>
          <w:rFonts w:hint="eastAsia" w:ascii="仿宋_GB2312" w:eastAsia="仿宋_GB2312"/>
          <w:sz w:val="32"/>
          <w:szCs w:val="32"/>
          <w:lang w:eastAsia="zh-CN"/>
        </w:rPr>
        <w:t>截止年底</w:t>
      </w:r>
      <w:r>
        <w:rPr>
          <w:rFonts w:hint="eastAsia" w:ascii="仿宋_GB2312" w:eastAsia="仿宋_GB2312"/>
          <w:sz w:val="32"/>
          <w:szCs w:val="32"/>
        </w:rPr>
        <w:t>共有</w:t>
      </w:r>
      <w:r>
        <w:rPr>
          <w:rFonts w:hint="eastAsia" w:ascii="仿宋_GB2312" w:eastAsia="仿宋_GB2312"/>
          <w:sz w:val="32"/>
          <w:szCs w:val="32"/>
          <w:lang w:eastAsia="zh-CN"/>
        </w:rPr>
        <w:t>资产</w:t>
      </w:r>
      <w:r>
        <w:rPr>
          <w:rFonts w:hint="eastAsia" w:ascii="仿宋_GB2312" w:eastAsia="仿宋_GB2312"/>
          <w:sz w:val="32"/>
          <w:szCs w:val="32"/>
          <w:lang w:val="en-US" w:eastAsia="zh-CN"/>
        </w:rPr>
        <w:t>856.19万元</w:t>
      </w:r>
      <w:r>
        <w:rPr>
          <w:rFonts w:hint="eastAsia" w:ascii="仿宋_GB2312" w:eastAsia="仿宋_GB2312"/>
          <w:color w:val="000000"/>
          <w:sz w:val="32"/>
          <w:szCs w:val="32"/>
        </w:rPr>
        <w:t>（账面原值，下同）</w:t>
      </w:r>
      <w:r>
        <w:rPr>
          <w:rFonts w:hint="eastAsia" w:ascii="仿宋_GB2312" w:eastAsia="仿宋_GB2312"/>
          <w:sz w:val="32"/>
          <w:szCs w:val="32"/>
          <w:lang w:val="en-US" w:eastAsia="zh-CN"/>
        </w:rPr>
        <w:t>，其中固定资产1625万元，占比89.79%，发房屋及构筑物230.94万元，占比26.97%，</w:t>
      </w:r>
      <w:r>
        <w:rPr>
          <w:rFonts w:hint="eastAsia" w:ascii="仿宋_GB2312" w:eastAsia="仿宋_GB2312"/>
          <w:color w:val="000000"/>
          <w:sz w:val="32"/>
          <w:szCs w:val="32"/>
        </w:rPr>
        <w:t xml:space="preserve"> 配置通用设备</w:t>
      </w:r>
      <w:r>
        <w:rPr>
          <w:rFonts w:hint="eastAsia" w:ascii="仿宋_GB2312" w:eastAsia="仿宋_GB2312"/>
          <w:color w:val="000000"/>
          <w:sz w:val="32"/>
          <w:szCs w:val="32"/>
          <w:lang w:val="en-US" w:eastAsia="zh-CN"/>
        </w:rPr>
        <w:t>1365.16</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159.44</w:t>
      </w:r>
      <w:r>
        <w:rPr>
          <w:rFonts w:hint="eastAsia" w:ascii="仿宋_GB2312" w:eastAsia="仿宋_GB2312"/>
          <w:color w:val="000000"/>
          <w:sz w:val="32"/>
          <w:szCs w:val="32"/>
        </w:rPr>
        <w:t>% ； 家具</w:t>
      </w:r>
      <w:r>
        <w:rPr>
          <w:rFonts w:hint="eastAsia" w:ascii="仿宋_GB2312" w:eastAsia="仿宋_GB2312"/>
          <w:color w:val="000000"/>
          <w:sz w:val="32"/>
          <w:szCs w:val="32"/>
          <w:lang w:eastAsia="zh-CN"/>
        </w:rPr>
        <w:t>和</w:t>
      </w:r>
      <w:r>
        <w:rPr>
          <w:rFonts w:hint="eastAsia" w:ascii="仿宋_GB2312" w:eastAsia="仿宋_GB2312"/>
          <w:color w:val="000000"/>
          <w:sz w:val="32"/>
          <w:szCs w:val="32"/>
        </w:rPr>
        <w:t>用具</w:t>
      </w:r>
      <w:r>
        <w:rPr>
          <w:rFonts w:hint="eastAsia" w:ascii="仿宋_GB2312" w:eastAsia="仿宋_GB2312"/>
          <w:color w:val="000000"/>
          <w:sz w:val="32"/>
          <w:szCs w:val="32"/>
          <w:lang w:val="en-US" w:eastAsia="zh-CN"/>
        </w:rPr>
        <w:t>28.97万元3.38</w:t>
      </w:r>
      <w:r>
        <w:rPr>
          <w:rFonts w:hint="eastAsia" w:ascii="仿宋_GB2312" w:eastAsia="仿宋_GB2312"/>
          <w:color w:val="000000"/>
          <w:sz w:val="32"/>
          <w:szCs w:val="32"/>
        </w:rPr>
        <w:t xml:space="preserve">% </w:t>
      </w:r>
      <w:r>
        <w:rPr>
          <w:rFonts w:hint="eastAsia" w:ascii="仿宋_GB2312" w:eastAsia="仿宋_GB2312"/>
          <w:color w:val="000000"/>
          <w:sz w:val="32"/>
          <w:szCs w:val="32"/>
          <w:lang w:eastAsia="zh-CN"/>
        </w:rPr>
        <w:t>。</w:t>
      </w:r>
    </w:p>
    <w:p w14:paraId="56F5C53A">
      <w:pPr>
        <w:pStyle w:val="18"/>
        <w:keepNext w:val="0"/>
        <w:keepLines w:val="0"/>
        <w:widowControl/>
        <w:numPr>
          <w:ilvl w:val="0"/>
          <w:numId w:val="0"/>
        </w:numPr>
        <w:suppressLineNumbers w:val="0"/>
        <w:shd w:val="clear" w:color="auto" w:fill="auto"/>
        <w:ind w:left="420" w:leftChars="0" w:right="75" w:rightChars="0"/>
        <w:rPr>
          <w:rStyle w:val="22"/>
          <w:rFonts w:hint="eastAsia" w:ascii="仿宋_GB2312" w:hAnsi="仿宋_GB2312" w:eastAsia="仿宋_GB2312" w:cs="仿宋_GB2312"/>
          <w:sz w:val="32"/>
          <w:szCs w:val="32"/>
          <w:shd w:val="clear" w:color="auto" w:fill="FFFFFF"/>
          <w:lang w:val="en-US" w:eastAsia="zh-CN"/>
        </w:rPr>
      </w:pPr>
      <w:r>
        <w:rPr>
          <w:rStyle w:val="22"/>
          <w:rFonts w:hint="eastAsia" w:ascii="仿宋_GB2312" w:hAnsi="仿宋_GB2312" w:eastAsia="仿宋_GB2312" w:cs="仿宋_GB2312"/>
          <w:sz w:val="32"/>
          <w:szCs w:val="32"/>
          <w:shd w:val="clear" w:color="auto" w:fill="FFFFFF"/>
          <w:lang w:val="en-US" w:eastAsia="zh-CN"/>
        </w:rPr>
        <w:t>（四）由养老保险机构发放养老金的退休人员</w:t>
      </w:r>
    </w:p>
    <w:p w14:paraId="5FFBB9E9">
      <w:pPr>
        <w:pStyle w:val="9"/>
        <w:numPr>
          <w:ilvl w:val="0"/>
          <w:numId w:val="0"/>
        </w:numPr>
        <w:ind w:firstLine="640" w:firstLineChars="200"/>
        <w:rPr>
          <w:rFonts w:ascii="仿宋_GB2312" w:eastAsia="仿宋_GB2312"/>
          <w:sz w:val="32"/>
          <w:szCs w:val="32"/>
        </w:rPr>
      </w:pPr>
      <w:r>
        <w:rPr>
          <w:rFonts w:hint="eastAsia" w:ascii="仿宋_GB2312" w:eastAsia="仿宋_GB2312"/>
          <w:color w:val="000000"/>
          <w:sz w:val="32"/>
          <w:szCs w:val="32"/>
        </w:rPr>
        <w:t>截至</w:t>
      </w:r>
      <w:r>
        <w:rPr>
          <w:rFonts w:ascii="仿宋_GB2312" w:eastAsia="仿宋_GB2312"/>
          <w:color w:val="000000"/>
          <w:sz w:val="32"/>
          <w:szCs w:val="32"/>
        </w:rPr>
        <w:t>20</w:t>
      </w:r>
      <w:r>
        <w:rPr>
          <w:rFonts w:hint="eastAsia" w:ascii="仿宋_GB2312" w:eastAsia="仿宋_GB2312"/>
          <w:color w:val="000000"/>
          <w:sz w:val="32"/>
          <w:szCs w:val="32"/>
          <w:lang w:val="en-US" w:eastAsia="zh-CN"/>
        </w:rPr>
        <w:t>2</w:t>
      </w:r>
      <w:r>
        <w:rPr>
          <w:rFonts w:hint="eastAsia" w:eastAsia="仿宋_GB2312"/>
          <w:color w:val="000000"/>
          <w:sz w:val="32"/>
          <w:szCs w:val="32"/>
          <w:lang w:val="en-US" w:eastAsia="zh-CN"/>
        </w:rPr>
        <w:t>5</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本单位由养老保险机构发放养老金的退休人员</w:t>
      </w:r>
      <w:r>
        <w:rPr>
          <w:rFonts w:hint="eastAsia" w:eastAsia="仿宋_GB2312"/>
          <w:color w:val="000000"/>
          <w:sz w:val="32"/>
          <w:szCs w:val="32"/>
          <w:lang w:val="en-US" w:eastAsia="zh-CN"/>
        </w:rPr>
        <w:t>14</w:t>
      </w:r>
      <w:r>
        <w:rPr>
          <w:rFonts w:hint="eastAsia" w:ascii="仿宋_GB2312" w:eastAsia="仿宋_GB2312"/>
          <w:color w:val="000000"/>
          <w:sz w:val="32"/>
          <w:szCs w:val="32"/>
          <w:lang w:val="en-US" w:eastAsia="zh-CN"/>
        </w:rPr>
        <w:t>人，</w:t>
      </w:r>
      <w:r>
        <w:rPr>
          <w:rFonts w:hint="eastAsia" w:eastAsia="仿宋_GB2312"/>
          <w:color w:val="000000"/>
          <w:sz w:val="32"/>
          <w:szCs w:val="32"/>
          <w:lang w:val="en-US" w:eastAsia="zh-CN"/>
        </w:rPr>
        <w:t>和2024一样</w:t>
      </w:r>
      <w:r>
        <w:rPr>
          <w:rFonts w:hint="eastAsia" w:ascii="仿宋_GB2312" w:eastAsia="仿宋_GB2312"/>
          <w:color w:val="000000"/>
          <w:sz w:val="32"/>
          <w:szCs w:val="32"/>
          <w:lang w:val="en-US" w:eastAsia="zh-CN"/>
        </w:rPr>
        <w:t>。</w:t>
      </w:r>
    </w:p>
    <w:p w14:paraId="0E23CB9C">
      <w:pPr>
        <w:rPr>
          <w:rFonts w:hint="eastAsia"/>
          <w:lang w:val="en-US" w:eastAsia="zh-CN"/>
        </w:rPr>
      </w:pPr>
    </w:p>
    <w:p w14:paraId="72EA58F3">
      <w:pPr>
        <w:autoSpaceDE w:val="0"/>
        <w:autoSpaceDN w:val="0"/>
        <w:adjustRightInd w:val="0"/>
        <w:spacing w:line="600" w:lineRule="exact"/>
        <w:ind w:firstLine="643" w:firstLineChars="200"/>
        <w:jc w:val="left"/>
        <w:outlineLvl w:val="2"/>
        <w:rPr>
          <w:rFonts w:ascii="仿宋" w:eastAsia="仿宋"/>
          <w:b/>
          <w:sz w:val="32"/>
          <w:szCs w:val="32"/>
        </w:rPr>
      </w:pPr>
      <w:r>
        <w:rPr>
          <w:rFonts w:hint="eastAsia" w:ascii="仿宋" w:eastAsia="仿宋"/>
          <w:b/>
          <w:sz w:val="32"/>
          <w:szCs w:val="32"/>
        </w:rPr>
        <w:t>（</w:t>
      </w:r>
      <w:r>
        <w:rPr>
          <w:rFonts w:hint="eastAsia" w:ascii="仿宋" w:eastAsia="仿宋"/>
          <w:b/>
          <w:sz w:val="32"/>
          <w:szCs w:val="32"/>
          <w:lang w:eastAsia="zh-CN"/>
        </w:rPr>
        <w:t>四</w:t>
      </w:r>
      <w:r>
        <w:rPr>
          <w:rFonts w:hint="eastAsia" w:ascii="仿宋" w:eastAsia="仿宋"/>
          <w:b/>
          <w:sz w:val="32"/>
          <w:szCs w:val="32"/>
        </w:rPr>
        <w:t>）预算绩效管理情况</w:t>
      </w:r>
    </w:p>
    <w:p w14:paraId="4457E3E1">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根据预算绩效管理要求，本部门（单位）在年初预算编制阶段，</w:t>
      </w:r>
      <w:r>
        <w:rPr>
          <w:rFonts w:hint="eastAsia" w:ascii="仿宋_GB2312" w:hAnsi="仿宋_GB2312" w:eastAsia="仿宋_GB2312" w:cs="仿宋_GB2312"/>
          <w:sz w:val="32"/>
          <w:szCs w:val="32"/>
          <w:lang w:eastAsia="zh-CN"/>
        </w:rPr>
        <w:t>全县</w:t>
      </w:r>
      <w:r>
        <w:rPr>
          <w:rFonts w:hint="eastAsia" w:ascii="仿宋_GB2312" w:hAnsi="仿宋_GB2312" w:eastAsia="仿宋_GB2312" w:cs="仿宋_GB2312"/>
          <w:sz w:val="32"/>
          <w:szCs w:val="32"/>
        </w:rPr>
        <w:t>电子政务外网运行服务费</w:t>
      </w:r>
      <w:r>
        <w:rPr>
          <w:rFonts w:hint="eastAsia" w:ascii="仿宋_GB2312" w:hAnsi="仿宋_GB2312" w:eastAsia="仿宋_GB2312" w:cs="仿宋_GB2312"/>
          <w:sz w:val="32"/>
          <w:szCs w:val="32"/>
          <w:lang w:val="en-US" w:eastAsia="zh-CN"/>
        </w:rPr>
        <w:t>专项预算</w:t>
      </w:r>
      <w:r>
        <w:rPr>
          <w:rFonts w:hint="eastAsia" w:ascii="仿宋_GB2312" w:hAnsi="仿宋_GB2312" w:eastAsia="仿宋_GB2312" w:cs="仿宋_GB2312"/>
          <w:sz w:val="32"/>
          <w:szCs w:val="32"/>
        </w:rPr>
        <w:t>开展了预算事前绩效评估，对</w:t>
      </w:r>
      <w:r>
        <w:rPr>
          <w:rFonts w:hint="eastAsia" w:ascii="仿宋_GB2312" w:hAnsi="仿宋_GB2312" w:eastAsia="仿宋_GB2312" w:cs="仿宋_GB2312"/>
          <w:sz w:val="32"/>
          <w:szCs w:val="32"/>
          <w:lang w:eastAsia="zh-CN"/>
        </w:rPr>
        <w:t>这</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eastAsia="zh-CN"/>
        </w:rPr>
        <w:t>该</w:t>
      </w:r>
      <w:r>
        <w:rPr>
          <w:rFonts w:hint="eastAsia" w:ascii="仿宋_GB2312" w:hAnsi="仿宋_GB2312" w:eastAsia="仿宋_GB2312" w:cs="仿宋_GB2312"/>
          <w:sz w:val="32"/>
          <w:szCs w:val="32"/>
        </w:rPr>
        <w:t>项目开展绩效监控，年终执行完毕后，对</w:t>
      </w:r>
      <w:r>
        <w:rPr>
          <w:rFonts w:hint="eastAsia" w:ascii="仿宋_GB2312" w:hAnsi="仿宋_GB2312" w:eastAsia="仿宋_GB2312" w:cs="仿宋_GB2312"/>
          <w:sz w:val="32"/>
          <w:szCs w:val="32"/>
          <w:lang w:eastAsia="zh-CN"/>
        </w:rPr>
        <w:t>该</w:t>
      </w:r>
      <w:r>
        <w:rPr>
          <w:rFonts w:hint="eastAsia" w:ascii="仿宋_GB2312" w:hAnsi="仿宋_GB2312" w:eastAsia="仿宋_GB2312" w:cs="仿宋_GB2312"/>
          <w:sz w:val="32"/>
          <w:szCs w:val="32"/>
        </w:rPr>
        <w:t>项目开展了绩效目标完成情况自评。</w:t>
      </w:r>
    </w:p>
    <w:p w14:paraId="0EC2F1A8">
      <w:pPr>
        <w:spacing w:line="58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本部门按要求对2</w:t>
      </w:r>
      <w:r>
        <w:rPr>
          <w:rFonts w:hint="eastAsia" w:ascii="仿宋_GB2312" w:hAnsi="仿宋_GB2312" w:eastAsia="仿宋_GB2312" w:cs="仿宋_GB2312"/>
          <w:sz w:val="32"/>
          <w:szCs w:val="32"/>
          <w:lang w:val="en-US" w:eastAsia="zh-CN"/>
        </w:rPr>
        <w:t>025</w:t>
      </w:r>
      <w:r>
        <w:rPr>
          <w:rFonts w:hint="eastAsia" w:ascii="仿宋_GB2312" w:hAnsi="仿宋_GB2312" w:eastAsia="仿宋_GB2312" w:cs="仿宋_GB2312"/>
          <w:sz w:val="32"/>
          <w:szCs w:val="32"/>
        </w:rPr>
        <w:t>年部门整体支出开展绩效自评，从评价情况来看</w:t>
      </w:r>
      <w:r>
        <w:rPr>
          <w:rFonts w:hint="eastAsia" w:ascii="仿宋_GB2312" w:hAnsi="仿宋_GB2312" w:eastAsia="仿宋_GB2312" w:cs="仿宋_GB2312"/>
          <w:sz w:val="32"/>
          <w:szCs w:val="32"/>
          <w:lang w:eastAsia="zh-CN"/>
        </w:rPr>
        <w:t>本单位该</w:t>
      </w:r>
      <w:r>
        <w:rPr>
          <w:rFonts w:hint="eastAsia" w:ascii="仿宋_GB2312" w:hAnsi="仿宋_GB2312" w:eastAsia="仿宋_GB2312" w:cs="仿宋_GB2312"/>
          <w:sz w:val="32"/>
          <w:szCs w:val="32"/>
          <w:lang w:val="en-US" w:eastAsia="zh-CN"/>
        </w:rPr>
        <w:t>项目完成情况良好，严格按照本单位制定的目标绩效管理制度来开展绩效管理工作，项目资金为专项经费的，全部用于专项2025年</w:t>
      </w:r>
      <w:r>
        <w:rPr>
          <w:rFonts w:hint="eastAsia" w:ascii="仿宋_GB2312" w:hAnsi="仿宋_GB2312" w:eastAsia="仿宋_GB2312" w:cs="仿宋_GB2312"/>
          <w:sz w:val="32"/>
          <w:szCs w:val="32"/>
          <w:shd w:val="clear" w:color="auto" w:fill="FFFFFF"/>
        </w:rPr>
        <w:t>本部门未组织开展项目支出</w:t>
      </w:r>
      <w:r>
        <w:rPr>
          <w:rFonts w:hint="eastAsia" w:ascii="仿宋_GB2312" w:hAnsi="仿宋_GB2312" w:eastAsia="仿宋_GB2312" w:cs="仿宋_GB2312"/>
          <w:sz w:val="32"/>
          <w:szCs w:val="32"/>
          <w:shd w:val="clear" w:color="auto" w:fill="FFFFFF"/>
          <w:lang w:eastAsia="zh-CN"/>
        </w:rPr>
        <w:t>事后</w:t>
      </w:r>
      <w:r>
        <w:rPr>
          <w:rFonts w:hint="eastAsia" w:ascii="仿宋_GB2312" w:hAnsi="仿宋_GB2312" w:eastAsia="仿宋_GB2312" w:cs="仿宋_GB2312"/>
          <w:sz w:val="32"/>
          <w:szCs w:val="32"/>
          <w:shd w:val="clear" w:color="auto" w:fill="FFFFFF"/>
        </w:rPr>
        <w:t>绩效评价</w:t>
      </w:r>
      <w:r>
        <w:rPr>
          <w:rFonts w:hint="eastAsia" w:ascii="仿宋_GB2312" w:hAnsi="仿宋_GB2312" w:eastAsia="仿宋_GB2312" w:cs="仿宋_GB2312"/>
          <w:sz w:val="32"/>
          <w:szCs w:val="32"/>
          <w:shd w:val="clear" w:color="auto" w:fill="FFFFFF"/>
          <w:lang w:eastAsia="zh-CN"/>
        </w:rPr>
        <w:t>。</w:t>
      </w:r>
    </w:p>
    <w:p w14:paraId="395B9090">
      <w:pPr>
        <w:numPr>
          <w:ilvl w:val="0"/>
          <w:numId w:val="0"/>
        </w:numPr>
        <w:spacing w:line="580" w:lineRule="exact"/>
        <w:ind w:firstLine="320" w:firstLineChars="100"/>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1.</w:t>
      </w:r>
      <w:r>
        <w:rPr>
          <w:rFonts w:hint="eastAsia" w:ascii="楷体_GB2312" w:hAnsi="楷体_GB2312" w:eastAsia="楷体_GB2312" w:cs="楷体_GB2312"/>
          <w:color w:val="auto"/>
          <w:sz w:val="32"/>
          <w:szCs w:val="32"/>
          <w:highlight w:val="none"/>
        </w:rPr>
        <w:t>项目绩效目标完成情况。</w:t>
      </w:r>
      <w:r>
        <w:rPr>
          <w:rFonts w:hint="eastAsia" w:ascii="楷体_GB2312" w:hAnsi="楷体_GB2312" w:eastAsia="楷体_GB2312" w:cs="楷体_GB2312"/>
          <w:color w:val="FF0000"/>
          <w:sz w:val="32"/>
          <w:szCs w:val="32"/>
          <w:highlight w:val="none"/>
        </w:rPr>
        <w:br w:type="textWrapping"/>
      </w:r>
      <w:r>
        <w:rPr>
          <w:rFonts w:hint="eastAsia" w:ascii="仿宋_GB2312" w:hAnsi="仿宋_GB2312" w:eastAsia="仿宋_GB2312" w:cs="仿宋_GB2312"/>
          <w:color w:val="FF0000"/>
          <w:sz w:val="32"/>
          <w:szCs w:val="32"/>
          <w:highlight w:val="none"/>
        </w:rPr>
        <w:t xml:space="preserve">    </w:t>
      </w:r>
      <w:r>
        <w:rPr>
          <w:rFonts w:hint="eastAsia" w:ascii="仿宋_GB2312" w:hAnsi="仿宋_GB2312" w:eastAsia="仿宋_GB2312" w:cs="仿宋_GB2312"/>
          <w:color w:val="auto"/>
          <w:sz w:val="32"/>
          <w:szCs w:val="32"/>
          <w:highlight w:val="none"/>
        </w:rPr>
        <w:t>本部门在20</w:t>
      </w:r>
      <w:r>
        <w:rPr>
          <w:rFonts w:hint="eastAsia" w:ascii="仿宋_GB2312" w:hAnsi="仿宋_GB2312" w:eastAsia="仿宋_GB2312" w:cs="仿宋_GB2312"/>
          <w:color w:val="auto"/>
          <w:sz w:val="32"/>
          <w:szCs w:val="32"/>
          <w:highlight w:val="none"/>
          <w:lang w:val="en-US" w:eastAsia="zh-CN"/>
        </w:rPr>
        <w:t>25</w:t>
      </w:r>
      <w:r>
        <w:rPr>
          <w:rFonts w:hint="eastAsia" w:ascii="仿宋_GB2312" w:hAnsi="仿宋_GB2312" w:eastAsia="仿宋_GB2312" w:cs="仿宋_GB2312"/>
          <w:color w:val="auto"/>
          <w:sz w:val="32"/>
          <w:szCs w:val="32"/>
          <w:highlight w:val="none"/>
        </w:rPr>
        <w:t>年度部门决算中反映</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电子政务外网运行服务费项目绩效目标实际完成情况。</w:t>
      </w:r>
    </w:p>
    <w:p w14:paraId="2684C961">
      <w:pPr>
        <w:numPr>
          <w:ilvl w:val="0"/>
          <w:numId w:val="0"/>
        </w:numPr>
        <w:spacing w:line="580" w:lineRule="exact"/>
        <w:ind w:firstLine="720" w:firstLineChars="200"/>
        <w:rPr>
          <w:rFonts w:hint="eastAsia" w:ascii="黑体" w:hAnsi="黑体" w:eastAsia="黑体" w:cs="宋体"/>
          <w:bCs/>
          <w:color w:val="000000"/>
          <w:kern w:val="0"/>
          <w:sz w:val="36"/>
          <w:szCs w:val="36"/>
          <w:lang w:bidi="ar"/>
        </w:rPr>
      </w:pPr>
    </w:p>
    <w:p w14:paraId="6FE98874">
      <w:pPr>
        <w:numPr>
          <w:ilvl w:val="0"/>
          <w:numId w:val="0"/>
        </w:numPr>
        <w:spacing w:line="580" w:lineRule="exact"/>
        <w:ind w:firstLine="720" w:firstLineChars="200"/>
        <w:rPr>
          <w:rFonts w:hint="eastAsia" w:ascii="黑体" w:hAnsi="黑体" w:eastAsia="黑体" w:cs="宋体"/>
          <w:bCs/>
          <w:color w:val="000000"/>
          <w:kern w:val="0"/>
          <w:sz w:val="36"/>
          <w:szCs w:val="36"/>
          <w:lang w:bidi="ar"/>
        </w:rPr>
      </w:pPr>
    </w:p>
    <w:p w14:paraId="5CBCE8A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D01C31F">
      <w:pPr>
        <w:spacing w:line="600" w:lineRule="exact"/>
        <w:rPr>
          <w:rFonts w:hint="eastAsia" w:ascii="Times New Roman" w:hAnsi="Times New Roman" w:eastAsia="仿宋_GB2312" w:cs="仿宋_GB2312"/>
          <w:color w:val="auto"/>
          <w:kern w:val="2"/>
          <w:sz w:val="32"/>
          <w:szCs w:val="32"/>
          <w:highlight w:val="none"/>
          <w:lang w:val="en-US" w:eastAsia="zh-CN" w:bidi="ar-SA"/>
        </w:rPr>
      </w:pPr>
    </w:p>
    <w:p w14:paraId="000EF585">
      <w:pPr>
        <w:pStyle w:val="7"/>
        <w:rPr>
          <w:rFonts w:hint="eastAsia" w:ascii="Times New Roman" w:hAnsi="Times New Roman" w:eastAsia="仿宋_GB2312" w:cs="仿宋_GB2312"/>
          <w:color w:val="auto"/>
          <w:kern w:val="2"/>
          <w:sz w:val="32"/>
          <w:szCs w:val="32"/>
          <w:highlight w:val="none"/>
          <w:lang w:val="en-US" w:eastAsia="zh-CN" w:bidi="ar-SA"/>
        </w:rPr>
      </w:pPr>
    </w:p>
    <w:p w14:paraId="6DAA4D62">
      <w:pPr>
        <w:rPr>
          <w:rFonts w:hint="eastAsia" w:ascii="Times New Roman" w:hAnsi="Times New Roman" w:eastAsia="仿宋_GB2312" w:cs="仿宋_GB2312"/>
          <w:color w:val="auto"/>
          <w:kern w:val="2"/>
          <w:sz w:val="32"/>
          <w:szCs w:val="32"/>
          <w:highlight w:val="none"/>
          <w:lang w:val="en-US" w:eastAsia="zh-CN" w:bidi="ar-SA"/>
        </w:rPr>
      </w:pPr>
    </w:p>
    <w:p w14:paraId="182F9DB2">
      <w:pPr>
        <w:pStyle w:val="7"/>
        <w:rPr>
          <w:rFonts w:hint="eastAsia"/>
          <w:lang w:val="en-US" w:eastAsia="zh-CN"/>
        </w:rPr>
      </w:pPr>
    </w:p>
    <w:p w14:paraId="67CAB679">
      <w:pPr>
        <w:numPr>
          <w:ilvl w:val="0"/>
          <w:numId w:val="0"/>
        </w:numPr>
        <w:spacing w:line="580" w:lineRule="exact"/>
        <w:ind w:firstLine="720" w:firstLineChars="200"/>
        <w:jc w:val="center"/>
        <w:rPr>
          <w:rFonts w:hint="eastAsia" w:ascii="黑体" w:hAnsi="黑体" w:eastAsia="黑体" w:cs="宋体"/>
          <w:bCs/>
          <w:color w:val="000000"/>
          <w:kern w:val="0"/>
          <w:sz w:val="36"/>
          <w:szCs w:val="36"/>
          <w:lang w:bidi="ar"/>
        </w:rPr>
      </w:pPr>
    </w:p>
    <w:p w14:paraId="602C3B37">
      <w:pPr>
        <w:numPr>
          <w:ilvl w:val="0"/>
          <w:numId w:val="0"/>
        </w:numPr>
        <w:spacing w:line="580" w:lineRule="exact"/>
        <w:ind w:firstLine="720" w:firstLineChars="200"/>
        <w:jc w:val="center"/>
        <w:rPr>
          <w:rFonts w:hint="eastAsia" w:ascii="黑体" w:hAnsi="黑体" w:eastAsia="黑体" w:cs="宋体"/>
          <w:bCs/>
          <w:color w:val="000000"/>
          <w:kern w:val="0"/>
          <w:sz w:val="36"/>
          <w:szCs w:val="36"/>
          <w:lang w:bidi="ar"/>
        </w:rPr>
      </w:pPr>
    </w:p>
    <w:p w14:paraId="06F28A54">
      <w:pPr>
        <w:spacing w:line="600" w:lineRule="exact"/>
        <w:rPr>
          <w:rFonts w:hint="eastAsia" w:ascii="Times New Roman" w:hAnsi="Times New Roman" w:eastAsia="仿宋_GB2312" w:cs="仿宋_GB2312"/>
          <w:color w:val="auto"/>
          <w:kern w:val="2"/>
          <w:sz w:val="32"/>
          <w:szCs w:val="32"/>
          <w:highlight w:val="none"/>
          <w:lang w:val="en-US" w:eastAsia="zh-CN" w:bidi="ar-SA"/>
        </w:rPr>
      </w:pPr>
    </w:p>
    <w:p w14:paraId="08B1A812">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5" w:name="_Toc15396613"/>
      <w:bookmarkStart w:id="46"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5"/>
      <w:bookmarkEnd w:id="46"/>
    </w:p>
    <w:p w14:paraId="1807A6A8">
      <w:pPr>
        <w:spacing w:line="600" w:lineRule="exact"/>
        <w:jc w:val="left"/>
        <w:rPr>
          <w:rFonts w:ascii="Times New Roman" w:hAnsi="Times New Roman"/>
          <w:b/>
          <w:color w:val="auto"/>
          <w:sz w:val="44"/>
          <w:szCs w:val="44"/>
          <w:highlight w:val="none"/>
        </w:rPr>
      </w:pPr>
    </w:p>
    <w:p w14:paraId="0AD758B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3A5DFEB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14:paraId="50D4268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14:paraId="4204534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14:paraId="2164BC5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14:paraId="334FDE1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14:paraId="28D4B6E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4C019BE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7AE623A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9.一般公共服务（类）……（款）……（项）：指……</w:t>
      </w:r>
    </w:p>
    <w:p w14:paraId="7D1CB32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10.外交（类）……（款）……（项）：指……</w:t>
      </w:r>
    </w:p>
    <w:p w14:paraId="4B5BD10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11.公共安全（类）……（款）……（项）：指……</w:t>
      </w:r>
    </w:p>
    <w:p w14:paraId="20652CC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12.教育（类）……（款）……（项）：指……</w:t>
      </w:r>
    </w:p>
    <w:p w14:paraId="5400747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13.科学技术（类）……（款）……（项）：指……</w:t>
      </w:r>
    </w:p>
    <w:p w14:paraId="3D674D0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14.文化旅游体育与传媒（类）……（款）……（项）：指……</w:t>
      </w:r>
    </w:p>
    <w:p w14:paraId="00BEE15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15.社会保障和就业（类）……（款）……（项）：指……</w:t>
      </w:r>
    </w:p>
    <w:p w14:paraId="4D2884E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16.卫生健康（类）……（款）……（项）：指……</w:t>
      </w:r>
    </w:p>
    <w:p w14:paraId="0077A34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17.节能环保（类）……（款）……（项）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指……</w:t>
      </w:r>
    </w:p>
    <w:p w14:paraId="06DE52B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18.城乡社区（类）……（款）……（项）：指……</w:t>
      </w:r>
    </w:p>
    <w:p w14:paraId="2C9C426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19.农林水（类）……（款）……（项）：指……</w:t>
      </w:r>
    </w:p>
    <w:p w14:paraId="4C5021C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20.交通运输（类）……（款）……（项）：指……</w:t>
      </w:r>
    </w:p>
    <w:p w14:paraId="7FAAEF2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21.资源勘探工业信息等（类）……（款）……（项）：指……</w:t>
      </w:r>
    </w:p>
    <w:p w14:paraId="56C3E16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22.商业服务业（类）……（款）……（项）：指……</w:t>
      </w:r>
    </w:p>
    <w:p w14:paraId="775AEC4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23.金融（类）……（款）……（项）：指……</w:t>
      </w:r>
    </w:p>
    <w:p w14:paraId="1582DFD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24.自然资源海洋气象等（类）……（款）……（项）：指……</w:t>
      </w:r>
    </w:p>
    <w:p w14:paraId="0A7B823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25.住房保障（类）……（款）……（项）：指……</w:t>
      </w:r>
    </w:p>
    <w:p w14:paraId="0311776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26.粮油物资储备（类）……（款）……（项）：指……</w:t>
      </w:r>
    </w:p>
    <w:p w14:paraId="49B658A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14:paraId="2084652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解释本部门决算报表中涉及的全部功能分类科目至项级，不涉及的科目请自行删除。请参照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202</w:t>
      </w:r>
      <w:r>
        <w:rPr>
          <w:rFonts w:hint="eastAsia" w:eastAsia="仿宋_GB2312" w:cs="仿宋_GB2312"/>
          <w:b/>
          <w:bCs/>
          <w:color w:val="auto"/>
          <w:kern w:val="2"/>
          <w:sz w:val="32"/>
          <w:szCs w:val="32"/>
          <w:highlight w:val="none"/>
          <w:lang w:val="en-US" w:eastAsia="zh-CN" w:bidi="ar-SA"/>
        </w:rPr>
        <w:t>4</w:t>
      </w:r>
      <w:r>
        <w:rPr>
          <w:rFonts w:hint="eastAsia" w:ascii="Times New Roman" w:hAnsi="Times New Roman" w:eastAsia="仿宋_GB2312" w:cs="仿宋_GB2312"/>
          <w:b/>
          <w:bCs/>
          <w:color w:val="auto"/>
          <w:kern w:val="2"/>
          <w:sz w:val="32"/>
          <w:szCs w:val="32"/>
          <w:highlight w:val="none"/>
          <w:lang w:val="en-US" w:eastAsia="zh-CN" w:bidi="ar-SA"/>
        </w:rPr>
        <w:t>年政府收支分类科目</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增减内容）</w:t>
      </w:r>
    </w:p>
    <w:p w14:paraId="1D71790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27.基本支出：指为保障机构正常运转、完成日常工作任务而发生的人员支出和公用支出。</w:t>
      </w:r>
    </w:p>
    <w:p w14:paraId="1159E88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28.项目支出：指在基本支出之外为完成特定行政任务和事业发展目标所发生的支出。 </w:t>
      </w:r>
    </w:p>
    <w:p w14:paraId="380C65F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29.经营支出：指事业单位在专业业务活动及其辅助活动之外开展非独立核算经营活动发生的支出。</w:t>
      </w:r>
    </w:p>
    <w:p w14:paraId="60AEBBA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30.</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741D135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612B209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32.……</w:t>
      </w:r>
    </w:p>
    <w:p w14:paraId="77F1CB25">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14:paraId="5F396323">
      <w:pPr>
        <w:spacing w:line="600" w:lineRule="exact"/>
        <w:jc w:val="center"/>
        <w:rPr>
          <w:rFonts w:hint="eastAsia" w:ascii="Times New Roman" w:hAnsi="Times New Roman" w:eastAsia="仿宋_GB2312" w:cs="仿宋_GB2312"/>
          <w:color w:val="auto"/>
          <w:kern w:val="2"/>
          <w:sz w:val="32"/>
          <w:szCs w:val="32"/>
          <w:highlight w:val="none"/>
          <w:lang w:val="en-US" w:eastAsia="zh-CN" w:bidi="ar-SA"/>
        </w:rPr>
      </w:pPr>
      <w:bookmarkStart w:id="47"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48" w:name="_Toc15396614"/>
    </w:p>
    <w:p w14:paraId="5EB281AA">
      <w:pPr>
        <w:spacing w:line="600" w:lineRule="exact"/>
        <w:jc w:val="center"/>
        <w:outlineLvl w:val="0"/>
        <w:rPr>
          <w:rStyle w:val="33"/>
          <w:rFonts w:ascii="黑体" w:eastAsia="黑体"/>
          <w:b w:val="0"/>
        </w:rPr>
      </w:pPr>
      <w:bookmarkStart w:id="49" w:name="_Toc17629"/>
      <w:r>
        <w:rPr>
          <w:rFonts w:hint="eastAsia" w:ascii="黑体" w:eastAsia="黑体"/>
          <w:sz w:val="44"/>
          <w:szCs w:val="44"/>
        </w:rPr>
        <w:t>第</w:t>
      </w:r>
      <w:r>
        <w:rPr>
          <w:rStyle w:val="33"/>
          <w:rFonts w:hint="eastAsia" w:ascii="黑体" w:eastAsia="黑体"/>
          <w:b w:val="0"/>
        </w:rPr>
        <w:t>四部分 附件</w:t>
      </w:r>
      <w:bookmarkEnd w:id="49"/>
    </w:p>
    <w:p w14:paraId="322191E4">
      <w:pPr>
        <w:keepNext w:val="0"/>
        <w:keepLines w:val="0"/>
        <w:pageBreakBefore w:val="0"/>
        <w:widowControl/>
        <w:kinsoku/>
        <w:wordWrap/>
        <w:overflowPunct/>
        <w:topLinePunct w:val="0"/>
        <w:autoSpaceDE/>
        <w:autoSpaceDN/>
        <w:bidi w:val="0"/>
        <w:spacing w:line="5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红原县人民政府办公室</w:t>
      </w:r>
    </w:p>
    <w:p w14:paraId="6717663F">
      <w:pPr>
        <w:keepNext w:val="0"/>
        <w:keepLines w:val="0"/>
        <w:pageBreakBefore w:val="0"/>
        <w:widowControl/>
        <w:kinsoku/>
        <w:wordWrap/>
        <w:overflowPunct/>
        <w:topLinePunct w:val="0"/>
        <w:autoSpaceDE/>
        <w:autoSpaceDN/>
        <w:bidi w:val="0"/>
        <w:spacing w:line="5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年部门</w:t>
      </w:r>
      <w:r>
        <w:rPr>
          <w:rFonts w:hint="eastAsia" w:ascii="方正小标宋简体" w:hAnsi="方正小标宋简体" w:eastAsia="方正小标宋简体" w:cs="方正小标宋简体"/>
          <w:sz w:val="44"/>
          <w:szCs w:val="44"/>
          <w:lang w:eastAsia="zh-CN"/>
        </w:rPr>
        <w:t>整体</w:t>
      </w:r>
      <w:r>
        <w:rPr>
          <w:rFonts w:hint="eastAsia" w:ascii="方正小标宋简体" w:hAnsi="方正小标宋简体" w:eastAsia="方正小标宋简体" w:cs="方正小标宋简体"/>
          <w:sz w:val="44"/>
          <w:szCs w:val="44"/>
        </w:rPr>
        <w:t>支出绩效报告</w:t>
      </w:r>
    </w:p>
    <w:p w14:paraId="6EE4059C">
      <w:pPr>
        <w:widowControl/>
        <w:adjustRightInd w:val="0"/>
        <w:snapToGrid w:val="0"/>
        <w:spacing w:line="560" w:lineRule="exact"/>
        <w:contextualSpacing/>
        <w:jc w:val="left"/>
        <w:rPr>
          <w:rFonts w:hint="eastAsia" w:ascii="仿宋_GB2312" w:hAnsi="仿宋_GB2312" w:eastAsia="仿宋_GB2312" w:cs="仿宋_GB2312"/>
          <w:sz w:val="32"/>
          <w:szCs w:val="32"/>
          <w:lang w:val="en-US" w:eastAsia="zh-CN"/>
        </w:rPr>
      </w:pPr>
    </w:p>
    <w:p w14:paraId="28419442">
      <w:pPr>
        <w:widowControl/>
        <w:adjustRightInd w:val="0"/>
        <w:snapToGrid w:val="0"/>
        <w:spacing w:line="560" w:lineRule="exact"/>
        <w:contextualSpacing/>
        <w:jc w:val="left"/>
        <w:rPr>
          <w:rFonts w:ascii="黑体" w:hAnsi="宋体" w:eastAsia="黑体" w:cs="宋体"/>
          <w:color w:val="000000"/>
          <w:kern w:val="0"/>
          <w:sz w:val="32"/>
          <w:szCs w:val="32"/>
          <w:shd w:val="clear" w:color="auto" w:fill="FFFFFF"/>
          <w:lang w:val="zh-CN"/>
        </w:rPr>
      </w:pPr>
      <w:r>
        <w:rPr>
          <w:rFonts w:hint="eastAsia" w:ascii="黑体" w:hAnsi="宋体" w:eastAsia="黑体" w:cs="宋体"/>
          <w:color w:val="000000"/>
          <w:kern w:val="0"/>
          <w:sz w:val="32"/>
          <w:szCs w:val="32"/>
          <w:shd w:val="clear" w:color="auto" w:fill="FFFFFF"/>
        </w:rPr>
        <w:t>一、</w:t>
      </w:r>
      <w:r>
        <w:rPr>
          <w:rFonts w:hint="eastAsia" w:ascii="黑体" w:hAnsi="宋体" w:eastAsia="黑体" w:cs="宋体"/>
          <w:color w:val="000000"/>
          <w:kern w:val="0"/>
          <w:sz w:val="32"/>
          <w:szCs w:val="32"/>
          <w:shd w:val="clear" w:color="auto" w:fill="FFFFFF"/>
          <w:lang w:val="zh-CN"/>
        </w:rPr>
        <w:t>部门（单位）概况</w:t>
      </w:r>
    </w:p>
    <w:p w14:paraId="2AC6E329">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rPr>
      </w:pPr>
      <w:r>
        <w:rPr>
          <w:rFonts w:hint="eastAsia" w:ascii="楷体_GB2312" w:hAnsi="楷体_GB2312" w:eastAsia="楷体_GB2312" w:cs="楷体_GB2312"/>
          <w:b w:val="0"/>
          <w:bCs w:val="0"/>
          <w:color w:val="000000"/>
          <w:kern w:val="0"/>
          <w:sz w:val="32"/>
          <w:szCs w:val="32"/>
          <w:lang w:val="zh-CN"/>
        </w:rPr>
        <w:t>（一）机构组成。</w:t>
      </w:r>
    </w:p>
    <w:p w14:paraId="41608AE7">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红原县人民政府办公室</w:t>
      </w:r>
      <w:r>
        <w:rPr>
          <w:rFonts w:hint="eastAsia" w:ascii="仿宋_GB2312" w:hAnsi="仿宋_GB2312" w:eastAsia="仿宋_GB2312" w:cs="仿宋_GB2312"/>
          <w:bCs/>
          <w:sz w:val="32"/>
          <w:szCs w:val="32"/>
        </w:rPr>
        <w:t>为独立核算全额拨款</w:t>
      </w:r>
      <w:r>
        <w:rPr>
          <w:rFonts w:hint="eastAsia" w:ascii="仿宋_GB2312" w:hAnsi="仿宋_GB2312" w:eastAsia="仿宋_GB2312" w:cs="仿宋_GB2312"/>
          <w:bCs/>
          <w:sz w:val="32"/>
          <w:szCs w:val="32"/>
          <w:lang w:eastAsia="zh-CN"/>
        </w:rPr>
        <w:t>行政</w:t>
      </w:r>
      <w:r>
        <w:rPr>
          <w:rFonts w:hint="eastAsia" w:ascii="仿宋_GB2312" w:hAnsi="仿宋_GB2312" w:eastAsia="仿宋_GB2312" w:cs="仿宋_GB2312"/>
          <w:bCs/>
          <w:sz w:val="32"/>
          <w:szCs w:val="32"/>
        </w:rPr>
        <w:t>单位</w:t>
      </w:r>
      <w:r>
        <w:rPr>
          <w:rFonts w:hint="eastAsia" w:ascii="仿宋_GB2312" w:hAnsi="仿宋_GB2312" w:eastAsia="仿宋_GB2312" w:cs="仿宋_GB2312"/>
          <w:bCs/>
          <w:sz w:val="32"/>
          <w:szCs w:val="32"/>
          <w:lang w:eastAsia="zh-CN"/>
        </w:rPr>
        <w:t>，共设机构</w:t>
      </w:r>
      <w:r>
        <w:rPr>
          <w:rFonts w:hint="eastAsia" w:ascii="仿宋_GB2312" w:hAnsi="仿宋_GB2312" w:eastAsia="仿宋_GB2312" w:cs="仿宋_GB2312"/>
          <w:bCs/>
          <w:sz w:val="32"/>
          <w:szCs w:val="32"/>
          <w:lang w:val="en-US" w:eastAsia="zh-CN"/>
        </w:rPr>
        <w:t>7</w:t>
      </w:r>
      <w:r>
        <w:rPr>
          <w:rFonts w:hint="eastAsia" w:ascii="仿宋_GB2312" w:hAnsi="仿宋_GB2312" w:eastAsia="仿宋_GB2312" w:cs="仿宋_GB2312"/>
          <w:bCs/>
          <w:sz w:val="32"/>
          <w:szCs w:val="32"/>
          <w:lang w:eastAsia="zh-CN"/>
        </w:rPr>
        <w:t>个，即</w:t>
      </w:r>
      <w:r>
        <w:rPr>
          <w:rFonts w:hint="eastAsia" w:ascii="仿宋_GB2312" w:hAnsi="仿宋_GB2312" w:eastAsia="仿宋_GB2312" w:cs="仿宋_GB2312"/>
          <w:sz w:val="32"/>
          <w:szCs w:val="32"/>
          <w:lang w:eastAsia="zh-CN"/>
        </w:rPr>
        <w:t>秘书股、综合股</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机要股、财务人事股、行政效能股、机关事务股、国动股。</w:t>
      </w:r>
    </w:p>
    <w:p w14:paraId="273F0442">
      <w:pPr>
        <w:ind w:firstLine="800" w:firstLineChars="250"/>
        <w:rPr>
          <w:rFonts w:hint="eastAsia" w:ascii="仿宋_GB2312" w:hAnsi="仿宋_GB2312" w:eastAsia="仿宋_GB2312" w:cs="仿宋_GB2312"/>
          <w:bCs/>
          <w:sz w:val="32"/>
          <w:szCs w:val="32"/>
          <w:lang w:eastAsia="zh-CN"/>
        </w:rPr>
      </w:pPr>
      <w:r>
        <w:rPr>
          <w:rFonts w:hint="eastAsia" w:ascii="仿宋" w:eastAsia="仿宋"/>
          <w:sz w:val="32"/>
          <w:szCs w:val="32"/>
        </w:rPr>
        <w:t>红原县人民政府办公室下属</w:t>
      </w:r>
      <w:r>
        <w:rPr>
          <w:rFonts w:hint="eastAsia" w:ascii="仿宋" w:eastAsia="仿宋"/>
          <w:sz w:val="32"/>
          <w:szCs w:val="32"/>
          <w:lang w:val="en-US" w:eastAsia="zh-CN"/>
        </w:rPr>
        <w:t>2</w:t>
      </w:r>
      <w:r>
        <w:rPr>
          <w:rFonts w:hint="eastAsia" w:ascii="仿宋" w:eastAsia="仿宋"/>
          <w:sz w:val="32"/>
          <w:szCs w:val="32"/>
        </w:rPr>
        <w:t>个事业</w:t>
      </w:r>
      <w:r>
        <w:rPr>
          <w:rFonts w:hint="eastAsia" w:ascii="仿宋" w:eastAsia="仿宋"/>
          <w:sz w:val="32"/>
          <w:szCs w:val="32"/>
          <w:lang w:eastAsia="zh-CN"/>
        </w:rPr>
        <w:t>机构</w:t>
      </w:r>
      <w:r>
        <w:rPr>
          <w:rFonts w:hint="eastAsia" w:ascii="仿宋" w:eastAsia="仿宋"/>
          <w:sz w:val="32"/>
          <w:szCs w:val="32"/>
        </w:rPr>
        <w:t>，</w:t>
      </w:r>
      <w:r>
        <w:rPr>
          <w:rFonts w:hint="eastAsia" w:ascii="仿宋_GB2312" w:eastAsia="仿宋_GB2312"/>
          <w:sz w:val="32"/>
          <w:szCs w:val="32"/>
        </w:rPr>
        <w:t>分别是：</w:t>
      </w:r>
      <w:r>
        <w:rPr>
          <w:rFonts w:hint="eastAsia" w:ascii="仿宋_GB2312" w:eastAsia="仿宋_GB2312"/>
          <w:sz w:val="32"/>
          <w:szCs w:val="32"/>
          <w:lang w:eastAsia="zh-CN"/>
        </w:rPr>
        <w:t>国防动员事务中心</w:t>
      </w:r>
      <w:r>
        <w:rPr>
          <w:rFonts w:hint="eastAsia" w:ascii="仿宋_GB2312" w:eastAsia="仿宋_GB2312"/>
          <w:sz w:val="32"/>
          <w:szCs w:val="32"/>
        </w:rPr>
        <w:t>、信息公开工作中心</w:t>
      </w:r>
      <w:r>
        <w:rPr>
          <w:rFonts w:hint="eastAsia" w:ascii="仿宋_GB2312" w:hAnsi="仿宋_GB2312" w:eastAsia="仿宋_GB2312" w:cs="仿宋_GB2312"/>
          <w:bCs/>
          <w:sz w:val="32"/>
          <w:szCs w:val="32"/>
          <w:lang w:eastAsia="zh-CN"/>
        </w:rPr>
        <w:t>（股级事业单位）</w:t>
      </w:r>
      <w:r>
        <w:rPr>
          <w:rFonts w:hint="eastAsia" w:eastAsia="仿宋_GB2312" w:asciiTheme="minorHAnsi" w:hAnsiTheme="minorHAnsi"/>
          <w:sz w:val="32"/>
          <w:szCs w:val="32"/>
        </w:rPr>
        <w:t>。</w:t>
      </w:r>
    </w:p>
    <w:p w14:paraId="2D4B66DB">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仿宋_GB2312" w:hAnsi="仿宋_GB2312" w:eastAsia="仿宋_GB2312" w:cs="仿宋_GB2312"/>
          <w:bCs/>
          <w:sz w:val="32"/>
          <w:szCs w:val="32"/>
          <w:lang w:val="zh-CN" w:eastAsia="zh-CN"/>
        </w:rPr>
      </w:pPr>
      <w:r>
        <w:rPr>
          <w:rFonts w:hint="eastAsia" w:ascii="楷体_GB2312" w:hAnsi="楷体_GB2312" w:eastAsia="楷体_GB2312" w:cs="楷体_GB2312"/>
          <w:b w:val="0"/>
          <w:bCs w:val="0"/>
          <w:color w:val="000000"/>
          <w:kern w:val="0"/>
          <w:sz w:val="32"/>
          <w:szCs w:val="32"/>
          <w:lang w:val="zh-CN"/>
        </w:rPr>
        <w:t>（二）机构职能。</w:t>
      </w:r>
    </w:p>
    <w:p w14:paraId="565ED1FF">
      <w:pPr>
        <w:widowControl w:val="0"/>
        <w:spacing w:line="568" w:lineRule="atLeast"/>
        <w:ind w:firstLine="639" w:firstLineChars="0"/>
        <w:rPr>
          <w:rFonts w:hint="eastAsia" w:ascii="楷体_GB2312" w:hAnsi="楷体_GB2312" w:eastAsia="楷体_GB2312"/>
          <w:b/>
          <w:spacing w:val="0"/>
          <w:sz w:val="32"/>
          <w:szCs w:val="32"/>
        </w:rPr>
      </w:pPr>
      <w:r>
        <w:rPr>
          <w:rFonts w:hint="eastAsia" w:ascii="楷体_GB2312" w:hAnsi="楷体_GB2312" w:eastAsia="楷体_GB2312"/>
          <w:b/>
          <w:spacing w:val="0"/>
          <w:sz w:val="32"/>
          <w:szCs w:val="32"/>
          <w:lang w:val="en-US" w:eastAsia="zh-CN"/>
        </w:rPr>
        <w:t>1、</w:t>
      </w:r>
      <w:r>
        <w:rPr>
          <w:rFonts w:hint="eastAsia" w:ascii="楷体_GB2312" w:hAnsi="楷体_GB2312" w:eastAsia="楷体_GB2312"/>
          <w:b/>
          <w:spacing w:val="0"/>
          <w:sz w:val="32"/>
          <w:szCs w:val="32"/>
        </w:rPr>
        <w:t>综合股</w:t>
      </w:r>
    </w:p>
    <w:p w14:paraId="762EE43A">
      <w:pPr>
        <w:widowControl w:val="0"/>
        <w:spacing w:line="568" w:lineRule="atLeast"/>
        <w:ind w:firstLine="639" w:firstLineChars="0"/>
        <w:rPr>
          <w:rFonts w:hint="eastAsia" w:ascii="仿宋_GB2312" w:hAnsi="仿宋_GB2312" w:eastAsia="仿宋_GB2312"/>
          <w:spacing w:val="0"/>
          <w:sz w:val="32"/>
          <w:szCs w:val="32"/>
        </w:rPr>
      </w:pPr>
      <w:r>
        <w:rPr>
          <w:rFonts w:hint="eastAsia" w:ascii="仿宋_GB2312" w:hAnsi="仿宋_GB2312" w:eastAsia="仿宋_GB2312"/>
          <w:spacing w:val="0"/>
          <w:sz w:val="32"/>
          <w:szCs w:val="32"/>
        </w:rPr>
        <w:t>负责办理文电收发、运转，县政府和县政府办公室印鉴管理，公文印制、文字校对，机关保密、机要、值班、内外联络；负责机关档案立卷归档、管理和利用；协助办公室领导组织协助机关日常工作；负责县政府全体会议、常务会议、县长办公会议和县长专题会议的会务工作；负责县政府各类活动的服务工作。</w:t>
      </w:r>
    </w:p>
    <w:p w14:paraId="08D6187E">
      <w:pPr>
        <w:widowControl w:val="0"/>
        <w:spacing w:line="568" w:lineRule="atLeast"/>
        <w:ind w:firstLine="639" w:firstLineChars="0"/>
        <w:rPr>
          <w:rFonts w:hint="eastAsia" w:ascii="楷体_GB2312" w:hAnsi="楷体_GB2312" w:eastAsia="楷体_GB2312"/>
          <w:b/>
          <w:spacing w:val="0"/>
          <w:sz w:val="32"/>
          <w:szCs w:val="32"/>
        </w:rPr>
      </w:pPr>
      <w:r>
        <w:rPr>
          <w:rFonts w:hint="eastAsia" w:ascii="楷体_GB2312" w:hAnsi="楷体_GB2312" w:eastAsia="楷体_GB2312"/>
          <w:b/>
          <w:spacing w:val="0"/>
          <w:sz w:val="32"/>
          <w:szCs w:val="32"/>
          <w:lang w:val="en-US" w:eastAsia="zh-CN"/>
        </w:rPr>
        <w:t>2、</w:t>
      </w:r>
      <w:r>
        <w:rPr>
          <w:rFonts w:hint="eastAsia" w:ascii="楷体_GB2312" w:hAnsi="楷体_GB2312" w:eastAsia="楷体_GB2312"/>
          <w:b/>
          <w:spacing w:val="0"/>
          <w:sz w:val="32"/>
          <w:szCs w:val="32"/>
        </w:rPr>
        <w:t>秘书股</w:t>
      </w:r>
    </w:p>
    <w:p w14:paraId="6213AEC6">
      <w:pPr>
        <w:widowControl w:val="0"/>
        <w:spacing w:line="568" w:lineRule="atLeast"/>
        <w:ind w:firstLine="639" w:firstLineChars="0"/>
        <w:rPr>
          <w:rFonts w:hint="eastAsia" w:ascii="仿宋_GB2312" w:hAnsi="仿宋_GB2312" w:eastAsia="仿宋_GB2312"/>
          <w:spacing w:val="0"/>
          <w:sz w:val="32"/>
          <w:szCs w:val="32"/>
        </w:rPr>
      </w:pPr>
      <w:r>
        <w:rPr>
          <w:rFonts w:hint="eastAsia" w:ascii="仿宋_GB2312" w:hAnsi="仿宋_GB2312" w:eastAsia="仿宋_GB2312"/>
          <w:spacing w:val="0"/>
          <w:sz w:val="32"/>
          <w:szCs w:val="32"/>
        </w:rPr>
        <w:t>负责起草县政府及办公室的综合性文稿；协助县政府领导搞好调查研究，起草讲话稿、调查报告和文、电、函;组织、协调、督促、办理涉及政府工作的人大代表议案、建议、批评和政协委员提案、建议案；负责县政府志、年鉴的编辑工作；搞好县政府领导服务工作。</w:t>
      </w:r>
    </w:p>
    <w:p w14:paraId="5D1D55A3">
      <w:pPr>
        <w:widowControl w:val="0"/>
        <w:spacing w:line="568" w:lineRule="atLeast"/>
        <w:ind w:firstLine="639" w:firstLineChars="0"/>
        <w:rPr>
          <w:rFonts w:hint="eastAsia" w:ascii="楷体_GB2312" w:hAnsi="楷体_GB2312" w:eastAsia="楷体_GB2312"/>
          <w:b/>
          <w:spacing w:val="0"/>
          <w:sz w:val="32"/>
          <w:szCs w:val="32"/>
        </w:rPr>
      </w:pPr>
      <w:r>
        <w:rPr>
          <w:rFonts w:hint="eastAsia" w:ascii="楷体_GB2312" w:hAnsi="楷体_GB2312" w:eastAsia="楷体_GB2312"/>
          <w:b/>
          <w:spacing w:val="0"/>
          <w:sz w:val="32"/>
          <w:szCs w:val="32"/>
          <w:lang w:val="en-US" w:eastAsia="zh-CN"/>
        </w:rPr>
        <w:t>3、</w:t>
      </w:r>
      <w:r>
        <w:rPr>
          <w:rFonts w:hint="eastAsia" w:ascii="楷体_GB2312" w:hAnsi="楷体_GB2312" w:eastAsia="楷体_GB2312"/>
          <w:b/>
          <w:spacing w:val="0"/>
          <w:sz w:val="32"/>
          <w:szCs w:val="32"/>
        </w:rPr>
        <w:t>政务、信息督查督办股</w:t>
      </w:r>
    </w:p>
    <w:p w14:paraId="6CDE3500">
      <w:pPr>
        <w:widowControl w:val="0"/>
        <w:spacing w:line="568" w:lineRule="atLeast"/>
        <w:ind w:firstLine="639" w:firstLineChars="0"/>
        <w:rPr>
          <w:rFonts w:hint="eastAsia" w:ascii="仿宋_GB2312" w:hAnsi="仿宋_GB2312" w:eastAsia="仿宋_GB2312"/>
          <w:spacing w:val="0"/>
          <w:sz w:val="32"/>
          <w:szCs w:val="32"/>
        </w:rPr>
      </w:pPr>
      <w:r>
        <w:rPr>
          <w:rFonts w:hint="eastAsia" w:ascii="仿宋_GB2312" w:hAnsi="仿宋_GB2312" w:eastAsia="仿宋_GB2312"/>
          <w:spacing w:val="0"/>
          <w:sz w:val="32"/>
          <w:szCs w:val="32"/>
        </w:rPr>
        <w:t>负责政务督察督办工作；负责县政府及办公室的目标管理工作；协调、指导全县政府系统目标管理工作；指导全县政府系统政务信息工作，负责全县政务信息的收集、整理、编辑，向州政府办公室报送信息；负责推进、指导、协调、监督全县政府信息公开工作；指导、监督全县政府系统电子政务工作和政府网站建设；负责县政府机关电子政务的规划、建设、技术与安全保障。</w:t>
      </w:r>
    </w:p>
    <w:p w14:paraId="66D4BC36">
      <w:pPr>
        <w:widowControl w:val="0"/>
        <w:spacing w:line="568" w:lineRule="atLeast"/>
        <w:ind w:firstLine="639" w:firstLineChars="0"/>
        <w:rPr>
          <w:rFonts w:hint="eastAsia" w:ascii="楷体_GB2312" w:hAnsi="楷体_GB2312" w:eastAsia="楷体_GB2312"/>
          <w:b/>
          <w:spacing w:val="0"/>
          <w:sz w:val="32"/>
          <w:szCs w:val="32"/>
        </w:rPr>
      </w:pPr>
      <w:r>
        <w:rPr>
          <w:rFonts w:hint="eastAsia" w:ascii="楷体_GB2312" w:hAnsi="楷体_GB2312" w:eastAsia="楷体_GB2312"/>
          <w:b/>
          <w:spacing w:val="0"/>
          <w:sz w:val="32"/>
          <w:szCs w:val="32"/>
          <w:lang w:val="en-US" w:eastAsia="zh-CN"/>
        </w:rPr>
        <w:t>4、</w:t>
      </w:r>
      <w:r>
        <w:rPr>
          <w:rFonts w:hint="eastAsia" w:ascii="楷体_GB2312" w:hAnsi="楷体_GB2312" w:eastAsia="楷体_GB2312"/>
          <w:b/>
          <w:spacing w:val="0"/>
          <w:sz w:val="32"/>
          <w:szCs w:val="32"/>
        </w:rPr>
        <w:t>行政财务股（人事股）</w:t>
      </w:r>
    </w:p>
    <w:p w14:paraId="3AB28DC0">
      <w:pPr>
        <w:widowControl w:val="0"/>
        <w:spacing w:line="568" w:lineRule="atLeast"/>
        <w:ind w:firstLine="639" w:firstLineChars="0"/>
        <w:rPr>
          <w:rFonts w:hint="eastAsia" w:ascii="仿宋_GB2312" w:hAnsi="仿宋_GB2312" w:eastAsia="仿宋_GB2312"/>
          <w:spacing w:val="0"/>
          <w:sz w:val="32"/>
          <w:szCs w:val="32"/>
        </w:rPr>
      </w:pPr>
      <w:r>
        <w:rPr>
          <w:rFonts w:hint="eastAsia" w:ascii="仿宋_GB2312" w:hAnsi="仿宋_GB2312" w:eastAsia="仿宋_GB2312"/>
          <w:spacing w:val="0"/>
          <w:sz w:val="32"/>
          <w:szCs w:val="32"/>
        </w:rPr>
        <w:t>负责机关、直属机构的人事管理、机构编制和教育培训工作；负责机关和直属机构离退休人员工作；负责县政府领导的服务事务和机关后勤管理工作；负责机关和直属单位财务管理工作；负责县政府办公室固定资产管理工作。</w:t>
      </w:r>
    </w:p>
    <w:p w14:paraId="2322092D">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（三）人员概况。</w:t>
      </w:r>
    </w:p>
    <w:p w14:paraId="6BD6E25B">
      <w:pPr>
        <w:ind w:firstLine="800" w:firstLineChars="250"/>
        <w:rPr>
          <w:rFonts w:hint="eastAsia"/>
          <w:sz w:val="32"/>
          <w:szCs w:val="32"/>
        </w:rPr>
      </w:pPr>
      <w:r>
        <w:rPr>
          <w:rFonts w:hint="eastAsia" w:ascii="仿宋_GB2312" w:hAnsi="仿宋_GB2312" w:eastAsia="仿宋_GB2312" w:cs="仿宋_GB2312"/>
          <w:bCs/>
          <w:sz w:val="32"/>
          <w:szCs w:val="32"/>
          <w:lang w:val="zh-CN" w:eastAsia="zh-CN"/>
        </w:rPr>
        <w:t>本单位截止</w:t>
      </w:r>
      <w:r>
        <w:rPr>
          <w:rFonts w:hint="eastAsia" w:ascii="仿宋_GB2312" w:hAnsi="仿宋_GB2312" w:eastAsia="仿宋_GB2312" w:cs="仿宋_GB2312"/>
          <w:bCs/>
          <w:sz w:val="32"/>
          <w:szCs w:val="32"/>
          <w:lang w:val="en-US" w:eastAsia="zh-CN"/>
        </w:rPr>
        <w:t>2025</w:t>
      </w:r>
      <w:r>
        <w:rPr>
          <w:rFonts w:hint="eastAsia" w:ascii="仿宋_GB2312" w:hAnsi="仿宋_GB2312" w:eastAsia="仿宋_GB2312" w:cs="仿宋_GB2312"/>
          <w:bCs/>
          <w:sz w:val="32"/>
          <w:szCs w:val="32"/>
        </w:rPr>
        <w:t>年底我单位共有</w:t>
      </w:r>
      <w:r>
        <w:rPr>
          <w:rFonts w:hint="eastAsia" w:ascii="仿宋_GB2312" w:hAnsi="仿宋_GB2312" w:eastAsia="仿宋_GB2312" w:cs="仿宋_GB2312"/>
          <w:sz w:val="32"/>
          <w:szCs w:val="32"/>
        </w:rPr>
        <w:t>在职</w:t>
      </w:r>
      <w:r>
        <w:rPr>
          <w:rFonts w:hint="eastAsia" w:ascii="仿宋_GB2312" w:hAnsi="仿宋_GB2312" w:eastAsia="仿宋_GB2312" w:cs="仿宋_GB2312"/>
          <w:sz w:val="32"/>
          <w:szCs w:val="32"/>
          <w:lang w:eastAsia="zh-CN"/>
        </w:rPr>
        <w:t>人员</w:t>
      </w:r>
      <w:r>
        <w:rPr>
          <w:rFonts w:hint="eastAsia" w:ascii="仿宋_GB2312" w:hAnsi="仿宋_GB2312" w:eastAsia="仿宋_GB2312" w:cs="仿宋_GB2312"/>
          <w:sz w:val="32"/>
          <w:szCs w:val="32"/>
          <w:lang w:val="en-US" w:eastAsia="zh-CN"/>
        </w:rPr>
        <w:t>39</w:t>
      </w:r>
      <w:r>
        <w:rPr>
          <w:rFonts w:hint="eastAsia" w:ascii="仿宋_GB2312" w:hAnsi="仿宋_GB2312" w:eastAsia="仿宋_GB2312" w:cs="仿宋_GB2312"/>
          <w:sz w:val="32"/>
          <w:szCs w:val="32"/>
        </w:rPr>
        <w:t>人，其中公务员</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人，行政工勤</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，非参公事业人员</w:t>
      </w:r>
      <w:r>
        <w:rPr>
          <w:rFonts w:hint="eastAsia" w:ascii="仿宋_GB2312" w:hAnsi="仿宋_GB2312" w:eastAsia="仿宋_GB2312" w:cs="仿宋_GB2312"/>
          <w:sz w:val="32"/>
          <w:szCs w:val="32"/>
          <w:lang w:val="en-US" w:eastAsia="zh-CN"/>
        </w:rPr>
        <w:t>9人，同比去年减少3人，主要变动原因是人员调出</w:t>
      </w:r>
      <w:r>
        <w:rPr>
          <w:rFonts w:hint="eastAsia" w:ascii="仿宋_GB2312" w:hAnsi="仿宋_GB2312" w:eastAsia="仿宋_GB2312" w:cs="仿宋_GB2312"/>
          <w:sz w:val="32"/>
          <w:szCs w:val="32"/>
        </w:rPr>
        <w:t>。</w:t>
      </w:r>
    </w:p>
    <w:p w14:paraId="07F1C2A1">
      <w:pPr>
        <w:widowControl/>
        <w:adjustRightInd w:val="0"/>
        <w:snapToGrid w:val="0"/>
        <w:spacing w:line="560" w:lineRule="exact"/>
        <w:contextualSpacing/>
        <w:jc w:val="left"/>
        <w:rPr>
          <w:rFonts w:hint="eastAsia" w:ascii="黑体" w:hAnsi="宋体" w:eastAsia="黑体" w:cs="宋体"/>
          <w:color w:val="000000"/>
          <w:kern w:val="0"/>
          <w:sz w:val="32"/>
          <w:szCs w:val="32"/>
          <w:shd w:val="clear" w:color="auto" w:fill="FFFFFF"/>
          <w:lang w:eastAsia="zh-CN"/>
        </w:rPr>
      </w:pPr>
      <w:r>
        <w:rPr>
          <w:rFonts w:hint="eastAsia" w:ascii="黑体" w:hAnsi="宋体" w:eastAsia="黑体" w:cs="宋体"/>
          <w:color w:val="000000"/>
          <w:kern w:val="0"/>
          <w:sz w:val="32"/>
          <w:szCs w:val="32"/>
          <w:shd w:val="clear" w:color="auto" w:fill="FFFFFF"/>
          <w:lang w:eastAsia="zh-CN"/>
        </w:rPr>
        <w:t>二、部门财政资金收支情况</w:t>
      </w:r>
    </w:p>
    <w:p w14:paraId="224DEDA6">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（一）部门财政资金收入情况</w:t>
      </w:r>
    </w:p>
    <w:p w14:paraId="72FCC6CD">
      <w:pPr>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Cs/>
          <w:sz w:val="32"/>
          <w:szCs w:val="32"/>
          <w:lang w:val="en-US" w:eastAsia="zh-CN"/>
        </w:rPr>
        <w:t>2025</w:t>
      </w:r>
      <w:r>
        <w:rPr>
          <w:rFonts w:hint="eastAsia" w:ascii="仿宋_GB2312" w:hAnsi="仿宋_GB2312" w:eastAsia="仿宋_GB2312" w:cs="仿宋_GB2312"/>
          <w:bCs/>
          <w:sz w:val="32"/>
          <w:szCs w:val="32"/>
          <w:lang w:eastAsia="zh-CN"/>
        </w:rPr>
        <w:t>年度财政拨款收入总计</w:t>
      </w:r>
      <w:r>
        <w:rPr>
          <w:rFonts w:hint="eastAsia" w:ascii="仿宋_GB2312" w:hAnsi="仿宋_GB2312" w:eastAsia="仿宋_GB2312" w:cs="仿宋_GB2312"/>
          <w:bCs/>
          <w:sz w:val="32"/>
          <w:szCs w:val="32"/>
          <w:lang w:val="en-US" w:eastAsia="zh-CN"/>
        </w:rPr>
        <w:t>1980.1万</w:t>
      </w:r>
      <w:r>
        <w:rPr>
          <w:rFonts w:hint="eastAsia" w:ascii="仿宋_GB2312" w:hAnsi="仿宋_GB2312" w:eastAsia="仿宋_GB2312" w:cs="仿宋_GB2312"/>
          <w:bCs/>
          <w:sz w:val="32"/>
          <w:szCs w:val="32"/>
          <w:lang w:eastAsia="zh-CN"/>
        </w:rPr>
        <w:t>元</w:t>
      </w:r>
      <w:r>
        <w:rPr>
          <w:rFonts w:hint="eastAsia" w:ascii="仿宋_GB2312" w:hAnsi="仿宋_GB2312" w:eastAsia="仿宋_GB2312" w:cs="仿宋_GB2312"/>
          <w:bCs/>
          <w:sz w:val="32"/>
          <w:szCs w:val="32"/>
          <w:lang w:val="en-US" w:eastAsia="zh-CN"/>
        </w:rPr>
        <w:t>（其中：一般公共服务支出1183.53万元，主要为人员工资、体检费、工伤失业保险、会议费、差旅费、印刷费、培训费、公务用车运行维护费等；社会保障和就业支出153.91万元，主要为单位部分各项保险；医疗卫生与计划生育支出55.91万元，全部为单位部分医疗保险、公务员医疗补助；住房保障支出81.88万元，全部为单位部分住房公积金国防支出129.17万元）。</w:t>
      </w:r>
    </w:p>
    <w:p w14:paraId="530F6897">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（二）部门财政资金支出情况</w:t>
      </w:r>
    </w:p>
    <w:p w14:paraId="12AC6E9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仿宋_GB2312" w:hAnsi="仿宋_GB2312" w:eastAsia="仿宋_GB2312" w:cs="仿宋_GB2312"/>
          <w:bCs/>
          <w:sz w:val="32"/>
          <w:szCs w:val="32"/>
          <w:lang w:val="en-US" w:eastAsia="zh-CN"/>
        </w:rPr>
        <w:t>2025</w:t>
      </w:r>
      <w:r>
        <w:rPr>
          <w:rFonts w:hint="eastAsia" w:ascii="仿宋_GB2312" w:hAnsi="仿宋_GB2312" w:eastAsia="仿宋_GB2312" w:cs="仿宋_GB2312"/>
          <w:bCs/>
          <w:sz w:val="32"/>
          <w:szCs w:val="32"/>
          <w:lang w:eastAsia="zh-CN"/>
        </w:rPr>
        <w:t>年度财政拨款支出</w:t>
      </w:r>
      <w:r>
        <w:rPr>
          <w:rFonts w:hint="eastAsia" w:ascii="仿宋_GB2312" w:hAnsi="仿宋_GB2312" w:eastAsia="仿宋_GB2312" w:cs="仿宋_GB2312"/>
          <w:bCs/>
          <w:sz w:val="32"/>
          <w:szCs w:val="32"/>
          <w:lang w:val="en-US" w:eastAsia="zh-CN"/>
        </w:rPr>
        <w:t>1980.1万</w:t>
      </w:r>
      <w:r>
        <w:rPr>
          <w:rFonts w:hint="eastAsia" w:ascii="仿宋_GB2312" w:hAnsi="仿宋_GB2312" w:eastAsia="仿宋_GB2312" w:cs="仿宋_GB2312"/>
          <w:bCs/>
          <w:sz w:val="32"/>
          <w:szCs w:val="32"/>
          <w:lang w:eastAsia="zh-CN"/>
        </w:rPr>
        <w:t>元</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lang w:eastAsia="zh-CN"/>
        </w:rPr>
        <w:t>与20</w:t>
      </w:r>
      <w:r>
        <w:rPr>
          <w:rFonts w:hint="eastAsia" w:ascii="仿宋_GB2312" w:hAnsi="仿宋_GB2312" w:eastAsia="仿宋_GB2312" w:cs="仿宋_GB2312"/>
          <w:bCs/>
          <w:sz w:val="32"/>
          <w:szCs w:val="32"/>
          <w:lang w:val="en-US" w:eastAsia="zh-CN"/>
        </w:rPr>
        <w:t>24</w:t>
      </w:r>
      <w:r>
        <w:rPr>
          <w:rFonts w:hint="eastAsia" w:ascii="仿宋_GB2312" w:hAnsi="仿宋_GB2312" w:eastAsia="仿宋_GB2312" w:cs="仿宋_GB2312"/>
          <w:bCs/>
          <w:sz w:val="32"/>
          <w:szCs w:val="32"/>
          <w:lang w:eastAsia="zh-CN"/>
        </w:rPr>
        <w:t>年相比，支出增加了</w:t>
      </w:r>
      <w:r>
        <w:rPr>
          <w:rFonts w:hint="eastAsia" w:ascii="仿宋_GB2312" w:hAnsi="仿宋_GB2312" w:eastAsia="仿宋_GB2312" w:cs="仿宋_GB2312"/>
          <w:bCs/>
          <w:sz w:val="32"/>
          <w:szCs w:val="32"/>
          <w:lang w:val="en-US" w:eastAsia="zh-CN"/>
        </w:rPr>
        <w:t>251.7</w:t>
      </w:r>
      <w:r>
        <w:rPr>
          <w:rFonts w:hint="eastAsia" w:ascii="仿宋_GB2312" w:hAnsi="仿宋_GB2312" w:eastAsia="仿宋_GB2312" w:cs="仿宋_GB2312"/>
          <w:bCs/>
          <w:sz w:val="32"/>
          <w:szCs w:val="32"/>
          <w:lang w:eastAsia="zh-CN"/>
        </w:rPr>
        <w:t>万元，增加了</w:t>
      </w:r>
      <w:r>
        <w:rPr>
          <w:rFonts w:hint="eastAsia" w:ascii="仿宋_GB2312" w:hAnsi="仿宋_GB2312" w:eastAsia="仿宋_GB2312" w:cs="仿宋_GB2312"/>
          <w:bCs/>
          <w:sz w:val="32"/>
          <w:szCs w:val="32"/>
          <w:lang w:val="en-US" w:eastAsia="zh-CN"/>
        </w:rPr>
        <w:t>14.56%</w:t>
      </w:r>
      <w:r>
        <w:rPr>
          <w:rFonts w:hint="eastAsia" w:ascii="仿宋_GB2312" w:hAnsi="仿宋_GB2312" w:eastAsia="仿宋_GB2312" w:cs="仿宋_GB2312"/>
          <w:bCs/>
          <w:sz w:val="32"/>
          <w:szCs w:val="32"/>
          <w:lang w:eastAsia="zh-CN"/>
        </w:rPr>
        <w:t>，主要变动原因</w:t>
      </w:r>
      <w:r>
        <w:rPr>
          <w:rFonts w:hint="eastAsia" w:eastAsia="仿宋_GB2312" w:cs="仿宋_GB2312"/>
          <w:b/>
          <w:bCs/>
          <w:color w:val="auto"/>
          <w:sz w:val="32"/>
          <w:szCs w:val="32"/>
          <w:highlight w:val="none"/>
          <w:lang w:eastAsia="zh-CN"/>
        </w:rPr>
        <w:t>一</w:t>
      </w:r>
      <w:r>
        <w:rPr>
          <w:rFonts w:hint="eastAsia" w:ascii="Times New Roman" w:hAnsi="Times New Roman" w:eastAsia="仿宋_GB2312" w:cs="仿宋_GB2312"/>
          <w:b/>
          <w:bCs/>
          <w:color w:val="auto"/>
          <w:sz w:val="32"/>
          <w:szCs w:val="32"/>
          <w:highlight w:val="none"/>
        </w:rPr>
        <w:t>是</w:t>
      </w:r>
      <w:r>
        <w:rPr>
          <w:rFonts w:hint="eastAsia" w:eastAsia="仿宋_GB2312" w:cs="仿宋_GB2312"/>
          <w:color w:val="auto"/>
          <w:sz w:val="32"/>
          <w:szCs w:val="32"/>
          <w:highlight w:val="none"/>
          <w:lang w:eastAsia="zh-CN"/>
        </w:rPr>
        <w:t>新增</w:t>
      </w:r>
      <w:r>
        <w:rPr>
          <w:rFonts w:hint="eastAsia" w:eastAsia="仿宋_GB2312" w:cs="仿宋_GB2312"/>
          <w:color w:val="auto"/>
          <w:sz w:val="32"/>
          <w:szCs w:val="32"/>
          <w:highlight w:val="none"/>
          <w:lang w:val="en-US" w:eastAsia="zh-CN"/>
        </w:rPr>
        <w:t>13号楼大型修缮337.25万元；</w:t>
      </w:r>
      <w:r>
        <w:rPr>
          <w:rFonts w:hint="eastAsia" w:eastAsia="仿宋_GB2312" w:cs="仿宋_GB2312"/>
          <w:b/>
          <w:bCs/>
          <w:color w:val="auto"/>
          <w:sz w:val="32"/>
          <w:szCs w:val="32"/>
          <w:highlight w:val="none"/>
          <w:lang w:val="en-US" w:eastAsia="zh-CN"/>
        </w:rPr>
        <w:t>二是</w:t>
      </w:r>
      <w:r>
        <w:rPr>
          <w:rFonts w:hint="eastAsia" w:eastAsia="仿宋_GB2312" w:cs="仿宋_GB2312"/>
          <w:color w:val="auto"/>
          <w:sz w:val="32"/>
          <w:szCs w:val="32"/>
          <w:highlight w:val="none"/>
          <w:lang w:val="en-US" w:eastAsia="zh-CN"/>
        </w:rPr>
        <w:t>新购公务用车57.68万；</w:t>
      </w:r>
      <w:r>
        <w:rPr>
          <w:rFonts w:hint="eastAsia" w:eastAsia="仿宋_GB2312" w:cs="仿宋_GB2312"/>
          <w:b/>
          <w:bCs/>
          <w:color w:val="auto"/>
          <w:sz w:val="32"/>
          <w:szCs w:val="32"/>
          <w:highlight w:val="none"/>
          <w:lang w:val="en-US" w:eastAsia="zh-CN"/>
        </w:rPr>
        <w:t>三是</w:t>
      </w:r>
      <w:r>
        <w:rPr>
          <w:rFonts w:hint="eastAsia" w:ascii="仿宋_GB2312" w:eastAsia="仿宋_GB2312" w:cs="仿宋_GB2312"/>
          <w:sz w:val="32"/>
          <w:szCs w:val="32"/>
          <w:lang w:val="en-US" w:eastAsia="zh-CN"/>
        </w:rPr>
        <w:t>国动机动指挥平台建设126.71万元。</w:t>
      </w:r>
    </w:p>
    <w:p w14:paraId="067B15B4">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（一）部门预算管理</w:t>
      </w:r>
    </w:p>
    <w:p w14:paraId="4B39AFA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zh-CN" w:eastAsia="zh-CN"/>
        </w:rPr>
        <w:t>红原县人民政府办公室预算编制严格按照《预算法》相关规定，结合全县预算编制口径，结合我单位实际情况编制，主要用于保障我单位正常运转、完成日常工作任务以及红原县依法治县发展等相关工作而编制，预算编制目标明确。其中根据我单位职能职责编制三项专项部门预算，一是政府专项办公费预算，主要用于补充我单位开展日常工作产生的办公费、差旅费、油费等，</w:t>
      </w:r>
      <w:r>
        <w:rPr>
          <w:rFonts w:hint="eastAsia" w:ascii="仿宋_GB2312" w:hAnsi="仿宋_GB2312" w:eastAsia="仿宋_GB2312" w:cs="仿宋_GB2312"/>
          <w:bCs/>
          <w:sz w:val="32"/>
          <w:szCs w:val="32"/>
          <w:lang w:val="en-US" w:eastAsia="zh-CN"/>
        </w:rPr>
        <w:t>2025年初预算2264.82万元，年底执行1980.1万元，执行率87.42%；</w:t>
      </w:r>
      <w:r>
        <w:rPr>
          <w:rFonts w:hint="eastAsia" w:ascii="仿宋_GB2312" w:hAnsi="仿宋_GB2312" w:eastAsia="仿宋_GB2312" w:cs="仿宋_GB2312"/>
          <w:bCs/>
          <w:sz w:val="32"/>
          <w:szCs w:val="32"/>
          <w:lang w:val="zh-CN" w:eastAsia="zh-CN"/>
        </w:rPr>
        <w:t>二是</w:t>
      </w:r>
      <w:r>
        <w:rPr>
          <w:rFonts w:hint="eastAsia" w:eastAsia="仿宋_GB2312" w:cs="仿宋_GB2312"/>
          <w:color w:val="auto"/>
          <w:sz w:val="32"/>
          <w:szCs w:val="32"/>
          <w:highlight w:val="none"/>
          <w:lang w:eastAsia="zh-CN"/>
        </w:rPr>
        <w:t>新增</w:t>
      </w:r>
      <w:r>
        <w:rPr>
          <w:rFonts w:hint="eastAsia" w:eastAsia="仿宋_GB2312" w:cs="仿宋_GB2312"/>
          <w:color w:val="auto"/>
          <w:sz w:val="32"/>
          <w:szCs w:val="32"/>
          <w:highlight w:val="none"/>
          <w:lang w:val="en-US" w:eastAsia="zh-CN"/>
        </w:rPr>
        <w:t>13号楼大型修缮337.25万元；三</w:t>
      </w:r>
      <w:r>
        <w:rPr>
          <w:rFonts w:hint="eastAsia" w:eastAsia="仿宋_GB2312" w:cs="仿宋_GB2312"/>
          <w:b/>
          <w:bCs/>
          <w:color w:val="auto"/>
          <w:sz w:val="32"/>
          <w:szCs w:val="32"/>
          <w:highlight w:val="none"/>
          <w:lang w:val="en-US" w:eastAsia="zh-CN"/>
        </w:rPr>
        <w:t>是</w:t>
      </w:r>
      <w:r>
        <w:rPr>
          <w:rFonts w:hint="eastAsia" w:eastAsia="仿宋_GB2312" w:cs="仿宋_GB2312"/>
          <w:color w:val="auto"/>
          <w:sz w:val="32"/>
          <w:szCs w:val="32"/>
          <w:highlight w:val="none"/>
          <w:lang w:val="en-US" w:eastAsia="zh-CN"/>
        </w:rPr>
        <w:t>新购公务用车57.68万；四</w:t>
      </w:r>
      <w:r>
        <w:rPr>
          <w:rFonts w:hint="eastAsia" w:eastAsia="仿宋_GB2312" w:cs="仿宋_GB2312"/>
          <w:b/>
          <w:bCs/>
          <w:color w:val="auto"/>
          <w:sz w:val="32"/>
          <w:szCs w:val="32"/>
          <w:highlight w:val="none"/>
          <w:lang w:val="en-US" w:eastAsia="zh-CN"/>
        </w:rPr>
        <w:t>是</w:t>
      </w:r>
      <w:r>
        <w:rPr>
          <w:rFonts w:hint="eastAsia" w:ascii="仿宋_GB2312" w:eastAsia="仿宋_GB2312" w:cs="仿宋_GB2312"/>
          <w:sz w:val="32"/>
          <w:szCs w:val="32"/>
          <w:lang w:val="en-US" w:eastAsia="zh-CN"/>
        </w:rPr>
        <w:t>国动机动指挥平台建设126.71万元，</w:t>
      </w:r>
      <w:r>
        <w:rPr>
          <w:rFonts w:hint="eastAsia" w:ascii="仿宋_GB2312" w:hAnsi="仿宋_GB2312" w:eastAsia="仿宋_GB2312" w:cs="仿宋_GB2312"/>
          <w:bCs/>
          <w:sz w:val="32"/>
          <w:szCs w:val="32"/>
          <w:lang w:val="en-US" w:eastAsia="zh-CN"/>
        </w:rPr>
        <w:t>2025年我办预算支出无违规记录。</w:t>
      </w:r>
    </w:p>
    <w:p w14:paraId="6583FD9A">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zh-CN" w:eastAsia="zh-CN"/>
        </w:rPr>
        <w:t>202</w:t>
      </w: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lang w:val="zh-CN" w:eastAsia="zh-CN"/>
        </w:rPr>
        <w:t>年绩效目标执行率</w:t>
      </w:r>
      <w:r>
        <w:rPr>
          <w:rFonts w:hint="eastAsia" w:ascii="仿宋_GB2312" w:hAnsi="仿宋_GB2312" w:eastAsia="仿宋_GB2312" w:cs="仿宋_GB2312"/>
          <w:bCs/>
          <w:sz w:val="32"/>
          <w:szCs w:val="32"/>
          <w:lang w:val="en-US" w:eastAsia="zh-CN"/>
        </w:rPr>
        <w:t>均达88</w:t>
      </w:r>
      <w:r>
        <w:rPr>
          <w:rFonts w:hint="eastAsia" w:ascii="仿宋_GB2312" w:hAnsi="仿宋_GB2312" w:eastAsia="仿宋_GB2312" w:cs="仿宋_GB2312"/>
          <w:bCs/>
          <w:sz w:val="32"/>
          <w:szCs w:val="32"/>
          <w:lang w:val="zh-CN" w:eastAsia="zh-CN"/>
        </w:rPr>
        <w:t>%及以上完成度较好，202</w:t>
      </w:r>
      <w:r>
        <w:rPr>
          <w:rFonts w:hint="eastAsia" w:ascii="仿宋_GB2312" w:hAnsi="仿宋_GB2312" w:eastAsia="仿宋_GB2312" w:cs="仿宋_GB2312"/>
          <w:bCs/>
          <w:sz w:val="32"/>
          <w:szCs w:val="32"/>
          <w:lang w:val="en-US" w:eastAsia="zh-CN"/>
        </w:rPr>
        <w:t>5</w:t>
      </w:r>
      <w:r>
        <w:rPr>
          <w:rFonts w:hint="eastAsia" w:ascii="仿宋_GB2312" w:hAnsi="仿宋_GB2312" w:eastAsia="仿宋_GB2312" w:cs="仿宋_GB2312"/>
          <w:bCs/>
          <w:sz w:val="32"/>
          <w:szCs w:val="32"/>
          <w:lang w:val="zh-CN" w:eastAsia="zh-CN"/>
        </w:rPr>
        <w:t>年我单位及时公开部门预算，绩效报告等，对预算编制进一步细化。</w:t>
      </w:r>
    </w:p>
    <w:p w14:paraId="0716AF16">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（二）三公经费执行管理情况。</w:t>
      </w:r>
      <w:r>
        <w:rPr>
          <w:rFonts w:hint="eastAsia" w:ascii="楷体_GB2312" w:hAnsi="楷体_GB2312" w:eastAsia="楷体_GB2312" w:cs="楷体_GB2312"/>
          <w:b w:val="0"/>
          <w:bCs w:val="0"/>
          <w:color w:val="000000"/>
          <w:kern w:val="0"/>
          <w:sz w:val="32"/>
          <w:szCs w:val="32"/>
          <w:lang w:val="zh-CN" w:eastAsia="zh-CN"/>
        </w:rPr>
        <w:tab/>
      </w:r>
    </w:p>
    <w:p w14:paraId="5B3B2C57">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1.因公出国(境)经费</w:t>
      </w:r>
    </w:p>
    <w:p w14:paraId="06D7CF5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val="en-US" w:eastAsia="zh-CN"/>
        </w:rPr>
        <w:t>2025</w:t>
      </w:r>
      <w:r>
        <w:rPr>
          <w:rFonts w:hint="eastAsia" w:ascii="仿宋_GB2312" w:hAnsi="仿宋_GB2312" w:eastAsia="仿宋_GB2312" w:cs="仿宋_GB2312"/>
          <w:bCs/>
          <w:sz w:val="32"/>
          <w:szCs w:val="32"/>
          <w:lang w:eastAsia="zh-CN"/>
        </w:rPr>
        <w:t>年因公出国(境)费</w:t>
      </w:r>
      <w:r>
        <w:rPr>
          <w:rFonts w:hint="eastAsia" w:ascii="仿宋_GB2312" w:hAnsi="仿宋_GB2312" w:eastAsia="仿宋_GB2312" w:cs="仿宋_GB2312"/>
          <w:bCs/>
          <w:sz w:val="32"/>
          <w:szCs w:val="32"/>
          <w:lang w:val="en-US" w:eastAsia="zh-CN"/>
        </w:rPr>
        <w:t>0</w:t>
      </w:r>
      <w:r>
        <w:rPr>
          <w:rFonts w:hint="eastAsia" w:ascii="仿宋_GB2312" w:hAnsi="仿宋_GB2312" w:eastAsia="仿宋_GB2312" w:cs="仿宋_GB2312"/>
          <w:bCs/>
          <w:sz w:val="32"/>
          <w:szCs w:val="32"/>
          <w:lang w:eastAsia="zh-CN"/>
        </w:rPr>
        <w:t xml:space="preserve">元，因公出国(境) </w:t>
      </w:r>
      <w:r>
        <w:rPr>
          <w:rFonts w:hint="eastAsia" w:ascii="仿宋_GB2312" w:hAnsi="仿宋_GB2312" w:eastAsia="仿宋_GB2312" w:cs="仿宋_GB2312"/>
          <w:bCs/>
          <w:sz w:val="32"/>
          <w:szCs w:val="32"/>
          <w:lang w:val="en-US" w:eastAsia="zh-CN"/>
        </w:rPr>
        <w:t>0</w:t>
      </w:r>
      <w:r>
        <w:rPr>
          <w:rFonts w:hint="eastAsia" w:ascii="仿宋_GB2312" w:hAnsi="仿宋_GB2312" w:eastAsia="仿宋_GB2312" w:cs="仿宋_GB2312"/>
          <w:bCs/>
          <w:sz w:val="32"/>
          <w:szCs w:val="32"/>
          <w:lang w:eastAsia="zh-CN"/>
        </w:rPr>
        <w:t>人，与上年减少</w:t>
      </w:r>
      <w:r>
        <w:rPr>
          <w:rFonts w:hint="eastAsia" w:ascii="仿宋_GB2312" w:hAnsi="仿宋_GB2312" w:eastAsia="仿宋_GB2312" w:cs="仿宋_GB2312"/>
          <w:bCs/>
          <w:sz w:val="32"/>
          <w:szCs w:val="32"/>
          <w:lang w:val="en-US" w:eastAsia="zh-CN"/>
        </w:rPr>
        <w:t>9.98万元，减少原因：厉行节约，减少不必要开支</w:t>
      </w:r>
      <w:r>
        <w:rPr>
          <w:rFonts w:hint="eastAsia" w:ascii="仿宋_GB2312" w:hAnsi="仿宋_GB2312" w:eastAsia="仿宋_GB2312" w:cs="仿宋_GB2312"/>
          <w:bCs/>
          <w:sz w:val="32"/>
          <w:szCs w:val="32"/>
          <w:lang w:eastAsia="zh-CN"/>
        </w:rPr>
        <w:t>。</w:t>
      </w:r>
    </w:p>
    <w:p w14:paraId="0371F5B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2.公务接待费</w:t>
      </w:r>
    </w:p>
    <w:p w14:paraId="412242F1">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val="en-US" w:eastAsia="zh-CN"/>
        </w:rPr>
        <w:t>2025</w:t>
      </w:r>
      <w:r>
        <w:rPr>
          <w:rFonts w:hint="eastAsia" w:ascii="仿宋_GB2312" w:hAnsi="仿宋_GB2312" w:eastAsia="仿宋_GB2312" w:cs="仿宋_GB2312"/>
          <w:bCs/>
          <w:sz w:val="32"/>
          <w:szCs w:val="32"/>
          <w:lang w:eastAsia="zh-CN"/>
        </w:rPr>
        <w:t>年公务接待费</w:t>
      </w:r>
      <w:r>
        <w:rPr>
          <w:rFonts w:hint="eastAsia" w:ascii="仿宋_GB2312" w:hAnsi="仿宋_GB2312" w:eastAsia="仿宋_GB2312" w:cs="仿宋_GB2312"/>
          <w:bCs/>
          <w:sz w:val="32"/>
          <w:szCs w:val="32"/>
          <w:lang w:val="en-US" w:eastAsia="zh-CN"/>
        </w:rPr>
        <w:t>0.44万</w:t>
      </w:r>
      <w:r>
        <w:rPr>
          <w:rFonts w:hint="eastAsia" w:ascii="仿宋_GB2312" w:hAnsi="仿宋_GB2312" w:eastAsia="仿宋_GB2312" w:cs="仿宋_GB2312"/>
          <w:bCs/>
          <w:sz w:val="32"/>
          <w:szCs w:val="32"/>
          <w:lang w:eastAsia="zh-CN"/>
        </w:rPr>
        <w:t>元。公务接待费支出决算比</w:t>
      </w:r>
      <w:r>
        <w:rPr>
          <w:rFonts w:hint="eastAsia" w:ascii="仿宋_GB2312" w:hAnsi="仿宋_GB2312" w:eastAsia="仿宋_GB2312" w:cs="仿宋_GB2312"/>
          <w:bCs/>
          <w:sz w:val="32"/>
          <w:szCs w:val="32"/>
          <w:lang w:val="en-US" w:eastAsia="zh-CN"/>
        </w:rPr>
        <w:t>2024</w:t>
      </w:r>
      <w:r>
        <w:rPr>
          <w:rFonts w:hint="eastAsia" w:ascii="仿宋_GB2312" w:hAnsi="仿宋_GB2312" w:eastAsia="仿宋_GB2312" w:cs="仿宋_GB2312"/>
          <w:bCs/>
          <w:sz w:val="32"/>
          <w:szCs w:val="32"/>
          <w:lang w:eastAsia="zh-CN"/>
        </w:rPr>
        <w:t>年决算增加</w:t>
      </w:r>
      <w:r>
        <w:rPr>
          <w:rFonts w:hint="eastAsia" w:ascii="仿宋_GB2312" w:hAnsi="仿宋_GB2312" w:eastAsia="仿宋_GB2312" w:cs="仿宋_GB2312"/>
          <w:bCs/>
          <w:sz w:val="32"/>
          <w:szCs w:val="32"/>
          <w:lang w:val="en-US" w:eastAsia="zh-CN"/>
        </w:rPr>
        <w:t>0.04</w:t>
      </w:r>
      <w:r>
        <w:rPr>
          <w:rFonts w:hint="eastAsia" w:ascii="仿宋_GB2312" w:hAnsi="仿宋_GB2312" w:eastAsia="仿宋_GB2312" w:cs="仿宋_GB2312"/>
          <w:bCs/>
          <w:sz w:val="32"/>
          <w:szCs w:val="32"/>
          <w:lang w:eastAsia="zh-CN"/>
        </w:rPr>
        <w:t>万元。</w:t>
      </w:r>
      <w:r>
        <w:rPr>
          <w:rFonts w:hint="eastAsia" w:ascii="仿宋_GB2312" w:hAnsi="仿宋_GB2312" w:eastAsia="仿宋_GB2312" w:cs="仿宋_GB2312"/>
          <w:bCs/>
          <w:sz w:val="32"/>
          <w:szCs w:val="32"/>
          <w:lang w:val="en-US" w:eastAsia="zh-CN"/>
        </w:rPr>
        <w:t>主要原因为25年增加浙江援建、绵阳援建东西协作干部考察交流。后续年度我们将严格执行“八项规定、六项禁令”，结合年度工作需要，减少不必要的开支，严格审批管理接待费。</w:t>
      </w:r>
    </w:p>
    <w:p w14:paraId="4EDE653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3.公务用车购置及运行维护费</w:t>
      </w:r>
    </w:p>
    <w:p w14:paraId="0B84201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val="en-US" w:eastAsia="zh-CN"/>
        </w:rPr>
        <w:t>2025</w:t>
      </w:r>
      <w:r>
        <w:rPr>
          <w:rFonts w:hint="eastAsia" w:ascii="仿宋_GB2312" w:hAnsi="仿宋_GB2312" w:eastAsia="仿宋_GB2312" w:cs="仿宋_GB2312"/>
          <w:bCs/>
          <w:sz w:val="32"/>
          <w:szCs w:val="32"/>
          <w:lang w:eastAsia="zh-CN"/>
        </w:rPr>
        <w:t>年公务用车购置及运行维护费</w:t>
      </w:r>
      <w:r>
        <w:rPr>
          <w:rFonts w:hint="eastAsia" w:ascii="仿宋_GB2312" w:hAnsi="仿宋_GB2312" w:eastAsia="仿宋_GB2312" w:cs="仿宋_GB2312"/>
          <w:bCs/>
          <w:sz w:val="32"/>
          <w:szCs w:val="32"/>
          <w:lang w:val="en-US" w:eastAsia="zh-CN"/>
        </w:rPr>
        <w:t>218.31万</w:t>
      </w:r>
      <w:r>
        <w:rPr>
          <w:rFonts w:hint="eastAsia" w:ascii="仿宋_GB2312" w:hAnsi="仿宋_GB2312" w:eastAsia="仿宋_GB2312" w:cs="仿宋_GB2312"/>
          <w:bCs/>
          <w:sz w:val="32"/>
          <w:szCs w:val="32"/>
          <w:lang w:eastAsia="zh-CN"/>
        </w:rPr>
        <w:t>元。其中：</w:t>
      </w:r>
    </w:p>
    <w:p w14:paraId="7938BA8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公务用车购置支出</w:t>
      </w:r>
      <w:r>
        <w:rPr>
          <w:rFonts w:hint="eastAsia" w:ascii="仿宋_GB2312" w:hAnsi="仿宋_GB2312" w:eastAsia="仿宋_GB2312" w:cs="仿宋_GB2312"/>
          <w:bCs/>
          <w:sz w:val="32"/>
          <w:szCs w:val="32"/>
          <w:lang w:val="en-US" w:eastAsia="zh-CN"/>
        </w:rPr>
        <w:t>57.68万</w:t>
      </w:r>
      <w:r>
        <w:rPr>
          <w:rFonts w:hint="eastAsia" w:ascii="仿宋_GB2312" w:hAnsi="仿宋_GB2312" w:eastAsia="仿宋_GB2312" w:cs="仿宋_GB2312"/>
          <w:bCs/>
          <w:sz w:val="32"/>
          <w:szCs w:val="32"/>
          <w:lang w:eastAsia="zh-CN"/>
        </w:rPr>
        <w:t>元。</w:t>
      </w:r>
    </w:p>
    <w:p w14:paraId="648DF9B1">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公务用车运行维护费支出</w:t>
      </w:r>
      <w:r>
        <w:rPr>
          <w:rFonts w:hint="eastAsia" w:ascii="仿宋_GB2312" w:hAnsi="仿宋_GB2312" w:eastAsia="仿宋_GB2312" w:cs="仿宋_GB2312"/>
          <w:bCs/>
          <w:sz w:val="32"/>
          <w:szCs w:val="32"/>
          <w:lang w:val="en-US" w:eastAsia="zh-CN"/>
        </w:rPr>
        <w:t>160.63万</w:t>
      </w:r>
      <w:r>
        <w:rPr>
          <w:rFonts w:hint="eastAsia" w:ascii="仿宋_GB2312" w:hAnsi="仿宋_GB2312" w:eastAsia="仿宋_GB2312" w:cs="仿宋_GB2312"/>
          <w:bCs/>
          <w:sz w:val="32"/>
          <w:szCs w:val="32"/>
          <w:lang w:eastAsia="zh-CN"/>
        </w:rPr>
        <w:t>元。主要用于政府机关因公出差、下乡调研等所需的公务用车燃料费、维修费、过路过桥费、保险费等支出。</w:t>
      </w:r>
    </w:p>
    <w:p w14:paraId="2428F60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eastAsia="zh-CN"/>
        </w:rPr>
        <w:t>公务用车购置及运行维护费支出</w:t>
      </w:r>
      <w:r>
        <w:rPr>
          <w:rFonts w:hint="eastAsia" w:ascii="仿宋_GB2312" w:hAnsi="仿宋_GB2312" w:eastAsia="仿宋_GB2312" w:cs="仿宋_GB2312"/>
          <w:bCs/>
          <w:sz w:val="32"/>
          <w:szCs w:val="32"/>
          <w:lang w:val="en-US" w:eastAsia="zh-CN"/>
        </w:rPr>
        <w:t>218.31</w:t>
      </w:r>
      <w:r>
        <w:rPr>
          <w:rFonts w:hint="eastAsia" w:ascii="仿宋_GB2312" w:hAnsi="仿宋_GB2312" w:eastAsia="仿宋_GB2312" w:cs="仿宋_GB2312"/>
          <w:bCs/>
          <w:sz w:val="32"/>
          <w:szCs w:val="32"/>
          <w:lang w:eastAsia="zh-CN"/>
        </w:rPr>
        <w:t>万元,完成预算</w:t>
      </w:r>
      <w:r>
        <w:rPr>
          <w:rFonts w:hint="eastAsia" w:ascii="仿宋_GB2312" w:hAnsi="仿宋_GB2312" w:eastAsia="仿宋_GB2312" w:cs="仿宋_GB2312"/>
          <w:bCs/>
          <w:sz w:val="32"/>
          <w:szCs w:val="32"/>
          <w:lang w:val="en-US" w:eastAsia="zh-CN"/>
        </w:rPr>
        <w:t>100</w:t>
      </w:r>
      <w:r>
        <w:rPr>
          <w:rFonts w:hint="eastAsia" w:ascii="仿宋_GB2312" w:hAnsi="仿宋_GB2312" w:eastAsia="仿宋_GB2312" w:cs="仿宋_GB2312"/>
          <w:bCs/>
          <w:sz w:val="32"/>
          <w:szCs w:val="32"/>
          <w:lang w:eastAsia="zh-CN"/>
        </w:rPr>
        <w:t>%。公务用车购置及运行维护费支出决算比</w:t>
      </w:r>
      <w:r>
        <w:rPr>
          <w:rFonts w:hint="eastAsia" w:ascii="仿宋_GB2312" w:hAnsi="仿宋_GB2312" w:eastAsia="仿宋_GB2312" w:cs="仿宋_GB2312"/>
          <w:bCs/>
          <w:sz w:val="32"/>
          <w:szCs w:val="32"/>
          <w:lang w:val="en-US" w:eastAsia="zh-CN"/>
        </w:rPr>
        <w:t>2024</w:t>
      </w:r>
      <w:r>
        <w:rPr>
          <w:rFonts w:hint="eastAsia" w:ascii="仿宋_GB2312" w:hAnsi="仿宋_GB2312" w:eastAsia="仿宋_GB2312" w:cs="仿宋_GB2312"/>
          <w:bCs/>
          <w:sz w:val="32"/>
          <w:szCs w:val="32"/>
          <w:lang w:eastAsia="zh-CN"/>
        </w:rPr>
        <w:t>年增加</w:t>
      </w:r>
      <w:r>
        <w:rPr>
          <w:rFonts w:hint="eastAsia" w:ascii="仿宋_GB2312" w:hAnsi="仿宋_GB2312" w:eastAsia="仿宋_GB2312" w:cs="仿宋_GB2312"/>
          <w:bCs/>
          <w:sz w:val="32"/>
          <w:szCs w:val="32"/>
          <w:lang w:val="en-US" w:eastAsia="zh-CN"/>
        </w:rPr>
        <w:t>减少5.63</w:t>
      </w:r>
      <w:r>
        <w:rPr>
          <w:rFonts w:hint="eastAsia" w:ascii="仿宋_GB2312" w:hAnsi="仿宋_GB2312" w:eastAsia="仿宋_GB2312" w:cs="仿宋_GB2312"/>
          <w:bCs/>
          <w:sz w:val="32"/>
          <w:szCs w:val="32"/>
          <w:lang w:eastAsia="zh-CN"/>
        </w:rPr>
        <w:t>万元，减少</w:t>
      </w:r>
      <w:r>
        <w:rPr>
          <w:rFonts w:hint="eastAsia" w:ascii="仿宋_GB2312" w:hAnsi="仿宋_GB2312" w:eastAsia="仿宋_GB2312" w:cs="仿宋_GB2312"/>
          <w:bCs/>
          <w:sz w:val="32"/>
          <w:szCs w:val="32"/>
          <w:lang w:val="en-US" w:eastAsia="zh-CN"/>
        </w:rPr>
        <w:t>2.64%</w:t>
      </w:r>
      <w:r>
        <w:rPr>
          <w:rFonts w:hint="eastAsia" w:ascii="仿宋_GB2312" w:hAnsi="仿宋_GB2312" w:eastAsia="仿宋_GB2312" w:cs="仿宋_GB2312"/>
          <w:bCs/>
          <w:sz w:val="32"/>
          <w:szCs w:val="32"/>
          <w:lang w:eastAsia="zh-CN"/>
        </w:rPr>
        <w:t>。主要原因是</w:t>
      </w:r>
      <w:r>
        <w:rPr>
          <w:rFonts w:hint="eastAsia" w:ascii="仿宋_GB2312" w:hAnsi="仿宋_GB2312" w:eastAsia="仿宋_GB2312" w:cs="仿宋_GB2312"/>
          <w:bCs/>
          <w:sz w:val="32"/>
          <w:szCs w:val="32"/>
          <w:lang w:val="en-US" w:eastAsia="zh-CN"/>
        </w:rPr>
        <w:t>厉行节约，减少不必要的开支。</w:t>
      </w:r>
    </w:p>
    <w:p w14:paraId="74D161E9">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（三）综合管理情况。</w:t>
      </w:r>
    </w:p>
    <w:p w14:paraId="57A6F30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en-US" w:eastAsia="zh-CN"/>
        </w:rPr>
        <w:t>根据《会计法》、《新预算法》、《行政事业单位政府会计制度》等法律和财政部及其省财政厅有关财务规章的规定，明确了单位经费审批权限及程序，经费预算、核算管理、资产购置与处置、财务监督等相关规定。按规定对本单位财务信息依法进行公开。</w:t>
      </w:r>
    </w:p>
    <w:p w14:paraId="79A9BA82">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val="en-US" w:eastAsia="zh-CN"/>
        </w:rPr>
        <w:t>1.</w:t>
      </w:r>
      <w:r>
        <w:rPr>
          <w:rFonts w:hint="eastAsia" w:ascii="仿宋_GB2312" w:hAnsi="仿宋_GB2312" w:eastAsia="仿宋_GB2312" w:cs="仿宋_GB2312"/>
          <w:bCs/>
          <w:sz w:val="32"/>
          <w:szCs w:val="32"/>
          <w:lang w:eastAsia="zh-CN"/>
        </w:rPr>
        <w:t>资产管理</w:t>
      </w:r>
    </w:p>
    <w:p w14:paraId="5F22E1EA">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 xml:space="preserve">由于现在的日常工作已逐步普及办公自动化，加快了办公设备淘汰更新，这就需要对固定资产进行年年清查盘点，使固定资产清查工作经常化、常态化，更好的从源头上对单位固定资产进行监控和管理。 </w:t>
      </w:r>
    </w:p>
    <w:p w14:paraId="2B1F146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val="en-US" w:eastAsia="zh-CN"/>
        </w:rPr>
        <w:t>2.</w:t>
      </w:r>
      <w:r>
        <w:rPr>
          <w:rFonts w:hint="eastAsia" w:ascii="仿宋_GB2312" w:hAnsi="仿宋_GB2312" w:eastAsia="仿宋_GB2312" w:cs="仿宋_GB2312"/>
          <w:bCs/>
          <w:sz w:val="32"/>
          <w:szCs w:val="32"/>
          <w:lang w:eastAsia="zh-CN"/>
        </w:rPr>
        <w:t>单位内控管理</w:t>
      </w:r>
    </w:p>
    <w:p w14:paraId="6C60713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在财务管理过程中逐步建立健全财务管理制度、财务核算制度、财务报销制度等，严格按照</w:t>
      </w:r>
      <w:r>
        <w:rPr>
          <w:rFonts w:hint="eastAsia" w:ascii="仿宋_GB2312" w:hAnsi="仿宋_GB2312" w:eastAsia="仿宋_GB2312" w:cs="仿宋_GB2312"/>
          <w:bCs/>
          <w:sz w:val="32"/>
          <w:szCs w:val="32"/>
          <w:lang w:val="en-US" w:eastAsia="zh-CN"/>
        </w:rPr>
        <w:t>《行政事业单位政府会计制度》</w:t>
      </w:r>
      <w:r>
        <w:rPr>
          <w:rFonts w:hint="eastAsia" w:ascii="仿宋_GB2312" w:hAnsi="仿宋_GB2312" w:eastAsia="仿宋_GB2312" w:cs="仿宋_GB2312"/>
          <w:bCs/>
          <w:sz w:val="32"/>
          <w:szCs w:val="32"/>
          <w:lang w:eastAsia="zh-CN"/>
        </w:rPr>
        <w:t>的规定设置会计科目，建立了科学有效的会计核算方式，各项经济活动均真实、合法、准确、及时的反应在会计账目上，建立健全内部控制制度，积极配合财政部门开展预算、决算考评工作。</w:t>
      </w:r>
    </w:p>
    <w:p w14:paraId="493A7690">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val="en-US" w:eastAsia="zh-CN"/>
        </w:rPr>
        <w:t>3.</w:t>
      </w:r>
      <w:r>
        <w:rPr>
          <w:rFonts w:hint="eastAsia" w:ascii="仿宋_GB2312" w:hAnsi="仿宋_GB2312" w:eastAsia="仿宋_GB2312" w:cs="仿宋_GB2312"/>
          <w:bCs/>
          <w:sz w:val="32"/>
          <w:szCs w:val="32"/>
          <w:lang w:eastAsia="zh-CN"/>
        </w:rPr>
        <w:t>部门预算管理</w:t>
      </w:r>
    </w:p>
    <w:p w14:paraId="21C9272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lang w:eastAsia="zh-CN"/>
        </w:rPr>
        <w:t xml:space="preserve">严格按照综合预算原则。统一编制、统一管理、统筹安排资金，将单位所有安排的各项支出纳入综合预算，确保预算全面、真实反映单位实际的收支情况，使所有收支活动纳入预算管理与监督的范围。    </w:t>
      </w:r>
    </w:p>
    <w:p w14:paraId="61F816C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4.</w:t>
      </w:r>
      <w:r>
        <w:rPr>
          <w:rFonts w:hint="eastAsia" w:ascii="仿宋_GB2312" w:hAnsi="仿宋_GB2312" w:eastAsia="仿宋_GB2312" w:cs="仿宋_GB2312"/>
          <w:bCs/>
          <w:sz w:val="32"/>
          <w:szCs w:val="32"/>
          <w:lang w:val="zh-CN" w:eastAsia="zh-CN"/>
        </w:rPr>
        <w:t>绩效管理</w:t>
      </w:r>
    </w:p>
    <w:p w14:paraId="7B842A0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en-US" w:eastAsia="zh-CN"/>
        </w:rPr>
        <w:t>我单位领导高度重视绩效评价工作，成立了绩效评价工作领导小组，采取座谈等方式听取相关情况，检查基本支出、专项办公费、会议费等支出有关账目，收集整理相关资料，并对资料进行分析，形成评价结论。</w:t>
      </w:r>
      <w:r>
        <w:rPr>
          <w:rFonts w:hint="eastAsia" w:ascii="仿宋_GB2312" w:hAnsi="仿宋_GB2312" w:eastAsia="仿宋_GB2312" w:cs="仿宋_GB2312"/>
          <w:bCs/>
          <w:sz w:val="32"/>
          <w:szCs w:val="32"/>
          <w:lang w:val="en-US" w:eastAsia="zh-CN"/>
        </w:rPr>
        <w:br w:type="textWrapping"/>
      </w:r>
      <w:r>
        <w:rPr>
          <w:rFonts w:hint="eastAsia" w:ascii="仿宋_GB2312" w:hAnsi="仿宋_GB2312" w:eastAsia="仿宋_GB2312" w:cs="仿宋_GB2312"/>
          <w:bCs/>
          <w:sz w:val="32"/>
          <w:szCs w:val="32"/>
          <w:lang w:val="en-US" w:eastAsia="zh-CN"/>
        </w:rPr>
        <w:t xml:space="preserve">    （1）部门预算严格按照上级部门预算编制通知和有关要求，结合单位具体工作及县级相关规定编制，按时完成基础、项目报送工作，单位预算按时在红原县门户网站公开。</w:t>
      </w:r>
      <w:r>
        <w:rPr>
          <w:rFonts w:hint="eastAsia" w:ascii="仿宋_GB2312" w:hAnsi="仿宋_GB2312" w:eastAsia="仿宋_GB2312" w:cs="仿宋_GB2312"/>
          <w:bCs/>
          <w:sz w:val="32"/>
          <w:szCs w:val="32"/>
          <w:lang w:val="en-US" w:eastAsia="zh-CN"/>
        </w:rPr>
        <w:br w:type="textWrapping"/>
      </w:r>
      <w:r>
        <w:rPr>
          <w:rFonts w:hint="eastAsia" w:ascii="仿宋_GB2312" w:hAnsi="仿宋_GB2312" w:eastAsia="仿宋_GB2312" w:cs="仿宋_GB2312"/>
          <w:bCs/>
          <w:sz w:val="32"/>
          <w:szCs w:val="32"/>
          <w:lang w:val="en-US" w:eastAsia="zh-CN"/>
        </w:rPr>
        <w:t xml:space="preserve">   （2）严格执行支出预算，“三公经费”本着节约、高效的原则严格控制支出。</w:t>
      </w:r>
      <w:r>
        <w:rPr>
          <w:rFonts w:hint="eastAsia" w:ascii="仿宋_GB2312" w:hAnsi="仿宋_GB2312" w:eastAsia="仿宋_GB2312" w:cs="仿宋_GB2312"/>
          <w:bCs/>
          <w:sz w:val="32"/>
          <w:szCs w:val="32"/>
          <w:lang w:val="en-US" w:eastAsia="zh-CN"/>
        </w:rPr>
        <w:br w:type="textWrapping"/>
      </w:r>
      <w:r>
        <w:rPr>
          <w:rFonts w:hint="eastAsia" w:ascii="仿宋_GB2312" w:hAnsi="仿宋_GB2312" w:eastAsia="仿宋_GB2312" w:cs="仿宋_GB2312"/>
          <w:bCs/>
          <w:sz w:val="32"/>
          <w:szCs w:val="32"/>
          <w:lang w:val="en-US" w:eastAsia="zh-CN"/>
        </w:rPr>
        <w:t xml:space="preserve">   （3）认真开展部门绩效评价工作，绩效评价规章制度逐渐健全;严格按照相关法律、法规进行会计核算，严格资金管理，专款专用，资金拨付严格按相关程序报批后支付。认真开展部门整体绩效评价工作，绩效评价工作正逐步完善。    </w:t>
      </w:r>
    </w:p>
    <w:p w14:paraId="163FDB52">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（四）整体绩效。</w:t>
      </w:r>
    </w:p>
    <w:p w14:paraId="770A405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zh-CN" w:eastAsia="zh-CN"/>
        </w:rPr>
        <w:t>通过整体绩效自评，反映本部门能按照人大相关职责要求有效履行职责，圆满完成了人大各项工作任务，绩效评价结果为优，各级人大代表及相关部门等对县人大办的各项工作满意度较高。</w:t>
      </w:r>
    </w:p>
    <w:p w14:paraId="6E64A130">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（五）结果应用情况</w:t>
      </w:r>
    </w:p>
    <w:p w14:paraId="28C0093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en-US" w:eastAsia="zh-CN"/>
        </w:rPr>
        <w:t>2025年我单位从收支执行，三公经费管理，预算管理，绩效管理等方面进行了详尽</w:t>
      </w:r>
      <w:r>
        <w:rPr>
          <w:rFonts w:hint="eastAsia" w:ascii="仿宋_GB2312" w:hAnsi="仿宋_GB2312" w:eastAsia="仿宋_GB2312" w:cs="仿宋_GB2312"/>
          <w:bCs/>
          <w:sz w:val="32"/>
          <w:szCs w:val="32"/>
          <w:lang w:val="zh-CN" w:eastAsia="zh-CN"/>
        </w:rPr>
        <w:t>部门自评、</w:t>
      </w:r>
      <w:r>
        <w:rPr>
          <w:rFonts w:hint="eastAsia" w:ascii="仿宋_GB2312" w:hAnsi="仿宋_GB2312" w:eastAsia="仿宋_GB2312" w:cs="仿宋_GB2312"/>
          <w:bCs/>
          <w:sz w:val="32"/>
          <w:szCs w:val="32"/>
          <w:lang w:val="en-US" w:eastAsia="zh-CN"/>
        </w:rPr>
        <w:t>2025年预算绩效目标，项目预算绩效目标等均进行了公开，评价结果较好，对部门预算编制不够精准细化的问题将在后续工作中将逐步改进。</w:t>
      </w:r>
    </w:p>
    <w:p w14:paraId="349D257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黑体" w:hAnsi="黑体" w:eastAsia="黑体" w:cs="黑体"/>
          <w:bCs/>
          <w:sz w:val="32"/>
          <w:szCs w:val="32"/>
          <w:lang w:eastAsia="zh-CN"/>
        </w:rPr>
      </w:pPr>
      <w:r>
        <w:rPr>
          <w:rFonts w:hint="eastAsia" w:ascii="黑体" w:hAnsi="黑体" w:eastAsia="黑体" w:cs="黑体"/>
          <w:bCs/>
          <w:sz w:val="32"/>
          <w:szCs w:val="32"/>
          <w:lang w:eastAsia="zh-CN"/>
        </w:rPr>
        <w:t>四、评价结论及建议</w:t>
      </w:r>
    </w:p>
    <w:p w14:paraId="23820F73">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（一）评价结论。</w:t>
      </w:r>
    </w:p>
    <w:p w14:paraId="6952E910">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en-US" w:eastAsia="zh-CN"/>
        </w:rPr>
        <w:t>根据《红原县部门支出绩效评价指标体系》自查得分86分，总体评价较好。</w:t>
      </w:r>
    </w:p>
    <w:p w14:paraId="3B09E218">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eastAsia" w:ascii="楷体_GB2312" w:hAnsi="楷体_GB2312" w:eastAsia="楷体_GB2312" w:cs="楷体_GB2312"/>
          <w:b w:val="0"/>
          <w:bCs w:val="0"/>
          <w:color w:val="000000"/>
          <w:kern w:val="0"/>
          <w:sz w:val="32"/>
          <w:szCs w:val="32"/>
          <w:lang w:val="zh-CN" w:eastAsia="zh-CN"/>
        </w:rPr>
      </w:pPr>
      <w:r>
        <w:rPr>
          <w:rFonts w:hint="eastAsia" w:ascii="楷体_GB2312" w:hAnsi="楷体_GB2312" w:eastAsia="楷体_GB2312" w:cs="楷体_GB2312"/>
          <w:b w:val="0"/>
          <w:bCs w:val="0"/>
          <w:color w:val="000000"/>
          <w:kern w:val="0"/>
          <w:sz w:val="32"/>
          <w:szCs w:val="32"/>
          <w:lang w:val="zh-CN" w:eastAsia="zh-CN"/>
        </w:rPr>
        <w:t>（二）存在问题。</w:t>
      </w:r>
    </w:p>
    <w:p w14:paraId="6C0CB16A">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en-US" w:eastAsia="zh-CN"/>
        </w:rPr>
        <w:t>由于财政支出的多样性和复杂性，绩效评价指标体系设置难度大，即使可以量化，但实际操作中很多项目间缺乏可比性且指标本身也在逐步变化，需要逐步完善。</w:t>
      </w:r>
      <w:r>
        <w:rPr>
          <w:rFonts w:hint="eastAsia" w:ascii="仿宋_GB2312" w:hAnsi="仿宋_GB2312" w:eastAsia="仿宋_GB2312" w:cs="仿宋_GB2312"/>
          <w:bCs/>
          <w:sz w:val="32"/>
          <w:szCs w:val="32"/>
          <w:lang w:val="en-US" w:eastAsia="zh-CN"/>
        </w:rPr>
        <w:br w:type="textWrapping"/>
      </w:r>
      <w:r>
        <w:rPr>
          <w:rFonts w:hint="eastAsia" w:ascii="仿宋_GB2312" w:hAnsi="仿宋_GB2312" w:eastAsia="仿宋_GB2312" w:cs="仿宋_GB2312"/>
          <w:bCs/>
          <w:sz w:val="32"/>
          <w:szCs w:val="32"/>
          <w:lang w:val="en-US" w:eastAsia="zh-CN"/>
        </w:rPr>
        <w:t xml:space="preserve">   存在的问题:在平时工作推进过程中，还应加强绩效管理，进一步细化管理，预算编制还需更加精准。</w:t>
      </w:r>
    </w:p>
    <w:p w14:paraId="010F45C5">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zh-CN" w:eastAsia="zh-CN"/>
        </w:rPr>
        <w:t>改进建议。</w:t>
      </w:r>
    </w:p>
    <w:p w14:paraId="534DF0B2">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1.通过各种途径加强绩效管理学习，科学合理编制预算，严格执行预算。</w:t>
      </w:r>
    </w:p>
    <w:p w14:paraId="3944BCD1">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2.规范账务处理，提高财务信息质量。</w:t>
      </w:r>
    </w:p>
    <w:p w14:paraId="4E1E319B">
      <w:pPr>
        <w:widowControl/>
        <w:jc w:val="left"/>
        <w:rPr>
          <w:rStyle w:val="33"/>
          <w:rFonts w:ascii="黑体" w:eastAsia="黑体"/>
          <w:b w:val="0"/>
        </w:rPr>
      </w:pPr>
      <w:r>
        <w:rPr>
          <w:rStyle w:val="33"/>
          <w:rFonts w:ascii="黑体" w:eastAsia="黑体"/>
          <w:b w:val="0"/>
        </w:rPr>
        <w:br w:type="page"/>
      </w:r>
    </w:p>
    <w:p w14:paraId="618B88FB">
      <w:pPr>
        <w:keepNext w:val="0"/>
        <w:keepLines w:val="0"/>
        <w:pageBreakBefore w:val="0"/>
        <w:widowControl/>
        <w:kinsoku/>
        <w:wordWrap/>
        <w:overflowPunct/>
        <w:topLinePunct w:val="0"/>
        <w:autoSpaceDE/>
        <w:autoSpaceDN/>
        <w:bidi w:val="0"/>
        <w:spacing w:line="576" w:lineRule="exact"/>
        <w:contextualSpacing/>
        <w:jc w:val="center"/>
        <w:textAlignment w:val="auto"/>
        <w:rPr>
          <w:rFonts w:hint="default" w:ascii="Times New Roman" w:hAnsi="Times New Roman" w:eastAsia="方正小标宋_GBK" w:cs="Times New Roman"/>
          <w:bCs/>
          <w:sz w:val="44"/>
          <w:szCs w:val="44"/>
          <w:shd w:val="clear" w:color="auto" w:fill="FFFFFF"/>
        </w:rPr>
      </w:pPr>
      <w:r>
        <w:rPr>
          <w:rFonts w:hint="default" w:ascii="Times New Roman" w:hAnsi="Times New Roman" w:eastAsia="方正小标宋_GBK" w:cs="Times New Roman"/>
          <w:bCs/>
          <w:sz w:val="44"/>
          <w:szCs w:val="44"/>
          <w:shd w:val="clear" w:color="auto" w:fill="FFFFFF"/>
        </w:rPr>
        <w:t>红原县人民政府办公室</w:t>
      </w:r>
    </w:p>
    <w:p w14:paraId="006114E5">
      <w:pPr>
        <w:keepNext w:val="0"/>
        <w:keepLines w:val="0"/>
        <w:pageBreakBefore w:val="0"/>
        <w:widowControl/>
        <w:kinsoku/>
        <w:wordWrap/>
        <w:overflowPunct/>
        <w:topLinePunct w:val="0"/>
        <w:autoSpaceDE/>
        <w:autoSpaceDN/>
        <w:bidi w:val="0"/>
        <w:spacing w:line="576" w:lineRule="exact"/>
        <w:contextualSpacing/>
        <w:jc w:val="center"/>
        <w:textAlignment w:val="auto"/>
        <w:rPr>
          <w:rFonts w:hint="default" w:ascii="Times New Roman" w:hAnsi="Times New Roman" w:eastAsia="方正小标宋_GBK" w:cs="Times New Roman"/>
          <w:bCs/>
          <w:sz w:val="44"/>
          <w:szCs w:val="44"/>
          <w:shd w:val="clear" w:color="auto" w:fill="FFFFFF"/>
        </w:rPr>
      </w:pPr>
      <w:r>
        <w:rPr>
          <w:rFonts w:hint="default" w:ascii="Times New Roman" w:hAnsi="Times New Roman" w:eastAsia="方正小标宋_GBK" w:cs="Times New Roman"/>
          <w:bCs/>
          <w:sz w:val="44"/>
          <w:szCs w:val="44"/>
          <w:shd w:val="clear" w:color="auto" w:fill="FFFFFF"/>
        </w:rPr>
        <w:t>202</w:t>
      </w:r>
      <w:r>
        <w:rPr>
          <w:rFonts w:hint="eastAsia" w:eastAsia="方正小标宋_GBK" w:cs="Times New Roman"/>
          <w:bCs/>
          <w:sz w:val="44"/>
          <w:szCs w:val="44"/>
          <w:shd w:val="clear" w:color="auto" w:fill="FFFFFF"/>
          <w:lang w:val="en-US" w:eastAsia="zh-CN"/>
        </w:rPr>
        <w:t>5</w:t>
      </w:r>
      <w:r>
        <w:rPr>
          <w:rFonts w:hint="default" w:ascii="Times New Roman" w:hAnsi="Times New Roman" w:eastAsia="方正小标宋_GBK" w:cs="Times New Roman"/>
          <w:bCs/>
          <w:sz w:val="44"/>
          <w:szCs w:val="44"/>
          <w:shd w:val="clear" w:color="auto" w:fill="FFFFFF"/>
        </w:rPr>
        <w:t>年度部门</w:t>
      </w:r>
      <w:r>
        <w:rPr>
          <w:rFonts w:hint="eastAsia" w:eastAsia="方正小标宋_GBK" w:cs="Times New Roman"/>
          <w:bCs/>
          <w:sz w:val="44"/>
          <w:szCs w:val="44"/>
          <w:shd w:val="clear" w:color="auto" w:fill="FFFFFF"/>
          <w:lang w:eastAsia="zh-CN"/>
        </w:rPr>
        <w:t>预算绩效</w:t>
      </w:r>
      <w:r>
        <w:rPr>
          <w:rFonts w:hint="default" w:ascii="Times New Roman" w:hAnsi="Times New Roman" w:eastAsia="方正小标宋_GBK" w:cs="Times New Roman"/>
          <w:bCs/>
          <w:sz w:val="44"/>
          <w:szCs w:val="44"/>
          <w:shd w:val="clear" w:color="auto" w:fill="FFFFFF"/>
        </w:rPr>
        <w:t>自评报告</w:t>
      </w:r>
    </w:p>
    <w:p w14:paraId="5FD97C16">
      <w:pPr>
        <w:keepNext w:val="0"/>
        <w:keepLines w:val="0"/>
        <w:pageBreakBefore w:val="0"/>
        <w:widowControl/>
        <w:kinsoku/>
        <w:wordWrap/>
        <w:overflowPunct/>
        <w:topLinePunct w:val="0"/>
        <w:autoSpaceDE/>
        <w:autoSpaceDN/>
        <w:bidi w:val="0"/>
        <w:adjustRightInd w:val="0"/>
        <w:snapToGrid w:val="0"/>
        <w:spacing w:line="576" w:lineRule="exact"/>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14:paraId="4E1A25F5">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jc w:val="left"/>
        <w:textAlignment w:val="auto"/>
        <w:rPr>
          <w:rFonts w:hint="default" w:ascii="仿宋_GB2312" w:hAnsi="仿宋_GB2312" w:eastAsia="仿宋_GB2312" w:cs="仿宋_GB2312"/>
          <w:b/>
          <w:bCs w:val="0"/>
          <w:sz w:val="32"/>
          <w:szCs w:val="32"/>
          <w:lang w:val="en-US" w:eastAsia="zh-CN"/>
        </w:rPr>
      </w:pPr>
      <w:r>
        <w:rPr>
          <w:rFonts w:hint="default" w:ascii="仿宋_GB2312" w:hAnsi="仿宋_GB2312" w:eastAsia="仿宋_GB2312" w:cs="仿宋_GB2312"/>
          <w:b/>
          <w:bCs w:val="0"/>
          <w:sz w:val="32"/>
          <w:szCs w:val="32"/>
          <w:lang w:val="zh-CN" w:eastAsia="zh-CN"/>
        </w:rPr>
        <w:t>一、部门（单位）基本情况</w:t>
      </w:r>
    </w:p>
    <w:p w14:paraId="62246DC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zh-CN" w:eastAsia="zh-CN"/>
        </w:rPr>
        <w:t>（一）机构组成。</w:t>
      </w:r>
      <w:r>
        <w:rPr>
          <w:rFonts w:hint="default" w:ascii="仿宋_GB2312" w:hAnsi="仿宋_GB2312" w:eastAsia="仿宋_GB2312" w:cs="仿宋_GB2312"/>
          <w:bCs/>
          <w:sz w:val="32"/>
          <w:szCs w:val="32"/>
          <w:lang w:val="en-US" w:eastAsia="zh-CN"/>
        </w:rPr>
        <w:t>我单位为独立核算全额拨款行政单位，下属四个事业机构分别是：红原县国防动员事务中心、政府办公室信息公开工作中心、机关事务管理局、政府总值班室。</w:t>
      </w:r>
    </w:p>
    <w:p w14:paraId="0286635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（二）机构职能。</w:t>
      </w:r>
      <w:r>
        <w:rPr>
          <w:rFonts w:hint="default" w:ascii="仿宋_GB2312" w:hAnsi="仿宋_GB2312" w:eastAsia="仿宋_GB2312" w:cs="仿宋_GB2312"/>
          <w:bCs/>
          <w:sz w:val="32"/>
          <w:szCs w:val="32"/>
          <w:lang w:val="en-US" w:eastAsia="zh-CN"/>
        </w:rPr>
        <w:t>红原县人民政府办公室是政府的办事机构，主要负责政府日常文书的处理，中央、省委、州委和县委重要部署贯彻落实的督促检查，上级领导同志指示的转达和催办落实；围绕中央、省委、州委和政府工作部分收集信息、反映动态、综合调研；负责政府各种会议的会务工作和县政府领导同志参加重大活动的组织安排；负责对本地区带全局性、战略性的重大问题进行调查研究，为政府指导工作提出意见和建议；负责政府的行政后勤保障工作；负责全县政府系列外网的规划、建设、管理、运行、维护、使用工作。完成政府和政府领导交办的其他工作。</w:t>
      </w:r>
    </w:p>
    <w:p w14:paraId="6ED06D7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zh-CN" w:eastAsia="zh-CN"/>
        </w:rPr>
        <w:t>（三）人员概况。</w:t>
      </w:r>
      <w:r>
        <w:rPr>
          <w:rFonts w:hint="default" w:ascii="仿宋_GB2312" w:hAnsi="仿宋_GB2312" w:eastAsia="仿宋_GB2312" w:cs="仿宋_GB2312"/>
          <w:bCs/>
          <w:sz w:val="32"/>
          <w:szCs w:val="32"/>
          <w:lang w:val="en-US" w:eastAsia="zh-CN"/>
        </w:rPr>
        <w:t>截止202</w:t>
      </w:r>
      <w:r>
        <w:rPr>
          <w:rFonts w:hint="eastAsia" w:ascii="仿宋_GB2312" w:hAnsi="仿宋_GB2312" w:eastAsia="仿宋_GB2312" w:cs="仿宋_GB2312"/>
          <w:bCs/>
          <w:sz w:val="32"/>
          <w:szCs w:val="32"/>
          <w:lang w:val="en-US" w:eastAsia="zh-CN"/>
        </w:rPr>
        <w:t>5</w:t>
      </w:r>
      <w:r>
        <w:rPr>
          <w:rFonts w:hint="default" w:ascii="仿宋_GB2312" w:hAnsi="仿宋_GB2312" w:eastAsia="仿宋_GB2312" w:cs="仿宋_GB2312"/>
          <w:bCs/>
          <w:sz w:val="32"/>
          <w:szCs w:val="32"/>
          <w:lang w:val="en-US" w:eastAsia="zh-CN"/>
        </w:rPr>
        <w:t>年末，政府办共有编制</w:t>
      </w:r>
      <w:r>
        <w:rPr>
          <w:rFonts w:hint="eastAsia" w:ascii="仿宋_GB2312" w:hAnsi="仿宋_GB2312" w:eastAsia="仿宋_GB2312" w:cs="仿宋_GB2312"/>
          <w:bCs/>
          <w:sz w:val="32"/>
          <w:szCs w:val="32"/>
          <w:lang w:val="en-US" w:eastAsia="zh-CN"/>
        </w:rPr>
        <w:t>39</w:t>
      </w:r>
      <w:r>
        <w:rPr>
          <w:rFonts w:hint="default" w:ascii="仿宋_GB2312" w:hAnsi="仿宋_GB2312" w:eastAsia="仿宋_GB2312" w:cs="仿宋_GB2312"/>
          <w:bCs/>
          <w:sz w:val="32"/>
          <w:szCs w:val="32"/>
          <w:lang w:val="en-US" w:eastAsia="zh-CN"/>
        </w:rPr>
        <w:t>个，其中公务员编制24个，行政工勤编制11个，事业编制14个，年末实有人数</w:t>
      </w:r>
      <w:r>
        <w:rPr>
          <w:rFonts w:hint="eastAsia" w:ascii="仿宋_GB2312" w:hAnsi="仿宋_GB2312" w:eastAsia="仿宋_GB2312" w:cs="仿宋_GB2312"/>
          <w:bCs/>
          <w:sz w:val="32"/>
          <w:szCs w:val="32"/>
          <w:lang w:val="en-US" w:eastAsia="zh-CN"/>
        </w:rPr>
        <w:t>39</w:t>
      </w:r>
      <w:r>
        <w:rPr>
          <w:rFonts w:hint="default" w:ascii="仿宋_GB2312" w:hAnsi="仿宋_GB2312" w:eastAsia="仿宋_GB2312" w:cs="仿宋_GB2312"/>
          <w:bCs/>
          <w:sz w:val="32"/>
          <w:szCs w:val="32"/>
          <w:lang w:val="en-US" w:eastAsia="zh-CN"/>
        </w:rPr>
        <w:t>人，公务员20人，行政工勤人员10人，事业</w:t>
      </w:r>
      <w:r>
        <w:rPr>
          <w:rFonts w:hint="eastAsia" w:ascii="仿宋_GB2312" w:hAnsi="仿宋_GB2312" w:eastAsia="仿宋_GB2312" w:cs="仿宋_GB2312"/>
          <w:bCs/>
          <w:sz w:val="32"/>
          <w:szCs w:val="32"/>
          <w:lang w:val="en-US" w:eastAsia="zh-CN"/>
        </w:rPr>
        <w:t>9</w:t>
      </w:r>
      <w:r>
        <w:rPr>
          <w:rFonts w:hint="default" w:ascii="仿宋_GB2312" w:hAnsi="仿宋_GB2312" w:eastAsia="仿宋_GB2312" w:cs="仿宋_GB2312"/>
          <w:bCs/>
          <w:sz w:val="32"/>
          <w:szCs w:val="32"/>
          <w:lang w:val="en-US" w:eastAsia="zh-CN"/>
        </w:rPr>
        <w:t>人。</w:t>
      </w:r>
    </w:p>
    <w:p w14:paraId="7DEBB31A">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jc w:val="left"/>
        <w:textAlignment w:val="auto"/>
        <w:rPr>
          <w:rFonts w:hint="default" w:ascii="仿宋_GB2312" w:hAnsi="仿宋_GB2312" w:eastAsia="仿宋_GB2312" w:cs="仿宋_GB2312"/>
          <w:b/>
          <w:bCs w:val="0"/>
          <w:sz w:val="32"/>
          <w:szCs w:val="32"/>
          <w:lang w:val="en-US" w:eastAsia="zh-CN"/>
        </w:rPr>
      </w:pPr>
      <w:r>
        <w:rPr>
          <w:rFonts w:hint="default" w:ascii="仿宋_GB2312" w:hAnsi="仿宋_GB2312" w:eastAsia="仿宋_GB2312" w:cs="仿宋_GB2312"/>
          <w:b/>
          <w:bCs w:val="0"/>
          <w:sz w:val="32"/>
          <w:szCs w:val="32"/>
          <w:lang w:val="en-US" w:eastAsia="zh-CN"/>
        </w:rPr>
        <w:t>二、部门资金收支情况</w:t>
      </w:r>
    </w:p>
    <w:p w14:paraId="54B090C0">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zh-CN" w:eastAsia="zh-CN"/>
        </w:rPr>
        <w:t>（一）收入情况。</w:t>
      </w:r>
      <w:r>
        <w:rPr>
          <w:rFonts w:hint="default" w:ascii="仿宋_GB2312" w:hAnsi="仿宋_GB2312" w:eastAsia="仿宋_GB2312" w:cs="仿宋_GB2312"/>
          <w:bCs/>
          <w:sz w:val="32"/>
          <w:szCs w:val="32"/>
          <w:lang w:val="en-US" w:eastAsia="zh-CN"/>
        </w:rPr>
        <w:t>202</w:t>
      </w:r>
      <w:r>
        <w:rPr>
          <w:rFonts w:hint="eastAsia" w:ascii="仿宋_GB2312" w:hAnsi="仿宋_GB2312" w:eastAsia="仿宋_GB2312" w:cs="仿宋_GB2312"/>
          <w:bCs/>
          <w:sz w:val="32"/>
          <w:szCs w:val="32"/>
          <w:lang w:val="en-US" w:eastAsia="zh-CN"/>
        </w:rPr>
        <w:t>5</w:t>
      </w:r>
      <w:r>
        <w:rPr>
          <w:rFonts w:hint="default" w:ascii="仿宋_GB2312" w:hAnsi="仿宋_GB2312" w:eastAsia="仿宋_GB2312" w:cs="仿宋_GB2312"/>
          <w:bCs/>
          <w:sz w:val="32"/>
          <w:szCs w:val="32"/>
          <w:lang w:val="en-US" w:eastAsia="zh-CN"/>
        </w:rPr>
        <w:t>年政府办公室本年收入合计</w:t>
      </w:r>
      <w:r>
        <w:rPr>
          <w:rFonts w:hint="eastAsia" w:ascii="仿宋_GB2312" w:hAnsi="仿宋_GB2312" w:eastAsia="仿宋_GB2312" w:cs="仿宋_GB2312"/>
          <w:bCs/>
          <w:sz w:val="32"/>
          <w:szCs w:val="32"/>
          <w:lang w:val="en-US" w:eastAsia="zh-CN"/>
        </w:rPr>
        <w:t>1980.1万</w:t>
      </w:r>
      <w:r>
        <w:rPr>
          <w:rFonts w:hint="default" w:ascii="仿宋_GB2312" w:hAnsi="仿宋_GB2312" w:eastAsia="仿宋_GB2312" w:cs="仿宋_GB2312"/>
          <w:bCs/>
          <w:sz w:val="32"/>
          <w:szCs w:val="32"/>
          <w:lang w:val="en-US" w:eastAsia="zh-CN"/>
        </w:rPr>
        <w:t>元，其中：一般公共预算财政拨款收入</w:t>
      </w:r>
      <w:r>
        <w:rPr>
          <w:rFonts w:hint="eastAsia" w:ascii="仿宋_GB2312" w:hAnsi="仿宋_GB2312" w:eastAsia="仿宋_GB2312" w:cs="仿宋_GB2312"/>
          <w:bCs/>
          <w:sz w:val="32"/>
          <w:szCs w:val="32"/>
          <w:lang w:val="en-US" w:eastAsia="zh-CN"/>
        </w:rPr>
        <w:t>1980.1万</w:t>
      </w:r>
      <w:r>
        <w:rPr>
          <w:rFonts w:hint="default" w:ascii="仿宋_GB2312" w:hAnsi="仿宋_GB2312" w:eastAsia="仿宋_GB2312" w:cs="仿宋_GB2312"/>
          <w:bCs/>
          <w:sz w:val="32"/>
          <w:szCs w:val="32"/>
          <w:lang w:val="en-US" w:eastAsia="zh-CN"/>
        </w:rPr>
        <w:t>元。</w:t>
      </w:r>
    </w:p>
    <w:p w14:paraId="3055967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zh-CN" w:eastAsia="zh-CN"/>
        </w:rPr>
        <w:t>（</w:t>
      </w:r>
      <w:r>
        <w:rPr>
          <w:rFonts w:hint="eastAsia" w:ascii="仿宋_GB2312" w:hAnsi="仿宋_GB2312" w:eastAsia="仿宋_GB2312" w:cs="仿宋_GB2312"/>
          <w:bCs/>
          <w:sz w:val="32"/>
          <w:szCs w:val="32"/>
          <w:lang w:val="en-US" w:eastAsia="zh-CN"/>
        </w:rPr>
        <w:t>二</w:t>
      </w:r>
      <w:r>
        <w:rPr>
          <w:rFonts w:hint="default" w:ascii="仿宋_GB2312" w:hAnsi="仿宋_GB2312" w:eastAsia="仿宋_GB2312" w:cs="仿宋_GB2312"/>
          <w:bCs/>
          <w:sz w:val="32"/>
          <w:szCs w:val="32"/>
          <w:lang w:val="zh-CN" w:eastAsia="zh-CN"/>
        </w:rPr>
        <w:t>）支出情况。</w:t>
      </w:r>
      <w:r>
        <w:rPr>
          <w:rFonts w:hint="default" w:ascii="仿宋_GB2312" w:hAnsi="仿宋_GB2312" w:eastAsia="仿宋_GB2312" w:cs="仿宋_GB2312"/>
          <w:bCs/>
          <w:sz w:val="32"/>
          <w:szCs w:val="32"/>
          <w:lang w:val="en-US" w:eastAsia="zh-CN"/>
        </w:rPr>
        <w:t>202</w:t>
      </w:r>
      <w:r>
        <w:rPr>
          <w:rFonts w:hint="eastAsia" w:ascii="仿宋_GB2312" w:hAnsi="仿宋_GB2312" w:eastAsia="仿宋_GB2312" w:cs="仿宋_GB2312"/>
          <w:bCs/>
          <w:sz w:val="32"/>
          <w:szCs w:val="32"/>
          <w:lang w:val="en-US" w:eastAsia="zh-CN"/>
        </w:rPr>
        <w:t>5</w:t>
      </w:r>
      <w:r>
        <w:rPr>
          <w:rFonts w:hint="default" w:ascii="仿宋_GB2312" w:hAnsi="仿宋_GB2312" w:eastAsia="仿宋_GB2312" w:cs="仿宋_GB2312"/>
          <w:bCs/>
          <w:sz w:val="32"/>
          <w:szCs w:val="32"/>
          <w:lang w:val="en-US" w:eastAsia="zh-CN"/>
        </w:rPr>
        <w:t>年政府办公室本年支出合计</w:t>
      </w:r>
      <w:r>
        <w:rPr>
          <w:rFonts w:hint="eastAsia" w:ascii="仿宋_GB2312" w:hAnsi="仿宋_GB2312" w:eastAsia="仿宋_GB2312" w:cs="仿宋_GB2312"/>
          <w:bCs/>
          <w:sz w:val="32"/>
          <w:szCs w:val="32"/>
          <w:lang w:val="en-US" w:eastAsia="zh-CN"/>
        </w:rPr>
        <w:t>1980.1万</w:t>
      </w:r>
      <w:r>
        <w:rPr>
          <w:rFonts w:hint="default" w:ascii="仿宋_GB2312" w:hAnsi="仿宋_GB2312" w:eastAsia="仿宋_GB2312" w:cs="仿宋_GB2312"/>
          <w:bCs/>
          <w:sz w:val="32"/>
          <w:szCs w:val="32"/>
          <w:lang w:val="en-US" w:eastAsia="zh-CN"/>
        </w:rPr>
        <w:t>元，其中：一般公共服务支出</w:t>
      </w:r>
      <w:r>
        <w:rPr>
          <w:rFonts w:hint="eastAsia" w:ascii="仿宋_GB2312" w:hAnsi="仿宋_GB2312" w:eastAsia="仿宋_GB2312" w:cs="仿宋_GB2312"/>
          <w:bCs/>
          <w:sz w:val="32"/>
          <w:szCs w:val="32"/>
          <w:lang w:val="en-US" w:eastAsia="zh-CN"/>
        </w:rPr>
        <w:t>1774.46</w:t>
      </w:r>
      <w:r>
        <w:rPr>
          <w:rFonts w:hint="default" w:ascii="仿宋_GB2312" w:hAnsi="仿宋_GB2312" w:eastAsia="仿宋_GB2312" w:cs="仿宋_GB2312"/>
          <w:bCs/>
          <w:sz w:val="32"/>
          <w:szCs w:val="32"/>
          <w:lang w:val="en-US" w:eastAsia="zh-CN"/>
        </w:rPr>
        <w:t>元、</w:t>
      </w:r>
      <w:r>
        <w:rPr>
          <w:rFonts w:hint="eastAsia" w:ascii="仿宋_GB2312" w:hAnsi="仿宋_GB2312" w:eastAsia="仿宋_GB2312" w:cs="仿宋_GB2312"/>
          <w:bCs/>
          <w:sz w:val="32"/>
          <w:szCs w:val="32"/>
          <w:lang w:val="en-US" w:eastAsia="zh-CN"/>
        </w:rPr>
        <w:t>国防支出129.17万元、</w:t>
      </w:r>
      <w:r>
        <w:rPr>
          <w:rFonts w:hint="default" w:ascii="仿宋_GB2312" w:hAnsi="仿宋_GB2312" w:eastAsia="仿宋_GB2312" w:cs="仿宋_GB2312"/>
          <w:bCs/>
          <w:sz w:val="32"/>
          <w:szCs w:val="32"/>
          <w:lang w:val="en-US" w:eastAsia="zh-CN"/>
        </w:rPr>
        <w:t>社会保障和就业支出</w:t>
      </w:r>
      <w:r>
        <w:rPr>
          <w:rFonts w:hint="eastAsia" w:ascii="仿宋_GB2312" w:hAnsi="仿宋_GB2312" w:eastAsia="仿宋_GB2312" w:cs="仿宋_GB2312"/>
          <w:bCs/>
          <w:sz w:val="32"/>
          <w:szCs w:val="32"/>
          <w:lang w:val="en-US" w:eastAsia="zh-CN"/>
        </w:rPr>
        <w:t>153.91</w:t>
      </w:r>
      <w:r>
        <w:rPr>
          <w:rFonts w:hint="default" w:ascii="仿宋_GB2312" w:hAnsi="仿宋_GB2312" w:eastAsia="仿宋_GB2312" w:cs="仿宋_GB2312"/>
          <w:bCs/>
          <w:sz w:val="32"/>
          <w:szCs w:val="32"/>
          <w:lang w:val="en-US" w:eastAsia="zh-CN"/>
        </w:rPr>
        <w:t>元、卫生健康支出</w:t>
      </w:r>
      <w:r>
        <w:rPr>
          <w:rFonts w:hint="eastAsia" w:ascii="仿宋_GB2312" w:hAnsi="仿宋_GB2312" w:eastAsia="仿宋_GB2312" w:cs="仿宋_GB2312"/>
          <w:bCs/>
          <w:sz w:val="32"/>
          <w:szCs w:val="32"/>
          <w:lang w:val="en-US" w:eastAsia="zh-CN"/>
        </w:rPr>
        <w:t>55.9</w:t>
      </w:r>
      <w:r>
        <w:rPr>
          <w:rFonts w:hint="default" w:ascii="仿宋_GB2312" w:hAnsi="仿宋_GB2312" w:eastAsia="仿宋_GB2312" w:cs="仿宋_GB2312"/>
          <w:bCs/>
          <w:sz w:val="32"/>
          <w:szCs w:val="32"/>
          <w:lang w:val="en-US" w:eastAsia="zh-CN"/>
        </w:rPr>
        <w:t>元、住房保障支出</w:t>
      </w:r>
      <w:r>
        <w:rPr>
          <w:rFonts w:hint="eastAsia" w:ascii="仿宋_GB2312" w:hAnsi="仿宋_GB2312" w:eastAsia="仿宋_GB2312" w:cs="仿宋_GB2312"/>
          <w:bCs/>
          <w:sz w:val="32"/>
          <w:szCs w:val="32"/>
          <w:lang w:val="en-US" w:eastAsia="zh-CN"/>
        </w:rPr>
        <w:t>81.88</w:t>
      </w:r>
      <w:r>
        <w:rPr>
          <w:rFonts w:hint="default" w:ascii="仿宋_GB2312" w:hAnsi="仿宋_GB2312" w:eastAsia="仿宋_GB2312" w:cs="仿宋_GB2312"/>
          <w:bCs/>
          <w:sz w:val="32"/>
          <w:szCs w:val="32"/>
          <w:lang w:val="en-US" w:eastAsia="zh-CN"/>
        </w:rPr>
        <w:t>元。</w:t>
      </w:r>
    </w:p>
    <w:p w14:paraId="73C04C25">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en-US" w:eastAsia="zh-CN"/>
        </w:rPr>
        <w:t>整体支出主要完成任务在两个方面：一是保障单位基本正常运转，其中工资福利支出</w:t>
      </w:r>
      <w:r>
        <w:rPr>
          <w:rFonts w:hint="eastAsia" w:ascii="仿宋_GB2312" w:hAnsi="仿宋_GB2312" w:eastAsia="仿宋_GB2312" w:cs="仿宋_GB2312"/>
          <w:bCs/>
          <w:sz w:val="32"/>
          <w:szCs w:val="32"/>
          <w:lang w:val="en-US" w:eastAsia="zh-CN"/>
        </w:rPr>
        <w:t>1008.58万</w:t>
      </w:r>
      <w:r>
        <w:rPr>
          <w:rFonts w:hint="default" w:ascii="仿宋_GB2312" w:hAnsi="仿宋_GB2312" w:eastAsia="仿宋_GB2312" w:cs="仿宋_GB2312"/>
          <w:bCs/>
          <w:sz w:val="32"/>
          <w:szCs w:val="32"/>
          <w:lang w:val="en-US" w:eastAsia="zh-CN"/>
        </w:rPr>
        <w:t>元、商品服务支出</w:t>
      </w:r>
      <w:r>
        <w:rPr>
          <w:rFonts w:hint="eastAsia" w:ascii="仿宋_GB2312" w:hAnsi="仿宋_GB2312" w:eastAsia="仿宋_GB2312" w:cs="仿宋_GB2312"/>
          <w:bCs/>
          <w:sz w:val="32"/>
          <w:szCs w:val="32"/>
          <w:lang w:val="en-US" w:eastAsia="zh-CN"/>
        </w:rPr>
        <w:t>617.28万</w:t>
      </w:r>
      <w:r>
        <w:rPr>
          <w:rFonts w:hint="default" w:ascii="仿宋_GB2312" w:hAnsi="仿宋_GB2312" w:eastAsia="仿宋_GB2312" w:cs="仿宋_GB2312"/>
          <w:bCs/>
          <w:sz w:val="32"/>
          <w:szCs w:val="32"/>
          <w:lang w:val="en-US" w:eastAsia="zh-CN"/>
        </w:rPr>
        <w:t>元，对家庭和个人的补助支出</w:t>
      </w:r>
      <w:r>
        <w:rPr>
          <w:rFonts w:hint="eastAsia" w:ascii="仿宋_GB2312" w:hAnsi="仿宋_GB2312" w:eastAsia="仿宋_GB2312" w:cs="仿宋_GB2312"/>
          <w:bCs/>
          <w:sz w:val="32"/>
          <w:szCs w:val="32"/>
          <w:lang w:val="en-US" w:eastAsia="zh-CN"/>
        </w:rPr>
        <w:t>0万</w:t>
      </w:r>
      <w:r>
        <w:rPr>
          <w:rFonts w:hint="default" w:ascii="仿宋_GB2312" w:hAnsi="仿宋_GB2312" w:eastAsia="仿宋_GB2312" w:cs="仿宋_GB2312"/>
          <w:bCs/>
          <w:sz w:val="32"/>
          <w:szCs w:val="32"/>
          <w:lang w:val="en-US" w:eastAsia="zh-CN"/>
        </w:rPr>
        <w:t>元，资本性支出</w:t>
      </w:r>
      <w:r>
        <w:rPr>
          <w:rFonts w:hint="eastAsia" w:ascii="仿宋_GB2312" w:hAnsi="仿宋_GB2312" w:eastAsia="仿宋_GB2312" w:cs="仿宋_GB2312"/>
          <w:bCs/>
          <w:sz w:val="32"/>
          <w:szCs w:val="32"/>
          <w:lang w:val="en-US" w:eastAsia="zh-CN"/>
        </w:rPr>
        <w:t>142.61万</w:t>
      </w:r>
      <w:r>
        <w:rPr>
          <w:rFonts w:hint="default" w:ascii="仿宋_GB2312" w:hAnsi="仿宋_GB2312" w:eastAsia="仿宋_GB2312" w:cs="仿宋_GB2312"/>
          <w:bCs/>
          <w:sz w:val="32"/>
          <w:szCs w:val="32"/>
          <w:lang w:val="en-US" w:eastAsia="zh-CN"/>
        </w:rPr>
        <w:t>元。</w:t>
      </w:r>
    </w:p>
    <w:p w14:paraId="17FC4AA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（三）</w:t>
      </w:r>
      <w:r>
        <w:rPr>
          <w:rFonts w:hint="default" w:ascii="仿宋_GB2312" w:hAnsi="仿宋_GB2312" w:eastAsia="仿宋_GB2312" w:cs="仿宋_GB2312"/>
          <w:bCs/>
          <w:sz w:val="32"/>
          <w:szCs w:val="32"/>
          <w:lang w:val="en-US" w:eastAsia="zh-CN"/>
        </w:rPr>
        <w:t>结余分配和结转结余情况。政府办202</w:t>
      </w:r>
      <w:r>
        <w:rPr>
          <w:rFonts w:hint="eastAsia" w:ascii="仿宋_GB2312" w:hAnsi="仿宋_GB2312" w:eastAsia="仿宋_GB2312" w:cs="仿宋_GB2312"/>
          <w:bCs/>
          <w:sz w:val="32"/>
          <w:szCs w:val="32"/>
          <w:lang w:val="en-US" w:eastAsia="zh-CN"/>
        </w:rPr>
        <w:t>5</w:t>
      </w:r>
      <w:r>
        <w:rPr>
          <w:rFonts w:hint="default" w:ascii="仿宋_GB2312" w:hAnsi="仿宋_GB2312" w:eastAsia="仿宋_GB2312" w:cs="仿宋_GB2312"/>
          <w:bCs/>
          <w:sz w:val="32"/>
          <w:szCs w:val="32"/>
          <w:lang w:val="en-US" w:eastAsia="zh-CN"/>
        </w:rPr>
        <w:t>年无结转结余结情况。</w:t>
      </w:r>
    </w:p>
    <w:p w14:paraId="6466E16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三、部门预算绩效分析</w:t>
      </w:r>
    </w:p>
    <w:p w14:paraId="2BC70DA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（一）部门预算总体绩效分析。根据部门预算绩效评价指标体系围绕履职效能、预算管理、财务管理、资产管理、采购管理等方面逐项分析：</w:t>
      </w:r>
    </w:p>
    <w:p w14:paraId="75AEA5C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1. 履职效能（15分）</w:t>
      </w:r>
    </w:p>
    <w:p w14:paraId="7629199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核心职能目标完成情况：</w:t>
      </w:r>
    </w:p>
    <w:p w14:paraId="5E8C655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（1）政府日常文书处理（</w:t>
      </w:r>
      <w:r>
        <w:rPr>
          <w:rFonts w:hint="default" w:ascii="仿宋_GB2312" w:hAnsi="仿宋_GB2312" w:eastAsia="仿宋_GB2312" w:cs="仿宋_GB2312"/>
          <w:bCs/>
          <w:sz w:val="32"/>
          <w:szCs w:val="32"/>
          <w:lang w:val="en-US" w:eastAsia="zh-CN"/>
        </w:rPr>
        <w:t>8</w:t>
      </w:r>
      <w:r>
        <w:rPr>
          <w:rFonts w:hint="default" w:ascii="仿宋_GB2312" w:hAnsi="仿宋_GB2312" w:eastAsia="仿宋_GB2312" w:cs="仿宋_GB2312"/>
          <w:bCs/>
          <w:sz w:val="32"/>
          <w:szCs w:val="32"/>
          <w:lang w:val="zh-CN" w:eastAsia="zh-CN"/>
        </w:rPr>
        <w:t xml:space="preserve">分）  </w:t>
      </w:r>
    </w:p>
    <w:p w14:paraId="6DBF6E6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完成情况：全年处理公文</w:t>
      </w:r>
      <w:r>
        <w:rPr>
          <w:rFonts w:hint="default" w:ascii="仿宋_GB2312" w:hAnsi="仿宋_GB2312" w:eastAsia="仿宋_GB2312" w:cs="仿宋_GB2312"/>
          <w:bCs/>
          <w:sz w:val="32"/>
          <w:szCs w:val="32"/>
          <w:lang w:val="en-US" w:eastAsia="zh-CN"/>
        </w:rPr>
        <w:t>6</w:t>
      </w:r>
      <w:r>
        <w:rPr>
          <w:rFonts w:hint="eastAsia" w:ascii="仿宋_GB2312" w:hAnsi="仿宋_GB2312" w:eastAsia="仿宋_GB2312" w:cs="仿宋_GB2312"/>
          <w:bCs/>
          <w:sz w:val="32"/>
          <w:szCs w:val="32"/>
          <w:lang w:val="en-US" w:eastAsia="zh-CN"/>
        </w:rPr>
        <w:t>6</w:t>
      </w:r>
      <w:r>
        <w:rPr>
          <w:rFonts w:hint="default" w:ascii="仿宋_GB2312" w:hAnsi="仿宋_GB2312" w:eastAsia="仿宋_GB2312" w:cs="仿宋_GB2312"/>
          <w:bCs/>
          <w:sz w:val="32"/>
          <w:szCs w:val="32"/>
          <w:lang w:val="en-US" w:eastAsia="zh-CN"/>
        </w:rPr>
        <w:t>45次</w:t>
      </w:r>
      <w:r>
        <w:rPr>
          <w:rFonts w:hint="default" w:ascii="仿宋_GB2312" w:hAnsi="仿宋_GB2312" w:eastAsia="仿宋_GB2312" w:cs="仿宋_GB2312"/>
          <w:bCs/>
          <w:sz w:val="32"/>
          <w:szCs w:val="32"/>
          <w:lang w:val="zh-CN" w:eastAsia="zh-CN"/>
        </w:rPr>
        <w:t>，办结率100%，未出现重大延误或错误。</w:t>
      </w:r>
    </w:p>
    <w:p w14:paraId="73311810">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7</w:t>
      </w:r>
      <w:r>
        <w:rPr>
          <w:rFonts w:hint="default" w:ascii="仿宋_GB2312" w:hAnsi="仿宋_GB2312" w:eastAsia="仿宋_GB2312" w:cs="仿宋_GB2312"/>
          <w:bCs/>
          <w:sz w:val="32"/>
          <w:szCs w:val="32"/>
          <w:lang w:val="zh-CN" w:eastAsia="zh-CN"/>
        </w:rPr>
        <w:t xml:space="preserve">分  </w:t>
      </w:r>
    </w:p>
    <w:p w14:paraId="7900412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w:t>
      </w:r>
      <w:r>
        <w:rPr>
          <w:rFonts w:hint="default" w:ascii="仿宋_GB2312" w:hAnsi="仿宋_GB2312" w:eastAsia="仿宋_GB2312" w:cs="仿宋_GB2312"/>
          <w:bCs/>
          <w:sz w:val="32"/>
          <w:szCs w:val="32"/>
          <w:lang w:val="en-US" w:eastAsia="zh-CN"/>
        </w:rPr>
        <w:t>2</w:t>
      </w:r>
      <w:r>
        <w:rPr>
          <w:rFonts w:hint="default" w:ascii="仿宋_GB2312" w:hAnsi="仿宋_GB2312" w:eastAsia="仿宋_GB2312" w:cs="仿宋_GB2312"/>
          <w:bCs/>
          <w:sz w:val="32"/>
          <w:szCs w:val="32"/>
          <w:lang w:val="zh-CN" w:eastAsia="zh-CN"/>
        </w:rPr>
        <w:t>）后勤保障服务（</w:t>
      </w:r>
      <w:r>
        <w:rPr>
          <w:rFonts w:hint="default" w:ascii="仿宋_GB2312" w:hAnsi="仿宋_GB2312" w:eastAsia="仿宋_GB2312" w:cs="仿宋_GB2312"/>
          <w:bCs/>
          <w:sz w:val="32"/>
          <w:szCs w:val="32"/>
          <w:lang w:val="en-US" w:eastAsia="zh-CN"/>
        </w:rPr>
        <w:t>7</w:t>
      </w:r>
      <w:r>
        <w:rPr>
          <w:rFonts w:hint="default" w:ascii="仿宋_GB2312" w:hAnsi="仿宋_GB2312" w:eastAsia="仿宋_GB2312" w:cs="仿宋_GB2312"/>
          <w:bCs/>
          <w:sz w:val="32"/>
          <w:szCs w:val="32"/>
          <w:lang w:val="zh-CN" w:eastAsia="zh-CN"/>
        </w:rPr>
        <w:t xml:space="preserve">分）  </w:t>
      </w:r>
    </w:p>
    <w:p w14:paraId="4FE8A25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完成情况：保障政府会议</w:t>
      </w:r>
      <w:r>
        <w:rPr>
          <w:rFonts w:hint="default" w:ascii="仿宋_GB2312" w:hAnsi="仿宋_GB2312" w:eastAsia="仿宋_GB2312" w:cs="仿宋_GB2312"/>
          <w:bCs/>
          <w:sz w:val="32"/>
          <w:szCs w:val="32"/>
          <w:lang w:val="en-US" w:eastAsia="zh-CN"/>
        </w:rPr>
        <w:t>11</w:t>
      </w:r>
      <w:r>
        <w:rPr>
          <w:rFonts w:hint="eastAsia" w:ascii="仿宋_GB2312" w:hAnsi="仿宋_GB2312" w:eastAsia="仿宋_GB2312" w:cs="仿宋_GB2312"/>
          <w:bCs/>
          <w:sz w:val="32"/>
          <w:szCs w:val="32"/>
          <w:lang w:val="en-US" w:eastAsia="zh-CN"/>
        </w:rPr>
        <w:t>8</w:t>
      </w:r>
      <w:r>
        <w:rPr>
          <w:rFonts w:hint="default" w:ascii="仿宋_GB2312" w:hAnsi="仿宋_GB2312" w:eastAsia="仿宋_GB2312" w:cs="仿宋_GB2312"/>
          <w:bCs/>
          <w:sz w:val="32"/>
          <w:szCs w:val="32"/>
          <w:lang w:val="zh-CN" w:eastAsia="zh-CN"/>
        </w:rPr>
        <w:t>次，接待任务</w:t>
      </w:r>
      <w:r>
        <w:rPr>
          <w:rFonts w:hint="eastAsia" w:ascii="仿宋_GB2312" w:hAnsi="仿宋_GB2312" w:eastAsia="仿宋_GB2312" w:cs="仿宋_GB2312"/>
          <w:bCs/>
          <w:sz w:val="32"/>
          <w:szCs w:val="32"/>
          <w:lang w:val="en-US" w:eastAsia="zh-CN"/>
        </w:rPr>
        <w:t>56</w:t>
      </w:r>
      <w:r>
        <w:rPr>
          <w:rFonts w:hint="default" w:ascii="仿宋_GB2312" w:hAnsi="仿宋_GB2312" w:eastAsia="仿宋_GB2312" w:cs="仿宋_GB2312"/>
          <w:bCs/>
          <w:sz w:val="32"/>
          <w:szCs w:val="32"/>
          <w:lang w:val="zh-CN" w:eastAsia="zh-CN"/>
        </w:rPr>
        <w:t>次，满意度达90%。</w:t>
      </w:r>
    </w:p>
    <w:p w14:paraId="63C5E94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7</w:t>
      </w:r>
      <w:r>
        <w:rPr>
          <w:rFonts w:hint="default" w:ascii="仿宋_GB2312" w:hAnsi="仿宋_GB2312" w:eastAsia="仿宋_GB2312" w:cs="仿宋_GB2312"/>
          <w:bCs/>
          <w:sz w:val="32"/>
          <w:szCs w:val="32"/>
          <w:lang w:val="zh-CN" w:eastAsia="zh-CN"/>
        </w:rPr>
        <w:t xml:space="preserve">分    </w:t>
      </w:r>
      <w:r>
        <w:rPr>
          <w:rFonts w:hint="default" w:ascii="仿宋_GB2312" w:hAnsi="仿宋_GB2312" w:eastAsia="仿宋_GB2312" w:cs="仿宋_GB2312"/>
          <w:bCs/>
          <w:sz w:val="32"/>
          <w:szCs w:val="32"/>
          <w:lang w:val="en-US" w:eastAsia="zh-CN"/>
        </w:rPr>
        <w:t xml:space="preserve"> </w:t>
      </w:r>
    </w:p>
    <w:p w14:paraId="0C161C0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zh-CN" w:eastAsia="zh-CN"/>
        </w:rPr>
        <w:t>2. 预算管理（25分）</w:t>
      </w:r>
      <w:r>
        <w:rPr>
          <w:rFonts w:hint="default" w:ascii="仿宋_GB2312" w:hAnsi="仿宋_GB2312" w:eastAsia="仿宋_GB2312" w:cs="仿宋_GB2312"/>
          <w:bCs/>
          <w:sz w:val="32"/>
          <w:szCs w:val="32"/>
          <w:lang w:val="en-US" w:eastAsia="zh-CN"/>
        </w:rPr>
        <w:t xml:space="preserve"> </w:t>
      </w:r>
    </w:p>
    <w:p w14:paraId="46C3020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（1）预算编制质量（8分）  </w:t>
      </w:r>
    </w:p>
    <w:p w14:paraId="47552D6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分析：预算编制符合财政要求，但部分资本性支出（如设备购置）未细化绩效目标。 </w:t>
      </w:r>
    </w:p>
    <w:p w14:paraId="1CEF5D0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7</w:t>
      </w:r>
      <w:r>
        <w:rPr>
          <w:rFonts w:hint="default" w:ascii="仿宋_GB2312" w:hAnsi="仿宋_GB2312" w:eastAsia="仿宋_GB2312" w:cs="仿宋_GB2312"/>
          <w:bCs/>
          <w:sz w:val="32"/>
          <w:szCs w:val="32"/>
          <w:lang w:val="zh-CN" w:eastAsia="zh-CN"/>
        </w:rPr>
        <w:t xml:space="preserve">分  </w:t>
      </w:r>
    </w:p>
    <w:p w14:paraId="712C024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（2）单位收入统筹（</w:t>
      </w:r>
      <w:r>
        <w:rPr>
          <w:rFonts w:hint="default" w:ascii="仿宋_GB2312" w:hAnsi="仿宋_GB2312" w:eastAsia="仿宋_GB2312" w:cs="仿宋_GB2312"/>
          <w:bCs/>
          <w:sz w:val="32"/>
          <w:szCs w:val="32"/>
          <w:lang w:val="en-US" w:eastAsia="zh-CN"/>
        </w:rPr>
        <w:t>4</w:t>
      </w:r>
      <w:r>
        <w:rPr>
          <w:rFonts w:hint="default" w:ascii="仿宋_GB2312" w:hAnsi="仿宋_GB2312" w:eastAsia="仿宋_GB2312" w:cs="仿宋_GB2312"/>
          <w:bCs/>
          <w:sz w:val="32"/>
          <w:szCs w:val="32"/>
          <w:lang w:val="zh-CN" w:eastAsia="zh-CN"/>
        </w:rPr>
        <w:t xml:space="preserve">分）  </w:t>
      </w:r>
    </w:p>
    <w:p w14:paraId="1772C81A">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 分析：收入全部来自财政拨款，无其他收入来源，统筹效率较高。  </w:t>
      </w:r>
    </w:p>
    <w:p w14:paraId="56F6B6B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4</w:t>
      </w:r>
      <w:r>
        <w:rPr>
          <w:rFonts w:hint="default" w:ascii="仿宋_GB2312" w:hAnsi="仿宋_GB2312" w:eastAsia="仿宋_GB2312" w:cs="仿宋_GB2312"/>
          <w:bCs/>
          <w:sz w:val="32"/>
          <w:szCs w:val="32"/>
          <w:lang w:val="zh-CN" w:eastAsia="zh-CN"/>
        </w:rPr>
        <w:t xml:space="preserve">分  </w:t>
      </w:r>
    </w:p>
    <w:p w14:paraId="11C22AE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（3）支出执行进度（</w:t>
      </w:r>
      <w:r>
        <w:rPr>
          <w:rFonts w:hint="default" w:ascii="仿宋_GB2312" w:hAnsi="仿宋_GB2312" w:eastAsia="仿宋_GB2312" w:cs="仿宋_GB2312"/>
          <w:bCs/>
          <w:sz w:val="32"/>
          <w:szCs w:val="32"/>
          <w:lang w:val="en-US" w:eastAsia="zh-CN"/>
        </w:rPr>
        <w:t>6</w:t>
      </w:r>
      <w:r>
        <w:rPr>
          <w:rFonts w:hint="default" w:ascii="仿宋_GB2312" w:hAnsi="仿宋_GB2312" w:eastAsia="仿宋_GB2312" w:cs="仿宋_GB2312"/>
          <w:bCs/>
          <w:sz w:val="32"/>
          <w:szCs w:val="32"/>
          <w:lang w:val="zh-CN" w:eastAsia="zh-CN"/>
        </w:rPr>
        <w:t xml:space="preserve">分）  </w:t>
      </w:r>
    </w:p>
    <w:p w14:paraId="7E883240">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分析：全年支出进度100%，无滞后现象。  </w:t>
      </w:r>
    </w:p>
    <w:p w14:paraId="3DDA834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评分：5分  </w:t>
      </w:r>
    </w:p>
    <w:p w14:paraId="5985C305">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（4）预算年终结余（</w:t>
      </w:r>
      <w:r>
        <w:rPr>
          <w:rFonts w:hint="default" w:ascii="仿宋_GB2312" w:hAnsi="仿宋_GB2312" w:eastAsia="仿宋_GB2312" w:cs="仿宋_GB2312"/>
          <w:bCs/>
          <w:sz w:val="32"/>
          <w:szCs w:val="32"/>
          <w:lang w:val="en-US" w:eastAsia="zh-CN"/>
        </w:rPr>
        <w:t>2</w:t>
      </w:r>
      <w:r>
        <w:rPr>
          <w:rFonts w:hint="default" w:ascii="仿宋_GB2312" w:hAnsi="仿宋_GB2312" w:eastAsia="仿宋_GB2312" w:cs="仿宋_GB2312"/>
          <w:bCs/>
          <w:sz w:val="32"/>
          <w:szCs w:val="32"/>
          <w:lang w:val="zh-CN" w:eastAsia="zh-CN"/>
        </w:rPr>
        <w:t xml:space="preserve">分）  </w:t>
      </w:r>
    </w:p>
    <w:p w14:paraId="4355EAC7">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分析：收支平衡，但未说明结转结余资金管理措施。  </w:t>
      </w:r>
    </w:p>
    <w:p w14:paraId="66925A1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2</w:t>
      </w:r>
      <w:r>
        <w:rPr>
          <w:rFonts w:hint="default" w:ascii="仿宋_GB2312" w:hAnsi="仿宋_GB2312" w:eastAsia="仿宋_GB2312" w:cs="仿宋_GB2312"/>
          <w:bCs/>
          <w:sz w:val="32"/>
          <w:szCs w:val="32"/>
          <w:lang w:val="zh-CN" w:eastAsia="zh-CN"/>
        </w:rPr>
        <w:t xml:space="preserve">分  </w:t>
      </w:r>
    </w:p>
    <w:p w14:paraId="57700A81">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（5）严控一般性支出（</w:t>
      </w:r>
      <w:r>
        <w:rPr>
          <w:rFonts w:hint="default" w:ascii="仿宋_GB2312" w:hAnsi="仿宋_GB2312" w:eastAsia="仿宋_GB2312" w:cs="仿宋_GB2312"/>
          <w:bCs/>
          <w:sz w:val="32"/>
          <w:szCs w:val="32"/>
          <w:lang w:val="en-US" w:eastAsia="zh-CN"/>
        </w:rPr>
        <w:t>5</w:t>
      </w:r>
      <w:r>
        <w:rPr>
          <w:rFonts w:hint="default" w:ascii="仿宋_GB2312" w:hAnsi="仿宋_GB2312" w:eastAsia="仿宋_GB2312" w:cs="仿宋_GB2312"/>
          <w:bCs/>
          <w:sz w:val="32"/>
          <w:szCs w:val="32"/>
          <w:lang w:val="zh-CN" w:eastAsia="zh-CN"/>
        </w:rPr>
        <w:t xml:space="preserve">分）  </w:t>
      </w:r>
    </w:p>
    <w:p w14:paraId="1A2E14F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分析：商品服务支出占比28.3%，未超预算，符合厉行节约要求。  </w:t>
      </w:r>
    </w:p>
    <w:p w14:paraId="79BC6A6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4</w:t>
      </w:r>
      <w:r>
        <w:rPr>
          <w:rFonts w:hint="default" w:ascii="仿宋_GB2312" w:hAnsi="仿宋_GB2312" w:eastAsia="仿宋_GB2312" w:cs="仿宋_GB2312"/>
          <w:bCs/>
          <w:sz w:val="32"/>
          <w:szCs w:val="32"/>
          <w:lang w:val="zh-CN" w:eastAsia="zh-CN"/>
        </w:rPr>
        <w:t>分</w:t>
      </w:r>
    </w:p>
    <w:p w14:paraId="5FE5AA5A">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3. 财务管理（10分） </w:t>
      </w:r>
    </w:p>
    <w:p w14:paraId="3306A9C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（1）财务管理制度健全性（4分）  </w:t>
      </w:r>
    </w:p>
    <w:p w14:paraId="0EE9644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分析：内控制度完善，涵盖预算、收支、采购等环节。  </w:t>
      </w:r>
    </w:p>
    <w:p w14:paraId="5650630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评分：4分  </w:t>
      </w:r>
    </w:p>
    <w:p w14:paraId="6F002D05">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（2）财务岗位设置合规性（</w:t>
      </w:r>
      <w:r>
        <w:rPr>
          <w:rFonts w:hint="default" w:ascii="仿宋_GB2312" w:hAnsi="仿宋_GB2312" w:eastAsia="仿宋_GB2312" w:cs="仿宋_GB2312"/>
          <w:bCs/>
          <w:sz w:val="32"/>
          <w:szCs w:val="32"/>
          <w:lang w:val="en-US" w:eastAsia="zh-CN"/>
        </w:rPr>
        <w:t>2</w:t>
      </w:r>
      <w:r>
        <w:rPr>
          <w:rFonts w:hint="default" w:ascii="仿宋_GB2312" w:hAnsi="仿宋_GB2312" w:eastAsia="仿宋_GB2312" w:cs="仿宋_GB2312"/>
          <w:bCs/>
          <w:sz w:val="32"/>
          <w:szCs w:val="32"/>
          <w:lang w:val="zh-CN" w:eastAsia="zh-CN"/>
        </w:rPr>
        <w:t xml:space="preserve">分）  </w:t>
      </w:r>
    </w:p>
    <w:p w14:paraId="438A282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分析：会计、出纳岗位分离，职责明确。  </w:t>
      </w:r>
    </w:p>
    <w:p w14:paraId="097E793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2</w:t>
      </w:r>
      <w:r>
        <w:rPr>
          <w:rFonts w:hint="default" w:ascii="仿宋_GB2312" w:hAnsi="仿宋_GB2312" w:eastAsia="仿宋_GB2312" w:cs="仿宋_GB2312"/>
          <w:bCs/>
          <w:sz w:val="32"/>
          <w:szCs w:val="32"/>
          <w:lang w:val="zh-CN" w:eastAsia="zh-CN"/>
        </w:rPr>
        <w:t xml:space="preserve">分  </w:t>
      </w:r>
    </w:p>
    <w:p w14:paraId="1B3F7DA1">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（3）资金使用规范性（</w:t>
      </w:r>
      <w:r>
        <w:rPr>
          <w:rFonts w:hint="default" w:ascii="仿宋_GB2312" w:hAnsi="仿宋_GB2312" w:eastAsia="仿宋_GB2312" w:cs="仿宋_GB2312"/>
          <w:bCs/>
          <w:sz w:val="32"/>
          <w:szCs w:val="32"/>
          <w:lang w:val="en-US" w:eastAsia="zh-CN"/>
        </w:rPr>
        <w:t>4</w:t>
      </w:r>
      <w:r>
        <w:rPr>
          <w:rFonts w:hint="default" w:ascii="仿宋_GB2312" w:hAnsi="仿宋_GB2312" w:eastAsia="仿宋_GB2312" w:cs="仿宋_GB2312"/>
          <w:bCs/>
          <w:sz w:val="32"/>
          <w:szCs w:val="32"/>
          <w:lang w:val="zh-CN" w:eastAsia="zh-CN"/>
        </w:rPr>
        <w:t xml:space="preserve">分）  </w:t>
      </w:r>
    </w:p>
    <w:p w14:paraId="49C67FE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分析：支出分类清晰，无违规使用资金情况。  </w:t>
      </w:r>
    </w:p>
    <w:p w14:paraId="2BAB371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4</w:t>
      </w:r>
      <w:r>
        <w:rPr>
          <w:rFonts w:hint="default" w:ascii="仿宋_GB2312" w:hAnsi="仿宋_GB2312" w:eastAsia="仿宋_GB2312" w:cs="仿宋_GB2312"/>
          <w:bCs/>
          <w:sz w:val="32"/>
          <w:szCs w:val="32"/>
          <w:lang w:val="zh-CN" w:eastAsia="zh-CN"/>
        </w:rPr>
        <w:t xml:space="preserve">分  </w:t>
      </w:r>
    </w:p>
    <w:p w14:paraId="6F58873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4. 资产管理（</w:t>
      </w:r>
      <w:r>
        <w:rPr>
          <w:rFonts w:hint="default" w:ascii="仿宋_GB2312" w:hAnsi="仿宋_GB2312" w:eastAsia="仿宋_GB2312" w:cs="仿宋_GB2312"/>
          <w:bCs/>
          <w:sz w:val="32"/>
          <w:szCs w:val="32"/>
          <w:lang w:val="en-US" w:eastAsia="zh-CN"/>
        </w:rPr>
        <w:t>9</w:t>
      </w:r>
      <w:r>
        <w:rPr>
          <w:rFonts w:hint="default" w:ascii="仿宋_GB2312" w:hAnsi="仿宋_GB2312" w:eastAsia="仿宋_GB2312" w:cs="仿宋_GB2312"/>
          <w:bCs/>
          <w:sz w:val="32"/>
          <w:szCs w:val="32"/>
          <w:lang w:val="zh-CN" w:eastAsia="zh-CN"/>
        </w:rPr>
        <w:t xml:space="preserve">分） </w:t>
      </w:r>
    </w:p>
    <w:p w14:paraId="711E5AD5">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（1）人均资产变化率（</w:t>
      </w:r>
      <w:r>
        <w:rPr>
          <w:rFonts w:hint="default" w:ascii="仿宋_GB2312" w:hAnsi="仿宋_GB2312" w:eastAsia="仿宋_GB2312" w:cs="仿宋_GB2312"/>
          <w:bCs/>
          <w:sz w:val="32"/>
          <w:szCs w:val="32"/>
          <w:lang w:val="en-US" w:eastAsia="zh-CN"/>
        </w:rPr>
        <w:t>3</w:t>
      </w:r>
      <w:r>
        <w:rPr>
          <w:rFonts w:hint="default" w:ascii="仿宋_GB2312" w:hAnsi="仿宋_GB2312" w:eastAsia="仿宋_GB2312" w:cs="仿宋_GB2312"/>
          <w:bCs/>
          <w:sz w:val="32"/>
          <w:szCs w:val="32"/>
          <w:lang w:val="zh-CN" w:eastAsia="zh-CN"/>
        </w:rPr>
        <w:t xml:space="preserve">分）  </w:t>
      </w:r>
    </w:p>
    <w:p w14:paraId="04DADD4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分析：</w:t>
      </w:r>
      <w:r>
        <w:rPr>
          <w:rFonts w:hint="eastAsia" w:ascii="仿宋_GB2312" w:hAnsi="仿宋_GB2312" w:eastAsia="仿宋_GB2312" w:cs="仿宋_GB2312"/>
          <w:bCs/>
          <w:sz w:val="32"/>
          <w:szCs w:val="32"/>
          <w:lang w:val="zh-CN" w:eastAsia="zh-CN"/>
        </w:rPr>
        <w:t>固定资产减少</w:t>
      </w:r>
      <w:r>
        <w:rPr>
          <w:rFonts w:hint="eastAsia" w:ascii="仿宋_GB2312" w:hAnsi="仿宋_GB2312" w:eastAsia="仿宋_GB2312" w:cs="仿宋_GB2312"/>
          <w:bCs/>
          <w:sz w:val="32"/>
          <w:szCs w:val="32"/>
          <w:lang w:val="en-US" w:eastAsia="zh-CN"/>
        </w:rPr>
        <w:t>56.8</w:t>
      </w:r>
      <w:r>
        <w:rPr>
          <w:rFonts w:hint="default" w:ascii="仿宋_GB2312" w:hAnsi="仿宋_GB2312" w:eastAsia="仿宋_GB2312" w:cs="仿宋_GB2312"/>
          <w:bCs/>
          <w:sz w:val="32"/>
          <w:szCs w:val="32"/>
          <w:lang w:val="zh-CN" w:eastAsia="zh-CN"/>
        </w:rPr>
        <w:t xml:space="preserve">万元，但未量化资产使用效率提升情况。  </w:t>
      </w:r>
    </w:p>
    <w:p w14:paraId="32D12F9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评分：3分  </w:t>
      </w:r>
    </w:p>
    <w:p w14:paraId="2175354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（2）资产利用率（3分）  </w:t>
      </w:r>
    </w:p>
    <w:p w14:paraId="33B39730">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分析：办公设备、车辆等使用正常，但未统计闲置率。  </w:t>
      </w:r>
    </w:p>
    <w:p w14:paraId="5FF06FF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评分：3分  </w:t>
      </w:r>
    </w:p>
    <w:p w14:paraId="16B4AF7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（3）资产盘活率（3分）  </w:t>
      </w:r>
    </w:p>
    <w:p w14:paraId="4A6B543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分析：未提及闲置资产处置或共享情况。  </w:t>
      </w:r>
    </w:p>
    <w:p w14:paraId="61368027">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评分：2分  </w:t>
      </w:r>
    </w:p>
    <w:p w14:paraId="14977F0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5. 采购管理（</w:t>
      </w:r>
      <w:r>
        <w:rPr>
          <w:rFonts w:hint="default" w:ascii="仿宋_GB2312" w:hAnsi="仿宋_GB2312" w:eastAsia="仿宋_GB2312" w:cs="仿宋_GB2312"/>
          <w:bCs/>
          <w:sz w:val="32"/>
          <w:szCs w:val="32"/>
          <w:lang w:val="en-US" w:eastAsia="zh-CN"/>
        </w:rPr>
        <w:t>6</w:t>
      </w:r>
      <w:r>
        <w:rPr>
          <w:rFonts w:hint="default" w:ascii="仿宋_GB2312" w:hAnsi="仿宋_GB2312" w:eastAsia="仿宋_GB2312" w:cs="仿宋_GB2312"/>
          <w:bCs/>
          <w:sz w:val="32"/>
          <w:szCs w:val="32"/>
          <w:lang w:val="zh-CN" w:eastAsia="zh-CN"/>
        </w:rPr>
        <w:t xml:space="preserve">分） </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 xml:space="preserve"> </w:t>
      </w:r>
    </w:p>
    <w:p w14:paraId="12B501E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（1）支持中小企业发展（3分）  </w:t>
      </w:r>
    </w:p>
    <w:p w14:paraId="549CABB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分析：未明确中小企业采购比例，缺乏政策落实数据。  </w:t>
      </w:r>
    </w:p>
    <w:p w14:paraId="73F124E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3</w:t>
      </w:r>
      <w:r>
        <w:rPr>
          <w:rFonts w:hint="default" w:ascii="仿宋_GB2312" w:hAnsi="仿宋_GB2312" w:eastAsia="仿宋_GB2312" w:cs="仿宋_GB2312"/>
          <w:bCs/>
          <w:sz w:val="32"/>
          <w:szCs w:val="32"/>
          <w:lang w:val="zh-CN" w:eastAsia="zh-CN"/>
        </w:rPr>
        <w:t xml:space="preserve">分  </w:t>
      </w:r>
    </w:p>
    <w:p w14:paraId="61A88E7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（2）采购执行（</w:t>
      </w:r>
      <w:r>
        <w:rPr>
          <w:rFonts w:hint="default" w:ascii="仿宋_GB2312" w:hAnsi="仿宋_GB2312" w:eastAsia="仿宋_GB2312" w:cs="仿宋_GB2312"/>
          <w:bCs/>
          <w:sz w:val="32"/>
          <w:szCs w:val="32"/>
          <w:lang w:val="en-US" w:eastAsia="zh-CN"/>
        </w:rPr>
        <w:t>3</w:t>
      </w:r>
      <w:r>
        <w:rPr>
          <w:rFonts w:hint="default" w:ascii="仿宋_GB2312" w:hAnsi="仿宋_GB2312" w:eastAsia="仿宋_GB2312" w:cs="仿宋_GB2312"/>
          <w:bCs/>
          <w:sz w:val="32"/>
          <w:szCs w:val="32"/>
          <w:lang w:val="zh-CN" w:eastAsia="zh-CN"/>
        </w:rPr>
        <w:t xml:space="preserve">分）  </w:t>
      </w:r>
    </w:p>
    <w:p w14:paraId="2E48ADA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分析：全年采购计划完成率100%，流程合规。  </w:t>
      </w:r>
    </w:p>
    <w:p w14:paraId="5E1F0FB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3</w:t>
      </w:r>
      <w:r>
        <w:rPr>
          <w:rFonts w:hint="default" w:ascii="仿宋_GB2312" w:hAnsi="仿宋_GB2312" w:eastAsia="仿宋_GB2312" w:cs="仿宋_GB2312"/>
          <w:bCs/>
          <w:sz w:val="32"/>
          <w:szCs w:val="32"/>
          <w:lang w:val="zh-CN" w:eastAsia="zh-CN"/>
        </w:rPr>
        <w:t xml:space="preserve">分  </w:t>
      </w:r>
    </w:p>
    <w:p w14:paraId="1169AA40">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总体绩效自评得分汇总* </w:t>
      </w:r>
    </w:p>
    <w:p w14:paraId="4E33B895">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一级指标 | 分值 | 自评得分 | 得分率 |</w:t>
      </w:r>
    </w:p>
    <w:p w14:paraId="5E00F79A">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w:t>
      </w:r>
    </w:p>
    <w:p w14:paraId="2ADF89F5">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履职效能 |  15  |    14    |</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93.3% |</w:t>
      </w:r>
    </w:p>
    <w:p w14:paraId="36867A2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预算管理 |  25  |    2</w:t>
      </w:r>
      <w:r>
        <w:rPr>
          <w:rFonts w:hint="default" w:ascii="仿宋_GB2312" w:hAnsi="仿宋_GB2312" w:eastAsia="仿宋_GB2312" w:cs="仿宋_GB2312"/>
          <w:bCs/>
          <w:sz w:val="32"/>
          <w:szCs w:val="32"/>
          <w:lang w:val="en-US" w:eastAsia="zh-CN"/>
        </w:rPr>
        <w:t>2</w:t>
      </w:r>
      <w:r>
        <w:rPr>
          <w:rFonts w:hint="default" w:ascii="仿宋_GB2312" w:hAnsi="仿宋_GB2312" w:eastAsia="仿宋_GB2312" w:cs="仿宋_GB2312"/>
          <w:bCs/>
          <w:sz w:val="32"/>
          <w:szCs w:val="32"/>
          <w:lang w:val="zh-CN" w:eastAsia="zh-CN"/>
        </w:rPr>
        <w:t xml:space="preserve">    | </w:t>
      </w:r>
      <w:r>
        <w:rPr>
          <w:rFonts w:hint="default" w:ascii="仿宋_GB2312" w:hAnsi="仿宋_GB2312" w:eastAsia="仿宋_GB2312" w:cs="仿宋_GB2312"/>
          <w:bCs/>
          <w:sz w:val="32"/>
          <w:szCs w:val="32"/>
          <w:lang w:val="en-US" w:eastAsia="zh-CN"/>
        </w:rPr>
        <w:t xml:space="preserve"> 88</w:t>
      </w:r>
      <w:r>
        <w:rPr>
          <w:rFonts w:hint="default" w:ascii="仿宋_GB2312" w:hAnsi="仿宋_GB2312" w:eastAsia="仿宋_GB2312" w:cs="仿宋_GB2312"/>
          <w:bCs/>
          <w:sz w:val="32"/>
          <w:szCs w:val="32"/>
          <w:lang w:val="zh-CN" w:eastAsia="zh-CN"/>
        </w:rPr>
        <w:t>%  |</w:t>
      </w:r>
    </w:p>
    <w:p w14:paraId="50D0111A">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 财务管理 |  10  |    10    | </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100% |</w:t>
      </w:r>
    </w:p>
    <w:p w14:paraId="7EF96ED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 资产管理 |  </w:t>
      </w:r>
      <w:r>
        <w:rPr>
          <w:rFonts w:hint="default" w:ascii="仿宋_GB2312" w:hAnsi="仿宋_GB2312" w:eastAsia="仿宋_GB2312" w:cs="仿宋_GB2312"/>
          <w:bCs/>
          <w:sz w:val="32"/>
          <w:szCs w:val="32"/>
          <w:lang w:val="en-US" w:eastAsia="zh-CN"/>
        </w:rPr>
        <w:t xml:space="preserve">6  </w:t>
      </w:r>
      <w:r>
        <w:rPr>
          <w:rFonts w:hint="default" w:ascii="仿宋_GB2312" w:hAnsi="仿宋_GB2312" w:eastAsia="仿宋_GB2312" w:cs="仿宋_GB2312"/>
          <w:bCs/>
          <w:sz w:val="32"/>
          <w:szCs w:val="32"/>
          <w:lang w:val="zh-CN" w:eastAsia="zh-CN"/>
        </w:rPr>
        <w:t xml:space="preserve"> |    </w:t>
      </w:r>
      <w:r>
        <w:rPr>
          <w:rFonts w:hint="default" w:ascii="仿宋_GB2312" w:hAnsi="仿宋_GB2312" w:eastAsia="仿宋_GB2312" w:cs="仿宋_GB2312"/>
          <w:bCs/>
          <w:sz w:val="32"/>
          <w:szCs w:val="32"/>
          <w:lang w:val="en-US" w:eastAsia="zh-CN"/>
        </w:rPr>
        <w:t>6</w:t>
      </w:r>
      <w:r>
        <w:rPr>
          <w:rFonts w:hint="default" w:ascii="仿宋_GB2312" w:hAnsi="仿宋_GB2312" w:eastAsia="仿宋_GB2312" w:cs="仿宋_GB2312"/>
          <w:bCs/>
          <w:sz w:val="32"/>
          <w:szCs w:val="32"/>
          <w:lang w:val="zh-CN" w:eastAsia="zh-CN"/>
        </w:rPr>
        <w:t xml:space="preserve">     | </w:t>
      </w:r>
      <w:r>
        <w:rPr>
          <w:rFonts w:hint="default" w:ascii="仿宋_GB2312" w:hAnsi="仿宋_GB2312" w:eastAsia="仿宋_GB2312" w:cs="仿宋_GB2312"/>
          <w:bCs/>
          <w:sz w:val="32"/>
          <w:szCs w:val="32"/>
          <w:lang w:val="en-US" w:eastAsia="zh-CN"/>
        </w:rPr>
        <w:t xml:space="preserve"> 100</w:t>
      </w:r>
      <w:r>
        <w:rPr>
          <w:rFonts w:hint="default" w:ascii="仿宋_GB2312" w:hAnsi="仿宋_GB2312" w:eastAsia="仿宋_GB2312" w:cs="仿宋_GB2312"/>
          <w:bCs/>
          <w:sz w:val="32"/>
          <w:szCs w:val="32"/>
          <w:lang w:val="zh-CN" w:eastAsia="zh-CN"/>
        </w:rPr>
        <w:t>% |</w:t>
      </w:r>
    </w:p>
    <w:p w14:paraId="7914BE9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 采购管理 |  </w:t>
      </w:r>
      <w:r>
        <w:rPr>
          <w:rFonts w:hint="default" w:ascii="仿宋_GB2312" w:hAnsi="仿宋_GB2312" w:eastAsia="仿宋_GB2312" w:cs="仿宋_GB2312"/>
          <w:bCs/>
          <w:sz w:val="32"/>
          <w:szCs w:val="32"/>
          <w:lang w:val="en-US" w:eastAsia="zh-CN"/>
        </w:rPr>
        <w:t>6</w:t>
      </w:r>
      <w:r>
        <w:rPr>
          <w:rFonts w:hint="default" w:ascii="仿宋_GB2312" w:hAnsi="仿宋_GB2312" w:eastAsia="仿宋_GB2312" w:cs="仿宋_GB2312"/>
          <w:bCs/>
          <w:sz w:val="32"/>
          <w:szCs w:val="32"/>
          <w:lang w:val="zh-CN" w:eastAsia="zh-CN"/>
        </w:rPr>
        <w:t xml:space="preserve">   |    </w:t>
      </w:r>
      <w:r>
        <w:rPr>
          <w:rFonts w:hint="default" w:ascii="仿宋_GB2312" w:hAnsi="仿宋_GB2312" w:eastAsia="仿宋_GB2312" w:cs="仿宋_GB2312"/>
          <w:bCs/>
          <w:sz w:val="32"/>
          <w:szCs w:val="32"/>
          <w:lang w:val="en-US" w:eastAsia="zh-CN"/>
        </w:rPr>
        <w:t>5</w:t>
      </w:r>
      <w:r>
        <w:rPr>
          <w:rFonts w:hint="default" w:ascii="仿宋_GB2312" w:hAnsi="仿宋_GB2312" w:eastAsia="仿宋_GB2312" w:cs="仿宋_GB2312"/>
          <w:bCs/>
          <w:sz w:val="32"/>
          <w:szCs w:val="32"/>
          <w:lang w:val="zh-CN" w:eastAsia="zh-CN"/>
        </w:rPr>
        <w:t xml:space="preserve">     | </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8</w:t>
      </w:r>
      <w:r>
        <w:rPr>
          <w:rFonts w:hint="default" w:ascii="仿宋_GB2312" w:hAnsi="仿宋_GB2312" w:eastAsia="仿宋_GB2312" w:cs="仿宋_GB2312"/>
          <w:bCs/>
          <w:sz w:val="32"/>
          <w:szCs w:val="32"/>
          <w:lang w:val="en-US" w:eastAsia="zh-CN"/>
        </w:rPr>
        <w:t>3</w:t>
      </w:r>
      <w:r>
        <w:rPr>
          <w:rFonts w:hint="default" w:ascii="仿宋_GB2312" w:hAnsi="仿宋_GB2312" w:eastAsia="仿宋_GB2312" w:cs="仿宋_GB2312"/>
          <w:bCs/>
          <w:sz w:val="32"/>
          <w:szCs w:val="32"/>
          <w:lang w:val="zh-CN" w:eastAsia="zh-CN"/>
        </w:rPr>
        <w:t xml:space="preserve">% </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w:t>
      </w:r>
    </w:p>
    <w:p w14:paraId="4BB458A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 </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合计</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 xml:space="preserve">| </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6</w:t>
      </w:r>
      <w:r>
        <w:rPr>
          <w:rFonts w:hint="default" w:ascii="仿宋_GB2312" w:hAnsi="仿宋_GB2312" w:eastAsia="仿宋_GB2312" w:cs="仿宋_GB2312"/>
          <w:bCs/>
          <w:sz w:val="32"/>
          <w:szCs w:val="32"/>
          <w:lang w:val="en-US" w:eastAsia="zh-CN"/>
        </w:rPr>
        <w:t xml:space="preserve">2 </w:t>
      </w:r>
      <w:r>
        <w:rPr>
          <w:rFonts w:hint="default" w:ascii="仿宋_GB2312" w:hAnsi="仿宋_GB2312" w:eastAsia="仿宋_GB2312" w:cs="仿宋_GB2312"/>
          <w:bCs/>
          <w:sz w:val="32"/>
          <w:szCs w:val="32"/>
          <w:lang w:val="zh-CN" w:eastAsia="zh-CN"/>
        </w:rPr>
        <w:t xml:space="preserve"> | </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5</w:t>
      </w:r>
      <w:r>
        <w:rPr>
          <w:rFonts w:hint="default" w:ascii="仿宋_GB2312" w:hAnsi="仿宋_GB2312" w:eastAsia="仿宋_GB2312" w:cs="仿宋_GB2312"/>
          <w:bCs/>
          <w:sz w:val="32"/>
          <w:szCs w:val="32"/>
          <w:lang w:val="en-US" w:eastAsia="zh-CN"/>
        </w:rPr>
        <w:t xml:space="preserve">7    </w:t>
      </w:r>
      <w:r>
        <w:rPr>
          <w:rFonts w:hint="default" w:ascii="仿宋_GB2312" w:hAnsi="仿宋_GB2312" w:eastAsia="仿宋_GB2312" w:cs="仿宋_GB2312"/>
          <w:bCs/>
          <w:sz w:val="32"/>
          <w:szCs w:val="32"/>
          <w:lang w:val="zh-CN" w:eastAsia="zh-CN"/>
        </w:rPr>
        <w:t xml:space="preserve">| </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9</w:t>
      </w:r>
      <w:r>
        <w:rPr>
          <w:rFonts w:hint="default" w:ascii="仿宋_GB2312" w:hAnsi="仿宋_GB2312" w:eastAsia="仿宋_GB2312" w:cs="仿宋_GB2312"/>
          <w:bCs/>
          <w:sz w:val="32"/>
          <w:szCs w:val="32"/>
          <w:lang w:val="en-US" w:eastAsia="zh-CN"/>
        </w:rPr>
        <w:t>1.9</w:t>
      </w:r>
      <w:r>
        <w:rPr>
          <w:rFonts w:hint="default" w:ascii="仿宋_GB2312" w:hAnsi="仿宋_GB2312" w:eastAsia="仿宋_GB2312" w:cs="仿宋_GB2312"/>
          <w:bCs/>
          <w:sz w:val="32"/>
          <w:szCs w:val="32"/>
          <w:lang w:val="zh-CN" w:eastAsia="zh-CN"/>
        </w:rPr>
        <w:t>%</w:t>
      </w:r>
      <w:r>
        <w:rPr>
          <w:rFonts w:hint="default" w:ascii="仿宋_GB2312" w:hAnsi="仿宋_GB2312" w:eastAsia="仿宋_GB2312" w:cs="仿宋_GB2312"/>
          <w:bCs/>
          <w:sz w:val="32"/>
          <w:szCs w:val="32"/>
          <w:lang w:val="en-US" w:eastAsia="zh-CN"/>
        </w:rPr>
        <w:t xml:space="preserve"> </w:t>
      </w:r>
      <w:r>
        <w:rPr>
          <w:rFonts w:hint="default" w:ascii="仿宋_GB2312" w:hAnsi="仿宋_GB2312" w:eastAsia="仿宋_GB2312" w:cs="仿宋_GB2312"/>
          <w:bCs/>
          <w:sz w:val="32"/>
          <w:szCs w:val="32"/>
          <w:lang w:val="zh-CN" w:eastAsia="zh-CN"/>
        </w:rPr>
        <w:t>|</w:t>
      </w:r>
    </w:p>
    <w:p w14:paraId="49572D0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en-US" w:eastAsia="zh-CN"/>
        </w:rPr>
        <w:t>6.</w:t>
      </w:r>
      <w:r>
        <w:rPr>
          <w:rFonts w:hint="default" w:ascii="仿宋_GB2312" w:hAnsi="仿宋_GB2312" w:eastAsia="仿宋_GB2312" w:cs="仿宋_GB2312"/>
          <w:bCs/>
          <w:sz w:val="32"/>
          <w:szCs w:val="32"/>
          <w:lang w:val="zh-CN" w:eastAsia="zh-CN"/>
        </w:rPr>
        <w:t>主要问题与改进方向</w:t>
      </w:r>
    </w:p>
    <w:p w14:paraId="26A5CAB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1. 履职效能：部分督查整改事项未完全闭环，需加强跟踪问效。  </w:t>
      </w:r>
    </w:p>
    <w:p w14:paraId="3449C9E1">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2. 预算管理：资本性支出绩效目标需细化，年终结余资金应制定管理计划。  </w:t>
      </w:r>
    </w:p>
    <w:p w14:paraId="4CDDD0B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3. 资产管理：需建立资产动态盘活机制，提高闲置资产利用率。  </w:t>
      </w:r>
    </w:p>
    <w:p w14:paraId="4B59D04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4. 采购管理：应落实中小企业采购政策，明确比例要求并留存台账。  </w:t>
      </w:r>
    </w:p>
    <w:p w14:paraId="0201B16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（二）部门预算项目绩效分析。</w:t>
      </w:r>
    </w:p>
    <w:p w14:paraId="7171F65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一、常年项目绩效分析 </w:t>
      </w:r>
    </w:p>
    <w:p w14:paraId="4C829D3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项目总数：</w:t>
      </w:r>
      <w:r>
        <w:rPr>
          <w:rFonts w:hint="eastAsia" w:ascii="仿宋_GB2312" w:hAnsi="仿宋_GB2312" w:eastAsia="仿宋_GB2312" w:cs="仿宋_GB2312"/>
          <w:bCs/>
          <w:sz w:val="32"/>
          <w:szCs w:val="32"/>
          <w:lang w:val="en-US" w:eastAsia="zh-CN"/>
        </w:rPr>
        <w:t>80</w:t>
      </w:r>
      <w:r>
        <w:rPr>
          <w:rFonts w:hint="default" w:ascii="仿宋_GB2312" w:hAnsi="仿宋_GB2312" w:eastAsia="仿宋_GB2312" w:cs="仿宋_GB2312"/>
          <w:bCs/>
          <w:sz w:val="32"/>
          <w:szCs w:val="32"/>
          <w:lang w:val="zh-CN" w:eastAsia="zh-CN"/>
        </w:rPr>
        <w:t xml:space="preserve">个  </w:t>
      </w:r>
    </w:p>
    <w:p w14:paraId="67C1494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预算总金额：</w:t>
      </w:r>
      <w:r>
        <w:rPr>
          <w:rFonts w:hint="eastAsia" w:ascii="仿宋_GB2312" w:hAnsi="仿宋_GB2312" w:eastAsia="仿宋_GB2312" w:cs="仿宋_GB2312"/>
          <w:bCs/>
          <w:sz w:val="32"/>
          <w:szCs w:val="32"/>
          <w:lang w:val="en-US" w:eastAsia="zh-CN"/>
        </w:rPr>
        <w:t>1980.1</w:t>
      </w:r>
      <w:r>
        <w:rPr>
          <w:rFonts w:hint="default" w:ascii="仿宋_GB2312" w:hAnsi="仿宋_GB2312" w:eastAsia="仿宋_GB2312" w:cs="仿宋_GB2312"/>
          <w:bCs/>
          <w:sz w:val="32"/>
          <w:szCs w:val="32"/>
          <w:lang w:val="zh-CN" w:eastAsia="zh-CN"/>
        </w:rPr>
        <w:t xml:space="preserve">万元  </w:t>
      </w:r>
    </w:p>
    <w:p w14:paraId="507310A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1—12月预算执行进度：98.8%  </w:t>
      </w:r>
    </w:p>
    <w:p w14:paraId="74B5794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预算结余率&gt;2%的项目：</w:t>
      </w:r>
      <w:r>
        <w:rPr>
          <w:rFonts w:hint="default" w:ascii="仿宋_GB2312" w:hAnsi="仿宋_GB2312" w:eastAsia="仿宋_GB2312" w:cs="仿宋_GB2312"/>
          <w:bCs/>
          <w:sz w:val="32"/>
          <w:szCs w:val="32"/>
          <w:lang w:val="en-US" w:eastAsia="zh-CN"/>
        </w:rPr>
        <w:t>2</w:t>
      </w:r>
      <w:r>
        <w:rPr>
          <w:rFonts w:hint="default" w:ascii="仿宋_GB2312" w:hAnsi="仿宋_GB2312" w:eastAsia="仿宋_GB2312" w:cs="仿宋_GB2312"/>
          <w:bCs/>
          <w:sz w:val="32"/>
          <w:szCs w:val="32"/>
          <w:lang w:val="zh-CN" w:eastAsia="zh-CN"/>
        </w:rPr>
        <w:t xml:space="preserve">个  </w:t>
      </w:r>
    </w:p>
    <w:p w14:paraId="3CF6109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1. 项目决策（权重：30%）</w:t>
      </w:r>
    </w:p>
    <w:p w14:paraId="6E22FE5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决策程序：项目立项符合部门规划，审批流程规范。</w:t>
      </w:r>
    </w:p>
    <w:p w14:paraId="72F44EE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目标设置：绩效目标清晰，但需加强量化指标（如产出时效、成本控制）的细化。  </w:t>
      </w:r>
    </w:p>
    <w:p w14:paraId="48E9B99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项目入库：均纳入财政项目库管理，入库资料完整。  </w:t>
      </w:r>
    </w:p>
    <w:p w14:paraId="08F8FF15">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3</w:t>
      </w:r>
      <w:r>
        <w:rPr>
          <w:rFonts w:hint="default" w:ascii="仿宋_GB2312" w:hAnsi="仿宋_GB2312" w:eastAsia="仿宋_GB2312" w:cs="仿宋_GB2312"/>
          <w:bCs/>
          <w:sz w:val="32"/>
          <w:szCs w:val="32"/>
          <w:lang w:val="zh-CN" w:eastAsia="zh-CN"/>
        </w:rPr>
        <w:t xml:space="preserve">（扣分点：1项目目标量化不足）  </w:t>
      </w:r>
    </w:p>
    <w:p w14:paraId="0104231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2. 项目执行（权重：40%） </w:t>
      </w:r>
    </w:p>
    <w:p w14:paraId="6701DED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资金执行同向：总体执行率98.8%，资金使用与计划高度匹配。</w:t>
      </w:r>
    </w:p>
    <w:p w14:paraId="06571477">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项目调整：无重大调整，个别项目因进度优化微调资金。  </w:t>
      </w:r>
    </w:p>
    <w:p w14:paraId="5004A1F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执行结果：完成预期产出，结余资金</w:t>
      </w:r>
      <w:r>
        <w:rPr>
          <w:rFonts w:hint="default" w:ascii="仿宋_GB2312" w:hAnsi="仿宋_GB2312" w:eastAsia="仿宋_GB2312" w:cs="仿宋_GB2312"/>
          <w:bCs/>
          <w:sz w:val="32"/>
          <w:szCs w:val="32"/>
          <w:lang w:val="en-US" w:eastAsia="zh-CN"/>
        </w:rPr>
        <w:t>0.96</w:t>
      </w:r>
      <w:r>
        <w:rPr>
          <w:rFonts w:hint="default" w:ascii="仿宋_GB2312" w:hAnsi="仿宋_GB2312" w:eastAsia="仿宋_GB2312" w:cs="仿宋_GB2312"/>
          <w:bCs/>
          <w:sz w:val="32"/>
          <w:szCs w:val="32"/>
          <w:lang w:val="zh-CN" w:eastAsia="zh-CN"/>
        </w:rPr>
        <w:t xml:space="preserve">万元（0.12%），符合规定。  </w:t>
      </w:r>
    </w:p>
    <w:p w14:paraId="1198C09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4</w:t>
      </w:r>
      <w:r>
        <w:rPr>
          <w:rFonts w:hint="default" w:ascii="仿宋_GB2312" w:hAnsi="仿宋_GB2312" w:eastAsia="仿宋_GB2312" w:cs="仿宋_GB2312"/>
          <w:bCs/>
          <w:sz w:val="32"/>
          <w:szCs w:val="32"/>
          <w:lang w:val="zh-CN" w:eastAsia="zh-CN"/>
        </w:rPr>
        <w:t xml:space="preserve">（扣分点：结余项目未及时清理）  </w:t>
      </w:r>
    </w:p>
    <w:p w14:paraId="42D8DA5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3. 目标实现（权重：30%） </w:t>
      </w:r>
    </w:p>
    <w:p w14:paraId="3C0ADD62">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目标完成：56个项目均完成核心绩效指标，如服务覆盖率100%。  </w:t>
      </w:r>
    </w:p>
    <w:p w14:paraId="63FD6B0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目标偏离：1个项目因外部因素延迟验收，偏差率&lt;5%。  </w:t>
      </w:r>
    </w:p>
    <w:p w14:paraId="5A3FB0C2">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实现效果：社会效益显著（如部门满意度服务提升），但需加强满意度调查。  </w:t>
      </w:r>
    </w:p>
    <w:p w14:paraId="50A5403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4</w:t>
      </w:r>
      <w:r>
        <w:rPr>
          <w:rFonts w:hint="default" w:ascii="仿宋_GB2312" w:hAnsi="仿宋_GB2312" w:eastAsia="仿宋_GB2312" w:cs="仿宋_GB2312"/>
          <w:bCs/>
          <w:sz w:val="32"/>
          <w:szCs w:val="32"/>
          <w:lang w:val="zh-CN" w:eastAsia="zh-CN"/>
        </w:rPr>
        <w:t xml:space="preserve">（扣分点：效果评估数据不足）  </w:t>
      </w:r>
    </w:p>
    <w:p w14:paraId="4F463711">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二、阶段（含一次性）项目绩效分析</w:t>
      </w:r>
    </w:p>
    <w:p w14:paraId="7C535722">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项目总数：4个  </w:t>
      </w:r>
    </w:p>
    <w:p w14:paraId="4A744D2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预算总金额：58.83万元  </w:t>
      </w:r>
    </w:p>
    <w:p w14:paraId="4C4E1E60">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1—12月预算执行进度：100%  </w:t>
      </w:r>
    </w:p>
    <w:p w14:paraId="769AF8A7">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1. 项目决策（权重：30%） </w:t>
      </w:r>
    </w:p>
    <w:p w14:paraId="467598A2">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决策程序：均为紧急或专项任务，程序合规但前期论证可加强。  </w:t>
      </w:r>
    </w:p>
    <w:p w14:paraId="104DABB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目标设置：目标明确，但1个项目未设置中期检查节点。  </w:t>
      </w:r>
    </w:p>
    <w:p w14:paraId="3DE26CD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项目入库：纳入动态库管理，审批及时。  </w:t>
      </w:r>
    </w:p>
    <w:p w14:paraId="54B2C0E7">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4</w:t>
      </w:r>
      <w:r>
        <w:rPr>
          <w:rFonts w:hint="default" w:ascii="仿宋_GB2312" w:hAnsi="仿宋_GB2312" w:eastAsia="仿宋_GB2312" w:cs="仿宋_GB2312"/>
          <w:bCs/>
          <w:sz w:val="32"/>
          <w:szCs w:val="32"/>
          <w:lang w:val="zh-CN" w:eastAsia="zh-CN"/>
        </w:rPr>
        <w:t xml:space="preserve">（扣分点：阶段性目标未细化）  </w:t>
      </w:r>
    </w:p>
    <w:p w14:paraId="65355B2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2. 项目执行（权重：40%） </w:t>
      </w:r>
    </w:p>
    <w:p w14:paraId="5400C70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资金执行同向：执行率100%，资金拨付与实施进度完全同步。  </w:t>
      </w:r>
    </w:p>
    <w:p w14:paraId="5F91F15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项目调整：无调整，按计划完成。  </w:t>
      </w:r>
    </w:p>
    <w:p w14:paraId="748F898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执行结果：全部按期验收，结余资金0元。  </w:t>
      </w:r>
    </w:p>
    <w:p w14:paraId="7CB7F52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评分：</w:t>
      </w:r>
      <w:r>
        <w:rPr>
          <w:rFonts w:hint="default" w:ascii="仿宋_GB2312" w:hAnsi="仿宋_GB2312" w:eastAsia="仿宋_GB2312" w:cs="仿宋_GB2312"/>
          <w:bCs/>
          <w:sz w:val="32"/>
          <w:szCs w:val="32"/>
          <w:lang w:val="en-US" w:eastAsia="zh-CN"/>
        </w:rPr>
        <w:t>4</w:t>
      </w:r>
      <w:r>
        <w:rPr>
          <w:rFonts w:hint="default" w:ascii="仿宋_GB2312" w:hAnsi="仿宋_GB2312" w:eastAsia="仿宋_GB2312" w:cs="仿宋_GB2312"/>
          <w:bCs/>
          <w:sz w:val="32"/>
          <w:szCs w:val="32"/>
          <w:lang w:val="zh-CN" w:eastAsia="zh-CN"/>
        </w:rPr>
        <w:t xml:space="preserve"> </w:t>
      </w:r>
    </w:p>
    <w:p w14:paraId="01E893C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3. 目标实现（权重：30%）  </w:t>
      </w:r>
    </w:p>
    <w:p w14:paraId="75AC679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目标完成：4个项目均达成预期成果（如一次性抚恤金、退休职工建房补贴完成）。  </w:t>
      </w:r>
    </w:p>
    <w:p w14:paraId="273AA5A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目标偏离：无偏离。  </w:t>
      </w:r>
    </w:p>
    <w:p w14:paraId="26034952">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实现效果：短期效益显著（如办文办会质量提升），长期效果待跟踪。  </w:t>
      </w:r>
    </w:p>
    <w:p w14:paraId="1944EA77">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三、问题与建议 </w:t>
      </w:r>
    </w:p>
    <w:p w14:paraId="44B41A7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1. 问题：  </w:t>
      </w:r>
    </w:p>
    <w:p w14:paraId="4A1D011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   常年项目中1个结余率&gt;2%的项目需分析原因（如预算编制过松或执行滞后）。  </w:t>
      </w:r>
    </w:p>
    <w:p w14:paraId="63AC43B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   部分项目绩效目标缺乏量化指标，效果评估数据不足。  </w:t>
      </w:r>
    </w:p>
    <w:p w14:paraId="23440274">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2. 建议：  </w:t>
      </w:r>
    </w:p>
    <w:p w14:paraId="0A2ED38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   加强预算编制精准性，建立结余资金预警机制。  </w:t>
      </w:r>
    </w:p>
    <w:p w14:paraId="3035776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 xml:space="preserve">总体绩效评分：95.5/100（加权平均）  </w:t>
      </w:r>
    </w:p>
    <w:p w14:paraId="186611E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eastAsia" w:ascii="仿宋_GB2312" w:hAnsi="仿宋_GB2312" w:eastAsia="仿宋_GB2312" w:cs="仿宋_GB2312"/>
          <w:bCs/>
          <w:sz w:val="32"/>
          <w:szCs w:val="32"/>
          <w:lang w:val="zh-CN" w:eastAsia="zh-CN"/>
        </w:rPr>
        <w:t>（一）</w:t>
      </w:r>
      <w:r>
        <w:rPr>
          <w:rFonts w:hint="default" w:ascii="仿宋_GB2312" w:hAnsi="仿宋_GB2312" w:eastAsia="仿宋_GB2312" w:cs="仿宋_GB2312"/>
          <w:bCs/>
          <w:sz w:val="32"/>
          <w:szCs w:val="32"/>
          <w:lang w:val="zh-CN" w:eastAsia="zh-CN"/>
        </w:rPr>
        <w:t>绩效结果应用情况。围绕内部应用情况、信息公开情况、整改反馈情况进行分析。</w:t>
      </w:r>
    </w:p>
    <w:p w14:paraId="2D89F2C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 xml:space="preserve">1. 内部应用情况 </w:t>
      </w:r>
    </w:p>
    <w:p w14:paraId="78565BE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预算挂钩机制：绩效评价结果已与202</w:t>
      </w:r>
      <w:r>
        <w:rPr>
          <w:rFonts w:hint="eastAsia" w:ascii="仿宋_GB2312" w:hAnsi="仿宋_GB2312" w:eastAsia="仿宋_GB2312" w:cs="仿宋_GB2312"/>
          <w:bCs/>
          <w:sz w:val="32"/>
          <w:szCs w:val="32"/>
          <w:lang w:val="en-US" w:eastAsia="zh-CN"/>
        </w:rPr>
        <w:t>5</w:t>
      </w:r>
      <w:r>
        <w:rPr>
          <w:rFonts w:hint="default" w:ascii="仿宋_GB2312" w:hAnsi="仿宋_GB2312" w:eastAsia="仿宋_GB2312" w:cs="仿宋_GB2312"/>
          <w:bCs/>
          <w:sz w:val="32"/>
          <w:szCs w:val="32"/>
          <w:lang w:val="en-US" w:eastAsia="zh-CN"/>
        </w:rPr>
        <w:t xml:space="preserve">年预算安排挂钩，对执行率低、效益不明显的1个常年项目（结余率&gt;2%）压减预算5%，对绩效优秀的3个项目优先保障资金。  </w:t>
      </w:r>
    </w:p>
    <w:p w14:paraId="2AF59C4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 xml:space="preserve">考核激励：将绩效评价结果纳入部门年度考核，占比15%，对项目执行较好的科室给予通报表扬。  </w:t>
      </w:r>
    </w:p>
    <w:p w14:paraId="2890CCA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 xml:space="preserve">2. 信息公开情况 </w:t>
      </w:r>
    </w:p>
    <w:p w14:paraId="66E17E4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 xml:space="preserve">公开范围：绩效自评报告、重点项目评价结果已在部门官网公示，但未细化至三级指标得分。  </w:t>
      </w:r>
    </w:p>
    <w:p w14:paraId="017178B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 xml:space="preserve">公开时效：按要求在预算批复后20日内公开，但阶段项目效果跟踪数据未动态更新。  </w:t>
      </w:r>
    </w:p>
    <w:p w14:paraId="63E396A6">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 xml:space="preserve">3. 整改反馈情况  </w:t>
      </w:r>
    </w:p>
    <w:p w14:paraId="4C8C1A5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问题整改：针对202</w:t>
      </w:r>
      <w:r>
        <w:rPr>
          <w:rFonts w:hint="eastAsia" w:ascii="仿宋_GB2312" w:hAnsi="仿宋_GB2312" w:eastAsia="仿宋_GB2312" w:cs="仿宋_GB2312"/>
          <w:bCs/>
          <w:sz w:val="32"/>
          <w:szCs w:val="32"/>
          <w:lang w:val="en-US" w:eastAsia="zh-CN"/>
        </w:rPr>
        <w:t>5</w:t>
      </w:r>
      <w:r>
        <w:rPr>
          <w:rFonts w:hint="default" w:ascii="仿宋_GB2312" w:hAnsi="仿宋_GB2312" w:eastAsia="仿宋_GB2312" w:cs="仿宋_GB2312"/>
          <w:bCs/>
          <w:sz w:val="32"/>
          <w:szCs w:val="32"/>
          <w:lang w:val="en-US" w:eastAsia="zh-CN"/>
        </w:rPr>
        <w:t xml:space="preserve">年绩效评价发现的3项问题（如结余资金清理不及时）已全部整改。  </w:t>
      </w:r>
    </w:p>
    <w:p w14:paraId="301FC74C">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 xml:space="preserve">长效机制：建立“评价-反馈-整改-回头看”闭环管理流程，每季度开展执行督查。  </w:t>
      </w:r>
    </w:p>
    <w:p w14:paraId="47DB7EB3">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四、评价结论及建议</w:t>
      </w:r>
    </w:p>
    <w:p w14:paraId="24268FF5">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（一）评价结论。</w:t>
      </w:r>
    </w:p>
    <w:p w14:paraId="03E9DF48">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en-US" w:eastAsia="zh-CN"/>
        </w:rPr>
        <w:t>根据《红原县部门整体支出绩效评价指标体系》自查的分</w:t>
      </w:r>
      <w:r>
        <w:rPr>
          <w:rFonts w:hint="eastAsia" w:ascii="仿宋_GB2312" w:hAnsi="仿宋_GB2312" w:eastAsia="仿宋_GB2312" w:cs="仿宋_GB2312"/>
          <w:bCs/>
          <w:sz w:val="32"/>
          <w:szCs w:val="32"/>
          <w:lang w:val="en-US" w:eastAsia="zh-CN"/>
        </w:rPr>
        <w:t>87</w:t>
      </w:r>
      <w:r>
        <w:rPr>
          <w:rFonts w:hint="default" w:ascii="仿宋_GB2312" w:hAnsi="仿宋_GB2312" w:eastAsia="仿宋_GB2312" w:cs="仿宋_GB2312"/>
          <w:bCs/>
          <w:sz w:val="32"/>
          <w:szCs w:val="32"/>
          <w:lang w:val="en-US" w:eastAsia="zh-CN"/>
        </w:rPr>
        <w:t>分，总体评价较好。</w:t>
      </w:r>
    </w:p>
    <w:p w14:paraId="644F11C2">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（二）存在问题。</w:t>
      </w:r>
    </w:p>
    <w:p w14:paraId="2BC6861D">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由于财政支出的多样性和复杂性，绩效评价指标体系设置难度大，即使可以量化，但实际操作中很多项目间缺乏可比性且指标本身也在逐步变化，需要逐步完善。</w:t>
      </w:r>
    </w:p>
    <w:p w14:paraId="1D3ACB8A">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存在的问题:在平时工作推进过程中，缺乏技术人员进行专业指导及培训，工作推进存在一定困难，预算编制还需更加精准。</w:t>
      </w:r>
    </w:p>
    <w:p w14:paraId="1CAE200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zh-CN" w:eastAsia="zh-CN"/>
        </w:rPr>
      </w:pPr>
      <w:r>
        <w:rPr>
          <w:rFonts w:hint="default" w:ascii="仿宋_GB2312" w:hAnsi="仿宋_GB2312" w:eastAsia="仿宋_GB2312" w:cs="仿宋_GB2312"/>
          <w:bCs/>
          <w:sz w:val="32"/>
          <w:szCs w:val="32"/>
          <w:lang w:val="zh-CN" w:eastAsia="zh-CN"/>
        </w:rPr>
        <w:t>（三）改进建议。</w:t>
      </w:r>
    </w:p>
    <w:p w14:paraId="212A540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通过各种途径加强绩效管理学习，科学合理编制预算，严格执行预算。</w:t>
      </w:r>
    </w:p>
    <w:p w14:paraId="52422541">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p>
    <w:p w14:paraId="419043CF">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附表：1.部门预算绩效自评打分表</w:t>
      </w:r>
    </w:p>
    <w:p w14:paraId="15FA7A19">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2.部门整体绩效目标完成情况自评表</w:t>
      </w:r>
    </w:p>
    <w:p w14:paraId="6E37917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3.部门预算项目支出绩效评价表（202</w:t>
      </w:r>
      <w:r>
        <w:rPr>
          <w:rFonts w:hint="eastAsia" w:ascii="仿宋_GB2312" w:hAnsi="仿宋_GB2312" w:eastAsia="仿宋_GB2312" w:cs="仿宋_GB2312"/>
          <w:bCs/>
          <w:sz w:val="32"/>
          <w:szCs w:val="32"/>
          <w:lang w:val="en-US" w:eastAsia="zh-CN"/>
        </w:rPr>
        <w:t>5</w:t>
      </w:r>
      <w:r>
        <w:rPr>
          <w:rFonts w:hint="default" w:ascii="仿宋_GB2312" w:hAnsi="仿宋_GB2312" w:eastAsia="仿宋_GB2312" w:cs="仿宋_GB2312"/>
          <w:bCs/>
          <w:sz w:val="32"/>
          <w:szCs w:val="32"/>
          <w:lang w:val="en-US" w:eastAsia="zh-CN"/>
        </w:rPr>
        <w:t>年度）</w:t>
      </w:r>
    </w:p>
    <w:p w14:paraId="68FFBFEE">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p>
    <w:p w14:paraId="0D464EE1">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p>
    <w:p w14:paraId="0A0E7B1B">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left"/>
        <w:textAlignment w:val="auto"/>
        <w:rPr>
          <w:rFonts w:hint="default" w:ascii="仿宋_GB2312" w:hAnsi="仿宋_GB2312" w:eastAsia="仿宋_GB2312" w:cs="仿宋_GB2312"/>
          <w:bCs/>
          <w:sz w:val="32"/>
          <w:szCs w:val="32"/>
          <w:lang w:val="en-US" w:eastAsia="zh-CN"/>
        </w:rPr>
      </w:pPr>
    </w:p>
    <w:p w14:paraId="33D71792">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center"/>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 xml:space="preserve">        红原县人民政府办公室</w:t>
      </w:r>
    </w:p>
    <w:p w14:paraId="325CF3D0">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jc w:val="center"/>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 xml:space="preserve">       2025年3月28日</w:t>
      </w:r>
    </w:p>
    <w:p w14:paraId="7E9DD3DD">
      <w:pPr>
        <w:pStyle w:val="7"/>
        <w:rPr>
          <w:rFonts w:hint="eastAsia" w:ascii="仿宋_GB2312" w:hAnsi="仿宋_GB2312" w:eastAsia="仿宋_GB2312" w:cs="仿宋_GB2312"/>
          <w:bCs/>
          <w:sz w:val="32"/>
          <w:szCs w:val="32"/>
          <w:lang w:val="en-US" w:eastAsia="zh-CN"/>
        </w:rPr>
      </w:pPr>
    </w:p>
    <w:p w14:paraId="2547A21C">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default" w:ascii="Times New Roman" w:hAnsi="Times New Roman" w:eastAsia="方正小标宋简体" w:cs="Times New Roman"/>
          <w:i w:val="0"/>
          <w:color w:val="000000"/>
          <w:kern w:val="0"/>
          <w:sz w:val="44"/>
          <w:szCs w:val="44"/>
          <w:u w:val="none"/>
          <w:lang w:val="en-US" w:eastAsia="zh-CN" w:bidi="ar"/>
        </w:rPr>
      </w:pPr>
    </w:p>
    <w:p w14:paraId="2FCD69E4">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default" w:ascii="Times New Roman" w:hAnsi="Times New Roman" w:eastAsia="方正小标宋简体" w:cs="Times New Roman"/>
          <w:i w:val="0"/>
          <w:color w:val="000000"/>
          <w:kern w:val="0"/>
          <w:sz w:val="44"/>
          <w:szCs w:val="44"/>
          <w:u w:val="none"/>
          <w:lang w:val="en-US" w:eastAsia="zh-CN" w:bidi="ar"/>
        </w:rPr>
      </w:pPr>
      <w:bookmarkStart w:id="64" w:name="_GoBack"/>
      <w:bookmarkEnd w:id="64"/>
      <w:r>
        <w:rPr>
          <w:rFonts w:hint="default"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20"/>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4"/>
        <w:gridCol w:w="1462"/>
        <w:gridCol w:w="1665"/>
        <w:gridCol w:w="720"/>
        <w:gridCol w:w="4734"/>
        <w:gridCol w:w="756"/>
        <w:gridCol w:w="478"/>
      </w:tblGrid>
      <w:tr w14:paraId="02993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85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F4220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绩效评价指标指标分值</w:t>
            </w:r>
          </w:p>
        </w:tc>
        <w:tc>
          <w:tcPr>
            <w:tcW w:w="47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93E1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指标解释</w:t>
            </w:r>
          </w:p>
        </w:tc>
        <w:tc>
          <w:tcPr>
            <w:tcW w:w="756" w:type="dxa"/>
            <w:vMerge w:val="restart"/>
            <w:tcBorders>
              <w:top w:val="single" w:color="000000" w:sz="4" w:space="0"/>
              <w:left w:val="single" w:color="000000" w:sz="4" w:space="0"/>
              <w:right w:val="single" w:color="000000" w:sz="4" w:space="0"/>
            </w:tcBorders>
            <w:shd w:val="clear" w:color="auto" w:fill="auto"/>
            <w:vAlign w:val="center"/>
          </w:tcPr>
          <w:p w14:paraId="008ABC7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黑体" w:cs="Times New Roman"/>
                <w:i w:val="0"/>
                <w:color w:val="000000"/>
                <w:kern w:val="0"/>
                <w:sz w:val="24"/>
                <w:szCs w:val="24"/>
                <w:u w:val="none"/>
                <w:lang w:val="en-US" w:eastAsia="zh-CN" w:bidi="ar"/>
              </w:rPr>
            </w:pPr>
            <w:r>
              <w:rPr>
                <w:rFonts w:hint="default" w:ascii="Times New Roman" w:hAnsi="Times New Roman" w:eastAsia="黑体" w:cs="Times New Roman"/>
                <w:i w:val="0"/>
                <w:color w:val="000000"/>
                <w:kern w:val="0"/>
                <w:sz w:val="24"/>
                <w:szCs w:val="24"/>
                <w:u w:val="none"/>
                <w:lang w:val="en-US" w:eastAsia="zh-CN" w:bidi="ar"/>
              </w:rPr>
              <w:t>自评得分</w:t>
            </w:r>
          </w:p>
        </w:tc>
        <w:tc>
          <w:tcPr>
            <w:tcW w:w="478" w:type="dxa"/>
            <w:vMerge w:val="restart"/>
            <w:tcBorders>
              <w:top w:val="single" w:color="000000" w:sz="4" w:space="0"/>
              <w:left w:val="single" w:color="000000" w:sz="4" w:space="0"/>
              <w:right w:val="single" w:color="000000" w:sz="4" w:space="0"/>
            </w:tcBorders>
            <w:shd w:val="clear" w:color="auto" w:fill="auto"/>
            <w:vAlign w:val="center"/>
          </w:tcPr>
          <w:p w14:paraId="2B4BE62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黑体" w:cs="Times New Roman"/>
                <w:i w:val="0"/>
                <w:color w:val="000000"/>
                <w:kern w:val="0"/>
                <w:sz w:val="24"/>
                <w:szCs w:val="24"/>
                <w:u w:val="none"/>
                <w:lang w:val="en-US" w:eastAsia="zh-CN" w:bidi="ar"/>
              </w:rPr>
            </w:pPr>
            <w:r>
              <w:rPr>
                <w:rFonts w:hint="default" w:ascii="Times New Roman" w:hAnsi="Times New Roman" w:eastAsia="黑体" w:cs="Times New Roman"/>
                <w:i w:val="0"/>
                <w:color w:val="000000"/>
                <w:kern w:val="0"/>
                <w:sz w:val="24"/>
                <w:szCs w:val="24"/>
                <w:u w:val="none"/>
                <w:lang w:val="en-US" w:eastAsia="zh-CN" w:bidi="ar"/>
              </w:rPr>
              <w:t>备注</w:t>
            </w:r>
          </w:p>
        </w:tc>
      </w:tr>
      <w:tr w14:paraId="211DC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shd w:val="clear" w:color="auto" w:fill="auto"/>
            <w:vAlign w:val="center"/>
          </w:tcPr>
          <w:p w14:paraId="3F2096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8673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0650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三级指标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B9AA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指标</w:t>
            </w:r>
            <w:r>
              <w:rPr>
                <w:rFonts w:hint="default" w:ascii="Times New Roman" w:hAnsi="Times New Roman" w:eastAsia="黑体" w:cs="Times New Roman"/>
                <w:i w:val="0"/>
                <w:color w:val="000000"/>
                <w:kern w:val="0"/>
                <w:sz w:val="24"/>
                <w:szCs w:val="24"/>
                <w:u w:val="none"/>
                <w:lang w:val="en-US" w:eastAsia="zh-CN" w:bidi="ar"/>
              </w:rPr>
              <w:br w:type="textWrapping"/>
            </w:r>
            <w:r>
              <w:rPr>
                <w:rFonts w:hint="default" w:ascii="Times New Roman" w:hAnsi="Times New Roman" w:eastAsia="黑体" w:cs="Times New Roman"/>
                <w:i w:val="0"/>
                <w:color w:val="000000"/>
                <w:kern w:val="0"/>
                <w:sz w:val="24"/>
                <w:szCs w:val="24"/>
                <w:u w:val="none"/>
                <w:lang w:val="en-US" w:eastAsia="zh-CN" w:bidi="ar"/>
              </w:rPr>
              <w:t>分值</w:t>
            </w:r>
          </w:p>
        </w:tc>
        <w:tc>
          <w:tcPr>
            <w:tcW w:w="47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F0EF3">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黑体" w:cs="Times New Roman"/>
                <w:i w:val="0"/>
                <w:color w:val="000000"/>
                <w:sz w:val="24"/>
                <w:szCs w:val="24"/>
                <w:u w:val="none"/>
              </w:rPr>
            </w:pPr>
          </w:p>
        </w:tc>
        <w:tc>
          <w:tcPr>
            <w:tcW w:w="756" w:type="dxa"/>
            <w:vMerge w:val="continue"/>
            <w:tcBorders>
              <w:left w:val="single" w:color="000000" w:sz="4" w:space="0"/>
              <w:bottom w:val="single" w:color="000000" w:sz="4" w:space="0"/>
              <w:right w:val="single" w:color="000000" w:sz="4" w:space="0"/>
            </w:tcBorders>
            <w:shd w:val="clear" w:color="auto" w:fill="auto"/>
            <w:vAlign w:val="center"/>
          </w:tcPr>
          <w:p w14:paraId="0C1986C4">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黑体" w:cs="Times New Roman"/>
                <w:i w:val="0"/>
                <w:color w:val="000000"/>
                <w:sz w:val="24"/>
                <w:szCs w:val="24"/>
                <w:u w:val="none"/>
              </w:rPr>
            </w:pPr>
          </w:p>
        </w:tc>
        <w:tc>
          <w:tcPr>
            <w:tcW w:w="478" w:type="dxa"/>
            <w:vMerge w:val="continue"/>
            <w:tcBorders>
              <w:left w:val="single" w:color="000000" w:sz="4" w:space="0"/>
              <w:bottom w:val="single" w:color="000000" w:sz="4" w:space="0"/>
              <w:right w:val="single" w:color="000000" w:sz="4" w:space="0"/>
            </w:tcBorders>
            <w:shd w:val="clear" w:color="auto" w:fill="auto"/>
            <w:vAlign w:val="center"/>
          </w:tcPr>
          <w:p w14:paraId="68BEC27C">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黑体" w:cs="Times New Roman"/>
                <w:i w:val="0"/>
                <w:color w:val="000000"/>
                <w:sz w:val="24"/>
                <w:szCs w:val="24"/>
                <w:u w:val="none"/>
              </w:rPr>
            </w:pPr>
          </w:p>
        </w:tc>
      </w:tr>
      <w:tr w14:paraId="7FB32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ED882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总体绩效</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BC2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履职效能</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2E44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履职效果</w:t>
            </w:r>
          </w:p>
        </w:tc>
        <w:tc>
          <w:tcPr>
            <w:tcW w:w="720" w:type="dxa"/>
            <w:tcBorders>
              <w:top w:val="nil"/>
              <w:left w:val="single" w:color="000000" w:sz="4" w:space="0"/>
              <w:bottom w:val="single" w:color="000000" w:sz="4" w:space="0"/>
              <w:right w:val="single" w:color="000000" w:sz="4" w:space="0"/>
            </w:tcBorders>
            <w:shd w:val="clear" w:color="auto" w:fill="auto"/>
            <w:vAlign w:val="center"/>
          </w:tcPr>
          <w:p w14:paraId="5328F84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71B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部门整体绩效目标中选定3-5个核心职能目标，反映该项职能目标完成效果情况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905A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14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BF3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3C7C3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B0537">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BFE2F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预算管理</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3B3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预算编制质量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004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53AF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部门是否严格按要求编制年初部门预算，年初预算编制的科学性和准确性</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D619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7</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009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00E45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9F652">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17556">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CEC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单位收入统筹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451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B507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部门统筹自有收入程度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D00A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C0AD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38FE9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FFD25">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F7A82">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939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支出执行进度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8EEB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DC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部门1至6月、1至10月预算执行情况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C38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92D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65D9D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00837">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D30BD">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9E9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预算年终结余</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128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6A7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部门整体年终预算结余情况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B3AD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EBAB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5A36B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C0D2A">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09B40">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A5DA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严控一般性支出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0F4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760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1D8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6A10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14AAF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489DE">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56749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财务管理</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C7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财务管理制度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7872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5A84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部门财务管理制度建立情况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DFF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635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3602B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426A0A">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C46F9">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3814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财务岗位设置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90F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5D3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部门财务岗位设置是否符合相关财务管理制度要求</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F7B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3697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0B868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36F9B">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C7817">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9025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资金使用规范</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003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09B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部门资金使用是否符合相关财务管理制度规定</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D935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9C0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5212B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5BCA5">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1888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资产管理</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6245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人均资产变化率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3E5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575A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部门人均资产变化情况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4536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8A89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205DA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5B3D2">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F9395">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EC62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资产利用率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FAA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06B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部门资产超最低使用年限情况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EA4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D1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56CF5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4C388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总体绩效</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5223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资产管理</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D395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资产盘活率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88E4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8E67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部门闲置一年以上的资产盘活情况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4CF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F7B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304F0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E2C9B">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03667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采购管理</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253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支持中小企业发展</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8B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D38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部门是否严格执行政府采购促进中小企业发展相关管理办法</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02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36DF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1462F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8DF4C">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79A3E">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96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采购执行率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05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8F6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部门政府采购项目资金支付比例情况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B1D0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AC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54614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A0AE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项目绩效</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14:paraId="5524730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项目决策</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AC5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决策程序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5FC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6DB1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部门预算项目设立是否按规定履行评估论证、申报程序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8009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1B4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409B8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678C8">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14:paraId="120BECA5">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919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54B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330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6B3E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C68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165AC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DA693">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14:paraId="01566086">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2A5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项目入库</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5B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24A8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部门预算项目是否在规定时间完成项目入库</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F90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E44F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1264B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F289CC">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14:paraId="5BDB5AA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项目执行</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7E6D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执行同向</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8173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D1C4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部门预算项目实际列支内容是否与绩效目标设置方向相符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1F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88E2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54D77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B9E8C">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14:paraId="2C5D4151">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shd w:val="clear" w:color="auto" w:fill="auto"/>
            <w:vAlign w:val="center"/>
          </w:tcPr>
          <w:p w14:paraId="5E77472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项目调整</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0D2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37DA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部门预算项目是否采取对应调整措施</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2B6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84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1D97C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23823">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14:paraId="77FF3C80">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FF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执行结果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2A87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1778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部门预算项目预算执行情况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96B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1E62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3659B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6AD15">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7607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目标实现</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DB13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目标完成</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310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62F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部门预算项目绩效目标数量指标完成情况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B05E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858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574FD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1D261">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DBCE2">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37D3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目标偏离</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8AAF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ED94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部门预算项目绩效目标数量指标实现程度与预期目标的偏离情况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079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54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49137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9DD24">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A3D83">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宋体" w:cs="Times New Roman"/>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742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实现效果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58D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0B3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部门预算项目绩效目标效益指标实施效果</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7B8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DC05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r w14:paraId="1232E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79D2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扣分项</w:t>
            </w:r>
            <w:r>
              <w:rPr>
                <w:rFonts w:hint="default" w:ascii="Times New Roman" w:hAnsi="Times New Roman" w:eastAsia="宋体" w:cs="Times New Roman"/>
                <w:b/>
                <w:i w:val="0"/>
                <w:color w:val="000000"/>
                <w:kern w:val="0"/>
                <w:sz w:val="24"/>
                <w:szCs w:val="24"/>
                <w:u w:val="none"/>
                <w:lang w:val="en-US" w:eastAsia="zh-CN" w:bidi="ar"/>
              </w:rPr>
              <w:br w:type="textWrapping"/>
            </w:r>
            <w:r>
              <w:rPr>
                <w:rFonts w:hint="default" w:ascii="Times New Roman" w:hAnsi="Times New Roman" w:eastAsia="宋体" w:cs="Times New Roman"/>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6BE5A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被评价部门配合度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FFF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60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被评价对象工作配合情况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0FF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0</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09F8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i w:val="0"/>
                <w:color w:val="000000"/>
                <w:kern w:val="0"/>
                <w:sz w:val="24"/>
                <w:szCs w:val="24"/>
                <w:u w:val="none"/>
                <w:lang w:val="en-US" w:eastAsia="zh-CN" w:bidi="ar"/>
              </w:rPr>
            </w:pPr>
          </w:p>
        </w:tc>
      </w:tr>
    </w:tbl>
    <w:p w14:paraId="48E5343D">
      <w:pPr>
        <w:pStyle w:val="24"/>
        <w:keepNext/>
        <w:keepLines/>
        <w:pageBreakBefore w:val="0"/>
        <w:widowControl w:val="0"/>
        <w:kinsoku/>
        <w:wordWrap/>
        <w:overflowPunct/>
        <w:topLinePunct w:val="0"/>
        <w:autoSpaceDE/>
        <w:autoSpaceDN/>
        <w:bidi w:val="0"/>
        <w:adjustRightInd/>
        <w:snapToGrid/>
        <w:spacing w:line="20" w:lineRule="exact"/>
        <w:textAlignment w:val="auto"/>
        <w:rPr>
          <w:rFonts w:hint="default" w:ascii="Times New Roman" w:hAnsi="Times New Roman" w:cs="Times New Roman"/>
          <w:lang w:val="en-US" w:eastAsia="zh-CN"/>
        </w:rPr>
      </w:pPr>
    </w:p>
    <w:p w14:paraId="7A5317B1">
      <w:pPr>
        <w:spacing w:line="600" w:lineRule="exact"/>
        <w:jc w:val="center"/>
        <w:rPr>
          <w:rFonts w:hint="eastAsia" w:ascii="Times New Roman" w:hAnsi="Times New Roman" w:eastAsia="仿宋_GB2312" w:cs="仿宋_GB2312"/>
          <w:color w:val="auto"/>
          <w:kern w:val="2"/>
          <w:sz w:val="32"/>
          <w:szCs w:val="32"/>
          <w:highlight w:val="none"/>
          <w:lang w:val="en-US" w:eastAsia="zh-CN" w:bidi="ar-SA"/>
        </w:rPr>
      </w:pPr>
    </w:p>
    <w:bookmarkEnd w:id="48"/>
    <w:p w14:paraId="0A543FD7">
      <w:pPr>
        <w:widowControl/>
        <w:jc w:val="both"/>
        <w:rPr>
          <w:rFonts w:hint="eastAsia" w:ascii="Times New Roman" w:hAnsi="Times New Roman" w:eastAsia="黑体"/>
          <w:color w:val="auto"/>
          <w:sz w:val="44"/>
          <w:szCs w:val="44"/>
          <w:highlight w:val="none"/>
        </w:rPr>
      </w:pPr>
      <w:bookmarkStart w:id="50" w:name="_Toc15396618"/>
    </w:p>
    <w:p w14:paraId="5AF44074">
      <w:pPr>
        <w:widowControl/>
        <w:jc w:val="center"/>
        <w:rPr>
          <w:rFonts w:hint="eastAsia" w:ascii="Times New Roman" w:hAnsi="Times New Roman" w:eastAsia="黑体"/>
          <w:color w:val="auto"/>
          <w:sz w:val="44"/>
          <w:szCs w:val="44"/>
          <w:highlight w:val="none"/>
        </w:rPr>
      </w:pPr>
    </w:p>
    <w:p w14:paraId="73F4A68C">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33"/>
          <w:rFonts w:hint="eastAsia" w:ascii="Times New Roman" w:hAnsi="Times New Roman" w:eastAsia="黑体"/>
          <w:b w:val="0"/>
          <w:color w:val="auto"/>
          <w:highlight w:val="none"/>
        </w:rPr>
        <w:t>五部分 附表</w:t>
      </w:r>
      <w:bookmarkEnd w:id="47"/>
      <w:bookmarkEnd w:id="50"/>
      <w:bookmarkStart w:id="51" w:name="_Toc15396619"/>
    </w:p>
    <w:p w14:paraId="40B2C77B">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6C48675F">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1"/>
    </w:p>
    <w:p w14:paraId="4EBCFA0E">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0"/>
      <w:r>
        <w:rPr>
          <w:rFonts w:hint="eastAsia" w:ascii="Times New Roman" w:hAnsi="Times New Roman" w:eastAsia="仿宋_GB2312" w:cs="仿宋_GB2312"/>
          <w:color w:val="auto"/>
          <w:sz w:val="32"/>
          <w:szCs w:val="32"/>
          <w:highlight w:val="none"/>
        </w:rPr>
        <w:t>二、收入决算表</w:t>
      </w:r>
      <w:bookmarkEnd w:id="52"/>
    </w:p>
    <w:p w14:paraId="29086FDD">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1"/>
      <w:r>
        <w:rPr>
          <w:rFonts w:hint="eastAsia" w:ascii="Times New Roman" w:hAnsi="Times New Roman" w:eastAsia="仿宋_GB2312" w:cs="仿宋_GB2312"/>
          <w:color w:val="auto"/>
          <w:sz w:val="32"/>
          <w:szCs w:val="32"/>
          <w:highlight w:val="none"/>
        </w:rPr>
        <w:t>三、支出决算表</w:t>
      </w:r>
      <w:bookmarkEnd w:id="53"/>
    </w:p>
    <w:p w14:paraId="033DFE1D">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2"/>
      <w:r>
        <w:rPr>
          <w:rFonts w:hint="eastAsia" w:ascii="Times New Roman" w:hAnsi="Times New Roman" w:eastAsia="仿宋_GB2312" w:cs="仿宋_GB2312"/>
          <w:color w:val="auto"/>
          <w:sz w:val="32"/>
          <w:szCs w:val="32"/>
          <w:highlight w:val="none"/>
        </w:rPr>
        <w:t>四、财政拨款收入支出决算总表</w:t>
      </w:r>
      <w:bookmarkEnd w:id="54"/>
    </w:p>
    <w:p w14:paraId="2B2B0DE6">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3"/>
      <w:r>
        <w:rPr>
          <w:rFonts w:hint="eastAsia" w:ascii="Times New Roman" w:hAnsi="Times New Roman" w:eastAsia="仿宋_GB2312" w:cs="仿宋_GB2312"/>
          <w:color w:val="auto"/>
          <w:sz w:val="32"/>
          <w:szCs w:val="32"/>
          <w:highlight w:val="none"/>
        </w:rPr>
        <w:t>五、财政拨款支出决算明细表</w:t>
      </w:r>
      <w:bookmarkEnd w:id="55"/>
      <w:bookmarkStart w:id="56" w:name="_Toc15396624"/>
    </w:p>
    <w:p w14:paraId="770FD0EF">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6"/>
    </w:p>
    <w:p w14:paraId="3A570386">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5"/>
      <w:r>
        <w:rPr>
          <w:rFonts w:hint="eastAsia" w:ascii="Times New Roman" w:hAnsi="Times New Roman" w:eastAsia="仿宋_GB2312" w:cs="仿宋_GB2312"/>
          <w:color w:val="auto"/>
          <w:sz w:val="32"/>
          <w:szCs w:val="32"/>
          <w:highlight w:val="none"/>
        </w:rPr>
        <w:t>七、一般公共预算财政拨款支出决算明细表</w:t>
      </w:r>
      <w:bookmarkEnd w:id="57"/>
    </w:p>
    <w:p w14:paraId="15CB9784">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6"/>
      <w:r>
        <w:rPr>
          <w:rFonts w:hint="eastAsia" w:ascii="Times New Roman" w:hAnsi="Times New Roman" w:eastAsia="仿宋_GB2312" w:cs="仿宋_GB2312"/>
          <w:color w:val="auto"/>
          <w:sz w:val="32"/>
          <w:szCs w:val="32"/>
          <w:highlight w:val="none"/>
        </w:rPr>
        <w:t>八、一般公共预算财政拨款基本支出决算表</w:t>
      </w:r>
      <w:bookmarkEnd w:id="58"/>
    </w:p>
    <w:p w14:paraId="7CF1E6F7">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7"/>
      <w:r>
        <w:rPr>
          <w:rFonts w:hint="eastAsia" w:ascii="Times New Roman" w:hAnsi="Times New Roman" w:eastAsia="仿宋_GB2312" w:cs="仿宋_GB2312"/>
          <w:color w:val="auto"/>
          <w:sz w:val="32"/>
          <w:szCs w:val="32"/>
          <w:highlight w:val="none"/>
        </w:rPr>
        <w:t>九、一般公共预算财政拨款项目支出决算表</w:t>
      </w:r>
      <w:bookmarkEnd w:id="59"/>
    </w:p>
    <w:p w14:paraId="7A6AA9C8">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28"/>
      <w:r>
        <w:rPr>
          <w:rFonts w:hint="eastAsia" w:ascii="Times New Roman" w:hAnsi="Times New Roman" w:eastAsia="仿宋_GB2312" w:cs="仿宋_GB2312"/>
          <w:color w:val="auto"/>
          <w:sz w:val="32"/>
          <w:szCs w:val="32"/>
          <w:highlight w:val="none"/>
        </w:rPr>
        <w:t>十、</w:t>
      </w:r>
      <w:bookmarkEnd w:id="60"/>
      <w:r>
        <w:rPr>
          <w:rFonts w:hint="eastAsia" w:ascii="Times New Roman" w:hAnsi="Times New Roman" w:eastAsia="仿宋_GB2312" w:cs="仿宋_GB2312"/>
          <w:color w:val="auto"/>
          <w:sz w:val="32"/>
          <w:szCs w:val="32"/>
          <w:highlight w:val="none"/>
        </w:rPr>
        <w:t>政府性基金预算财政拨款收入支出决算表</w:t>
      </w:r>
    </w:p>
    <w:p w14:paraId="17D6AB05">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1" w:name="_Toc15396629"/>
      <w:r>
        <w:rPr>
          <w:rFonts w:hint="eastAsia" w:ascii="Times New Roman" w:hAnsi="Times New Roman" w:eastAsia="仿宋_GB2312" w:cs="仿宋_GB2312"/>
          <w:color w:val="auto"/>
          <w:sz w:val="32"/>
          <w:szCs w:val="32"/>
          <w:highlight w:val="none"/>
        </w:rPr>
        <w:t>十一、</w:t>
      </w:r>
      <w:bookmarkEnd w:id="61"/>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27067892">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2" w:name="_Toc15396630"/>
      <w:r>
        <w:rPr>
          <w:rFonts w:hint="eastAsia" w:ascii="Times New Roman" w:hAnsi="Times New Roman" w:eastAsia="仿宋_GB2312" w:cs="仿宋_GB2312"/>
          <w:color w:val="auto"/>
          <w:sz w:val="32"/>
          <w:szCs w:val="32"/>
          <w:highlight w:val="none"/>
        </w:rPr>
        <w:t>十二、</w:t>
      </w:r>
      <w:bookmarkEnd w:id="62"/>
      <w:r>
        <w:rPr>
          <w:rFonts w:hint="eastAsia" w:ascii="Times New Roman" w:hAnsi="Times New Roman" w:eastAsia="仿宋_GB2312" w:cs="仿宋_GB2312"/>
          <w:color w:val="auto"/>
          <w:sz w:val="32"/>
          <w:szCs w:val="32"/>
          <w:highlight w:val="none"/>
          <w:lang w:eastAsia="zh-CN"/>
        </w:rPr>
        <w:t>国有资本经营预算财政拨款支出决算表</w:t>
      </w:r>
    </w:p>
    <w:p w14:paraId="045124F8">
      <w:pPr>
        <w:pStyle w:val="17"/>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3" w:name="_Toc15396631"/>
      <w:r>
        <w:rPr>
          <w:rFonts w:hint="eastAsia" w:ascii="Times New Roman" w:hAnsi="Times New Roman" w:eastAsia="仿宋_GB2312" w:cs="仿宋_GB2312"/>
          <w:color w:val="auto"/>
          <w:sz w:val="32"/>
          <w:szCs w:val="32"/>
          <w:highlight w:val="none"/>
        </w:rPr>
        <w:t>十三、</w:t>
      </w:r>
      <w:bookmarkEnd w:id="63"/>
      <w:r>
        <w:rPr>
          <w:rFonts w:hint="eastAsia" w:ascii="Times New Roman" w:hAnsi="Times New Roman" w:eastAsia="仿宋_GB2312" w:cs="仿宋_GB2312"/>
          <w:color w:val="auto"/>
          <w:sz w:val="32"/>
          <w:szCs w:val="32"/>
          <w:highlight w:val="none"/>
          <w:lang w:eastAsia="zh-CN"/>
        </w:rPr>
        <w:t>财政拨款“三公”经费支出决算表</w:t>
      </w:r>
    </w:p>
    <w:p w14:paraId="177201DF">
      <w:pPr>
        <w:rPr>
          <w:rFonts w:hint="eastAsia" w:ascii="Times New Roman" w:hAnsi="Times New Roman"/>
          <w:lang w:eastAsia="zh-CN"/>
        </w:rPr>
      </w:pPr>
    </w:p>
    <w:sectPr>
      <w:footerReference r:id="rId7" w:type="first"/>
      <w:footerReference r:id="rId6"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font>
  <w:font w:name="方正小标宋_GBK">
    <w:panose1 w:val="02000000000000000000"/>
    <w:charset w:val="86"/>
    <w:family w:val="script"/>
    <w:pitch w:val="default"/>
    <w:sig w:usb0="A00002BF" w:usb1="38CF7CFA" w:usb2="00082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20AF1">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EA16F5">
                          <w:pPr>
                            <w:pStyle w:val="1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42EA16F5">
                    <w:pPr>
                      <w:pStyle w:val="13"/>
                    </w:pPr>
                    <w:r>
                      <w:fldChar w:fldCharType="begin"/>
                    </w:r>
                    <w:r>
                      <w:instrText xml:space="preserve"> PAGE  \* MERGEFORMAT </w:instrText>
                    </w:r>
                    <w:r>
                      <w:fldChar w:fldCharType="separate"/>
                    </w:r>
                    <w:r>
                      <w:t>- 1 -</w:t>
                    </w:r>
                    <w:r>
                      <w:fldChar w:fldCharType="end"/>
                    </w:r>
                  </w:p>
                </w:txbxContent>
              </v:textbox>
            </v:shape>
          </w:pict>
        </mc:Fallback>
      </mc:AlternateContent>
    </w:r>
  </w:p>
  <w:p w14:paraId="642DE918">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17D5E">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A2ED56">
                          <w:pPr>
                            <w:pStyle w:val="1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71A2ED56">
                    <w:pPr>
                      <w:pStyle w:val="1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EA368">
    <w:pPr>
      <w:pStyle w:val="1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ED79CE">
                          <w:pPr>
                            <w:pStyle w:val="13"/>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43ED79CE">
                    <w:pPr>
                      <w:pStyle w:val="13"/>
                    </w:pPr>
                    <w:r>
                      <w:fldChar w:fldCharType="begin"/>
                    </w:r>
                    <w:r>
                      <w:instrText xml:space="preserve"> PAGE  \* MERGEFORMAT </w:instrText>
                    </w:r>
                    <w:r>
                      <w:fldChar w:fldCharType="separate"/>
                    </w:r>
                    <w:r>
                      <w:t>- 2 -</w:t>
                    </w:r>
                    <w:r>
                      <w:fldChar w:fldCharType="end"/>
                    </w:r>
                  </w:p>
                </w:txbxContent>
              </v:textbox>
            </v:shape>
          </w:pict>
        </mc:Fallback>
      </mc:AlternateContent>
    </w:r>
  </w:p>
  <w:p w14:paraId="2420440C">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69312">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ED473">
                          <w:pPr>
                            <w:pStyle w:val="1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559ED473">
                    <w:pPr>
                      <w:pStyle w:val="1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D827C">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5685C0"/>
    <w:multiLevelType w:val="singleLevel"/>
    <w:tmpl w:val="355685C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wNWIwZTJhNGRlNzY4ZWFhMGUwZjdhZmE4NzhkZjIifQ=="/>
  </w:docVars>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7F1455"/>
    <w:rsid w:val="02FEBE30"/>
    <w:rsid w:val="036267EA"/>
    <w:rsid w:val="04916F1E"/>
    <w:rsid w:val="04E24B99"/>
    <w:rsid w:val="053132AF"/>
    <w:rsid w:val="061E35DE"/>
    <w:rsid w:val="066E0107"/>
    <w:rsid w:val="068154EF"/>
    <w:rsid w:val="0705648D"/>
    <w:rsid w:val="07996F6E"/>
    <w:rsid w:val="07DFD8BA"/>
    <w:rsid w:val="086870F7"/>
    <w:rsid w:val="08D31906"/>
    <w:rsid w:val="09867E8F"/>
    <w:rsid w:val="0A2032A3"/>
    <w:rsid w:val="0CA8290A"/>
    <w:rsid w:val="0D35B1ED"/>
    <w:rsid w:val="0D5154EF"/>
    <w:rsid w:val="0DF77E44"/>
    <w:rsid w:val="0E254B6B"/>
    <w:rsid w:val="0E8B4545"/>
    <w:rsid w:val="0EC96E88"/>
    <w:rsid w:val="0F392DD8"/>
    <w:rsid w:val="0F98263C"/>
    <w:rsid w:val="101860EC"/>
    <w:rsid w:val="101F47CC"/>
    <w:rsid w:val="10C055FF"/>
    <w:rsid w:val="115B693C"/>
    <w:rsid w:val="11694EBD"/>
    <w:rsid w:val="11772AA4"/>
    <w:rsid w:val="118107EC"/>
    <w:rsid w:val="11BF336F"/>
    <w:rsid w:val="12333415"/>
    <w:rsid w:val="12E24EE2"/>
    <w:rsid w:val="13CE71DF"/>
    <w:rsid w:val="13D50BC4"/>
    <w:rsid w:val="14B17F78"/>
    <w:rsid w:val="15B62017"/>
    <w:rsid w:val="165E0673"/>
    <w:rsid w:val="16B831D5"/>
    <w:rsid w:val="16BB723D"/>
    <w:rsid w:val="17E50567"/>
    <w:rsid w:val="185B4F34"/>
    <w:rsid w:val="186504BB"/>
    <w:rsid w:val="19A445FC"/>
    <w:rsid w:val="1BE8440E"/>
    <w:rsid w:val="1D155CEE"/>
    <w:rsid w:val="1D1638FE"/>
    <w:rsid w:val="1D6A0867"/>
    <w:rsid w:val="1E312DEB"/>
    <w:rsid w:val="1E740ACF"/>
    <w:rsid w:val="1FF35744"/>
    <w:rsid w:val="1FF6BC77"/>
    <w:rsid w:val="2186353C"/>
    <w:rsid w:val="229B03EC"/>
    <w:rsid w:val="23860B96"/>
    <w:rsid w:val="23D20962"/>
    <w:rsid w:val="240371BF"/>
    <w:rsid w:val="244F3473"/>
    <w:rsid w:val="24C97D99"/>
    <w:rsid w:val="25A718F0"/>
    <w:rsid w:val="25BB59F6"/>
    <w:rsid w:val="25CE54D7"/>
    <w:rsid w:val="260F557C"/>
    <w:rsid w:val="26970054"/>
    <w:rsid w:val="281408E2"/>
    <w:rsid w:val="298E7457"/>
    <w:rsid w:val="29FD04D3"/>
    <w:rsid w:val="2BFF7BC6"/>
    <w:rsid w:val="2C2B4BD0"/>
    <w:rsid w:val="2C8A61B5"/>
    <w:rsid w:val="2D080B74"/>
    <w:rsid w:val="2D2D51D9"/>
    <w:rsid w:val="2DF04E50"/>
    <w:rsid w:val="2E586DFA"/>
    <w:rsid w:val="2F040D46"/>
    <w:rsid w:val="2F6B035B"/>
    <w:rsid w:val="2FAE5751"/>
    <w:rsid w:val="2FB1A395"/>
    <w:rsid w:val="2FD9A7D8"/>
    <w:rsid w:val="2FDBF714"/>
    <w:rsid w:val="3050190A"/>
    <w:rsid w:val="30AB6865"/>
    <w:rsid w:val="30D26CC7"/>
    <w:rsid w:val="319F7F4E"/>
    <w:rsid w:val="32BD1EF1"/>
    <w:rsid w:val="3304709D"/>
    <w:rsid w:val="33A773CB"/>
    <w:rsid w:val="349D6851"/>
    <w:rsid w:val="3684230E"/>
    <w:rsid w:val="36AA5135"/>
    <w:rsid w:val="36BE0DA7"/>
    <w:rsid w:val="376B6AA6"/>
    <w:rsid w:val="376D39B2"/>
    <w:rsid w:val="37E16F03"/>
    <w:rsid w:val="37F53A3B"/>
    <w:rsid w:val="389B6C89"/>
    <w:rsid w:val="38D469F0"/>
    <w:rsid w:val="39627CCD"/>
    <w:rsid w:val="397BAF1F"/>
    <w:rsid w:val="3AAA60BB"/>
    <w:rsid w:val="3AB79AF3"/>
    <w:rsid w:val="3AE834C0"/>
    <w:rsid w:val="3B7EF35A"/>
    <w:rsid w:val="3B9FDB6C"/>
    <w:rsid w:val="3BF5BC2F"/>
    <w:rsid w:val="3CEBA265"/>
    <w:rsid w:val="3D98207C"/>
    <w:rsid w:val="3DEE7CF3"/>
    <w:rsid w:val="3E740A63"/>
    <w:rsid w:val="3E78745D"/>
    <w:rsid w:val="3EE17838"/>
    <w:rsid w:val="3F55381A"/>
    <w:rsid w:val="3F7F7599"/>
    <w:rsid w:val="3F9B06C8"/>
    <w:rsid w:val="3FF4CAE0"/>
    <w:rsid w:val="3FF7B227"/>
    <w:rsid w:val="41546D80"/>
    <w:rsid w:val="43B104BA"/>
    <w:rsid w:val="44B00772"/>
    <w:rsid w:val="44E268DA"/>
    <w:rsid w:val="450D13D7"/>
    <w:rsid w:val="45506656"/>
    <w:rsid w:val="45B20ED1"/>
    <w:rsid w:val="47E56984"/>
    <w:rsid w:val="486A6C7A"/>
    <w:rsid w:val="48DA5DBD"/>
    <w:rsid w:val="4A627F82"/>
    <w:rsid w:val="4A6E2C61"/>
    <w:rsid w:val="4AD17D48"/>
    <w:rsid w:val="4B0E749A"/>
    <w:rsid w:val="4B2477C4"/>
    <w:rsid w:val="4B4F25DA"/>
    <w:rsid w:val="4BE068DB"/>
    <w:rsid w:val="4D577224"/>
    <w:rsid w:val="4DBF1CEB"/>
    <w:rsid w:val="4DF0007C"/>
    <w:rsid w:val="4EAB630A"/>
    <w:rsid w:val="4ECE2238"/>
    <w:rsid w:val="4F833267"/>
    <w:rsid w:val="4FE9BD67"/>
    <w:rsid w:val="4FFB052F"/>
    <w:rsid w:val="50820CAF"/>
    <w:rsid w:val="525A3ACB"/>
    <w:rsid w:val="5305612D"/>
    <w:rsid w:val="537E6D0A"/>
    <w:rsid w:val="53F74C96"/>
    <w:rsid w:val="53F8359B"/>
    <w:rsid w:val="55042B68"/>
    <w:rsid w:val="55170BA8"/>
    <w:rsid w:val="553218C9"/>
    <w:rsid w:val="567E1AA5"/>
    <w:rsid w:val="56E47B74"/>
    <w:rsid w:val="57175D52"/>
    <w:rsid w:val="57BD3DD4"/>
    <w:rsid w:val="57C739B1"/>
    <w:rsid w:val="58B57CAD"/>
    <w:rsid w:val="5A033A81"/>
    <w:rsid w:val="5A9933ED"/>
    <w:rsid w:val="5AF92295"/>
    <w:rsid w:val="5B250254"/>
    <w:rsid w:val="5BDD79E6"/>
    <w:rsid w:val="5BF561CA"/>
    <w:rsid w:val="5BFF5DFC"/>
    <w:rsid w:val="5C522529"/>
    <w:rsid w:val="5CD71FC4"/>
    <w:rsid w:val="5D1F11B5"/>
    <w:rsid w:val="5D695134"/>
    <w:rsid w:val="5DAE1B18"/>
    <w:rsid w:val="5DE7D9E5"/>
    <w:rsid w:val="5ECEC941"/>
    <w:rsid w:val="5F013C4C"/>
    <w:rsid w:val="5F4C1769"/>
    <w:rsid w:val="5F80495C"/>
    <w:rsid w:val="5FBF9FF3"/>
    <w:rsid w:val="5FCD4E2C"/>
    <w:rsid w:val="5FEF394A"/>
    <w:rsid w:val="5FF67715"/>
    <w:rsid w:val="607400BD"/>
    <w:rsid w:val="6118702B"/>
    <w:rsid w:val="613F6CAD"/>
    <w:rsid w:val="62880827"/>
    <w:rsid w:val="62BF3928"/>
    <w:rsid w:val="63B3701E"/>
    <w:rsid w:val="647F5392"/>
    <w:rsid w:val="64CE6831"/>
    <w:rsid w:val="65E66580"/>
    <w:rsid w:val="664B1D71"/>
    <w:rsid w:val="664B4E8E"/>
    <w:rsid w:val="67277B67"/>
    <w:rsid w:val="672C7CD4"/>
    <w:rsid w:val="67AA3209"/>
    <w:rsid w:val="67B935E4"/>
    <w:rsid w:val="6897117D"/>
    <w:rsid w:val="68DE6DAC"/>
    <w:rsid w:val="694A4441"/>
    <w:rsid w:val="698D0931"/>
    <w:rsid w:val="6A7FE5F3"/>
    <w:rsid w:val="6AA95198"/>
    <w:rsid w:val="6AAB0F10"/>
    <w:rsid w:val="6ABF49BB"/>
    <w:rsid w:val="6B053271"/>
    <w:rsid w:val="6B7765D4"/>
    <w:rsid w:val="6B7E2CBE"/>
    <w:rsid w:val="6BDD78B3"/>
    <w:rsid w:val="6C4A05C8"/>
    <w:rsid w:val="6C8742B8"/>
    <w:rsid w:val="6D5F1A57"/>
    <w:rsid w:val="6DBF5E93"/>
    <w:rsid w:val="6DCA3DA3"/>
    <w:rsid w:val="6DFF077E"/>
    <w:rsid w:val="6E294FFC"/>
    <w:rsid w:val="6E714EF0"/>
    <w:rsid w:val="6E7E3605"/>
    <w:rsid w:val="6E7FDCC7"/>
    <w:rsid w:val="6E867766"/>
    <w:rsid w:val="6ED6A62E"/>
    <w:rsid w:val="6EE00B15"/>
    <w:rsid w:val="6F6FB3EB"/>
    <w:rsid w:val="6F8731EA"/>
    <w:rsid w:val="6FCE6052"/>
    <w:rsid w:val="6FD131C7"/>
    <w:rsid w:val="6FD57C00"/>
    <w:rsid w:val="6FEFFFD8"/>
    <w:rsid w:val="6FF5CC65"/>
    <w:rsid w:val="6FFB47EC"/>
    <w:rsid w:val="6FFF034A"/>
    <w:rsid w:val="70484440"/>
    <w:rsid w:val="7081316C"/>
    <w:rsid w:val="70C37C92"/>
    <w:rsid w:val="71110AFE"/>
    <w:rsid w:val="712A28F1"/>
    <w:rsid w:val="715C0E4B"/>
    <w:rsid w:val="71992E7C"/>
    <w:rsid w:val="72233669"/>
    <w:rsid w:val="72734D90"/>
    <w:rsid w:val="728C7879"/>
    <w:rsid w:val="73160E6D"/>
    <w:rsid w:val="731D4975"/>
    <w:rsid w:val="7332FE48"/>
    <w:rsid w:val="73AB61DA"/>
    <w:rsid w:val="73AD73D5"/>
    <w:rsid w:val="73B6EB34"/>
    <w:rsid w:val="73FA497D"/>
    <w:rsid w:val="744731E5"/>
    <w:rsid w:val="74BBD01D"/>
    <w:rsid w:val="74ED5379"/>
    <w:rsid w:val="75A02C3D"/>
    <w:rsid w:val="75DEEEC2"/>
    <w:rsid w:val="75E32345"/>
    <w:rsid w:val="75FE74CD"/>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BD7220B"/>
    <w:rsid w:val="7C1F3737"/>
    <w:rsid w:val="7CA87D42"/>
    <w:rsid w:val="7CBFC87B"/>
    <w:rsid w:val="7CFE0F48"/>
    <w:rsid w:val="7D272ABC"/>
    <w:rsid w:val="7D273E64"/>
    <w:rsid w:val="7D7EC23E"/>
    <w:rsid w:val="7E8ADEBF"/>
    <w:rsid w:val="7E9173A9"/>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7FFA4074"/>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3"/>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7"/>
    <w:autoRedefine/>
    <w:unhideWhenUsed/>
    <w:qFormat/>
    <w:uiPriority w:val="9"/>
    <w:pPr>
      <w:keepNext/>
      <w:keepLines/>
      <w:spacing w:before="260" w:after="260" w:line="416" w:lineRule="auto"/>
      <w:outlineLvl w:val="2"/>
    </w:pPr>
    <w:rPr>
      <w:b/>
      <w:bCs/>
      <w:sz w:val="32"/>
      <w:szCs w:val="32"/>
    </w:rPr>
  </w:style>
  <w:style w:type="character" w:default="1" w:styleId="21">
    <w:name w:val="Default Paragraph Font"/>
    <w:autoRedefine/>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30"/>
    <w:autoRedefine/>
    <w:qFormat/>
    <w:uiPriority w:val="99"/>
    <w:pPr>
      <w:spacing w:beforeLines="30"/>
    </w:pPr>
    <w:rPr>
      <w:rFonts w:ascii="仿宋_GB2312" w:eastAsia="仿宋_GB2312"/>
      <w:kern w:val="0"/>
      <w:sz w:val="30"/>
    </w:rPr>
  </w:style>
  <w:style w:type="paragraph" w:styleId="3">
    <w:name w:val="index 8"/>
    <w:basedOn w:val="1"/>
    <w:next w:val="1"/>
    <w:qFormat/>
    <w:uiPriority w:val="0"/>
    <w:pPr>
      <w:ind w:left="2940"/>
    </w:pPr>
  </w:style>
  <w:style w:type="paragraph" w:styleId="7">
    <w:name w:val="Salutation"/>
    <w:basedOn w:val="1"/>
    <w:next w:val="1"/>
    <w:qFormat/>
    <w:uiPriority w:val="0"/>
    <w:rPr>
      <w:rFonts w:ascii="等线" w:eastAsia="等线"/>
      <w:kern w:val="2"/>
      <w:szCs w:val="22"/>
    </w:rPr>
  </w:style>
  <w:style w:type="paragraph" w:styleId="8">
    <w:name w:val="Body Text Indent"/>
    <w:basedOn w:val="1"/>
    <w:next w:val="9"/>
    <w:autoRedefine/>
    <w:qFormat/>
    <w:uiPriority w:val="0"/>
    <w:pPr>
      <w:spacing w:after="120"/>
      <w:ind w:leftChars="200"/>
    </w:pPr>
    <w:rPr>
      <w:rFonts w:ascii="仿宋_GB2312"/>
      <w:szCs w:val="32"/>
    </w:rPr>
  </w:style>
  <w:style w:type="paragraph" w:styleId="9">
    <w:name w:val="Body Text First Indent 2"/>
    <w:basedOn w:val="8"/>
    <w:next w:val="10"/>
    <w:autoRedefine/>
    <w:unhideWhenUsed/>
    <w:qFormat/>
    <w:uiPriority w:val="99"/>
    <w:pPr>
      <w:ind w:firstLine="420" w:firstLineChars="200"/>
    </w:pPr>
  </w:style>
  <w:style w:type="paragraph" w:styleId="10">
    <w:name w:val="Plain Text"/>
    <w:basedOn w:val="1"/>
    <w:autoRedefine/>
    <w:unhideWhenUsed/>
    <w:qFormat/>
    <w:uiPriority w:val="99"/>
    <w:rPr>
      <w:rFonts w:ascii="宋体" w:hAnsi="Courier New"/>
    </w:rPr>
  </w:style>
  <w:style w:type="paragraph" w:styleId="11">
    <w:name w:val="toc 3"/>
    <w:basedOn w:val="1"/>
    <w:next w:val="1"/>
    <w:autoRedefine/>
    <w:unhideWhenUsed/>
    <w:qFormat/>
    <w:uiPriority w:val="39"/>
    <w:pPr>
      <w:tabs>
        <w:tab w:val="right" w:leader="dot" w:pos="8296"/>
      </w:tabs>
      <w:ind w:left="840" w:leftChars="400"/>
    </w:pPr>
  </w:style>
  <w:style w:type="paragraph" w:styleId="12">
    <w:name w:val="Balloon Text"/>
    <w:basedOn w:val="1"/>
    <w:link w:val="36"/>
    <w:autoRedefine/>
    <w:semiHidden/>
    <w:unhideWhenUsed/>
    <w:qFormat/>
    <w:uiPriority w:val="99"/>
    <w:rPr>
      <w:sz w:val="18"/>
      <w:szCs w:val="18"/>
    </w:rPr>
  </w:style>
  <w:style w:type="paragraph" w:styleId="13">
    <w:name w:val="footer"/>
    <w:basedOn w:val="1"/>
    <w:next w:val="1"/>
    <w:link w:val="28"/>
    <w:autoRedefine/>
    <w:qFormat/>
    <w:uiPriority w:val="99"/>
    <w:pPr>
      <w:tabs>
        <w:tab w:val="center" w:pos="4153"/>
        <w:tab w:val="right" w:pos="8306"/>
      </w:tabs>
      <w:snapToGrid w:val="0"/>
      <w:jc w:val="left"/>
    </w:pPr>
    <w:rPr>
      <w:rFonts w:ascii="Calibri" w:hAnsi="Calibri"/>
      <w:kern w:val="0"/>
      <w:sz w:val="18"/>
      <w:szCs w:val="18"/>
    </w:rPr>
  </w:style>
  <w:style w:type="paragraph" w:styleId="14">
    <w:name w:val="header"/>
    <w:basedOn w:val="1"/>
    <w:link w:val="26"/>
    <w:autoRedefine/>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5">
    <w:name w:val="toc 1"/>
    <w:basedOn w:val="1"/>
    <w:next w:val="1"/>
    <w:autoRedefine/>
    <w:unhideWhenUsed/>
    <w:qFormat/>
    <w:uiPriority w:val="39"/>
    <w:pPr>
      <w:tabs>
        <w:tab w:val="right" w:leader="dot" w:pos="8296"/>
      </w:tabs>
      <w:spacing w:before="93"/>
      <w:jc w:val="center"/>
    </w:pPr>
    <w:rPr>
      <w:rFonts w:ascii="仿宋" w:hAnsi="仿宋" w:eastAsia="仿宋"/>
      <w:sz w:val="28"/>
      <w:szCs w:val="28"/>
    </w:rPr>
  </w:style>
  <w:style w:type="paragraph" w:styleId="16">
    <w:name w:val="footnote text"/>
    <w:basedOn w:val="1"/>
    <w:next w:val="9"/>
    <w:autoRedefine/>
    <w:semiHidden/>
    <w:qFormat/>
    <w:uiPriority w:val="0"/>
    <w:pPr>
      <w:snapToGrid w:val="0"/>
      <w:jc w:val="left"/>
    </w:pPr>
    <w:rPr>
      <w:sz w:val="18"/>
      <w:szCs w:val="18"/>
    </w:rPr>
  </w:style>
  <w:style w:type="paragraph" w:styleId="17">
    <w:name w:val="toc 2"/>
    <w:basedOn w:val="1"/>
    <w:next w:val="1"/>
    <w:autoRedefine/>
    <w:unhideWhenUsed/>
    <w:qFormat/>
    <w:uiPriority w:val="39"/>
    <w:pPr>
      <w:tabs>
        <w:tab w:val="right" w:leader="dot" w:pos="8296"/>
      </w:tabs>
      <w:ind w:left="420" w:leftChars="200"/>
    </w:pPr>
  </w:style>
  <w:style w:type="paragraph" w:styleId="18">
    <w:name w:val="Normal (Web)"/>
    <w:basedOn w:val="1"/>
    <w:next w:val="1"/>
    <w:autoRedefine/>
    <w:qFormat/>
    <w:uiPriority w:val="0"/>
    <w:pPr>
      <w:shd w:val="clear" w:color="auto" w:fill="auto"/>
      <w:spacing w:before="100" w:beforeAutospacing="1" w:after="100" w:afterAutospacing="1"/>
      <w:ind w:left="0" w:right="0"/>
      <w:jc w:val="left"/>
    </w:pPr>
    <w:rPr>
      <w:kern w:val="0"/>
      <w:sz w:val="24"/>
      <w:shd w:val="clear" w:color="auto" w:fill="auto"/>
      <w:lang w:val="en-US" w:eastAsia="zh-CN" w:bidi="ar"/>
    </w:rPr>
  </w:style>
  <w:style w:type="paragraph" w:styleId="19">
    <w:name w:val="Body Text First Indent"/>
    <w:basedOn w:val="2"/>
    <w:next w:val="1"/>
    <w:qFormat/>
    <w:uiPriority w:val="0"/>
    <w:pPr>
      <w:spacing w:before="100" w:beforeAutospacing="1" w:after="100" w:afterAutospacing="1" w:line="500" w:lineRule="exact"/>
      <w:ind w:left="120" w:firstLine="420"/>
    </w:pPr>
    <w:rPr>
      <w:rFonts w:ascii="宋体" w:cs="宋体"/>
      <w:sz w:val="28"/>
      <w:szCs w:val="28"/>
      <w:lang w:bidi="ar-SA"/>
    </w:rPr>
  </w:style>
  <w:style w:type="character" w:styleId="22">
    <w:name w:val="Strong"/>
    <w:basedOn w:val="21"/>
    <w:autoRedefine/>
    <w:qFormat/>
    <w:uiPriority w:val="99"/>
    <w:rPr>
      <w:b/>
    </w:rPr>
  </w:style>
  <w:style w:type="character" w:styleId="23">
    <w:name w:val="Hyperlink"/>
    <w:basedOn w:val="21"/>
    <w:autoRedefine/>
    <w:unhideWhenUsed/>
    <w:qFormat/>
    <w:uiPriority w:val="99"/>
    <w:rPr>
      <w:color w:val="0000FF" w:themeColor="hyperlink"/>
      <w:u w:val="single"/>
      <w14:textFill>
        <w14:solidFill>
          <w14:schemeClr w14:val="hlink"/>
        </w14:solidFill>
      </w14:textFill>
    </w:rPr>
  </w:style>
  <w:style w:type="paragraph" w:customStyle="1" w:styleId="24">
    <w:name w:val="标题 5（有编号）（绿盟科技）"/>
    <w:next w:val="1"/>
    <w:autoRedefine/>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5">
    <w:name w:val="Header Char"/>
    <w:basedOn w:val="21"/>
    <w:autoRedefine/>
    <w:semiHidden/>
    <w:qFormat/>
    <w:uiPriority w:val="99"/>
    <w:rPr>
      <w:rFonts w:ascii="Times New Roman" w:hAnsi="Times New Roman"/>
      <w:sz w:val="18"/>
      <w:szCs w:val="18"/>
    </w:rPr>
  </w:style>
  <w:style w:type="character" w:customStyle="1" w:styleId="26">
    <w:name w:val="页眉 Char"/>
    <w:link w:val="14"/>
    <w:autoRedefine/>
    <w:semiHidden/>
    <w:qFormat/>
    <w:locked/>
    <w:uiPriority w:val="99"/>
    <w:rPr>
      <w:sz w:val="18"/>
    </w:rPr>
  </w:style>
  <w:style w:type="character" w:customStyle="1" w:styleId="27">
    <w:name w:val="Footer Char"/>
    <w:basedOn w:val="21"/>
    <w:autoRedefine/>
    <w:semiHidden/>
    <w:qFormat/>
    <w:uiPriority w:val="99"/>
    <w:rPr>
      <w:rFonts w:ascii="Times New Roman" w:hAnsi="Times New Roman"/>
      <w:sz w:val="18"/>
      <w:szCs w:val="18"/>
    </w:rPr>
  </w:style>
  <w:style w:type="character" w:customStyle="1" w:styleId="28">
    <w:name w:val="页脚 Char"/>
    <w:link w:val="13"/>
    <w:autoRedefine/>
    <w:qFormat/>
    <w:locked/>
    <w:uiPriority w:val="99"/>
    <w:rPr>
      <w:sz w:val="18"/>
    </w:rPr>
  </w:style>
  <w:style w:type="character" w:customStyle="1" w:styleId="29">
    <w:name w:val="Body Text Char"/>
    <w:basedOn w:val="21"/>
    <w:autoRedefine/>
    <w:semiHidden/>
    <w:qFormat/>
    <w:uiPriority w:val="99"/>
    <w:rPr>
      <w:rFonts w:ascii="Times New Roman" w:hAnsi="Times New Roman"/>
      <w:szCs w:val="24"/>
    </w:rPr>
  </w:style>
  <w:style w:type="character" w:customStyle="1" w:styleId="30">
    <w:name w:val="正文文本 Char"/>
    <w:link w:val="2"/>
    <w:autoRedefine/>
    <w:qFormat/>
    <w:locked/>
    <w:uiPriority w:val="99"/>
    <w:rPr>
      <w:rFonts w:ascii="仿宋_GB2312" w:hAnsi="Times New Roman" w:eastAsia="仿宋_GB2312"/>
      <w:sz w:val="24"/>
    </w:rPr>
  </w:style>
  <w:style w:type="paragraph" w:customStyle="1" w:styleId="31">
    <w:name w:val="Default"/>
    <w:autoRedefine/>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2">
    <w:name w:val="List Paragraph"/>
    <w:basedOn w:val="1"/>
    <w:autoRedefine/>
    <w:qFormat/>
    <w:uiPriority w:val="34"/>
    <w:pPr>
      <w:ind w:firstLine="420" w:firstLineChars="200"/>
    </w:pPr>
  </w:style>
  <w:style w:type="character" w:customStyle="1" w:styleId="33">
    <w:name w:val="标题 1 Char"/>
    <w:basedOn w:val="21"/>
    <w:link w:val="4"/>
    <w:autoRedefine/>
    <w:qFormat/>
    <w:uiPriority w:val="9"/>
    <w:rPr>
      <w:rFonts w:ascii="Times New Roman" w:hAnsi="Times New Roman"/>
      <w:b/>
      <w:bCs/>
      <w:kern w:val="44"/>
      <w:sz w:val="44"/>
      <w:szCs w:val="44"/>
    </w:rPr>
  </w:style>
  <w:style w:type="character" w:customStyle="1" w:styleId="34">
    <w:name w:val="标题 2 Char"/>
    <w:basedOn w:val="21"/>
    <w:link w:val="5"/>
    <w:autoRedefine/>
    <w:qFormat/>
    <w:uiPriority w:val="9"/>
    <w:rPr>
      <w:rFonts w:asciiTheme="majorHAnsi" w:hAnsiTheme="majorHAnsi" w:eastAsiaTheme="majorEastAsia" w:cstheme="majorBidi"/>
      <w:b/>
      <w:bCs/>
      <w:kern w:val="2"/>
      <w:sz w:val="32"/>
      <w:szCs w:val="32"/>
    </w:rPr>
  </w:style>
  <w:style w:type="paragraph" w:customStyle="1" w:styleId="35">
    <w:name w:val="TOC 标题1"/>
    <w:basedOn w:val="4"/>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6">
    <w:name w:val="批注框文本 Char"/>
    <w:basedOn w:val="21"/>
    <w:link w:val="12"/>
    <w:autoRedefine/>
    <w:semiHidden/>
    <w:qFormat/>
    <w:uiPriority w:val="99"/>
    <w:rPr>
      <w:rFonts w:ascii="Times New Roman" w:hAnsi="Times New Roman"/>
      <w:kern w:val="2"/>
      <w:sz w:val="18"/>
      <w:szCs w:val="18"/>
    </w:rPr>
  </w:style>
  <w:style w:type="character" w:customStyle="1" w:styleId="37">
    <w:name w:val="标题 3 Char"/>
    <w:basedOn w:val="21"/>
    <w:link w:val="6"/>
    <w:autoRedefine/>
    <w:qFormat/>
    <w:uiPriority w:val="9"/>
    <w:rPr>
      <w:rFonts w:ascii="Times New Roman" w:hAnsi="Times New Roman"/>
      <w:b/>
      <w:bCs/>
      <w:kern w:val="2"/>
      <w:sz w:val="32"/>
      <w:szCs w:val="32"/>
    </w:rPr>
  </w:style>
  <w:style w:type="paragraph" w:customStyle="1" w:styleId="38">
    <w:name w:val="TOC Heading"/>
    <w:basedOn w:val="4"/>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9">
    <w:name w:val="四号正文"/>
    <w:basedOn w:val="1"/>
    <w:autoRedefine/>
    <w:qFormat/>
    <w:uiPriority w:val="0"/>
    <w:pPr>
      <w:spacing w:line="360" w:lineRule="auto"/>
    </w:pPr>
    <w:rPr>
      <w:rFonts w:ascii="??" w:hAnsi="??" w:eastAsia="宋体"/>
      <w:color w:val="000000"/>
      <w:kern w:val="0"/>
      <w:sz w:val="28"/>
      <w:szCs w:val="21"/>
      <w:lang w:val="zh-CN" w:eastAsia="zh-CN"/>
    </w:rPr>
  </w:style>
  <w:style w:type="character" w:customStyle="1" w:styleId="40">
    <w:name w:val="NormalCharacter"/>
    <w:autoRedefine/>
    <w:qFormat/>
    <w:uiPriority w:val="0"/>
  </w:style>
  <w:style w:type="paragraph" w:customStyle="1" w:styleId="41">
    <w:name w:val="UserStyle_0"/>
    <w:basedOn w:val="1"/>
    <w:next w:val="1"/>
    <w:autoRedefine/>
    <w:qFormat/>
    <w:uiPriority w:val="0"/>
    <w:pPr>
      <w:ind w:left="400" w:leftChars="200" w:hanging="200" w:hangingChars="200"/>
      <w:jc w:val="both"/>
      <w:textAlignment w:val="baseline"/>
    </w:pPr>
    <w:rPr>
      <w:rFonts w:ascii="Calibri" w:hAnsi="Calibri" w:eastAsia="宋体" w:cs="Arial"/>
      <w:kern w:val="2"/>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chart" Target="charts/chart8.xml"/><Relationship Id="rId15" Type="http://schemas.openxmlformats.org/officeDocument/2006/relationships/chart" Target="charts/chart7.xml"/><Relationship Id="rId14" Type="http://schemas.openxmlformats.org/officeDocument/2006/relationships/chart" Target="charts/chart6.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8.xml.rels><?xml version="1.0" encoding="UTF-8" standalone="yes"?>
<Relationships xmlns="http://schemas.openxmlformats.org/package/2006/relationships"><Relationship Id="rId3" Type="http://schemas.microsoft.com/office/2011/relationships/chartColorStyle" Target="colors8.xml"/><Relationship Id="rId2" Type="http://schemas.microsoft.com/office/2011/relationships/chartStyle" Target="style8.xml"/><Relationship Id="rId1" Type="http://schemas.openxmlformats.org/officeDocument/2006/relationships/package" Target="../embeddings/Workbook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收支上下年变动情况表</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1980.1</c:v>
                </c:pt>
                <c:pt idx="1">
                  <c:v>1981.1</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1728.4</c:v>
                </c:pt>
                <c:pt idx="1">
                  <c:v>1728.4</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收入</c:v>
                </c:pt>
                <c:pt idx="1">
                  <c:v>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579008237"/>
        <c:axId val="400394024"/>
      </c:barChart>
      <c:catAx>
        <c:axId val="57900823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0394024"/>
        <c:crosses val="autoZero"/>
        <c:auto val="1"/>
        <c:lblAlgn val="ctr"/>
        <c:lblOffset val="100"/>
        <c:noMultiLvlLbl val="0"/>
      </c:catAx>
      <c:valAx>
        <c:axId val="400394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79008237"/>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9dd6cee-ed64-42f8-a29b-18966b22bcf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收入构成图</a:t>
            </a:r>
          </a:p>
        </c:rich>
      </c:tx>
      <c:layout/>
      <c:overlay val="0"/>
      <c:spPr>
        <a:noFill/>
        <a:ln>
          <a:noFill/>
        </a:ln>
        <a:effectLst/>
      </c:spPr>
    </c:title>
    <c:autoTitleDeleted val="0"/>
    <c:plotArea>
      <c:layout>
        <c:manualLayout>
          <c:layoutTarget val="inner"/>
          <c:xMode val="edge"/>
          <c:yMode val="edge"/>
          <c:x val="0.490825725692325"/>
          <c:y val="0.38605174048915"/>
          <c:w val="0.340105761202338"/>
          <c:h val="0.630059293632379"/>
        </c:manualLayout>
      </c:layout>
      <c:pieChart>
        <c:varyColors val="1"/>
        <c:ser>
          <c:idx val="0"/>
          <c:order val="0"/>
          <c:tx>
            <c:strRef>
              <c:f>Sheet1!$B$1</c:f>
              <c:strCache>
                <c:ptCount val="1"/>
                <c:pt idx="0">
                  <c:v>收入组成情况图</c:v>
                </c:pt>
              </c:strCache>
            </c:strRef>
          </c:tx>
          <c:spPr/>
          <c:explosion val="0"/>
          <c:dPt>
            <c:idx val="0"/>
            <c:bubble3D val="0"/>
            <c:spPr>
              <a:gradFill>
                <a:gsLst>
                  <a:gs pos="0">
                    <a:schemeClr val="accent1">
                      <a:lumMod val="40000"/>
                      <a:lumOff val="60000"/>
                    </a:schemeClr>
                  </a:gs>
                  <a:gs pos="90000">
                    <a:schemeClr val="accent1"/>
                  </a:gs>
                </a:gsLst>
                <a:lin ang="5400000" scaled="0"/>
              </a:gradFill>
              <a:ln>
                <a:gradFill>
                  <a:gsLst>
                    <a:gs pos="0">
                      <a:schemeClr val="accent1"/>
                    </a:gs>
                    <a:gs pos="100000">
                      <a:schemeClr val="accent1">
                        <a:lumMod val="75000"/>
                      </a:schemeClr>
                    </a:gs>
                  </a:gsLst>
                  <a:lin ang="5400000" scaled="1"/>
                </a:gradFill>
              </a:ln>
              <a:effectLst>
                <a:outerShdw blurRad="76200" dist="25400" dir="2700000" algn="tl" rotWithShape="0">
                  <a:schemeClr val="accent1">
                    <a:lumMod val="50000"/>
                    <a:alpha val="30000"/>
                  </a:schemeClr>
                </a:outerShdw>
              </a:effectLst>
            </c:spPr>
          </c:dPt>
          <c:dLbls>
            <c:dLbl>
              <c:idx val="0"/>
              <c:delete val="1"/>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0"/>
            <c:showCatName val="1"/>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一般公共预算财政拨款收入</c:v>
                </c:pt>
              </c:strCache>
            </c:strRef>
          </c:cat>
          <c:val>
            <c:numRef>
              <c:f>Sheet1!$B$2</c:f>
              <c:numCache>
                <c:formatCode>General</c:formatCode>
                <c:ptCount val="1"/>
                <c:pt idx="0">
                  <c:v>1980.1</c:v>
                </c:pt>
              </c:numCache>
            </c:numRef>
          </c:val>
        </c:ser>
        <c:dLbls>
          <c:showLegendKey val="0"/>
          <c:showVal val="0"/>
          <c:showCatName val="1"/>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64fd109-013b-4700-8e82-7325f8601fd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85714285714286"/>
          <c:y val="0.0115532734274711"/>
        </c:manualLayout>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1909375"/>
          <c:y val="0.1455"/>
          <c:w val="0.570625"/>
          <c:h val="0.760833333333333"/>
        </c:manualLayout>
      </c:layout>
      <c:pieChart>
        <c:varyColors val="1"/>
        <c:ser>
          <c:idx val="0"/>
          <c:order val="0"/>
          <c:tx>
            <c:strRef>
              <c:f>Sheet1!$B$1</c:f>
              <c:strCache>
                <c:ptCount val="1"/>
                <c:pt idx="0">
                  <c:v>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Sheet1!$A$2:$A$3</c:f>
              <c:strCache>
                <c:ptCount val="2"/>
                <c:pt idx="0">
                  <c:v>基本支出</c:v>
                </c:pt>
                <c:pt idx="1">
                  <c:v>项目支出</c:v>
                </c:pt>
              </c:strCache>
            </c:strRef>
          </c:cat>
          <c:val>
            <c:numRef>
              <c:f>Sheet1!$B$2:$B$3</c:f>
              <c:numCache>
                <c:formatCode>General</c:formatCode>
                <c:ptCount val="2"/>
                <c:pt idx="0">
                  <c:v>1183.53</c:v>
                </c:pt>
                <c:pt idx="1">
                  <c:v>796.57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57c1649-2a2c-4db5-8cc6-558cecb1442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收支上下年变动情况表</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1980.1</c:v>
                </c:pt>
                <c:pt idx="1">
                  <c:v>1981.1</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1728.4</c:v>
                </c:pt>
                <c:pt idx="1">
                  <c:v>1728.4</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收入</c:v>
                </c:pt>
                <c:pt idx="1">
                  <c:v>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579008237"/>
        <c:axId val="400394024"/>
      </c:barChart>
      <c:catAx>
        <c:axId val="57900823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0394024"/>
        <c:crosses val="autoZero"/>
        <c:auto val="1"/>
        <c:lblAlgn val="ctr"/>
        <c:lblOffset val="100"/>
        <c:noMultiLvlLbl val="0"/>
      </c:catAx>
      <c:valAx>
        <c:axId val="400394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79008237"/>
        <c:crosses val="autoZero"/>
        <c:crossBetween val="between"/>
      </c:valAx>
      <c:spPr>
        <a:noFill/>
        <a:ln>
          <a:noFill/>
        </a:ln>
        <a:effectLst/>
      </c:spPr>
    </c:plotArea>
    <c:legend>
      <c:legendPos val="b"/>
      <c:legendEntry>
        <c:idx val="2"/>
        <c:delete val="1"/>
      </c:legendEntry>
      <c:layout>
        <c:manualLayout>
          <c:xMode val="edge"/>
          <c:yMode val="edge"/>
          <c:x val="0.348502085703451"/>
          <c:y val="0.847292191435768"/>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9dd6cee-ed64-42f8-a29b-18966b22bcf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收支上下年变动情况表</a:t>
            </a:r>
          </a:p>
        </c:rich>
      </c:tx>
      <c:layout/>
      <c:overlay val="0"/>
      <c:spPr>
        <a:noFill/>
        <a:ln>
          <a:noFill/>
        </a:ln>
        <a:effectLst/>
      </c:spPr>
    </c:title>
    <c:autoTitleDeleted val="0"/>
    <c:plotArea>
      <c:layout>
        <c:manualLayout>
          <c:layoutTarget val="inner"/>
          <c:xMode val="edge"/>
          <c:yMode val="edge"/>
          <c:x val="0.125167990226023"/>
          <c:y val="0.311334289813486"/>
          <c:w val="0.870250458155162"/>
          <c:h val="0.593830703012913"/>
        </c:manualLayout>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c:f>
              <c:strCache>
                <c:ptCount val="1"/>
                <c:pt idx="0">
                  <c:v>支出</c:v>
                </c:pt>
              </c:strCache>
            </c:strRef>
          </c:cat>
          <c:val>
            <c:numRef>
              <c:f>Sheet1!$B$2</c:f>
              <c:numCache>
                <c:formatCode>General</c:formatCode>
                <c:ptCount val="1"/>
                <c:pt idx="0">
                  <c:v>1981.1</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c:f>
              <c:strCache>
                <c:ptCount val="1"/>
                <c:pt idx="0">
                  <c:v>支出</c:v>
                </c:pt>
              </c:strCache>
            </c:strRef>
          </c:cat>
          <c:val>
            <c:numRef>
              <c:f>Sheet1!$C$2</c:f>
              <c:numCache>
                <c:formatCode>General</c:formatCode>
                <c:ptCount val="1"/>
                <c:pt idx="0">
                  <c:v>1728.4</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c:f>
              <c:strCache>
                <c:ptCount val="1"/>
                <c:pt idx="0">
                  <c:v>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579008237"/>
        <c:axId val="400394024"/>
      </c:barChart>
      <c:catAx>
        <c:axId val="57900823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0394024"/>
        <c:crosses val="autoZero"/>
        <c:auto val="1"/>
        <c:lblAlgn val="ctr"/>
        <c:lblOffset val="100"/>
        <c:noMultiLvlLbl val="0"/>
      </c:catAx>
      <c:valAx>
        <c:axId val="400394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79008237"/>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9dd6cee-ed64-42f8-a29b-18966b22bcf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85714285714286"/>
          <c:y val="0.0115532734274711"/>
        </c:manualLayout>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327308707124011"/>
          <c:y val="0.1201540436457"/>
          <c:w val="0.422295514511873"/>
          <c:h val="0.821822849807445"/>
        </c:manualLayout>
      </c:layout>
      <c:pieChart>
        <c:varyColors val="1"/>
        <c:ser>
          <c:idx val="0"/>
          <c:order val="0"/>
          <c:tx>
            <c:strRef>
              <c:f>Sheet1!$B$1</c:f>
              <c:strCache>
                <c:ptCount val="1"/>
                <c:pt idx="0">
                  <c:v>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Sheet1!$A$2:$A$3</c:f>
              <c:strCache>
                <c:ptCount val="2"/>
                <c:pt idx="0">
                  <c:v>基本支出</c:v>
                </c:pt>
                <c:pt idx="1">
                  <c:v>项目支出</c:v>
                </c:pt>
              </c:strCache>
            </c:strRef>
          </c:cat>
          <c:val>
            <c:numRef>
              <c:f>Sheet1!$B$2:$B$3</c:f>
              <c:numCache>
                <c:formatCode>General</c:formatCode>
                <c:ptCount val="2"/>
                <c:pt idx="0">
                  <c:v>1183.53</c:v>
                </c:pt>
                <c:pt idx="1">
                  <c:v>796.57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88525d7-f100-4839-b62c-268eebc6678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一般公共预算财政拨款支出构成图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Lbls>
            <c:delete val="1"/>
          </c:dLbls>
          <c:cat>
            <c:strRef>
              <c:f>Sheet1!$A$2:$A$7</c:f>
              <c:strCache>
                <c:ptCount val="6"/>
                <c:pt idx="0">
                  <c:v>一般公共服务支出</c:v>
                </c:pt>
                <c:pt idx="1">
                  <c:v>社会保障和就业支出</c:v>
                </c:pt>
                <c:pt idx="2">
                  <c:v>卫生健康支出</c:v>
                </c:pt>
                <c:pt idx="3">
                  <c:v>住房保障支出</c:v>
                </c:pt>
                <c:pt idx="4">
                  <c:v>国防支出</c:v>
                </c:pt>
              </c:strCache>
            </c:strRef>
          </c:cat>
          <c:val>
            <c:numRef>
              <c:f>Sheet1!$B$2:$B$7</c:f>
              <c:numCache>
                <c:formatCode>General</c:formatCode>
                <c:ptCount val="6"/>
                <c:pt idx="0">
                  <c:v>1774.46</c:v>
                </c:pt>
                <c:pt idx="1">
                  <c:v>153.91</c:v>
                </c:pt>
                <c:pt idx="2">
                  <c:v>55.91</c:v>
                </c:pt>
                <c:pt idx="3">
                  <c:v>81.88</c:v>
                </c:pt>
                <c:pt idx="4">
                  <c:v>129.17</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Lbls>
            <c:delete val="1"/>
          </c:dLbls>
          <c:cat>
            <c:strRef>
              <c:f>Sheet1!$A$2:$A$7</c:f>
              <c:strCache>
                <c:ptCount val="6"/>
                <c:pt idx="0">
                  <c:v>一般公共服务支出</c:v>
                </c:pt>
                <c:pt idx="1">
                  <c:v>社会保障和就业支出</c:v>
                </c:pt>
                <c:pt idx="2">
                  <c:v>卫生健康支出</c:v>
                </c:pt>
                <c:pt idx="3">
                  <c:v>住房保障支出</c:v>
                </c:pt>
                <c:pt idx="4">
                  <c:v>国防支出</c:v>
                </c:pt>
              </c:strCache>
            </c:strRef>
          </c:cat>
          <c:val>
            <c:numRef>
              <c:f>Sheet1!$C$2:$C$7</c:f>
              <c:numCache>
                <c:formatCode>General</c:formatCode>
                <c:ptCount val="6"/>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56099005210801"/>
          <c:y val="0.9294597745822"/>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896b56a-c94b-46eb-9982-9073df211f7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一般公共预算财政拨款支出构成图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1">
                  <c:v>公务接待</c:v>
                </c:pt>
                <c:pt idx="2">
                  <c:v>公务用车购置</c:v>
                </c:pt>
                <c:pt idx="3">
                  <c:v>公务用车购置</c:v>
                </c:pt>
              </c:strCache>
            </c:strRef>
          </c:cat>
          <c:val>
            <c:numRef>
              <c:f>Sheet1!$B$2:$B$5</c:f>
              <c:numCache>
                <c:formatCode>General</c:formatCode>
                <c:ptCount val="4"/>
                <c:pt idx="1">
                  <c:v>0.44</c:v>
                </c:pt>
                <c:pt idx="2">
                  <c:v>160.63</c:v>
                </c:pt>
                <c:pt idx="3">
                  <c:v>57.68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b7a675a-41e8-43c2-affa-8ba793a0aa7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5">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gradFill>
        <a:gsLst>
          <a:gs pos="0">
            <a:schemeClr val="phClr">
              <a:lumMod val="40000"/>
              <a:lumOff val="60000"/>
            </a:schemeClr>
          </a:gs>
          <a:gs pos="90000">
            <a:schemeClr val="phClr"/>
          </a:gs>
        </a:gsLst>
        <a:lin ang="5400000" scaled="0"/>
      </a:gradFill>
      <a:ln>
        <a:gradFill>
          <a:gsLst>
            <a:gs pos="0">
              <a:schemeClr val="phClr"/>
            </a:gs>
            <a:gs pos="100000">
              <a:schemeClr val="phClr">
                <a:lumMod val="75000"/>
              </a:schemeClr>
            </a:gs>
          </a:gsLst>
          <a:lin ang="5400000" scaled="1"/>
        </a:gradFill>
      </a:ln>
      <a:effectLst>
        <a:outerShdw blurRad="76200" dist="25400" dir="2700000" algn="tl" rotWithShape="0">
          <a:schemeClr val="phClr">
            <a:lumMod val="50000"/>
            <a:alpha val="30000"/>
          </a:schemeClr>
        </a:outerShdw>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47</Pages>
  <Words>18697</Words>
  <Characters>19977</Characters>
  <Lines>61</Lines>
  <Paragraphs>17</Paragraphs>
  <TotalTime>3</TotalTime>
  <ScaleCrop>false</ScaleCrop>
  <LinksUpToDate>false</LinksUpToDate>
  <CharactersWithSpaces>20495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一苇以航</cp:lastModifiedBy>
  <cp:lastPrinted>2025-08-06T17:34:00Z</cp:lastPrinted>
  <dcterms:modified xsi:type="dcterms:W3CDTF">2026-10-12T07:43:55Z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612CE1E9FD8C420587E0FA3F5F9FA635_13</vt:lpwstr>
  </property>
  <property fmtid="{D5CDD505-2E9C-101B-9397-08002B2CF9AE}" pid="4" name="KSOTemplateDocerSaveRecord">
    <vt:lpwstr>eyJoZGlkIjoiMmUzOTk2ZmQzNDNlN2E1NDg0OTRkMWFlZDllZTFkYzEiLCJ1c2VySWQiOiI3ODc2NTU3OTMifQ==</vt:lpwstr>
  </property>
</Properties>
</file>