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charts/chart5.xml" ContentType="application/vnd.openxmlformats-officedocument.drawingml.chart+xml"/>
  <Override PartName="/word/charts/chart6.xml" ContentType="application/vnd.openxmlformats-officedocument.drawingml.chart+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theme/themeOverride1.xml" ContentType="application/vnd.openxmlformats-officedocument.themeOverride+xml"/>
  <Override PartName="/word/theme/themeOverride2.xml" ContentType="application/vnd.openxmlformats-officedocument.themeOverride+xml"/>
  <Override PartName="/word/theme/themeOverride3.xml" ContentType="application/vnd.openxmlformats-officedocument.themeOverride+xml"/>
  <Override PartName="/word/theme/themeOverride4.xml" ContentType="application/vnd.openxmlformats-officedocument.themeOverride+xml"/>
  <Override PartName="/word/theme/themeOverride5.xml" ContentType="application/vnd.openxmlformats-officedocument.themeOverride+xml"/>
  <Override PartName="/word/theme/themeOverride6.xml" ContentType="application/vnd.openxmlformats-officedocument.themeOverrid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600" w:lineRule="exact"/>
        <w:jc w:val="center"/>
        <w:outlineLvl w:val="9"/>
        <w:rPr>
          <w:rFonts w:ascii="方正小标宋简体" w:hAnsi="宋体" w:eastAsia="方正小标宋简体"/>
          <w:color w:val="000000"/>
          <w:sz w:val="72"/>
          <w:szCs w:val="72"/>
        </w:rPr>
      </w:pPr>
      <w:bookmarkStart w:id="0" w:name="_Toc15306267"/>
    </w:p>
    <w:p>
      <w:pPr>
        <w:spacing w:line="600" w:lineRule="exact"/>
        <w:jc w:val="center"/>
        <w:outlineLvl w:val="9"/>
        <w:rPr>
          <w:rFonts w:ascii="方正小标宋简体" w:hAnsi="宋体" w:eastAsia="方正小标宋简体"/>
          <w:color w:val="000000"/>
          <w:sz w:val="72"/>
          <w:szCs w:val="72"/>
        </w:rPr>
      </w:pPr>
    </w:p>
    <w:p>
      <w:pPr>
        <w:spacing w:line="600" w:lineRule="exact"/>
        <w:jc w:val="center"/>
        <w:outlineLvl w:val="9"/>
        <w:rPr>
          <w:rFonts w:ascii="方正小标宋简体" w:hAnsi="宋体" w:eastAsia="方正小标宋简体"/>
          <w:color w:val="000000"/>
          <w:sz w:val="72"/>
          <w:szCs w:val="72"/>
        </w:rPr>
      </w:pPr>
    </w:p>
    <w:p>
      <w:pPr>
        <w:spacing w:line="600" w:lineRule="exact"/>
        <w:jc w:val="center"/>
        <w:outlineLvl w:val="9"/>
        <w:rPr>
          <w:rFonts w:ascii="方正小标宋简体" w:hAnsi="宋体" w:eastAsia="方正小标宋简体"/>
          <w:color w:val="000000"/>
          <w:sz w:val="72"/>
          <w:szCs w:val="72"/>
        </w:rPr>
      </w:pPr>
    </w:p>
    <w:p>
      <w:pPr>
        <w:spacing w:line="600" w:lineRule="exact"/>
        <w:jc w:val="center"/>
        <w:outlineLvl w:val="9"/>
        <w:rPr>
          <w:rFonts w:ascii="方正小标宋简体" w:hAnsi="宋体" w:eastAsia="方正小标宋简体"/>
          <w:color w:val="000000"/>
          <w:sz w:val="72"/>
          <w:szCs w:val="72"/>
        </w:rPr>
      </w:pPr>
    </w:p>
    <w:p>
      <w:pPr>
        <w:adjustRightInd w:val="0"/>
        <w:snapToGrid w:val="0"/>
        <w:spacing w:line="360" w:lineRule="auto"/>
        <w:jc w:val="center"/>
        <w:outlineLvl w:val="9"/>
        <w:rPr>
          <w:rFonts w:ascii="方正小标宋简体" w:hAnsi="宋体" w:eastAsia="方正小标宋简体"/>
          <w:color w:val="000000"/>
          <w:sz w:val="72"/>
          <w:szCs w:val="72"/>
        </w:rPr>
      </w:pPr>
      <w:bookmarkStart w:id="1" w:name="_Toc15396475"/>
      <w:bookmarkStart w:id="2" w:name="_Toc15377193"/>
      <w:bookmarkStart w:id="3" w:name="_Toc15378441"/>
      <w:bookmarkStart w:id="4" w:name="_Toc15377425"/>
      <w:bookmarkStart w:id="5" w:name="_Toc15396597"/>
      <w:r>
        <w:rPr>
          <w:rFonts w:hint="eastAsia" w:ascii="黑体" w:hAnsi="黑体" w:eastAsia="黑体"/>
          <w:color w:val="000000"/>
          <w:sz w:val="72"/>
          <w:szCs w:val="72"/>
          <w:lang w:eastAsia="zh-CN"/>
        </w:rPr>
        <w:t>20</w:t>
      </w:r>
      <w:r>
        <w:rPr>
          <w:rFonts w:hint="eastAsia" w:ascii="黑体" w:hAnsi="黑体" w:eastAsia="黑体"/>
          <w:color w:val="000000"/>
          <w:sz w:val="72"/>
          <w:szCs w:val="72"/>
          <w:lang w:val="en-US" w:eastAsia="zh-CN"/>
        </w:rPr>
        <w:t>25</w:t>
      </w:r>
      <w:r>
        <w:rPr>
          <w:rFonts w:hint="eastAsia" w:ascii="方正小标宋简体" w:hAnsi="宋体" w:eastAsia="方正小标宋简体"/>
          <w:color w:val="000000"/>
          <w:sz w:val="72"/>
          <w:szCs w:val="72"/>
        </w:rPr>
        <w:t>年度</w:t>
      </w:r>
      <w:bookmarkEnd w:id="1"/>
      <w:bookmarkEnd w:id="2"/>
      <w:bookmarkEnd w:id="3"/>
      <w:bookmarkEnd w:id="4"/>
      <w:bookmarkEnd w:id="5"/>
    </w:p>
    <w:bookmarkEnd w:id="0"/>
    <w:p>
      <w:pPr>
        <w:adjustRightInd w:val="0"/>
        <w:snapToGrid w:val="0"/>
        <w:spacing w:line="360" w:lineRule="auto"/>
        <w:jc w:val="center"/>
        <w:outlineLvl w:val="9"/>
        <w:rPr>
          <w:rFonts w:ascii="方正小标宋简体" w:hAnsi="宋体" w:eastAsia="方正小标宋简体"/>
          <w:color w:val="000000"/>
          <w:sz w:val="72"/>
          <w:szCs w:val="72"/>
        </w:rPr>
      </w:pPr>
      <w:bookmarkStart w:id="6" w:name="_Toc15306268"/>
      <w:bookmarkStart w:id="7" w:name="_Toc15377194"/>
      <w:bookmarkStart w:id="8" w:name="_Toc15377426"/>
      <w:bookmarkStart w:id="9" w:name="_Toc15378442"/>
      <w:bookmarkStart w:id="10" w:name="_Toc15396476"/>
      <w:bookmarkStart w:id="11" w:name="_Toc15396598"/>
      <w:r>
        <w:rPr>
          <w:rFonts w:hint="eastAsia" w:ascii="方正小标宋简体" w:hAnsi="宋体" w:eastAsia="方正小标宋简体"/>
          <w:color w:val="000000"/>
          <w:sz w:val="72"/>
          <w:szCs w:val="72"/>
          <w:lang w:eastAsia="zh-CN"/>
        </w:rPr>
        <w:t>红原县红原县邛溪镇双语幼儿园</w:t>
      </w:r>
      <w:r>
        <w:rPr>
          <w:rFonts w:hint="eastAsia" w:ascii="方正小标宋简体" w:hAnsi="宋体" w:eastAsia="方正小标宋简体"/>
          <w:color w:val="000000"/>
          <w:sz w:val="72"/>
          <w:szCs w:val="72"/>
        </w:rPr>
        <w:t>部门决算</w:t>
      </w:r>
      <w:bookmarkEnd w:id="6"/>
      <w:bookmarkEnd w:id="7"/>
      <w:bookmarkEnd w:id="8"/>
      <w:bookmarkEnd w:id="9"/>
      <w:bookmarkEnd w:id="10"/>
      <w:bookmarkEnd w:id="11"/>
    </w:p>
    <w:p>
      <w:pPr>
        <w:widowControl/>
        <w:jc w:val="center"/>
        <w:outlineLvl w:val="0"/>
        <w:rPr>
          <w:rFonts w:ascii="方正小标宋简体" w:hAnsi="宋体" w:eastAsia="方正小标宋简体"/>
          <w:color w:val="000000"/>
          <w:sz w:val="36"/>
          <w:szCs w:val="36"/>
        </w:rPr>
      </w:pPr>
    </w:p>
    <w:p>
      <w:pPr>
        <w:widowControl/>
        <w:jc w:val="center"/>
        <w:outlineLvl w:val="0"/>
        <w:rPr>
          <w:rFonts w:ascii="方正小标宋简体" w:hAnsi="宋体" w:eastAsia="方正小标宋简体"/>
          <w:color w:val="000000"/>
          <w:sz w:val="36"/>
          <w:szCs w:val="36"/>
        </w:rPr>
      </w:pPr>
    </w:p>
    <w:p>
      <w:pPr>
        <w:widowControl/>
        <w:jc w:val="center"/>
        <w:outlineLvl w:val="0"/>
        <w:rPr>
          <w:rFonts w:ascii="方正小标宋简体" w:hAnsi="宋体" w:eastAsia="方正小标宋简体"/>
          <w:color w:val="000000"/>
          <w:sz w:val="36"/>
          <w:szCs w:val="36"/>
        </w:rPr>
      </w:pPr>
    </w:p>
    <w:p>
      <w:pPr>
        <w:widowControl/>
        <w:jc w:val="center"/>
        <w:outlineLvl w:val="0"/>
        <w:rPr>
          <w:rFonts w:ascii="方正小标宋简体" w:hAnsi="宋体" w:eastAsia="方正小标宋简体"/>
          <w:color w:val="000000"/>
          <w:sz w:val="36"/>
          <w:szCs w:val="36"/>
        </w:rPr>
      </w:pPr>
    </w:p>
    <w:p>
      <w:pPr>
        <w:widowControl/>
        <w:jc w:val="both"/>
        <w:outlineLvl w:val="0"/>
        <w:rPr>
          <w:rFonts w:ascii="方正小标宋简体" w:hAnsi="宋体" w:eastAsia="方正小标宋简体"/>
          <w:color w:val="000000"/>
          <w:sz w:val="36"/>
          <w:szCs w:val="36"/>
        </w:rPr>
      </w:pPr>
    </w:p>
    <w:p>
      <w:pPr>
        <w:widowControl/>
        <w:jc w:val="both"/>
        <w:outlineLvl w:val="0"/>
        <w:rPr>
          <w:rFonts w:ascii="黑体" w:hAnsi="黑体" w:eastAsia="黑体"/>
          <w:color w:val="000000"/>
          <w:sz w:val="48"/>
          <w:szCs w:val="48"/>
        </w:rPr>
      </w:pPr>
      <w:r>
        <w:rPr>
          <w:rFonts w:ascii="方正小标宋简体" w:hAnsi="宋体" w:eastAsia="方正小标宋简体"/>
          <w:color w:val="000000"/>
          <w:sz w:val="36"/>
          <w:szCs w:val="36"/>
        </w:rPr>
        <w:br w:type="page"/>
      </w:r>
      <w:bookmarkStart w:id="12" w:name="_Toc25531"/>
      <w:bookmarkStart w:id="13" w:name="_Toc32190"/>
      <w:r>
        <w:rPr>
          <w:rFonts w:hint="eastAsia" w:ascii="方正小标宋简体" w:hAnsi="宋体" w:eastAsia="方正小标宋简体"/>
          <w:color w:val="000000"/>
          <w:sz w:val="36"/>
          <w:szCs w:val="36"/>
          <w:lang w:val="en-US" w:eastAsia="zh-CN"/>
        </w:rPr>
        <w:t xml:space="preserve">                  </w:t>
      </w:r>
      <w:r>
        <w:rPr>
          <w:rFonts w:hint="eastAsia" w:ascii="黑体" w:hAnsi="黑体" w:eastAsia="黑体"/>
          <w:color w:val="000000"/>
          <w:sz w:val="48"/>
          <w:szCs w:val="48"/>
        </w:rPr>
        <w:t>目录</w:t>
      </w:r>
      <w:bookmarkEnd w:id="12"/>
      <w:bookmarkEnd w:id="13"/>
    </w:p>
    <w:p>
      <w:pPr>
        <w:pStyle w:val="10"/>
        <w:rPr>
          <w:rFonts w:ascii="仿宋" w:hAnsi="仿宋" w:eastAsia="仿宋" w:cs="Times New Roman"/>
          <w:color w:val="000000"/>
          <w:kern w:val="2"/>
          <w:sz w:val="24"/>
          <w:szCs w:val="28"/>
          <w:lang w:val="en-US" w:eastAsia="zh-CN" w:bidi="ar-SA"/>
        </w:rPr>
      </w:pPr>
      <w:r>
        <w:rPr>
          <w:rFonts w:ascii="黑体" w:hAnsi="黑体" w:eastAsia="黑体"/>
          <w:color w:val="000000"/>
          <w:sz w:val="48"/>
          <w:szCs w:val="48"/>
        </w:rPr>
        <w:fldChar w:fldCharType="begin"/>
      </w:r>
      <w:r>
        <w:rPr>
          <w:rFonts w:ascii="黑体" w:hAnsi="黑体" w:eastAsia="黑体"/>
          <w:color w:val="000000"/>
          <w:sz w:val="48"/>
          <w:szCs w:val="48"/>
        </w:rPr>
        <w:instrText xml:space="preserve"> TOC \o "1-2" \h \z \u </w:instrText>
      </w:r>
      <w:r>
        <w:rPr>
          <w:rFonts w:ascii="黑体" w:hAnsi="黑体" w:eastAsia="黑体"/>
          <w:color w:val="000000"/>
          <w:sz w:val="48"/>
          <w:szCs w:val="48"/>
        </w:rPr>
        <w:fldChar w:fldCharType="separate"/>
      </w:r>
    </w:p>
    <w:p>
      <w:pPr>
        <w:pStyle w:val="10"/>
        <w:tabs>
          <w:tab w:val="right" w:leader="dot" w:pos="8306"/>
          <w:tab w:val="clear" w:pos="8296"/>
        </w:tabs>
      </w:pPr>
      <w:r>
        <w:rPr>
          <w:rFonts w:ascii="仿宋" w:hAnsi="仿宋" w:eastAsia="仿宋"/>
          <w:color w:val="000000"/>
        </w:rPr>
        <w:fldChar w:fldCharType="begin"/>
      </w:r>
      <w:r>
        <w:rPr>
          <w:rFonts w:ascii="仿宋" w:hAnsi="仿宋" w:eastAsia="仿宋"/>
        </w:rPr>
        <w:instrText xml:space="preserve"> HYPERLINK \l _Toc21227 </w:instrText>
      </w:r>
      <w:r>
        <w:rPr>
          <w:rFonts w:ascii="仿宋" w:hAnsi="仿宋" w:eastAsia="仿宋"/>
        </w:rPr>
        <w:fldChar w:fldCharType="separate"/>
      </w:r>
      <w:r>
        <w:rPr>
          <w:rFonts w:hint="eastAsia" w:ascii="黑体" w:hAnsi="黑体" w:eastAsia="黑体"/>
        </w:rPr>
        <w:t xml:space="preserve">第一部分 </w:t>
      </w:r>
      <w:r>
        <w:rPr>
          <w:rFonts w:hint="eastAsia" w:ascii="黑体" w:hAnsi="黑体" w:eastAsia="黑体"/>
          <w:bCs w:val="0"/>
        </w:rPr>
        <w:t>部门概况</w:t>
      </w:r>
      <w:r>
        <w:tab/>
      </w:r>
      <w:r>
        <w:fldChar w:fldCharType="begin"/>
      </w:r>
      <w:r>
        <w:instrText xml:space="preserve"> PAGEREF _Toc21227 </w:instrText>
      </w:r>
      <w:r>
        <w:fldChar w:fldCharType="separate"/>
      </w:r>
      <w:r>
        <w:t>3</w:t>
      </w:r>
      <w:r>
        <w:fldChar w:fldCharType="end"/>
      </w:r>
      <w:r>
        <w:rPr>
          <w:rFonts w:ascii="仿宋" w:hAnsi="仿宋" w:eastAsia="仿宋"/>
          <w:color w:val="000000"/>
        </w:rPr>
        <w:fldChar w:fldCharType="end"/>
      </w:r>
    </w:p>
    <w:p>
      <w:pPr>
        <w:pStyle w:val="11"/>
        <w:tabs>
          <w:tab w:val="right" w:leader="dot" w:pos="8306"/>
          <w:tab w:val="clear" w:pos="8296"/>
        </w:tabs>
      </w:pPr>
      <w:r>
        <w:rPr>
          <w:rFonts w:ascii="仿宋" w:hAnsi="仿宋" w:eastAsia="仿宋"/>
          <w:color w:val="000000"/>
        </w:rPr>
        <w:fldChar w:fldCharType="begin"/>
      </w:r>
      <w:r>
        <w:rPr>
          <w:rFonts w:ascii="仿宋" w:hAnsi="仿宋" w:eastAsia="仿宋"/>
        </w:rPr>
        <w:instrText xml:space="preserve"> HYPERLINK \l _Toc20433 </w:instrText>
      </w:r>
      <w:r>
        <w:rPr>
          <w:rFonts w:ascii="仿宋" w:hAnsi="仿宋" w:eastAsia="仿宋"/>
        </w:rPr>
        <w:fldChar w:fldCharType="separate"/>
      </w:r>
      <w:r>
        <w:rPr>
          <w:rFonts w:hint="eastAsia" w:ascii="黑体" w:hAnsi="黑体" w:eastAsia="黑体"/>
        </w:rPr>
        <w:t>一、基</w:t>
      </w:r>
      <w:r>
        <w:rPr>
          <w:rFonts w:hint="eastAsia" w:ascii="黑体" w:hAnsi="黑体" w:eastAsia="黑体"/>
          <w:bCs w:val="0"/>
        </w:rPr>
        <w:t>本职能及主要工作</w:t>
      </w:r>
      <w:r>
        <w:tab/>
      </w:r>
      <w:r>
        <w:fldChar w:fldCharType="begin"/>
      </w:r>
      <w:r>
        <w:instrText xml:space="preserve"> PAGEREF _Toc20433 </w:instrText>
      </w:r>
      <w:r>
        <w:fldChar w:fldCharType="separate"/>
      </w:r>
      <w:r>
        <w:t>3</w:t>
      </w:r>
      <w:r>
        <w:fldChar w:fldCharType="end"/>
      </w:r>
      <w:r>
        <w:rPr>
          <w:rFonts w:ascii="仿宋" w:hAnsi="仿宋" w:eastAsia="仿宋"/>
          <w:color w:val="000000"/>
        </w:rPr>
        <w:fldChar w:fldCharType="end"/>
      </w:r>
    </w:p>
    <w:p>
      <w:pPr>
        <w:pStyle w:val="11"/>
        <w:tabs>
          <w:tab w:val="right" w:leader="dot" w:pos="8306"/>
          <w:tab w:val="clear" w:pos="8296"/>
        </w:tabs>
      </w:pPr>
      <w:r>
        <w:rPr>
          <w:rFonts w:ascii="仿宋" w:hAnsi="仿宋" w:eastAsia="仿宋"/>
          <w:color w:val="000000"/>
        </w:rPr>
        <w:fldChar w:fldCharType="begin"/>
      </w:r>
      <w:r>
        <w:rPr>
          <w:rFonts w:ascii="仿宋" w:hAnsi="仿宋" w:eastAsia="仿宋"/>
        </w:rPr>
        <w:instrText xml:space="preserve"> HYPERLINK \l _Toc21612 </w:instrText>
      </w:r>
      <w:r>
        <w:rPr>
          <w:rFonts w:ascii="仿宋" w:hAnsi="仿宋" w:eastAsia="仿宋"/>
        </w:rPr>
        <w:fldChar w:fldCharType="separate"/>
      </w:r>
      <w:r>
        <w:rPr>
          <w:rFonts w:hint="eastAsia" w:ascii="黑体" w:eastAsia="黑体"/>
        </w:rPr>
        <w:t>二、</w:t>
      </w:r>
      <w:r>
        <w:rPr>
          <w:rFonts w:hint="eastAsia" w:ascii="黑体" w:hAnsi="黑体" w:eastAsia="黑体"/>
        </w:rPr>
        <w:t>机</w:t>
      </w:r>
      <w:r>
        <w:rPr>
          <w:rFonts w:hint="eastAsia" w:ascii="黑体" w:hAnsi="黑体" w:eastAsia="黑体"/>
          <w:bCs w:val="0"/>
        </w:rPr>
        <w:t>构设置</w:t>
      </w:r>
      <w:r>
        <w:tab/>
      </w:r>
      <w:r>
        <w:fldChar w:fldCharType="begin"/>
      </w:r>
      <w:r>
        <w:instrText xml:space="preserve"> PAGEREF _Toc21612 </w:instrText>
      </w:r>
      <w:r>
        <w:fldChar w:fldCharType="separate"/>
      </w:r>
      <w:r>
        <w:t>3</w:t>
      </w:r>
      <w:r>
        <w:fldChar w:fldCharType="end"/>
      </w:r>
      <w:r>
        <w:rPr>
          <w:rFonts w:ascii="仿宋" w:hAnsi="仿宋" w:eastAsia="仿宋"/>
          <w:color w:val="000000"/>
        </w:rPr>
        <w:fldChar w:fldCharType="end"/>
      </w:r>
    </w:p>
    <w:p>
      <w:pPr>
        <w:pStyle w:val="10"/>
        <w:tabs>
          <w:tab w:val="right" w:leader="dot" w:pos="8306"/>
          <w:tab w:val="clear" w:pos="8296"/>
        </w:tabs>
      </w:pPr>
      <w:r>
        <w:rPr>
          <w:rFonts w:ascii="仿宋" w:hAnsi="仿宋" w:eastAsia="仿宋"/>
          <w:color w:val="000000"/>
        </w:rPr>
        <w:fldChar w:fldCharType="begin"/>
      </w:r>
      <w:r>
        <w:rPr>
          <w:rFonts w:ascii="仿宋" w:hAnsi="仿宋" w:eastAsia="仿宋"/>
        </w:rPr>
        <w:instrText xml:space="preserve"> HYPERLINK \l _Toc1194 </w:instrText>
      </w:r>
      <w:r>
        <w:rPr>
          <w:rFonts w:ascii="仿宋" w:hAnsi="仿宋" w:eastAsia="仿宋"/>
        </w:rPr>
        <w:fldChar w:fldCharType="separate"/>
      </w:r>
      <w:r>
        <w:rPr>
          <w:rFonts w:hint="eastAsia" w:ascii="黑体" w:hAnsi="黑体" w:eastAsia="黑体"/>
        </w:rPr>
        <w:t xml:space="preserve">第二部分 </w:t>
      </w:r>
      <w:r>
        <w:rPr>
          <w:rFonts w:hint="eastAsia" w:ascii="黑体" w:hAnsi="黑体" w:eastAsia="黑体"/>
          <w:lang w:val="en-US" w:eastAsia="zh-CN"/>
        </w:rPr>
        <w:t>2025</w:t>
      </w:r>
      <w:r>
        <w:rPr>
          <w:rFonts w:hint="eastAsia" w:ascii="黑体" w:hAnsi="黑体" w:eastAsia="黑体"/>
          <w:bCs w:val="0"/>
        </w:rPr>
        <w:t>年度部门决算情况说明</w:t>
      </w:r>
      <w:r>
        <w:tab/>
      </w:r>
      <w:r>
        <w:fldChar w:fldCharType="begin"/>
      </w:r>
      <w:r>
        <w:instrText xml:space="preserve"> PAGEREF _Toc1194 </w:instrText>
      </w:r>
      <w:r>
        <w:fldChar w:fldCharType="separate"/>
      </w:r>
      <w:r>
        <w:t>4</w:t>
      </w:r>
      <w:r>
        <w:fldChar w:fldCharType="end"/>
      </w:r>
      <w:r>
        <w:rPr>
          <w:rFonts w:ascii="仿宋" w:hAnsi="仿宋" w:eastAsia="仿宋"/>
          <w:color w:val="000000"/>
        </w:rPr>
        <w:fldChar w:fldCharType="end"/>
      </w:r>
    </w:p>
    <w:p>
      <w:pPr>
        <w:pStyle w:val="11"/>
        <w:tabs>
          <w:tab w:val="right" w:leader="dot" w:pos="8306"/>
          <w:tab w:val="clear" w:pos="8296"/>
        </w:tabs>
      </w:pPr>
      <w:r>
        <w:rPr>
          <w:rFonts w:ascii="仿宋" w:hAnsi="仿宋" w:eastAsia="仿宋"/>
          <w:color w:val="000000"/>
        </w:rPr>
        <w:fldChar w:fldCharType="begin"/>
      </w:r>
      <w:r>
        <w:rPr>
          <w:rFonts w:ascii="仿宋" w:hAnsi="仿宋" w:eastAsia="仿宋"/>
        </w:rPr>
        <w:instrText xml:space="preserve"> HYPERLINK \l _Toc27124 </w:instrText>
      </w:r>
      <w:r>
        <w:rPr>
          <w:rFonts w:ascii="仿宋" w:hAnsi="仿宋" w:eastAsia="仿宋"/>
        </w:rPr>
        <w:fldChar w:fldCharType="separate"/>
      </w:r>
      <w:r>
        <w:rPr>
          <w:rFonts w:hint="default" w:ascii="黑体" w:hAnsi="黑体" w:eastAsia="黑体"/>
        </w:rPr>
        <w:t xml:space="preserve">一、 </w:t>
      </w:r>
      <w:r>
        <w:rPr>
          <w:rFonts w:hint="eastAsia" w:ascii="黑体" w:hAnsi="黑体" w:eastAsia="黑体"/>
          <w:szCs w:val="32"/>
        </w:rPr>
        <w:t>收</w:t>
      </w:r>
      <w:r>
        <w:rPr>
          <w:rFonts w:hint="eastAsia" w:ascii="黑体" w:hAnsi="黑体" w:eastAsia="黑体"/>
        </w:rPr>
        <w:t>入支出决算总体情况说明</w:t>
      </w:r>
      <w:r>
        <w:tab/>
      </w:r>
      <w:r>
        <w:fldChar w:fldCharType="begin"/>
      </w:r>
      <w:r>
        <w:instrText xml:space="preserve"> PAGEREF _Toc27124 </w:instrText>
      </w:r>
      <w:r>
        <w:fldChar w:fldCharType="separate"/>
      </w:r>
      <w:r>
        <w:t>4</w:t>
      </w:r>
      <w:r>
        <w:fldChar w:fldCharType="end"/>
      </w:r>
      <w:r>
        <w:rPr>
          <w:rFonts w:ascii="仿宋" w:hAnsi="仿宋" w:eastAsia="仿宋"/>
          <w:color w:val="000000"/>
        </w:rPr>
        <w:fldChar w:fldCharType="end"/>
      </w:r>
    </w:p>
    <w:p>
      <w:pPr>
        <w:pStyle w:val="11"/>
        <w:tabs>
          <w:tab w:val="right" w:leader="dot" w:pos="8306"/>
          <w:tab w:val="clear" w:pos="8296"/>
        </w:tabs>
      </w:pPr>
      <w:r>
        <w:rPr>
          <w:rFonts w:ascii="仿宋" w:hAnsi="仿宋" w:eastAsia="仿宋"/>
          <w:color w:val="000000"/>
        </w:rPr>
        <w:fldChar w:fldCharType="begin"/>
      </w:r>
      <w:r>
        <w:rPr>
          <w:rFonts w:ascii="仿宋" w:hAnsi="仿宋" w:eastAsia="仿宋"/>
        </w:rPr>
        <w:instrText xml:space="preserve"> HYPERLINK \l _Toc1909 </w:instrText>
      </w:r>
      <w:r>
        <w:rPr>
          <w:rFonts w:ascii="仿宋" w:hAnsi="仿宋" w:eastAsia="仿宋"/>
        </w:rPr>
        <w:fldChar w:fldCharType="separate"/>
      </w:r>
      <w:r>
        <w:rPr>
          <w:rFonts w:hint="default" w:ascii="黑体" w:hAnsi="黑体" w:eastAsia="黑体"/>
        </w:rPr>
        <w:t xml:space="preserve">二、 </w:t>
      </w:r>
      <w:r>
        <w:rPr>
          <w:rFonts w:hint="eastAsia" w:ascii="黑体" w:hAnsi="黑体" w:eastAsia="黑体"/>
          <w:szCs w:val="32"/>
        </w:rPr>
        <w:t>收</w:t>
      </w:r>
      <w:r>
        <w:rPr>
          <w:rFonts w:hint="eastAsia" w:ascii="黑体" w:hAnsi="黑体" w:eastAsia="黑体"/>
        </w:rPr>
        <w:t>入决算情况说明</w:t>
      </w:r>
      <w:r>
        <w:tab/>
      </w:r>
      <w:r>
        <w:fldChar w:fldCharType="begin"/>
      </w:r>
      <w:r>
        <w:instrText xml:space="preserve"> PAGEREF _Toc1909 </w:instrText>
      </w:r>
      <w:r>
        <w:fldChar w:fldCharType="separate"/>
      </w:r>
      <w:r>
        <w:t>4</w:t>
      </w:r>
      <w:r>
        <w:fldChar w:fldCharType="end"/>
      </w:r>
      <w:r>
        <w:rPr>
          <w:rFonts w:ascii="仿宋" w:hAnsi="仿宋" w:eastAsia="仿宋"/>
          <w:color w:val="000000"/>
        </w:rPr>
        <w:fldChar w:fldCharType="end"/>
      </w:r>
    </w:p>
    <w:p>
      <w:pPr>
        <w:pStyle w:val="11"/>
        <w:tabs>
          <w:tab w:val="right" w:leader="dot" w:pos="8306"/>
          <w:tab w:val="clear" w:pos="8296"/>
        </w:tabs>
      </w:pPr>
      <w:r>
        <w:rPr>
          <w:rFonts w:ascii="仿宋" w:hAnsi="仿宋" w:eastAsia="仿宋"/>
          <w:color w:val="000000"/>
        </w:rPr>
        <w:fldChar w:fldCharType="begin"/>
      </w:r>
      <w:r>
        <w:rPr>
          <w:rFonts w:ascii="仿宋" w:hAnsi="仿宋" w:eastAsia="仿宋"/>
        </w:rPr>
        <w:instrText xml:space="preserve"> HYPERLINK \l _Toc30849 </w:instrText>
      </w:r>
      <w:r>
        <w:rPr>
          <w:rFonts w:ascii="仿宋" w:hAnsi="仿宋" w:eastAsia="仿宋"/>
        </w:rPr>
        <w:fldChar w:fldCharType="separate"/>
      </w:r>
      <w:r>
        <w:rPr>
          <w:rFonts w:hint="default" w:ascii="黑体" w:hAnsi="黑体" w:eastAsia="黑体"/>
        </w:rPr>
        <w:t xml:space="preserve">三、 </w:t>
      </w:r>
      <w:r>
        <w:rPr>
          <w:rFonts w:hint="eastAsia" w:ascii="黑体" w:hAnsi="黑体" w:eastAsia="黑体"/>
          <w:szCs w:val="32"/>
        </w:rPr>
        <w:t>支</w:t>
      </w:r>
      <w:r>
        <w:rPr>
          <w:rFonts w:hint="eastAsia" w:ascii="黑体" w:hAnsi="黑体" w:eastAsia="黑体"/>
        </w:rPr>
        <w:t>出决算情况说明</w:t>
      </w:r>
      <w:r>
        <w:tab/>
      </w:r>
      <w:r>
        <w:fldChar w:fldCharType="begin"/>
      </w:r>
      <w:r>
        <w:instrText xml:space="preserve"> PAGEREF _Toc30849 </w:instrText>
      </w:r>
      <w:r>
        <w:fldChar w:fldCharType="separate"/>
      </w:r>
      <w:r>
        <w:t>5</w:t>
      </w:r>
      <w:r>
        <w:fldChar w:fldCharType="end"/>
      </w:r>
      <w:r>
        <w:rPr>
          <w:rFonts w:ascii="仿宋" w:hAnsi="仿宋" w:eastAsia="仿宋"/>
          <w:color w:val="000000"/>
        </w:rPr>
        <w:fldChar w:fldCharType="end"/>
      </w:r>
    </w:p>
    <w:p>
      <w:pPr>
        <w:pStyle w:val="11"/>
        <w:tabs>
          <w:tab w:val="right" w:leader="dot" w:pos="8306"/>
          <w:tab w:val="clear" w:pos="8296"/>
        </w:tabs>
      </w:pPr>
      <w:r>
        <w:rPr>
          <w:rFonts w:ascii="仿宋" w:hAnsi="仿宋" w:eastAsia="仿宋"/>
          <w:color w:val="000000"/>
        </w:rPr>
        <w:fldChar w:fldCharType="begin"/>
      </w:r>
      <w:r>
        <w:rPr>
          <w:rFonts w:ascii="仿宋" w:hAnsi="仿宋" w:eastAsia="仿宋"/>
        </w:rPr>
        <w:instrText xml:space="preserve"> HYPERLINK \l _Toc29603 </w:instrText>
      </w:r>
      <w:r>
        <w:rPr>
          <w:rFonts w:ascii="仿宋" w:hAnsi="仿宋" w:eastAsia="仿宋"/>
        </w:rPr>
        <w:fldChar w:fldCharType="separate"/>
      </w:r>
      <w:r>
        <w:rPr>
          <w:rFonts w:hint="eastAsia" w:ascii="黑体" w:hAnsi="黑体" w:eastAsia="黑体"/>
          <w:szCs w:val="32"/>
        </w:rPr>
        <w:t>四、财</w:t>
      </w:r>
      <w:r>
        <w:rPr>
          <w:rFonts w:hint="eastAsia" w:ascii="黑体" w:hAnsi="黑体" w:eastAsia="黑体"/>
        </w:rPr>
        <w:t>政拨款收入支出决算总体情况说明</w:t>
      </w:r>
      <w:r>
        <w:tab/>
      </w:r>
      <w:r>
        <w:fldChar w:fldCharType="begin"/>
      </w:r>
      <w:r>
        <w:instrText xml:space="preserve"> PAGEREF _Toc29603 </w:instrText>
      </w:r>
      <w:r>
        <w:fldChar w:fldCharType="separate"/>
      </w:r>
      <w:r>
        <w:t>5</w:t>
      </w:r>
      <w:r>
        <w:fldChar w:fldCharType="end"/>
      </w:r>
      <w:r>
        <w:rPr>
          <w:rFonts w:ascii="仿宋" w:hAnsi="仿宋" w:eastAsia="仿宋"/>
          <w:color w:val="000000"/>
        </w:rPr>
        <w:fldChar w:fldCharType="end"/>
      </w:r>
    </w:p>
    <w:p>
      <w:pPr>
        <w:pStyle w:val="11"/>
        <w:tabs>
          <w:tab w:val="right" w:leader="dot" w:pos="8306"/>
          <w:tab w:val="clear" w:pos="8296"/>
        </w:tabs>
      </w:pPr>
      <w:r>
        <w:rPr>
          <w:rFonts w:ascii="仿宋" w:hAnsi="仿宋" w:eastAsia="仿宋"/>
          <w:color w:val="000000"/>
        </w:rPr>
        <w:fldChar w:fldCharType="begin"/>
      </w:r>
      <w:r>
        <w:rPr>
          <w:rFonts w:ascii="仿宋" w:hAnsi="仿宋" w:eastAsia="仿宋"/>
        </w:rPr>
        <w:instrText xml:space="preserve"> HYPERLINK \l _Toc22170 </w:instrText>
      </w:r>
      <w:r>
        <w:rPr>
          <w:rFonts w:ascii="仿宋" w:hAnsi="仿宋" w:eastAsia="仿宋"/>
        </w:rPr>
        <w:fldChar w:fldCharType="separate"/>
      </w:r>
      <w:r>
        <w:rPr>
          <w:rFonts w:hint="eastAsia" w:ascii="黑体" w:hAnsi="黑体" w:eastAsia="黑体"/>
          <w:szCs w:val="32"/>
        </w:rPr>
        <w:t>五、一</w:t>
      </w:r>
      <w:r>
        <w:rPr>
          <w:rFonts w:hint="eastAsia" w:ascii="黑体" w:hAnsi="黑体" w:eastAsia="黑体"/>
        </w:rPr>
        <w:t>般公共预算财政拨款支出决算情况说明</w:t>
      </w:r>
      <w:r>
        <w:tab/>
      </w:r>
      <w:r>
        <w:fldChar w:fldCharType="begin"/>
      </w:r>
      <w:r>
        <w:instrText xml:space="preserve"> PAGEREF _Toc22170 </w:instrText>
      </w:r>
      <w:r>
        <w:fldChar w:fldCharType="separate"/>
      </w:r>
      <w:r>
        <w:t>6</w:t>
      </w:r>
      <w:r>
        <w:fldChar w:fldCharType="end"/>
      </w:r>
      <w:r>
        <w:rPr>
          <w:rFonts w:ascii="仿宋" w:hAnsi="仿宋" w:eastAsia="仿宋"/>
          <w:color w:val="000000"/>
        </w:rPr>
        <w:fldChar w:fldCharType="end"/>
      </w:r>
    </w:p>
    <w:p>
      <w:pPr>
        <w:pStyle w:val="11"/>
        <w:tabs>
          <w:tab w:val="right" w:leader="dot" w:pos="8306"/>
          <w:tab w:val="clear" w:pos="8296"/>
        </w:tabs>
      </w:pPr>
      <w:r>
        <w:rPr>
          <w:rFonts w:ascii="仿宋" w:hAnsi="仿宋" w:eastAsia="仿宋"/>
          <w:color w:val="000000"/>
        </w:rPr>
        <w:fldChar w:fldCharType="begin"/>
      </w:r>
      <w:r>
        <w:rPr>
          <w:rFonts w:ascii="仿宋" w:hAnsi="仿宋" w:eastAsia="仿宋"/>
        </w:rPr>
        <w:instrText xml:space="preserve"> HYPERLINK \l _Toc13068 </w:instrText>
      </w:r>
      <w:r>
        <w:rPr>
          <w:rFonts w:ascii="仿宋" w:hAnsi="仿宋" w:eastAsia="仿宋"/>
        </w:rPr>
        <w:fldChar w:fldCharType="separate"/>
      </w:r>
      <w:r>
        <w:rPr>
          <w:rFonts w:hint="eastAsia" w:ascii="黑体" w:eastAsia="黑体"/>
          <w:szCs w:val="32"/>
        </w:rPr>
        <w:t>六、</w:t>
      </w:r>
      <w:r>
        <w:rPr>
          <w:rFonts w:hint="eastAsia" w:ascii="黑体" w:hAnsi="黑体" w:eastAsia="黑体"/>
          <w:szCs w:val="32"/>
        </w:rPr>
        <w:t>一</w:t>
      </w:r>
      <w:r>
        <w:rPr>
          <w:rFonts w:hint="eastAsia" w:ascii="黑体" w:hAnsi="黑体" w:eastAsia="黑体"/>
        </w:rPr>
        <w:t>般公共预算财政拨款基本支出决算情况说明</w:t>
      </w:r>
      <w:r>
        <w:tab/>
      </w:r>
      <w:r>
        <w:fldChar w:fldCharType="begin"/>
      </w:r>
      <w:r>
        <w:instrText xml:space="preserve"> PAGEREF _Toc13068 </w:instrText>
      </w:r>
      <w:r>
        <w:fldChar w:fldCharType="separate"/>
      </w:r>
      <w:r>
        <w:t>8</w:t>
      </w:r>
      <w:r>
        <w:fldChar w:fldCharType="end"/>
      </w:r>
      <w:r>
        <w:rPr>
          <w:rFonts w:ascii="仿宋" w:hAnsi="仿宋" w:eastAsia="仿宋"/>
          <w:color w:val="000000"/>
        </w:rPr>
        <w:fldChar w:fldCharType="end"/>
      </w:r>
    </w:p>
    <w:p>
      <w:pPr>
        <w:pStyle w:val="11"/>
        <w:tabs>
          <w:tab w:val="right" w:leader="dot" w:pos="8306"/>
          <w:tab w:val="clear" w:pos="8296"/>
        </w:tabs>
      </w:pPr>
      <w:r>
        <w:rPr>
          <w:rFonts w:ascii="仿宋" w:hAnsi="仿宋" w:eastAsia="仿宋"/>
          <w:color w:val="000000"/>
        </w:rPr>
        <w:fldChar w:fldCharType="begin"/>
      </w:r>
      <w:r>
        <w:rPr>
          <w:rFonts w:ascii="仿宋" w:hAnsi="仿宋" w:eastAsia="仿宋"/>
        </w:rPr>
        <w:instrText xml:space="preserve"> HYPERLINK \l _Toc18018 </w:instrText>
      </w:r>
      <w:r>
        <w:rPr>
          <w:rFonts w:ascii="仿宋" w:hAnsi="仿宋" w:eastAsia="仿宋"/>
        </w:rPr>
        <w:fldChar w:fldCharType="separate"/>
      </w:r>
      <w:r>
        <w:rPr>
          <w:rFonts w:hint="eastAsia" w:ascii="黑体" w:eastAsia="黑体"/>
          <w:szCs w:val="32"/>
        </w:rPr>
        <w:t>七、</w:t>
      </w:r>
      <w:r>
        <w:rPr>
          <w:rFonts w:hint="eastAsia" w:ascii="黑体" w:hAnsi="黑体" w:eastAsia="黑体"/>
        </w:rPr>
        <w:t>“三公”经费财政拨款支出决算情况说明</w:t>
      </w:r>
      <w:r>
        <w:tab/>
      </w:r>
      <w:r>
        <w:fldChar w:fldCharType="begin"/>
      </w:r>
      <w:r>
        <w:instrText xml:space="preserve"> PAGEREF _Toc18018 </w:instrText>
      </w:r>
      <w:r>
        <w:fldChar w:fldCharType="separate"/>
      </w:r>
      <w:r>
        <w:t>8</w:t>
      </w:r>
      <w:r>
        <w:fldChar w:fldCharType="end"/>
      </w:r>
      <w:r>
        <w:rPr>
          <w:rFonts w:ascii="仿宋" w:hAnsi="仿宋" w:eastAsia="仿宋"/>
          <w:color w:val="000000"/>
        </w:rPr>
        <w:fldChar w:fldCharType="end"/>
      </w:r>
    </w:p>
    <w:p>
      <w:pPr>
        <w:pStyle w:val="11"/>
        <w:tabs>
          <w:tab w:val="right" w:leader="dot" w:pos="8306"/>
          <w:tab w:val="clear" w:pos="8296"/>
        </w:tabs>
      </w:pPr>
      <w:r>
        <w:rPr>
          <w:rFonts w:ascii="仿宋" w:hAnsi="仿宋" w:eastAsia="仿宋"/>
          <w:color w:val="000000"/>
        </w:rPr>
        <w:fldChar w:fldCharType="begin"/>
      </w:r>
      <w:r>
        <w:rPr>
          <w:rFonts w:ascii="仿宋" w:hAnsi="仿宋" w:eastAsia="仿宋"/>
        </w:rPr>
        <w:instrText xml:space="preserve"> HYPERLINK \l _Toc10315 </w:instrText>
      </w:r>
      <w:r>
        <w:rPr>
          <w:rFonts w:ascii="仿宋" w:hAnsi="仿宋" w:eastAsia="仿宋"/>
        </w:rPr>
        <w:fldChar w:fldCharType="separate"/>
      </w:r>
      <w:r>
        <w:rPr>
          <w:rFonts w:hint="eastAsia" w:ascii="黑体" w:eastAsia="黑体"/>
          <w:szCs w:val="32"/>
        </w:rPr>
        <w:t>八、</w:t>
      </w:r>
      <w:r>
        <w:rPr>
          <w:rFonts w:hint="eastAsia" w:ascii="黑体" w:hAnsi="黑体" w:eastAsia="黑体"/>
        </w:rPr>
        <w:t>政府性基金预算支出决算情况说明</w:t>
      </w:r>
      <w:r>
        <w:tab/>
      </w:r>
      <w:r>
        <w:fldChar w:fldCharType="begin"/>
      </w:r>
      <w:r>
        <w:instrText xml:space="preserve"> PAGEREF _Toc10315 </w:instrText>
      </w:r>
      <w:r>
        <w:fldChar w:fldCharType="separate"/>
      </w:r>
      <w:r>
        <w:t>9</w:t>
      </w:r>
      <w:r>
        <w:fldChar w:fldCharType="end"/>
      </w:r>
      <w:r>
        <w:rPr>
          <w:rFonts w:ascii="仿宋" w:hAnsi="仿宋" w:eastAsia="仿宋"/>
          <w:color w:val="000000"/>
        </w:rPr>
        <w:fldChar w:fldCharType="end"/>
      </w:r>
    </w:p>
    <w:p>
      <w:pPr>
        <w:pStyle w:val="11"/>
        <w:tabs>
          <w:tab w:val="right" w:leader="dot" w:pos="8306"/>
          <w:tab w:val="clear" w:pos="8296"/>
        </w:tabs>
      </w:pPr>
      <w:r>
        <w:rPr>
          <w:rFonts w:ascii="仿宋" w:hAnsi="仿宋" w:eastAsia="仿宋"/>
          <w:color w:val="000000"/>
        </w:rPr>
        <w:fldChar w:fldCharType="begin"/>
      </w:r>
      <w:r>
        <w:rPr>
          <w:rFonts w:ascii="仿宋" w:hAnsi="仿宋" w:eastAsia="仿宋"/>
        </w:rPr>
        <w:instrText xml:space="preserve"> HYPERLINK \l _Toc11522 </w:instrText>
      </w:r>
      <w:r>
        <w:rPr>
          <w:rFonts w:ascii="仿宋" w:hAnsi="仿宋" w:eastAsia="仿宋"/>
        </w:rPr>
        <w:fldChar w:fldCharType="separate"/>
      </w:r>
      <w:r>
        <w:rPr>
          <w:rFonts w:hint="eastAsia" w:ascii="黑体" w:hAnsi="黑体" w:eastAsia="黑体"/>
        </w:rPr>
        <w:t>九、 国有资本经营预算支出决算情况说明</w:t>
      </w:r>
      <w:r>
        <w:tab/>
      </w:r>
      <w:r>
        <w:fldChar w:fldCharType="begin"/>
      </w:r>
      <w:r>
        <w:instrText xml:space="preserve"> PAGEREF _Toc11522 </w:instrText>
      </w:r>
      <w:r>
        <w:fldChar w:fldCharType="separate"/>
      </w:r>
      <w:r>
        <w:t>9</w:t>
      </w:r>
      <w:r>
        <w:fldChar w:fldCharType="end"/>
      </w:r>
      <w:r>
        <w:rPr>
          <w:rFonts w:ascii="仿宋" w:hAnsi="仿宋" w:eastAsia="仿宋"/>
          <w:color w:val="000000"/>
        </w:rPr>
        <w:fldChar w:fldCharType="end"/>
      </w:r>
    </w:p>
    <w:p>
      <w:pPr>
        <w:pStyle w:val="11"/>
        <w:tabs>
          <w:tab w:val="right" w:leader="dot" w:pos="8306"/>
          <w:tab w:val="clear" w:pos="8296"/>
        </w:tabs>
      </w:pPr>
      <w:r>
        <w:rPr>
          <w:rFonts w:ascii="仿宋" w:hAnsi="仿宋" w:eastAsia="仿宋"/>
          <w:color w:val="000000"/>
        </w:rPr>
        <w:fldChar w:fldCharType="begin"/>
      </w:r>
      <w:r>
        <w:rPr>
          <w:rFonts w:ascii="仿宋" w:hAnsi="仿宋" w:eastAsia="仿宋"/>
        </w:rPr>
        <w:instrText xml:space="preserve"> HYPERLINK \l _Toc25847 </w:instrText>
      </w:r>
      <w:r>
        <w:rPr>
          <w:rFonts w:ascii="仿宋" w:hAnsi="仿宋" w:eastAsia="仿宋"/>
        </w:rPr>
        <w:fldChar w:fldCharType="separate"/>
      </w:r>
      <w:r>
        <w:rPr>
          <w:rFonts w:hint="eastAsia" w:ascii="黑体" w:hAnsi="黑体" w:eastAsia="黑体"/>
        </w:rPr>
        <w:t xml:space="preserve">十、 </w:t>
      </w:r>
      <w:r>
        <w:rPr>
          <w:rFonts w:hint="eastAsia" w:ascii="黑体" w:hAnsi="黑体" w:eastAsia="黑体"/>
          <w:lang w:eastAsia="zh-CN"/>
        </w:rPr>
        <w:t>其他重要事项情况的</w:t>
      </w:r>
      <w:r>
        <w:rPr>
          <w:rFonts w:hint="eastAsia" w:ascii="黑体" w:hAnsi="黑体" w:eastAsia="黑体"/>
        </w:rPr>
        <w:t>说明</w:t>
      </w:r>
      <w:r>
        <w:tab/>
      </w:r>
      <w:r>
        <w:fldChar w:fldCharType="begin"/>
      </w:r>
      <w:r>
        <w:instrText xml:space="preserve"> PAGEREF _Toc25847 </w:instrText>
      </w:r>
      <w:r>
        <w:fldChar w:fldCharType="separate"/>
      </w:r>
      <w:r>
        <w:t>9</w:t>
      </w:r>
      <w:r>
        <w:fldChar w:fldCharType="end"/>
      </w:r>
      <w:r>
        <w:rPr>
          <w:rFonts w:ascii="仿宋" w:hAnsi="仿宋" w:eastAsia="仿宋"/>
          <w:color w:val="000000"/>
        </w:rPr>
        <w:fldChar w:fldCharType="end"/>
      </w:r>
    </w:p>
    <w:p>
      <w:pPr>
        <w:pStyle w:val="10"/>
        <w:tabs>
          <w:tab w:val="right" w:leader="dot" w:pos="8306"/>
          <w:tab w:val="clear" w:pos="8296"/>
        </w:tabs>
      </w:pPr>
      <w:r>
        <w:rPr>
          <w:rFonts w:ascii="仿宋" w:hAnsi="仿宋" w:eastAsia="仿宋"/>
          <w:color w:val="000000"/>
        </w:rPr>
        <w:fldChar w:fldCharType="begin"/>
      </w:r>
      <w:r>
        <w:rPr>
          <w:rFonts w:ascii="仿宋" w:hAnsi="仿宋" w:eastAsia="仿宋"/>
        </w:rPr>
        <w:instrText xml:space="preserve"> HYPERLINK \l _Toc23168 </w:instrText>
      </w:r>
      <w:r>
        <w:rPr>
          <w:rFonts w:ascii="仿宋" w:hAnsi="仿宋" w:eastAsia="仿宋"/>
        </w:rPr>
        <w:fldChar w:fldCharType="separate"/>
      </w:r>
      <w:r>
        <w:rPr>
          <w:rFonts w:hint="eastAsia" w:ascii="黑体" w:hAnsi="黑体" w:eastAsia="黑体"/>
          <w:szCs w:val="44"/>
          <w:lang w:eastAsia="zh-CN"/>
        </w:rPr>
        <w:t>第三部分</w:t>
      </w:r>
      <w:r>
        <w:rPr>
          <w:rFonts w:hint="eastAsia" w:ascii="黑体" w:hAnsi="黑体" w:eastAsia="黑体"/>
          <w:szCs w:val="44"/>
          <w:lang w:val="en-US" w:eastAsia="zh-CN"/>
        </w:rPr>
        <w:t xml:space="preserve"> </w:t>
      </w:r>
      <w:r>
        <w:rPr>
          <w:rFonts w:hint="eastAsia" w:ascii="黑体" w:hAnsi="黑体" w:eastAsia="黑体"/>
          <w:szCs w:val="44"/>
        </w:rPr>
        <w:t>名</w:t>
      </w:r>
      <w:r>
        <w:rPr>
          <w:rFonts w:hint="eastAsia" w:ascii="黑体" w:hAnsi="黑体" w:eastAsia="黑体"/>
        </w:rPr>
        <w:t>词解释</w:t>
      </w:r>
      <w:r>
        <w:tab/>
      </w:r>
      <w:r>
        <w:fldChar w:fldCharType="begin"/>
      </w:r>
      <w:r>
        <w:instrText xml:space="preserve"> PAGEREF _Toc23168 </w:instrText>
      </w:r>
      <w:r>
        <w:fldChar w:fldCharType="separate"/>
      </w:r>
      <w:r>
        <w:t>12</w:t>
      </w:r>
      <w:r>
        <w:fldChar w:fldCharType="end"/>
      </w:r>
      <w:r>
        <w:rPr>
          <w:rFonts w:ascii="仿宋" w:hAnsi="仿宋" w:eastAsia="仿宋"/>
          <w:color w:val="000000"/>
        </w:rPr>
        <w:fldChar w:fldCharType="end"/>
      </w:r>
    </w:p>
    <w:p>
      <w:pPr>
        <w:pStyle w:val="10"/>
        <w:tabs>
          <w:tab w:val="right" w:leader="dot" w:pos="8306"/>
          <w:tab w:val="clear" w:pos="8296"/>
        </w:tabs>
      </w:pPr>
      <w:r>
        <w:rPr>
          <w:rFonts w:ascii="仿宋" w:hAnsi="仿宋" w:eastAsia="仿宋"/>
          <w:color w:val="000000"/>
        </w:rPr>
        <w:fldChar w:fldCharType="begin"/>
      </w:r>
      <w:r>
        <w:rPr>
          <w:rFonts w:ascii="仿宋" w:hAnsi="仿宋" w:eastAsia="仿宋"/>
        </w:rPr>
        <w:instrText xml:space="preserve"> HYPERLINK \l _Toc4766 </w:instrText>
      </w:r>
      <w:r>
        <w:rPr>
          <w:rFonts w:ascii="仿宋" w:hAnsi="仿宋" w:eastAsia="仿宋"/>
        </w:rPr>
        <w:fldChar w:fldCharType="separate"/>
      </w:r>
      <w:r>
        <w:rPr>
          <w:rFonts w:hint="eastAsia" w:ascii="黑体" w:hAnsi="黑体" w:eastAsia="黑体"/>
          <w:szCs w:val="44"/>
        </w:rPr>
        <w:t>第</w:t>
      </w:r>
      <w:r>
        <w:rPr>
          <w:rFonts w:hint="eastAsia" w:ascii="黑体" w:hAnsi="黑体" w:eastAsia="黑体"/>
        </w:rPr>
        <w:t>四部分 附件</w:t>
      </w:r>
      <w:r>
        <w:tab/>
      </w:r>
      <w:r>
        <w:fldChar w:fldCharType="begin"/>
      </w:r>
      <w:r>
        <w:instrText xml:space="preserve"> PAGEREF _Toc4766 </w:instrText>
      </w:r>
      <w:r>
        <w:fldChar w:fldCharType="separate"/>
      </w:r>
      <w:r>
        <w:t>14</w:t>
      </w:r>
      <w:r>
        <w:fldChar w:fldCharType="end"/>
      </w:r>
      <w:r>
        <w:rPr>
          <w:rFonts w:ascii="仿宋" w:hAnsi="仿宋" w:eastAsia="仿宋"/>
          <w:color w:val="000000"/>
        </w:rPr>
        <w:fldChar w:fldCharType="end"/>
      </w:r>
    </w:p>
    <w:p>
      <w:pPr>
        <w:pStyle w:val="11"/>
        <w:tabs>
          <w:tab w:val="right" w:leader="dot" w:pos="8306"/>
          <w:tab w:val="clear" w:pos="8296"/>
        </w:tabs>
      </w:pPr>
      <w:r>
        <w:rPr>
          <w:rFonts w:ascii="仿宋" w:hAnsi="仿宋" w:eastAsia="仿宋"/>
          <w:color w:val="000000"/>
        </w:rPr>
        <w:fldChar w:fldCharType="begin"/>
      </w:r>
      <w:r>
        <w:rPr>
          <w:rFonts w:ascii="仿宋" w:hAnsi="仿宋" w:eastAsia="仿宋"/>
        </w:rPr>
        <w:instrText xml:space="preserve"> HYPERLINK \l _Toc3397 </w:instrText>
      </w:r>
      <w:r>
        <w:rPr>
          <w:rFonts w:ascii="仿宋" w:hAnsi="仿宋" w:eastAsia="仿宋"/>
        </w:rPr>
        <w:fldChar w:fldCharType="separate"/>
      </w:r>
      <w:r>
        <w:rPr>
          <w:rFonts w:hint="eastAsia" w:ascii="仿宋" w:hAnsi="仿宋" w:eastAsia="仿宋"/>
          <w:bCs w:val="0"/>
          <w:szCs w:val="32"/>
        </w:rPr>
        <w:t>附件1</w:t>
      </w:r>
      <w:r>
        <w:tab/>
      </w:r>
      <w:r>
        <w:fldChar w:fldCharType="begin"/>
      </w:r>
      <w:r>
        <w:instrText xml:space="preserve"> PAGEREF _Toc3397 </w:instrText>
      </w:r>
      <w:r>
        <w:fldChar w:fldCharType="separate"/>
      </w:r>
      <w:r>
        <w:t>14</w:t>
      </w:r>
      <w:r>
        <w:fldChar w:fldCharType="end"/>
      </w:r>
      <w:r>
        <w:rPr>
          <w:rFonts w:ascii="仿宋" w:hAnsi="仿宋" w:eastAsia="仿宋"/>
          <w:color w:val="000000"/>
        </w:rPr>
        <w:fldChar w:fldCharType="end"/>
      </w:r>
    </w:p>
    <w:p>
      <w:pPr>
        <w:pStyle w:val="10"/>
        <w:tabs>
          <w:tab w:val="right" w:leader="dot" w:pos="8306"/>
          <w:tab w:val="clear" w:pos="8296"/>
        </w:tabs>
      </w:pPr>
      <w:r>
        <w:rPr>
          <w:rFonts w:ascii="仿宋" w:hAnsi="仿宋" w:eastAsia="仿宋"/>
          <w:color w:val="000000"/>
        </w:rPr>
        <w:fldChar w:fldCharType="begin"/>
      </w:r>
      <w:r>
        <w:rPr>
          <w:rFonts w:ascii="仿宋" w:hAnsi="仿宋" w:eastAsia="仿宋"/>
        </w:rPr>
        <w:instrText xml:space="preserve"> HYPERLINK \l _Toc11446 </w:instrText>
      </w:r>
      <w:r>
        <w:rPr>
          <w:rFonts w:ascii="仿宋" w:hAnsi="仿宋" w:eastAsia="仿宋"/>
        </w:rPr>
        <w:fldChar w:fldCharType="separate"/>
      </w:r>
      <w:r>
        <w:rPr>
          <w:rFonts w:hint="eastAsia" w:ascii="黑体" w:hAnsi="黑体" w:eastAsia="黑体"/>
          <w:szCs w:val="44"/>
        </w:rPr>
        <w:t>第</w:t>
      </w:r>
      <w:r>
        <w:rPr>
          <w:rFonts w:hint="eastAsia" w:ascii="黑体" w:hAnsi="黑体" w:eastAsia="黑体"/>
        </w:rPr>
        <w:t>五部分 附表</w:t>
      </w:r>
      <w:r>
        <w:tab/>
      </w:r>
      <w:r>
        <w:fldChar w:fldCharType="begin"/>
      </w:r>
      <w:r>
        <w:instrText xml:space="preserve"> PAGEREF _Toc11446 </w:instrText>
      </w:r>
      <w:r>
        <w:fldChar w:fldCharType="separate"/>
      </w:r>
      <w:r>
        <w:t>20</w:t>
      </w:r>
      <w:r>
        <w:fldChar w:fldCharType="end"/>
      </w:r>
      <w:r>
        <w:rPr>
          <w:rFonts w:ascii="仿宋" w:hAnsi="仿宋" w:eastAsia="仿宋"/>
          <w:color w:val="000000"/>
        </w:rPr>
        <w:fldChar w:fldCharType="end"/>
      </w:r>
    </w:p>
    <w:p>
      <w:pPr>
        <w:pStyle w:val="11"/>
        <w:tabs>
          <w:tab w:val="right" w:leader="dot" w:pos="8306"/>
          <w:tab w:val="clear" w:pos="8296"/>
        </w:tabs>
      </w:pPr>
      <w:r>
        <w:rPr>
          <w:rFonts w:ascii="仿宋" w:hAnsi="仿宋" w:eastAsia="仿宋"/>
          <w:color w:val="000000"/>
        </w:rPr>
        <w:fldChar w:fldCharType="begin"/>
      </w:r>
      <w:r>
        <w:rPr>
          <w:rFonts w:ascii="仿宋" w:hAnsi="仿宋" w:eastAsia="仿宋"/>
        </w:rPr>
        <w:instrText xml:space="preserve"> HYPERLINK \l _Toc30433 </w:instrText>
      </w:r>
      <w:r>
        <w:rPr>
          <w:rFonts w:ascii="仿宋" w:hAnsi="仿宋" w:eastAsia="仿宋"/>
        </w:rPr>
        <w:fldChar w:fldCharType="separate"/>
      </w:r>
      <w:r>
        <w:rPr>
          <w:rFonts w:hint="eastAsia" w:ascii="仿宋" w:hAnsi="仿宋" w:eastAsia="仿宋" w:cs="Times New Roman"/>
          <w:bCs w:val="0"/>
          <w:lang w:eastAsia="zh-CN"/>
        </w:rPr>
        <w:t>一、</w:t>
      </w:r>
      <w:r>
        <w:rPr>
          <w:rFonts w:hint="eastAsia" w:ascii="仿宋" w:hAnsi="仿宋" w:eastAsia="仿宋" w:cs="Times New Roman"/>
          <w:bCs w:val="0"/>
        </w:rPr>
        <w:t>收入支出决算总表</w:t>
      </w:r>
      <w:r>
        <w:tab/>
      </w:r>
      <w:r>
        <w:fldChar w:fldCharType="begin"/>
      </w:r>
      <w:r>
        <w:instrText xml:space="preserve"> PAGEREF _Toc30433 </w:instrText>
      </w:r>
      <w:r>
        <w:fldChar w:fldCharType="separate"/>
      </w:r>
      <w:r>
        <w:t>20</w:t>
      </w:r>
      <w:r>
        <w:fldChar w:fldCharType="end"/>
      </w:r>
      <w:r>
        <w:rPr>
          <w:rFonts w:ascii="仿宋" w:hAnsi="仿宋" w:eastAsia="仿宋"/>
          <w:color w:val="000000"/>
        </w:rPr>
        <w:fldChar w:fldCharType="end"/>
      </w:r>
    </w:p>
    <w:p>
      <w:pPr>
        <w:pStyle w:val="11"/>
        <w:tabs>
          <w:tab w:val="right" w:leader="dot" w:pos="8306"/>
          <w:tab w:val="clear" w:pos="8296"/>
        </w:tabs>
      </w:pPr>
      <w:r>
        <w:rPr>
          <w:rFonts w:ascii="仿宋" w:hAnsi="仿宋" w:eastAsia="仿宋"/>
          <w:color w:val="000000"/>
        </w:rPr>
        <w:fldChar w:fldCharType="begin"/>
      </w:r>
      <w:r>
        <w:rPr>
          <w:rFonts w:ascii="仿宋" w:hAnsi="仿宋" w:eastAsia="仿宋"/>
        </w:rPr>
        <w:instrText xml:space="preserve"> HYPERLINK \l _Toc23254 </w:instrText>
      </w:r>
      <w:r>
        <w:rPr>
          <w:rFonts w:ascii="仿宋" w:hAnsi="仿宋" w:eastAsia="仿宋"/>
        </w:rPr>
        <w:fldChar w:fldCharType="separate"/>
      </w:r>
      <w:r>
        <w:rPr>
          <w:rFonts w:hint="eastAsia" w:ascii="仿宋" w:hAnsi="仿宋" w:eastAsia="仿宋" w:cs="Times New Roman"/>
          <w:bCs w:val="0"/>
        </w:rPr>
        <w:t>二、收入总表</w:t>
      </w:r>
      <w:r>
        <w:tab/>
      </w:r>
      <w:r>
        <w:fldChar w:fldCharType="begin"/>
      </w:r>
      <w:r>
        <w:instrText xml:space="preserve"> PAGEREF _Toc23254 </w:instrText>
      </w:r>
      <w:r>
        <w:fldChar w:fldCharType="separate"/>
      </w:r>
      <w:r>
        <w:t>20</w:t>
      </w:r>
      <w:r>
        <w:fldChar w:fldCharType="end"/>
      </w:r>
      <w:r>
        <w:rPr>
          <w:rFonts w:ascii="仿宋" w:hAnsi="仿宋" w:eastAsia="仿宋"/>
          <w:color w:val="000000"/>
        </w:rPr>
        <w:fldChar w:fldCharType="end"/>
      </w:r>
    </w:p>
    <w:p>
      <w:pPr>
        <w:pStyle w:val="11"/>
        <w:tabs>
          <w:tab w:val="right" w:leader="dot" w:pos="8306"/>
          <w:tab w:val="clear" w:pos="8296"/>
        </w:tabs>
      </w:pPr>
      <w:r>
        <w:rPr>
          <w:rFonts w:ascii="仿宋" w:hAnsi="仿宋" w:eastAsia="仿宋"/>
          <w:color w:val="000000"/>
        </w:rPr>
        <w:fldChar w:fldCharType="begin"/>
      </w:r>
      <w:r>
        <w:rPr>
          <w:rFonts w:ascii="仿宋" w:hAnsi="仿宋" w:eastAsia="仿宋"/>
        </w:rPr>
        <w:instrText xml:space="preserve"> HYPERLINK \l _Toc29638 </w:instrText>
      </w:r>
      <w:r>
        <w:rPr>
          <w:rFonts w:ascii="仿宋" w:hAnsi="仿宋" w:eastAsia="仿宋"/>
        </w:rPr>
        <w:fldChar w:fldCharType="separate"/>
      </w:r>
      <w:r>
        <w:rPr>
          <w:rFonts w:hint="eastAsia" w:ascii="仿宋" w:hAnsi="仿宋" w:eastAsia="仿宋" w:cs="Times New Roman"/>
          <w:bCs w:val="0"/>
        </w:rPr>
        <w:t>三、支出总表</w:t>
      </w:r>
      <w:r>
        <w:tab/>
      </w:r>
      <w:r>
        <w:fldChar w:fldCharType="begin"/>
      </w:r>
      <w:r>
        <w:instrText xml:space="preserve"> PAGEREF _Toc29638 </w:instrText>
      </w:r>
      <w:r>
        <w:fldChar w:fldCharType="separate"/>
      </w:r>
      <w:r>
        <w:t>20</w:t>
      </w:r>
      <w:r>
        <w:fldChar w:fldCharType="end"/>
      </w:r>
      <w:r>
        <w:rPr>
          <w:rFonts w:ascii="仿宋" w:hAnsi="仿宋" w:eastAsia="仿宋"/>
          <w:color w:val="000000"/>
        </w:rPr>
        <w:fldChar w:fldCharType="end"/>
      </w:r>
    </w:p>
    <w:p>
      <w:pPr>
        <w:pStyle w:val="11"/>
        <w:tabs>
          <w:tab w:val="right" w:leader="dot" w:pos="8306"/>
          <w:tab w:val="clear" w:pos="8296"/>
        </w:tabs>
      </w:pPr>
      <w:r>
        <w:rPr>
          <w:rFonts w:ascii="仿宋" w:hAnsi="仿宋" w:eastAsia="仿宋"/>
          <w:color w:val="000000"/>
        </w:rPr>
        <w:fldChar w:fldCharType="begin"/>
      </w:r>
      <w:r>
        <w:rPr>
          <w:rFonts w:ascii="仿宋" w:hAnsi="仿宋" w:eastAsia="仿宋"/>
        </w:rPr>
        <w:instrText xml:space="preserve"> HYPERLINK \l _Toc30198 </w:instrText>
      </w:r>
      <w:r>
        <w:rPr>
          <w:rFonts w:ascii="仿宋" w:hAnsi="仿宋" w:eastAsia="仿宋"/>
        </w:rPr>
        <w:fldChar w:fldCharType="separate"/>
      </w:r>
      <w:r>
        <w:rPr>
          <w:rFonts w:hint="eastAsia" w:ascii="仿宋" w:hAnsi="仿宋" w:eastAsia="仿宋" w:cs="Times New Roman"/>
          <w:bCs w:val="0"/>
        </w:rPr>
        <w:t>四、财政拨款收入支出决算总表</w:t>
      </w:r>
      <w:r>
        <w:tab/>
      </w:r>
      <w:r>
        <w:fldChar w:fldCharType="begin"/>
      </w:r>
      <w:r>
        <w:instrText xml:space="preserve"> PAGEREF _Toc30198 </w:instrText>
      </w:r>
      <w:r>
        <w:fldChar w:fldCharType="separate"/>
      </w:r>
      <w:r>
        <w:t>20</w:t>
      </w:r>
      <w:r>
        <w:fldChar w:fldCharType="end"/>
      </w:r>
      <w:r>
        <w:rPr>
          <w:rFonts w:ascii="仿宋" w:hAnsi="仿宋" w:eastAsia="仿宋"/>
          <w:color w:val="000000"/>
        </w:rPr>
        <w:fldChar w:fldCharType="end"/>
      </w:r>
    </w:p>
    <w:p>
      <w:pPr>
        <w:pStyle w:val="11"/>
        <w:tabs>
          <w:tab w:val="right" w:leader="dot" w:pos="8306"/>
          <w:tab w:val="clear" w:pos="8296"/>
        </w:tabs>
      </w:pPr>
      <w:r>
        <w:rPr>
          <w:rFonts w:ascii="仿宋" w:hAnsi="仿宋" w:eastAsia="仿宋"/>
          <w:color w:val="000000"/>
        </w:rPr>
        <w:fldChar w:fldCharType="begin"/>
      </w:r>
      <w:r>
        <w:rPr>
          <w:rFonts w:ascii="仿宋" w:hAnsi="仿宋" w:eastAsia="仿宋"/>
        </w:rPr>
        <w:instrText xml:space="preserve"> HYPERLINK \l _Toc30232 </w:instrText>
      </w:r>
      <w:r>
        <w:rPr>
          <w:rFonts w:ascii="仿宋" w:hAnsi="仿宋" w:eastAsia="仿宋"/>
        </w:rPr>
        <w:fldChar w:fldCharType="separate"/>
      </w:r>
      <w:r>
        <w:rPr>
          <w:rFonts w:hint="eastAsia" w:ascii="仿宋" w:hAnsi="仿宋" w:eastAsia="仿宋" w:cs="Times New Roman"/>
          <w:bCs w:val="0"/>
        </w:rPr>
        <w:t>五、财政拨款支出决算明细表（政府经济分类科目）</w:t>
      </w:r>
      <w:r>
        <w:tab/>
      </w:r>
      <w:r>
        <w:fldChar w:fldCharType="begin"/>
      </w:r>
      <w:r>
        <w:instrText xml:space="preserve"> PAGEREF _Toc30232 </w:instrText>
      </w:r>
      <w:r>
        <w:fldChar w:fldCharType="separate"/>
      </w:r>
      <w:r>
        <w:t>20</w:t>
      </w:r>
      <w:r>
        <w:fldChar w:fldCharType="end"/>
      </w:r>
      <w:r>
        <w:rPr>
          <w:rFonts w:ascii="仿宋" w:hAnsi="仿宋" w:eastAsia="仿宋"/>
          <w:color w:val="000000"/>
        </w:rPr>
        <w:fldChar w:fldCharType="end"/>
      </w:r>
    </w:p>
    <w:p>
      <w:pPr>
        <w:pStyle w:val="11"/>
        <w:tabs>
          <w:tab w:val="right" w:leader="dot" w:pos="8306"/>
          <w:tab w:val="clear" w:pos="8296"/>
        </w:tabs>
      </w:pPr>
      <w:r>
        <w:rPr>
          <w:rFonts w:ascii="仿宋" w:hAnsi="仿宋" w:eastAsia="仿宋"/>
          <w:color w:val="000000"/>
        </w:rPr>
        <w:fldChar w:fldCharType="begin"/>
      </w:r>
      <w:r>
        <w:rPr>
          <w:rFonts w:ascii="仿宋" w:hAnsi="仿宋" w:eastAsia="仿宋"/>
        </w:rPr>
        <w:instrText xml:space="preserve"> HYPERLINK \l _Toc22671 </w:instrText>
      </w:r>
      <w:r>
        <w:rPr>
          <w:rFonts w:ascii="仿宋" w:hAnsi="仿宋" w:eastAsia="仿宋"/>
        </w:rPr>
        <w:fldChar w:fldCharType="separate"/>
      </w:r>
      <w:r>
        <w:rPr>
          <w:rFonts w:hint="eastAsia" w:ascii="仿宋" w:hAnsi="仿宋" w:eastAsia="仿宋" w:cs="Times New Roman"/>
          <w:bCs w:val="0"/>
        </w:rPr>
        <w:t>六、一般公共预算财政拨款支出决算表</w:t>
      </w:r>
      <w:r>
        <w:tab/>
      </w:r>
      <w:r>
        <w:fldChar w:fldCharType="begin"/>
      </w:r>
      <w:r>
        <w:instrText xml:space="preserve"> PAGEREF _Toc22671 </w:instrText>
      </w:r>
      <w:r>
        <w:fldChar w:fldCharType="separate"/>
      </w:r>
      <w:r>
        <w:t>20</w:t>
      </w:r>
      <w:r>
        <w:fldChar w:fldCharType="end"/>
      </w:r>
      <w:r>
        <w:rPr>
          <w:rFonts w:ascii="仿宋" w:hAnsi="仿宋" w:eastAsia="仿宋"/>
          <w:color w:val="000000"/>
        </w:rPr>
        <w:fldChar w:fldCharType="end"/>
      </w:r>
    </w:p>
    <w:p>
      <w:pPr>
        <w:pStyle w:val="11"/>
        <w:tabs>
          <w:tab w:val="right" w:leader="dot" w:pos="8306"/>
          <w:tab w:val="clear" w:pos="8296"/>
        </w:tabs>
      </w:pPr>
      <w:r>
        <w:rPr>
          <w:rFonts w:ascii="仿宋" w:hAnsi="仿宋" w:eastAsia="仿宋"/>
          <w:color w:val="000000"/>
        </w:rPr>
        <w:fldChar w:fldCharType="begin"/>
      </w:r>
      <w:r>
        <w:rPr>
          <w:rFonts w:ascii="仿宋" w:hAnsi="仿宋" w:eastAsia="仿宋"/>
        </w:rPr>
        <w:instrText xml:space="preserve"> HYPERLINK \l _Toc25540 </w:instrText>
      </w:r>
      <w:r>
        <w:rPr>
          <w:rFonts w:ascii="仿宋" w:hAnsi="仿宋" w:eastAsia="仿宋"/>
        </w:rPr>
        <w:fldChar w:fldCharType="separate"/>
      </w:r>
      <w:r>
        <w:rPr>
          <w:rFonts w:hint="eastAsia" w:ascii="仿宋" w:hAnsi="仿宋" w:eastAsia="仿宋" w:cs="Times New Roman"/>
          <w:bCs w:val="0"/>
        </w:rPr>
        <w:t>七、一般公共预算财政拨款支出决算明细表</w:t>
      </w:r>
      <w:r>
        <w:tab/>
      </w:r>
      <w:r>
        <w:fldChar w:fldCharType="begin"/>
      </w:r>
      <w:r>
        <w:instrText xml:space="preserve"> PAGEREF _Toc25540 </w:instrText>
      </w:r>
      <w:r>
        <w:fldChar w:fldCharType="separate"/>
      </w:r>
      <w:r>
        <w:t>20</w:t>
      </w:r>
      <w:r>
        <w:fldChar w:fldCharType="end"/>
      </w:r>
      <w:r>
        <w:rPr>
          <w:rFonts w:ascii="仿宋" w:hAnsi="仿宋" w:eastAsia="仿宋"/>
          <w:color w:val="000000"/>
        </w:rPr>
        <w:fldChar w:fldCharType="end"/>
      </w:r>
    </w:p>
    <w:p>
      <w:pPr>
        <w:pStyle w:val="11"/>
        <w:tabs>
          <w:tab w:val="right" w:leader="dot" w:pos="8306"/>
          <w:tab w:val="clear" w:pos="8296"/>
        </w:tabs>
      </w:pPr>
      <w:r>
        <w:rPr>
          <w:rFonts w:ascii="仿宋" w:hAnsi="仿宋" w:eastAsia="仿宋"/>
          <w:color w:val="000000"/>
        </w:rPr>
        <w:fldChar w:fldCharType="begin"/>
      </w:r>
      <w:r>
        <w:rPr>
          <w:rFonts w:ascii="仿宋" w:hAnsi="仿宋" w:eastAsia="仿宋"/>
        </w:rPr>
        <w:instrText xml:space="preserve"> HYPERLINK \l _Toc22731 </w:instrText>
      </w:r>
      <w:r>
        <w:rPr>
          <w:rFonts w:ascii="仿宋" w:hAnsi="仿宋" w:eastAsia="仿宋"/>
        </w:rPr>
        <w:fldChar w:fldCharType="separate"/>
      </w:r>
      <w:r>
        <w:rPr>
          <w:rFonts w:hint="eastAsia" w:ascii="仿宋" w:hAnsi="仿宋" w:eastAsia="仿宋" w:cs="Times New Roman"/>
          <w:bCs w:val="0"/>
        </w:rPr>
        <w:t>八、一般公共预算财政拨款基本支出决算表</w:t>
      </w:r>
      <w:r>
        <w:tab/>
      </w:r>
      <w:r>
        <w:fldChar w:fldCharType="begin"/>
      </w:r>
      <w:r>
        <w:instrText xml:space="preserve"> PAGEREF _Toc22731 </w:instrText>
      </w:r>
      <w:r>
        <w:fldChar w:fldCharType="separate"/>
      </w:r>
      <w:r>
        <w:t>20</w:t>
      </w:r>
      <w:r>
        <w:fldChar w:fldCharType="end"/>
      </w:r>
      <w:r>
        <w:rPr>
          <w:rFonts w:ascii="仿宋" w:hAnsi="仿宋" w:eastAsia="仿宋"/>
          <w:color w:val="000000"/>
        </w:rPr>
        <w:fldChar w:fldCharType="end"/>
      </w:r>
    </w:p>
    <w:p>
      <w:pPr>
        <w:pStyle w:val="11"/>
        <w:tabs>
          <w:tab w:val="right" w:leader="dot" w:pos="8306"/>
          <w:tab w:val="clear" w:pos="8296"/>
        </w:tabs>
      </w:pPr>
      <w:r>
        <w:rPr>
          <w:rFonts w:ascii="仿宋" w:hAnsi="仿宋" w:eastAsia="仿宋"/>
          <w:color w:val="000000"/>
        </w:rPr>
        <w:fldChar w:fldCharType="begin"/>
      </w:r>
      <w:r>
        <w:rPr>
          <w:rFonts w:ascii="仿宋" w:hAnsi="仿宋" w:eastAsia="仿宋"/>
        </w:rPr>
        <w:instrText xml:space="preserve"> HYPERLINK \l _Toc27253 </w:instrText>
      </w:r>
      <w:r>
        <w:rPr>
          <w:rFonts w:ascii="仿宋" w:hAnsi="仿宋" w:eastAsia="仿宋"/>
        </w:rPr>
        <w:fldChar w:fldCharType="separate"/>
      </w:r>
      <w:r>
        <w:rPr>
          <w:rFonts w:hint="eastAsia" w:ascii="仿宋" w:hAnsi="仿宋" w:eastAsia="仿宋" w:cs="Times New Roman"/>
          <w:bCs w:val="0"/>
        </w:rPr>
        <w:t>九、一般公共预算财政拨款项目支出决算表</w:t>
      </w:r>
      <w:r>
        <w:tab/>
      </w:r>
      <w:r>
        <w:fldChar w:fldCharType="begin"/>
      </w:r>
      <w:r>
        <w:instrText xml:space="preserve"> PAGEREF _Toc27253 </w:instrText>
      </w:r>
      <w:r>
        <w:fldChar w:fldCharType="separate"/>
      </w:r>
      <w:r>
        <w:t>20</w:t>
      </w:r>
      <w:r>
        <w:fldChar w:fldCharType="end"/>
      </w:r>
      <w:r>
        <w:rPr>
          <w:rFonts w:ascii="仿宋" w:hAnsi="仿宋" w:eastAsia="仿宋"/>
          <w:color w:val="000000"/>
        </w:rPr>
        <w:fldChar w:fldCharType="end"/>
      </w:r>
    </w:p>
    <w:p>
      <w:pPr>
        <w:pStyle w:val="11"/>
        <w:tabs>
          <w:tab w:val="right" w:leader="dot" w:pos="8306"/>
          <w:tab w:val="clear" w:pos="8296"/>
        </w:tabs>
      </w:pPr>
      <w:r>
        <w:rPr>
          <w:rFonts w:ascii="仿宋" w:hAnsi="仿宋" w:eastAsia="仿宋"/>
          <w:color w:val="000000"/>
        </w:rPr>
        <w:fldChar w:fldCharType="begin"/>
      </w:r>
      <w:r>
        <w:rPr>
          <w:rFonts w:ascii="仿宋" w:hAnsi="仿宋" w:eastAsia="仿宋"/>
        </w:rPr>
        <w:instrText xml:space="preserve"> HYPERLINK \l _Toc1320 </w:instrText>
      </w:r>
      <w:r>
        <w:rPr>
          <w:rFonts w:ascii="仿宋" w:hAnsi="仿宋" w:eastAsia="仿宋"/>
        </w:rPr>
        <w:fldChar w:fldCharType="separate"/>
      </w:r>
      <w:r>
        <w:rPr>
          <w:rFonts w:hint="eastAsia" w:ascii="仿宋" w:hAnsi="仿宋" w:eastAsia="仿宋" w:cs="Times New Roman"/>
          <w:bCs w:val="0"/>
        </w:rPr>
        <w:t>十、一般公共预算财政拨款“三公”经费支出决算表</w:t>
      </w:r>
      <w:r>
        <w:tab/>
      </w:r>
      <w:r>
        <w:fldChar w:fldCharType="begin"/>
      </w:r>
      <w:r>
        <w:instrText xml:space="preserve"> PAGEREF _Toc1320 </w:instrText>
      </w:r>
      <w:r>
        <w:fldChar w:fldCharType="separate"/>
      </w:r>
      <w:r>
        <w:t>20</w:t>
      </w:r>
      <w:r>
        <w:fldChar w:fldCharType="end"/>
      </w:r>
      <w:r>
        <w:rPr>
          <w:rFonts w:ascii="仿宋" w:hAnsi="仿宋" w:eastAsia="仿宋"/>
          <w:color w:val="000000"/>
        </w:rPr>
        <w:fldChar w:fldCharType="end"/>
      </w:r>
    </w:p>
    <w:p>
      <w:pPr>
        <w:pStyle w:val="11"/>
        <w:tabs>
          <w:tab w:val="right" w:leader="dot" w:pos="8306"/>
          <w:tab w:val="clear" w:pos="8296"/>
        </w:tabs>
      </w:pPr>
      <w:r>
        <w:rPr>
          <w:rFonts w:ascii="仿宋" w:hAnsi="仿宋" w:eastAsia="仿宋"/>
          <w:color w:val="000000"/>
        </w:rPr>
        <w:fldChar w:fldCharType="begin"/>
      </w:r>
      <w:r>
        <w:rPr>
          <w:rFonts w:ascii="仿宋" w:hAnsi="仿宋" w:eastAsia="仿宋"/>
        </w:rPr>
        <w:instrText xml:space="preserve"> HYPERLINK \l _Toc8235 </w:instrText>
      </w:r>
      <w:r>
        <w:rPr>
          <w:rFonts w:ascii="仿宋" w:hAnsi="仿宋" w:eastAsia="仿宋"/>
        </w:rPr>
        <w:fldChar w:fldCharType="separate"/>
      </w:r>
      <w:r>
        <w:rPr>
          <w:rFonts w:hint="eastAsia" w:ascii="仿宋" w:hAnsi="仿宋" w:eastAsia="仿宋" w:cs="Times New Roman"/>
          <w:bCs w:val="0"/>
        </w:rPr>
        <w:t>十一、政府性基金预算财政拨款收入支出决算表</w:t>
      </w:r>
      <w:r>
        <w:tab/>
      </w:r>
      <w:r>
        <w:fldChar w:fldCharType="begin"/>
      </w:r>
      <w:r>
        <w:instrText xml:space="preserve"> PAGEREF _Toc8235 </w:instrText>
      </w:r>
      <w:r>
        <w:fldChar w:fldCharType="separate"/>
      </w:r>
      <w:r>
        <w:t>20</w:t>
      </w:r>
      <w:r>
        <w:fldChar w:fldCharType="end"/>
      </w:r>
      <w:r>
        <w:rPr>
          <w:rFonts w:ascii="仿宋" w:hAnsi="仿宋" w:eastAsia="仿宋"/>
          <w:color w:val="000000"/>
        </w:rPr>
        <w:fldChar w:fldCharType="end"/>
      </w:r>
    </w:p>
    <w:p>
      <w:pPr>
        <w:pStyle w:val="11"/>
        <w:tabs>
          <w:tab w:val="right" w:leader="dot" w:pos="8306"/>
          <w:tab w:val="clear" w:pos="8296"/>
        </w:tabs>
      </w:pPr>
      <w:r>
        <w:rPr>
          <w:rFonts w:ascii="仿宋" w:hAnsi="仿宋" w:eastAsia="仿宋"/>
          <w:color w:val="000000"/>
        </w:rPr>
        <w:fldChar w:fldCharType="begin"/>
      </w:r>
      <w:r>
        <w:rPr>
          <w:rFonts w:ascii="仿宋" w:hAnsi="仿宋" w:eastAsia="仿宋"/>
        </w:rPr>
        <w:instrText xml:space="preserve"> HYPERLINK \l _Toc16186 </w:instrText>
      </w:r>
      <w:r>
        <w:rPr>
          <w:rFonts w:ascii="仿宋" w:hAnsi="仿宋" w:eastAsia="仿宋"/>
        </w:rPr>
        <w:fldChar w:fldCharType="separate"/>
      </w:r>
      <w:r>
        <w:rPr>
          <w:rFonts w:hint="eastAsia" w:ascii="仿宋" w:hAnsi="仿宋" w:eastAsia="仿宋" w:cs="Times New Roman"/>
          <w:bCs w:val="0"/>
        </w:rPr>
        <w:t>十二、政府性基金预算财政拨款“三公”经费支出决算表</w:t>
      </w:r>
      <w:r>
        <w:tab/>
      </w:r>
      <w:r>
        <w:fldChar w:fldCharType="begin"/>
      </w:r>
      <w:r>
        <w:instrText xml:space="preserve"> PAGEREF _Toc16186 </w:instrText>
      </w:r>
      <w:r>
        <w:fldChar w:fldCharType="separate"/>
      </w:r>
      <w:r>
        <w:t>20</w:t>
      </w:r>
      <w:r>
        <w:fldChar w:fldCharType="end"/>
      </w:r>
      <w:r>
        <w:rPr>
          <w:rFonts w:ascii="仿宋" w:hAnsi="仿宋" w:eastAsia="仿宋"/>
          <w:color w:val="000000"/>
        </w:rPr>
        <w:fldChar w:fldCharType="end"/>
      </w:r>
    </w:p>
    <w:p>
      <w:pPr>
        <w:pStyle w:val="11"/>
        <w:tabs>
          <w:tab w:val="right" w:leader="dot" w:pos="8306"/>
          <w:tab w:val="clear" w:pos="8296"/>
        </w:tabs>
      </w:pPr>
      <w:r>
        <w:rPr>
          <w:rFonts w:ascii="仿宋" w:hAnsi="仿宋" w:eastAsia="仿宋"/>
          <w:color w:val="000000"/>
        </w:rPr>
        <w:fldChar w:fldCharType="begin"/>
      </w:r>
      <w:r>
        <w:rPr>
          <w:rFonts w:ascii="仿宋" w:hAnsi="仿宋" w:eastAsia="仿宋"/>
        </w:rPr>
        <w:instrText xml:space="preserve"> HYPERLINK \l _Toc15737 </w:instrText>
      </w:r>
      <w:r>
        <w:rPr>
          <w:rFonts w:ascii="仿宋" w:hAnsi="仿宋" w:eastAsia="仿宋"/>
        </w:rPr>
        <w:fldChar w:fldCharType="separate"/>
      </w:r>
      <w:r>
        <w:rPr>
          <w:rFonts w:hint="eastAsia" w:ascii="仿宋" w:hAnsi="仿宋" w:eastAsia="仿宋" w:cs="Times New Roman"/>
          <w:bCs w:val="0"/>
        </w:rPr>
        <w:t>十三、国有资本经营预算支出决算表</w:t>
      </w:r>
      <w:r>
        <w:tab/>
      </w:r>
      <w:r>
        <w:fldChar w:fldCharType="begin"/>
      </w:r>
      <w:r>
        <w:instrText xml:space="preserve"> PAGEREF _Toc15737 </w:instrText>
      </w:r>
      <w:r>
        <w:fldChar w:fldCharType="separate"/>
      </w:r>
      <w:r>
        <w:t>20</w:t>
      </w:r>
      <w:r>
        <w:fldChar w:fldCharType="end"/>
      </w:r>
      <w:r>
        <w:rPr>
          <w:rFonts w:ascii="仿宋" w:hAnsi="仿宋" w:eastAsia="仿宋"/>
          <w:color w:val="000000"/>
        </w:rPr>
        <w:fldChar w:fldCharType="end"/>
      </w:r>
    </w:p>
    <w:p>
      <w:pPr>
        <w:pStyle w:val="11"/>
        <w:tabs>
          <w:tab w:val="right" w:leader="dot" w:pos="8306"/>
          <w:tab w:val="clear" w:pos="8296"/>
        </w:tabs>
      </w:pPr>
      <w:r>
        <w:rPr>
          <w:rFonts w:ascii="仿宋" w:hAnsi="仿宋" w:eastAsia="仿宋"/>
          <w:color w:val="000000"/>
        </w:rPr>
        <w:fldChar w:fldCharType="begin"/>
      </w:r>
      <w:r>
        <w:rPr>
          <w:rFonts w:ascii="仿宋" w:hAnsi="仿宋" w:eastAsia="仿宋"/>
        </w:rPr>
        <w:instrText xml:space="preserve"> HYPERLINK \l _Toc28012 </w:instrText>
      </w:r>
      <w:r>
        <w:rPr>
          <w:rFonts w:ascii="仿宋" w:hAnsi="仿宋" w:eastAsia="仿宋"/>
        </w:rPr>
        <w:fldChar w:fldCharType="separate"/>
      </w:r>
      <w:r>
        <w:rPr>
          <w:rFonts w:hint="eastAsia" w:ascii="仿宋" w:hAnsi="仿宋" w:eastAsia="仿宋" w:cs="Times New Roman"/>
          <w:bCs w:val="0"/>
          <w:lang w:val="en-US" w:eastAsia="zh-CN"/>
        </w:rPr>
        <w:t>十四、整体支出绩效评价打分表</w:t>
      </w:r>
      <w:r>
        <w:tab/>
      </w:r>
      <w:r>
        <w:fldChar w:fldCharType="begin"/>
      </w:r>
      <w:r>
        <w:instrText xml:space="preserve"> PAGEREF _Toc28012 </w:instrText>
      </w:r>
      <w:r>
        <w:fldChar w:fldCharType="separate"/>
      </w:r>
      <w:r>
        <w:t>20</w:t>
      </w:r>
      <w:r>
        <w:fldChar w:fldCharType="end"/>
      </w:r>
      <w:r>
        <w:rPr>
          <w:rFonts w:ascii="仿宋" w:hAnsi="仿宋" w:eastAsia="仿宋"/>
          <w:color w:val="000000"/>
        </w:rPr>
        <w:fldChar w:fldCharType="end"/>
      </w:r>
    </w:p>
    <w:p>
      <w:pPr>
        <w:pStyle w:val="11"/>
        <w:rPr>
          <w:rFonts w:ascii="黑体" w:hAnsi="黑体" w:eastAsia="黑体"/>
          <w:bCs/>
          <w:kern w:val="44"/>
          <w:sz w:val="44"/>
          <w:szCs w:val="44"/>
        </w:rPr>
      </w:pPr>
      <w:r>
        <w:rPr>
          <w:rFonts w:ascii="仿宋" w:hAnsi="仿宋" w:eastAsia="仿宋"/>
          <w:color w:val="000000"/>
          <w:sz w:val="24"/>
        </w:rPr>
        <w:fldChar w:fldCharType="end"/>
      </w:r>
      <w:bookmarkStart w:id="14" w:name="_Toc15377196"/>
      <w:r>
        <w:rPr>
          <w:rFonts w:ascii="黑体" w:hAnsi="黑体" w:eastAsia="黑体"/>
          <w:b/>
        </w:rPr>
        <w:br w:type="page"/>
      </w:r>
    </w:p>
    <w:p>
      <w:pPr>
        <w:pStyle w:val="2"/>
        <w:pageBreakBefore w:val="0"/>
        <w:kinsoku/>
        <w:wordWrap/>
        <w:overflowPunct/>
        <w:topLinePunct w:val="0"/>
        <w:autoSpaceDE/>
        <w:autoSpaceDN/>
        <w:bidi w:val="0"/>
        <w:spacing w:before="0" w:after="0" w:line="560" w:lineRule="exact"/>
        <w:jc w:val="center"/>
        <w:textAlignment w:val="auto"/>
        <w:rPr>
          <w:rFonts w:hint="eastAsia" w:ascii="黑体" w:hAnsi="黑体" w:eastAsia="黑体"/>
          <w:b w:val="0"/>
        </w:rPr>
      </w:pPr>
      <w:bookmarkStart w:id="15" w:name="_Toc21227"/>
    </w:p>
    <w:p>
      <w:pPr>
        <w:pStyle w:val="2"/>
        <w:pageBreakBefore w:val="0"/>
        <w:kinsoku/>
        <w:wordWrap/>
        <w:overflowPunct/>
        <w:topLinePunct w:val="0"/>
        <w:autoSpaceDE/>
        <w:autoSpaceDN/>
        <w:bidi w:val="0"/>
        <w:spacing w:before="0" w:after="0" w:line="560" w:lineRule="exact"/>
        <w:ind w:firstLine="1760" w:firstLineChars="400"/>
        <w:jc w:val="both"/>
        <w:textAlignment w:val="auto"/>
        <w:rPr>
          <w:rStyle w:val="26"/>
          <w:rFonts w:ascii="黑体" w:hAnsi="黑体" w:eastAsia="黑体"/>
          <w:b/>
          <w:bCs w:val="0"/>
        </w:rPr>
      </w:pPr>
      <w:r>
        <w:rPr>
          <w:rFonts w:hint="eastAsia" w:ascii="黑体" w:hAnsi="黑体" w:eastAsia="黑体"/>
          <w:b w:val="0"/>
        </w:rPr>
        <w:t xml:space="preserve">第一部分 </w:t>
      </w:r>
      <w:r>
        <w:rPr>
          <w:rStyle w:val="26"/>
          <w:rFonts w:hint="eastAsia" w:ascii="黑体" w:hAnsi="黑体" w:eastAsia="黑体"/>
          <w:b w:val="0"/>
          <w:bCs w:val="0"/>
        </w:rPr>
        <w:t>部门概况</w:t>
      </w:r>
      <w:bookmarkEnd w:id="14"/>
      <w:bookmarkEnd w:id="15"/>
    </w:p>
    <w:p>
      <w:pPr>
        <w:pageBreakBefore w:val="0"/>
        <w:widowControl/>
        <w:kinsoku/>
        <w:wordWrap/>
        <w:overflowPunct/>
        <w:topLinePunct w:val="0"/>
        <w:autoSpaceDE/>
        <w:autoSpaceDN/>
        <w:bidi w:val="0"/>
        <w:spacing w:line="560" w:lineRule="exact"/>
        <w:ind w:firstLine="640" w:firstLineChars="200"/>
        <w:jc w:val="left"/>
        <w:textAlignment w:val="auto"/>
        <w:rPr>
          <w:rFonts w:ascii="黑体" w:eastAsia="黑体"/>
          <w:color w:val="000000"/>
          <w:sz w:val="32"/>
          <w:szCs w:val="32"/>
        </w:rPr>
      </w:pPr>
    </w:p>
    <w:p>
      <w:pPr>
        <w:pStyle w:val="3"/>
        <w:pageBreakBefore w:val="0"/>
        <w:kinsoku/>
        <w:wordWrap/>
        <w:overflowPunct/>
        <w:topLinePunct w:val="0"/>
        <w:autoSpaceDE/>
        <w:autoSpaceDN/>
        <w:bidi w:val="0"/>
        <w:spacing w:before="0" w:after="0" w:line="560" w:lineRule="exact"/>
        <w:ind w:firstLine="640" w:firstLineChars="200"/>
        <w:textAlignment w:val="auto"/>
        <w:rPr>
          <w:rStyle w:val="27"/>
          <w:rFonts w:ascii="仿宋" w:hAnsi="仿宋" w:eastAsia="仿宋"/>
          <w:b w:val="0"/>
          <w:bCs w:val="0"/>
        </w:rPr>
      </w:pPr>
      <w:bookmarkStart w:id="16" w:name="_Toc15377197"/>
      <w:bookmarkStart w:id="17" w:name="_Toc20433"/>
      <w:r>
        <w:rPr>
          <w:rFonts w:hint="eastAsia" w:ascii="黑体" w:hAnsi="黑体" w:eastAsia="黑体"/>
          <w:b w:val="0"/>
          <w:color w:val="000000"/>
        </w:rPr>
        <w:t>一、基</w:t>
      </w:r>
      <w:r>
        <w:rPr>
          <w:rStyle w:val="27"/>
          <w:rFonts w:hint="eastAsia" w:ascii="黑体" w:hAnsi="黑体" w:eastAsia="黑体"/>
          <w:b w:val="0"/>
          <w:bCs w:val="0"/>
        </w:rPr>
        <w:t>本职能及主要工作</w:t>
      </w:r>
      <w:bookmarkEnd w:id="16"/>
      <w:bookmarkEnd w:id="17"/>
    </w:p>
    <w:p>
      <w:pPr>
        <w:pStyle w:val="5"/>
        <w:pageBreakBefore w:val="0"/>
        <w:kinsoku/>
        <w:wordWrap/>
        <w:overflowPunct/>
        <w:topLinePunct w:val="0"/>
        <w:autoSpaceDE/>
        <w:autoSpaceDN/>
        <w:bidi w:val="0"/>
        <w:adjustRightInd w:val="0"/>
        <w:snapToGrid w:val="0"/>
        <w:spacing w:beforeLines="0" w:line="560" w:lineRule="exact"/>
        <w:ind w:firstLine="640" w:firstLineChars="200"/>
        <w:textAlignment w:val="auto"/>
        <w:outlineLvl w:val="2"/>
        <w:rPr>
          <w:rFonts w:hint="eastAsia" w:ascii="仿宋" w:hAnsi="仿宋" w:eastAsia="仿宋"/>
          <w:bCs/>
          <w:color w:val="000000"/>
          <w:sz w:val="32"/>
          <w:szCs w:val="32"/>
        </w:rPr>
      </w:pPr>
      <w:bookmarkStart w:id="18" w:name="_Toc15378445"/>
      <w:bookmarkStart w:id="19" w:name="_Toc15377198"/>
      <w:r>
        <w:rPr>
          <w:rFonts w:hint="eastAsia" w:ascii="仿宋" w:hAnsi="仿宋" w:eastAsia="仿宋"/>
          <w:bCs/>
          <w:color w:val="000000"/>
          <w:sz w:val="32"/>
          <w:szCs w:val="32"/>
        </w:rPr>
        <w:t>（一）主要职能</w:t>
      </w:r>
      <w:bookmarkEnd w:id="18"/>
      <w:bookmarkEnd w:id="19"/>
    </w:p>
    <w:p>
      <w:pPr>
        <w:pStyle w:val="5"/>
        <w:keepNext w:val="0"/>
        <w:keepLines w:val="0"/>
        <w:pageBreakBefore w:val="0"/>
        <w:numPr>
          <w:ilvl w:val="0"/>
          <w:numId w:val="0"/>
        </w:numPr>
        <w:kinsoku/>
        <w:wordWrap/>
        <w:overflowPunct/>
        <w:topLinePunct w:val="0"/>
        <w:autoSpaceDE/>
        <w:autoSpaceDN/>
        <w:bidi w:val="0"/>
        <w:adjustRightInd w:val="0"/>
        <w:snapToGrid w:val="0"/>
        <w:spacing w:beforeLines="0" w:line="560" w:lineRule="exact"/>
        <w:ind w:right="0" w:rightChars="0" w:firstLine="640" w:firstLineChars="200"/>
        <w:textAlignment w:val="auto"/>
        <w:outlineLvl w:val="9"/>
        <w:rPr>
          <w:rFonts w:hint="eastAsia"/>
          <w:bCs/>
          <w:color w:val="000000"/>
          <w:sz w:val="32"/>
          <w:szCs w:val="32"/>
        </w:rPr>
      </w:pPr>
      <w:r>
        <w:rPr>
          <w:rFonts w:hint="eastAsia"/>
          <w:bCs/>
          <w:color w:val="000000"/>
          <w:sz w:val="32"/>
          <w:szCs w:val="32"/>
          <w:lang w:eastAsia="zh-CN"/>
        </w:rPr>
        <w:t>学前义务教育的实施，促进基础教育发展，培养学生高尚的思想道德情操，丰富的科学文化知识，良好的身体素质，促进学生全面发展，业务范围是从事学前教育</w:t>
      </w:r>
      <w:r>
        <w:rPr>
          <w:rFonts w:hint="eastAsia"/>
          <w:bCs/>
          <w:color w:val="000000"/>
          <w:sz w:val="32"/>
          <w:szCs w:val="32"/>
        </w:rPr>
        <w:t>。</w:t>
      </w:r>
    </w:p>
    <w:p>
      <w:pPr>
        <w:pStyle w:val="5"/>
        <w:pageBreakBefore w:val="0"/>
        <w:kinsoku/>
        <w:wordWrap/>
        <w:overflowPunct/>
        <w:topLinePunct w:val="0"/>
        <w:autoSpaceDE/>
        <w:autoSpaceDN/>
        <w:bidi w:val="0"/>
        <w:adjustRightInd w:val="0"/>
        <w:snapToGrid w:val="0"/>
        <w:spacing w:beforeLines="0" w:line="560" w:lineRule="exact"/>
        <w:ind w:firstLine="640" w:firstLineChars="200"/>
        <w:textAlignment w:val="auto"/>
        <w:outlineLvl w:val="2"/>
        <w:rPr>
          <w:rFonts w:hint="eastAsia" w:ascii="仿宋" w:hAnsi="仿宋" w:eastAsia="仿宋"/>
          <w:bCs/>
          <w:color w:val="000000"/>
          <w:sz w:val="32"/>
          <w:szCs w:val="32"/>
        </w:rPr>
      </w:pPr>
      <w:bookmarkStart w:id="20" w:name="_Toc15378446"/>
      <w:bookmarkStart w:id="21" w:name="_Toc15377199"/>
      <w:r>
        <w:rPr>
          <w:rFonts w:hint="eastAsia" w:ascii="仿宋" w:hAnsi="仿宋" w:eastAsia="仿宋"/>
          <w:bCs/>
          <w:color w:val="000000"/>
          <w:sz w:val="32"/>
          <w:szCs w:val="32"/>
        </w:rPr>
        <w:t>（二）</w:t>
      </w:r>
      <w:r>
        <w:rPr>
          <w:rFonts w:hint="eastAsia" w:ascii="仿宋" w:hAnsi="仿宋" w:eastAsia="仿宋"/>
          <w:bCs/>
          <w:color w:val="000000"/>
          <w:sz w:val="32"/>
          <w:szCs w:val="32"/>
          <w:lang w:eastAsia="zh-CN"/>
        </w:rPr>
        <w:t>20</w:t>
      </w:r>
      <w:r>
        <w:rPr>
          <w:rFonts w:hint="eastAsia" w:ascii="仿宋" w:hAnsi="仿宋" w:eastAsia="仿宋"/>
          <w:bCs/>
          <w:color w:val="000000"/>
          <w:sz w:val="32"/>
          <w:szCs w:val="32"/>
          <w:lang w:val="en-US" w:eastAsia="zh-CN"/>
        </w:rPr>
        <w:t>25</w:t>
      </w:r>
      <w:r>
        <w:rPr>
          <w:rFonts w:hint="eastAsia" w:ascii="仿宋" w:hAnsi="仿宋" w:eastAsia="仿宋"/>
          <w:bCs/>
          <w:color w:val="000000"/>
          <w:sz w:val="32"/>
          <w:szCs w:val="32"/>
        </w:rPr>
        <w:t>年重点工作完成情况</w:t>
      </w:r>
      <w:bookmarkEnd w:id="20"/>
      <w:bookmarkEnd w:id="21"/>
    </w:p>
    <w:p>
      <w:pPr>
        <w:pStyle w:val="5"/>
        <w:keepNext w:val="0"/>
        <w:keepLines w:val="0"/>
        <w:pageBreakBefore w:val="0"/>
        <w:kinsoku/>
        <w:wordWrap/>
        <w:overflowPunct/>
        <w:topLinePunct w:val="0"/>
        <w:autoSpaceDE/>
        <w:autoSpaceDN/>
        <w:bidi w:val="0"/>
        <w:adjustRightInd w:val="0"/>
        <w:snapToGrid w:val="0"/>
        <w:spacing w:beforeLines="0" w:line="560" w:lineRule="exact"/>
        <w:ind w:left="0" w:leftChars="0" w:right="0" w:rightChars="0" w:firstLine="640" w:firstLineChars="200"/>
        <w:textAlignment w:val="auto"/>
        <w:outlineLvl w:val="9"/>
        <w:rPr>
          <w:rFonts w:hint="default" w:ascii="仿宋" w:hAnsi="仿宋" w:eastAsia="仿宋"/>
          <w:bCs/>
          <w:color w:val="000000"/>
          <w:sz w:val="32"/>
          <w:szCs w:val="32"/>
          <w:lang w:val="en-US" w:eastAsia="zh-CN"/>
        </w:rPr>
      </w:pPr>
      <w:r>
        <w:rPr>
          <w:rFonts w:hint="eastAsia"/>
          <w:bCs/>
          <w:color w:val="000000"/>
          <w:sz w:val="32"/>
          <w:szCs w:val="32"/>
        </w:rPr>
        <w:t>我</w:t>
      </w:r>
      <w:r>
        <w:rPr>
          <w:rFonts w:hint="eastAsia"/>
          <w:bCs/>
          <w:color w:val="000000"/>
          <w:sz w:val="32"/>
          <w:szCs w:val="32"/>
          <w:lang w:eastAsia="zh-CN"/>
        </w:rPr>
        <w:t>园</w:t>
      </w:r>
      <w:r>
        <w:rPr>
          <w:rFonts w:hint="eastAsia"/>
          <w:bCs/>
          <w:color w:val="000000"/>
          <w:sz w:val="32"/>
          <w:szCs w:val="32"/>
        </w:rPr>
        <w:t>今年根据财政资金的安排情况，加强了资金的管理，</w:t>
      </w:r>
      <w:r>
        <w:rPr>
          <w:rFonts w:hint="eastAsia"/>
          <w:bCs/>
          <w:color w:val="000000"/>
          <w:sz w:val="32"/>
          <w:szCs w:val="32"/>
          <w:lang w:eastAsia="zh-CN"/>
        </w:rPr>
        <w:t>合理用于教育事业，</w:t>
      </w:r>
      <w:r>
        <w:rPr>
          <w:rFonts w:hint="eastAsia"/>
          <w:bCs/>
          <w:color w:val="000000"/>
          <w:sz w:val="32"/>
          <w:szCs w:val="32"/>
        </w:rPr>
        <w:t>对我</w:t>
      </w:r>
      <w:r>
        <w:rPr>
          <w:rFonts w:hint="eastAsia"/>
          <w:bCs/>
          <w:color w:val="000000"/>
          <w:sz w:val="32"/>
          <w:szCs w:val="32"/>
          <w:lang w:eastAsia="zh-CN"/>
        </w:rPr>
        <w:t>园贫困学生实行帮扶</w:t>
      </w:r>
      <w:r>
        <w:rPr>
          <w:rFonts w:hint="eastAsia"/>
          <w:bCs/>
          <w:color w:val="000000"/>
          <w:sz w:val="32"/>
          <w:szCs w:val="32"/>
        </w:rPr>
        <w:t>。资金</w:t>
      </w:r>
      <w:r>
        <w:rPr>
          <w:rFonts w:hint="eastAsia"/>
          <w:bCs/>
          <w:color w:val="000000"/>
          <w:sz w:val="32"/>
          <w:szCs w:val="32"/>
          <w:lang w:eastAsia="zh-CN"/>
        </w:rPr>
        <w:t>合理合法</w:t>
      </w:r>
      <w:r>
        <w:rPr>
          <w:rFonts w:hint="eastAsia"/>
          <w:bCs/>
          <w:color w:val="000000"/>
          <w:sz w:val="32"/>
          <w:szCs w:val="32"/>
        </w:rPr>
        <w:t>使用</w:t>
      </w:r>
      <w:r>
        <w:rPr>
          <w:rFonts w:hint="eastAsia"/>
          <w:bCs/>
          <w:color w:val="000000"/>
          <w:sz w:val="32"/>
          <w:szCs w:val="32"/>
          <w:lang w:eastAsia="zh-CN"/>
        </w:rPr>
        <w:t>。</w:t>
      </w:r>
    </w:p>
    <w:p>
      <w:pPr>
        <w:pStyle w:val="3"/>
        <w:pageBreakBefore w:val="0"/>
        <w:kinsoku/>
        <w:wordWrap/>
        <w:overflowPunct/>
        <w:topLinePunct w:val="0"/>
        <w:autoSpaceDE/>
        <w:autoSpaceDN/>
        <w:bidi w:val="0"/>
        <w:spacing w:before="0" w:after="0" w:line="560" w:lineRule="exact"/>
        <w:ind w:firstLine="640" w:firstLineChars="200"/>
        <w:textAlignment w:val="auto"/>
        <w:rPr>
          <w:rStyle w:val="27"/>
          <w:b w:val="0"/>
          <w:bCs w:val="0"/>
        </w:rPr>
      </w:pPr>
      <w:bookmarkStart w:id="22" w:name="_Toc21612"/>
      <w:bookmarkStart w:id="23" w:name="_Toc15377200"/>
      <w:r>
        <w:rPr>
          <w:rFonts w:hint="eastAsia" w:ascii="黑体" w:eastAsia="黑体"/>
          <w:b w:val="0"/>
          <w:color w:val="000000"/>
        </w:rPr>
        <w:t>二、</w:t>
      </w:r>
      <w:r>
        <w:rPr>
          <w:rFonts w:hint="eastAsia" w:ascii="黑体" w:hAnsi="黑体" w:eastAsia="黑体"/>
          <w:b w:val="0"/>
          <w:color w:val="000000"/>
        </w:rPr>
        <w:t>机</w:t>
      </w:r>
      <w:r>
        <w:rPr>
          <w:rStyle w:val="27"/>
          <w:rFonts w:hint="eastAsia" w:ascii="黑体" w:hAnsi="黑体" w:eastAsia="黑体"/>
          <w:b w:val="0"/>
          <w:bCs w:val="0"/>
        </w:rPr>
        <w:t>构设置</w:t>
      </w:r>
      <w:bookmarkEnd w:id="22"/>
      <w:bookmarkEnd w:id="23"/>
    </w:p>
    <w:p>
      <w:pPr>
        <w:pStyle w:val="5"/>
        <w:keepNext w:val="0"/>
        <w:keepLines w:val="0"/>
        <w:pageBreakBefore w:val="0"/>
        <w:kinsoku/>
        <w:wordWrap/>
        <w:overflowPunct/>
        <w:topLinePunct w:val="0"/>
        <w:autoSpaceDE/>
        <w:autoSpaceDN/>
        <w:bidi w:val="0"/>
        <w:adjustRightInd w:val="0"/>
        <w:snapToGrid w:val="0"/>
        <w:spacing w:beforeLines="0" w:line="560" w:lineRule="exact"/>
        <w:ind w:left="0" w:leftChars="0" w:right="0" w:rightChars="0" w:firstLine="640" w:firstLineChars="200"/>
        <w:textAlignment w:val="auto"/>
        <w:outlineLvl w:val="9"/>
        <w:rPr>
          <w:rFonts w:hint="default"/>
          <w:bCs/>
          <w:color w:val="000000"/>
          <w:sz w:val="32"/>
          <w:szCs w:val="32"/>
          <w:lang w:val="en-US" w:eastAsia="zh-CN"/>
        </w:rPr>
      </w:pPr>
      <w:r>
        <w:rPr>
          <w:rFonts w:hint="eastAsia"/>
          <w:bCs/>
          <w:color w:val="000000"/>
          <w:sz w:val="32"/>
          <w:szCs w:val="32"/>
          <w:lang w:eastAsia="zh-CN"/>
        </w:rPr>
        <w:t>我园属于红原县教育局下属的二级预算单位，执行的是中小学事业单位会计制度，我单位为独立核算财政全额拨款事业单位，红原县邛溪镇双语幼儿园共有编制</w:t>
      </w:r>
      <w:r>
        <w:rPr>
          <w:rFonts w:hint="eastAsia"/>
          <w:bCs/>
          <w:color w:val="000000"/>
          <w:sz w:val="32"/>
          <w:szCs w:val="32"/>
          <w:lang w:val="en-US" w:eastAsia="zh-CN"/>
        </w:rPr>
        <w:t>22</w:t>
      </w:r>
      <w:r>
        <w:rPr>
          <w:rFonts w:hint="eastAsia"/>
          <w:bCs/>
          <w:color w:val="000000"/>
          <w:sz w:val="32"/>
          <w:szCs w:val="32"/>
          <w:lang w:eastAsia="zh-CN"/>
        </w:rPr>
        <w:t>人，截止20</w:t>
      </w:r>
      <w:r>
        <w:rPr>
          <w:rFonts w:hint="eastAsia"/>
          <w:bCs/>
          <w:color w:val="000000"/>
          <w:sz w:val="32"/>
          <w:szCs w:val="32"/>
          <w:lang w:val="en-US" w:eastAsia="zh-CN"/>
        </w:rPr>
        <w:t>25</w:t>
      </w:r>
      <w:r>
        <w:rPr>
          <w:rFonts w:hint="eastAsia"/>
          <w:bCs/>
          <w:color w:val="000000"/>
          <w:sz w:val="32"/>
          <w:szCs w:val="32"/>
          <w:lang w:eastAsia="zh-CN"/>
        </w:rPr>
        <w:t>年底在职职工</w:t>
      </w:r>
      <w:r>
        <w:rPr>
          <w:rFonts w:hint="eastAsia"/>
          <w:bCs/>
          <w:color w:val="000000"/>
          <w:sz w:val="32"/>
          <w:szCs w:val="32"/>
          <w:lang w:val="en-US" w:eastAsia="zh-CN"/>
        </w:rPr>
        <w:t>22</w:t>
      </w:r>
      <w:r>
        <w:rPr>
          <w:rFonts w:hint="eastAsia"/>
          <w:bCs/>
          <w:color w:val="000000"/>
          <w:sz w:val="32"/>
          <w:szCs w:val="32"/>
          <w:lang w:eastAsia="zh-CN"/>
        </w:rPr>
        <w:t>人，上年度在职</w:t>
      </w:r>
      <w:r>
        <w:rPr>
          <w:rFonts w:hint="eastAsia"/>
          <w:bCs/>
          <w:color w:val="000000"/>
          <w:sz w:val="32"/>
          <w:szCs w:val="32"/>
          <w:lang w:val="en-US" w:eastAsia="zh-CN"/>
        </w:rPr>
        <w:t>22</w:t>
      </w:r>
      <w:r>
        <w:rPr>
          <w:rFonts w:hint="eastAsia"/>
          <w:bCs/>
          <w:color w:val="000000"/>
          <w:sz w:val="32"/>
          <w:szCs w:val="32"/>
          <w:lang w:eastAsia="zh-CN"/>
        </w:rPr>
        <w:t>人。本单位与上年度比在职人员</w:t>
      </w:r>
      <w:r>
        <w:rPr>
          <w:rFonts w:hint="eastAsia"/>
          <w:bCs/>
          <w:color w:val="000000"/>
          <w:sz w:val="32"/>
          <w:szCs w:val="32"/>
          <w:lang w:val="en-US" w:eastAsia="zh-CN"/>
        </w:rPr>
        <w:t>增加</w:t>
      </w:r>
      <w:r>
        <w:rPr>
          <w:rFonts w:hint="eastAsia"/>
          <w:bCs/>
          <w:color w:val="000000"/>
          <w:sz w:val="32"/>
          <w:szCs w:val="32"/>
          <w:lang w:eastAsia="zh-CN"/>
        </w:rPr>
        <w:t>了</w:t>
      </w:r>
      <w:r>
        <w:rPr>
          <w:rFonts w:hint="eastAsia"/>
          <w:bCs/>
          <w:color w:val="000000"/>
          <w:sz w:val="32"/>
          <w:szCs w:val="32"/>
          <w:lang w:val="en-US" w:eastAsia="zh-CN"/>
        </w:rPr>
        <w:t>0人，2人退休。</w:t>
      </w:r>
    </w:p>
    <w:p>
      <w:pPr>
        <w:pStyle w:val="5"/>
        <w:keepNext w:val="0"/>
        <w:keepLines w:val="0"/>
        <w:pageBreakBefore w:val="0"/>
        <w:kinsoku/>
        <w:wordWrap/>
        <w:overflowPunct/>
        <w:topLinePunct w:val="0"/>
        <w:bidi w:val="0"/>
        <w:adjustRightInd w:val="0"/>
        <w:snapToGrid w:val="0"/>
        <w:spacing w:line="560" w:lineRule="exact"/>
        <w:ind w:left="0" w:leftChars="0" w:right="0" w:rightChars="0" w:firstLine="672" w:firstLineChars="210"/>
        <w:textAlignment w:val="auto"/>
        <w:outlineLvl w:val="9"/>
        <w:rPr>
          <w:rFonts w:hint="eastAsia"/>
          <w:bCs/>
          <w:color w:val="000000"/>
          <w:sz w:val="32"/>
          <w:szCs w:val="32"/>
          <w:lang w:eastAsia="zh-CN"/>
        </w:rPr>
      </w:pPr>
    </w:p>
    <w:p>
      <w:pPr>
        <w:rPr>
          <w:rFonts w:hint="eastAsia" w:ascii="黑体" w:hAnsi="黑体" w:eastAsia="黑体"/>
          <w:b w:val="0"/>
          <w:color w:val="000000"/>
        </w:rPr>
      </w:pPr>
      <w:bookmarkStart w:id="24" w:name="_Toc15377204"/>
      <w:bookmarkStart w:id="25" w:name="_Toc1194"/>
      <w:r>
        <w:rPr>
          <w:rFonts w:hint="eastAsia" w:ascii="黑体" w:hAnsi="黑体" w:eastAsia="黑体"/>
          <w:b w:val="0"/>
          <w:color w:val="000000"/>
        </w:rPr>
        <w:br w:type="page"/>
      </w:r>
    </w:p>
    <w:p>
      <w:pPr>
        <w:pStyle w:val="2"/>
        <w:pageBreakBefore w:val="0"/>
        <w:widowControl w:val="0"/>
        <w:kinsoku/>
        <w:wordWrap/>
        <w:overflowPunct/>
        <w:topLinePunct w:val="0"/>
        <w:autoSpaceDE/>
        <w:autoSpaceDN/>
        <w:bidi w:val="0"/>
        <w:adjustRightInd/>
        <w:snapToGrid/>
        <w:spacing w:before="0" w:after="0" w:line="560" w:lineRule="exact"/>
        <w:ind w:right="0"/>
        <w:jc w:val="center"/>
        <w:textAlignment w:val="auto"/>
        <w:rPr>
          <w:rStyle w:val="26"/>
          <w:rFonts w:ascii="黑体" w:hAnsi="黑体" w:eastAsia="黑体"/>
          <w:b w:val="0"/>
          <w:bCs w:val="0"/>
        </w:rPr>
      </w:pPr>
      <w:r>
        <w:rPr>
          <w:rFonts w:hint="eastAsia" w:ascii="黑体" w:hAnsi="黑体" w:eastAsia="黑体"/>
          <w:b w:val="0"/>
          <w:color w:val="000000"/>
        </w:rPr>
        <w:t>第二部分</w:t>
      </w:r>
      <w:r>
        <w:rPr>
          <w:rFonts w:hint="eastAsia" w:ascii="黑体" w:hAnsi="黑体" w:eastAsia="黑体"/>
          <w:color w:val="000000"/>
        </w:rPr>
        <w:t xml:space="preserve"> </w:t>
      </w:r>
      <w:r>
        <w:rPr>
          <w:rStyle w:val="26"/>
          <w:rFonts w:hint="eastAsia" w:ascii="黑体" w:hAnsi="黑体" w:eastAsia="黑体"/>
          <w:b w:val="0"/>
          <w:bCs w:val="0"/>
          <w:lang w:eastAsia="zh-CN"/>
        </w:rPr>
        <w:t>20</w:t>
      </w:r>
      <w:r>
        <w:rPr>
          <w:rStyle w:val="26"/>
          <w:rFonts w:hint="eastAsia" w:ascii="黑体" w:hAnsi="黑体" w:eastAsia="黑体"/>
          <w:b w:val="0"/>
          <w:bCs w:val="0"/>
          <w:lang w:val="en-US" w:eastAsia="zh-CN"/>
        </w:rPr>
        <w:t>25</w:t>
      </w:r>
      <w:r>
        <w:rPr>
          <w:rStyle w:val="26"/>
          <w:rFonts w:hint="eastAsia" w:ascii="黑体" w:hAnsi="黑体" w:eastAsia="黑体"/>
          <w:b w:val="0"/>
          <w:bCs w:val="0"/>
        </w:rPr>
        <w:t>年度部门决算情况说明</w:t>
      </w:r>
      <w:bookmarkEnd w:id="24"/>
      <w:bookmarkEnd w:id="25"/>
    </w:p>
    <w:p>
      <w:pPr>
        <w:pageBreakBefore w:val="0"/>
        <w:widowControl w:val="0"/>
        <w:kinsoku/>
        <w:wordWrap/>
        <w:overflowPunct/>
        <w:topLinePunct w:val="0"/>
        <w:autoSpaceDE/>
        <w:autoSpaceDN/>
        <w:bidi w:val="0"/>
        <w:adjustRightInd/>
        <w:snapToGrid/>
        <w:spacing w:line="560" w:lineRule="exact"/>
        <w:ind w:left="0" w:right="0" w:firstLine="420" w:firstLineChars="200"/>
        <w:textAlignment w:val="auto"/>
      </w:pPr>
    </w:p>
    <w:p>
      <w:pPr>
        <w:pStyle w:val="25"/>
        <w:pageBreakBefore w:val="0"/>
        <w:widowControl w:val="0"/>
        <w:numPr>
          <w:ilvl w:val="0"/>
          <w:numId w:val="1"/>
        </w:numPr>
        <w:kinsoku/>
        <w:wordWrap/>
        <w:overflowPunct/>
        <w:topLinePunct w:val="0"/>
        <w:autoSpaceDE/>
        <w:autoSpaceDN/>
        <w:bidi w:val="0"/>
        <w:adjustRightInd/>
        <w:snapToGrid/>
        <w:spacing w:line="560" w:lineRule="exact"/>
        <w:ind w:left="410" w:leftChars="0" w:right="0" w:firstLine="640" w:firstLineChars="0"/>
        <w:textAlignment w:val="auto"/>
        <w:outlineLvl w:val="1"/>
        <w:rPr>
          <w:rStyle w:val="27"/>
          <w:rFonts w:ascii="黑体" w:hAnsi="黑体" w:eastAsia="黑体"/>
          <w:b w:val="0"/>
        </w:rPr>
      </w:pPr>
      <w:bookmarkStart w:id="26" w:name="_Toc15377205"/>
      <w:bookmarkStart w:id="27" w:name="_Toc27124"/>
      <w:r>
        <w:rPr>
          <w:rFonts w:hint="eastAsia" w:ascii="黑体" w:hAnsi="黑体" w:eastAsia="黑体"/>
          <w:color w:val="000000"/>
          <w:sz w:val="32"/>
          <w:szCs w:val="32"/>
        </w:rPr>
        <w:t>收</w:t>
      </w:r>
      <w:r>
        <w:rPr>
          <w:rStyle w:val="27"/>
          <w:rFonts w:hint="eastAsia" w:ascii="黑体" w:hAnsi="黑体" w:eastAsia="黑体"/>
          <w:b w:val="0"/>
        </w:rPr>
        <w:t>入支出决算总体情况说明</w:t>
      </w:r>
      <w:bookmarkEnd w:id="26"/>
      <w:bookmarkEnd w:id="27"/>
    </w:p>
    <w:p>
      <w:pPr>
        <w:pageBreakBefore w:val="0"/>
        <w:widowControl w:val="0"/>
        <w:kinsoku/>
        <w:wordWrap/>
        <w:overflowPunct/>
        <w:topLinePunct w:val="0"/>
        <w:autoSpaceDE/>
        <w:autoSpaceDN/>
        <w:bidi w:val="0"/>
        <w:adjustRightInd/>
        <w:snapToGrid/>
        <w:spacing w:line="560" w:lineRule="exact"/>
        <w:ind w:left="0" w:right="0" w:firstLine="640" w:firstLineChars="200"/>
        <w:textAlignment w:val="auto"/>
        <w:rPr>
          <w:rFonts w:hint="eastAsia" w:ascii="仿宋_GB2312" w:hAnsi="Times New Roman" w:eastAsia="仿宋_GB2312" w:cs="Times New Roman"/>
          <w:bCs/>
          <w:color w:val="000000" w:themeColor="text1"/>
          <w:kern w:val="0"/>
          <w:sz w:val="32"/>
          <w:szCs w:val="32"/>
          <w:lang w:val="en-US" w:eastAsia="zh-CN" w:bidi="ar-SA"/>
          <w14:textFill>
            <w14:solidFill>
              <w14:schemeClr w14:val="tx1"/>
            </w14:solidFill>
          </w14:textFill>
        </w:rPr>
      </w:pPr>
      <w:r>
        <w:rPr>
          <w:rFonts w:hint="eastAsia" w:ascii="仿宋_GB2312" w:eastAsia="仿宋_GB2312" w:cs="Times New Roman"/>
          <w:bCs/>
          <w:color w:val="000000"/>
          <w:kern w:val="0"/>
          <w:sz w:val="32"/>
          <w:szCs w:val="32"/>
          <w:lang w:val="en-US" w:eastAsia="zh-CN" w:bidi="ar-SA"/>
        </w:rPr>
        <w:t>2025</w:t>
      </w:r>
      <w:r>
        <w:rPr>
          <w:rFonts w:hint="eastAsia" w:ascii="仿宋_GB2312" w:hAnsi="Times New Roman" w:eastAsia="仿宋_GB2312" w:cs="Times New Roman"/>
          <w:bCs/>
          <w:color w:val="000000"/>
          <w:kern w:val="0"/>
          <w:sz w:val="32"/>
          <w:szCs w:val="32"/>
          <w:lang w:val="en-US" w:eastAsia="zh-CN" w:bidi="ar-SA"/>
        </w:rPr>
        <w:t>年度收入总计：</w:t>
      </w:r>
      <w:r>
        <w:rPr>
          <w:rFonts w:hint="eastAsia" w:ascii="仿宋_GB2312" w:eastAsia="仿宋_GB2312" w:cs="Times New Roman"/>
          <w:bCs/>
          <w:color w:val="000000"/>
          <w:kern w:val="0"/>
          <w:sz w:val="32"/>
          <w:szCs w:val="32"/>
          <w:lang w:val="en-US" w:eastAsia="zh-CN" w:bidi="ar-SA"/>
        </w:rPr>
        <w:t>659.84</w:t>
      </w:r>
      <w:r>
        <w:rPr>
          <w:rFonts w:hint="eastAsia" w:ascii="仿宋_GB2312" w:hAnsi="Times New Roman" w:eastAsia="仿宋_GB2312" w:cs="Times New Roman"/>
          <w:bCs/>
          <w:color w:val="000000"/>
          <w:kern w:val="0"/>
          <w:sz w:val="32"/>
          <w:szCs w:val="32"/>
          <w:lang w:val="en-US" w:eastAsia="zh-CN" w:bidi="ar-SA"/>
        </w:rPr>
        <w:t>万元。与20</w:t>
      </w:r>
      <w:r>
        <w:rPr>
          <w:rFonts w:hint="eastAsia" w:ascii="仿宋_GB2312" w:eastAsia="仿宋_GB2312" w:cs="Times New Roman"/>
          <w:bCs/>
          <w:color w:val="000000"/>
          <w:kern w:val="0"/>
          <w:sz w:val="32"/>
          <w:szCs w:val="32"/>
          <w:lang w:val="en-US" w:eastAsia="zh-CN" w:bidi="ar-SA"/>
        </w:rPr>
        <w:t>24</w:t>
      </w:r>
      <w:r>
        <w:rPr>
          <w:rFonts w:hint="eastAsia" w:ascii="仿宋_GB2312" w:hAnsi="Times New Roman" w:eastAsia="仿宋_GB2312" w:cs="Times New Roman"/>
          <w:bCs/>
          <w:color w:val="000000"/>
          <w:kern w:val="0"/>
          <w:sz w:val="32"/>
          <w:szCs w:val="32"/>
          <w:lang w:val="en-US" w:eastAsia="zh-CN" w:bidi="ar-SA"/>
        </w:rPr>
        <w:t>年相比，收入总计</w:t>
      </w:r>
      <w:r>
        <w:rPr>
          <w:rFonts w:hint="eastAsia" w:ascii="仿宋_GB2312" w:eastAsia="仿宋_GB2312" w:cs="Times New Roman"/>
          <w:bCs/>
          <w:color w:val="000000"/>
          <w:kern w:val="0"/>
          <w:sz w:val="32"/>
          <w:szCs w:val="32"/>
          <w:lang w:val="en-US" w:eastAsia="zh-CN" w:bidi="ar-SA"/>
        </w:rPr>
        <w:t>增加了56.31</w:t>
      </w:r>
      <w:r>
        <w:rPr>
          <w:rFonts w:hint="eastAsia" w:ascii="仿宋_GB2312" w:hAnsi="Times New Roman" w:eastAsia="仿宋_GB2312" w:cs="Times New Roman"/>
          <w:bCs/>
          <w:color w:val="000000"/>
          <w:kern w:val="0"/>
          <w:sz w:val="32"/>
          <w:szCs w:val="32"/>
          <w:lang w:val="en-US" w:eastAsia="zh-CN" w:bidi="ar-SA"/>
        </w:rPr>
        <w:t>万元，</w:t>
      </w:r>
      <w:r>
        <w:rPr>
          <w:rFonts w:hint="eastAsia" w:ascii="仿宋_GB2312" w:eastAsia="仿宋_GB2312" w:cs="Times New Roman"/>
          <w:bCs/>
          <w:color w:val="000000"/>
          <w:kern w:val="0"/>
          <w:sz w:val="32"/>
          <w:szCs w:val="32"/>
          <w:lang w:val="en-US" w:eastAsia="zh-CN" w:bidi="ar-SA"/>
        </w:rPr>
        <w:t>增加了8.8</w:t>
      </w:r>
      <w:r>
        <w:rPr>
          <w:rFonts w:hint="eastAsia" w:ascii="仿宋_GB2312" w:hAnsi="Times New Roman" w:eastAsia="仿宋_GB2312" w:cs="Times New Roman"/>
          <w:bCs/>
          <w:color w:val="000000"/>
          <w:kern w:val="0"/>
          <w:sz w:val="32"/>
          <w:szCs w:val="32"/>
          <w:lang w:val="en-US" w:eastAsia="zh-CN" w:bidi="ar-SA"/>
        </w:rPr>
        <w:t xml:space="preserve">%。 </w:t>
      </w:r>
      <w:r>
        <w:rPr>
          <w:rFonts w:hint="eastAsia" w:ascii="仿宋_GB2312" w:hAnsi="Times New Roman" w:eastAsia="仿宋_GB2312" w:cs="Times New Roman"/>
          <w:bCs/>
          <w:color w:val="000000" w:themeColor="text1"/>
          <w:kern w:val="0"/>
          <w:sz w:val="32"/>
          <w:szCs w:val="32"/>
          <w:lang w:val="en-US" w:eastAsia="zh-CN" w:bidi="ar-SA"/>
          <w14:textFill>
            <w14:solidFill>
              <w14:schemeClr w14:val="tx1"/>
            </w14:solidFill>
          </w14:textFill>
        </w:rPr>
        <w:t>主要变动原因是</w:t>
      </w:r>
      <w:r>
        <w:rPr>
          <w:rFonts w:hint="eastAsia" w:ascii="仿宋_GB2312" w:eastAsia="仿宋_GB2312" w:cs="Times New Roman"/>
          <w:bCs/>
          <w:color w:val="000000" w:themeColor="text1"/>
          <w:kern w:val="0"/>
          <w:sz w:val="32"/>
          <w:szCs w:val="32"/>
          <w:lang w:val="en-US" w:eastAsia="zh-CN" w:bidi="ar-SA"/>
          <w14:textFill>
            <w14:solidFill>
              <w14:schemeClr w14:val="tx1"/>
            </w14:solidFill>
          </w14:textFill>
        </w:rPr>
        <w:t>2025</w:t>
      </w:r>
      <w:r>
        <w:rPr>
          <w:rFonts w:hint="eastAsia" w:ascii="仿宋_GB2312" w:hAnsi="Times New Roman" w:eastAsia="仿宋_GB2312" w:cs="Times New Roman"/>
          <w:bCs/>
          <w:color w:val="000000" w:themeColor="text1"/>
          <w:kern w:val="0"/>
          <w:sz w:val="32"/>
          <w:szCs w:val="32"/>
          <w:lang w:val="en-US" w:eastAsia="zh-CN" w:bidi="ar-SA"/>
          <w14:textFill>
            <w14:solidFill>
              <w14:schemeClr w14:val="tx1"/>
            </w14:solidFill>
          </w14:textFill>
        </w:rPr>
        <w:t>年</w:t>
      </w:r>
      <w:r>
        <w:rPr>
          <w:rFonts w:hint="eastAsia" w:ascii="仿宋_GB2312" w:eastAsia="仿宋_GB2312" w:cs="Times New Roman"/>
          <w:bCs/>
          <w:color w:val="000000" w:themeColor="text1"/>
          <w:kern w:val="0"/>
          <w:sz w:val="32"/>
          <w:szCs w:val="32"/>
          <w:lang w:val="en-US" w:eastAsia="zh-CN" w:bidi="ar-SA"/>
          <w14:textFill>
            <w14:solidFill>
              <w14:schemeClr w14:val="tx1"/>
            </w14:solidFill>
          </w14:textFill>
        </w:rPr>
        <w:t>项目支出增加</w:t>
      </w:r>
      <w:r>
        <w:rPr>
          <w:rFonts w:hint="eastAsia" w:ascii="仿宋_GB2312" w:hAnsi="Times New Roman" w:eastAsia="仿宋_GB2312" w:cs="Times New Roman"/>
          <w:bCs/>
          <w:color w:val="000000" w:themeColor="text1"/>
          <w:kern w:val="0"/>
          <w:sz w:val="32"/>
          <w:szCs w:val="32"/>
          <w:lang w:val="en-US" w:eastAsia="zh-CN" w:bidi="ar-SA"/>
          <w14:textFill>
            <w14:solidFill>
              <w14:schemeClr w14:val="tx1"/>
            </w14:solidFill>
          </w14:textFill>
        </w:rPr>
        <w:t>。收入支出相应</w:t>
      </w:r>
      <w:r>
        <w:rPr>
          <w:rFonts w:hint="eastAsia" w:ascii="仿宋_GB2312" w:eastAsia="仿宋_GB2312" w:cs="Times New Roman"/>
          <w:bCs/>
          <w:color w:val="000000" w:themeColor="text1"/>
          <w:kern w:val="0"/>
          <w:sz w:val="32"/>
          <w:szCs w:val="32"/>
          <w:lang w:val="en-US" w:eastAsia="zh-CN" w:bidi="ar-SA"/>
          <w14:textFill>
            <w14:solidFill>
              <w14:schemeClr w14:val="tx1"/>
            </w14:solidFill>
          </w14:textFill>
        </w:rPr>
        <w:t>增加</w:t>
      </w:r>
      <w:r>
        <w:rPr>
          <w:rFonts w:hint="eastAsia" w:ascii="仿宋_GB2312" w:hAnsi="Times New Roman" w:eastAsia="仿宋_GB2312" w:cs="Times New Roman"/>
          <w:bCs/>
          <w:color w:val="000000" w:themeColor="text1"/>
          <w:kern w:val="0"/>
          <w:sz w:val="32"/>
          <w:szCs w:val="32"/>
          <w:lang w:val="en-US" w:eastAsia="zh-CN" w:bidi="ar-SA"/>
          <w14:textFill>
            <w14:solidFill>
              <w14:schemeClr w14:val="tx1"/>
            </w14:solidFill>
          </w14:textFill>
        </w:rPr>
        <w:t>。</w:t>
      </w:r>
    </w:p>
    <w:p>
      <w:pPr>
        <w:spacing w:line="600" w:lineRule="exact"/>
        <w:rPr>
          <w:rFonts w:hint="eastAsia"/>
          <w:b/>
          <w:bCs/>
          <w:sz w:val="32"/>
          <w:szCs w:val="32"/>
          <w:lang w:eastAsia="zh-CN"/>
        </w:rPr>
      </w:pPr>
      <w:r>
        <w:rPr>
          <w:rFonts w:hint="eastAsia" w:ascii="仿宋_GB2312" w:hAnsi="Times New Roman" w:eastAsia="仿宋_GB2312" w:cs="Times New Roman"/>
          <w:bCs/>
          <w:color w:val="000000" w:themeColor="text1"/>
          <w:kern w:val="0"/>
          <w:sz w:val="32"/>
          <w:szCs w:val="32"/>
          <w:lang w:val="en-US" w:eastAsia="zh-CN" w:bidi="ar-SA"/>
          <w14:textFill>
            <w14:solidFill>
              <w14:schemeClr w14:val="tx1"/>
            </w14:solidFill>
          </w14:textFill>
        </w:rPr>
        <w:t>（图1：收、支决算总计变动情况图）（柱状图）</w:t>
      </w:r>
      <w:bookmarkStart w:id="28" w:name="_Toc1909"/>
      <w:bookmarkStart w:id="29" w:name="_Toc15377206"/>
      <w:r>
        <w:rPr>
          <w:rFonts w:hint="eastAsia" w:ascii="仿宋_GB2312" w:eastAsia="仿宋_GB2312" w:cs="Times New Roman"/>
          <w:bCs/>
          <w:color w:val="000000" w:themeColor="text1"/>
          <w:kern w:val="0"/>
          <w:sz w:val="32"/>
          <w:szCs w:val="32"/>
          <w:lang w:val="en-US" w:eastAsia="zh-CN" w:bidi="ar-SA"/>
          <w14:textFill>
            <w14:solidFill>
              <w14:schemeClr w14:val="tx1"/>
            </w14:solidFill>
          </w14:textFill>
        </w:rPr>
        <w:t xml:space="preserve">     </w:t>
      </w:r>
    </w:p>
    <w:p>
      <w:pPr>
        <w:spacing w:line="600" w:lineRule="exact"/>
        <w:ind w:firstLine="420" w:firstLineChars="200"/>
        <w:rPr>
          <w:rFonts w:hint="eastAsia"/>
          <w:lang w:val="en-US" w:eastAsia="zh-CN"/>
        </w:rPr>
      </w:pPr>
    </w:p>
    <w:p>
      <w:pPr>
        <w:spacing w:line="600" w:lineRule="exact"/>
        <w:ind w:firstLine="420" w:firstLineChars="200"/>
        <w:rPr>
          <w:rStyle w:val="27"/>
          <w:rFonts w:ascii="黑体" w:hAnsi="黑体" w:eastAsia="黑体"/>
          <w:b w:val="0"/>
        </w:rPr>
      </w:pPr>
      <w:r>
        <w:drawing>
          <wp:anchor distT="0" distB="0" distL="114300" distR="114300" simplePos="0" relativeHeight="251689984" behindDoc="0" locked="0" layoutInCell="1" allowOverlap="1">
            <wp:simplePos x="0" y="0"/>
            <wp:positionH relativeFrom="column">
              <wp:posOffset>73660</wp:posOffset>
            </wp:positionH>
            <wp:positionV relativeFrom="paragraph">
              <wp:posOffset>147955</wp:posOffset>
            </wp:positionV>
            <wp:extent cx="5010785" cy="2169795"/>
            <wp:effectExtent l="4445" t="4445" r="13970" b="16510"/>
            <wp:wrapSquare wrapText="bothSides"/>
            <wp:docPr id="1907" name="图表 2"/>
            <wp:cNvGraphicFramePr/>
            <a:graphic xmlns:a="http://schemas.openxmlformats.org/drawingml/2006/main">
              <a:graphicData uri="http://schemas.openxmlformats.org/drawingml/2006/chart">
                <c:chart xmlns:c="http://schemas.openxmlformats.org/drawingml/2006/chart" xmlns:r="http://schemas.openxmlformats.org/officeDocument/2006/relationships" r:id="rId6"/>
              </a:graphicData>
            </a:graphic>
          </wp:anchor>
        </w:drawing>
      </w:r>
      <w:r>
        <w:rPr>
          <w:rFonts w:hint="eastAsia"/>
          <w:lang w:val="en-US" w:eastAsia="zh-CN"/>
        </w:rPr>
        <w:t xml:space="preserve"> </w:t>
      </w:r>
      <w:r>
        <w:rPr>
          <w:rFonts w:hint="eastAsia"/>
          <w:b/>
          <w:bCs/>
          <w:sz w:val="32"/>
          <w:szCs w:val="32"/>
          <w:lang w:eastAsia="zh-CN"/>
        </w:rPr>
        <w:t>二</w:t>
      </w:r>
      <w:r>
        <w:rPr>
          <w:rFonts w:hint="eastAsia" w:ascii="黑体" w:hAnsi="黑体" w:eastAsia="黑体"/>
          <w:color w:val="000000"/>
          <w:sz w:val="32"/>
          <w:szCs w:val="32"/>
        </w:rPr>
        <w:t>、收</w:t>
      </w:r>
      <w:r>
        <w:rPr>
          <w:rStyle w:val="27"/>
          <w:rFonts w:hint="eastAsia" w:ascii="黑体" w:hAnsi="黑体" w:eastAsia="黑体"/>
          <w:b w:val="0"/>
        </w:rPr>
        <w:t>入决算情况说明</w:t>
      </w:r>
      <w:bookmarkEnd w:id="28"/>
      <w:bookmarkEnd w:id="29"/>
    </w:p>
    <w:p>
      <w:pPr>
        <w:pageBreakBefore w:val="0"/>
        <w:widowControl w:val="0"/>
        <w:kinsoku/>
        <w:wordWrap/>
        <w:overflowPunct/>
        <w:topLinePunct w:val="0"/>
        <w:autoSpaceDE/>
        <w:autoSpaceDN/>
        <w:bidi w:val="0"/>
        <w:adjustRightInd/>
        <w:snapToGrid/>
        <w:spacing w:line="560" w:lineRule="exact"/>
        <w:ind w:right="0" w:firstLine="640" w:firstLineChars="200"/>
        <w:textAlignment w:val="auto"/>
        <w:rPr>
          <w:rFonts w:hint="default" w:ascii="仿宋_GB2312" w:hAnsi="Times New Roman" w:eastAsia="仿宋_GB2312" w:cs="Times New Roman"/>
          <w:bCs/>
          <w:color w:val="000000"/>
          <w:kern w:val="0"/>
          <w:sz w:val="32"/>
          <w:szCs w:val="32"/>
          <w:lang w:val="en-US" w:eastAsia="zh-CN" w:bidi="ar-SA"/>
        </w:rPr>
      </w:pPr>
      <w:r>
        <w:rPr>
          <w:rFonts w:hint="eastAsia" w:ascii="仿宋_GB2312" w:hAnsi="Times New Roman" w:eastAsia="仿宋_GB2312" w:cs="Times New Roman"/>
          <w:bCs/>
          <w:color w:val="000000"/>
          <w:kern w:val="0"/>
          <w:sz w:val="32"/>
          <w:szCs w:val="32"/>
          <w:lang w:val="en-US" w:eastAsia="zh-CN" w:bidi="ar-SA"/>
        </w:rPr>
        <w:t>202</w:t>
      </w:r>
      <w:r>
        <w:rPr>
          <w:rFonts w:hint="eastAsia" w:ascii="仿宋_GB2312" w:eastAsia="仿宋_GB2312" w:cs="Times New Roman"/>
          <w:bCs/>
          <w:color w:val="000000"/>
          <w:kern w:val="0"/>
          <w:sz w:val="32"/>
          <w:szCs w:val="32"/>
          <w:lang w:val="en-US" w:eastAsia="zh-CN" w:bidi="ar-SA"/>
        </w:rPr>
        <w:t>5</w:t>
      </w:r>
      <w:r>
        <w:rPr>
          <w:rFonts w:hint="eastAsia" w:ascii="仿宋_GB2312" w:hAnsi="Times New Roman" w:eastAsia="仿宋_GB2312" w:cs="Times New Roman"/>
          <w:bCs/>
          <w:color w:val="000000"/>
          <w:kern w:val="0"/>
          <w:sz w:val="32"/>
          <w:szCs w:val="32"/>
          <w:lang w:val="en-US" w:eastAsia="zh-CN" w:bidi="ar-SA"/>
        </w:rPr>
        <w:t>年本年收入合计</w:t>
      </w:r>
      <w:r>
        <w:rPr>
          <w:rFonts w:hint="eastAsia" w:ascii="仿宋_GB2312" w:eastAsia="仿宋_GB2312" w:cs="Times New Roman"/>
          <w:bCs/>
          <w:color w:val="000000"/>
          <w:kern w:val="0"/>
          <w:sz w:val="32"/>
          <w:szCs w:val="32"/>
          <w:lang w:val="en-US" w:eastAsia="zh-CN" w:bidi="ar-SA"/>
        </w:rPr>
        <w:t>659.84</w:t>
      </w:r>
      <w:r>
        <w:rPr>
          <w:rFonts w:hint="eastAsia" w:ascii="仿宋_GB2312" w:hAnsi="Times New Roman" w:eastAsia="仿宋_GB2312" w:cs="Times New Roman"/>
          <w:bCs/>
          <w:color w:val="000000"/>
          <w:kern w:val="0"/>
          <w:sz w:val="32"/>
          <w:szCs w:val="32"/>
          <w:lang w:val="en-US" w:eastAsia="zh-CN" w:bidi="ar-SA"/>
        </w:rPr>
        <w:t>万元，其中：一般公共预算财政拨款收入</w:t>
      </w:r>
      <w:r>
        <w:rPr>
          <w:rFonts w:hint="eastAsia" w:ascii="仿宋_GB2312" w:eastAsia="仿宋_GB2312" w:cs="Times New Roman"/>
          <w:bCs/>
          <w:color w:val="000000"/>
          <w:kern w:val="0"/>
          <w:sz w:val="32"/>
          <w:szCs w:val="32"/>
          <w:lang w:val="en-US" w:eastAsia="zh-CN" w:bidi="ar-SA"/>
        </w:rPr>
        <w:t>659.84</w:t>
      </w:r>
      <w:r>
        <w:rPr>
          <w:rFonts w:hint="eastAsia" w:ascii="仿宋_GB2312" w:hAnsi="Times New Roman" w:eastAsia="仿宋_GB2312" w:cs="Times New Roman"/>
          <w:bCs/>
          <w:color w:val="000000"/>
          <w:kern w:val="0"/>
          <w:sz w:val="32"/>
          <w:szCs w:val="32"/>
          <w:lang w:val="en-US" w:eastAsia="zh-CN" w:bidi="ar-SA"/>
        </w:rPr>
        <w:t>万元，占</w:t>
      </w:r>
      <w:r>
        <w:rPr>
          <w:rFonts w:hint="eastAsia" w:ascii="仿宋_GB2312" w:eastAsia="仿宋_GB2312" w:cs="Times New Roman"/>
          <w:bCs/>
          <w:color w:val="000000"/>
          <w:kern w:val="0"/>
          <w:sz w:val="32"/>
          <w:szCs w:val="32"/>
          <w:lang w:val="en-US" w:eastAsia="zh-CN" w:bidi="ar-SA"/>
        </w:rPr>
        <w:t>100</w:t>
      </w:r>
      <w:r>
        <w:rPr>
          <w:rFonts w:hint="eastAsia" w:ascii="仿宋_GB2312" w:hAnsi="Times New Roman" w:eastAsia="仿宋_GB2312" w:cs="Times New Roman"/>
          <w:bCs/>
          <w:color w:val="000000"/>
          <w:kern w:val="0"/>
          <w:sz w:val="32"/>
          <w:szCs w:val="32"/>
          <w:lang w:val="en-US" w:eastAsia="zh-CN" w:bidi="ar-SA"/>
        </w:rPr>
        <w:t>%；政府性基金预算财政拨款收入0万元，占0%；国有资本经营预算财政拨款收入0万元，占0%；事业收入0万元，占0%；经营收入0万元，占0%；附属单位上缴收入0万元，占0%；</w:t>
      </w:r>
      <w:r>
        <w:rPr>
          <w:rFonts w:hint="eastAsia" w:ascii="仿宋_GB2312" w:eastAsia="仿宋_GB2312" w:cs="Times New Roman"/>
          <w:bCs/>
          <w:color w:val="000000"/>
          <w:kern w:val="0"/>
          <w:sz w:val="32"/>
          <w:szCs w:val="32"/>
          <w:lang w:val="en-US" w:eastAsia="zh-CN" w:bidi="ar-SA"/>
        </w:rPr>
        <w:t>年初财政拨款结余和结转0</w:t>
      </w:r>
      <w:r>
        <w:rPr>
          <w:rFonts w:hint="eastAsia" w:ascii="仿宋_GB2312" w:hAnsi="Times New Roman" w:eastAsia="仿宋_GB2312" w:cs="Times New Roman"/>
          <w:bCs/>
          <w:color w:val="000000"/>
          <w:kern w:val="0"/>
          <w:sz w:val="32"/>
          <w:szCs w:val="32"/>
          <w:lang w:val="en-US" w:eastAsia="zh-CN" w:bidi="ar-SA"/>
        </w:rPr>
        <w:t>万元，占</w:t>
      </w:r>
      <w:r>
        <w:rPr>
          <w:rFonts w:hint="eastAsia" w:ascii="仿宋_GB2312" w:eastAsia="仿宋_GB2312" w:cs="Times New Roman"/>
          <w:bCs/>
          <w:color w:val="000000"/>
          <w:kern w:val="0"/>
          <w:sz w:val="32"/>
          <w:szCs w:val="32"/>
          <w:lang w:val="en-US" w:eastAsia="zh-CN" w:bidi="ar-SA"/>
        </w:rPr>
        <w:t>0</w:t>
      </w:r>
      <w:r>
        <w:rPr>
          <w:rFonts w:hint="eastAsia" w:ascii="仿宋_GB2312" w:hAnsi="Times New Roman" w:eastAsia="仿宋_GB2312" w:cs="Times New Roman"/>
          <w:bCs/>
          <w:color w:val="000000"/>
          <w:kern w:val="0"/>
          <w:sz w:val="32"/>
          <w:szCs w:val="32"/>
          <w:lang w:val="en-US" w:eastAsia="zh-CN" w:bidi="ar-SA"/>
        </w:rPr>
        <w:t>%。</w:t>
      </w:r>
      <w:r>
        <w:rPr>
          <w:rFonts w:hint="eastAsia" w:ascii="仿宋_GB2312" w:eastAsia="仿宋_GB2312" w:cs="Times New Roman"/>
          <w:bCs/>
          <w:color w:val="000000"/>
          <w:kern w:val="0"/>
          <w:sz w:val="32"/>
          <w:szCs w:val="32"/>
          <w:lang w:val="en-US" w:eastAsia="zh-CN" w:bidi="ar-SA"/>
        </w:rPr>
        <w:t>其他收入：0万元。</w:t>
      </w:r>
      <w:r>
        <w:rPr>
          <w:rFonts w:hint="eastAsia" w:ascii="仿宋_GB2312" w:hAnsi="Times New Roman" w:eastAsia="仿宋_GB2312" w:cs="Times New Roman"/>
          <w:bCs/>
          <w:color w:val="000000"/>
          <w:kern w:val="0"/>
          <w:sz w:val="32"/>
          <w:szCs w:val="32"/>
          <w:lang w:val="en-US" w:eastAsia="zh-CN" w:bidi="ar-SA"/>
        </w:rPr>
        <w:t>占</w:t>
      </w:r>
      <w:r>
        <w:rPr>
          <w:rFonts w:hint="eastAsia" w:ascii="仿宋_GB2312" w:eastAsia="仿宋_GB2312" w:cs="Times New Roman"/>
          <w:bCs/>
          <w:color w:val="000000"/>
          <w:kern w:val="0"/>
          <w:sz w:val="32"/>
          <w:szCs w:val="32"/>
          <w:lang w:val="en-US" w:eastAsia="zh-CN" w:bidi="ar-SA"/>
        </w:rPr>
        <w:t>0</w:t>
      </w:r>
      <w:r>
        <w:rPr>
          <w:rFonts w:hint="eastAsia" w:ascii="仿宋_GB2312" w:hAnsi="Times New Roman" w:eastAsia="仿宋_GB2312" w:cs="Times New Roman"/>
          <w:bCs/>
          <w:color w:val="000000"/>
          <w:kern w:val="0"/>
          <w:sz w:val="32"/>
          <w:szCs w:val="32"/>
          <w:lang w:val="en-US" w:eastAsia="zh-CN" w:bidi="ar-SA"/>
        </w:rPr>
        <w:t>%；</w:t>
      </w:r>
    </w:p>
    <w:p>
      <w:pPr>
        <w:pageBreakBefore w:val="0"/>
        <w:widowControl w:val="0"/>
        <w:kinsoku/>
        <w:wordWrap/>
        <w:overflowPunct/>
        <w:topLinePunct w:val="0"/>
        <w:autoSpaceDE/>
        <w:autoSpaceDN/>
        <w:bidi w:val="0"/>
        <w:adjustRightInd/>
        <w:snapToGrid/>
        <w:spacing w:line="560" w:lineRule="exact"/>
        <w:ind w:left="0" w:right="0" w:firstLine="640" w:firstLineChars="200"/>
        <w:textAlignment w:val="auto"/>
        <w:rPr>
          <w:rFonts w:hint="eastAsia" w:ascii="仿宋_GB2312" w:eastAsia="仿宋_GB2312" w:cs="Times New Roman"/>
          <w:bCs/>
          <w:color w:val="000000"/>
          <w:kern w:val="0"/>
          <w:sz w:val="32"/>
          <w:szCs w:val="32"/>
          <w:lang w:val="en-US" w:eastAsia="zh-CN" w:bidi="ar-SA"/>
        </w:rPr>
      </w:pPr>
      <w:r>
        <w:rPr>
          <w:rFonts w:hint="eastAsia" w:ascii="仿宋_GB2312" w:hAnsi="Times New Roman" w:eastAsia="仿宋_GB2312" w:cs="Times New Roman"/>
          <w:bCs/>
          <w:color w:val="000000"/>
          <w:kern w:val="0"/>
          <w:sz w:val="32"/>
          <w:szCs w:val="32"/>
          <w:lang w:val="en-US" w:eastAsia="zh-CN" w:bidi="ar-SA"/>
        </w:rPr>
        <w:t>（图2：收入决算结构图）（饼状图）</w:t>
      </w:r>
      <w:r>
        <w:rPr>
          <w:rFonts w:hint="eastAsia" w:ascii="仿宋_GB2312" w:eastAsia="仿宋_GB2312" w:cs="Times New Roman"/>
          <w:bCs/>
          <w:color w:val="000000"/>
          <w:kern w:val="0"/>
          <w:sz w:val="32"/>
          <w:szCs w:val="32"/>
          <w:lang w:val="en-US" w:eastAsia="zh-CN" w:bidi="ar-SA"/>
        </w:rPr>
        <w:t xml:space="preserve"> </w:t>
      </w:r>
    </w:p>
    <w:p>
      <w:pPr>
        <w:pageBreakBefore w:val="0"/>
        <w:widowControl w:val="0"/>
        <w:kinsoku/>
        <w:wordWrap/>
        <w:overflowPunct/>
        <w:topLinePunct w:val="0"/>
        <w:autoSpaceDE/>
        <w:autoSpaceDN/>
        <w:bidi w:val="0"/>
        <w:adjustRightInd/>
        <w:snapToGrid/>
        <w:spacing w:line="560" w:lineRule="exact"/>
        <w:ind w:right="0" w:firstLine="420" w:firstLineChars="200"/>
        <w:textAlignment w:val="auto"/>
        <w:rPr>
          <w:rFonts w:hint="eastAsia"/>
          <w:lang w:val="en-US" w:eastAsia="zh-CN"/>
        </w:rPr>
      </w:pPr>
      <w:bookmarkStart w:id="30" w:name="_Toc30849"/>
      <w:bookmarkStart w:id="31" w:name="_Toc15377207"/>
    </w:p>
    <w:p>
      <w:pPr>
        <w:pageBreakBefore w:val="0"/>
        <w:widowControl w:val="0"/>
        <w:kinsoku/>
        <w:wordWrap/>
        <w:overflowPunct/>
        <w:topLinePunct w:val="0"/>
        <w:autoSpaceDE/>
        <w:autoSpaceDN/>
        <w:bidi w:val="0"/>
        <w:adjustRightInd/>
        <w:snapToGrid/>
        <w:spacing w:line="560" w:lineRule="exact"/>
        <w:ind w:right="0" w:firstLine="420" w:firstLineChars="200"/>
        <w:textAlignment w:val="auto"/>
        <w:rPr>
          <w:rFonts w:hint="eastAsia"/>
          <w:lang w:val="en-US" w:eastAsia="zh-CN"/>
        </w:rPr>
      </w:pPr>
    </w:p>
    <w:p>
      <w:pPr>
        <w:pageBreakBefore w:val="0"/>
        <w:widowControl w:val="0"/>
        <w:kinsoku/>
        <w:wordWrap/>
        <w:overflowPunct/>
        <w:topLinePunct w:val="0"/>
        <w:autoSpaceDE/>
        <w:autoSpaceDN/>
        <w:bidi w:val="0"/>
        <w:adjustRightInd/>
        <w:snapToGrid/>
        <w:spacing w:line="560" w:lineRule="exact"/>
        <w:ind w:right="0" w:firstLine="420" w:firstLineChars="200"/>
        <w:textAlignment w:val="auto"/>
        <w:rPr>
          <w:rStyle w:val="27"/>
          <w:rFonts w:ascii="黑体" w:hAnsi="黑体" w:eastAsia="黑体"/>
          <w:b w:val="0"/>
        </w:rPr>
      </w:pPr>
      <w:r>
        <w:drawing>
          <wp:anchor distT="0" distB="0" distL="114300" distR="114300" simplePos="0" relativeHeight="251691008" behindDoc="0" locked="0" layoutInCell="1" allowOverlap="1">
            <wp:simplePos x="0" y="0"/>
            <wp:positionH relativeFrom="column">
              <wp:posOffset>-390525</wp:posOffset>
            </wp:positionH>
            <wp:positionV relativeFrom="paragraph">
              <wp:posOffset>94615</wp:posOffset>
            </wp:positionV>
            <wp:extent cx="5799455" cy="2156460"/>
            <wp:effectExtent l="4445" t="4445" r="6350" b="10795"/>
            <wp:wrapSquare wrapText="bothSides"/>
            <wp:docPr id="1916" name="图表 5"/>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anchor>
        </w:drawing>
      </w:r>
      <w:r>
        <w:rPr>
          <w:rFonts w:hint="eastAsia"/>
          <w:lang w:val="en-US" w:eastAsia="zh-CN"/>
        </w:rPr>
        <w:t xml:space="preserve"> </w:t>
      </w:r>
      <w:bookmarkStart w:id="78" w:name="_GoBack"/>
      <w:bookmarkEnd w:id="78"/>
      <w:r>
        <w:rPr>
          <w:rFonts w:hint="eastAsia" w:ascii="黑体" w:hAnsi="黑体" w:eastAsia="黑体"/>
          <w:color w:val="000000"/>
          <w:sz w:val="32"/>
          <w:szCs w:val="32"/>
          <w:lang w:eastAsia="zh-CN"/>
        </w:rPr>
        <w:t>三</w:t>
      </w:r>
      <w:r>
        <w:rPr>
          <w:rFonts w:hint="eastAsia" w:ascii="黑体" w:hAnsi="黑体" w:eastAsia="黑体"/>
          <w:color w:val="000000"/>
          <w:sz w:val="32"/>
          <w:szCs w:val="32"/>
        </w:rPr>
        <w:t>、支</w:t>
      </w:r>
      <w:r>
        <w:rPr>
          <w:rStyle w:val="27"/>
          <w:rFonts w:hint="eastAsia" w:ascii="黑体" w:hAnsi="黑体" w:eastAsia="黑体"/>
          <w:b w:val="0"/>
        </w:rPr>
        <w:t>出决算情况说明</w:t>
      </w:r>
      <w:bookmarkEnd w:id="30"/>
      <w:bookmarkEnd w:id="31"/>
    </w:p>
    <w:p>
      <w:pPr>
        <w:pageBreakBefore w:val="0"/>
        <w:widowControl w:val="0"/>
        <w:kinsoku/>
        <w:wordWrap/>
        <w:overflowPunct/>
        <w:topLinePunct w:val="0"/>
        <w:autoSpaceDE/>
        <w:autoSpaceDN/>
        <w:bidi w:val="0"/>
        <w:adjustRightInd/>
        <w:snapToGrid/>
        <w:spacing w:line="560" w:lineRule="exact"/>
        <w:ind w:left="0" w:right="0" w:firstLine="640" w:firstLineChars="200"/>
        <w:textAlignment w:val="auto"/>
        <w:rPr>
          <w:rFonts w:hint="eastAsia" w:ascii="仿宋_GB2312" w:hAnsi="Times New Roman" w:eastAsia="仿宋_GB2312" w:cs="Times New Roman"/>
          <w:bCs/>
          <w:color w:val="000000"/>
          <w:kern w:val="0"/>
          <w:sz w:val="32"/>
          <w:szCs w:val="32"/>
          <w:lang w:val="en-US" w:eastAsia="zh-CN" w:bidi="ar-SA"/>
        </w:rPr>
      </w:pPr>
      <w:r>
        <w:rPr>
          <w:rFonts w:hint="eastAsia" w:ascii="仿宋_GB2312" w:hAnsi="Times New Roman" w:eastAsia="仿宋_GB2312" w:cs="Times New Roman"/>
          <w:bCs/>
          <w:color w:val="000000"/>
          <w:kern w:val="0"/>
          <w:sz w:val="32"/>
          <w:szCs w:val="32"/>
          <w:lang w:val="en-US" w:eastAsia="zh-CN" w:bidi="ar-SA"/>
        </w:rPr>
        <w:t>202</w:t>
      </w:r>
      <w:r>
        <w:rPr>
          <w:rFonts w:hint="eastAsia" w:ascii="仿宋_GB2312" w:eastAsia="仿宋_GB2312" w:cs="Times New Roman"/>
          <w:bCs/>
          <w:color w:val="000000"/>
          <w:kern w:val="0"/>
          <w:sz w:val="32"/>
          <w:szCs w:val="32"/>
          <w:lang w:val="en-US" w:eastAsia="zh-CN" w:bidi="ar-SA"/>
        </w:rPr>
        <w:t>5</w:t>
      </w:r>
      <w:r>
        <w:rPr>
          <w:rFonts w:hint="eastAsia" w:ascii="仿宋_GB2312" w:hAnsi="Times New Roman" w:eastAsia="仿宋_GB2312" w:cs="Times New Roman"/>
          <w:bCs/>
          <w:color w:val="000000"/>
          <w:kern w:val="0"/>
          <w:sz w:val="32"/>
          <w:szCs w:val="32"/>
          <w:lang w:val="en-US" w:eastAsia="zh-CN" w:bidi="ar-SA"/>
        </w:rPr>
        <w:t>年本年支出合计</w:t>
      </w:r>
      <w:r>
        <w:rPr>
          <w:rFonts w:hint="eastAsia" w:ascii="仿宋_GB2312" w:eastAsia="仿宋_GB2312" w:cs="Times New Roman"/>
          <w:bCs/>
          <w:color w:val="000000"/>
          <w:kern w:val="0"/>
          <w:sz w:val="32"/>
          <w:szCs w:val="32"/>
          <w:lang w:val="en-US" w:eastAsia="zh-CN" w:bidi="ar-SA"/>
        </w:rPr>
        <w:t>695.84</w:t>
      </w:r>
      <w:r>
        <w:rPr>
          <w:rFonts w:hint="eastAsia" w:ascii="仿宋_GB2312" w:hAnsi="Times New Roman" w:eastAsia="仿宋_GB2312" w:cs="Times New Roman"/>
          <w:bCs/>
          <w:color w:val="000000"/>
          <w:kern w:val="0"/>
          <w:sz w:val="32"/>
          <w:szCs w:val="32"/>
          <w:lang w:val="en-US" w:eastAsia="zh-CN" w:bidi="ar-SA"/>
        </w:rPr>
        <w:t>万元，其中：基本支出</w:t>
      </w:r>
      <w:r>
        <w:rPr>
          <w:rFonts w:hint="eastAsia" w:ascii="仿宋_GB2312" w:eastAsia="仿宋_GB2312" w:cs="Times New Roman"/>
          <w:bCs/>
          <w:color w:val="000000"/>
          <w:kern w:val="0"/>
          <w:sz w:val="32"/>
          <w:szCs w:val="32"/>
          <w:lang w:val="en-US" w:eastAsia="zh-CN" w:bidi="ar-SA"/>
        </w:rPr>
        <w:t>582.49</w:t>
      </w:r>
      <w:r>
        <w:rPr>
          <w:rFonts w:hint="eastAsia" w:ascii="仿宋_GB2312" w:hAnsi="Times New Roman" w:eastAsia="仿宋_GB2312" w:cs="Times New Roman"/>
          <w:bCs/>
          <w:color w:val="000000"/>
          <w:kern w:val="0"/>
          <w:sz w:val="32"/>
          <w:szCs w:val="32"/>
          <w:lang w:val="en-US" w:eastAsia="zh-CN" w:bidi="ar-SA"/>
        </w:rPr>
        <w:t>万元，占</w:t>
      </w:r>
      <w:r>
        <w:rPr>
          <w:rFonts w:hint="eastAsia" w:ascii="仿宋_GB2312" w:eastAsia="仿宋_GB2312" w:cs="Times New Roman"/>
          <w:bCs/>
          <w:color w:val="auto"/>
          <w:kern w:val="0"/>
          <w:sz w:val="32"/>
          <w:szCs w:val="32"/>
          <w:lang w:val="en-US" w:eastAsia="zh-CN" w:bidi="ar-SA"/>
        </w:rPr>
        <w:t>88.23</w:t>
      </w:r>
      <w:r>
        <w:rPr>
          <w:rFonts w:hint="eastAsia" w:ascii="仿宋_GB2312" w:hAnsi="Times New Roman" w:eastAsia="仿宋_GB2312" w:cs="Times New Roman"/>
          <w:bCs/>
          <w:color w:val="auto"/>
          <w:kern w:val="0"/>
          <w:sz w:val="32"/>
          <w:szCs w:val="32"/>
          <w:lang w:val="en-US" w:eastAsia="zh-CN" w:bidi="ar-SA"/>
        </w:rPr>
        <w:t>%</w:t>
      </w:r>
      <w:r>
        <w:rPr>
          <w:rFonts w:hint="eastAsia" w:ascii="仿宋_GB2312" w:hAnsi="Times New Roman" w:eastAsia="仿宋_GB2312" w:cs="Times New Roman"/>
          <w:bCs/>
          <w:color w:val="000000"/>
          <w:kern w:val="0"/>
          <w:sz w:val="32"/>
          <w:szCs w:val="32"/>
          <w:lang w:val="en-US" w:eastAsia="zh-CN" w:bidi="ar-SA"/>
        </w:rPr>
        <w:t>；项目支出</w:t>
      </w:r>
      <w:r>
        <w:rPr>
          <w:rFonts w:hint="eastAsia" w:ascii="仿宋_GB2312" w:eastAsia="仿宋_GB2312" w:cs="Times New Roman"/>
          <w:bCs/>
          <w:color w:val="000000"/>
          <w:kern w:val="0"/>
          <w:sz w:val="32"/>
          <w:szCs w:val="32"/>
          <w:lang w:val="en-US" w:eastAsia="zh-CN" w:bidi="ar-SA"/>
        </w:rPr>
        <w:t>113.35</w:t>
      </w:r>
      <w:r>
        <w:rPr>
          <w:rFonts w:hint="eastAsia" w:ascii="仿宋_GB2312" w:hAnsi="Times New Roman" w:eastAsia="仿宋_GB2312" w:cs="Times New Roman"/>
          <w:bCs/>
          <w:color w:val="000000"/>
          <w:kern w:val="0"/>
          <w:sz w:val="32"/>
          <w:szCs w:val="32"/>
          <w:lang w:val="en-US" w:eastAsia="zh-CN" w:bidi="ar-SA"/>
        </w:rPr>
        <w:t>万元，占</w:t>
      </w:r>
      <w:r>
        <w:rPr>
          <w:rFonts w:hint="eastAsia" w:ascii="仿宋_GB2312" w:eastAsia="仿宋_GB2312" w:cs="Times New Roman"/>
          <w:bCs/>
          <w:color w:val="auto"/>
          <w:kern w:val="0"/>
          <w:sz w:val="32"/>
          <w:szCs w:val="32"/>
          <w:lang w:val="en-US" w:eastAsia="zh-CN" w:bidi="ar-SA"/>
        </w:rPr>
        <w:t>16.29</w:t>
      </w:r>
      <w:r>
        <w:rPr>
          <w:rFonts w:hint="eastAsia" w:ascii="仿宋_GB2312" w:hAnsi="Times New Roman" w:eastAsia="仿宋_GB2312" w:cs="Times New Roman"/>
          <w:bCs/>
          <w:color w:val="auto"/>
          <w:kern w:val="0"/>
          <w:sz w:val="32"/>
          <w:szCs w:val="32"/>
          <w:lang w:val="en-US" w:eastAsia="zh-CN" w:bidi="ar-SA"/>
        </w:rPr>
        <w:t>%</w:t>
      </w:r>
      <w:r>
        <w:rPr>
          <w:rFonts w:hint="eastAsia" w:ascii="仿宋_GB2312" w:hAnsi="Times New Roman" w:eastAsia="仿宋_GB2312" w:cs="Times New Roman"/>
          <w:bCs/>
          <w:color w:val="000000"/>
          <w:kern w:val="0"/>
          <w:sz w:val="32"/>
          <w:szCs w:val="32"/>
          <w:lang w:val="en-US" w:eastAsia="zh-CN" w:bidi="ar-SA"/>
        </w:rPr>
        <w:t>；上缴上级支出0万元，占0%；经营支出0万元，占0%；对附属单位补助支出0万元，占0%。</w:t>
      </w:r>
    </w:p>
    <w:p>
      <w:pPr>
        <w:spacing w:line="600" w:lineRule="exact"/>
        <w:ind w:firstLine="640" w:firstLineChars="200"/>
        <w:rPr>
          <w:rFonts w:hint="eastAsia" w:ascii="仿宋_GB2312" w:hAnsi="Times New Roman" w:eastAsia="仿宋_GB2312" w:cs="Times New Roman"/>
          <w:bCs/>
          <w:color w:val="000000"/>
          <w:kern w:val="0"/>
          <w:sz w:val="32"/>
          <w:szCs w:val="32"/>
          <w:lang w:val="en-US" w:eastAsia="zh-CN" w:bidi="ar-SA"/>
        </w:rPr>
      </w:pPr>
      <w:r>
        <w:rPr>
          <w:rFonts w:hint="eastAsia" w:ascii="仿宋_GB2312" w:hAnsi="Times New Roman" w:eastAsia="仿宋_GB2312" w:cs="Times New Roman"/>
          <w:bCs/>
          <w:color w:val="000000"/>
          <w:kern w:val="0"/>
          <w:sz w:val="32"/>
          <w:szCs w:val="32"/>
          <w:lang w:val="en-US" w:eastAsia="zh-CN" w:bidi="ar-SA"/>
        </w:rPr>
        <w:t>（图3：支出决算结构图）（饼状图）</w:t>
      </w:r>
      <w:bookmarkStart w:id="32" w:name="_Toc15377208"/>
      <w:bookmarkStart w:id="33" w:name="_Toc29603"/>
    </w:p>
    <w:p>
      <w:pPr>
        <w:spacing w:line="600" w:lineRule="exact"/>
        <w:ind w:firstLine="420" w:firstLineChars="200"/>
        <w:rPr>
          <w:rStyle w:val="27"/>
          <w:rFonts w:ascii="黑体" w:hAnsi="黑体" w:eastAsia="黑体"/>
          <w:b w:val="0"/>
        </w:rPr>
      </w:pPr>
      <w:r>
        <w:drawing>
          <wp:anchor distT="0" distB="0" distL="114300" distR="114300" simplePos="0" relativeHeight="251692032" behindDoc="0" locked="0" layoutInCell="1" allowOverlap="1">
            <wp:simplePos x="0" y="0"/>
            <wp:positionH relativeFrom="column">
              <wp:posOffset>-219710</wp:posOffset>
            </wp:positionH>
            <wp:positionV relativeFrom="paragraph">
              <wp:posOffset>210820</wp:posOffset>
            </wp:positionV>
            <wp:extent cx="5292725" cy="2579370"/>
            <wp:effectExtent l="4445" t="4445" r="17780" b="6985"/>
            <wp:wrapSquare wrapText="bothSides"/>
            <wp:docPr id="1917" name="图表 6"/>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anchor>
        </w:drawing>
      </w:r>
      <w:r>
        <w:rPr>
          <w:rFonts w:hint="eastAsia"/>
          <w:lang w:val="en-US" w:eastAsia="zh-CN"/>
        </w:rPr>
        <w:t xml:space="preserve"> </w:t>
      </w:r>
      <w:r>
        <w:rPr>
          <w:rFonts w:hint="eastAsia" w:ascii="黑体" w:hAnsi="黑体" w:eastAsia="黑体"/>
          <w:color w:val="000000"/>
          <w:sz w:val="32"/>
          <w:szCs w:val="32"/>
        </w:rPr>
        <w:t>四、财</w:t>
      </w:r>
      <w:r>
        <w:rPr>
          <w:rStyle w:val="27"/>
          <w:rFonts w:hint="eastAsia" w:ascii="黑体" w:hAnsi="黑体" w:eastAsia="黑体"/>
          <w:b w:val="0"/>
        </w:rPr>
        <w:t>政拨款收入支出决算总体情况说明</w:t>
      </w:r>
      <w:bookmarkEnd w:id="32"/>
      <w:bookmarkEnd w:id="33"/>
    </w:p>
    <w:p>
      <w:pPr>
        <w:spacing w:line="360" w:lineRule="auto"/>
        <w:ind w:firstLine="640" w:firstLineChars="200"/>
        <w:rPr>
          <w:rFonts w:hint="eastAsia" w:ascii="仿宋_GB2312" w:hAnsi="Times New Roman" w:eastAsia="仿宋_GB2312" w:cs="Times New Roman"/>
          <w:bCs/>
          <w:color w:val="000000"/>
          <w:kern w:val="0"/>
          <w:sz w:val="32"/>
          <w:szCs w:val="32"/>
          <w:lang w:val="en-US" w:eastAsia="zh-CN" w:bidi="ar-SA"/>
        </w:rPr>
      </w:pPr>
      <w:r>
        <w:rPr>
          <w:rFonts w:hint="eastAsia" w:ascii="仿宋_GB2312" w:hAnsi="Times New Roman" w:eastAsia="仿宋_GB2312" w:cs="Times New Roman"/>
          <w:bCs/>
          <w:color w:val="000000"/>
          <w:kern w:val="0"/>
          <w:sz w:val="32"/>
          <w:szCs w:val="32"/>
          <w:lang w:val="en-US" w:eastAsia="zh-CN" w:bidi="ar-SA"/>
        </w:rPr>
        <w:t>202</w:t>
      </w:r>
      <w:r>
        <w:rPr>
          <w:rFonts w:hint="eastAsia" w:ascii="仿宋_GB2312" w:eastAsia="仿宋_GB2312" w:cs="Times New Roman"/>
          <w:bCs/>
          <w:color w:val="000000"/>
          <w:kern w:val="0"/>
          <w:sz w:val="32"/>
          <w:szCs w:val="32"/>
          <w:lang w:val="en-US" w:eastAsia="zh-CN" w:bidi="ar-SA"/>
        </w:rPr>
        <w:t>5</w:t>
      </w:r>
      <w:r>
        <w:rPr>
          <w:rFonts w:hint="eastAsia" w:ascii="仿宋_GB2312" w:hAnsi="Times New Roman" w:eastAsia="仿宋_GB2312" w:cs="Times New Roman"/>
          <w:bCs/>
          <w:color w:val="000000"/>
          <w:kern w:val="0"/>
          <w:sz w:val="32"/>
          <w:szCs w:val="32"/>
          <w:lang w:val="en-US" w:eastAsia="zh-CN" w:bidi="ar-SA"/>
        </w:rPr>
        <w:t>年财政拨款收入总计</w:t>
      </w:r>
      <w:r>
        <w:rPr>
          <w:rFonts w:hint="eastAsia" w:ascii="仿宋_GB2312" w:eastAsia="仿宋_GB2312" w:cs="Times New Roman"/>
          <w:bCs/>
          <w:color w:val="000000"/>
          <w:kern w:val="0"/>
          <w:sz w:val="32"/>
          <w:szCs w:val="32"/>
          <w:lang w:val="en-US" w:eastAsia="zh-CN" w:bidi="ar-SA"/>
        </w:rPr>
        <w:t>695.84</w:t>
      </w:r>
      <w:r>
        <w:rPr>
          <w:rFonts w:hint="eastAsia" w:ascii="仿宋_GB2312" w:hAnsi="Times New Roman" w:eastAsia="仿宋_GB2312" w:cs="Times New Roman"/>
          <w:bCs/>
          <w:color w:val="000000"/>
          <w:kern w:val="0"/>
          <w:sz w:val="32"/>
          <w:szCs w:val="32"/>
          <w:lang w:val="en-US" w:eastAsia="zh-CN" w:bidi="ar-SA"/>
        </w:rPr>
        <w:t>万元。与20</w:t>
      </w:r>
      <w:r>
        <w:rPr>
          <w:rFonts w:hint="eastAsia" w:ascii="仿宋_GB2312" w:eastAsia="仿宋_GB2312" w:cs="Times New Roman"/>
          <w:bCs/>
          <w:color w:val="000000"/>
          <w:kern w:val="0"/>
          <w:sz w:val="32"/>
          <w:szCs w:val="32"/>
          <w:lang w:val="en-US" w:eastAsia="zh-CN" w:bidi="ar-SA"/>
        </w:rPr>
        <w:t>24</w:t>
      </w:r>
      <w:r>
        <w:rPr>
          <w:rFonts w:hint="eastAsia" w:ascii="仿宋_GB2312" w:hAnsi="Times New Roman" w:eastAsia="仿宋_GB2312" w:cs="Times New Roman"/>
          <w:bCs/>
          <w:color w:val="000000"/>
          <w:kern w:val="0"/>
          <w:sz w:val="32"/>
          <w:szCs w:val="32"/>
          <w:lang w:val="en-US" w:eastAsia="zh-CN" w:bidi="ar-SA"/>
        </w:rPr>
        <w:t>年相比，财政拨款收入总计</w:t>
      </w:r>
      <w:r>
        <w:rPr>
          <w:rFonts w:hint="eastAsia" w:ascii="仿宋_GB2312" w:eastAsia="仿宋_GB2312" w:cs="Times New Roman"/>
          <w:bCs/>
          <w:color w:val="000000"/>
          <w:kern w:val="0"/>
          <w:sz w:val="32"/>
          <w:szCs w:val="32"/>
          <w:lang w:val="en-US" w:eastAsia="zh-CN" w:bidi="ar-SA"/>
        </w:rPr>
        <w:t>增加56.31</w:t>
      </w:r>
      <w:r>
        <w:rPr>
          <w:rFonts w:hint="eastAsia" w:ascii="仿宋_GB2312" w:hAnsi="Times New Roman" w:eastAsia="仿宋_GB2312" w:cs="Times New Roman"/>
          <w:bCs/>
          <w:color w:val="000000"/>
          <w:kern w:val="0"/>
          <w:sz w:val="32"/>
          <w:szCs w:val="32"/>
          <w:lang w:val="en-US" w:eastAsia="zh-CN" w:bidi="ar-SA"/>
        </w:rPr>
        <w:t>万元，</w:t>
      </w:r>
      <w:r>
        <w:rPr>
          <w:rFonts w:hint="eastAsia" w:ascii="仿宋_GB2312" w:eastAsia="仿宋_GB2312" w:cs="Times New Roman"/>
          <w:bCs/>
          <w:color w:val="auto"/>
          <w:kern w:val="0"/>
          <w:sz w:val="32"/>
          <w:szCs w:val="32"/>
          <w:lang w:val="en-US" w:eastAsia="zh-CN" w:bidi="ar-SA"/>
        </w:rPr>
        <w:t>增加8.8</w:t>
      </w:r>
      <w:r>
        <w:rPr>
          <w:rFonts w:hint="eastAsia" w:ascii="仿宋_GB2312" w:hAnsi="Times New Roman" w:eastAsia="仿宋_GB2312" w:cs="Times New Roman"/>
          <w:bCs/>
          <w:color w:val="auto"/>
          <w:kern w:val="0"/>
          <w:sz w:val="32"/>
          <w:szCs w:val="32"/>
          <w:lang w:val="en-US" w:eastAsia="zh-CN" w:bidi="ar-SA"/>
        </w:rPr>
        <w:t>%。</w:t>
      </w:r>
      <w:r>
        <w:rPr>
          <w:rFonts w:hint="eastAsia" w:ascii="仿宋_GB2312" w:hAnsi="Times New Roman" w:eastAsia="仿宋_GB2312" w:cs="Times New Roman"/>
          <w:bCs/>
          <w:color w:val="000000"/>
          <w:kern w:val="0"/>
          <w:sz w:val="32"/>
          <w:szCs w:val="32"/>
          <w:lang w:val="en-US" w:eastAsia="zh-CN" w:bidi="ar-SA"/>
        </w:rPr>
        <w:t xml:space="preserve"> 202</w:t>
      </w:r>
      <w:r>
        <w:rPr>
          <w:rFonts w:hint="eastAsia" w:ascii="仿宋_GB2312" w:eastAsia="仿宋_GB2312" w:cs="Times New Roman"/>
          <w:bCs/>
          <w:color w:val="000000"/>
          <w:kern w:val="0"/>
          <w:sz w:val="32"/>
          <w:szCs w:val="32"/>
          <w:lang w:val="en-US" w:eastAsia="zh-CN" w:bidi="ar-SA"/>
        </w:rPr>
        <w:t>5</w:t>
      </w:r>
      <w:r>
        <w:rPr>
          <w:rFonts w:hint="eastAsia" w:ascii="仿宋_GB2312" w:hAnsi="Times New Roman" w:eastAsia="仿宋_GB2312" w:cs="Times New Roman"/>
          <w:bCs/>
          <w:color w:val="000000"/>
          <w:kern w:val="0"/>
          <w:sz w:val="32"/>
          <w:szCs w:val="32"/>
          <w:lang w:val="en-US" w:eastAsia="zh-CN" w:bidi="ar-SA"/>
        </w:rPr>
        <w:t>年财政拨款支出总计</w:t>
      </w:r>
      <w:r>
        <w:rPr>
          <w:rFonts w:hint="eastAsia" w:ascii="仿宋_GB2312" w:eastAsia="仿宋_GB2312" w:cs="Times New Roman"/>
          <w:bCs/>
          <w:color w:val="000000"/>
          <w:kern w:val="0"/>
          <w:sz w:val="32"/>
          <w:szCs w:val="32"/>
          <w:lang w:val="en-US" w:eastAsia="zh-CN" w:bidi="ar-SA"/>
        </w:rPr>
        <w:t>695.84</w:t>
      </w:r>
      <w:r>
        <w:rPr>
          <w:rFonts w:hint="eastAsia" w:ascii="仿宋_GB2312" w:hAnsi="Times New Roman" w:eastAsia="仿宋_GB2312" w:cs="Times New Roman"/>
          <w:bCs/>
          <w:color w:val="000000"/>
          <w:kern w:val="0"/>
          <w:sz w:val="32"/>
          <w:szCs w:val="32"/>
          <w:lang w:val="en-US" w:eastAsia="zh-CN" w:bidi="ar-SA"/>
        </w:rPr>
        <w:t>万元。与20</w:t>
      </w:r>
      <w:r>
        <w:rPr>
          <w:rFonts w:hint="eastAsia" w:ascii="仿宋_GB2312" w:eastAsia="仿宋_GB2312" w:cs="Times New Roman"/>
          <w:bCs/>
          <w:color w:val="000000"/>
          <w:kern w:val="0"/>
          <w:sz w:val="32"/>
          <w:szCs w:val="32"/>
          <w:lang w:val="en-US" w:eastAsia="zh-CN" w:bidi="ar-SA"/>
        </w:rPr>
        <w:t>24</w:t>
      </w:r>
      <w:r>
        <w:rPr>
          <w:rFonts w:hint="eastAsia" w:ascii="仿宋_GB2312" w:hAnsi="Times New Roman" w:eastAsia="仿宋_GB2312" w:cs="Times New Roman"/>
          <w:bCs/>
          <w:color w:val="000000"/>
          <w:kern w:val="0"/>
          <w:sz w:val="32"/>
          <w:szCs w:val="32"/>
          <w:lang w:val="en-US" w:eastAsia="zh-CN" w:bidi="ar-SA"/>
        </w:rPr>
        <w:t>年相比，财政拨款支出总计</w:t>
      </w:r>
      <w:r>
        <w:rPr>
          <w:rFonts w:hint="eastAsia" w:ascii="仿宋_GB2312" w:eastAsia="仿宋_GB2312" w:cs="Times New Roman"/>
          <w:bCs/>
          <w:color w:val="000000"/>
          <w:kern w:val="0"/>
          <w:sz w:val="32"/>
          <w:szCs w:val="32"/>
          <w:lang w:val="en-US" w:eastAsia="zh-CN" w:bidi="ar-SA"/>
        </w:rPr>
        <w:t>增加56.31</w:t>
      </w:r>
      <w:r>
        <w:rPr>
          <w:rFonts w:hint="eastAsia" w:ascii="仿宋_GB2312" w:hAnsi="Times New Roman" w:eastAsia="仿宋_GB2312" w:cs="Times New Roman"/>
          <w:bCs/>
          <w:color w:val="000000"/>
          <w:kern w:val="0"/>
          <w:sz w:val="32"/>
          <w:szCs w:val="32"/>
          <w:lang w:val="en-US" w:eastAsia="zh-CN" w:bidi="ar-SA"/>
        </w:rPr>
        <w:t>万元，</w:t>
      </w:r>
      <w:r>
        <w:rPr>
          <w:rFonts w:hint="eastAsia" w:ascii="仿宋_GB2312" w:eastAsia="仿宋_GB2312" w:cs="Times New Roman"/>
          <w:bCs/>
          <w:color w:val="000000"/>
          <w:kern w:val="0"/>
          <w:sz w:val="32"/>
          <w:szCs w:val="32"/>
          <w:lang w:val="en-US" w:eastAsia="zh-CN" w:bidi="ar-SA"/>
        </w:rPr>
        <w:t>增加8.8</w:t>
      </w:r>
      <w:r>
        <w:rPr>
          <w:rFonts w:hint="eastAsia" w:ascii="仿宋_GB2312" w:hAnsi="Times New Roman" w:eastAsia="仿宋_GB2312" w:cs="Times New Roman"/>
          <w:bCs/>
          <w:color w:val="auto"/>
          <w:kern w:val="0"/>
          <w:sz w:val="32"/>
          <w:szCs w:val="32"/>
          <w:lang w:val="en-US" w:eastAsia="zh-CN" w:bidi="ar-SA"/>
        </w:rPr>
        <w:t>%</w:t>
      </w:r>
      <w:r>
        <w:rPr>
          <w:rFonts w:hint="eastAsia" w:ascii="仿宋_GB2312" w:hAnsi="Times New Roman" w:eastAsia="仿宋_GB2312" w:cs="Times New Roman"/>
          <w:bCs/>
          <w:color w:val="000000"/>
          <w:kern w:val="0"/>
          <w:sz w:val="32"/>
          <w:szCs w:val="32"/>
          <w:lang w:val="en-US" w:eastAsia="zh-CN" w:bidi="ar-SA"/>
        </w:rPr>
        <w:t>。主要变动原因是：</w:t>
      </w:r>
      <w:r>
        <w:rPr>
          <w:rFonts w:hint="eastAsia" w:ascii="仿宋_GB2312" w:eastAsia="仿宋_GB2312" w:cs="Times New Roman"/>
          <w:bCs/>
          <w:color w:val="000000"/>
          <w:kern w:val="0"/>
          <w:sz w:val="32"/>
          <w:szCs w:val="32"/>
          <w:lang w:val="en-US" w:eastAsia="zh-CN" w:bidi="ar-SA"/>
        </w:rPr>
        <w:t>增加人员</w:t>
      </w:r>
      <w:r>
        <w:rPr>
          <w:rFonts w:hint="eastAsia" w:ascii="仿宋_GB2312" w:hAnsi="Times New Roman" w:eastAsia="仿宋_GB2312" w:cs="Times New Roman"/>
          <w:bCs/>
          <w:color w:val="000000"/>
          <w:kern w:val="0"/>
          <w:sz w:val="32"/>
          <w:szCs w:val="32"/>
          <w:lang w:val="en-US" w:eastAsia="zh-CN" w:bidi="ar-SA"/>
        </w:rPr>
        <w:t>，财政拨款</w:t>
      </w:r>
      <w:r>
        <w:rPr>
          <w:rFonts w:hint="eastAsia" w:ascii="仿宋_GB2312" w:eastAsia="仿宋_GB2312" w:cs="Times New Roman"/>
          <w:bCs/>
          <w:color w:val="000000"/>
          <w:kern w:val="0"/>
          <w:sz w:val="32"/>
          <w:szCs w:val="32"/>
          <w:lang w:val="en-US" w:eastAsia="zh-CN" w:bidi="ar-SA"/>
        </w:rPr>
        <w:t>增加</w:t>
      </w:r>
      <w:r>
        <w:rPr>
          <w:rFonts w:hint="eastAsia" w:ascii="仿宋_GB2312" w:hAnsi="Times New Roman" w:eastAsia="仿宋_GB2312" w:cs="Times New Roman"/>
          <w:bCs/>
          <w:color w:val="000000"/>
          <w:kern w:val="0"/>
          <w:sz w:val="32"/>
          <w:szCs w:val="32"/>
          <w:lang w:val="en-US" w:eastAsia="zh-CN" w:bidi="ar-SA"/>
        </w:rPr>
        <w:t>。</w:t>
      </w:r>
    </w:p>
    <w:p>
      <w:pPr>
        <w:spacing w:line="600" w:lineRule="exact"/>
        <w:ind w:firstLine="640" w:firstLineChars="200"/>
        <w:rPr>
          <w:rFonts w:hint="eastAsia" w:ascii="仿宋_GB2312" w:hAnsi="Times New Roman" w:eastAsia="仿宋_GB2312" w:cs="Times New Roman"/>
          <w:bCs/>
          <w:color w:val="000000"/>
          <w:kern w:val="0"/>
          <w:sz w:val="32"/>
          <w:szCs w:val="32"/>
          <w:lang w:val="en-US" w:eastAsia="zh-CN" w:bidi="ar-SA"/>
        </w:rPr>
      </w:pPr>
      <w:r>
        <w:rPr>
          <w:rFonts w:hint="eastAsia" w:ascii="仿宋_GB2312" w:hAnsi="Times New Roman" w:eastAsia="仿宋_GB2312" w:cs="Times New Roman"/>
          <w:bCs/>
          <w:color w:val="000000"/>
          <w:kern w:val="0"/>
          <w:sz w:val="32"/>
          <w:szCs w:val="32"/>
          <w:lang w:val="en-US" w:eastAsia="zh-CN" w:bidi="ar-SA"/>
        </w:rPr>
        <w:t>（图4：财政拨款收、支决算总计变动情况）（柱状图）</w:t>
      </w:r>
      <w:bookmarkStart w:id="34" w:name="_Toc15377209"/>
      <w:bookmarkStart w:id="35" w:name="_Toc22170"/>
    </w:p>
    <w:p>
      <w:pPr>
        <w:spacing w:line="600" w:lineRule="exact"/>
        <w:ind w:firstLine="420" w:firstLineChars="200"/>
        <w:rPr>
          <w:rFonts w:hint="eastAsia" w:ascii="黑体" w:hAnsi="黑体" w:eastAsia="黑体"/>
          <w:color w:val="000000"/>
          <w:sz w:val="32"/>
          <w:szCs w:val="32"/>
        </w:rPr>
      </w:pPr>
      <w:r>
        <w:drawing>
          <wp:anchor distT="0" distB="0" distL="114300" distR="114300" simplePos="0" relativeHeight="251693056" behindDoc="0" locked="0" layoutInCell="1" allowOverlap="1">
            <wp:simplePos x="0" y="0"/>
            <wp:positionH relativeFrom="column">
              <wp:posOffset>366395</wp:posOffset>
            </wp:positionH>
            <wp:positionV relativeFrom="paragraph">
              <wp:posOffset>99060</wp:posOffset>
            </wp:positionV>
            <wp:extent cx="4989830" cy="2764790"/>
            <wp:effectExtent l="5080" t="4445" r="15240" b="12065"/>
            <wp:wrapSquare wrapText="bothSides"/>
            <wp:docPr id="1921" name="图表 1"/>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anchor>
        </w:drawing>
      </w:r>
    </w:p>
    <w:p>
      <w:pPr>
        <w:spacing w:line="600" w:lineRule="exact"/>
        <w:ind w:firstLine="640" w:firstLineChars="200"/>
        <w:rPr>
          <w:rFonts w:hint="eastAsia" w:ascii="黑体" w:hAnsi="黑体" w:eastAsia="黑体"/>
          <w:color w:val="000000"/>
          <w:sz w:val="32"/>
          <w:szCs w:val="32"/>
        </w:rPr>
      </w:pPr>
    </w:p>
    <w:p>
      <w:pPr>
        <w:spacing w:line="600" w:lineRule="exact"/>
        <w:ind w:firstLine="640" w:firstLineChars="200"/>
        <w:rPr>
          <w:rFonts w:hint="eastAsia" w:ascii="黑体" w:hAnsi="黑体" w:eastAsia="黑体"/>
          <w:color w:val="000000"/>
          <w:sz w:val="32"/>
          <w:szCs w:val="32"/>
        </w:rPr>
      </w:pPr>
    </w:p>
    <w:p>
      <w:pPr>
        <w:spacing w:line="600" w:lineRule="exact"/>
        <w:ind w:firstLine="640" w:firstLineChars="200"/>
        <w:rPr>
          <w:rFonts w:hint="eastAsia" w:ascii="黑体" w:hAnsi="黑体" w:eastAsia="黑体"/>
          <w:color w:val="000000"/>
          <w:sz w:val="32"/>
          <w:szCs w:val="32"/>
        </w:rPr>
      </w:pPr>
    </w:p>
    <w:p>
      <w:pPr>
        <w:spacing w:line="600" w:lineRule="exact"/>
        <w:ind w:firstLine="640" w:firstLineChars="200"/>
        <w:rPr>
          <w:rFonts w:hint="eastAsia" w:ascii="黑体" w:hAnsi="黑体" w:eastAsia="黑体"/>
          <w:color w:val="000000"/>
          <w:sz w:val="32"/>
          <w:szCs w:val="32"/>
        </w:rPr>
      </w:pPr>
    </w:p>
    <w:p>
      <w:pPr>
        <w:spacing w:line="600" w:lineRule="exact"/>
        <w:ind w:firstLine="640" w:firstLineChars="200"/>
        <w:rPr>
          <w:rFonts w:hint="eastAsia" w:ascii="黑体" w:hAnsi="黑体" w:eastAsia="黑体"/>
          <w:color w:val="000000"/>
          <w:sz w:val="32"/>
          <w:szCs w:val="32"/>
        </w:rPr>
      </w:pPr>
    </w:p>
    <w:p>
      <w:pPr>
        <w:spacing w:line="600" w:lineRule="exact"/>
        <w:ind w:firstLine="640" w:firstLineChars="200"/>
        <w:rPr>
          <w:rFonts w:hint="eastAsia" w:ascii="黑体" w:hAnsi="黑体" w:eastAsia="黑体"/>
          <w:color w:val="000000"/>
          <w:sz w:val="32"/>
          <w:szCs w:val="32"/>
        </w:rPr>
      </w:pPr>
    </w:p>
    <w:p>
      <w:pPr>
        <w:spacing w:line="600" w:lineRule="exact"/>
        <w:ind w:firstLine="640" w:firstLineChars="200"/>
        <w:rPr>
          <w:rFonts w:hint="eastAsia" w:ascii="黑体" w:hAnsi="黑体" w:eastAsia="黑体"/>
          <w:color w:val="000000"/>
          <w:sz w:val="32"/>
          <w:szCs w:val="32"/>
        </w:rPr>
      </w:pPr>
    </w:p>
    <w:p>
      <w:pPr>
        <w:spacing w:line="600" w:lineRule="exact"/>
        <w:ind w:firstLine="640" w:firstLineChars="200"/>
        <w:rPr>
          <w:rStyle w:val="27"/>
          <w:rFonts w:ascii="黑体" w:hAnsi="黑体" w:eastAsia="黑体"/>
          <w:b w:val="0"/>
          <w:sz w:val="36"/>
          <w:szCs w:val="36"/>
        </w:rPr>
      </w:pPr>
      <w:r>
        <w:rPr>
          <w:rFonts w:hint="eastAsia" w:ascii="黑体" w:hAnsi="黑体" w:eastAsia="黑体"/>
          <w:color w:val="000000"/>
          <w:sz w:val="32"/>
          <w:szCs w:val="32"/>
        </w:rPr>
        <w:t>五、</w:t>
      </w:r>
      <w:r>
        <w:rPr>
          <w:rFonts w:hint="eastAsia" w:ascii="黑体" w:hAnsi="黑体" w:eastAsia="黑体"/>
          <w:b/>
          <w:color w:val="000000"/>
          <w:sz w:val="32"/>
          <w:szCs w:val="32"/>
        </w:rPr>
        <w:t>一</w:t>
      </w:r>
      <w:r>
        <w:rPr>
          <w:rStyle w:val="27"/>
          <w:rFonts w:hint="eastAsia" w:ascii="黑体" w:hAnsi="黑体" w:eastAsia="黑体"/>
          <w:b w:val="0"/>
        </w:rPr>
        <w:t>般公共预算财政拨款支出决算情况说明</w:t>
      </w:r>
      <w:bookmarkEnd w:id="34"/>
      <w:bookmarkEnd w:id="35"/>
    </w:p>
    <w:p>
      <w:pPr>
        <w:pageBreakBefore w:val="0"/>
        <w:widowControl w:val="0"/>
        <w:kinsoku/>
        <w:wordWrap/>
        <w:overflowPunct/>
        <w:topLinePunct w:val="0"/>
        <w:autoSpaceDE/>
        <w:autoSpaceDN/>
        <w:bidi w:val="0"/>
        <w:adjustRightInd/>
        <w:snapToGrid/>
        <w:spacing w:line="560" w:lineRule="exact"/>
        <w:ind w:left="0" w:right="0" w:firstLine="643" w:firstLineChars="200"/>
        <w:textAlignment w:val="auto"/>
        <w:rPr>
          <w:rFonts w:hint="eastAsia" w:ascii="仿宋_GB2312" w:hAnsi="Times New Roman" w:eastAsia="仿宋_GB2312" w:cs="Times New Roman"/>
          <w:b/>
          <w:bCs w:val="0"/>
          <w:color w:val="000000"/>
          <w:kern w:val="0"/>
          <w:sz w:val="32"/>
          <w:szCs w:val="32"/>
          <w:lang w:val="en-US" w:eastAsia="zh-CN" w:bidi="ar-SA"/>
        </w:rPr>
      </w:pPr>
      <w:bookmarkStart w:id="36" w:name="_Toc15377210"/>
      <w:r>
        <w:rPr>
          <w:rFonts w:hint="eastAsia" w:ascii="仿宋_GB2312" w:hAnsi="Times New Roman" w:eastAsia="仿宋_GB2312" w:cs="Times New Roman"/>
          <w:b/>
          <w:bCs w:val="0"/>
          <w:color w:val="000000"/>
          <w:kern w:val="0"/>
          <w:sz w:val="32"/>
          <w:szCs w:val="32"/>
          <w:lang w:val="en-US" w:eastAsia="zh-CN" w:bidi="ar-SA"/>
        </w:rPr>
        <w:t>（一）一般公共预算财政拨款支出决算总体情况</w:t>
      </w:r>
      <w:bookmarkEnd w:id="36"/>
    </w:p>
    <w:p>
      <w:pPr>
        <w:pageBreakBefore w:val="0"/>
        <w:widowControl w:val="0"/>
        <w:kinsoku/>
        <w:wordWrap/>
        <w:overflowPunct/>
        <w:topLinePunct w:val="0"/>
        <w:autoSpaceDE/>
        <w:autoSpaceDN/>
        <w:bidi w:val="0"/>
        <w:adjustRightInd/>
        <w:snapToGrid/>
        <w:spacing w:line="560" w:lineRule="exact"/>
        <w:ind w:left="0" w:right="0" w:firstLine="640" w:firstLineChars="200"/>
        <w:textAlignment w:val="auto"/>
        <w:rPr>
          <w:rFonts w:hint="eastAsia" w:ascii="仿宋_GB2312" w:hAnsi="Times New Roman" w:eastAsia="仿宋_GB2312" w:cs="Times New Roman"/>
          <w:bCs/>
          <w:color w:val="000000"/>
          <w:kern w:val="0"/>
          <w:sz w:val="32"/>
          <w:szCs w:val="32"/>
          <w:lang w:val="en-US" w:eastAsia="zh-CN" w:bidi="ar-SA"/>
        </w:rPr>
      </w:pPr>
      <w:r>
        <w:rPr>
          <w:rFonts w:hint="eastAsia" w:ascii="仿宋_GB2312" w:hAnsi="Times New Roman" w:eastAsia="仿宋_GB2312" w:cs="Times New Roman"/>
          <w:bCs/>
          <w:color w:val="000000"/>
          <w:kern w:val="0"/>
          <w:sz w:val="32"/>
          <w:szCs w:val="32"/>
          <w:lang w:val="en-US" w:eastAsia="zh-CN" w:bidi="ar-SA"/>
        </w:rPr>
        <w:t>202</w:t>
      </w:r>
      <w:r>
        <w:rPr>
          <w:rFonts w:hint="eastAsia" w:ascii="仿宋_GB2312" w:eastAsia="仿宋_GB2312" w:cs="Times New Roman"/>
          <w:bCs/>
          <w:color w:val="000000"/>
          <w:kern w:val="0"/>
          <w:sz w:val="32"/>
          <w:szCs w:val="32"/>
          <w:lang w:val="en-US" w:eastAsia="zh-CN" w:bidi="ar-SA"/>
        </w:rPr>
        <w:t>5</w:t>
      </w:r>
      <w:r>
        <w:rPr>
          <w:rFonts w:hint="eastAsia" w:ascii="仿宋_GB2312" w:hAnsi="Times New Roman" w:eastAsia="仿宋_GB2312" w:cs="Times New Roman"/>
          <w:bCs/>
          <w:color w:val="000000"/>
          <w:kern w:val="0"/>
          <w:sz w:val="32"/>
          <w:szCs w:val="32"/>
          <w:lang w:val="en-US" w:eastAsia="zh-CN" w:bidi="ar-SA"/>
        </w:rPr>
        <w:t>年一般公共预算财政拨款支出</w:t>
      </w:r>
      <w:r>
        <w:rPr>
          <w:rFonts w:hint="eastAsia" w:ascii="仿宋_GB2312" w:eastAsia="仿宋_GB2312" w:cs="Times New Roman"/>
          <w:bCs/>
          <w:color w:val="000000"/>
          <w:kern w:val="0"/>
          <w:sz w:val="32"/>
          <w:szCs w:val="32"/>
          <w:lang w:val="en-US" w:eastAsia="zh-CN" w:bidi="ar-SA"/>
        </w:rPr>
        <w:t>695.84</w:t>
      </w:r>
      <w:r>
        <w:rPr>
          <w:rFonts w:hint="eastAsia" w:ascii="仿宋_GB2312" w:hAnsi="Times New Roman" w:eastAsia="仿宋_GB2312" w:cs="Times New Roman"/>
          <w:bCs/>
          <w:color w:val="000000"/>
          <w:kern w:val="0"/>
          <w:sz w:val="32"/>
          <w:szCs w:val="32"/>
          <w:lang w:val="en-US" w:eastAsia="zh-CN" w:bidi="ar-SA"/>
        </w:rPr>
        <w:t>万元，占本年支出合计的</w:t>
      </w:r>
      <w:r>
        <w:rPr>
          <w:rFonts w:hint="eastAsia" w:ascii="仿宋_GB2312" w:eastAsia="仿宋_GB2312" w:cs="Times New Roman"/>
          <w:bCs/>
          <w:color w:val="000000"/>
          <w:kern w:val="0"/>
          <w:sz w:val="32"/>
          <w:szCs w:val="32"/>
          <w:lang w:val="en-US" w:eastAsia="zh-CN" w:bidi="ar-SA"/>
        </w:rPr>
        <w:t>100</w:t>
      </w:r>
      <w:r>
        <w:rPr>
          <w:rFonts w:hint="eastAsia" w:ascii="仿宋_GB2312" w:hAnsi="Times New Roman" w:eastAsia="仿宋_GB2312" w:cs="Times New Roman"/>
          <w:bCs/>
          <w:color w:val="000000"/>
          <w:kern w:val="0"/>
          <w:sz w:val="32"/>
          <w:szCs w:val="32"/>
          <w:lang w:val="en-US" w:eastAsia="zh-CN" w:bidi="ar-SA"/>
        </w:rPr>
        <w:t>%。与20</w:t>
      </w:r>
      <w:r>
        <w:rPr>
          <w:rFonts w:hint="eastAsia" w:ascii="仿宋_GB2312" w:eastAsia="仿宋_GB2312" w:cs="Times New Roman"/>
          <w:bCs/>
          <w:color w:val="000000"/>
          <w:kern w:val="0"/>
          <w:sz w:val="32"/>
          <w:szCs w:val="32"/>
          <w:lang w:val="en-US" w:eastAsia="zh-CN" w:bidi="ar-SA"/>
        </w:rPr>
        <w:t>24</w:t>
      </w:r>
      <w:r>
        <w:rPr>
          <w:rFonts w:hint="eastAsia" w:ascii="仿宋_GB2312" w:hAnsi="Times New Roman" w:eastAsia="仿宋_GB2312" w:cs="Times New Roman"/>
          <w:bCs/>
          <w:color w:val="000000"/>
          <w:kern w:val="0"/>
          <w:sz w:val="32"/>
          <w:szCs w:val="32"/>
          <w:lang w:val="en-US" w:eastAsia="zh-CN" w:bidi="ar-SA"/>
        </w:rPr>
        <w:t>年相比，一般公共预算财政拨款</w:t>
      </w:r>
      <w:r>
        <w:rPr>
          <w:rFonts w:hint="eastAsia" w:ascii="仿宋_GB2312" w:eastAsia="仿宋_GB2312" w:cs="Times New Roman"/>
          <w:bCs/>
          <w:color w:val="000000"/>
          <w:kern w:val="0"/>
          <w:sz w:val="32"/>
          <w:szCs w:val="32"/>
          <w:lang w:val="en-US" w:eastAsia="zh-CN" w:bidi="ar-SA"/>
        </w:rPr>
        <w:t>增加56.31</w:t>
      </w:r>
      <w:r>
        <w:rPr>
          <w:rFonts w:hint="eastAsia" w:ascii="仿宋_GB2312" w:hAnsi="Times New Roman" w:eastAsia="仿宋_GB2312" w:cs="Times New Roman"/>
          <w:bCs/>
          <w:color w:val="000000"/>
          <w:kern w:val="0"/>
          <w:sz w:val="32"/>
          <w:szCs w:val="32"/>
          <w:lang w:val="en-US" w:eastAsia="zh-CN" w:bidi="ar-SA"/>
        </w:rPr>
        <w:t>万元，</w:t>
      </w:r>
      <w:r>
        <w:rPr>
          <w:rFonts w:hint="eastAsia" w:ascii="仿宋_GB2312" w:eastAsia="仿宋_GB2312" w:cs="Times New Roman"/>
          <w:bCs/>
          <w:color w:val="auto"/>
          <w:kern w:val="0"/>
          <w:sz w:val="32"/>
          <w:szCs w:val="32"/>
          <w:lang w:val="en-US" w:eastAsia="zh-CN" w:bidi="ar-SA"/>
        </w:rPr>
        <w:t>增加8.8</w:t>
      </w:r>
      <w:r>
        <w:rPr>
          <w:rFonts w:hint="eastAsia" w:ascii="仿宋_GB2312" w:hAnsi="Times New Roman" w:eastAsia="仿宋_GB2312" w:cs="Times New Roman"/>
          <w:bCs/>
          <w:color w:val="auto"/>
          <w:kern w:val="0"/>
          <w:sz w:val="32"/>
          <w:szCs w:val="32"/>
          <w:lang w:val="en-US" w:eastAsia="zh-CN" w:bidi="ar-SA"/>
        </w:rPr>
        <w:t>%。</w:t>
      </w:r>
      <w:r>
        <w:rPr>
          <w:rFonts w:hint="eastAsia" w:ascii="仿宋_GB2312" w:hAnsi="Times New Roman" w:eastAsia="仿宋_GB2312" w:cs="Times New Roman"/>
          <w:bCs/>
          <w:color w:val="000000"/>
          <w:kern w:val="0"/>
          <w:sz w:val="32"/>
          <w:szCs w:val="32"/>
          <w:lang w:val="en-US" w:eastAsia="zh-CN" w:bidi="ar-SA"/>
        </w:rPr>
        <w:t>主要变动原因是202</w:t>
      </w:r>
      <w:r>
        <w:rPr>
          <w:rFonts w:hint="eastAsia" w:ascii="仿宋_GB2312" w:eastAsia="仿宋_GB2312" w:cs="Times New Roman"/>
          <w:bCs/>
          <w:color w:val="000000"/>
          <w:kern w:val="0"/>
          <w:sz w:val="32"/>
          <w:szCs w:val="32"/>
          <w:lang w:val="en-US" w:eastAsia="zh-CN" w:bidi="ar-SA"/>
        </w:rPr>
        <w:t>5</w:t>
      </w:r>
      <w:r>
        <w:rPr>
          <w:rFonts w:hint="eastAsia" w:ascii="仿宋_GB2312" w:hAnsi="Times New Roman" w:eastAsia="仿宋_GB2312" w:cs="Times New Roman"/>
          <w:bCs/>
          <w:color w:val="000000"/>
          <w:kern w:val="0"/>
          <w:sz w:val="32"/>
          <w:szCs w:val="32"/>
          <w:lang w:val="en-US" w:eastAsia="zh-CN" w:bidi="ar-SA"/>
        </w:rPr>
        <w:t>年，人员经费</w:t>
      </w:r>
      <w:r>
        <w:rPr>
          <w:rFonts w:hint="eastAsia" w:ascii="仿宋_GB2312" w:eastAsia="仿宋_GB2312" w:cs="Times New Roman"/>
          <w:bCs/>
          <w:color w:val="000000"/>
          <w:kern w:val="0"/>
          <w:sz w:val="32"/>
          <w:szCs w:val="32"/>
          <w:lang w:val="en-US" w:eastAsia="zh-CN" w:bidi="ar-SA"/>
        </w:rPr>
        <w:t>增加</w:t>
      </w:r>
      <w:r>
        <w:rPr>
          <w:rFonts w:hint="eastAsia" w:ascii="仿宋_GB2312" w:hAnsi="Times New Roman" w:eastAsia="仿宋_GB2312" w:cs="Times New Roman"/>
          <w:bCs/>
          <w:color w:val="000000"/>
          <w:kern w:val="0"/>
          <w:sz w:val="32"/>
          <w:szCs w:val="32"/>
          <w:lang w:val="en-US" w:eastAsia="zh-CN" w:bidi="ar-SA"/>
        </w:rPr>
        <w:t>工资和保险相应</w:t>
      </w:r>
      <w:r>
        <w:rPr>
          <w:rFonts w:hint="eastAsia" w:ascii="仿宋_GB2312" w:eastAsia="仿宋_GB2312" w:cs="Times New Roman"/>
          <w:bCs/>
          <w:color w:val="000000"/>
          <w:kern w:val="0"/>
          <w:sz w:val="32"/>
          <w:szCs w:val="32"/>
          <w:lang w:val="en-US" w:eastAsia="zh-CN" w:bidi="ar-SA"/>
        </w:rPr>
        <w:t>增加</w:t>
      </w:r>
      <w:r>
        <w:rPr>
          <w:rFonts w:hint="eastAsia" w:ascii="仿宋_GB2312" w:hAnsi="Times New Roman" w:eastAsia="仿宋_GB2312" w:cs="Times New Roman"/>
          <w:bCs/>
          <w:color w:val="000000"/>
          <w:kern w:val="0"/>
          <w:sz w:val="32"/>
          <w:szCs w:val="32"/>
          <w:lang w:val="en-US" w:eastAsia="zh-CN" w:bidi="ar-SA"/>
        </w:rPr>
        <w:t>。</w:t>
      </w:r>
    </w:p>
    <w:p>
      <w:pPr>
        <w:pageBreakBefore w:val="0"/>
        <w:widowControl w:val="0"/>
        <w:kinsoku/>
        <w:wordWrap/>
        <w:overflowPunct/>
        <w:topLinePunct w:val="0"/>
        <w:autoSpaceDE/>
        <w:autoSpaceDN/>
        <w:bidi w:val="0"/>
        <w:adjustRightInd/>
        <w:snapToGrid/>
        <w:spacing w:line="560" w:lineRule="exact"/>
        <w:ind w:left="0" w:right="0" w:firstLine="420" w:firstLineChars="200"/>
        <w:textAlignment w:val="auto"/>
        <w:rPr>
          <w:rFonts w:hint="eastAsia" w:ascii="仿宋_GB2312" w:hAnsi="Times New Roman" w:eastAsia="仿宋_GB2312" w:cs="Times New Roman"/>
          <w:bCs/>
          <w:color w:val="000000"/>
          <w:kern w:val="0"/>
          <w:sz w:val="32"/>
          <w:szCs w:val="32"/>
          <w:lang w:val="en-US" w:eastAsia="zh-CN" w:bidi="ar-SA"/>
        </w:rPr>
      </w:pPr>
      <w:r>
        <w:drawing>
          <wp:anchor distT="0" distB="0" distL="114300" distR="114300" simplePos="0" relativeHeight="251694080" behindDoc="0" locked="0" layoutInCell="1" allowOverlap="1">
            <wp:simplePos x="0" y="0"/>
            <wp:positionH relativeFrom="column">
              <wp:posOffset>104140</wp:posOffset>
            </wp:positionH>
            <wp:positionV relativeFrom="paragraph">
              <wp:posOffset>929640</wp:posOffset>
            </wp:positionV>
            <wp:extent cx="5120640" cy="2118995"/>
            <wp:effectExtent l="4445" t="4445" r="18415" b="10160"/>
            <wp:wrapSquare wrapText="bothSides"/>
            <wp:docPr id="1918" name="图表 8"/>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anchor>
        </w:drawing>
      </w:r>
      <w:r>
        <w:rPr>
          <w:rFonts w:hint="eastAsia" w:ascii="仿宋_GB2312" w:hAnsi="Times New Roman" w:eastAsia="仿宋_GB2312" w:cs="Times New Roman"/>
          <w:bCs/>
          <w:color w:val="000000"/>
          <w:kern w:val="0"/>
          <w:sz w:val="32"/>
          <w:szCs w:val="32"/>
          <w:lang w:val="en-US" w:eastAsia="zh-CN" w:bidi="ar-SA"/>
        </w:rPr>
        <w:t>（图5：一般公共预算财政拨款支出决算变动情况）（柱状图）</w:t>
      </w:r>
      <w:bookmarkStart w:id="37" w:name="_Toc15377211"/>
    </w:p>
    <w:p>
      <w:pPr>
        <w:pageBreakBefore w:val="0"/>
        <w:widowControl w:val="0"/>
        <w:kinsoku/>
        <w:wordWrap/>
        <w:overflowPunct/>
        <w:topLinePunct w:val="0"/>
        <w:autoSpaceDE/>
        <w:autoSpaceDN/>
        <w:bidi w:val="0"/>
        <w:adjustRightInd/>
        <w:snapToGrid/>
        <w:spacing w:line="560" w:lineRule="exact"/>
        <w:ind w:left="0" w:right="0" w:firstLine="643" w:firstLineChars="200"/>
        <w:textAlignment w:val="auto"/>
        <w:rPr>
          <w:rFonts w:ascii="仿宋" w:hAnsi="仿宋" w:eastAsia="仿宋"/>
          <w:b/>
          <w:color w:val="000000"/>
          <w:sz w:val="32"/>
          <w:szCs w:val="32"/>
        </w:rPr>
      </w:pPr>
      <w:r>
        <w:rPr>
          <w:rFonts w:hint="eastAsia" w:ascii="仿宋" w:hAnsi="仿宋" w:eastAsia="仿宋"/>
          <w:b/>
          <w:color w:val="000000"/>
          <w:sz w:val="32"/>
          <w:szCs w:val="32"/>
        </w:rPr>
        <w:t>（二）一般公共预算财政拨款支出决算结构情况</w:t>
      </w:r>
      <w:bookmarkEnd w:id="37"/>
    </w:p>
    <w:p>
      <w:pPr>
        <w:pageBreakBefore w:val="0"/>
        <w:widowControl w:val="0"/>
        <w:kinsoku/>
        <w:wordWrap/>
        <w:overflowPunct/>
        <w:topLinePunct w:val="0"/>
        <w:autoSpaceDE/>
        <w:autoSpaceDN/>
        <w:bidi w:val="0"/>
        <w:adjustRightInd/>
        <w:snapToGrid/>
        <w:spacing w:line="560" w:lineRule="exact"/>
        <w:ind w:left="0" w:right="0" w:firstLine="640" w:firstLineChars="200"/>
        <w:textAlignment w:val="auto"/>
        <w:rPr>
          <w:rFonts w:hint="eastAsia" w:ascii="仿宋_GB2312" w:hAnsi="Times New Roman" w:eastAsia="仿宋_GB2312" w:cs="Times New Roman"/>
          <w:bCs/>
          <w:color w:val="auto"/>
          <w:kern w:val="0"/>
          <w:sz w:val="32"/>
          <w:szCs w:val="32"/>
          <w:lang w:val="en-US" w:eastAsia="zh-CN" w:bidi="ar-SA"/>
        </w:rPr>
      </w:pPr>
      <w:r>
        <w:rPr>
          <w:rFonts w:hint="eastAsia" w:ascii="仿宋_GB2312" w:hAnsi="Times New Roman" w:eastAsia="仿宋_GB2312" w:cs="Times New Roman"/>
          <w:bCs/>
          <w:color w:val="000000"/>
          <w:kern w:val="0"/>
          <w:sz w:val="32"/>
          <w:szCs w:val="32"/>
          <w:lang w:val="en-US" w:eastAsia="zh-CN" w:bidi="ar-SA"/>
        </w:rPr>
        <w:t>202</w:t>
      </w:r>
      <w:r>
        <w:rPr>
          <w:rFonts w:hint="eastAsia" w:ascii="仿宋_GB2312" w:eastAsia="仿宋_GB2312" w:cs="Times New Roman"/>
          <w:bCs/>
          <w:color w:val="000000"/>
          <w:kern w:val="0"/>
          <w:sz w:val="32"/>
          <w:szCs w:val="32"/>
          <w:lang w:val="en-US" w:eastAsia="zh-CN" w:bidi="ar-SA"/>
        </w:rPr>
        <w:t>5</w:t>
      </w:r>
      <w:r>
        <w:rPr>
          <w:rFonts w:hint="eastAsia" w:ascii="仿宋_GB2312" w:hAnsi="Times New Roman" w:eastAsia="仿宋_GB2312" w:cs="Times New Roman"/>
          <w:bCs/>
          <w:color w:val="000000"/>
          <w:kern w:val="0"/>
          <w:sz w:val="32"/>
          <w:szCs w:val="32"/>
          <w:lang w:val="en-US" w:eastAsia="zh-CN" w:bidi="ar-SA"/>
        </w:rPr>
        <w:t>年一般公共预算财政拨款支出</w:t>
      </w:r>
      <w:r>
        <w:rPr>
          <w:rFonts w:hint="eastAsia" w:ascii="仿宋_GB2312" w:eastAsia="仿宋_GB2312" w:cs="Times New Roman"/>
          <w:bCs/>
          <w:color w:val="000000"/>
          <w:kern w:val="0"/>
          <w:sz w:val="32"/>
          <w:szCs w:val="32"/>
          <w:lang w:val="en-US" w:eastAsia="zh-CN" w:bidi="ar-SA"/>
        </w:rPr>
        <w:t>695.84</w:t>
      </w:r>
      <w:r>
        <w:rPr>
          <w:rFonts w:hint="eastAsia" w:ascii="仿宋_GB2312" w:hAnsi="Times New Roman" w:eastAsia="仿宋_GB2312" w:cs="Times New Roman"/>
          <w:bCs/>
          <w:color w:val="000000"/>
          <w:kern w:val="0"/>
          <w:sz w:val="32"/>
          <w:szCs w:val="32"/>
          <w:lang w:val="en-US" w:eastAsia="zh-CN" w:bidi="ar-SA"/>
        </w:rPr>
        <w:t>万元，主要用于以下方面:一般公共服务（类）支出0.00万元，占0.00%；教育支出（类）</w:t>
      </w:r>
      <w:r>
        <w:rPr>
          <w:rFonts w:hint="eastAsia" w:ascii="仿宋_GB2312" w:eastAsia="仿宋_GB2312" w:cs="Times New Roman"/>
          <w:bCs/>
          <w:color w:val="000000"/>
          <w:kern w:val="0"/>
          <w:sz w:val="32"/>
          <w:szCs w:val="32"/>
          <w:lang w:val="en-US" w:eastAsia="zh-CN" w:bidi="ar-SA"/>
        </w:rPr>
        <w:t>423.2</w:t>
      </w:r>
      <w:r>
        <w:rPr>
          <w:rFonts w:hint="eastAsia" w:ascii="仿宋_GB2312" w:hAnsi="Times New Roman" w:eastAsia="仿宋_GB2312" w:cs="Times New Roman"/>
          <w:bCs/>
          <w:color w:val="000000"/>
          <w:kern w:val="0"/>
          <w:sz w:val="32"/>
          <w:szCs w:val="32"/>
          <w:lang w:val="en-US" w:eastAsia="zh-CN" w:bidi="ar-SA"/>
        </w:rPr>
        <w:t>万元，</w:t>
      </w:r>
      <w:r>
        <w:rPr>
          <w:rFonts w:hint="eastAsia" w:ascii="仿宋_GB2312" w:hAnsi="Times New Roman" w:eastAsia="仿宋_GB2312" w:cs="Times New Roman"/>
          <w:bCs/>
          <w:color w:val="auto"/>
          <w:kern w:val="0"/>
          <w:sz w:val="32"/>
          <w:szCs w:val="32"/>
          <w:lang w:val="en-US" w:eastAsia="zh-CN" w:bidi="ar-SA"/>
        </w:rPr>
        <w:t>占</w:t>
      </w:r>
      <w:r>
        <w:rPr>
          <w:rFonts w:hint="eastAsia" w:ascii="仿宋_GB2312" w:eastAsia="仿宋_GB2312" w:cs="Times New Roman"/>
          <w:bCs/>
          <w:color w:val="auto"/>
          <w:kern w:val="0"/>
          <w:sz w:val="32"/>
          <w:szCs w:val="32"/>
          <w:lang w:val="en-US" w:eastAsia="zh-CN" w:bidi="ar-SA"/>
        </w:rPr>
        <w:t>60.82</w:t>
      </w:r>
      <w:r>
        <w:rPr>
          <w:rFonts w:hint="eastAsia" w:ascii="仿宋_GB2312" w:hAnsi="Times New Roman" w:eastAsia="仿宋_GB2312" w:cs="Times New Roman"/>
          <w:bCs/>
          <w:color w:val="000000"/>
          <w:kern w:val="0"/>
          <w:sz w:val="32"/>
          <w:szCs w:val="32"/>
          <w:lang w:val="en-US" w:eastAsia="zh-CN" w:bidi="ar-SA"/>
        </w:rPr>
        <w:t>%；科学技术（类）支出0.00万元，占0.00%；社会保障和就业（类）支出</w:t>
      </w:r>
      <w:r>
        <w:rPr>
          <w:rFonts w:hint="eastAsia" w:ascii="仿宋_GB2312" w:eastAsia="仿宋_GB2312" w:cs="Times New Roman"/>
          <w:bCs/>
          <w:color w:val="000000"/>
          <w:kern w:val="0"/>
          <w:sz w:val="32"/>
          <w:szCs w:val="32"/>
          <w:lang w:val="en-US" w:eastAsia="zh-CN" w:bidi="ar-SA"/>
        </w:rPr>
        <w:t>83.73</w:t>
      </w:r>
      <w:r>
        <w:rPr>
          <w:rFonts w:hint="eastAsia" w:ascii="仿宋_GB2312" w:hAnsi="Times New Roman" w:eastAsia="仿宋_GB2312" w:cs="Times New Roman"/>
          <w:bCs/>
          <w:color w:val="000000"/>
          <w:kern w:val="0"/>
          <w:sz w:val="32"/>
          <w:szCs w:val="32"/>
          <w:lang w:val="en-US" w:eastAsia="zh-CN" w:bidi="ar-SA"/>
        </w:rPr>
        <w:t>万元，</w:t>
      </w:r>
      <w:r>
        <w:rPr>
          <w:rFonts w:hint="eastAsia" w:ascii="仿宋_GB2312" w:hAnsi="Times New Roman" w:eastAsia="仿宋_GB2312" w:cs="Times New Roman"/>
          <w:bCs/>
          <w:color w:val="auto"/>
          <w:kern w:val="0"/>
          <w:sz w:val="32"/>
          <w:szCs w:val="32"/>
          <w:lang w:val="en-US" w:eastAsia="zh-CN" w:bidi="ar-SA"/>
        </w:rPr>
        <w:t>占</w:t>
      </w:r>
      <w:r>
        <w:rPr>
          <w:rFonts w:hint="eastAsia" w:ascii="仿宋_GB2312" w:eastAsia="仿宋_GB2312" w:cs="Times New Roman"/>
          <w:bCs/>
          <w:color w:val="auto"/>
          <w:kern w:val="0"/>
          <w:sz w:val="32"/>
          <w:szCs w:val="32"/>
          <w:lang w:val="en-US" w:eastAsia="zh-CN" w:bidi="ar-SA"/>
        </w:rPr>
        <w:t>12.03</w:t>
      </w:r>
      <w:r>
        <w:rPr>
          <w:rFonts w:hint="eastAsia" w:ascii="仿宋_GB2312" w:hAnsi="Times New Roman" w:eastAsia="仿宋_GB2312" w:cs="Times New Roman"/>
          <w:bCs/>
          <w:color w:val="auto"/>
          <w:kern w:val="0"/>
          <w:sz w:val="32"/>
          <w:szCs w:val="32"/>
          <w:lang w:val="en-US" w:eastAsia="zh-CN" w:bidi="ar-SA"/>
        </w:rPr>
        <w:t>%；卫生健康支出（类）</w:t>
      </w:r>
      <w:r>
        <w:rPr>
          <w:rFonts w:hint="eastAsia" w:ascii="仿宋_GB2312" w:eastAsia="仿宋_GB2312" w:cs="Times New Roman"/>
          <w:bCs/>
          <w:color w:val="auto"/>
          <w:kern w:val="0"/>
          <w:sz w:val="32"/>
          <w:szCs w:val="32"/>
          <w:lang w:val="en-US" w:eastAsia="zh-CN" w:bidi="ar-SA"/>
        </w:rPr>
        <w:t>30.43</w:t>
      </w:r>
      <w:r>
        <w:rPr>
          <w:rFonts w:hint="eastAsia" w:ascii="仿宋_GB2312" w:hAnsi="Times New Roman" w:eastAsia="仿宋_GB2312" w:cs="Times New Roman"/>
          <w:bCs/>
          <w:color w:val="auto"/>
          <w:kern w:val="0"/>
          <w:sz w:val="32"/>
          <w:szCs w:val="32"/>
          <w:lang w:val="en-US" w:eastAsia="zh-CN" w:bidi="ar-SA"/>
        </w:rPr>
        <w:t>万元，占</w:t>
      </w:r>
      <w:r>
        <w:rPr>
          <w:rFonts w:hint="eastAsia" w:ascii="仿宋_GB2312" w:eastAsia="仿宋_GB2312" w:cs="Times New Roman"/>
          <w:bCs/>
          <w:color w:val="auto"/>
          <w:kern w:val="0"/>
          <w:sz w:val="32"/>
          <w:szCs w:val="32"/>
          <w:lang w:val="en-US" w:eastAsia="zh-CN" w:bidi="ar-SA"/>
        </w:rPr>
        <w:t>4.37</w:t>
      </w:r>
      <w:r>
        <w:rPr>
          <w:rFonts w:hint="eastAsia" w:ascii="仿宋_GB2312" w:hAnsi="Times New Roman" w:eastAsia="仿宋_GB2312" w:cs="Times New Roman"/>
          <w:bCs/>
          <w:color w:val="auto"/>
          <w:kern w:val="0"/>
          <w:sz w:val="32"/>
          <w:szCs w:val="32"/>
          <w:lang w:val="en-US" w:eastAsia="zh-CN" w:bidi="ar-SA"/>
        </w:rPr>
        <w:t>%；</w:t>
      </w:r>
      <w:r>
        <w:rPr>
          <w:rFonts w:hint="eastAsia" w:ascii="仿宋_GB2312" w:eastAsia="仿宋_GB2312" w:cs="Times New Roman"/>
          <w:bCs/>
          <w:color w:val="auto"/>
          <w:kern w:val="0"/>
          <w:sz w:val="32"/>
          <w:szCs w:val="32"/>
          <w:lang w:val="en-US" w:eastAsia="zh-CN" w:bidi="ar-SA"/>
        </w:rPr>
        <w:t>托育服务</w:t>
      </w:r>
      <w:r>
        <w:rPr>
          <w:rFonts w:hint="eastAsia" w:ascii="仿宋_GB2312" w:hAnsi="Times New Roman" w:eastAsia="仿宋_GB2312" w:cs="Times New Roman"/>
          <w:bCs/>
          <w:color w:val="auto"/>
          <w:kern w:val="0"/>
          <w:sz w:val="32"/>
          <w:szCs w:val="32"/>
          <w:lang w:val="en-US" w:eastAsia="zh-CN" w:bidi="ar-SA"/>
        </w:rPr>
        <w:t>支出</w:t>
      </w:r>
      <w:r>
        <w:rPr>
          <w:rFonts w:hint="eastAsia" w:ascii="仿宋_GB2312" w:eastAsia="仿宋_GB2312" w:cs="Times New Roman"/>
          <w:bCs/>
          <w:color w:val="auto"/>
          <w:kern w:val="0"/>
          <w:sz w:val="32"/>
          <w:szCs w:val="32"/>
          <w:lang w:val="en-US" w:eastAsia="zh-CN" w:bidi="ar-SA"/>
        </w:rPr>
        <w:t>8.62</w:t>
      </w:r>
      <w:r>
        <w:rPr>
          <w:rFonts w:hint="eastAsia" w:ascii="仿宋_GB2312" w:hAnsi="Times New Roman" w:eastAsia="仿宋_GB2312" w:cs="Times New Roman"/>
          <w:bCs/>
          <w:color w:val="auto"/>
          <w:kern w:val="0"/>
          <w:sz w:val="32"/>
          <w:szCs w:val="32"/>
          <w:lang w:val="en-US" w:eastAsia="zh-CN" w:bidi="ar-SA"/>
        </w:rPr>
        <w:t>万元，占</w:t>
      </w:r>
      <w:r>
        <w:rPr>
          <w:rFonts w:hint="eastAsia" w:ascii="仿宋_GB2312" w:eastAsia="仿宋_GB2312" w:cs="Times New Roman"/>
          <w:bCs/>
          <w:color w:val="auto"/>
          <w:kern w:val="0"/>
          <w:sz w:val="32"/>
          <w:szCs w:val="32"/>
          <w:lang w:val="en-US" w:eastAsia="zh-CN" w:bidi="ar-SA"/>
        </w:rPr>
        <w:t>1.24</w:t>
      </w:r>
      <w:r>
        <w:rPr>
          <w:rFonts w:hint="eastAsia" w:ascii="仿宋_GB2312" w:hAnsi="Times New Roman" w:eastAsia="仿宋_GB2312" w:cs="Times New Roman"/>
          <w:bCs/>
          <w:color w:val="auto"/>
          <w:kern w:val="0"/>
          <w:sz w:val="32"/>
          <w:szCs w:val="32"/>
          <w:lang w:val="en-US" w:eastAsia="zh-CN" w:bidi="ar-SA"/>
        </w:rPr>
        <w:t>%住房保障支出</w:t>
      </w:r>
      <w:r>
        <w:rPr>
          <w:rFonts w:hint="eastAsia" w:ascii="仿宋_GB2312" w:eastAsia="仿宋_GB2312" w:cs="Times New Roman"/>
          <w:bCs/>
          <w:color w:val="auto"/>
          <w:kern w:val="0"/>
          <w:sz w:val="32"/>
          <w:szCs w:val="32"/>
          <w:lang w:val="en-US" w:eastAsia="zh-CN" w:bidi="ar-SA"/>
        </w:rPr>
        <w:t>45.14</w:t>
      </w:r>
      <w:r>
        <w:rPr>
          <w:rFonts w:hint="eastAsia" w:ascii="仿宋_GB2312" w:hAnsi="Times New Roman" w:eastAsia="仿宋_GB2312" w:cs="Times New Roman"/>
          <w:bCs/>
          <w:color w:val="auto"/>
          <w:kern w:val="0"/>
          <w:sz w:val="32"/>
          <w:szCs w:val="32"/>
          <w:lang w:val="en-US" w:eastAsia="zh-CN" w:bidi="ar-SA"/>
        </w:rPr>
        <w:t>万元，占</w:t>
      </w:r>
      <w:r>
        <w:rPr>
          <w:rFonts w:hint="eastAsia" w:ascii="仿宋_GB2312" w:eastAsia="仿宋_GB2312" w:cs="Times New Roman"/>
          <w:bCs/>
          <w:color w:val="auto"/>
          <w:kern w:val="0"/>
          <w:sz w:val="32"/>
          <w:szCs w:val="32"/>
          <w:lang w:val="en-US" w:eastAsia="zh-CN" w:bidi="ar-SA"/>
        </w:rPr>
        <w:t>6.49</w:t>
      </w:r>
      <w:r>
        <w:rPr>
          <w:rFonts w:hint="eastAsia" w:ascii="仿宋_GB2312" w:hAnsi="Times New Roman" w:eastAsia="仿宋_GB2312" w:cs="Times New Roman"/>
          <w:bCs/>
          <w:color w:val="auto"/>
          <w:kern w:val="0"/>
          <w:sz w:val="32"/>
          <w:szCs w:val="32"/>
          <w:lang w:val="en-US" w:eastAsia="zh-CN" w:bidi="ar-SA"/>
        </w:rPr>
        <w:t>%。</w:t>
      </w:r>
    </w:p>
    <w:p>
      <w:pPr>
        <w:pageBreakBefore w:val="0"/>
        <w:widowControl w:val="0"/>
        <w:kinsoku/>
        <w:wordWrap/>
        <w:overflowPunct/>
        <w:topLinePunct w:val="0"/>
        <w:autoSpaceDE/>
        <w:autoSpaceDN/>
        <w:bidi w:val="0"/>
        <w:adjustRightInd/>
        <w:snapToGrid/>
        <w:spacing w:line="560" w:lineRule="exact"/>
        <w:ind w:right="0"/>
        <w:textAlignment w:val="auto"/>
        <w:rPr>
          <w:rFonts w:hint="eastAsia" w:ascii="仿宋_GB2312" w:hAnsi="Times New Roman" w:eastAsia="仿宋_GB2312" w:cs="Times New Roman"/>
          <w:bCs/>
          <w:color w:val="000000"/>
          <w:kern w:val="0"/>
          <w:sz w:val="32"/>
          <w:szCs w:val="32"/>
          <w:lang w:val="en-US" w:eastAsia="zh-CN" w:bidi="ar-SA"/>
        </w:rPr>
      </w:pPr>
      <w:r>
        <w:rPr>
          <w:rFonts w:hint="eastAsia" w:ascii="仿宋_GB2312" w:hAnsi="Times New Roman" w:eastAsia="仿宋_GB2312" w:cs="Times New Roman"/>
          <w:bCs/>
          <w:color w:val="000000"/>
          <w:kern w:val="0"/>
          <w:sz w:val="32"/>
          <w:szCs w:val="32"/>
          <w:lang w:val="en-US" w:eastAsia="zh-CN" w:bidi="ar-SA"/>
        </w:rPr>
        <w:t>（图6：一般公共预算财政拨款支出决算结构）（饼状图）</w:t>
      </w:r>
    </w:p>
    <w:p>
      <w:pPr>
        <w:spacing w:line="600" w:lineRule="exact"/>
        <w:rPr>
          <w:rFonts w:hint="eastAsia" w:ascii="仿宋_GB2312" w:hAnsi="仿宋_GB2312" w:eastAsia="仿宋_GB2312" w:cs="仿宋_GB2312"/>
          <w:b/>
          <w:color w:val="000000" w:themeColor="text1"/>
          <w:sz w:val="32"/>
          <w:szCs w:val="32"/>
          <w14:textFill>
            <w14:solidFill>
              <w14:schemeClr w14:val="tx1"/>
            </w14:solidFill>
          </w14:textFill>
        </w:rPr>
      </w:pPr>
      <w:bookmarkStart w:id="38" w:name="_Toc15377212"/>
      <w:r>
        <w:drawing>
          <wp:anchor distT="0" distB="0" distL="114300" distR="114300" simplePos="0" relativeHeight="251695104" behindDoc="0" locked="0" layoutInCell="1" allowOverlap="1">
            <wp:simplePos x="0" y="0"/>
            <wp:positionH relativeFrom="column">
              <wp:posOffset>86360</wp:posOffset>
            </wp:positionH>
            <wp:positionV relativeFrom="paragraph">
              <wp:posOffset>122555</wp:posOffset>
            </wp:positionV>
            <wp:extent cx="5300980" cy="2087880"/>
            <wp:effectExtent l="4445" t="4445" r="9525" b="22225"/>
            <wp:wrapSquare wrapText="bothSides"/>
            <wp:docPr id="1919" name="图表 11"/>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anchor>
        </w:drawing>
      </w:r>
      <w:r>
        <w:rPr>
          <w:rFonts w:hint="eastAsia"/>
          <w:lang w:val="en-US" w:eastAsia="zh-CN"/>
        </w:rPr>
        <w:t xml:space="preserve">  </w:t>
      </w:r>
      <w:r>
        <w:rPr>
          <w:rFonts w:hint="eastAsia" w:ascii="仿宋_GB2312" w:hAnsi="仿宋_GB2312" w:eastAsia="仿宋_GB2312" w:cs="仿宋_GB2312"/>
          <w:b/>
          <w:color w:val="000000"/>
          <w:sz w:val="32"/>
          <w:szCs w:val="32"/>
        </w:rPr>
        <w:t>（三）一般公共预算财政拨款支出决算具体情况</w:t>
      </w:r>
      <w:bookmarkEnd w:id="38"/>
      <w:bookmarkStart w:id="39" w:name="_Toc15377444"/>
      <w:bookmarkStart w:id="40" w:name="_Toc15378460"/>
      <w:bookmarkStart w:id="41" w:name="_Toc15377213"/>
    </w:p>
    <w:bookmarkEnd w:id="39"/>
    <w:bookmarkEnd w:id="40"/>
    <w:bookmarkEnd w:id="41"/>
    <w:p>
      <w:pPr>
        <w:keepNext w:val="0"/>
        <w:keepLines w:val="0"/>
        <w:pageBreakBefore w:val="0"/>
        <w:widowControl w:val="0"/>
        <w:kinsoku/>
        <w:wordWrap/>
        <w:overflowPunct/>
        <w:topLinePunct w:val="0"/>
        <w:autoSpaceDE/>
        <w:autoSpaceDN/>
        <w:bidi w:val="0"/>
        <w:adjustRightInd/>
        <w:snapToGrid/>
        <w:spacing w:line="560" w:lineRule="exact"/>
        <w:ind w:left="0" w:right="0" w:firstLine="640" w:firstLineChars="200"/>
        <w:textAlignment w:val="auto"/>
        <w:rPr>
          <w:rFonts w:hint="eastAsia" w:ascii="仿宋_GB2312" w:hAnsi="仿宋_GB2312" w:eastAsia="仿宋_GB2312" w:cs="仿宋_GB2312"/>
          <w:bCs/>
          <w:color w:val="000000"/>
          <w:kern w:val="0"/>
          <w:sz w:val="32"/>
          <w:szCs w:val="32"/>
          <w:lang w:val="en-US" w:eastAsia="zh-CN" w:bidi="ar-SA"/>
        </w:rPr>
      </w:pPr>
      <w:r>
        <w:rPr>
          <w:rFonts w:hint="eastAsia" w:ascii="仿宋_GB2312" w:hAnsi="仿宋_GB2312" w:eastAsia="仿宋_GB2312" w:cs="仿宋_GB2312"/>
          <w:bCs/>
          <w:color w:val="000000"/>
          <w:kern w:val="0"/>
          <w:sz w:val="32"/>
          <w:szCs w:val="32"/>
          <w:lang w:val="en-US" w:eastAsia="zh-CN" w:bidi="ar-SA"/>
        </w:rPr>
        <w:t>2025年一般公共预算支出决算数为695.84万元，完成预算100%。其中：</w:t>
      </w:r>
    </w:p>
    <w:p>
      <w:pPr>
        <w:keepNext w:val="0"/>
        <w:keepLines w:val="0"/>
        <w:pageBreakBefore w:val="0"/>
        <w:widowControl w:val="0"/>
        <w:kinsoku/>
        <w:wordWrap/>
        <w:overflowPunct/>
        <w:topLinePunct w:val="0"/>
        <w:autoSpaceDE/>
        <w:autoSpaceDN/>
        <w:bidi w:val="0"/>
        <w:adjustRightInd/>
        <w:snapToGrid/>
        <w:spacing w:line="560" w:lineRule="exact"/>
        <w:ind w:left="0" w:right="0" w:firstLine="640" w:firstLineChars="200"/>
        <w:textAlignment w:val="auto"/>
        <w:rPr>
          <w:rFonts w:hint="eastAsia" w:ascii="仿宋_GB2312" w:hAnsi="仿宋_GB2312" w:eastAsia="仿宋_GB2312" w:cs="仿宋_GB2312"/>
          <w:bCs/>
          <w:color w:val="000000"/>
          <w:kern w:val="0"/>
          <w:sz w:val="32"/>
          <w:szCs w:val="32"/>
          <w:lang w:val="en-US" w:eastAsia="zh-CN" w:bidi="ar-SA"/>
        </w:rPr>
      </w:pPr>
      <w:r>
        <w:rPr>
          <w:rFonts w:hint="eastAsia" w:ascii="仿宋_GB2312" w:hAnsi="仿宋_GB2312" w:eastAsia="仿宋_GB2312" w:cs="仿宋_GB2312"/>
          <w:bCs/>
          <w:color w:val="000000"/>
          <w:kern w:val="0"/>
          <w:sz w:val="32"/>
          <w:szCs w:val="32"/>
          <w:lang w:val="en-US" w:eastAsia="zh-CN" w:bidi="ar-SA"/>
        </w:rPr>
        <w:t>1.教育2050201: 支出决算为527.93万元，完成预算100%。</w:t>
      </w:r>
    </w:p>
    <w:p>
      <w:pPr>
        <w:keepNext w:val="0"/>
        <w:keepLines w:val="0"/>
        <w:pageBreakBefore w:val="0"/>
        <w:widowControl w:val="0"/>
        <w:kinsoku/>
        <w:wordWrap/>
        <w:overflowPunct/>
        <w:topLinePunct w:val="0"/>
        <w:autoSpaceDE/>
        <w:autoSpaceDN/>
        <w:bidi w:val="0"/>
        <w:adjustRightInd/>
        <w:snapToGrid/>
        <w:spacing w:line="560" w:lineRule="exact"/>
        <w:ind w:left="0" w:right="0" w:firstLine="640" w:firstLineChars="200"/>
        <w:textAlignment w:val="auto"/>
        <w:rPr>
          <w:rFonts w:hint="eastAsia" w:ascii="仿宋_GB2312" w:hAnsi="仿宋_GB2312" w:eastAsia="仿宋_GB2312" w:cs="仿宋_GB2312"/>
          <w:bCs/>
          <w:color w:val="auto"/>
          <w:kern w:val="0"/>
          <w:sz w:val="32"/>
          <w:szCs w:val="32"/>
          <w:lang w:val="en-US" w:eastAsia="zh-CN" w:bidi="ar-SA"/>
        </w:rPr>
      </w:pPr>
      <w:r>
        <w:rPr>
          <w:rFonts w:hint="eastAsia" w:ascii="仿宋_GB2312" w:hAnsi="仿宋_GB2312" w:eastAsia="仿宋_GB2312" w:cs="仿宋_GB2312"/>
          <w:bCs/>
          <w:color w:val="auto"/>
          <w:kern w:val="0"/>
          <w:sz w:val="32"/>
          <w:szCs w:val="32"/>
          <w:lang w:val="en-US" w:eastAsia="zh-CN" w:bidi="ar-SA"/>
        </w:rPr>
        <w:t>2.社会保障和就业2080505: 支出决算为55.82万元，完成预算100%，2080506: 支出决算为27.91万元，完成预算100%。</w:t>
      </w:r>
    </w:p>
    <w:p>
      <w:pPr>
        <w:keepNext w:val="0"/>
        <w:keepLines w:val="0"/>
        <w:pageBreakBefore w:val="0"/>
        <w:widowControl w:val="0"/>
        <w:kinsoku/>
        <w:wordWrap/>
        <w:overflowPunct/>
        <w:topLinePunct w:val="0"/>
        <w:autoSpaceDE/>
        <w:autoSpaceDN/>
        <w:bidi w:val="0"/>
        <w:adjustRightInd/>
        <w:snapToGrid/>
        <w:spacing w:line="560" w:lineRule="exact"/>
        <w:ind w:left="0" w:right="0" w:firstLine="640" w:firstLineChars="200"/>
        <w:textAlignment w:val="auto"/>
        <w:rPr>
          <w:rFonts w:hint="eastAsia" w:ascii="仿宋_GB2312" w:hAnsi="仿宋_GB2312" w:eastAsia="仿宋_GB2312" w:cs="仿宋_GB2312"/>
          <w:bCs/>
          <w:color w:val="auto"/>
          <w:kern w:val="0"/>
          <w:sz w:val="32"/>
          <w:szCs w:val="32"/>
          <w:lang w:val="en-US" w:eastAsia="zh-CN" w:bidi="ar-SA"/>
        </w:rPr>
      </w:pPr>
      <w:r>
        <w:rPr>
          <w:rFonts w:hint="eastAsia" w:ascii="仿宋_GB2312" w:hAnsi="仿宋_GB2312" w:eastAsia="仿宋_GB2312" w:cs="仿宋_GB2312"/>
          <w:bCs/>
          <w:color w:val="auto"/>
          <w:kern w:val="0"/>
          <w:sz w:val="32"/>
          <w:szCs w:val="32"/>
          <w:lang w:val="en-US" w:eastAsia="zh-CN" w:bidi="ar-SA"/>
        </w:rPr>
        <w:t>3.医疗卫生与计划生育2101102:支出决算为26.1万元，完成预算100%，2101199:支出决算为4.33万元，完成预算100%。</w:t>
      </w:r>
    </w:p>
    <w:p>
      <w:pPr>
        <w:keepNext w:val="0"/>
        <w:keepLines w:val="0"/>
        <w:pageBreakBefore w:val="0"/>
        <w:widowControl w:val="0"/>
        <w:kinsoku/>
        <w:wordWrap/>
        <w:overflowPunct/>
        <w:topLinePunct w:val="0"/>
        <w:autoSpaceDE/>
        <w:autoSpaceDN/>
        <w:bidi w:val="0"/>
        <w:adjustRightInd/>
        <w:snapToGrid/>
        <w:spacing w:line="560" w:lineRule="exact"/>
        <w:ind w:left="0" w:right="0" w:firstLine="640" w:firstLineChars="200"/>
        <w:textAlignment w:val="auto"/>
        <w:rPr>
          <w:rFonts w:hint="eastAsia" w:ascii="仿宋_GB2312" w:hAnsi="仿宋_GB2312" w:eastAsia="仿宋_GB2312" w:cs="仿宋_GB2312"/>
          <w:bCs/>
          <w:color w:val="000000"/>
          <w:kern w:val="0"/>
          <w:sz w:val="32"/>
          <w:szCs w:val="32"/>
          <w:lang w:val="en-US" w:eastAsia="zh-CN" w:bidi="ar-SA"/>
        </w:rPr>
      </w:pPr>
      <w:r>
        <w:rPr>
          <w:rFonts w:hint="eastAsia" w:ascii="仿宋_GB2312" w:hAnsi="仿宋_GB2312" w:eastAsia="仿宋_GB2312" w:cs="仿宋_GB2312"/>
          <w:bCs/>
          <w:color w:val="000000"/>
          <w:kern w:val="0"/>
          <w:sz w:val="32"/>
          <w:szCs w:val="32"/>
          <w:lang w:val="en-US" w:eastAsia="zh-CN" w:bidi="ar-SA"/>
        </w:rPr>
        <w:t>4.住房保障2210201：支出决算为:45.14万元，完成预算100%。</w:t>
      </w:r>
    </w:p>
    <w:p>
      <w:pPr>
        <w:keepNext w:val="0"/>
        <w:keepLines w:val="0"/>
        <w:pageBreakBefore w:val="0"/>
        <w:widowControl w:val="0"/>
        <w:tabs>
          <w:tab w:val="right" w:pos="8306"/>
        </w:tabs>
        <w:kinsoku/>
        <w:wordWrap/>
        <w:overflowPunct/>
        <w:topLinePunct w:val="0"/>
        <w:bidi w:val="0"/>
        <w:snapToGrid/>
        <w:spacing w:line="560" w:lineRule="exact"/>
        <w:ind w:firstLine="640" w:firstLineChars="200"/>
        <w:textAlignment w:val="auto"/>
        <w:outlineLvl w:val="1"/>
        <w:rPr>
          <w:rStyle w:val="27"/>
          <w:rFonts w:hint="eastAsia" w:ascii="仿宋_GB2312" w:hAnsi="仿宋_GB2312" w:eastAsia="仿宋_GB2312" w:cs="仿宋_GB2312"/>
        </w:rPr>
      </w:pPr>
      <w:bookmarkStart w:id="42" w:name="_Toc15377214"/>
      <w:bookmarkStart w:id="43" w:name="_Toc13068"/>
      <w:r>
        <w:rPr>
          <w:rFonts w:hint="eastAsia" w:ascii="仿宋_GB2312" w:hAnsi="仿宋_GB2312" w:eastAsia="仿宋_GB2312" w:cs="仿宋_GB2312"/>
          <w:color w:val="000000"/>
          <w:sz w:val="32"/>
          <w:szCs w:val="32"/>
        </w:rPr>
        <w:t>六</w:t>
      </w:r>
      <w:r>
        <w:rPr>
          <w:rFonts w:hint="eastAsia" w:ascii="仿宋_GB2312" w:hAnsi="仿宋_GB2312" w:eastAsia="仿宋_GB2312" w:cs="仿宋_GB2312"/>
          <w:b/>
          <w:color w:val="000000"/>
          <w:sz w:val="32"/>
          <w:szCs w:val="32"/>
        </w:rPr>
        <w:t>、一</w:t>
      </w:r>
      <w:r>
        <w:rPr>
          <w:rStyle w:val="27"/>
          <w:rFonts w:hint="eastAsia" w:ascii="仿宋_GB2312" w:hAnsi="仿宋_GB2312" w:eastAsia="仿宋_GB2312" w:cs="仿宋_GB2312"/>
          <w:b w:val="0"/>
        </w:rPr>
        <w:t>般公共预算财政拨款基本支出决算情况说明</w:t>
      </w:r>
      <w:bookmarkEnd w:id="42"/>
      <w:bookmarkEnd w:id="43"/>
      <w:r>
        <w:rPr>
          <w:rStyle w:val="27"/>
          <w:rFonts w:hint="eastAsia" w:ascii="仿宋_GB2312" w:hAnsi="仿宋_GB2312" w:eastAsia="仿宋_GB2312" w:cs="仿宋_GB2312"/>
          <w:b w:val="0"/>
        </w:rPr>
        <w:tab/>
      </w:r>
    </w:p>
    <w:p>
      <w:pPr>
        <w:keepNext w:val="0"/>
        <w:keepLines w:val="0"/>
        <w:pageBreakBefore w:val="0"/>
        <w:widowControl w:val="0"/>
        <w:kinsoku/>
        <w:wordWrap/>
        <w:overflowPunct/>
        <w:topLinePunct w:val="0"/>
        <w:autoSpaceDE/>
        <w:autoSpaceDN/>
        <w:bidi w:val="0"/>
        <w:adjustRightInd/>
        <w:snapToGrid/>
        <w:spacing w:line="560" w:lineRule="exact"/>
        <w:ind w:left="0" w:right="0" w:firstLine="640" w:firstLineChars="200"/>
        <w:textAlignment w:val="auto"/>
        <w:rPr>
          <w:rFonts w:hint="eastAsia" w:ascii="仿宋_GB2312" w:hAnsi="仿宋_GB2312" w:eastAsia="仿宋_GB2312" w:cs="仿宋_GB2312"/>
          <w:bCs/>
          <w:color w:val="000000"/>
          <w:kern w:val="0"/>
          <w:sz w:val="32"/>
          <w:szCs w:val="32"/>
          <w:lang w:val="en-US" w:eastAsia="zh-CN" w:bidi="ar-SA"/>
        </w:rPr>
      </w:pPr>
      <w:r>
        <w:rPr>
          <w:rFonts w:hint="eastAsia" w:ascii="仿宋_GB2312" w:hAnsi="仿宋_GB2312" w:eastAsia="仿宋_GB2312" w:cs="仿宋_GB2312"/>
          <w:bCs/>
          <w:color w:val="000000"/>
          <w:kern w:val="0"/>
          <w:sz w:val="32"/>
          <w:szCs w:val="32"/>
          <w:lang w:val="en-US" w:eastAsia="zh-CN" w:bidi="ar-SA"/>
        </w:rPr>
        <w:t>2025年一般公共预算财政拨款基本支出</w:t>
      </w:r>
      <w:r>
        <w:rPr>
          <w:rFonts w:hint="eastAsia" w:ascii="仿宋_GB2312" w:hAnsi="仿宋_GB2312" w:eastAsia="仿宋_GB2312" w:cs="仿宋_GB2312"/>
          <w:bCs/>
          <w:color w:val="auto"/>
          <w:kern w:val="0"/>
          <w:sz w:val="32"/>
          <w:szCs w:val="32"/>
          <w:lang w:val="en-US" w:eastAsia="zh-CN" w:bidi="ar-SA"/>
        </w:rPr>
        <w:t>582.49</w:t>
      </w:r>
      <w:r>
        <w:rPr>
          <w:rFonts w:hint="eastAsia" w:ascii="仿宋_GB2312" w:hAnsi="仿宋_GB2312" w:eastAsia="仿宋_GB2312" w:cs="仿宋_GB2312"/>
          <w:bCs/>
          <w:color w:val="000000"/>
          <w:kern w:val="0"/>
          <w:sz w:val="32"/>
          <w:szCs w:val="32"/>
          <w:lang w:val="en-US" w:eastAsia="zh-CN" w:bidi="ar-SA"/>
        </w:rPr>
        <w:t>万元，其中：</w:t>
      </w:r>
    </w:p>
    <w:p>
      <w:pPr>
        <w:keepNext w:val="0"/>
        <w:keepLines w:val="0"/>
        <w:pageBreakBefore w:val="0"/>
        <w:widowControl w:val="0"/>
        <w:kinsoku/>
        <w:wordWrap/>
        <w:overflowPunct/>
        <w:topLinePunct w:val="0"/>
        <w:autoSpaceDE/>
        <w:autoSpaceDN/>
        <w:bidi w:val="0"/>
        <w:adjustRightInd/>
        <w:snapToGrid/>
        <w:spacing w:line="560" w:lineRule="exact"/>
        <w:ind w:left="0" w:right="0" w:firstLine="640" w:firstLineChars="200"/>
        <w:textAlignment w:val="auto"/>
        <w:rPr>
          <w:rFonts w:hint="eastAsia" w:ascii="仿宋_GB2312" w:hAnsi="仿宋_GB2312" w:eastAsia="仿宋_GB2312" w:cs="仿宋_GB2312"/>
          <w:bCs/>
          <w:color w:val="000000" w:themeColor="text1"/>
          <w:kern w:val="0"/>
          <w:sz w:val="32"/>
          <w:szCs w:val="32"/>
          <w:highlight w:val="none"/>
          <w:lang w:val="en-US" w:eastAsia="zh-CN" w:bidi="ar-SA"/>
          <w14:textFill>
            <w14:solidFill>
              <w14:schemeClr w14:val="tx1"/>
            </w14:solidFill>
          </w14:textFill>
        </w:rPr>
      </w:pPr>
      <w:r>
        <w:rPr>
          <w:rFonts w:hint="eastAsia" w:ascii="仿宋_GB2312" w:hAnsi="仿宋_GB2312" w:eastAsia="仿宋_GB2312" w:cs="仿宋_GB2312"/>
          <w:bCs/>
          <w:color w:val="auto"/>
          <w:kern w:val="0"/>
          <w:sz w:val="32"/>
          <w:szCs w:val="32"/>
          <w:highlight w:val="none"/>
          <w:lang w:val="en-US" w:eastAsia="zh-CN" w:bidi="ar-SA"/>
        </w:rPr>
        <w:t>人员经费571.1万元，主要包括：基本工资、津贴补贴、奖金、绩效工资、机关事业单位基本养老保险缴费、职业年金缴费、职工基本医疗保险缴费、公务员医疗补助缴费、其他社会保障缴费、医疗费0万元、住房公积金。</w:t>
      </w:r>
      <w:r>
        <w:rPr>
          <w:rFonts w:hint="eastAsia" w:ascii="仿宋_GB2312" w:hAnsi="仿宋_GB2312" w:eastAsia="仿宋_GB2312" w:cs="仿宋_GB2312"/>
          <w:bCs/>
          <w:color w:val="auto"/>
          <w:kern w:val="0"/>
          <w:sz w:val="32"/>
          <w:szCs w:val="32"/>
          <w:highlight w:val="none"/>
          <w:lang w:val="en-US" w:eastAsia="zh-CN" w:bidi="ar-SA"/>
        </w:rPr>
        <w:br w:type="textWrapping"/>
      </w:r>
      <w:r>
        <w:rPr>
          <w:rFonts w:hint="eastAsia" w:ascii="仿宋_GB2312" w:hAnsi="仿宋_GB2312" w:eastAsia="仿宋_GB2312" w:cs="仿宋_GB2312"/>
          <w:bCs/>
          <w:color w:val="auto"/>
          <w:kern w:val="0"/>
          <w:sz w:val="32"/>
          <w:szCs w:val="32"/>
          <w:highlight w:val="none"/>
          <w:lang w:val="en-US" w:eastAsia="zh-CN" w:bidi="ar-SA"/>
        </w:rPr>
        <w:t>日常公用经费11.39万元，主要包括：办公费、工会经费。</w:t>
      </w:r>
    </w:p>
    <w:p>
      <w:pPr>
        <w:keepNext w:val="0"/>
        <w:keepLines w:val="0"/>
        <w:pageBreakBefore w:val="0"/>
        <w:widowControl w:val="0"/>
        <w:kinsoku/>
        <w:wordWrap/>
        <w:overflowPunct/>
        <w:topLinePunct w:val="0"/>
        <w:bidi w:val="0"/>
        <w:snapToGrid/>
        <w:spacing w:line="560" w:lineRule="exact"/>
        <w:ind w:firstLine="640" w:firstLineChars="200"/>
        <w:textAlignment w:val="auto"/>
        <w:outlineLvl w:val="1"/>
        <w:rPr>
          <w:rStyle w:val="27"/>
          <w:rFonts w:hint="eastAsia" w:ascii="仿宋_GB2312" w:hAnsi="仿宋_GB2312" w:eastAsia="仿宋_GB2312" w:cs="仿宋_GB2312"/>
          <w:b w:val="0"/>
        </w:rPr>
      </w:pPr>
      <w:bookmarkStart w:id="44" w:name="_Toc15377215"/>
      <w:bookmarkStart w:id="45" w:name="_Toc18018"/>
      <w:r>
        <w:rPr>
          <w:rFonts w:hint="eastAsia" w:ascii="仿宋_GB2312" w:hAnsi="仿宋_GB2312" w:eastAsia="仿宋_GB2312" w:cs="仿宋_GB2312"/>
          <w:color w:val="000000"/>
          <w:sz w:val="32"/>
          <w:szCs w:val="32"/>
        </w:rPr>
        <w:t>七、</w:t>
      </w:r>
      <w:r>
        <w:rPr>
          <w:rStyle w:val="27"/>
          <w:rFonts w:hint="eastAsia" w:ascii="仿宋_GB2312" w:hAnsi="仿宋_GB2312" w:eastAsia="仿宋_GB2312" w:cs="仿宋_GB2312"/>
        </w:rPr>
        <w:t>“</w:t>
      </w:r>
      <w:r>
        <w:rPr>
          <w:rStyle w:val="27"/>
          <w:rFonts w:hint="eastAsia" w:ascii="仿宋_GB2312" w:hAnsi="仿宋_GB2312" w:eastAsia="仿宋_GB2312" w:cs="仿宋_GB2312"/>
          <w:b w:val="0"/>
        </w:rPr>
        <w:t>三公”经费财政拨款支出决算情况说明</w:t>
      </w:r>
      <w:bookmarkEnd w:id="44"/>
      <w:bookmarkEnd w:id="45"/>
    </w:p>
    <w:p>
      <w:pPr>
        <w:keepNext w:val="0"/>
        <w:keepLines w:val="0"/>
        <w:pageBreakBefore w:val="0"/>
        <w:widowControl w:val="0"/>
        <w:kinsoku/>
        <w:wordWrap/>
        <w:overflowPunct/>
        <w:topLinePunct w:val="0"/>
        <w:bidi w:val="0"/>
        <w:snapToGrid/>
        <w:spacing w:line="560" w:lineRule="exact"/>
        <w:ind w:firstLine="643" w:firstLineChars="200"/>
        <w:textAlignment w:val="auto"/>
        <w:outlineLvl w:val="2"/>
        <w:rPr>
          <w:rFonts w:hint="eastAsia" w:ascii="仿宋_GB2312" w:hAnsi="仿宋_GB2312" w:eastAsia="仿宋_GB2312" w:cs="仿宋_GB2312"/>
          <w:b/>
          <w:color w:val="000000"/>
          <w:sz w:val="32"/>
          <w:szCs w:val="32"/>
        </w:rPr>
      </w:pPr>
      <w:bookmarkStart w:id="46" w:name="_Toc15377216"/>
      <w:r>
        <w:rPr>
          <w:rFonts w:hint="eastAsia" w:ascii="仿宋_GB2312" w:hAnsi="仿宋_GB2312" w:eastAsia="仿宋_GB2312" w:cs="仿宋_GB2312"/>
          <w:b/>
          <w:color w:val="000000"/>
          <w:sz w:val="32"/>
          <w:szCs w:val="32"/>
        </w:rPr>
        <w:t>（一）“三公”经费财政拨款支出决算总体情况说明</w:t>
      </w:r>
      <w:bookmarkEnd w:id="46"/>
    </w:p>
    <w:p>
      <w:pPr>
        <w:keepNext w:val="0"/>
        <w:keepLines w:val="0"/>
        <w:pageBreakBefore w:val="0"/>
        <w:widowControl w:val="0"/>
        <w:kinsoku/>
        <w:wordWrap/>
        <w:overflowPunct/>
        <w:topLinePunct w:val="0"/>
        <w:autoSpaceDE/>
        <w:autoSpaceDN/>
        <w:bidi w:val="0"/>
        <w:adjustRightInd/>
        <w:snapToGrid/>
        <w:spacing w:line="560" w:lineRule="exact"/>
        <w:ind w:left="0" w:right="0" w:firstLine="640" w:firstLineChars="200"/>
        <w:textAlignment w:val="auto"/>
        <w:rPr>
          <w:rFonts w:hint="eastAsia" w:ascii="仿宋_GB2312" w:hAnsi="仿宋_GB2312" w:eastAsia="仿宋_GB2312" w:cs="仿宋_GB2312"/>
          <w:bCs/>
          <w:color w:val="000000"/>
          <w:kern w:val="0"/>
          <w:sz w:val="32"/>
          <w:szCs w:val="32"/>
          <w:lang w:val="en-US" w:eastAsia="zh-CN" w:bidi="ar-SA"/>
        </w:rPr>
      </w:pPr>
      <w:r>
        <w:rPr>
          <w:rFonts w:hint="eastAsia" w:ascii="仿宋_GB2312" w:hAnsi="仿宋_GB2312" w:eastAsia="仿宋_GB2312" w:cs="仿宋_GB2312"/>
          <w:bCs/>
          <w:color w:val="000000"/>
          <w:kern w:val="0"/>
          <w:sz w:val="32"/>
          <w:szCs w:val="32"/>
          <w:lang w:val="en-US" w:eastAsia="zh-CN" w:bidi="ar-SA"/>
        </w:rPr>
        <w:t>2025年“三公”经费财政拨款支出决算为0.00万元，完成预算0.00%。与预算数持平。</w:t>
      </w:r>
    </w:p>
    <w:p>
      <w:pPr>
        <w:keepNext w:val="0"/>
        <w:keepLines w:val="0"/>
        <w:pageBreakBefore w:val="0"/>
        <w:widowControl w:val="0"/>
        <w:kinsoku/>
        <w:wordWrap/>
        <w:overflowPunct/>
        <w:topLinePunct w:val="0"/>
        <w:bidi w:val="0"/>
        <w:snapToGrid/>
        <w:spacing w:line="560" w:lineRule="exact"/>
        <w:ind w:firstLine="643" w:firstLineChars="200"/>
        <w:textAlignment w:val="auto"/>
        <w:outlineLvl w:val="2"/>
        <w:rPr>
          <w:rFonts w:hint="eastAsia" w:ascii="仿宋_GB2312" w:hAnsi="仿宋_GB2312" w:eastAsia="仿宋_GB2312" w:cs="仿宋_GB2312"/>
          <w:b/>
          <w:color w:val="000000"/>
          <w:sz w:val="32"/>
          <w:szCs w:val="32"/>
        </w:rPr>
      </w:pPr>
      <w:bookmarkStart w:id="47" w:name="_Toc15377217"/>
      <w:r>
        <w:rPr>
          <w:rFonts w:hint="eastAsia" w:ascii="仿宋_GB2312" w:hAnsi="仿宋_GB2312" w:eastAsia="仿宋_GB2312" w:cs="仿宋_GB2312"/>
          <w:b/>
          <w:color w:val="000000"/>
          <w:sz w:val="32"/>
          <w:szCs w:val="32"/>
        </w:rPr>
        <w:t>（二）“三公”经费财政拨款支出决算具体情况说明</w:t>
      </w:r>
      <w:bookmarkEnd w:id="47"/>
    </w:p>
    <w:p>
      <w:pPr>
        <w:keepNext w:val="0"/>
        <w:keepLines w:val="0"/>
        <w:pageBreakBefore w:val="0"/>
        <w:widowControl w:val="0"/>
        <w:kinsoku/>
        <w:wordWrap/>
        <w:overflowPunct/>
        <w:topLinePunct w:val="0"/>
        <w:autoSpaceDE/>
        <w:autoSpaceDN/>
        <w:bidi w:val="0"/>
        <w:adjustRightInd/>
        <w:snapToGrid/>
        <w:spacing w:line="560" w:lineRule="exact"/>
        <w:ind w:left="0" w:right="0" w:firstLine="640" w:firstLineChars="200"/>
        <w:textAlignment w:val="auto"/>
        <w:rPr>
          <w:rFonts w:hint="eastAsia" w:ascii="仿宋_GB2312" w:hAnsi="仿宋_GB2312" w:eastAsia="仿宋_GB2312" w:cs="仿宋_GB2312"/>
          <w:bCs/>
          <w:color w:val="000000"/>
          <w:kern w:val="0"/>
          <w:sz w:val="32"/>
          <w:szCs w:val="32"/>
          <w:lang w:val="en-US" w:eastAsia="zh-CN" w:bidi="ar-SA"/>
        </w:rPr>
      </w:pPr>
      <w:r>
        <w:rPr>
          <w:rFonts w:hint="eastAsia" w:ascii="仿宋_GB2312" w:hAnsi="仿宋_GB2312" w:eastAsia="仿宋_GB2312" w:cs="仿宋_GB2312"/>
          <w:bCs/>
          <w:color w:val="000000"/>
          <w:kern w:val="0"/>
          <w:sz w:val="32"/>
          <w:szCs w:val="32"/>
          <w:lang w:val="en-US" w:eastAsia="zh-CN" w:bidi="ar-SA"/>
        </w:rPr>
        <w:t>2025年“三公”经费财政拨款支出决算中，因公出国（境）费支出决算0.00万元，占0.00%；公务用车购置及运行维护费支出决算0.00万元，占0.00%；公务接待费支出决算0.00万元，占0.00%。具体情况如下：</w:t>
      </w:r>
    </w:p>
    <w:p>
      <w:pPr>
        <w:keepNext w:val="0"/>
        <w:keepLines w:val="0"/>
        <w:pageBreakBefore w:val="0"/>
        <w:widowControl w:val="0"/>
        <w:kinsoku/>
        <w:wordWrap/>
        <w:overflowPunct/>
        <w:topLinePunct w:val="0"/>
        <w:autoSpaceDE/>
        <w:autoSpaceDN/>
        <w:bidi w:val="0"/>
        <w:adjustRightInd/>
        <w:snapToGrid/>
        <w:spacing w:line="560" w:lineRule="exact"/>
        <w:ind w:left="0" w:right="0" w:firstLine="640" w:firstLineChars="200"/>
        <w:textAlignment w:val="auto"/>
        <w:rPr>
          <w:rFonts w:hint="eastAsia" w:ascii="仿宋_GB2312" w:hAnsi="仿宋_GB2312" w:eastAsia="仿宋_GB2312" w:cs="仿宋_GB2312"/>
          <w:bCs/>
          <w:color w:val="000000"/>
          <w:kern w:val="0"/>
          <w:sz w:val="32"/>
          <w:szCs w:val="32"/>
          <w:lang w:val="en-US" w:eastAsia="zh-CN" w:bidi="ar-SA"/>
        </w:rPr>
      </w:pPr>
      <w:r>
        <w:rPr>
          <w:rFonts w:hint="eastAsia" w:ascii="仿宋_GB2312" w:hAnsi="仿宋_GB2312" w:eastAsia="仿宋_GB2312" w:cs="仿宋_GB2312"/>
          <w:bCs/>
          <w:color w:val="000000"/>
          <w:kern w:val="0"/>
          <w:sz w:val="32"/>
          <w:szCs w:val="32"/>
          <w:lang w:val="en-US" w:eastAsia="zh-CN" w:bidi="ar-SA"/>
        </w:rPr>
        <w:t>1.</w:t>
      </w:r>
      <w:r>
        <w:rPr>
          <w:rFonts w:hint="eastAsia" w:ascii="仿宋_GB2312" w:hAnsi="仿宋_GB2312" w:eastAsia="仿宋_GB2312" w:cs="仿宋_GB2312"/>
          <w:b/>
          <w:bCs w:val="0"/>
          <w:color w:val="000000"/>
          <w:kern w:val="0"/>
          <w:sz w:val="32"/>
          <w:szCs w:val="32"/>
          <w:lang w:val="en-US" w:eastAsia="zh-CN" w:bidi="ar-SA"/>
        </w:rPr>
        <w:t>因公出国（境）经费支出0.00万元</w:t>
      </w:r>
      <w:r>
        <w:rPr>
          <w:rFonts w:hint="eastAsia" w:ascii="仿宋_GB2312" w:hAnsi="仿宋_GB2312" w:eastAsia="仿宋_GB2312" w:cs="仿宋_GB2312"/>
          <w:bCs/>
          <w:color w:val="000000"/>
          <w:kern w:val="0"/>
          <w:sz w:val="32"/>
          <w:szCs w:val="32"/>
          <w:lang w:val="en-US" w:eastAsia="zh-CN" w:bidi="ar-SA"/>
        </w:rPr>
        <w:t>，完成预算0.00%。全年安排因公出国（境）团组0次，出国（境）0人。因公出国（境）支出决算与2025持平。</w:t>
      </w:r>
    </w:p>
    <w:p>
      <w:pPr>
        <w:keepNext w:val="0"/>
        <w:keepLines w:val="0"/>
        <w:pageBreakBefore w:val="0"/>
        <w:widowControl w:val="0"/>
        <w:kinsoku/>
        <w:wordWrap/>
        <w:overflowPunct/>
        <w:topLinePunct w:val="0"/>
        <w:bidi w:val="0"/>
        <w:snapToGrid/>
        <w:spacing w:line="560" w:lineRule="exact"/>
        <w:ind w:firstLine="643" w:firstLineChars="200"/>
        <w:textAlignment w:val="auto"/>
        <w:rPr>
          <w:rFonts w:hint="eastAsia" w:ascii="仿宋_GB2312" w:hAnsi="仿宋_GB2312" w:eastAsia="仿宋_GB2312" w:cs="仿宋_GB2312"/>
          <w:b/>
          <w:color w:val="000000"/>
          <w:sz w:val="32"/>
          <w:szCs w:val="32"/>
        </w:rPr>
      </w:pPr>
      <w:r>
        <w:rPr>
          <w:rFonts w:hint="eastAsia" w:ascii="仿宋_GB2312" w:hAnsi="仿宋_GB2312" w:eastAsia="仿宋_GB2312" w:cs="仿宋_GB2312"/>
          <w:b/>
          <w:color w:val="000000"/>
          <w:sz w:val="32"/>
          <w:szCs w:val="32"/>
        </w:rPr>
        <w:t>2.公务用车购置及运行维护费支出</w:t>
      </w:r>
      <w:r>
        <w:rPr>
          <w:rFonts w:hint="eastAsia" w:ascii="仿宋_GB2312" w:hAnsi="仿宋_GB2312" w:eastAsia="仿宋_GB2312" w:cs="仿宋_GB2312"/>
          <w:color w:val="000000"/>
          <w:sz w:val="32"/>
          <w:szCs w:val="32"/>
        </w:rPr>
        <w:t>0万元,完成预算0%。公务用车购置及运行维护费支出决算与</w:t>
      </w:r>
      <w:r>
        <w:rPr>
          <w:rFonts w:hint="eastAsia" w:ascii="仿宋_GB2312" w:hAnsi="仿宋_GB2312" w:eastAsia="仿宋_GB2312" w:cs="仿宋_GB2312"/>
          <w:color w:val="000000"/>
          <w:sz w:val="32"/>
          <w:szCs w:val="32"/>
          <w:lang w:eastAsia="zh-CN"/>
        </w:rPr>
        <w:t>20</w:t>
      </w:r>
      <w:r>
        <w:rPr>
          <w:rFonts w:hint="eastAsia" w:ascii="仿宋_GB2312" w:hAnsi="仿宋_GB2312" w:eastAsia="仿宋_GB2312" w:cs="仿宋_GB2312"/>
          <w:color w:val="000000"/>
          <w:sz w:val="32"/>
          <w:szCs w:val="32"/>
          <w:lang w:val="en-US" w:eastAsia="zh-CN"/>
        </w:rPr>
        <w:t>24</w:t>
      </w:r>
      <w:r>
        <w:rPr>
          <w:rFonts w:hint="eastAsia" w:ascii="仿宋_GB2312" w:hAnsi="仿宋_GB2312" w:eastAsia="仿宋_GB2312" w:cs="仿宋_GB2312"/>
          <w:color w:val="000000"/>
          <w:sz w:val="32"/>
          <w:szCs w:val="32"/>
        </w:rPr>
        <w:t>持平。</w:t>
      </w:r>
    </w:p>
    <w:p>
      <w:pPr>
        <w:keepNext w:val="0"/>
        <w:keepLines w:val="0"/>
        <w:pageBreakBefore w:val="0"/>
        <w:widowControl w:val="0"/>
        <w:kinsoku/>
        <w:wordWrap/>
        <w:overflowPunct/>
        <w:topLinePunct w:val="0"/>
        <w:bidi w:val="0"/>
        <w:snapToGrid/>
        <w:spacing w:line="560" w:lineRule="exact"/>
        <w:ind w:firstLine="640" w:firstLineChars="200"/>
        <w:textAlignment w:val="auto"/>
        <w:rPr>
          <w:rFonts w:hint="eastAsia" w:ascii="仿宋_GB2312" w:hAnsi="仿宋_GB2312" w:eastAsia="仿宋_GB2312" w:cs="仿宋_GB2312"/>
          <w:bCs/>
          <w:color w:val="000000"/>
          <w:kern w:val="0"/>
          <w:sz w:val="32"/>
          <w:szCs w:val="32"/>
          <w:lang w:val="en-US" w:eastAsia="zh-CN" w:bidi="ar-SA"/>
        </w:rPr>
      </w:pPr>
      <w:r>
        <w:rPr>
          <w:rFonts w:hint="eastAsia" w:ascii="仿宋_GB2312" w:hAnsi="仿宋_GB2312" w:eastAsia="仿宋_GB2312" w:cs="仿宋_GB2312"/>
          <w:color w:val="000000"/>
          <w:sz w:val="32"/>
          <w:szCs w:val="32"/>
        </w:rPr>
        <w:t>其中：</w:t>
      </w:r>
      <w:r>
        <w:rPr>
          <w:rFonts w:hint="eastAsia" w:ascii="仿宋_GB2312" w:hAnsi="仿宋_GB2312" w:eastAsia="仿宋_GB2312" w:cs="仿宋_GB2312"/>
          <w:b/>
          <w:color w:val="000000"/>
          <w:sz w:val="32"/>
          <w:szCs w:val="32"/>
        </w:rPr>
        <w:t>公务用车购置支出</w:t>
      </w:r>
      <w:r>
        <w:rPr>
          <w:rFonts w:hint="eastAsia" w:ascii="仿宋_GB2312" w:hAnsi="仿宋_GB2312" w:eastAsia="仿宋_GB2312" w:cs="仿宋_GB2312"/>
          <w:bCs/>
          <w:color w:val="000000"/>
          <w:kern w:val="0"/>
          <w:sz w:val="32"/>
          <w:szCs w:val="32"/>
          <w:lang w:val="en-US" w:eastAsia="zh-CN" w:bidi="ar-SA"/>
        </w:rPr>
        <w:t>0万元。全年按规定更新购置公务用车0辆，其中：轿车0辆、金额0万元，越野车0辆、金额0万元，载客汽车0辆、金额0万元，主要用。截至2020年12月底，单位共有公务用车0辆，其中：轿车0辆、越野车0辆、载客汽车0辆。</w:t>
      </w:r>
    </w:p>
    <w:p>
      <w:pPr>
        <w:keepNext w:val="0"/>
        <w:keepLines w:val="0"/>
        <w:pageBreakBefore w:val="0"/>
        <w:widowControl w:val="0"/>
        <w:kinsoku/>
        <w:wordWrap/>
        <w:overflowPunct/>
        <w:topLinePunct w:val="0"/>
        <w:bidi w:val="0"/>
        <w:snapToGrid/>
        <w:spacing w:line="560" w:lineRule="exact"/>
        <w:ind w:firstLine="643" w:firstLineChars="200"/>
        <w:textAlignment w:val="auto"/>
        <w:rPr>
          <w:rFonts w:hint="eastAsia" w:ascii="仿宋_GB2312" w:hAnsi="仿宋_GB2312" w:eastAsia="仿宋_GB2312" w:cs="仿宋_GB2312"/>
          <w:color w:val="000000"/>
          <w:sz w:val="32"/>
          <w:szCs w:val="32"/>
        </w:rPr>
      </w:pPr>
      <w:r>
        <w:rPr>
          <w:rFonts w:hint="eastAsia" w:ascii="仿宋_GB2312" w:hAnsi="仿宋_GB2312" w:eastAsia="仿宋_GB2312" w:cs="仿宋_GB2312"/>
          <w:b/>
          <w:color w:val="000000"/>
          <w:sz w:val="32"/>
          <w:szCs w:val="32"/>
        </w:rPr>
        <w:t>公务用车运行维护费支出</w:t>
      </w:r>
      <w:r>
        <w:rPr>
          <w:rFonts w:hint="eastAsia" w:ascii="仿宋_GB2312" w:hAnsi="仿宋_GB2312" w:eastAsia="仿宋_GB2312" w:cs="仿宋_GB2312"/>
          <w:color w:val="000000"/>
          <w:sz w:val="32"/>
          <w:szCs w:val="32"/>
        </w:rPr>
        <w:t>0万元。</w:t>
      </w:r>
    </w:p>
    <w:p>
      <w:pPr>
        <w:keepNext w:val="0"/>
        <w:keepLines w:val="0"/>
        <w:pageBreakBefore w:val="0"/>
        <w:widowControl w:val="0"/>
        <w:numPr>
          <w:ilvl w:val="0"/>
          <w:numId w:val="0"/>
        </w:numPr>
        <w:kinsoku/>
        <w:wordWrap/>
        <w:overflowPunct/>
        <w:topLinePunct w:val="0"/>
        <w:bidi w:val="0"/>
        <w:snapToGrid/>
        <w:spacing w:line="560" w:lineRule="exact"/>
        <w:ind w:firstLine="643" w:firstLineChars="200"/>
        <w:textAlignment w:val="auto"/>
        <w:rPr>
          <w:rFonts w:hint="eastAsia" w:ascii="仿宋_GB2312" w:hAnsi="仿宋_GB2312" w:eastAsia="仿宋_GB2312" w:cs="仿宋_GB2312"/>
          <w:color w:val="000000"/>
          <w:sz w:val="32"/>
          <w:szCs w:val="32"/>
          <w:lang w:eastAsia="zh-CN"/>
        </w:rPr>
      </w:pPr>
      <w:r>
        <w:rPr>
          <w:rFonts w:hint="eastAsia" w:ascii="仿宋_GB2312" w:hAnsi="仿宋_GB2312" w:eastAsia="仿宋_GB2312" w:cs="仿宋_GB2312"/>
          <w:b/>
          <w:color w:val="000000"/>
          <w:sz w:val="32"/>
          <w:szCs w:val="32"/>
          <w:lang w:val="en-US" w:eastAsia="zh-CN"/>
        </w:rPr>
        <w:t>3.</w:t>
      </w:r>
      <w:r>
        <w:rPr>
          <w:rFonts w:hint="eastAsia" w:ascii="仿宋_GB2312" w:hAnsi="仿宋_GB2312" w:eastAsia="仿宋_GB2312" w:cs="仿宋_GB2312"/>
          <w:b/>
          <w:color w:val="000000"/>
          <w:sz w:val="32"/>
          <w:szCs w:val="32"/>
        </w:rPr>
        <w:t>公务接待费支出</w:t>
      </w:r>
      <w:r>
        <w:rPr>
          <w:rFonts w:hint="eastAsia" w:ascii="仿宋_GB2312" w:hAnsi="仿宋_GB2312" w:eastAsia="仿宋_GB2312" w:cs="仿宋_GB2312"/>
          <w:color w:val="000000"/>
          <w:sz w:val="32"/>
          <w:szCs w:val="32"/>
        </w:rPr>
        <w:t>0万元，完成预算0%。</w:t>
      </w:r>
      <w:r>
        <w:rPr>
          <w:rFonts w:hint="eastAsia" w:ascii="仿宋_GB2312" w:hAnsi="仿宋_GB2312" w:eastAsia="仿宋_GB2312" w:cs="仿宋_GB2312"/>
          <w:color w:val="000000"/>
          <w:sz w:val="32"/>
          <w:szCs w:val="32"/>
          <w:lang w:eastAsia="zh-CN"/>
        </w:rPr>
        <w:t>与上年持平。</w:t>
      </w:r>
    </w:p>
    <w:p>
      <w:pPr>
        <w:keepNext w:val="0"/>
        <w:keepLines w:val="0"/>
        <w:pageBreakBefore w:val="0"/>
        <w:widowControl w:val="0"/>
        <w:numPr>
          <w:ilvl w:val="0"/>
          <w:numId w:val="0"/>
        </w:numPr>
        <w:kinsoku/>
        <w:wordWrap/>
        <w:overflowPunct/>
        <w:topLinePunct w:val="0"/>
        <w:bidi w:val="0"/>
        <w:snapToGrid/>
        <w:spacing w:line="560" w:lineRule="exact"/>
        <w:ind w:firstLine="643" w:firstLineChars="200"/>
        <w:textAlignment w:val="auto"/>
        <w:rPr>
          <w:rFonts w:hint="eastAsia" w:ascii="仿宋_GB2312" w:hAnsi="仿宋_GB2312" w:eastAsia="仿宋_GB2312" w:cs="仿宋_GB2312"/>
          <w:color w:val="000000"/>
          <w:sz w:val="32"/>
          <w:szCs w:val="32"/>
        </w:rPr>
      </w:pPr>
      <w:r>
        <w:rPr>
          <w:rFonts w:hint="eastAsia" w:ascii="仿宋_GB2312" w:hAnsi="仿宋_GB2312" w:eastAsia="仿宋_GB2312" w:cs="仿宋_GB2312"/>
          <w:b/>
          <w:color w:val="000000"/>
          <w:sz w:val="32"/>
          <w:szCs w:val="32"/>
          <w:lang w:val="en-US" w:eastAsia="zh-CN"/>
        </w:rPr>
        <w:t>4.</w:t>
      </w:r>
      <w:r>
        <w:rPr>
          <w:rFonts w:hint="eastAsia" w:ascii="仿宋_GB2312" w:hAnsi="仿宋_GB2312" w:eastAsia="仿宋_GB2312" w:cs="仿宋_GB2312"/>
          <w:b/>
          <w:color w:val="000000"/>
          <w:sz w:val="32"/>
          <w:szCs w:val="32"/>
        </w:rPr>
        <w:t>外事接待支出</w:t>
      </w:r>
      <w:r>
        <w:rPr>
          <w:rFonts w:hint="eastAsia" w:ascii="仿宋_GB2312" w:hAnsi="仿宋_GB2312" w:eastAsia="仿宋_GB2312" w:cs="仿宋_GB2312"/>
          <w:color w:val="000000"/>
          <w:sz w:val="32"/>
          <w:szCs w:val="32"/>
        </w:rPr>
        <w:t>0万元，外事接待0批次，0人，共计支出0万元。</w:t>
      </w:r>
    </w:p>
    <w:p>
      <w:pPr>
        <w:keepNext w:val="0"/>
        <w:keepLines w:val="0"/>
        <w:pageBreakBefore w:val="0"/>
        <w:widowControl w:val="0"/>
        <w:kinsoku/>
        <w:wordWrap/>
        <w:overflowPunct/>
        <w:topLinePunct w:val="0"/>
        <w:bidi w:val="0"/>
        <w:snapToGrid/>
        <w:spacing w:line="560" w:lineRule="exact"/>
        <w:ind w:firstLine="643" w:firstLineChars="200"/>
        <w:textAlignment w:val="auto"/>
        <w:rPr>
          <w:rFonts w:hint="eastAsia" w:ascii="仿宋_GB2312" w:hAnsi="仿宋_GB2312" w:eastAsia="仿宋_GB2312" w:cs="仿宋_GB2312"/>
          <w:color w:val="000000"/>
          <w:sz w:val="32"/>
          <w:szCs w:val="32"/>
          <w:lang w:eastAsia="zh-CN"/>
        </w:rPr>
      </w:pPr>
      <w:r>
        <w:rPr>
          <w:rFonts w:hint="eastAsia" w:ascii="仿宋_GB2312" w:hAnsi="仿宋_GB2312" w:eastAsia="仿宋_GB2312" w:cs="仿宋_GB2312"/>
          <w:b/>
          <w:color w:val="000000"/>
          <w:sz w:val="32"/>
          <w:szCs w:val="32"/>
        </w:rPr>
        <w:t>其他国内公务接待支出</w:t>
      </w:r>
      <w:r>
        <w:rPr>
          <w:rFonts w:hint="eastAsia" w:ascii="仿宋_GB2312" w:hAnsi="仿宋_GB2312" w:eastAsia="仿宋_GB2312" w:cs="仿宋_GB2312"/>
          <w:color w:val="000000"/>
          <w:sz w:val="32"/>
          <w:szCs w:val="32"/>
        </w:rPr>
        <w:t>0万元</w:t>
      </w:r>
      <w:r>
        <w:rPr>
          <w:rFonts w:hint="eastAsia" w:ascii="仿宋_GB2312" w:hAnsi="仿宋_GB2312" w:eastAsia="仿宋_GB2312" w:cs="仿宋_GB2312"/>
          <w:color w:val="000000"/>
          <w:sz w:val="32"/>
          <w:szCs w:val="32"/>
          <w:lang w:eastAsia="zh-CN"/>
        </w:rPr>
        <w:t>。</w:t>
      </w:r>
    </w:p>
    <w:p>
      <w:pPr>
        <w:keepNext w:val="0"/>
        <w:keepLines w:val="0"/>
        <w:pageBreakBefore w:val="0"/>
        <w:widowControl w:val="0"/>
        <w:kinsoku/>
        <w:wordWrap/>
        <w:overflowPunct/>
        <w:topLinePunct w:val="0"/>
        <w:bidi w:val="0"/>
        <w:snapToGrid/>
        <w:spacing w:line="560" w:lineRule="exact"/>
        <w:ind w:firstLine="640" w:firstLineChars="200"/>
        <w:textAlignment w:val="auto"/>
        <w:outlineLvl w:val="1"/>
        <w:rPr>
          <w:rStyle w:val="32"/>
          <w:rFonts w:hint="eastAsia" w:ascii="仿宋_GB2312" w:hAnsi="仿宋_GB2312" w:eastAsia="仿宋_GB2312" w:cs="仿宋_GB2312"/>
        </w:rPr>
      </w:pPr>
      <w:bookmarkStart w:id="48" w:name="_Toc15377218"/>
      <w:bookmarkStart w:id="49" w:name="_Toc10315"/>
      <w:r>
        <w:rPr>
          <w:rFonts w:hint="eastAsia" w:ascii="仿宋_GB2312" w:hAnsi="仿宋_GB2312" w:eastAsia="仿宋_GB2312" w:cs="仿宋_GB2312"/>
          <w:color w:val="000000"/>
          <w:sz w:val="32"/>
          <w:szCs w:val="32"/>
        </w:rPr>
        <w:t>八、</w:t>
      </w:r>
      <w:r>
        <w:rPr>
          <w:rStyle w:val="32"/>
          <w:rFonts w:hint="eastAsia" w:ascii="仿宋_GB2312" w:hAnsi="仿宋_GB2312" w:eastAsia="仿宋_GB2312" w:cs="仿宋_GB2312"/>
          <w:b w:val="0"/>
        </w:rPr>
        <w:t>政府性基金预算支出决算情况说明</w:t>
      </w:r>
      <w:bookmarkEnd w:id="48"/>
      <w:bookmarkEnd w:id="49"/>
      <w:r>
        <w:rPr>
          <w:rStyle w:val="32"/>
          <w:rFonts w:hint="eastAsia" w:ascii="仿宋_GB2312" w:hAnsi="仿宋_GB2312" w:eastAsia="仿宋_GB2312" w:cs="仿宋_GB2312"/>
          <w:b w:val="0"/>
        </w:rPr>
        <w:t xml:space="preserve"> </w:t>
      </w:r>
    </w:p>
    <w:p>
      <w:pPr>
        <w:keepNext w:val="0"/>
        <w:keepLines w:val="0"/>
        <w:pageBreakBefore w:val="0"/>
        <w:widowControl w:val="0"/>
        <w:kinsoku/>
        <w:wordWrap/>
        <w:overflowPunct/>
        <w:topLinePunct w:val="0"/>
        <w:bidi w:val="0"/>
        <w:snapToGrid/>
        <w:spacing w:line="560" w:lineRule="exact"/>
        <w:ind w:firstLine="640" w:firstLineChars="200"/>
        <w:textAlignment w:val="auto"/>
        <w:rPr>
          <w:rFonts w:hint="eastAsia" w:ascii="仿宋_GB2312" w:hAnsi="仿宋_GB2312" w:eastAsia="仿宋_GB2312" w:cs="仿宋_GB2312"/>
          <w:bCs/>
          <w:color w:val="000000"/>
          <w:kern w:val="0"/>
          <w:sz w:val="32"/>
          <w:szCs w:val="32"/>
          <w:lang w:val="en-US" w:eastAsia="zh-CN" w:bidi="ar-SA"/>
        </w:rPr>
      </w:pPr>
      <w:r>
        <w:rPr>
          <w:rFonts w:hint="eastAsia" w:ascii="仿宋_GB2312" w:hAnsi="仿宋_GB2312" w:eastAsia="仿宋_GB2312" w:cs="仿宋_GB2312"/>
          <w:bCs/>
          <w:color w:val="000000"/>
          <w:kern w:val="0"/>
          <w:sz w:val="32"/>
          <w:szCs w:val="32"/>
          <w:lang w:val="en-US" w:eastAsia="zh-CN" w:bidi="ar-SA"/>
        </w:rPr>
        <w:t>2025年政府性基金预算拨款支出0万元。</w:t>
      </w:r>
    </w:p>
    <w:p>
      <w:pPr>
        <w:keepNext w:val="0"/>
        <w:keepLines w:val="0"/>
        <w:pageBreakBefore w:val="0"/>
        <w:widowControl w:val="0"/>
        <w:numPr>
          <w:ilvl w:val="0"/>
          <w:numId w:val="2"/>
        </w:numPr>
        <w:kinsoku/>
        <w:wordWrap/>
        <w:overflowPunct/>
        <w:topLinePunct w:val="0"/>
        <w:bidi w:val="0"/>
        <w:snapToGrid/>
        <w:spacing w:line="560" w:lineRule="exact"/>
        <w:ind w:firstLine="640" w:firstLineChars="200"/>
        <w:textAlignment w:val="auto"/>
        <w:outlineLvl w:val="1"/>
        <w:rPr>
          <w:rStyle w:val="32"/>
          <w:rFonts w:hint="eastAsia" w:ascii="仿宋_GB2312" w:hAnsi="仿宋_GB2312" w:eastAsia="仿宋_GB2312" w:cs="仿宋_GB2312"/>
          <w:b w:val="0"/>
        </w:rPr>
      </w:pPr>
      <w:bookmarkStart w:id="50" w:name="_Toc11522"/>
      <w:bookmarkStart w:id="51" w:name="_Toc15377219"/>
      <w:r>
        <w:rPr>
          <w:rStyle w:val="32"/>
          <w:rFonts w:hint="eastAsia" w:ascii="仿宋_GB2312" w:hAnsi="仿宋_GB2312" w:eastAsia="仿宋_GB2312" w:cs="仿宋_GB2312"/>
          <w:b w:val="0"/>
        </w:rPr>
        <w:t>国有资本经营预算支出决算情况说明</w:t>
      </w:r>
      <w:bookmarkEnd w:id="50"/>
    </w:p>
    <w:p>
      <w:pPr>
        <w:keepNext w:val="0"/>
        <w:keepLines w:val="0"/>
        <w:pageBreakBefore w:val="0"/>
        <w:widowControl w:val="0"/>
        <w:kinsoku/>
        <w:wordWrap/>
        <w:overflowPunct/>
        <w:topLinePunct w:val="0"/>
        <w:bidi w:val="0"/>
        <w:snapToGrid/>
        <w:spacing w:line="560" w:lineRule="exact"/>
        <w:ind w:firstLine="640" w:firstLineChars="200"/>
        <w:textAlignment w:val="auto"/>
        <w:rPr>
          <w:rFonts w:hint="eastAsia" w:ascii="仿宋_GB2312" w:hAnsi="仿宋_GB2312" w:eastAsia="仿宋_GB2312" w:cs="仿宋_GB2312"/>
          <w:bCs/>
          <w:color w:val="000000"/>
          <w:kern w:val="0"/>
          <w:sz w:val="32"/>
          <w:szCs w:val="32"/>
          <w:lang w:val="en-US" w:eastAsia="zh-CN" w:bidi="ar-SA"/>
        </w:rPr>
      </w:pPr>
      <w:r>
        <w:rPr>
          <w:rFonts w:hint="eastAsia" w:ascii="仿宋_GB2312" w:hAnsi="仿宋_GB2312" w:eastAsia="仿宋_GB2312" w:cs="仿宋_GB2312"/>
          <w:bCs/>
          <w:color w:val="000000"/>
          <w:kern w:val="0"/>
          <w:sz w:val="32"/>
          <w:szCs w:val="32"/>
          <w:lang w:val="en-US" w:eastAsia="zh-CN" w:bidi="ar-SA"/>
        </w:rPr>
        <w:t>2025年国有资本经营预算拨款支出0万元。</w:t>
      </w:r>
    </w:p>
    <w:bookmarkEnd w:id="51"/>
    <w:p>
      <w:pPr>
        <w:keepNext w:val="0"/>
        <w:keepLines w:val="0"/>
        <w:pageBreakBefore w:val="0"/>
        <w:widowControl w:val="0"/>
        <w:numPr>
          <w:ilvl w:val="0"/>
          <w:numId w:val="2"/>
        </w:numPr>
        <w:kinsoku/>
        <w:wordWrap/>
        <w:overflowPunct/>
        <w:topLinePunct w:val="0"/>
        <w:bidi w:val="0"/>
        <w:snapToGrid/>
        <w:spacing w:line="560" w:lineRule="exact"/>
        <w:ind w:firstLine="640" w:firstLineChars="200"/>
        <w:textAlignment w:val="auto"/>
        <w:outlineLvl w:val="1"/>
        <w:rPr>
          <w:rStyle w:val="32"/>
          <w:rFonts w:hint="eastAsia" w:ascii="仿宋_GB2312" w:hAnsi="仿宋_GB2312" w:eastAsia="仿宋_GB2312" w:cs="仿宋_GB2312"/>
          <w:b w:val="0"/>
        </w:rPr>
      </w:pPr>
      <w:bookmarkStart w:id="52" w:name="_Toc25847"/>
      <w:r>
        <w:rPr>
          <w:rStyle w:val="32"/>
          <w:rFonts w:hint="eastAsia" w:ascii="仿宋_GB2312" w:hAnsi="仿宋_GB2312" w:eastAsia="仿宋_GB2312" w:cs="仿宋_GB2312"/>
          <w:b w:val="0"/>
          <w:lang w:eastAsia="zh-CN"/>
        </w:rPr>
        <w:t>其他重要事项的情况</w:t>
      </w:r>
      <w:r>
        <w:rPr>
          <w:rStyle w:val="32"/>
          <w:rFonts w:hint="eastAsia" w:ascii="仿宋_GB2312" w:hAnsi="仿宋_GB2312" w:eastAsia="仿宋_GB2312" w:cs="仿宋_GB2312"/>
          <w:b w:val="0"/>
        </w:rPr>
        <w:t>说明</w:t>
      </w:r>
      <w:bookmarkEnd w:id="52"/>
    </w:p>
    <w:p>
      <w:pPr>
        <w:keepNext w:val="0"/>
        <w:keepLines w:val="0"/>
        <w:pageBreakBefore w:val="0"/>
        <w:widowControl w:val="0"/>
        <w:kinsoku/>
        <w:wordWrap/>
        <w:overflowPunct/>
        <w:topLinePunct w:val="0"/>
        <w:bidi w:val="0"/>
        <w:snapToGrid/>
        <w:spacing w:line="560" w:lineRule="exact"/>
        <w:ind w:firstLine="643" w:firstLineChars="200"/>
        <w:textAlignment w:val="auto"/>
        <w:outlineLvl w:val="2"/>
        <w:rPr>
          <w:rFonts w:hint="eastAsia" w:ascii="仿宋_GB2312" w:hAnsi="仿宋_GB2312" w:eastAsia="仿宋_GB2312" w:cs="仿宋_GB2312"/>
          <w:color w:val="000000"/>
          <w:sz w:val="32"/>
          <w:szCs w:val="32"/>
        </w:rPr>
      </w:pPr>
      <w:bookmarkStart w:id="53" w:name="_Toc15377222"/>
      <w:r>
        <w:rPr>
          <w:rFonts w:hint="eastAsia" w:ascii="仿宋_GB2312" w:hAnsi="仿宋_GB2312" w:eastAsia="仿宋_GB2312" w:cs="仿宋_GB2312"/>
          <w:b/>
          <w:color w:val="000000"/>
          <w:sz w:val="32"/>
          <w:szCs w:val="32"/>
        </w:rPr>
        <w:t>（一）机关运行经费支出情况</w:t>
      </w:r>
      <w:bookmarkEnd w:id="53"/>
    </w:p>
    <w:p>
      <w:pPr>
        <w:keepNext w:val="0"/>
        <w:keepLines w:val="0"/>
        <w:pageBreakBefore w:val="0"/>
        <w:widowControl w:val="0"/>
        <w:kinsoku/>
        <w:wordWrap/>
        <w:overflowPunct/>
        <w:topLinePunct w:val="0"/>
        <w:bidi w:val="0"/>
        <w:snapToGrid/>
        <w:spacing w:line="560" w:lineRule="exact"/>
        <w:ind w:firstLine="640" w:firstLineChars="200"/>
        <w:textAlignment w:val="auto"/>
        <w:rPr>
          <w:rFonts w:hint="eastAsia" w:ascii="仿宋_GB2312" w:hAnsi="仿宋_GB2312" w:eastAsia="仿宋_GB2312" w:cs="仿宋_GB2312"/>
          <w:bCs/>
          <w:color w:val="000000"/>
          <w:kern w:val="0"/>
          <w:sz w:val="32"/>
          <w:szCs w:val="32"/>
          <w:lang w:val="en-US" w:eastAsia="zh-CN" w:bidi="ar-SA"/>
        </w:rPr>
      </w:pPr>
      <w:r>
        <w:rPr>
          <w:rFonts w:hint="eastAsia" w:ascii="仿宋_GB2312" w:hAnsi="仿宋_GB2312" w:eastAsia="仿宋_GB2312" w:cs="仿宋_GB2312"/>
          <w:bCs/>
          <w:color w:val="000000"/>
          <w:kern w:val="0"/>
          <w:sz w:val="32"/>
          <w:szCs w:val="32"/>
          <w:lang w:val="en-US" w:eastAsia="zh-CN" w:bidi="ar-SA"/>
        </w:rPr>
        <w:t>我单位为事业单位，2025年，机关运行经费支出0万元，与2024年持平。</w:t>
      </w:r>
    </w:p>
    <w:p>
      <w:pPr>
        <w:keepNext w:val="0"/>
        <w:keepLines w:val="0"/>
        <w:pageBreakBefore w:val="0"/>
        <w:widowControl w:val="0"/>
        <w:kinsoku/>
        <w:wordWrap/>
        <w:overflowPunct/>
        <w:topLinePunct w:val="0"/>
        <w:autoSpaceDE w:val="0"/>
        <w:autoSpaceDN w:val="0"/>
        <w:bidi w:val="0"/>
        <w:adjustRightInd w:val="0"/>
        <w:snapToGrid/>
        <w:spacing w:line="560" w:lineRule="exact"/>
        <w:ind w:firstLine="643" w:firstLineChars="200"/>
        <w:jc w:val="left"/>
        <w:textAlignment w:val="auto"/>
        <w:outlineLvl w:val="2"/>
        <w:rPr>
          <w:rFonts w:hint="eastAsia" w:ascii="仿宋_GB2312" w:hAnsi="仿宋_GB2312" w:eastAsia="仿宋_GB2312" w:cs="仿宋_GB2312"/>
          <w:b/>
          <w:color w:val="000000"/>
          <w:sz w:val="32"/>
          <w:szCs w:val="32"/>
        </w:rPr>
      </w:pPr>
      <w:bookmarkStart w:id="54" w:name="_Toc15377223"/>
      <w:r>
        <w:rPr>
          <w:rFonts w:hint="eastAsia" w:ascii="仿宋_GB2312" w:hAnsi="仿宋_GB2312" w:eastAsia="仿宋_GB2312" w:cs="仿宋_GB2312"/>
          <w:b/>
          <w:color w:val="000000"/>
          <w:sz w:val="32"/>
          <w:szCs w:val="32"/>
        </w:rPr>
        <w:t>（二）政府采购支出情况</w:t>
      </w:r>
      <w:bookmarkEnd w:id="54"/>
    </w:p>
    <w:p>
      <w:pPr>
        <w:keepNext w:val="0"/>
        <w:keepLines w:val="0"/>
        <w:pageBreakBefore w:val="0"/>
        <w:widowControl w:val="0"/>
        <w:kinsoku/>
        <w:wordWrap/>
        <w:overflowPunct/>
        <w:topLinePunct w:val="0"/>
        <w:bidi w:val="0"/>
        <w:snapToGrid/>
        <w:spacing w:line="560" w:lineRule="exact"/>
        <w:ind w:firstLine="640" w:firstLineChars="200"/>
        <w:textAlignment w:val="auto"/>
        <w:rPr>
          <w:rFonts w:hint="eastAsia" w:ascii="仿宋_GB2312" w:hAnsi="仿宋_GB2312" w:eastAsia="仿宋_GB2312" w:cs="仿宋_GB2312"/>
          <w:bCs/>
          <w:color w:val="000000"/>
          <w:kern w:val="0"/>
          <w:sz w:val="32"/>
          <w:szCs w:val="32"/>
          <w:lang w:val="en-US" w:eastAsia="zh-CN" w:bidi="ar-SA"/>
        </w:rPr>
      </w:pPr>
      <w:r>
        <w:rPr>
          <w:rFonts w:hint="eastAsia" w:ascii="仿宋_GB2312" w:hAnsi="仿宋_GB2312" w:eastAsia="仿宋_GB2312" w:cs="仿宋_GB2312"/>
          <w:bCs/>
          <w:color w:val="000000"/>
          <w:kern w:val="0"/>
          <w:sz w:val="32"/>
          <w:szCs w:val="32"/>
          <w:lang w:val="en-US" w:eastAsia="zh-CN" w:bidi="ar-SA"/>
        </w:rPr>
        <w:t>2025年，政府采购支出总额0万元，其中：政府采购货物支出0万元、政府采购工程支出0万元、政府采购服务支出0万元。授予中小企业合同金额0万元，占政府采购支出总额的0%，其中：授予小微企业合同金额0万元，占政府采购支出总额的0%。</w:t>
      </w:r>
    </w:p>
    <w:p>
      <w:pPr>
        <w:keepNext w:val="0"/>
        <w:keepLines w:val="0"/>
        <w:pageBreakBefore w:val="0"/>
        <w:widowControl w:val="0"/>
        <w:kinsoku/>
        <w:wordWrap/>
        <w:overflowPunct/>
        <w:topLinePunct w:val="0"/>
        <w:autoSpaceDE w:val="0"/>
        <w:autoSpaceDN w:val="0"/>
        <w:bidi w:val="0"/>
        <w:adjustRightInd w:val="0"/>
        <w:snapToGrid/>
        <w:spacing w:line="560" w:lineRule="exact"/>
        <w:ind w:firstLine="643" w:firstLineChars="200"/>
        <w:jc w:val="left"/>
        <w:textAlignment w:val="auto"/>
        <w:outlineLvl w:val="2"/>
        <w:rPr>
          <w:rFonts w:hint="eastAsia" w:ascii="仿宋_GB2312" w:hAnsi="仿宋_GB2312" w:eastAsia="仿宋_GB2312" w:cs="仿宋_GB2312"/>
          <w:b/>
          <w:color w:val="000000"/>
          <w:sz w:val="32"/>
          <w:szCs w:val="32"/>
        </w:rPr>
      </w:pPr>
      <w:bookmarkStart w:id="55" w:name="_Toc15377224"/>
      <w:r>
        <w:rPr>
          <w:rFonts w:hint="eastAsia" w:ascii="仿宋_GB2312" w:hAnsi="仿宋_GB2312" w:eastAsia="仿宋_GB2312" w:cs="仿宋_GB2312"/>
          <w:b/>
          <w:color w:val="000000"/>
          <w:sz w:val="32"/>
          <w:szCs w:val="32"/>
        </w:rPr>
        <w:t>（三）国有资产占有使用情况</w:t>
      </w:r>
      <w:bookmarkEnd w:id="55"/>
    </w:p>
    <w:p>
      <w:pPr>
        <w:keepNext w:val="0"/>
        <w:keepLines w:val="0"/>
        <w:pageBreakBefore w:val="0"/>
        <w:widowControl w:val="0"/>
        <w:kinsoku/>
        <w:wordWrap/>
        <w:overflowPunct/>
        <w:topLinePunct w:val="0"/>
        <w:bidi w:val="0"/>
        <w:snapToGrid/>
        <w:spacing w:line="560" w:lineRule="exact"/>
        <w:ind w:firstLine="640" w:firstLineChars="200"/>
        <w:textAlignment w:val="auto"/>
        <w:rPr>
          <w:rFonts w:hint="eastAsia" w:ascii="仿宋_GB2312" w:hAnsi="仿宋_GB2312" w:eastAsia="仿宋_GB2312" w:cs="仿宋_GB2312"/>
          <w:bCs/>
          <w:color w:val="000000"/>
          <w:kern w:val="0"/>
          <w:sz w:val="32"/>
          <w:szCs w:val="32"/>
          <w:lang w:val="en-US" w:eastAsia="zh-CN" w:bidi="ar-SA"/>
        </w:rPr>
      </w:pPr>
      <w:r>
        <w:rPr>
          <w:rFonts w:hint="eastAsia" w:ascii="仿宋_GB2312" w:hAnsi="仿宋_GB2312" w:eastAsia="仿宋_GB2312" w:cs="仿宋_GB2312"/>
          <w:bCs/>
          <w:color w:val="000000"/>
          <w:kern w:val="0"/>
          <w:sz w:val="32"/>
          <w:szCs w:val="32"/>
          <w:lang w:val="en-US" w:eastAsia="zh-CN" w:bidi="ar-SA"/>
        </w:rPr>
        <w:t>截至2025年12月31日，共有车辆0辆，其中：部级领导干部用车0辆、一般公务用车0辆、一般执法执勤用车0辆、特种专业技术用车0辆、其他用车0辆，其他用车主要是用于单价50万元以上通用设备0台（套），单价100万元以上专用设备0台（套）。</w:t>
      </w:r>
    </w:p>
    <w:p>
      <w:pPr>
        <w:keepNext w:val="0"/>
        <w:keepLines w:val="0"/>
        <w:pageBreakBefore w:val="0"/>
        <w:widowControl w:val="0"/>
        <w:kinsoku/>
        <w:wordWrap/>
        <w:overflowPunct/>
        <w:topLinePunct w:val="0"/>
        <w:autoSpaceDE w:val="0"/>
        <w:autoSpaceDN w:val="0"/>
        <w:bidi w:val="0"/>
        <w:adjustRightInd w:val="0"/>
        <w:snapToGrid/>
        <w:spacing w:line="560" w:lineRule="exact"/>
        <w:ind w:firstLine="643" w:firstLineChars="200"/>
        <w:jc w:val="left"/>
        <w:textAlignment w:val="auto"/>
        <w:outlineLvl w:val="2"/>
        <w:rPr>
          <w:rFonts w:hint="eastAsia" w:ascii="仿宋_GB2312" w:hAnsi="仿宋_GB2312" w:eastAsia="仿宋_GB2312" w:cs="仿宋_GB2312"/>
          <w:b/>
          <w:color w:val="000000"/>
          <w:sz w:val="32"/>
          <w:szCs w:val="32"/>
        </w:rPr>
      </w:pPr>
      <w:r>
        <w:rPr>
          <w:rFonts w:hint="eastAsia" w:ascii="仿宋_GB2312" w:hAnsi="仿宋_GB2312" w:eastAsia="仿宋_GB2312" w:cs="仿宋_GB2312"/>
          <w:b/>
          <w:color w:val="000000"/>
          <w:sz w:val="32"/>
          <w:szCs w:val="32"/>
          <w:lang w:eastAsia="zh-CN"/>
        </w:rPr>
        <w:t>（四）</w:t>
      </w:r>
      <w:r>
        <w:rPr>
          <w:rFonts w:hint="eastAsia" w:ascii="仿宋_GB2312" w:hAnsi="仿宋_GB2312" w:eastAsia="仿宋_GB2312" w:cs="仿宋_GB2312"/>
          <w:b/>
          <w:color w:val="000000"/>
          <w:sz w:val="32"/>
          <w:szCs w:val="32"/>
        </w:rPr>
        <w:t>预算绩效管理情况</w:t>
      </w:r>
    </w:p>
    <w:p>
      <w:pPr>
        <w:keepNext w:val="0"/>
        <w:keepLines w:val="0"/>
        <w:pageBreakBefore w:val="0"/>
        <w:widowControl w:val="0"/>
        <w:kinsoku/>
        <w:wordWrap/>
        <w:overflowPunct/>
        <w:topLinePunct w:val="0"/>
        <w:bidi w:val="0"/>
        <w:snapToGrid/>
        <w:spacing w:line="560" w:lineRule="exact"/>
        <w:ind w:firstLine="640" w:firstLineChars="200"/>
        <w:textAlignment w:val="auto"/>
        <w:rPr>
          <w:rFonts w:hint="eastAsia" w:ascii="仿宋_GB2312" w:hAnsi="仿宋_GB2312" w:eastAsia="仿宋_GB2312" w:cs="仿宋_GB2312"/>
          <w:bCs/>
          <w:color w:val="000000"/>
          <w:kern w:val="0"/>
          <w:sz w:val="32"/>
          <w:szCs w:val="32"/>
          <w:lang w:val="en-US" w:eastAsia="zh-CN" w:bidi="ar-SA"/>
        </w:rPr>
      </w:pPr>
      <w:r>
        <w:rPr>
          <w:rFonts w:hint="eastAsia" w:ascii="仿宋_GB2312" w:hAnsi="仿宋_GB2312" w:eastAsia="仿宋_GB2312" w:cs="仿宋_GB2312"/>
          <w:bCs/>
          <w:color w:val="000000"/>
          <w:kern w:val="0"/>
          <w:sz w:val="32"/>
          <w:szCs w:val="32"/>
          <w:lang w:val="en-US" w:eastAsia="zh-CN" w:bidi="ar-SA"/>
        </w:rPr>
        <w:t>根据预算绩效管理要求，本单位在年初预算编制阶段，由学校领导牵头召开会议，制定学校规章制度，通过会议明确各处职责，学校开展考勤制度，确保执行，强化绩效，公开透明的公开化，管好用好财政资金更好的使用绩效。绩效考核作为资金管理与分配的核心依据，根据</w:t>
      </w:r>
      <w:r>
        <w:rPr>
          <w:rFonts w:hint="eastAsia" w:ascii="仿宋_GB2312" w:hAnsi="仿宋_GB2312" w:eastAsia="仿宋_GB2312" w:cs="仿宋_GB2312"/>
          <w:bCs/>
          <w:color w:val="000000"/>
          <w:kern w:val="0"/>
          <w:sz w:val="32"/>
          <w:szCs w:val="32"/>
          <w:lang w:val="zh-CN" w:eastAsia="zh-CN" w:bidi="ar-SA"/>
        </w:rPr>
        <w:t>工作规划和重点工作</w:t>
      </w:r>
      <w:r>
        <w:rPr>
          <w:rFonts w:hint="eastAsia" w:ascii="仿宋_GB2312" w:hAnsi="仿宋_GB2312" w:eastAsia="仿宋_GB2312" w:cs="仿宋_GB2312"/>
          <w:bCs/>
          <w:color w:val="000000"/>
          <w:kern w:val="0"/>
          <w:sz w:val="32"/>
          <w:szCs w:val="32"/>
          <w:lang w:val="en-US" w:eastAsia="zh-CN" w:bidi="ar-SA"/>
        </w:rPr>
        <w:t>规划</w:t>
      </w:r>
      <w:r>
        <w:rPr>
          <w:rFonts w:hint="eastAsia" w:ascii="仿宋_GB2312" w:hAnsi="仿宋_GB2312" w:eastAsia="仿宋_GB2312" w:cs="仿宋_GB2312"/>
          <w:bCs/>
          <w:color w:val="000000"/>
          <w:kern w:val="0"/>
          <w:sz w:val="32"/>
          <w:szCs w:val="32"/>
          <w:lang w:val="zh-CN" w:eastAsia="zh-CN" w:bidi="ar-SA"/>
        </w:rPr>
        <w:t>，积极履行职责，强化本单位预算管理，</w:t>
      </w:r>
      <w:r>
        <w:rPr>
          <w:rFonts w:hint="eastAsia" w:ascii="仿宋_GB2312" w:hAnsi="仿宋_GB2312" w:eastAsia="仿宋_GB2312" w:cs="仿宋_GB2312"/>
          <w:bCs/>
          <w:color w:val="000000"/>
          <w:kern w:val="0"/>
          <w:sz w:val="32"/>
          <w:szCs w:val="32"/>
          <w:lang w:val="en-US" w:eastAsia="zh-CN" w:bidi="ar-SA"/>
        </w:rPr>
        <w:t>单位进一步提高预算绩效管理认识，学校建立内部绩效评价工作考核制度，年终对有关业务的绩效评价工作开展情况进行考核，作为年终工作目标量化考核内容之一。强化以“绩效为中心、对支出结果负责、对社会公众负责”的理念，在绩效目标编制方面，数量目标和质量目标量化不细，效益目标编制不完整等方面加以了改善。加强预算绩效动态监控管理，加强相关人员的业务培训，进一步提高预算绩效评价质量。</w:t>
      </w:r>
    </w:p>
    <w:p>
      <w:pPr>
        <w:keepNext w:val="0"/>
        <w:keepLines w:val="0"/>
        <w:pageBreakBefore w:val="0"/>
        <w:widowControl w:val="0"/>
        <w:kinsoku/>
        <w:wordWrap/>
        <w:overflowPunct/>
        <w:topLinePunct w:val="0"/>
        <w:bidi w:val="0"/>
        <w:snapToGrid/>
        <w:spacing w:line="560" w:lineRule="exact"/>
        <w:ind w:firstLine="640" w:firstLineChars="200"/>
        <w:textAlignment w:val="auto"/>
        <w:rPr>
          <w:rFonts w:hint="eastAsia" w:ascii="仿宋_GB2312" w:hAnsi="仿宋_GB2312" w:eastAsia="仿宋_GB2312" w:cs="仿宋_GB2312"/>
          <w:bCs/>
          <w:color w:val="000000"/>
          <w:kern w:val="0"/>
          <w:sz w:val="32"/>
          <w:szCs w:val="32"/>
          <w:lang w:val="en-US" w:eastAsia="zh-CN" w:bidi="ar-SA"/>
        </w:rPr>
      </w:pPr>
      <w:r>
        <w:rPr>
          <w:rFonts w:hint="eastAsia" w:ascii="仿宋_GB2312" w:hAnsi="仿宋_GB2312" w:eastAsia="仿宋_GB2312" w:cs="仿宋_GB2312"/>
          <w:bCs/>
          <w:color w:val="000000"/>
          <w:kern w:val="0"/>
          <w:sz w:val="32"/>
          <w:szCs w:val="32"/>
          <w:lang w:val="en-US" w:eastAsia="zh-CN" w:bidi="ar-SA"/>
        </w:rPr>
        <w:t>在绩效目标编制方面，加强预算绩效动态监控管理，加强相关人员的业务培训，进一步提高预算绩效评价质量。积极履行职责，强化本单位预算管理，较好地完成年初绩效工作。</w:t>
      </w:r>
    </w:p>
    <w:p>
      <w:pPr>
        <w:keepNext w:val="0"/>
        <w:keepLines w:val="0"/>
        <w:pageBreakBefore w:val="0"/>
        <w:widowControl w:val="0"/>
        <w:kinsoku/>
        <w:wordWrap/>
        <w:overflowPunct/>
        <w:topLinePunct w:val="0"/>
        <w:bidi w:val="0"/>
        <w:snapToGrid/>
        <w:spacing w:line="560" w:lineRule="exact"/>
        <w:ind w:firstLine="640" w:firstLineChars="200"/>
        <w:textAlignment w:val="auto"/>
        <w:rPr>
          <w:rFonts w:hint="eastAsia" w:ascii="仿宋_GB2312" w:hAnsi="仿宋_GB2312" w:eastAsia="仿宋_GB2312" w:cs="仿宋_GB2312"/>
          <w:bCs/>
          <w:color w:val="000000"/>
          <w:kern w:val="0"/>
          <w:sz w:val="32"/>
          <w:szCs w:val="32"/>
          <w:lang w:val="en-US" w:eastAsia="zh-CN" w:bidi="ar-SA"/>
        </w:rPr>
      </w:pPr>
      <w:r>
        <w:rPr>
          <w:rFonts w:hint="eastAsia" w:ascii="仿宋_GB2312" w:hAnsi="仿宋_GB2312" w:eastAsia="仿宋_GB2312" w:cs="仿宋_GB2312"/>
          <w:bCs/>
          <w:color w:val="000000"/>
          <w:kern w:val="0"/>
          <w:sz w:val="32"/>
          <w:szCs w:val="32"/>
          <w:lang w:val="en-US" w:eastAsia="zh-CN" w:bidi="ar-SA"/>
        </w:rPr>
        <w:t>绩效管理机制工作不断推进，学校绩效目标编制方面，针对绩效目标设置指向不清、预算和目标匹配不足，目标编制不完整等方面加以了改善。目前单位绩效评价结果还停留在反映情况、找问题、提建议层面，评价结果和预算安排有机结合的机制尚未真正建立，还在逐步搭建，要进一步提高预算绩效管理认识，更好的实施绩效管理工作。</w:t>
      </w:r>
    </w:p>
    <w:p>
      <w:pPr>
        <w:keepNext w:val="0"/>
        <w:keepLines w:val="0"/>
        <w:pageBreakBefore w:val="0"/>
        <w:widowControl w:val="0"/>
        <w:kinsoku/>
        <w:wordWrap/>
        <w:overflowPunct/>
        <w:topLinePunct w:val="0"/>
        <w:bidi w:val="0"/>
        <w:snapToGrid/>
        <w:spacing w:line="560" w:lineRule="exact"/>
        <w:ind w:firstLine="640" w:firstLineChars="200"/>
        <w:textAlignment w:val="auto"/>
        <w:rPr>
          <w:rFonts w:hint="eastAsia" w:ascii="仿宋_GB2312" w:hAnsi="仿宋_GB2312" w:eastAsia="仿宋_GB2312" w:cs="仿宋_GB2312"/>
          <w:bCs/>
          <w:color w:val="000000"/>
          <w:kern w:val="0"/>
          <w:sz w:val="32"/>
          <w:szCs w:val="32"/>
          <w:lang w:val="en-US" w:eastAsia="zh-CN" w:bidi="ar-SA"/>
        </w:rPr>
      </w:pPr>
      <w:r>
        <w:rPr>
          <w:rFonts w:hint="eastAsia" w:ascii="仿宋_GB2312" w:hAnsi="仿宋_GB2312" w:eastAsia="仿宋_GB2312" w:cs="仿宋_GB2312"/>
          <w:bCs/>
          <w:color w:val="000000"/>
          <w:kern w:val="0"/>
          <w:sz w:val="32"/>
          <w:szCs w:val="32"/>
          <w:lang w:val="en-US" w:eastAsia="zh-CN" w:bidi="ar-SA"/>
        </w:rPr>
        <w:t>本部门按要求对2025年部门整体支出绩效评价情况开展自评，《红原县邛溪镇双语幼儿园2024年部门整体支出绩效评价报告》见附件1</w:t>
      </w:r>
      <w:bookmarkStart w:id="56" w:name="_Toc15377221"/>
    </w:p>
    <w:bookmarkEnd w:id="56"/>
    <w:p>
      <w:pPr>
        <w:widowControl/>
        <w:jc w:val="center"/>
        <w:outlineLvl w:val="0"/>
        <w:rPr>
          <w:rFonts w:hint="eastAsia" w:ascii="黑体" w:hAnsi="黑体" w:eastAsia="黑体"/>
          <w:b w:val="0"/>
          <w:bCs/>
          <w:color w:val="000000"/>
          <w:sz w:val="44"/>
          <w:szCs w:val="44"/>
          <w:lang w:eastAsia="zh-CN"/>
        </w:rPr>
      </w:pPr>
      <w:bookmarkStart w:id="57" w:name="_Toc23168"/>
      <w:bookmarkStart w:id="58" w:name="_Toc15377225"/>
    </w:p>
    <w:p>
      <w:pPr>
        <w:widowControl/>
        <w:jc w:val="center"/>
        <w:outlineLvl w:val="0"/>
        <w:rPr>
          <w:rFonts w:hint="eastAsia" w:ascii="黑体" w:hAnsi="黑体" w:eastAsia="黑体"/>
          <w:b w:val="0"/>
          <w:bCs/>
          <w:color w:val="000000"/>
          <w:sz w:val="44"/>
          <w:szCs w:val="44"/>
          <w:lang w:eastAsia="zh-CN"/>
        </w:rPr>
      </w:pPr>
    </w:p>
    <w:p>
      <w:pPr>
        <w:widowControl/>
        <w:jc w:val="center"/>
        <w:outlineLvl w:val="0"/>
        <w:rPr>
          <w:rFonts w:hint="eastAsia" w:ascii="黑体" w:hAnsi="黑体" w:eastAsia="黑体"/>
          <w:b w:val="0"/>
          <w:bCs/>
          <w:color w:val="000000"/>
          <w:sz w:val="44"/>
          <w:szCs w:val="44"/>
          <w:lang w:eastAsia="zh-CN"/>
        </w:rPr>
      </w:pPr>
    </w:p>
    <w:p>
      <w:pPr>
        <w:widowControl/>
        <w:jc w:val="center"/>
        <w:outlineLvl w:val="0"/>
        <w:rPr>
          <w:rFonts w:hint="eastAsia" w:ascii="黑体" w:hAnsi="黑体" w:eastAsia="黑体"/>
          <w:b w:val="0"/>
          <w:bCs/>
          <w:color w:val="000000"/>
          <w:sz w:val="44"/>
          <w:szCs w:val="44"/>
          <w:lang w:eastAsia="zh-CN"/>
        </w:rPr>
      </w:pPr>
    </w:p>
    <w:p>
      <w:pPr>
        <w:widowControl/>
        <w:ind w:firstLine="1760" w:firstLineChars="400"/>
        <w:jc w:val="both"/>
        <w:outlineLvl w:val="0"/>
        <w:rPr>
          <w:rFonts w:hint="eastAsia" w:ascii="黑体" w:hAnsi="黑体" w:eastAsia="黑体"/>
          <w:b w:val="0"/>
          <w:bCs/>
          <w:color w:val="000000"/>
          <w:sz w:val="44"/>
          <w:szCs w:val="44"/>
          <w:lang w:eastAsia="zh-CN"/>
        </w:rPr>
      </w:pPr>
    </w:p>
    <w:p>
      <w:pPr>
        <w:widowControl/>
        <w:ind w:firstLine="1760" w:firstLineChars="400"/>
        <w:jc w:val="both"/>
        <w:outlineLvl w:val="0"/>
        <w:rPr>
          <w:rFonts w:hint="eastAsia" w:ascii="黑体" w:hAnsi="黑体" w:eastAsia="黑体"/>
          <w:b w:val="0"/>
          <w:bCs/>
          <w:color w:val="000000"/>
          <w:sz w:val="44"/>
          <w:szCs w:val="44"/>
          <w:lang w:eastAsia="zh-CN"/>
        </w:rPr>
      </w:pPr>
    </w:p>
    <w:p>
      <w:pPr>
        <w:widowControl/>
        <w:ind w:firstLine="1760" w:firstLineChars="400"/>
        <w:jc w:val="both"/>
        <w:outlineLvl w:val="0"/>
        <w:rPr>
          <w:rFonts w:hint="eastAsia" w:ascii="黑体" w:hAnsi="黑体" w:eastAsia="黑体"/>
          <w:b w:val="0"/>
          <w:bCs/>
          <w:color w:val="000000"/>
          <w:sz w:val="44"/>
          <w:szCs w:val="44"/>
          <w:lang w:eastAsia="zh-CN"/>
        </w:rPr>
      </w:pPr>
    </w:p>
    <w:p>
      <w:pPr>
        <w:widowControl/>
        <w:ind w:firstLine="1760" w:firstLineChars="400"/>
        <w:jc w:val="both"/>
        <w:outlineLvl w:val="0"/>
        <w:rPr>
          <w:rFonts w:hint="eastAsia" w:ascii="黑体" w:hAnsi="黑体" w:eastAsia="黑体"/>
          <w:b w:val="0"/>
          <w:bCs/>
          <w:color w:val="000000"/>
          <w:sz w:val="44"/>
          <w:szCs w:val="44"/>
          <w:lang w:eastAsia="zh-CN"/>
        </w:rPr>
      </w:pPr>
    </w:p>
    <w:p>
      <w:pPr>
        <w:widowControl/>
        <w:ind w:firstLine="1760" w:firstLineChars="400"/>
        <w:jc w:val="both"/>
        <w:outlineLvl w:val="0"/>
        <w:rPr>
          <w:rFonts w:hint="eastAsia" w:ascii="黑体" w:hAnsi="黑体" w:eastAsia="黑体"/>
          <w:b w:val="0"/>
          <w:bCs/>
          <w:color w:val="000000"/>
          <w:sz w:val="44"/>
          <w:szCs w:val="44"/>
          <w:lang w:eastAsia="zh-CN"/>
        </w:rPr>
      </w:pPr>
    </w:p>
    <w:p>
      <w:pPr>
        <w:widowControl/>
        <w:ind w:firstLine="1760" w:firstLineChars="400"/>
        <w:jc w:val="both"/>
        <w:outlineLvl w:val="0"/>
        <w:rPr>
          <w:rFonts w:hint="eastAsia" w:ascii="黑体" w:hAnsi="黑体" w:eastAsia="黑体"/>
          <w:b w:val="0"/>
          <w:bCs/>
          <w:color w:val="000000"/>
          <w:sz w:val="44"/>
          <w:szCs w:val="44"/>
          <w:lang w:eastAsia="zh-CN"/>
        </w:rPr>
      </w:pPr>
    </w:p>
    <w:p>
      <w:pPr>
        <w:widowControl/>
        <w:ind w:firstLine="1760" w:firstLineChars="400"/>
        <w:jc w:val="both"/>
        <w:outlineLvl w:val="0"/>
        <w:rPr>
          <w:rFonts w:hint="eastAsia" w:ascii="黑体" w:hAnsi="黑体" w:eastAsia="黑体"/>
          <w:b w:val="0"/>
          <w:bCs/>
          <w:color w:val="000000"/>
          <w:sz w:val="44"/>
          <w:szCs w:val="44"/>
          <w:lang w:eastAsia="zh-CN"/>
        </w:rPr>
      </w:pPr>
    </w:p>
    <w:p>
      <w:pPr>
        <w:widowControl/>
        <w:ind w:firstLine="1760" w:firstLineChars="400"/>
        <w:jc w:val="both"/>
        <w:outlineLvl w:val="0"/>
        <w:rPr>
          <w:rFonts w:hint="eastAsia" w:ascii="黑体" w:hAnsi="黑体" w:eastAsia="黑体"/>
          <w:b w:val="0"/>
          <w:bCs/>
          <w:color w:val="000000"/>
          <w:sz w:val="44"/>
          <w:szCs w:val="44"/>
          <w:lang w:eastAsia="zh-CN"/>
        </w:rPr>
      </w:pPr>
    </w:p>
    <w:p>
      <w:pPr>
        <w:widowControl/>
        <w:ind w:firstLine="1760" w:firstLineChars="400"/>
        <w:jc w:val="both"/>
        <w:outlineLvl w:val="0"/>
        <w:rPr>
          <w:rStyle w:val="26"/>
          <w:rFonts w:ascii="黑体" w:hAnsi="黑体" w:eastAsia="黑体"/>
          <w:b w:val="0"/>
          <w:bCs/>
        </w:rPr>
      </w:pPr>
      <w:r>
        <w:rPr>
          <w:rFonts w:hint="eastAsia" w:ascii="黑体" w:hAnsi="黑体" w:eastAsia="黑体"/>
          <w:b w:val="0"/>
          <w:bCs/>
          <w:color w:val="000000"/>
          <w:sz w:val="44"/>
          <w:szCs w:val="44"/>
          <w:lang w:eastAsia="zh-CN"/>
        </w:rPr>
        <w:t>第三部分</w:t>
      </w:r>
      <w:r>
        <w:rPr>
          <w:rFonts w:hint="eastAsia" w:ascii="黑体" w:hAnsi="黑体" w:eastAsia="黑体"/>
          <w:b w:val="0"/>
          <w:bCs/>
          <w:color w:val="000000"/>
          <w:sz w:val="44"/>
          <w:szCs w:val="44"/>
          <w:lang w:val="en-US" w:eastAsia="zh-CN"/>
        </w:rPr>
        <w:t xml:space="preserve"> </w:t>
      </w:r>
      <w:r>
        <w:rPr>
          <w:rFonts w:hint="eastAsia" w:ascii="黑体" w:hAnsi="黑体" w:eastAsia="黑体"/>
          <w:b w:val="0"/>
          <w:bCs/>
          <w:color w:val="000000"/>
          <w:sz w:val="44"/>
          <w:szCs w:val="44"/>
        </w:rPr>
        <w:t>名</w:t>
      </w:r>
      <w:r>
        <w:rPr>
          <w:rStyle w:val="26"/>
          <w:rFonts w:hint="eastAsia" w:ascii="黑体" w:hAnsi="黑体" w:eastAsia="黑体"/>
          <w:b w:val="0"/>
          <w:bCs/>
        </w:rPr>
        <w:t>词解释</w:t>
      </w:r>
      <w:bookmarkEnd w:id="57"/>
      <w:bookmarkEnd w:id="58"/>
    </w:p>
    <w:p>
      <w:pPr>
        <w:spacing w:line="600" w:lineRule="exact"/>
        <w:jc w:val="left"/>
        <w:rPr>
          <w:rFonts w:ascii="宋体"/>
          <w:b/>
          <w:color w:val="000000"/>
          <w:sz w:val="44"/>
          <w:szCs w:val="44"/>
        </w:rPr>
      </w:pPr>
    </w:p>
    <w:p>
      <w:pPr>
        <w:pStyle w:val="24"/>
        <w:keepNext w:val="0"/>
        <w:keepLines w:val="0"/>
        <w:pageBreakBefore w:val="0"/>
        <w:widowControl w:val="0"/>
        <w:kinsoku/>
        <w:wordWrap/>
        <w:overflowPunct/>
        <w:topLinePunct w:val="0"/>
        <w:bidi w:val="0"/>
        <w:snapToGrid/>
        <w:spacing w:line="560" w:lineRule="exact"/>
        <w:ind w:firstLine="640" w:firstLineChars="200"/>
        <w:textAlignment w:val="auto"/>
        <w:rPr>
          <w:rFonts w:ascii="仿宋_GB2312" w:eastAsia="仿宋_GB2312"/>
          <w:sz w:val="32"/>
          <w:szCs w:val="32"/>
        </w:rPr>
      </w:pPr>
      <w:bookmarkStart w:id="59" w:name="_Toc15377226"/>
      <w:r>
        <w:rPr>
          <w:rFonts w:ascii="仿宋_GB2312" w:eastAsia="仿宋_GB2312"/>
          <w:sz w:val="32"/>
          <w:szCs w:val="32"/>
        </w:rPr>
        <w:t>1.</w:t>
      </w:r>
      <w:r>
        <w:rPr>
          <w:rFonts w:hint="eastAsia" w:ascii="仿宋_GB2312" w:eastAsia="仿宋_GB2312"/>
          <w:sz w:val="32"/>
          <w:szCs w:val="32"/>
        </w:rPr>
        <w:t>财政拨款收入：指单位从同级财政部门取得的财政预算资金。</w:t>
      </w:r>
    </w:p>
    <w:p>
      <w:pPr>
        <w:pStyle w:val="24"/>
        <w:keepNext w:val="0"/>
        <w:keepLines w:val="0"/>
        <w:pageBreakBefore w:val="0"/>
        <w:widowControl w:val="0"/>
        <w:kinsoku/>
        <w:wordWrap/>
        <w:overflowPunct/>
        <w:topLinePunct w:val="0"/>
        <w:bidi w:val="0"/>
        <w:snapToGrid/>
        <w:spacing w:line="560" w:lineRule="exact"/>
        <w:ind w:firstLine="640" w:firstLineChars="200"/>
        <w:textAlignment w:val="auto"/>
        <w:rPr>
          <w:rFonts w:hint="eastAsia" w:ascii="仿宋_GB2312" w:eastAsia="仿宋_GB2312"/>
          <w:sz w:val="32"/>
          <w:szCs w:val="32"/>
        </w:rPr>
      </w:pPr>
      <w:r>
        <w:rPr>
          <w:rFonts w:ascii="仿宋_GB2312" w:eastAsia="仿宋_GB2312"/>
          <w:sz w:val="32"/>
          <w:szCs w:val="32"/>
        </w:rPr>
        <w:t>2.</w:t>
      </w:r>
      <w:r>
        <w:rPr>
          <w:rFonts w:hint="eastAsia" w:ascii="仿宋_GB2312" w:eastAsia="仿宋_GB2312"/>
          <w:sz w:val="32"/>
          <w:szCs w:val="32"/>
        </w:rPr>
        <w:t>事业收入：指事业单位开展专业业务活动及辅助活动取得的收入。</w:t>
      </w:r>
    </w:p>
    <w:p>
      <w:pPr>
        <w:pStyle w:val="24"/>
        <w:keepNext w:val="0"/>
        <w:keepLines w:val="0"/>
        <w:pageBreakBefore w:val="0"/>
        <w:widowControl w:val="0"/>
        <w:kinsoku/>
        <w:wordWrap/>
        <w:overflowPunct/>
        <w:topLinePunct w:val="0"/>
        <w:bidi w:val="0"/>
        <w:snapToGrid/>
        <w:spacing w:line="560" w:lineRule="exact"/>
        <w:ind w:firstLine="640" w:firstLineChars="200"/>
        <w:textAlignment w:val="auto"/>
        <w:rPr>
          <w:rFonts w:hint="eastAsia" w:ascii="仿宋_GB2312" w:eastAsia="仿宋_GB2312"/>
          <w:sz w:val="32"/>
          <w:szCs w:val="32"/>
        </w:rPr>
      </w:pPr>
      <w:r>
        <w:rPr>
          <w:rFonts w:ascii="仿宋_GB2312" w:eastAsia="仿宋_GB2312"/>
          <w:sz w:val="32"/>
          <w:szCs w:val="32"/>
        </w:rPr>
        <w:t>3.</w:t>
      </w:r>
      <w:r>
        <w:rPr>
          <w:rFonts w:hint="eastAsia" w:ascii="仿宋_GB2312" w:eastAsia="仿宋_GB2312"/>
          <w:sz w:val="32"/>
          <w:szCs w:val="32"/>
        </w:rPr>
        <w:t>经营收入：指事业单位在专业业务活动及其辅助活动之外开展非独立核算经营活动取得的收入。</w:t>
      </w:r>
    </w:p>
    <w:p>
      <w:pPr>
        <w:pStyle w:val="24"/>
        <w:keepNext w:val="0"/>
        <w:keepLines w:val="0"/>
        <w:pageBreakBefore w:val="0"/>
        <w:widowControl w:val="0"/>
        <w:kinsoku/>
        <w:wordWrap/>
        <w:overflowPunct/>
        <w:topLinePunct w:val="0"/>
        <w:bidi w:val="0"/>
        <w:snapToGrid/>
        <w:spacing w:line="560" w:lineRule="exact"/>
        <w:ind w:firstLine="640" w:firstLineChars="200"/>
        <w:textAlignment w:val="auto"/>
        <w:rPr>
          <w:rFonts w:ascii="仿宋_GB2312" w:eastAsia="仿宋_GB2312"/>
          <w:sz w:val="32"/>
          <w:szCs w:val="32"/>
        </w:rPr>
      </w:pPr>
      <w:r>
        <w:rPr>
          <w:rFonts w:ascii="仿宋_GB2312" w:eastAsia="仿宋_GB2312"/>
          <w:sz w:val="32"/>
          <w:szCs w:val="32"/>
        </w:rPr>
        <w:t>4.</w:t>
      </w:r>
      <w:r>
        <w:rPr>
          <w:rFonts w:hint="eastAsia" w:ascii="仿宋_GB2312" w:eastAsia="仿宋_GB2312"/>
          <w:sz w:val="32"/>
          <w:szCs w:val="32"/>
        </w:rPr>
        <w:t>其他收入：指单位取得的除上述收入以外的各项收入。主要是</w:t>
      </w:r>
      <w:r>
        <w:rPr>
          <w:rFonts w:hint="eastAsia" w:ascii="仿宋_GB2312" w:eastAsia="仿宋_GB2312"/>
          <w:sz w:val="32"/>
          <w:szCs w:val="32"/>
          <w:lang w:eastAsia="zh-CN"/>
        </w:rPr>
        <w:t>教育局转入公用经费及利息收入</w:t>
      </w:r>
      <w:r>
        <w:rPr>
          <w:rFonts w:hint="eastAsia" w:ascii="仿宋_GB2312" w:eastAsia="仿宋_GB2312"/>
          <w:sz w:val="32"/>
          <w:szCs w:val="32"/>
        </w:rPr>
        <w:t>等。</w:t>
      </w:r>
      <w:r>
        <w:rPr>
          <w:rFonts w:ascii="仿宋_GB2312" w:eastAsia="仿宋_GB2312"/>
          <w:sz w:val="32"/>
          <w:szCs w:val="32"/>
        </w:rPr>
        <w:t xml:space="preserve"> </w:t>
      </w:r>
    </w:p>
    <w:p>
      <w:pPr>
        <w:pStyle w:val="24"/>
        <w:keepNext w:val="0"/>
        <w:keepLines w:val="0"/>
        <w:pageBreakBefore w:val="0"/>
        <w:widowControl w:val="0"/>
        <w:kinsoku/>
        <w:wordWrap/>
        <w:overflowPunct/>
        <w:topLinePunct w:val="0"/>
        <w:bidi w:val="0"/>
        <w:snapToGrid/>
        <w:spacing w:line="560" w:lineRule="exact"/>
        <w:ind w:firstLine="640" w:firstLineChars="200"/>
        <w:textAlignment w:val="auto"/>
        <w:rPr>
          <w:rFonts w:ascii="仿宋_GB2312" w:eastAsia="仿宋_GB2312"/>
          <w:sz w:val="32"/>
          <w:szCs w:val="32"/>
        </w:rPr>
      </w:pPr>
      <w:r>
        <w:rPr>
          <w:rFonts w:ascii="仿宋_GB2312" w:eastAsia="仿宋_GB2312"/>
          <w:sz w:val="32"/>
          <w:szCs w:val="32"/>
        </w:rPr>
        <w:t>5.</w:t>
      </w:r>
      <w:r>
        <w:rPr>
          <w:rFonts w:hint="eastAsia" w:ascii="仿宋_GB2312" w:eastAsia="仿宋_GB2312"/>
          <w:sz w:val="32"/>
          <w:szCs w:val="32"/>
        </w:rPr>
        <w:t>用事业基金弥补收支差额：指事业单位在当年的财政拨款收入、事业收入、经营收入、其他收入不足以安排当年支出的情况下，使用以前年度积累的事业基金（事业单位当年收支相抵后按国家规定提取、用于弥补以后年度收支差额的基金）弥补本年度收支缺口的资金。</w:t>
      </w:r>
      <w:r>
        <w:rPr>
          <w:rFonts w:ascii="仿宋_GB2312" w:eastAsia="仿宋_GB2312"/>
          <w:sz w:val="32"/>
          <w:szCs w:val="32"/>
        </w:rPr>
        <w:t xml:space="preserve"> </w:t>
      </w:r>
    </w:p>
    <w:p>
      <w:pPr>
        <w:pStyle w:val="24"/>
        <w:keepNext w:val="0"/>
        <w:keepLines w:val="0"/>
        <w:pageBreakBefore w:val="0"/>
        <w:widowControl w:val="0"/>
        <w:kinsoku/>
        <w:wordWrap/>
        <w:overflowPunct/>
        <w:topLinePunct w:val="0"/>
        <w:bidi w:val="0"/>
        <w:snapToGrid/>
        <w:spacing w:line="560" w:lineRule="exact"/>
        <w:ind w:firstLine="640" w:firstLineChars="200"/>
        <w:textAlignment w:val="auto"/>
        <w:rPr>
          <w:rFonts w:ascii="仿宋_GB2312" w:eastAsia="仿宋_GB2312"/>
          <w:sz w:val="32"/>
          <w:szCs w:val="32"/>
        </w:rPr>
      </w:pPr>
      <w:r>
        <w:rPr>
          <w:rFonts w:ascii="仿宋_GB2312" w:eastAsia="仿宋_GB2312"/>
          <w:sz w:val="32"/>
          <w:szCs w:val="32"/>
        </w:rPr>
        <w:t>6.</w:t>
      </w:r>
      <w:r>
        <w:rPr>
          <w:rFonts w:hint="eastAsia" w:ascii="仿宋_GB2312" w:eastAsia="仿宋_GB2312"/>
          <w:sz w:val="32"/>
          <w:szCs w:val="32"/>
        </w:rPr>
        <w:t>年初结转和结余：指以前年度尚未完成、结转到本年按有关规定继续使用的资金。</w:t>
      </w:r>
      <w:r>
        <w:rPr>
          <w:rFonts w:ascii="仿宋_GB2312" w:eastAsia="仿宋_GB2312"/>
          <w:sz w:val="32"/>
          <w:szCs w:val="32"/>
        </w:rPr>
        <w:t xml:space="preserve"> </w:t>
      </w:r>
    </w:p>
    <w:p>
      <w:pPr>
        <w:pStyle w:val="24"/>
        <w:keepNext w:val="0"/>
        <w:keepLines w:val="0"/>
        <w:pageBreakBefore w:val="0"/>
        <w:widowControl w:val="0"/>
        <w:kinsoku/>
        <w:wordWrap/>
        <w:overflowPunct/>
        <w:topLinePunct w:val="0"/>
        <w:bidi w:val="0"/>
        <w:snapToGrid/>
        <w:spacing w:line="560" w:lineRule="exact"/>
        <w:ind w:firstLine="640" w:firstLineChars="200"/>
        <w:textAlignment w:val="auto"/>
        <w:rPr>
          <w:rFonts w:ascii="仿宋_GB2312" w:eastAsia="仿宋_GB2312"/>
          <w:sz w:val="32"/>
          <w:szCs w:val="32"/>
        </w:rPr>
      </w:pPr>
      <w:r>
        <w:rPr>
          <w:rFonts w:ascii="仿宋_GB2312" w:eastAsia="仿宋_GB2312"/>
          <w:sz w:val="32"/>
          <w:szCs w:val="32"/>
        </w:rPr>
        <w:t>7.</w:t>
      </w:r>
      <w:r>
        <w:rPr>
          <w:rFonts w:hint="eastAsia" w:ascii="仿宋_GB2312" w:eastAsia="仿宋_GB2312"/>
          <w:sz w:val="32"/>
          <w:szCs w:val="32"/>
        </w:rPr>
        <w:t>结余分配：指事业单位按照事业单位会计制度的规定从非财政补助结余中分配的事业基金和职工福利基金等。</w:t>
      </w:r>
    </w:p>
    <w:p>
      <w:pPr>
        <w:pStyle w:val="24"/>
        <w:keepNext w:val="0"/>
        <w:keepLines w:val="0"/>
        <w:pageBreakBefore w:val="0"/>
        <w:widowControl w:val="0"/>
        <w:kinsoku/>
        <w:wordWrap/>
        <w:overflowPunct/>
        <w:topLinePunct w:val="0"/>
        <w:bidi w:val="0"/>
        <w:snapToGrid/>
        <w:spacing w:line="560" w:lineRule="exact"/>
        <w:ind w:firstLine="640" w:firstLineChars="200"/>
        <w:textAlignment w:val="auto"/>
        <w:rPr>
          <w:rFonts w:hint="default" w:ascii="仿宋_GB2312" w:eastAsia="仿宋_GB2312"/>
          <w:sz w:val="32"/>
          <w:szCs w:val="32"/>
          <w:lang w:val="en-US" w:eastAsia="zh-CN"/>
        </w:rPr>
      </w:pPr>
      <w:r>
        <w:rPr>
          <w:rFonts w:ascii="仿宋_GB2312" w:eastAsia="仿宋_GB2312"/>
          <w:sz w:val="32"/>
          <w:szCs w:val="32"/>
        </w:rPr>
        <w:t>8</w:t>
      </w:r>
      <w:r>
        <w:rPr>
          <w:rFonts w:hint="eastAsia" w:ascii="仿宋_GB2312" w:eastAsia="仿宋_GB2312"/>
          <w:sz w:val="32"/>
          <w:szCs w:val="32"/>
        </w:rPr>
        <w:t>、年末结转和结余：指单位按有关规定结转到下年或以后年度继续使用的资金。</w:t>
      </w:r>
    </w:p>
    <w:p>
      <w:pPr>
        <w:keepNext w:val="0"/>
        <w:keepLines w:val="0"/>
        <w:pageBreakBefore w:val="0"/>
        <w:widowControl w:val="0"/>
        <w:kinsoku/>
        <w:wordWrap/>
        <w:overflowPunct/>
        <w:topLinePunct w:val="0"/>
        <w:bidi w:val="0"/>
        <w:snapToGrid/>
        <w:spacing w:line="560" w:lineRule="exact"/>
        <w:ind w:firstLine="640" w:firstLineChars="200"/>
        <w:textAlignment w:val="auto"/>
        <w:rPr>
          <w:rFonts w:ascii="仿宋_GB2312" w:eastAsia="仿宋_GB2312"/>
          <w:color w:val="000000"/>
          <w:sz w:val="32"/>
          <w:szCs w:val="32"/>
        </w:rPr>
      </w:pPr>
      <w:r>
        <w:rPr>
          <w:rFonts w:hint="eastAsia" w:ascii="仿宋_GB2312" w:eastAsia="仿宋_GB2312"/>
          <w:color w:val="000000"/>
          <w:sz w:val="32"/>
          <w:szCs w:val="32"/>
          <w:lang w:val="en-US" w:eastAsia="zh-CN"/>
        </w:rPr>
        <w:t>9.</w:t>
      </w:r>
      <w:r>
        <w:rPr>
          <w:rFonts w:hint="eastAsia" w:ascii="仿宋_GB2312" w:eastAsia="仿宋_GB2312"/>
          <w:color w:val="000000"/>
          <w:sz w:val="32"/>
          <w:szCs w:val="32"/>
        </w:rPr>
        <w:t>教育</w:t>
      </w:r>
      <w:r>
        <w:rPr>
          <w:rFonts w:ascii="仿宋_GB2312" w:eastAsia="仿宋_GB2312"/>
          <w:color w:val="000000"/>
          <w:sz w:val="32"/>
          <w:szCs w:val="32"/>
        </w:rPr>
        <w:t>2050202</w:t>
      </w:r>
      <w:r>
        <w:rPr>
          <w:rFonts w:hint="eastAsia" w:ascii="仿宋_GB2312" w:eastAsia="仿宋_GB2312"/>
          <w:color w:val="000000"/>
          <w:sz w:val="32"/>
          <w:szCs w:val="32"/>
        </w:rPr>
        <w:t>：指小学教育收入；</w:t>
      </w:r>
      <w:r>
        <w:rPr>
          <w:rFonts w:ascii="仿宋_GB2312" w:eastAsia="仿宋_GB2312"/>
          <w:color w:val="000000"/>
          <w:sz w:val="32"/>
          <w:szCs w:val="32"/>
        </w:rPr>
        <w:t>2050299</w:t>
      </w:r>
      <w:r>
        <w:rPr>
          <w:rFonts w:hint="eastAsia" w:ascii="仿宋_GB2312" w:eastAsia="仿宋_GB2312"/>
          <w:color w:val="000000"/>
          <w:sz w:val="32"/>
          <w:szCs w:val="32"/>
        </w:rPr>
        <w:t>：指其他普通教育支出。</w:t>
      </w:r>
    </w:p>
    <w:p>
      <w:pPr>
        <w:keepNext w:val="0"/>
        <w:keepLines w:val="0"/>
        <w:pageBreakBefore w:val="0"/>
        <w:widowControl w:val="0"/>
        <w:kinsoku/>
        <w:wordWrap/>
        <w:overflowPunct/>
        <w:topLinePunct w:val="0"/>
        <w:bidi w:val="0"/>
        <w:snapToGrid/>
        <w:spacing w:line="560" w:lineRule="exact"/>
        <w:ind w:firstLine="640" w:firstLineChars="200"/>
        <w:textAlignment w:val="auto"/>
        <w:rPr>
          <w:rFonts w:ascii="仿宋_GB2312" w:eastAsia="仿宋_GB2312"/>
          <w:color w:val="000000"/>
          <w:sz w:val="32"/>
          <w:szCs w:val="32"/>
        </w:rPr>
      </w:pPr>
      <w:r>
        <w:rPr>
          <w:rFonts w:hint="eastAsia" w:ascii="仿宋_GB2312" w:eastAsia="仿宋_GB2312"/>
          <w:color w:val="000000"/>
          <w:sz w:val="32"/>
          <w:szCs w:val="32"/>
          <w:lang w:val="en-US" w:eastAsia="zh-CN"/>
        </w:rPr>
        <w:t>10</w:t>
      </w:r>
      <w:r>
        <w:rPr>
          <w:rFonts w:ascii="仿宋_GB2312" w:eastAsia="仿宋_GB2312"/>
          <w:color w:val="000000"/>
          <w:sz w:val="32"/>
          <w:szCs w:val="32"/>
        </w:rPr>
        <w:t>.</w:t>
      </w:r>
      <w:r>
        <w:rPr>
          <w:rFonts w:hint="eastAsia" w:ascii="仿宋_GB2312" w:eastAsia="仿宋_GB2312"/>
          <w:color w:val="000000"/>
          <w:sz w:val="32"/>
          <w:szCs w:val="32"/>
        </w:rPr>
        <w:t>社会保障和就业</w:t>
      </w:r>
      <w:r>
        <w:rPr>
          <w:rFonts w:ascii="仿宋_GB2312" w:eastAsia="仿宋_GB2312"/>
          <w:color w:val="000000"/>
          <w:sz w:val="32"/>
          <w:szCs w:val="32"/>
        </w:rPr>
        <w:t>2080505</w:t>
      </w:r>
      <w:r>
        <w:rPr>
          <w:rFonts w:hint="eastAsia" w:ascii="仿宋_GB2312" w:eastAsia="仿宋_GB2312"/>
          <w:color w:val="000000"/>
          <w:sz w:val="32"/>
          <w:szCs w:val="32"/>
        </w:rPr>
        <w:t>：</w:t>
      </w:r>
      <w:r>
        <w:rPr>
          <w:rFonts w:ascii="仿宋_GB2312" w:eastAsia="仿宋_GB2312"/>
          <w:color w:val="000000"/>
          <w:sz w:val="32"/>
          <w:szCs w:val="32"/>
        </w:rPr>
        <w:t xml:space="preserve"> </w:t>
      </w:r>
      <w:r>
        <w:rPr>
          <w:rFonts w:hint="eastAsia" w:ascii="仿宋_GB2312" w:eastAsia="仿宋_GB2312"/>
          <w:color w:val="000000"/>
          <w:sz w:val="32"/>
          <w:szCs w:val="32"/>
        </w:rPr>
        <w:t>指机关事业单位基本养老保险；</w:t>
      </w:r>
      <w:r>
        <w:rPr>
          <w:rFonts w:ascii="仿宋_GB2312" w:eastAsia="仿宋_GB2312"/>
          <w:color w:val="000000"/>
          <w:sz w:val="32"/>
          <w:szCs w:val="32"/>
        </w:rPr>
        <w:t>2080506</w:t>
      </w:r>
      <w:r>
        <w:rPr>
          <w:rFonts w:hint="eastAsia" w:ascii="仿宋_GB2312" w:eastAsia="仿宋_GB2312"/>
          <w:color w:val="000000"/>
          <w:sz w:val="32"/>
          <w:szCs w:val="32"/>
        </w:rPr>
        <w:t>：指机关事业单位职业年金缴费支出。</w:t>
      </w:r>
    </w:p>
    <w:p>
      <w:pPr>
        <w:keepNext w:val="0"/>
        <w:keepLines w:val="0"/>
        <w:pageBreakBefore w:val="0"/>
        <w:widowControl w:val="0"/>
        <w:kinsoku/>
        <w:wordWrap/>
        <w:overflowPunct/>
        <w:topLinePunct w:val="0"/>
        <w:bidi w:val="0"/>
        <w:snapToGrid/>
        <w:spacing w:line="560" w:lineRule="exact"/>
        <w:ind w:firstLine="640" w:firstLineChars="200"/>
        <w:textAlignment w:val="auto"/>
        <w:rPr>
          <w:rFonts w:ascii="仿宋_GB2312" w:eastAsia="仿宋_GB2312"/>
          <w:color w:val="000000"/>
          <w:sz w:val="32"/>
          <w:szCs w:val="32"/>
        </w:rPr>
      </w:pPr>
      <w:r>
        <w:rPr>
          <w:rFonts w:hint="eastAsia" w:ascii="仿宋_GB2312" w:eastAsia="仿宋_GB2312"/>
          <w:color w:val="000000"/>
          <w:sz w:val="32"/>
          <w:szCs w:val="32"/>
          <w:lang w:val="en-US" w:eastAsia="zh-CN"/>
        </w:rPr>
        <w:t>11</w:t>
      </w:r>
      <w:r>
        <w:rPr>
          <w:rFonts w:ascii="仿宋_GB2312" w:eastAsia="仿宋_GB2312"/>
          <w:color w:val="000000"/>
          <w:sz w:val="32"/>
          <w:szCs w:val="32"/>
        </w:rPr>
        <w:t>.</w:t>
      </w:r>
      <w:r>
        <w:rPr>
          <w:rFonts w:hint="eastAsia" w:ascii="仿宋_GB2312" w:eastAsia="仿宋_GB2312"/>
          <w:color w:val="000000"/>
          <w:sz w:val="32"/>
          <w:szCs w:val="32"/>
        </w:rPr>
        <w:t>医疗卫生与计划生育</w:t>
      </w:r>
      <w:r>
        <w:rPr>
          <w:rFonts w:ascii="仿宋_GB2312" w:eastAsia="仿宋_GB2312"/>
          <w:color w:val="000000"/>
          <w:sz w:val="32"/>
          <w:szCs w:val="32"/>
        </w:rPr>
        <w:t>2101102</w:t>
      </w:r>
      <w:r>
        <w:rPr>
          <w:rFonts w:hint="eastAsia" w:ascii="仿宋_GB2312" w:eastAsia="仿宋_GB2312"/>
          <w:color w:val="000000"/>
          <w:sz w:val="32"/>
          <w:szCs w:val="32"/>
        </w:rPr>
        <w:t>：指事业单位医疗；</w:t>
      </w:r>
      <w:r>
        <w:rPr>
          <w:rFonts w:ascii="仿宋_GB2312" w:eastAsia="仿宋_GB2312"/>
          <w:color w:val="000000"/>
          <w:sz w:val="32"/>
          <w:szCs w:val="32"/>
        </w:rPr>
        <w:t>2101199;</w:t>
      </w:r>
      <w:r>
        <w:rPr>
          <w:rFonts w:hint="eastAsia" w:ascii="仿宋_GB2312" w:eastAsia="仿宋_GB2312"/>
          <w:color w:val="000000"/>
          <w:sz w:val="32"/>
          <w:szCs w:val="32"/>
        </w:rPr>
        <w:t>指其他行政事业单位医疗支出。</w:t>
      </w:r>
    </w:p>
    <w:p>
      <w:pPr>
        <w:keepNext w:val="0"/>
        <w:keepLines w:val="0"/>
        <w:pageBreakBefore w:val="0"/>
        <w:widowControl w:val="0"/>
        <w:kinsoku/>
        <w:wordWrap/>
        <w:overflowPunct/>
        <w:topLinePunct w:val="0"/>
        <w:bidi w:val="0"/>
        <w:snapToGrid/>
        <w:spacing w:line="560" w:lineRule="exact"/>
        <w:ind w:firstLine="640" w:firstLineChars="200"/>
        <w:textAlignment w:val="auto"/>
        <w:rPr>
          <w:rFonts w:ascii="仿宋_GB2312" w:eastAsia="仿宋_GB2312"/>
          <w:color w:val="000000"/>
          <w:sz w:val="32"/>
          <w:szCs w:val="32"/>
        </w:rPr>
      </w:pPr>
      <w:r>
        <w:rPr>
          <w:rFonts w:hint="eastAsia" w:ascii="仿宋_GB2312" w:eastAsia="仿宋_GB2312"/>
          <w:color w:val="000000"/>
          <w:sz w:val="32"/>
          <w:szCs w:val="32"/>
          <w:lang w:val="en-US" w:eastAsia="zh-CN"/>
        </w:rPr>
        <w:t>12</w:t>
      </w:r>
      <w:r>
        <w:rPr>
          <w:rFonts w:ascii="仿宋_GB2312" w:eastAsia="仿宋_GB2312"/>
          <w:color w:val="000000"/>
          <w:sz w:val="32"/>
          <w:szCs w:val="32"/>
        </w:rPr>
        <w:t>.</w:t>
      </w:r>
      <w:r>
        <w:rPr>
          <w:rFonts w:hint="eastAsia" w:ascii="仿宋_GB2312" w:eastAsia="仿宋_GB2312"/>
          <w:color w:val="000000"/>
          <w:sz w:val="32"/>
          <w:szCs w:val="32"/>
        </w:rPr>
        <w:t>住房保障</w:t>
      </w:r>
      <w:r>
        <w:rPr>
          <w:rFonts w:ascii="仿宋_GB2312" w:eastAsia="仿宋_GB2312"/>
          <w:color w:val="000000"/>
          <w:sz w:val="32"/>
          <w:szCs w:val="32"/>
        </w:rPr>
        <w:t>2210201</w:t>
      </w:r>
      <w:r>
        <w:rPr>
          <w:rFonts w:hint="eastAsia" w:ascii="仿宋_GB2312" w:eastAsia="仿宋_GB2312"/>
          <w:color w:val="000000"/>
          <w:sz w:val="32"/>
          <w:szCs w:val="32"/>
        </w:rPr>
        <w:t>：指住房公积金。</w:t>
      </w:r>
    </w:p>
    <w:p>
      <w:pPr>
        <w:keepNext w:val="0"/>
        <w:keepLines w:val="0"/>
        <w:pageBreakBefore w:val="0"/>
        <w:widowControl w:val="0"/>
        <w:kinsoku/>
        <w:wordWrap/>
        <w:overflowPunct/>
        <w:topLinePunct w:val="0"/>
        <w:bidi w:val="0"/>
        <w:snapToGrid/>
        <w:spacing w:line="560" w:lineRule="exact"/>
        <w:ind w:firstLine="640" w:firstLineChars="200"/>
        <w:textAlignment w:val="auto"/>
        <w:rPr>
          <w:rFonts w:ascii="仿宋_GB2312" w:eastAsia="仿宋_GB2312"/>
          <w:color w:val="000000"/>
          <w:sz w:val="32"/>
          <w:szCs w:val="32"/>
        </w:rPr>
      </w:pPr>
      <w:r>
        <w:rPr>
          <w:rFonts w:hint="eastAsia" w:ascii="仿宋_GB2312" w:eastAsia="仿宋_GB2312"/>
          <w:color w:val="000000"/>
          <w:sz w:val="32"/>
          <w:szCs w:val="32"/>
          <w:lang w:val="en-US" w:eastAsia="zh-CN"/>
        </w:rPr>
        <w:t>13</w:t>
      </w:r>
      <w:r>
        <w:rPr>
          <w:rFonts w:ascii="仿宋_GB2312" w:eastAsia="仿宋_GB2312"/>
          <w:color w:val="000000"/>
          <w:sz w:val="32"/>
          <w:szCs w:val="32"/>
        </w:rPr>
        <w:t>.</w:t>
      </w:r>
      <w:r>
        <w:rPr>
          <w:rFonts w:hint="eastAsia" w:ascii="仿宋_GB2312" w:eastAsia="仿宋_GB2312"/>
          <w:color w:val="000000"/>
          <w:sz w:val="32"/>
          <w:szCs w:val="32"/>
        </w:rPr>
        <w:t>基本支出：指为保障机构正常运转、完成日常工作任务而发生的人员支出和公用支出。</w:t>
      </w:r>
    </w:p>
    <w:p>
      <w:pPr>
        <w:keepNext w:val="0"/>
        <w:keepLines w:val="0"/>
        <w:pageBreakBefore w:val="0"/>
        <w:widowControl w:val="0"/>
        <w:kinsoku/>
        <w:wordWrap/>
        <w:overflowPunct/>
        <w:topLinePunct w:val="0"/>
        <w:bidi w:val="0"/>
        <w:snapToGrid/>
        <w:spacing w:line="560" w:lineRule="exact"/>
        <w:ind w:firstLine="640" w:firstLineChars="200"/>
        <w:textAlignment w:val="auto"/>
        <w:rPr>
          <w:rFonts w:hint="eastAsia" w:ascii="仿宋_GB2312" w:eastAsia="仿宋_GB2312"/>
          <w:color w:val="000000"/>
          <w:sz w:val="32"/>
          <w:szCs w:val="32"/>
        </w:rPr>
      </w:pPr>
      <w:r>
        <w:rPr>
          <w:rFonts w:hint="eastAsia" w:ascii="仿宋_GB2312" w:eastAsia="仿宋_GB2312"/>
          <w:color w:val="000000"/>
          <w:sz w:val="32"/>
          <w:szCs w:val="32"/>
          <w:lang w:val="en-US" w:eastAsia="zh-CN"/>
        </w:rPr>
        <w:t>14</w:t>
      </w:r>
      <w:r>
        <w:rPr>
          <w:rFonts w:ascii="仿宋_GB2312" w:eastAsia="仿宋_GB2312"/>
          <w:color w:val="000000"/>
          <w:sz w:val="32"/>
          <w:szCs w:val="32"/>
        </w:rPr>
        <w:t>.</w:t>
      </w:r>
      <w:r>
        <w:rPr>
          <w:rFonts w:hint="eastAsia" w:ascii="仿宋_GB2312" w:eastAsia="仿宋_GB2312"/>
          <w:color w:val="000000"/>
          <w:sz w:val="32"/>
          <w:szCs w:val="32"/>
        </w:rPr>
        <w:t>项目支出：指在基本支出之外为完成特定行政任务和事业发展目标所发生的支出。</w:t>
      </w:r>
      <w:bookmarkStart w:id="60" w:name="_Toc4766"/>
    </w:p>
    <w:p>
      <w:pPr>
        <w:rPr>
          <w:rFonts w:hint="eastAsia" w:ascii="黑体" w:hAnsi="黑体" w:eastAsia="黑体"/>
          <w:color w:val="000000"/>
          <w:sz w:val="44"/>
          <w:szCs w:val="44"/>
        </w:rPr>
      </w:pPr>
      <w:r>
        <w:rPr>
          <w:rFonts w:hint="eastAsia" w:ascii="黑体" w:hAnsi="黑体" w:eastAsia="黑体"/>
          <w:color w:val="000000"/>
          <w:sz w:val="44"/>
          <w:szCs w:val="44"/>
        </w:rPr>
        <w:br w:type="page"/>
      </w:r>
    </w:p>
    <w:p>
      <w:pPr>
        <w:ind w:firstLine="2640" w:firstLineChars="600"/>
        <w:rPr>
          <w:rStyle w:val="26"/>
          <w:rFonts w:ascii="黑体" w:hAnsi="黑体" w:eastAsia="黑体"/>
          <w:b w:val="0"/>
        </w:rPr>
      </w:pPr>
      <w:r>
        <w:rPr>
          <w:rFonts w:hint="eastAsia" w:ascii="黑体" w:hAnsi="黑体" w:eastAsia="黑体"/>
          <w:color w:val="000000"/>
          <w:sz w:val="44"/>
          <w:szCs w:val="44"/>
        </w:rPr>
        <w:t>第</w:t>
      </w:r>
      <w:r>
        <w:rPr>
          <w:rStyle w:val="26"/>
          <w:rFonts w:hint="eastAsia" w:ascii="黑体" w:hAnsi="黑体" w:eastAsia="黑体"/>
          <w:b w:val="0"/>
        </w:rPr>
        <w:t>四部分 附件</w:t>
      </w:r>
      <w:bookmarkEnd w:id="60"/>
    </w:p>
    <w:p>
      <w:pPr>
        <w:spacing w:line="600" w:lineRule="exact"/>
        <w:jc w:val="center"/>
        <w:outlineLvl w:val="9"/>
        <w:rPr>
          <w:rStyle w:val="26"/>
        </w:rPr>
      </w:pPr>
    </w:p>
    <w:p>
      <w:pPr>
        <w:pStyle w:val="3"/>
        <w:rPr>
          <w:rStyle w:val="26"/>
          <w:rFonts w:ascii="仿宋" w:hAnsi="仿宋" w:eastAsia="仿宋"/>
          <w:b w:val="0"/>
          <w:bCs w:val="0"/>
          <w:sz w:val="32"/>
          <w:szCs w:val="32"/>
        </w:rPr>
      </w:pPr>
      <w:bookmarkStart w:id="61" w:name="_Toc3397"/>
      <w:r>
        <w:rPr>
          <w:rStyle w:val="26"/>
          <w:rFonts w:hint="eastAsia" w:ascii="仿宋" w:hAnsi="仿宋" w:eastAsia="仿宋"/>
          <w:b w:val="0"/>
          <w:bCs w:val="0"/>
          <w:sz w:val="32"/>
          <w:szCs w:val="32"/>
        </w:rPr>
        <w:t>附件1</w:t>
      </w:r>
      <w:bookmarkEnd w:id="61"/>
    </w:p>
    <w:p>
      <w:pPr>
        <w:keepNext w:val="0"/>
        <w:keepLines w:val="0"/>
        <w:widowControl/>
        <w:suppressLineNumbers w:val="0"/>
        <w:spacing w:before="0" w:beforeAutospacing="0" w:after="0" w:afterAutospacing="0" w:line="480" w:lineRule="exact"/>
        <w:ind w:left="0" w:right="0"/>
        <w:jc w:val="center"/>
        <w:rPr>
          <w:rFonts w:hint="eastAsia" w:ascii="方正小标宋简体" w:hAnsi="宋体" w:eastAsia="方正小标宋简体" w:cs="方正小标宋简体"/>
          <w:kern w:val="2"/>
          <w:sz w:val="44"/>
          <w:szCs w:val="44"/>
          <w:lang w:val="en-US" w:eastAsia="zh-CN" w:bidi="ar"/>
        </w:rPr>
      </w:pPr>
      <w:bookmarkStart w:id="62" w:name="_Toc15396617"/>
      <w:r>
        <w:rPr>
          <w:rFonts w:hint="eastAsia" w:ascii="方正小标宋简体" w:hAnsi="宋体" w:eastAsia="方正小标宋简体" w:cs="方正小标宋简体"/>
          <w:kern w:val="2"/>
          <w:sz w:val="44"/>
          <w:szCs w:val="44"/>
          <w:lang w:val="en-US" w:eastAsia="zh-CN" w:bidi="ar"/>
        </w:rPr>
        <w:t>红原县邛溪镇双语幼儿园</w:t>
      </w:r>
    </w:p>
    <w:p>
      <w:pPr>
        <w:keepNext w:val="0"/>
        <w:keepLines w:val="0"/>
        <w:widowControl/>
        <w:suppressLineNumbers w:val="0"/>
        <w:spacing w:before="0" w:beforeAutospacing="0" w:after="0" w:afterAutospacing="0" w:line="480" w:lineRule="exact"/>
        <w:ind w:left="0" w:right="0"/>
        <w:jc w:val="center"/>
        <w:rPr>
          <w:rFonts w:hint="eastAsia" w:ascii="方正小标宋简体" w:hAnsi="宋体" w:eastAsia="方正小标宋简体" w:cs="方正小标宋简体"/>
          <w:sz w:val="44"/>
          <w:szCs w:val="44"/>
          <w:lang w:val="en-US"/>
        </w:rPr>
      </w:pPr>
      <w:r>
        <w:rPr>
          <w:rFonts w:hint="eastAsia" w:ascii="方正小标宋简体" w:hAnsi="宋体" w:eastAsia="方正小标宋简体" w:cs="方正小标宋简体"/>
          <w:kern w:val="2"/>
          <w:sz w:val="44"/>
          <w:szCs w:val="44"/>
          <w:lang w:val="en-US" w:eastAsia="zh-CN" w:bidi="ar"/>
        </w:rPr>
        <w:t>2025年部门整体支出绩效报告</w:t>
      </w:r>
    </w:p>
    <w:p>
      <w:pPr>
        <w:keepNext w:val="0"/>
        <w:keepLines w:val="0"/>
        <w:widowControl/>
        <w:suppressLineNumbers w:val="0"/>
        <w:spacing w:before="0" w:beforeAutospacing="0" w:after="0" w:afterAutospacing="0" w:line="480" w:lineRule="exact"/>
        <w:ind w:left="0" w:right="0"/>
        <w:jc w:val="center"/>
        <w:rPr>
          <w:rFonts w:hint="eastAsia" w:ascii="黑体" w:hAnsi="宋体" w:eastAsia="黑体" w:cs="宋体"/>
          <w:color w:val="000000"/>
          <w:kern w:val="0"/>
          <w:lang w:val="en-US"/>
        </w:rPr>
      </w:pPr>
    </w:p>
    <w:p>
      <w:pPr>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560" w:lineRule="exact"/>
        <w:ind w:left="0" w:leftChars="0" w:right="0" w:firstLine="640" w:firstLineChars="200"/>
        <w:jc w:val="left"/>
        <w:textAlignment w:val="auto"/>
        <w:rPr>
          <w:rFonts w:hint="eastAsia" w:ascii="黑体" w:hAnsi="宋体" w:eastAsia="黑体" w:cs="宋体"/>
          <w:color w:val="000000"/>
          <w:kern w:val="0"/>
          <w:lang w:val="zh-CN" w:eastAsia="zh-CN"/>
        </w:rPr>
      </w:pPr>
      <w:r>
        <w:rPr>
          <w:rFonts w:hint="eastAsia" w:ascii="黑体" w:hAnsi="宋体" w:eastAsia="黑体" w:cs="宋体"/>
          <w:color w:val="000000"/>
          <w:kern w:val="0"/>
          <w:sz w:val="32"/>
          <w:szCs w:val="24"/>
          <w:lang w:val="en-US" w:eastAsia="zh-CN" w:bidi="ar"/>
        </w:rPr>
        <w:t>一、</w:t>
      </w:r>
      <w:r>
        <w:rPr>
          <w:rFonts w:hint="eastAsia" w:ascii="黑体" w:hAnsi="宋体" w:eastAsia="黑体" w:cs="宋体"/>
          <w:color w:val="000000"/>
          <w:kern w:val="0"/>
          <w:sz w:val="32"/>
          <w:szCs w:val="24"/>
          <w:lang w:val="zh-CN" w:eastAsia="zh-CN" w:bidi="ar"/>
        </w:rPr>
        <w:t>部门（单位）概况</w:t>
      </w:r>
    </w:p>
    <w:p>
      <w:pPr>
        <w:pageBreakBefore w:val="0"/>
        <w:widowControl/>
        <w:kinsoku/>
        <w:wordWrap/>
        <w:overflowPunct/>
        <w:topLinePunct w:val="0"/>
        <w:autoSpaceDE/>
        <w:autoSpaceDN/>
        <w:bidi w:val="0"/>
        <w:adjustRightInd w:val="0"/>
        <w:snapToGrid w:val="0"/>
        <w:spacing w:line="560" w:lineRule="exact"/>
        <w:ind w:left="0" w:leftChars="0" w:firstLine="640" w:firstLineChars="200"/>
        <w:jc w:val="left"/>
        <w:textAlignment w:val="auto"/>
        <w:rPr>
          <w:rFonts w:hint="eastAsia" w:ascii="楷体" w:hAnsi="楷体" w:eastAsia="楷体" w:cs="楷体"/>
          <w:color w:val="000000"/>
          <w:kern w:val="0"/>
          <w:sz w:val="32"/>
          <w:lang w:val="zh-CN"/>
        </w:rPr>
      </w:pPr>
      <w:r>
        <w:rPr>
          <w:rFonts w:hint="eastAsia" w:ascii="楷体" w:hAnsi="楷体" w:eastAsia="楷体" w:cs="楷体"/>
          <w:color w:val="000000"/>
          <w:kern w:val="0"/>
          <w:sz w:val="32"/>
          <w:lang w:val="zh-CN"/>
        </w:rPr>
        <w:t>（一）机构组成</w:t>
      </w:r>
    </w:p>
    <w:p>
      <w:pPr>
        <w:pStyle w:val="5"/>
        <w:pageBreakBefore w:val="0"/>
        <w:kinsoku/>
        <w:wordWrap/>
        <w:overflowPunct/>
        <w:topLinePunct w:val="0"/>
        <w:autoSpaceDE/>
        <w:autoSpaceDN/>
        <w:bidi w:val="0"/>
        <w:adjustRightInd w:val="0"/>
        <w:snapToGrid w:val="0"/>
        <w:spacing w:beforeLines="0" w:line="560" w:lineRule="exact"/>
        <w:ind w:left="0" w:leftChars="0" w:firstLine="640" w:firstLineChars="200"/>
        <w:textAlignment w:val="auto"/>
        <w:rPr>
          <w:rFonts w:hAnsi="宋体" w:cs="宋体"/>
          <w:color w:val="000000"/>
          <w:sz w:val="32"/>
          <w:lang w:val="zh-CN"/>
        </w:rPr>
      </w:pPr>
      <w:r>
        <w:rPr>
          <w:rFonts w:hint="eastAsia" w:ascii="仿宋_GB2312" w:hAnsi="仿宋_GB2312" w:eastAsia="仿宋_GB2312" w:cs="仿宋_GB2312"/>
          <w:sz w:val="32"/>
          <w:szCs w:val="32"/>
        </w:rPr>
        <w:t>我</w:t>
      </w:r>
      <w:r>
        <w:rPr>
          <w:rFonts w:hint="eastAsia" w:hAnsi="仿宋_GB2312" w:cs="仿宋_GB2312"/>
          <w:sz w:val="32"/>
          <w:szCs w:val="32"/>
          <w:lang w:eastAsia="zh-CN"/>
        </w:rPr>
        <w:t>园</w:t>
      </w:r>
      <w:r>
        <w:rPr>
          <w:rFonts w:hint="eastAsia" w:ascii="仿宋_GB2312" w:hAnsi="仿宋_GB2312" w:eastAsia="仿宋_GB2312" w:cs="仿宋_GB2312"/>
          <w:sz w:val="32"/>
          <w:szCs w:val="32"/>
        </w:rPr>
        <w:t>属于</w:t>
      </w:r>
      <w:r>
        <w:rPr>
          <w:rFonts w:hAnsi="仿宋_GB2312" w:cs="仿宋_GB2312"/>
          <w:sz w:val="32"/>
          <w:szCs w:val="32"/>
        </w:rPr>
        <w:t>红原县教育局下属的</w:t>
      </w:r>
      <w:r>
        <w:rPr>
          <w:rFonts w:hint="eastAsia" w:ascii="仿宋_GB2312" w:hAnsi="仿宋_GB2312" w:eastAsia="仿宋_GB2312" w:cs="仿宋_GB2312"/>
          <w:sz w:val="32"/>
          <w:szCs w:val="32"/>
        </w:rPr>
        <w:t>二级预算</w:t>
      </w:r>
      <w:r>
        <w:rPr>
          <w:rFonts w:hAnsi="仿宋_GB2312" w:cs="仿宋_GB2312"/>
          <w:sz w:val="32"/>
          <w:szCs w:val="32"/>
        </w:rPr>
        <w:t>、财政全额拨款的</w:t>
      </w:r>
      <w:r>
        <w:rPr>
          <w:rFonts w:hint="eastAsia" w:ascii="仿宋_GB2312" w:hAnsi="仿宋_GB2312" w:eastAsia="仿宋_GB2312" w:cs="仿宋_GB2312"/>
          <w:sz w:val="32"/>
          <w:szCs w:val="32"/>
        </w:rPr>
        <w:t>事业单位，执行的是中小学事业单位会计制度</w:t>
      </w:r>
      <w:r>
        <w:rPr>
          <w:rFonts w:hAnsi="仿宋_GB2312" w:cs="仿宋_GB2312"/>
          <w:sz w:val="32"/>
          <w:szCs w:val="32"/>
        </w:rPr>
        <w:t>。</w:t>
      </w:r>
    </w:p>
    <w:p>
      <w:pPr>
        <w:pageBreakBefore w:val="0"/>
        <w:widowControl/>
        <w:kinsoku/>
        <w:wordWrap/>
        <w:overflowPunct/>
        <w:topLinePunct w:val="0"/>
        <w:autoSpaceDE/>
        <w:autoSpaceDN/>
        <w:bidi w:val="0"/>
        <w:adjustRightInd w:val="0"/>
        <w:snapToGrid w:val="0"/>
        <w:spacing w:line="560" w:lineRule="exact"/>
        <w:ind w:left="0" w:leftChars="0" w:firstLine="640" w:firstLineChars="200"/>
        <w:jc w:val="left"/>
        <w:textAlignment w:val="auto"/>
        <w:rPr>
          <w:rFonts w:hint="eastAsia" w:ascii="楷体" w:hAnsi="楷体" w:eastAsia="楷体" w:cs="楷体"/>
          <w:color w:val="000000"/>
          <w:kern w:val="0"/>
          <w:sz w:val="32"/>
          <w:lang w:val="zh-CN"/>
        </w:rPr>
      </w:pPr>
      <w:r>
        <w:rPr>
          <w:rFonts w:hint="eastAsia" w:ascii="楷体" w:hAnsi="楷体" w:eastAsia="楷体" w:cs="楷体"/>
          <w:color w:val="000000"/>
          <w:kern w:val="0"/>
          <w:sz w:val="32"/>
          <w:lang w:val="zh-CN"/>
        </w:rPr>
        <w:t>（二）机构职能</w:t>
      </w:r>
    </w:p>
    <w:p>
      <w:pPr>
        <w:pStyle w:val="5"/>
        <w:keepNext w:val="0"/>
        <w:keepLines w:val="0"/>
        <w:pageBreakBefore w:val="0"/>
        <w:numPr>
          <w:ilvl w:val="0"/>
          <w:numId w:val="0"/>
        </w:numPr>
        <w:kinsoku/>
        <w:wordWrap/>
        <w:overflowPunct/>
        <w:topLinePunct w:val="0"/>
        <w:autoSpaceDE/>
        <w:autoSpaceDN/>
        <w:bidi w:val="0"/>
        <w:adjustRightInd w:val="0"/>
        <w:snapToGrid w:val="0"/>
        <w:spacing w:beforeLines="0" w:line="560" w:lineRule="exact"/>
        <w:ind w:left="0" w:leftChars="0" w:right="0" w:rightChars="0" w:firstLine="640" w:firstLineChars="200"/>
        <w:textAlignment w:val="auto"/>
        <w:outlineLvl w:val="9"/>
        <w:rPr>
          <w:rFonts w:hint="eastAsia" w:ascii="仿宋_GB2312" w:hAnsi="宋体" w:eastAsia="仿宋_GB2312" w:cs="宋体"/>
          <w:color w:val="000000"/>
          <w:kern w:val="0"/>
          <w:sz w:val="32"/>
          <w:szCs w:val="24"/>
          <w:lang w:val="zh-CN" w:eastAsia="zh-CN" w:bidi="ar"/>
        </w:rPr>
      </w:pPr>
      <w:r>
        <w:rPr>
          <w:rFonts w:hint="eastAsia"/>
          <w:bCs/>
          <w:color w:val="000000"/>
          <w:sz w:val="32"/>
          <w:szCs w:val="32"/>
          <w:lang w:eastAsia="zh-CN"/>
        </w:rPr>
        <w:t>学前义务教育的实施，促进基础教育发展，培养学生高尚的思想道德情操，丰富的科学文化知识，良好的身体素质，促进学生全面发展，业务范围是从事小学教育</w:t>
      </w:r>
      <w:r>
        <w:rPr>
          <w:rFonts w:hint="eastAsia"/>
          <w:bCs/>
          <w:color w:val="000000"/>
          <w:sz w:val="32"/>
          <w:szCs w:val="32"/>
        </w:rPr>
        <w:t>。</w:t>
      </w:r>
    </w:p>
    <w:p>
      <w:pPr>
        <w:pageBreakBefore w:val="0"/>
        <w:widowControl/>
        <w:kinsoku/>
        <w:wordWrap/>
        <w:overflowPunct/>
        <w:topLinePunct w:val="0"/>
        <w:autoSpaceDE/>
        <w:autoSpaceDN/>
        <w:bidi w:val="0"/>
        <w:adjustRightInd w:val="0"/>
        <w:snapToGrid w:val="0"/>
        <w:spacing w:line="560" w:lineRule="exact"/>
        <w:ind w:left="0" w:leftChars="0" w:firstLine="640" w:firstLineChars="200"/>
        <w:jc w:val="left"/>
        <w:textAlignment w:val="auto"/>
        <w:rPr>
          <w:rFonts w:hint="eastAsia" w:ascii="楷体" w:hAnsi="楷体" w:eastAsia="楷体" w:cs="楷体"/>
          <w:color w:val="000000"/>
          <w:kern w:val="0"/>
          <w:sz w:val="32"/>
          <w:lang w:val="zh-CN" w:eastAsia="zh-CN"/>
        </w:rPr>
      </w:pPr>
      <w:r>
        <w:rPr>
          <w:rFonts w:hint="eastAsia" w:ascii="楷体" w:hAnsi="楷体" w:eastAsia="楷体" w:cs="楷体"/>
          <w:color w:val="000000"/>
          <w:kern w:val="0"/>
          <w:sz w:val="32"/>
          <w:lang w:val="zh-CN" w:eastAsia="zh-CN"/>
        </w:rPr>
        <w:t>（三）人员概况</w:t>
      </w:r>
    </w:p>
    <w:p>
      <w:pPr>
        <w:pStyle w:val="5"/>
        <w:keepNext w:val="0"/>
        <w:keepLines w:val="0"/>
        <w:pageBreakBefore w:val="0"/>
        <w:numPr>
          <w:ilvl w:val="0"/>
          <w:numId w:val="0"/>
        </w:numPr>
        <w:kinsoku/>
        <w:wordWrap/>
        <w:overflowPunct/>
        <w:topLinePunct w:val="0"/>
        <w:autoSpaceDE/>
        <w:autoSpaceDN/>
        <w:bidi w:val="0"/>
        <w:adjustRightInd w:val="0"/>
        <w:snapToGrid w:val="0"/>
        <w:spacing w:beforeLines="0" w:line="560" w:lineRule="exact"/>
        <w:ind w:left="0" w:leftChars="0" w:right="0" w:rightChars="0" w:firstLine="640" w:firstLineChars="200"/>
        <w:textAlignment w:val="auto"/>
        <w:outlineLvl w:val="9"/>
        <w:rPr>
          <w:rFonts w:hint="eastAsia" w:ascii="仿宋_GB2312" w:hAnsi="宋体" w:eastAsia="仿宋_GB2312" w:cs="宋体"/>
          <w:color w:val="000000"/>
          <w:kern w:val="0"/>
          <w:sz w:val="32"/>
          <w:szCs w:val="24"/>
          <w:lang w:val="zh-CN" w:eastAsia="zh-CN" w:bidi="ar"/>
        </w:rPr>
      </w:pPr>
      <w:r>
        <w:rPr>
          <w:rFonts w:hint="eastAsia" w:hAnsi="Times New Roman" w:cs="Times New Roman"/>
          <w:bCs/>
          <w:color w:val="000000"/>
          <w:sz w:val="32"/>
          <w:szCs w:val="32"/>
          <w:lang w:eastAsia="zh-CN"/>
        </w:rPr>
        <w:t>我单位共有编制</w:t>
      </w:r>
      <w:r>
        <w:rPr>
          <w:rFonts w:hint="eastAsia" w:cs="Times New Roman"/>
          <w:bCs/>
          <w:color w:val="000000"/>
          <w:sz w:val="32"/>
          <w:szCs w:val="32"/>
          <w:lang w:val="en-US" w:eastAsia="zh-CN"/>
        </w:rPr>
        <w:t>22</w:t>
      </w:r>
      <w:r>
        <w:rPr>
          <w:rFonts w:hint="eastAsia" w:hAnsi="Times New Roman" w:cs="Times New Roman"/>
          <w:bCs/>
          <w:color w:val="000000"/>
          <w:sz w:val="32"/>
          <w:szCs w:val="32"/>
          <w:lang w:eastAsia="zh-CN"/>
        </w:rPr>
        <w:t>人，截止</w:t>
      </w:r>
      <w:r>
        <w:rPr>
          <w:rFonts w:hint="eastAsia" w:cs="Times New Roman"/>
          <w:bCs/>
          <w:color w:val="000000"/>
          <w:sz w:val="32"/>
          <w:szCs w:val="32"/>
          <w:lang w:eastAsia="zh-CN"/>
        </w:rPr>
        <w:t>20</w:t>
      </w:r>
      <w:r>
        <w:rPr>
          <w:rFonts w:hint="eastAsia" w:cs="Times New Roman"/>
          <w:bCs/>
          <w:color w:val="000000"/>
          <w:sz w:val="32"/>
          <w:szCs w:val="32"/>
          <w:lang w:val="en-US" w:eastAsia="zh-CN"/>
        </w:rPr>
        <w:t>25</w:t>
      </w:r>
      <w:r>
        <w:rPr>
          <w:rFonts w:hint="eastAsia" w:hAnsi="Times New Roman" w:cs="Times New Roman"/>
          <w:bCs/>
          <w:color w:val="000000"/>
          <w:sz w:val="32"/>
          <w:szCs w:val="32"/>
          <w:lang w:eastAsia="zh-CN"/>
        </w:rPr>
        <w:t>年底在职职工</w:t>
      </w:r>
      <w:r>
        <w:rPr>
          <w:rFonts w:hint="eastAsia" w:cs="Times New Roman"/>
          <w:bCs/>
          <w:color w:val="000000"/>
          <w:sz w:val="32"/>
          <w:szCs w:val="32"/>
          <w:lang w:val="en-US" w:eastAsia="zh-CN"/>
        </w:rPr>
        <w:t>22</w:t>
      </w:r>
      <w:r>
        <w:rPr>
          <w:rFonts w:hint="eastAsia" w:hAnsi="Times New Roman" w:cs="Times New Roman"/>
          <w:bCs/>
          <w:color w:val="000000"/>
          <w:sz w:val="32"/>
          <w:szCs w:val="32"/>
          <w:lang w:eastAsia="zh-CN"/>
        </w:rPr>
        <w:t>人。</w:t>
      </w:r>
    </w:p>
    <w:p>
      <w:pPr>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560" w:lineRule="exact"/>
        <w:ind w:left="0" w:leftChars="0" w:right="0" w:firstLine="640" w:firstLineChars="200"/>
        <w:jc w:val="left"/>
        <w:textAlignment w:val="auto"/>
        <w:rPr>
          <w:rFonts w:hint="eastAsia" w:ascii="黑体" w:hAnsi="宋体" w:eastAsia="黑体" w:cs="宋体"/>
          <w:color w:val="000000"/>
          <w:kern w:val="0"/>
          <w:lang w:val="en-US"/>
        </w:rPr>
      </w:pPr>
      <w:r>
        <w:rPr>
          <w:rFonts w:hint="eastAsia" w:ascii="黑体" w:hAnsi="宋体" w:eastAsia="黑体" w:cs="宋体"/>
          <w:color w:val="000000"/>
          <w:kern w:val="0"/>
          <w:sz w:val="32"/>
          <w:szCs w:val="24"/>
          <w:lang w:val="en-US" w:eastAsia="zh-CN" w:bidi="ar"/>
        </w:rPr>
        <w:t>二、部门财政资金收支情况</w:t>
      </w:r>
    </w:p>
    <w:p>
      <w:pPr>
        <w:pageBreakBefore w:val="0"/>
        <w:widowControl/>
        <w:kinsoku/>
        <w:wordWrap/>
        <w:overflowPunct/>
        <w:topLinePunct w:val="0"/>
        <w:autoSpaceDE/>
        <w:autoSpaceDN/>
        <w:bidi w:val="0"/>
        <w:adjustRightInd w:val="0"/>
        <w:snapToGrid w:val="0"/>
        <w:spacing w:line="560" w:lineRule="exact"/>
        <w:ind w:left="0" w:leftChars="0" w:firstLine="640" w:firstLineChars="200"/>
        <w:jc w:val="left"/>
        <w:textAlignment w:val="auto"/>
        <w:rPr>
          <w:rFonts w:hint="eastAsia" w:ascii="楷体" w:hAnsi="楷体" w:eastAsia="楷体" w:cs="楷体"/>
          <w:color w:val="000000"/>
          <w:kern w:val="0"/>
          <w:sz w:val="32"/>
          <w:lang w:val="zh-CN" w:eastAsia="zh-CN"/>
        </w:rPr>
      </w:pPr>
      <w:r>
        <w:rPr>
          <w:rFonts w:hint="eastAsia" w:ascii="楷体" w:hAnsi="楷体" w:eastAsia="楷体" w:cs="楷体"/>
          <w:color w:val="000000"/>
          <w:kern w:val="0"/>
          <w:sz w:val="32"/>
          <w:lang w:val="zh-CN" w:eastAsia="zh-CN"/>
        </w:rPr>
        <w:t>（一）部门财政资金收入情况</w:t>
      </w:r>
    </w:p>
    <w:p>
      <w:pPr>
        <w:pageBreakBefore w:val="0"/>
        <w:kinsoku/>
        <w:wordWrap/>
        <w:overflowPunct/>
        <w:topLinePunct w:val="0"/>
        <w:autoSpaceDE/>
        <w:autoSpaceDN/>
        <w:bidi w:val="0"/>
        <w:spacing w:line="560" w:lineRule="exact"/>
        <w:ind w:left="0" w:leftChars="0" w:firstLine="640" w:firstLineChars="200"/>
        <w:textAlignment w:val="auto"/>
        <w:outlineLvl w:val="9"/>
        <w:rPr>
          <w:rFonts w:hint="eastAsia" w:ascii="仿宋_GB2312" w:hAnsi="宋体" w:eastAsia="仿宋_GB2312" w:cs="宋体"/>
          <w:color w:val="000000"/>
          <w:kern w:val="0"/>
          <w:sz w:val="32"/>
          <w:szCs w:val="24"/>
          <w:lang w:val="zh-CN" w:eastAsia="zh-CN" w:bidi="ar"/>
        </w:rPr>
      </w:pPr>
      <w:r>
        <w:rPr>
          <w:rFonts w:hint="eastAsia" w:ascii="仿宋_GB2312" w:hAnsi="宋体" w:eastAsia="仿宋_GB2312" w:cs="宋体"/>
          <w:color w:val="000000"/>
          <w:kern w:val="0"/>
          <w:sz w:val="32"/>
        </w:rPr>
        <w:t>收入：</w:t>
      </w:r>
      <w:r>
        <w:rPr>
          <w:rFonts w:hint="eastAsia" w:ascii="仿宋" w:hAnsi="仿宋" w:eastAsia="仿宋"/>
          <w:color w:val="000000"/>
          <w:sz w:val="32"/>
          <w:szCs w:val="32"/>
          <w:lang w:eastAsia="zh-CN"/>
        </w:rPr>
        <w:t>20</w:t>
      </w:r>
      <w:r>
        <w:rPr>
          <w:rFonts w:hint="eastAsia" w:ascii="仿宋" w:hAnsi="仿宋" w:eastAsia="仿宋"/>
          <w:color w:val="000000"/>
          <w:sz w:val="32"/>
          <w:szCs w:val="32"/>
          <w:lang w:val="en-US" w:eastAsia="zh-CN"/>
        </w:rPr>
        <w:t>25</w:t>
      </w:r>
      <w:r>
        <w:rPr>
          <w:rFonts w:hint="eastAsia" w:ascii="仿宋" w:hAnsi="仿宋" w:eastAsia="仿宋"/>
          <w:color w:val="000000"/>
          <w:sz w:val="32"/>
          <w:szCs w:val="32"/>
        </w:rPr>
        <w:t>年收入总计</w:t>
      </w:r>
      <w:r>
        <w:rPr>
          <w:rFonts w:hint="eastAsia" w:ascii="仿宋_GB2312" w:eastAsia="仿宋_GB2312" w:cs="Times New Roman"/>
          <w:bCs/>
          <w:color w:val="000000"/>
          <w:kern w:val="0"/>
          <w:sz w:val="32"/>
          <w:szCs w:val="32"/>
          <w:lang w:val="en-US" w:eastAsia="zh-CN" w:bidi="ar-SA"/>
        </w:rPr>
        <w:t>695.84</w:t>
      </w:r>
      <w:r>
        <w:rPr>
          <w:rFonts w:hint="eastAsia" w:ascii="仿宋" w:hAnsi="仿宋" w:eastAsia="仿宋"/>
          <w:color w:val="000000"/>
          <w:sz w:val="32"/>
          <w:szCs w:val="32"/>
        </w:rPr>
        <w:t>万元。其中：一般公共预算财政拨款收入</w:t>
      </w:r>
      <w:r>
        <w:rPr>
          <w:rFonts w:hint="eastAsia" w:ascii="仿宋" w:hAnsi="仿宋" w:eastAsia="仿宋"/>
          <w:color w:val="000000"/>
          <w:sz w:val="32"/>
          <w:szCs w:val="32"/>
          <w:lang w:val="en-US" w:eastAsia="zh-CN"/>
        </w:rPr>
        <w:t>695.84</w:t>
      </w:r>
      <w:r>
        <w:rPr>
          <w:rFonts w:hint="eastAsia" w:ascii="仿宋" w:hAnsi="仿宋" w:eastAsia="仿宋"/>
          <w:color w:val="000000"/>
          <w:sz w:val="32"/>
          <w:szCs w:val="32"/>
        </w:rPr>
        <w:t>万元，</w:t>
      </w:r>
      <w:r>
        <w:rPr>
          <w:rFonts w:hint="eastAsia" w:ascii="仿宋_GB2312" w:eastAsia="仿宋_GB2312" w:cs="Times New Roman"/>
          <w:bCs/>
          <w:color w:val="000000"/>
          <w:kern w:val="0"/>
          <w:sz w:val="32"/>
          <w:szCs w:val="32"/>
          <w:lang w:val="en-US" w:eastAsia="zh-CN" w:bidi="ar-SA"/>
        </w:rPr>
        <w:t>其他收入：0万元。年初财政拨款结余和结转0</w:t>
      </w:r>
      <w:r>
        <w:rPr>
          <w:rFonts w:hint="eastAsia" w:ascii="仿宋_GB2312" w:hAnsi="Times New Roman" w:eastAsia="仿宋_GB2312" w:cs="Times New Roman"/>
          <w:bCs/>
          <w:color w:val="000000"/>
          <w:kern w:val="0"/>
          <w:sz w:val="32"/>
          <w:szCs w:val="32"/>
          <w:lang w:val="en-US" w:eastAsia="zh-CN" w:bidi="ar-SA"/>
        </w:rPr>
        <w:t>万元。</w:t>
      </w:r>
    </w:p>
    <w:p>
      <w:pPr>
        <w:pageBreakBefore w:val="0"/>
        <w:widowControl/>
        <w:kinsoku/>
        <w:wordWrap/>
        <w:overflowPunct/>
        <w:topLinePunct w:val="0"/>
        <w:autoSpaceDE/>
        <w:autoSpaceDN/>
        <w:bidi w:val="0"/>
        <w:adjustRightInd w:val="0"/>
        <w:snapToGrid w:val="0"/>
        <w:spacing w:line="560" w:lineRule="exact"/>
        <w:ind w:left="0" w:leftChars="0" w:firstLine="640" w:firstLineChars="200"/>
        <w:jc w:val="left"/>
        <w:textAlignment w:val="auto"/>
        <w:rPr>
          <w:rFonts w:hint="eastAsia" w:ascii="楷体" w:hAnsi="楷体" w:eastAsia="楷体" w:cs="楷体"/>
          <w:color w:val="000000"/>
          <w:kern w:val="0"/>
          <w:sz w:val="32"/>
          <w:lang w:val="zh-CN" w:eastAsia="zh-CN"/>
        </w:rPr>
      </w:pPr>
      <w:r>
        <w:rPr>
          <w:rFonts w:hint="eastAsia" w:ascii="楷体" w:hAnsi="楷体" w:eastAsia="楷体" w:cs="楷体"/>
          <w:color w:val="000000"/>
          <w:kern w:val="0"/>
          <w:sz w:val="32"/>
          <w:lang w:val="en-US" w:eastAsia="zh-CN"/>
        </w:rPr>
        <w:t>（二）</w:t>
      </w:r>
      <w:r>
        <w:rPr>
          <w:rFonts w:hint="eastAsia" w:ascii="楷体" w:hAnsi="楷体" w:eastAsia="楷体" w:cs="楷体"/>
          <w:color w:val="000000"/>
          <w:kern w:val="0"/>
          <w:sz w:val="32"/>
          <w:lang w:val="zh-CN" w:eastAsia="zh-CN"/>
        </w:rPr>
        <w:t>部门财政资金支出情况</w:t>
      </w:r>
    </w:p>
    <w:p>
      <w:pPr>
        <w:keepNext w:val="0"/>
        <w:keepLines w:val="0"/>
        <w:pageBreakBefore w:val="0"/>
        <w:widowControl/>
        <w:numPr>
          <w:ilvl w:val="0"/>
          <w:numId w:val="0"/>
        </w:numPr>
        <w:suppressLineNumbers w:val="0"/>
        <w:kinsoku/>
        <w:wordWrap/>
        <w:overflowPunct/>
        <w:topLinePunct w:val="0"/>
        <w:autoSpaceDE/>
        <w:autoSpaceDN/>
        <w:bidi w:val="0"/>
        <w:adjustRightInd w:val="0"/>
        <w:snapToGrid w:val="0"/>
        <w:spacing w:beforeAutospacing="0" w:afterAutospacing="0" w:line="560" w:lineRule="exact"/>
        <w:ind w:left="0" w:leftChars="0" w:right="0" w:rightChars="0" w:firstLine="640" w:firstLineChars="200"/>
        <w:jc w:val="left"/>
        <w:textAlignment w:val="auto"/>
        <w:rPr>
          <w:rFonts w:hint="eastAsia" w:ascii="仿宋_GB2312" w:hAnsi="宋体" w:eastAsia="仿宋_GB2312" w:cs="宋体"/>
          <w:color w:val="000000"/>
          <w:kern w:val="0"/>
          <w:sz w:val="32"/>
          <w:szCs w:val="32"/>
          <w:lang w:val="en-US" w:eastAsia="zh-CN"/>
        </w:rPr>
      </w:pPr>
      <w:r>
        <w:rPr>
          <w:rFonts w:hint="eastAsia" w:ascii="仿宋_GB2312" w:hAnsi="宋体" w:eastAsia="仿宋_GB2312" w:cs="宋体"/>
          <w:color w:val="000000"/>
          <w:kern w:val="0"/>
          <w:sz w:val="32"/>
        </w:rPr>
        <w:t>支出：</w:t>
      </w:r>
      <w:r>
        <w:rPr>
          <w:rFonts w:hint="eastAsia" w:ascii="仿宋" w:hAnsi="仿宋" w:eastAsia="仿宋"/>
          <w:color w:val="000000"/>
          <w:sz w:val="32"/>
          <w:szCs w:val="32"/>
          <w:lang w:eastAsia="zh-CN"/>
        </w:rPr>
        <w:t>20</w:t>
      </w:r>
      <w:r>
        <w:rPr>
          <w:rFonts w:hint="eastAsia" w:ascii="仿宋" w:hAnsi="仿宋" w:eastAsia="仿宋"/>
          <w:color w:val="000000"/>
          <w:sz w:val="32"/>
          <w:szCs w:val="32"/>
          <w:lang w:val="en-US" w:eastAsia="zh-CN"/>
        </w:rPr>
        <w:t>25</w:t>
      </w:r>
      <w:r>
        <w:rPr>
          <w:rFonts w:hint="eastAsia" w:ascii="仿宋" w:hAnsi="仿宋" w:eastAsia="仿宋"/>
          <w:color w:val="000000"/>
          <w:sz w:val="32"/>
          <w:szCs w:val="32"/>
        </w:rPr>
        <w:t>年财政拨款支出总计</w:t>
      </w:r>
      <w:r>
        <w:rPr>
          <w:rFonts w:hint="eastAsia" w:ascii="仿宋" w:hAnsi="仿宋" w:eastAsia="仿宋"/>
          <w:color w:val="000000"/>
          <w:sz w:val="32"/>
          <w:szCs w:val="32"/>
          <w:lang w:val="en-US" w:eastAsia="zh-CN"/>
        </w:rPr>
        <w:t>695.84</w:t>
      </w:r>
      <w:r>
        <w:rPr>
          <w:rFonts w:hint="eastAsia" w:ascii="仿宋" w:hAnsi="仿宋" w:eastAsia="仿宋"/>
          <w:color w:val="000000"/>
          <w:sz w:val="32"/>
          <w:szCs w:val="32"/>
        </w:rPr>
        <w:t>万元。</w:t>
      </w:r>
      <w:r>
        <w:rPr>
          <w:rFonts w:hint="eastAsia" w:ascii="仿宋" w:hAnsi="仿宋" w:eastAsia="仿宋"/>
          <w:color w:val="000000"/>
          <w:sz w:val="32"/>
          <w:szCs w:val="32"/>
          <w:lang w:eastAsia="zh-CN"/>
        </w:rPr>
        <w:t>其中：</w:t>
      </w:r>
      <w:r>
        <w:rPr>
          <w:rFonts w:hint="eastAsia" w:ascii="仿宋_GB2312" w:hAnsi="宋体" w:eastAsia="仿宋_GB2312" w:cs="宋体"/>
          <w:color w:val="000000"/>
          <w:kern w:val="0"/>
          <w:sz w:val="32"/>
          <w:szCs w:val="32"/>
          <w:lang w:val="zh-CN"/>
        </w:rPr>
        <w:t>基本支出</w:t>
      </w:r>
      <w:r>
        <w:rPr>
          <w:rFonts w:hint="eastAsia" w:ascii="仿宋_GB2312" w:hAnsi="宋体" w:eastAsia="仿宋_GB2312" w:cs="宋体"/>
          <w:color w:val="000000"/>
          <w:kern w:val="0"/>
          <w:sz w:val="32"/>
          <w:szCs w:val="32"/>
          <w:lang w:val="en-US" w:eastAsia="zh-CN"/>
        </w:rPr>
        <w:t>582.49元，项目支出</w:t>
      </w:r>
      <w:r>
        <w:rPr>
          <w:rFonts w:hint="eastAsia" w:ascii="仿宋_GB2312" w:eastAsia="仿宋_GB2312" w:cs="Times New Roman"/>
          <w:bCs/>
          <w:color w:val="000000"/>
          <w:kern w:val="0"/>
          <w:sz w:val="32"/>
          <w:szCs w:val="32"/>
          <w:lang w:val="en-US" w:eastAsia="zh-CN" w:bidi="ar-SA"/>
        </w:rPr>
        <w:t>113.35</w:t>
      </w:r>
      <w:r>
        <w:rPr>
          <w:rFonts w:hint="eastAsia" w:ascii="仿宋_GB2312" w:hAnsi="宋体" w:eastAsia="仿宋_GB2312" w:cs="宋体"/>
          <w:color w:val="000000"/>
          <w:kern w:val="0"/>
          <w:sz w:val="32"/>
          <w:szCs w:val="32"/>
          <w:lang w:val="en-US" w:eastAsia="zh-CN"/>
        </w:rPr>
        <w:t>万元。</w:t>
      </w:r>
    </w:p>
    <w:p>
      <w:pPr>
        <w:keepNext w:val="0"/>
        <w:keepLines w:val="0"/>
        <w:pageBreakBefore w:val="0"/>
        <w:widowControl/>
        <w:numPr>
          <w:ilvl w:val="0"/>
          <w:numId w:val="0"/>
        </w:numPr>
        <w:suppressLineNumbers w:val="0"/>
        <w:kinsoku/>
        <w:wordWrap/>
        <w:overflowPunct/>
        <w:topLinePunct w:val="0"/>
        <w:autoSpaceDE/>
        <w:autoSpaceDN/>
        <w:bidi w:val="0"/>
        <w:adjustRightInd w:val="0"/>
        <w:snapToGrid w:val="0"/>
        <w:spacing w:beforeAutospacing="0" w:afterAutospacing="0" w:line="560" w:lineRule="exact"/>
        <w:ind w:left="0" w:leftChars="0" w:right="0" w:rightChars="0" w:firstLine="640" w:firstLineChars="200"/>
        <w:jc w:val="left"/>
        <w:textAlignment w:val="auto"/>
        <w:rPr>
          <w:rFonts w:hint="eastAsia" w:ascii="黑体" w:hAnsi="宋体" w:eastAsia="黑体" w:cs="宋体"/>
          <w:color w:val="000000"/>
          <w:kern w:val="0"/>
          <w:lang w:val="en-US"/>
        </w:rPr>
      </w:pPr>
      <w:r>
        <w:rPr>
          <w:rFonts w:hint="eastAsia" w:ascii="黑体" w:hAnsi="宋体" w:eastAsia="黑体" w:cs="宋体"/>
          <w:color w:val="000000"/>
          <w:kern w:val="0"/>
          <w:sz w:val="32"/>
          <w:szCs w:val="24"/>
          <w:lang w:val="en-US" w:eastAsia="zh-CN" w:bidi="ar"/>
        </w:rPr>
        <w:t>三、部门财政支出管理情况</w:t>
      </w:r>
    </w:p>
    <w:p>
      <w:pPr>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560" w:lineRule="exact"/>
        <w:ind w:left="0" w:leftChars="0" w:right="0" w:firstLine="640" w:firstLineChars="200"/>
        <w:jc w:val="left"/>
        <w:textAlignment w:val="auto"/>
        <w:rPr>
          <w:rFonts w:hint="eastAsia" w:ascii="楷体" w:hAnsi="楷体" w:eastAsia="楷体" w:cs="宋体"/>
          <w:color w:val="000000"/>
          <w:kern w:val="0"/>
          <w:lang w:val="zh-CN" w:eastAsia="zh-CN"/>
        </w:rPr>
      </w:pPr>
      <w:r>
        <w:rPr>
          <w:rFonts w:hint="eastAsia" w:ascii="楷体" w:hAnsi="楷体" w:eastAsia="楷体" w:cs="宋体"/>
          <w:color w:val="000000"/>
          <w:kern w:val="0"/>
          <w:sz w:val="32"/>
          <w:szCs w:val="24"/>
          <w:lang w:val="zh-CN" w:eastAsia="zh-CN" w:bidi="ar"/>
        </w:rPr>
        <w:t>（一）预算编制情况</w:t>
      </w:r>
    </w:p>
    <w:p>
      <w:pPr>
        <w:pStyle w:val="12"/>
        <w:pageBreakBefore w:val="0"/>
        <w:shd w:val="clear" w:color="auto" w:fill="FFFFFF"/>
        <w:kinsoku/>
        <w:wordWrap/>
        <w:overflowPunct/>
        <w:topLinePunct w:val="0"/>
        <w:autoSpaceDE/>
        <w:autoSpaceDN/>
        <w:bidi w:val="0"/>
        <w:spacing w:line="560" w:lineRule="exact"/>
        <w:ind w:left="0" w:leftChars="0" w:firstLine="640" w:firstLineChars="200"/>
        <w:textAlignment w:val="auto"/>
        <w:rPr>
          <w:rFonts w:hint="eastAsia" w:ascii="仿宋_GB2312" w:hAnsi="Times New Roman" w:eastAsia="仿宋_GB2312" w:cs="Times New Roman"/>
          <w:bCs/>
          <w:color w:val="000000"/>
          <w:kern w:val="0"/>
          <w:sz w:val="32"/>
          <w:szCs w:val="32"/>
          <w:lang w:val="en-US" w:eastAsia="zh-CN" w:bidi="ar-SA"/>
        </w:rPr>
      </w:pPr>
      <w:r>
        <w:rPr>
          <w:rFonts w:hint="eastAsia" w:ascii="仿宋_GB2312" w:hAnsi="Times New Roman" w:eastAsia="仿宋_GB2312" w:cs="Times New Roman"/>
          <w:bCs/>
          <w:color w:val="000000"/>
          <w:kern w:val="0"/>
          <w:sz w:val="32"/>
          <w:szCs w:val="32"/>
          <w:lang w:val="en-US" w:eastAsia="zh-CN" w:bidi="ar-SA"/>
        </w:rPr>
        <w:t>我单位预算编制向同财政部门及时沟通学习，在学校领导的支持下积极进行财政部门组织的决算、编报、审核等方面工作按时完成，认真如实填报。不断强化预算意识，实行部门综合预算管理，保证预算编制质量。结合单位情况，进行科学合理分配细化，部门预算经批复后，科学合理安排支出，降低预算支出的波动幅度。　　</w:t>
      </w:r>
    </w:p>
    <w:p>
      <w:pPr>
        <w:pStyle w:val="12"/>
        <w:pageBreakBefore w:val="0"/>
        <w:shd w:val="clear" w:color="auto" w:fill="FFFFFF"/>
        <w:kinsoku/>
        <w:wordWrap/>
        <w:overflowPunct/>
        <w:topLinePunct w:val="0"/>
        <w:autoSpaceDE/>
        <w:autoSpaceDN/>
        <w:bidi w:val="0"/>
        <w:spacing w:line="560" w:lineRule="exact"/>
        <w:ind w:left="0" w:leftChars="0" w:firstLine="640" w:firstLineChars="200"/>
        <w:textAlignment w:val="auto"/>
        <w:rPr>
          <w:rFonts w:ascii="??_GB2312" w:eastAsia="Times New Roman" w:cs="宋体"/>
          <w:color w:val="000000"/>
          <w:lang w:val="zh-CN"/>
        </w:rPr>
      </w:pPr>
      <w:r>
        <w:rPr>
          <w:rFonts w:hint="eastAsia" w:ascii="仿宋_GB2312" w:hAnsi="Times New Roman" w:eastAsia="仿宋_GB2312" w:cs="Times New Roman"/>
          <w:bCs/>
          <w:color w:val="000000"/>
          <w:kern w:val="0"/>
          <w:sz w:val="32"/>
          <w:szCs w:val="32"/>
          <w:lang w:val="en-US" w:eastAsia="zh-CN" w:bidi="ar-SA"/>
        </w:rPr>
        <w:t>规范预算编制，严格按照预算的执行。人员支出按工资统发数据为准安排，部门收入预算指本部门所有收入，包括：财政拨款收入、上级补助收入、其他收入。支出预算包括职工工资福利，日常公用经费，个人家庭补助等预算。对预算和决算公开工作、及主管部门对所属单位按规定批复决算的各项工作按规定认真执行，该填制及时填制，该公开及时公开，该上报及时上报，在工作中进一步提高预算的编制和执行。</w:t>
      </w:r>
    </w:p>
    <w:p>
      <w:pPr>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560" w:lineRule="exact"/>
        <w:ind w:left="0" w:leftChars="0" w:right="0" w:firstLine="640" w:firstLineChars="200"/>
        <w:jc w:val="left"/>
        <w:textAlignment w:val="auto"/>
        <w:rPr>
          <w:rFonts w:hint="eastAsia" w:ascii="楷体" w:hAnsi="楷体" w:eastAsia="楷体" w:cs="宋体"/>
          <w:color w:val="000000"/>
          <w:kern w:val="0"/>
          <w:lang w:val="zh-CN" w:eastAsia="zh-CN"/>
        </w:rPr>
      </w:pPr>
      <w:r>
        <w:rPr>
          <w:rFonts w:hint="eastAsia" w:ascii="楷体" w:hAnsi="楷体" w:eastAsia="楷体" w:cs="宋体"/>
          <w:color w:val="000000"/>
          <w:kern w:val="0"/>
          <w:sz w:val="32"/>
          <w:szCs w:val="24"/>
          <w:lang w:val="zh-CN" w:eastAsia="zh-CN" w:bidi="ar"/>
        </w:rPr>
        <w:t>（二）执行管理情况</w:t>
      </w:r>
    </w:p>
    <w:p>
      <w:pPr>
        <w:pageBreakBefore w:val="0"/>
        <w:kinsoku/>
        <w:wordWrap/>
        <w:overflowPunct/>
        <w:topLinePunct w:val="0"/>
        <w:autoSpaceDE/>
        <w:autoSpaceDN/>
        <w:bidi w:val="0"/>
        <w:spacing w:line="560" w:lineRule="exact"/>
        <w:ind w:left="0" w:leftChars="0" w:firstLine="640" w:firstLineChars="200"/>
        <w:textAlignment w:val="auto"/>
        <w:rPr>
          <w:rFonts w:hint="eastAsia" w:ascii="仿宋_GB2312" w:hAnsi="Times New Roman" w:eastAsia="仿宋_GB2312" w:cs="Times New Roman"/>
          <w:bCs/>
          <w:color w:val="000000"/>
          <w:kern w:val="0"/>
          <w:sz w:val="32"/>
          <w:szCs w:val="32"/>
          <w:lang w:val="zh-CN" w:eastAsia="zh-CN" w:bidi="ar-SA"/>
        </w:rPr>
      </w:pPr>
      <w:r>
        <w:rPr>
          <w:rFonts w:hint="eastAsia" w:ascii="仿宋_GB2312" w:hAnsi="Times New Roman" w:eastAsia="仿宋_GB2312" w:cs="Times New Roman"/>
          <w:bCs/>
          <w:color w:val="000000"/>
          <w:kern w:val="0"/>
          <w:sz w:val="32"/>
          <w:szCs w:val="32"/>
          <w:lang w:val="zh-CN" w:eastAsia="zh-CN" w:bidi="ar-SA"/>
        </w:rPr>
        <w:t>资金支出总额严格控制在预算总额内，集中财力保障内部平稳运转，与发展计划相协调，严格按照预算执行。</w:t>
      </w:r>
    </w:p>
    <w:p>
      <w:pPr>
        <w:pageBreakBefore w:val="0"/>
        <w:kinsoku/>
        <w:wordWrap/>
        <w:overflowPunct/>
        <w:topLinePunct w:val="0"/>
        <w:autoSpaceDE/>
        <w:autoSpaceDN/>
        <w:bidi w:val="0"/>
        <w:spacing w:line="560" w:lineRule="exact"/>
        <w:ind w:left="0" w:leftChars="0" w:firstLine="640" w:firstLineChars="200"/>
        <w:textAlignment w:val="auto"/>
        <w:rPr>
          <w:rFonts w:hint="eastAsia" w:ascii="仿宋_GB2312" w:hAnsi="Times New Roman" w:eastAsia="仿宋_GB2312" w:cs="Times New Roman"/>
          <w:bCs/>
          <w:color w:val="000000"/>
          <w:kern w:val="0"/>
          <w:sz w:val="32"/>
          <w:szCs w:val="32"/>
          <w:lang w:val="en-US" w:eastAsia="zh-CN" w:bidi="ar-SA"/>
        </w:rPr>
      </w:pPr>
      <w:r>
        <w:rPr>
          <w:rFonts w:hint="eastAsia" w:ascii="仿宋_GB2312" w:eastAsia="仿宋_GB2312" w:cs="Times New Roman"/>
          <w:bCs/>
          <w:color w:val="000000"/>
          <w:kern w:val="0"/>
          <w:sz w:val="32"/>
          <w:szCs w:val="32"/>
          <w:lang w:val="en-US" w:eastAsia="zh-CN" w:bidi="ar-SA"/>
        </w:rPr>
        <w:t>2025</w:t>
      </w:r>
      <w:r>
        <w:rPr>
          <w:rFonts w:hint="eastAsia" w:ascii="仿宋_GB2312" w:hAnsi="Times New Roman" w:eastAsia="仿宋_GB2312" w:cs="Times New Roman"/>
          <w:bCs/>
          <w:color w:val="000000"/>
          <w:kern w:val="0"/>
          <w:sz w:val="32"/>
          <w:szCs w:val="32"/>
          <w:lang w:val="en-US" w:eastAsia="zh-CN" w:bidi="ar-SA"/>
        </w:rPr>
        <w:t>年一般公共预算财政拨款基本支出</w:t>
      </w:r>
      <w:r>
        <w:rPr>
          <w:rFonts w:hint="eastAsia" w:ascii="仿宋_GB2312" w:eastAsia="仿宋_GB2312" w:cs="Times New Roman"/>
          <w:bCs/>
          <w:color w:val="000000"/>
          <w:kern w:val="0"/>
          <w:sz w:val="32"/>
          <w:szCs w:val="32"/>
          <w:lang w:val="en-US" w:eastAsia="zh-CN" w:bidi="ar-SA"/>
        </w:rPr>
        <w:t>582.49</w:t>
      </w:r>
      <w:r>
        <w:rPr>
          <w:rFonts w:hint="eastAsia" w:ascii="仿宋_GB2312" w:hAnsi="Times New Roman" w:eastAsia="仿宋_GB2312" w:cs="Times New Roman"/>
          <w:bCs/>
          <w:color w:val="000000"/>
          <w:kern w:val="0"/>
          <w:sz w:val="32"/>
          <w:szCs w:val="32"/>
          <w:lang w:val="en-US" w:eastAsia="zh-CN" w:bidi="ar-SA"/>
        </w:rPr>
        <w:t>万元，其中：</w:t>
      </w:r>
    </w:p>
    <w:p>
      <w:pPr>
        <w:keepNext w:val="0"/>
        <w:keepLines w:val="0"/>
        <w:pageBreakBefore w:val="0"/>
        <w:widowControl w:val="0"/>
        <w:kinsoku/>
        <w:wordWrap/>
        <w:overflowPunct/>
        <w:topLinePunct w:val="0"/>
        <w:autoSpaceDE/>
        <w:autoSpaceDN/>
        <w:bidi w:val="0"/>
        <w:adjustRightInd/>
        <w:snapToGrid/>
        <w:spacing w:line="560" w:lineRule="exact"/>
        <w:ind w:left="0" w:right="0" w:firstLine="640" w:firstLineChars="200"/>
        <w:textAlignment w:val="auto"/>
        <w:rPr>
          <w:rFonts w:hint="eastAsia" w:ascii="仿宋_GB2312" w:hAnsi="仿宋_GB2312" w:eastAsia="仿宋_GB2312" w:cs="仿宋_GB2312"/>
          <w:bCs/>
          <w:color w:val="000000"/>
          <w:kern w:val="0"/>
          <w:sz w:val="32"/>
          <w:szCs w:val="32"/>
          <w:highlight w:val="none"/>
          <w:lang w:val="en-US" w:eastAsia="zh-CN" w:bidi="ar-SA"/>
        </w:rPr>
      </w:pPr>
      <w:r>
        <w:rPr>
          <w:rFonts w:hint="eastAsia" w:ascii="仿宋_GB2312" w:hAnsi="仿宋_GB2312" w:eastAsia="仿宋_GB2312" w:cs="仿宋_GB2312"/>
          <w:bCs/>
          <w:color w:val="000000"/>
          <w:kern w:val="0"/>
          <w:sz w:val="32"/>
          <w:szCs w:val="32"/>
          <w:highlight w:val="none"/>
          <w:lang w:val="en-US" w:eastAsia="zh-CN" w:bidi="ar-SA"/>
        </w:rPr>
        <w:t>人员经费568.46万元，主要包括：基本工资119.02万元、津贴补贴88.69万元、奖金117.8万元、绩效工资71.82万元、机关事业单位基本养老保险缴费55.82万元、职业年金缴费27.91万元、职工基本医疗保险缴费26.1万元，公务员医疗补助缴费4.33万元、其他社会保障缴费2.7万元、医疗费9.14万元、住房公积金45.14万元。</w:t>
      </w:r>
    </w:p>
    <w:p>
      <w:pPr>
        <w:keepNext w:val="0"/>
        <w:keepLines w:val="0"/>
        <w:pageBreakBefore w:val="0"/>
        <w:widowControl w:val="0"/>
        <w:kinsoku/>
        <w:wordWrap/>
        <w:overflowPunct/>
        <w:topLinePunct w:val="0"/>
        <w:autoSpaceDE/>
        <w:autoSpaceDN/>
        <w:bidi w:val="0"/>
        <w:adjustRightInd/>
        <w:snapToGrid/>
        <w:spacing w:line="560" w:lineRule="exact"/>
        <w:ind w:left="0" w:right="0" w:firstLine="640" w:firstLineChars="200"/>
        <w:textAlignment w:val="auto"/>
        <w:rPr>
          <w:rFonts w:hint="eastAsia" w:ascii="仿宋_GB2312" w:hAnsi="仿宋_GB2312" w:eastAsia="仿宋_GB2312" w:cs="仿宋_GB2312"/>
          <w:bCs/>
          <w:color w:val="000000"/>
          <w:kern w:val="0"/>
          <w:sz w:val="32"/>
          <w:szCs w:val="32"/>
          <w:highlight w:val="none"/>
          <w:lang w:val="en-US" w:eastAsia="zh-CN" w:bidi="ar-SA"/>
        </w:rPr>
      </w:pPr>
      <w:r>
        <w:rPr>
          <w:rFonts w:hint="eastAsia" w:ascii="仿宋_GB2312" w:hAnsi="仿宋_GB2312" w:eastAsia="仿宋_GB2312" w:cs="仿宋_GB2312"/>
          <w:bCs/>
          <w:color w:val="000000"/>
          <w:kern w:val="0"/>
          <w:sz w:val="32"/>
          <w:szCs w:val="32"/>
          <w:highlight w:val="none"/>
          <w:lang w:val="en-US" w:eastAsia="zh-CN" w:bidi="ar-SA"/>
        </w:rPr>
        <w:t>商品和服务支出：77.47万元。主要包括：办公费17.89万元、印刷费6.29万元、水费：0.11万元、电费3.48万元、邮电费0.3万元、取暖费0万元、维修（护）费36.81万元、培训费3.19万元、工会经费4.08万元、其他商品和服务支出：5.04万元。</w:t>
      </w:r>
    </w:p>
    <w:p>
      <w:pPr>
        <w:keepNext w:val="0"/>
        <w:keepLines w:val="0"/>
        <w:pageBreakBefore w:val="0"/>
        <w:widowControl w:val="0"/>
        <w:kinsoku/>
        <w:wordWrap/>
        <w:overflowPunct/>
        <w:topLinePunct w:val="0"/>
        <w:autoSpaceDE/>
        <w:autoSpaceDN/>
        <w:bidi w:val="0"/>
        <w:adjustRightInd/>
        <w:snapToGrid/>
        <w:spacing w:line="560" w:lineRule="exact"/>
        <w:ind w:left="0" w:right="0" w:firstLine="640" w:firstLineChars="200"/>
        <w:textAlignment w:val="auto"/>
        <w:rPr>
          <w:rFonts w:hint="eastAsia" w:ascii="仿宋_GB2312" w:hAnsi="仿宋_GB2312" w:eastAsia="仿宋_GB2312" w:cs="仿宋_GB2312"/>
          <w:bCs/>
          <w:color w:val="000000"/>
          <w:kern w:val="0"/>
          <w:sz w:val="32"/>
          <w:szCs w:val="32"/>
          <w:highlight w:val="none"/>
          <w:lang w:val="en-US" w:eastAsia="zh-CN" w:bidi="ar-SA"/>
        </w:rPr>
      </w:pPr>
      <w:r>
        <w:rPr>
          <w:rFonts w:hint="eastAsia" w:ascii="仿宋_GB2312" w:hAnsi="仿宋_GB2312" w:eastAsia="仿宋_GB2312" w:cs="仿宋_GB2312"/>
          <w:bCs/>
          <w:color w:val="000000"/>
          <w:kern w:val="0"/>
          <w:sz w:val="32"/>
          <w:szCs w:val="32"/>
          <w:highlight w:val="none"/>
          <w:lang w:val="en-US" w:eastAsia="zh-CN" w:bidi="ar-SA"/>
        </w:rPr>
        <w:t>对个人和家庭的补助：22.59万元。主要包括：生活补助21.95万元、医疗补助0.64万元。</w:t>
      </w:r>
    </w:p>
    <w:p>
      <w:pPr>
        <w:keepNext w:val="0"/>
        <w:keepLines w:val="0"/>
        <w:pageBreakBefore w:val="0"/>
        <w:widowControl w:val="0"/>
        <w:kinsoku/>
        <w:wordWrap/>
        <w:overflowPunct/>
        <w:topLinePunct w:val="0"/>
        <w:autoSpaceDE/>
        <w:autoSpaceDN/>
        <w:bidi w:val="0"/>
        <w:adjustRightInd/>
        <w:snapToGrid/>
        <w:spacing w:line="560" w:lineRule="exact"/>
        <w:ind w:left="0" w:right="0" w:firstLine="640" w:firstLineChars="200"/>
        <w:textAlignment w:val="auto"/>
        <w:rPr>
          <w:rFonts w:hint="eastAsia" w:ascii="仿宋_GB2312" w:hAnsi="仿宋_GB2312" w:eastAsia="仿宋_GB2312" w:cs="仿宋_GB2312"/>
          <w:bCs/>
          <w:color w:val="000000"/>
          <w:kern w:val="0"/>
          <w:sz w:val="32"/>
          <w:szCs w:val="32"/>
          <w:highlight w:val="none"/>
          <w:lang w:val="en-US" w:eastAsia="zh-CN" w:bidi="ar-SA"/>
        </w:rPr>
      </w:pPr>
      <w:r>
        <w:rPr>
          <w:rFonts w:hint="eastAsia" w:ascii="仿宋_GB2312" w:hAnsi="仿宋_GB2312" w:eastAsia="仿宋_GB2312" w:cs="仿宋_GB2312"/>
          <w:bCs/>
          <w:color w:val="auto"/>
          <w:kern w:val="0"/>
          <w:sz w:val="32"/>
          <w:szCs w:val="32"/>
          <w:highlight w:val="none"/>
          <w:lang w:val="en-US" w:eastAsia="zh-CN" w:bidi="ar-SA"/>
        </w:rPr>
        <w:t>日常公用经费11.39万元，主要包括：办公费7.31万元、、工会经费4.08万元。</w:t>
      </w:r>
    </w:p>
    <w:p>
      <w:pPr>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560" w:lineRule="exact"/>
        <w:ind w:right="0" w:firstLine="640" w:firstLineChars="200"/>
        <w:jc w:val="left"/>
        <w:textAlignment w:val="auto"/>
        <w:rPr>
          <w:rFonts w:hint="eastAsia" w:ascii="楷体" w:hAnsi="楷体" w:eastAsia="楷体" w:cs="宋体"/>
          <w:color w:val="000000"/>
          <w:kern w:val="0"/>
          <w:highlight w:val="none"/>
          <w:lang w:val="zh-CN" w:eastAsia="zh-CN"/>
        </w:rPr>
      </w:pPr>
      <w:r>
        <w:rPr>
          <w:rFonts w:hint="eastAsia" w:ascii="楷体" w:hAnsi="楷体" w:eastAsia="楷体" w:cs="宋体"/>
          <w:color w:val="000000"/>
          <w:kern w:val="0"/>
          <w:sz w:val="32"/>
          <w:szCs w:val="24"/>
          <w:highlight w:val="none"/>
          <w:lang w:val="zh-CN" w:eastAsia="zh-CN" w:bidi="ar"/>
        </w:rPr>
        <w:t>（三）综合管理情况</w:t>
      </w:r>
    </w:p>
    <w:p>
      <w:pPr>
        <w:pageBreakBefore w:val="0"/>
        <w:kinsoku/>
        <w:wordWrap/>
        <w:overflowPunct/>
        <w:topLinePunct w:val="0"/>
        <w:autoSpaceDE/>
        <w:autoSpaceDN/>
        <w:bidi w:val="0"/>
        <w:spacing w:line="560" w:lineRule="exact"/>
        <w:ind w:left="0" w:leftChars="0" w:firstLine="640" w:firstLineChars="200"/>
        <w:textAlignment w:val="auto"/>
        <w:rPr>
          <w:rFonts w:ascii="仿宋_GB2312" w:hAnsi="仿宋_GB2312" w:eastAsia="仿宋_GB2312" w:cs="仿宋_GB2312"/>
          <w:sz w:val="32"/>
          <w:szCs w:val="32"/>
        </w:rPr>
      </w:pPr>
      <w:r>
        <w:rPr>
          <w:rFonts w:ascii="仿宋_GB2312" w:hAnsi="仿宋_GB2312" w:eastAsia="仿宋_GB2312" w:cs="仿宋_GB2312"/>
          <w:sz w:val="32"/>
          <w:szCs w:val="32"/>
        </w:rPr>
        <w:t>1</w:t>
      </w:r>
      <w:r>
        <w:rPr>
          <w:rFonts w:hint="eastAsia" w:ascii="仿宋_GB2312" w:hAnsi="仿宋_GB2312" w:eastAsia="仿宋_GB2312" w:cs="仿宋_GB2312"/>
          <w:sz w:val="32"/>
          <w:szCs w:val="32"/>
          <w:lang w:val="en-US" w:eastAsia="zh-CN"/>
        </w:rPr>
        <w:t>.</w:t>
      </w:r>
      <w:r>
        <w:rPr>
          <w:rFonts w:hint="eastAsia" w:ascii="仿宋_GB2312" w:hAnsi="仿宋_GB2312" w:eastAsia="仿宋_GB2312" w:cs="仿宋_GB2312"/>
          <w:sz w:val="32"/>
          <w:szCs w:val="32"/>
        </w:rPr>
        <w:t>资产管理</w:t>
      </w:r>
    </w:p>
    <w:p>
      <w:pPr>
        <w:pageBreakBefore w:val="0"/>
        <w:kinsoku/>
        <w:wordWrap/>
        <w:overflowPunct/>
        <w:topLinePunct w:val="0"/>
        <w:autoSpaceDE/>
        <w:autoSpaceDN/>
        <w:bidi w:val="0"/>
        <w:spacing w:line="560" w:lineRule="exact"/>
        <w:ind w:left="0" w:leftChars="0" w:firstLine="640" w:firstLineChars="200"/>
        <w:textAlignment w:val="auto"/>
        <w:rPr>
          <w:rFonts w:hint="eastAsia" w:ascii="仿宋_GB2312" w:hAnsi="Times New Roman" w:eastAsia="仿宋_GB2312" w:cs="Times New Roman"/>
          <w:bCs/>
          <w:color w:val="000000"/>
          <w:kern w:val="0"/>
          <w:sz w:val="32"/>
          <w:szCs w:val="32"/>
          <w:lang w:val="en-US" w:eastAsia="zh-CN" w:bidi="ar-SA"/>
        </w:rPr>
      </w:pPr>
      <w:r>
        <w:rPr>
          <w:rFonts w:hint="eastAsia" w:ascii="仿宋_GB2312" w:hAnsi="Times New Roman" w:eastAsia="仿宋_GB2312" w:cs="Times New Roman"/>
          <w:bCs/>
          <w:color w:val="000000"/>
          <w:kern w:val="0"/>
          <w:sz w:val="32"/>
          <w:szCs w:val="32"/>
          <w:lang w:val="en-US" w:eastAsia="zh-CN" w:bidi="ar-SA"/>
        </w:rPr>
        <w:t>加强学校资产管理，严格执行现行固定资产管理制度，防止学校固定资产的流失。做到账实相符，对购入的固定资产及时入账，编制固定资产卡片，确保账面上能真实、完整的反映单位的固定资产情况，并结合本单位的实际情况，完善固定资产管理制度。学校的固定资产一般分为土地房屋及构筑物、通用设备、专用设备、文物和陈列品、图书档案、家具用具装具及动植物这几种。学校固定资产有较多的低值易耗品，在使用过程中监管不力很容易损坏，学校应重视资产的管理，延长资产使用寿命。提高资产的使用效率</w:t>
      </w:r>
      <w:r>
        <w:rPr>
          <w:rFonts w:hint="eastAsia" w:ascii="仿宋_GB2312" w:eastAsia="仿宋_GB2312" w:cs="Times New Roman"/>
          <w:bCs/>
          <w:color w:val="000000"/>
          <w:kern w:val="0"/>
          <w:sz w:val="32"/>
          <w:szCs w:val="32"/>
          <w:lang w:val="en-US" w:eastAsia="zh-CN" w:bidi="ar-SA"/>
        </w:rPr>
        <w:t>。</w:t>
      </w:r>
    </w:p>
    <w:p>
      <w:pPr>
        <w:pageBreakBefore w:val="0"/>
        <w:kinsoku/>
        <w:wordWrap/>
        <w:overflowPunct/>
        <w:topLinePunct w:val="0"/>
        <w:autoSpaceDE/>
        <w:autoSpaceDN/>
        <w:bidi w:val="0"/>
        <w:spacing w:line="560" w:lineRule="exact"/>
        <w:ind w:left="0" w:leftChars="0" w:firstLine="640" w:firstLineChars="200"/>
        <w:textAlignment w:val="auto"/>
        <w:rPr>
          <w:rFonts w:ascii="仿宋_GB2312" w:hAnsi="仿宋_GB2312" w:eastAsia="仿宋_GB2312" w:cs="仿宋_GB2312"/>
          <w:sz w:val="32"/>
          <w:szCs w:val="32"/>
        </w:rPr>
      </w:pPr>
      <w:r>
        <w:rPr>
          <w:rFonts w:ascii="仿宋_GB2312" w:hAnsi="仿宋_GB2312" w:eastAsia="仿宋_GB2312" w:cs="仿宋_GB2312"/>
          <w:sz w:val="32"/>
          <w:szCs w:val="32"/>
        </w:rPr>
        <w:t>2</w:t>
      </w:r>
      <w:r>
        <w:rPr>
          <w:rFonts w:hint="eastAsia" w:ascii="仿宋_GB2312" w:hAnsi="仿宋_GB2312" w:eastAsia="仿宋_GB2312" w:cs="仿宋_GB2312"/>
          <w:sz w:val="32"/>
          <w:szCs w:val="32"/>
          <w:lang w:val="en-US" w:eastAsia="zh-CN"/>
        </w:rPr>
        <w:t>.</w:t>
      </w:r>
      <w:r>
        <w:rPr>
          <w:rFonts w:hint="eastAsia" w:ascii="仿宋_GB2312" w:hAnsi="仿宋_GB2312" w:eastAsia="仿宋_GB2312" w:cs="仿宋_GB2312"/>
          <w:sz w:val="32"/>
          <w:szCs w:val="32"/>
        </w:rPr>
        <w:t>内控管理</w:t>
      </w:r>
    </w:p>
    <w:p>
      <w:pPr>
        <w:pageBreakBefore w:val="0"/>
        <w:kinsoku/>
        <w:wordWrap/>
        <w:overflowPunct/>
        <w:topLinePunct w:val="0"/>
        <w:autoSpaceDE/>
        <w:autoSpaceDN/>
        <w:bidi w:val="0"/>
        <w:spacing w:line="560" w:lineRule="exact"/>
        <w:ind w:left="0" w:leftChars="0" w:firstLine="640" w:firstLineChars="200"/>
        <w:textAlignment w:val="auto"/>
        <w:rPr>
          <w:rFonts w:hint="eastAsia" w:ascii="仿宋_GB2312" w:hAnsi="Times New Roman" w:eastAsia="仿宋_GB2312" w:cs="Times New Roman"/>
          <w:bCs/>
          <w:color w:val="000000"/>
          <w:kern w:val="0"/>
          <w:sz w:val="32"/>
          <w:szCs w:val="32"/>
          <w:lang w:val="en-US" w:eastAsia="zh-CN" w:bidi="ar-SA"/>
        </w:rPr>
      </w:pPr>
      <w:r>
        <w:rPr>
          <w:rFonts w:hint="eastAsia" w:ascii="仿宋_GB2312" w:hAnsi="Times New Roman" w:eastAsia="仿宋_GB2312" w:cs="Times New Roman"/>
          <w:bCs/>
          <w:color w:val="000000"/>
          <w:kern w:val="0"/>
          <w:sz w:val="32"/>
          <w:szCs w:val="32"/>
          <w:lang w:val="en-US" w:eastAsia="zh-CN" w:bidi="ar-SA"/>
        </w:rPr>
        <w:t>加强财务内部控制制度的认识，健全完善部门内控制度，形成常态的规划管理。明确业务分工，运用不相容岗位相互分离、提高风险防范能力。信息内部公开等内部控制基本方法，加强对单位层面和业务层面的内部控制，实现内部控制体系全面、有效实施。建立单位内控监督约束机制，确保资金安全、合理、有效使用，提高学校管理水平，保证学校协调、持续、稳定发展。</w:t>
      </w:r>
    </w:p>
    <w:p>
      <w:pPr>
        <w:pageBreakBefore w:val="0"/>
        <w:kinsoku/>
        <w:wordWrap/>
        <w:overflowPunct/>
        <w:topLinePunct w:val="0"/>
        <w:autoSpaceDE/>
        <w:autoSpaceDN/>
        <w:bidi w:val="0"/>
        <w:spacing w:line="560" w:lineRule="exact"/>
        <w:ind w:left="0" w:leftChars="0"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3</w:t>
      </w:r>
      <w:r>
        <w:rPr>
          <w:rFonts w:hint="eastAsia" w:ascii="仿宋_GB2312" w:hAnsi="仿宋_GB2312" w:eastAsia="仿宋_GB2312" w:cs="仿宋_GB2312"/>
          <w:sz w:val="32"/>
          <w:szCs w:val="32"/>
          <w:lang w:val="en-US" w:eastAsia="zh-CN"/>
        </w:rPr>
        <w:t>.</w:t>
      </w:r>
      <w:r>
        <w:rPr>
          <w:rFonts w:hint="eastAsia" w:ascii="仿宋_GB2312" w:hAnsi="仿宋_GB2312" w:eastAsia="仿宋_GB2312" w:cs="仿宋_GB2312"/>
          <w:sz w:val="32"/>
          <w:szCs w:val="32"/>
        </w:rPr>
        <w:t>绩效管理</w:t>
      </w:r>
    </w:p>
    <w:p>
      <w:pPr>
        <w:pStyle w:val="13"/>
        <w:pageBreakBefore w:val="0"/>
        <w:shd w:val="clear" w:color="auto" w:fill="FFFFFF"/>
        <w:kinsoku/>
        <w:wordWrap/>
        <w:overflowPunct/>
        <w:topLinePunct w:val="0"/>
        <w:autoSpaceDE/>
        <w:autoSpaceDN/>
        <w:bidi w:val="0"/>
        <w:spacing w:before="0" w:beforeAutospacing="0" w:after="0" w:afterAutospacing="0" w:line="560" w:lineRule="exact"/>
        <w:ind w:left="0" w:leftChars="0" w:firstLine="640" w:firstLineChars="200"/>
        <w:textAlignment w:val="auto"/>
        <w:rPr>
          <w:rFonts w:hint="eastAsia" w:ascii="仿宋_GB2312" w:hAnsi="Times New Roman" w:eastAsia="仿宋_GB2312" w:cs="Times New Roman"/>
          <w:bCs/>
          <w:color w:val="000000"/>
          <w:kern w:val="0"/>
          <w:sz w:val="32"/>
          <w:szCs w:val="32"/>
          <w:lang w:val="en-US" w:eastAsia="zh-CN" w:bidi="ar-SA"/>
        </w:rPr>
      </w:pPr>
      <w:r>
        <w:rPr>
          <w:rFonts w:hint="eastAsia" w:ascii="仿宋_GB2312" w:hAnsi="Times New Roman" w:eastAsia="仿宋_GB2312" w:cs="Times New Roman"/>
          <w:bCs/>
          <w:color w:val="000000"/>
          <w:kern w:val="0"/>
          <w:sz w:val="32"/>
          <w:szCs w:val="32"/>
          <w:lang w:val="en-US" w:eastAsia="zh-CN" w:bidi="ar-SA"/>
        </w:rPr>
        <w:t>学校坚持多劳多得、注重实效、优绩优效的原则，把师德放在首位。我单位教师年度考核是绩效考核的主要依据，学校按照教师绩效考核的名次进行进行分配。重点考核教师拓展专业知识，提高教育教学能力的情况，包括教师技能培训、完成规定的教师继续教育任务，参与教学教研等方面的情况，还通过教师考勤、工作量、教育教学效果等内容进行进行绩效考核。学校应该进一步提高预算绩效评价质量使教师们满意。　</w:t>
      </w:r>
    </w:p>
    <w:p>
      <w:pPr>
        <w:pageBreakBefore w:val="0"/>
        <w:kinsoku/>
        <w:wordWrap/>
        <w:overflowPunct/>
        <w:topLinePunct w:val="0"/>
        <w:autoSpaceDE/>
        <w:autoSpaceDN/>
        <w:bidi w:val="0"/>
        <w:spacing w:line="560" w:lineRule="exact"/>
        <w:ind w:left="0" w:leftChars="0"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4</w:t>
      </w:r>
      <w:r>
        <w:rPr>
          <w:rFonts w:hint="eastAsia" w:ascii="仿宋_GB2312" w:hAnsi="仿宋_GB2312" w:eastAsia="仿宋_GB2312" w:cs="仿宋_GB2312"/>
          <w:sz w:val="32"/>
          <w:szCs w:val="32"/>
          <w:lang w:val="en-US" w:eastAsia="zh-CN"/>
        </w:rPr>
        <w:t>.</w:t>
      </w:r>
      <w:r>
        <w:rPr>
          <w:rFonts w:hint="eastAsia" w:ascii="仿宋_GB2312" w:hAnsi="仿宋_GB2312" w:eastAsia="仿宋_GB2312" w:cs="仿宋_GB2312"/>
          <w:sz w:val="32"/>
          <w:szCs w:val="32"/>
        </w:rPr>
        <w:t>信息公开</w:t>
      </w:r>
    </w:p>
    <w:p>
      <w:pPr>
        <w:pageBreakBefore w:val="0"/>
        <w:widowControl/>
        <w:kinsoku/>
        <w:wordWrap/>
        <w:overflowPunct/>
        <w:topLinePunct w:val="0"/>
        <w:autoSpaceDE/>
        <w:autoSpaceDN/>
        <w:bidi w:val="0"/>
        <w:adjustRightInd w:val="0"/>
        <w:snapToGrid w:val="0"/>
        <w:spacing w:line="560" w:lineRule="exact"/>
        <w:ind w:left="0" w:leftChars="0" w:firstLine="640" w:firstLineChars="200"/>
        <w:jc w:val="left"/>
        <w:textAlignment w:val="auto"/>
        <w:rPr>
          <w:rFonts w:hint="eastAsia" w:ascii="仿宋_GB2312" w:hAnsi="Times New Roman" w:eastAsia="仿宋_GB2312" w:cs="Times New Roman"/>
          <w:bCs/>
          <w:color w:val="000000"/>
          <w:kern w:val="0"/>
          <w:sz w:val="32"/>
          <w:szCs w:val="32"/>
          <w:lang w:val="en-US" w:eastAsia="zh-CN" w:bidi="ar-SA"/>
        </w:rPr>
      </w:pPr>
      <w:r>
        <w:rPr>
          <w:rFonts w:hint="eastAsia" w:ascii="仿宋_GB2312" w:hAnsi="Times New Roman" w:eastAsia="仿宋_GB2312" w:cs="Times New Roman"/>
          <w:bCs/>
          <w:color w:val="000000"/>
          <w:kern w:val="0"/>
          <w:sz w:val="32"/>
          <w:szCs w:val="32"/>
          <w:lang w:val="en-US" w:eastAsia="zh-CN" w:bidi="ar-SA"/>
        </w:rPr>
        <w:t>我单位按照政府信息公开应当遵循合法、真实、及时便民的原则，经财政部门对我校公开的信息进行真实性的审查，在信息公开办网站上进行了预决算公开。</w:t>
      </w:r>
    </w:p>
    <w:p>
      <w:pPr>
        <w:pageBreakBefore w:val="0"/>
        <w:kinsoku/>
        <w:wordWrap/>
        <w:overflowPunct/>
        <w:topLinePunct w:val="0"/>
        <w:autoSpaceDE/>
        <w:autoSpaceDN/>
        <w:bidi w:val="0"/>
        <w:spacing w:line="560" w:lineRule="exact"/>
        <w:ind w:left="0" w:leftChars="0"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5</w:t>
      </w:r>
      <w:r>
        <w:rPr>
          <w:rFonts w:hint="eastAsia" w:ascii="仿宋_GB2312" w:hAnsi="仿宋_GB2312" w:eastAsia="仿宋_GB2312" w:cs="仿宋_GB2312"/>
          <w:sz w:val="32"/>
          <w:szCs w:val="32"/>
          <w:lang w:val="en-US" w:eastAsia="zh-CN"/>
        </w:rPr>
        <w:t>.</w:t>
      </w:r>
      <w:r>
        <w:rPr>
          <w:rFonts w:hint="eastAsia" w:ascii="仿宋_GB2312" w:hAnsi="仿宋_GB2312" w:eastAsia="仿宋_GB2312" w:cs="仿宋_GB2312"/>
          <w:sz w:val="32"/>
          <w:szCs w:val="32"/>
        </w:rPr>
        <w:t>财政监督</w:t>
      </w:r>
    </w:p>
    <w:p>
      <w:pPr>
        <w:pageBreakBefore w:val="0"/>
        <w:widowControl/>
        <w:kinsoku/>
        <w:wordWrap/>
        <w:overflowPunct/>
        <w:topLinePunct w:val="0"/>
        <w:autoSpaceDE/>
        <w:autoSpaceDN/>
        <w:bidi w:val="0"/>
        <w:adjustRightInd w:val="0"/>
        <w:snapToGrid w:val="0"/>
        <w:spacing w:line="560" w:lineRule="exact"/>
        <w:ind w:left="0" w:leftChars="0" w:firstLine="640" w:firstLineChars="200"/>
        <w:jc w:val="left"/>
        <w:textAlignment w:val="auto"/>
        <w:rPr>
          <w:rFonts w:hint="eastAsia" w:ascii="仿宋_GB2312" w:hAnsi="Times New Roman" w:eastAsia="仿宋_GB2312" w:cs="Times New Roman"/>
          <w:bCs/>
          <w:color w:val="000000"/>
          <w:kern w:val="0"/>
          <w:sz w:val="32"/>
          <w:szCs w:val="32"/>
          <w:lang w:val="en-US" w:eastAsia="zh-CN" w:bidi="ar-SA"/>
        </w:rPr>
      </w:pPr>
      <w:r>
        <w:rPr>
          <w:rFonts w:hint="eastAsia" w:ascii="仿宋_GB2312" w:hAnsi="Times New Roman" w:eastAsia="仿宋_GB2312" w:cs="Times New Roman"/>
          <w:bCs/>
          <w:color w:val="000000"/>
          <w:kern w:val="0"/>
          <w:sz w:val="32"/>
          <w:szCs w:val="32"/>
          <w:lang w:val="en-US" w:eastAsia="zh-CN" w:bidi="ar-SA"/>
        </w:rPr>
        <w:t>我校坚持将财政监督工作贯穿于学校的财务工作之中。确保财政监督工作的有效性实施，强化事前、事中、事后监督，提高财政监督信息化水平，逐步建立起预算编制、执行、监督紧密衔接，相互促进，实现对财政资金运行全过程的科学、规范、有效监督和管理。</w:t>
      </w:r>
    </w:p>
    <w:p>
      <w:pPr>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560" w:lineRule="exact"/>
        <w:ind w:left="0" w:leftChars="0" w:right="0" w:firstLine="640" w:firstLineChars="200"/>
        <w:jc w:val="left"/>
        <w:textAlignment w:val="auto"/>
        <w:rPr>
          <w:rFonts w:hint="eastAsia" w:ascii="楷体" w:hAnsi="楷体" w:eastAsia="楷体" w:cs="宋体"/>
          <w:color w:val="000000"/>
          <w:kern w:val="0"/>
          <w:lang w:val="zh-CN" w:eastAsia="zh-CN"/>
        </w:rPr>
      </w:pPr>
      <w:r>
        <w:rPr>
          <w:rFonts w:hint="eastAsia" w:ascii="楷体" w:hAnsi="楷体" w:eastAsia="楷体" w:cs="宋体"/>
          <w:color w:val="000000"/>
          <w:kern w:val="0"/>
          <w:sz w:val="32"/>
          <w:szCs w:val="24"/>
          <w:lang w:val="zh-CN" w:eastAsia="zh-CN" w:bidi="ar"/>
        </w:rPr>
        <w:t>（四）整体绩效</w:t>
      </w:r>
    </w:p>
    <w:p>
      <w:pPr>
        <w:pageBreakBefore w:val="0"/>
        <w:widowControl/>
        <w:kinsoku/>
        <w:wordWrap/>
        <w:overflowPunct/>
        <w:topLinePunct w:val="0"/>
        <w:autoSpaceDE/>
        <w:autoSpaceDN/>
        <w:bidi w:val="0"/>
        <w:spacing w:line="560" w:lineRule="exact"/>
        <w:ind w:left="0" w:leftChars="0" w:firstLine="640" w:firstLineChars="200"/>
        <w:jc w:val="left"/>
        <w:textAlignment w:val="auto"/>
        <w:rPr>
          <w:rFonts w:hint="eastAsia" w:ascii="仿宋_GB2312" w:hAnsi="Times New Roman" w:eastAsia="仿宋_GB2312" w:cs="Times New Roman"/>
          <w:bCs/>
          <w:color w:val="000000"/>
          <w:kern w:val="0"/>
          <w:sz w:val="32"/>
          <w:szCs w:val="32"/>
          <w:lang w:val="en-US" w:eastAsia="zh-CN" w:bidi="ar-SA"/>
        </w:rPr>
      </w:pPr>
      <w:r>
        <w:rPr>
          <w:rFonts w:hint="eastAsia" w:ascii="仿宋_GB2312" w:hAnsi="Times New Roman" w:eastAsia="仿宋_GB2312" w:cs="Times New Roman"/>
          <w:bCs/>
          <w:color w:val="000000"/>
          <w:kern w:val="0"/>
          <w:sz w:val="32"/>
          <w:szCs w:val="32"/>
          <w:lang w:val="en-US" w:eastAsia="zh-CN" w:bidi="ar-SA"/>
        </w:rPr>
        <w:t>学校提高预算绩效管理认识，强化以“绩效为中心、对支出结果负责、对社会公众负责”的理念，在绩效目标编制方面，针对绩效目标设置指向不清、预算和目标匹配不足，数量目标和质量目标量化不细，效益目标编制不完整等方面加以了改善。加强预算绩效动态监控管理，加强相关人员的业务培训，进一步扩大预算绩效评价范围。</w:t>
      </w:r>
    </w:p>
    <w:p>
      <w:pPr>
        <w:pStyle w:val="12"/>
        <w:pageBreakBefore w:val="0"/>
        <w:shd w:val="clear" w:color="auto" w:fill="FFFFFF"/>
        <w:kinsoku/>
        <w:wordWrap/>
        <w:overflowPunct/>
        <w:topLinePunct w:val="0"/>
        <w:autoSpaceDE/>
        <w:autoSpaceDN/>
        <w:bidi w:val="0"/>
        <w:spacing w:line="560" w:lineRule="exact"/>
        <w:ind w:left="0" w:leftChars="0" w:firstLine="640" w:firstLineChars="200"/>
        <w:textAlignment w:val="auto"/>
        <w:rPr>
          <w:rFonts w:hint="eastAsia" w:ascii="仿宋_GB2312" w:hAnsi="Times New Roman" w:eastAsia="仿宋_GB2312" w:cs="Times New Roman"/>
          <w:bCs/>
          <w:color w:val="000000"/>
          <w:kern w:val="0"/>
          <w:sz w:val="32"/>
          <w:szCs w:val="32"/>
          <w:lang w:val="zh-CN" w:eastAsia="zh-CN" w:bidi="ar-SA"/>
        </w:rPr>
      </w:pPr>
      <w:r>
        <w:rPr>
          <w:rFonts w:hint="eastAsia" w:ascii="仿宋_GB2312" w:hAnsi="Times New Roman" w:eastAsia="仿宋_GB2312" w:cs="Times New Roman"/>
          <w:bCs/>
          <w:color w:val="000000"/>
          <w:kern w:val="0"/>
          <w:sz w:val="32"/>
          <w:szCs w:val="32"/>
          <w:lang w:val="en-US" w:eastAsia="zh-CN" w:bidi="ar-SA"/>
        </w:rPr>
        <w:t>对财务管理进行规范化，同财政部门及时沟通学习，积极进行财政部门组织的决算、编报、审核等方面工作按时完成，认真如实填报。不断强化预算意识，实行部门综合预算管理，保证预算编制质量。结合单位情况，进行科学合理分配细化，部门预算经批复后，科学合理安排支出，降低预算支出的波动幅度。对预算和决算公开工作、及主管部门对所属单位按规定批复决算的各项工作按规定批复决算的各项工作按规定认真执行。</w:t>
      </w:r>
    </w:p>
    <w:p>
      <w:pPr>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560" w:lineRule="exact"/>
        <w:ind w:left="0" w:leftChars="0" w:right="0" w:firstLine="640" w:firstLineChars="200"/>
        <w:jc w:val="left"/>
        <w:textAlignment w:val="auto"/>
        <w:rPr>
          <w:rFonts w:hint="eastAsia" w:ascii="黑体" w:hAnsi="宋体" w:eastAsia="黑体" w:cs="宋体"/>
          <w:color w:val="000000"/>
          <w:kern w:val="0"/>
          <w:lang w:val="en-US"/>
        </w:rPr>
      </w:pPr>
      <w:r>
        <w:rPr>
          <w:rFonts w:hint="eastAsia" w:ascii="黑体" w:hAnsi="宋体" w:eastAsia="黑体" w:cs="宋体"/>
          <w:color w:val="000000"/>
          <w:kern w:val="0"/>
          <w:sz w:val="32"/>
          <w:szCs w:val="24"/>
          <w:lang w:val="en-US" w:eastAsia="zh-CN" w:bidi="ar"/>
        </w:rPr>
        <w:t>四、评价结论及建议</w:t>
      </w:r>
    </w:p>
    <w:p>
      <w:pPr>
        <w:pageBreakBefore w:val="0"/>
        <w:kinsoku/>
        <w:wordWrap/>
        <w:overflowPunct/>
        <w:topLinePunct w:val="0"/>
        <w:autoSpaceDE/>
        <w:autoSpaceDN/>
        <w:bidi w:val="0"/>
        <w:spacing w:line="560" w:lineRule="exact"/>
        <w:ind w:left="0" w:leftChars="0" w:firstLine="640" w:firstLineChars="200"/>
        <w:textAlignment w:val="auto"/>
        <w:rPr>
          <w:rFonts w:hint="eastAsia" w:ascii="楷体" w:hAnsi="楷体" w:eastAsia="楷体" w:cs="楷体"/>
          <w:sz w:val="32"/>
          <w:szCs w:val="32"/>
        </w:rPr>
      </w:pPr>
      <w:r>
        <w:rPr>
          <w:rFonts w:hint="eastAsia" w:ascii="楷体" w:hAnsi="楷体" w:eastAsia="楷体" w:cs="楷体"/>
          <w:sz w:val="32"/>
          <w:szCs w:val="32"/>
          <w:lang w:val="zh-CN"/>
        </w:rPr>
        <w:t>(一）评价结论</w:t>
      </w:r>
    </w:p>
    <w:p>
      <w:pPr>
        <w:pageBreakBefore w:val="0"/>
        <w:widowControl/>
        <w:kinsoku/>
        <w:wordWrap/>
        <w:overflowPunct/>
        <w:topLinePunct w:val="0"/>
        <w:autoSpaceDE/>
        <w:autoSpaceDN/>
        <w:bidi w:val="0"/>
        <w:adjustRightInd w:val="0"/>
        <w:snapToGrid w:val="0"/>
        <w:spacing w:line="560" w:lineRule="exact"/>
        <w:ind w:left="0" w:leftChars="0" w:firstLine="640" w:firstLineChars="200"/>
        <w:jc w:val="left"/>
        <w:textAlignment w:val="auto"/>
        <w:rPr>
          <w:rFonts w:hint="eastAsia" w:ascii="仿宋_GB2312" w:hAnsi="Times New Roman" w:eastAsia="仿宋_GB2312" w:cs="Times New Roman"/>
          <w:bCs/>
          <w:color w:val="000000"/>
          <w:kern w:val="0"/>
          <w:sz w:val="32"/>
          <w:szCs w:val="32"/>
          <w:lang w:val="en-US" w:eastAsia="zh-CN" w:bidi="ar-SA"/>
        </w:rPr>
      </w:pPr>
      <w:r>
        <w:rPr>
          <w:rFonts w:hint="eastAsia" w:ascii="仿宋_GB2312" w:hAnsi="Times New Roman" w:eastAsia="仿宋_GB2312" w:cs="Times New Roman"/>
          <w:bCs/>
          <w:color w:val="000000"/>
          <w:kern w:val="0"/>
          <w:sz w:val="32"/>
          <w:szCs w:val="32"/>
          <w:lang w:val="zh-CN" w:eastAsia="zh-CN" w:bidi="ar-SA"/>
        </w:rPr>
        <w:t>在上级部门的领导下，</w:t>
      </w:r>
      <w:r>
        <w:rPr>
          <w:rFonts w:hint="eastAsia" w:ascii="仿宋_GB2312" w:hAnsi="Times New Roman" w:eastAsia="仿宋_GB2312" w:cs="Times New Roman"/>
          <w:bCs/>
          <w:color w:val="000000"/>
          <w:kern w:val="0"/>
          <w:sz w:val="32"/>
          <w:szCs w:val="32"/>
          <w:lang w:val="en-US" w:eastAsia="zh-CN" w:bidi="ar-SA"/>
        </w:rPr>
        <w:t>我单位扎实工作，全面完成了各项工作任务，按照年初预算进行部门整体支出，在支出过程中，能遵守各项规章制度基本按方案组织实施，并加强了监督，达到了节约、高效的支出目标。始终突出工作重点，积极发挥综合协调作用。筹落实各项任务，推动面上工作平衡发展。认真履行主体责任，切实加强干部队伍建设。我单位对财务管理进行规范化，同财政部门及时沟通学习，积极进行财政部门组织的决算、编报、审核等方面工作按时完成，认真如实填报。不断强化预算意识，实行部门综合预算管理，保证预算编制质量。结合单位情况，进行科学合理分配细化，部门预算经批复后，科学合理安排支出，降低预算支出的波动幅度。对预算和决算公开工作、及主管部门对所属单位按规定批复决算的各项工作按规定认真执行。</w:t>
      </w:r>
    </w:p>
    <w:p>
      <w:pPr>
        <w:pageBreakBefore w:val="0"/>
        <w:kinsoku/>
        <w:wordWrap/>
        <w:overflowPunct/>
        <w:topLinePunct w:val="0"/>
        <w:autoSpaceDE/>
        <w:autoSpaceDN/>
        <w:bidi w:val="0"/>
        <w:spacing w:line="560" w:lineRule="exact"/>
        <w:ind w:left="0" w:leftChars="0" w:firstLine="640" w:firstLineChars="200"/>
        <w:textAlignment w:val="auto"/>
        <w:rPr>
          <w:rFonts w:hint="eastAsia" w:ascii="楷体" w:hAnsi="楷体" w:eastAsia="楷体" w:cs="楷体"/>
          <w:sz w:val="32"/>
          <w:szCs w:val="32"/>
          <w:lang w:val="zh-CN" w:eastAsia="zh-CN"/>
        </w:rPr>
      </w:pPr>
      <w:r>
        <w:rPr>
          <w:rFonts w:hint="eastAsia" w:ascii="楷体" w:hAnsi="楷体" w:eastAsia="楷体" w:cs="楷体"/>
          <w:sz w:val="32"/>
          <w:szCs w:val="32"/>
          <w:lang w:val="zh-CN" w:eastAsia="zh-CN"/>
        </w:rPr>
        <w:t>（二）存在问题</w:t>
      </w:r>
    </w:p>
    <w:p>
      <w:pPr>
        <w:pStyle w:val="13"/>
        <w:pageBreakBefore w:val="0"/>
        <w:shd w:val="clear" w:color="auto" w:fill="FFFFFF"/>
        <w:kinsoku/>
        <w:wordWrap/>
        <w:overflowPunct/>
        <w:topLinePunct w:val="0"/>
        <w:autoSpaceDE/>
        <w:autoSpaceDN/>
        <w:bidi w:val="0"/>
        <w:spacing w:before="0" w:beforeAutospacing="0" w:after="0" w:afterAutospacing="0" w:line="560" w:lineRule="exact"/>
        <w:ind w:left="0" w:leftChars="0" w:firstLine="640" w:firstLineChars="200"/>
        <w:textAlignment w:val="auto"/>
        <w:rPr>
          <w:rFonts w:ascii="??_GB2312" w:hAnsi="宋体" w:eastAsia="Times New Roman" w:cs="宋体"/>
          <w:color w:val="000000"/>
          <w:kern w:val="0"/>
          <w:lang w:val="zh-CN"/>
        </w:rPr>
      </w:pPr>
      <w:r>
        <w:rPr>
          <w:rFonts w:hint="eastAsia" w:ascii="仿宋_GB2312" w:hAnsi="Times New Roman" w:eastAsia="仿宋_GB2312" w:cs="Times New Roman"/>
          <w:bCs/>
          <w:color w:val="000000"/>
          <w:kern w:val="0"/>
          <w:sz w:val="32"/>
          <w:szCs w:val="32"/>
          <w:lang w:val="en-US" w:eastAsia="zh-CN" w:bidi="ar-SA"/>
        </w:rPr>
        <w:t>绩效评价指标体系还不够完善、合理，绩效资金预算有待进一步规范，绩效评价管理制度尚不健全。绩效评价开展缺乏强有力的制度保障。绩效评价指标体系还不够完善、合理，绩效资金预算有待进一步规范。</w:t>
      </w:r>
    </w:p>
    <w:p>
      <w:pPr>
        <w:pageBreakBefore w:val="0"/>
        <w:kinsoku/>
        <w:wordWrap/>
        <w:overflowPunct/>
        <w:topLinePunct w:val="0"/>
        <w:autoSpaceDE/>
        <w:autoSpaceDN/>
        <w:bidi w:val="0"/>
        <w:spacing w:line="560" w:lineRule="exact"/>
        <w:ind w:left="0" w:leftChars="0" w:firstLine="640" w:firstLineChars="200"/>
        <w:textAlignment w:val="auto"/>
        <w:rPr>
          <w:rFonts w:hint="eastAsia" w:ascii="楷体" w:hAnsi="楷体" w:eastAsia="楷体" w:cs="楷体"/>
          <w:sz w:val="32"/>
          <w:szCs w:val="32"/>
          <w:lang w:val="zh-CN"/>
        </w:rPr>
      </w:pPr>
      <w:r>
        <w:rPr>
          <w:rFonts w:hint="eastAsia" w:ascii="楷体" w:hAnsi="楷体" w:eastAsia="楷体" w:cs="楷体"/>
          <w:sz w:val="32"/>
          <w:szCs w:val="32"/>
          <w:lang w:val="zh-CN"/>
        </w:rPr>
        <w:t>（三）改进建议</w:t>
      </w:r>
    </w:p>
    <w:p>
      <w:pPr>
        <w:pageBreakBefore w:val="0"/>
        <w:widowControl/>
        <w:kinsoku/>
        <w:wordWrap/>
        <w:overflowPunct/>
        <w:topLinePunct w:val="0"/>
        <w:autoSpaceDE/>
        <w:autoSpaceDN/>
        <w:bidi w:val="0"/>
        <w:adjustRightInd w:val="0"/>
        <w:snapToGrid w:val="0"/>
        <w:spacing w:line="560" w:lineRule="exact"/>
        <w:ind w:left="0" w:leftChars="0" w:firstLine="640" w:firstLineChars="200"/>
        <w:jc w:val="left"/>
        <w:textAlignment w:val="auto"/>
        <w:rPr>
          <w:rFonts w:hint="eastAsia" w:ascii="仿宋_GB2312" w:hAnsi="Times New Roman" w:eastAsia="仿宋_GB2312" w:cs="Times New Roman"/>
          <w:bCs/>
          <w:color w:val="000000"/>
          <w:kern w:val="0"/>
          <w:sz w:val="32"/>
          <w:szCs w:val="32"/>
          <w:lang w:val="en-US" w:eastAsia="zh-CN" w:bidi="ar-SA"/>
        </w:rPr>
      </w:pPr>
      <w:r>
        <w:rPr>
          <w:rFonts w:hint="eastAsia" w:ascii="仿宋_GB2312" w:hAnsi="Times New Roman" w:eastAsia="仿宋_GB2312" w:cs="Times New Roman"/>
          <w:bCs/>
          <w:color w:val="000000"/>
          <w:kern w:val="0"/>
          <w:sz w:val="32"/>
          <w:szCs w:val="32"/>
          <w:lang w:val="en-US" w:eastAsia="zh-CN" w:bidi="ar-SA"/>
        </w:rPr>
        <w:t>加强资金管理，确保专款专用，切实提高资金使用绩效。主管部门应指导和督促各单位根据评价建议及时拟定整改方案，明确整改步骤。对绩效评价工作流程进行指导和监督，督促其改进预算和管理工作。学校应建立健全绩效评价制度，更好的确保资金的规范使用。</w:t>
      </w:r>
    </w:p>
    <w:bookmarkEnd w:id="59"/>
    <w:bookmarkEnd w:id="62"/>
    <w:p>
      <w:pPr>
        <w:rPr>
          <w:rFonts w:hint="eastAsia" w:ascii="黑体" w:hAnsi="黑体" w:eastAsia="黑体"/>
          <w:color w:val="000000"/>
          <w:sz w:val="44"/>
          <w:szCs w:val="44"/>
        </w:rPr>
      </w:pPr>
      <w:bookmarkStart w:id="63" w:name="_Toc11446"/>
      <w:r>
        <w:rPr>
          <w:rFonts w:hint="eastAsia" w:ascii="黑体" w:hAnsi="黑体" w:eastAsia="黑体"/>
          <w:color w:val="000000"/>
          <w:sz w:val="44"/>
          <w:szCs w:val="44"/>
        </w:rPr>
        <w:br w:type="page"/>
      </w:r>
    </w:p>
    <w:p>
      <w:pPr>
        <w:pageBreakBefore w:val="0"/>
        <w:kinsoku/>
        <w:wordWrap/>
        <w:overflowPunct/>
        <w:topLinePunct w:val="0"/>
        <w:autoSpaceDE/>
        <w:autoSpaceDN/>
        <w:bidi w:val="0"/>
        <w:spacing w:line="560" w:lineRule="exact"/>
        <w:jc w:val="center"/>
        <w:textAlignment w:val="auto"/>
        <w:outlineLvl w:val="0"/>
        <w:rPr>
          <w:rStyle w:val="26"/>
          <w:rFonts w:hint="eastAsia" w:ascii="黑体" w:hAnsi="黑体" w:eastAsia="黑体"/>
          <w:b w:val="0"/>
        </w:rPr>
      </w:pPr>
      <w:r>
        <w:rPr>
          <w:rFonts w:hint="eastAsia" w:ascii="黑体" w:hAnsi="黑体" w:eastAsia="黑体"/>
          <w:color w:val="000000"/>
          <w:sz w:val="44"/>
          <w:szCs w:val="44"/>
        </w:rPr>
        <w:t>第</w:t>
      </w:r>
      <w:r>
        <w:rPr>
          <w:rStyle w:val="26"/>
          <w:rFonts w:hint="eastAsia" w:ascii="黑体" w:hAnsi="黑体" w:eastAsia="黑体"/>
          <w:b w:val="0"/>
        </w:rPr>
        <w:t>五部分 附表</w:t>
      </w:r>
      <w:bookmarkEnd w:id="63"/>
    </w:p>
    <w:p>
      <w:pPr>
        <w:pStyle w:val="3"/>
        <w:pageBreakBefore w:val="0"/>
        <w:kinsoku/>
        <w:wordWrap/>
        <w:overflowPunct/>
        <w:topLinePunct w:val="0"/>
        <w:autoSpaceDE/>
        <w:autoSpaceDN/>
        <w:bidi w:val="0"/>
        <w:spacing w:before="0" w:after="0" w:line="560" w:lineRule="exact"/>
        <w:ind w:left="0" w:leftChars="0" w:firstLine="640" w:firstLineChars="200"/>
        <w:textAlignment w:val="auto"/>
        <w:rPr>
          <w:rStyle w:val="32"/>
          <w:rFonts w:hint="eastAsia" w:ascii="仿宋" w:hAnsi="仿宋" w:eastAsia="仿宋" w:cs="Times New Roman"/>
          <w:b w:val="0"/>
          <w:bCs w:val="0"/>
        </w:rPr>
      </w:pPr>
      <w:bookmarkStart w:id="64" w:name="_Toc30433"/>
      <w:r>
        <w:rPr>
          <w:rStyle w:val="32"/>
          <w:rFonts w:hint="eastAsia" w:ascii="仿宋" w:hAnsi="仿宋" w:eastAsia="仿宋" w:cs="Times New Roman"/>
          <w:b w:val="0"/>
          <w:bCs w:val="0"/>
          <w:lang w:eastAsia="zh-CN"/>
        </w:rPr>
        <w:t>一、</w:t>
      </w:r>
      <w:r>
        <w:rPr>
          <w:rStyle w:val="32"/>
          <w:rFonts w:hint="eastAsia" w:ascii="仿宋" w:hAnsi="仿宋" w:eastAsia="仿宋" w:cs="Times New Roman"/>
          <w:b w:val="0"/>
          <w:bCs w:val="0"/>
        </w:rPr>
        <w:t>收入支出决算总表</w:t>
      </w:r>
      <w:bookmarkEnd w:id="64"/>
    </w:p>
    <w:p>
      <w:pPr>
        <w:pStyle w:val="3"/>
        <w:pageBreakBefore w:val="0"/>
        <w:kinsoku/>
        <w:wordWrap/>
        <w:overflowPunct/>
        <w:topLinePunct w:val="0"/>
        <w:autoSpaceDE/>
        <w:autoSpaceDN/>
        <w:bidi w:val="0"/>
        <w:spacing w:before="0" w:after="0" w:line="560" w:lineRule="exact"/>
        <w:ind w:left="0" w:leftChars="0" w:firstLine="640" w:firstLineChars="200"/>
        <w:textAlignment w:val="auto"/>
        <w:rPr>
          <w:rStyle w:val="32"/>
          <w:rFonts w:hint="eastAsia" w:ascii="仿宋" w:hAnsi="仿宋" w:eastAsia="仿宋" w:cs="Times New Roman"/>
          <w:b w:val="0"/>
          <w:bCs w:val="0"/>
        </w:rPr>
      </w:pPr>
      <w:bookmarkStart w:id="65" w:name="_Toc23254"/>
      <w:r>
        <w:rPr>
          <w:rStyle w:val="32"/>
          <w:rFonts w:hint="eastAsia" w:ascii="仿宋" w:hAnsi="仿宋" w:eastAsia="仿宋" w:cs="Times New Roman"/>
          <w:b w:val="0"/>
          <w:bCs w:val="0"/>
        </w:rPr>
        <w:t>二、收入总表</w:t>
      </w:r>
      <w:bookmarkEnd w:id="65"/>
    </w:p>
    <w:p>
      <w:pPr>
        <w:pStyle w:val="3"/>
        <w:pageBreakBefore w:val="0"/>
        <w:kinsoku/>
        <w:wordWrap/>
        <w:overflowPunct/>
        <w:topLinePunct w:val="0"/>
        <w:autoSpaceDE/>
        <w:autoSpaceDN/>
        <w:bidi w:val="0"/>
        <w:spacing w:before="0" w:after="0" w:line="560" w:lineRule="exact"/>
        <w:ind w:left="0" w:leftChars="0" w:firstLine="640" w:firstLineChars="200"/>
        <w:textAlignment w:val="auto"/>
        <w:rPr>
          <w:rStyle w:val="32"/>
          <w:rFonts w:hint="eastAsia" w:ascii="仿宋" w:hAnsi="仿宋" w:eastAsia="仿宋" w:cs="Times New Roman"/>
          <w:b w:val="0"/>
          <w:bCs w:val="0"/>
        </w:rPr>
      </w:pPr>
      <w:bookmarkStart w:id="66" w:name="_Toc29638"/>
      <w:r>
        <w:rPr>
          <w:rStyle w:val="32"/>
          <w:rFonts w:hint="eastAsia" w:ascii="仿宋" w:hAnsi="仿宋" w:eastAsia="仿宋" w:cs="Times New Roman"/>
          <w:b w:val="0"/>
          <w:bCs w:val="0"/>
        </w:rPr>
        <w:t>三、支出总表</w:t>
      </w:r>
      <w:bookmarkEnd w:id="66"/>
    </w:p>
    <w:p>
      <w:pPr>
        <w:pStyle w:val="3"/>
        <w:pageBreakBefore w:val="0"/>
        <w:kinsoku/>
        <w:wordWrap/>
        <w:overflowPunct/>
        <w:topLinePunct w:val="0"/>
        <w:autoSpaceDE/>
        <w:autoSpaceDN/>
        <w:bidi w:val="0"/>
        <w:spacing w:before="0" w:after="0" w:line="560" w:lineRule="exact"/>
        <w:ind w:left="0" w:leftChars="0" w:firstLine="640" w:firstLineChars="200"/>
        <w:textAlignment w:val="auto"/>
        <w:rPr>
          <w:rStyle w:val="32"/>
          <w:rFonts w:hint="eastAsia" w:ascii="仿宋" w:hAnsi="仿宋" w:eastAsia="仿宋" w:cs="Times New Roman"/>
          <w:b w:val="0"/>
          <w:bCs w:val="0"/>
        </w:rPr>
      </w:pPr>
      <w:bookmarkStart w:id="67" w:name="_Toc30198"/>
      <w:r>
        <w:rPr>
          <w:rStyle w:val="32"/>
          <w:rFonts w:hint="eastAsia" w:ascii="仿宋" w:hAnsi="仿宋" w:eastAsia="仿宋" w:cs="Times New Roman"/>
          <w:b w:val="0"/>
          <w:bCs w:val="0"/>
        </w:rPr>
        <w:t>四、财政拨款收入支出决算总表</w:t>
      </w:r>
      <w:bookmarkEnd w:id="67"/>
    </w:p>
    <w:p>
      <w:pPr>
        <w:pStyle w:val="3"/>
        <w:pageBreakBefore w:val="0"/>
        <w:kinsoku/>
        <w:wordWrap/>
        <w:overflowPunct/>
        <w:topLinePunct w:val="0"/>
        <w:autoSpaceDE/>
        <w:autoSpaceDN/>
        <w:bidi w:val="0"/>
        <w:spacing w:before="0" w:after="0" w:line="560" w:lineRule="exact"/>
        <w:ind w:left="0" w:leftChars="0" w:firstLine="640" w:firstLineChars="200"/>
        <w:textAlignment w:val="auto"/>
        <w:rPr>
          <w:rStyle w:val="32"/>
          <w:rFonts w:hint="eastAsia" w:ascii="仿宋" w:hAnsi="仿宋" w:eastAsia="仿宋" w:cs="Times New Roman"/>
          <w:b w:val="0"/>
          <w:bCs w:val="0"/>
        </w:rPr>
      </w:pPr>
      <w:bookmarkStart w:id="68" w:name="_Toc30232"/>
      <w:r>
        <w:rPr>
          <w:rStyle w:val="32"/>
          <w:rFonts w:hint="eastAsia" w:ascii="仿宋" w:hAnsi="仿宋" w:eastAsia="仿宋" w:cs="Times New Roman"/>
          <w:b w:val="0"/>
          <w:bCs w:val="0"/>
        </w:rPr>
        <w:t>五、财政拨款支出决算明细表（政府经济分类科目）</w:t>
      </w:r>
      <w:bookmarkEnd w:id="68"/>
    </w:p>
    <w:p>
      <w:pPr>
        <w:pStyle w:val="3"/>
        <w:pageBreakBefore w:val="0"/>
        <w:kinsoku/>
        <w:wordWrap/>
        <w:overflowPunct/>
        <w:topLinePunct w:val="0"/>
        <w:autoSpaceDE/>
        <w:autoSpaceDN/>
        <w:bidi w:val="0"/>
        <w:spacing w:before="0" w:after="0" w:line="560" w:lineRule="exact"/>
        <w:ind w:left="0" w:leftChars="0" w:firstLine="640" w:firstLineChars="200"/>
        <w:textAlignment w:val="auto"/>
        <w:rPr>
          <w:rStyle w:val="32"/>
          <w:rFonts w:hint="eastAsia" w:ascii="仿宋" w:hAnsi="仿宋" w:eastAsia="仿宋" w:cs="Times New Roman"/>
          <w:b w:val="0"/>
          <w:bCs w:val="0"/>
        </w:rPr>
      </w:pPr>
      <w:bookmarkStart w:id="69" w:name="_Toc22671"/>
      <w:r>
        <w:rPr>
          <w:rStyle w:val="32"/>
          <w:rFonts w:hint="eastAsia" w:ascii="仿宋" w:hAnsi="仿宋" w:eastAsia="仿宋" w:cs="Times New Roman"/>
          <w:b w:val="0"/>
          <w:bCs w:val="0"/>
        </w:rPr>
        <w:t>六、一般公共预算财政拨款支出决算表</w:t>
      </w:r>
      <w:bookmarkEnd w:id="69"/>
    </w:p>
    <w:p>
      <w:pPr>
        <w:pStyle w:val="3"/>
        <w:pageBreakBefore w:val="0"/>
        <w:kinsoku/>
        <w:wordWrap/>
        <w:overflowPunct/>
        <w:topLinePunct w:val="0"/>
        <w:autoSpaceDE/>
        <w:autoSpaceDN/>
        <w:bidi w:val="0"/>
        <w:spacing w:before="0" w:after="0" w:line="560" w:lineRule="exact"/>
        <w:ind w:left="0" w:leftChars="0" w:firstLine="640" w:firstLineChars="200"/>
        <w:textAlignment w:val="auto"/>
        <w:rPr>
          <w:rStyle w:val="32"/>
          <w:rFonts w:hint="eastAsia" w:ascii="仿宋" w:hAnsi="仿宋" w:eastAsia="仿宋" w:cs="Times New Roman"/>
          <w:b w:val="0"/>
          <w:bCs w:val="0"/>
        </w:rPr>
      </w:pPr>
      <w:bookmarkStart w:id="70" w:name="_Toc25540"/>
      <w:r>
        <w:rPr>
          <w:rStyle w:val="32"/>
          <w:rFonts w:hint="eastAsia" w:ascii="仿宋" w:hAnsi="仿宋" w:eastAsia="仿宋" w:cs="Times New Roman"/>
          <w:b w:val="0"/>
          <w:bCs w:val="0"/>
        </w:rPr>
        <w:t>七、一般公共预算财政拨款支出决算明细表</w:t>
      </w:r>
      <w:bookmarkEnd w:id="70"/>
    </w:p>
    <w:p>
      <w:pPr>
        <w:pStyle w:val="3"/>
        <w:pageBreakBefore w:val="0"/>
        <w:kinsoku/>
        <w:wordWrap/>
        <w:overflowPunct/>
        <w:topLinePunct w:val="0"/>
        <w:autoSpaceDE/>
        <w:autoSpaceDN/>
        <w:bidi w:val="0"/>
        <w:spacing w:before="0" w:after="0" w:line="560" w:lineRule="exact"/>
        <w:ind w:left="0" w:leftChars="0" w:firstLine="640" w:firstLineChars="200"/>
        <w:textAlignment w:val="auto"/>
        <w:rPr>
          <w:rStyle w:val="32"/>
          <w:rFonts w:hint="eastAsia" w:ascii="仿宋" w:hAnsi="仿宋" w:eastAsia="仿宋" w:cs="Times New Roman"/>
          <w:b w:val="0"/>
          <w:bCs w:val="0"/>
        </w:rPr>
      </w:pPr>
      <w:bookmarkStart w:id="71" w:name="_Toc22731"/>
      <w:r>
        <w:rPr>
          <w:rStyle w:val="32"/>
          <w:rFonts w:hint="eastAsia" w:ascii="仿宋" w:hAnsi="仿宋" w:eastAsia="仿宋" w:cs="Times New Roman"/>
          <w:b w:val="0"/>
          <w:bCs w:val="0"/>
        </w:rPr>
        <w:t>八、一般公共预算财政拨款基本支出决算表</w:t>
      </w:r>
      <w:bookmarkEnd w:id="71"/>
    </w:p>
    <w:p>
      <w:pPr>
        <w:pStyle w:val="3"/>
        <w:pageBreakBefore w:val="0"/>
        <w:kinsoku/>
        <w:wordWrap/>
        <w:overflowPunct/>
        <w:topLinePunct w:val="0"/>
        <w:autoSpaceDE/>
        <w:autoSpaceDN/>
        <w:bidi w:val="0"/>
        <w:spacing w:before="0" w:after="0" w:line="560" w:lineRule="exact"/>
        <w:ind w:left="0" w:leftChars="0" w:firstLine="640" w:firstLineChars="200"/>
        <w:textAlignment w:val="auto"/>
        <w:rPr>
          <w:rStyle w:val="32"/>
          <w:rFonts w:hint="eastAsia" w:ascii="仿宋" w:hAnsi="仿宋" w:eastAsia="仿宋" w:cs="Times New Roman"/>
          <w:b w:val="0"/>
          <w:bCs w:val="0"/>
        </w:rPr>
      </w:pPr>
      <w:bookmarkStart w:id="72" w:name="_Toc27253"/>
      <w:r>
        <w:rPr>
          <w:rStyle w:val="32"/>
          <w:rFonts w:hint="eastAsia" w:ascii="仿宋" w:hAnsi="仿宋" w:eastAsia="仿宋" w:cs="Times New Roman"/>
          <w:b w:val="0"/>
          <w:bCs w:val="0"/>
        </w:rPr>
        <w:t>九、一般公共预算财政拨款项目支出决算表</w:t>
      </w:r>
      <w:bookmarkEnd w:id="72"/>
    </w:p>
    <w:p>
      <w:pPr>
        <w:pStyle w:val="3"/>
        <w:pageBreakBefore w:val="0"/>
        <w:kinsoku/>
        <w:wordWrap/>
        <w:overflowPunct/>
        <w:topLinePunct w:val="0"/>
        <w:autoSpaceDE/>
        <w:autoSpaceDN/>
        <w:bidi w:val="0"/>
        <w:spacing w:before="0" w:after="0" w:line="560" w:lineRule="exact"/>
        <w:ind w:left="0" w:leftChars="0" w:firstLine="640" w:firstLineChars="200"/>
        <w:textAlignment w:val="auto"/>
        <w:rPr>
          <w:rStyle w:val="32"/>
          <w:rFonts w:hint="eastAsia" w:ascii="仿宋" w:hAnsi="仿宋" w:eastAsia="仿宋" w:cs="Times New Roman"/>
          <w:b w:val="0"/>
          <w:bCs w:val="0"/>
        </w:rPr>
      </w:pPr>
      <w:bookmarkStart w:id="73" w:name="_Toc1320"/>
      <w:r>
        <w:rPr>
          <w:rStyle w:val="32"/>
          <w:rFonts w:hint="eastAsia" w:ascii="仿宋" w:hAnsi="仿宋" w:eastAsia="仿宋" w:cs="Times New Roman"/>
          <w:b w:val="0"/>
          <w:bCs w:val="0"/>
        </w:rPr>
        <w:t>十、一般公共预算财政拨款“三公”经费支出决算表</w:t>
      </w:r>
      <w:bookmarkEnd w:id="73"/>
    </w:p>
    <w:p>
      <w:pPr>
        <w:pStyle w:val="3"/>
        <w:pageBreakBefore w:val="0"/>
        <w:kinsoku/>
        <w:wordWrap/>
        <w:overflowPunct/>
        <w:topLinePunct w:val="0"/>
        <w:autoSpaceDE/>
        <w:autoSpaceDN/>
        <w:bidi w:val="0"/>
        <w:spacing w:before="0" w:after="0" w:line="560" w:lineRule="exact"/>
        <w:ind w:left="0" w:leftChars="0" w:firstLine="640" w:firstLineChars="200"/>
        <w:textAlignment w:val="auto"/>
        <w:rPr>
          <w:rStyle w:val="32"/>
          <w:rFonts w:hint="eastAsia" w:ascii="仿宋" w:hAnsi="仿宋" w:eastAsia="仿宋" w:cs="Times New Roman"/>
          <w:b w:val="0"/>
          <w:bCs w:val="0"/>
        </w:rPr>
      </w:pPr>
      <w:bookmarkStart w:id="74" w:name="_Toc8235"/>
      <w:r>
        <w:rPr>
          <w:rStyle w:val="32"/>
          <w:rFonts w:hint="eastAsia" w:ascii="仿宋" w:hAnsi="仿宋" w:eastAsia="仿宋" w:cs="Times New Roman"/>
          <w:b w:val="0"/>
          <w:bCs w:val="0"/>
        </w:rPr>
        <w:t>十一、政府性基金预算财政拨款收入支出决算表</w:t>
      </w:r>
      <w:bookmarkEnd w:id="74"/>
    </w:p>
    <w:p>
      <w:pPr>
        <w:pStyle w:val="3"/>
        <w:pageBreakBefore w:val="0"/>
        <w:kinsoku/>
        <w:wordWrap/>
        <w:overflowPunct/>
        <w:topLinePunct w:val="0"/>
        <w:autoSpaceDE/>
        <w:autoSpaceDN/>
        <w:bidi w:val="0"/>
        <w:spacing w:before="0" w:after="0" w:line="560" w:lineRule="exact"/>
        <w:ind w:left="0" w:leftChars="0" w:firstLine="640" w:firstLineChars="200"/>
        <w:textAlignment w:val="auto"/>
        <w:rPr>
          <w:rStyle w:val="32"/>
          <w:rFonts w:hint="eastAsia" w:ascii="仿宋" w:hAnsi="仿宋" w:eastAsia="仿宋" w:cs="Times New Roman"/>
          <w:b w:val="0"/>
          <w:bCs w:val="0"/>
        </w:rPr>
      </w:pPr>
      <w:bookmarkStart w:id="75" w:name="_Toc16186"/>
      <w:r>
        <w:rPr>
          <w:rStyle w:val="32"/>
          <w:rFonts w:hint="eastAsia" w:ascii="仿宋" w:hAnsi="仿宋" w:eastAsia="仿宋" w:cs="Times New Roman"/>
          <w:b w:val="0"/>
          <w:bCs w:val="0"/>
        </w:rPr>
        <w:t>十二、政府性基金预算财政拨款“三公”经费支出决算表</w:t>
      </w:r>
      <w:bookmarkEnd w:id="75"/>
    </w:p>
    <w:p>
      <w:pPr>
        <w:pStyle w:val="3"/>
        <w:pageBreakBefore w:val="0"/>
        <w:kinsoku/>
        <w:wordWrap/>
        <w:overflowPunct/>
        <w:topLinePunct w:val="0"/>
        <w:autoSpaceDE/>
        <w:autoSpaceDN/>
        <w:bidi w:val="0"/>
        <w:spacing w:before="0" w:after="0" w:line="560" w:lineRule="exact"/>
        <w:ind w:left="0" w:leftChars="0" w:firstLine="640" w:firstLineChars="200"/>
        <w:textAlignment w:val="auto"/>
        <w:rPr>
          <w:rStyle w:val="32"/>
          <w:rFonts w:hint="eastAsia" w:ascii="仿宋" w:hAnsi="仿宋" w:eastAsia="仿宋" w:cs="Times New Roman"/>
          <w:b w:val="0"/>
          <w:bCs w:val="0"/>
        </w:rPr>
      </w:pPr>
      <w:bookmarkStart w:id="76" w:name="_Toc15737"/>
      <w:r>
        <w:rPr>
          <w:rStyle w:val="32"/>
          <w:rFonts w:hint="eastAsia" w:ascii="仿宋" w:hAnsi="仿宋" w:eastAsia="仿宋" w:cs="Times New Roman"/>
          <w:b w:val="0"/>
          <w:bCs w:val="0"/>
        </w:rPr>
        <w:t>十三、国有资本经营预算支出决算表</w:t>
      </w:r>
      <w:bookmarkEnd w:id="76"/>
    </w:p>
    <w:p>
      <w:pPr>
        <w:pStyle w:val="3"/>
        <w:pageBreakBefore w:val="0"/>
        <w:kinsoku/>
        <w:wordWrap/>
        <w:overflowPunct/>
        <w:topLinePunct w:val="0"/>
        <w:autoSpaceDE/>
        <w:autoSpaceDN/>
        <w:bidi w:val="0"/>
        <w:spacing w:before="0" w:after="0" w:line="560" w:lineRule="exact"/>
        <w:ind w:left="0" w:leftChars="0" w:firstLine="640" w:firstLineChars="200"/>
        <w:textAlignment w:val="auto"/>
        <w:rPr>
          <w:rStyle w:val="32"/>
          <w:rFonts w:hint="eastAsia" w:ascii="仿宋" w:hAnsi="仿宋" w:eastAsia="仿宋" w:cs="Times New Roman"/>
          <w:b w:val="0"/>
          <w:bCs w:val="0"/>
          <w:lang w:val="en-US" w:eastAsia="zh-CN"/>
        </w:rPr>
      </w:pPr>
      <w:bookmarkStart w:id="77" w:name="_Toc28012"/>
      <w:r>
        <w:rPr>
          <w:rStyle w:val="32"/>
          <w:rFonts w:hint="eastAsia" w:ascii="仿宋" w:hAnsi="仿宋" w:eastAsia="仿宋" w:cs="Times New Roman"/>
          <w:b w:val="0"/>
          <w:bCs w:val="0"/>
          <w:lang w:val="en-US" w:eastAsia="zh-CN"/>
        </w:rPr>
        <w:t>十四、整体支出绩效评价打分表</w:t>
      </w:r>
      <w:bookmarkEnd w:id="77"/>
    </w:p>
    <w:p>
      <w:pPr>
        <w:pStyle w:val="3"/>
        <w:rPr>
          <w:rFonts w:ascii="仿宋" w:hAnsi="仿宋" w:eastAsia="仿宋"/>
          <w:color w:val="000000" w:themeColor="text1"/>
          <w14:textFill>
            <w14:solidFill>
              <w14:schemeClr w14:val="tx1"/>
            </w14:solidFill>
          </w14:textFill>
        </w:rPr>
      </w:pPr>
    </w:p>
    <w:p>
      <w:pPr>
        <w:tabs>
          <w:tab w:val="left" w:pos="981"/>
        </w:tabs>
        <w:bidi w:val="0"/>
        <w:jc w:val="left"/>
        <w:rPr>
          <w:rStyle w:val="26"/>
          <w:rFonts w:hint="eastAsia" w:ascii="黑体" w:hAnsi="黑体" w:eastAsia="黑体"/>
          <w:b w:val="0"/>
          <w:lang w:eastAsia="zh-CN"/>
        </w:rPr>
      </w:pPr>
    </w:p>
    <w:sectPr>
      <w:headerReference r:id="rId3" w:type="default"/>
      <w:footerReference r:id="rId4" w:type="default"/>
      <w:pgSz w:w="11906" w:h="16838"/>
      <w:pgMar w:top="1440" w:right="1800" w:bottom="1440" w:left="1800" w:header="851" w:footer="992" w:gutter="0"/>
      <w:pgNumType w:start="1"/>
      <w:cols w:space="425" w:num="1"/>
      <w:titlePg/>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仿宋_GB2312">
    <w:panose1 w:val="02010609030101010101"/>
    <w:charset w:val="86"/>
    <w:family w:val="modern"/>
    <w:pitch w:val="default"/>
    <w:sig w:usb0="00000001" w:usb1="080E0000" w:usb2="00000000" w:usb3="00000000" w:csb0="00040000" w:csb1="00000000"/>
  </w:font>
  <w:font w:name="仿宋">
    <w:panose1 w:val="02010609060101010101"/>
    <w:charset w:val="86"/>
    <w:family w:val="modern"/>
    <w:pitch w:val="default"/>
    <w:sig w:usb0="800002BF" w:usb1="38CF7CFA" w:usb2="00000016" w:usb3="00000000" w:csb0="00040001" w:csb1="00000000"/>
  </w:font>
  <w:font w:name="方正小标宋简体">
    <w:panose1 w:val="03000509000000000000"/>
    <w:charset w:val="86"/>
    <w:family w:val="auto"/>
    <w:pitch w:val="default"/>
    <w:sig w:usb0="00000001" w:usb1="080E0000" w:usb2="00000000" w:usb3="00000000" w:csb0="00040000" w:csb1="00000000"/>
  </w:font>
  <w:font w:name="微软雅黑">
    <w:panose1 w:val="020B0503020204020204"/>
    <w:charset w:val="86"/>
    <w:family w:val="swiss"/>
    <w:pitch w:val="default"/>
    <w:sig w:usb0="80000287" w:usb1="2ACF3C50" w:usb2="00000016" w:usb3="00000000" w:csb0="0004001F" w:csb1="00000000"/>
  </w:font>
  <w:font w:name="楷体">
    <w:panose1 w:val="02010609060101010101"/>
    <w:charset w:val="86"/>
    <w:family w:val="auto"/>
    <w:pitch w:val="default"/>
    <w:sig w:usb0="800002BF" w:usb1="38CF7CFA" w:usb2="00000016" w:usb3="00000000" w:csb0="00040001" w:csb1="00000000"/>
  </w:font>
  <w:font w:name="??_GB2312">
    <w:altName w:val="Times New Roman"/>
    <w:panose1 w:val="00000000000000000000"/>
    <w:charset w:val="00"/>
    <w:family w:val="auto"/>
    <w:pitch w:val="default"/>
    <w:sig w:usb0="00000000"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994781956"/>
      <w:docPartObj>
        <w:docPartGallery w:val="autotext"/>
      </w:docPartObj>
    </w:sdtPr>
    <w:sdtContent>
      <w:p>
        <w:pPr>
          <w:pStyle w:val="8"/>
          <w:jc w:val="center"/>
        </w:pPr>
        <w:r>
          <w:fldChar w:fldCharType="begin"/>
        </w:r>
        <w:r>
          <w:instrText xml:space="preserve">PAGE   \* MERGEFORMAT</w:instrText>
        </w:r>
        <w:r>
          <w:fldChar w:fldCharType="separate"/>
        </w:r>
        <w:r>
          <w:rPr>
            <w:lang w:val="zh-CN"/>
          </w:rPr>
          <w:t>10</w:t>
        </w:r>
        <w:r>
          <w:fldChar w:fldCharType="end"/>
        </w:r>
      </w:p>
    </w:sdtContent>
  </w:sdt>
  <w:p>
    <w:pPr>
      <w:pStyle w:val="8"/>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CF652CEC"/>
    <w:multiLevelType w:val="singleLevel"/>
    <w:tmpl w:val="CF652CEC"/>
    <w:lvl w:ilvl="0" w:tentative="0">
      <w:start w:val="9"/>
      <w:numFmt w:val="chineseCounting"/>
      <w:suff w:val="nothing"/>
      <w:lvlText w:val="%1、"/>
      <w:lvlJc w:val="left"/>
      <w:rPr>
        <w:rFonts w:hint="eastAsia"/>
      </w:rPr>
    </w:lvl>
  </w:abstractNum>
  <w:abstractNum w:abstractNumId="1">
    <w:nsid w:val="1272550B"/>
    <w:multiLevelType w:val="multilevel"/>
    <w:tmpl w:val="1272550B"/>
    <w:lvl w:ilvl="0" w:tentative="0">
      <w:start w:val="1"/>
      <w:numFmt w:val="japaneseCounting"/>
      <w:lvlText w:val="%1、"/>
      <w:lvlJc w:val="left"/>
      <w:pPr>
        <w:ind w:left="1770" w:hanging="720"/>
      </w:pPr>
      <w:rPr>
        <w:rFonts w:hint="default"/>
        <w:b w:val="0"/>
      </w:rPr>
    </w:lvl>
    <w:lvl w:ilvl="1" w:tentative="0">
      <w:start w:val="1"/>
      <w:numFmt w:val="lowerLetter"/>
      <w:lvlText w:val="%2)"/>
      <w:lvlJc w:val="left"/>
      <w:pPr>
        <w:ind w:left="1480" w:hanging="420"/>
      </w:pPr>
    </w:lvl>
    <w:lvl w:ilvl="2" w:tentative="0">
      <w:start w:val="1"/>
      <w:numFmt w:val="lowerRoman"/>
      <w:lvlText w:val="%3."/>
      <w:lvlJc w:val="right"/>
      <w:pPr>
        <w:ind w:left="1900" w:hanging="420"/>
      </w:pPr>
    </w:lvl>
    <w:lvl w:ilvl="3" w:tentative="0">
      <w:start w:val="1"/>
      <w:numFmt w:val="decimal"/>
      <w:lvlText w:val="%4."/>
      <w:lvlJc w:val="left"/>
      <w:pPr>
        <w:ind w:left="2320" w:hanging="420"/>
      </w:pPr>
    </w:lvl>
    <w:lvl w:ilvl="4" w:tentative="0">
      <w:start w:val="1"/>
      <w:numFmt w:val="lowerLetter"/>
      <w:lvlText w:val="%5)"/>
      <w:lvlJc w:val="left"/>
      <w:pPr>
        <w:ind w:left="2740" w:hanging="420"/>
      </w:pPr>
    </w:lvl>
    <w:lvl w:ilvl="5" w:tentative="0">
      <w:start w:val="1"/>
      <w:numFmt w:val="lowerRoman"/>
      <w:lvlText w:val="%6."/>
      <w:lvlJc w:val="right"/>
      <w:pPr>
        <w:ind w:left="3160" w:hanging="420"/>
      </w:pPr>
    </w:lvl>
    <w:lvl w:ilvl="6" w:tentative="0">
      <w:start w:val="1"/>
      <w:numFmt w:val="decimal"/>
      <w:lvlText w:val="%7."/>
      <w:lvlJc w:val="left"/>
      <w:pPr>
        <w:ind w:left="3580" w:hanging="420"/>
      </w:pPr>
    </w:lvl>
    <w:lvl w:ilvl="7" w:tentative="0">
      <w:start w:val="1"/>
      <w:numFmt w:val="lowerLetter"/>
      <w:lvlText w:val="%8)"/>
      <w:lvlJc w:val="left"/>
      <w:pPr>
        <w:ind w:left="4000" w:hanging="420"/>
      </w:pPr>
    </w:lvl>
    <w:lvl w:ilvl="8" w:tentative="0">
      <w:start w:val="1"/>
      <w:numFmt w:val="lowerRoman"/>
      <w:lvlText w:val="%9."/>
      <w:lvlJc w:val="right"/>
      <w:pPr>
        <w:ind w:left="4420" w:hanging="42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bordersDoNotSurroundHeader w:val="0"/>
  <w:bordersDoNotSurroundFooter w:val="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1361C"/>
    <w:rsid w:val="000222C6"/>
    <w:rsid w:val="0002549F"/>
    <w:rsid w:val="0006487A"/>
    <w:rsid w:val="00065F8F"/>
    <w:rsid w:val="000768F2"/>
    <w:rsid w:val="0009184B"/>
    <w:rsid w:val="0009593C"/>
    <w:rsid w:val="000B047F"/>
    <w:rsid w:val="000B5923"/>
    <w:rsid w:val="000B5A48"/>
    <w:rsid w:val="000B6FF3"/>
    <w:rsid w:val="000C3467"/>
    <w:rsid w:val="000C3CA6"/>
    <w:rsid w:val="000D1267"/>
    <w:rsid w:val="000D1D50"/>
    <w:rsid w:val="000D5782"/>
    <w:rsid w:val="000E6613"/>
    <w:rsid w:val="000E7119"/>
    <w:rsid w:val="00114E9B"/>
    <w:rsid w:val="0014729F"/>
    <w:rsid w:val="00157BAB"/>
    <w:rsid w:val="001654D1"/>
    <w:rsid w:val="0018106D"/>
    <w:rsid w:val="001877A7"/>
    <w:rsid w:val="00191536"/>
    <w:rsid w:val="00196687"/>
    <w:rsid w:val="001C0962"/>
    <w:rsid w:val="001D7531"/>
    <w:rsid w:val="001E737D"/>
    <w:rsid w:val="001F0592"/>
    <w:rsid w:val="001F7506"/>
    <w:rsid w:val="002006CD"/>
    <w:rsid w:val="00202B36"/>
    <w:rsid w:val="00204B7A"/>
    <w:rsid w:val="0021101A"/>
    <w:rsid w:val="00220536"/>
    <w:rsid w:val="00235629"/>
    <w:rsid w:val="00260C38"/>
    <w:rsid w:val="002616C0"/>
    <w:rsid w:val="002662AA"/>
    <w:rsid w:val="00280496"/>
    <w:rsid w:val="00295495"/>
    <w:rsid w:val="002B2613"/>
    <w:rsid w:val="002F1818"/>
    <w:rsid w:val="002F567B"/>
    <w:rsid w:val="003216A9"/>
    <w:rsid w:val="0037013F"/>
    <w:rsid w:val="00380C92"/>
    <w:rsid w:val="003A484F"/>
    <w:rsid w:val="003B0BE0"/>
    <w:rsid w:val="003B0C1B"/>
    <w:rsid w:val="003B688C"/>
    <w:rsid w:val="003C0291"/>
    <w:rsid w:val="003C39AE"/>
    <w:rsid w:val="003C7B60"/>
    <w:rsid w:val="003D1FB2"/>
    <w:rsid w:val="003D66DA"/>
    <w:rsid w:val="003E1310"/>
    <w:rsid w:val="003E6F55"/>
    <w:rsid w:val="00406254"/>
    <w:rsid w:val="004223DE"/>
    <w:rsid w:val="00434489"/>
    <w:rsid w:val="00437085"/>
    <w:rsid w:val="00443880"/>
    <w:rsid w:val="004464F4"/>
    <w:rsid w:val="00471401"/>
    <w:rsid w:val="00473F31"/>
    <w:rsid w:val="0048263A"/>
    <w:rsid w:val="00487E5D"/>
    <w:rsid w:val="004A711F"/>
    <w:rsid w:val="004B199D"/>
    <w:rsid w:val="004B4690"/>
    <w:rsid w:val="004E0A2D"/>
    <w:rsid w:val="004E206B"/>
    <w:rsid w:val="004E6DF7"/>
    <w:rsid w:val="004F0FBD"/>
    <w:rsid w:val="00505A47"/>
    <w:rsid w:val="00512FDA"/>
    <w:rsid w:val="00520DA0"/>
    <w:rsid w:val="005664BB"/>
    <w:rsid w:val="0057481D"/>
    <w:rsid w:val="0058486E"/>
    <w:rsid w:val="005D1C8B"/>
    <w:rsid w:val="005D5CED"/>
    <w:rsid w:val="005F01D1"/>
    <w:rsid w:val="005F1A4C"/>
    <w:rsid w:val="00605688"/>
    <w:rsid w:val="006070AF"/>
    <w:rsid w:val="00607E6C"/>
    <w:rsid w:val="006101B1"/>
    <w:rsid w:val="00614E44"/>
    <w:rsid w:val="00622830"/>
    <w:rsid w:val="00630AEF"/>
    <w:rsid w:val="006325F8"/>
    <w:rsid w:val="00634C9A"/>
    <w:rsid w:val="006440E4"/>
    <w:rsid w:val="0066343B"/>
    <w:rsid w:val="00664777"/>
    <w:rsid w:val="006748A4"/>
    <w:rsid w:val="00683E73"/>
    <w:rsid w:val="006A3141"/>
    <w:rsid w:val="006A5E34"/>
    <w:rsid w:val="006B2422"/>
    <w:rsid w:val="006B2B9A"/>
    <w:rsid w:val="006C1937"/>
    <w:rsid w:val="006F020C"/>
    <w:rsid w:val="007127B7"/>
    <w:rsid w:val="007416B6"/>
    <w:rsid w:val="00746F48"/>
    <w:rsid w:val="0075404D"/>
    <w:rsid w:val="0076182A"/>
    <w:rsid w:val="00767B7E"/>
    <w:rsid w:val="007770C3"/>
    <w:rsid w:val="00784D24"/>
    <w:rsid w:val="00785FBA"/>
    <w:rsid w:val="00786E4A"/>
    <w:rsid w:val="007875EB"/>
    <w:rsid w:val="0079426B"/>
    <w:rsid w:val="007D312A"/>
    <w:rsid w:val="007D3F19"/>
    <w:rsid w:val="007E23B0"/>
    <w:rsid w:val="007F1991"/>
    <w:rsid w:val="007F2C2F"/>
    <w:rsid w:val="007F55FC"/>
    <w:rsid w:val="007F5665"/>
    <w:rsid w:val="00800112"/>
    <w:rsid w:val="00803E25"/>
    <w:rsid w:val="008253BB"/>
    <w:rsid w:val="0083706E"/>
    <w:rsid w:val="008423A5"/>
    <w:rsid w:val="00850625"/>
    <w:rsid w:val="00853718"/>
    <w:rsid w:val="00855221"/>
    <w:rsid w:val="00860645"/>
    <w:rsid w:val="00871F71"/>
    <w:rsid w:val="00885AF4"/>
    <w:rsid w:val="008939CD"/>
    <w:rsid w:val="008B768C"/>
    <w:rsid w:val="008C4DB1"/>
    <w:rsid w:val="008C4EAF"/>
    <w:rsid w:val="008C5176"/>
    <w:rsid w:val="008C7FD0"/>
    <w:rsid w:val="008E1DE7"/>
    <w:rsid w:val="008E707C"/>
    <w:rsid w:val="008E7BBD"/>
    <w:rsid w:val="00900B08"/>
    <w:rsid w:val="00902155"/>
    <w:rsid w:val="00902FA3"/>
    <w:rsid w:val="00923564"/>
    <w:rsid w:val="0092392E"/>
    <w:rsid w:val="009315F9"/>
    <w:rsid w:val="00946945"/>
    <w:rsid w:val="00951248"/>
    <w:rsid w:val="0095152F"/>
    <w:rsid w:val="00954C49"/>
    <w:rsid w:val="0097099F"/>
    <w:rsid w:val="00971997"/>
    <w:rsid w:val="00971FFC"/>
    <w:rsid w:val="0098660A"/>
    <w:rsid w:val="009931C3"/>
    <w:rsid w:val="009B2C43"/>
    <w:rsid w:val="009B4EAE"/>
    <w:rsid w:val="009B7573"/>
    <w:rsid w:val="009C22F4"/>
    <w:rsid w:val="009C2E98"/>
    <w:rsid w:val="009D3447"/>
    <w:rsid w:val="009D4711"/>
    <w:rsid w:val="009F1185"/>
    <w:rsid w:val="009F18CD"/>
    <w:rsid w:val="009F2A13"/>
    <w:rsid w:val="00A04EB0"/>
    <w:rsid w:val="00A13CC1"/>
    <w:rsid w:val="00A16847"/>
    <w:rsid w:val="00A237D8"/>
    <w:rsid w:val="00A268C4"/>
    <w:rsid w:val="00A307CD"/>
    <w:rsid w:val="00A40A00"/>
    <w:rsid w:val="00A4142F"/>
    <w:rsid w:val="00A56DF2"/>
    <w:rsid w:val="00A67AB5"/>
    <w:rsid w:val="00A91760"/>
    <w:rsid w:val="00A93B00"/>
    <w:rsid w:val="00A93C21"/>
    <w:rsid w:val="00AC3C6A"/>
    <w:rsid w:val="00AD5620"/>
    <w:rsid w:val="00AD7C1B"/>
    <w:rsid w:val="00AE16BA"/>
    <w:rsid w:val="00AE1EBE"/>
    <w:rsid w:val="00B03C9D"/>
    <w:rsid w:val="00B060AE"/>
    <w:rsid w:val="00B10517"/>
    <w:rsid w:val="00B14E76"/>
    <w:rsid w:val="00B161B8"/>
    <w:rsid w:val="00B2048C"/>
    <w:rsid w:val="00B310B9"/>
    <w:rsid w:val="00B35F3F"/>
    <w:rsid w:val="00B36CBB"/>
    <w:rsid w:val="00B425E0"/>
    <w:rsid w:val="00B440AA"/>
    <w:rsid w:val="00B44B70"/>
    <w:rsid w:val="00B53C56"/>
    <w:rsid w:val="00B77EA6"/>
    <w:rsid w:val="00B81598"/>
    <w:rsid w:val="00B841F1"/>
    <w:rsid w:val="00B944D6"/>
    <w:rsid w:val="00BB4DF0"/>
    <w:rsid w:val="00BC289F"/>
    <w:rsid w:val="00BC5361"/>
    <w:rsid w:val="00BC5460"/>
    <w:rsid w:val="00BC6B50"/>
    <w:rsid w:val="00BD0E25"/>
    <w:rsid w:val="00BF5BD6"/>
    <w:rsid w:val="00C03E31"/>
    <w:rsid w:val="00C33E72"/>
    <w:rsid w:val="00C354B2"/>
    <w:rsid w:val="00C35554"/>
    <w:rsid w:val="00C42709"/>
    <w:rsid w:val="00C533CC"/>
    <w:rsid w:val="00C5751C"/>
    <w:rsid w:val="00C61BFC"/>
    <w:rsid w:val="00C62B85"/>
    <w:rsid w:val="00C65438"/>
    <w:rsid w:val="00C91CBB"/>
    <w:rsid w:val="00CC09B6"/>
    <w:rsid w:val="00CC666F"/>
    <w:rsid w:val="00CD1E3F"/>
    <w:rsid w:val="00CE44F6"/>
    <w:rsid w:val="00CE49DA"/>
    <w:rsid w:val="00CE7B61"/>
    <w:rsid w:val="00D00095"/>
    <w:rsid w:val="00D20620"/>
    <w:rsid w:val="00D26091"/>
    <w:rsid w:val="00D34E7C"/>
    <w:rsid w:val="00D35489"/>
    <w:rsid w:val="00D51276"/>
    <w:rsid w:val="00D7035F"/>
    <w:rsid w:val="00DA65AC"/>
    <w:rsid w:val="00DB1913"/>
    <w:rsid w:val="00DC410D"/>
    <w:rsid w:val="00DC68CA"/>
    <w:rsid w:val="00DC7CBA"/>
    <w:rsid w:val="00DD73B7"/>
    <w:rsid w:val="00DF28BC"/>
    <w:rsid w:val="00DF34B9"/>
    <w:rsid w:val="00E01053"/>
    <w:rsid w:val="00E07ACF"/>
    <w:rsid w:val="00E331A1"/>
    <w:rsid w:val="00E33202"/>
    <w:rsid w:val="00E336A9"/>
    <w:rsid w:val="00E50624"/>
    <w:rsid w:val="00E568DF"/>
    <w:rsid w:val="00E64269"/>
    <w:rsid w:val="00E82267"/>
    <w:rsid w:val="00EA010F"/>
    <w:rsid w:val="00ED1B63"/>
    <w:rsid w:val="00ED3C1F"/>
    <w:rsid w:val="00ED4085"/>
    <w:rsid w:val="00ED420E"/>
    <w:rsid w:val="00EE2F57"/>
    <w:rsid w:val="00EF4C34"/>
    <w:rsid w:val="00EF77C6"/>
    <w:rsid w:val="00F05438"/>
    <w:rsid w:val="00F1361C"/>
    <w:rsid w:val="00F160C7"/>
    <w:rsid w:val="00F36D8F"/>
    <w:rsid w:val="00F417B1"/>
    <w:rsid w:val="00F602DF"/>
    <w:rsid w:val="00F81FD9"/>
    <w:rsid w:val="00F841AA"/>
    <w:rsid w:val="00FA23E8"/>
    <w:rsid w:val="00FD3CC1"/>
    <w:rsid w:val="00FF1E02"/>
    <w:rsid w:val="00FF30B4"/>
    <w:rsid w:val="01046990"/>
    <w:rsid w:val="014337F8"/>
    <w:rsid w:val="0181154D"/>
    <w:rsid w:val="018B4429"/>
    <w:rsid w:val="01C03DC4"/>
    <w:rsid w:val="02251C2C"/>
    <w:rsid w:val="02533083"/>
    <w:rsid w:val="03151F85"/>
    <w:rsid w:val="03B92375"/>
    <w:rsid w:val="03DA7E8D"/>
    <w:rsid w:val="0402716D"/>
    <w:rsid w:val="04050A69"/>
    <w:rsid w:val="0442324A"/>
    <w:rsid w:val="047D654F"/>
    <w:rsid w:val="049C1A5E"/>
    <w:rsid w:val="04FB21A7"/>
    <w:rsid w:val="04FE13F9"/>
    <w:rsid w:val="053C512E"/>
    <w:rsid w:val="055A64BC"/>
    <w:rsid w:val="058E4426"/>
    <w:rsid w:val="059C53C3"/>
    <w:rsid w:val="05BA2D6C"/>
    <w:rsid w:val="05BA3E21"/>
    <w:rsid w:val="05CB1575"/>
    <w:rsid w:val="05CB16F4"/>
    <w:rsid w:val="05D976CD"/>
    <w:rsid w:val="05DC4016"/>
    <w:rsid w:val="05E109B7"/>
    <w:rsid w:val="0601249E"/>
    <w:rsid w:val="064C4359"/>
    <w:rsid w:val="068C6896"/>
    <w:rsid w:val="06C43DB4"/>
    <w:rsid w:val="06F96CF5"/>
    <w:rsid w:val="070B5826"/>
    <w:rsid w:val="075D0CF2"/>
    <w:rsid w:val="07742A6B"/>
    <w:rsid w:val="08097186"/>
    <w:rsid w:val="083C1AD3"/>
    <w:rsid w:val="085753F8"/>
    <w:rsid w:val="090963A2"/>
    <w:rsid w:val="09167AE3"/>
    <w:rsid w:val="096F709C"/>
    <w:rsid w:val="097349BC"/>
    <w:rsid w:val="09862B52"/>
    <w:rsid w:val="09B47661"/>
    <w:rsid w:val="09F70273"/>
    <w:rsid w:val="0A0E61C1"/>
    <w:rsid w:val="0A1B17B6"/>
    <w:rsid w:val="0A36284A"/>
    <w:rsid w:val="0A545948"/>
    <w:rsid w:val="0A906AB1"/>
    <w:rsid w:val="0ADA570F"/>
    <w:rsid w:val="0B575644"/>
    <w:rsid w:val="0BA67341"/>
    <w:rsid w:val="0BBF0531"/>
    <w:rsid w:val="0BCB2D68"/>
    <w:rsid w:val="0C541C1A"/>
    <w:rsid w:val="0C975D80"/>
    <w:rsid w:val="0CA0388C"/>
    <w:rsid w:val="0D0F3FA2"/>
    <w:rsid w:val="0DC21DDF"/>
    <w:rsid w:val="0DD57A79"/>
    <w:rsid w:val="0DDA4C72"/>
    <w:rsid w:val="0DE5498B"/>
    <w:rsid w:val="0E3B0D09"/>
    <w:rsid w:val="0E4A5360"/>
    <w:rsid w:val="0E810A3A"/>
    <w:rsid w:val="0E99714E"/>
    <w:rsid w:val="0E9F5C86"/>
    <w:rsid w:val="0ED62A80"/>
    <w:rsid w:val="0F1F1F04"/>
    <w:rsid w:val="1025061D"/>
    <w:rsid w:val="107439CE"/>
    <w:rsid w:val="10A047C3"/>
    <w:rsid w:val="10C055FF"/>
    <w:rsid w:val="10E044B7"/>
    <w:rsid w:val="10E56B9F"/>
    <w:rsid w:val="10F529AD"/>
    <w:rsid w:val="111F6DD7"/>
    <w:rsid w:val="11335232"/>
    <w:rsid w:val="11787AAD"/>
    <w:rsid w:val="11C63D3C"/>
    <w:rsid w:val="11C87E8B"/>
    <w:rsid w:val="11EF1608"/>
    <w:rsid w:val="11F905D8"/>
    <w:rsid w:val="121F3A40"/>
    <w:rsid w:val="12822E25"/>
    <w:rsid w:val="128C0123"/>
    <w:rsid w:val="12F21E84"/>
    <w:rsid w:val="13176384"/>
    <w:rsid w:val="13621D5A"/>
    <w:rsid w:val="14091FFD"/>
    <w:rsid w:val="140E14AF"/>
    <w:rsid w:val="14303C1F"/>
    <w:rsid w:val="1442765C"/>
    <w:rsid w:val="144C4992"/>
    <w:rsid w:val="145C72F2"/>
    <w:rsid w:val="148118A3"/>
    <w:rsid w:val="153952E1"/>
    <w:rsid w:val="15585C48"/>
    <w:rsid w:val="15AF7673"/>
    <w:rsid w:val="16383BA5"/>
    <w:rsid w:val="16492B7C"/>
    <w:rsid w:val="166D1D1D"/>
    <w:rsid w:val="16A67A11"/>
    <w:rsid w:val="16BB723D"/>
    <w:rsid w:val="16E60BBD"/>
    <w:rsid w:val="1707569E"/>
    <w:rsid w:val="171B70BB"/>
    <w:rsid w:val="17A563A6"/>
    <w:rsid w:val="17F00204"/>
    <w:rsid w:val="181349B1"/>
    <w:rsid w:val="18D97052"/>
    <w:rsid w:val="18F208D3"/>
    <w:rsid w:val="19013149"/>
    <w:rsid w:val="193F2FF9"/>
    <w:rsid w:val="19980945"/>
    <w:rsid w:val="19D159E5"/>
    <w:rsid w:val="19D63AAC"/>
    <w:rsid w:val="19FE291C"/>
    <w:rsid w:val="1A34126F"/>
    <w:rsid w:val="1A4D2705"/>
    <w:rsid w:val="1AB164AC"/>
    <w:rsid w:val="1AE326E6"/>
    <w:rsid w:val="1B1F174C"/>
    <w:rsid w:val="1B2B167F"/>
    <w:rsid w:val="1B2B2D2A"/>
    <w:rsid w:val="1B2E4818"/>
    <w:rsid w:val="1B8D0F08"/>
    <w:rsid w:val="1BE91E66"/>
    <w:rsid w:val="1BF202DD"/>
    <w:rsid w:val="1C7A710D"/>
    <w:rsid w:val="1C9C3EFA"/>
    <w:rsid w:val="1D0F4C71"/>
    <w:rsid w:val="1D10756E"/>
    <w:rsid w:val="1D7262F4"/>
    <w:rsid w:val="1DC15133"/>
    <w:rsid w:val="1E4E0D19"/>
    <w:rsid w:val="1E784193"/>
    <w:rsid w:val="1E890137"/>
    <w:rsid w:val="1EAC6239"/>
    <w:rsid w:val="1EAD1401"/>
    <w:rsid w:val="1EF765B9"/>
    <w:rsid w:val="1F490179"/>
    <w:rsid w:val="1F693298"/>
    <w:rsid w:val="1FA919A7"/>
    <w:rsid w:val="1FFE553D"/>
    <w:rsid w:val="205148C5"/>
    <w:rsid w:val="208F2116"/>
    <w:rsid w:val="208F4BE6"/>
    <w:rsid w:val="2115798C"/>
    <w:rsid w:val="217D5B25"/>
    <w:rsid w:val="21B773EC"/>
    <w:rsid w:val="21D75169"/>
    <w:rsid w:val="21F50964"/>
    <w:rsid w:val="21F77FBB"/>
    <w:rsid w:val="22496C25"/>
    <w:rsid w:val="225010E2"/>
    <w:rsid w:val="22625876"/>
    <w:rsid w:val="22650E96"/>
    <w:rsid w:val="22A8411E"/>
    <w:rsid w:val="22B079E9"/>
    <w:rsid w:val="234637FE"/>
    <w:rsid w:val="23685AAC"/>
    <w:rsid w:val="23B42FA0"/>
    <w:rsid w:val="23B54D69"/>
    <w:rsid w:val="240371BF"/>
    <w:rsid w:val="24365A48"/>
    <w:rsid w:val="244B0E10"/>
    <w:rsid w:val="244C4286"/>
    <w:rsid w:val="246F1808"/>
    <w:rsid w:val="248F59D3"/>
    <w:rsid w:val="249A6FD9"/>
    <w:rsid w:val="24A01DE9"/>
    <w:rsid w:val="24C67BFB"/>
    <w:rsid w:val="251D1A5F"/>
    <w:rsid w:val="253B2E40"/>
    <w:rsid w:val="25A273F6"/>
    <w:rsid w:val="25B46BBD"/>
    <w:rsid w:val="25F56FD0"/>
    <w:rsid w:val="26252312"/>
    <w:rsid w:val="262538DB"/>
    <w:rsid w:val="262C19E1"/>
    <w:rsid w:val="26D87FF6"/>
    <w:rsid w:val="26E3691C"/>
    <w:rsid w:val="26F560DB"/>
    <w:rsid w:val="26F75E31"/>
    <w:rsid w:val="271933DD"/>
    <w:rsid w:val="27A753B4"/>
    <w:rsid w:val="27BC6F53"/>
    <w:rsid w:val="27CC288C"/>
    <w:rsid w:val="28111D99"/>
    <w:rsid w:val="282A1191"/>
    <w:rsid w:val="28431DC9"/>
    <w:rsid w:val="286C0DBD"/>
    <w:rsid w:val="28874D22"/>
    <w:rsid w:val="289C2DE5"/>
    <w:rsid w:val="290B4122"/>
    <w:rsid w:val="29477A7A"/>
    <w:rsid w:val="294A1FC3"/>
    <w:rsid w:val="299A02B6"/>
    <w:rsid w:val="29FD04D3"/>
    <w:rsid w:val="2A291E0C"/>
    <w:rsid w:val="2A633B1C"/>
    <w:rsid w:val="2A85536E"/>
    <w:rsid w:val="2A96694F"/>
    <w:rsid w:val="2AA35F9F"/>
    <w:rsid w:val="2AE3669B"/>
    <w:rsid w:val="2AFB52D0"/>
    <w:rsid w:val="2B543831"/>
    <w:rsid w:val="2B56261F"/>
    <w:rsid w:val="2B6A519E"/>
    <w:rsid w:val="2B75788B"/>
    <w:rsid w:val="2B8558FF"/>
    <w:rsid w:val="2B8D5A44"/>
    <w:rsid w:val="2BBB3961"/>
    <w:rsid w:val="2C003D55"/>
    <w:rsid w:val="2C35060B"/>
    <w:rsid w:val="2C366AAB"/>
    <w:rsid w:val="2C966D22"/>
    <w:rsid w:val="2C9859F2"/>
    <w:rsid w:val="2CA4239B"/>
    <w:rsid w:val="2CAD4CC0"/>
    <w:rsid w:val="2D4071FC"/>
    <w:rsid w:val="2D5435DE"/>
    <w:rsid w:val="2D5770DE"/>
    <w:rsid w:val="2DF950BB"/>
    <w:rsid w:val="2E0777D8"/>
    <w:rsid w:val="2E2B375A"/>
    <w:rsid w:val="2E7825C9"/>
    <w:rsid w:val="2E7E447F"/>
    <w:rsid w:val="2ECB138A"/>
    <w:rsid w:val="2F28185A"/>
    <w:rsid w:val="2F8951DD"/>
    <w:rsid w:val="2FAC5222"/>
    <w:rsid w:val="2FD43273"/>
    <w:rsid w:val="300D3ED7"/>
    <w:rsid w:val="30100324"/>
    <w:rsid w:val="301003B0"/>
    <w:rsid w:val="3021684C"/>
    <w:rsid w:val="30296913"/>
    <w:rsid w:val="306749AB"/>
    <w:rsid w:val="307412DB"/>
    <w:rsid w:val="307F2E01"/>
    <w:rsid w:val="309D4424"/>
    <w:rsid w:val="30EE79EA"/>
    <w:rsid w:val="3105425B"/>
    <w:rsid w:val="3112105F"/>
    <w:rsid w:val="3184247A"/>
    <w:rsid w:val="319F7F4E"/>
    <w:rsid w:val="31B87D05"/>
    <w:rsid w:val="31FE2CB1"/>
    <w:rsid w:val="320749D8"/>
    <w:rsid w:val="321F6E09"/>
    <w:rsid w:val="323005E5"/>
    <w:rsid w:val="327A066F"/>
    <w:rsid w:val="32801628"/>
    <w:rsid w:val="32DE67C1"/>
    <w:rsid w:val="32EC3440"/>
    <w:rsid w:val="32F27176"/>
    <w:rsid w:val="32FA0620"/>
    <w:rsid w:val="33037BC0"/>
    <w:rsid w:val="3334433C"/>
    <w:rsid w:val="33796EBF"/>
    <w:rsid w:val="33976BDB"/>
    <w:rsid w:val="33B76611"/>
    <w:rsid w:val="34795C31"/>
    <w:rsid w:val="348126E0"/>
    <w:rsid w:val="34BA5A19"/>
    <w:rsid w:val="350C4503"/>
    <w:rsid w:val="35725E88"/>
    <w:rsid w:val="35D63114"/>
    <w:rsid w:val="35D838F2"/>
    <w:rsid w:val="36343134"/>
    <w:rsid w:val="366165E2"/>
    <w:rsid w:val="371F3F3B"/>
    <w:rsid w:val="3732648D"/>
    <w:rsid w:val="375E1347"/>
    <w:rsid w:val="37636978"/>
    <w:rsid w:val="379B61ED"/>
    <w:rsid w:val="37CB0E67"/>
    <w:rsid w:val="37EA0B84"/>
    <w:rsid w:val="387870CC"/>
    <w:rsid w:val="389E1E43"/>
    <w:rsid w:val="39C430D5"/>
    <w:rsid w:val="3A102DCB"/>
    <w:rsid w:val="3A9115EB"/>
    <w:rsid w:val="3ABF06FE"/>
    <w:rsid w:val="3B04715B"/>
    <w:rsid w:val="3B363FC5"/>
    <w:rsid w:val="3B6309EA"/>
    <w:rsid w:val="3B9D5C20"/>
    <w:rsid w:val="3BC6109F"/>
    <w:rsid w:val="3BF53222"/>
    <w:rsid w:val="3C0C0948"/>
    <w:rsid w:val="3C78488A"/>
    <w:rsid w:val="3C785468"/>
    <w:rsid w:val="3CA45754"/>
    <w:rsid w:val="3D197C2A"/>
    <w:rsid w:val="3D200B9E"/>
    <w:rsid w:val="3DE54604"/>
    <w:rsid w:val="3E132CA2"/>
    <w:rsid w:val="3E4223E8"/>
    <w:rsid w:val="3E4828E0"/>
    <w:rsid w:val="3E4A66E9"/>
    <w:rsid w:val="3EAC3A3F"/>
    <w:rsid w:val="3EB079F2"/>
    <w:rsid w:val="3F0E75A7"/>
    <w:rsid w:val="3F113B83"/>
    <w:rsid w:val="3F1A2BCD"/>
    <w:rsid w:val="3F6E1E51"/>
    <w:rsid w:val="3F9A283D"/>
    <w:rsid w:val="3FD41846"/>
    <w:rsid w:val="3FF16A16"/>
    <w:rsid w:val="400D5553"/>
    <w:rsid w:val="40224D33"/>
    <w:rsid w:val="418D2A2A"/>
    <w:rsid w:val="42037250"/>
    <w:rsid w:val="420F6880"/>
    <w:rsid w:val="423021AC"/>
    <w:rsid w:val="42834F9B"/>
    <w:rsid w:val="42B63176"/>
    <w:rsid w:val="42FE3DD1"/>
    <w:rsid w:val="431178B5"/>
    <w:rsid w:val="43EF2BEB"/>
    <w:rsid w:val="4401215F"/>
    <w:rsid w:val="44096017"/>
    <w:rsid w:val="447231DB"/>
    <w:rsid w:val="44AE67A8"/>
    <w:rsid w:val="44B545CC"/>
    <w:rsid w:val="453E098F"/>
    <w:rsid w:val="456718CC"/>
    <w:rsid w:val="45AC1DB3"/>
    <w:rsid w:val="45CF7D4B"/>
    <w:rsid w:val="46A546AD"/>
    <w:rsid w:val="46C61A41"/>
    <w:rsid w:val="46D07F3E"/>
    <w:rsid w:val="46FF5162"/>
    <w:rsid w:val="474673FF"/>
    <w:rsid w:val="474A0A57"/>
    <w:rsid w:val="47CE40CC"/>
    <w:rsid w:val="47F24756"/>
    <w:rsid w:val="48075642"/>
    <w:rsid w:val="48D832CC"/>
    <w:rsid w:val="48F726BF"/>
    <w:rsid w:val="49170D43"/>
    <w:rsid w:val="49303269"/>
    <w:rsid w:val="49F31E3E"/>
    <w:rsid w:val="4A161D6A"/>
    <w:rsid w:val="4A270731"/>
    <w:rsid w:val="4A2E201C"/>
    <w:rsid w:val="4A447913"/>
    <w:rsid w:val="4A8E34E4"/>
    <w:rsid w:val="4AB04D17"/>
    <w:rsid w:val="4ABD5DC4"/>
    <w:rsid w:val="4AEF7273"/>
    <w:rsid w:val="4B3C2DE9"/>
    <w:rsid w:val="4B602453"/>
    <w:rsid w:val="4B871C05"/>
    <w:rsid w:val="4BDC0384"/>
    <w:rsid w:val="4C565E5D"/>
    <w:rsid w:val="4C5B748F"/>
    <w:rsid w:val="4C7C4300"/>
    <w:rsid w:val="4C9119FD"/>
    <w:rsid w:val="4C9563EB"/>
    <w:rsid w:val="4CE63500"/>
    <w:rsid w:val="4D136950"/>
    <w:rsid w:val="4D3E3A01"/>
    <w:rsid w:val="4E03420C"/>
    <w:rsid w:val="4E131A81"/>
    <w:rsid w:val="4E3A2F35"/>
    <w:rsid w:val="4E696798"/>
    <w:rsid w:val="4F107E5A"/>
    <w:rsid w:val="4F1A370C"/>
    <w:rsid w:val="4F286528"/>
    <w:rsid w:val="4FA7301B"/>
    <w:rsid w:val="4FF64254"/>
    <w:rsid w:val="501B1F1F"/>
    <w:rsid w:val="5064090F"/>
    <w:rsid w:val="506618A8"/>
    <w:rsid w:val="508E2AC8"/>
    <w:rsid w:val="50AB6F5C"/>
    <w:rsid w:val="50BF7348"/>
    <w:rsid w:val="510644BA"/>
    <w:rsid w:val="51337763"/>
    <w:rsid w:val="516152BB"/>
    <w:rsid w:val="51A11BB4"/>
    <w:rsid w:val="51CB4007"/>
    <w:rsid w:val="51CE0C9C"/>
    <w:rsid w:val="51D66BD1"/>
    <w:rsid w:val="51E46BC7"/>
    <w:rsid w:val="51E64DD0"/>
    <w:rsid w:val="51ED5032"/>
    <w:rsid w:val="51FE1284"/>
    <w:rsid w:val="524B64EE"/>
    <w:rsid w:val="5275662C"/>
    <w:rsid w:val="529D0075"/>
    <w:rsid w:val="52A01451"/>
    <w:rsid w:val="52AD761B"/>
    <w:rsid w:val="52D74586"/>
    <w:rsid w:val="53F44A24"/>
    <w:rsid w:val="53F66489"/>
    <w:rsid w:val="54555985"/>
    <w:rsid w:val="54826CA8"/>
    <w:rsid w:val="54857499"/>
    <w:rsid w:val="549F5C84"/>
    <w:rsid w:val="54B72E40"/>
    <w:rsid w:val="54C6336B"/>
    <w:rsid w:val="54E22A6D"/>
    <w:rsid w:val="54ED44EA"/>
    <w:rsid w:val="552802CF"/>
    <w:rsid w:val="552E0B3A"/>
    <w:rsid w:val="555A77FB"/>
    <w:rsid w:val="55A4327F"/>
    <w:rsid w:val="55AE4080"/>
    <w:rsid w:val="55C5463D"/>
    <w:rsid w:val="55D36B7C"/>
    <w:rsid w:val="561E50F9"/>
    <w:rsid w:val="56383078"/>
    <w:rsid w:val="56605DCB"/>
    <w:rsid w:val="56931DC8"/>
    <w:rsid w:val="56A01559"/>
    <w:rsid w:val="56F72362"/>
    <w:rsid w:val="57320C63"/>
    <w:rsid w:val="574C7447"/>
    <w:rsid w:val="578A4A88"/>
    <w:rsid w:val="58075090"/>
    <w:rsid w:val="58D621AF"/>
    <w:rsid w:val="592F2060"/>
    <w:rsid w:val="5937790B"/>
    <w:rsid w:val="594562DB"/>
    <w:rsid w:val="594909F0"/>
    <w:rsid w:val="595C17F5"/>
    <w:rsid w:val="59B477C4"/>
    <w:rsid w:val="5A0D301B"/>
    <w:rsid w:val="5A231592"/>
    <w:rsid w:val="5A5D1591"/>
    <w:rsid w:val="5A834CDE"/>
    <w:rsid w:val="5AB517F0"/>
    <w:rsid w:val="5AFE7083"/>
    <w:rsid w:val="5B750DDF"/>
    <w:rsid w:val="5BEC7ED2"/>
    <w:rsid w:val="5BF25FC1"/>
    <w:rsid w:val="5BF928B8"/>
    <w:rsid w:val="5C0871A5"/>
    <w:rsid w:val="5C6570E5"/>
    <w:rsid w:val="5C6A67FF"/>
    <w:rsid w:val="5CF85024"/>
    <w:rsid w:val="5CFC3227"/>
    <w:rsid w:val="5D354FEE"/>
    <w:rsid w:val="5D5F4711"/>
    <w:rsid w:val="5D6E0DE5"/>
    <w:rsid w:val="5D894A30"/>
    <w:rsid w:val="5DA31040"/>
    <w:rsid w:val="5E155410"/>
    <w:rsid w:val="5EBB7195"/>
    <w:rsid w:val="5EDC0BD1"/>
    <w:rsid w:val="5F10388F"/>
    <w:rsid w:val="5F25605B"/>
    <w:rsid w:val="5F7B6724"/>
    <w:rsid w:val="5FF03854"/>
    <w:rsid w:val="5FF312BE"/>
    <w:rsid w:val="5FF94A76"/>
    <w:rsid w:val="603C38AE"/>
    <w:rsid w:val="60BD1FC4"/>
    <w:rsid w:val="60C87A19"/>
    <w:rsid w:val="60FD6E20"/>
    <w:rsid w:val="613B0C92"/>
    <w:rsid w:val="617774B6"/>
    <w:rsid w:val="618154AE"/>
    <w:rsid w:val="61893B7C"/>
    <w:rsid w:val="61BC2FBA"/>
    <w:rsid w:val="61D7407D"/>
    <w:rsid w:val="61F362E6"/>
    <w:rsid w:val="62341855"/>
    <w:rsid w:val="62DA6C55"/>
    <w:rsid w:val="62E03AC7"/>
    <w:rsid w:val="63221754"/>
    <w:rsid w:val="632D1E44"/>
    <w:rsid w:val="634470DC"/>
    <w:rsid w:val="635E356C"/>
    <w:rsid w:val="63B03D4D"/>
    <w:rsid w:val="63B410CC"/>
    <w:rsid w:val="63EF265C"/>
    <w:rsid w:val="641A282A"/>
    <w:rsid w:val="64FE5ED4"/>
    <w:rsid w:val="654E2A9B"/>
    <w:rsid w:val="65AB540E"/>
    <w:rsid w:val="65F3538F"/>
    <w:rsid w:val="660A5E8E"/>
    <w:rsid w:val="660D4B37"/>
    <w:rsid w:val="661721C7"/>
    <w:rsid w:val="66260958"/>
    <w:rsid w:val="66482D7F"/>
    <w:rsid w:val="66576265"/>
    <w:rsid w:val="666902C8"/>
    <w:rsid w:val="668735D7"/>
    <w:rsid w:val="66883D50"/>
    <w:rsid w:val="66FF2DCB"/>
    <w:rsid w:val="67510337"/>
    <w:rsid w:val="67A93D58"/>
    <w:rsid w:val="67AD4CD1"/>
    <w:rsid w:val="67FF22EA"/>
    <w:rsid w:val="681D54C9"/>
    <w:rsid w:val="68260594"/>
    <w:rsid w:val="68341626"/>
    <w:rsid w:val="68E157CD"/>
    <w:rsid w:val="692433DB"/>
    <w:rsid w:val="693459B4"/>
    <w:rsid w:val="697F5BD2"/>
    <w:rsid w:val="69B105DC"/>
    <w:rsid w:val="69B526C4"/>
    <w:rsid w:val="6A5F47BB"/>
    <w:rsid w:val="6A64306C"/>
    <w:rsid w:val="6A822DEC"/>
    <w:rsid w:val="6ADE1394"/>
    <w:rsid w:val="6B0266C7"/>
    <w:rsid w:val="6B4078AA"/>
    <w:rsid w:val="6B4B3DC6"/>
    <w:rsid w:val="6B7F3207"/>
    <w:rsid w:val="6BDF41B7"/>
    <w:rsid w:val="6C0B0157"/>
    <w:rsid w:val="6C8B11B6"/>
    <w:rsid w:val="6C8D46F1"/>
    <w:rsid w:val="6C9D3382"/>
    <w:rsid w:val="6CBE0CEC"/>
    <w:rsid w:val="6CD51451"/>
    <w:rsid w:val="6D492F34"/>
    <w:rsid w:val="6D76490E"/>
    <w:rsid w:val="6D95566E"/>
    <w:rsid w:val="6DD31EB7"/>
    <w:rsid w:val="6DDF637F"/>
    <w:rsid w:val="6DED5DC6"/>
    <w:rsid w:val="6E2F07CA"/>
    <w:rsid w:val="6E9A3254"/>
    <w:rsid w:val="6ED041DA"/>
    <w:rsid w:val="6F39059C"/>
    <w:rsid w:val="6F781163"/>
    <w:rsid w:val="6F8A7293"/>
    <w:rsid w:val="6FBE1E23"/>
    <w:rsid w:val="70175D83"/>
    <w:rsid w:val="709C5FA5"/>
    <w:rsid w:val="70D35E58"/>
    <w:rsid w:val="70E514F9"/>
    <w:rsid w:val="70F14C88"/>
    <w:rsid w:val="71170A1D"/>
    <w:rsid w:val="7190438B"/>
    <w:rsid w:val="71A258CE"/>
    <w:rsid w:val="71C67648"/>
    <w:rsid w:val="71D51348"/>
    <w:rsid w:val="725A2D18"/>
    <w:rsid w:val="727320DC"/>
    <w:rsid w:val="72B53955"/>
    <w:rsid w:val="72E220AD"/>
    <w:rsid w:val="73051030"/>
    <w:rsid w:val="73171838"/>
    <w:rsid w:val="73873363"/>
    <w:rsid w:val="73D9640D"/>
    <w:rsid w:val="746721F7"/>
    <w:rsid w:val="74913363"/>
    <w:rsid w:val="74981BAC"/>
    <w:rsid w:val="74EE583A"/>
    <w:rsid w:val="75157DEB"/>
    <w:rsid w:val="75282356"/>
    <w:rsid w:val="75284FED"/>
    <w:rsid w:val="75A32C96"/>
    <w:rsid w:val="75A95489"/>
    <w:rsid w:val="76A44C9F"/>
    <w:rsid w:val="76FB3DFC"/>
    <w:rsid w:val="77143510"/>
    <w:rsid w:val="775F3119"/>
    <w:rsid w:val="77723DEC"/>
    <w:rsid w:val="77CB6467"/>
    <w:rsid w:val="780B05AA"/>
    <w:rsid w:val="782C121F"/>
    <w:rsid w:val="784F54B4"/>
    <w:rsid w:val="78582C54"/>
    <w:rsid w:val="78640F68"/>
    <w:rsid w:val="788165E3"/>
    <w:rsid w:val="78B97BB3"/>
    <w:rsid w:val="7999256A"/>
    <w:rsid w:val="79E34720"/>
    <w:rsid w:val="79EA33D0"/>
    <w:rsid w:val="7A7A6853"/>
    <w:rsid w:val="7B0B2203"/>
    <w:rsid w:val="7B1A4222"/>
    <w:rsid w:val="7B6910A3"/>
    <w:rsid w:val="7B827A6B"/>
    <w:rsid w:val="7B8767C9"/>
    <w:rsid w:val="7B9B2AF3"/>
    <w:rsid w:val="7BFD15AA"/>
    <w:rsid w:val="7C137DF6"/>
    <w:rsid w:val="7C156FC5"/>
    <w:rsid w:val="7C50148A"/>
    <w:rsid w:val="7CA15421"/>
    <w:rsid w:val="7CAD766D"/>
    <w:rsid w:val="7D341B6E"/>
    <w:rsid w:val="7D40454A"/>
    <w:rsid w:val="7D764F96"/>
    <w:rsid w:val="7D823D52"/>
    <w:rsid w:val="7DB146BC"/>
    <w:rsid w:val="7DBD2FA3"/>
    <w:rsid w:val="7DEB6156"/>
    <w:rsid w:val="7DEC563C"/>
    <w:rsid w:val="7E4A00F9"/>
    <w:rsid w:val="7E6E6DAA"/>
    <w:rsid w:val="7F027ED6"/>
    <w:rsid w:val="7F123674"/>
    <w:rsid w:val="7F902EC1"/>
    <w:rsid w:val="7FA55B0D"/>
    <w:rsid w:val="7FBA0FE8"/>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nhideWhenUsed="0"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semiHidden="0" w:name="Default Paragraph Font"/>
    <w:lsdException w:qFormat="1" w:unhideWhenUsed="0" w:uiPriority="99"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99" w:semiHidden="0" w:name="Strong"/>
    <w:lsdException w:qFormat="1" w:unhideWhenUsed="0" w:uiPriority="20" w:semiHidden="0" w:name="Emphasis"/>
    <w:lsdException w:uiPriority="99" w:name="Document Map"/>
    <w:lsdException w:uiPriority="99"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nhideWhenUsed="0" w:uiPriority="99" w:semiHidden="0" w:name="HTML Preformatted"/>
    <w:lsdException w:uiPriority="99" w:name="HTML Sample"/>
    <w:lsdException w:uiPriority="99" w:name="HTML Typewriter"/>
    <w:lsdException w:uiPriority="99" w:name="HTML Variable"/>
    <w:lsdException w:qFormat="1" w:uiPriority="99" w:semiHidden="0"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26"/>
    <w:qFormat/>
    <w:uiPriority w:val="9"/>
    <w:pPr>
      <w:keepNext/>
      <w:keepLines/>
      <w:spacing w:before="340" w:after="330" w:line="578" w:lineRule="auto"/>
      <w:outlineLvl w:val="0"/>
    </w:pPr>
    <w:rPr>
      <w:b/>
      <w:bCs/>
      <w:kern w:val="44"/>
      <w:sz w:val="44"/>
      <w:szCs w:val="44"/>
    </w:rPr>
  </w:style>
  <w:style w:type="paragraph" w:styleId="3">
    <w:name w:val="heading 2"/>
    <w:basedOn w:val="1"/>
    <w:next w:val="1"/>
    <w:link w:val="32"/>
    <w:unhideWhenUsed/>
    <w:qFormat/>
    <w:uiPriority w:val="9"/>
    <w:pPr>
      <w:keepNext/>
      <w:keepLines/>
      <w:spacing w:before="260" w:after="260" w:line="416" w:lineRule="auto"/>
      <w:outlineLvl w:val="1"/>
    </w:pPr>
    <w:rPr>
      <w:rFonts w:asciiTheme="majorHAnsi" w:hAnsiTheme="majorHAnsi" w:eastAsiaTheme="majorEastAsia" w:cstheme="majorBidi"/>
      <w:b/>
      <w:bCs/>
      <w:sz w:val="32"/>
      <w:szCs w:val="32"/>
    </w:rPr>
  </w:style>
  <w:style w:type="paragraph" w:styleId="4">
    <w:name w:val="heading 3"/>
    <w:basedOn w:val="1"/>
    <w:next w:val="1"/>
    <w:link w:val="30"/>
    <w:unhideWhenUsed/>
    <w:qFormat/>
    <w:uiPriority w:val="9"/>
    <w:pPr>
      <w:keepNext/>
      <w:keepLines/>
      <w:spacing w:before="260" w:after="260" w:line="416" w:lineRule="auto"/>
      <w:outlineLvl w:val="2"/>
    </w:pPr>
    <w:rPr>
      <w:b/>
      <w:bCs/>
      <w:sz w:val="32"/>
      <w:szCs w:val="32"/>
    </w:rPr>
  </w:style>
  <w:style w:type="character" w:default="1" w:styleId="15">
    <w:name w:val="Default Paragraph Font"/>
    <w:unhideWhenUsed/>
    <w:qFormat/>
    <w:uiPriority w:val="1"/>
  </w:style>
  <w:style w:type="table" w:default="1" w:styleId="14">
    <w:name w:val="Normal Table"/>
    <w:unhideWhenUsed/>
    <w:qFormat/>
    <w:uiPriority w:val="99"/>
    <w:tblPr>
      <w:tblLayout w:type="fixed"/>
      <w:tblCellMar>
        <w:top w:w="0" w:type="dxa"/>
        <w:left w:w="108" w:type="dxa"/>
        <w:bottom w:w="0" w:type="dxa"/>
        <w:right w:w="108" w:type="dxa"/>
      </w:tblCellMar>
    </w:tblPr>
  </w:style>
  <w:style w:type="paragraph" w:styleId="5">
    <w:name w:val="Body Text"/>
    <w:basedOn w:val="1"/>
    <w:link w:val="23"/>
    <w:qFormat/>
    <w:uiPriority w:val="99"/>
    <w:pPr>
      <w:spacing w:beforeLines="30"/>
    </w:pPr>
    <w:rPr>
      <w:rFonts w:ascii="仿宋_GB2312" w:eastAsia="仿宋_GB2312"/>
      <w:kern w:val="0"/>
      <w:sz w:val="30"/>
    </w:rPr>
  </w:style>
  <w:style w:type="paragraph" w:styleId="6">
    <w:name w:val="toc 3"/>
    <w:basedOn w:val="1"/>
    <w:next w:val="1"/>
    <w:unhideWhenUsed/>
    <w:qFormat/>
    <w:uiPriority w:val="39"/>
    <w:pPr>
      <w:tabs>
        <w:tab w:val="right" w:leader="dot" w:pos="8296"/>
      </w:tabs>
      <w:ind w:left="840" w:leftChars="400"/>
    </w:pPr>
  </w:style>
  <w:style w:type="paragraph" w:styleId="7">
    <w:name w:val="Balloon Text"/>
    <w:basedOn w:val="1"/>
    <w:link w:val="29"/>
    <w:unhideWhenUsed/>
    <w:qFormat/>
    <w:uiPriority w:val="99"/>
    <w:rPr>
      <w:sz w:val="18"/>
      <w:szCs w:val="18"/>
    </w:rPr>
  </w:style>
  <w:style w:type="paragraph" w:styleId="8">
    <w:name w:val="footer"/>
    <w:basedOn w:val="1"/>
    <w:link w:val="21"/>
    <w:qFormat/>
    <w:uiPriority w:val="99"/>
    <w:pPr>
      <w:tabs>
        <w:tab w:val="center" w:pos="4153"/>
        <w:tab w:val="right" w:pos="8306"/>
      </w:tabs>
      <w:snapToGrid w:val="0"/>
      <w:jc w:val="left"/>
    </w:pPr>
    <w:rPr>
      <w:rFonts w:ascii="Calibri" w:hAnsi="Calibri"/>
      <w:kern w:val="0"/>
      <w:sz w:val="18"/>
      <w:szCs w:val="18"/>
    </w:rPr>
  </w:style>
  <w:style w:type="paragraph" w:styleId="9">
    <w:name w:val="header"/>
    <w:basedOn w:val="1"/>
    <w:link w:val="19"/>
    <w:semiHidden/>
    <w:qFormat/>
    <w:uiPriority w:val="99"/>
    <w:pPr>
      <w:pBdr>
        <w:bottom w:val="single" w:color="auto" w:sz="6" w:space="1"/>
      </w:pBdr>
      <w:tabs>
        <w:tab w:val="center" w:pos="4153"/>
        <w:tab w:val="right" w:pos="8306"/>
      </w:tabs>
      <w:snapToGrid w:val="0"/>
      <w:jc w:val="center"/>
    </w:pPr>
    <w:rPr>
      <w:rFonts w:ascii="Calibri" w:hAnsi="Calibri"/>
      <w:kern w:val="0"/>
      <w:sz w:val="18"/>
      <w:szCs w:val="18"/>
    </w:rPr>
  </w:style>
  <w:style w:type="paragraph" w:styleId="10">
    <w:name w:val="toc 1"/>
    <w:basedOn w:val="1"/>
    <w:next w:val="1"/>
    <w:unhideWhenUsed/>
    <w:qFormat/>
    <w:uiPriority w:val="39"/>
    <w:pPr>
      <w:tabs>
        <w:tab w:val="right" w:leader="dot" w:pos="8296"/>
      </w:tabs>
      <w:spacing w:before="93"/>
      <w:jc w:val="center"/>
    </w:pPr>
    <w:rPr>
      <w:rFonts w:ascii="仿宋" w:hAnsi="仿宋" w:eastAsia="仿宋"/>
      <w:sz w:val="28"/>
      <w:szCs w:val="28"/>
    </w:rPr>
  </w:style>
  <w:style w:type="paragraph" w:styleId="11">
    <w:name w:val="toc 2"/>
    <w:basedOn w:val="1"/>
    <w:next w:val="1"/>
    <w:unhideWhenUsed/>
    <w:qFormat/>
    <w:uiPriority w:val="39"/>
    <w:pPr>
      <w:tabs>
        <w:tab w:val="right" w:leader="dot" w:pos="8296"/>
      </w:tabs>
      <w:ind w:left="420" w:leftChars="200"/>
    </w:pPr>
  </w:style>
  <w:style w:type="paragraph" w:styleId="12">
    <w:name w:val="HTML Preformatted"/>
    <w:basedOn w:val="1"/>
    <w:qFormat/>
    <w:uiPriority w:val="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kern w:val="0"/>
      <w:sz w:val="24"/>
    </w:rPr>
  </w:style>
  <w:style w:type="paragraph" w:styleId="13">
    <w:name w:val="Normal (Web)"/>
    <w:basedOn w:val="1"/>
    <w:qFormat/>
    <w:uiPriority w:val="99"/>
    <w:pPr>
      <w:widowControl/>
      <w:spacing w:before="100" w:beforeAutospacing="1" w:after="100" w:afterAutospacing="1"/>
      <w:jc w:val="left"/>
    </w:pPr>
    <w:rPr>
      <w:rFonts w:ascii="宋体" w:hAnsi="宋体" w:cs="宋体"/>
      <w:kern w:val="0"/>
      <w:sz w:val="24"/>
    </w:rPr>
  </w:style>
  <w:style w:type="character" w:styleId="16">
    <w:name w:val="Strong"/>
    <w:basedOn w:val="15"/>
    <w:qFormat/>
    <w:uiPriority w:val="99"/>
    <w:rPr>
      <w:b/>
    </w:rPr>
  </w:style>
  <w:style w:type="character" w:styleId="17">
    <w:name w:val="Hyperlink"/>
    <w:basedOn w:val="15"/>
    <w:unhideWhenUsed/>
    <w:qFormat/>
    <w:uiPriority w:val="99"/>
    <w:rPr>
      <w:color w:val="0000FF" w:themeColor="hyperlink"/>
      <w:u w:val="single"/>
      <w14:textFill>
        <w14:solidFill>
          <w14:schemeClr w14:val="hlink"/>
        </w14:solidFill>
      </w14:textFill>
    </w:rPr>
  </w:style>
  <w:style w:type="character" w:customStyle="1" w:styleId="18">
    <w:name w:val="Header Char"/>
    <w:basedOn w:val="15"/>
    <w:semiHidden/>
    <w:qFormat/>
    <w:uiPriority w:val="99"/>
    <w:rPr>
      <w:rFonts w:ascii="Times New Roman" w:hAnsi="Times New Roman"/>
      <w:sz w:val="18"/>
      <w:szCs w:val="18"/>
    </w:rPr>
  </w:style>
  <w:style w:type="character" w:customStyle="1" w:styleId="19">
    <w:name w:val="页眉 Char"/>
    <w:link w:val="9"/>
    <w:semiHidden/>
    <w:qFormat/>
    <w:locked/>
    <w:uiPriority w:val="99"/>
    <w:rPr>
      <w:sz w:val="18"/>
    </w:rPr>
  </w:style>
  <w:style w:type="character" w:customStyle="1" w:styleId="20">
    <w:name w:val="Footer Char"/>
    <w:basedOn w:val="15"/>
    <w:semiHidden/>
    <w:qFormat/>
    <w:uiPriority w:val="99"/>
    <w:rPr>
      <w:rFonts w:ascii="Times New Roman" w:hAnsi="Times New Roman"/>
      <w:sz w:val="18"/>
      <w:szCs w:val="18"/>
    </w:rPr>
  </w:style>
  <w:style w:type="character" w:customStyle="1" w:styleId="21">
    <w:name w:val="页脚 Char"/>
    <w:link w:val="8"/>
    <w:qFormat/>
    <w:locked/>
    <w:uiPriority w:val="99"/>
    <w:rPr>
      <w:sz w:val="18"/>
    </w:rPr>
  </w:style>
  <w:style w:type="character" w:customStyle="1" w:styleId="22">
    <w:name w:val="Body Text Char"/>
    <w:basedOn w:val="15"/>
    <w:semiHidden/>
    <w:qFormat/>
    <w:uiPriority w:val="99"/>
    <w:rPr>
      <w:rFonts w:ascii="Times New Roman" w:hAnsi="Times New Roman"/>
      <w:szCs w:val="24"/>
    </w:rPr>
  </w:style>
  <w:style w:type="character" w:customStyle="1" w:styleId="23">
    <w:name w:val="正文文本 Char"/>
    <w:link w:val="5"/>
    <w:qFormat/>
    <w:locked/>
    <w:uiPriority w:val="99"/>
    <w:rPr>
      <w:rFonts w:ascii="仿宋_GB2312" w:hAnsi="Times New Roman" w:eastAsia="仿宋_GB2312"/>
      <w:sz w:val="24"/>
    </w:rPr>
  </w:style>
  <w:style w:type="paragraph" w:customStyle="1" w:styleId="24">
    <w:name w:val="Default"/>
    <w:qFormat/>
    <w:uiPriority w:val="99"/>
    <w:pPr>
      <w:widowControl w:val="0"/>
      <w:autoSpaceDE w:val="0"/>
      <w:autoSpaceDN w:val="0"/>
      <w:adjustRightInd w:val="0"/>
    </w:pPr>
    <w:rPr>
      <w:rFonts w:ascii="仿宋" w:hAnsi="Calibri" w:eastAsia="仿宋" w:cs="仿宋"/>
      <w:color w:val="000000"/>
      <w:sz w:val="24"/>
      <w:szCs w:val="24"/>
      <w:lang w:val="en-US" w:eastAsia="zh-CN" w:bidi="ar-SA"/>
    </w:rPr>
  </w:style>
  <w:style w:type="paragraph" w:styleId="25">
    <w:name w:val="List Paragraph"/>
    <w:basedOn w:val="1"/>
    <w:qFormat/>
    <w:uiPriority w:val="34"/>
    <w:pPr>
      <w:ind w:firstLine="420" w:firstLineChars="200"/>
    </w:pPr>
  </w:style>
  <w:style w:type="character" w:customStyle="1" w:styleId="26">
    <w:name w:val="标题 1 Char"/>
    <w:basedOn w:val="15"/>
    <w:link w:val="2"/>
    <w:qFormat/>
    <w:uiPriority w:val="9"/>
    <w:rPr>
      <w:rFonts w:ascii="Times New Roman" w:hAnsi="Times New Roman"/>
      <w:b/>
      <w:bCs/>
      <w:kern w:val="44"/>
      <w:sz w:val="44"/>
      <w:szCs w:val="44"/>
    </w:rPr>
  </w:style>
  <w:style w:type="character" w:customStyle="1" w:styleId="27">
    <w:name w:val="标题 2 Char"/>
    <w:basedOn w:val="15"/>
    <w:link w:val="3"/>
    <w:qFormat/>
    <w:uiPriority w:val="9"/>
    <w:rPr>
      <w:rFonts w:asciiTheme="majorHAnsi" w:hAnsiTheme="majorHAnsi" w:eastAsiaTheme="majorEastAsia" w:cstheme="majorBidi"/>
      <w:b/>
      <w:bCs/>
      <w:kern w:val="2"/>
      <w:sz w:val="32"/>
      <w:szCs w:val="32"/>
    </w:rPr>
  </w:style>
  <w:style w:type="paragraph" w:customStyle="1" w:styleId="28">
    <w:name w:val="TOC Heading"/>
    <w:basedOn w:val="2"/>
    <w:next w:val="1"/>
    <w:unhideWhenUsed/>
    <w:qFormat/>
    <w:uiPriority w:val="39"/>
    <w:pPr>
      <w:widowControl/>
      <w:spacing w:before="480" w:after="0" w:line="276" w:lineRule="auto"/>
      <w:jc w:val="left"/>
      <w:outlineLvl w:val="9"/>
    </w:pPr>
    <w:rPr>
      <w:rFonts w:asciiTheme="majorHAnsi" w:hAnsiTheme="majorHAnsi" w:eastAsiaTheme="majorEastAsia" w:cstheme="majorBidi"/>
      <w:color w:val="376092" w:themeColor="accent1" w:themeShade="BF"/>
      <w:kern w:val="0"/>
      <w:sz w:val="28"/>
      <w:szCs w:val="28"/>
    </w:rPr>
  </w:style>
  <w:style w:type="character" w:customStyle="1" w:styleId="29">
    <w:name w:val="批注框文本 Char"/>
    <w:basedOn w:val="15"/>
    <w:link w:val="7"/>
    <w:semiHidden/>
    <w:qFormat/>
    <w:uiPriority w:val="99"/>
    <w:rPr>
      <w:rFonts w:ascii="Times New Roman" w:hAnsi="Times New Roman"/>
      <w:kern w:val="2"/>
      <w:sz w:val="18"/>
      <w:szCs w:val="18"/>
    </w:rPr>
  </w:style>
  <w:style w:type="character" w:customStyle="1" w:styleId="30">
    <w:name w:val="标题 3 Char"/>
    <w:basedOn w:val="15"/>
    <w:link w:val="4"/>
    <w:qFormat/>
    <w:uiPriority w:val="9"/>
    <w:rPr>
      <w:rFonts w:ascii="Times New Roman" w:hAnsi="Times New Roman"/>
      <w:b/>
      <w:bCs/>
      <w:kern w:val="2"/>
      <w:sz w:val="32"/>
      <w:szCs w:val="32"/>
    </w:rPr>
  </w:style>
  <w:style w:type="character" w:customStyle="1" w:styleId="31">
    <w:name w:val="15"/>
    <w:basedOn w:val="15"/>
    <w:qFormat/>
    <w:uiPriority w:val="99"/>
    <w:rPr>
      <w:rFonts w:ascii="Times New Roman" w:hAnsi="Times New Roman" w:cs="Times New Roman"/>
      <w:b/>
      <w:bCs/>
    </w:rPr>
  </w:style>
  <w:style w:type="character" w:customStyle="1" w:styleId="32">
    <w:name w:val="Heading 2 Char"/>
    <w:basedOn w:val="15"/>
    <w:link w:val="3"/>
    <w:qFormat/>
    <w:locked/>
    <w:uiPriority w:val="99"/>
    <w:rPr>
      <w:rFonts w:ascii="Cambria" w:hAnsi="Cambria" w:eastAsia="宋体" w:cs="Times New Roman"/>
      <w:b/>
      <w:bCs/>
      <w:kern w:val="2"/>
      <w:sz w:val="32"/>
      <w:szCs w:val="32"/>
    </w:rPr>
  </w:style>
</w:styles>
</file>

<file path=word/_rels/document.xml.rels><?xml version="1.0" encoding="UTF-8" standalone="yes"?>
<Relationships xmlns="http://schemas.openxmlformats.org/package/2006/relationships"><Relationship Id="rId9" Type="http://schemas.openxmlformats.org/officeDocument/2006/relationships/chart" Target="charts/chart4.xml"/><Relationship Id="rId8" Type="http://schemas.openxmlformats.org/officeDocument/2006/relationships/chart" Target="charts/chart3.xml"/><Relationship Id="rId7" Type="http://schemas.openxmlformats.org/officeDocument/2006/relationships/chart" Target="charts/chart2.xml"/><Relationship Id="rId6" Type="http://schemas.openxmlformats.org/officeDocument/2006/relationships/chart" Target="charts/chart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5" Type="http://schemas.openxmlformats.org/officeDocument/2006/relationships/fontTable" Target="fontTable.xml"/><Relationship Id="rId14" Type="http://schemas.openxmlformats.org/officeDocument/2006/relationships/customXml" Target="../customXml/item2.xml"/><Relationship Id="rId13" Type="http://schemas.openxmlformats.org/officeDocument/2006/relationships/numbering" Target="numbering.xml"/><Relationship Id="rId12" Type="http://schemas.openxmlformats.org/officeDocument/2006/relationships/customXml" Target="../customXml/item1.xml"/><Relationship Id="rId11" Type="http://schemas.openxmlformats.org/officeDocument/2006/relationships/chart" Target="charts/chart6.xml"/><Relationship Id="rId10" Type="http://schemas.openxmlformats.org/officeDocument/2006/relationships/chart" Target="charts/chart5.xml"/><Relationship Id="rId1" Type="http://schemas.openxmlformats.org/officeDocument/2006/relationships/styles" Target="styles.xml"/></Relationships>
</file>

<file path=word/charts/_rels/chart1.xml.rels><?xml version="1.0" encoding="UTF-8" standalone="yes"?>
<Relationships xmlns="http://schemas.openxmlformats.org/package/2006/relationships"><Relationship Id="rId2" Type="http://schemas.openxmlformats.org/officeDocument/2006/relationships/themeOverride" Target="../theme/themeOverride2.xml"/><Relationship Id="rId1" Type="http://schemas.openxmlformats.org/officeDocument/2006/relationships/oleObject" Target="file:///C:\Users\Administrator\Desktop\2024&#24180;&#20915;&#31639;&#20844;&#24320;&#36164;&#26009;\&#20915;&#31639;&#27599;&#24180;&#35201;&#29992;&#30340;&#22270;&#34920;(1).xls" TargetMode="External"/></Relationships>
</file>

<file path=word/charts/_rels/chart2.xml.rels><?xml version="1.0" encoding="UTF-8" standalone="yes"?>
<Relationships xmlns="http://schemas.openxmlformats.org/package/2006/relationships"><Relationship Id="rId2" Type="http://schemas.openxmlformats.org/officeDocument/2006/relationships/themeOverride" Target="../theme/themeOverride6.xml"/><Relationship Id="rId1" Type="http://schemas.openxmlformats.org/officeDocument/2006/relationships/oleObject" Target="file:///C:\Users\Administrator\Desktop\2024&#24180;&#20915;&#31639;&#20844;&#24320;&#36164;&#26009;\&#20915;&#31639;&#27599;&#24180;&#35201;&#29992;&#30340;&#22270;&#34920;(1).xls" TargetMode="External"/></Relationships>
</file>

<file path=word/charts/_rels/chart3.xml.rels><?xml version="1.0" encoding="UTF-8" standalone="yes"?>
<Relationships xmlns="http://schemas.openxmlformats.org/package/2006/relationships"><Relationship Id="rId2" Type="http://schemas.openxmlformats.org/officeDocument/2006/relationships/themeOverride" Target="../theme/themeOverride5.xml"/><Relationship Id="rId1" Type="http://schemas.openxmlformats.org/officeDocument/2006/relationships/oleObject" Target="file:///C:\Users\Administrator\Desktop\2024&#24180;&#20915;&#31639;&#20844;&#24320;&#36164;&#26009;\&#20915;&#31639;&#27599;&#24180;&#35201;&#29992;&#30340;&#22270;&#34920;(1).xls" TargetMode="External"/></Relationships>
</file>

<file path=word/charts/_rels/chart4.xml.rels><?xml version="1.0" encoding="UTF-8" standalone="yes"?>
<Relationships xmlns="http://schemas.openxmlformats.org/package/2006/relationships"><Relationship Id="rId2" Type="http://schemas.openxmlformats.org/officeDocument/2006/relationships/themeOverride" Target="../theme/themeOverride3.xml"/><Relationship Id="rId1" Type="http://schemas.openxmlformats.org/officeDocument/2006/relationships/oleObject" Target="file:///C:\Users\Administrator\Desktop\2024&#24180;&#20915;&#31639;&#20844;&#24320;&#36164;&#26009;\&#20915;&#31639;&#27599;&#24180;&#35201;&#29992;&#30340;&#22270;&#34920;(1).xls" TargetMode="External"/></Relationships>
</file>

<file path=word/charts/_rels/chart5.xml.rels><?xml version="1.0" encoding="UTF-8" standalone="yes"?>
<Relationships xmlns="http://schemas.openxmlformats.org/package/2006/relationships"><Relationship Id="rId2" Type="http://schemas.openxmlformats.org/officeDocument/2006/relationships/themeOverride" Target="../theme/themeOverride4.xml"/><Relationship Id="rId1" Type="http://schemas.openxmlformats.org/officeDocument/2006/relationships/oleObject" Target="file:///C:\Users\Administrator\Desktop\2024&#24180;&#20915;&#31639;&#20844;&#24320;&#36164;&#26009;\&#20915;&#31639;&#27599;&#24180;&#35201;&#29992;&#30340;&#22270;&#34920;(1).xls" TargetMode="External"/></Relationships>
</file>

<file path=word/charts/_rels/chart6.xml.rels><?xml version="1.0" encoding="UTF-8" standalone="yes"?>
<Relationships xmlns="http://schemas.openxmlformats.org/package/2006/relationships"><Relationship Id="rId2" Type="http://schemas.openxmlformats.org/officeDocument/2006/relationships/themeOverride" Target="../theme/themeOverride1.xml"/><Relationship Id="rId1" Type="http://schemas.openxmlformats.org/officeDocument/2006/relationships/oleObject" Target="file:///C:\Users\Administrator\Desktop\2024&#24180;&#20915;&#31639;&#20844;&#24320;&#36164;&#26009;\&#20915;&#31639;&#27599;&#24180;&#35201;&#29992;&#30340;&#22270;&#34920;(1).xls"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0" vertOverflow="ellipsis" vert="horz" wrap="square" anchor="ctr" anchorCtr="1"/>
          <a:lstStyle/>
          <a:p>
            <a:pPr defTabSz="914400">
              <a:defRPr lang="zh-CN" sz="1200" b="0" i="0" u="none" strike="noStrike" kern="1200" baseline="0">
                <a:solidFill>
                  <a:srgbClr val="000000">
                    <a:alpha val="100000"/>
                  </a:srgbClr>
                </a:solidFill>
                <a:latin typeface="宋体" panose="02010600030101010101" charset="-122"/>
                <a:ea typeface="宋体" panose="02010600030101010101" charset="-122"/>
                <a:cs typeface="宋体" panose="02010600030101010101" charset="-122"/>
              </a:defRPr>
            </a:pPr>
            <a:r>
              <a:t>收、支决算总计变动情况图</a:t>
            </a:r>
            <a:endParaRPr sz="1200" b="0" i="0" u="none" strike="noStrike" baseline="0">
              <a:solidFill>
                <a:srgbClr val="000000">
                  <a:alpha val="100000"/>
                </a:srgbClr>
              </a:solidFill>
              <a:latin typeface="宋体" panose="02010600030101010101" charset="-122"/>
              <a:ea typeface="宋体" panose="02010600030101010101" charset="-122"/>
              <a:cs typeface="宋体" panose="02010600030101010101" charset="-122"/>
            </a:endParaRPr>
          </a:p>
        </c:rich>
      </c:tx>
      <c:layout>
        <c:manualLayout>
          <c:xMode val="edge"/>
          <c:yMode val="edge"/>
          <c:x val="0.328230460725814"/>
          <c:y val="0.022002200220022"/>
        </c:manualLayout>
      </c:layout>
      <c:overlay val="0"/>
    </c:title>
    <c:autoTitleDeleted val="0"/>
    <c:plotArea>
      <c:layout>
        <c:manualLayout>
          <c:layoutTarget val="inner"/>
          <c:xMode val="edge"/>
          <c:yMode val="edge"/>
          <c:x val="0.093659281894576"/>
          <c:y val="0.0373983739837398"/>
          <c:w val="0.835310459786081"/>
          <c:h val="0.595"/>
        </c:manualLayout>
      </c:layout>
      <c:barChart>
        <c:barDir val="col"/>
        <c:grouping val="clustered"/>
        <c:varyColors val="0"/>
        <c:ser>
          <c:idx val="0"/>
          <c:order val="0"/>
          <c:tx>
            <c:strRef>
              <c:f>'[决算每年要用的图表(1).xls]Sheet1'!$A$2</c:f>
              <c:strCache>
                <c:ptCount val="1"/>
                <c:pt idx="0">
                  <c:v>2024年</c:v>
                </c:pt>
              </c:strCache>
            </c:strRef>
          </c:tx>
          <c:spPr>
            <a:solidFill>
              <a:srgbClr val="5B9BD5">
                <a:alpha val="100000"/>
              </a:srgbClr>
            </a:solidFill>
            <a:ln w="3175">
              <a:noFill/>
            </a:ln>
          </c:spPr>
          <c:invertIfNegative val="0"/>
          <c:dLbls>
            <c:numFmt formatCode="General" sourceLinked="1"/>
            <c:spPr>
              <a:noFill/>
              <a:ln w="3175">
                <a:noFill/>
              </a:ln>
              <a:effectLst/>
            </c:spPr>
            <c:txPr>
              <a:bodyPr rot="0" spcFirstLastPara="0" vertOverflow="ellipsis" vert="horz" wrap="square" lIns="38100" tIns="19050" rIns="38100" bIns="19050" anchor="ctr" anchorCtr="1"/>
              <a:lstStyle/>
              <a:p>
                <a:pPr>
                  <a:defRPr lang="zh-CN" sz="900" b="0" i="0" u="none" strike="noStrike" kern="1200" baseline="0">
                    <a:solidFill>
                      <a:srgbClr val="FFFFFF">
                        <a:alpha val="100000"/>
                      </a:srgbClr>
                    </a:solidFill>
                    <a:latin typeface="宋体" panose="02010600030101010101" charset="-122"/>
                    <a:ea typeface="宋体" panose="02010600030101010101" charset="-122"/>
                    <a:cs typeface="宋体" panose="02010600030101010101" charset="-122"/>
                  </a:defRPr>
                </a:pPr>
              </a:p>
            </c:txPr>
            <c:dLblPos val="inEnd"/>
            <c:showLegendKey val="0"/>
            <c:showVal val="1"/>
            <c:showCatName val="0"/>
            <c:showSerName val="0"/>
            <c:showPercent val="0"/>
            <c:showBubbleSize val="0"/>
            <c:showLeaderLines val="0"/>
            <c:extLst>
              <c:ext xmlns:c15="http://schemas.microsoft.com/office/drawing/2012/chart" uri="{CE6537A1-D6FC-4f65-9D91-7224C49458BB}">
                <c15:layout/>
                <c15:showLeaderLines val="0"/>
                <c15:leaderLines/>
              </c:ext>
            </c:extLst>
          </c:dLbls>
          <c:cat>
            <c:strRef>
              <c:f>'[决算每年要用的图表(1).xls]Sheet1'!$B$1:$C$1</c:f>
              <c:strCache>
                <c:ptCount val="2"/>
                <c:pt idx="0">
                  <c:v>收入（万元）</c:v>
                </c:pt>
                <c:pt idx="1">
                  <c:v>   支出（万元）</c:v>
                </c:pt>
              </c:strCache>
            </c:strRef>
          </c:cat>
          <c:val>
            <c:numRef>
              <c:f>'[决算每年要用的图表(1).xls]Sheet1'!$B$2:$C$2</c:f>
              <c:numCache>
                <c:formatCode>#,##0.00</c:formatCode>
                <c:ptCount val="2"/>
                <c:pt idx="0">
                  <c:v>639.53</c:v>
                </c:pt>
                <c:pt idx="1">
                  <c:v>695.84</c:v>
                </c:pt>
              </c:numCache>
            </c:numRef>
          </c:val>
        </c:ser>
        <c:ser>
          <c:idx val="1"/>
          <c:order val="1"/>
          <c:tx>
            <c:strRef>
              <c:f>'[决算每年要用的图表(1).xls]Sheet1'!$A$3</c:f>
              <c:strCache>
                <c:ptCount val="1"/>
                <c:pt idx="0">
                  <c:v>2025年</c:v>
                </c:pt>
              </c:strCache>
            </c:strRef>
          </c:tx>
          <c:spPr>
            <a:solidFill>
              <a:srgbClr val="ED7D31">
                <a:alpha val="100000"/>
              </a:srgbClr>
            </a:solidFill>
            <a:ln w="3175">
              <a:noFill/>
            </a:ln>
          </c:spPr>
          <c:invertIfNegative val="0"/>
          <c:dLbls>
            <c:numFmt formatCode="General" sourceLinked="1"/>
            <c:spPr>
              <a:noFill/>
              <a:ln w="3175">
                <a:noFill/>
              </a:ln>
              <a:effectLst/>
            </c:spPr>
            <c:txPr>
              <a:bodyPr rot="0" spcFirstLastPara="0" vertOverflow="ellipsis" vert="horz" wrap="square" lIns="38100" tIns="19050" rIns="38100" bIns="19050" anchor="ctr" anchorCtr="1"/>
              <a:lstStyle/>
              <a:p>
                <a:pPr>
                  <a:defRPr lang="zh-CN" sz="900" b="0" i="0" u="none" strike="noStrike" kern="1200" baseline="0">
                    <a:solidFill>
                      <a:srgbClr val="FFFFFF">
                        <a:alpha val="100000"/>
                      </a:srgbClr>
                    </a:solidFill>
                    <a:latin typeface="宋体" panose="02010600030101010101" charset="-122"/>
                    <a:ea typeface="宋体" panose="02010600030101010101" charset="-122"/>
                    <a:cs typeface="宋体" panose="02010600030101010101" charset="-122"/>
                  </a:defRPr>
                </a:pPr>
              </a:p>
            </c:txPr>
            <c:dLblPos val="inEnd"/>
            <c:showLegendKey val="0"/>
            <c:showVal val="1"/>
            <c:showCatName val="0"/>
            <c:showSerName val="0"/>
            <c:showPercent val="0"/>
            <c:showBubbleSize val="0"/>
            <c:showLeaderLines val="0"/>
            <c:extLst>
              <c:ext xmlns:c15="http://schemas.microsoft.com/office/drawing/2012/chart" uri="{CE6537A1-D6FC-4f65-9D91-7224C49458BB}">
                <c15:layout/>
                <c15:showLeaderLines val="0"/>
                <c15:leaderLines/>
              </c:ext>
            </c:extLst>
          </c:dLbls>
          <c:cat>
            <c:strRef>
              <c:f>'[决算每年要用的图表(1).xls]Sheet1'!$B$1:$C$1</c:f>
              <c:strCache>
                <c:ptCount val="2"/>
                <c:pt idx="0">
                  <c:v>收入（万元）</c:v>
                </c:pt>
                <c:pt idx="1">
                  <c:v>   支出（万元）</c:v>
                </c:pt>
              </c:strCache>
            </c:strRef>
          </c:cat>
          <c:val>
            <c:numRef>
              <c:f>'[决算每年要用的图表(1).xls]Sheet1'!$B$3:$C$3</c:f>
              <c:numCache>
                <c:formatCode>#,##0.00</c:formatCode>
                <c:ptCount val="2"/>
                <c:pt idx="0">
                  <c:v>639.53</c:v>
                </c:pt>
                <c:pt idx="1">
                  <c:v>695.84</c:v>
                </c:pt>
              </c:numCache>
            </c:numRef>
          </c:val>
        </c:ser>
        <c:dLbls>
          <c:showLegendKey val="0"/>
          <c:showVal val="0"/>
          <c:showCatName val="0"/>
          <c:showSerName val="0"/>
          <c:showPercent val="0"/>
          <c:showBubbleSize val="0"/>
        </c:dLbls>
        <c:gapWidth val="219"/>
        <c:overlap val="-10"/>
        <c:axId val="781258806"/>
        <c:axId val="160585205"/>
      </c:barChart>
      <c:catAx>
        <c:axId val="781258806"/>
        <c:scaling>
          <c:orientation val="minMax"/>
        </c:scaling>
        <c:delete val="0"/>
        <c:axPos val="b"/>
        <c:majorTickMark val="none"/>
        <c:minorTickMark val="none"/>
        <c:tickLblPos val="nextTo"/>
        <c:spPr>
          <a:noFill/>
          <a:ln w="9525" cap="flat" cmpd="sng" algn="ctr">
            <a:solidFill>
              <a:schemeClr val="bg1">
                <a:lumMod val="95000"/>
              </a:schemeClr>
            </a:solidFill>
            <a:prstDash val="solid"/>
            <a:round/>
          </a:ln>
          <a:effectLst/>
        </c:spPr>
        <c:txPr>
          <a:bodyPr rot="0" spcFirstLastPara="0" vertOverflow="ellipsis" vert="horz" wrap="square" anchor="ctr" anchorCtr="1"/>
          <a:lstStyle/>
          <a:p>
            <a:pPr>
              <a:defRPr lang="zh-CN" sz="900" b="0" i="0" u="none" strike="noStrike" kern="1200" baseline="0">
                <a:solidFill>
                  <a:srgbClr val="333333">
                    <a:alpha val="100000"/>
                  </a:srgbClr>
                </a:solidFill>
                <a:latin typeface="微软雅黑" panose="020B0503020204020204" pitchFamily="2" charset="-122"/>
                <a:ea typeface="微软雅黑" panose="020B0503020204020204" pitchFamily="2" charset="-122"/>
                <a:cs typeface="微软雅黑" panose="020B0503020204020204" pitchFamily="2" charset="-122"/>
              </a:defRPr>
            </a:pPr>
          </a:p>
        </c:txPr>
        <c:crossAx val="160585205"/>
        <c:crosses val="autoZero"/>
        <c:auto val="1"/>
        <c:lblAlgn val="ctr"/>
        <c:lblOffset val="100"/>
        <c:noMultiLvlLbl val="0"/>
      </c:catAx>
      <c:valAx>
        <c:axId val="160585205"/>
        <c:scaling>
          <c:orientation val="minMax"/>
        </c:scaling>
        <c:delete val="0"/>
        <c:axPos val="l"/>
        <c:majorGridlines>
          <c:spPr>
            <a:ln w="9525" cap="flat" cmpd="sng" algn="ctr">
              <a:solidFill>
                <a:schemeClr val="bg1">
                  <a:lumMod val="95000"/>
                </a:schemeClr>
              </a:solidFill>
              <a:prstDash val="solid"/>
              <a:round/>
            </a:ln>
            <a:effectLst/>
          </c:spPr>
        </c:majorGridlines>
        <c:numFmt formatCode="#,##0.00" sourceLinked="1"/>
        <c:majorTickMark val="none"/>
        <c:minorTickMark val="none"/>
        <c:tickLblPos val="nextTo"/>
        <c:spPr>
          <a:ln w="3175" cap="flat" cmpd="sng" algn="ctr">
            <a:noFill/>
            <a:prstDash val="solid"/>
            <a:round/>
          </a:ln>
        </c:spPr>
        <c:txPr>
          <a:bodyPr rot="0" spcFirstLastPara="0" vertOverflow="ellipsis" vert="horz" wrap="square" anchor="ctr" anchorCtr="1"/>
          <a:lstStyle/>
          <a:p>
            <a:pPr>
              <a:defRPr lang="zh-CN" sz="900" b="0" i="0" u="none" strike="noStrike" kern="1200" baseline="0">
                <a:solidFill>
                  <a:srgbClr val="333333">
                    <a:alpha val="100000"/>
                  </a:srgbClr>
                </a:solidFill>
                <a:latin typeface="宋体" panose="02010600030101010101" charset="-122"/>
                <a:ea typeface="宋体" panose="02010600030101010101" charset="-122"/>
                <a:cs typeface="宋体" panose="02010600030101010101" charset="-122"/>
              </a:defRPr>
            </a:pPr>
          </a:p>
        </c:txPr>
        <c:crossAx val="781258806"/>
        <c:crosses val="autoZero"/>
        <c:crossBetween val="between"/>
      </c:valAx>
      <c:spPr>
        <a:noFill/>
        <a:ln w="3175">
          <a:noFill/>
        </a:ln>
      </c:spPr>
    </c:plotArea>
    <c:legend>
      <c:legendPos val="r"/>
      <c:layout>
        <c:manualLayout>
          <c:xMode val="edge"/>
          <c:yMode val="edge"/>
          <c:x val="0.3085"/>
          <c:y val="0.90325"/>
          <c:w val="0.36925"/>
          <c:h val="0.06925"/>
        </c:manualLayout>
      </c:layout>
      <c:overlay val="0"/>
      <c:spPr>
        <a:noFill/>
        <a:ln w="3175">
          <a:noFill/>
        </a:ln>
      </c:spPr>
      <c:txPr>
        <a:bodyPr rot="0" spcFirstLastPara="0" vertOverflow="ellipsis" vert="horz" wrap="square" anchor="ctr" anchorCtr="1"/>
        <a:lstStyle/>
        <a:p>
          <a:pPr>
            <a:defRPr lang="zh-CN" sz="825" b="0" i="0" u="none" strike="noStrike" kern="1200" baseline="0">
              <a:solidFill>
                <a:srgbClr val="333333"/>
              </a:solidFill>
              <a:latin typeface="微软雅黑" panose="020B0503020204020204" pitchFamily="2" charset="-122"/>
              <a:ea typeface="微软雅黑" panose="020B0503020204020204" pitchFamily="2" charset="-122"/>
              <a:cs typeface="微软雅黑" panose="020B0503020204020204" pitchFamily="2" charset="-122"/>
            </a:defRPr>
          </a:pPr>
        </a:p>
      </c:txPr>
    </c:legend>
    <c:plotVisOnly val="1"/>
    <c:dispBlanksAs val="gap"/>
    <c:showDLblsOverMax val="0"/>
  </c:chart>
  <c:spPr>
    <a:solidFill>
      <a:schemeClr val="bg1"/>
    </a:solidFill>
    <a:ln w="9525" cap="flat" cmpd="sng" algn="ctr">
      <a:solidFill>
        <a:schemeClr val="bg1">
          <a:lumMod val="95000"/>
        </a:schemeClr>
      </a:solidFill>
      <a:prstDash val="solid"/>
      <a:round/>
    </a:ln>
    <a:effectLst/>
  </c:spPr>
  <c:txPr>
    <a:bodyPr rot="0" wrap="square" anchor="ctr" anchorCtr="1"/>
    <a:lstStyle/>
    <a:p>
      <a:pPr>
        <a:defRPr lang="zh-CN" sz="1000" b="0" i="0" u="none" strike="noStrike" baseline="0">
          <a:solidFill>
            <a:srgbClr val="000000">
              <a:alpha val="100000"/>
            </a:srgbClr>
          </a:solidFill>
          <a:latin typeface="宋体" panose="02010600030101010101" charset="-122"/>
          <a:ea typeface="宋体" panose="02010600030101010101" charset="-122"/>
          <a:cs typeface="宋体" panose="02010600030101010101" charset="-122"/>
        </a:defRPr>
      </a:pPr>
    </a:p>
  </c:tx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5"/>
    </mc:Choice>
    <mc:Fallback>
      <c:style val="5"/>
    </mc:Fallback>
  </mc:AlternateContent>
  <c:clrMapOvr bg1="lt1" tx1="dk1" bg2="lt2" tx2="dk2" accent1="accent1" accent2="accent2" accent3="accent3" accent4="accent4" accent5="accent5" accent6="accent6" hlink="hlink" folHlink="folHlink"/>
  <c:chart>
    <c:title>
      <c:tx>
        <c:rich>
          <a:bodyPr rot="0" spcFirstLastPara="0" vertOverflow="ellipsis" vert="horz" wrap="square" anchor="ctr" anchorCtr="1"/>
          <a:lstStyle/>
          <a:p>
            <a:pPr defTabSz="914400">
              <a:defRPr lang="zh-CN" sz="1400" b="1" i="0" u="none" strike="noStrike" kern="1200" baseline="0">
                <a:solidFill>
                  <a:srgbClr val="808080">
                    <a:alpha val="100000"/>
                  </a:srgbClr>
                </a:solidFill>
                <a:latin typeface="宋体" panose="02010600030101010101" charset="-122"/>
                <a:ea typeface="宋体" panose="02010600030101010101" charset="-122"/>
                <a:cs typeface="宋体" panose="02010600030101010101" charset="-122"/>
              </a:defRPr>
            </a:pPr>
            <a:r>
              <a:rPr lang="en-US" altLang="zh-CN" sz="1400" b="1" i="0" u="none" strike="noStrike" baseline="0">
                <a:solidFill>
                  <a:srgbClr val="808080"/>
                </a:solidFill>
                <a:latin typeface="宋体" panose="02010600030101010101" charset="-122"/>
                <a:ea typeface="宋体" panose="02010600030101010101" charset="-122"/>
                <a:cs typeface="宋体" panose="02010600030101010101" charset="-122"/>
              </a:rPr>
              <a:t>2025</a:t>
            </a:r>
            <a:r>
              <a:rPr sz="1400" b="1" i="0" u="none" strike="noStrike" baseline="0">
                <a:solidFill>
                  <a:srgbClr val="808080"/>
                </a:solidFill>
                <a:latin typeface="宋体" panose="02010600030101010101" charset="-122"/>
                <a:ea typeface="宋体" panose="02010600030101010101" charset="-122"/>
                <a:cs typeface="宋体" panose="02010600030101010101" charset="-122"/>
              </a:rPr>
              <a:t>收入决算结构图</a:t>
            </a:r>
            <a:endParaRPr sz="1200" b="0" i="0" u="none" strike="noStrike" baseline="0">
              <a:solidFill>
                <a:srgbClr val="000000"/>
              </a:solidFill>
              <a:latin typeface="宋体" panose="02010600030101010101" charset="-122"/>
              <a:ea typeface="宋体" panose="02010600030101010101" charset="-122"/>
              <a:cs typeface="宋体" panose="02010600030101010101" charset="-122"/>
            </a:endParaRPr>
          </a:p>
        </c:rich>
      </c:tx>
      <c:layout/>
      <c:overlay val="0"/>
      <c:spPr>
        <a:noFill/>
        <a:ln w="3175">
          <a:noFill/>
        </a:ln>
      </c:spPr>
    </c:title>
    <c:autoTitleDeleted val="0"/>
    <c:plotArea>
      <c:layout/>
      <c:pieChart>
        <c:varyColors val="1"/>
        <c:ser>
          <c:idx val="0"/>
          <c:order val="0"/>
          <c:explosion val="0"/>
          <c:dPt>
            <c:idx val="0"/>
            <c:bubble3D val="0"/>
            <c:explosion val="0"/>
            <c:spPr>
              <a:solidFill>
                <a:srgbClr val="00B050">
                  <a:alpha val="100000"/>
                </a:srgbClr>
              </a:solidFill>
              <a:ln w="19050">
                <a:solidFill>
                  <a:srgbClr val="FFFFFF">
                    <a:alpha val="100000"/>
                  </a:srgbClr>
                </a:solidFill>
                <a:prstDash val="solid"/>
              </a:ln>
            </c:spPr>
          </c:dPt>
          <c:dPt>
            <c:idx val="1"/>
            <c:bubble3D val="0"/>
            <c:explosion val="0"/>
            <c:spPr>
              <a:gradFill>
                <a:gsLst>
                  <a:gs pos="0">
                    <a:srgbClr val="007BD3"/>
                  </a:gs>
                  <a:gs pos="100000">
                    <a:srgbClr val="034373"/>
                  </a:gs>
                </a:gsLst>
                <a:lin ang="5400000" scaled="0"/>
              </a:gradFill>
              <a:ln w="19050">
                <a:solidFill>
                  <a:schemeClr val="lt1"/>
                </a:solidFill>
              </a:ln>
              <a:effectLst/>
            </c:spPr>
          </c:dPt>
          <c:dPt>
            <c:idx val="2"/>
            <c:bubble3D val="0"/>
            <c:explosion val="0"/>
            <c:spPr>
              <a:solidFill>
                <a:srgbClr val="FFC000">
                  <a:alpha val="50000"/>
                </a:srgbClr>
              </a:solidFill>
              <a:ln w="19050">
                <a:solidFill>
                  <a:schemeClr val="lt1"/>
                </a:solidFill>
              </a:ln>
              <a:effectLst/>
            </c:spPr>
          </c:dPt>
          <c:dLbls>
            <c:dLbl>
              <c:idx val="0"/>
              <c:layout>
                <c:manualLayout>
                  <c:x val="0.00878769038091444"/>
                  <c:y val="-0.128788959312302"/>
                </c:manualLayout>
              </c:layout>
              <c:numFmt formatCode="General" sourceLinked="1"/>
              <c:spPr>
                <a:noFill/>
                <a:ln w="3175">
                  <a:noFill/>
                </a:ln>
                <a:effectLst/>
              </c:spPr>
              <c:txPr>
                <a:bodyPr rot="0" spcFirstLastPara="0" vertOverflow="ellipsis" vert="horz" wrap="square" lIns="38100" tIns="19050" rIns="38100" bIns="19050" anchor="ctr" anchorCtr="1"/>
                <a:lstStyle/>
                <a:p>
                  <a:pPr>
                    <a:defRPr lang="zh-CN" sz="900" b="0" i="0" u="none" strike="noStrike" kern="1200" baseline="0">
                      <a:solidFill>
                        <a:srgbClr val="333333">
                          <a:alpha val="100000"/>
                        </a:srgbClr>
                      </a:solidFill>
                      <a:latin typeface="宋体" panose="02010600030101010101" charset="-122"/>
                      <a:ea typeface="宋体" panose="02010600030101010101" charset="-122"/>
                      <a:cs typeface="宋体" panose="02010600030101010101" charset="-122"/>
                    </a:defRPr>
                  </a:pPr>
                </a:p>
              </c:txPr>
              <c:dLblPos val="bestFit"/>
              <c:showLegendKey val="0"/>
              <c:showVal val="1"/>
              <c:showCatName val="0"/>
              <c:showSerName val="0"/>
              <c:showPercent val="0"/>
              <c:showBubbleSize val="0"/>
              <c:extLst>
                <c:ext xmlns:c15="http://schemas.microsoft.com/office/drawing/2012/chart" uri="{CE6537A1-D6FC-4f65-9D91-7224C49458BB}">
                  <c15:layout/>
                </c:ext>
              </c:extLst>
            </c:dLbl>
            <c:dLbl>
              <c:idx val="1"/>
              <c:layout>
                <c:manualLayout>
                  <c:x val="0.043253565855233"/>
                  <c:y val="0.00494695779970653"/>
                </c:manualLayout>
              </c:layout>
              <c:numFmt formatCode="General" sourceLinked="1"/>
              <c:spPr>
                <a:solidFill>
                  <a:srgbClr val="70AD47">
                    <a:alpha val="100000"/>
                  </a:srgbClr>
                </a:solidFill>
                <a:ln w="3175">
                  <a:noFill/>
                </a:ln>
                <a:effectLst/>
              </c:spPr>
              <c:txPr>
                <a:bodyPr rot="0" spcFirstLastPara="0" vertOverflow="ellipsis" vert="horz" wrap="square" lIns="38100" tIns="19050" rIns="38100" bIns="19050" anchor="ctr" anchorCtr="1"/>
                <a:lstStyle/>
                <a:p>
                  <a:pPr>
                    <a:defRPr lang="zh-CN" sz="900" b="0" i="0" u="none" strike="noStrike" kern="1200" baseline="0">
                      <a:solidFill>
                        <a:srgbClr val="333333">
                          <a:alpha val="100000"/>
                        </a:srgbClr>
                      </a:solidFill>
                      <a:latin typeface="宋体" panose="02010600030101010101" charset="-122"/>
                      <a:ea typeface="宋体" panose="02010600030101010101" charset="-122"/>
                      <a:cs typeface="宋体" panose="02010600030101010101" charset="-122"/>
                    </a:defRPr>
                  </a:pPr>
                </a:p>
              </c:txPr>
              <c:dLblPos val="bestFit"/>
              <c:showLegendKey val="0"/>
              <c:showVal val="1"/>
              <c:showCatName val="0"/>
              <c:showSerName val="0"/>
              <c:showPercent val="0"/>
              <c:showBubbleSize val="0"/>
              <c:extLst>
                <c:ext xmlns:c15="http://schemas.microsoft.com/office/drawing/2012/chart" uri="{CE6537A1-D6FC-4f65-9D91-7224C49458BB}">
                  <c15:layout/>
                </c:ext>
              </c:extLst>
            </c:dLbl>
            <c:dLbl>
              <c:idx val="2"/>
              <c:layout>
                <c:manualLayout>
                  <c:x val="-0.0497262452272019"/>
                  <c:y val="0.00848495416906387"/>
                </c:manualLayout>
              </c:layout>
              <c:numFmt formatCode="General" sourceLinked="1"/>
              <c:spPr>
                <a:solidFill>
                  <a:srgbClr val="FFC000">
                    <a:alpha val="100000"/>
                  </a:srgbClr>
                </a:solidFill>
                <a:ln w="3175">
                  <a:noFill/>
                </a:ln>
                <a:effectLst/>
              </c:spPr>
              <c:txPr>
                <a:bodyPr rot="0" spcFirstLastPara="0" vertOverflow="ellipsis" vert="horz" wrap="square" lIns="38100" tIns="19050" rIns="38100" bIns="19050" anchor="ctr" anchorCtr="1"/>
                <a:lstStyle/>
                <a:p>
                  <a:pPr>
                    <a:defRPr lang="zh-CN" sz="900" b="0" i="0" u="none" strike="noStrike" kern="1200" baseline="0">
                      <a:solidFill>
                        <a:srgbClr val="333333">
                          <a:alpha val="100000"/>
                        </a:srgbClr>
                      </a:solidFill>
                      <a:latin typeface="宋体" panose="02010600030101010101" charset="-122"/>
                      <a:ea typeface="宋体" panose="02010600030101010101" charset="-122"/>
                      <a:cs typeface="宋体" panose="02010600030101010101" charset="-122"/>
                    </a:defRPr>
                  </a:pPr>
                </a:p>
              </c:txPr>
              <c:dLblPos val="bestFit"/>
              <c:showLegendKey val="0"/>
              <c:showVal val="1"/>
              <c:showCatName val="0"/>
              <c:showSerName val="0"/>
              <c:showPercent val="0"/>
              <c:showBubbleSize val="0"/>
              <c:extLst>
                <c:ext xmlns:c15="http://schemas.microsoft.com/office/drawing/2012/chart" uri="{CE6537A1-D6FC-4f65-9D91-7224C49458BB}">
                  <c15:layout/>
                </c:ext>
              </c:extLst>
            </c:dLbl>
            <c:numFmt formatCode="General" sourceLinked="1"/>
            <c:spPr>
              <a:noFill/>
              <a:ln w="3175">
                <a:noFill/>
              </a:ln>
              <a:effectLst/>
            </c:spPr>
            <c:txPr>
              <a:bodyPr rot="0" spcFirstLastPara="0" vertOverflow="ellipsis" vert="horz" wrap="square" lIns="38100" tIns="19050" rIns="38100" bIns="19050" anchor="ctr" anchorCtr="1"/>
              <a:lstStyle/>
              <a:p>
                <a:pPr>
                  <a:defRPr lang="zh-CN" sz="900" b="0" i="0" u="none" strike="noStrike" kern="1200" baseline="0">
                    <a:solidFill>
                      <a:srgbClr val="333333">
                        <a:alpha val="100000"/>
                      </a:srgbClr>
                    </a:solidFill>
                    <a:latin typeface="宋体" panose="02010600030101010101" charset="-122"/>
                    <a:ea typeface="宋体" panose="02010600030101010101" charset="-122"/>
                    <a:cs typeface="宋体" panose="02010600030101010101" charset="-122"/>
                  </a:defRPr>
                </a:pPr>
              </a:p>
            </c:txPr>
            <c:dLblPos val="bestFit"/>
            <c:showLegendKey val="0"/>
            <c:showVal val="1"/>
            <c:showCatName val="0"/>
            <c:showSerName val="0"/>
            <c:showPercent val="0"/>
            <c:showBubbleSize val="0"/>
            <c:showLeaderLines val="1"/>
            <c:extLst>
              <c:ext xmlns:c15="http://schemas.microsoft.com/office/drawing/2012/chart" uri="{CE6537A1-D6FC-4f65-9D91-7224C49458BB}">
                <c15:layout/>
                <c15:showLeaderLines val="1"/>
                <c15:leaderLines>
                  <c:spPr>
                    <a:ln w="9525" cap="flat" cmpd="sng" algn="ctr">
                      <a:solidFill>
                        <a:srgbClr val="969696">
                          <a:alpha val="100000"/>
                        </a:srgbClr>
                      </a:solidFill>
                      <a:prstDash val="solid"/>
                      <a:round/>
                    </a:ln>
                  </c:spPr>
                </c15:leaderLines>
              </c:ext>
            </c:extLst>
          </c:dLbls>
          <c:cat>
            <c:strRef>
              <c:f>'[决算每年要用的图表(1).xls]Sheet1'!$G$1:$H$1</c:f>
              <c:strCache>
                <c:ptCount val="2"/>
                <c:pt idx="0">
                  <c:v>一般公共预算财政拨款收入</c:v>
                </c:pt>
                <c:pt idx="1">
                  <c:v>其他收入</c:v>
                </c:pt>
              </c:strCache>
            </c:strRef>
          </c:cat>
          <c:val>
            <c:numRef>
              <c:f>'[决算每年要用的图表(1).xls]Sheet1'!$G$2:$I$2</c:f>
              <c:numCache>
                <c:formatCode>General</c:formatCode>
                <c:ptCount val="3"/>
                <c:pt idx="0">
                  <c:v>659.84</c:v>
                </c:pt>
                <c:pt idx="1">
                  <c:v>0</c:v>
                </c:pt>
              </c:numCache>
            </c:numRef>
          </c:val>
        </c:ser>
        <c:dLbls>
          <c:showLegendKey val="0"/>
          <c:showVal val="0"/>
          <c:showCatName val="0"/>
          <c:showSerName val="0"/>
          <c:showPercent val="0"/>
          <c:showBubbleSize val="0"/>
          <c:showLeaderLines val="1"/>
        </c:dLbls>
        <c:firstSliceAng val="0"/>
      </c:pieChart>
      <c:spPr>
        <a:noFill/>
        <a:ln w="3175">
          <a:noFill/>
        </a:ln>
      </c:spPr>
    </c:plotArea>
    <c:legend>
      <c:legendPos val="r"/>
      <c:legendEntry>
        <c:idx val="2"/>
        <c:delete val="1"/>
      </c:legendEntry>
      <c:layout>
        <c:manualLayout>
          <c:xMode val="edge"/>
          <c:yMode val="edge"/>
          <c:x val="0.6495"/>
          <c:y val="0.435"/>
          <c:w val="0.3275"/>
          <c:h val="0.1395"/>
        </c:manualLayout>
      </c:layout>
      <c:overlay val="0"/>
      <c:spPr>
        <a:solidFill>
          <a:schemeClr val="lt1">
            <a:alpha val="50000"/>
          </a:schemeClr>
        </a:solidFill>
        <a:ln>
          <a:noFill/>
        </a:ln>
        <a:effectLst/>
      </c:spPr>
      <c:txPr>
        <a:bodyPr rot="0" spcFirstLastPara="0" vertOverflow="ellipsis" vert="horz" wrap="square" anchor="ctr" anchorCtr="1"/>
        <a:lstStyle/>
        <a:p>
          <a:pPr>
            <a:defRPr lang="zh-CN" sz="825" b="0" i="0" u="none" strike="noStrike" kern="1200" baseline="0">
              <a:solidFill>
                <a:srgbClr val="333333"/>
              </a:solidFill>
              <a:latin typeface="宋体" panose="02010600030101010101" charset="-122"/>
              <a:ea typeface="宋体" panose="02010600030101010101" charset="-122"/>
              <a:cs typeface="宋体" panose="02010600030101010101" charset="-122"/>
            </a:defRPr>
          </a:pPr>
        </a:p>
      </c:txPr>
    </c:legend>
    <c:plotVisOnly val="1"/>
    <c:dispBlanksAs val="gap"/>
    <c:showDLblsOverMax val="0"/>
  </c:chart>
  <c:spPr>
    <a:pattFill prst="dkDnDiag">
      <a:fgClr>
        <a:schemeClr val="lt1"/>
      </a:fgClr>
      <a:bgClr>
        <a:sysClr val="window" lastClr="FFFFFF"/>
      </a:bgClr>
    </a:pattFill>
    <a:ln w="9525" cap="flat" cmpd="sng" algn="ctr">
      <a:solidFill>
        <a:schemeClr val="dk1">
          <a:lumMod val="15000"/>
          <a:lumOff val="85000"/>
        </a:schemeClr>
      </a:solidFill>
      <a:prstDash val="solid"/>
      <a:round/>
    </a:ln>
    <a:effectLst/>
  </c:spPr>
  <c:txPr>
    <a:bodyPr rot="0" wrap="square" anchor="ctr" anchorCtr="1"/>
    <a:lstStyle/>
    <a:p>
      <a:pPr>
        <a:defRPr lang="zh-CN" sz="1000" b="0" i="0" u="none" strike="noStrike" baseline="0">
          <a:solidFill>
            <a:srgbClr val="000000">
              <a:alpha val="100000"/>
            </a:srgbClr>
          </a:solidFill>
          <a:latin typeface="宋体" panose="02010600030101010101" charset="-122"/>
          <a:ea typeface="宋体" panose="02010600030101010101" charset="-122"/>
          <a:cs typeface="宋体" panose="02010600030101010101" charset="-122"/>
        </a:defRPr>
      </a:pPr>
    </a:p>
  </c:txPr>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5"/>
    </mc:Choice>
    <mc:Fallback>
      <c:style val="5"/>
    </mc:Fallback>
  </mc:AlternateContent>
  <c:clrMapOvr bg1="lt1" tx1="dk1" bg2="lt2" tx2="dk2" accent1="accent1" accent2="accent2" accent3="accent3" accent4="accent4" accent5="accent5" accent6="accent6" hlink="hlink" folHlink="folHlink"/>
  <c:chart>
    <c:title>
      <c:tx>
        <c:rich>
          <a:bodyPr rot="0" spcFirstLastPara="0" vertOverflow="ellipsis" vert="horz" wrap="square" anchor="ctr" anchorCtr="1"/>
          <a:lstStyle/>
          <a:p>
            <a:pPr defTabSz="914400">
              <a:defRPr lang="zh-CN" sz="1400" b="1" i="0" u="none" strike="noStrike" kern="1200" baseline="0">
                <a:solidFill>
                  <a:srgbClr val="808080">
                    <a:alpha val="100000"/>
                  </a:srgbClr>
                </a:solidFill>
                <a:latin typeface="宋体" panose="02010600030101010101" charset="-122"/>
                <a:ea typeface="宋体" panose="02010600030101010101" charset="-122"/>
                <a:cs typeface="宋体" panose="02010600030101010101" charset="-122"/>
              </a:defRPr>
            </a:pPr>
            <a:r>
              <a:rPr lang="en-US" altLang="zh-CN" sz="1400" b="1" i="0" u="none" strike="noStrike" baseline="0">
                <a:solidFill>
                  <a:srgbClr val="808080"/>
                </a:solidFill>
                <a:latin typeface="宋体" panose="02010600030101010101" charset="-122"/>
                <a:ea typeface="宋体" panose="02010600030101010101" charset="-122"/>
                <a:cs typeface="宋体" panose="02010600030101010101" charset="-122"/>
              </a:rPr>
              <a:t>2025</a:t>
            </a:r>
            <a:r>
              <a:rPr altLang="en-US" sz="1400" b="1" i="0" u="none" strike="noStrike" baseline="0">
                <a:solidFill>
                  <a:srgbClr val="808080"/>
                </a:solidFill>
                <a:latin typeface="宋体" panose="02010600030101010101" charset="-122"/>
                <a:ea typeface="宋体" panose="02010600030101010101" charset="-122"/>
                <a:cs typeface="宋体" panose="02010600030101010101" charset="-122"/>
              </a:rPr>
              <a:t>年支出</a:t>
            </a:r>
            <a:r>
              <a:rPr sz="1400" b="1" i="0" u="none" strike="noStrike" baseline="0">
                <a:solidFill>
                  <a:srgbClr val="808080"/>
                </a:solidFill>
                <a:latin typeface="宋体" panose="02010600030101010101" charset="-122"/>
                <a:ea typeface="宋体" panose="02010600030101010101" charset="-122"/>
                <a:cs typeface="宋体" panose="02010600030101010101" charset="-122"/>
              </a:rPr>
              <a:t>决算结构图</a:t>
            </a:r>
            <a:endParaRPr sz="1200" b="0" i="0" u="none" strike="noStrike" baseline="0">
              <a:solidFill>
                <a:srgbClr val="000000"/>
              </a:solidFill>
              <a:latin typeface="宋体" panose="02010600030101010101" charset="-122"/>
              <a:ea typeface="宋体" panose="02010600030101010101" charset="-122"/>
              <a:cs typeface="宋体" panose="02010600030101010101" charset="-122"/>
            </a:endParaRPr>
          </a:p>
        </c:rich>
      </c:tx>
      <c:layout/>
      <c:overlay val="0"/>
    </c:title>
    <c:autoTitleDeleted val="0"/>
    <c:plotArea>
      <c:layout/>
      <c:pieChart>
        <c:varyColors val="1"/>
        <c:ser>
          <c:idx val="0"/>
          <c:order val="0"/>
          <c:spPr>
            <a:solidFill>
              <a:srgbClr val="5B9BD5">
                <a:lumMod val="75000"/>
              </a:srgbClr>
            </a:solidFill>
          </c:spPr>
          <c:explosion val="0"/>
          <c:dPt>
            <c:idx val="0"/>
            <c:bubble3D val="0"/>
            <c:explosion val="0"/>
            <c:spPr>
              <a:gradFill>
                <a:gsLst>
                  <a:gs pos="0">
                    <a:srgbClr val="14CD68"/>
                  </a:gs>
                  <a:gs pos="100000">
                    <a:srgbClr val="0B6E38"/>
                  </a:gs>
                </a:gsLst>
                <a:lin ang="5400000" scaled="0"/>
              </a:gradFill>
              <a:ln w="19050">
                <a:solidFill>
                  <a:srgbClr val="FFFFFF">
                    <a:alpha val="100000"/>
                  </a:srgbClr>
                </a:solidFill>
                <a:prstDash val="solid"/>
              </a:ln>
            </c:spPr>
          </c:dPt>
          <c:dPt>
            <c:idx val="1"/>
            <c:bubble3D val="0"/>
            <c:explosion val="0"/>
            <c:spPr>
              <a:solidFill>
                <a:srgbClr val="5B9BD5">
                  <a:lumMod val="75000"/>
                </a:srgbClr>
              </a:solidFill>
              <a:ln w="19050">
                <a:solidFill>
                  <a:srgbClr val="FFFFFF">
                    <a:alpha val="100000"/>
                  </a:srgbClr>
                </a:solidFill>
                <a:prstDash val="solid"/>
              </a:ln>
            </c:spPr>
          </c:dPt>
          <c:dLbls>
            <c:numFmt formatCode="General" sourceLinked="1"/>
            <c:spPr>
              <a:noFill/>
              <a:ln w="3175">
                <a:noFill/>
              </a:ln>
              <a:effectLst/>
            </c:spPr>
            <c:txPr>
              <a:bodyPr rot="0" spcFirstLastPara="0" vertOverflow="ellipsis" vert="horz" wrap="square" lIns="38100" tIns="19050" rIns="38100" bIns="19050" anchor="ctr" anchorCtr="1"/>
              <a:lstStyle/>
              <a:p>
                <a:pPr>
                  <a:defRPr lang="zh-CN" sz="900" b="0" i="0" u="none" strike="noStrike" kern="1200" baseline="0">
                    <a:solidFill>
                      <a:srgbClr val="333333">
                        <a:alpha val="100000"/>
                      </a:srgbClr>
                    </a:solidFill>
                    <a:latin typeface="宋体" panose="02010600030101010101" charset="-122"/>
                    <a:ea typeface="宋体" panose="02010600030101010101" charset="-122"/>
                    <a:cs typeface="宋体" panose="02010600030101010101" charset="-122"/>
                  </a:defRPr>
                </a:pPr>
              </a:p>
            </c:txPr>
            <c:dLblPos val="bestFit"/>
            <c:showLegendKey val="0"/>
            <c:showVal val="1"/>
            <c:showCatName val="0"/>
            <c:showSerName val="0"/>
            <c:showPercent val="0"/>
            <c:showBubbleSize val="0"/>
            <c:showLeaderLines val="1"/>
            <c:extLst>
              <c:ext xmlns:c15="http://schemas.microsoft.com/office/drawing/2012/chart" uri="{CE6537A1-D6FC-4f65-9D91-7224C49458BB}">
                <c15:layout/>
                <c15:showLeaderLines val="1"/>
                <c15:leaderLines>
                  <c:spPr>
                    <a:ln w="9525" cap="flat" cmpd="sng" algn="ctr">
                      <a:solidFill>
                        <a:srgbClr val="969696">
                          <a:alpha val="100000"/>
                        </a:srgbClr>
                      </a:solidFill>
                      <a:prstDash val="solid"/>
                      <a:round/>
                    </a:ln>
                  </c:spPr>
                </c15:leaderLines>
              </c:ext>
            </c:extLst>
          </c:dLbls>
          <c:cat>
            <c:strRef>
              <c:f>'[决算每年要用的图表(1).xls]Sheet1'!$A$22:$B$22</c:f>
              <c:strCache>
                <c:ptCount val="2"/>
                <c:pt idx="0">
                  <c:v>基本支出</c:v>
                </c:pt>
                <c:pt idx="1">
                  <c:v>项目支出</c:v>
                </c:pt>
              </c:strCache>
            </c:strRef>
          </c:cat>
          <c:val>
            <c:numRef>
              <c:f>'[决算每年要用的图表(1).xls]Sheet1'!$A$23:$B$23</c:f>
              <c:numCache>
                <c:formatCode>General</c:formatCode>
                <c:ptCount val="2"/>
                <c:pt idx="0">
                  <c:v>582.49</c:v>
                </c:pt>
                <c:pt idx="1">
                  <c:v>113.35</c:v>
                </c:pt>
              </c:numCache>
            </c:numRef>
          </c:val>
        </c:ser>
        <c:dLbls>
          <c:showLegendKey val="0"/>
          <c:showVal val="0"/>
          <c:showCatName val="0"/>
          <c:showSerName val="0"/>
          <c:showPercent val="0"/>
          <c:showBubbleSize val="0"/>
          <c:showLeaderLines val="1"/>
        </c:dLbls>
        <c:firstSliceAng val="0"/>
      </c:pieChart>
      <c:spPr>
        <a:noFill/>
        <a:ln w="3175">
          <a:noFill/>
        </a:ln>
      </c:spPr>
    </c:plotArea>
    <c:legend>
      <c:legendPos val="r"/>
      <c:layout>
        <c:manualLayout>
          <c:xMode val="edge"/>
          <c:yMode val="edge"/>
          <c:x val="0.818"/>
          <c:y val="0.499"/>
          <c:w val="0.0925"/>
          <c:h val="0.41"/>
        </c:manualLayout>
      </c:layout>
      <c:overlay val="0"/>
      <c:spPr>
        <a:solidFill>
          <a:schemeClr val="lt1">
            <a:alpha val="50000"/>
          </a:schemeClr>
        </a:solidFill>
        <a:ln>
          <a:noFill/>
        </a:ln>
        <a:effectLst/>
      </c:spPr>
      <c:txPr>
        <a:bodyPr rot="0" spcFirstLastPara="0" vertOverflow="ellipsis" vert="horz" wrap="square" anchor="ctr" anchorCtr="1"/>
        <a:lstStyle/>
        <a:p>
          <a:pPr>
            <a:defRPr lang="zh-CN" sz="825" b="0" i="0" u="none" strike="noStrike" kern="1200" baseline="0">
              <a:solidFill>
                <a:srgbClr val="333333"/>
              </a:solidFill>
              <a:latin typeface="宋体" panose="02010600030101010101" charset="-122"/>
              <a:ea typeface="宋体" panose="02010600030101010101" charset="-122"/>
              <a:cs typeface="宋体" panose="02010600030101010101" charset="-122"/>
            </a:defRPr>
          </a:pPr>
        </a:p>
      </c:txPr>
    </c:legend>
    <c:plotVisOnly val="1"/>
    <c:dispBlanksAs val="gap"/>
    <c:showDLblsOverMax val="0"/>
  </c:chart>
  <c:spPr>
    <a:pattFill prst="dkDnDiag">
      <a:fgClr>
        <a:schemeClr val="lt1"/>
      </a:fgClr>
      <a:bgClr>
        <a:sysClr val="window" lastClr="FFFFFF"/>
      </a:bgClr>
    </a:pattFill>
    <a:ln w="9525" cap="flat" cmpd="sng" algn="ctr">
      <a:solidFill>
        <a:schemeClr val="dk1">
          <a:lumMod val="15000"/>
          <a:lumOff val="85000"/>
        </a:schemeClr>
      </a:solidFill>
      <a:prstDash val="solid"/>
      <a:round/>
    </a:ln>
    <a:effectLst/>
  </c:spPr>
  <c:txPr>
    <a:bodyPr rot="0" wrap="square" anchor="ctr" anchorCtr="1"/>
    <a:lstStyle/>
    <a:p>
      <a:pPr>
        <a:defRPr lang="zh-CN" sz="1000" b="0" i="0" u="none" strike="noStrike" baseline="0">
          <a:solidFill>
            <a:srgbClr val="000000">
              <a:alpha val="100000"/>
            </a:srgbClr>
          </a:solidFill>
          <a:latin typeface="宋体" panose="02010600030101010101" charset="-122"/>
          <a:ea typeface="宋体" panose="02010600030101010101" charset="-122"/>
          <a:cs typeface="宋体" panose="02010600030101010101" charset="-122"/>
        </a:defRPr>
      </a:pPr>
    </a:p>
  </c:txPr>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0" vertOverflow="ellipsis" vert="horz" wrap="square" anchor="ctr" anchorCtr="1"/>
          <a:lstStyle/>
          <a:p>
            <a:pPr defTabSz="914400">
              <a:defRPr lang="zh-CN" sz="1400" b="0" i="0" u="none" strike="noStrike" kern="1200" baseline="0">
                <a:solidFill>
                  <a:srgbClr val="333333">
                    <a:alpha val="100000"/>
                  </a:srgbClr>
                </a:solidFill>
                <a:latin typeface="微软雅黑" panose="020B0503020204020204" pitchFamily="2" charset="-122"/>
                <a:ea typeface="微软雅黑" panose="020B0503020204020204" pitchFamily="2" charset="-122"/>
                <a:cs typeface="微软雅黑" panose="020B0503020204020204" pitchFamily="2" charset="-122"/>
              </a:defRPr>
            </a:pPr>
            <a:r>
              <a:t>财政拨款收、支决算总计变动情况</a:t>
            </a:r>
            <a:endParaRPr sz="1400" b="0" i="0" u="none" strike="noStrike" baseline="0">
              <a:solidFill>
                <a:srgbClr val="333333">
                  <a:alpha val="100000"/>
                </a:srgbClr>
              </a:solidFill>
              <a:latin typeface="微软雅黑" panose="020B0503020204020204" pitchFamily="2" charset="-122"/>
              <a:ea typeface="微软雅黑" panose="020B0503020204020204" pitchFamily="2" charset="-122"/>
              <a:cs typeface="微软雅黑" panose="020B0503020204020204" pitchFamily="2" charset="-122"/>
            </a:endParaRPr>
          </a:p>
        </c:rich>
      </c:tx>
      <c:layout>
        <c:manualLayout>
          <c:xMode val="edge"/>
          <c:yMode val="edge"/>
          <c:x val="0.200555555555556"/>
          <c:y val="0.0243055555555556"/>
        </c:manualLayout>
      </c:layout>
      <c:overlay val="0"/>
      <c:spPr>
        <a:noFill/>
        <a:ln w="3175">
          <a:noFill/>
        </a:ln>
      </c:spPr>
    </c:title>
    <c:autoTitleDeleted val="0"/>
    <c:plotArea>
      <c:layout>
        <c:manualLayout>
          <c:layoutTarget val="inner"/>
          <c:xMode val="edge"/>
          <c:yMode val="edge"/>
          <c:x val="0.145900907603035"/>
          <c:y val="0.168886881914653"/>
          <c:w val="0.847403660169618"/>
          <c:h val="0.710634454730187"/>
        </c:manualLayout>
      </c:layout>
      <c:barChart>
        <c:barDir val="col"/>
        <c:grouping val="clustered"/>
        <c:varyColors val="0"/>
        <c:ser>
          <c:idx val="0"/>
          <c:order val="0"/>
          <c:tx>
            <c:strRef>
              <c:f>'[决算每年要用的图表(1).xls]Sheet1'!$G$23</c:f>
              <c:strCache>
                <c:ptCount val="1"/>
                <c:pt idx="0">
                  <c:v>本年财政拨款收入合计</c:v>
                </c:pt>
              </c:strCache>
            </c:strRef>
          </c:tx>
          <c:spPr>
            <a:solidFill>
              <a:srgbClr val="5B9BD5">
                <a:alpha val="100000"/>
              </a:srgbClr>
            </a:solidFill>
            <a:ln w="3175">
              <a:noFill/>
            </a:ln>
          </c:spPr>
          <c:invertIfNegative val="0"/>
          <c:dPt>
            <c:idx val="0"/>
            <c:invertIfNegative val="0"/>
            <c:bubble3D val="0"/>
            <c:explosion val="0"/>
            <c:spPr>
              <a:gradFill>
                <a:gsLst>
                  <a:gs pos="0">
                    <a:srgbClr val="FECF40"/>
                  </a:gs>
                  <a:gs pos="100000">
                    <a:srgbClr val="846C21"/>
                  </a:gs>
                </a:gsLst>
                <a:lin ang="5400000" scaled="0"/>
              </a:gradFill>
              <a:ln w="3175">
                <a:noFill/>
              </a:ln>
            </c:spPr>
          </c:dPt>
          <c:dPt>
            <c:idx val="1"/>
            <c:invertIfNegative val="0"/>
            <c:bubble3D val="0"/>
            <c:explosion val="0"/>
            <c:spPr>
              <a:gradFill>
                <a:gsLst>
                  <a:gs pos="0">
                    <a:srgbClr val="FECF40"/>
                  </a:gs>
                  <a:gs pos="100000">
                    <a:srgbClr val="846C21"/>
                  </a:gs>
                </a:gsLst>
                <a:lin ang="5400000" scaled="0"/>
              </a:gradFill>
              <a:ln w="3175">
                <a:noFill/>
              </a:ln>
            </c:spPr>
          </c:dPt>
          <c:dLbls>
            <c:numFmt formatCode="General" sourceLinked="1"/>
            <c:spPr>
              <a:noFill/>
              <a:ln w="3175">
                <a:noFill/>
              </a:ln>
              <a:effectLst/>
            </c:spPr>
            <c:txPr>
              <a:bodyPr rot="0" spcFirstLastPara="0" vertOverflow="ellipsis" vert="horz" wrap="square" lIns="38100" tIns="19050" rIns="38100" bIns="19050" anchor="ctr" anchorCtr="1"/>
              <a:lstStyle/>
              <a:p>
                <a:pPr>
                  <a:defRPr lang="zh-CN" sz="900" b="0" i="0" u="none" strike="noStrike" kern="1200" baseline="0">
                    <a:solidFill>
                      <a:srgbClr val="000000">
                        <a:alpha val="100000"/>
                      </a:srgbClr>
                    </a:solidFill>
                    <a:latin typeface="宋体" panose="02010600030101010101" charset="-122"/>
                    <a:ea typeface="宋体" panose="02010600030101010101" charset="-122"/>
                    <a:cs typeface="宋体" panose="02010600030101010101" charset="-122"/>
                  </a:defRPr>
                </a:pPr>
              </a:p>
            </c:txPr>
            <c:dLblPos val="inEnd"/>
            <c:showLegendKey val="0"/>
            <c:showVal val="1"/>
            <c:showCatName val="0"/>
            <c:showSerName val="0"/>
            <c:showPercent val="0"/>
            <c:showBubbleSize val="0"/>
            <c:showLeaderLines val="0"/>
            <c:extLst>
              <c:ext xmlns:c15="http://schemas.microsoft.com/office/drawing/2012/chart" uri="{CE6537A1-D6FC-4f65-9D91-7224C49458BB}">
                <c15:layout/>
                <c15:showLeaderLines val="0"/>
                <c15:leaderLines/>
              </c:ext>
            </c:extLst>
          </c:dLbls>
          <c:cat>
            <c:strRef>
              <c:f>'[决算每年要用的图表(1).xls]Sheet1'!$H$22:$I$22</c:f>
              <c:strCache>
                <c:ptCount val="2"/>
                <c:pt idx="0">
                  <c:v>2024年</c:v>
                </c:pt>
                <c:pt idx="1">
                  <c:v>2025年</c:v>
                </c:pt>
              </c:strCache>
            </c:strRef>
          </c:cat>
          <c:val>
            <c:numRef>
              <c:f>'[决算每年要用的图表(1).xls]Sheet1'!$H$23:$I$23</c:f>
              <c:numCache>
                <c:formatCode>#,##0.00</c:formatCode>
                <c:ptCount val="2"/>
                <c:pt idx="0">
                  <c:v>639.53</c:v>
                </c:pt>
                <c:pt idx="1">
                  <c:v>695.84</c:v>
                </c:pt>
              </c:numCache>
            </c:numRef>
          </c:val>
        </c:ser>
        <c:ser>
          <c:idx val="1"/>
          <c:order val="1"/>
          <c:tx>
            <c:strRef>
              <c:f>'[决算每年要用的图表(1).xls]Sheet1'!$G$24</c:f>
              <c:strCache>
                <c:ptCount val="1"/>
                <c:pt idx="0">
                  <c:v>本年财政拨款支出合计</c:v>
                </c:pt>
              </c:strCache>
            </c:strRef>
          </c:tx>
          <c:spPr>
            <a:solidFill>
              <a:srgbClr val="70AD47">
                <a:alpha val="100000"/>
              </a:srgbClr>
            </a:solidFill>
            <a:ln w="3175">
              <a:noFill/>
            </a:ln>
          </c:spPr>
          <c:invertIfNegative val="0"/>
          <c:dLbls>
            <c:numFmt formatCode="General" sourceLinked="1"/>
            <c:spPr>
              <a:noFill/>
              <a:ln w="3175">
                <a:noFill/>
              </a:ln>
              <a:effectLst/>
            </c:spPr>
            <c:txPr>
              <a:bodyPr rot="0" spcFirstLastPara="0" vertOverflow="ellipsis" vert="horz" wrap="square" lIns="38100" tIns="19050" rIns="38100" bIns="19050" anchor="ctr" anchorCtr="1"/>
              <a:lstStyle/>
              <a:p>
                <a:pPr>
                  <a:defRPr lang="zh-CN" sz="900" b="0" i="0" u="none" strike="noStrike" kern="1200" baseline="0">
                    <a:solidFill>
                      <a:srgbClr val="000000">
                        <a:alpha val="100000"/>
                      </a:srgbClr>
                    </a:solidFill>
                    <a:latin typeface="宋体" panose="02010600030101010101" charset="-122"/>
                    <a:ea typeface="宋体" panose="02010600030101010101" charset="-122"/>
                    <a:cs typeface="宋体" panose="02010600030101010101" charset="-122"/>
                  </a:defRPr>
                </a:pPr>
              </a:p>
            </c:txPr>
            <c:dLblPos val="inEnd"/>
            <c:showLegendKey val="0"/>
            <c:showVal val="1"/>
            <c:showCatName val="0"/>
            <c:showSerName val="0"/>
            <c:showPercent val="0"/>
            <c:showBubbleSize val="0"/>
            <c:showLeaderLines val="0"/>
            <c:extLst>
              <c:ext xmlns:c15="http://schemas.microsoft.com/office/drawing/2012/chart" uri="{CE6537A1-D6FC-4f65-9D91-7224C49458BB}">
                <c15:layout/>
                <c15:showLeaderLines val="0"/>
                <c15:leaderLines/>
              </c:ext>
            </c:extLst>
          </c:dLbls>
          <c:cat>
            <c:strRef>
              <c:f>'[决算每年要用的图表(1).xls]Sheet1'!$H$22:$I$22</c:f>
              <c:strCache>
                <c:ptCount val="2"/>
                <c:pt idx="0">
                  <c:v>2024年</c:v>
                </c:pt>
                <c:pt idx="1">
                  <c:v>2025年</c:v>
                </c:pt>
              </c:strCache>
            </c:strRef>
          </c:cat>
          <c:val>
            <c:numRef>
              <c:f>'[决算每年要用的图表(1).xls]Sheet1'!$H$24:$I$24</c:f>
              <c:numCache>
                <c:formatCode>#,##0.00</c:formatCode>
                <c:ptCount val="2"/>
                <c:pt idx="0">
                  <c:v>639.53</c:v>
                </c:pt>
                <c:pt idx="1">
                  <c:v>695.84</c:v>
                </c:pt>
              </c:numCache>
            </c:numRef>
          </c:val>
        </c:ser>
        <c:dLbls>
          <c:showLegendKey val="0"/>
          <c:showVal val="0"/>
          <c:showCatName val="0"/>
          <c:showSerName val="0"/>
          <c:showPercent val="0"/>
          <c:showBubbleSize val="0"/>
        </c:dLbls>
        <c:gapWidth val="219"/>
        <c:overlap val="-10"/>
        <c:axId val="137013437"/>
        <c:axId val="526178302"/>
      </c:barChart>
      <c:catAx>
        <c:axId val="137013437"/>
        <c:scaling>
          <c:orientation val="minMax"/>
        </c:scaling>
        <c:delete val="0"/>
        <c:axPos val="b"/>
        <c:majorTickMark val="none"/>
        <c:minorTickMark val="none"/>
        <c:tickLblPos val="nextTo"/>
        <c:spPr>
          <a:noFill/>
          <a:ln w="9525" cap="flat" cmpd="sng" algn="ctr">
            <a:solidFill>
              <a:schemeClr val="bg1">
                <a:lumMod val="95000"/>
              </a:schemeClr>
            </a:solidFill>
            <a:prstDash val="solid"/>
            <a:round/>
          </a:ln>
          <a:effectLst/>
        </c:spPr>
        <c:txPr>
          <a:bodyPr rot="0" spcFirstLastPara="0" vertOverflow="ellipsis" vert="horz" wrap="square" anchor="ctr" anchorCtr="1"/>
          <a:lstStyle/>
          <a:p>
            <a:pPr>
              <a:defRPr lang="zh-CN" sz="900" b="0" i="0" u="none" strike="noStrike" kern="1200" baseline="0">
                <a:solidFill>
                  <a:srgbClr val="333333">
                    <a:alpha val="100000"/>
                  </a:srgbClr>
                </a:solidFill>
                <a:latin typeface="微软雅黑" panose="020B0503020204020204" pitchFamily="2" charset="-122"/>
                <a:ea typeface="微软雅黑" panose="020B0503020204020204" pitchFamily="2" charset="-122"/>
                <a:cs typeface="微软雅黑" panose="020B0503020204020204" pitchFamily="2" charset="-122"/>
              </a:defRPr>
            </a:pPr>
          </a:p>
        </c:txPr>
        <c:crossAx val="526178302"/>
        <c:crosses val="autoZero"/>
        <c:auto val="1"/>
        <c:lblAlgn val="ctr"/>
        <c:lblOffset val="100"/>
        <c:noMultiLvlLbl val="0"/>
      </c:catAx>
      <c:valAx>
        <c:axId val="526178302"/>
        <c:scaling>
          <c:orientation val="minMax"/>
        </c:scaling>
        <c:delete val="0"/>
        <c:axPos val="l"/>
        <c:majorGridlines>
          <c:spPr>
            <a:ln w="9525" cap="flat" cmpd="sng" algn="ctr">
              <a:solidFill>
                <a:schemeClr val="bg1">
                  <a:lumMod val="95000"/>
                </a:schemeClr>
              </a:solidFill>
              <a:prstDash val="solid"/>
              <a:round/>
            </a:ln>
            <a:effectLst/>
          </c:spPr>
        </c:majorGridlines>
        <c:numFmt formatCode="#,##0.00" sourceLinked="1"/>
        <c:majorTickMark val="none"/>
        <c:minorTickMark val="none"/>
        <c:tickLblPos val="nextTo"/>
        <c:spPr>
          <a:ln w="3175" cap="flat" cmpd="sng" algn="ctr">
            <a:noFill/>
            <a:prstDash val="solid"/>
            <a:round/>
          </a:ln>
        </c:spPr>
        <c:txPr>
          <a:bodyPr rot="0" spcFirstLastPara="0" vertOverflow="ellipsis" vert="horz" wrap="square" anchor="ctr" anchorCtr="1"/>
          <a:lstStyle/>
          <a:p>
            <a:pPr>
              <a:defRPr lang="zh-CN" sz="900" b="0" i="0" u="none" strike="noStrike" kern="1200" baseline="0">
                <a:solidFill>
                  <a:srgbClr val="333333">
                    <a:alpha val="100000"/>
                  </a:srgbClr>
                </a:solidFill>
                <a:latin typeface="宋体" panose="02010600030101010101" charset="-122"/>
                <a:ea typeface="宋体" panose="02010600030101010101" charset="-122"/>
                <a:cs typeface="宋体" panose="02010600030101010101" charset="-122"/>
              </a:defRPr>
            </a:pPr>
          </a:p>
        </c:txPr>
        <c:crossAx val="137013437"/>
        <c:crosses val="autoZero"/>
        <c:crossBetween val="between"/>
      </c:valAx>
      <c:spPr>
        <a:noFill/>
        <a:ln w="3175">
          <a:noFill/>
        </a:ln>
      </c:spPr>
    </c:plotArea>
    <c:plotVisOnly val="1"/>
    <c:dispBlanksAs val="gap"/>
    <c:showDLblsOverMax val="0"/>
  </c:chart>
  <c:spPr>
    <a:solidFill>
      <a:schemeClr val="bg1"/>
    </a:solidFill>
    <a:ln w="9525" cap="flat" cmpd="sng" algn="ctr">
      <a:solidFill>
        <a:schemeClr val="bg1">
          <a:lumMod val="95000"/>
        </a:schemeClr>
      </a:solidFill>
      <a:prstDash val="solid"/>
      <a:round/>
    </a:ln>
    <a:effectLst/>
  </c:spPr>
  <c:txPr>
    <a:bodyPr rot="0" wrap="square" anchor="ctr" anchorCtr="1"/>
    <a:lstStyle/>
    <a:p>
      <a:pPr>
        <a:defRPr lang="zh-CN" sz="1000" b="0" i="0" u="none" strike="noStrike" baseline="0">
          <a:solidFill>
            <a:srgbClr val="000000">
              <a:alpha val="100000"/>
            </a:srgbClr>
          </a:solidFill>
          <a:latin typeface="宋体" panose="02010600030101010101" charset="-122"/>
          <a:ea typeface="宋体" panose="02010600030101010101" charset="-122"/>
          <a:cs typeface="宋体" panose="02010600030101010101" charset="-122"/>
        </a:defRPr>
      </a:pPr>
    </a:p>
  </c:txPr>
  <c:externalData r:id="rId1">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0" vertOverflow="ellipsis" vert="horz" wrap="square" anchor="ctr" anchorCtr="1"/>
          <a:lstStyle/>
          <a:p>
            <a:pPr defTabSz="914400">
              <a:defRPr lang="zh-CN" sz="1400" b="0" i="0" u="none" strike="noStrike" kern="1200" baseline="0">
                <a:solidFill>
                  <a:srgbClr val="333333">
                    <a:alpha val="100000"/>
                  </a:srgbClr>
                </a:solidFill>
                <a:latin typeface="微软雅黑" panose="020B0503020204020204" pitchFamily="2" charset="-122"/>
                <a:ea typeface="微软雅黑" panose="020B0503020204020204" pitchFamily="2" charset="-122"/>
                <a:cs typeface="微软雅黑" panose="020B0503020204020204" pitchFamily="2" charset="-122"/>
              </a:defRPr>
            </a:pPr>
            <a:r>
              <a:t>一般公共预算财政拨款支出决算变动情况</a:t>
            </a:r>
            <a:endParaRPr sz="1400" b="0" i="0" u="none" strike="noStrike" baseline="0">
              <a:solidFill>
                <a:srgbClr val="333333">
                  <a:alpha val="100000"/>
                </a:srgbClr>
              </a:solidFill>
              <a:latin typeface="微软雅黑" panose="020B0503020204020204" pitchFamily="2" charset="-122"/>
              <a:ea typeface="微软雅黑" panose="020B0503020204020204" pitchFamily="2" charset="-122"/>
              <a:cs typeface="微软雅黑" panose="020B0503020204020204" pitchFamily="2" charset="-122"/>
            </a:endParaRPr>
          </a:p>
        </c:rich>
      </c:tx>
      <c:layout/>
      <c:overlay val="0"/>
      <c:spPr>
        <a:noFill/>
        <a:ln w="3175">
          <a:noFill/>
        </a:ln>
      </c:spPr>
    </c:title>
    <c:autoTitleDeleted val="0"/>
    <c:plotArea>
      <c:layout>
        <c:manualLayout>
          <c:layoutTarget val="inner"/>
          <c:xMode val="edge"/>
          <c:yMode val="edge"/>
          <c:x val="0.101609707776127"/>
          <c:y val="0.235241234641894"/>
          <c:w val="0.873006438831105"/>
          <c:h val="0.615942463290381"/>
        </c:manualLayout>
      </c:layout>
      <c:barChart>
        <c:barDir val="col"/>
        <c:grouping val="clustered"/>
        <c:varyColors val="0"/>
        <c:ser>
          <c:idx val="0"/>
          <c:order val="0"/>
          <c:tx>
            <c:strRef>
              <c:f>'[决算每年要用的图表(1).xls]Sheet1'!$A$44</c:f>
              <c:strCache>
                <c:ptCount val="1"/>
                <c:pt idx="0">
                  <c:v>一般公共预算财政拨款支出</c:v>
                </c:pt>
              </c:strCache>
            </c:strRef>
          </c:tx>
          <c:spPr>
            <a:solidFill>
              <a:srgbClr val="5B9BD5">
                <a:alpha val="100000"/>
              </a:srgbClr>
            </a:solidFill>
            <a:ln w="3175">
              <a:noFill/>
            </a:ln>
          </c:spPr>
          <c:invertIfNegative val="0"/>
          <c:dLbls>
            <c:numFmt formatCode="General" sourceLinked="1"/>
            <c:spPr>
              <a:noFill/>
              <a:ln w="3175">
                <a:noFill/>
              </a:ln>
              <a:effectLst/>
            </c:spPr>
            <c:txPr>
              <a:bodyPr rot="0" spcFirstLastPara="0" vertOverflow="ellipsis" vert="horz" wrap="square" lIns="38100" tIns="19050" rIns="38100" bIns="19050" anchor="ctr" anchorCtr="1"/>
              <a:lstStyle/>
              <a:p>
                <a:pPr>
                  <a:defRPr lang="zh-CN" sz="900" b="0" i="0" u="none" strike="noStrike" kern="1200" baseline="0">
                    <a:solidFill>
                      <a:srgbClr val="FFFFFF">
                        <a:alpha val="100000"/>
                      </a:srgbClr>
                    </a:solidFill>
                    <a:latin typeface="宋体" panose="02010600030101010101" charset="-122"/>
                    <a:ea typeface="宋体" panose="02010600030101010101" charset="-122"/>
                    <a:cs typeface="宋体" panose="02010600030101010101" charset="-122"/>
                  </a:defRPr>
                </a:pPr>
              </a:p>
            </c:txPr>
            <c:dLblPos val="inEnd"/>
            <c:showLegendKey val="0"/>
            <c:showVal val="1"/>
            <c:showCatName val="0"/>
            <c:showSerName val="0"/>
            <c:showPercent val="0"/>
            <c:showBubbleSize val="0"/>
            <c:showLeaderLines val="0"/>
            <c:extLst>
              <c:ext xmlns:c15="http://schemas.microsoft.com/office/drawing/2012/chart" uri="{CE6537A1-D6FC-4f65-9D91-7224C49458BB}">
                <c15:layout/>
                <c15:showLeaderLines val="0"/>
                <c15:leaderLines/>
              </c:ext>
            </c:extLst>
          </c:dLbls>
          <c:cat>
            <c:strRef>
              <c:f>'[决算每年要用的图表(1).xls]Sheet1'!$B$43:$C$43</c:f>
              <c:strCache>
                <c:ptCount val="2"/>
                <c:pt idx="0">
                  <c:v>2024年</c:v>
                </c:pt>
                <c:pt idx="1">
                  <c:v>2025年</c:v>
                </c:pt>
              </c:strCache>
            </c:strRef>
          </c:cat>
          <c:val>
            <c:numRef>
              <c:f>'[决算每年要用的图表(1).xls]Sheet1'!$B$44:$C$44</c:f>
              <c:numCache>
                <c:formatCode>#,##0.00</c:formatCode>
                <c:ptCount val="2"/>
                <c:pt idx="0">
                  <c:v>639.53</c:v>
                </c:pt>
                <c:pt idx="1">
                  <c:v>695.84</c:v>
                </c:pt>
              </c:numCache>
            </c:numRef>
          </c:val>
        </c:ser>
        <c:dLbls>
          <c:showLegendKey val="0"/>
          <c:showVal val="0"/>
          <c:showCatName val="0"/>
          <c:showSerName val="0"/>
          <c:showPercent val="0"/>
          <c:showBubbleSize val="0"/>
        </c:dLbls>
        <c:gapWidth val="219"/>
        <c:overlap val="-10"/>
        <c:axId val="833568566"/>
        <c:axId val="555134640"/>
      </c:barChart>
      <c:catAx>
        <c:axId val="833568566"/>
        <c:scaling>
          <c:orientation val="minMax"/>
        </c:scaling>
        <c:delete val="0"/>
        <c:axPos val="b"/>
        <c:majorTickMark val="none"/>
        <c:minorTickMark val="none"/>
        <c:tickLblPos val="nextTo"/>
        <c:spPr>
          <a:noFill/>
          <a:ln w="9525" cap="flat" cmpd="sng" algn="ctr">
            <a:solidFill>
              <a:schemeClr val="bg1">
                <a:lumMod val="95000"/>
              </a:schemeClr>
            </a:solidFill>
            <a:prstDash val="solid"/>
            <a:round/>
          </a:ln>
          <a:effectLst/>
        </c:spPr>
        <c:txPr>
          <a:bodyPr rot="0" spcFirstLastPara="0" vertOverflow="ellipsis" vert="horz" wrap="square" anchor="ctr" anchorCtr="1"/>
          <a:lstStyle/>
          <a:p>
            <a:pPr>
              <a:defRPr lang="zh-CN" sz="900" b="0" i="0" u="none" strike="noStrike" kern="1200" baseline="0">
                <a:solidFill>
                  <a:srgbClr val="333333">
                    <a:alpha val="100000"/>
                  </a:srgbClr>
                </a:solidFill>
                <a:latin typeface="微软雅黑" panose="020B0503020204020204" pitchFamily="2" charset="-122"/>
                <a:ea typeface="微软雅黑" panose="020B0503020204020204" pitchFamily="2" charset="-122"/>
                <a:cs typeface="微软雅黑" panose="020B0503020204020204" pitchFamily="2" charset="-122"/>
              </a:defRPr>
            </a:pPr>
          </a:p>
        </c:txPr>
        <c:crossAx val="555134640"/>
        <c:crosses val="autoZero"/>
        <c:auto val="1"/>
        <c:lblAlgn val="ctr"/>
        <c:lblOffset val="100"/>
        <c:noMultiLvlLbl val="0"/>
      </c:catAx>
      <c:valAx>
        <c:axId val="555134640"/>
        <c:scaling>
          <c:orientation val="minMax"/>
        </c:scaling>
        <c:delete val="0"/>
        <c:axPos val="l"/>
        <c:majorGridlines>
          <c:spPr>
            <a:ln w="9525" cap="flat" cmpd="sng" algn="ctr">
              <a:solidFill>
                <a:schemeClr val="bg1">
                  <a:lumMod val="95000"/>
                </a:schemeClr>
              </a:solidFill>
              <a:prstDash val="solid"/>
              <a:round/>
            </a:ln>
            <a:effectLst/>
          </c:spPr>
        </c:majorGridlines>
        <c:numFmt formatCode="#,##0.00" sourceLinked="1"/>
        <c:majorTickMark val="none"/>
        <c:minorTickMark val="none"/>
        <c:tickLblPos val="nextTo"/>
        <c:spPr>
          <a:ln w="3175" cap="flat" cmpd="sng" algn="ctr">
            <a:noFill/>
            <a:prstDash val="solid"/>
            <a:round/>
          </a:ln>
        </c:spPr>
        <c:txPr>
          <a:bodyPr rot="0" spcFirstLastPara="0" vertOverflow="ellipsis" vert="horz" wrap="square" anchor="ctr" anchorCtr="1"/>
          <a:lstStyle/>
          <a:p>
            <a:pPr>
              <a:defRPr lang="zh-CN" sz="900" b="0" i="0" u="none" strike="noStrike" kern="1200" baseline="0">
                <a:solidFill>
                  <a:srgbClr val="333333">
                    <a:alpha val="100000"/>
                  </a:srgbClr>
                </a:solidFill>
                <a:latin typeface="宋体" panose="02010600030101010101" charset="-122"/>
                <a:ea typeface="宋体" panose="02010600030101010101" charset="-122"/>
                <a:cs typeface="宋体" panose="02010600030101010101" charset="-122"/>
              </a:defRPr>
            </a:pPr>
          </a:p>
        </c:txPr>
        <c:crossAx val="833568566"/>
        <c:crosses val="autoZero"/>
        <c:crossBetween val="between"/>
      </c:valAx>
      <c:spPr>
        <a:noFill/>
        <a:ln w="3175">
          <a:noFill/>
        </a:ln>
      </c:spPr>
    </c:plotArea>
    <c:plotVisOnly val="1"/>
    <c:dispBlanksAs val="gap"/>
    <c:showDLblsOverMax val="0"/>
  </c:chart>
  <c:spPr>
    <a:solidFill>
      <a:schemeClr val="bg1"/>
    </a:solidFill>
    <a:ln w="9525" cap="flat" cmpd="sng" algn="ctr">
      <a:solidFill>
        <a:schemeClr val="bg1">
          <a:lumMod val="95000"/>
        </a:schemeClr>
      </a:solidFill>
      <a:prstDash val="solid"/>
      <a:round/>
    </a:ln>
    <a:effectLst/>
  </c:spPr>
  <c:txPr>
    <a:bodyPr rot="0" wrap="square" anchor="ctr" anchorCtr="1"/>
    <a:lstStyle/>
    <a:p>
      <a:pPr>
        <a:defRPr lang="zh-CN" sz="1000" b="0" i="0" u="none" strike="noStrike" baseline="0">
          <a:solidFill>
            <a:srgbClr val="000000">
              <a:alpha val="100000"/>
            </a:srgbClr>
          </a:solidFill>
          <a:latin typeface="宋体" panose="02010600030101010101" charset="-122"/>
          <a:ea typeface="宋体" panose="02010600030101010101" charset="-122"/>
          <a:cs typeface="宋体" panose="02010600030101010101" charset="-122"/>
        </a:defRPr>
      </a:pPr>
    </a:p>
  </c:txPr>
  <c:externalData r:id="rId1">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5"/>
    </mc:Choice>
    <mc:Fallback>
      <c:style val="5"/>
    </mc:Fallback>
  </mc:AlternateContent>
  <c:clrMapOvr bg1="lt1" tx1="dk1" bg2="lt2" tx2="dk2" accent1="accent1" accent2="accent2" accent3="accent3" accent4="accent4" accent5="accent5" accent6="accent6" hlink="hlink" folHlink="folHlink"/>
  <c:chart>
    <c:title>
      <c:tx>
        <c:rich>
          <a:bodyPr rot="0" spcFirstLastPara="0" vertOverflow="ellipsis" vert="horz" wrap="square" anchor="ctr" anchorCtr="1"/>
          <a:lstStyle/>
          <a:p>
            <a:pPr defTabSz="914400">
              <a:defRPr lang="zh-CN" sz="1400" b="1" i="0" u="none" strike="noStrike" kern="1200" baseline="0">
                <a:solidFill>
                  <a:srgbClr val="808080">
                    <a:alpha val="100000"/>
                  </a:srgbClr>
                </a:solidFill>
                <a:latin typeface="宋体" panose="02010600030101010101" charset="-122"/>
                <a:ea typeface="宋体" panose="02010600030101010101" charset="-122"/>
                <a:cs typeface="宋体" panose="02010600030101010101" charset="-122"/>
              </a:defRPr>
            </a:pPr>
            <a:r>
              <a:t>一般公共预算财政拨款支出决算结构</a:t>
            </a:r>
            <a:endParaRPr sz="1400" b="1" i="0" u="none" strike="noStrike" baseline="0">
              <a:solidFill>
                <a:srgbClr val="808080">
                  <a:alpha val="100000"/>
                </a:srgbClr>
              </a:solidFill>
              <a:latin typeface="宋体" panose="02010600030101010101" charset="-122"/>
              <a:ea typeface="宋体" panose="02010600030101010101" charset="-122"/>
              <a:cs typeface="宋体" panose="02010600030101010101" charset="-122"/>
            </a:endParaRPr>
          </a:p>
        </c:rich>
      </c:tx>
      <c:layout>
        <c:manualLayout>
          <c:xMode val="edge"/>
          <c:yMode val="edge"/>
          <c:x val="0.180972222222222"/>
          <c:y val="0.901851851851852"/>
        </c:manualLayout>
      </c:layout>
      <c:overlay val="0"/>
      <c:spPr>
        <a:noFill/>
        <a:ln w="3175">
          <a:noFill/>
        </a:ln>
      </c:spPr>
    </c:title>
    <c:autoTitleDeleted val="0"/>
    <c:plotArea>
      <c:layout/>
      <c:pieChart>
        <c:varyColors val="1"/>
        <c:ser>
          <c:idx val="0"/>
          <c:order val="0"/>
          <c:explosion val="0"/>
          <c:dPt>
            <c:idx val="0"/>
            <c:bubble3D val="0"/>
            <c:explosion val="0"/>
            <c:spPr>
              <a:solidFill>
                <a:srgbClr val="70AD47">
                  <a:alpha val="100000"/>
                </a:srgbClr>
              </a:solidFill>
              <a:ln w="19050">
                <a:solidFill>
                  <a:srgbClr val="FFFFFF">
                    <a:alpha val="100000"/>
                  </a:srgbClr>
                </a:solidFill>
                <a:prstDash val="solid"/>
              </a:ln>
            </c:spPr>
          </c:dPt>
          <c:dPt>
            <c:idx val="1"/>
            <c:bubble3D val="0"/>
            <c:explosion val="0"/>
            <c:spPr>
              <a:solidFill>
                <a:srgbClr val="5B9BD5">
                  <a:alpha val="100000"/>
                </a:srgbClr>
              </a:solidFill>
              <a:ln w="19050">
                <a:solidFill>
                  <a:srgbClr val="FFFFFF">
                    <a:alpha val="100000"/>
                  </a:srgbClr>
                </a:solidFill>
                <a:prstDash val="solid"/>
              </a:ln>
            </c:spPr>
          </c:dPt>
          <c:dPt>
            <c:idx val="2"/>
            <c:bubble3D val="0"/>
            <c:explosion val="0"/>
            <c:spPr>
              <a:solidFill>
                <a:srgbClr val="FFC000">
                  <a:alpha val="100000"/>
                </a:srgbClr>
              </a:solidFill>
              <a:ln w="19050">
                <a:solidFill>
                  <a:srgbClr val="FFFFFF">
                    <a:alpha val="100000"/>
                  </a:srgbClr>
                </a:solidFill>
                <a:prstDash val="solid"/>
              </a:ln>
            </c:spPr>
          </c:dPt>
          <c:dPt>
            <c:idx val="3"/>
            <c:bubble3D val="0"/>
            <c:explosion val="0"/>
            <c:spPr>
              <a:solidFill>
                <a:srgbClr val="ED7D31">
                  <a:alpha val="100000"/>
                </a:srgbClr>
              </a:solidFill>
              <a:ln w="19050">
                <a:solidFill>
                  <a:srgbClr val="FFFFFF">
                    <a:alpha val="100000"/>
                  </a:srgbClr>
                </a:solidFill>
                <a:prstDash val="solid"/>
              </a:ln>
            </c:spPr>
          </c:dPt>
          <c:dPt>
            <c:idx val="4"/>
            <c:bubble3D val="0"/>
          </c:dPt>
          <c:dLbls>
            <c:dLbl>
              <c:idx val="0"/>
              <c:layout>
                <c:manualLayout>
                  <c:x val="0.037693853945879"/>
                  <c:y val="-0.0471362878663148"/>
                </c:manualLayout>
              </c:layout>
              <c:numFmt formatCode="General" sourceLinked="1"/>
              <c:spPr>
                <a:solidFill>
                  <a:srgbClr val="70AD47">
                    <a:alpha val="100000"/>
                  </a:srgbClr>
                </a:solidFill>
                <a:ln w="3175">
                  <a:noFill/>
                </a:ln>
                <a:effectLst/>
              </c:spPr>
              <c:txPr>
                <a:bodyPr rot="0" spcFirstLastPara="0" vertOverflow="ellipsis" vert="horz" wrap="square" lIns="38100" tIns="19050" rIns="38100" bIns="19050" anchor="ctr" anchorCtr="1"/>
                <a:lstStyle/>
                <a:p>
                  <a:pPr>
                    <a:defRPr lang="zh-CN" sz="900" b="0" i="0" u="none" strike="noStrike" kern="1200" baseline="0">
                      <a:solidFill>
                        <a:srgbClr val="333333">
                          <a:alpha val="100000"/>
                        </a:srgbClr>
                      </a:solidFill>
                      <a:latin typeface="宋体" panose="02010600030101010101" charset="-122"/>
                      <a:ea typeface="宋体" panose="02010600030101010101" charset="-122"/>
                      <a:cs typeface="宋体" panose="02010600030101010101" charset="-122"/>
                    </a:defRPr>
                  </a:pPr>
                </a:p>
              </c:txPr>
              <c:dLblPos val="bestFit"/>
              <c:showLegendKey val="0"/>
              <c:showVal val="1"/>
              <c:showCatName val="0"/>
              <c:showSerName val="0"/>
              <c:showPercent val="0"/>
              <c:showBubbleSize val="0"/>
              <c:extLst>
                <c:ext xmlns:c15="http://schemas.microsoft.com/office/drawing/2012/chart" uri="{CE6537A1-D6FC-4f65-9D91-7224C49458BB}">
                  <c15:layout/>
                </c:ext>
              </c:extLst>
            </c:dLbl>
            <c:dLbl>
              <c:idx val="2"/>
              <c:layout>
                <c:manualLayout>
                  <c:x val="-0.0825785823655661"/>
                  <c:y val="0.029251724540949"/>
                </c:manualLayout>
              </c:layout>
              <c:numFmt formatCode="General" sourceLinked="1"/>
              <c:spPr>
                <a:solidFill>
                  <a:srgbClr val="FFC000">
                    <a:alpha val="100000"/>
                  </a:srgbClr>
                </a:solidFill>
                <a:ln w="3175">
                  <a:noFill/>
                </a:ln>
                <a:effectLst/>
              </c:spPr>
              <c:txPr>
                <a:bodyPr rot="0" spcFirstLastPara="0" vertOverflow="ellipsis" vert="horz" wrap="square" lIns="38100" tIns="19050" rIns="38100" bIns="19050" anchor="ctr" anchorCtr="1"/>
                <a:lstStyle/>
                <a:p>
                  <a:pPr>
                    <a:defRPr lang="zh-CN" sz="900" b="0" i="0" u="none" strike="noStrike" kern="1200" baseline="0">
                      <a:solidFill>
                        <a:srgbClr val="333333">
                          <a:alpha val="100000"/>
                        </a:srgbClr>
                      </a:solidFill>
                      <a:latin typeface="宋体" panose="02010600030101010101" charset="-122"/>
                      <a:ea typeface="宋体" panose="02010600030101010101" charset="-122"/>
                      <a:cs typeface="宋体" panose="02010600030101010101" charset="-122"/>
                    </a:defRPr>
                  </a:pPr>
                </a:p>
              </c:txPr>
              <c:dLblPos val="bestFit"/>
              <c:showLegendKey val="0"/>
              <c:showVal val="1"/>
              <c:showCatName val="0"/>
              <c:showSerName val="0"/>
              <c:showPercent val="0"/>
              <c:showBubbleSize val="0"/>
              <c:extLst>
                <c:ext xmlns:c15="http://schemas.microsoft.com/office/drawing/2012/chart" uri="{CE6537A1-D6FC-4f65-9D91-7224C49458BB}">
                  <c15:layout/>
                </c:ext>
              </c:extLst>
            </c:dLbl>
            <c:dLbl>
              <c:idx val="3"/>
              <c:layout>
                <c:manualLayout>
                  <c:x val="-0.0336623642926775"/>
                  <c:y val="-0.0470761325922897"/>
                </c:manualLayout>
              </c:layout>
              <c:numFmt formatCode="General" sourceLinked="1"/>
              <c:spPr>
                <a:solidFill>
                  <a:srgbClr val="ED7D31">
                    <a:alpha val="50000"/>
                  </a:srgbClr>
                </a:solidFill>
                <a:ln>
                  <a:noFill/>
                </a:ln>
                <a:effectLst/>
              </c:spPr>
              <c:txPr>
                <a:bodyPr rot="0" spcFirstLastPara="0" vertOverflow="ellipsis" vert="horz" wrap="square" lIns="38100" tIns="19050" rIns="38100" bIns="19050" anchor="ctr" anchorCtr="1"/>
                <a:lstStyle/>
                <a:p>
                  <a:pPr>
                    <a:defRPr lang="zh-CN" sz="900" b="0" i="0" u="none" strike="noStrike" kern="1200" baseline="0">
                      <a:solidFill>
                        <a:srgbClr val="333333">
                          <a:alpha val="100000"/>
                        </a:srgbClr>
                      </a:solidFill>
                      <a:latin typeface="宋体" panose="02010600030101010101" charset="-122"/>
                      <a:ea typeface="宋体" panose="02010600030101010101" charset="-122"/>
                      <a:cs typeface="宋体" panose="02010600030101010101" charset="-122"/>
                    </a:defRPr>
                  </a:pPr>
                </a:p>
              </c:txPr>
              <c:dLblPos val="bestFit"/>
              <c:showLegendKey val="0"/>
              <c:showVal val="1"/>
              <c:showCatName val="0"/>
              <c:showSerName val="0"/>
              <c:showPercent val="0"/>
              <c:showBubbleSize val="0"/>
              <c:extLst>
                <c:ext xmlns:c15="http://schemas.microsoft.com/office/drawing/2012/chart" uri="{CE6537A1-D6FC-4f65-9D91-7224C49458BB}">
                  <c15:layout/>
                </c:ext>
              </c:extLst>
            </c:dLbl>
            <c:numFmt formatCode="General" sourceLinked="1"/>
            <c:spPr>
              <a:noFill/>
              <a:ln w="3175">
                <a:noFill/>
              </a:ln>
              <a:effectLst/>
            </c:spPr>
            <c:txPr>
              <a:bodyPr rot="0" spcFirstLastPara="0" vertOverflow="ellipsis" vert="horz" wrap="square" lIns="38100" tIns="19050" rIns="38100" bIns="19050" anchor="ctr" anchorCtr="1"/>
              <a:lstStyle/>
              <a:p>
                <a:pPr>
                  <a:defRPr lang="zh-CN" sz="900" b="0" i="0" u="none" strike="noStrike" kern="1200" baseline="0">
                    <a:solidFill>
                      <a:srgbClr val="333333">
                        <a:alpha val="100000"/>
                      </a:srgbClr>
                    </a:solidFill>
                    <a:latin typeface="宋体" panose="02010600030101010101" charset="-122"/>
                    <a:ea typeface="宋体" panose="02010600030101010101" charset="-122"/>
                    <a:cs typeface="宋体" panose="02010600030101010101" charset="-122"/>
                  </a:defRPr>
                </a:pPr>
              </a:p>
            </c:txPr>
            <c:dLblPos val="bestFit"/>
            <c:showLegendKey val="0"/>
            <c:showVal val="1"/>
            <c:showCatName val="0"/>
            <c:showSerName val="0"/>
            <c:showPercent val="0"/>
            <c:showBubbleSize val="0"/>
            <c:showLeaderLines val="1"/>
            <c:extLst>
              <c:ext xmlns:c15="http://schemas.microsoft.com/office/drawing/2012/chart" uri="{CE6537A1-D6FC-4f65-9D91-7224C49458BB}">
                <c15:layout/>
                <c15:showLeaderLines val="1"/>
                <c15:leaderLines>
                  <c:spPr>
                    <a:ln w="9525" cap="flat" cmpd="sng" algn="ctr">
                      <a:solidFill>
                        <a:srgbClr val="969696">
                          <a:alpha val="100000"/>
                        </a:srgbClr>
                      </a:solidFill>
                      <a:prstDash val="solid"/>
                      <a:round/>
                    </a:ln>
                  </c:spPr>
                </c15:leaderLines>
              </c:ext>
            </c:extLst>
          </c:dLbls>
          <c:cat>
            <c:strRef>
              <c:f>'[决算每年要用的图表(1).xls]Sheet1'!$A$64:$E$64</c:f>
              <c:strCache>
                <c:ptCount val="5"/>
                <c:pt idx="0">
                  <c:v>教育支出</c:v>
                </c:pt>
                <c:pt idx="1">
                  <c:v>社会保障和就业支出</c:v>
                </c:pt>
                <c:pt idx="2">
                  <c:v>卫生健康支出</c:v>
                </c:pt>
                <c:pt idx="3">
                  <c:v>住房保障支出</c:v>
                </c:pt>
                <c:pt idx="4">
                  <c:v>托育服务</c:v>
                </c:pt>
              </c:strCache>
            </c:strRef>
          </c:cat>
          <c:val>
            <c:numRef>
              <c:f>'[决算每年要用的图表(1).xls]Sheet1'!$A$65:$E$65</c:f>
              <c:numCache>
                <c:formatCode>#,##0.00</c:formatCode>
                <c:ptCount val="5"/>
                <c:pt idx="0">
                  <c:v>423.2</c:v>
                </c:pt>
                <c:pt idx="1">
                  <c:v>83.73</c:v>
                </c:pt>
                <c:pt idx="2">
                  <c:v>30.43</c:v>
                </c:pt>
                <c:pt idx="3">
                  <c:v>45.14</c:v>
                </c:pt>
                <c:pt idx="4" c:formatCode="General">
                  <c:v>8.62</c:v>
                </c:pt>
              </c:numCache>
            </c:numRef>
          </c:val>
        </c:ser>
        <c:dLbls>
          <c:showLegendKey val="0"/>
          <c:showVal val="0"/>
          <c:showCatName val="0"/>
          <c:showSerName val="0"/>
          <c:showPercent val="0"/>
          <c:showBubbleSize val="0"/>
          <c:showLeaderLines val="1"/>
        </c:dLbls>
        <c:firstSliceAng val="0"/>
      </c:pieChart>
      <c:spPr>
        <a:noFill/>
        <a:ln w="3175">
          <a:noFill/>
        </a:ln>
      </c:spPr>
    </c:plotArea>
    <c:legend>
      <c:legendPos val="r"/>
      <c:layout>
        <c:manualLayout>
          <c:xMode val="edge"/>
          <c:yMode val="edge"/>
          <c:x val="0.693874861086991"/>
          <c:y val="0.430833333333333"/>
          <c:w val="0.282548476454294"/>
          <c:h val="0.323888888888889"/>
        </c:manualLayout>
      </c:layout>
      <c:overlay val="0"/>
      <c:spPr>
        <a:solidFill>
          <a:schemeClr val="lt1">
            <a:alpha val="50000"/>
          </a:schemeClr>
        </a:solidFill>
        <a:ln>
          <a:noFill/>
        </a:ln>
        <a:effectLst/>
      </c:spPr>
      <c:txPr>
        <a:bodyPr rot="0" spcFirstLastPara="0" vertOverflow="ellipsis" vert="horz" wrap="square" anchor="ctr" anchorCtr="1"/>
        <a:lstStyle/>
        <a:p>
          <a:pPr>
            <a:defRPr lang="zh-CN" sz="825" b="0" i="0" u="none" strike="noStrike" kern="1200" baseline="0">
              <a:solidFill>
                <a:srgbClr val="333333"/>
              </a:solidFill>
              <a:latin typeface="宋体" panose="02010600030101010101" charset="-122"/>
              <a:ea typeface="宋体" panose="02010600030101010101" charset="-122"/>
              <a:cs typeface="宋体" panose="02010600030101010101" charset="-122"/>
            </a:defRPr>
          </a:pPr>
        </a:p>
      </c:txPr>
    </c:legend>
    <c:plotVisOnly val="1"/>
    <c:dispBlanksAs val="gap"/>
    <c:showDLblsOverMax val="0"/>
  </c:chart>
  <c:spPr>
    <a:pattFill prst="dkDnDiag">
      <a:fgClr>
        <a:schemeClr val="lt1"/>
      </a:fgClr>
      <a:bgClr>
        <a:sysClr val="window" lastClr="FFFFFF"/>
      </a:bgClr>
    </a:pattFill>
    <a:ln w="9525" cap="flat" cmpd="sng" algn="ctr">
      <a:solidFill>
        <a:schemeClr val="dk1">
          <a:lumMod val="15000"/>
          <a:lumOff val="85000"/>
        </a:schemeClr>
      </a:solidFill>
      <a:prstDash val="solid"/>
      <a:round/>
    </a:ln>
    <a:effectLst/>
  </c:spPr>
  <c:txPr>
    <a:bodyPr rot="0" wrap="square" anchor="ctr" anchorCtr="1"/>
    <a:lstStyle/>
    <a:p>
      <a:pPr>
        <a:defRPr lang="zh-CN" sz="1000" b="0" i="0" u="none" strike="noStrike" baseline="0">
          <a:solidFill>
            <a:srgbClr val="000000">
              <a:alpha val="100000"/>
            </a:srgbClr>
          </a:solidFill>
          <a:latin typeface="宋体" panose="02010600030101010101" charset="-122"/>
          <a:ea typeface="宋体" panose="02010600030101010101" charset="-122"/>
          <a:cs typeface="宋体" panose="02010600030101010101" charset="-122"/>
        </a:defRPr>
      </a:pPr>
    </a:p>
  </c:txPr>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word/theme/themeOverride1.xml><?xml version="1.0" encoding="utf-8"?>
<a:themeOverride xmlns:a="http://schemas.openxmlformats.org/drawingml/2006/main">
  <a:clrScheme name="基本">
    <a:dk1>
      <a:srgbClr val="000000"/>
    </a:dk1>
    <a:lt1>
      <a:srgbClr val="FFFFFF"/>
    </a:lt1>
    <a:dk2>
      <a:srgbClr val="D1282E"/>
    </a:dk2>
    <a:lt2>
      <a:srgbClr val="C8C8B1"/>
    </a:lt2>
    <a:accent1>
      <a:srgbClr val="7A7A7A"/>
    </a:accent1>
    <a:accent2>
      <a:srgbClr val="F5C201"/>
    </a:accent2>
    <a:accent3>
      <a:srgbClr val="526DB0"/>
    </a:accent3>
    <a:accent4>
      <a:srgbClr val="989AAC"/>
    </a:accent4>
    <a:accent5>
      <a:srgbClr val="DC5924"/>
    </a:accent5>
    <a:accent6>
      <a:srgbClr val="B4B392"/>
    </a:accent6>
    <a:hlink>
      <a:srgbClr val="CC9900"/>
    </a:hlink>
    <a:folHlink>
      <a:srgbClr val="969696"/>
    </a:folHlink>
  </a:clrScheme>
  <a:fontScheme name="Office">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2.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3.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4.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5.xml><?xml version="1.0" encoding="utf-8"?>
<a:themeOverride xmlns:a="http://schemas.openxmlformats.org/drawingml/2006/main">
  <a:clrScheme name="基本">
    <a:dk1>
      <a:srgbClr val="000000"/>
    </a:dk1>
    <a:lt1>
      <a:srgbClr val="FFFFFF"/>
    </a:lt1>
    <a:dk2>
      <a:srgbClr val="D1282E"/>
    </a:dk2>
    <a:lt2>
      <a:srgbClr val="C8C8B1"/>
    </a:lt2>
    <a:accent1>
      <a:srgbClr val="7A7A7A"/>
    </a:accent1>
    <a:accent2>
      <a:srgbClr val="F5C201"/>
    </a:accent2>
    <a:accent3>
      <a:srgbClr val="526DB0"/>
    </a:accent3>
    <a:accent4>
      <a:srgbClr val="989AAC"/>
    </a:accent4>
    <a:accent5>
      <a:srgbClr val="DC5924"/>
    </a:accent5>
    <a:accent6>
      <a:srgbClr val="B4B392"/>
    </a:accent6>
    <a:hlink>
      <a:srgbClr val="CC9900"/>
    </a:hlink>
    <a:folHlink>
      <a:srgbClr val="969696"/>
    </a:folHlink>
  </a:clrScheme>
  <a:fontScheme name="Office">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6.xml><?xml version="1.0" encoding="utf-8"?>
<a:themeOverride xmlns:a="http://schemas.openxmlformats.org/drawingml/2006/main">
  <a:clrScheme name="基本">
    <a:dk1>
      <a:srgbClr val="000000"/>
    </a:dk1>
    <a:lt1>
      <a:srgbClr val="FFFFFF"/>
    </a:lt1>
    <a:dk2>
      <a:srgbClr val="D1282E"/>
    </a:dk2>
    <a:lt2>
      <a:srgbClr val="C8C8B1"/>
    </a:lt2>
    <a:accent1>
      <a:srgbClr val="7A7A7A"/>
    </a:accent1>
    <a:accent2>
      <a:srgbClr val="F5C201"/>
    </a:accent2>
    <a:accent3>
      <a:srgbClr val="526DB0"/>
    </a:accent3>
    <a:accent4>
      <a:srgbClr val="989AAC"/>
    </a:accent4>
    <a:accent5>
      <a:srgbClr val="DC5924"/>
    </a:accent5>
    <a:accent6>
      <a:srgbClr val="B4B392"/>
    </a:accent6>
    <a:hlink>
      <a:srgbClr val="CC9900"/>
    </a:hlink>
    <a:folHlink>
      <a:srgbClr val="969696"/>
    </a:folHlink>
  </a:clrScheme>
  <a:fontScheme name="Office">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255EE963-AE7E-4F3B-BBF1-9AF15C920BB6}">
  <ds:schemaRefs/>
</ds:datastoreItem>
</file>

<file path=docProps/app.xml><?xml version="1.0" encoding="utf-8"?>
<Properties xmlns="http://schemas.openxmlformats.org/officeDocument/2006/extended-properties" xmlns:vt="http://schemas.openxmlformats.org/officeDocument/2006/docPropsVTypes">
  <Template>Normal.dotm</Template>
  <Company>四川省财政厅</Company>
  <Pages>22</Pages>
  <Words>1441</Words>
  <Characters>8219</Characters>
  <Lines>68</Lines>
  <Paragraphs>19</Paragraphs>
  <TotalTime>73</TotalTime>
  <ScaleCrop>false</ScaleCrop>
  <LinksUpToDate>false</LinksUpToDate>
  <CharactersWithSpaces>9641</CharactersWithSpaces>
  <Application>WPS Office_11.8.2.8696_F1E327BC-269C-435d-A152-05C5408002CA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2019-08-01T01:14:00Z</dcterms:created>
  <dc:creator>张彬茜</dc:creator>
  <cp:lastModifiedBy>Administrator</cp:lastModifiedBy>
  <cp:lastPrinted>2023-10-27T02:41:00Z</cp:lastPrinted>
  <dcterms:modified xsi:type="dcterms:W3CDTF">2026-10-16T03:31:17Z</dcterms:modified>
  <dc:title>四川省***</dc:title>
  <cp:revision>17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2052-11.8.2.8696</vt:lpwstr>
  </property>
  <property fmtid="{D5CDD505-2E9C-101B-9397-08002B2CF9AE}" pid="3" name="ICV">
    <vt:lpwstr>153387E9794A4E93B5865207B95F4DD1</vt:lpwstr>
  </property>
</Properties>
</file>