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C6C6A">
      <w:pPr>
        <w:rPr>
          <w:rFonts w:hint="eastAsia" w:ascii="思源黑体 CN Normal" w:hAnsi="思源黑体 CN Normal" w:eastAsia="思源黑体 CN Normal" w:cs="思源黑体 CN Normal"/>
          <w:b/>
          <w:color w:val="000000" w:themeColor="text1"/>
          <w:sz w:val="72"/>
          <w:szCs w:val="72"/>
          <w14:textFill>
            <w14:solidFill>
              <w14:schemeClr w14:val="tx1"/>
            </w14:solidFill>
          </w14:textFill>
        </w:rPr>
      </w:pPr>
      <w:bookmarkStart w:id="0" w:name="_Toc15396597"/>
      <w:bookmarkStart w:id="1" w:name="_Toc15377193"/>
      <w:bookmarkStart w:id="2" w:name="_Toc15377425"/>
      <w:bookmarkStart w:id="3" w:name="_Toc15378441"/>
      <w:bookmarkStart w:id="4" w:name="_Toc15396475"/>
      <w:bookmarkStart w:id="5" w:name="_Toc15306267"/>
    </w:p>
    <w:p w14:paraId="7D73BD19">
      <w:pPr>
        <w:pStyle w:val="8"/>
        <w:ind w:firstLine="0"/>
        <w:rPr>
          <w:rFonts w:hint="eastAsia" w:ascii="思源黑体 CN Normal" w:hAnsi="思源黑体 CN Normal" w:eastAsia="思源黑体 CN Normal" w:cs="思源黑体 CN Normal"/>
          <w:color w:val="000000" w:themeColor="text1"/>
          <w14:textFill>
            <w14:solidFill>
              <w14:schemeClr w14:val="tx1"/>
            </w14:solidFill>
          </w14:textFill>
        </w:rPr>
      </w:pPr>
    </w:p>
    <w:p w14:paraId="402783EE">
      <w:pPr>
        <w:jc w:val="cente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14:paraId="0164890B">
      <w:pPr>
        <w:jc w:val="cente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14:paraId="5597C79E">
      <w:pPr>
        <w:jc w:val="both"/>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14:paraId="609AE7C3">
      <w:pPr>
        <w:jc w:val="center"/>
        <w:rPr>
          <w:rFonts w:hint="eastAsia" w:ascii="黑体" w:hAnsi="黑体" w:eastAsia="黑体" w:cs="黑体"/>
          <w:b w:val="0"/>
          <w:bCs/>
          <w:color w:val="000000" w:themeColor="text1"/>
          <w:sz w:val="44"/>
          <w:szCs w:val="44"/>
          <w14:textFill>
            <w14:solidFill>
              <w14:schemeClr w14:val="tx1"/>
            </w14:solidFill>
          </w14:textFill>
        </w:rPr>
      </w:pPr>
      <w:r>
        <w:rPr>
          <w:rFonts w:hint="eastAsia" w:ascii="黑体" w:hAnsi="黑体" w:eastAsia="黑体" w:cs="黑体"/>
          <w:b w:val="0"/>
          <w:bCs/>
          <w:color w:val="000000" w:themeColor="text1"/>
          <w:sz w:val="44"/>
          <w:szCs w:val="44"/>
          <w14:textFill>
            <w14:solidFill>
              <w14:schemeClr w14:val="tx1"/>
            </w14:solidFill>
          </w14:textFill>
        </w:rPr>
        <w:t>2025</w:t>
      </w:r>
      <w:r>
        <w:rPr>
          <w:rFonts w:ascii="黑体" w:hAnsi="黑体" w:eastAsia="黑体" w:cs="黑体"/>
          <w:color w:val="000000"/>
          <w:sz w:val="44"/>
          <w:u w:color="auto"/>
        </w:rPr>
        <w:t>年度</w:t>
      </w:r>
      <w:bookmarkEnd w:id="0"/>
      <w:bookmarkEnd w:id="1"/>
      <w:bookmarkEnd w:id="2"/>
      <w:bookmarkEnd w:id="3"/>
      <w:bookmarkEnd w:id="4"/>
    </w:p>
    <w:bookmarkEnd w:id="5"/>
    <w:p w14:paraId="6DBC95DC">
      <w:pPr>
        <w:jc w:val="center"/>
        <w:rPr>
          <w:rFonts w:hint="eastAsia" w:ascii="黑体" w:hAnsi="黑体" w:eastAsia="黑体" w:cs="黑体"/>
          <w:b w:val="0"/>
          <w:bCs/>
          <w:color w:val="000000" w:themeColor="text1"/>
          <w:sz w:val="44"/>
          <w:szCs w:val="44"/>
          <w14:textFill>
            <w14:solidFill>
              <w14:schemeClr w14:val="tx1"/>
            </w14:solidFill>
          </w14:textFill>
        </w:rPr>
      </w:pPr>
      <w:bookmarkStart w:id="6" w:name="_Toc15377426"/>
      <w:bookmarkStart w:id="7" w:name="_Toc15396598"/>
      <w:bookmarkStart w:id="8" w:name="_Toc15377194"/>
      <w:bookmarkStart w:id="9" w:name="_Toc15378442"/>
      <w:bookmarkStart w:id="10" w:name="_Toc15306268"/>
      <w:bookmarkStart w:id="11" w:name="_Toc15396476"/>
      <w:r>
        <w:rPr>
          <w:rFonts w:hint="eastAsia" w:ascii="黑体" w:hAnsi="黑体" w:eastAsia="黑体" w:cs="黑体"/>
          <w:b w:val="0"/>
          <w:bCs/>
          <w:color w:val="000000" w:themeColor="text1"/>
          <w:sz w:val="44"/>
          <w:szCs w:val="44"/>
          <w14:textFill>
            <w14:solidFill>
              <w14:schemeClr w14:val="tx1"/>
            </w14:solidFill>
          </w14:textFill>
        </w:rPr>
        <w:t>红原县疾病预防控制中心</w:t>
      </w:r>
      <w:r>
        <w:rPr>
          <w:rFonts w:ascii="黑体" w:hAnsi="黑体" w:eastAsia="黑体" w:cs="黑体"/>
          <w:color w:val="000000"/>
          <w:sz w:val="44"/>
          <w:u w:color="auto"/>
        </w:rPr>
        <w:t>单位决算</w:t>
      </w:r>
      <w:bookmarkEnd w:id="6"/>
      <w:bookmarkEnd w:id="7"/>
      <w:bookmarkEnd w:id="8"/>
      <w:bookmarkEnd w:id="9"/>
      <w:bookmarkEnd w:id="10"/>
      <w:bookmarkEnd w:id="11"/>
    </w:p>
    <w:p w14:paraId="0E2C97A9">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3128AF52">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1EF872D2">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6BF74D53">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741A663E">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637D1FC6">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54DDB020">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450F9C78">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30002D04">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423E6F5F">
      <w:pPr>
        <w:pStyle w:val="8"/>
        <w:tabs>
          <w:tab w:val="left" w:pos="3600"/>
        </w:tabs>
        <w:rPr>
          <w:rFonts w:hint="eastAsia" w:ascii="思源黑体 CN Normal" w:hAnsi="思源黑体 CN Normal" w:eastAsia="思源黑体 CN Normal" w:cs="思源黑体 CN Normal"/>
          <w:color w:val="000000" w:themeColor="text1"/>
          <w14:textFill>
            <w14:solidFill>
              <w14:schemeClr w14:val="tx1"/>
            </w14:solidFill>
          </w14:textFill>
        </w:rPr>
      </w:pPr>
      <w:r>
        <w:rPr>
          <w:rFonts w:hint="eastAsia" w:ascii="思源黑体 CN Normal" w:hAnsi="思源黑体 CN Normal" w:eastAsia="思源黑体 CN Normal" w:cs="思源黑体 CN Normal"/>
          <w:color w:val="000000" w:themeColor="text1"/>
          <w14:textFill>
            <w14:solidFill>
              <w14:schemeClr w14:val="tx1"/>
            </w14:solidFill>
          </w14:textFill>
        </w:rPr>
        <w:tab/>
      </w:r>
    </w:p>
    <w:p w14:paraId="13FE0EC1">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14:paraId="743D9D22">
      <w:pPr>
        <w:pStyle w:val="15"/>
        <w:jc w:val="both"/>
        <w:rPr>
          <w:rFonts w:hint="eastAsia" w:ascii="思源黑体 CN Normal" w:hAnsi="思源黑体 CN Normal" w:eastAsia="思源黑体 CN Normal" w:cs="思源黑体 CN Normal"/>
          <w:color w:val="000000" w:themeColor="text1"/>
          <w:sz w:val="36"/>
          <w:szCs w:val="36"/>
          <w14:textFill>
            <w14:solidFill>
              <w14:schemeClr w14:val="tx1"/>
            </w14:solidFill>
          </w14:textFill>
        </w:rPr>
      </w:pPr>
      <w:r>
        <w:rPr>
          <w:rFonts w:hint="eastAsia" w:ascii="思源黑体 CN Normal" w:hAnsi="思源黑体 CN Normal" w:eastAsia="思源黑体 CN Normal" w:cs="思源黑体 CN Normal"/>
          <w:color w:val="000000" w:themeColor="text1"/>
          <w:sz w:val="36"/>
          <w:szCs w:val="36"/>
          <w14:textFill>
            <w14:solidFill>
              <w14:schemeClr w14:val="tx1"/>
            </w14:solidFill>
          </w14:textFill>
        </w:rPr>
        <w:br w:type="page"/>
      </w:r>
    </w:p>
    <w:p w14:paraId="0992FC4D">
      <w:pPr>
        <w:widowControl/>
        <w:jc w:val="center"/>
        <w:rPr>
          <w:rFonts w:hint="eastAsia" w:ascii="思源黑体 CN Normal" w:hAnsi="思源黑体 CN Normal" w:eastAsia="思源黑体 CN Normal" w:cs="思源黑体 CN Normal"/>
          <w:b w:val="0"/>
          <w:bCs w:val="0"/>
          <w:color w:val="000000" w:themeColor="text1"/>
          <w:sz w:val="36"/>
          <w:szCs w:val="36"/>
          <w14:textFill>
            <w14:solidFill>
              <w14:schemeClr w14:val="tx1"/>
            </w14:solidFill>
          </w14:textFill>
        </w:rPr>
      </w:pPr>
      <w:r>
        <w:rPr>
          <w:rFonts w:hint="eastAsia" w:ascii="思源黑体 CN Normal" w:hAnsi="思源黑体 CN Normal" w:eastAsia="思源黑体 CN Normal" w:cs="思源黑体 CN Normal"/>
          <w:b w:val="0"/>
          <w:bCs w:val="0"/>
          <w:color w:val="000000" w:themeColor="text1"/>
          <w:sz w:val="48"/>
          <w:szCs w:val="48"/>
          <w14:textFill>
            <w14:solidFill>
              <w14:schemeClr w14:val="tx1"/>
            </w14:solidFill>
          </w14:textFill>
        </w:rPr>
        <w:t>目录</w:t>
      </w:r>
    </w:p>
    <w:p w14:paraId="297F534D">
      <w:pPr>
        <w:pStyle w:val="1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公开时间：20</w:t>
      </w:r>
      <w:r>
        <w:rPr>
          <w:rFonts w:hint="eastAsia"/>
          <w:color w:val="000000" w:themeColor="text1"/>
          <w:highlight w:val="none"/>
          <w:lang w:val="en-US" w:eastAsia="zh-CN"/>
          <w14:textFill>
            <w14:solidFill>
              <w14:schemeClr w14:val="tx1"/>
            </w14:solidFill>
          </w14:textFill>
        </w:rPr>
        <w:t>26</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10</w:t>
      </w:r>
      <w:bookmarkStart w:id="91" w:name="_GoBack"/>
      <w:bookmarkEnd w:id="91"/>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49203D4D">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bookmarkStart w:id="12" w:name="_Toc15377196"/>
      <w:r>
        <w:rPr>
          <w:rFonts w:hint="eastAsia" w:ascii="宋体" w:hAnsi="宋体" w:eastAsia="宋体" w:cs="宋体"/>
          <w:smallCaps/>
          <w:color w:val="000000" w:themeColor="text1"/>
          <w:sz w:val="20"/>
          <w:szCs w:val="20"/>
          <w14:textFill>
            <w14:solidFill>
              <w14:schemeClr w14:val="tx1"/>
            </w14:solidFill>
          </w14:textFill>
        </w:rPr>
        <w:fldChar w:fldCharType="begin"/>
      </w:r>
      <w:r>
        <w:rPr>
          <w:rFonts w:hint="eastAsia" w:ascii="宋体" w:hAnsi="宋体" w:eastAsia="宋体" w:cs="宋体"/>
          <w:smallCaps/>
          <w:color w:val="000000" w:themeColor="text1"/>
          <w:sz w:val="20"/>
          <w:szCs w:val="20"/>
          <w14:textFill>
            <w14:solidFill>
              <w14:schemeClr w14:val="tx1"/>
            </w14:solidFill>
          </w14:textFill>
        </w:rPr>
        <w:instrText xml:space="preserve"> TOC \o "1-2" \h \z \u </w:instrText>
      </w:r>
      <w:r>
        <w:rPr>
          <w:rFonts w:hint="eastAsia" w:ascii="宋体" w:hAnsi="宋体" w:eastAsia="宋体" w:cs="宋体"/>
          <w:smallCaps/>
          <w:color w:val="000000" w:themeColor="text1"/>
          <w:sz w:val="20"/>
          <w:szCs w:val="20"/>
          <w14:textFill>
            <w14:solidFill>
              <w14:schemeClr w14:val="tx1"/>
            </w14:solidFill>
          </w14:textFill>
        </w:rPr>
        <w:fldChar w:fldCharType="separate"/>
      </w: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_Toc9016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 xml:space="preserve">第一部分 </w:t>
      </w:r>
      <w:r>
        <w:rPr>
          <w:rFonts w:hint="eastAsia" w:ascii="黑体" w:hAnsi="黑体" w:eastAsia="黑体" w:cs="黑体"/>
          <w:bCs w:val="0"/>
          <w:color w:val="000000" w:themeColor="text1"/>
          <w:sz w:val="32"/>
          <w:szCs w:val="32"/>
          <w14:textFill>
            <w14:solidFill>
              <w14:schemeClr w14:val="tx1"/>
            </w14:solidFill>
          </w14:textFill>
        </w:rPr>
        <w:t>单位</w:t>
      </w:r>
      <w:r>
        <w:rPr>
          <w:rFonts w:ascii="黑体" w:hAnsi="黑体" w:eastAsia="黑体" w:cs="黑体"/>
          <w:color w:val="000000"/>
          <w:sz w:val="32"/>
          <w:u w:color="auto"/>
        </w:rPr>
        <w:t>概况</w:t>
      </w:r>
      <w: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_Toc9016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1</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14:paraId="68CC578D">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_Toc28564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一、</w:t>
      </w:r>
      <w:r>
        <w:rPr>
          <w:rFonts w:hint="eastAsia" w:ascii="仿宋" w:hAnsi="仿宋" w:eastAsia="仿宋" w:cs="仿宋"/>
          <w:bCs w:val="0"/>
          <w:color w:val="000000" w:themeColor="text1"/>
          <w:sz w:val="32"/>
          <w:szCs w:val="32"/>
          <w:lang w:val="en-US" w:eastAsia="zh-CN"/>
          <w14:textFill>
            <w14:solidFill>
              <w14:schemeClr w14:val="tx1"/>
            </w14:solidFill>
          </w14:textFill>
        </w:rPr>
        <w:t>主要职责</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_Toc28564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19D3FCBB">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_Toc22056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二、机构设置</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_Toc22056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72AD3064">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_Toc9058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 xml:space="preserve">第二部分 </w:t>
      </w:r>
      <w:r>
        <w:rPr>
          <w:rFonts w:ascii="黑体" w:hAnsi="黑体" w:eastAsia="黑体" w:cs="黑体"/>
          <w:color w:val="000000"/>
          <w:sz w:val="32"/>
          <w:u w:color="auto"/>
        </w:rPr>
        <w:t>2025年度</w:t>
      </w:r>
      <w:r>
        <w:rPr>
          <w:rFonts w:hint="eastAsia" w:ascii="黑体" w:hAnsi="黑体" w:eastAsia="黑体" w:cs="黑体"/>
          <w:color w:val="000000" w:themeColor="text1"/>
          <w:sz w:val="32"/>
          <w:szCs w:val="32"/>
          <w:lang w:val="en-US" w:eastAsia="zh-CN"/>
          <w14:textFill>
            <w14:solidFill>
              <w14:schemeClr w14:val="tx1"/>
            </w14:solidFill>
          </w14:textFill>
        </w:rPr>
        <w:t>单位</w:t>
      </w:r>
      <w:r>
        <w:rPr>
          <w:rFonts w:hint="eastAsia" w:ascii="黑体" w:hAnsi="黑体" w:eastAsia="黑体" w:cs="黑体"/>
          <w:color w:val="000000" w:themeColor="text1"/>
          <w:sz w:val="32"/>
          <w:szCs w:val="32"/>
          <w14:textFill>
            <w14:solidFill>
              <w14:schemeClr w14:val="tx1"/>
            </w14:solidFill>
          </w14:textFill>
        </w:rPr>
        <w:t>决算情况说明</w:t>
      </w:r>
      <w: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_Toc9058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3</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14:paraId="5775D898">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_Toc19710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一、收入支出决算总体情况说明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_Toc19710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228B92BF">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_Toc8125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二、收入决算情况说明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_Toc8125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6F99C6CD">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_Toc28283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三、支出决算情况说明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_Toc28283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05425E03">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_Toc19521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四、财政拨款收入支出决算总体情况说明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_Toc19521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16C145AC">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_Toc14368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五、一般公共预算财政拨款支出决算情况说明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_Toc14368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6</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253451D8">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_Toc31578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六、一般公共预算财政拨款基本支出决算情况说明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_Toc31578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9</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13372F60">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_Toc6614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七、“三公”经费财政拨款支出决算情况说明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_Toc6614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10</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4567BA51">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_Toc20439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八、政府性基金预算支出决算情况说明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_Toc20439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12</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71EF486F">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_Toc23467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九、国有资本经营预算支出决算情况说明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_Toc23467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12</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610F5F4F">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_Toc18455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十、其他重要事项的情况说明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_Toc18455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12</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1C39B0B7">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_Toc18122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第三部分 名词解释</w:t>
      </w:r>
      <w:r>
        <w:rPr>
          <w:rFonts w:hint="eastAsia" w:ascii="黑体" w:hAnsi="黑体" w:eastAsia="黑体" w:cs="黑体"/>
          <w:color w:val="000000" w:themeColor="text1"/>
          <w:sz w:val="32"/>
          <w:szCs w:val="32"/>
          <w14:textFill>
            <w14:solidFill>
              <w14:schemeClr w14:val="tx1"/>
            </w14:solidFill>
          </w14:textFill>
        </w:rP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_Toc18122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14</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14:paraId="5185CA32">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_Toc25539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第四部分 附件</w:t>
      </w:r>
      <w:r>
        <w:rPr>
          <w:rFonts w:hint="eastAsia" w:ascii="黑体" w:hAnsi="黑体" w:eastAsia="黑体" w:cs="黑体"/>
          <w:color w:val="000000" w:themeColor="text1"/>
          <w:sz w:val="32"/>
          <w:szCs w:val="32"/>
          <w14:textFill>
            <w14:solidFill>
              <w14:schemeClr w14:val="tx1"/>
            </w14:solidFill>
          </w14:textFill>
        </w:rP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_Toc25539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17</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14:paraId="49EB3F66">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_Toc21200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第五部分 附表</w:t>
      </w:r>
      <w:r>
        <w:rPr>
          <w:rFonts w:hint="eastAsia" w:ascii="黑体" w:hAnsi="黑体" w:eastAsia="黑体" w:cs="黑体"/>
          <w:color w:val="000000" w:themeColor="text1"/>
          <w:sz w:val="32"/>
          <w:szCs w:val="32"/>
          <w14:textFill>
            <w14:solidFill>
              <w14:schemeClr w14:val="tx1"/>
            </w14:solidFill>
          </w14:textFill>
        </w:rP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_Toc21200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35</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14:paraId="1D314EC7">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_Toc16431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一、收入支出决算总表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_Toc16431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67C5159B">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_Toc25389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二、收入决算表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_Toc25389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744CBCE1">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_Toc10450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三、支出决算表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_Toc10450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6F1C1D86">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_Toc15415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四、财政拨款收入支出决算总表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_Toc15415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1367FA2B">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_Toc17530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五、财政拨款支出决算明细表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_Toc17530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4E0B0EA8">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_Toc22032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六、一般公共预算财政拨款支出决算表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_Toc22032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4EF11141">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_Toc3364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七、一般公共预算财政拨款支出决算明细表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_Toc3364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281F5848">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_Toc9110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八、一般公共预算财政拨款基本支出决算表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_Toc9110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23984AF3">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_Toc28582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九、一般公共预算财政拨款项目支出决算表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_Toc28582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16DAFCA7">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_Toc22001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十、政府性基金预算财政拨款收入支出决算表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_Toc22001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7A4664BE">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_Toc6538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十一、国有资本经营预算财政拨款收入支出决算表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_Toc6538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6E3B3EF3">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_Toc10625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十二、国有资本经营预算财政拨款支出决算表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_Toc10625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01685675">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_Toc28356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十三、财政拨款“三公”经费支出决算表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_Toc28356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14:paraId="62FF81B7">
      <w:pPr>
        <w:pStyle w:val="8"/>
        <w:rPr>
          <w:rFonts w:hint="eastAsia" w:ascii="宋体" w:hAnsi="宋体" w:eastAsia="宋体" w:cs="宋体"/>
        </w:rPr>
      </w:pPr>
      <w:r>
        <w:rPr>
          <w:rFonts w:hint="eastAsia" w:ascii="宋体" w:hAnsi="宋体" w:eastAsia="宋体" w:cs="宋体"/>
          <w:smallCaps/>
          <w:color w:val="000000" w:themeColor="text1"/>
          <w:szCs w:val="20"/>
          <w14:textFill>
            <w14:solidFill>
              <w14:schemeClr w14:val="tx1"/>
            </w14:solidFill>
          </w14:textFill>
        </w:rPr>
        <w:fldChar w:fldCharType="end"/>
      </w:r>
    </w:p>
    <w:p w14:paraId="5A68A9FF">
      <w:pPr>
        <w:pStyle w:val="5"/>
        <w:jc w:val="center"/>
        <w:rPr>
          <w:rFonts w:hint="eastAsia" w:ascii="黑体" w:hAnsi="黑体" w:eastAsia="黑体" w:cs="黑体"/>
        </w:rPr>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pPr>
      <w:bookmarkStart w:id="13" w:name="_Toc111208495"/>
      <w:bookmarkStart w:id="14" w:name="_Toc9016"/>
    </w:p>
    <w:p w14:paraId="521E39E1">
      <w:pPr>
        <w:pStyle w:val="5"/>
        <w:jc w:val="center"/>
        <w:rPr>
          <w:rFonts w:hint="eastAsia" w:ascii="黑体" w:hAnsi="黑体" w:eastAsia="黑体" w:cs="黑体"/>
          <w:b w:val="0"/>
          <w:bCs w:val="0"/>
        </w:rPr>
      </w:pPr>
      <w:r>
        <w:rPr>
          <w:rFonts w:hint="eastAsia" w:ascii="黑体" w:hAnsi="黑体" w:eastAsia="黑体" w:cs="黑体"/>
          <w:b w:val="0"/>
          <w:bCs w:val="0"/>
        </w:rPr>
        <w:t xml:space="preserve">第一部分 </w:t>
      </w:r>
      <w:r>
        <w:rPr>
          <w:rStyle w:val="32"/>
          <w:rFonts w:hint="eastAsia" w:ascii="黑体" w:hAnsi="黑体" w:eastAsia="黑体" w:cs="黑体"/>
          <w:b w:val="0"/>
          <w:bCs w:val="0"/>
        </w:rPr>
        <w:t>单位</w:t>
      </w:r>
      <w:r>
        <w:rPr>
          <w:rStyle w:val="32"/>
          <w:rFonts w:ascii="黑体" w:hAnsi="黑体" w:eastAsia="黑体" w:cs="黑体"/>
          <w:b w:val="0"/>
          <w:bCs w:val="0"/>
          <w:u w:color="auto"/>
        </w:rPr>
        <w:t>概况</w:t>
      </w:r>
      <w:bookmarkEnd w:id="12"/>
      <w:bookmarkEnd w:id="13"/>
      <w:bookmarkEnd w:id="14"/>
    </w:p>
    <w:p w14:paraId="24C03C62">
      <w:pPr>
        <w:pStyle w:val="6"/>
        <w:ind w:firstLine="640" w:firstLineChars="200"/>
        <w:rPr>
          <w:rFonts w:hint="eastAsia" w:ascii="黑体" w:hAnsi="黑体" w:eastAsia="黑体" w:cs="黑体"/>
          <w:b w:val="0"/>
          <w:bCs/>
          <w:color w:val="000000"/>
          <w:lang w:val="en-US" w:eastAsia="zh-CN"/>
        </w:rPr>
      </w:pPr>
      <w:bookmarkStart w:id="15" w:name="_Toc15377197"/>
      <w:bookmarkStart w:id="16" w:name="_Toc113981010"/>
      <w:bookmarkStart w:id="17" w:name="_Toc28564"/>
      <w:bookmarkStart w:id="18" w:name="_Toc111208496"/>
      <w:bookmarkStart w:id="19" w:name="_Toc15377204"/>
      <w:r>
        <w:rPr>
          <w:rFonts w:hint="eastAsia" w:ascii="黑体" w:hAnsi="黑体" w:eastAsia="黑体" w:cs="黑体"/>
          <w:b w:val="0"/>
          <w:bCs/>
          <w:color w:val="000000"/>
        </w:rPr>
        <w:t>一、</w:t>
      </w:r>
      <w:bookmarkEnd w:id="15"/>
      <w:bookmarkEnd w:id="16"/>
      <w:bookmarkEnd w:id="17"/>
      <w:bookmarkEnd w:id="18"/>
      <w:bookmarkStart w:id="20" w:name="_Toc15378445"/>
      <w:bookmarkStart w:id="21" w:name="_Toc15377198"/>
      <w:r>
        <w:rPr>
          <w:rFonts w:hint="eastAsia" w:ascii="黑体" w:hAnsi="黑体" w:eastAsia="黑体" w:cs="黑体"/>
          <w:b w:val="0"/>
          <w:bCs/>
          <w:color w:val="000000"/>
          <w:lang w:val="en-US" w:eastAsia="zh-CN"/>
        </w:rPr>
        <w:t>主要职责</w:t>
      </w:r>
    </w:p>
    <w:bookmarkEnd w:id="20"/>
    <w:bookmarkEnd w:id="21"/>
    <w:p w14:paraId="02D21438">
      <w:pPr>
        <w:pStyle w:val="2"/>
        <w:keepNext w:val="0"/>
        <w:keepLines w:val="0"/>
        <w:pageBreakBefore w:val="0"/>
        <w:widowControl w:val="0"/>
        <w:kinsoku/>
        <w:wordWrap/>
        <w:overflowPunct/>
        <w:topLinePunct w:val="0"/>
        <w:autoSpaceDE/>
        <w:autoSpaceDN/>
        <w:bidi w:val="0"/>
        <w:adjustRightInd/>
        <w:snapToGrid w:val="0"/>
        <w:spacing w:line="360" w:lineRule="auto"/>
        <w:ind w:firstLine="640" w:firstLineChars="200"/>
        <w:jc w:val="both"/>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 全面履行政府赋予的卫生防病职能, 做好传染病等突发公共卫生事件应急、监测、报告与管理；信息与网络管理；加强疾病及健康相关因素监测和分析评估能力的储备及应用；完成国家、省、州下达的重大疾病预防控制指令性任务；实施疾病预防控制规划、方案，组织开展辖区内疾病爆发调查处理和报告；负责全县慢性传染病、慢性非传染性疾病的流行病学调查、监测，营养健康，健康教育与健康促进，实施儿童计划免疫及预防性生物制品管理；推行重大公共卫生服务项目，免费为艾滋病患者提供“四免一关怀”服务；制定我县结核病预防控制规划并组织实施；负责本辖区内大骨节病、包虫病、地氟病、碘缺乏病的综合防治和研究；提供消毒、杀虫、灭蝇等相关技术性服务；对食品卫生、公共场所、工矿企业、学校及生产经营单位的卫生具有监测职能和卫生学评价职能，对其从业人员定期进行健康体检；为社会人群提供预防性疫苗接种等工作。</w:t>
      </w:r>
    </w:p>
    <w:p w14:paraId="2CF1E803">
      <w:pPr>
        <w:pStyle w:val="6"/>
        <w:ind w:firstLine="640" w:firstLineChars="200"/>
        <w:rPr>
          <w:rFonts w:hint="eastAsia" w:ascii="黑体" w:hAnsi="黑体" w:eastAsia="黑体" w:cs="黑体"/>
          <w:b w:val="0"/>
          <w:bCs/>
          <w:color w:val="000000"/>
        </w:rPr>
      </w:pPr>
      <w:bookmarkStart w:id="22" w:name="_Toc113981011"/>
      <w:bookmarkStart w:id="23" w:name="_Toc111208497"/>
      <w:bookmarkStart w:id="24" w:name="_Toc15377200"/>
      <w:bookmarkStart w:id="25" w:name="_Toc22056"/>
      <w:r>
        <w:rPr>
          <w:rFonts w:hint="eastAsia" w:ascii="黑体" w:hAnsi="黑体" w:eastAsia="黑体" w:cs="黑体"/>
          <w:b w:val="0"/>
          <w:bCs/>
          <w:color w:val="000000"/>
        </w:rPr>
        <w:t>二、机构设置</w:t>
      </w:r>
      <w:bookmarkEnd w:id="22"/>
      <w:bookmarkEnd w:id="23"/>
      <w:bookmarkEnd w:id="24"/>
      <w:bookmarkEnd w:id="25"/>
    </w:p>
    <w:p w14:paraId="772DB0D6">
      <w:pPr>
        <w:pStyle w:val="38"/>
        <w:spacing w:before="0" w:after="0" w:line="520" w:lineRule="atLeast"/>
        <w:ind w:firstLine="640"/>
      </w:pPr>
      <w:r>
        <w:rPr>
          <w:rFonts w:ascii="仿宋_GB2312" w:hAnsi="仿宋_GB2312" w:eastAsia="仿宋_GB2312" w:cs="仿宋_GB2312"/>
          <w:sz w:val="32"/>
          <w:szCs w:val="32"/>
        </w:rPr>
        <w:t>我单位为红原县卫生健康局下属二级预算单位，属全额拨款公益一类事业单位，下设办公室、</w:t>
      </w:r>
      <w:r>
        <w:rPr>
          <w:rFonts w:hint="eastAsia" w:ascii="仿宋_GB2312" w:hAnsi="仿宋_GB2312" w:eastAsia="仿宋_GB2312" w:cs="仿宋_GB2312"/>
          <w:sz w:val="32"/>
          <w:szCs w:val="32"/>
          <w:lang w:val="en-US" w:eastAsia="zh-CN"/>
        </w:rPr>
        <w:t>卫生</w:t>
      </w:r>
      <w:r>
        <w:rPr>
          <w:rFonts w:ascii="仿宋_GB2312" w:hAnsi="仿宋_GB2312" w:eastAsia="仿宋_GB2312" w:cs="仿宋_GB2312"/>
          <w:sz w:val="32"/>
          <w:szCs w:val="32"/>
        </w:rPr>
        <w:t>监测</w:t>
      </w:r>
      <w:r>
        <w:rPr>
          <w:rFonts w:hint="eastAsia" w:ascii="仿宋_GB2312" w:hAnsi="仿宋_GB2312" w:eastAsia="仿宋_GB2312" w:cs="仿宋_GB2312"/>
          <w:sz w:val="32"/>
          <w:szCs w:val="32"/>
          <w:lang w:val="en-US" w:eastAsia="zh-CN"/>
        </w:rPr>
        <w:t>及</w:t>
      </w:r>
      <w:r>
        <w:rPr>
          <w:rFonts w:ascii="仿宋_GB2312" w:hAnsi="仿宋_GB2312" w:eastAsia="仿宋_GB2312" w:cs="仿宋_GB2312"/>
          <w:sz w:val="32"/>
          <w:szCs w:val="32"/>
        </w:rPr>
        <w:t>结艾科、传管科、财务科、地方病</w:t>
      </w:r>
      <w:r>
        <w:rPr>
          <w:rFonts w:hint="eastAsia" w:ascii="仿宋_GB2312" w:hAnsi="仿宋_GB2312" w:eastAsia="仿宋_GB2312" w:cs="仿宋_GB2312"/>
          <w:sz w:val="32"/>
          <w:szCs w:val="32"/>
          <w:lang w:val="en-US" w:eastAsia="zh-CN"/>
        </w:rPr>
        <w:t>及包虫病</w:t>
      </w:r>
      <w:r>
        <w:rPr>
          <w:rFonts w:ascii="仿宋_GB2312" w:hAnsi="仿宋_GB2312" w:eastAsia="仿宋_GB2312" w:cs="仿宋_GB2312"/>
          <w:sz w:val="32"/>
          <w:szCs w:val="32"/>
        </w:rPr>
        <w:t>防治科、检验科、公卫科，</w:t>
      </w:r>
      <w:r>
        <w:rPr>
          <w:rFonts w:hint="eastAsia" w:ascii="仿宋_GB2312" w:hAnsi="仿宋_GB2312" w:eastAsia="仿宋_GB2312" w:cs="仿宋_GB2312"/>
          <w:sz w:val="32"/>
          <w:szCs w:val="32"/>
          <w:lang w:val="en-US" w:eastAsia="zh-CN"/>
        </w:rPr>
        <w:t>免疫规划科；卫生执法</w:t>
      </w:r>
      <w:r>
        <w:rPr>
          <w:rFonts w:ascii="仿宋_GB2312" w:hAnsi="仿宋_GB2312" w:eastAsia="仿宋_GB2312" w:cs="仿宋_GB2312"/>
          <w:sz w:val="32"/>
          <w:szCs w:val="32"/>
        </w:rPr>
        <w:t>共</w:t>
      </w:r>
      <w:r>
        <w:rPr>
          <w:rFonts w:hint="eastAsia" w:ascii="仿宋_GB2312" w:hAnsi="仿宋_GB2312" w:eastAsia="仿宋_GB2312" w:cs="仿宋_GB2312"/>
          <w:sz w:val="32"/>
          <w:szCs w:val="32"/>
          <w:lang w:val="en-US" w:eastAsia="zh-CN"/>
        </w:rPr>
        <w:t>9</w:t>
      </w:r>
      <w:r>
        <w:rPr>
          <w:rFonts w:ascii="仿宋_GB2312" w:hAnsi="仿宋_GB2312" w:eastAsia="仿宋_GB2312" w:cs="仿宋_GB2312"/>
          <w:sz w:val="32"/>
          <w:szCs w:val="32"/>
        </w:rPr>
        <w:t>个科室。本单位本年度纳入本套决算编制范围的独立编制机构数共1个，比上年增加0个，无变动；独立核算机构数共1个，比上年增加0个，无变动。</w:t>
      </w:r>
    </w:p>
    <w:p w14:paraId="5A04B536">
      <w:pPr>
        <w:widowControl/>
        <w:jc w:val="left"/>
        <w:rPr>
          <w:rFonts w:hint="eastAsia" w:ascii="思源黑体 CN Normal" w:hAnsi="思源黑体 CN Normal" w:eastAsia="思源黑体 CN Normal" w:cs="思源黑体 CN Normal"/>
          <w:b/>
          <w:bCs/>
          <w:color w:val="000000"/>
          <w:kern w:val="44"/>
          <w:sz w:val="44"/>
          <w:szCs w:val="44"/>
        </w:rPr>
      </w:pPr>
      <w:r>
        <w:rPr>
          <w:rFonts w:hint="eastAsia" w:ascii="思源黑体 CN Normal" w:hAnsi="思源黑体 CN Normal" w:eastAsia="思源黑体 CN Normal" w:cs="思源黑体 CN Normal"/>
          <w:color w:val="000000"/>
        </w:rPr>
        <w:br w:type="page"/>
      </w:r>
    </w:p>
    <w:p w14:paraId="4DE8AC96">
      <w:pPr>
        <w:pStyle w:val="5"/>
        <w:jc w:val="center"/>
        <w:rPr>
          <w:rFonts w:hint="eastAsia" w:ascii="黑体" w:hAnsi="黑体" w:eastAsia="黑体" w:cs="黑体"/>
          <w:b w:val="0"/>
          <w:bCs w:val="0"/>
        </w:rPr>
      </w:pPr>
      <w:bookmarkStart w:id="26" w:name="_Toc111208498"/>
      <w:bookmarkStart w:id="27" w:name="_Toc9058"/>
      <w:r>
        <w:rPr>
          <w:rFonts w:hint="eastAsia" w:ascii="黑体" w:hAnsi="黑体" w:eastAsia="黑体" w:cs="黑体"/>
          <w:b w:val="0"/>
          <w:bCs w:val="0"/>
        </w:rPr>
        <w:t xml:space="preserve">第二部分 </w:t>
      </w:r>
      <w:r>
        <w:rPr>
          <w:rFonts w:ascii="黑体" w:hAnsi="黑体" w:eastAsia="黑体" w:cs="黑体"/>
          <w:u w:color="auto"/>
        </w:rPr>
        <w:t>2025年度</w:t>
      </w:r>
      <w:r>
        <w:rPr>
          <w:rFonts w:hint="eastAsia" w:ascii="黑体" w:hAnsi="黑体" w:eastAsia="黑体" w:cs="黑体"/>
          <w:b/>
          <w:bCs/>
          <w:lang w:val="en-US" w:eastAsia="zh-CN"/>
        </w:rPr>
        <w:t>单位</w:t>
      </w:r>
      <w:r>
        <w:rPr>
          <w:rFonts w:hint="eastAsia" w:ascii="黑体" w:hAnsi="黑体" w:eastAsia="黑体" w:cs="黑体"/>
          <w:b/>
          <w:bCs/>
        </w:rPr>
        <w:t>决算情况说明</w:t>
      </w:r>
      <w:bookmarkEnd w:id="19"/>
      <w:bookmarkEnd w:id="26"/>
      <w:bookmarkEnd w:id="27"/>
    </w:p>
    <w:p w14:paraId="778F85CC">
      <w:pPr>
        <w:pStyle w:val="6"/>
        <w:ind w:firstLine="640" w:firstLineChars="200"/>
        <w:rPr>
          <w:rFonts w:hint="eastAsia" w:ascii="黑体" w:hAnsi="黑体" w:eastAsia="黑体" w:cs="黑体"/>
          <w:b w:val="0"/>
          <w:bCs/>
          <w:color w:val="000000"/>
        </w:rPr>
      </w:pPr>
      <w:bookmarkStart w:id="28" w:name="_Toc15377205"/>
      <w:bookmarkStart w:id="29" w:name="_Toc111208499"/>
      <w:bookmarkStart w:id="30" w:name="_Toc19710"/>
      <w:r>
        <w:rPr>
          <w:rFonts w:hint="eastAsia" w:ascii="黑体" w:hAnsi="黑体" w:eastAsia="黑体" w:cs="黑体"/>
          <w:b w:val="0"/>
          <w:bCs/>
          <w:color w:val="000000"/>
        </w:rPr>
        <w:t>一、收入支出决算总体情况说</w:t>
      </w:r>
      <w:bookmarkEnd w:id="28"/>
      <w:r>
        <w:rPr>
          <w:rFonts w:hint="eastAsia" w:ascii="黑体" w:hAnsi="黑体" w:eastAsia="黑体" w:cs="黑体"/>
          <w:b w:val="0"/>
          <w:bCs/>
          <w:color w:val="000000"/>
        </w:rPr>
        <w:t>明</w:t>
      </w:r>
      <w:bookmarkEnd w:id="29"/>
      <w:bookmarkEnd w:id="30"/>
    </w:p>
    <w:p w14:paraId="1B462682">
      <w:pPr>
        <w:spacing w:line="60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ascii="仿宋" w:hAnsi="仿宋" w:eastAsia="仿宋" w:cs="仿宋"/>
          <w:color w:val="000000"/>
          <w:sz w:val="32"/>
          <w:u w:color="auto"/>
        </w:rPr>
        <w:t>年度收入、支出总计均为1,257.32</w:t>
      </w:r>
      <w:r>
        <w:rPr>
          <w:rFonts w:hint="eastAsia" w:ascii="仿宋" w:hAnsi="仿宋" w:eastAsia="仿宋" w:cs="仿宋"/>
          <w:color w:val="000000"/>
          <w:sz w:val="32"/>
          <w:szCs w:val="32"/>
        </w:rPr>
        <w:t>万元。与</w:t>
      </w:r>
      <w:r>
        <w:rPr>
          <w:rFonts w:ascii="仿宋" w:hAnsi="仿宋" w:eastAsia="仿宋" w:cs="仿宋"/>
          <w:color w:val="000000"/>
          <w:sz w:val="32"/>
          <w:u w:color="auto"/>
        </w:rPr>
        <w:t>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相比，收入、支出总计各</w:t>
      </w:r>
      <w:r>
        <w:rPr>
          <w:rFonts w:ascii="仿宋" w:hAnsi="仿宋" w:eastAsia="仿宋" w:cs="仿宋"/>
          <w:color w:val="000000"/>
          <w:sz w:val="32"/>
          <w:u w:color="auto"/>
        </w:rPr>
        <w:t xml:space="preserve">减少371.36万元，下降22.8%。主要变动原因是2024年实验室能力提升项目300多万，2025年没有此项目。 </w:t>
      </w:r>
    </w:p>
    <w:p w14:paraId="61134D0D">
      <w:pPr>
        <w:pStyle w:val="8"/>
        <w:rPr>
          <w:rFonts w:hint="eastAsia" w:ascii="思源黑体 CN Normal" w:hAnsi="思源黑体 CN Normal" w:eastAsia="思源黑体 CN Normal" w:cs="思源黑体 CN Normal"/>
        </w:rPr>
      </w:pPr>
      <w:r>
        <w:rPr>
          <w:rFonts w:hint="eastAsia" w:ascii="思源黑体 CN Normal" w:hAnsi="思源黑体 CN Normal" w:eastAsia="思源黑体 CN Normal" w:cs="思源黑体 CN Normal"/>
        </w:rPr>
        <w:drawing>
          <wp:inline distT="0" distB="0" distL="114300" distR="114300">
            <wp:extent cx="4338955" cy="2423795"/>
            <wp:effectExtent l="5080" t="4445" r="18415" b="10160"/>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8590810">
      <w:pPr>
        <w:spacing w:line="600" w:lineRule="exact"/>
        <w:ind w:firstLine="640" w:firstLineChars="200"/>
        <w:jc w:val="center"/>
        <w:rPr>
          <w:rFonts w:hint="eastAsia" w:ascii="仿宋" w:hAnsi="仿宋" w:eastAsia="仿宋" w:cs="仿宋"/>
        </w:rPr>
      </w:pPr>
      <w:r>
        <w:rPr>
          <w:rFonts w:hint="eastAsia" w:ascii="仿宋" w:hAnsi="仿宋" w:eastAsia="仿宋" w:cs="仿宋"/>
          <w:color w:val="000000"/>
          <w:sz w:val="32"/>
          <w:szCs w:val="32"/>
        </w:rPr>
        <w:t>（图1：收、支决算总计变动情况图）</w:t>
      </w:r>
    </w:p>
    <w:p w14:paraId="43B3D363">
      <w:pPr>
        <w:pStyle w:val="6"/>
        <w:ind w:firstLine="640" w:firstLineChars="200"/>
        <w:rPr>
          <w:rFonts w:hint="eastAsia" w:ascii="黑体" w:hAnsi="黑体" w:eastAsia="黑体" w:cs="黑体"/>
          <w:bCs w:val="0"/>
          <w:color w:val="000000"/>
        </w:rPr>
      </w:pPr>
      <w:bookmarkStart w:id="31" w:name="_Toc15377206"/>
      <w:bookmarkStart w:id="32" w:name="_Toc8125"/>
      <w:bookmarkStart w:id="33" w:name="_Toc111208500"/>
      <w:r>
        <w:rPr>
          <w:rFonts w:hint="eastAsia" w:ascii="黑体" w:hAnsi="黑体" w:eastAsia="黑体" w:cs="黑体"/>
          <w:b w:val="0"/>
          <w:bCs/>
          <w:color w:val="000000"/>
        </w:rPr>
        <w:t>二、收入决算情况说明</w:t>
      </w:r>
      <w:bookmarkEnd w:id="31"/>
      <w:bookmarkEnd w:id="32"/>
      <w:bookmarkEnd w:id="33"/>
    </w:p>
    <w:p w14:paraId="7DAB4092">
      <w:pPr>
        <w:spacing w:line="60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本年收入合计</w:t>
      </w:r>
      <w:r>
        <w:rPr>
          <w:rFonts w:ascii="仿宋" w:hAnsi="仿宋" w:eastAsia="仿宋" w:cs="仿宋"/>
          <w:color w:val="000000"/>
          <w:sz w:val="32"/>
          <w:u w:color="auto"/>
        </w:rPr>
        <w:t>1,257.32万元</w:t>
      </w:r>
      <w:r>
        <w:rPr>
          <w:rFonts w:hint="eastAsia" w:ascii="仿宋" w:hAnsi="仿宋" w:eastAsia="仿宋" w:cs="仿宋"/>
          <w:color w:val="000000"/>
          <w:sz w:val="32"/>
          <w:szCs w:val="32"/>
          <w:lang w:val="en-US" w:eastAsia="zh-CN"/>
        </w:rPr>
        <w:t>，其中:一般公共预算财政拨款收入1,257.32万元，占100%</w:t>
      </w:r>
      <w:r>
        <w:rPr>
          <w:rFonts w:hint="eastAsia" w:ascii="仿宋" w:hAnsi="仿宋" w:eastAsia="仿宋" w:cs="仿宋"/>
          <w:color w:val="000000"/>
          <w:sz w:val="32"/>
          <w:szCs w:val="32"/>
        </w:rPr>
        <w:t>。</w:t>
      </w:r>
    </w:p>
    <w:p w14:paraId="6E48941D">
      <w:pPr>
        <w:pStyle w:val="16"/>
        <w:ind w:left="1060" w:hanging="640"/>
        <w:jc w:val="center"/>
        <w:rPr>
          <w:rFonts w:hint="eastAsia" w:ascii="思源黑体 CN Normal" w:hAnsi="思源黑体 CN Normal" w:eastAsia="思源黑体 CN Normal" w:cs="思源黑体 CN Normal"/>
          <w:color w:val="FF0000"/>
          <w:sz w:val="32"/>
          <w:szCs w:val="32"/>
        </w:rPr>
      </w:pPr>
      <w:r>
        <w:rPr>
          <w:rFonts w:hint="eastAsia" w:ascii="思源黑体 CN Normal" w:hAnsi="思源黑体 CN Normal" w:eastAsia="思源黑体 CN Normal" w:cs="思源黑体 CN Normal"/>
          <w:color w:val="FF0000"/>
          <w:sz w:val="32"/>
          <w:szCs w:val="32"/>
        </w:rPr>
        <w:drawing>
          <wp:inline distT="0" distB="0" distL="114300" distR="114300">
            <wp:extent cx="5332730" cy="3400425"/>
            <wp:effectExtent l="0" t="0" r="127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D541CD">
      <w:pPr>
        <w:spacing w:line="600" w:lineRule="exact"/>
        <w:ind w:firstLine="640" w:firstLineChars="200"/>
        <w:jc w:val="center"/>
        <w:rPr>
          <w:rFonts w:hint="eastAsia" w:ascii="仿宋" w:hAnsi="仿宋" w:eastAsia="仿宋" w:cs="仿宋"/>
        </w:rPr>
      </w:pPr>
      <w:r>
        <w:rPr>
          <w:rFonts w:hint="eastAsia" w:ascii="仿宋" w:hAnsi="仿宋" w:eastAsia="仿宋" w:cs="仿宋"/>
          <w:color w:val="000000"/>
          <w:sz w:val="32"/>
          <w:szCs w:val="32"/>
        </w:rPr>
        <w:t>（图2：收入决算结构图）</w:t>
      </w:r>
    </w:p>
    <w:p w14:paraId="7196F3EB">
      <w:pPr>
        <w:pStyle w:val="6"/>
        <w:ind w:firstLine="640" w:firstLineChars="200"/>
        <w:rPr>
          <w:rFonts w:hint="eastAsia" w:ascii="黑体" w:hAnsi="黑体" w:eastAsia="黑体" w:cs="黑体"/>
          <w:b w:val="0"/>
          <w:bCs/>
          <w:color w:val="000000"/>
        </w:rPr>
      </w:pPr>
      <w:bookmarkStart w:id="34" w:name="_Toc15377207"/>
      <w:bookmarkStart w:id="35" w:name="_Toc28283"/>
      <w:bookmarkStart w:id="36" w:name="_Toc111208501"/>
      <w:r>
        <w:rPr>
          <w:rFonts w:hint="eastAsia" w:ascii="黑体" w:hAnsi="黑体" w:eastAsia="黑体" w:cs="黑体"/>
          <w:b w:val="0"/>
          <w:bCs/>
          <w:color w:val="000000"/>
        </w:rPr>
        <w:t>三、支出决算情况说明</w:t>
      </w:r>
      <w:bookmarkEnd w:id="34"/>
      <w:bookmarkEnd w:id="35"/>
      <w:bookmarkEnd w:id="36"/>
    </w:p>
    <w:p w14:paraId="1753835D">
      <w:pPr>
        <w:pStyle w:val="8"/>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本年支出合计</w:t>
      </w:r>
      <w:r>
        <w:rPr>
          <w:rFonts w:ascii="仿宋" w:hAnsi="仿宋" w:eastAsia="仿宋" w:cs="仿宋"/>
          <w:color w:val="000000"/>
          <w:sz w:val="32"/>
          <w:u w:color="auto"/>
        </w:rPr>
        <w:t>1,257.32万元</w:t>
      </w:r>
      <w:r>
        <w:rPr>
          <w:rFonts w:hint="eastAsia" w:ascii="仿宋" w:hAnsi="仿宋" w:eastAsia="仿宋" w:cs="仿宋"/>
          <w:color w:val="000000"/>
          <w:sz w:val="32"/>
          <w:szCs w:val="32"/>
          <w:lang w:val="en-US" w:eastAsia="zh-CN"/>
        </w:rPr>
        <w:t>，其中:基本支出917.82万元，占73%；项目支出339.49万元，占27%</w:t>
      </w:r>
      <w:r>
        <w:rPr>
          <w:rFonts w:hint="eastAsia" w:ascii="仿宋" w:hAnsi="仿宋" w:eastAsia="仿宋" w:cs="仿宋"/>
          <w:color w:val="000000"/>
          <w:sz w:val="32"/>
          <w:szCs w:val="32"/>
        </w:rPr>
        <w:t>。</w:t>
      </w:r>
    </w:p>
    <w:p w14:paraId="25194A6F">
      <w:pPr>
        <w:jc w:val="center"/>
        <w:rPr>
          <w:rFonts w:hint="eastAsia" w:ascii="思源黑体 CN Normal" w:hAnsi="思源黑体 CN Normal" w:eastAsia="思源黑体 CN Normal" w:cs="思源黑体 CN Normal"/>
          <w:color w:val="FF0000"/>
          <w:sz w:val="32"/>
          <w:szCs w:val="32"/>
        </w:rPr>
      </w:pPr>
      <w:r>
        <w:rPr>
          <w:rFonts w:hint="eastAsia" w:ascii="思源黑体 CN Normal" w:hAnsi="思源黑体 CN Normal" w:eastAsia="思源黑体 CN Normal" w:cs="思源黑体 CN Normal"/>
          <w:color w:val="FF0000"/>
          <w:sz w:val="32"/>
          <w:szCs w:val="32"/>
        </w:rPr>
        <w:drawing>
          <wp:inline distT="0" distB="0" distL="114300" distR="114300">
            <wp:extent cx="5304155" cy="3429000"/>
            <wp:effectExtent l="0" t="0" r="10795"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7E40098">
      <w:pPr>
        <w:spacing w:line="600" w:lineRule="exact"/>
        <w:ind w:firstLine="640" w:firstLineChars="200"/>
        <w:jc w:val="center"/>
        <w:rPr>
          <w:rFonts w:hint="eastAsia" w:ascii="仿宋" w:hAnsi="仿宋" w:eastAsia="仿宋" w:cs="仿宋"/>
          <w:color w:val="000000"/>
          <w:sz w:val="32"/>
          <w:szCs w:val="32"/>
        </w:rPr>
      </w:pPr>
      <w:r>
        <w:rPr>
          <w:rFonts w:hint="eastAsia" w:ascii="仿宋" w:hAnsi="仿宋" w:eastAsia="仿宋" w:cs="仿宋"/>
          <w:color w:val="000000"/>
          <w:sz w:val="32"/>
          <w:szCs w:val="32"/>
        </w:rPr>
        <w:t>（图3：支出决算结构图）</w:t>
      </w:r>
    </w:p>
    <w:p w14:paraId="0429694F">
      <w:pPr>
        <w:pStyle w:val="6"/>
        <w:ind w:firstLine="640" w:firstLineChars="200"/>
        <w:rPr>
          <w:rFonts w:hint="eastAsia" w:ascii="黑体" w:hAnsi="黑体" w:eastAsia="黑体" w:cs="黑体"/>
          <w:b w:val="0"/>
          <w:bCs/>
          <w:color w:val="000000"/>
        </w:rPr>
      </w:pPr>
      <w:bookmarkStart w:id="37" w:name="_Toc19521"/>
      <w:bookmarkStart w:id="38" w:name="_Toc111208502"/>
      <w:bookmarkStart w:id="39" w:name="_Toc15377208"/>
      <w:r>
        <w:rPr>
          <w:rFonts w:hint="eastAsia" w:ascii="黑体" w:hAnsi="黑体" w:eastAsia="黑体" w:cs="黑体"/>
          <w:b w:val="0"/>
          <w:bCs/>
          <w:color w:val="000000"/>
        </w:rPr>
        <w:t>四、财政拨款收入支出决算总体情况说明</w:t>
      </w:r>
      <w:bookmarkEnd w:id="37"/>
      <w:bookmarkEnd w:id="38"/>
      <w:bookmarkEnd w:id="39"/>
    </w:p>
    <w:p w14:paraId="66D81735">
      <w:pPr>
        <w:spacing w:line="60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财政拨款收</w:t>
      </w:r>
      <w:r>
        <w:rPr>
          <w:rFonts w:hint="eastAsia" w:ascii="仿宋" w:hAnsi="仿宋" w:eastAsia="仿宋" w:cs="仿宋"/>
          <w:color w:val="000000"/>
          <w:sz w:val="32"/>
          <w:szCs w:val="32"/>
          <w:lang w:val="en-US" w:eastAsia="zh-CN"/>
        </w:rPr>
        <w:t>入</w:t>
      </w:r>
      <w:r>
        <w:rPr>
          <w:rFonts w:hint="eastAsia" w:ascii="仿宋" w:hAnsi="仿宋" w:eastAsia="仿宋" w:cs="仿宋"/>
          <w:color w:val="000000"/>
          <w:sz w:val="32"/>
          <w:szCs w:val="32"/>
        </w:rPr>
        <w:t>、支</w:t>
      </w:r>
      <w:r>
        <w:rPr>
          <w:rFonts w:hint="eastAsia" w:ascii="仿宋" w:hAnsi="仿宋" w:eastAsia="仿宋" w:cs="仿宋"/>
          <w:color w:val="000000"/>
          <w:sz w:val="32"/>
          <w:szCs w:val="32"/>
          <w:lang w:val="en-US" w:eastAsia="zh-CN"/>
        </w:rPr>
        <w:t>出</w:t>
      </w:r>
      <w:r>
        <w:rPr>
          <w:rFonts w:hint="eastAsia" w:ascii="仿宋" w:hAnsi="仿宋" w:eastAsia="仿宋" w:cs="仿宋"/>
          <w:color w:val="000000"/>
          <w:sz w:val="32"/>
          <w:szCs w:val="32"/>
        </w:rPr>
        <w:t>总计均为</w:t>
      </w:r>
      <w:r>
        <w:rPr>
          <w:rFonts w:ascii="仿宋" w:hAnsi="仿宋" w:eastAsia="仿宋" w:cs="仿宋"/>
          <w:color w:val="000000"/>
          <w:sz w:val="32"/>
          <w:u w:color="auto"/>
        </w:rPr>
        <w:t>1,257.32万元。与2024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相比，财政拨款收</w:t>
      </w:r>
      <w:r>
        <w:rPr>
          <w:rFonts w:hint="eastAsia" w:ascii="仿宋" w:hAnsi="仿宋" w:eastAsia="仿宋" w:cs="仿宋"/>
          <w:color w:val="000000"/>
          <w:sz w:val="32"/>
          <w:szCs w:val="32"/>
          <w:lang w:val="en-US" w:eastAsia="zh-CN"/>
        </w:rPr>
        <w:t>入</w:t>
      </w:r>
      <w:r>
        <w:rPr>
          <w:rFonts w:hint="eastAsia" w:ascii="仿宋" w:hAnsi="仿宋" w:eastAsia="仿宋" w:cs="仿宋"/>
          <w:color w:val="000000"/>
          <w:sz w:val="32"/>
          <w:szCs w:val="32"/>
        </w:rPr>
        <w:t>、支</w:t>
      </w:r>
      <w:r>
        <w:rPr>
          <w:rFonts w:hint="eastAsia" w:ascii="仿宋" w:hAnsi="仿宋" w:eastAsia="仿宋" w:cs="仿宋"/>
          <w:color w:val="000000"/>
          <w:sz w:val="32"/>
          <w:szCs w:val="32"/>
          <w:lang w:val="en-US" w:eastAsia="zh-CN"/>
        </w:rPr>
        <w:t>出</w:t>
      </w:r>
      <w:r>
        <w:rPr>
          <w:rFonts w:hint="eastAsia" w:ascii="仿宋" w:hAnsi="仿宋" w:eastAsia="仿宋" w:cs="仿宋"/>
          <w:color w:val="000000"/>
          <w:sz w:val="32"/>
          <w:szCs w:val="32"/>
        </w:rPr>
        <w:t>总计各</w:t>
      </w:r>
      <w:r>
        <w:rPr>
          <w:rFonts w:ascii="仿宋" w:hAnsi="仿宋" w:eastAsia="仿宋" w:cs="仿宋"/>
          <w:color w:val="000000"/>
          <w:sz w:val="32"/>
          <w:u w:color="auto"/>
        </w:rPr>
        <w:t xml:space="preserve">减少366.53万元，下降22.6%。主要变动原因是2024年实验室能力提升项目300多万，2025年没有此项目。 </w:t>
      </w:r>
    </w:p>
    <w:p w14:paraId="48830107">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r>
    </w:p>
    <w:p w14:paraId="74768A39">
      <w:pPr>
        <w:pStyle w:val="8"/>
        <w:ind w:left="0" w:leftChars="0" w:firstLine="0" w:firstLineChars="0"/>
        <w:jc w:val="left"/>
        <w:rPr>
          <w:rFonts w:hint="eastAsia" w:ascii="思源黑体 CN Normal" w:hAnsi="思源黑体 CN Normal" w:eastAsia="思源黑体 CN Normal" w:cs="思源黑体 CN Normal"/>
          <w:color w:val="000000"/>
          <w:sz w:val="32"/>
          <w:szCs w:val="32"/>
        </w:rPr>
      </w:pPr>
      <w:r>
        <w:rPr>
          <w:rFonts w:hint="eastAsia" w:ascii="思源黑体 CN Normal" w:hAnsi="思源黑体 CN Normal" w:eastAsia="思源黑体 CN Normal" w:cs="思源黑体 CN Normal"/>
          <w:color w:val="000000"/>
          <w:sz w:val="32"/>
          <w:szCs w:val="32"/>
        </w:rPr>
        <w:drawing>
          <wp:inline distT="0" distB="0" distL="0" distR="0">
            <wp:extent cx="4981575" cy="3171825"/>
            <wp:effectExtent l="0" t="0" r="9525" b="9525"/>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9EF256">
      <w:pPr>
        <w:spacing w:line="600" w:lineRule="exact"/>
        <w:ind w:firstLine="640" w:firstLineChars="200"/>
        <w:jc w:val="center"/>
        <w:rPr>
          <w:rFonts w:hint="eastAsia" w:ascii="仿宋" w:hAnsi="仿宋" w:eastAsia="仿宋" w:cs="仿宋"/>
        </w:rPr>
      </w:pPr>
      <w:r>
        <w:rPr>
          <w:rFonts w:hint="eastAsia" w:ascii="仿宋" w:hAnsi="仿宋" w:eastAsia="仿宋" w:cs="仿宋"/>
          <w:color w:val="000000"/>
          <w:sz w:val="32"/>
          <w:szCs w:val="32"/>
        </w:rPr>
        <w:t>（图4：财政拨款收、支决算总计变动情况）</w:t>
      </w:r>
    </w:p>
    <w:p w14:paraId="094987CA">
      <w:pPr>
        <w:pStyle w:val="6"/>
        <w:ind w:firstLine="640" w:firstLineChars="200"/>
        <w:rPr>
          <w:rFonts w:hint="eastAsia" w:ascii="黑体" w:hAnsi="黑体" w:eastAsia="黑体" w:cs="黑体"/>
          <w:b w:val="0"/>
          <w:bCs/>
          <w:color w:val="000000"/>
        </w:rPr>
      </w:pPr>
      <w:bookmarkStart w:id="40" w:name="_Toc15377209"/>
      <w:bookmarkStart w:id="41" w:name="_Toc14368"/>
      <w:bookmarkStart w:id="42" w:name="_Toc111208503"/>
      <w:r>
        <w:rPr>
          <w:rFonts w:hint="eastAsia" w:ascii="黑体" w:hAnsi="黑体" w:eastAsia="黑体" w:cs="黑体"/>
          <w:b w:val="0"/>
          <w:bCs/>
          <w:color w:val="000000"/>
        </w:rPr>
        <w:t>五、一般公共预算财政拨款支出决算情况说</w:t>
      </w:r>
      <w:bookmarkEnd w:id="40"/>
      <w:r>
        <w:rPr>
          <w:rFonts w:hint="eastAsia" w:ascii="黑体" w:hAnsi="黑体" w:eastAsia="黑体" w:cs="黑体"/>
          <w:b w:val="0"/>
          <w:bCs/>
          <w:color w:val="000000"/>
        </w:rPr>
        <w:t>明</w:t>
      </w:r>
      <w:bookmarkEnd w:id="41"/>
      <w:bookmarkEnd w:id="42"/>
    </w:p>
    <w:p w14:paraId="36EE17BD">
      <w:pPr>
        <w:spacing w:line="600" w:lineRule="exact"/>
        <w:ind w:firstLine="643" w:firstLineChars="200"/>
        <w:outlineLvl w:val="2"/>
        <w:rPr>
          <w:rFonts w:hint="eastAsia" w:ascii="楷体" w:hAnsi="楷体" w:eastAsia="楷体" w:cs="楷体"/>
          <w:b/>
          <w:color w:val="000000"/>
          <w:sz w:val="32"/>
          <w:szCs w:val="32"/>
        </w:rPr>
      </w:pPr>
      <w:bookmarkStart w:id="43" w:name="_Toc15377210"/>
      <w:r>
        <w:rPr>
          <w:rFonts w:hint="eastAsia" w:ascii="楷体" w:hAnsi="楷体" w:eastAsia="楷体" w:cs="楷体"/>
          <w:b/>
          <w:color w:val="000000"/>
          <w:sz w:val="32"/>
          <w:szCs w:val="32"/>
        </w:rPr>
        <w:t>（一）一般公共预算财政拨款支出决算总体情况</w:t>
      </w:r>
      <w:bookmarkEnd w:id="43"/>
    </w:p>
    <w:p w14:paraId="371C2FB4">
      <w:pPr>
        <w:spacing w:line="600" w:lineRule="exact"/>
        <w:ind w:firstLine="640" w:firstLineChars="200"/>
        <w:rPr>
          <w:rFonts w:hint="eastAsia" w:ascii="思源黑体 CN Normal" w:hAnsi="思源黑体 CN Normal" w:eastAsia="仿宋" w:cs="思源黑体 CN Normal"/>
          <w:b/>
          <w:color w:val="000000"/>
          <w:sz w:val="32"/>
          <w:szCs w:val="32"/>
          <w:lang w:val="en-US" w:eastAsia="zh-CN"/>
        </w:rPr>
      </w:pPr>
      <w:bookmarkStart w:id="44" w:name="_Toc15377211"/>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一般公共预算财政拨款支出</w:t>
      </w:r>
      <w:r>
        <w:rPr>
          <w:rFonts w:ascii="仿宋" w:hAnsi="仿宋" w:eastAsia="仿宋" w:cs="仿宋"/>
          <w:color w:val="000000"/>
          <w:sz w:val="32"/>
          <w:u w:color="auto"/>
        </w:rPr>
        <w:t>1,257.32万元，占本年支出合计的100%。与2024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相比，一般公共预算财政拨款</w:t>
      </w:r>
      <w:r>
        <w:rPr>
          <w:rFonts w:ascii="仿宋" w:hAnsi="仿宋" w:eastAsia="仿宋" w:cs="仿宋"/>
          <w:color w:val="000000"/>
          <w:sz w:val="32"/>
          <w:u w:color="auto"/>
        </w:rPr>
        <w:t xml:space="preserve">减少366.53万元，下降22.6%。主要变动原因是2024年实验室能力提升项目300多万，2025年没有此项目。 </w:t>
      </w:r>
    </w:p>
    <w:p w14:paraId="1392859B">
      <w:pPr>
        <w:pStyle w:val="8"/>
        <w:ind w:firstLine="0"/>
        <w:rPr>
          <w:rFonts w:hint="eastAsia" w:ascii="思源黑体 CN Normal" w:hAnsi="思源黑体 CN Normal" w:eastAsia="思源黑体 CN Normal" w:cs="思源黑体 CN Normal"/>
          <w:b/>
          <w:color w:val="000000"/>
          <w:sz w:val="32"/>
          <w:szCs w:val="32"/>
        </w:rPr>
      </w:pPr>
      <w:r>
        <w:rPr>
          <w:rFonts w:hint="eastAsia" w:ascii="思源黑体 CN Normal" w:hAnsi="思源黑体 CN Normal" w:eastAsia="思源黑体 CN Normal" w:cs="思源黑体 CN Normal"/>
          <w:b/>
          <w:color w:val="000000"/>
          <w:sz w:val="32"/>
          <w:szCs w:val="32"/>
        </w:rPr>
        <w:drawing>
          <wp:inline distT="0" distB="0" distL="0" distR="0">
            <wp:extent cx="4905375" cy="3569970"/>
            <wp:effectExtent l="0" t="0" r="9525" b="1143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DE6975">
      <w:pPr>
        <w:spacing w:line="600" w:lineRule="exact"/>
        <w:ind w:firstLine="640" w:firstLineChars="200"/>
        <w:rPr>
          <w:rFonts w:hint="eastAsia" w:ascii="思源黑体 CN Normal" w:hAnsi="思源黑体 CN Normal" w:eastAsia="思源黑体 CN Normal" w:cs="思源黑体 CN Normal"/>
          <w:b/>
          <w:color w:val="000000"/>
          <w:sz w:val="32"/>
          <w:szCs w:val="32"/>
        </w:rPr>
      </w:pPr>
      <w:r>
        <w:rPr>
          <w:rFonts w:hint="eastAsia" w:ascii="仿宋" w:hAnsi="仿宋" w:eastAsia="仿宋" w:cs="仿宋"/>
          <w:color w:val="000000"/>
          <w:sz w:val="32"/>
          <w:szCs w:val="32"/>
        </w:rPr>
        <w:t>（图5：一般公共预算财政拨款支出决算变动情况）</w:t>
      </w:r>
    </w:p>
    <w:p w14:paraId="75A4B7C4">
      <w:pPr>
        <w:spacing w:line="600" w:lineRule="exact"/>
        <w:ind w:firstLine="643" w:firstLineChars="200"/>
        <w:outlineLvl w:val="2"/>
        <w:rPr>
          <w:rFonts w:hint="eastAsia" w:ascii="楷体" w:hAnsi="楷体" w:eastAsia="楷体" w:cs="楷体"/>
          <w:b/>
          <w:color w:val="000000"/>
          <w:sz w:val="32"/>
          <w:szCs w:val="32"/>
        </w:rPr>
      </w:pPr>
      <w:r>
        <w:rPr>
          <w:rFonts w:hint="eastAsia" w:ascii="楷体" w:hAnsi="楷体" w:eastAsia="楷体" w:cs="楷体"/>
          <w:b/>
          <w:color w:val="000000"/>
          <w:sz w:val="32"/>
          <w:szCs w:val="32"/>
        </w:rPr>
        <w:t>（二）一般公共预算财政拨款支出决算结构情况</w:t>
      </w:r>
      <w:bookmarkEnd w:id="44"/>
    </w:p>
    <w:p w14:paraId="1E3404D8">
      <w:pPr>
        <w:spacing w:line="60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一般公共预算财政拨款支出</w:t>
      </w:r>
      <w:r>
        <w:rPr>
          <w:rFonts w:ascii="仿宋" w:hAnsi="仿宋" w:eastAsia="仿宋" w:cs="仿宋"/>
          <w:color w:val="000000"/>
          <w:sz w:val="32"/>
          <w:u w:color="auto"/>
        </w:rPr>
        <w:t>1,257.32万元，主要用于以下方面: 社会保障和就业支出125.36万元，占10%；卫生健康支出1,064.87万元，占84.7%；住房保障支出67.09万元，占5.3%。</w:t>
      </w:r>
    </w:p>
    <w:p w14:paraId="68BC5887">
      <w:pPr>
        <w:pStyle w:val="8"/>
        <w:rPr>
          <w:rFonts w:hint="eastAsia" w:ascii="思源黑体 CN Normal" w:hAnsi="思源黑体 CN Normal" w:eastAsia="思源黑体 CN Normal" w:cs="思源黑体 CN Normal"/>
        </w:rPr>
      </w:pPr>
      <w:bookmarkStart w:id="45" w:name="_Toc15377212"/>
      <w:r>
        <w:rPr>
          <w:rFonts w:hint="eastAsia" w:ascii="思源黑体 CN Normal" w:hAnsi="思源黑体 CN Normal" w:eastAsia="思源黑体 CN Normal" w:cs="思源黑体 CN Normal"/>
          <w:color w:val="FF0000"/>
          <w:sz w:val="32"/>
          <w:szCs w:val="32"/>
          <w:lang w:val="en-US" w:eastAsia="zh-CN"/>
        </w:rPr>
        <w:t xml:space="preserve"> </w:t>
      </w:r>
      <w:r>
        <w:rPr>
          <w:rFonts w:hint="eastAsia" w:ascii="思源黑体 CN Normal" w:hAnsi="思源黑体 CN Normal" w:eastAsia="思源黑体 CN Normal" w:cs="思源黑体 CN Normal"/>
          <w:color w:val="FF0000"/>
          <w:sz w:val="32"/>
          <w:szCs w:val="32"/>
        </w:rPr>
        <w:drawing>
          <wp:inline distT="0" distB="0" distL="114300" distR="114300">
            <wp:extent cx="4468495" cy="2564130"/>
            <wp:effectExtent l="4445" t="4445" r="22860" b="2222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2D2F421">
      <w:pPr>
        <w:spacing w:line="600" w:lineRule="exact"/>
        <w:ind w:firstLine="640" w:firstLineChars="200"/>
        <w:jc w:val="center"/>
        <w:rPr>
          <w:rFonts w:hint="eastAsia" w:ascii="思源黑体 CN Normal" w:hAnsi="思源黑体 CN Normal" w:eastAsia="思源黑体 CN Normal" w:cs="思源黑体 CN Normal"/>
        </w:rPr>
      </w:pPr>
      <w:r>
        <w:rPr>
          <w:rFonts w:hint="eastAsia" w:ascii="仿宋" w:hAnsi="仿宋" w:eastAsia="仿宋" w:cs="仿宋"/>
          <w:color w:val="000000"/>
          <w:sz w:val="32"/>
          <w:szCs w:val="32"/>
        </w:rPr>
        <w:t>（图6：一般公共预算财政拨款支出决算结构）</w:t>
      </w:r>
    </w:p>
    <w:p w14:paraId="7B678BDA">
      <w:pPr>
        <w:spacing w:line="600" w:lineRule="exact"/>
        <w:ind w:firstLine="643" w:firstLineChars="200"/>
        <w:outlineLvl w:val="2"/>
        <w:rPr>
          <w:rFonts w:hint="eastAsia" w:ascii="楷体" w:hAnsi="楷体" w:eastAsia="楷体" w:cs="楷体"/>
          <w:b/>
          <w:color w:val="000000"/>
          <w:sz w:val="32"/>
          <w:szCs w:val="32"/>
        </w:rPr>
      </w:pPr>
      <w:r>
        <w:rPr>
          <w:rFonts w:hint="eastAsia" w:ascii="楷体" w:hAnsi="楷体" w:eastAsia="楷体" w:cs="楷体"/>
          <w:b/>
          <w:color w:val="000000"/>
          <w:sz w:val="32"/>
          <w:szCs w:val="32"/>
        </w:rPr>
        <w:t>（三）一般公共预算财政拨款支出决算具体情况</w:t>
      </w:r>
      <w:bookmarkEnd w:id="45"/>
    </w:p>
    <w:p w14:paraId="13506E72">
      <w:pPr>
        <w:spacing w:line="600" w:lineRule="exact"/>
        <w:ind w:firstLine="640"/>
        <w:rPr>
          <w:rFonts w:hint="eastAsia" w:ascii="仿宋" w:hAnsi="仿宋" w:eastAsia="仿宋" w:cs="仿宋"/>
          <w:color w:val="000000"/>
          <w:sz w:val="32"/>
          <w:szCs w:val="32"/>
        </w:rPr>
      </w:pPr>
      <w:bookmarkStart w:id="46" w:name="_Toc15377444"/>
      <w:bookmarkStart w:id="47" w:name="_Toc15378460"/>
      <w:bookmarkStart w:id="48" w:name="_Toc15377213"/>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一般公共预算支出决算数为</w:t>
      </w:r>
      <w:r>
        <w:rPr>
          <w:rFonts w:ascii="仿宋" w:hAnsi="仿宋" w:eastAsia="仿宋" w:cs="仿宋"/>
          <w:color w:val="000000"/>
          <w:sz w:val="32"/>
          <w:u w:color="auto"/>
        </w:rPr>
        <w:t>1,257.32万元，完成预算100%。其中：</w:t>
      </w:r>
      <w:bookmarkEnd w:id="46"/>
      <w:bookmarkEnd w:id="47"/>
      <w:bookmarkEnd w:id="48"/>
    </w:p>
    <w:p w14:paraId="7AED4EFD">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1.社会保障和就业支出（类）行政事业单位养老支出（款）机关事业单位基本养老保险缴费支出（项）:支出决算83.57万元，完成预算100%。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2.社会保障和就业支出（类）行政事业单位养老支出（款）机关事业单位职业年金缴费支出（项）:支出决算41.8万元，完成预算100%。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3.卫生健康支出（类）公共卫生（款）疾病预防控制机构（项）:支出决算678.46万元，完成预算100%。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4.卫生健康支出（类）公共卫生（款）基本公共卫生服务（项）:支出决算48.04万元，完成预算100%。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5.卫生健康支出（类）公共卫生（款）重大公共卫生服务（项）:支出决算212.92万元，完成预算100%。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6.卫生健康支出（类）公共卫生（款）其他公共卫生支出（项）:支出决算46.33万元，完成预算100%。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7.卫生健康支出（类）行政事业单位医疗（款）事业单位医疗（项）:支出决算37.83万元，完成预算100%。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8.卫生健康支出（类）行政事业单位医疗（款）其他行政事业单位医疗支出（项）:支出决算9.08万元，完成预算100%。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9.卫生健康支出（类）其他卫生健康支出（款）其他卫生健康支出（项）:支出决算32.2万元，完成预算100%。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10.住房保障支出（类）住房改革支出（款）住房公积金（项）:支出决算67.09万元，完成预算100%。</w:t>
      </w:r>
    </w:p>
    <w:p w14:paraId="5F1461C4">
      <w:pPr>
        <w:pStyle w:val="6"/>
        <w:ind w:firstLine="640" w:firstLineChars="200"/>
        <w:rPr>
          <w:rFonts w:hint="eastAsia" w:ascii="黑体" w:hAnsi="黑体" w:eastAsia="黑体" w:cs="黑体"/>
          <w:b w:val="0"/>
          <w:color w:val="000000"/>
        </w:rPr>
      </w:pPr>
      <w:bookmarkStart w:id="49" w:name="_Toc15377214"/>
      <w:bookmarkStart w:id="50" w:name="_Toc111208504"/>
      <w:bookmarkStart w:id="51" w:name="_Toc31578"/>
      <w:r>
        <w:rPr>
          <w:rFonts w:hint="eastAsia" w:ascii="黑体" w:hAnsi="黑体" w:eastAsia="黑体" w:cs="黑体"/>
          <w:b w:val="0"/>
          <w:bCs/>
          <w:color w:val="000000"/>
        </w:rPr>
        <w:t>六、一般公共预算财政拨款基本支出决算情况说</w:t>
      </w:r>
      <w:bookmarkEnd w:id="49"/>
      <w:r>
        <w:rPr>
          <w:rFonts w:hint="eastAsia" w:ascii="黑体" w:hAnsi="黑体" w:eastAsia="黑体" w:cs="黑体"/>
          <w:b w:val="0"/>
          <w:bCs/>
          <w:color w:val="000000"/>
        </w:rPr>
        <w:t>明</w:t>
      </w:r>
      <w:bookmarkEnd w:id="50"/>
      <w:bookmarkEnd w:id="51"/>
    </w:p>
    <w:p w14:paraId="5A9F5381">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一般公共预算财政拨款基本支出</w:t>
      </w:r>
      <w:r>
        <w:rPr>
          <w:rFonts w:ascii="仿宋" w:hAnsi="仿宋" w:eastAsia="仿宋" w:cs="仿宋"/>
          <w:color w:val="000000"/>
          <w:sz w:val="32"/>
          <w:u w:color="auto"/>
        </w:rPr>
        <w:t>917.82万元，其中：</w:t>
      </w:r>
    </w:p>
    <w:p w14:paraId="116EF1FA">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人员经费</w:t>
      </w:r>
      <w:r>
        <w:rPr>
          <w:rFonts w:ascii="仿宋" w:hAnsi="仿宋" w:eastAsia="仿宋" w:cs="仿宋"/>
          <w:color w:val="000000"/>
          <w:sz w:val="32"/>
          <w:u w:color="auto"/>
        </w:rPr>
        <w:t>856.24万元，主要包括：基本工资159.3万元、津贴补贴144.58万元、奖金178.27万元、绩效工资107.33万元、机关事业单位基本养老保险缴费83.57万元、职业年金缴费41.8万元、职工基本医疗保险缴费37.83万元、公务员医疗补助缴费9.08万元、其他社会保障缴费4.02万元、住房公积金67.09万元、医疗费6.47万元、生活补助15.03万元、医疗费补助1.86万元、奖励金0.02万元。</w:t>
      </w:r>
    </w:p>
    <w:p w14:paraId="39B6CA0F">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公用经费</w:t>
      </w:r>
      <w:r>
        <w:rPr>
          <w:rFonts w:ascii="仿宋" w:hAnsi="仿宋" w:eastAsia="仿宋" w:cs="仿宋"/>
          <w:color w:val="000000"/>
          <w:sz w:val="32"/>
          <w:u w:color="auto"/>
        </w:rPr>
        <w:t>61.59万元，主要包括：办公费14.39万元、印刷费0.95万元、手续费0.06万元、电费0.3万元、邮电费0.02万元、差旅费8.36万元、维修（护）费3.61万元、租赁费0.6万元、培训费0.39万元、公务接待费0.04万元、劳务费3.78万元、委托业务费1.25万元、工会经费5.73万元、福利费11.8万元、其他交通费用3.18万元、其他商品和服务支出6.93万元。</w:t>
      </w:r>
    </w:p>
    <w:p w14:paraId="151B178E">
      <w:pPr>
        <w:pStyle w:val="6"/>
        <w:ind w:firstLine="640" w:firstLineChars="200"/>
        <w:rPr>
          <w:rFonts w:hint="eastAsia" w:ascii="黑体" w:hAnsi="黑体" w:eastAsia="黑体" w:cs="黑体"/>
          <w:b w:val="0"/>
          <w:bCs/>
          <w:color w:val="000000"/>
        </w:rPr>
      </w:pPr>
      <w:bookmarkStart w:id="52" w:name="_Toc6614"/>
      <w:bookmarkStart w:id="53" w:name="_Toc111208505"/>
      <w:bookmarkStart w:id="54" w:name="_Toc15377215"/>
      <w:r>
        <w:rPr>
          <w:rFonts w:hint="eastAsia" w:ascii="黑体" w:hAnsi="黑体" w:eastAsia="黑体" w:cs="黑体"/>
          <w:b w:val="0"/>
          <w:bCs/>
          <w:color w:val="000000"/>
        </w:rPr>
        <w:t>七、财政拨款“三公”经费支出决算情况说明</w:t>
      </w:r>
      <w:bookmarkEnd w:id="52"/>
      <w:bookmarkEnd w:id="53"/>
      <w:bookmarkEnd w:id="54"/>
    </w:p>
    <w:p w14:paraId="613FE387">
      <w:pPr>
        <w:spacing w:line="600" w:lineRule="exact"/>
        <w:ind w:firstLine="643" w:firstLineChars="200"/>
        <w:outlineLvl w:val="2"/>
        <w:rPr>
          <w:rFonts w:hint="eastAsia" w:ascii="仿宋" w:hAnsi="仿宋" w:eastAsia="仿宋" w:cs="仿宋"/>
          <w:b/>
          <w:color w:val="000000"/>
          <w:sz w:val="32"/>
          <w:szCs w:val="32"/>
        </w:rPr>
      </w:pPr>
      <w:bookmarkStart w:id="55" w:name="_Toc15377216"/>
      <w:r>
        <w:rPr>
          <w:rFonts w:hint="eastAsia" w:ascii="仿宋" w:hAnsi="仿宋" w:eastAsia="仿宋" w:cs="仿宋"/>
          <w:b/>
          <w:color w:val="000000"/>
          <w:sz w:val="32"/>
          <w:szCs w:val="32"/>
        </w:rPr>
        <w:t>（一）“三公”经费财政拨款支出决算总体情况说明</w:t>
      </w:r>
      <w:bookmarkEnd w:id="55"/>
    </w:p>
    <w:p w14:paraId="0C6B4B9F">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“三公”经费财政拨款支出决算为</w:t>
      </w:r>
      <w:r>
        <w:rPr>
          <w:rFonts w:ascii="仿宋" w:hAnsi="仿宋" w:eastAsia="仿宋" w:cs="仿宋"/>
          <w:color w:val="000000"/>
          <w:sz w:val="32"/>
          <w:u w:color="auto"/>
        </w:rPr>
        <w:t>0.04万元，完成预算5.3%，较上年度减少18.3万元，下降99.8%。</w:t>
      </w:r>
      <w:bookmarkStart w:id="56" w:name="_Toc15377217"/>
    </w:p>
    <w:p w14:paraId="1F750F0C">
      <w:pPr>
        <w:spacing w:line="600" w:lineRule="exact"/>
        <w:ind w:firstLine="640"/>
        <w:rPr>
          <w:rFonts w:hint="eastAsia"/>
        </w:rPr>
      </w:pPr>
      <w:r>
        <w:rPr>
          <w:rFonts w:hint="eastAsia" w:ascii="仿宋" w:hAnsi="仿宋" w:eastAsia="仿宋"/>
          <w:b/>
          <w:color w:val="auto"/>
          <w:sz w:val="32"/>
          <w:szCs w:val="32"/>
          <w:highlight w:val="none"/>
        </w:rPr>
        <w:t>（注：上述“预算”口径为</w:t>
      </w:r>
      <w:r>
        <w:rPr>
          <w:rFonts w:hint="eastAsia" w:ascii="仿宋" w:hAnsi="仿宋" w:eastAsia="仿宋"/>
          <w:b/>
          <w:color w:val="auto"/>
          <w:sz w:val="32"/>
          <w:szCs w:val="32"/>
          <w:highlight w:val="none"/>
          <w:lang w:eastAsia="zh-CN"/>
        </w:rPr>
        <w:t>全年预算</w:t>
      </w:r>
      <w:r>
        <w:rPr>
          <w:rFonts w:hint="eastAsia" w:ascii="仿宋" w:hAnsi="仿宋" w:eastAsia="仿宋"/>
          <w:b/>
          <w:color w:val="auto"/>
          <w:sz w:val="32"/>
          <w:szCs w:val="32"/>
          <w:highlight w:val="none"/>
        </w:rPr>
        <w:t>数，包括</w:t>
      </w:r>
      <w:r>
        <w:rPr>
          <w:rFonts w:hint="eastAsia" w:ascii="仿宋" w:hAnsi="仿宋" w:eastAsia="仿宋"/>
          <w:b/>
          <w:color w:val="auto"/>
          <w:sz w:val="32"/>
          <w:szCs w:val="32"/>
          <w:highlight w:val="none"/>
          <w:lang w:eastAsia="zh-CN"/>
        </w:rPr>
        <w:t>一般公共预算和</w:t>
      </w:r>
      <w:r>
        <w:rPr>
          <w:rFonts w:hint="eastAsia" w:ascii="仿宋" w:hAnsi="仿宋" w:eastAsia="仿宋"/>
          <w:b/>
          <w:color w:val="auto"/>
          <w:sz w:val="32"/>
          <w:szCs w:val="32"/>
          <w:highlight w:val="none"/>
        </w:rPr>
        <w:t>政府性基金</w:t>
      </w:r>
      <w:r>
        <w:rPr>
          <w:rFonts w:hint="eastAsia" w:ascii="仿宋" w:hAnsi="仿宋" w:eastAsia="仿宋"/>
          <w:b/>
          <w:color w:val="auto"/>
          <w:sz w:val="32"/>
          <w:szCs w:val="32"/>
          <w:highlight w:val="none"/>
          <w:lang w:eastAsia="zh-CN"/>
        </w:rPr>
        <w:t>预算财政拨款</w:t>
      </w:r>
      <w:r>
        <w:rPr>
          <w:rFonts w:hint="eastAsia" w:ascii="仿宋" w:hAnsi="仿宋" w:eastAsia="仿宋"/>
          <w:b/>
          <w:color w:val="auto"/>
          <w:sz w:val="32"/>
          <w:szCs w:val="32"/>
          <w:highlight w:val="none"/>
        </w:rPr>
        <w:t>支出决算情况。）</w:t>
      </w:r>
    </w:p>
    <w:p w14:paraId="5BC57BE3">
      <w:pPr>
        <w:spacing w:line="600" w:lineRule="exact"/>
        <w:ind w:firstLine="643" w:firstLineChars="200"/>
        <w:outlineLvl w:val="2"/>
        <w:rPr>
          <w:rFonts w:hint="eastAsia" w:ascii="仿宋" w:hAnsi="仿宋" w:eastAsia="仿宋" w:cs="仿宋"/>
          <w:b/>
          <w:color w:val="000000"/>
          <w:sz w:val="32"/>
          <w:szCs w:val="32"/>
        </w:rPr>
      </w:pPr>
      <w:r>
        <w:rPr>
          <w:rFonts w:hint="eastAsia" w:ascii="仿宋" w:hAnsi="仿宋" w:eastAsia="仿宋" w:cs="仿宋"/>
          <w:b/>
          <w:color w:val="000000"/>
          <w:sz w:val="32"/>
          <w:szCs w:val="32"/>
        </w:rPr>
        <w:t>（二）“三公”经费财政拨款支出决算具体情况说明</w:t>
      </w:r>
      <w:bookmarkEnd w:id="56"/>
    </w:p>
    <w:p w14:paraId="3F323677">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“三公”经费财政拨款支出</w:t>
      </w:r>
      <w:r>
        <w:rPr>
          <w:rFonts w:ascii="仿宋" w:hAnsi="仿宋" w:eastAsia="仿宋" w:cs="仿宋"/>
          <w:color w:val="000000"/>
          <w:sz w:val="32"/>
          <w:u w:color="auto"/>
        </w:rPr>
        <w:t>0.04万元，因公出国（境）费支出决算0万元，占0%；公务用车购置及运行维护费支出决算0万元，占0%；公务接待费支出决算0.04万元，占100%。具体情况如下：</w:t>
      </w:r>
    </w:p>
    <w:p w14:paraId="4B682179">
      <w:pPr>
        <w:pStyle w:val="8"/>
        <w:ind w:left="0" w:leftChars="0" w:firstLine="0" w:firstLineChars="0"/>
        <w:rPr>
          <w:rFonts w:hint="eastAsia" w:ascii="思源黑体 CN Normal" w:hAnsi="思源黑体 CN Normal" w:eastAsia="思源黑体 CN Normal" w:cs="思源黑体 CN Normal"/>
        </w:rPr>
      </w:pPr>
      <w:r>
        <w:rPr>
          <w:rFonts w:hint="eastAsia" w:ascii="思源黑体 CN Normal" w:hAnsi="思源黑体 CN Normal" w:eastAsia="思源黑体 CN Normal" w:cs="思源黑体 CN Normal"/>
          <w:color w:val="FF0000"/>
          <w:sz w:val="32"/>
          <w:szCs w:val="32"/>
          <w:lang w:val="en-US" w:eastAsia="zh-CN"/>
        </w:rPr>
        <w:t xml:space="preserve">     </w:t>
      </w:r>
      <w:r>
        <w:rPr>
          <w:rFonts w:hint="eastAsia" w:ascii="思源黑体 CN Normal" w:hAnsi="思源黑体 CN Normal" w:eastAsia="思源黑体 CN Normal" w:cs="思源黑体 CN Normal"/>
          <w:color w:val="FF0000"/>
          <w:sz w:val="32"/>
          <w:szCs w:val="32"/>
        </w:rPr>
        <w:drawing>
          <wp:inline distT="0" distB="0" distL="114300" distR="114300">
            <wp:extent cx="4468495" cy="2564130"/>
            <wp:effectExtent l="4445" t="4445" r="22860" b="222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D793809">
      <w:pPr>
        <w:spacing w:line="600" w:lineRule="exact"/>
        <w:ind w:firstLine="640" w:firstLineChars="200"/>
        <w:jc w:val="center"/>
        <w:rPr>
          <w:rFonts w:hint="eastAsia" w:ascii="仿宋" w:hAnsi="仿宋" w:eastAsia="仿宋" w:cs="仿宋"/>
        </w:rPr>
      </w:pPr>
      <w:r>
        <w:rPr>
          <w:rFonts w:hint="eastAsia" w:ascii="仿宋" w:hAnsi="仿宋" w:eastAsia="仿宋" w:cs="仿宋"/>
          <w:color w:val="000000"/>
          <w:sz w:val="32"/>
          <w:szCs w:val="32"/>
        </w:rPr>
        <w:t>（图7：“三公”经费财政拨款支出结构）</w:t>
      </w:r>
    </w:p>
    <w:p w14:paraId="1E9D76AF">
      <w:pPr>
        <w:spacing w:line="600" w:lineRule="exact"/>
        <w:ind w:firstLine="640"/>
        <w:rPr>
          <w:rFonts w:hint="eastAsia" w:ascii="仿宋" w:hAnsi="仿宋" w:eastAsia="仿宋" w:cs="仿宋"/>
          <w:color w:val="000000"/>
          <w:sz w:val="32"/>
          <w:szCs w:val="32"/>
        </w:rPr>
      </w:pPr>
      <w:r>
        <w:rPr>
          <w:rFonts w:hint="eastAsia" w:ascii="仿宋" w:hAnsi="仿宋" w:eastAsia="仿宋" w:cs="仿宋"/>
          <w:b/>
          <w:bCs/>
          <w:color w:val="000000"/>
          <w:sz w:val="32"/>
          <w:szCs w:val="32"/>
        </w:rPr>
        <w:t>1.因公出国（境）经费支出</w:t>
      </w:r>
      <w:r>
        <w:rPr>
          <w:rFonts w:hint="eastAsia" w:ascii="仿宋" w:hAnsi="仿宋" w:eastAsia="仿宋" w:cs="仿宋"/>
          <w:color w:val="000000"/>
          <w:sz w:val="32"/>
          <w:szCs w:val="32"/>
        </w:rPr>
        <w:t>0</w:t>
      </w:r>
      <w:r>
        <w:rPr>
          <w:rFonts w:ascii="仿宋" w:hAnsi="仿宋" w:eastAsia="仿宋" w:cs="仿宋"/>
          <w:color w:val="000000"/>
          <w:sz w:val="32"/>
          <w:u w:color="auto"/>
        </w:rPr>
        <w:t xml:space="preserve">万元,完成预算100%。全年安排因公出国（境）团组0次，出国（境）0人。因公出国（境）支出决算比2024年增加0万元，增长0%。 </w:t>
      </w:r>
    </w:p>
    <w:p w14:paraId="327BF985">
      <w:pPr>
        <w:spacing w:line="600" w:lineRule="exact"/>
        <w:ind w:firstLine="640"/>
        <w:rPr>
          <w:rFonts w:hint="eastAsia" w:ascii="仿宋" w:hAnsi="仿宋" w:eastAsia="仿宋" w:cs="仿宋"/>
          <w:color w:val="000000"/>
          <w:sz w:val="32"/>
          <w:szCs w:val="32"/>
        </w:rPr>
      </w:pPr>
      <w:r>
        <w:rPr>
          <w:rFonts w:hint="eastAsia" w:ascii="仿宋" w:hAnsi="仿宋" w:eastAsia="仿宋" w:cs="仿宋"/>
          <w:b/>
          <w:bCs/>
          <w:color w:val="000000"/>
          <w:sz w:val="32"/>
          <w:szCs w:val="32"/>
        </w:rPr>
        <w:t>2.公务用车购置及运行维护费支出</w:t>
      </w:r>
      <w:r>
        <w:rPr>
          <w:rFonts w:hint="eastAsia" w:ascii="仿宋" w:hAnsi="仿宋" w:eastAsia="仿宋" w:cs="仿宋"/>
          <w:color w:val="000000"/>
          <w:sz w:val="32"/>
          <w:szCs w:val="32"/>
        </w:rPr>
        <w:t>0</w:t>
      </w:r>
      <w:r>
        <w:rPr>
          <w:rFonts w:ascii="仿宋" w:hAnsi="仿宋" w:eastAsia="仿宋" w:cs="仿宋"/>
          <w:color w:val="000000"/>
          <w:sz w:val="32"/>
          <w:u w:color="auto"/>
        </w:rPr>
        <w:t>万元,完成预算0%。公务用车购置及运行维护费支出决算比2024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减少17.63</w:t>
      </w:r>
      <w:r>
        <w:rPr>
          <w:rFonts w:ascii="仿宋" w:hAnsi="仿宋" w:eastAsia="仿宋" w:cs="仿宋"/>
          <w:color w:val="000000"/>
          <w:sz w:val="32"/>
          <w:u w:color="auto"/>
        </w:rPr>
        <w:t xml:space="preserve">万元，下降100%。主要原因是2025年支付2024年车辆维修费。 </w:t>
      </w:r>
    </w:p>
    <w:p w14:paraId="7D2B639A">
      <w:pPr>
        <w:spacing w:line="600" w:lineRule="exact"/>
        <w:ind w:firstLine="640" w:firstLineChars="200"/>
        <w:rPr>
          <w:rFonts w:hint="eastAsia"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其中：</w:t>
      </w:r>
      <w:r>
        <w:rPr>
          <w:rFonts w:hint="eastAsia" w:ascii="仿宋" w:hAnsi="仿宋" w:eastAsia="仿宋" w:cs="仿宋"/>
          <w:b/>
          <w:bCs/>
          <w:color w:val="000000"/>
          <w:sz w:val="32"/>
          <w:szCs w:val="32"/>
          <w:highlight w:val="none"/>
        </w:rPr>
        <w:t>公务用车购置支出</w:t>
      </w:r>
      <w:r>
        <w:rPr>
          <w:rFonts w:hint="eastAsia" w:ascii="仿宋" w:hAnsi="仿宋" w:eastAsia="仿宋" w:cs="仿宋"/>
          <w:color w:val="000000"/>
          <w:sz w:val="32"/>
          <w:szCs w:val="32"/>
          <w:highlight w:val="none"/>
        </w:rPr>
        <w:t>0</w:t>
      </w:r>
      <w:r>
        <w:rPr>
          <w:rFonts w:ascii="仿宋" w:hAnsi="仿宋" w:eastAsia="仿宋" w:cs="仿宋"/>
          <w:color w:val="000000"/>
          <w:sz w:val="32"/>
          <w:highlight w:val="none"/>
          <w:u w:color="auto"/>
        </w:rPr>
        <w:t>万元。全年按规定更新购置公务用车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辆，其中：轿车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辆、金额</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万元，越野车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辆、金额</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万元，载客汽车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辆、金额</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万元。截至</w:t>
      </w:r>
      <w:r>
        <w:rPr>
          <w:rFonts w:ascii="仿宋" w:hAnsi="仿宋" w:eastAsia="仿宋" w:cs="仿宋"/>
          <w:color w:val="000000"/>
          <w:sz w:val="32"/>
          <w:highlight w:val="none"/>
          <w:u w:color="auto"/>
        </w:rPr>
        <w:t>2025年12月</w:t>
      </w:r>
      <w:r>
        <w:rPr>
          <w:rFonts w:hint="eastAsia" w:ascii="仿宋" w:hAnsi="仿宋" w:eastAsia="仿宋" w:cs="仿宋"/>
          <w:color w:val="000000"/>
          <w:sz w:val="32"/>
          <w:szCs w:val="32"/>
          <w:highlight w:val="none"/>
          <w:lang w:val="en-US" w:eastAsia="zh-CN"/>
        </w:rPr>
        <w:t>31日</w:t>
      </w:r>
      <w:r>
        <w:rPr>
          <w:rFonts w:hint="eastAsia" w:ascii="仿宋" w:hAnsi="仿宋" w:eastAsia="仿宋" w:cs="仿宋"/>
          <w:color w:val="000000"/>
          <w:sz w:val="32"/>
          <w:szCs w:val="32"/>
          <w:highlight w:val="none"/>
        </w:rPr>
        <w:t>，单位共有公务用车</w:t>
      </w:r>
      <w:r>
        <w:rPr>
          <w:rFonts w:ascii="仿宋" w:hAnsi="仿宋" w:eastAsia="仿宋" w:cs="仿宋"/>
          <w:color w:val="000000"/>
          <w:sz w:val="32"/>
          <w:highlight w:val="none"/>
          <w:u w:color="auto"/>
        </w:rPr>
        <w:t>5辆，其中：轿车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辆、越野车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w:t>
      </w:r>
      <w:r>
        <w:rPr>
          <w:rFonts w:hint="eastAsia" w:ascii="仿宋" w:hAnsi="仿宋" w:eastAsia="仿宋" w:cs="仿宋"/>
          <w:color w:val="000000"/>
          <w:sz w:val="32"/>
          <w:szCs w:val="32"/>
          <w:highlight w:val="none"/>
          <w:lang w:val="en-US" w:eastAsia="zh-CN"/>
        </w:rPr>
        <w:t>应急保障用车5辆、</w:t>
      </w:r>
      <w:r>
        <w:rPr>
          <w:rFonts w:hint="eastAsia" w:ascii="仿宋" w:hAnsi="仿宋" w:eastAsia="仿宋" w:cs="仿宋"/>
          <w:color w:val="000000"/>
          <w:sz w:val="32"/>
          <w:szCs w:val="32"/>
          <w:highlight w:val="none"/>
        </w:rPr>
        <w:t>载客汽车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w:t>
      </w:r>
      <w:r>
        <w:rPr>
          <w:rFonts w:hint="eastAsia" w:ascii="仿宋" w:hAnsi="仿宋" w:eastAsia="仿宋" w:cs="仿宋"/>
          <w:color w:val="000000"/>
          <w:sz w:val="32"/>
          <w:szCs w:val="32"/>
          <w:highlight w:val="none"/>
          <w:lang w:val="en-US" w:eastAsia="zh-CN"/>
        </w:rPr>
        <w:t>。</w:t>
      </w:r>
    </w:p>
    <w:p w14:paraId="2ED6A1A6">
      <w:pPr>
        <w:spacing w:line="600" w:lineRule="exact"/>
        <w:ind w:firstLine="640"/>
        <w:rPr>
          <w:rFonts w:hint="eastAsia" w:ascii="仿宋" w:hAnsi="仿宋" w:eastAsia="仿宋" w:cs="仿宋"/>
          <w:color w:val="000000"/>
          <w:sz w:val="32"/>
          <w:szCs w:val="32"/>
        </w:rPr>
      </w:pPr>
      <w:r>
        <w:rPr>
          <w:rFonts w:hint="eastAsia" w:ascii="仿宋" w:hAnsi="仿宋" w:eastAsia="仿宋" w:cs="仿宋"/>
          <w:b/>
          <w:bCs/>
          <w:color w:val="000000"/>
          <w:sz w:val="32"/>
          <w:szCs w:val="32"/>
        </w:rPr>
        <w:t>公务用车运行维护费支出</w:t>
      </w:r>
      <w:r>
        <w:rPr>
          <w:rFonts w:hint="eastAsia" w:ascii="仿宋" w:hAnsi="仿宋" w:eastAsia="仿宋" w:cs="仿宋"/>
          <w:color w:val="000000"/>
          <w:sz w:val="32"/>
          <w:szCs w:val="32"/>
        </w:rPr>
        <w:t>0</w:t>
      </w:r>
      <w:r>
        <w:rPr>
          <w:rFonts w:ascii="仿宋" w:hAnsi="仿宋" w:eastAsia="仿宋" w:cs="仿宋"/>
          <w:color w:val="000000"/>
          <w:sz w:val="32"/>
          <w:u w:color="auto"/>
        </w:rPr>
        <w:t xml:space="preserve">万元。主要用于2025年支付2024年车辆维修费。 </w:t>
      </w:r>
    </w:p>
    <w:p w14:paraId="2C1431EB">
      <w:pPr>
        <w:spacing w:line="600" w:lineRule="exact"/>
        <w:ind w:firstLine="640"/>
        <w:rPr>
          <w:rFonts w:hint="eastAsia" w:ascii="仿宋" w:hAnsi="仿宋" w:eastAsia="仿宋" w:cs="仿宋"/>
          <w:color w:val="000000"/>
          <w:sz w:val="32"/>
          <w:szCs w:val="32"/>
          <w:lang w:val="en-US" w:eastAsia="zh-CN"/>
        </w:rPr>
      </w:pPr>
      <w:r>
        <w:rPr>
          <w:rFonts w:hint="eastAsia" w:ascii="仿宋" w:hAnsi="仿宋" w:eastAsia="仿宋" w:cs="仿宋"/>
          <w:b/>
          <w:bCs/>
          <w:color w:val="000000"/>
          <w:sz w:val="32"/>
          <w:szCs w:val="32"/>
        </w:rPr>
        <w:t>3.公务接待费支出</w:t>
      </w:r>
      <w:r>
        <w:rPr>
          <w:rFonts w:hint="eastAsia" w:ascii="仿宋" w:hAnsi="仿宋" w:eastAsia="仿宋" w:cs="仿宋"/>
          <w:color w:val="000000"/>
          <w:sz w:val="32"/>
          <w:szCs w:val="32"/>
        </w:rPr>
        <w:t>0.04</w:t>
      </w:r>
      <w:r>
        <w:rPr>
          <w:rFonts w:ascii="仿宋" w:hAnsi="仿宋" w:eastAsia="仿宋" w:cs="仿宋"/>
          <w:color w:val="000000"/>
          <w:sz w:val="32"/>
          <w:u w:color="auto"/>
        </w:rPr>
        <w:t>万元，完成预算5.3%。公务接待费支出决算比2024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减少0.66</w:t>
      </w:r>
      <w:r>
        <w:rPr>
          <w:rFonts w:ascii="仿宋" w:hAnsi="仿宋" w:eastAsia="仿宋" w:cs="仿宋"/>
          <w:color w:val="000000"/>
          <w:sz w:val="32"/>
          <w:u w:color="auto"/>
        </w:rPr>
        <w:t>万元，下降94.8%。</w:t>
      </w:r>
      <w:bookmarkStart w:id="57" w:name="_Toc15377218"/>
      <w:r>
        <w:rPr>
          <w:rFonts w:hint="eastAsia" w:ascii="仿宋" w:hAnsi="仿宋" w:eastAsia="仿宋" w:cs="仿宋"/>
          <w:color w:val="000000"/>
          <w:sz w:val="32"/>
          <w:szCs w:val="32"/>
        </w:rPr>
        <w:t xml:space="preserve">主要原因是厉行节约。 </w:t>
      </w:r>
      <w:r>
        <w:rPr>
          <w:rFonts w:hint="eastAsia" w:ascii="仿宋" w:hAnsi="仿宋" w:eastAsia="仿宋" w:cs="仿宋"/>
          <w:color w:val="000000"/>
          <w:sz w:val="32"/>
          <w:szCs w:val="32"/>
          <w:lang w:val="en-US" w:eastAsia="zh-CN"/>
        </w:rPr>
        <w:t>其中：</w:t>
      </w:r>
    </w:p>
    <w:p w14:paraId="7F3EE578">
      <w:pPr>
        <w:spacing w:line="600" w:lineRule="exact"/>
        <w:ind w:firstLine="640"/>
        <w:rPr>
          <w:rFonts w:hint="eastAsia" w:ascii="仿宋" w:hAnsi="仿宋" w:eastAsia="仿宋" w:cs="仿宋"/>
          <w:color w:val="000000"/>
          <w:sz w:val="32"/>
          <w:szCs w:val="32"/>
        </w:rPr>
      </w:pPr>
      <w:r>
        <w:rPr>
          <w:rFonts w:hint="eastAsia" w:ascii="仿宋" w:hAnsi="仿宋" w:eastAsia="仿宋" w:cs="仿宋"/>
          <w:b/>
          <w:bCs/>
          <w:color w:val="000000"/>
          <w:sz w:val="32"/>
          <w:szCs w:val="32"/>
        </w:rPr>
        <w:t>国内公务接待支出</w:t>
      </w:r>
      <w:r>
        <w:rPr>
          <w:rFonts w:hint="eastAsia" w:ascii="仿宋" w:hAnsi="仿宋" w:eastAsia="仿宋" w:cs="仿宋"/>
          <w:color w:val="000000"/>
          <w:sz w:val="32"/>
          <w:szCs w:val="32"/>
        </w:rPr>
        <w:t>0.04</w:t>
      </w:r>
      <w:r>
        <w:rPr>
          <w:rFonts w:ascii="仿宋" w:hAnsi="仿宋" w:eastAsia="仿宋" w:cs="仿宋"/>
          <w:color w:val="000000"/>
          <w:sz w:val="32"/>
          <w:u w:color="auto"/>
        </w:rPr>
        <w:t>万元，主要用于执行公务、开展业务活动开支的交通费、住宿费、用餐费等。国内公务接待1批次，6人次（不包括陪同人员），共计支出0.04万元，具体内容包括：主要用于执行公务、开展业务活动开支的交通费</w:t>
      </w:r>
      <w:r>
        <w:rPr>
          <w:rFonts w:hint="eastAsia" w:ascii="仿宋" w:hAnsi="仿宋" w:eastAsia="仿宋" w:cs="仿宋"/>
          <w:color w:val="000000"/>
          <w:sz w:val="32"/>
          <w:u w:color="auto"/>
          <w:lang w:val="en-US" w:eastAsia="zh-CN"/>
        </w:rPr>
        <w:t>等</w:t>
      </w:r>
      <w:r>
        <w:rPr>
          <w:rFonts w:ascii="仿宋" w:hAnsi="仿宋" w:eastAsia="仿宋" w:cs="仿宋"/>
          <w:color w:val="000000"/>
          <w:sz w:val="32"/>
          <w:u w:color="auto"/>
        </w:rPr>
        <w:t>。</w:t>
      </w:r>
    </w:p>
    <w:p w14:paraId="662C5F0F">
      <w:pPr>
        <w:pStyle w:val="8"/>
        <w:rPr>
          <w:rFonts w:hint="eastAsia" w:ascii="仿宋" w:hAnsi="仿宋" w:eastAsia="仿宋" w:cs="仿宋"/>
          <w:color w:val="000000"/>
          <w:sz w:val="32"/>
          <w:szCs w:val="32"/>
        </w:rPr>
      </w:pPr>
      <w:r>
        <w:rPr>
          <w:rFonts w:hint="eastAsia" w:ascii="仿宋" w:hAnsi="仿宋" w:eastAsia="仿宋" w:cs="仿宋"/>
          <w:b/>
          <w:bCs/>
          <w:color w:val="000000"/>
          <w:sz w:val="32"/>
          <w:szCs w:val="32"/>
        </w:rPr>
        <w:t>外事接待支出</w:t>
      </w:r>
      <w:r>
        <w:rPr>
          <w:rFonts w:hint="eastAsia" w:ascii="仿宋" w:hAnsi="仿宋" w:eastAsia="仿宋" w:cs="仿宋"/>
          <w:color w:val="000000"/>
          <w:sz w:val="32"/>
          <w:szCs w:val="32"/>
        </w:rPr>
        <w:t>0</w:t>
      </w:r>
      <w:r>
        <w:rPr>
          <w:rFonts w:ascii="仿宋" w:hAnsi="仿宋" w:eastAsia="仿宋" w:cs="仿宋"/>
          <w:color w:val="000000"/>
          <w:sz w:val="32"/>
          <w:u w:color="auto"/>
        </w:rPr>
        <w:t>万元。外事接待0批次，0人次（不包括陪同人员），共计支出0万元。</w:t>
      </w:r>
    </w:p>
    <w:p w14:paraId="5DA11626">
      <w:pPr>
        <w:pStyle w:val="6"/>
        <w:ind w:firstLine="640" w:firstLineChars="200"/>
        <w:rPr>
          <w:rFonts w:hint="eastAsia" w:ascii="黑体" w:hAnsi="黑体" w:eastAsia="黑体" w:cs="黑体"/>
          <w:b w:val="0"/>
          <w:bCs/>
          <w:color w:val="000000"/>
        </w:rPr>
      </w:pPr>
      <w:bookmarkStart w:id="58" w:name="_Toc111208506"/>
      <w:bookmarkStart w:id="59" w:name="_Toc20439"/>
      <w:r>
        <w:rPr>
          <w:rFonts w:hint="eastAsia" w:ascii="黑体" w:hAnsi="黑体" w:eastAsia="黑体" w:cs="黑体"/>
          <w:b w:val="0"/>
          <w:bCs/>
          <w:color w:val="000000"/>
        </w:rPr>
        <w:t>八、政府性基金预算支出决算情况说明</w:t>
      </w:r>
      <w:bookmarkEnd w:id="57"/>
      <w:bookmarkEnd w:id="58"/>
      <w:bookmarkEnd w:id="59"/>
    </w:p>
    <w:p w14:paraId="1C230691">
      <w:pPr>
        <w:spacing w:line="600" w:lineRule="exact"/>
        <w:ind w:firstLine="640"/>
        <w:rPr>
          <w:rFonts w:hint="eastAsia" w:ascii="仿宋" w:hAnsi="仿宋" w:eastAsia="仿宋" w:cs="仿宋"/>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政府性基金预算拨款支出</w:t>
      </w:r>
      <w:r>
        <w:rPr>
          <w:rFonts w:ascii="仿宋" w:hAnsi="仿宋" w:eastAsia="仿宋" w:cs="仿宋"/>
          <w:color w:val="000000"/>
          <w:sz w:val="32"/>
          <w:u w:color="auto"/>
        </w:rPr>
        <w:t>0万元</w:t>
      </w:r>
      <w:bookmarkStart w:id="60" w:name="_Toc15377219"/>
      <w:r>
        <w:rPr>
          <w:rFonts w:hint="eastAsia" w:ascii="Times New Roman" w:hAnsi="Times New Roman" w:eastAsia="仿宋_GB2312" w:cs="仿宋_GB2312"/>
          <w:color w:val="auto"/>
          <w:kern w:val="2"/>
          <w:sz w:val="32"/>
          <w:szCs w:val="32"/>
          <w:highlight w:val="none"/>
          <w:lang w:val="en-US" w:eastAsia="zh-CN" w:bidi="ar-SA"/>
        </w:rPr>
        <w:t>，占本年支出合计的</w:t>
      </w:r>
      <w:r>
        <w:rPr>
          <w:rFonts w:hint="eastAsia" w:ascii="仿宋" w:hAnsi="仿宋" w:eastAsia="仿宋" w:cs="仿宋"/>
          <w:color w:val="000000"/>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ascii="仿宋" w:hAnsi="仿宋" w:eastAsia="仿宋" w:cs="仿宋"/>
          <w:color w:val="000000"/>
          <w:sz w:val="32"/>
          <w:szCs w:val="32"/>
        </w:rPr>
        <w:t>2024</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w:t>
      </w:r>
      <w:r>
        <w:rPr>
          <w:rFonts w:hint="eastAsia" w:ascii="仿宋" w:hAnsi="仿宋" w:eastAsia="仿宋" w:cs="仿宋"/>
          <w:color w:val="000000"/>
          <w:sz w:val="32"/>
          <w:szCs w:val="32"/>
        </w:rPr>
        <w:t>增加0万元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增长0%。</w:t>
      </w:r>
      <w:r>
        <w:rPr>
          <w:rFonts w:ascii="仿宋" w:hAnsi="仿宋" w:eastAsia="仿宋" w:cs="仿宋"/>
          <w:color w:val="000000"/>
          <w:sz w:val="32"/>
          <w:u w:color="auto"/>
        </w:rPr>
        <w:t xml:space="preserve"> </w:t>
      </w:r>
    </w:p>
    <w:p w14:paraId="79E1D034">
      <w:pPr>
        <w:pStyle w:val="6"/>
        <w:ind w:firstLine="640" w:firstLineChars="200"/>
        <w:rPr>
          <w:rFonts w:hint="eastAsia" w:ascii="黑体" w:hAnsi="黑体" w:eastAsia="黑体" w:cs="黑体"/>
          <w:b w:val="0"/>
          <w:bCs/>
          <w:color w:val="000000"/>
        </w:rPr>
      </w:pPr>
      <w:bookmarkStart w:id="61" w:name="_Toc23467"/>
      <w:bookmarkStart w:id="62" w:name="_Toc111208507"/>
      <w:r>
        <w:rPr>
          <w:rFonts w:hint="eastAsia" w:ascii="黑体" w:hAnsi="黑体" w:eastAsia="黑体" w:cs="黑体"/>
          <w:b w:val="0"/>
          <w:bCs/>
          <w:color w:val="000000"/>
        </w:rPr>
        <w:t>九、国有资本经营预算支出决算情况说明</w:t>
      </w:r>
      <w:bookmarkEnd w:id="60"/>
      <w:bookmarkEnd w:id="61"/>
      <w:bookmarkEnd w:id="62"/>
    </w:p>
    <w:p w14:paraId="19F0375D">
      <w:pPr>
        <w:spacing w:line="600" w:lineRule="exact"/>
        <w:ind w:firstLine="640"/>
        <w:rPr>
          <w:rFonts w:hint="eastAsia" w:ascii="仿宋" w:hAnsi="仿宋" w:eastAsia="仿宋" w:cs="仿宋"/>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国有资本经营预算拨款支出</w:t>
      </w:r>
      <w:r>
        <w:rPr>
          <w:rFonts w:ascii="仿宋" w:hAnsi="仿宋" w:eastAsia="仿宋" w:cs="仿宋"/>
          <w:color w:val="000000"/>
          <w:sz w:val="32"/>
          <w:u w:color="auto"/>
        </w:rPr>
        <w:t>0万元</w:t>
      </w:r>
      <w:r>
        <w:rPr>
          <w:rFonts w:hint="eastAsia" w:ascii="Times New Roman" w:hAnsi="Times New Roman" w:eastAsia="仿宋_GB2312" w:cs="仿宋_GB2312"/>
          <w:color w:val="auto"/>
          <w:kern w:val="2"/>
          <w:sz w:val="32"/>
          <w:szCs w:val="32"/>
          <w:highlight w:val="none"/>
          <w:lang w:val="en-US" w:eastAsia="zh-CN" w:bidi="ar-SA"/>
        </w:rPr>
        <w:t>，占本年支出合计的</w:t>
      </w:r>
      <w:r>
        <w:rPr>
          <w:rFonts w:hint="eastAsia" w:ascii="仿宋" w:hAnsi="仿宋" w:eastAsia="仿宋" w:cs="仿宋"/>
          <w:color w:val="000000"/>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ascii="仿宋" w:hAnsi="仿宋" w:eastAsia="仿宋" w:cs="仿宋"/>
          <w:color w:val="000000"/>
          <w:sz w:val="32"/>
          <w:szCs w:val="32"/>
        </w:rPr>
        <w:t>2024</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w:t>
      </w:r>
      <w:r>
        <w:rPr>
          <w:rFonts w:hint="eastAsia" w:ascii="仿宋" w:hAnsi="仿宋" w:eastAsia="仿宋" w:cs="仿宋"/>
          <w:color w:val="000000"/>
          <w:sz w:val="32"/>
          <w:szCs w:val="32"/>
        </w:rPr>
        <w:t>增加0万元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增长0%。</w:t>
      </w:r>
      <w:r>
        <w:rPr>
          <w:rFonts w:ascii="仿宋" w:hAnsi="仿宋" w:eastAsia="仿宋" w:cs="仿宋"/>
          <w:color w:val="000000"/>
          <w:sz w:val="32"/>
          <w:u w:color="auto"/>
        </w:rPr>
        <w:t xml:space="preserve"> </w:t>
      </w:r>
    </w:p>
    <w:p w14:paraId="3A5EDB82">
      <w:pPr>
        <w:spacing w:line="600" w:lineRule="exact"/>
        <w:ind w:firstLine="640"/>
        <w:rPr>
          <w:rFonts w:hint="eastAsia"/>
        </w:rPr>
      </w:pPr>
    </w:p>
    <w:p w14:paraId="76FD0E14">
      <w:pPr>
        <w:pStyle w:val="6"/>
        <w:ind w:firstLine="640" w:firstLineChars="200"/>
        <w:rPr>
          <w:rFonts w:hint="eastAsia" w:ascii="黑体" w:hAnsi="黑体" w:eastAsia="黑体" w:cs="黑体"/>
          <w:b w:val="0"/>
          <w:bCs/>
          <w:color w:val="000000"/>
        </w:rPr>
      </w:pPr>
      <w:bookmarkStart w:id="63" w:name="_Toc18455"/>
      <w:bookmarkStart w:id="64" w:name="_Toc15377221"/>
      <w:bookmarkStart w:id="65" w:name="_Toc111208508"/>
      <w:r>
        <w:rPr>
          <w:rFonts w:hint="eastAsia" w:ascii="黑体" w:hAnsi="黑体" w:eastAsia="黑体" w:cs="黑体"/>
          <w:b w:val="0"/>
          <w:bCs/>
          <w:color w:val="000000"/>
        </w:rPr>
        <w:t>十、其他重要事项的情况说明</w:t>
      </w:r>
      <w:bookmarkEnd w:id="63"/>
      <w:bookmarkEnd w:id="64"/>
      <w:bookmarkEnd w:id="65"/>
    </w:p>
    <w:p w14:paraId="019CBB22">
      <w:pPr>
        <w:spacing w:line="600" w:lineRule="exact"/>
        <w:ind w:firstLine="643" w:firstLineChars="200"/>
        <w:outlineLvl w:val="2"/>
        <w:rPr>
          <w:rFonts w:hint="eastAsia" w:ascii="楷体" w:hAnsi="楷体" w:eastAsia="楷体" w:cs="楷体"/>
          <w:b/>
          <w:color w:val="000000"/>
          <w:sz w:val="32"/>
          <w:szCs w:val="32"/>
        </w:rPr>
      </w:pPr>
      <w:bookmarkStart w:id="66" w:name="_Toc15377222"/>
      <w:r>
        <w:rPr>
          <w:rFonts w:hint="eastAsia" w:ascii="楷体" w:hAnsi="楷体" w:eastAsia="楷体" w:cs="楷体"/>
          <w:b/>
          <w:color w:val="000000"/>
          <w:sz w:val="32"/>
          <w:szCs w:val="32"/>
        </w:rPr>
        <w:t>（一）机关运行经费支出情况</w:t>
      </w:r>
      <w:bookmarkEnd w:id="66"/>
    </w:p>
    <w:p w14:paraId="527675A8">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w:t>
      </w:r>
      <w:r>
        <w:rPr>
          <w:rFonts w:ascii="仿宋" w:hAnsi="仿宋" w:eastAsia="仿宋" w:cs="仿宋"/>
          <w:color w:val="000000"/>
          <w:sz w:val="32"/>
          <w:u w:color="auto"/>
        </w:rPr>
        <w:t xml:space="preserve">红原县疾病预防控制中心机关运行经费支出0万元。 </w:t>
      </w:r>
    </w:p>
    <w:p w14:paraId="66094D57">
      <w:pPr>
        <w:spacing w:line="600" w:lineRule="exact"/>
        <w:ind w:firstLine="643" w:firstLineChars="200"/>
        <w:outlineLvl w:val="2"/>
        <w:rPr>
          <w:rFonts w:hint="eastAsia" w:ascii="楷体" w:hAnsi="楷体" w:eastAsia="楷体" w:cs="楷体"/>
          <w:b/>
          <w:color w:val="000000"/>
          <w:sz w:val="32"/>
          <w:szCs w:val="32"/>
        </w:rPr>
      </w:pPr>
      <w:bookmarkStart w:id="67" w:name="_Toc15377223"/>
      <w:r>
        <w:rPr>
          <w:rFonts w:hint="eastAsia" w:ascii="楷体" w:hAnsi="楷体" w:eastAsia="楷体" w:cs="楷体"/>
          <w:b/>
          <w:color w:val="000000"/>
          <w:sz w:val="32"/>
          <w:szCs w:val="32"/>
        </w:rPr>
        <w:t>（二）政府采购支出情况</w:t>
      </w:r>
      <w:bookmarkEnd w:id="67"/>
    </w:p>
    <w:p w14:paraId="2CEFD7AE">
      <w:pPr>
        <w:spacing w:line="600" w:lineRule="exact"/>
        <w:ind w:firstLine="640"/>
        <w:rPr>
          <w:rFonts w:ascii="仿宋" w:hAnsi="仿宋" w:eastAsia="仿宋" w:cs="仿宋"/>
          <w:color w:val="000000"/>
          <w:sz w:val="32"/>
          <w:u w:color="auto"/>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w:t>
      </w:r>
      <w:r>
        <w:rPr>
          <w:rFonts w:ascii="仿宋" w:hAnsi="仿宋" w:eastAsia="仿宋" w:cs="仿宋"/>
          <w:color w:val="000000"/>
          <w:sz w:val="32"/>
          <w:u w:color="auto"/>
        </w:rPr>
        <w:t>红原县疾病预防控制中心政府采购支出总额18.02万元，其中：政府采购货物支出8.56万元、政府采购工程支出0万元、政府采购服务支出9.46万元。授予中小企业合同金额0万元，</w:t>
      </w:r>
      <w:r>
        <w:rPr>
          <w:rFonts w:hint="eastAsia" w:ascii="仿宋" w:hAnsi="仿宋" w:eastAsia="仿宋" w:cs="仿宋"/>
          <w:color w:val="000000"/>
          <w:sz w:val="32"/>
          <w:szCs w:val="32"/>
          <w:lang w:val="en-US" w:eastAsia="zh-CN"/>
        </w:rPr>
        <w:t>占政府采购支出总额的</w:t>
      </w:r>
      <w:r>
        <w:rPr>
          <w:rFonts w:ascii="仿宋" w:hAnsi="仿宋" w:eastAsia="仿宋" w:cs="仿宋"/>
          <w:color w:val="000000"/>
          <w:sz w:val="32"/>
          <w:u w:color="auto"/>
        </w:rPr>
        <w:t>0%,</w:t>
      </w:r>
      <w:r>
        <w:rPr>
          <w:rFonts w:hint="eastAsia" w:ascii="仿宋" w:hAnsi="仿宋" w:eastAsia="仿宋" w:cs="仿宋"/>
          <w:color w:val="000000"/>
          <w:sz w:val="32"/>
          <w:szCs w:val="32"/>
        </w:rPr>
        <w:t>其中：授予小微企业合同金额</w:t>
      </w:r>
      <w:r>
        <w:rPr>
          <w:rFonts w:ascii="仿宋" w:hAnsi="仿宋" w:eastAsia="仿宋" w:cs="仿宋"/>
          <w:color w:val="000000"/>
          <w:sz w:val="32"/>
          <w:u w:color="auto"/>
        </w:rPr>
        <w:t>0万元，占</w:t>
      </w:r>
      <w:r>
        <w:rPr>
          <w:rFonts w:hint="eastAsia" w:ascii="仿宋" w:hAnsi="仿宋" w:eastAsia="仿宋" w:cs="仿宋"/>
          <w:color w:val="000000"/>
          <w:sz w:val="32"/>
          <w:szCs w:val="32"/>
          <w:lang w:val="en-US" w:eastAsia="zh-CN"/>
        </w:rPr>
        <w:t>政府采购支出总额</w:t>
      </w:r>
      <w:r>
        <w:rPr>
          <w:rFonts w:hint="eastAsia" w:ascii="仿宋" w:hAnsi="仿宋" w:eastAsia="仿宋" w:cs="仿宋"/>
          <w:color w:val="000000"/>
          <w:sz w:val="32"/>
          <w:szCs w:val="32"/>
        </w:rPr>
        <w:t>的</w:t>
      </w:r>
      <w:r>
        <w:rPr>
          <w:rFonts w:ascii="仿宋" w:hAnsi="仿宋" w:eastAsia="仿宋" w:cs="仿宋"/>
          <w:color w:val="000000"/>
          <w:sz w:val="32"/>
          <w:u w:color="auto"/>
        </w:rPr>
        <w:t>0%。</w:t>
      </w:r>
    </w:p>
    <w:p w14:paraId="178F47F9">
      <w:pPr>
        <w:pStyle w:val="2"/>
        <w:rPr>
          <w:rFonts w:ascii="仿宋" w:hAnsi="仿宋" w:eastAsia="仿宋" w:cs="仿宋"/>
          <w:color w:val="000000"/>
          <w:sz w:val="32"/>
          <w:u w:color="auto"/>
        </w:rPr>
      </w:pPr>
    </w:p>
    <w:p w14:paraId="1B4103CA">
      <w:pPr>
        <w:pStyle w:val="3"/>
        <w:rPr>
          <w:rFonts w:hint="eastAsia"/>
        </w:rPr>
      </w:pPr>
    </w:p>
    <w:p w14:paraId="12B7C937">
      <w:pPr>
        <w:spacing w:line="600" w:lineRule="exact"/>
        <w:ind w:firstLine="643" w:firstLineChars="200"/>
        <w:outlineLvl w:val="2"/>
        <w:rPr>
          <w:rFonts w:hint="eastAsia" w:ascii="楷体" w:hAnsi="楷体" w:eastAsia="楷体" w:cs="楷体"/>
          <w:b/>
          <w:color w:val="000000"/>
          <w:sz w:val="32"/>
          <w:szCs w:val="32"/>
        </w:rPr>
      </w:pPr>
      <w:bookmarkStart w:id="68" w:name="_Toc15377224"/>
      <w:r>
        <w:rPr>
          <w:rFonts w:hint="eastAsia" w:ascii="楷体" w:hAnsi="楷体" w:eastAsia="楷体" w:cs="楷体"/>
          <w:b/>
          <w:color w:val="000000"/>
          <w:sz w:val="32"/>
          <w:szCs w:val="32"/>
        </w:rPr>
        <w:t>（三）国有资产占有使用情况</w:t>
      </w:r>
      <w:bookmarkEnd w:id="68"/>
    </w:p>
    <w:p w14:paraId="17A0ED70">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截至</w:t>
      </w:r>
      <w:r>
        <w:rPr>
          <w:rFonts w:ascii="仿宋" w:hAnsi="仿宋" w:eastAsia="仿宋" w:cs="仿宋"/>
          <w:color w:val="000000"/>
          <w:sz w:val="32"/>
          <w:u w:color="auto"/>
        </w:rPr>
        <w:t>2025年12月31日，红原县疾病预防控制中心共有车辆5辆，其中：主要领导干部用车0辆、机要通信用车0辆、应急保障用车5辆、其他用车0辆。单价100万元以上专用设备</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不含车辆</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0</w:t>
      </w:r>
      <w:r>
        <w:rPr>
          <w:rFonts w:ascii="仿宋" w:hAnsi="仿宋" w:eastAsia="仿宋" w:cs="仿宋"/>
          <w:color w:val="000000"/>
          <w:sz w:val="32"/>
          <w:u w:color="auto"/>
        </w:rPr>
        <w:t>台（套）。</w:t>
      </w:r>
    </w:p>
    <w:p w14:paraId="4EF50863">
      <w:pPr>
        <w:spacing w:line="600" w:lineRule="exact"/>
        <w:ind w:firstLine="643" w:firstLineChars="200"/>
        <w:outlineLvl w:val="2"/>
        <w:rPr>
          <w:rFonts w:hint="eastAsia" w:ascii="楷体" w:hAnsi="楷体" w:eastAsia="楷体" w:cs="楷体"/>
          <w:b/>
          <w:color w:val="000000"/>
          <w:sz w:val="32"/>
          <w:szCs w:val="32"/>
        </w:rPr>
      </w:pPr>
      <w:r>
        <w:rPr>
          <w:rFonts w:hint="eastAsia" w:ascii="楷体" w:hAnsi="楷体" w:eastAsia="楷体" w:cs="楷体"/>
          <w:b/>
          <w:color w:val="000000"/>
          <w:sz w:val="32"/>
          <w:szCs w:val="32"/>
        </w:rPr>
        <w:t>（四）预算绩效管理情况</w:t>
      </w:r>
    </w:p>
    <w:p w14:paraId="18F029C8">
      <w:pPr>
        <w:pStyle w:val="8"/>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根据预算绩效管理要求，</w:t>
      </w:r>
      <w:r>
        <w:rPr>
          <w:rFonts w:ascii="仿宋" w:hAnsi="仿宋" w:eastAsia="仿宋" w:cs="仿宋"/>
          <w:color w:val="000000"/>
          <w:sz w:val="32"/>
          <w:u w:color="auto"/>
        </w:rPr>
        <w:t>红原县疾病预防控制中心</w:t>
      </w:r>
      <w:r>
        <w:rPr>
          <w:rFonts w:hint="eastAsia" w:ascii="仿宋" w:hAnsi="仿宋" w:eastAsia="仿宋" w:cs="仿宋"/>
          <w:sz w:val="32"/>
          <w:szCs w:val="32"/>
          <w:lang w:val="en-US" w:eastAsia="zh-CN"/>
        </w:rPr>
        <w:t>在2025年度预算编制阶段，组织对基本公共卫生项目经费等13个项目开展了预算事前绩效评估，对13个项目编制了绩效目标，预算执行过程中，选取13个项目开展绩效监控。绩效自评表详见第四部分附件。</w:t>
      </w:r>
    </w:p>
    <w:p w14:paraId="1F943EA8">
      <w:pPr>
        <w:widowControl/>
        <w:jc w:val="left"/>
        <w:rPr>
          <w:rFonts w:hint="eastAsia" w:ascii="思源黑体 CN Normal" w:hAnsi="思源黑体 CN Normal" w:eastAsia="思源黑体 CN Normal" w:cs="思源黑体 CN Normal"/>
          <w:b/>
          <w:color w:val="000000"/>
          <w:sz w:val="32"/>
          <w:szCs w:val="32"/>
        </w:rPr>
      </w:pPr>
      <w:r>
        <w:rPr>
          <w:rFonts w:hint="eastAsia" w:ascii="思源黑体 CN Normal" w:hAnsi="思源黑体 CN Normal" w:eastAsia="思源黑体 CN Normal" w:cs="思源黑体 CN Normal"/>
          <w:b/>
          <w:color w:val="000000"/>
          <w:sz w:val="32"/>
          <w:szCs w:val="32"/>
        </w:rPr>
        <w:br w:type="page"/>
      </w:r>
    </w:p>
    <w:p w14:paraId="7A1AED01">
      <w:pPr>
        <w:pStyle w:val="5"/>
        <w:jc w:val="center"/>
        <w:rPr>
          <w:rFonts w:hint="eastAsia" w:ascii="黑体" w:hAnsi="黑体" w:eastAsia="黑体" w:cs="黑体"/>
          <w:b w:val="0"/>
          <w:bCs w:val="0"/>
        </w:rPr>
      </w:pPr>
      <w:bookmarkStart w:id="69" w:name="_Toc111208509"/>
      <w:bookmarkStart w:id="70" w:name="_Toc18122"/>
      <w:bookmarkStart w:id="71" w:name="_Toc15377225"/>
      <w:r>
        <w:rPr>
          <w:rFonts w:hint="eastAsia" w:ascii="黑体" w:hAnsi="黑体" w:eastAsia="黑体" w:cs="黑体"/>
          <w:b w:val="0"/>
          <w:bCs w:val="0"/>
        </w:rPr>
        <w:t>第三部分 名词解释</w:t>
      </w:r>
      <w:bookmarkEnd w:id="69"/>
      <w:bookmarkEnd w:id="70"/>
      <w:bookmarkEnd w:id="71"/>
    </w:p>
    <w:p w14:paraId="022F61EC">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1.财政拨款收入：指单位从同级财政部门取得的财政预算资金。</w:t>
      </w:r>
    </w:p>
    <w:p w14:paraId="0CFB8533">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2.事业收入：指事业单位开展专业业务活动及辅助活动取得的收入。</w:t>
      </w:r>
    </w:p>
    <w:p w14:paraId="616A190D">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3.经营收入：指事业单位在专业业务活动及其辅助活动之外开展非独立核算经营活动取得的收入</w:t>
      </w:r>
    </w:p>
    <w:p w14:paraId="3F55D9BE">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4.其他收入：指单位取得的除上述收入以外的各项收入。</w:t>
      </w:r>
    </w:p>
    <w:p w14:paraId="619A9CFE">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5.使用非财政拨款结余（含专用结余）：指事业单位使用以前年度积累的非财政拨款结余弥补当年收支差额的金额。 </w:t>
      </w:r>
    </w:p>
    <w:p w14:paraId="68EE8AD0">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6.年初结转和结余：指以前年度尚未完成、结转到本年按有关规定继续使用的资金。 </w:t>
      </w:r>
    </w:p>
    <w:p w14:paraId="0839DE2D">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7.结余分配：指事业单位按照会计制度规定缴纳的所得税、提取的专用结余以及转入非财政拨款结余的金额等。</w:t>
      </w:r>
    </w:p>
    <w:p w14:paraId="32ED2363">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8.年末结转和结余：指单位按有关规定结转到下年或以后年度继续使用的资金。</w:t>
      </w:r>
    </w:p>
    <w:p w14:paraId="15C4A990">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9.社会保障和就业支出（类）行政事业单位养老支出（款）机关事业单位基本养老保险缴费支出（项）:反映机关事业单位实施养老保险制度由单位缴纳的基本养老保险费支出。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10.社会保障和就业支出（类）行政事业单位养老支出（款）机关事业单位职业年金缴费支出（项）:反映机关事业单位实施养老保险制度由单位实际缴纳的职业年金支出。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11.卫生健康支出（类）公共卫生（款）疾病预防控制机构（项）:反映卫生健康部门所属疾病预防控制机构的支出。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12.卫生健康支出（类）公共卫生（款）基本公共卫生服务（项）:反映基本公共卫生服务支出。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13.卫生健康支出（类）公共卫生（款）重大公共卫生服务（项）:反映重大疾病、重大传染病预防控制等重大公共卫生服务项目支出。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14.卫生健康支出（类）公共卫生（款）其他公共卫生支出（项）:其他公共卫生支出反映除上述项目以外的其他用于公共卫生方面的支出。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15.卫生健康支出（类）行政事业单位医疗（款）事业单位医疗（项）:反映财政部门安排的事业单位基本医疗保险缴费经费，未参加医疗保险的事业单位的公费医疗经费，按国家规定享受离休人员待遇的医疗经费。</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16.卫生健康支出（类）行政事业单位医疗（款）其他行政事业单位医疗支出（项）:反映除上述项目以外的其他用于行政事业单位医疗方面的支出。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17.卫生健康支出（类）其他卫生健康支出（款）其他卫生健康支出（项）:反映除上述项以外其他用于卫生健康方面的支出。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18.住房保障支出（类）住房改革支出（款）住房公积金（项）:反映行政事业单位按人力资源和社会保障部、财政部规定的基本工资和津贴补贴以及规定比例为职工缴纳的住房公积金。</w:t>
      </w:r>
    </w:p>
    <w:p w14:paraId="773E015D">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19</w:t>
      </w:r>
      <w:r>
        <w:rPr>
          <w:rFonts w:ascii="仿宋" w:hAnsi="仿宋" w:eastAsia="仿宋" w:cs="仿宋"/>
          <w:color w:val="000000"/>
          <w:sz w:val="32"/>
          <w:u w:color="auto"/>
        </w:rPr>
        <w:t>.基本支出：指为保障机构正常运转、完成日常工作任务而发生的人员支出和公用支出。</w:t>
      </w:r>
    </w:p>
    <w:p w14:paraId="0010CAE3">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w:t>
      </w:r>
      <w:r>
        <w:rPr>
          <w:rFonts w:ascii="仿宋" w:hAnsi="仿宋" w:eastAsia="仿宋" w:cs="仿宋"/>
          <w:color w:val="000000"/>
          <w:sz w:val="32"/>
          <w:u w:color="auto"/>
        </w:rPr>
        <w:t xml:space="preserve">.项目支出：指在基本支出之外为完成特定行政任务和事业发展目标所发生的支出。 </w:t>
      </w:r>
    </w:p>
    <w:p w14:paraId="77C94036">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21</w:t>
      </w:r>
      <w:r>
        <w:rPr>
          <w:rFonts w:ascii="仿宋" w:hAnsi="仿宋" w:eastAsia="仿宋" w:cs="仿宋"/>
          <w:color w:val="000000"/>
          <w:sz w:val="32"/>
          <w:u w:color="auto"/>
        </w:rPr>
        <w:t>.经营支出：指事业单位在专业业务活动及其辅助活动之外开展非独立核算经营活动发生的支出。</w:t>
      </w:r>
    </w:p>
    <w:p w14:paraId="2180527E">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22</w:t>
      </w:r>
      <w:r>
        <w:rPr>
          <w:rFonts w:ascii="仿宋" w:hAnsi="仿宋" w:eastAsia="仿宋" w:cs="仿宋"/>
          <w:color w:val="000000"/>
          <w:sz w:val="32"/>
          <w:u w:color="auto"/>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2D3D8A8E">
      <w:pPr>
        <w:spacing w:line="600" w:lineRule="exact"/>
        <w:ind w:firstLine="640"/>
        <w:rPr>
          <w:rStyle w:val="32"/>
          <w:rFonts w:hint="eastAsia" w:ascii="思源黑体 CN Normal" w:hAnsi="思源黑体 CN Normal" w:eastAsia="思源黑体 CN Normal" w:cs="思源黑体 CN Normal"/>
        </w:rPr>
      </w:pPr>
      <w:r>
        <w:rPr>
          <w:rFonts w:hint="eastAsia" w:ascii="仿宋" w:hAnsi="仿宋" w:eastAsia="仿宋" w:cs="仿宋"/>
          <w:color w:val="000000"/>
          <w:sz w:val="32"/>
          <w:szCs w:val="32"/>
        </w:rPr>
        <w:t>23</w:t>
      </w:r>
      <w:r>
        <w:rPr>
          <w:rFonts w:ascii="仿宋" w:hAnsi="仿宋" w:eastAsia="仿宋" w:cs="仿宋"/>
          <w:color w:val="000000"/>
          <w:sz w:val="32"/>
          <w:u w:color="auto"/>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40DB92F">
      <w:pPr>
        <w:pStyle w:val="5"/>
        <w:jc w:val="center"/>
        <w:rPr>
          <w:rFonts w:hint="eastAsia" w:ascii="仿宋" w:hAnsi="仿宋" w:eastAsia="仿宋" w:cs="仿宋"/>
          <w:sz w:val="32"/>
          <w:szCs w:val="32"/>
        </w:rPr>
      </w:pPr>
      <w:bookmarkStart w:id="72" w:name="_Toc25539"/>
      <w:bookmarkStart w:id="73" w:name="_Toc111208510"/>
      <w:r>
        <w:rPr>
          <w:rFonts w:hint="eastAsia" w:ascii="黑体" w:hAnsi="黑体" w:eastAsia="黑体" w:cs="黑体"/>
          <w:b w:val="0"/>
          <w:bCs w:val="0"/>
        </w:rPr>
        <w:t>第四部分 附件</w:t>
      </w:r>
      <w:bookmarkEnd w:id="72"/>
      <w:bookmarkEnd w:id="73"/>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576"/>
        <w:gridCol w:w="1034"/>
        <w:gridCol w:w="870"/>
        <w:gridCol w:w="1157"/>
        <w:gridCol w:w="396"/>
        <w:gridCol w:w="813"/>
        <w:gridCol w:w="396"/>
        <w:gridCol w:w="846"/>
        <w:gridCol w:w="486"/>
        <w:gridCol w:w="396"/>
        <w:gridCol w:w="1336"/>
      </w:tblGrid>
      <w:tr w14:paraId="6C1DC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527456F6">
            <w:pPr>
              <w:keepNext w:val="0"/>
              <w:keepLines w:val="0"/>
              <w:widowControl/>
              <w:suppressLineNumbers w:val="0"/>
              <w:jc w:val="center"/>
              <w:textAlignment w:val="center"/>
              <w:rPr>
                <w:rFonts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6B9FE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5870713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21A4A25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51323322T000006086663-基本公共卫生项目经费</w:t>
            </w:r>
          </w:p>
        </w:tc>
      </w:tr>
      <w:tr w14:paraId="02805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72739AE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4780E39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6B4B28E1">
            <w:pPr>
              <w:keepNext w:val="0"/>
              <w:keepLines w:val="0"/>
              <w:widowControl/>
              <w:suppressLineNumbers w:val="0"/>
              <w:jc w:val="left"/>
              <w:textAlignment w:val="center"/>
              <w:rPr>
                <w:rFonts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19624F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359CE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5631E93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089FC02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2161D8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18286F7F">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69699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2641D26">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CC24834">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67851A7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主要用于水和环境监测、寄生虫病、职业病防治、麻风病监测、鼠疫项目工作。水和环境监测的检测，职业病主要是给医务人员宣传费用；麻风病人主要是用于监测及健康教育经费；鼠疫主要是下乡监测等工作。</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1CB029B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开展水和环境、寄生虫、职业病、麻风病、鼠疫监测、健康教育、老年人及慢性病健康管理等基本公卫工作。预算执行率59.75%，各项监测、健康管理任务有序推进。</w:t>
            </w:r>
          </w:p>
        </w:tc>
      </w:tr>
      <w:tr w14:paraId="10AB8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51F5D4C">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B92A15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059E5AC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建立并动态管理居民健康档案45568人份，建档率96.58%（州级任务指标93%）；老年人健康管理2161人，健康管理率66.05%（州级任务指标65%）；高血压管理1246人，规范管理361人，规范管理率81.49%（州级任务指标65%）；糖尿病管理228人，规范管理62人，规范管理72.12%（州级任务指标65%）</w:t>
            </w:r>
          </w:p>
        </w:tc>
      </w:tr>
      <w:tr w14:paraId="20973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396908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097EC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71FBC5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B931D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C206F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760F2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8B280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D173B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7D2E9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73DB0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D1E38FC">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CEE67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5DAF2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14.44</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C2671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14.44</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64EDB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8.63</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89691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59.75%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1B4D3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BDF3610">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32CA80B">
            <w:pPr>
              <w:rPr>
                <w:rFonts w:hint="eastAsia" w:ascii="黑体" w:hAnsi="黑体" w:eastAsia="黑体" w:cs="黑体"/>
                <w:i/>
                <w:iCs/>
                <w:color w:val="000000"/>
                <w:sz w:val="18"/>
                <w:szCs w:val="18"/>
                <w:u w:val="none"/>
              </w:rPr>
            </w:pPr>
          </w:p>
        </w:tc>
      </w:tr>
      <w:tr w14:paraId="7D489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1B38E56">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BC029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58E86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14.44</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9821C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14.44</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34C3C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8.63</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65738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59.75%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F35F7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5698D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2B7723A">
            <w:pPr>
              <w:rPr>
                <w:rFonts w:hint="eastAsia" w:ascii="黑体" w:hAnsi="黑体" w:eastAsia="黑体" w:cs="黑体"/>
                <w:i/>
                <w:iCs/>
                <w:color w:val="000000"/>
                <w:sz w:val="18"/>
                <w:szCs w:val="18"/>
                <w:u w:val="none"/>
              </w:rPr>
            </w:pPr>
          </w:p>
        </w:tc>
      </w:tr>
      <w:tr w14:paraId="0D745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72F5035">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22B71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CD1F0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56C49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3208D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5DEBA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3846D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49671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C82C10B">
            <w:pPr>
              <w:rPr>
                <w:rFonts w:hint="eastAsia" w:ascii="黑体" w:hAnsi="黑体" w:eastAsia="黑体" w:cs="黑体"/>
                <w:i/>
                <w:iCs/>
                <w:color w:val="000000"/>
                <w:sz w:val="18"/>
                <w:szCs w:val="18"/>
                <w:u w:val="none"/>
              </w:rPr>
            </w:pPr>
          </w:p>
        </w:tc>
      </w:tr>
      <w:tr w14:paraId="56C48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1F70978">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BF493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F4991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DDBA4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42818C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382CD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B4BF7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083CA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83771A5">
            <w:pPr>
              <w:rPr>
                <w:rFonts w:hint="eastAsia" w:ascii="黑体" w:hAnsi="黑体" w:eastAsia="黑体" w:cs="黑体"/>
                <w:i/>
                <w:iCs/>
                <w:color w:val="000000"/>
                <w:sz w:val="18"/>
                <w:szCs w:val="18"/>
                <w:u w:val="none"/>
              </w:rPr>
            </w:pPr>
          </w:p>
        </w:tc>
      </w:tr>
      <w:tr w14:paraId="2FA8E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E62E9C2">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85E1E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935EE51">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1F308A8">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4F92B70">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4B78057">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37166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AA142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516569B">
            <w:pPr>
              <w:rPr>
                <w:rFonts w:hint="eastAsia" w:ascii="黑体" w:hAnsi="黑体" w:eastAsia="黑体" w:cs="黑体"/>
                <w:i/>
                <w:iCs/>
                <w:color w:val="000000"/>
                <w:sz w:val="18"/>
                <w:szCs w:val="18"/>
                <w:u w:val="none"/>
              </w:rPr>
            </w:pPr>
          </w:p>
        </w:tc>
      </w:tr>
      <w:tr w14:paraId="5F299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37AC9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2A33F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F2CAE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F2194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125E7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7F1AB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9F2E6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58139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DD20E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5831B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B2EBA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58855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CEB0981">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1B3F1C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4409AD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644CD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麻风病可疑人群筛查完成率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1297A3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1DC1CD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87CC5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9D8DD3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8BDEC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E88AA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20</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B9E9CBA">
            <w:pPr>
              <w:jc w:val="center"/>
              <w:rPr>
                <w:rFonts w:hint="eastAsia" w:ascii="微软雅黑" w:hAnsi="微软雅黑" w:eastAsia="微软雅黑" w:cs="微软雅黑"/>
                <w:i/>
                <w:iCs/>
                <w:color w:val="000000"/>
                <w:sz w:val="16"/>
                <w:szCs w:val="16"/>
                <w:u w:val="none"/>
              </w:rPr>
            </w:pPr>
          </w:p>
        </w:tc>
      </w:tr>
      <w:tr w14:paraId="29424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A975414">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6D85AA7">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DF952CB">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E4D51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鼠疫监测绵阳血清率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2459A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340F5F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55BDA7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FFF0A5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5D83A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15</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4B78AA2">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AC2A83A">
            <w:pPr>
              <w:jc w:val="center"/>
              <w:rPr>
                <w:rFonts w:hint="eastAsia" w:ascii="微软雅黑" w:hAnsi="微软雅黑" w:eastAsia="微软雅黑" w:cs="微软雅黑"/>
                <w:i/>
                <w:iCs/>
                <w:color w:val="000000"/>
                <w:sz w:val="16"/>
                <w:szCs w:val="16"/>
                <w:u w:val="none"/>
              </w:rPr>
            </w:pPr>
          </w:p>
        </w:tc>
      </w:tr>
      <w:tr w14:paraId="1B0A0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0B29046">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4E19AD3">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277C26B">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31E2F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大骨节病监测</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0967E5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1F92B8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70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6D5AE7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E5FE99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683D5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050AA8C">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018F944">
            <w:pPr>
              <w:jc w:val="center"/>
              <w:rPr>
                <w:rFonts w:hint="eastAsia" w:ascii="微软雅黑" w:hAnsi="微软雅黑" w:eastAsia="微软雅黑" w:cs="微软雅黑"/>
                <w:i/>
                <w:iCs/>
                <w:color w:val="000000"/>
                <w:sz w:val="16"/>
                <w:szCs w:val="16"/>
                <w:u w:val="none"/>
              </w:rPr>
            </w:pPr>
          </w:p>
        </w:tc>
      </w:tr>
      <w:tr w14:paraId="1979E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7E7F53A">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870A3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506AA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C065C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应急演练覆盖范围</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4A13C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323B6A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73F7E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AEA3B5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9261C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25</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423BDD1">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2335F2F">
            <w:pPr>
              <w:jc w:val="center"/>
              <w:rPr>
                <w:rFonts w:hint="eastAsia" w:ascii="微软雅黑" w:hAnsi="微软雅黑" w:eastAsia="微软雅黑" w:cs="微软雅黑"/>
                <w:i/>
                <w:iCs/>
                <w:color w:val="000000"/>
                <w:sz w:val="16"/>
                <w:szCs w:val="16"/>
                <w:u w:val="none"/>
              </w:rPr>
            </w:pPr>
          </w:p>
        </w:tc>
      </w:tr>
      <w:tr w14:paraId="4565A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010CD40">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3FB41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C4687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服务对象满意度指标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EE9AB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群众满意度</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E288E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F820A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C3E6F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8CD632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F7A99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4391267">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6D5A819">
            <w:pPr>
              <w:jc w:val="center"/>
              <w:rPr>
                <w:rFonts w:hint="eastAsia" w:ascii="微软雅黑" w:hAnsi="微软雅黑" w:eastAsia="微软雅黑" w:cs="微软雅黑"/>
                <w:i/>
                <w:iCs/>
                <w:color w:val="000000"/>
                <w:sz w:val="16"/>
                <w:szCs w:val="16"/>
                <w:u w:val="none"/>
              </w:rPr>
            </w:pPr>
          </w:p>
        </w:tc>
      </w:tr>
      <w:tr w14:paraId="0BDBA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1BBB00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FD47C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80034EF">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3D81DFC">
            <w:pPr>
              <w:rPr>
                <w:rFonts w:hint="eastAsia" w:ascii="宋体" w:hAnsi="宋体" w:eastAsia="宋体" w:cs="宋体"/>
                <w:i w:val="0"/>
                <w:iCs w:val="0"/>
                <w:color w:val="000000"/>
                <w:sz w:val="18"/>
                <w:szCs w:val="18"/>
                <w:u w:val="none"/>
              </w:rPr>
            </w:pPr>
          </w:p>
        </w:tc>
      </w:tr>
      <w:tr w14:paraId="21CCA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668123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26AB19C5">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60分。资金用于鼠疫、麻风、寄生虫、水环境等监测，以及健康教育、老年人、高血压、糖尿病等重点人群健康管理，按要求完成线索筛查、采样检测、随访管理等工作，及时掌握辖区疾病流行情况，规范落实慢病管理服务。部分监测、随访工作集中下半年开展，经费支付节奏较慢，资金管理合规。</w:t>
            </w:r>
          </w:p>
        </w:tc>
      </w:tr>
      <w:tr w14:paraId="5C47C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05CB05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34390B0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无</w:t>
            </w:r>
          </w:p>
        </w:tc>
      </w:tr>
      <w:tr w14:paraId="74276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1BDE5C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2A03A39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无</w:t>
            </w:r>
          </w:p>
        </w:tc>
      </w:tr>
      <w:tr w14:paraId="45C16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1B15BA1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3AB9A180">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40AF8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12D0A85D">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7B8E3880">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1A0B4DC4">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53D646D9">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2B5FD39B">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31265376">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6DAA5839">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434592BB">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48562A78">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1BF18D45">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4C19AB31">
            <w:pPr>
              <w:rPr>
                <w:rFonts w:hint="eastAsia" w:ascii="宋体" w:hAnsi="宋体" w:eastAsia="宋体" w:cs="宋体"/>
                <w:i w:val="0"/>
                <w:iCs w:val="0"/>
                <w:color w:val="000000"/>
                <w:sz w:val="18"/>
                <w:szCs w:val="18"/>
                <w:u w:val="none"/>
              </w:rPr>
            </w:pPr>
          </w:p>
        </w:tc>
      </w:tr>
      <w:tr w14:paraId="73F60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055C59F6">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6D079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7D4932D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4117E19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51323322T000006092509-疾病预防控制项目经费重大公共卫生卫生</w:t>
            </w:r>
          </w:p>
        </w:tc>
      </w:tr>
      <w:tr w14:paraId="39606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000D89B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1F2A50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0E03FCC8">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31F730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272E9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09CCBAA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2FB6A48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14E485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117E9796">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683B5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14F5054">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85ACE12">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14A2262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用于扩大国家免疫规划、艾滋病防治、结核病防治、血吸虫与包虫病防治、精神卫生与慢性非传染性疾病防治等重大公共卫生服务有关工作。</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1C6138F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用于国家免疫规划、艾滋病、结核病、包虫病、血吸虫病、精神卫生等重大传染病防控及健康宣教。预算执行率71.45%，各项病例管理、随访监测、疫苗接种有序开展。</w:t>
            </w:r>
          </w:p>
        </w:tc>
      </w:tr>
      <w:tr w14:paraId="1F16D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39F2BCF">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685803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38E11A5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2025年，县疾控中心紧紧围绕“重点、重大”，聚焦核心任务，有序实施结核病、艾滋病、包虫病防治项目，高质量落实人群监测、健康教育、病例管理、应急处置等项目内容。</w:t>
            </w:r>
          </w:p>
        </w:tc>
      </w:tr>
      <w:tr w14:paraId="2642A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D1CCA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AD248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13D01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A8AF3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5BACD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38470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AE72F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0DED5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8FA9E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0CB44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F267CCC">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B2197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8D589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29E84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256.18</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37151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183.04</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CAF3A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71.45%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EADC5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3958688">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30734C06">
            <w:pPr>
              <w:rPr>
                <w:rFonts w:hint="eastAsia" w:ascii="黑体" w:hAnsi="黑体" w:eastAsia="黑体" w:cs="黑体"/>
                <w:i/>
                <w:iCs/>
                <w:color w:val="000000"/>
                <w:sz w:val="18"/>
                <w:szCs w:val="18"/>
                <w:u w:val="none"/>
              </w:rPr>
            </w:pPr>
          </w:p>
        </w:tc>
      </w:tr>
      <w:tr w14:paraId="3AFFB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626CFCE">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EBBE2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66059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8CAE2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256.18</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52F25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183.04</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5C53B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71.45%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E1038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15C56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71F8631">
            <w:pPr>
              <w:rPr>
                <w:rFonts w:hint="eastAsia" w:ascii="黑体" w:hAnsi="黑体" w:eastAsia="黑体" w:cs="黑体"/>
                <w:i/>
                <w:iCs/>
                <w:color w:val="000000"/>
                <w:sz w:val="18"/>
                <w:szCs w:val="18"/>
                <w:u w:val="none"/>
              </w:rPr>
            </w:pPr>
          </w:p>
        </w:tc>
      </w:tr>
      <w:tr w14:paraId="33A11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F3E5862">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DDBC4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251DD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17F88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342013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C4B6A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A5CA8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AC69E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729980C">
            <w:pPr>
              <w:rPr>
                <w:rFonts w:hint="eastAsia" w:ascii="黑体" w:hAnsi="黑体" w:eastAsia="黑体" w:cs="黑体"/>
                <w:i/>
                <w:iCs/>
                <w:color w:val="000000"/>
                <w:sz w:val="18"/>
                <w:szCs w:val="18"/>
                <w:u w:val="none"/>
              </w:rPr>
            </w:pPr>
          </w:p>
        </w:tc>
      </w:tr>
      <w:tr w14:paraId="6FA5C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594D71B">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D419F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BE3F4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51C1E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69593F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77851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3DA2A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A62A7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34C8D73">
            <w:pPr>
              <w:rPr>
                <w:rFonts w:hint="eastAsia" w:ascii="黑体" w:hAnsi="黑体" w:eastAsia="黑体" w:cs="黑体"/>
                <w:i/>
                <w:iCs/>
                <w:color w:val="000000"/>
                <w:sz w:val="18"/>
                <w:szCs w:val="18"/>
                <w:u w:val="none"/>
              </w:rPr>
            </w:pPr>
          </w:p>
        </w:tc>
      </w:tr>
      <w:tr w14:paraId="5BFEB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424DD71">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CE6E2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53CB3B8">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EA9D95F">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41C040C3">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12536F9">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9F4CA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3E0CC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5B13C69">
            <w:pPr>
              <w:rPr>
                <w:rFonts w:hint="eastAsia" w:ascii="黑体" w:hAnsi="黑体" w:eastAsia="黑体" w:cs="黑体"/>
                <w:i/>
                <w:iCs/>
                <w:color w:val="000000"/>
                <w:sz w:val="18"/>
                <w:szCs w:val="18"/>
                <w:u w:val="none"/>
              </w:rPr>
            </w:pPr>
          </w:p>
        </w:tc>
      </w:tr>
      <w:tr w14:paraId="33E22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5ABB0E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847D1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3FF21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FE861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9E110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7A551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0DF7D7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8A570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2B19F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D48F3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96AD5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5295E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4A14DF5">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237163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4E7118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584D8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免疫规划疫苗实际接种人数</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C5F28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835C2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21890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4B39F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EC89A5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21392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8BC9C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E5011D5">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07AA4BD">
            <w:pPr>
              <w:jc w:val="center"/>
              <w:rPr>
                <w:rFonts w:hint="eastAsia" w:ascii="微软雅黑" w:hAnsi="微软雅黑" w:eastAsia="微软雅黑" w:cs="微软雅黑"/>
                <w:i/>
                <w:iCs/>
                <w:color w:val="000000"/>
                <w:sz w:val="16"/>
                <w:szCs w:val="16"/>
                <w:u w:val="none"/>
              </w:rPr>
            </w:pPr>
          </w:p>
        </w:tc>
      </w:tr>
      <w:tr w14:paraId="59354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6F971B0">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238804E">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50DD1B1">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758B9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适龄儿童国家免疫规划脊灰疫苗接种率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5DF623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882B3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98</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488D5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76BFFF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95.78</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054F7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86131B1">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380185C">
            <w:pPr>
              <w:jc w:val="center"/>
              <w:rPr>
                <w:rFonts w:hint="eastAsia" w:ascii="微软雅黑" w:hAnsi="微软雅黑" w:eastAsia="微软雅黑" w:cs="微软雅黑"/>
                <w:i/>
                <w:iCs/>
                <w:color w:val="000000"/>
                <w:sz w:val="16"/>
                <w:szCs w:val="16"/>
                <w:u w:val="none"/>
              </w:rPr>
            </w:pPr>
          </w:p>
        </w:tc>
      </w:tr>
      <w:tr w14:paraId="13BF9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E5BF0BD">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4B83D83">
            <w:pPr>
              <w:jc w:val="center"/>
              <w:rPr>
                <w:rFonts w:hint="eastAsia" w:ascii="宋体" w:hAnsi="宋体" w:eastAsia="宋体" w:cs="宋体"/>
                <w:i w:val="0"/>
                <w:iCs w:val="0"/>
                <w:color w:val="000000"/>
                <w:sz w:val="18"/>
                <w:szCs w:val="18"/>
                <w:u w:val="none"/>
              </w:rPr>
            </w:pP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1948B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质量指标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F0189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艾滋病感染者病人随访监测比例</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18F1E1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D70E8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61FDB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A10B66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860B3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192D2F7">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6B2F8ED">
            <w:pPr>
              <w:jc w:val="center"/>
              <w:rPr>
                <w:rFonts w:hint="eastAsia" w:ascii="微软雅黑" w:hAnsi="微软雅黑" w:eastAsia="微软雅黑" w:cs="微软雅黑"/>
                <w:i/>
                <w:iCs/>
                <w:color w:val="000000"/>
                <w:sz w:val="16"/>
                <w:szCs w:val="16"/>
                <w:u w:val="none"/>
              </w:rPr>
            </w:pPr>
          </w:p>
        </w:tc>
      </w:tr>
      <w:tr w14:paraId="519B7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5A5BA05">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D7FBB64">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3117F2C">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1B02D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包虫病病人登记管理率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2E0B6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B8733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98</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B3C2E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7B5102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5ECD4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18F92D9">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28DE5AF">
            <w:pPr>
              <w:jc w:val="center"/>
              <w:rPr>
                <w:rFonts w:hint="eastAsia" w:ascii="微软雅黑" w:hAnsi="微软雅黑" w:eastAsia="微软雅黑" w:cs="微软雅黑"/>
                <w:i/>
                <w:iCs/>
                <w:color w:val="000000"/>
                <w:sz w:val="16"/>
                <w:szCs w:val="16"/>
                <w:u w:val="none"/>
              </w:rPr>
            </w:pPr>
          </w:p>
        </w:tc>
      </w:tr>
      <w:tr w14:paraId="3F66A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A143187">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49570B5">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58F6F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时效指标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69F07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肺结核患者全程管理率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A18A0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D9C99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53428B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19C00B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8F717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2E2E08C">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BC66969">
            <w:pPr>
              <w:jc w:val="center"/>
              <w:rPr>
                <w:rFonts w:hint="eastAsia" w:ascii="微软雅黑" w:hAnsi="微软雅黑" w:eastAsia="微软雅黑" w:cs="微软雅黑"/>
                <w:i/>
                <w:iCs/>
                <w:color w:val="000000"/>
                <w:sz w:val="16"/>
                <w:szCs w:val="16"/>
                <w:u w:val="none"/>
              </w:rPr>
            </w:pPr>
          </w:p>
        </w:tc>
      </w:tr>
      <w:tr w14:paraId="6D8A7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E05503B">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A1254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B42E0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2AF9D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居民艾滋病防治知识知晓率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5B5710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61173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2321A5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0C4E40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0050D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357D541">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7577243">
            <w:pPr>
              <w:jc w:val="center"/>
              <w:rPr>
                <w:rFonts w:hint="eastAsia" w:ascii="微软雅黑" w:hAnsi="微软雅黑" w:eastAsia="微软雅黑" w:cs="微软雅黑"/>
                <w:i/>
                <w:iCs/>
                <w:color w:val="000000"/>
                <w:sz w:val="16"/>
                <w:szCs w:val="16"/>
                <w:u w:val="none"/>
              </w:rPr>
            </w:pPr>
          </w:p>
        </w:tc>
      </w:tr>
      <w:tr w14:paraId="4F148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C4BDCAA">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B33E7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422AE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服务对象满意度指标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69FAC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群众满意度</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06DDF6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2C5C5F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5EBEE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0A5699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083E7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66A5BE7">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F708864">
            <w:pPr>
              <w:jc w:val="center"/>
              <w:rPr>
                <w:rFonts w:hint="eastAsia" w:ascii="微软雅黑" w:hAnsi="微软雅黑" w:eastAsia="微软雅黑" w:cs="微软雅黑"/>
                <w:i/>
                <w:iCs/>
                <w:color w:val="000000"/>
                <w:sz w:val="16"/>
                <w:szCs w:val="16"/>
                <w:u w:val="none"/>
              </w:rPr>
            </w:pPr>
          </w:p>
        </w:tc>
      </w:tr>
      <w:tr w14:paraId="4B77B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0FF1BB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C7512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26BE9AA">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1136CA6">
            <w:pPr>
              <w:rPr>
                <w:rFonts w:hint="eastAsia" w:ascii="宋体" w:hAnsi="宋体" w:eastAsia="宋体" w:cs="宋体"/>
                <w:i w:val="0"/>
                <w:iCs w:val="0"/>
                <w:color w:val="000000"/>
                <w:sz w:val="18"/>
                <w:szCs w:val="18"/>
                <w:u w:val="none"/>
              </w:rPr>
            </w:pPr>
          </w:p>
        </w:tc>
      </w:tr>
      <w:tr w14:paraId="2DDBD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42D347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73BFAD2B">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71分。资金用于重大传染病综合防控，有序落实结核病、艾滋病、包虫病病例管理，推进免疫规划疫苗接种、感染者随访干预、健康科普宣传、疫情应急处置等工作，按时完成病例筛查、随访、治疗管理任务，有效降低传染病传播风险。部分工作集中下半年实施，经费支付节奏偏慢，资金使用合规。</w:t>
            </w:r>
          </w:p>
        </w:tc>
      </w:tr>
      <w:tr w14:paraId="441AB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308089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2AF88927">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1.公众认知不足，大部分老百姓对重大传染病工作的认知程度仍然较低。</w:t>
            </w:r>
            <w:r>
              <w:rPr>
                <w:rFonts w:hint="eastAsia" w:ascii="微软雅黑" w:hAnsi="微软雅黑" w:eastAsia="微软雅黑" w:cs="微软雅黑"/>
                <w:i/>
                <w:iCs/>
                <w:color w:val="000000"/>
                <w:kern w:val="0"/>
                <w:sz w:val="16"/>
                <w:szCs w:val="16"/>
                <w:u w:val="none"/>
                <w:bdr w:val="none" w:color="auto" w:sz="0" w:space="0"/>
                <w:lang w:val="en-US" w:eastAsia="zh-CN" w:bidi="ar"/>
              </w:rPr>
              <w:br w:type="textWrapping"/>
            </w:r>
            <w:r>
              <w:rPr>
                <w:rFonts w:hint="eastAsia" w:ascii="微软雅黑" w:hAnsi="微软雅黑" w:eastAsia="微软雅黑" w:cs="微软雅黑"/>
                <w:i/>
                <w:iCs/>
                <w:color w:val="000000"/>
                <w:kern w:val="0"/>
                <w:sz w:val="16"/>
                <w:szCs w:val="16"/>
                <w:u w:val="none"/>
                <w:bdr w:val="none" w:color="auto" w:sz="0" w:space="0"/>
                <w:lang w:val="en-US" w:eastAsia="zh-CN" w:bidi="ar"/>
              </w:rPr>
              <w:t>2.对于流动人口、青少年等重点人群的干预措施力度不够。</w:t>
            </w:r>
            <w:r>
              <w:rPr>
                <w:rFonts w:hint="eastAsia" w:ascii="微软雅黑" w:hAnsi="微软雅黑" w:eastAsia="微软雅黑" w:cs="微软雅黑"/>
                <w:i/>
                <w:iCs/>
                <w:color w:val="000000"/>
                <w:kern w:val="0"/>
                <w:sz w:val="16"/>
                <w:szCs w:val="16"/>
                <w:u w:val="none"/>
                <w:bdr w:val="none" w:color="auto" w:sz="0" w:space="0"/>
                <w:lang w:val="en-US" w:eastAsia="zh-CN" w:bidi="ar"/>
              </w:rPr>
              <w:br w:type="textWrapping"/>
            </w:r>
            <w:r>
              <w:rPr>
                <w:rFonts w:hint="eastAsia" w:ascii="微软雅黑" w:hAnsi="微软雅黑" w:eastAsia="微软雅黑" w:cs="微软雅黑"/>
                <w:i/>
                <w:iCs/>
                <w:color w:val="000000"/>
                <w:kern w:val="0"/>
                <w:sz w:val="16"/>
                <w:szCs w:val="16"/>
                <w:u w:val="none"/>
                <w:bdr w:val="none" w:color="auto" w:sz="0" w:space="0"/>
                <w:lang w:val="en-US" w:eastAsia="zh-CN" w:bidi="ar"/>
              </w:rPr>
              <w:t>3.进一步规范资金的使用。</w:t>
            </w:r>
          </w:p>
        </w:tc>
      </w:tr>
      <w:tr w14:paraId="5A51F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7DCD8C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6205F3B9">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加强宣传力度，提高牧民群众知晓率。</w:t>
            </w:r>
          </w:p>
        </w:tc>
      </w:tr>
      <w:tr w14:paraId="2B763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3B50345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3E70EC3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469CE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1E1F0914">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482DD552">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09E76003">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79CB2611">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06E47CCA">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5D3C8A37">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285E4D04">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18E80CD2">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1C5B8B6A">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2D18617F">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249BE0BF">
            <w:pPr>
              <w:rPr>
                <w:rFonts w:hint="eastAsia" w:ascii="宋体" w:hAnsi="宋体" w:eastAsia="宋体" w:cs="宋体"/>
                <w:i w:val="0"/>
                <w:iCs w:val="0"/>
                <w:color w:val="000000"/>
                <w:sz w:val="18"/>
                <w:szCs w:val="18"/>
                <w:u w:val="none"/>
              </w:rPr>
            </w:pPr>
          </w:p>
        </w:tc>
      </w:tr>
      <w:tr w14:paraId="11854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1522727F">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080A1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0942B4D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6B8B1F2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51323322T000006212109-其他公共卫生支出</w:t>
            </w:r>
          </w:p>
        </w:tc>
      </w:tr>
      <w:tr w14:paraId="1DD08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4D29F67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692B7BC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2C89B47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6F87A7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61A71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1BCEF16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3FF8793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5682B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34C45A44">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6872E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1DB78C9">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97C3F9E">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6845261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扩大国家免疫规划、艾滋病防治、结核病防治、血吸虫与包虫病防治、精神卫生与慢性非传染性疾病防治等重大公共卫生服务有关工作。职业病危害监测能力提升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2814C18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饮茶型地氟病防治方面：落实8～12岁学生氟斑牙病情监测198人，正常165人，检查出可疑32人，检出率16.17%；极轻1人，检出率0.50%。入户抽样监测牧民饮用砖茶样本50份，经检测，氟含量范围在183-1236mg/kg之间,均值为590.02mg/kg，严重超标。抽样监测茶水样本7份，茶水氟含量范围在86-1510mg/kg之间，监测点饮用水氟含量均值为&lt;0.20mg/L，在正常值范围内。碘缺乏病防治方面：检测8～10岁儿童尿碘200份、尿碘中位数194.02g/L，检测儿童盐碘200份，盐碘中位数26.62ug/L，合格碘盐食用率100%。检测孕妇尿碘100份，尿碘中位数174.52ug/L，检测孕妇盐碘100份，碘盐中位数21.91ug/L，合格碘盐食用率100%。</w:t>
            </w:r>
          </w:p>
        </w:tc>
      </w:tr>
      <w:tr w14:paraId="5D52D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80CD0EA">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5ADE46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73CE3A3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地方病能力提升项目质保金</w:t>
            </w:r>
          </w:p>
        </w:tc>
      </w:tr>
      <w:tr w14:paraId="445F9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314F33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26BDD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01A91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AB5E6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CCFBE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8A14C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236F7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D503B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67E7C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2489F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80FC01F">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376A0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CF243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3.22</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02408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3.22</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3ED920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1.75</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C7C9E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54.42%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70E66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9B48163">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13E6F93">
            <w:pPr>
              <w:rPr>
                <w:rFonts w:hint="eastAsia" w:ascii="黑体" w:hAnsi="黑体" w:eastAsia="黑体" w:cs="黑体"/>
                <w:i/>
                <w:iCs/>
                <w:color w:val="000000"/>
                <w:sz w:val="18"/>
                <w:szCs w:val="18"/>
                <w:u w:val="none"/>
              </w:rPr>
            </w:pPr>
          </w:p>
        </w:tc>
      </w:tr>
      <w:tr w14:paraId="6A27C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AB173AC">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886CA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B7A3E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3.22</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A645E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3.22</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4D6F5E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1.75</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3E954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54.42%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B68DD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38221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E79D885">
            <w:pPr>
              <w:rPr>
                <w:rFonts w:hint="eastAsia" w:ascii="黑体" w:hAnsi="黑体" w:eastAsia="黑体" w:cs="黑体"/>
                <w:i/>
                <w:iCs/>
                <w:color w:val="000000"/>
                <w:sz w:val="18"/>
                <w:szCs w:val="18"/>
                <w:u w:val="none"/>
              </w:rPr>
            </w:pPr>
          </w:p>
        </w:tc>
      </w:tr>
      <w:tr w14:paraId="64EFF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18FCD5A">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6499C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10298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E7BBC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59A102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D857B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B520E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F58DA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E7C8B7E">
            <w:pPr>
              <w:rPr>
                <w:rFonts w:hint="eastAsia" w:ascii="黑体" w:hAnsi="黑体" w:eastAsia="黑体" w:cs="黑体"/>
                <w:i/>
                <w:iCs/>
                <w:color w:val="000000"/>
                <w:sz w:val="18"/>
                <w:szCs w:val="18"/>
                <w:u w:val="none"/>
              </w:rPr>
            </w:pPr>
          </w:p>
        </w:tc>
      </w:tr>
      <w:tr w14:paraId="1472C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E371DB6">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D4F4E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0CCE6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2B7C2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BD3E2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4D5B2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3F33A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23B07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0342868">
            <w:pPr>
              <w:rPr>
                <w:rFonts w:hint="eastAsia" w:ascii="黑体" w:hAnsi="黑体" w:eastAsia="黑体" w:cs="黑体"/>
                <w:i/>
                <w:iCs/>
                <w:color w:val="000000"/>
                <w:sz w:val="18"/>
                <w:szCs w:val="18"/>
                <w:u w:val="none"/>
              </w:rPr>
            </w:pPr>
          </w:p>
        </w:tc>
      </w:tr>
      <w:tr w14:paraId="72D2F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C04BDE6">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1DDC1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758D09A2">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2DABF3D">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1E2892F">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5C2BAFF">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843AD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8EEAD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AAB2F0">
            <w:pPr>
              <w:rPr>
                <w:rFonts w:hint="eastAsia" w:ascii="黑体" w:hAnsi="黑体" w:eastAsia="黑体" w:cs="黑体"/>
                <w:i/>
                <w:iCs/>
                <w:color w:val="000000"/>
                <w:sz w:val="18"/>
                <w:szCs w:val="18"/>
                <w:u w:val="none"/>
              </w:rPr>
            </w:pPr>
          </w:p>
        </w:tc>
      </w:tr>
      <w:tr w14:paraId="6F01F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BCF28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9A193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ADBA5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84412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A7B68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E8952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EE274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088C4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9AD51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9A66F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CAE86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298A4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F7F15D1">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71BAF8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542BFE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BC0DF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社区易感染艾滋病高危行为人群干预措施覆盖率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47072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754EF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2B4EAF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D4F921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80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5BBBA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6793888">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9E19B1B">
            <w:pPr>
              <w:jc w:val="center"/>
              <w:rPr>
                <w:rFonts w:hint="eastAsia" w:ascii="微软雅黑" w:hAnsi="微软雅黑" w:eastAsia="微软雅黑" w:cs="微软雅黑"/>
                <w:i/>
                <w:iCs/>
                <w:color w:val="000000"/>
                <w:sz w:val="16"/>
                <w:szCs w:val="16"/>
                <w:u w:val="none"/>
              </w:rPr>
            </w:pPr>
          </w:p>
        </w:tc>
      </w:tr>
      <w:tr w14:paraId="48CB7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24CC470">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7155B13">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EA80090">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EC62A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适龄儿童免疫规划疫苗接种率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E4411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7553A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88</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55904D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B432B6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47F34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349CF54">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3FEF72E">
            <w:pPr>
              <w:jc w:val="center"/>
              <w:rPr>
                <w:rFonts w:hint="eastAsia" w:ascii="微软雅黑" w:hAnsi="微软雅黑" w:eastAsia="微软雅黑" w:cs="微软雅黑"/>
                <w:i/>
                <w:iCs/>
                <w:color w:val="000000"/>
                <w:sz w:val="16"/>
                <w:szCs w:val="16"/>
                <w:u w:val="none"/>
              </w:rPr>
            </w:pPr>
          </w:p>
        </w:tc>
      </w:tr>
      <w:tr w14:paraId="65DE2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F531CE0">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6998042">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3E9543E">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51A62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肺结核病患者健康管理率及规则服药率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0DC90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BDD56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5196F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4E79DF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CA14B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10A2A3B">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A7291E4">
            <w:pPr>
              <w:jc w:val="center"/>
              <w:rPr>
                <w:rFonts w:hint="eastAsia" w:ascii="微软雅黑" w:hAnsi="微软雅黑" w:eastAsia="微软雅黑" w:cs="微软雅黑"/>
                <w:i/>
                <w:iCs/>
                <w:color w:val="000000"/>
                <w:sz w:val="16"/>
                <w:szCs w:val="16"/>
                <w:u w:val="none"/>
              </w:rPr>
            </w:pPr>
          </w:p>
        </w:tc>
      </w:tr>
      <w:tr w14:paraId="05162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7C083AE">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50E0216">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26D8863">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8B52A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艾滋病病毒感染者和病人规范管理率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947BD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DB27B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8458F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33E0FD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7B74D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FD77485">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6CE0600">
            <w:pPr>
              <w:jc w:val="center"/>
              <w:rPr>
                <w:rFonts w:hint="eastAsia" w:ascii="微软雅黑" w:hAnsi="微软雅黑" w:eastAsia="微软雅黑" w:cs="微软雅黑"/>
                <w:i/>
                <w:iCs/>
                <w:color w:val="000000"/>
                <w:sz w:val="16"/>
                <w:szCs w:val="16"/>
                <w:u w:val="none"/>
              </w:rPr>
            </w:pPr>
          </w:p>
        </w:tc>
      </w:tr>
      <w:tr w14:paraId="7F983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9707943">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85A3B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B20E2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8E27E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提高群众对艾滋病知识的知晓率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16333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A6D37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9A6B2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A9B01A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4653D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40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5B4E79F">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E01706A">
            <w:pPr>
              <w:jc w:val="center"/>
              <w:rPr>
                <w:rFonts w:hint="eastAsia" w:ascii="微软雅黑" w:hAnsi="微软雅黑" w:eastAsia="微软雅黑" w:cs="微软雅黑"/>
                <w:i/>
                <w:iCs/>
                <w:color w:val="000000"/>
                <w:sz w:val="16"/>
                <w:szCs w:val="16"/>
                <w:u w:val="none"/>
              </w:rPr>
            </w:pPr>
          </w:p>
        </w:tc>
      </w:tr>
      <w:tr w14:paraId="58244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6D922F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22C79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B980855">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56F22270">
            <w:pPr>
              <w:rPr>
                <w:rFonts w:hint="eastAsia" w:ascii="宋体" w:hAnsi="宋体" w:eastAsia="宋体" w:cs="宋体"/>
                <w:i w:val="0"/>
                <w:iCs w:val="0"/>
                <w:color w:val="000000"/>
                <w:sz w:val="18"/>
                <w:szCs w:val="18"/>
                <w:u w:val="none"/>
              </w:rPr>
            </w:pPr>
          </w:p>
        </w:tc>
      </w:tr>
      <w:tr w14:paraId="5DAE1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6833A7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12A72B2C">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大骨节病防治方面：对病区村全部常住7～12周岁儿童共3317名进行了临床检查及X线检查，未发现儿童大骨节病病例。鼠疫防治方面：采用路线法在查尔玛乡和龙日镇开展宿主动物密度调查和旱獭密度调查，共踏查1500ha（公顷）,累计见獭50只，经计算，我县鼠疫宿主密度为0.02只/ha，旱獭密度为0.04只/ha。累计采集并检测绵羊血清140份、旱獭血清35份，收集并解剖检测活体旱獭35只、高原鼠兔10只，检测结果均阴性。</w:t>
            </w:r>
          </w:p>
        </w:tc>
      </w:tr>
      <w:tr w14:paraId="34D65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7124DF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5B11088C">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无</w:t>
            </w:r>
          </w:p>
        </w:tc>
      </w:tr>
      <w:tr w14:paraId="210C1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4EBC15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19B0FF8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无</w:t>
            </w:r>
          </w:p>
        </w:tc>
      </w:tr>
      <w:tr w14:paraId="2A697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50F41BE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0B78D7E0">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68588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12E3FFEB">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118525B4">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6AF00D6C">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3A28B9B1">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61C19516">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52DAE80B">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348F31AE">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3C601E68">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266E02BD">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715ABFB4">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277B6E1D">
            <w:pPr>
              <w:rPr>
                <w:rFonts w:hint="eastAsia" w:ascii="宋体" w:hAnsi="宋体" w:eastAsia="宋体" w:cs="宋体"/>
                <w:i w:val="0"/>
                <w:iCs w:val="0"/>
                <w:color w:val="000000"/>
                <w:sz w:val="18"/>
                <w:szCs w:val="18"/>
                <w:u w:val="none"/>
              </w:rPr>
            </w:pPr>
          </w:p>
        </w:tc>
      </w:tr>
      <w:tr w14:paraId="5CFE7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25EFD739">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5E614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09E5E00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0AE13F2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51323324T000010343512-传染病管理项目经费</w:t>
            </w:r>
          </w:p>
        </w:tc>
      </w:tr>
      <w:tr w14:paraId="1D0FA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0014320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5FE0BD2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28ACF2BE">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2BF33C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618F5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79EB79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65E0CAC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807DF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1BD26210">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44C78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1688341">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4ED9A08">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DC8831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早发现、早落实传染病防控措施、最大限度降低传染病疫情发生后的流行规模减少疫情危害</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4DBE89D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扎实开展传染病早发现、早报告、早管控工作，落实流调处置，最大限度降低疫情扩散风险。各项监测、报告任务有序推进，各项绩效指标基本达标，预算执行率99.14%，较好完成年度目标。）</w:t>
            </w:r>
          </w:p>
        </w:tc>
      </w:tr>
      <w:tr w14:paraId="010F5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F56E425">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374015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66FC0C4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每季度对全县医疗机构进行传染病管理督导及两季对学校传染病管理进行督导。全县医疗机构传染病管理人员和学校传染病管理人员进行传染病知识培训。</w:t>
            </w:r>
          </w:p>
        </w:tc>
      </w:tr>
      <w:tr w14:paraId="7F9F2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40F37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B2335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969A7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C6F53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58D813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56833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CC4C7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69159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513A6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2A199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C8940C0">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FAEC5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66DAC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1.50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F060D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1.50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58DCFB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1.49</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E85DC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99.14%</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849B4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059DA32">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92A483B">
            <w:pPr>
              <w:rPr>
                <w:rFonts w:hint="eastAsia" w:ascii="黑体" w:hAnsi="黑体" w:eastAsia="黑体" w:cs="黑体"/>
                <w:i/>
                <w:iCs/>
                <w:color w:val="000000"/>
                <w:sz w:val="18"/>
                <w:szCs w:val="18"/>
                <w:u w:val="none"/>
              </w:rPr>
            </w:pPr>
          </w:p>
        </w:tc>
      </w:tr>
      <w:tr w14:paraId="4876A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4E9FF8B">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7812E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D1D93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1.50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32F32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1.50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83D3D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1.49</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A1665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99.14%</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D8A4D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95473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1B434BA">
            <w:pPr>
              <w:rPr>
                <w:rFonts w:hint="eastAsia" w:ascii="黑体" w:hAnsi="黑体" w:eastAsia="黑体" w:cs="黑体"/>
                <w:i/>
                <w:iCs/>
                <w:color w:val="000000"/>
                <w:sz w:val="18"/>
                <w:szCs w:val="18"/>
                <w:u w:val="none"/>
              </w:rPr>
            </w:pPr>
          </w:p>
        </w:tc>
      </w:tr>
      <w:tr w14:paraId="1DF1A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DF07B6A">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34E6D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05D2E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FD42D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53428B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1E9F3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AAF2F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FC293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9413AFF">
            <w:pPr>
              <w:rPr>
                <w:rFonts w:hint="eastAsia" w:ascii="黑体" w:hAnsi="黑体" w:eastAsia="黑体" w:cs="黑体"/>
                <w:i/>
                <w:iCs/>
                <w:color w:val="000000"/>
                <w:sz w:val="18"/>
                <w:szCs w:val="18"/>
                <w:u w:val="none"/>
              </w:rPr>
            </w:pPr>
          </w:p>
        </w:tc>
      </w:tr>
      <w:tr w14:paraId="623DD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559A510">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C3FE2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F6435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745E9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5AD924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DD278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3EDA0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A23CA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196E33A">
            <w:pPr>
              <w:rPr>
                <w:rFonts w:hint="eastAsia" w:ascii="黑体" w:hAnsi="黑体" w:eastAsia="黑体" w:cs="黑体"/>
                <w:i/>
                <w:iCs/>
                <w:color w:val="000000"/>
                <w:sz w:val="18"/>
                <w:szCs w:val="18"/>
                <w:u w:val="none"/>
              </w:rPr>
            </w:pPr>
          </w:p>
        </w:tc>
      </w:tr>
      <w:tr w14:paraId="6F98C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D60CF1F">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4239E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513A82A">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5BBD462">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D1D44CC">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D5A9243">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8AD0D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97997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9ED60A0">
            <w:pPr>
              <w:rPr>
                <w:rFonts w:hint="eastAsia" w:ascii="黑体" w:hAnsi="黑体" w:eastAsia="黑体" w:cs="黑体"/>
                <w:i/>
                <w:iCs/>
                <w:color w:val="000000"/>
                <w:sz w:val="18"/>
                <w:szCs w:val="18"/>
                <w:u w:val="none"/>
              </w:rPr>
            </w:pPr>
          </w:p>
        </w:tc>
      </w:tr>
      <w:tr w14:paraId="4BB1E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DF29B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36C0F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74BE5F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88549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C8443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41E6D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3ACA1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6C25E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F428B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47DCD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581983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63DD8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30C6B96">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4B6D0C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57C5E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4BA4B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人群主动筛查任务完成率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55A9C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266B38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5C4E68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7A9F4B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51969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27D0EF6">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BB538F1">
            <w:pPr>
              <w:jc w:val="center"/>
              <w:rPr>
                <w:rFonts w:hint="eastAsia" w:ascii="微软雅黑" w:hAnsi="微软雅黑" w:eastAsia="微软雅黑" w:cs="微软雅黑"/>
                <w:i/>
                <w:iCs/>
                <w:color w:val="000000"/>
                <w:sz w:val="16"/>
                <w:szCs w:val="16"/>
                <w:u w:val="none"/>
              </w:rPr>
            </w:pPr>
          </w:p>
        </w:tc>
      </w:tr>
      <w:tr w14:paraId="6B528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7DEED3E">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B9C5AB7">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78FC8E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质量指标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D324E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传染病疫情报告率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374E3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E1988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233011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DFC9FD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56BDE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A5266B3">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AA11095">
            <w:pPr>
              <w:jc w:val="center"/>
              <w:rPr>
                <w:rFonts w:hint="eastAsia" w:ascii="微软雅黑" w:hAnsi="微软雅黑" w:eastAsia="微软雅黑" w:cs="微软雅黑"/>
                <w:i/>
                <w:iCs/>
                <w:color w:val="000000"/>
                <w:sz w:val="16"/>
                <w:szCs w:val="16"/>
                <w:u w:val="none"/>
              </w:rPr>
            </w:pPr>
          </w:p>
        </w:tc>
      </w:tr>
      <w:tr w14:paraId="28473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8BE6F9A">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DA240F8">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29CF4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时效指标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A4A17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传染病和突发公共卫生事件报告及时率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95F06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2B4D4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2A3266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F2C4E1E">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99</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C8D1B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8809B78">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8F95482">
            <w:pPr>
              <w:jc w:val="center"/>
              <w:rPr>
                <w:rFonts w:hint="eastAsia" w:ascii="微软雅黑" w:hAnsi="微软雅黑" w:eastAsia="微软雅黑" w:cs="微软雅黑"/>
                <w:i/>
                <w:iCs/>
                <w:color w:val="000000"/>
                <w:sz w:val="16"/>
                <w:szCs w:val="16"/>
                <w:u w:val="none"/>
              </w:rPr>
            </w:pPr>
          </w:p>
        </w:tc>
      </w:tr>
      <w:tr w14:paraId="34B18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C469652">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20EAAC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7C513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C8E78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有效防控传染病传播</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7135F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271B29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D80DB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C1A757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3EACA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F61B1CF">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FD3472F">
            <w:pPr>
              <w:jc w:val="center"/>
              <w:rPr>
                <w:rFonts w:hint="eastAsia" w:ascii="微软雅黑" w:hAnsi="微软雅黑" w:eastAsia="微软雅黑" w:cs="微软雅黑"/>
                <w:i/>
                <w:iCs/>
                <w:color w:val="000000"/>
                <w:sz w:val="16"/>
                <w:szCs w:val="16"/>
                <w:u w:val="none"/>
              </w:rPr>
            </w:pPr>
          </w:p>
        </w:tc>
      </w:tr>
      <w:tr w14:paraId="386DA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AA33B3A">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6F97436">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7368FBE">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F258B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新冠疫情核酸监测</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4F328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7D22D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6015DE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E9B71E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4FF07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1849CA6">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887EF3E">
            <w:pPr>
              <w:jc w:val="center"/>
              <w:rPr>
                <w:rFonts w:hint="eastAsia" w:ascii="微软雅黑" w:hAnsi="微软雅黑" w:eastAsia="微软雅黑" w:cs="微软雅黑"/>
                <w:i/>
                <w:iCs/>
                <w:color w:val="000000"/>
                <w:sz w:val="16"/>
                <w:szCs w:val="16"/>
                <w:u w:val="none"/>
              </w:rPr>
            </w:pPr>
          </w:p>
        </w:tc>
      </w:tr>
      <w:tr w14:paraId="64986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C412415">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A927E09">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8C6E1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可持续影响指标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F7716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患者家属护理知识知晓率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AEFE3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A8809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6BC4B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845D14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B707F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1B47364">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EDF3860">
            <w:pPr>
              <w:jc w:val="center"/>
              <w:rPr>
                <w:rFonts w:hint="eastAsia" w:ascii="微软雅黑" w:hAnsi="微软雅黑" w:eastAsia="微软雅黑" w:cs="微软雅黑"/>
                <w:i/>
                <w:iCs/>
                <w:color w:val="000000"/>
                <w:sz w:val="16"/>
                <w:szCs w:val="16"/>
                <w:u w:val="none"/>
              </w:rPr>
            </w:pPr>
          </w:p>
        </w:tc>
      </w:tr>
      <w:tr w14:paraId="3A24F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A803E19">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64E83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D1402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服务对象满意度指标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9B506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传染病患者满意度</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71F34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2F01E7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CFC8C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303D6E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0BA97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20D4105">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C5F557B">
            <w:pPr>
              <w:jc w:val="center"/>
              <w:rPr>
                <w:rFonts w:hint="eastAsia" w:ascii="微软雅黑" w:hAnsi="微软雅黑" w:eastAsia="微软雅黑" w:cs="微软雅黑"/>
                <w:i/>
                <w:iCs/>
                <w:color w:val="000000"/>
                <w:sz w:val="16"/>
                <w:szCs w:val="16"/>
                <w:u w:val="none"/>
              </w:rPr>
            </w:pPr>
          </w:p>
        </w:tc>
      </w:tr>
      <w:tr w14:paraId="711DB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546BF5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484CC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68B16D8">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D45F5A5">
            <w:pPr>
              <w:rPr>
                <w:rFonts w:hint="eastAsia" w:ascii="宋体" w:hAnsi="宋体" w:eastAsia="宋体" w:cs="宋体"/>
                <w:i w:val="0"/>
                <w:iCs w:val="0"/>
                <w:color w:val="000000"/>
                <w:sz w:val="18"/>
                <w:szCs w:val="18"/>
                <w:u w:val="none"/>
              </w:rPr>
            </w:pPr>
          </w:p>
        </w:tc>
      </w:tr>
      <w:tr w14:paraId="01699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710194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1106BC0E">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99分。本年度规范使用传染病管理项目经费，有序开展传染病排查、疫情报告、流调处置、健康宣教等工作，人群主动筛查任务完成率、疫情报告及时率等指标均达标，有效防范传染病传播风险，提升群众防控意识，取得良好公共卫生成效。</w:t>
            </w:r>
          </w:p>
        </w:tc>
      </w:tr>
      <w:tr w14:paraId="3117F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720C72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5F29AC9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预算执行率99.14%，未达到100%，少量经费因工作时序原因未支付完毕。部分偏远地区群众传染病防控知晓率提升难度较大；突发传染病存在不确定性，对物资、人员经费预判有一定难度。无资金挤占挪用情况。</w:t>
            </w:r>
          </w:p>
        </w:tc>
      </w:tr>
      <w:tr w14:paraId="19A72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26DC1F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3A2D1CCC">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提前谋划传染病防控工作计划，加快经费报账支付进度；持续深入开展牧区传染病健康宣教，提升群众防护知晓水平；完善应急预案，科学预判传染病防控需求，精准编制预算，持续提升传染病监测处置能力。</w:t>
            </w:r>
          </w:p>
        </w:tc>
      </w:tr>
      <w:tr w14:paraId="5511F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5E7DCE18">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3A094D1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37B0C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002DEE05">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67656F89">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4136DE5D">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1224E237">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29A1486F">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1DE5E900">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3BB186AB">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12A41507">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4A6E4D26">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66313EFD">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50A1FE58">
            <w:pPr>
              <w:rPr>
                <w:rFonts w:hint="eastAsia" w:ascii="宋体" w:hAnsi="宋体" w:eastAsia="宋体" w:cs="宋体"/>
                <w:i w:val="0"/>
                <w:iCs w:val="0"/>
                <w:color w:val="000000"/>
                <w:sz w:val="18"/>
                <w:szCs w:val="18"/>
                <w:u w:val="none"/>
              </w:rPr>
            </w:pPr>
          </w:p>
        </w:tc>
      </w:tr>
      <w:tr w14:paraId="77200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45B38941">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60FCF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439B9F9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05FF1FC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51323324T000010343555-结核病管理项目经费</w:t>
            </w:r>
          </w:p>
        </w:tc>
      </w:tr>
      <w:tr w14:paraId="242B3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5E1F347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211C1E0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6D5C6ADE">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4D6B43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02C72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4B35BB9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3554496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669660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141AE558">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4E945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142CD3A">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755227C">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1F8338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提高了人民群众自我防病意识对结核病的早期识别能力。</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1284BF3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有序开展结核病筛查、患者管理、健康宣教等工作，不断提升群众结核病防病意识与早期识别能力，各项工作指标稳步推进，预算执行率95.26%，较好完成年度目标任务。</w:t>
            </w:r>
          </w:p>
        </w:tc>
      </w:tr>
      <w:tr w14:paraId="23E5D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7CB1FCF">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B312BF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46C9A46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截至目前，全县累计在管结核病病例112 例，其中83例为2025年新增病例，结核病发病率175.9/10万，结核病患者数量位居全州前3位。按照全省结核病分类防控项目工作要求，2025年，县疾控中心在色地镇、麦洼乡、瓦切镇、阿木乡4个结核病高发乡镇筛查18岁以上人群4100人，完成率100%。</w:t>
            </w:r>
          </w:p>
        </w:tc>
      </w:tr>
      <w:tr w14:paraId="013A5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120FDE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57231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F741D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D32A8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43614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9DECB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A2EFE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6C59A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DCF79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096D9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A48E044">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6E252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E8455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2D2C8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F872E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0.95</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1EB98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95.26%</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740DF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1A439C4">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71919EF3">
            <w:pPr>
              <w:rPr>
                <w:rFonts w:hint="eastAsia" w:ascii="黑体" w:hAnsi="黑体" w:eastAsia="黑体" w:cs="黑体"/>
                <w:i/>
                <w:iCs/>
                <w:color w:val="000000"/>
                <w:sz w:val="18"/>
                <w:szCs w:val="18"/>
                <w:u w:val="none"/>
              </w:rPr>
            </w:pPr>
          </w:p>
        </w:tc>
      </w:tr>
      <w:tr w14:paraId="1A7F5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5D763B1">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9EB90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F4671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4C925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C1715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0.95</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31B00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95.26%</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0F8DE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B5C6D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EE60E7A">
            <w:pPr>
              <w:rPr>
                <w:rFonts w:hint="eastAsia" w:ascii="黑体" w:hAnsi="黑体" w:eastAsia="黑体" w:cs="黑体"/>
                <w:i/>
                <w:iCs/>
                <w:color w:val="000000"/>
                <w:sz w:val="18"/>
                <w:szCs w:val="18"/>
                <w:u w:val="none"/>
              </w:rPr>
            </w:pPr>
          </w:p>
        </w:tc>
      </w:tr>
      <w:tr w14:paraId="3EB22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72000C6">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0038E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25FF9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2A8A0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F7170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2238C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F13D6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E6691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1A0C041">
            <w:pPr>
              <w:rPr>
                <w:rFonts w:hint="eastAsia" w:ascii="黑体" w:hAnsi="黑体" w:eastAsia="黑体" w:cs="黑体"/>
                <w:i/>
                <w:iCs/>
                <w:color w:val="000000"/>
                <w:sz w:val="18"/>
                <w:szCs w:val="18"/>
                <w:u w:val="none"/>
              </w:rPr>
            </w:pPr>
          </w:p>
        </w:tc>
      </w:tr>
      <w:tr w14:paraId="3E352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3DF81CD">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03584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8BA3A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C6247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3F4DC8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F7C7B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D0181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557F4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50ABC98">
            <w:pPr>
              <w:rPr>
                <w:rFonts w:hint="eastAsia" w:ascii="黑体" w:hAnsi="黑体" w:eastAsia="黑体" w:cs="黑体"/>
                <w:i/>
                <w:iCs/>
                <w:color w:val="000000"/>
                <w:sz w:val="18"/>
                <w:szCs w:val="18"/>
                <w:u w:val="none"/>
              </w:rPr>
            </w:pPr>
          </w:p>
        </w:tc>
      </w:tr>
      <w:tr w14:paraId="39BF4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29956C9">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259B9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16CFA9D">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B0CA989">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3B6D375D">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B546A5D">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C79CC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FA431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2639088">
            <w:pPr>
              <w:rPr>
                <w:rFonts w:hint="eastAsia" w:ascii="黑体" w:hAnsi="黑体" w:eastAsia="黑体" w:cs="黑体"/>
                <w:i/>
                <w:iCs/>
                <w:color w:val="000000"/>
                <w:sz w:val="18"/>
                <w:szCs w:val="18"/>
                <w:u w:val="none"/>
              </w:rPr>
            </w:pPr>
          </w:p>
        </w:tc>
      </w:tr>
      <w:tr w14:paraId="66D11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9DBB8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8611B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42139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0C5DB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83F7A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39596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0FF1EC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D5749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18138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99C30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8FE12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3D653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3AED84C">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6C441C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7DA47E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828EC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涂阳肺结核患者耐药筛查率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AAD01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282774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109C6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62584B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85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D4D1E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7D485F2">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685F346">
            <w:pPr>
              <w:jc w:val="center"/>
              <w:rPr>
                <w:rFonts w:hint="eastAsia" w:ascii="微软雅黑" w:hAnsi="微软雅黑" w:eastAsia="微软雅黑" w:cs="微软雅黑"/>
                <w:i/>
                <w:iCs/>
                <w:color w:val="000000"/>
                <w:sz w:val="16"/>
                <w:szCs w:val="16"/>
                <w:u w:val="none"/>
              </w:rPr>
            </w:pPr>
          </w:p>
        </w:tc>
      </w:tr>
      <w:tr w14:paraId="0847A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9D18FFE">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1F3DFDB">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1064A84">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E3788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肺结核病患者健康管理率及规则服药率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6CB3D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5B37E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0D2E6A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B94053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80997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33D4D34">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441EE5E">
            <w:pPr>
              <w:jc w:val="center"/>
              <w:rPr>
                <w:rFonts w:hint="eastAsia" w:ascii="微软雅黑" w:hAnsi="微软雅黑" w:eastAsia="微软雅黑" w:cs="微软雅黑"/>
                <w:i/>
                <w:iCs/>
                <w:color w:val="000000"/>
                <w:sz w:val="16"/>
                <w:szCs w:val="16"/>
                <w:u w:val="none"/>
              </w:rPr>
            </w:pPr>
          </w:p>
        </w:tc>
      </w:tr>
      <w:tr w14:paraId="276E4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82AF605">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2A4B019">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6BA087E">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58970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结核病宣传次数</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7E861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DDE2A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6</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5DB21A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次</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B1C3BF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62CD4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7A21796">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38B40AF">
            <w:pPr>
              <w:jc w:val="center"/>
              <w:rPr>
                <w:rFonts w:hint="eastAsia" w:ascii="微软雅黑" w:hAnsi="微软雅黑" w:eastAsia="微软雅黑" w:cs="微软雅黑"/>
                <w:i/>
                <w:iCs/>
                <w:color w:val="000000"/>
                <w:sz w:val="16"/>
                <w:szCs w:val="16"/>
                <w:u w:val="none"/>
              </w:rPr>
            </w:pPr>
          </w:p>
        </w:tc>
      </w:tr>
      <w:tr w14:paraId="6B09C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E06F380">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D528287">
            <w:pPr>
              <w:jc w:val="center"/>
              <w:rPr>
                <w:rFonts w:hint="eastAsia" w:ascii="宋体" w:hAnsi="宋体" w:eastAsia="宋体" w:cs="宋体"/>
                <w:i w:val="0"/>
                <w:iCs w:val="0"/>
                <w:color w:val="000000"/>
                <w:sz w:val="18"/>
                <w:szCs w:val="18"/>
                <w:u w:val="none"/>
              </w:rPr>
            </w:pP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3AFF5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质量指标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5C7E2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结核病项目经费使用合规率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AFD4C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AB1DB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B42A3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434C1C0">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56482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8B015B0">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075FA50">
            <w:pPr>
              <w:jc w:val="center"/>
              <w:rPr>
                <w:rFonts w:hint="eastAsia" w:ascii="微软雅黑" w:hAnsi="微软雅黑" w:eastAsia="微软雅黑" w:cs="微软雅黑"/>
                <w:i/>
                <w:iCs/>
                <w:color w:val="000000"/>
                <w:sz w:val="16"/>
                <w:szCs w:val="16"/>
                <w:u w:val="none"/>
              </w:rPr>
            </w:pPr>
          </w:p>
        </w:tc>
      </w:tr>
      <w:tr w14:paraId="071E5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09ACC9F">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A6473CC">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F6E6507">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45F79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肺结核患者健康管理率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5F3B58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EEDB3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EFE73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C4F792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7588F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C94360B">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676CE72">
            <w:pPr>
              <w:jc w:val="center"/>
              <w:rPr>
                <w:rFonts w:hint="eastAsia" w:ascii="微软雅黑" w:hAnsi="微软雅黑" w:eastAsia="微软雅黑" w:cs="微软雅黑"/>
                <w:i/>
                <w:iCs/>
                <w:color w:val="000000"/>
                <w:sz w:val="16"/>
                <w:szCs w:val="16"/>
                <w:u w:val="none"/>
              </w:rPr>
            </w:pPr>
          </w:p>
        </w:tc>
      </w:tr>
      <w:tr w14:paraId="4148F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D76B2C0">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C40C5A">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96CFA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时效指标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CC847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结核病项目经费使用及时率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2A11B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23CEF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240B22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C71E62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EFED6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112776C">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0181513">
            <w:pPr>
              <w:jc w:val="center"/>
              <w:rPr>
                <w:rFonts w:hint="eastAsia" w:ascii="微软雅黑" w:hAnsi="微软雅黑" w:eastAsia="微软雅黑" w:cs="微软雅黑"/>
                <w:i/>
                <w:iCs/>
                <w:color w:val="000000"/>
                <w:sz w:val="16"/>
                <w:szCs w:val="16"/>
                <w:u w:val="none"/>
              </w:rPr>
            </w:pPr>
          </w:p>
        </w:tc>
      </w:tr>
      <w:tr w14:paraId="03524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F9F822D">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4807D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64FCE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D1B86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人群筛查规范治疗</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2A42D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4C295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26C2F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7E02DF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DDFCA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BBF0F5B">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913947F">
            <w:pPr>
              <w:jc w:val="center"/>
              <w:rPr>
                <w:rFonts w:hint="eastAsia" w:ascii="微软雅黑" w:hAnsi="微软雅黑" w:eastAsia="微软雅黑" w:cs="微软雅黑"/>
                <w:i/>
                <w:iCs/>
                <w:color w:val="000000"/>
                <w:sz w:val="16"/>
                <w:szCs w:val="16"/>
                <w:u w:val="none"/>
              </w:rPr>
            </w:pPr>
          </w:p>
        </w:tc>
      </w:tr>
      <w:tr w14:paraId="79BC2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18D8D8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547DD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435F2CA">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3675B2F">
            <w:pPr>
              <w:rPr>
                <w:rFonts w:hint="eastAsia" w:ascii="宋体" w:hAnsi="宋体" w:eastAsia="宋体" w:cs="宋体"/>
                <w:i w:val="0"/>
                <w:iCs w:val="0"/>
                <w:color w:val="000000"/>
                <w:sz w:val="18"/>
                <w:szCs w:val="18"/>
                <w:u w:val="none"/>
              </w:rPr>
            </w:pPr>
          </w:p>
        </w:tc>
      </w:tr>
      <w:tr w14:paraId="65152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662568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21CEC1D8">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95分。规范使用结核病管理项目经费，落实结核患者随访管理、服药督导、健康宣传、病例筛查等工作，涂阳肺结核患者服药筛查率、患者规范管理率等指标基本达标，有效提升辖区结核病防治水平，降低传播风险，公共卫生成效明显。</w:t>
            </w:r>
          </w:p>
        </w:tc>
      </w:tr>
      <w:tr w14:paraId="26400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044E5A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1175E25D">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预算执行率95.26%，部分工作经费支付滞后，未能全额执行。辖区地广人稀，群众居住分散，结核病随访、筛查组织难度大；部分群众防病意识薄弱，主动就诊筛查积极性不高，给防治工作带来一定压力，无违规使用资金情况。</w:t>
            </w:r>
          </w:p>
        </w:tc>
      </w:tr>
      <w:tr w14:paraId="05AE9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2DC0FF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242BE33A">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合理统筹全年防治工作，加快项目经费支出报账进度；结合牧区特点常态化开展结核病科普宣传，引导群众主动筛查；优化随访管理模式，强化基层督导，持续提高结核患者规范管理、规范服药水平，提升结核病防治成效。</w:t>
            </w:r>
          </w:p>
        </w:tc>
      </w:tr>
      <w:tr w14:paraId="371CA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0447E27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4837D17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33EFF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1F9B55FB">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6C07A696">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3F536A10">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6D5297D0">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45C5F146">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1A07761B">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6C48881B">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0C6A6343">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3EBE9640">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3950FD85">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5FAE7DFE">
            <w:pPr>
              <w:rPr>
                <w:rFonts w:hint="eastAsia" w:ascii="宋体" w:hAnsi="宋体" w:eastAsia="宋体" w:cs="宋体"/>
                <w:i w:val="0"/>
                <w:iCs w:val="0"/>
                <w:color w:val="000000"/>
                <w:sz w:val="18"/>
                <w:szCs w:val="18"/>
                <w:u w:val="none"/>
              </w:rPr>
            </w:pPr>
          </w:p>
        </w:tc>
      </w:tr>
      <w:tr w14:paraId="5B798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110470CE">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04037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0F6CD35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34A9F2B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51323324T000010343564-艾滋病管理项目经费</w:t>
            </w:r>
          </w:p>
        </w:tc>
      </w:tr>
      <w:tr w14:paraId="22DBE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4533D03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68161DE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4D3A34B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00245D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5BEDD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7BA06E9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6AB4934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7ECC9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2D904DBB">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447D7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09C9174">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0E4215A">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4F082DD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降低艾滋病发病率，保障艾滋病项目工作有序开展</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0C15123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扎实开展艾滋病随访管理、宣传干预、筛查监测等工作，着力降低艾滋病发病风险，保障艾防项目有序推进。受年度工作时序安排影响，预算执行率69.49%，各项核心业务稳步实施</w:t>
            </w:r>
          </w:p>
        </w:tc>
      </w:tr>
      <w:tr w14:paraId="3AA9F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17A6988">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37ADA7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14BEFF21">
            <w:pPr>
              <w:rPr>
                <w:rFonts w:hint="eastAsia" w:ascii="宋体" w:hAnsi="宋体" w:eastAsia="宋体" w:cs="宋体"/>
                <w:i w:val="0"/>
                <w:iCs w:val="0"/>
                <w:color w:val="000000"/>
                <w:sz w:val="18"/>
                <w:szCs w:val="18"/>
                <w:u w:val="none"/>
              </w:rPr>
            </w:pPr>
          </w:p>
        </w:tc>
      </w:tr>
      <w:tr w14:paraId="47F8E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33BB02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A309B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1F8A2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D0831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4ED08B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9BF67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D8AE9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0711E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AAD6E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17FA4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9382391">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181B7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0D334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D7018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37683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5.56</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9EC08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69.49%</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36F21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D39BB03">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19C4F660">
            <w:pPr>
              <w:rPr>
                <w:rFonts w:hint="eastAsia" w:ascii="黑体" w:hAnsi="黑体" w:eastAsia="黑体" w:cs="黑体"/>
                <w:i/>
                <w:iCs/>
                <w:color w:val="000000"/>
                <w:sz w:val="18"/>
                <w:szCs w:val="18"/>
                <w:u w:val="none"/>
              </w:rPr>
            </w:pPr>
          </w:p>
        </w:tc>
      </w:tr>
      <w:tr w14:paraId="5C785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16E40C0">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7AE24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3A0F7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FA547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6E6E48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5.56</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C1109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69.49%</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F7F54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E35D8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3E5087C">
            <w:pPr>
              <w:rPr>
                <w:rFonts w:hint="eastAsia" w:ascii="黑体" w:hAnsi="黑体" w:eastAsia="黑体" w:cs="黑体"/>
                <w:i/>
                <w:iCs/>
                <w:color w:val="000000"/>
                <w:sz w:val="18"/>
                <w:szCs w:val="18"/>
                <w:u w:val="none"/>
              </w:rPr>
            </w:pPr>
          </w:p>
        </w:tc>
      </w:tr>
      <w:tr w14:paraId="00E39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BB33FC8">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1328E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7DAB1A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5599B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215F8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6A0B8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97FA0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525A2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8ACC21A">
            <w:pPr>
              <w:rPr>
                <w:rFonts w:hint="eastAsia" w:ascii="黑体" w:hAnsi="黑体" w:eastAsia="黑体" w:cs="黑体"/>
                <w:i/>
                <w:iCs/>
                <w:color w:val="000000"/>
                <w:sz w:val="18"/>
                <w:szCs w:val="18"/>
                <w:u w:val="none"/>
              </w:rPr>
            </w:pPr>
          </w:p>
        </w:tc>
      </w:tr>
      <w:tr w14:paraId="6AAC0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14922A7">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4AF12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77A30E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CA164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146B3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F8229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03DB7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42EA4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CC4380D">
            <w:pPr>
              <w:rPr>
                <w:rFonts w:hint="eastAsia" w:ascii="黑体" w:hAnsi="黑体" w:eastAsia="黑体" w:cs="黑体"/>
                <w:i/>
                <w:iCs/>
                <w:color w:val="000000"/>
                <w:sz w:val="18"/>
                <w:szCs w:val="18"/>
                <w:u w:val="none"/>
              </w:rPr>
            </w:pPr>
          </w:p>
        </w:tc>
      </w:tr>
      <w:tr w14:paraId="5EE90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8D43023">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13982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CC86CC2">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D581E3E">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254182A">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5CB4BE7">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ED702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0B944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FC41A63">
            <w:pPr>
              <w:rPr>
                <w:rFonts w:hint="eastAsia" w:ascii="黑体" w:hAnsi="黑体" w:eastAsia="黑体" w:cs="黑体"/>
                <w:i/>
                <w:iCs/>
                <w:color w:val="000000"/>
                <w:sz w:val="18"/>
                <w:szCs w:val="18"/>
                <w:u w:val="none"/>
              </w:rPr>
            </w:pPr>
          </w:p>
        </w:tc>
      </w:tr>
      <w:tr w14:paraId="1424E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0A8CCC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04041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D43FE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C0E83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E4CB4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75E87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607981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3229E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87E25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CA7ED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34FC3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6A3A7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2243ABB">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7F4AE5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469AE9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F4F50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艾滋病感染者接受规范随访率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421E2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67ADB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54FA80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5EC212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7FBA3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612F118">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85EE60C">
            <w:pPr>
              <w:jc w:val="center"/>
              <w:rPr>
                <w:rFonts w:hint="eastAsia" w:ascii="微软雅黑" w:hAnsi="微软雅黑" w:eastAsia="微软雅黑" w:cs="微软雅黑"/>
                <w:i/>
                <w:iCs/>
                <w:color w:val="000000"/>
                <w:sz w:val="16"/>
                <w:szCs w:val="16"/>
                <w:u w:val="none"/>
              </w:rPr>
            </w:pPr>
          </w:p>
        </w:tc>
      </w:tr>
      <w:tr w14:paraId="480D9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A14330D">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D4D7114">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E4AAA33">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1B163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项目完成及社会效益情况</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5269C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F3EEF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EAF34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5BF2F8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8696B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86B1863">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5324F63F">
            <w:pPr>
              <w:jc w:val="center"/>
              <w:rPr>
                <w:rFonts w:hint="eastAsia" w:ascii="微软雅黑" w:hAnsi="微软雅黑" w:eastAsia="微软雅黑" w:cs="微软雅黑"/>
                <w:i/>
                <w:iCs/>
                <w:color w:val="000000"/>
                <w:sz w:val="16"/>
                <w:szCs w:val="16"/>
                <w:u w:val="none"/>
              </w:rPr>
            </w:pPr>
          </w:p>
        </w:tc>
      </w:tr>
      <w:tr w14:paraId="662AF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82C17B7">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77AE6F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5DFC74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B71E2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降低艾滋病发病率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49314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定性</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227C4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254F8183">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550997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CA389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F089C5E">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0A1AD72">
            <w:pPr>
              <w:jc w:val="center"/>
              <w:rPr>
                <w:rFonts w:hint="eastAsia" w:ascii="微软雅黑" w:hAnsi="微软雅黑" w:eastAsia="微软雅黑" w:cs="微软雅黑"/>
                <w:i/>
                <w:iCs/>
                <w:color w:val="000000"/>
                <w:sz w:val="16"/>
                <w:szCs w:val="16"/>
                <w:u w:val="none"/>
              </w:rPr>
            </w:pPr>
          </w:p>
        </w:tc>
      </w:tr>
      <w:tr w14:paraId="71776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41F0211">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A6F4FBF">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C4B3922">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D2879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提高群众对艾滋病知识的知晓率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9DFA7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CE8B5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048EE1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D416A2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D76DE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A9F15B3">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EC02335">
            <w:pPr>
              <w:jc w:val="center"/>
              <w:rPr>
                <w:rFonts w:hint="eastAsia" w:ascii="微软雅黑" w:hAnsi="微软雅黑" w:eastAsia="微软雅黑" w:cs="微软雅黑"/>
                <w:i/>
                <w:iCs/>
                <w:color w:val="000000"/>
                <w:sz w:val="16"/>
                <w:szCs w:val="16"/>
                <w:u w:val="none"/>
              </w:rPr>
            </w:pPr>
          </w:p>
        </w:tc>
      </w:tr>
      <w:tr w14:paraId="21339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9032C6F">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80CFFAE">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804DAB3">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F021F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艾滋病病毒感染者规范管理率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007F70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DD555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F771A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772B1C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92E43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6A2A217">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8BABE12">
            <w:pPr>
              <w:jc w:val="center"/>
              <w:rPr>
                <w:rFonts w:hint="eastAsia" w:ascii="微软雅黑" w:hAnsi="微软雅黑" w:eastAsia="微软雅黑" w:cs="微软雅黑"/>
                <w:i/>
                <w:iCs/>
                <w:color w:val="000000"/>
                <w:sz w:val="16"/>
                <w:szCs w:val="16"/>
                <w:u w:val="none"/>
              </w:rPr>
            </w:pPr>
          </w:p>
        </w:tc>
      </w:tr>
      <w:tr w14:paraId="0DEE6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23753FE">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C09782">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98C51EB">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9326B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艾滋病母婴传播率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3AAB6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1D4878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98</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97208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C9FC3B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99%</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C7EA7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7D3D433">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BF515A6">
            <w:pPr>
              <w:jc w:val="center"/>
              <w:rPr>
                <w:rFonts w:hint="eastAsia" w:ascii="微软雅黑" w:hAnsi="微软雅黑" w:eastAsia="微软雅黑" w:cs="微软雅黑"/>
                <w:i/>
                <w:iCs/>
                <w:color w:val="000000"/>
                <w:sz w:val="16"/>
                <w:szCs w:val="16"/>
                <w:u w:val="none"/>
              </w:rPr>
            </w:pPr>
          </w:p>
        </w:tc>
      </w:tr>
      <w:tr w14:paraId="793E9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A16B49D">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418CB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DC566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服务对象满意度指标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0B6BC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艾滋病患者满意度</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902A8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229DC7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2E0FA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0C2DC9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3B373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23CE620">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99E72FA">
            <w:pPr>
              <w:jc w:val="center"/>
              <w:rPr>
                <w:rFonts w:hint="eastAsia" w:ascii="微软雅黑" w:hAnsi="微软雅黑" w:eastAsia="微软雅黑" w:cs="微软雅黑"/>
                <w:i/>
                <w:iCs/>
                <w:color w:val="000000"/>
                <w:sz w:val="16"/>
                <w:szCs w:val="16"/>
                <w:u w:val="none"/>
              </w:rPr>
            </w:pPr>
          </w:p>
        </w:tc>
      </w:tr>
      <w:tr w14:paraId="711F1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493736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2E048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46A6249">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C3EAC49">
            <w:pPr>
              <w:rPr>
                <w:rFonts w:hint="eastAsia" w:ascii="宋体" w:hAnsi="宋体" w:eastAsia="宋体" w:cs="宋体"/>
                <w:i w:val="0"/>
                <w:iCs w:val="0"/>
                <w:color w:val="000000"/>
                <w:sz w:val="18"/>
                <w:szCs w:val="18"/>
                <w:u w:val="none"/>
              </w:rPr>
            </w:pPr>
          </w:p>
        </w:tc>
      </w:tr>
      <w:tr w14:paraId="1E66A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779FF2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57BAEED8">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70分。项目资金用于艾滋病感染者随访、健康宣教、高危人群干预等工作，感染者规范随访、规范管理等指标有序落实，持续普及防艾知识，降低传播风险，保障辖区艾滋病防控工作平稳开展。因部分任务延后实施，预算执行进度偏慢，资金使用合规。</w:t>
            </w:r>
          </w:p>
        </w:tc>
      </w:tr>
      <w:tr w14:paraId="329CA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0956F3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3A24D1B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预算执行率69.49%，执行进度滞后，部分艾防干预、检测任务集中在下半年开展，经费报账拨付延后。县域地广人稀，高危人群摸排动员难度大，群众防艾认知提升仍有空间，项目统筹安排有待优化，无挤占挪用资金问题。</w:t>
            </w:r>
          </w:p>
        </w:tc>
      </w:tr>
      <w:tr w14:paraId="60A5F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19362E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54C102C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科学谋划全年艾防工作计划，均衡安排项目任务，加快经费支出进度；加大牧区防艾宣传动员力度，常态化开展重点人群筛查干预；强化感染者随访管理，做到早发现、早干预，持续控制艾滋病传播风险，提升项目资金使用效益</w:t>
            </w:r>
          </w:p>
        </w:tc>
      </w:tr>
      <w:tr w14:paraId="088A7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58AE2FB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4256817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2F0CC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01C1BEA0">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7EE2C9D8">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71F52C2D">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54802FAC">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1B72DFB6">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6476F5D4">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016D7E42">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12CF1777">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73304CC0">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5E088A8A">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141EA278">
            <w:pPr>
              <w:rPr>
                <w:rFonts w:hint="eastAsia" w:ascii="宋体" w:hAnsi="宋体" w:eastAsia="宋体" w:cs="宋体"/>
                <w:i w:val="0"/>
                <w:iCs w:val="0"/>
                <w:color w:val="000000"/>
                <w:sz w:val="18"/>
                <w:szCs w:val="18"/>
                <w:u w:val="none"/>
              </w:rPr>
            </w:pPr>
          </w:p>
        </w:tc>
      </w:tr>
      <w:tr w14:paraId="4B95D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63C90BC4">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35F7A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4839606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62BD131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51323324T000010343567-免疫规划项目管理经费</w:t>
            </w:r>
          </w:p>
        </w:tc>
      </w:tr>
      <w:tr w14:paraId="70B39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0BC759C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7013B0D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2A6F5E81">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47F739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43E7A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696DEE5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17E69DF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0A7A55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43A564AD">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27B3B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5927F36">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EB4F419">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4A8014D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不仅提高了群众的健康素养知识水平，还营造了全民抗击疾病，维护生命健康的氛围</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3402189D">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开展免疫规划疫苗接种、宣传等工作，提升群众健康认知，筑牢免疫屏障。本年度各项接种任务有序推进，受工作时序影响预算执行率69.32%，持续维护辖区群众身体健康。</w:t>
            </w:r>
          </w:p>
        </w:tc>
      </w:tr>
      <w:tr w14:paraId="248B0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FEB9165">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A73358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33A3974D">
            <w:pPr>
              <w:rPr>
                <w:rFonts w:hint="eastAsia" w:ascii="宋体" w:hAnsi="宋体" w:eastAsia="宋体" w:cs="宋体"/>
                <w:i w:val="0"/>
                <w:iCs w:val="0"/>
                <w:color w:val="000000"/>
                <w:sz w:val="18"/>
                <w:szCs w:val="18"/>
                <w:u w:val="none"/>
              </w:rPr>
            </w:pPr>
          </w:p>
        </w:tc>
      </w:tr>
      <w:tr w14:paraId="6485E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CD05B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EF674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63071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4C2F1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C3EC7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BFBE7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A1981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E0F8E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3D92C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20C07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92FF1E7">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EF7A2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78C4E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74940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05CAC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0.69</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3101E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69.32%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230B7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D4C32D4">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3A965DA9">
            <w:pPr>
              <w:rPr>
                <w:rFonts w:hint="eastAsia" w:ascii="黑体" w:hAnsi="黑体" w:eastAsia="黑体" w:cs="黑体"/>
                <w:i/>
                <w:iCs/>
                <w:color w:val="000000"/>
                <w:sz w:val="18"/>
                <w:szCs w:val="18"/>
                <w:u w:val="none"/>
              </w:rPr>
            </w:pPr>
          </w:p>
        </w:tc>
      </w:tr>
      <w:tr w14:paraId="27340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62CA50F">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B7F79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5F11E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0379F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AD077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0.69</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CE4A4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69.32%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0042A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FF16F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0A762C9">
            <w:pPr>
              <w:rPr>
                <w:rFonts w:hint="eastAsia" w:ascii="黑体" w:hAnsi="黑体" w:eastAsia="黑体" w:cs="黑体"/>
                <w:i/>
                <w:iCs/>
                <w:color w:val="000000"/>
                <w:sz w:val="18"/>
                <w:szCs w:val="18"/>
                <w:u w:val="none"/>
              </w:rPr>
            </w:pPr>
          </w:p>
        </w:tc>
      </w:tr>
      <w:tr w14:paraId="50F64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1F61D93">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A1BC1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7EAF5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5616D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54834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F066D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038F3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21FA2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B84CCC9">
            <w:pPr>
              <w:rPr>
                <w:rFonts w:hint="eastAsia" w:ascii="黑体" w:hAnsi="黑体" w:eastAsia="黑体" w:cs="黑体"/>
                <w:i/>
                <w:iCs/>
                <w:color w:val="000000"/>
                <w:sz w:val="18"/>
                <w:szCs w:val="18"/>
                <w:u w:val="none"/>
              </w:rPr>
            </w:pPr>
          </w:p>
        </w:tc>
      </w:tr>
      <w:tr w14:paraId="21ECE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D6E8372">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C5A82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1652B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408CE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22934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F63A3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B3FE0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F13CF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FFACC51">
            <w:pPr>
              <w:rPr>
                <w:rFonts w:hint="eastAsia" w:ascii="黑体" w:hAnsi="黑体" w:eastAsia="黑体" w:cs="黑体"/>
                <w:i/>
                <w:iCs/>
                <w:color w:val="000000"/>
                <w:sz w:val="18"/>
                <w:szCs w:val="18"/>
                <w:u w:val="none"/>
              </w:rPr>
            </w:pPr>
          </w:p>
        </w:tc>
      </w:tr>
      <w:tr w14:paraId="18339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38B1FFA">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45533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8AD2D84">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5B76BF2">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0551B1D">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DBA18DD">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79946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B3319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A391A93">
            <w:pPr>
              <w:rPr>
                <w:rFonts w:hint="eastAsia" w:ascii="黑体" w:hAnsi="黑体" w:eastAsia="黑体" w:cs="黑体"/>
                <w:i/>
                <w:iCs/>
                <w:color w:val="000000"/>
                <w:sz w:val="18"/>
                <w:szCs w:val="18"/>
                <w:u w:val="none"/>
              </w:rPr>
            </w:pPr>
          </w:p>
        </w:tc>
      </w:tr>
      <w:tr w14:paraId="11B66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1A173A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8EF9A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A4C04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A7C08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54A591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3D6C79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749F4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55E7D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49613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6F6BC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54AA6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7A248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BDD4E17">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6FAE5F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53EA3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23D01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适龄儿童国家免疫规划接种率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8C3B6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78794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6E8414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536C43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19F04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593CBAD">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58D51462">
            <w:pPr>
              <w:jc w:val="center"/>
              <w:rPr>
                <w:rFonts w:hint="eastAsia" w:ascii="微软雅黑" w:hAnsi="微软雅黑" w:eastAsia="微软雅黑" w:cs="微软雅黑"/>
                <w:i/>
                <w:iCs/>
                <w:color w:val="000000"/>
                <w:sz w:val="16"/>
                <w:szCs w:val="16"/>
                <w:u w:val="none"/>
              </w:rPr>
            </w:pPr>
          </w:p>
        </w:tc>
      </w:tr>
      <w:tr w14:paraId="42806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9E6D77E">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259DCF8">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5E3FDDB">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B1A58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适龄儿童国家免疫规划脊灰疫苗接种率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077ACD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82CAE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B5F32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E62A00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95.78</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E456C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624B2A9">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530AA6C">
            <w:pPr>
              <w:jc w:val="center"/>
              <w:rPr>
                <w:rFonts w:hint="eastAsia" w:ascii="微软雅黑" w:hAnsi="微软雅黑" w:eastAsia="微软雅黑" w:cs="微软雅黑"/>
                <w:i/>
                <w:iCs/>
                <w:color w:val="000000"/>
                <w:sz w:val="16"/>
                <w:szCs w:val="16"/>
                <w:u w:val="none"/>
              </w:rPr>
            </w:pPr>
          </w:p>
        </w:tc>
      </w:tr>
      <w:tr w14:paraId="3814A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337CCDF">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8DCF0B2">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A5494DC">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07C1B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适龄儿童国家免疫规划疫苗接种率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BA737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14A557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63243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EF4AAB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C99F9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A0AEA62">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F2E5BE7">
            <w:pPr>
              <w:jc w:val="center"/>
              <w:rPr>
                <w:rFonts w:hint="eastAsia" w:ascii="微软雅黑" w:hAnsi="微软雅黑" w:eastAsia="微软雅黑" w:cs="微软雅黑"/>
                <w:i/>
                <w:iCs/>
                <w:color w:val="000000"/>
                <w:sz w:val="16"/>
                <w:szCs w:val="16"/>
                <w:u w:val="none"/>
              </w:rPr>
            </w:pPr>
          </w:p>
        </w:tc>
      </w:tr>
      <w:tr w14:paraId="56E2C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D23E9CE">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7385584">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2E8472E">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8AFAD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麻疹病例监测比例</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54CA66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12A178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636AC4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8BB4F1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96.32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8EAC6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8B4674B">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1660ABD">
            <w:pPr>
              <w:jc w:val="center"/>
              <w:rPr>
                <w:rFonts w:hint="eastAsia" w:ascii="微软雅黑" w:hAnsi="微软雅黑" w:eastAsia="微软雅黑" w:cs="微软雅黑"/>
                <w:i/>
                <w:iCs/>
                <w:color w:val="000000"/>
                <w:sz w:val="16"/>
                <w:szCs w:val="16"/>
                <w:u w:val="none"/>
              </w:rPr>
            </w:pPr>
          </w:p>
        </w:tc>
      </w:tr>
      <w:tr w14:paraId="14ADB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F88FB96">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8CF8B4D">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57C796E">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199DD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适龄儿童国家免疫规划麻疹疫苗接种率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F643E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3B23BA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E79EB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CD4D36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96.32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1965F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29FA82B">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5B5D10C1">
            <w:pPr>
              <w:jc w:val="center"/>
              <w:rPr>
                <w:rFonts w:hint="eastAsia" w:ascii="微软雅黑" w:hAnsi="微软雅黑" w:eastAsia="微软雅黑" w:cs="微软雅黑"/>
                <w:i/>
                <w:iCs/>
                <w:color w:val="000000"/>
                <w:sz w:val="16"/>
                <w:szCs w:val="16"/>
                <w:u w:val="none"/>
              </w:rPr>
            </w:pPr>
          </w:p>
        </w:tc>
      </w:tr>
      <w:tr w14:paraId="400FB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1CAD44E">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6B653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8B0C6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经济效益指标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94C44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EDB9C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FBC19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5D38F0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DD7FBC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54ACA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8FCDC65">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0568B4B">
            <w:pPr>
              <w:jc w:val="center"/>
              <w:rPr>
                <w:rFonts w:hint="eastAsia" w:ascii="微软雅黑" w:hAnsi="微软雅黑" w:eastAsia="微软雅黑" w:cs="微软雅黑"/>
                <w:i/>
                <w:iCs/>
                <w:color w:val="000000"/>
                <w:sz w:val="16"/>
                <w:szCs w:val="16"/>
                <w:u w:val="none"/>
              </w:rPr>
            </w:pPr>
          </w:p>
        </w:tc>
      </w:tr>
      <w:tr w14:paraId="18E23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A4ACC4D">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30928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5A0B7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服务对象满意度指标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5D9AE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免疫规划编制人员满意度</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9205D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78C2F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5B403E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0146F5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81365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588E3DA">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49102BD">
            <w:pPr>
              <w:jc w:val="center"/>
              <w:rPr>
                <w:rFonts w:hint="eastAsia" w:ascii="微软雅黑" w:hAnsi="微软雅黑" w:eastAsia="微软雅黑" w:cs="微软雅黑"/>
                <w:i/>
                <w:iCs/>
                <w:color w:val="000000"/>
                <w:sz w:val="16"/>
                <w:szCs w:val="16"/>
                <w:u w:val="none"/>
              </w:rPr>
            </w:pPr>
          </w:p>
        </w:tc>
      </w:tr>
      <w:tr w14:paraId="7F7D3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2902F7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33DE5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E342DBF">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A0AC1BE">
            <w:pPr>
              <w:rPr>
                <w:rFonts w:hint="eastAsia" w:ascii="宋体" w:hAnsi="宋体" w:eastAsia="宋体" w:cs="宋体"/>
                <w:i w:val="0"/>
                <w:iCs w:val="0"/>
                <w:color w:val="000000"/>
                <w:sz w:val="18"/>
                <w:szCs w:val="18"/>
                <w:u w:val="none"/>
              </w:rPr>
            </w:pPr>
          </w:p>
        </w:tc>
      </w:tr>
      <w:tr w14:paraId="70F94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028F6F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37FF7C98">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69分。项目经费用于儿童常规疫苗接种、入托入学查验、免疫科普宣传、异常反应处置等工作，稳步推进适龄儿童国家免疫规划疫苗接种，降低疫苗可预防传染病发病风险，有效保护儿童健康。因部分工作集中下半年实施，经费支出进度偏慢，资金使用合规。</w:t>
            </w:r>
          </w:p>
        </w:tc>
      </w:tr>
      <w:tr w14:paraId="3477B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2E388F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7154F1CC">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预算执行率69.32%，支出进度滞后。县域牧区居住分散，部分家长接种意识不强，存在儿童接种延迟现象；流动儿童摸排难度大，常态化查漏补种工作量大；项目实施节奏不均衡，前期报账进度偏慢，无资金挤占挪用问题。</w:t>
            </w:r>
          </w:p>
        </w:tc>
      </w:tr>
      <w:tr w14:paraId="47CA4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41D76F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72154899">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统筹全年免疫规划工作，均衡安排任务，加快经费报账支付；持续做好适龄儿童摸排、查漏补种，强化入托入学接种证查验；加大牧区疫苗科普宣传力度，引导家长按时带孩子接种，持续提高疫苗接种率，发挥免疫规划防病效益。</w:t>
            </w:r>
          </w:p>
        </w:tc>
      </w:tr>
      <w:tr w14:paraId="42A19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5E1FC91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76904865">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0ACCA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45AB9DE9">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1C1653B4">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494F1776">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22F743B8">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53CEAA12">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3595B8A2">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0A7ABB89">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3ADE0EA5">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62CFC72B">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3FB0C9B6">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33171F00">
            <w:pPr>
              <w:rPr>
                <w:rFonts w:hint="eastAsia" w:ascii="宋体" w:hAnsi="宋体" w:eastAsia="宋体" w:cs="宋体"/>
                <w:i w:val="0"/>
                <w:iCs w:val="0"/>
                <w:color w:val="000000"/>
                <w:sz w:val="18"/>
                <w:szCs w:val="18"/>
                <w:u w:val="none"/>
              </w:rPr>
            </w:pPr>
          </w:p>
        </w:tc>
      </w:tr>
      <w:tr w14:paraId="7F0F7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736F6093">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4E2CE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07B0C27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411E1D1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51323324T000010372005-严重精神病患者管理监护费</w:t>
            </w:r>
          </w:p>
        </w:tc>
      </w:tr>
      <w:tr w14:paraId="41E8D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7493725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75C39FA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6DB22E0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61801C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29318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34E0C7C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4EF8AFF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599C8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691A65B2">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6730B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47E4559">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40EE0FA">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C7A276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保障我县重型精神障碍患者生活，针对未发生危险行为的给予奖励。</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2E6D9D66">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落实严重精神障碍患者监护管理，保障患者基本生活，对无危险行为患者落实监护补助。按时完成患者筛查、随访及监护补贴发放，预算执行率99.57%，各项管理指标基本达标。</w:t>
            </w:r>
          </w:p>
        </w:tc>
      </w:tr>
      <w:tr w14:paraId="5BFBC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4773E2D">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1D0CAE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4E05D4CA">
            <w:pPr>
              <w:rPr>
                <w:rFonts w:hint="eastAsia" w:ascii="宋体" w:hAnsi="宋体" w:eastAsia="宋体" w:cs="宋体"/>
                <w:i w:val="0"/>
                <w:iCs w:val="0"/>
                <w:color w:val="000000"/>
                <w:sz w:val="18"/>
                <w:szCs w:val="18"/>
                <w:u w:val="none"/>
              </w:rPr>
            </w:pPr>
          </w:p>
        </w:tc>
      </w:tr>
      <w:tr w14:paraId="013BC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34322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A2FC6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71056C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832A1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68BE5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21BB8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996F9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08BEE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C45E2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54AE7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AD7C6C5">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BDF08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6B54C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22.82</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D5C5B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32.54</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318D36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32.40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430CA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99.57%</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D8F3D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F19C39A">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22A7442B">
            <w:pPr>
              <w:rPr>
                <w:rFonts w:hint="eastAsia" w:ascii="黑体" w:hAnsi="黑体" w:eastAsia="黑体" w:cs="黑体"/>
                <w:i/>
                <w:iCs/>
                <w:color w:val="000000"/>
                <w:sz w:val="18"/>
                <w:szCs w:val="18"/>
                <w:u w:val="none"/>
              </w:rPr>
            </w:pPr>
          </w:p>
        </w:tc>
      </w:tr>
      <w:tr w14:paraId="5B4B8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57AC598">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1874B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DF8A5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22.82</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ED8CE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32.54</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6E59C7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32.40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CC200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99.57%</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C5A32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AB853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4D39D1C">
            <w:pPr>
              <w:rPr>
                <w:rFonts w:hint="eastAsia" w:ascii="黑体" w:hAnsi="黑体" w:eastAsia="黑体" w:cs="黑体"/>
                <w:i/>
                <w:iCs/>
                <w:color w:val="000000"/>
                <w:sz w:val="18"/>
                <w:szCs w:val="18"/>
                <w:u w:val="none"/>
              </w:rPr>
            </w:pPr>
          </w:p>
        </w:tc>
      </w:tr>
      <w:tr w14:paraId="728E7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3D92819">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6685B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F5044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D6FA8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951E1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4C23E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1A09C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65DA8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D6BF721">
            <w:pPr>
              <w:rPr>
                <w:rFonts w:hint="eastAsia" w:ascii="黑体" w:hAnsi="黑体" w:eastAsia="黑体" w:cs="黑体"/>
                <w:i/>
                <w:iCs/>
                <w:color w:val="000000"/>
                <w:sz w:val="18"/>
                <w:szCs w:val="18"/>
                <w:u w:val="none"/>
              </w:rPr>
            </w:pPr>
          </w:p>
        </w:tc>
      </w:tr>
      <w:tr w14:paraId="2A14E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868F239">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D09FA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95005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FC6FD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876B9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BE0D3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5CDA3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7986F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F221D29">
            <w:pPr>
              <w:rPr>
                <w:rFonts w:hint="eastAsia" w:ascii="黑体" w:hAnsi="黑体" w:eastAsia="黑体" w:cs="黑体"/>
                <w:i/>
                <w:iCs/>
                <w:color w:val="000000"/>
                <w:sz w:val="18"/>
                <w:szCs w:val="18"/>
                <w:u w:val="none"/>
              </w:rPr>
            </w:pPr>
          </w:p>
        </w:tc>
      </w:tr>
      <w:tr w14:paraId="4208B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F639FB3">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2FD56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E0E809A">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0ACF722">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5FF7DD37">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8E32E07">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DF8B8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BDC44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89BFF02">
            <w:pPr>
              <w:rPr>
                <w:rFonts w:hint="eastAsia" w:ascii="黑体" w:hAnsi="黑体" w:eastAsia="黑体" w:cs="黑体"/>
                <w:i/>
                <w:iCs/>
                <w:color w:val="000000"/>
                <w:sz w:val="18"/>
                <w:szCs w:val="18"/>
                <w:u w:val="none"/>
              </w:rPr>
            </w:pPr>
          </w:p>
        </w:tc>
      </w:tr>
      <w:tr w14:paraId="1F0F1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99F5E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26A95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DD468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C3CE4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009082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A7794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FA4DF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10F68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4DF23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5FB90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DEBF5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21A22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9F2B687">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30102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6DCA6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01130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精神分裂症患者服药率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0FDE3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5EAAD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70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E959F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F0AECA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86.67</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ADEB1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A9B1E30">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BC1F34D">
            <w:pPr>
              <w:jc w:val="center"/>
              <w:rPr>
                <w:rFonts w:hint="eastAsia" w:ascii="微软雅黑" w:hAnsi="微软雅黑" w:eastAsia="微软雅黑" w:cs="微软雅黑"/>
                <w:i/>
                <w:iCs/>
                <w:color w:val="000000"/>
                <w:sz w:val="16"/>
                <w:szCs w:val="16"/>
                <w:u w:val="none"/>
              </w:rPr>
            </w:pPr>
          </w:p>
        </w:tc>
      </w:tr>
      <w:tr w14:paraId="68E44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152CCA7">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34CF035">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EE5D23">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C49F5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严重精神病患者人数</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568D8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A8496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163</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8371C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6AC79A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162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07945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8932BF1">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6668A192">
            <w:pPr>
              <w:jc w:val="center"/>
              <w:rPr>
                <w:rFonts w:hint="eastAsia" w:ascii="微软雅黑" w:hAnsi="微软雅黑" w:eastAsia="微软雅黑" w:cs="微软雅黑"/>
                <w:i/>
                <w:iCs/>
                <w:color w:val="000000"/>
                <w:sz w:val="16"/>
                <w:szCs w:val="16"/>
                <w:u w:val="none"/>
              </w:rPr>
            </w:pPr>
          </w:p>
        </w:tc>
      </w:tr>
      <w:tr w14:paraId="532FE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9483FE">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1300FD1">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A53A3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时效指标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2C032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严重精神病患者监护项目覆盖率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88E00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D3538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C6097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FEEE75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7375D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202D938">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761EC3B">
            <w:pPr>
              <w:jc w:val="center"/>
              <w:rPr>
                <w:rFonts w:hint="eastAsia" w:ascii="微软雅黑" w:hAnsi="微软雅黑" w:eastAsia="微软雅黑" w:cs="微软雅黑"/>
                <w:i/>
                <w:iCs/>
                <w:color w:val="000000"/>
                <w:sz w:val="16"/>
                <w:szCs w:val="16"/>
                <w:u w:val="none"/>
              </w:rPr>
            </w:pPr>
          </w:p>
        </w:tc>
      </w:tr>
      <w:tr w14:paraId="2CDB7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FB8356B">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094F2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07282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029A6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精神分裂症患者管理率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E2DD2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914DA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236D4B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3B828A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98.3</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B078E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20AC826">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96DE8FF">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1名患者家属拒绝管理</w:t>
            </w:r>
          </w:p>
        </w:tc>
      </w:tr>
      <w:tr w14:paraId="06FE8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0052608">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0B9D9C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满意度指标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4F5CCF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服务对象满意度指标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1216E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社会面影响</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BA696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113FE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045CA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D26D14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E62B4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D15FE61">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BB097D1">
            <w:pPr>
              <w:jc w:val="center"/>
              <w:rPr>
                <w:rFonts w:hint="eastAsia" w:ascii="微软雅黑" w:hAnsi="微软雅黑" w:eastAsia="微软雅黑" w:cs="微软雅黑"/>
                <w:i/>
                <w:iCs/>
                <w:color w:val="000000"/>
                <w:sz w:val="16"/>
                <w:szCs w:val="16"/>
                <w:u w:val="none"/>
              </w:rPr>
            </w:pPr>
          </w:p>
        </w:tc>
      </w:tr>
      <w:tr w14:paraId="5B8B0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343E269">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31248FF">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B7D49A7">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E3D6A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监护人员满意度</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D5E6B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127569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274647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AAD2C8A">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91724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B883D1F">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519B3958">
            <w:pPr>
              <w:jc w:val="center"/>
              <w:rPr>
                <w:rFonts w:hint="eastAsia" w:ascii="微软雅黑" w:hAnsi="微软雅黑" w:eastAsia="微软雅黑" w:cs="微软雅黑"/>
                <w:i/>
                <w:iCs/>
                <w:color w:val="000000"/>
                <w:sz w:val="16"/>
                <w:szCs w:val="16"/>
                <w:u w:val="none"/>
              </w:rPr>
            </w:pPr>
          </w:p>
        </w:tc>
      </w:tr>
      <w:tr w14:paraId="7A3D6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4A168F7">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81726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809F6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经济成本指标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850CC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监护人员补助标准</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0D953C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B86CA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0.14</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5A6A2F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21B265D">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0.2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96A52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AE5D685">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33AAF6B">
            <w:pPr>
              <w:jc w:val="center"/>
              <w:rPr>
                <w:rFonts w:hint="eastAsia" w:ascii="微软雅黑" w:hAnsi="微软雅黑" w:eastAsia="微软雅黑" w:cs="微软雅黑"/>
                <w:i/>
                <w:iCs/>
                <w:color w:val="000000"/>
                <w:sz w:val="16"/>
                <w:szCs w:val="16"/>
                <w:u w:val="none"/>
              </w:rPr>
            </w:pPr>
          </w:p>
        </w:tc>
      </w:tr>
      <w:tr w14:paraId="2A52D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197C3A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0B18E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6C2046A">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8C54537">
            <w:pPr>
              <w:rPr>
                <w:rFonts w:hint="eastAsia" w:ascii="宋体" w:hAnsi="宋体" w:eastAsia="宋体" w:cs="宋体"/>
                <w:i w:val="0"/>
                <w:iCs w:val="0"/>
                <w:color w:val="000000"/>
                <w:sz w:val="18"/>
                <w:szCs w:val="18"/>
                <w:u w:val="none"/>
              </w:rPr>
            </w:pPr>
          </w:p>
        </w:tc>
      </w:tr>
      <w:tr w14:paraId="2B258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36B8AD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255456C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100分。规范使用严重精神障碍患者监护经费，持续开展患者摸排、随访管理、风险评估，按标准及时发放监护人补助，落实监护帮扶，有效降低肇事肇祸风险，维护辖区社会稳定，资金专款专用，管理规范，社会效益突出。</w:t>
            </w:r>
          </w:p>
        </w:tc>
      </w:tr>
      <w:tr w14:paraId="0424D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5D1AA0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0477B58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预算执行接近完成。辖区地域广、居住分散，部分患者外出流动，随访动态管理难度较大；部分监护人监护知识不足，风险识别能力有待提升；个别家庭配合度不高，增加日常监管压力，不存在资金挤占挪用情况。</w:t>
            </w:r>
          </w:p>
        </w:tc>
      </w:tr>
      <w:tr w14:paraId="36D8C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46B33C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13C8CA6E">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持续做好患者动态排查，加强跨区域信息联动；常态化开展监护人培训，普及风险识别和照护知识；加强基层、村社联动随访，做好政策宣传，及时足额落实监护补助，持续做好严重精神障碍患者服务管理，防范风险事件。</w:t>
            </w:r>
          </w:p>
        </w:tc>
      </w:tr>
      <w:tr w14:paraId="63D04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25AD9FC9">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26583778">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47004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215BBED8">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037DB29B">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0D045C9E">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1E8F9AEC">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7C7BE319">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3332D8C2">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4FC5E1F1">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43B15FBF">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43F1C5BE">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230CA929">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5AEDD491">
            <w:pPr>
              <w:rPr>
                <w:rFonts w:hint="eastAsia" w:ascii="宋体" w:hAnsi="宋体" w:eastAsia="宋体" w:cs="宋体"/>
                <w:i w:val="0"/>
                <w:iCs w:val="0"/>
                <w:color w:val="000000"/>
                <w:sz w:val="18"/>
                <w:szCs w:val="18"/>
                <w:u w:val="none"/>
              </w:rPr>
            </w:pPr>
          </w:p>
        </w:tc>
      </w:tr>
      <w:tr w14:paraId="59E6C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6A9780A3">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2CB92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1438647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28E3B28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51323324T000011736204-基本公共卫生项目经费（三保）</w:t>
            </w:r>
          </w:p>
        </w:tc>
      </w:tr>
      <w:tr w14:paraId="0D414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53C8BCD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4F9868B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186D8749">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1430FE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729A0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0D3CDB3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1547146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A1E22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724051D5">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36C7E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C32853">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C14DFED">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155AAF6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主要用于水和环境监测、寄生虫病、职业病防治、麻风病监测、鼠疫项目工作。水和环境监测的检测，职业病主要是给医务人员宣传费用；麻风病人主要是用于监测及健康教育经费；鼠疫主要是下乡监测等工作。</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69734DB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有序开展水和环境监测、寄生虫病、麻风病、鼠疫等监测、健康宣传及下乡监测工作，落实各项基本公卫三保任务。预算执行率64.45%，相关监测工作稳步推进。</w:t>
            </w:r>
          </w:p>
        </w:tc>
      </w:tr>
      <w:tr w14:paraId="3CC61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F514C72">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172363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4D1369AE">
            <w:pPr>
              <w:rPr>
                <w:rFonts w:hint="eastAsia" w:ascii="宋体" w:hAnsi="宋体" w:eastAsia="宋体" w:cs="宋体"/>
                <w:i w:val="0"/>
                <w:iCs w:val="0"/>
                <w:color w:val="000000"/>
                <w:sz w:val="18"/>
                <w:szCs w:val="18"/>
                <w:u w:val="none"/>
              </w:rPr>
            </w:pPr>
          </w:p>
        </w:tc>
      </w:tr>
      <w:tr w14:paraId="19D5E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4BB4B2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5D33D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E60AB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5FE21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1B1DE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44BFD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30DE0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C501B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681A4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43022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7D78F36">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12516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F087A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3.68</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6CBBB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61.15</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F50F9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39.41</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6F325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64.45%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F7933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209E135">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69D4012F">
            <w:pPr>
              <w:rPr>
                <w:rFonts w:hint="eastAsia" w:ascii="黑体" w:hAnsi="黑体" w:eastAsia="黑体" w:cs="黑体"/>
                <w:i/>
                <w:iCs/>
                <w:color w:val="000000"/>
                <w:sz w:val="18"/>
                <w:szCs w:val="18"/>
                <w:u w:val="none"/>
              </w:rPr>
            </w:pPr>
          </w:p>
        </w:tc>
      </w:tr>
      <w:tr w14:paraId="359A3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8910A39">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A61C9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74CB85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3.68</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C2EA8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61.15</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491DF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39.41</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4ADEA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64.45%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01063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BF707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0A5D38F">
            <w:pPr>
              <w:rPr>
                <w:rFonts w:hint="eastAsia" w:ascii="黑体" w:hAnsi="黑体" w:eastAsia="黑体" w:cs="黑体"/>
                <w:i/>
                <w:iCs/>
                <w:color w:val="000000"/>
                <w:sz w:val="18"/>
                <w:szCs w:val="18"/>
                <w:u w:val="none"/>
              </w:rPr>
            </w:pPr>
          </w:p>
        </w:tc>
      </w:tr>
      <w:tr w14:paraId="3E056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65D7534">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324FD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944D1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DD4F8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4D84EE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C1191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11502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39CF8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61E628B">
            <w:pPr>
              <w:rPr>
                <w:rFonts w:hint="eastAsia" w:ascii="黑体" w:hAnsi="黑体" w:eastAsia="黑体" w:cs="黑体"/>
                <w:i/>
                <w:iCs/>
                <w:color w:val="000000"/>
                <w:sz w:val="18"/>
                <w:szCs w:val="18"/>
                <w:u w:val="none"/>
              </w:rPr>
            </w:pPr>
          </w:p>
        </w:tc>
      </w:tr>
      <w:tr w14:paraId="6BC5F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6E99B92">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7BECC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021EC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E38AC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6C82A0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5E9AD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79057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B858B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F2EC3F4">
            <w:pPr>
              <w:rPr>
                <w:rFonts w:hint="eastAsia" w:ascii="黑体" w:hAnsi="黑体" w:eastAsia="黑体" w:cs="黑体"/>
                <w:i/>
                <w:iCs/>
                <w:color w:val="000000"/>
                <w:sz w:val="18"/>
                <w:szCs w:val="18"/>
                <w:u w:val="none"/>
              </w:rPr>
            </w:pPr>
          </w:p>
        </w:tc>
      </w:tr>
      <w:tr w14:paraId="31BC1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F61549B">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A31D1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A93C475">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15B35AD">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595349DD">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5E7B37F">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05545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ADA8E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F10413E">
            <w:pPr>
              <w:rPr>
                <w:rFonts w:hint="eastAsia" w:ascii="黑体" w:hAnsi="黑体" w:eastAsia="黑体" w:cs="黑体"/>
                <w:i/>
                <w:iCs/>
                <w:color w:val="000000"/>
                <w:sz w:val="18"/>
                <w:szCs w:val="18"/>
                <w:u w:val="none"/>
              </w:rPr>
            </w:pPr>
          </w:p>
        </w:tc>
      </w:tr>
      <w:tr w14:paraId="2BE72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3C494E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7566A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4848C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42B16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2E453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CB6BF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A6519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B5375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A406D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1B36A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6D6D7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24746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D2FA68A">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42DBCF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7A02A5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9EDE1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麻风病可以人群筛查完成率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1BE148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F8D1F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66E380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4EE807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9603C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CCB278B">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6C82D5B">
            <w:pPr>
              <w:jc w:val="center"/>
              <w:rPr>
                <w:rFonts w:hint="eastAsia" w:ascii="微软雅黑" w:hAnsi="微软雅黑" w:eastAsia="微软雅黑" w:cs="微软雅黑"/>
                <w:i/>
                <w:iCs/>
                <w:color w:val="000000"/>
                <w:sz w:val="16"/>
                <w:szCs w:val="16"/>
                <w:u w:val="none"/>
              </w:rPr>
            </w:pPr>
          </w:p>
        </w:tc>
      </w:tr>
      <w:tr w14:paraId="6B98C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CC897B1">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F608453">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ABE9E48">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3065E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大骨节病监测</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E90BA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12393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0FFA4E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A525B4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B0711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15AAEA4">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4EC1BE8">
            <w:pPr>
              <w:jc w:val="center"/>
              <w:rPr>
                <w:rFonts w:hint="eastAsia" w:ascii="微软雅黑" w:hAnsi="微软雅黑" w:eastAsia="微软雅黑" w:cs="微软雅黑"/>
                <w:i/>
                <w:iCs/>
                <w:color w:val="000000"/>
                <w:sz w:val="16"/>
                <w:szCs w:val="16"/>
                <w:u w:val="none"/>
              </w:rPr>
            </w:pPr>
          </w:p>
        </w:tc>
      </w:tr>
      <w:tr w14:paraId="09D79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79CBC59">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050D0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F91B8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09F71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鼠疫监测绵阳血清率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B848C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定性</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90E60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43D58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256E6C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D8636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41E7A83">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DD52D03">
            <w:pPr>
              <w:jc w:val="center"/>
              <w:rPr>
                <w:rFonts w:hint="eastAsia" w:ascii="微软雅黑" w:hAnsi="微软雅黑" w:eastAsia="微软雅黑" w:cs="微软雅黑"/>
                <w:i/>
                <w:iCs/>
                <w:color w:val="000000"/>
                <w:sz w:val="16"/>
                <w:szCs w:val="16"/>
                <w:u w:val="none"/>
              </w:rPr>
            </w:pPr>
          </w:p>
        </w:tc>
      </w:tr>
      <w:tr w14:paraId="6D962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3464723">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51CF2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F5B4F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服务对象满意度指标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8D597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群众满意度</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DBFE2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EAD68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F2DC8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759A73C">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89E06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317463E">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57691B85">
            <w:pPr>
              <w:jc w:val="center"/>
              <w:rPr>
                <w:rFonts w:hint="eastAsia" w:ascii="微软雅黑" w:hAnsi="微软雅黑" w:eastAsia="微软雅黑" w:cs="微软雅黑"/>
                <w:i/>
                <w:iCs/>
                <w:color w:val="000000"/>
                <w:sz w:val="16"/>
                <w:szCs w:val="16"/>
                <w:u w:val="none"/>
              </w:rPr>
            </w:pPr>
          </w:p>
        </w:tc>
      </w:tr>
      <w:tr w14:paraId="35592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31BC1C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76DDA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457A048">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F7B13C0">
            <w:pPr>
              <w:rPr>
                <w:rFonts w:hint="eastAsia" w:ascii="宋体" w:hAnsi="宋体" w:eastAsia="宋体" w:cs="宋体"/>
                <w:i w:val="0"/>
                <w:iCs w:val="0"/>
                <w:color w:val="000000"/>
                <w:sz w:val="18"/>
                <w:szCs w:val="18"/>
                <w:u w:val="none"/>
              </w:rPr>
            </w:pPr>
          </w:p>
        </w:tc>
      </w:tr>
      <w:tr w14:paraId="5F110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4EF3B0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545E657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64分。项目经费用于鼠疫、麻风病、寄生虫病、环境卫生等监测、健康教育宣传及下乡现场排查，按计划开展样本采集、线索排查、科普宣教，及时掌握辖区相关疾病流行底数，有效防范地方病、传染病风险。部分监测任务集中下半年实施，经费支出进度偏慢，资金使用合规。</w:t>
            </w:r>
          </w:p>
        </w:tc>
      </w:tr>
      <w:tr w14:paraId="31D53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402EF1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70C46436">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预算执行率64.45%，支出进度滞后。县域范围广、路途远，野外、下乡监测受天气条件制约较大；部分监测项目存在季节性，任务集中在后半年度；群众对麻风、鼠疫等疾病认知不足，线索主动上报少，摸排难度大，无资金挤占挪用问题。</w:t>
            </w:r>
          </w:p>
        </w:tc>
      </w:tr>
      <w:tr w14:paraId="0B71C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076C19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5E3F7E58">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提前统筹全年监测计划，均衡安排采样、下乡任务，加快经费报账支付；加大地方病、传染病科普宣传，提高群众主动报病意识；优化监测方案，抓住适宜窗口期开展线索排查和采样监测，持续提升风险预警能力和资金使用效益。</w:t>
            </w:r>
          </w:p>
        </w:tc>
      </w:tr>
      <w:tr w14:paraId="488F0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3767664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1741E2B4">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24BC0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45F9559E">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70C8FDB6">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51342D6B">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7436B7A8">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45288A68">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4A3179DD">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080F93FB">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3273F219">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0DB4242F">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7D98371D">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228AD6D0">
            <w:pPr>
              <w:rPr>
                <w:rFonts w:hint="eastAsia" w:ascii="宋体" w:hAnsi="宋体" w:eastAsia="宋体" w:cs="宋体"/>
                <w:i w:val="0"/>
                <w:iCs w:val="0"/>
                <w:color w:val="000000"/>
                <w:sz w:val="18"/>
                <w:szCs w:val="18"/>
                <w:u w:val="none"/>
              </w:rPr>
            </w:pPr>
          </w:p>
        </w:tc>
      </w:tr>
      <w:tr w14:paraId="072AE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7A166962">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7441C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336E4D1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5014E87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51323325T000012248030-免规项目宫颈癌疫苗管理服务费</w:t>
            </w:r>
          </w:p>
        </w:tc>
      </w:tr>
      <w:tr w14:paraId="0845A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4FCC150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0093E21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5A60449B">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2D4105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4D7B1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ED43F5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9E046D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799CCF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16C6FB9D">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053A2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9A12C66">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990DD13">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265C2F83">
            <w:pPr>
              <w:rPr>
                <w:rFonts w:hint="eastAsia" w:ascii="宋体" w:hAnsi="宋体" w:eastAsia="宋体" w:cs="宋体"/>
                <w:i w:val="0"/>
                <w:iCs w:val="0"/>
                <w:color w:val="000000"/>
                <w:sz w:val="18"/>
                <w:szCs w:val="18"/>
                <w:u w:val="none"/>
              </w:rPr>
            </w:pP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798E2795">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开展免费项目宫颈癌疫苗管理服务相关工作，做好疫苗接收、储存、配送、接种组织与随访管理。年中追加预算，受项目推进时序影响，预算执行率30.04%，相关工作有序开展。</w:t>
            </w:r>
          </w:p>
        </w:tc>
      </w:tr>
      <w:tr w14:paraId="2DEA6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044A49F">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68FF17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66B9196A">
            <w:pPr>
              <w:rPr>
                <w:rFonts w:hint="eastAsia" w:ascii="宋体" w:hAnsi="宋体" w:eastAsia="宋体" w:cs="宋体"/>
                <w:i w:val="0"/>
                <w:iCs w:val="0"/>
                <w:color w:val="000000"/>
                <w:sz w:val="18"/>
                <w:szCs w:val="18"/>
                <w:u w:val="none"/>
              </w:rPr>
            </w:pPr>
          </w:p>
        </w:tc>
      </w:tr>
      <w:tr w14:paraId="2FB6F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E60B4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5B6E6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DD26C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B07F7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3C99BC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97B29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0130F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60748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D7A26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3970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E4A4BCC">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5C5F9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4ADB1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78D98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15.40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B49A6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4.63</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E29C8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30.04%</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71494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67CCD02">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01A9014">
            <w:pPr>
              <w:rPr>
                <w:rFonts w:hint="eastAsia" w:ascii="黑体" w:hAnsi="黑体" w:eastAsia="黑体" w:cs="黑体"/>
                <w:i/>
                <w:iCs/>
                <w:color w:val="000000"/>
                <w:sz w:val="18"/>
                <w:szCs w:val="18"/>
                <w:u w:val="none"/>
              </w:rPr>
            </w:pPr>
          </w:p>
        </w:tc>
      </w:tr>
      <w:tr w14:paraId="0A0A8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D6A66FB">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3A923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82AEF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82DD5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15.40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31C1C6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4.63</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7354A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30.04%</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3B434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19E4E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04A1E89">
            <w:pPr>
              <w:rPr>
                <w:rFonts w:hint="eastAsia" w:ascii="黑体" w:hAnsi="黑体" w:eastAsia="黑体" w:cs="黑体"/>
                <w:i/>
                <w:iCs/>
                <w:color w:val="000000"/>
                <w:sz w:val="18"/>
                <w:szCs w:val="18"/>
                <w:u w:val="none"/>
              </w:rPr>
            </w:pPr>
          </w:p>
        </w:tc>
      </w:tr>
      <w:tr w14:paraId="7430A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E2AB4DD">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0055D9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62C4A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65FF6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10830F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8F5BB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EA4A1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7A867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2F875E2">
            <w:pPr>
              <w:rPr>
                <w:rFonts w:hint="eastAsia" w:ascii="黑体" w:hAnsi="黑体" w:eastAsia="黑体" w:cs="黑体"/>
                <w:i/>
                <w:iCs/>
                <w:color w:val="000000"/>
                <w:sz w:val="18"/>
                <w:szCs w:val="18"/>
                <w:u w:val="none"/>
              </w:rPr>
            </w:pPr>
          </w:p>
        </w:tc>
      </w:tr>
      <w:tr w14:paraId="60032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757ACCF">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E0C89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BD374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7DF02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699B06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B5A85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1B95E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E05B0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E80E0D">
            <w:pPr>
              <w:rPr>
                <w:rFonts w:hint="eastAsia" w:ascii="黑体" w:hAnsi="黑体" w:eastAsia="黑体" w:cs="黑体"/>
                <w:i/>
                <w:iCs/>
                <w:color w:val="000000"/>
                <w:sz w:val="18"/>
                <w:szCs w:val="18"/>
                <w:u w:val="none"/>
              </w:rPr>
            </w:pPr>
          </w:p>
        </w:tc>
      </w:tr>
      <w:tr w14:paraId="5AEF9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6078399">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BE311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8280128">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C4FA173">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64513FB1">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1C6C7E1">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D62AC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69983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41EDC44">
            <w:pPr>
              <w:rPr>
                <w:rFonts w:hint="eastAsia" w:ascii="黑体" w:hAnsi="黑体" w:eastAsia="黑体" w:cs="黑体"/>
                <w:i/>
                <w:iCs/>
                <w:color w:val="000000"/>
                <w:sz w:val="18"/>
                <w:szCs w:val="18"/>
                <w:u w:val="none"/>
              </w:rPr>
            </w:pPr>
          </w:p>
        </w:tc>
      </w:tr>
      <w:tr w14:paraId="00F47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744CBC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786CF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A71FF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FBA8D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1FDFEA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6462A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AD776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6F44F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A537B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05F26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46F98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1ED08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4881141">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E986662">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E08C3DA">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E065DD3">
            <w:pPr>
              <w:jc w:val="center"/>
              <w:rPr>
                <w:rFonts w:hint="eastAsia" w:ascii="宋体" w:hAnsi="宋体" w:eastAsia="宋体" w:cs="宋体"/>
                <w:i w:val="0"/>
                <w:iCs w:val="0"/>
                <w:color w:val="000000"/>
                <w:sz w:val="18"/>
                <w:szCs w:val="18"/>
                <w:u w:val="none"/>
              </w:rPr>
            </w:pP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5191A0C7">
            <w:pPr>
              <w:jc w:val="center"/>
              <w:rPr>
                <w:rFonts w:hint="eastAsia" w:ascii="宋体" w:hAnsi="宋体" w:eastAsia="宋体" w:cs="宋体"/>
                <w:i w:val="0"/>
                <w:iCs w:val="0"/>
                <w:color w:val="000000"/>
                <w:sz w:val="18"/>
                <w:szCs w:val="18"/>
                <w:u w:val="none"/>
              </w:rPr>
            </w:pP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1DDDA48B">
            <w:pPr>
              <w:jc w:val="center"/>
              <w:rPr>
                <w:rFonts w:hint="eastAsia" w:ascii="宋体" w:hAnsi="宋体" w:eastAsia="宋体" w:cs="宋体"/>
                <w:i w:val="0"/>
                <w:iCs w:val="0"/>
                <w:color w:val="000000"/>
                <w:sz w:val="18"/>
                <w:szCs w:val="18"/>
                <w:u w:val="none"/>
              </w:rPr>
            </w:pP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389F479">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577EE0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E27B640">
            <w:pPr>
              <w:jc w:val="center"/>
              <w:rPr>
                <w:rFonts w:hint="eastAsia" w:ascii="宋体" w:hAnsi="宋体" w:eastAsia="宋体" w:cs="宋体"/>
                <w:i w:val="0"/>
                <w:iCs w:val="0"/>
                <w:color w:val="000000"/>
                <w:sz w:val="18"/>
                <w:szCs w:val="18"/>
                <w:u w:val="none"/>
              </w:rPr>
            </w:pP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3746E5E">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19A3380">
            <w:pPr>
              <w:jc w:val="center"/>
              <w:rPr>
                <w:rFonts w:hint="eastAsia" w:ascii="微软雅黑" w:hAnsi="微软雅黑" w:eastAsia="微软雅黑" w:cs="微软雅黑"/>
                <w:i/>
                <w:iCs/>
                <w:color w:val="000000"/>
                <w:sz w:val="16"/>
                <w:szCs w:val="16"/>
                <w:u w:val="none"/>
              </w:rPr>
            </w:pPr>
          </w:p>
        </w:tc>
      </w:tr>
      <w:tr w14:paraId="2EB33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55C14D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65AD7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0685E3E">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9086941">
            <w:pPr>
              <w:rPr>
                <w:rFonts w:hint="eastAsia" w:ascii="宋体" w:hAnsi="宋体" w:eastAsia="宋体" w:cs="宋体"/>
                <w:i w:val="0"/>
                <w:iCs w:val="0"/>
                <w:color w:val="000000"/>
                <w:sz w:val="18"/>
                <w:szCs w:val="18"/>
                <w:u w:val="none"/>
              </w:rPr>
            </w:pPr>
          </w:p>
        </w:tc>
      </w:tr>
      <w:tr w14:paraId="21FA1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11C55D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645106FB">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30分。本项目为年中新增宫颈癌疫苗专项，经费用于疫苗冷链管理、接种组织、人群宣传动员、接种信息登记随访等工作，稳步推进适龄人群宫颈癌疫苗接种，降低宫颈癌发病风险。项目启动较晚，前期筹备、人群动员周期长，经费支出进度偏慢，资金管理规范。</w:t>
            </w:r>
          </w:p>
        </w:tc>
      </w:tr>
      <w:tr w14:paraId="035A0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29B8D6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4BD751F4">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预算执行率30.04%，执行进度滞后。项目属于年中追加，启动时间晚；辖区居住分散，适龄人群摸排、宣传动员难度大；群众对宫颈癌疫苗认知不足，接种意愿参差不齐，接种安排分批开展，经费报账节奏慢，不存在挤占挪用资金情况。</w:t>
            </w:r>
          </w:p>
        </w:tc>
      </w:tr>
      <w:tr w14:paraId="798F0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13CD44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1362FD7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提前谋划下一年度宫颈癌疫苗项目，尽早开展适龄人群摸底登记；持续加大健康科普宣传，提升群众接种意愿；合理规划接种场次，均衡推进接种工作，及时整理资料加快经费报销支付，提高资金使用效率，持续做好宫颈癌防控。</w:t>
            </w:r>
          </w:p>
        </w:tc>
      </w:tr>
      <w:tr w14:paraId="775C1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3C1C5C11">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1B96102C">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672A1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42BD264F">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12DF8EB3">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11994DF8">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5430815C">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41EBD104">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12D66468">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441F504E">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71A204EF">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0B09A8A4">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264A4E3A">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004C1375">
            <w:pPr>
              <w:rPr>
                <w:rFonts w:hint="eastAsia" w:ascii="宋体" w:hAnsi="宋体" w:eastAsia="宋体" w:cs="宋体"/>
                <w:i w:val="0"/>
                <w:iCs w:val="0"/>
                <w:color w:val="000000"/>
                <w:sz w:val="18"/>
                <w:szCs w:val="18"/>
                <w:u w:val="none"/>
              </w:rPr>
            </w:pPr>
          </w:p>
        </w:tc>
      </w:tr>
      <w:tr w14:paraId="3CDFF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6A4B8B28">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43431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3544649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3B13911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51323325T000012796111-红原县疾病预防控制中心能力提升项目</w:t>
            </w:r>
          </w:p>
        </w:tc>
      </w:tr>
      <w:tr w14:paraId="5E972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40E3585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3AE8E4D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7B7C8A8D">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23AECF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01E46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1FD8160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46886DA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098E9F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5E9AD5D2">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1A662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20EFBA2">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A60535A">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2EB4B46E">
            <w:pPr>
              <w:rPr>
                <w:rFonts w:hint="eastAsia" w:ascii="宋体" w:hAnsi="宋体" w:eastAsia="宋体" w:cs="宋体"/>
                <w:i w:val="0"/>
                <w:iCs w:val="0"/>
                <w:color w:val="000000"/>
                <w:sz w:val="18"/>
                <w:szCs w:val="18"/>
                <w:u w:val="none"/>
              </w:rPr>
            </w:pP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5D5DBADF">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实施疾控中心能力提升建设，推进设备购置、业务能力建设等工作，强化公共卫生应急处置、检验检测能力。预算执行率81.74%，项目建设有序推进。</w:t>
            </w:r>
          </w:p>
        </w:tc>
      </w:tr>
      <w:tr w14:paraId="23844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9FBA7E4">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08881E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7C249873">
            <w:pPr>
              <w:rPr>
                <w:rFonts w:hint="eastAsia" w:ascii="宋体" w:hAnsi="宋体" w:eastAsia="宋体" w:cs="宋体"/>
                <w:i w:val="0"/>
                <w:iCs w:val="0"/>
                <w:color w:val="000000"/>
                <w:sz w:val="18"/>
                <w:szCs w:val="18"/>
                <w:u w:val="none"/>
              </w:rPr>
            </w:pPr>
          </w:p>
        </w:tc>
      </w:tr>
      <w:tr w14:paraId="45B35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56E5D9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32464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F3D42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894AC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2A7F8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68900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EE560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8FDF0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7E92D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40DA2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0972C64">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23293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3A713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0B9E7D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58.00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469A9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47.41</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6B5B9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81.74%</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C7CAF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462F8A4">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B742C45">
            <w:pPr>
              <w:rPr>
                <w:rFonts w:hint="eastAsia" w:ascii="黑体" w:hAnsi="黑体" w:eastAsia="黑体" w:cs="黑体"/>
                <w:i/>
                <w:iCs/>
                <w:color w:val="000000"/>
                <w:sz w:val="18"/>
                <w:szCs w:val="18"/>
                <w:u w:val="none"/>
              </w:rPr>
            </w:pPr>
          </w:p>
        </w:tc>
      </w:tr>
      <w:tr w14:paraId="59C74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4D5D8A4">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A9A3E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6C659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5C2BD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58.00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4EEBC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47.41</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B393D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81.74%</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5F93C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EB1E0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4D2B4C2">
            <w:pPr>
              <w:rPr>
                <w:rFonts w:hint="eastAsia" w:ascii="黑体" w:hAnsi="黑体" w:eastAsia="黑体" w:cs="黑体"/>
                <w:i/>
                <w:iCs/>
                <w:color w:val="000000"/>
                <w:sz w:val="18"/>
                <w:szCs w:val="18"/>
                <w:u w:val="none"/>
              </w:rPr>
            </w:pPr>
          </w:p>
        </w:tc>
      </w:tr>
      <w:tr w14:paraId="39BA9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452337B">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2609A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75EB65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5B8BA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63CE1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8DCC3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B31F9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08638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C2F670B">
            <w:pPr>
              <w:rPr>
                <w:rFonts w:hint="eastAsia" w:ascii="黑体" w:hAnsi="黑体" w:eastAsia="黑体" w:cs="黑体"/>
                <w:i/>
                <w:iCs/>
                <w:color w:val="000000"/>
                <w:sz w:val="18"/>
                <w:szCs w:val="18"/>
                <w:u w:val="none"/>
              </w:rPr>
            </w:pPr>
          </w:p>
        </w:tc>
      </w:tr>
      <w:tr w14:paraId="455C8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657BEDB">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18309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8DC69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DEBBF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6FB989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4F3C1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19B71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1E94C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6722252">
            <w:pPr>
              <w:rPr>
                <w:rFonts w:hint="eastAsia" w:ascii="黑体" w:hAnsi="黑体" w:eastAsia="黑体" w:cs="黑体"/>
                <w:i/>
                <w:iCs/>
                <w:color w:val="000000"/>
                <w:sz w:val="18"/>
                <w:szCs w:val="18"/>
                <w:u w:val="none"/>
              </w:rPr>
            </w:pPr>
          </w:p>
        </w:tc>
      </w:tr>
      <w:tr w14:paraId="76DB3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D681EA7">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4D9C3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D31C33B">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291C114">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41DAE62F">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7D9FCCE">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C4EC8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6FE22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6422996">
            <w:pPr>
              <w:rPr>
                <w:rFonts w:hint="eastAsia" w:ascii="黑体" w:hAnsi="黑体" w:eastAsia="黑体" w:cs="黑体"/>
                <w:i/>
                <w:iCs/>
                <w:color w:val="000000"/>
                <w:sz w:val="18"/>
                <w:szCs w:val="18"/>
                <w:u w:val="none"/>
              </w:rPr>
            </w:pPr>
          </w:p>
        </w:tc>
      </w:tr>
      <w:tr w14:paraId="11AA2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4938A7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D33B2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0B00F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0766A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35F21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A94B8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728C5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8AFF6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44A4C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71443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56940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02E6A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D5A328E">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F4D8BBB">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B5C5D12">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4CBF2C03">
            <w:pPr>
              <w:jc w:val="center"/>
              <w:rPr>
                <w:rFonts w:hint="eastAsia" w:ascii="宋体" w:hAnsi="宋体" w:eastAsia="宋体" w:cs="宋体"/>
                <w:i w:val="0"/>
                <w:iCs w:val="0"/>
                <w:color w:val="000000"/>
                <w:sz w:val="18"/>
                <w:szCs w:val="18"/>
                <w:u w:val="none"/>
              </w:rPr>
            </w:pP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2755961">
            <w:pPr>
              <w:jc w:val="center"/>
              <w:rPr>
                <w:rFonts w:hint="eastAsia" w:ascii="宋体" w:hAnsi="宋体" w:eastAsia="宋体" w:cs="宋体"/>
                <w:i w:val="0"/>
                <w:iCs w:val="0"/>
                <w:color w:val="000000"/>
                <w:sz w:val="18"/>
                <w:szCs w:val="18"/>
                <w:u w:val="none"/>
              </w:rPr>
            </w:pP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EA0F1ED">
            <w:pPr>
              <w:jc w:val="center"/>
              <w:rPr>
                <w:rFonts w:hint="eastAsia" w:ascii="宋体" w:hAnsi="宋体" w:eastAsia="宋体" w:cs="宋体"/>
                <w:i w:val="0"/>
                <w:iCs w:val="0"/>
                <w:color w:val="000000"/>
                <w:sz w:val="18"/>
                <w:szCs w:val="18"/>
                <w:u w:val="none"/>
              </w:rPr>
            </w:pP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60B48FC">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8B1D06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C52B661">
            <w:pPr>
              <w:jc w:val="center"/>
              <w:rPr>
                <w:rFonts w:hint="eastAsia" w:ascii="宋体" w:hAnsi="宋体" w:eastAsia="宋体" w:cs="宋体"/>
                <w:i w:val="0"/>
                <w:iCs w:val="0"/>
                <w:color w:val="000000"/>
                <w:sz w:val="18"/>
                <w:szCs w:val="18"/>
                <w:u w:val="none"/>
              </w:rPr>
            </w:pP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414D9A3">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5BB07A2">
            <w:pPr>
              <w:jc w:val="center"/>
              <w:rPr>
                <w:rFonts w:hint="eastAsia" w:ascii="微软雅黑" w:hAnsi="微软雅黑" w:eastAsia="微软雅黑" w:cs="微软雅黑"/>
                <w:i/>
                <w:iCs/>
                <w:color w:val="000000"/>
                <w:sz w:val="16"/>
                <w:szCs w:val="16"/>
                <w:u w:val="none"/>
              </w:rPr>
            </w:pPr>
          </w:p>
        </w:tc>
      </w:tr>
      <w:tr w14:paraId="55B20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5B590B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082DF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0C76928">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35AEB39">
            <w:pPr>
              <w:rPr>
                <w:rFonts w:hint="eastAsia" w:ascii="宋体" w:hAnsi="宋体" w:eastAsia="宋体" w:cs="宋体"/>
                <w:i w:val="0"/>
                <w:iCs w:val="0"/>
                <w:color w:val="000000"/>
                <w:sz w:val="18"/>
                <w:szCs w:val="18"/>
                <w:u w:val="none"/>
              </w:rPr>
            </w:pPr>
          </w:p>
        </w:tc>
      </w:tr>
      <w:tr w14:paraId="571C4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624D75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1016C6A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82分。项目经费用于疾控中心能力提升，开展检验检测、应急装备、业务培训等建设，持续补齐硬件短板，提升传染病监测、应急处置、实验室检测能力，夯实辖区公共卫生基础。部分设备采购、验收流程周期较长，款项支付延后，资金管理规范。</w:t>
            </w:r>
          </w:p>
        </w:tc>
      </w:tr>
      <w:tr w14:paraId="47826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647046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5BF8E4DD">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结合自评情况，分析存在的问题及原因。（200字以内）</w:t>
            </w:r>
          </w:p>
        </w:tc>
      </w:tr>
      <w:tr w14:paraId="4E480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4D72AB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6F3D013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预算执行率81.74%，未全额执行。设备采购需走公开招投标流程，采购、到货验收周期长；部分配套前期准备耗时，支付节点滞后；专业技术人才不足，设备到位后实操应用能力仍需持续加强，不存在资金挤占挪用情况。</w:t>
            </w:r>
          </w:p>
        </w:tc>
      </w:tr>
      <w:tr w14:paraId="64BAE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2E4F87B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0672A35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30A2E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2B2BCDD0">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4A075D77">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052C4340">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312D2A2E">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553B0D57">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422D7180">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45FDC1B7">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70EA9FD8">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730C4111">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187D5B52">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424A3DCA">
            <w:pPr>
              <w:rPr>
                <w:rFonts w:hint="eastAsia" w:ascii="宋体" w:hAnsi="宋体" w:eastAsia="宋体" w:cs="宋体"/>
                <w:i w:val="0"/>
                <w:iCs w:val="0"/>
                <w:color w:val="000000"/>
                <w:sz w:val="18"/>
                <w:szCs w:val="18"/>
                <w:u w:val="none"/>
              </w:rPr>
            </w:pPr>
          </w:p>
        </w:tc>
      </w:tr>
      <w:tr w14:paraId="5006B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6222413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58F3B9B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51323326T000014156752-质保金</w:t>
            </w:r>
          </w:p>
        </w:tc>
      </w:tr>
      <w:tr w14:paraId="11D34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77F10F3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6E6A1F0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6E65DF1A">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46C474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0D8BC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101291F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9305C0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09B22B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216DC07B">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7FF6F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84A9C16">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A7DCC10">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239E807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采购专用设备质保金</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0EBA47CE">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按合同约定到期支付专用设备质保金，落实设备质保履约管理，保障实验室设备稳定运行，支撑传染病监测、检验检测等业务开展，预算执行率100%，目标全部完成。</w:t>
            </w:r>
          </w:p>
        </w:tc>
      </w:tr>
      <w:tr w14:paraId="6E01F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6749FD8">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CDEB10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541F3016">
            <w:pPr>
              <w:rPr>
                <w:rFonts w:hint="eastAsia" w:ascii="宋体" w:hAnsi="宋体" w:eastAsia="宋体" w:cs="宋体"/>
                <w:i w:val="0"/>
                <w:iCs w:val="0"/>
                <w:color w:val="000000"/>
                <w:sz w:val="18"/>
                <w:szCs w:val="18"/>
                <w:u w:val="none"/>
              </w:rPr>
            </w:pPr>
          </w:p>
        </w:tc>
      </w:tr>
      <w:tr w14:paraId="63E53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12224C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B46EF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209EF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C1B4B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51E505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2E5B6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5161E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5E482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01434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51C37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F2227D3">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91D50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49DA7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83CD8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12.71</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6B0608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12.71</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C87CC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FEA07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B469B81">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02E2B57A">
            <w:pPr>
              <w:rPr>
                <w:rFonts w:hint="eastAsia" w:ascii="黑体" w:hAnsi="黑体" w:eastAsia="黑体" w:cs="黑体"/>
                <w:i/>
                <w:iCs/>
                <w:color w:val="000000"/>
                <w:sz w:val="18"/>
                <w:szCs w:val="18"/>
                <w:u w:val="none"/>
              </w:rPr>
            </w:pPr>
          </w:p>
        </w:tc>
      </w:tr>
      <w:tr w14:paraId="1046B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531E9D0">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F0501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BB651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0EC68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C764E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9EB6D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757C7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AC0EC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7EDB0F6">
            <w:pPr>
              <w:rPr>
                <w:rFonts w:hint="eastAsia" w:ascii="黑体" w:hAnsi="黑体" w:eastAsia="黑体" w:cs="黑体"/>
                <w:i/>
                <w:iCs/>
                <w:color w:val="000000"/>
                <w:sz w:val="18"/>
                <w:szCs w:val="18"/>
                <w:u w:val="none"/>
              </w:rPr>
            </w:pPr>
          </w:p>
        </w:tc>
      </w:tr>
      <w:tr w14:paraId="35E45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B6DD9C5">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30C92B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DBD12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94864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676DB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710E2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0C4176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30523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725D094">
            <w:pPr>
              <w:rPr>
                <w:rFonts w:hint="eastAsia" w:ascii="黑体" w:hAnsi="黑体" w:eastAsia="黑体" w:cs="黑体"/>
                <w:i/>
                <w:iCs/>
                <w:color w:val="000000"/>
                <w:sz w:val="18"/>
                <w:szCs w:val="18"/>
                <w:u w:val="none"/>
              </w:rPr>
            </w:pPr>
          </w:p>
        </w:tc>
      </w:tr>
      <w:tr w14:paraId="63E30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3B62D92">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4C32AC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75923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A6CF4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12.71</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677C3E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12.71</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D3FA6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5E7AB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2104D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D4232B6">
            <w:pPr>
              <w:rPr>
                <w:rFonts w:hint="eastAsia" w:ascii="黑体" w:hAnsi="黑体" w:eastAsia="黑体" w:cs="黑体"/>
                <w:i/>
                <w:iCs/>
                <w:color w:val="000000"/>
                <w:sz w:val="18"/>
                <w:szCs w:val="18"/>
                <w:u w:val="none"/>
              </w:rPr>
            </w:pPr>
          </w:p>
        </w:tc>
      </w:tr>
      <w:tr w14:paraId="44CBD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84CD2A0">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1FE28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25962EF">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80EDA59">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52843AA">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A52C080">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714E2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39FB2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23E0283">
            <w:pPr>
              <w:rPr>
                <w:rFonts w:hint="eastAsia" w:ascii="黑体" w:hAnsi="黑体" w:eastAsia="黑体" w:cs="黑体"/>
                <w:i/>
                <w:iCs/>
                <w:color w:val="000000"/>
                <w:sz w:val="18"/>
                <w:szCs w:val="18"/>
                <w:u w:val="none"/>
              </w:rPr>
            </w:pPr>
          </w:p>
        </w:tc>
      </w:tr>
      <w:tr w14:paraId="444B9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00A6A2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04068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C0D1F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1B355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7E7BD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8638A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043A08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4A7E4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0703B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B2264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4F676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3E8DE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A7A06EB">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6F5959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0DA0D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8494B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传染病监测预警完成率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1A80FE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AC2ED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087379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4C70F4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D4F7C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BFFC8CC">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74773C1">
            <w:pPr>
              <w:jc w:val="center"/>
              <w:rPr>
                <w:rFonts w:hint="eastAsia" w:ascii="微软雅黑" w:hAnsi="微软雅黑" w:eastAsia="微软雅黑" w:cs="微软雅黑"/>
                <w:i/>
                <w:iCs/>
                <w:color w:val="000000"/>
                <w:sz w:val="16"/>
                <w:szCs w:val="16"/>
                <w:u w:val="none"/>
              </w:rPr>
            </w:pPr>
          </w:p>
        </w:tc>
      </w:tr>
      <w:tr w14:paraId="1FCAC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BE51EA7">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7D03736">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AC06B11">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071ED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当年基层卫生人才能力提升培训</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7177AE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29B96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B2AFE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A4DE6B8">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85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30098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B78F814">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3E7F499E">
            <w:pPr>
              <w:jc w:val="center"/>
              <w:rPr>
                <w:rFonts w:hint="eastAsia" w:ascii="微软雅黑" w:hAnsi="微软雅黑" w:eastAsia="微软雅黑" w:cs="微软雅黑"/>
                <w:i/>
                <w:iCs/>
                <w:color w:val="000000"/>
                <w:sz w:val="16"/>
                <w:szCs w:val="16"/>
                <w:u w:val="none"/>
              </w:rPr>
            </w:pPr>
          </w:p>
        </w:tc>
      </w:tr>
      <w:tr w14:paraId="46A42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04C542D">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EF0A159">
            <w:pPr>
              <w:jc w:val="center"/>
              <w:rPr>
                <w:rFonts w:hint="eastAsia" w:ascii="宋体" w:hAnsi="宋体" w:eastAsia="宋体" w:cs="宋体"/>
                <w:i w:val="0"/>
                <w:iCs w:val="0"/>
                <w:color w:val="000000"/>
                <w:sz w:val="18"/>
                <w:szCs w:val="18"/>
                <w:u w:val="none"/>
              </w:rPr>
            </w:pP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4781FC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质量指标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C0502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样本检测质量合格率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F5DBC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390C30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FD87D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4FF2AE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970B8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8ECA49A">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53DDF85">
            <w:pPr>
              <w:jc w:val="center"/>
              <w:rPr>
                <w:rFonts w:hint="eastAsia" w:ascii="微软雅黑" w:hAnsi="微软雅黑" w:eastAsia="微软雅黑" w:cs="微软雅黑"/>
                <w:i/>
                <w:iCs/>
                <w:color w:val="000000"/>
                <w:sz w:val="16"/>
                <w:szCs w:val="16"/>
                <w:u w:val="none"/>
              </w:rPr>
            </w:pPr>
          </w:p>
        </w:tc>
      </w:tr>
      <w:tr w14:paraId="0B86B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B0CAEE2">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7008576">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3C7E166">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6665C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职业健康核心指标主动监测率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0BAB8B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23A618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1876E8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EB4D8C2">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85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47B0A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0CDFBF4">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4447320">
            <w:pPr>
              <w:jc w:val="center"/>
              <w:rPr>
                <w:rFonts w:hint="eastAsia" w:ascii="微软雅黑" w:hAnsi="微软雅黑" w:eastAsia="微软雅黑" w:cs="微软雅黑"/>
                <w:i/>
                <w:iCs/>
                <w:color w:val="000000"/>
                <w:sz w:val="16"/>
                <w:szCs w:val="16"/>
                <w:u w:val="none"/>
              </w:rPr>
            </w:pPr>
          </w:p>
        </w:tc>
      </w:tr>
      <w:tr w14:paraId="3407D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B120A2D">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FC9D80F">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977589F">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8C4FC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实验室及毒菌种库正常运转率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45F99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7E885D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86DF9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2A55E5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13DA7A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744FDCF">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485A860">
            <w:pPr>
              <w:jc w:val="center"/>
              <w:rPr>
                <w:rFonts w:hint="eastAsia" w:ascii="微软雅黑" w:hAnsi="微软雅黑" w:eastAsia="微软雅黑" w:cs="微软雅黑"/>
                <w:i/>
                <w:iCs/>
                <w:color w:val="000000"/>
                <w:sz w:val="16"/>
                <w:szCs w:val="16"/>
                <w:u w:val="none"/>
              </w:rPr>
            </w:pPr>
          </w:p>
        </w:tc>
      </w:tr>
      <w:tr w14:paraId="7882D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47E4B4B">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1830342">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E597DEF">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6028E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实验室重大病毒检测准确率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B6246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30B00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A25DF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35B63D4">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3F2C8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46F1B577">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3FD0F2F">
            <w:pPr>
              <w:jc w:val="center"/>
              <w:rPr>
                <w:rFonts w:hint="eastAsia" w:ascii="微软雅黑" w:hAnsi="微软雅黑" w:eastAsia="微软雅黑" w:cs="微软雅黑"/>
                <w:i/>
                <w:iCs/>
                <w:color w:val="000000"/>
                <w:sz w:val="16"/>
                <w:szCs w:val="16"/>
                <w:u w:val="none"/>
              </w:rPr>
            </w:pPr>
          </w:p>
        </w:tc>
      </w:tr>
      <w:tr w14:paraId="07B1B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9F23164">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664B1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25E1F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1CA777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能力监测完成率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8CB3B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181FE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3A4280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0A4A0133">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EC105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9D680A2">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841B61E">
            <w:pPr>
              <w:jc w:val="center"/>
              <w:rPr>
                <w:rFonts w:hint="eastAsia" w:ascii="微软雅黑" w:hAnsi="微软雅黑" w:eastAsia="微软雅黑" w:cs="微软雅黑"/>
                <w:i/>
                <w:iCs/>
                <w:color w:val="000000"/>
                <w:sz w:val="16"/>
                <w:szCs w:val="16"/>
                <w:u w:val="none"/>
              </w:rPr>
            </w:pPr>
          </w:p>
        </w:tc>
      </w:tr>
      <w:tr w14:paraId="29EFC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1829C6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E03EC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2BFB463C">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A85746E">
            <w:pPr>
              <w:rPr>
                <w:rFonts w:hint="eastAsia" w:ascii="宋体" w:hAnsi="宋体" w:eastAsia="宋体" w:cs="宋体"/>
                <w:i w:val="0"/>
                <w:iCs w:val="0"/>
                <w:color w:val="000000"/>
                <w:sz w:val="18"/>
                <w:szCs w:val="18"/>
                <w:u w:val="none"/>
              </w:rPr>
            </w:pPr>
          </w:p>
        </w:tc>
      </w:tr>
      <w:tr w14:paraId="528E1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513F03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439C974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综合自评得分100分。本项目为设备质保金，按合同约定条件完成履约验收后足额支付质保款项，资金按合同规范支付，项目成效良好。</w:t>
            </w:r>
          </w:p>
        </w:tc>
      </w:tr>
      <w:tr w14:paraId="1DF5E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28AF59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6CCF7663">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无</w:t>
            </w:r>
          </w:p>
        </w:tc>
      </w:tr>
      <w:tr w14:paraId="328AA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184F2F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16A3E7B5">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无</w:t>
            </w:r>
          </w:p>
        </w:tc>
      </w:tr>
      <w:tr w14:paraId="6CB1F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4C509287">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217B45FE">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r w14:paraId="13AC8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241" w:type="pct"/>
            <w:tcBorders>
              <w:top w:val="nil"/>
              <w:left w:val="nil"/>
              <w:bottom w:val="nil"/>
              <w:right w:val="nil"/>
            </w:tcBorders>
            <w:shd w:val="clear"/>
            <w:vAlign w:val="center"/>
          </w:tcPr>
          <w:p w14:paraId="3779910A">
            <w:pPr>
              <w:rPr>
                <w:rFonts w:hint="eastAsia" w:ascii="宋体" w:hAnsi="宋体" w:eastAsia="宋体" w:cs="宋体"/>
                <w:i w:val="0"/>
                <w:iCs w:val="0"/>
                <w:color w:val="000000"/>
                <w:sz w:val="18"/>
                <w:szCs w:val="18"/>
                <w:u w:val="none"/>
              </w:rPr>
            </w:pPr>
          </w:p>
        </w:tc>
        <w:tc>
          <w:tcPr>
            <w:tcW w:w="725" w:type="pct"/>
            <w:tcBorders>
              <w:top w:val="nil"/>
              <w:left w:val="nil"/>
              <w:bottom w:val="nil"/>
              <w:right w:val="nil"/>
            </w:tcBorders>
            <w:shd w:val="clear"/>
            <w:vAlign w:val="center"/>
          </w:tcPr>
          <w:p w14:paraId="22C933D6">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vAlign w:val="center"/>
          </w:tcPr>
          <w:p w14:paraId="781EB81B">
            <w:pPr>
              <w:rPr>
                <w:rFonts w:hint="eastAsia" w:ascii="宋体" w:hAnsi="宋体" w:eastAsia="宋体" w:cs="宋体"/>
                <w:i w:val="0"/>
                <w:iCs w:val="0"/>
                <w:color w:val="000000"/>
                <w:sz w:val="18"/>
                <w:szCs w:val="18"/>
                <w:u w:val="none"/>
              </w:rPr>
            </w:pPr>
          </w:p>
        </w:tc>
        <w:tc>
          <w:tcPr>
            <w:tcW w:w="800" w:type="pct"/>
            <w:tcBorders>
              <w:top w:val="nil"/>
              <w:left w:val="nil"/>
              <w:bottom w:val="nil"/>
              <w:right w:val="nil"/>
            </w:tcBorders>
            <w:shd w:val="clear"/>
            <w:vAlign w:val="center"/>
          </w:tcPr>
          <w:p w14:paraId="1225A791">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vAlign w:val="center"/>
          </w:tcPr>
          <w:p w14:paraId="01F7437D">
            <w:pPr>
              <w:rPr>
                <w:rFonts w:hint="eastAsia" w:ascii="宋体" w:hAnsi="宋体" w:eastAsia="宋体" w:cs="宋体"/>
                <w:i w:val="0"/>
                <w:iCs w:val="0"/>
                <w:color w:val="000000"/>
                <w:sz w:val="18"/>
                <w:szCs w:val="18"/>
                <w:u w:val="none"/>
              </w:rPr>
            </w:pPr>
          </w:p>
        </w:tc>
        <w:tc>
          <w:tcPr>
            <w:tcW w:w="593" w:type="pct"/>
            <w:tcBorders>
              <w:top w:val="nil"/>
              <w:left w:val="nil"/>
              <w:bottom w:val="nil"/>
              <w:right w:val="nil"/>
            </w:tcBorders>
            <w:shd w:val="clear"/>
            <w:vAlign w:val="center"/>
          </w:tcPr>
          <w:p w14:paraId="7ABDDA8D">
            <w:pPr>
              <w:rPr>
                <w:rFonts w:hint="eastAsia" w:ascii="宋体" w:hAnsi="宋体" w:eastAsia="宋体" w:cs="宋体"/>
                <w:i w:val="0"/>
                <w:iCs w:val="0"/>
                <w:color w:val="000000"/>
                <w:sz w:val="18"/>
                <w:szCs w:val="18"/>
                <w:u w:val="none"/>
              </w:rPr>
            </w:pPr>
          </w:p>
        </w:tc>
        <w:tc>
          <w:tcPr>
            <w:tcW w:w="185" w:type="pct"/>
            <w:tcBorders>
              <w:top w:val="nil"/>
              <w:left w:val="nil"/>
              <w:bottom w:val="nil"/>
              <w:right w:val="nil"/>
            </w:tcBorders>
            <w:shd w:val="clear"/>
            <w:vAlign w:val="center"/>
          </w:tcPr>
          <w:p w14:paraId="5EB9EDDE">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vAlign w:val="center"/>
          </w:tcPr>
          <w:p w14:paraId="56116BCD">
            <w:pPr>
              <w:rPr>
                <w:rFonts w:hint="eastAsia" w:ascii="宋体" w:hAnsi="宋体" w:eastAsia="宋体" w:cs="宋体"/>
                <w:i w:val="0"/>
                <w:iCs w:val="0"/>
                <w:color w:val="000000"/>
                <w:sz w:val="18"/>
                <w:szCs w:val="18"/>
                <w:u w:val="none"/>
              </w:rPr>
            </w:pPr>
          </w:p>
        </w:tc>
        <w:tc>
          <w:tcPr>
            <w:tcW w:w="186" w:type="pct"/>
            <w:tcBorders>
              <w:top w:val="nil"/>
              <w:left w:val="nil"/>
              <w:bottom w:val="nil"/>
              <w:right w:val="nil"/>
            </w:tcBorders>
            <w:shd w:val="clear"/>
            <w:vAlign w:val="center"/>
          </w:tcPr>
          <w:p w14:paraId="15DE384F">
            <w:pPr>
              <w:rPr>
                <w:rFonts w:hint="eastAsia" w:ascii="宋体" w:hAnsi="宋体" w:eastAsia="宋体" w:cs="宋体"/>
                <w:i w:val="0"/>
                <w:iCs w:val="0"/>
                <w:color w:val="000000"/>
                <w:sz w:val="18"/>
                <w:szCs w:val="18"/>
                <w:u w:val="none"/>
              </w:rPr>
            </w:pPr>
          </w:p>
        </w:tc>
        <w:tc>
          <w:tcPr>
            <w:tcW w:w="161" w:type="pct"/>
            <w:tcBorders>
              <w:top w:val="nil"/>
              <w:left w:val="nil"/>
              <w:bottom w:val="nil"/>
              <w:right w:val="nil"/>
            </w:tcBorders>
            <w:shd w:val="clear"/>
            <w:vAlign w:val="center"/>
          </w:tcPr>
          <w:p w14:paraId="299277AB">
            <w:pPr>
              <w:rPr>
                <w:rFonts w:hint="eastAsia" w:ascii="宋体" w:hAnsi="宋体" w:eastAsia="宋体" w:cs="宋体"/>
                <w:i w:val="0"/>
                <w:iCs w:val="0"/>
                <w:color w:val="000000"/>
                <w:sz w:val="18"/>
                <w:szCs w:val="18"/>
                <w:u w:val="none"/>
              </w:rPr>
            </w:pPr>
          </w:p>
        </w:tc>
        <w:tc>
          <w:tcPr>
            <w:tcW w:w="905" w:type="pct"/>
            <w:tcBorders>
              <w:top w:val="nil"/>
              <w:left w:val="nil"/>
              <w:bottom w:val="nil"/>
              <w:right w:val="nil"/>
            </w:tcBorders>
            <w:shd w:val="clear"/>
            <w:vAlign w:val="center"/>
          </w:tcPr>
          <w:p w14:paraId="7315FDD4">
            <w:pPr>
              <w:rPr>
                <w:rFonts w:hint="eastAsia" w:ascii="宋体" w:hAnsi="宋体" w:eastAsia="宋体" w:cs="宋体"/>
                <w:i w:val="0"/>
                <w:iCs w:val="0"/>
                <w:color w:val="000000"/>
                <w:sz w:val="18"/>
                <w:szCs w:val="18"/>
                <w:u w:val="none"/>
              </w:rPr>
            </w:pPr>
          </w:p>
        </w:tc>
      </w:tr>
      <w:tr w14:paraId="79A59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vAlign w:val="center"/>
          </w:tcPr>
          <w:p w14:paraId="41B03F31">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bdr w:val="none" w:color="auto" w:sz="0" w:space="0"/>
                <w:lang w:val="en-US" w:eastAsia="zh-CN" w:bidi="ar"/>
              </w:rPr>
              <w:t>部门预算项目支出绩效自评表（2025年度）</w:t>
            </w:r>
          </w:p>
        </w:tc>
      </w:tr>
      <w:tr w14:paraId="2BAC9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6"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43068B4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项目名称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1938E47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51323326T000014156758-宫颈癌疫苗服务费</w:t>
            </w:r>
          </w:p>
        </w:tc>
      </w:tr>
      <w:tr w14:paraId="4656B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67" w:type="pct"/>
            <w:gridSpan w:val="2"/>
            <w:tcBorders>
              <w:top w:val="single" w:color="000000" w:sz="4" w:space="0"/>
              <w:left w:val="single" w:color="000000" w:sz="4" w:space="0"/>
              <w:bottom w:val="single" w:color="000000" w:sz="4" w:space="0"/>
              <w:right w:val="single" w:color="000000" w:sz="4" w:space="0"/>
            </w:tcBorders>
            <w:shd w:val="clear"/>
            <w:vAlign w:val="center"/>
          </w:tcPr>
          <w:p w14:paraId="0CBBCF3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主管部门</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60BC012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红原县卫生健康局</w:t>
            </w:r>
          </w:p>
        </w:tc>
        <w:tc>
          <w:tcPr>
            <w:tcW w:w="386" w:type="pct"/>
            <w:tcBorders>
              <w:top w:val="nil"/>
              <w:left w:val="nil"/>
              <w:bottom w:val="nil"/>
              <w:right w:val="nil"/>
            </w:tcBorders>
            <w:shd w:val="clear"/>
            <w:vAlign w:val="center"/>
          </w:tcPr>
          <w:p w14:paraId="36992939">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实施单位 （盖章）</w:t>
            </w:r>
          </w:p>
        </w:tc>
        <w:tc>
          <w:tcPr>
            <w:tcW w:w="1253" w:type="pct"/>
            <w:gridSpan w:val="3"/>
            <w:tcBorders>
              <w:top w:val="single" w:color="000000" w:sz="4" w:space="0"/>
              <w:left w:val="single" w:color="000000" w:sz="4" w:space="0"/>
              <w:bottom w:val="single" w:color="000000" w:sz="4" w:space="0"/>
              <w:right w:val="single" w:color="000000" w:sz="4" w:space="0"/>
            </w:tcBorders>
            <w:shd w:val="clear"/>
            <w:vAlign w:val="center"/>
          </w:tcPr>
          <w:p w14:paraId="3DF54C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红原县疾病预防控制中心</w:t>
            </w:r>
          </w:p>
        </w:tc>
      </w:tr>
      <w:tr w14:paraId="60A72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4080677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项目基本情况</w:t>
            </w: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7A8AF42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1.项目年度目标完成情况</w:t>
            </w: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7BBF1C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项目年度目标</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6E7F801D">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年度目标完成情况</w:t>
            </w:r>
          </w:p>
        </w:tc>
      </w:tr>
      <w:tr w14:paraId="5A0DB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016C2F3">
            <w:pP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57F2B8A">
            <w:pPr>
              <w:rPr>
                <w:rFonts w:hint="eastAsia" w:ascii="宋体" w:hAnsi="宋体" w:eastAsia="宋体" w:cs="宋体"/>
                <w:i w:val="0"/>
                <w:iCs w:val="0"/>
                <w:color w:val="000000"/>
                <w:sz w:val="18"/>
                <w:szCs w:val="18"/>
                <w:u w:val="none"/>
              </w:rPr>
            </w:pPr>
          </w:p>
        </w:tc>
        <w:tc>
          <w:tcPr>
            <w:tcW w:w="2392" w:type="pct"/>
            <w:gridSpan w:val="5"/>
            <w:tcBorders>
              <w:top w:val="single" w:color="000000" w:sz="4" w:space="0"/>
              <w:left w:val="single" w:color="000000" w:sz="4" w:space="0"/>
              <w:bottom w:val="single" w:color="000000" w:sz="4" w:space="0"/>
              <w:right w:val="single" w:color="000000" w:sz="4" w:space="0"/>
            </w:tcBorders>
            <w:shd w:val="clear"/>
            <w:vAlign w:val="center"/>
          </w:tcPr>
          <w:p w14:paraId="0C3F29B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疫苗服务费</w:t>
            </w:r>
          </w:p>
        </w:tc>
        <w:tc>
          <w:tcPr>
            <w:tcW w:w="1639" w:type="pct"/>
            <w:gridSpan w:val="4"/>
            <w:tcBorders>
              <w:top w:val="single" w:color="000000" w:sz="4" w:space="0"/>
              <w:left w:val="single" w:color="000000" w:sz="4" w:space="0"/>
              <w:bottom w:val="single" w:color="000000" w:sz="4" w:space="0"/>
              <w:right w:val="single" w:color="000000" w:sz="4" w:space="0"/>
            </w:tcBorders>
            <w:shd w:val="clear"/>
            <w:vAlign w:val="center"/>
          </w:tcPr>
          <w:p w14:paraId="4D369293">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开展疫苗服务相关工作，做好适龄儿童常规疫苗接种、疫苗管理、接种宣传动员等工作，保障疫苗接种有序落地。预算执行率100%，各项接种指标达标，顺利完成年度任务。</w:t>
            </w:r>
          </w:p>
        </w:tc>
      </w:tr>
      <w:tr w14:paraId="4D05D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93"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F06DAD5">
            <w:pP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DAE4E9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2.项目实施内容及过程概述</w:t>
            </w:r>
          </w:p>
        </w:tc>
        <w:tc>
          <w:tcPr>
            <w:tcW w:w="4032" w:type="pct"/>
            <w:gridSpan w:val="9"/>
            <w:tcBorders>
              <w:top w:val="single" w:color="000000" w:sz="4" w:space="0"/>
              <w:left w:val="single" w:color="000000" w:sz="4" w:space="0"/>
              <w:bottom w:val="single" w:color="000000" w:sz="4" w:space="0"/>
              <w:right w:val="single" w:color="000000" w:sz="4" w:space="0"/>
            </w:tcBorders>
            <w:shd w:val="clear"/>
            <w:vAlign w:val="center"/>
          </w:tcPr>
          <w:p w14:paraId="58D2292A">
            <w:pPr>
              <w:rPr>
                <w:rFonts w:hint="eastAsia" w:ascii="宋体" w:hAnsi="宋体" w:eastAsia="宋体" w:cs="宋体"/>
                <w:i w:val="0"/>
                <w:iCs w:val="0"/>
                <w:color w:val="000000"/>
                <w:sz w:val="18"/>
                <w:szCs w:val="18"/>
                <w:u w:val="none"/>
              </w:rPr>
            </w:pPr>
          </w:p>
        </w:tc>
      </w:tr>
      <w:tr w14:paraId="41568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1"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751F9C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预算执行情况（10分）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8C395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1F43FE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年初预算</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A319F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调整后预算数</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550733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30310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预算执行率</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F57C2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EB72A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56694F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原因</w:t>
            </w:r>
          </w:p>
        </w:tc>
      </w:tr>
      <w:tr w14:paraId="15662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3A795AB">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24783F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5F466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E13AC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0.66</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036932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0.66</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C2050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00157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3A9B71C1">
            <w:pPr>
              <w:jc w:val="center"/>
              <w:rPr>
                <w:rFonts w:hint="eastAsia" w:ascii="宋体" w:hAnsi="宋体" w:eastAsia="宋体" w:cs="宋体"/>
                <w:i w:val="0"/>
                <w:iCs w:val="0"/>
                <w:color w:val="000000"/>
                <w:sz w:val="18"/>
                <w:szCs w:val="18"/>
                <w:u w:val="none"/>
              </w:rPr>
            </w:pPr>
          </w:p>
        </w:tc>
        <w:tc>
          <w:tcPr>
            <w:tcW w:w="9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2045B6BF">
            <w:pPr>
              <w:rPr>
                <w:rFonts w:hint="eastAsia" w:ascii="黑体" w:hAnsi="黑体" w:eastAsia="黑体" w:cs="黑体"/>
                <w:i/>
                <w:iCs/>
                <w:color w:val="000000"/>
                <w:sz w:val="18"/>
                <w:szCs w:val="18"/>
                <w:u w:val="none"/>
              </w:rPr>
            </w:pPr>
          </w:p>
        </w:tc>
      </w:tr>
      <w:tr w14:paraId="121EC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4EE6995">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8C25D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0B58F7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8AF12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A6F17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A1FCB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286F8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E91E6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32686B8">
            <w:pPr>
              <w:rPr>
                <w:rFonts w:hint="eastAsia" w:ascii="黑体" w:hAnsi="黑体" w:eastAsia="黑体" w:cs="黑体"/>
                <w:i/>
                <w:iCs/>
                <w:color w:val="000000"/>
                <w:sz w:val="18"/>
                <w:szCs w:val="18"/>
                <w:u w:val="none"/>
              </w:rPr>
            </w:pPr>
          </w:p>
        </w:tc>
      </w:tr>
      <w:tr w14:paraId="1A6E9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8F6ED55">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E334B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4A331D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321901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D7609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E5189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B80A3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4A246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F5E2BB3">
            <w:pPr>
              <w:rPr>
                <w:rFonts w:hint="eastAsia" w:ascii="黑体" w:hAnsi="黑体" w:eastAsia="黑体" w:cs="黑体"/>
                <w:i/>
                <w:iCs/>
                <w:color w:val="000000"/>
                <w:sz w:val="18"/>
                <w:szCs w:val="18"/>
                <w:u w:val="none"/>
              </w:rPr>
            </w:pPr>
          </w:p>
        </w:tc>
      </w:tr>
      <w:tr w14:paraId="01D59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D63E61E">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7870CF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1B98F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0.00</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01785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0.66</w:t>
            </w: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727024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0.66</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B1F88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46CC7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409F7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79CF619">
            <w:pPr>
              <w:rPr>
                <w:rFonts w:hint="eastAsia" w:ascii="黑体" w:hAnsi="黑体" w:eastAsia="黑体" w:cs="黑体"/>
                <w:i/>
                <w:iCs/>
                <w:color w:val="000000"/>
                <w:sz w:val="18"/>
                <w:szCs w:val="18"/>
                <w:u w:val="none"/>
              </w:rPr>
            </w:pPr>
          </w:p>
        </w:tc>
      </w:tr>
      <w:tr w14:paraId="52684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54F3DA0">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62ECA1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37D4B982">
            <w:pPr>
              <w:jc w:val="center"/>
              <w:rPr>
                <w:rFonts w:hint="eastAsia" w:ascii="微软雅黑" w:hAnsi="微软雅黑" w:eastAsia="微软雅黑" w:cs="微软雅黑"/>
                <w:i/>
                <w:iCs/>
                <w:color w:val="000000"/>
                <w:sz w:val="16"/>
                <w:szCs w:val="16"/>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F958DCB">
            <w:pPr>
              <w:jc w:val="center"/>
              <w:rPr>
                <w:rFonts w:hint="eastAsia" w:ascii="微软雅黑" w:hAnsi="微软雅黑" w:eastAsia="微软雅黑" w:cs="微软雅黑"/>
                <w:i/>
                <w:iCs/>
                <w:color w:val="000000"/>
                <w:sz w:val="16"/>
                <w:szCs w:val="16"/>
                <w:u w:val="none"/>
              </w:rPr>
            </w:pPr>
          </w:p>
        </w:tc>
        <w:tc>
          <w:tcPr>
            <w:tcW w:w="963" w:type="pct"/>
            <w:gridSpan w:val="3"/>
            <w:tcBorders>
              <w:top w:val="single" w:color="000000" w:sz="4" w:space="0"/>
              <w:left w:val="single" w:color="000000" w:sz="4" w:space="0"/>
              <w:bottom w:val="single" w:color="000000" w:sz="4" w:space="0"/>
              <w:right w:val="single" w:color="000000" w:sz="4" w:space="0"/>
            </w:tcBorders>
            <w:shd w:val="clear"/>
            <w:vAlign w:val="center"/>
          </w:tcPr>
          <w:p w14:paraId="25AC2519">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1C1ACF9">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76CCE1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D07E2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9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0C296F7">
            <w:pPr>
              <w:rPr>
                <w:rFonts w:hint="eastAsia" w:ascii="黑体" w:hAnsi="黑体" w:eastAsia="黑体" w:cs="黑体"/>
                <w:i/>
                <w:iCs/>
                <w:color w:val="000000"/>
                <w:sz w:val="18"/>
                <w:szCs w:val="18"/>
                <w:u w:val="none"/>
              </w:rPr>
            </w:pPr>
          </w:p>
        </w:tc>
      </w:tr>
      <w:tr w14:paraId="5F615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35DAD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绩效指标（90分）</w:t>
            </w: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1F9304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55791B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二级指标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7336B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06D3B3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指标性质</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85184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指标值</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366E4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4890F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完成值</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5A0144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权重</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FAA2E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得分</w:t>
            </w: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7B2DD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未完成原因分析</w:t>
            </w:r>
          </w:p>
        </w:tc>
      </w:tr>
      <w:tr w14:paraId="1A8B4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41DD6BA">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0FFC0A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04DFE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数量指标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F7986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适龄儿童国家免疫规划疫苗接种率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2358EC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571917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2E7A96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33225B9">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60B08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0D31DA56">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2E55A1C">
            <w:pPr>
              <w:jc w:val="center"/>
              <w:rPr>
                <w:rFonts w:hint="eastAsia" w:ascii="微软雅黑" w:hAnsi="微软雅黑" w:eastAsia="微软雅黑" w:cs="微软雅黑"/>
                <w:i/>
                <w:iCs/>
                <w:color w:val="000000"/>
                <w:sz w:val="16"/>
                <w:szCs w:val="16"/>
                <w:u w:val="none"/>
              </w:rPr>
            </w:pPr>
          </w:p>
        </w:tc>
      </w:tr>
      <w:tr w14:paraId="1199E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15CF969">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9E9A3E6">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1AB1CB2">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5AC5E9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乙肝病例监测比例</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61D50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2787F0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6007D0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53184C1">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95.78</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213457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3733DDB">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1424129D">
            <w:pPr>
              <w:jc w:val="center"/>
              <w:rPr>
                <w:rFonts w:hint="eastAsia" w:ascii="微软雅黑" w:hAnsi="微软雅黑" w:eastAsia="微软雅黑" w:cs="微软雅黑"/>
                <w:i/>
                <w:iCs/>
                <w:color w:val="000000"/>
                <w:sz w:val="16"/>
                <w:szCs w:val="16"/>
                <w:u w:val="none"/>
              </w:rPr>
            </w:pPr>
          </w:p>
        </w:tc>
      </w:tr>
      <w:tr w14:paraId="64BD0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5077E73">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ACB1D08">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666E429">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0A9EC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适龄儿童国家免疫规划脊灰疫苗接种率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18918F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2C1A3C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7E74E9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DBDCB75">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098AB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20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1DC9C4AD">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2C1026C5">
            <w:pPr>
              <w:jc w:val="center"/>
              <w:rPr>
                <w:rFonts w:hint="eastAsia" w:ascii="微软雅黑" w:hAnsi="微软雅黑" w:eastAsia="微软雅黑" w:cs="微软雅黑"/>
                <w:i/>
                <w:iCs/>
                <w:color w:val="000000"/>
                <w:sz w:val="16"/>
                <w:szCs w:val="16"/>
                <w:u w:val="none"/>
              </w:rPr>
            </w:pPr>
          </w:p>
        </w:tc>
      </w:tr>
      <w:tr w14:paraId="75764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0285D92">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E6B888A">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2A80FE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质量指标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24192A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43571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47D3D7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80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D6A12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0B7F907">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96.32</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597DF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5775263A">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4A9C1724">
            <w:pPr>
              <w:jc w:val="center"/>
              <w:rPr>
                <w:rFonts w:hint="eastAsia" w:ascii="微软雅黑" w:hAnsi="微软雅黑" w:eastAsia="微软雅黑" w:cs="微软雅黑"/>
                <w:i/>
                <w:iCs/>
                <w:color w:val="000000"/>
                <w:sz w:val="16"/>
                <w:szCs w:val="16"/>
                <w:u w:val="none"/>
              </w:rPr>
            </w:pPr>
          </w:p>
        </w:tc>
      </w:tr>
      <w:tr w14:paraId="0021E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55F117A">
            <w:pPr>
              <w:jc w:val="center"/>
              <w:rPr>
                <w:rFonts w:hint="eastAsia" w:ascii="宋体" w:hAnsi="宋体" w:eastAsia="宋体" w:cs="宋体"/>
                <w:i w:val="0"/>
                <w:iCs w:val="0"/>
                <w:color w:val="000000"/>
                <w:sz w:val="18"/>
                <w:szCs w:val="18"/>
                <w:u w:val="none"/>
              </w:rPr>
            </w:pPr>
          </w:p>
        </w:tc>
        <w:tc>
          <w:tcPr>
            <w:tcW w:w="725" w:type="pct"/>
            <w:tcBorders>
              <w:top w:val="single" w:color="000000" w:sz="4" w:space="0"/>
              <w:left w:val="single" w:color="000000" w:sz="4" w:space="0"/>
              <w:bottom w:val="single" w:color="000000" w:sz="4" w:space="0"/>
              <w:right w:val="single" w:color="000000" w:sz="4" w:space="0"/>
            </w:tcBorders>
            <w:shd w:val="clear"/>
            <w:vAlign w:val="center"/>
          </w:tcPr>
          <w:p w14:paraId="50596B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vAlign w:val="center"/>
          </w:tcPr>
          <w:p w14:paraId="6BD90B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社会效益指标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DEA04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新冠疫苗接种率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4AC1E3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09BE4F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BBBBC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6589410">
            <w:pPr>
              <w:jc w:val="center"/>
              <w:rPr>
                <w:rFonts w:hint="eastAsia" w:ascii="微软雅黑" w:hAnsi="微软雅黑" w:eastAsia="微软雅黑" w:cs="微软雅黑"/>
                <w:i/>
                <w:iCs/>
                <w:color w:val="000000"/>
                <w:sz w:val="16"/>
                <w:szCs w:val="16"/>
                <w:u w:val="none"/>
              </w:rPr>
            </w:pP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45AED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30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760F0BAE">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F4768FE">
            <w:pPr>
              <w:jc w:val="center"/>
              <w:rPr>
                <w:rFonts w:hint="eastAsia" w:ascii="微软雅黑" w:hAnsi="微软雅黑" w:eastAsia="微软雅黑" w:cs="微软雅黑"/>
                <w:i/>
                <w:iCs/>
                <w:color w:val="000000"/>
                <w:sz w:val="16"/>
                <w:szCs w:val="16"/>
                <w:u w:val="none"/>
              </w:rPr>
            </w:pPr>
          </w:p>
        </w:tc>
      </w:tr>
      <w:tr w14:paraId="570B1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C3B2D76">
            <w:pPr>
              <w:jc w:val="center"/>
              <w:rPr>
                <w:rFonts w:hint="eastAsia" w:ascii="宋体" w:hAnsi="宋体" w:eastAsia="宋体" w:cs="宋体"/>
                <w:i w:val="0"/>
                <w:iCs w:val="0"/>
                <w:color w:val="000000"/>
                <w:sz w:val="18"/>
                <w:szCs w:val="18"/>
                <w:u w:val="none"/>
              </w:rPr>
            </w:pPr>
          </w:p>
        </w:tc>
        <w:tc>
          <w:tcPr>
            <w:tcW w:w="7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D0EF1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满意度指标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186447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服务对象满意度指标</w:t>
            </w: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68120D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疫苗管理率</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6ADA40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6C302B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95</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4E512D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288BAE6">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95.75</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48AEDB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A4D09D5">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09FCE2E0">
            <w:pPr>
              <w:jc w:val="center"/>
              <w:rPr>
                <w:rFonts w:hint="eastAsia" w:ascii="微软雅黑" w:hAnsi="微软雅黑" w:eastAsia="微软雅黑" w:cs="微软雅黑"/>
                <w:i/>
                <w:iCs/>
                <w:color w:val="000000"/>
                <w:sz w:val="16"/>
                <w:szCs w:val="16"/>
                <w:u w:val="none"/>
              </w:rPr>
            </w:pPr>
          </w:p>
        </w:tc>
      </w:tr>
      <w:tr w14:paraId="6B59C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9"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384990B">
            <w:pPr>
              <w:jc w:val="center"/>
              <w:rPr>
                <w:rFonts w:hint="eastAsia" w:ascii="宋体" w:hAnsi="宋体" w:eastAsia="宋体" w:cs="宋体"/>
                <w:i w:val="0"/>
                <w:iCs w:val="0"/>
                <w:color w:val="000000"/>
                <w:sz w:val="18"/>
                <w:szCs w:val="18"/>
                <w:u w:val="none"/>
              </w:rPr>
            </w:pPr>
          </w:p>
        </w:tc>
        <w:tc>
          <w:tcPr>
            <w:tcW w:w="7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E46F646">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BD17F46">
            <w:pPr>
              <w:jc w:val="center"/>
              <w:rPr>
                <w:rFonts w:hint="eastAsia" w:ascii="宋体" w:hAnsi="宋体" w:eastAsia="宋体" w:cs="宋体"/>
                <w:i w:val="0"/>
                <w:iCs w:val="0"/>
                <w:color w:val="000000"/>
                <w:sz w:val="18"/>
                <w:szCs w:val="18"/>
                <w:u w:val="none"/>
              </w:rPr>
            </w:pPr>
          </w:p>
        </w:tc>
        <w:tc>
          <w:tcPr>
            <w:tcW w:w="800" w:type="pct"/>
            <w:tcBorders>
              <w:top w:val="single" w:color="000000" w:sz="4" w:space="0"/>
              <w:left w:val="single" w:color="000000" w:sz="4" w:space="0"/>
              <w:bottom w:val="single" w:color="000000" w:sz="4" w:space="0"/>
              <w:right w:val="single" w:color="000000" w:sz="4" w:space="0"/>
            </w:tcBorders>
            <w:shd w:val="clear"/>
            <w:vAlign w:val="center"/>
          </w:tcPr>
          <w:p w14:paraId="717D87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免疫规划编制人员满意度</w:t>
            </w:r>
          </w:p>
        </w:tc>
        <w:tc>
          <w:tcPr>
            <w:tcW w:w="184" w:type="pct"/>
            <w:tcBorders>
              <w:top w:val="single" w:color="000000" w:sz="4" w:space="0"/>
              <w:left w:val="single" w:color="000000" w:sz="4" w:space="0"/>
              <w:bottom w:val="single" w:color="000000" w:sz="4" w:space="0"/>
              <w:right w:val="single" w:color="000000" w:sz="4" w:space="0"/>
            </w:tcBorders>
            <w:shd w:val="clear"/>
            <w:vAlign w:val="center"/>
          </w:tcPr>
          <w:p w14:paraId="33213D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593" w:type="pct"/>
            <w:tcBorders>
              <w:top w:val="single" w:color="000000" w:sz="4" w:space="0"/>
              <w:left w:val="single" w:color="000000" w:sz="4" w:space="0"/>
              <w:bottom w:val="single" w:color="000000" w:sz="4" w:space="0"/>
              <w:right w:val="single" w:color="000000" w:sz="4" w:space="0"/>
            </w:tcBorders>
            <w:shd w:val="clear"/>
            <w:vAlign w:val="center"/>
          </w:tcPr>
          <w:p w14:paraId="1310C1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90</w:t>
            </w:r>
          </w:p>
        </w:tc>
        <w:tc>
          <w:tcPr>
            <w:tcW w:w="185" w:type="pct"/>
            <w:tcBorders>
              <w:top w:val="single" w:color="000000" w:sz="4" w:space="0"/>
              <w:left w:val="single" w:color="000000" w:sz="4" w:space="0"/>
              <w:bottom w:val="single" w:color="000000" w:sz="4" w:space="0"/>
              <w:right w:val="single" w:color="000000" w:sz="4" w:space="0"/>
            </w:tcBorders>
            <w:shd w:val="clear"/>
            <w:vAlign w:val="center"/>
          </w:tcPr>
          <w:p w14:paraId="042C21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4B1D9AB">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100</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30100E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5</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CCE0D2F">
            <w:pPr>
              <w:jc w:val="cente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3E46427">
            <w:pPr>
              <w:jc w:val="center"/>
              <w:rPr>
                <w:rFonts w:hint="eastAsia" w:ascii="微软雅黑" w:hAnsi="微软雅黑" w:eastAsia="微软雅黑" w:cs="微软雅黑"/>
                <w:i/>
                <w:iCs/>
                <w:color w:val="000000"/>
                <w:sz w:val="16"/>
                <w:szCs w:val="16"/>
                <w:u w:val="none"/>
              </w:rPr>
            </w:pPr>
          </w:p>
        </w:tc>
      </w:tr>
      <w:tr w14:paraId="35B23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746" w:type="pct"/>
            <w:gridSpan w:val="8"/>
            <w:tcBorders>
              <w:top w:val="single" w:color="000000" w:sz="4" w:space="0"/>
              <w:left w:val="single" w:color="000000" w:sz="4" w:space="0"/>
              <w:bottom w:val="single" w:color="000000" w:sz="4" w:space="0"/>
              <w:right w:val="single" w:color="000000" w:sz="4" w:space="0"/>
            </w:tcBorders>
            <w:shd w:val="clear"/>
            <w:vAlign w:val="center"/>
          </w:tcPr>
          <w:p w14:paraId="63A9AE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合计</w:t>
            </w:r>
          </w:p>
        </w:tc>
        <w:tc>
          <w:tcPr>
            <w:tcW w:w="186" w:type="pct"/>
            <w:tcBorders>
              <w:top w:val="single" w:color="000000" w:sz="4" w:space="0"/>
              <w:left w:val="single" w:color="000000" w:sz="4" w:space="0"/>
              <w:bottom w:val="single" w:color="000000" w:sz="4" w:space="0"/>
              <w:right w:val="single" w:color="000000" w:sz="4" w:space="0"/>
            </w:tcBorders>
            <w:shd w:val="clear"/>
            <w:vAlign w:val="center"/>
          </w:tcPr>
          <w:p w14:paraId="65F902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100</w:t>
            </w:r>
          </w:p>
        </w:tc>
        <w:tc>
          <w:tcPr>
            <w:tcW w:w="161" w:type="pct"/>
            <w:tcBorders>
              <w:top w:val="single" w:color="000000" w:sz="4" w:space="0"/>
              <w:left w:val="single" w:color="000000" w:sz="4" w:space="0"/>
              <w:bottom w:val="single" w:color="000000" w:sz="4" w:space="0"/>
              <w:right w:val="single" w:color="000000" w:sz="4" w:space="0"/>
            </w:tcBorders>
            <w:shd w:val="clear"/>
            <w:vAlign w:val="center"/>
          </w:tcPr>
          <w:p w14:paraId="6C42F736">
            <w:pPr>
              <w:rPr>
                <w:rFonts w:hint="eastAsia" w:ascii="宋体" w:hAnsi="宋体" w:eastAsia="宋体" w:cs="宋体"/>
                <w:i w:val="0"/>
                <w:iCs w:val="0"/>
                <w:color w:val="000000"/>
                <w:sz w:val="18"/>
                <w:szCs w:val="18"/>
                <w:u w:val="none"/>
              </w:rPr>
            </w:pPr>
          </w:p>
        </w:tc>
        <w:tc>
          <w:tcPr>
            <w:tcW w:w="905" w:type="pct"/>
            <w:tcBorders>
              <w:top w:val="single" w:color="000000" w:sz="4" w:space="0"/>
              <w:left w:val="single" w:color="000000" w:sz="4" w:space="0"/>
              <w:bottom w:val="single" w:color="000000" w:sz="4" w:space="0"/>
              <w:right w:val="single" w:color="000000" w:sz="4" w:space="0"/>
            </w:tcBorders>
            <w:shd w:val="clear"/>
            <w:vAlign w:val="center"/>
          </w:tcPr>
          <w:p w14:paraId="71E6E0AB">
            <w:pPr>
              <w:rPr>
                <w:rFonts w:hint="eastAsia" w:ascii="宋体" w:hAnsi="宋体" w:eastAsia="宋体" w:cs="宋体"/>
                <w:i w:val="0"/>
                <w:iCs w:val="0"/>
                <w:color w:val="000000"/>
                <w:sz w:val="18"/>
                <w:szCs w:val="18"/>
                <w:u w:val="none"/>
              </w:rPr>
            </w:pPr>
          </w:p>
        </w:tc>
      </w:tr>
      <w:tr w14:paraId="1F96F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685F5A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24F7CF77">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综合自评得分100分。项目资金用于疫苗服务保障工作，有序推进适龄儿童国家免疫规划疫苗接种，规范开展疫苗出入库、冷链管理、接种信息登记，做好乙肝等病例监测，持续提升适龄儿童疫苗接种率，降低疫苗可预防传染病发病风险，资金拨付及时、使用规范，社会效益良好。</w:t>
            </w:r>
          </w:p>
        </w:tc>
      </w:tr>
      <w:tr w14:paraId="31253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515AAC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15726D0F">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无</w:t>
            </w:r>
          </w:p>
        </w:tc>
      </w:tr>
      <w:tr w14:paraId="2396A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41" w:type="pct"/>
            <w:tcBorders>
              <w:top w:val="single" w:color="000000" w:sz="4" w:space="0"/>
              <w:left w:val="single" w:color="000000" w:sz="4" w:space="0"/>
              <w:bottom w:val="single" w:color="000000" w:sz="4" w:space="0"/>
              <w:right w:val="single" w:color="000000" w:sz="4" w:space="0"/>
            </w:tcBorders>
            <w:shd w:val="clear"/>
            <w:vAlign w:val="center"/>
          </w:tcPr>
          <w:p w14:paraId="355C21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bdr w:val="none" w:color="auto" w:sz="0" w:space="0"/>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vAlign w:val="center"/>
          </w:tcPr>
          <w:p w14:paraId="424D096B">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bdr w:val="none" w:color="auto" w:sz="0" w:space="0"/>
                <w:lang w:val="en-US" w:eastAsia="zh-CN" w:bidi="ar"/>
              </w:rPr>
              <w:t>无</w:t>
            </w:r>
          </w:p>
        </w:tc>
      </w:tr>
      <w:tr w14:paraId="5849A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581" w:type="pct"/>
            <w:gridSpan w:val="5"/>
            <w:tcBorders>
              <w:top w:val="single" w:color="000000" w:sz="4" w:space="0"/>
              <w:left w:val="single" w:color="000000" w:sz="4" w:space="0"/>
              <w:bottom w:val="single" w:color="000000" w:sz="4" w:space="0"/>
              <w:right w:val="single" w:color="000000" w:sz="4" w:space="0"/>
            </w:tcBorders>
            <w:shd w:val="clear"/>
            <w:vAlign w:val="center"/>
          </w:tcPr>
          <w:p w14:paraId="2A958EC2">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项目负责人：</w:t>
            </w:r>
          </w:p>
        </w:tc>
        <w:tc>
          <w:tcPr>
            <w:tcW w:w="2418" w:type="pct"/>
            <w:gridSpan w:val="6"/>
            <w:tcBorders>
              <w:top w:val="single" w:color="000000" w:sz="4" w:space="0"/>
              <w:left w:val="single" w:color="000000" w:sz="4" w:space="0"/>
              <w:bottom w:val="single" w:color="000000" w:sz="4" w:space="0"/>
              <w:right w:val="single" w:color="000000" w:sz="4" w:space="0"/>
            </w:tcBorders>
            <w:shd w:val="clear"/>
            <w:vAlign w:val="center"/>
          </w:tcPr>
          <w:p w14:paraId="0A6EF1B8">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bdr w:val="none" w:color="auto" w:sz="0" w:space="0"/>
                <w:lang w:val="en-US" w:eastAsia="zh-CN" w:bidi="ar"/>
              </w:rPr>
              <w:t>财务负责人：</w:t>
            </w:r>
          </w:p>
        </w:tc>
      </w:tr>
    </w:tbl>
    <w:p w14:paraId="6C0AB0B1">
      <w:pPr>
        <w:pStyle w:val="8"/>
        <w:rPr>
          <w:rFonts w:hint="eastAsia" w:ascii="仿宋" w:hAnsi="仿宋" w:eastAsia="仿宋" w:cs="仿宋"/>
          <w:sz w:val="32"/>
          <w:szCs w:val="32"/>
        </w:rPr>
      </w:pPr>
    </w:p>
    <w:p w14:paraId="60DA63A6">
      <w:pPr>
        <w:rPr>
          <w:rStyle w:val="37"/>
          <w:rFonts w:hint="eastAsia" w:ascii="黑体" w:hAnsi="黑体" w:eastAsia="黑体"/>
          <w:b w:val="0"/>
          <w:color w:val="auto"/>
          <w:highlight w:val="none"/>
        </w:rPr>
      </w:pPr>
      <w:bookmarkStart w:id="74" w:name="_Toc21200"/>
      <w:bookmarkStart w:id="75" w:name="_Toc79163885"/>
      <w:bookmarkStart w:id="76" w:name="_Toc79163635"/>
      <w:bookmarkStart w:id="77" w:name="_Toc111208512"/>
      <w:r>
        <w:rPr>
          <w:rStyle w:val="37"/>
          <w:rFonts w:hint="eastAsia" w:ascii="黑体" w:hAnsi="黑体" w:eastAsia="黑体"/>
          <w:b w:val="0"/>
          <w:color w:val="auto"/>
          <w:highlight w:val="none"/>
        </w:rPr>
        <w:br w:type="page"/>
      </w:r>
    </w:p>
    <w:p w14:paraId="1DD58993">
      <w:pPr>
        <w:suppressAutoHyphens/>
        <w:bidi w:val="0"/>
        <w:spacing w:line="600" w:lineRule="exact"/>
        <w:jc w:val="center"/>
        <w:outlineLvl w:val="0"/>
        <w:rPr>
          <w:rFonts w:hint="eastAsia" w:ascii="思源黑体 CN Normal" w:hAnsi="思源黑体 CN Normal" w:eastAsia="思源黑体 CN Normal" w:cs="思源黑体 CN Normal"/>
          <w:b w:val="0"/>
          <w:bCs w:val="0"/>
        </w:rPr>
      </w:pPr>
      <w:r>
        <w:rPr>
          <w:rStyle w:val="37"/>
          <w:rFonts w:hint="eastAsia" w:ascii="黑体" w:hAnsi="黑体" w:eastAsia="黑体"/>
          <w:b w:val="0"/>
          <w:color w:val="auto"/>
          <w:highlight w:val="none"/>
        </w:rPr>
        <w:t>第五部分 附表</w:t>
      </w:r>
      <w:bookmarkEnd w:id="74"/>
      <w:bookmarkEnd w:id="75"/>
      <w:bookmarkEnd w:id="76"/>
      <w:bookmarkEnd w:id="77"/>
    </w:p>
    <w:p w14:paraId="39407B2D">
      <w:pPr>
        <w:pStyle w:val="6"/>
        <w:ind w:firstLine="640" w:firstLineChars="200"/>
        <w:rPr>
          <w:rFonts w:hint="eastAsia" w:ascii="仿宋" w:hAnsi="仿宋" w:eastAsia="仿宋" w:cs="仿宋"/>
          <w:b w:val="0"/>
          <w:bCs/>
          <w:color w:val="000000"/>
        </w:rPr>
      </w:pPr>
      <w:bookmarkStart w:id="78" w:name="_Toc16431"/>
      <w:r>
        <w:rPr>
          <w:rFonts w:hint="eastAsia" w:ascii="仿宋" w:hAnsi="仿宋" w:eastAsia="仿宋" w:cs="仿宋"/>
          <w:b w:val="0"/>
          <w:bCs/>
          <w:color w:val="000000"/>
        </w:rPr>
        <w:t>一、收入支出决算总表</w:t>
      </w:r>
      <w:bookmarkEnd w:id="78"/>
    </w:p>
    <w:p w14:paraId="2B7DC4AC">
      <w:pPr>
        <w:pStyle w:val="6"/>
        <w:ind w:firstLine="640" w:firstLineChars="200"/>
        <w:rPr>
          <w:rFonts w:hint="eastAsia" w:ascii="仿宋" w:hAnsi="仿宋" w:eastAsia="仿宋" w:cs="仿宋"/>
          <w:b w:val="0"/>
          <w:bCs/>
          <w:color w:val="000000"/>
        </w:rPr>
      </w:pPr>
      <w:bookmarkStart w:id="79" w:name="_Toc25389"/>
      <w:r>
        <w:rPr>
          <w:rFonts w:hint="eastAsia" w:ascii="仿宋" w:hAnsi="仿宋" w:eastAsia="仿宋" w:cs="仿宋"/>
          <w:b w:val="0"/>
          <w:bCs/>
          <w:color w:val="000000"/>
        </w:rPr>
        <w:t>二、收入决算表</w:t>
      </w:r>
      <w:bookmarkEnd w:id="79"/>
    </w:p>
    <w:p w14:paraId="7858E927">
      <w:pPr>
        <w:pStyle w:val="6"/>
        <w:ind w:firstLine="640" w:firstLineChars="200"/>
        <w:rPr>
          <w:rFonts w:hint="eastAsia" w:ascii="仿宋" w:hAnsi="仿宋" w:eastAsia="仿宋" w:cs="仿宋"/>
          <w:b w:val="0"/>
          <w:bCs/>
          <w:color w:val="000000"/>
        </w:rPr>
      </w:pPr>
      <w:bookmarkStart w:id="80" w:name="_Toc10450"/>
      <w:r>
        <w:rPr>
          <w:rFonts w:hint="eastAsia" w:ascii="仿宋" w:hAnsi="仿宋" w:eastAsia="仿宋" w:cs="仿宋"/>
          <w:b w:val="0"/>
          <w:bCs/>
          <w:color w:val="000000"/>
        </w:rPr>
        <w:t>三、支出决算表</w:t>
      </w:r>
      <w:bookmarkEnd w:id="80"/>
    </w:p>
    <w:p w14:paraId="31EC7FA5">
      <w:pPr>
        <w:pStyle w:val="6"/>
        <w:ind w:firstLine="640" w:firstLineChars="200"/>
        <w:rPr>
          <w:rFonts w:hint="eastAsia" w:ascii="仿宋" w:hAnsi="仿宋" w:eastAsia="仿宋" w:cs="仿宋"/>
          <w:b w:val="0"/>
          <w:bCs/>
          <w:color w:val="000000"/>
        </w:rPr>
      </w:pPr>
      <w:bookmarkStart w:id="81" w:name="_Toc15415"/>
      <w:r>
        <w:rPr>
          <w:rFonts w:hint="eastAsia" w:ascii="仿宋" w:hAnsi="仿宋" w:eastAsia="仿宋" w:cs="仿宋"/>
          <w:b w:val="0"/>
          <w:bCs/>
          <w:color w:val="000000"/>
        </w:rPr>
        <w:t>四、财政拨款收入支出决算总表</w:t>
      </w:r>
      <w:bookmarkEnd w:id="81"/>
    </w:p>
    <w:p w14:paraId="4A2F30BB">
      <w:pPr>
        <w:pStyle w:val="6"/>
        <w:ind w:firstLine="640" w:firstLineChars="200"/>
        <w:rPr>
          <w:rFonts w:hint="eastAsia" w:ascii="仿宋" w:hAnsi="仿宋" w:eastAsia="仿宋" w:cs="仿宋"/>
          <w:b w:val="0"/>
          <w:bCs/>
          <w:color w:val="000000"/>
        </w:rPr>
      </w:pPr>
      <w:bookmarkStart w:id="82" w:name="_Toc17530"/>
      <w:r>
        <w:rPr>
          <w:rFonts w:hint="eastAsia" w:ascii="仿宋" w:hAnsi="仿宋" w:eastAsia="仿宋" w:cs="仿宋"/>
          <w:b w:val="0"/>
          <w:bCs/>
          <w:color w:val="000000"/>
        </w:rPr>
        <w:t>五、财政拨款支出决算明细表</w:t>
      </w:r>
      <w:bookmarkEnd w:id="82"/>
    </w:p>
    <w:p w14:paraId="712C880D">
      <w:pPr>
        <w:pStyle w:val="6"/>
        <w:ind w:firstLine="640" w:firstLineChars="200"/>
        <w:rPr>
          <w:rFonts w:hint="eastAsia" w:ascii="仿宋" w:hAnsi="仿宋" w:eastAsia="仿宋" w:cs="仿宋"/>
          <w:b w:val="0"/>
          <w:bCs/>
          <w:color w:val="000000"/>
        </w:rPr>
      </w:pPr>
      <w:bookmarkStart w:id="83" w:name="_Toc22032"/>
      <w:r>
        <w:rPr>
          <w:rFonts w:hint="eastAsia" w:ascii="仿宋" w:hAnsi="仿宋" w:eastAsia="仿宋" w:cs="仿宋"/>
          <w:b w:val="0"/>
          <w:bCs/>
          <w:color w:val="000000"/>
        </w:rPr>
        <w:t>六、一般公共预算财政拨款支出决算表</w:t>
      </w:r>
      <w:bookmarkEnd w:id="83"/>
    </w:p>
    <w:p w14:paraId="51429EF5">
      <w:pPr>
        <w:pStyle w:val="6"/>
        <w:ind w:firstLine="640" w:firstLineChars="200"/>
        <w:rPr>
          <w:rFonts w:hint="eastAsia" w:ascii="仿宋" w:hAnsi="仿宋" w:eastAsia="仿宋" w:cs="仿宋"/>
          <w:b w:val="0"/>
          <w:bCs/>
          <w:color w:val="000000"/>
        </w:rPr>
      </w:pPr>
      <w:bookmarkStart w:id="84" w:name="_Toc3364"/>
      <w:r>
        <w:rPr>
          <w:rFonts w:hint="eastAsia" w:ascii="仿宋" w:hAnsi="仿宋" w:eastAsia="仿宋" w:cs="仿宋"/>
          <w:b w:val="0"/>
          <w:bCs/>
          <w:color w:val="000000"/>
        </w:rPr>
        <w:t>七、一般公共预算财政拨款支出决算明细表</w:t>
      </w:r>
      <w:bookmarkEnd w:id="84"/>
    </w:p>
    <w:p w14:paraId="672B9B4D">
      <w:pPr>
        <w:pStyle w:val="6"/>
        <w:ind w:firstLine="640" w:firstLineChars="200"/>
        <w:rPr>
          <w:rFonts w:hint="eastAsia" w:ascii="仿宋" w:hAnsi="仿宋" w:eastAsia="仿宋" w:cs="仿宋"/>
          <w:b w:val="0"/>
          <w:bCs/>
          <w:color w:val="000000"/>
        </w:rPr>
      </w:pPr>
      <w:bookmarkStart w:id="85" w:name="_Toc9110"/>
      <w:r>
        <w:rPr>
          <w:rFonts w:hint="eastAsia" w:ascii="仿宋" w:hAnsi="仿宋" w:eastAsia="仿宋" w:cs="仿宋"/>
          <w:b w:val="0"/>
          <w:bCs/>
          <w:color w:val="000000"/>
        </w:rPr>
        <w:t>八、一般公共预算财政拨款基本支出决算表</w:t>
      </w:r>
      <w:bookmarkEnd w:id="85"/>
    </w:p>
    <w:p w14:paraId="2002A273">
      <w:pPr>
        <w:pStyle w:val="6"/>
        <w:ind w:firstLine="640" w:firstLineChars="200"/>
        <w:rPr>
          <w:rFonts w:hint="eastAsia" w:ascii="仿宋" w:hAnsi="仿宋" w:eastAsia="仿宋" w:cs="仿宋"/>
          <w:b w:val="0"/>
          <w:bCs/>
          <w:color w:val="000000"/>
        </w:rPr>
      </w:pPr>
      <w:bookmarkStart w:id="86" w:name="_Toc28582"/>
      <w:r>
        <w:rPr>
          <w:rFonts w:hint="eastAsia" w:ascii="仿宋" w:hAnsi="仿宋" w:eastAsia="仿宋" w:cs="仿宋"/>
          <w:b w:val="0"/>
          <w:bCs/>
          <w:color w:val="000000"/>
        </w:rPr>
        <w:t>九、一般公共预算财政拨款项目支出决算表</w:t>
      </w:r>
      <w:bookmarkEnd w:id="86"/>
    </w:p>
    <w:p w14:paraId="0A36D281">
      <w:pPr>
        <w:pStyle w:val="6"/>
        <w:ind w:firstLine="640" w:firstLineChars="200"/>
        <w:rPr>
          <w:rFonts w:hint="eastAsia" w:ascii="仿宋" w:hAnsi="仿宋" w:eastAsia="仿宋" w:cs="仿宋"/>
          <w:b w:val="0"/>
          <w:bCs/>
          <w:color w:val="000000"/>
        </w:rPr>
      </w:pPr>
      <w:bookmarkStart w:id="87" w:name="_Toc22001"/>
      <w:r>
        <w:rPr>
          <w:rFonts w:hint="eastAsia" w:ascii="仿宋" w:hAnsi="仿宋" w:eastAsia="仿宋" w:cs="仿宋"/>
          <w:b w:val="0"/>
          <w:bCs/>
          <w:color w:val="000000"/>
        </w:rPr>
        <w:t>十、政府性基金预算财政拨款收入支出决算表</w:t>
      </w:r>
      <w:bookmarkEnd w:id="87"/>
    </w:p>
    <w:p w14:paraId="0BD12BAB">
      <w:pPr>
        <w:pStyle w:val="6"/>
        <w:ind w:firstLine="640" w:firstLineChars="200"/>
        <w:rPr>
          <w:rFonts w:hint="eastAsia" w:ascii="仿宋" w:hAnsi="仿宋" w:eastAsia="仿宋" w:cs="仿宋"/>
          <w:b w:val="0"/>
          <w:bCs/>
          <w:color w:val="000000"/>
        </w:rPr>
      </w:pPr>
      <w:bookmarkStart w:id="88" w:name="_Toc6538"/>
      <w:r>
        <w:rPr>
          <w:rFonts w:hint="eastAsia" w:ascii="仿宋" w:hAnsi="仿宋" w:eastAsia="仿宋" w:cs="仿宋"/>
          <w:b w:val="0"/>
          <w:bCs/>
          <w:color w:val="000000"/>
        </w:rPr>
        <w:t>十一、国有资本经营预算财政拨款收入支出决算表</w:t>
      </w:r>
      <w:bookmarkEnd w:id="88"/>
    </w:p>
    <w:p w14:paraId="124CF2DF">
      <w:pPr>
        <w:pStyle w:val="6"/>
        <w:ind w:firstLine="640" w:firstLineChars="200"/>
        <w:rPr>
          <w:rFonts w:hint="eastAsia" w:ascii="仿宋" w:hAnsi="仿宋" w:eastAsia="仿宋" w:cs="仿宋"/>
          <w:b w:val="0"/>
          <w:bCs/>
          <w:color w:val="000000"/>
        </w:rPr>
      </w:pPr>
      <w:bookmarkStart w:id="89" w:name="_Toc10625"/>
      <w:r>
        <w:rPr>
          <w:rFonts w:hint="eastAsia" w:ascii="仿宋" w:hAnsi="仿宋" w:eastAsia="仿宋" w:cs="仿宋"/>
          <w:b w:val="0"/>
          <w:bCs/>
          <w:color w:val="000000"/>
        </w:rPr>
        <w:t>十二、国有资本经营预算财政拨款支出决算表</w:t>
      </w:r>
      <w:bookmarkEnd w:id="89"/>
    </w:p>
    <w:p w14:paraId="39A925A5">
      <w:pPr>
        <w:pStyle w:val="6"/>
        <w:ind w:firstLine="640" w:firstLineChars="200"/>
        <w:rPr>
          <w:rFonts w:hint="eastAsia" w:ascii="仿宋" w:hAnsi="仿宋" w:eastAsia="仿宋" w:cs="仿宋"/>
          <w:b w:val="0"/>
          <w:bCs/>
          <w:color w:val="000000"/>
        </w:rPr>
      </w:pPr>
      <w:bookmarkStart w:id="90" w:name="_Toc28356"/>
      <w:r>
        <w:rPr>
          <w:rFonts w:hint="eastAsia" w:ascii="仿宋" w:hAnsi="仿宋" w:eastAsia="仿宋" w:cs="仿宋"/>
          <w:b w:val="0"/>
          <w:bCs/>
          <w:color w:val="000000"/>
        </w:rPr>
        <w:t>十三、财政拨款“三公”经费支出决算表</w:t>
      </w:r>
      <w:bookmarkEnd w:id="90"/>
    </w:p>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C4FC89E-BB8A-49EB-A96D-26BE1005BD9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embedRegular r:id="rId2" w:fontKey="{6325EE38-3FB3-4C2D-BCD6-A230477B85DB}"/>
  </w:font>
  <w:font w:name="仿宋">
    <w:panose1 w:val="02010609060101010101"/>
    <w:charset w:val="86"/>
    <w:family w:val="modern"/>
    <w:pitch w:val="default"/>
    <w:sig w:usb0="800002BF" w:usb1="38CF7CFA" w:usb2="00000016" w:usb3="00000000" w:csb0="00040001" w:csb1="00000000"/>
    <w:embedRegular r:id="rId3" w:fontKey="{296DD299-5369-4E63-B3B8-D27DB8CEE3B4}"/>
  </w:font>
  <w:font w:name="思源黑体 CN Normal">
    <w:altName w:val="黑体"/>
    <w:panose1 w:val="020B0400000000000000"/>
    <w:charset w:val="86"/>
    <w:family w:val="auto"/>
    <w:pitch w:val="default"/>
    <w:sig w:usb0="00000000" w:usb1="00000000" w:usb2="00000016" w:usb3="00000000" w:csb0="60060107" w:csb1="00000000"/>
    <w:embedRegular r:id="rId4" w:fontKey="{67E407DF-346B-4C75-9922-C34E6B30A84E}"/>
  </w:font>
  <w:font w:name="方正小标宋简体">
    <w:panose1 w:val="02000000000000000000"/>
    <w:charset w:val="86"/>
    <w:family w:val="auto"/>
    <w:pitch w:val="default"/>
    <w:sig w:usb0="00000001" w:usb1="08000000" w:usb2="00000000" w:usb3="00000000" w:csb0="00040000" w:csb1="00000000"/>
    <w:embedRegular r:id="rId5" w:fontKey="{B9E383E8-BB60-42B1-8C9D-846134571390}"/>
  </w:font>
  <w:font w:name="楷体">
    <w:panose1 w:val="02010609060101010101"/>
    <w:charset w:val="86"/>
    <w:family w:val="auto"/>
    <w:pitch w:val="default"/>
    <w:sig w:usb0="800002BF" w:usb1="38CF7CFA" w:usb2="00000016" w:usb3="00000000" w:csb0="00040001" w:csb1="00000000"/>
    <w:embedRegular r:id="rId6" w:fontKey="{CFB2EA78-9ACD-44AB-B06F-2861445C6D4C}"/>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954951BB">
    <w:panose1 w:val="02010609060101010101"/>
    <w:charset w:val="86"/>
    <w:family w:val="auto"/>
    <w:pitch w:val="default"/>
    <w:sig w:usb0="00000001" w:usb1="00000000" w:usb2="00000000" w:usb3="00000000" w:csb0="00060001" w:csb1="00000000"/>
  </w:font>
  <w:font w:name="微软雅黑">
    <w:panose1 w:val="020B0503020204020204"/>
    <w:charset w:val="86"/>
    <w:family w:val="auto"/>
    <w:pitch w:val="default"/>
    <w:sig w:usb0="80000287" w:usb1="2ACF3C50" w:usb2="00000016" w:usb3="00000000" w:csb0="0004001F" w:csb1="00000000"/>
    <w:embedRegular r:id="rId7" w:fontKey="{2137679C-8F38-445B-8EC0-4D8CD1D1B3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FF7B9">
    <w:pPr>
      <w:pStyle w:val="13"/>
      <w:jc w:val="center"/>
    </w:pPr>
  </w:p>
  <w:p w14:paraId="40092139">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F41CB">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4856"/>
                          </w:sdtPr>
                          <w:sdtContent>
                            <w:p w14:paraId="18159799">
                              <w:pPr>
                                <w:pStyle w:val="13"/>
                                <w:jc w:val="center"/>
                              </w:pPr>
                              <w:r>
                                <w:fldChar w:fldCharType="begin"/>
                              </w:r>
                              <w:r>
                                <w:instrText xml:space="preserve">PAGE   \* MERGEFORMAT</w:instrText>
                              </w:r>
                              <w:r>
                                <w:fldChar w:fldCharType="separate"/>
                              </w:r>
                              <w:r>
                                <w:rPr>
                                  <w:lang w:val="zh-CN"/>
                                </w:rPr>
                                <w:t>4</w:t>
                              </w:r>
                              <w:r>
                                <w:fldChar w:fldCharType="end"/>
                              </w:r>
                            </w:p>
                          </w:sdtContent>
                        </w:sdt>
                        <w:p w14:paraId="0D4E28F1">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147464856"/>
                    </w:sdtPr>
                    <w:sdtContent>
                      <w:p w14:paraId="18159799">
                        <w:pPr>
                          <w:pStyle w:val="13"/>
                          <w:jc w:val="center"/>
                        </w:pPr>
                        <w:r>
                          <w:fldChar w:fldCharType="begin"/>
                        </w:r>
                        <w:r>
                          <w:instrText xml:space="preserve">PAGE   \* MERGEFORMAT</w:instrText>
                        </w:r>
                        <w:r>
                          <w:fldChar w:fldCharType="separate"/>
                        </w:r>
                        <w:r>
                          <w:rPr>
                            <w:lang w:val="zh-CN"/>
                          </w:rPr>
                          <w:t>4</w:t>
                        </w:r>
                        <w:r>
                          <w:fldChar w:fldCharType="end"/>
                        </w:r>
                      </w:p>
                    </w:sdtContent>
                  </w:sdt>
                  <w:p w14:paraId="0D4E28F1">
                    <w:pPr>
                      <w:pStyle w:val="2"/>
                    </w:pPr>
                  </w:p>
                </w:txbxContent>
              </v:textbox>
            </v:shape>
          </w:pict>
        </mc:Fallback>
      </mc:AlternateContent>
    </w:r>
  </w:p>
  <w:p w14:paraId="6AA3FF41">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A8348">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0CC68">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3D0CC68">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EE576">
    <w:pPr>
      <w:pStyle w:val="1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hmNjAzMWJlZjFkMmQwODUwMTJkYzE2ODFiYmFmYTcifQ=="/>
  </w:docVars>
  <w:rsids>
    <w:rsidRoot w:val="00F1361C"/>
    <w:rsid w:val="000000BC"/>
    <w:rsid w:val="00000665"/>
    <w:rsid w:val="00000B38"/>
    <w:rsid w:val="000015A2"/>
    <w:rsid w:val="00002628"/>
    <w:rsid w:val="00003E5B"/>
    <w:rsid w:val="00004806"/>
    <w:rsid w:val="00007EA6"/>
    <w:rsid w:val="00012FB7"/>
    <w:rsid w:val="00013357"/>
    <w:rsid w:val="00013C9E"/>
    <w:rsid w:val="00015450"/>
    <w:rsid w:val="000175E6"/>
    <w:rsid w:val="00017F98"/>
    <w:rsid w:val="00020F07"/>
    <w:rsid w:val="000222C6"/>
    <w:rsid w:val="00022FC0"/>
    <w:rsid w:val="000230B2"/>
    <w:rsid w:val="0002359B"/>
    <w:rsid w:val="00023DEB"/>
    <w:rsid w:val="00025226"/>
    <w:rsid w:val="0002549F"/>
    <w:rsid w:val="00025F1E"/>
    <w:rsid w:val="0002749D"/>
    <w:rsid w:val="0003013F"/>
    <w:rsid w:val="00031598"/>
    <w:rsid w:val="00031926"/>
    <w:rsid w:val="000326D5"/>
    <w:rsid w:val="00033414"/>
    <w:rsid w:val="00034ABC"/>
    <w:rsid w:val="00034D1D"/>
    <w:rsid w:val="00034D24"/>
    <w:rsid w:val="00035A69"/>
    <w:rsid w:val="000366B3"/>
    <w:rsid w:val="00036E57"/>
    <w:rsid w:val="00047195"/>
    <w:rsid w:val="00047C09"/>
    <w:rsid w:val="00052D93"/>
    <w:rsid w:val="000551CF"/>
    <w:rsid w:val="000571AC"/>
    <w:rsid w:val="00063AA8"/>
    <w:rsid w:val="0006487A"/>
    <w:rsid w:val="00065F8F"/>
    <w:rsid w:val="00066365"/>
    <w:rsid w:val="00066A65"/>
    <w:rsid w:val="00070C93"/>
    <w:rsid w:val="00070D58"/>
    <w:rsid w:val="00070F40"/>
    <w:rsid w:val="00071796"/>
    <w:rsid w:val="00072BEC"/>
    <w:rsid w:val="00073345"/>
    <w:rsid w:val="000768F2"/>
    <w:rsid w:val="00077C80"/>
    <w:rsid w:val="00081156"/>
    <w:rsid w:val="000815F6"/>
    <w:rsid w:val="00083B72"/>
    <w:rsid w:val="000846FF"/>
    <w:rsid w:val="0008503A"/>
    <w:rsid w:val="000851B4"/>
    <w:rsid w:val="000859F0"/>
    <w:rsid w:val="00087C06"/>
    <w:rsid w:val="00090134"/>
    <w:rsid w:val="00090DB7"/>
    <w:rsid w:val="0009184B"/>
    <w:rsid w:val="00091AAC"/>
    <w:rsid w:val="000921CB"/>
    <w:rsid w:val="000925CB"/>
    <w:rsid w:val="0009389E"/>
    <w:rsid w:val="0009593C"/>
    <w:rsid w:val="000A1370"/>
    <w:rsid w:val="000A17C4"/>
    <w:rsid w:val="000A37A2"/>
    <w:rsid w:val="000A500C"/>
    <w:rsid w:val="000B007F"/>
    <w:rsid w:val="000B047F"/>
    <w:rsid w:val="000B071C"/>
    <w:rsid w:val="000B1716"/>
    <w:rsid w:val="000B202D"/>
    <w:rsid w:val="000B26BE"/>
    <w:rsid w:val="000B2D44"/>
    <w:rsid w:val="000B2FD8"/>
    <w:rsid w:val="000B44F0"/>
    <w:rsid w:val="000B5923"/>
    <w:rsid w:val="000B5A48"/>
    <w:rsid w:val="000B6FF3"/>
    <w:rsid w:val="000C0A06"/>
    <w:rsid w:val="000C148A"/>
    <w:rsid w:val="000C2B6A"/>
    <w:rsid w:val="000C3467"/>
    <w:rsid w:val="000C3CA6"/>
    <w:rsid w:val="000C4E3D"/>
    <w:rsid w:val="000C7136"/>
    <w:rsid w:val="000D1267"/>
    <w:rsid w:val="000D17A8"/>
    <w:rsid w:val="000D1D50"/>
    <w:rsid w:val="000D304F"/>
    <w:rsid w:val="000D4033"/>
    <w:rsid w:val="000D5782"/>
    <w:rsid w:val="000D620F"/>
    <w:rsid w:val="000D74AA"/>
    <w:rsid w:val="000E3AC5"/>
    <w:rsid w:val="000E4C84"/>
    <w:rsid w:val="000E6613"/>
    <w:rsid w:val="000E6663"/>
    <w:rsid w:val="000E7119"/>
    <w:rsid w:val="000E75B2"/>
    <w:rsid w:val="000F0D1B"/>
    <w:rsid w:val="000F3E1D"/>
    <w:rsid w:val="000F7336"/>
    <w:rsid w:val="00101546"/>
    <w:rsid w:val="00106B75"/>
    <w:rsid w:val="0010727E"/>
    <w:rsid w:val="00107CCA"/>
    <w:rsid w:val="00110310"/>
    <w:rsid w:val="0011211B"/>
    <w:rsid w:val="00112787"/>
    <w:rsid w:val="00114E9B"/>
    <w:rsid w:val="0011649B"/>
    <w:rsid w:val="00116E5E"/>
    <w:rsid w:val="0012218E"/>
    <w:rsid w:val="0012398F"/>
    <w:rsid w:val="00124113"/>
    <w:rsid w:val="00124BFE"/>
    <w:rsid w:val="0012516D"/>
    <w:rsid w:val="00125224"/>
    <w:rsid w:val="00130F18"/>
    <w:rsid w:val="00133C7A"/>
    <w:rsid w:val="0013434B"/>
    <w:rsid w:val="00137E3C"/>
    <w:rsid w:val="001418EE"/>
    <w:rsid w:val="00142F42"/>
    <w:rsid w:val="00143AE1"/>
    <w:rsid w:val="00143C8F"/>
    <w:rsid w:val="001446FE"/>
    <w:rsid w:val="00144A59"/>
    <w:rsid w:val="00146A3D"/>
    <w:rsid w:val="0014729F"/>
    <w:rsid w:val="00147410"/>
    <w:rsid w:val="001506F6"/>
    <w:rsid w:val="00151128"/>
    <w:rsid w:val="0015213E"/>
    <w:rsid w:val="001544D9"/>
    <w:rsid w:val="00156D25"/>
    <w:rsid w:val="00156D5D"/>
    <w:rsid w:val="00157BAB"/>
    <w:rsid w:val="0016151A"/>
    <w:rsid w:val="00163B54"/>
    <w:rsid w:val="00163F03"/>
    <w:rsid w:val="001654D1"/>
    <w:rsid w:val="00166A14"/>
    <w:rsid w:val="00166F25"/>
    <w:rsid w:val="0016730C"/>
    <w:rsid w:val="00167FD7"/>
    <w:rsid w:val="0017190C"/>
    <w:rsid w:val="00174145"/>
    <w:rsid w:val="0018106D"/>
    <w:rsid w:val="0018125C"/>
    <w:rsid w:val="00181856"/>
    <w:rsid w:val="00183B64"/>
    <w:rsid w:val="00184B52"/>
    <w:rsid w:val="001877A7"/>
    <w:rsid w:val="00187CD2"/>
    <w:rsid w:val="00191536"/>
    <w:rsid w:val="00191B2C"/>
    <w:rsid w:val="001927B3"/>
    <w:rsid w:val="00193E73"/>
    <w:rsid w:val="00193FE2"/>
    <w:rsid w:val="001959D9"/>
    <w:rsid w:val="00195AB7"/>
    <w:rsid w:val="00196687"/>
    <w:rsid w:val="001A0107"/>
    <w:rsid w:val="001A0B9F"/>
    <w:rsid w:val="001A0EA2"/>
    <w:rsid w:val="001A1DBF"/>
    <w:rsid w:val="001A41F1"/>
    <w:rsid w:val="001A5CF3"/>
    <w:rsid w:val="001A63BB"/>
    <w:rsid w:val="001B1840"/>
    <w:rsid w:val="001B1FA9"/>
    <w:rsid w:val="001B2FB3"/>
    <w:rsid w:val="001B5F65"/>
    <w:rsid w:val="001B6640"/>
    <w:rsid w:val="001B7FF7"/>
    <w:rsid w:val="001C0962"/>
    <w:rsid w:val="001C1941"/>
    <w:rsid w:val="001C1A81"/>
    <w:rsid w:val="001C38A5"/>
    <w:rsid w:val="001C597C"/>
    <w:rsid w:val="001C6464"/>
    <w:rsid w:val="001C746B"/>
    <w:rsid w:val="001D14B6"/>
    <w:rsid w:val="001D342B"/>
    <w:rsid w:val="001D6C1E"/>
    <w:rsid w:val="001D7531"/>
    <w:rsid w:val="001E0A1B"/>
    <w:rsid w:val="001E1402"/>
    <w:rsid w:val="001E2922"/>
    <w:rsid w:val="001E3680"/>
    <w:rsid w:val="001E6926"/>
    <w:rsid w:val="001E737D"/>
    <w:rsid w:val="001F0592"/>
    <w:rsid w:val="001F0C89"/>
    <w:rsid w:val="001F7506"/>
    <w:rsid w:val="002006CD"/>
    <w:rsid w:val="0020075A"/>
    <w:rsid w:val="00202B36"/>
    <w:rsid w:val="00202C44"/>
    <w:rsid w:val="00202F80"/>
    <w:rsid w:val="002030A5"/>
    <w:rsid w:val="00204B7A"/>
    <w:rsid w:val="00206616"/>
    <w:rsid w:val="0020689D"/>
    <w:rsid w:val="00206B0E"/>
    <w:rsid w:val="00207949"/>
    <w:rsid w:val="0021101A"/>
    <w:rsid w:val="0021190F"/>
    <w:rsid w:val="0021334C"/>
    <w:rsid w:val="00216B50"/>
    <w:rsid w:val="00220536"/>
    <w:rsid w:val="00220C02"/>
    <w:rsid w:val="00224F1D"/>
    <w:rsid w:val="00225CB7"/>
    <w:rsid w:val="0023060C"/>
    <w:rsid w:val="00234E40"/>
    <w:rsid w:val="00235629"/>
    <w:rsid w:val="00237409"/>
    <w:rsid w:val="00237AE4"/>
    <w:rsid w:val="00240C43"/>
    <w:rsid w:val="00240C5D"/>
    <w:rsid w:val="00243589"/>
    <w:rsid w:val="002527B1"/>
    <w:rsid w:val="0025301B"/>
    <w:rsid w:val="00253FF8"/>
    <w:rsid w:val="00260A32"/>
    <w:rsid w:val="00260C38"/>
    <w:rsid w:val="00260F84"/>
    <w:rsid w:val="002616C0"/>
    <w:rsid w:val="002620C0"/>
    <w:rsid w:val="002662AA"/>
    <w:rsid w:val="00267E1C"/>
    <w:rsid w:val="00272FB2"/>
    <w:rsid w:val="0027313F"/>
    <w:rsid w:val="00273F8B"/>
    <w:rsid w:val="002740FA"/>
    <w:rsid w:val="0027692F"/>
    <w:rsid w:val="0027703A"/>
    <w:rsid w:val="00277BF4"/>
    <w:rsid w:val="002803BD"/>
    <w:rsid w:val="00280496"/>
    <w:rsid w:val="00283D63"/>
    <w:rsid w:val="00283E91"/>
    <w:rsid w:val="002856F9"/>
    <w:rsid w:val="002866CA"/>
    <w:rsid w:val="00286C21"/>
    <w:rsid w:val="002875BF"/>
    <w:rsid w:val="0029076F"/>
    <w:rsid w:val="0029094E"/>
    <w:rsid w:val="00291DC2"/>
    <w:rsid w:val="00292626"/>
    <w:rsid w:val="00292E6B"/>
    <w:rsid w:val="00295495"/>
    <w:rsid w:val="002A0D55"/>
    <w:rsid w:val="002A0E88"/>
    <w:rsid w:val="002A1940"/>
    <w:rsid w:val="002A3F4C"/>
    <w:rsid w:val="002A70D7"/>
    <w:rsid w:val="002A77B7"/>
    <w:rsid w:val="002A7AE1"/>
    <w:rsid w:val="002B133E"/>
    <w:rsid w:val="002B1B6D"/>
    <w:rsid w:val="002B2613"/>
    <w:rsid w:val="002B2C2A"/>
    <w:rsid w:val="002B2F51"/>
    <w:rsid w:val="002B44FC"/>
    <w:rsid w:val="002B5438"/>
    <w:rsid w:val="002B544A"/>
    <w:rsid w:val="002B5F40"/>
    <w:rsid w:val="002B79B7"/>
    <w:rsid w:val="002C00BF"/>
    <w:rsid w:val="002C0137"/>
    <w:rsid w:val="002C1004"/>
    <w:rsid w:val="002C1E97"/>
    <w:rsid w:val="002C4022"/>
    <w:rsid w:val="002C5275"/>
    <w:rsid w:val="002C6074"/>
    <w:rsid w:val="002D1F9E"/>
    <w:rsid w:val="002D30E8"/>
    <w:rsid w:val="002E0F9C"/>
    <w:rsid w:val="002E1F75"/>
    <w:rsid w:val="002E202A"/>
    <w:rsid w:val="002E5C3A"/>
    <w:rsid w:val="002E64D0"/>
    <w:rsid w:val="002F1818"/>
    <w:rsid w:val="002F1A28"/>
    <w:rsid w:val="002F2C84"/>
    <w:rsid w:val="002F335F"/>
    <w:rsid w:val="002F567B"/>
    <w:rsid w:val="002F66D8"/>
    <w:rsid w:val="002F7353"/>
    <w:rsid w:val="0030080A"/>
    <w:rsid w:val="0030298F"/>
    <w:rsid w:val="00302AF1"/>
    <w:rsid w:val="00305126"/>
    <w:rsid w:val="0030593B"/>
    <w:rsid w:val="00310306"/>
    <w:rsid w:val="0031156F"/>
    <w:rsid w:val="00317FD1"/>
    <w:rsid w:val="00321358"/>
    <w:rsid w:val="003216A9"/>
    <w:rsid w:val="00322D89"/>
    <w:rsid w:val="00325332"/>
    <w:rsid w:val="00325856"/>
    <w:rsid w:val="00325985"/>
    <w:rsid w:val="003278AA"/>
    <w:rsid w:val="00332726"/>
    <w:rsid w:val="0033309F"/>
    <w:rsid w:val="00335ED6"/>
    <w:rsid w:val="00337694"/>
    <w:rsid w:val="003431B7"/>
    <w:rsid w:val="0034381A"/>
    <w:rsid w:val="003440C6"/>
    <w:rsid w:val="00350C26"/>
    <w:rsid w:val="003515CF"/>
    <w:rsid w:val="00353569"/>
    <w:rsid w:val="00354D51"/>
    <w:rsid w:val="0035612F"/>
    <w:rsid w:val="00356A32"/>
    <w:rsid w:val="0035779A"/>
    <w:rsid w:val="00360394"/>
    <w:rsid w:val="0036392A"/>
    <w:rsid w:val="003663FE"/>
    <w:rsid w:val="0036688B"/>
    <w:rsid w:val="00366A86"/>
    <w:rsid w:val="00367683"/>
    <w:rsid w:val="00367B91"/>
    <w:rsid w:val="0037013F"/>
    <w:rsid w:val="00373FCE"/>
    <w:rsid w:val="00377A4C"/>
    <w:rsid w:val="003802FF"/>
    <w:rsid w:val="00380C92"/>
    <w:rsid w:val="00383877"/>
    <w:rsid w:val="00385025"/>
    <w:rsid w:val="00386455"/>
    <w:rsid w:val="00390D36"/>
    <w:rsid w:val="00390F3B"/>
    <w:rsid w:val="0039111A"/>
    <w:rsid w:val="003936B4"/>
    <w:rsid w:val="00393AFD"/>
    <w:rsid w:val="003A079E"/>
    <w:rsid w:val="003A10FA"/>
    <w:rsid w:val="003A163E"/>
    <w:rsid w:val="003A32EC"/>
    <w:rsid w:val="003A36AE"/>
    <w:rsid w:val="003A3ACA"/>
    <w:rsid w:val="003A4404"/>
    <w:rsid w:val="003A484F"/>
    <w:rsid w:val="003A4F96"/>
    <w:rsid w:val="003A5540"/>
    <w:rsid w:val="003B0BE0"/>
    <w:rsid w:val="003B0C1A"/>
    <w:rsid w:val="003B0C1B"/>
    <w:rsid w:val="003B5601"/>
    <w:rsid w:val="003B688C"/>
    <w:rsid w:val="003C0291"/>
    <w:rsid w:val="003C2ECB"/>
    <w:rsid w:val="003C350E"/>
    <w:rsid w:val="003C39AE"/>
    <w:rsid w:val="003C6D0D"/>
    <w:rsid w:val="003C76CC"/>
    <w:rsid w:val="003C7B60"/>
    <w:rsid w:val="003D0821"/>
    <w:rsid w:val="003D1FB2"/>
    <w:rsid w:val="003D2303"/>
    <w:rsid w:val="003D3CC9"/>
    <w:rsid w:val="003D4221"/>
    <w:rsid w:val="003D644D"/>
    <w:rsid w:val="003D66DA"/>
    <w:rsid w:val="003E10D3"/>
    <w:rsid w:val="003E1310"/>
    <w:rsid w:val="003E2E1C"/>
    <w:rsid w:val="003E5BD3"/>
    <w:rsid w:val="003E6348"/>
    <w:rsid w:val="003E6F55"/>
    <w:rsid w:val="003F133D"/>
    <w:rsid w:val="003F2794"/>
    <w:rsid w:val="003F339D"/>
    <w:rsid w:val="003F363F"/>
    <w:rsid w:val="003F3A2A"/>
    <w:rsid w:val="003F3DED"/>
    <w:rsid w:val="003F3E94"/>
    <w:rsid w:val="003F44B8"/>
    <w:rsid w:val="003F7CD6"/>
    <w:rsid w:val="00400549"/>
    <w:rsid w:val="00401C71"/>
    <w:rsid w:val="004026F9"/>
    <w:rsid w:val="00402FCE"/>
    <w:rsid w:val="00405639"/>
    <w:rsid w:val="00406254"/>
    <w:rsid w:val="004071E0"/>
    <w:rsid w:val="00407AD0"/>
    <w:rsid w:val="00410C16"/>
    <w:rsid w:val="00422023"/>
    <w:rsid w:val="004223DE"/>
    <w:rsid w:val="004234B2"/>
    <w:rsid w:val="00426FA8"/>
    <w:rsid w:val="00427162"/>
    <w:rsid w:val="0043341C"/>
    <w:rsid w:val="004343F3"/>
    <w:rsid w:val="00434489"/>
    <w:rsid w:val="0043475E"/>
    <w:rsid w:val="0043497B"/>
    <w:rsid w:val="00435137"/>
    <w:rsid w:val="00436E88"/>
    <w:rsid w:val="00437085"/>
    <w:rsid w:val="004370D1"/>
    <w:rsid w:val="00440872"/>
    <w:rsid w:val="00440A29"/>
    <w:rsid w:val="00441C18"/>
    <w:rsid w:val="004422EF"/>
    <w:rsid w:val="00443880"/>
    <w:rsid w:val="00444CE1"/>
    <w:rsid w:val="0044578E"/>
    <w:rsid w:val="0044581C"/>
    <w:rsid w:val="004464F4"/>
    <w:rsid w:val="00446FA9"/>
    <w:rsid w:val="00447035"/>
    <w:rsid w:val="00450BFF"/>
    <w:rsid w:val="00454FA9"/>
    <w:rsid w:val="004571F2"/>
    <w:rsid w:val="0045723A"/>
    <w:rsid w:val="00460A67"/>
    <w:rsid w:val="00461A98"/>
    <w:rsid w:val="00462B33"/>
    <w:rsid w:val="0046346E"/>
    <w:rsid w:val="004700E2"/>
    <w:rsid w:val="004708B9"/>
    <w:rsid w:val="00471401"/>
    <w:rsid w:val="00471CBB"/>
    <w:rsid w:val="00473F31"/>
    <w:rsid w:val="00474218"/>
    <w:rsid w:val="004750E8"/>
    <w:rsid w:val="00476F1B"/>
    <w:rsid w:val="0047729B"/>
    <w:rsid w:val="0048263A"/>
    <w:rsid w:val="0048368B"/>
    <w:rsid w:val="0048372E"/>
    <w:rsid w:val="00483F46"/>
    <w:rsid w:val="00484CD3"/>
    <w:rsid w:val="004857E4"/>
    <w:rsid w:val="00486073"/>
    <w:rsid w:val="0048694C"/>
    <w:rsid w:val="00486E3E"/>
    <w:rsid w:val="00487E5D"/>
    <w:rsid w:val="00491181"/>
    <w:rsid w:val="00492070"/>
    <w:rsid w:val="004941B6"/>
    <w:rsid w:val="00497E59"/>
    <w:rsid w:val="004A2A48"/>
    <w:rsid w:val="004A4A66"/>
    <w:rsid w:val="004A4B01"/>
    <w:rsid w:val="004A5576"/>
    <w:rsid w:val="004A6B85"/>
    <w:rsid w:val="004A711F"/>
    <w:rsid w:val="004A7B2B"/>
    <w:rsid w:val="004B01AE"/>
    <w:rsid w:val="004B199D"/>
    <w:rsid w:val="004B2279"/>
    <w:rsid w:val="004B25B9"/>
    <w:rsid w:val="004B3F00"/>
    <w:rsid w:val="004B4690"/>
    <w:rsid w:val="004B7108"/>
    <w:rsid w:val="004B778F"/>
    <w:rsid w:val="004B785F"/>
    <w:rsid w:val="004C01B1"/>
    <w:rsid w:val="004C062D"/>
    <w:rsid w:val="004C4638"/>
    <w:rsid w:val="004C5745"/>
    <w:rsid w:val="004C5DBD"/>
    <w:rsid w:val="004C62FA"/>
    <w:rsid w:val="004C6FB9"/>
    <w:rsid w:val="004D1DC6"/>
    <w:rsid w:val="004D31FB"/>
    <w:rsid w:val="004D4BB1"/>
    <w:rsid w:val="004D4D6E"/>
    <w:rsid w:val="004D4DA3"/>
    <w:rsid w:val="004D798C"/>
    <w:rsid w:val="004D7AEF"/>
    <w:rsid w:val="004E028C"/>
    <w:rsid w:val="004E0815"/>
    <w:rsid w:val="004E0A2D"/>
    <w:rsid w:val="004E206B"/>
    <w:rsid w:val="004E3DEC"/>
    <w:rsid w:val="004E67E0"/>
    <w:rsid w:val="004E6DF7"/>
    <w:rsid w:val="004F0FBD"/>
    <w:rsid w:val="00501436"/>
    <w:rsid w:val="00501B3E"/>
    <w:rsid w:val="00502053"/>
    <w:rsid w:val="005020BB"/>
    <w:rsid w:val="00505843"/>
    <w:rsid w:val="00505A47"/>
    <w:rsid w:val="0050679E"/>
    <w:rsid w:val="0051166F"/>
    <w:rsid w:val="0051173A"/>
    <w:rsid w:val="00512FDA"/>
    <w:rsid w:val="00513ED7"/>
    <w:rsid w:val="0051467D"/>
    <w:rsid w:val="00520DA0"/>
    <w:rsid w:val="005225FC"/>
    <w:rsid w:val="00524AC4"/>
    <w:rsid w:val="0052729E"/>
    <w:rsid w:val="0052733D"/>
    <w:rsid w:val="00530E19"/>
    <w:rsid w:val="00530F71"/>
    <w:rsid w:val="005322EB"/>
    <w:rsid w:val="0053459C"/>
    <w:rsid w:val="00550726"/>
    <w:rsid w:val="00550F95"/>
    <w:rsid w:val="0055106D"/>
    <w:rsid w:val="005559A4"/>
    <w:rsid w:val="0056304B"/>
    <w:rsid w:val="005651E3"/>
    <w:rsid w:val="00565D17"/>
    <w:rsid w:val="005664BB"/>
    <w:rsid w:val="00566C08"/>
    <w:rsid w:val="0056722F"/>
    <w:rsid w:val="00567B67"/>
    <w:rsid w:val="00570C62"/>
    <w:rsid w:val="00572EB1"/>
    <w:rsid w:val="00572EC9"/>
    <w:rsid w:val="00573576"/>
    <w:rsid w:val="0057481D"/>
    <w:rsid w:val="0057798B"/>
    <w:rsid w:val="00577A75"/>
    <w:rsid w:val="00577DF2"/>
    <w:rsid w:val="00580D35"/>
    <w:rsid w:val="0058486E"/>
    <w:rsid w:val="00584F2B"/>
    <w:rsid w:val="005935E9"/>
    <w:rsid w:val="005939BC"/>
    <w:rsid w:val="00593D4E"/>
    <w:rsid w:val="005975DB"/>
    <w:rsid w:val="00597919"/>
    <w:rsid w:val="005A0204"/>
    <w:rsid w:val="005A0CF8"/>
    <w:rsid w:val="005A324B"/>
    <w:rsid w:val="005B186A"/>
    <w:rsid w:val="005B553C"/>
    <w:rsid w:val="005B57DB"/>
    <w:rsid w:val="005B58F9"/>
    <w:rsid w:val="005B5ACB"/>
    <w:rsid w:val="005B76E6"/>
    <w:rsid w:val="005C0AF7"/>
    <w:rsid w:val="005C0B82"/>
    <w:rsid w:val="005C0D5C"/>
    <w:rsid w:val="005C4A4C"/>
    <w:rsid w:val="005C52C6"/>
    <w:rsid w:val="005C7204"/>
    <w:rsid w:val="005D1C8B"/>
    <w:rsid w:val="005D5CED"/>
    <w:rsid w:val="005D6054"/>
    <w:rsid w:val="005E1522"/>
    <w:rsid w:val="005E3365"/>
    <w:rsid w:val="005E5517"/>
    <w:rsid w:val="005F0705"/>
    <w:rsid w:val="005F0C83"/>
    <w:rsid w:val="005F1A4C"/>
    <w:rsid w:val="005F1F76"/>
    <w:rsid w:val="005F2C70"/>
    <w:rsid w:val="005F32B6"/>
    <w:rsid w:val="005F4162"/>
    <w:rsid w:val="005F44C7"/>
    <w:rsid w:val="005F632F"/>
    <w:rsid w:val="00600946"/>
    <w:rsid w:val="006044AC"/>
    <w:rsid w:val="00604551"/>
    <w:rsid w:val="00605688"/>
    <w:rsid w:val="006070AF"/>
    <w:rsid w:val="00607816"/>
    <w:rsid w:val="00607E6C"/>
    <w:rsid w:val="006101B1"/>
    <w:rsid w:val="00611AD3"/>
    <w:rsid w:val="00612209"/>
    <w:rsid w:val="00614423"/>
    <w:rsid w:val="00614E44"/>
    <w:rsid w:val="006155B0"/>
    <w:rsid w:val="006205F4"/>
    <w:rsid w:val="00620717"/>
    <w:rsid w:val="00622830"/>
    <w:rsid w:val="006256DB"/>
    <w:rsid w:val="00630AEF"/>
    <w:rsid w:val="00630BB3"/>
    <w:rsid w:val="006325F8"/>
    <w:rsid w:val="00633AE4"/>
    <w:rsid w:val="006348B1"/>
    <w:rsid w:val="00634C9A"/>
    <w:rsid w:val="00635FC7"/>
    <w:rsid w:val="00636040"/>
    <w:rsid w:val="00642529"/>
    <w:rsid w:val="0064301E"/>
    <w:rsid w:val="00643322"/>
    <w:rsid w:val="00643C0A"/>
    <w:rsid w:val="006440E4"/>
    <w:rsid w:val="00645301"/>
    <w:rsid w:val="00645F78"/>
    <w:rsid w:val="0064753B"/>
    <w:rsid w:val="00650D36"/>
    <w:rsid w:val="00650F17"/>
    <w:rsid w:val="006511E7"/>
    <w:rsid w:val="0065182B"/>
    <w:rsid w:val="00660339"/>
    <w:rsid w:val="00660F57"/>
    <w:rsid w:val="00661830"/>
    <w:rsid w:val="0066343B"/>
    <w:rsid w:val="00663BDD"/>
    <w:rsid w:val="00664777"/>
    <w:rsid w:val="00664ED7"/>
    <w:rsid w:val="0066615D"/>
    <w:rsid w:val="00666366"/>
    <w:rsid w:val="0066748A"/>
    <w:rsid w:val="0067155A"/>
    <w:rsid w:val="00671D25"/>
    <w:rsid w:val="00672345"/>
    <w:rsid w:val="00673381"/>
    <w:rsid w:val="006740AB"/>
    <w:rsid w:val="00674446"/>
    <w:rsid w:val="006748A4"/>
    <w:rsid w:val="006757D8"/>
    <w:rsid w:val="00680EF7"/>
    <w:rsid w:val="00683E73"/>
    <w:rsid w:val="0068590F"/>
    <w:rsid w:val="00686CF0"/>
    <w:rsid w:val="00687CAC"/>
    <w:rsid w:val="00691D82"/>
    <w:rsid w:val="006931FE"/>
    <w:rsid w:val="006947FC"/>
    <w:rsid w:val="006950FD"/>
    <w:rsid w:val="00695AD3"/>
    <w:rsid w:val="00696ACE"/>
    <w:rsid w:val="006A01D3"/>
    <w:rsid w:val="006A04FE"/>
    <w:rsid w:val="006A0C2C"/>
    <w:rsid w:val="006A0C51"/>
    <w:rsid w:val="006A1E7E"/>
    <w:rsid w:val="006A2BCD"/>
    <w:rsid w:val="006A3141"/>
    <w:rsid w:val="006A5E34"/>
    <w:rsid w:val="006A75B7"/>
    <w:rsid w:val="006B0ABA"/>
    <w:rsid w:val="006B2422"/>
    <w:rsid w:val="006B2B9A"/>
    <w:rsid w:val="006B2E2F"/>
    <w:rsid w:val="006B471C"/>
    <w:rsid w:val="006B4C59"/>
    <w:rsid w:val="006B533E"/>
    <w:rsid w:val="006C04D7"/>
    <w:rsid w:val="006C1937"/>
    <w:rsid w:val="006C397F"/>
    <w:rsid w:val="006C6427"/>
    <w:rsid w:val="006C76DB"/>
    <w:rsid w:val="006D1F0B"/>
    <w:rsid w:val="006D42C6"/>
    <w:rsid w:val="006E0081"/>
    <w:rsid w:val="006E0706"/>
    <w:rsid w:val="006E3700"/>
    <w:rsid w:val="006E6C66"/>
    <w:rsid w:val="006F020C"/>
    <w:rsid w:val="006F3DF7"/>
    <w:rsid w:val="006F7849"/>
    <w:rsid w:val="006F7CBD"/>
    <w:rsid w:val="0070094B"/>
    <w:rsid w:val="007040F2"/>
    <w:rsid w:val="00705B7C"/>
    <w:rsid w:val="00705E24"/>
    <w:rsid w:val="00707EEC"/>
    <w:rsid w:val="007115FE"/>
    <w:rsid w:val="007127B7"/>
    <w:rsid w:val="00713977"/>
    <w:rsid w:val="00714DBE"/>
    <w:rsid w:val="007220F2"/>
    <w:rsid w:val="007231D9"/>
    <w:rsid w:val="007244D2"/>
    <w:rsid w:val="00725B08"/>
    <w:rsid w:val="007355BA"/>
    <w:rsid w:val="0074019B"/>
    <w:rsid w:val="007403C2"/>
    <w:rsid w:val="007410FA"/>
    <w:rsid w:val="007416B6"/>
    <w:rsid w:val="007426C0"/>
    <w:rsid w:val="00746F48"/>
    <w:rsid w:val="0074730D"/>
    <w:rsid w:val="0075129E"/>
    <w:rsid w:val="00751951"/>
    <w:rsid w:val="00751EE9"/>
    <w:rsid w:val="007522D6"/>
    <w:rsid w:val="007525C3"/>
    <w:rsid w:val="007537B3"/>
    <w:rsid w:val="00753DC2"/>
    <w:rsid w:val="0075404D"/>
    <w:rsid w:val="0075503D"/>
    <w:rsid w:val="0076078E"/>
    <w:rsid w:val="00760D5E"/>
    <w:rsid w:val="0076182A"/>
    <w:rsid w:val="00763BC1"/>
    <w:rsid w:val="0076499D"/>
    <w:rsid w:val="007656DB"/>
    <w:rsid w:val="007676D8"/>
    <w:rsid w:val="00767A7D"/>
    <w:rsid w:val="00767B7E"/>
    <w:rsid w:val="00767BE6"/>
    <w:rsid w:val="00775A39"/>
    <w:rsid w:val="00776900"/>
    <w:rsid w:val="007770C3"/>
    <w:rsid w:val="00780AAA"/>
    <w:rsid w:val="00781060"/>
    <w:rsid w:val="0078143E"/>
    <w:rsid w:val="0078201F"/>
    <w:rsid w:val="007820E1"/>
    <w:rsid w:val="00784D24"/>
    <w:rsid w:val="00784D4C"/>
    <w:rsid w:val="00784E42"/>
    <w:rsid w:val="00785FBA"/>
    <w:rsid w:val="00786E4A"/>
    <w:rsid w:val="007875EB"/>
    <w:rsid w:val="00787E51"/>
    <w:rsid w:val="00792C26"/>
    <w:rsid w:val="0079426B"/>
    <w:rsid w:val="00794D8C"/>
    <w:rsid w:val="00794F74"/>
    <w:rsid w:val="0079655C"/>
    <w:rsid w:val="007A0619"/>
    <w:rsid w:val="007A762F"/>
    <w:rsid w:val="007B0CA2"/>
    <w:rsid w:val="007B5C15"/>
    <w:rsid w:val="007B6032"/>
    <w:rsid w:val="007B6B9B"/>
    <w:rsid w:val="007C014E"/>
    <w:rsid w:val="007C0C20"/>
    <w:rsid w:val="007C0E0A"/>
    <w:rsid w:val="007C2008"/>
    <w:rsid w:val="007C26C9"/>
    <w:rsid w:val="007C57E7"/>
    <w:rsid w:val="007C6362"/>
    <w:rsid w:val="007C70B5"/>
    <w:rsid w:val="007C72D0"/>
    <w:rsid w:val="007D028D"/>
    <w:rsid w:val="007D0AE2"/>
    <w:rsid w:val="007D0C80"/>
    <w:rsid w:val="007D312A"/>
    <w:rsid w:val="007D3F19"/>
    <w:rsid w:val="007D40BF"/>
    <w:rsid w:val="007D598F"/>
    <w:rsid w:val="007D7F29"/>
    <w:rsid w:val="007E0391"/>
    <w:rsid w:val="007E2118"/>
    <w:rsid w:val="007E23B0"/>
    <w:rsid w:val="007E30F0"/>
    <w:rsid w:val="007E4E9E"/>
    <w:rsid w:val="007E4F63"/>
    <w:rsid w:val="007E5C1C"/>
    <w:rsid w:val="007E6821"/>
    <w:rsid w:val="007E6A33"/>
    <w:rsid w:val="007E6D1B"/>
    <w:rsid w:val="007F0CD6"/>
    <w:rsid w:val="007F0EAA"/>
    <w:rsid w:val="007F1991"/>
    <w:rsid w:val="007F1E4C"/>
    <w:rsid w:val="007F2C2F"/>
    <w:rsid w:val="007F2D6D"/>
    <w:rsid w:val="007F55FC"/>
    <w:rsid w:val="007F5665"/>
    <w:rsid w:val="007F57B1"/>
    <w:rsid w:val="007F5B1E"/>
    <w:rsid w:val="007F703A"/>
    <w:rsid w:val="007F772D"/>
    <w:rsid w:val="007F78DE"/>
    <w:rsid w:val="00800112"/>
    <w:rsid w:val="0080112E"/>
    <w:rsid w:val="008014B3"/>
    <w:rsid w:val="008031B0"/>
    <w:rsid w:val="008068DA"/>
    <w:rsid w:val="00806B6F"/>
    <w:rsid w:val="00807797"/>
    <w:rsid w:val="0081195D"/>
    <w:rsid w:val="00811C29"/>
    <w:rsid w:val="00812255"/>
    <w:rsid w:val="00813AEF"/>
    <w:rsid w:val="00815AF8"/>
    <w:rsid w:val="008169F8"/>
    <w:rsid w:val="00820AF4"/>
    <w:rsid w:val="008212F9"/>
    <w:rsid w:val="008244FA"/>
    <w:rsid w:val="008248EC"/>
    <w:rsid w:val="00824C90"/>
    <w:rsid w:val="00824CEE"/>
    <w:rsid w:val="008253BB"/>
    <w:rsid w:val="008273C2"/>
    <w:rsid w:val="00830A33"/>
    <w:rsid w:val="00830F24"/>
    <w:rsid w:val="0083234B"/>
    <w:rsid w:val="00833D7A"/>
    <w:rsid w:val="008347A0"/>
    <w:rsid w:val="00835B31"/>
    <w:rsid w:val="00836025"/>
    <w:rsid w:val="0083706E"/>
    <w:rsid w:val="00840550"/>
    <w:rsid w:val="008423A5"/>
    <w:rsid w:val="00843431"/>
    <w:rsid w:val="00845501"/>
    <w:rsid w:val="008503A5"/>
    <w:rsid w:val="00850625"/>
    <w:rsid w:val="008511F3"/>
    <w:rsid w:val="00851894"/>
    <w:rsid w:val="0085265B"/>
    <w:rsid w:val="00852C5C"/>
    <w:rsid w:val="00853718"/>
    <w:rsid w:val="00855221"/>
    <w:rsid w:val="00855AF5"/>
    <w:rsid w:val="00855E16"/>
    <w:rsid w:val="00857B79"/>
    <w:rsid w:val="00860645"/>
    <w:rsid w:val="00860C44"/>
    <w:rsid w:val="0086131A"/>
    <w:rsid w:val="00862A9D"/>
    <w:rsid w:val="00863483"/>
    <w:rsid w:val="00863CF0"/>
    <w:rsid w:val="00863D72"/>
    <w:rsid w:val="00865F20"/>
    <w:rsid w:val="00867695"/>
    <w:rsid w:val="00870000"/>
    <w:rsid w:val="00870C33"/>
    <w:rsid w:val="00871F71"/>
    <w:rsid w:val="008722FB"/>
    <w:rsid w:val="00872F95"/>
    <w:rsid w:val="00873D8F"/>
    <w:rsid w:val="0087464B"/>
    <w:rsid w:val="00875814"/>
    <w:rsid w:val="00877427"/>
    <w:rsid w:val="0088122F"/>
    <w:rsid w:val="00885AF4"/>
    <w:rsid w:val="00886435"/>
    <w:rsid w:val="008875FA"/>
    <w:rsid w:val="00887A58"/>
    <w:rsid w:val="008918AA"/>
    <w:rsid w:val="008918C9"/>
    <w:rsid w:val="008920D1"/>
    <w:rsid w:val="008939CD"/>
    <w:rsid w:val="00893E7C"/>
    <w:rsid w:val="00895862"/>
    <w:rsid w:val="00896814"/>
    <w:rsid w:val="00897199"/>
    <w:rsid w:val="008A04BB"/>
    <w:rsid w:val="008A6293"/>
    <w:rsid w:val="008A6BC0"/>
    <w:rsid w:val="008A7CE3"/>
    <w:rsid w:val="008B045D"/>
    <w:rsid w:val="008B2B26"/>
    <w:rsid w:val="008B5614"/>
    <w:rsid w:val="008B6287"/>
    <w:rsid w:val="008B69A5"/>
    <w:rsid w:val="008B768C"/>
    <w:rsid w:val="008B7992"/>
    <w:rsid w:val="008C1D33"/>
    <w:rsid w:val="008C33D9"/>
    <w:rsid w:val="008C4DB1"/>
    <w:rsid w:val="008C4EAF"/>
    <w:rsid w:val="008C5176"/>
    <w:rsid w:val="008C7FD0"/>
    <w:rsid w:val="008D06D5"/>
    <w:rsid w:val="008D08E5"/>
    <w:rsid w:val="008D2C92"/>
    <w:rsid w:val="008D2DE2"/>
    <w:rsid w:val="008D55A6"/>
    <w:rsid w:val="008E0EF3"/>
    <w:rsid w:val="008E1DC6"/>
    <w:rsid w:val="008E1DE7"/>
    <w:rsid w:val="008E2847"/>
    <w:rsid w:val="008E380B"/>
    <w:rsid w:val="008E707C"/>
    <w:rsid w:val="008E7651"/>
    <w:rsid w:val="008F24AB"/>
    <w:rsid w:val="00900B08"/>
    <w:rsid w:val="00901E1C"/>
    <w:rsid w:val="00902155"/>
    <w:rsid w:val="00902BCF"/>
    <w:rsid w:val="00902FA3"/>
    <w:rsid w:val="009109D0"/>
    <w:rsid w:val="00910FAA"/>
    <w:rsid w:val="00912DEB"/>
    <w:rsid w:val="00913706"/>
    <w:rsid w:val="00913A29"/>
    <w:rsid w:val="00915BE4"/>
    <w:rsid w:val="009205F5"/>
    <w:rsid w:val="009215C3"/>
    <w:rsid w:val="00923564"/>
    <w:rsid w:val="0092392E"/>
    <w:rsid w:val="00923F58"/>
    <w:rsid w:val="00924FB0"/>
    <w:rsid w:val="00930109"/>
    <w:rsid w:val="00930E8F"/>
    <w:rsid w:val="009315F9"/>
    <w:rsid w:val="009337F3"/>
    <w:rsid w:val="009339C3"/>
    <w:rsid w:val="00934AB8"/>
    <w:rsid w:val="00935D57"/>
    <w:rsid w:val="00936283"/>
    <w:rsid w:val="00940B88"/>
    <w:rsid w:val="00940F73"/>
    <w:rsid w:val="0094526A"/>
    <w:rsid w:val="00945399"/>
    <w:rsid w:val="00945492"/>
    <w:rsid w:val="00945EEC"/>
    <w:rsid w:val="009461EE"/>
    <w:rsid w:val="00946945"/>
    <w:rsid w:val="00947929"/>
    <w:rsid w:val="00947BF1"/>
    <w:rsid w:val="009500E2"/>
    <w:rsid w:val="00951248"/>
    <w:rsid w:val="0095152F"/>
    <w:rsid w:val="009534A8"/>
    <w:rsid w:val="009540C0"/>
    <w:rsid w:val="00954C49"/>
    <w:rsid w:val="00955EAD"/>
    <w:rsid w:val="0095708C"/>
    <w:rsid w:val="00957098"/>
    <w:rsid w:val="00960F20"/>
    <w:rsid w:val="009620B2"/>
    <w:rsid w:val="00962131"/>
    <w:rsid w:val="00962556"/>
    <w:rsid w:val="00964305"/>
    <w:rsid w:val="0096477D"/>
    <w:rsid w:val="00964EBA"/>
    <w:rsid w:val="0097099F"/>
    <w:rsid w:val="009710DA"/>
    <w:rsid w:val="00971997"/>
    <w:rsid w:val="00971FFC"/>
    <w:rsid w:val="00972A49"/>
    <w:rsid w:val="00973726"/>
    <w:rsid w:val="00974188"/>
    <w:rsid w:val="0098033F"/>
    <w:rsid w:val="00985645"/>
    <w:rsid w:val="0098595E"/>
    <w:rsid w:val="00985C49"/>
    <w:rsid w:val="0098660A"/>
    <w:rsid w:val="009869AA"/>
    <w:rsid w:val="009931C3"/>
    <w:rsid w:val="00995CE3"/>
    <w:rsid w:val="009B2C43"/>
    <w:rsid w:val="009B4EAE"/>
    <w:rsid w:val="009B6C92"/>
    <w:rsid w:val="009B7573"/>
    <w:rsid w:val="009C0EF0"/>
    <w:rsid w:val="009C1B2D"/>
    <w:rsid w:val="009C22F4"/>
    <w:rsid w:val="009C2AE3"/>
    <w:rsid w:val="009C2E98"/>
    <w:rsid w:val="009C5896"/>
    <w:rsid w:val="009C6399"/>
    <w:rsid w:val="009D3447"/>
    <w:rsid w:val="009D3AA6"/>
    <w:rsid w:val="009D4711"/>
    <w:rsid w:val="009D5EF4"/>
    <w:rsid w:val="009E0018"/>
    <w:rsid w:val="009E2320"/>
    <w:rsid w:val="009E2C7B"/>
    <w:rsid w:val="009E576A"/>
    <w:rsid w:val="009E7FBF"/>
    <w:rsid w:val="009F1185"/>
    <w:rsid w:val="009F178D"/>
    <w:rsid w:val="009F18CD"/>
    <w:rsid w:val="009F2021"/>
    <w:rsid w:val="009F2A13"/>
    <w:rsid w:val="009F4A42"/>
    <w:rsid w:val="009F4D78"/>
    <w:rsid w:val="009F6A87"/>
    <w:rsid w:val="009F6B63"/>
    <w:rsid w:val="009F6F4A"/>
    <w:rsid w:val="00A02DD4"/>
    <w:rsid w:val="00A04EB0"/>
    <w:rsid w:val="00A05E7E"/>
    <w:rsid w:val="00A06741"/>
    <w:rsid w:val="00A06EF8"/>
    <w:rsid w:val="00A07DE7"/>
    <w:rsid w:val="00A07E24"/>
    <w:rsid w:val="00A1247B"/>
    <w:rsid w:val="00A13443"/>
    <w:rsid w:val="00A13CC1"/>
    <w:rsid w:val="00A15286"/>
    <w:rsid w:val="00A1571F"/>
    <w:rsid w:val="00A1637E"/>
    <w:rsid w:val="00A16684"/>
    <w:rsid w:val="00A16847"/>
    <w:rsid w:val="00A1745F"/>
    <w:rsid w:val="00A2301F"/>
    <w:rsid w:val="00A237D8"/>
    <w:rsid w:val="00A25634"/>
    <w:rsid w:val="00A268C4"/>
    <w:rsid w:val="00A27771"/>
    <w:rsid w:val="00A300FE"/>
    <w:rsid w:val="00A307CD"/>
    <w:rsid w:val="00A3233A"/>
    <w:rsid w:val="00A35068"/>
    <w:rsid w:val="00A3556D"/>
    <w:rsid w:val="00A35870"/>
    <w:rsid w:val="00A35FE0"/>
    <w:rsid w:val="00A40A00"/>
    <w:rsid w:val="00A4142F"/>
    <w:rsid w:val="00A41D4A"/>
    <w:rsid w:val="00A43522"/>
    <w:rsid w:val="00A4622C"/>
    <w:rsid w:val="00A462AA"/>
    <w:rsid w:val="00A46A63"/>
    <w:rsid w:val="00A47A0F"/>
    <w:rsid w:val="00A50F96"/>
    <w:rsid w:val="00A514F8"/>
    <w:rsid w:val="00A52260"/>
    <w:rsid w:val="00A53D20"/>
    <w:rsid w:val="00A54687"/>
    <w:rsid w:val="00A54CE0"/>
    <w:rsid w:val="00A55073"/>
    <w:rsid w:val="00A55447"/>
    <w:rsid w:val="00A55ED8"/>
    <w:rsid w:val="00A56DF2"/>
    <w:rsid w:val="00A56E1B"/>
    <w:rsid w:val="00A57F63"/>
    <w:rsid w:val="00A61738"/>
    <w:rsid w:val="00A62ECF"/>
    <w:rsid w:val="00A63814"/>
    <w:rsid w:val="00A64138"/>
    <w:rsid w:val="00A64421"/>
    <w:rsid w:val="00A659FC"/>
    <w:rsid w:val="00A65DE6"/>
    <w:rsid w:val="00A66D73"/>
    <w:rsid w:val="00A67AB5"/>
    <w:rsid w:val="00A70317"/>
    <w:rsid w:val="00A72FA8"/>
    <w:rsid w:val="00A76B3A"/>
    <w:rsid w:val="00A77CB7"/>
    <w:rsid w:val="00A804D8"/>
    <w:rsid w:val="00A85003"/>
    <w:rsid w:val="00A85A0C"/>
    <w:rsid w:val="00A91460"/>
    <w:rsid w:val="00A91760"/>
    <w:rsid w:val="00A93902"/>
    <w:rsid w:val="00A93B00"/>
    <w:rsid w:val="00A93C21"/>
    <w:rsid w:val="00A94004"/>
    <w:rsid w:val="00A95D33"/>
    <w:rsid w:val="00A96D42"/>
    <w:rsid w:val="00AA1212"/>
    <w:rsid w:val="00AA14EC"/>
    <w:rsid w:val="00AA2E83"/>
    <w:rsid w:val="00AA6693"/>
    <w:rsid w:val="00AA6D23"/>
    <w:rsid w:val="00AA7B07"/>
    <w:rsid w:val="00AB1A65"/>
    <w:rsid w:val="00AB26EC"/>
    <w:rsid w:val="00AB2A36"/>
    <w:rsid w:val="00AB5E60"/>
    <w:rsid w:val="00AB5E86"/>
    <w:rsid w:val="00AB6DD7"/>
    <w:rsid w:val="00AC20D9"/>
    <w:rsid w:val="00AC3237"/>
    <w:rsid w:val="00AC3A9E"/>
    <w:rsid w:val="00AC3C6A"/>
    <w:rsid w:val="00AC40DA"/>
    <w:rsid w:val="00AC6A20"/>
    <w:rsid w:val="00AD013F"/>
    <w:rsid w:val="00AD1561"/>
    <w:rsid w:val="00AD1E04"/>
    <w:rsid w:val="00AD4E89"/>
    <w:rsid w:val="00AD5090"/>
    <w:rsid w:val="00AD55F4"/>
    <w:rsid w:val="00AD5620"/>
    <w:rsid w:val="00AD654C"/>
    <w:rsid w:val="00AD712A"/>
    <w:rsid w:val="00AD7C1B"/>
    <w:rsid w:val="00AE16BA"/>
    <w:rsid w:val="00AE1B18"/>
    <w:rsid w:val="00AE1EBE"/>
    <w:rsid w:val="00AE3F47"/>
    <w:rsid w:val="00AE5217"/>
    <w:rsid w:val="00AE57E5"/>
    <w:rsid w:val="00AE5ACD"/>
    <w:rsid w:val="00AE7003"/>
    <w:rsid w:val="00AE78D4"/>
    <w:rsid w:val="00AF334F"/>
    <w:rsid w:val="00AF567D"/>
    <w:rsid w:val="00B03C9D"/>
    <w:rsid w:val="00B03D45"/>
    <w:rsid w:val="00B03DEF"/>
    <w:rsid w:val="00B04041"/>
    <w:rsid w:val="00B046DB"/>
    <w:rsid w:val="00B059FA"/>
    <w:rsid w:val="00B060AE"/>
    <w:rsid w:val="00B06286"/>
    <w:rsid w:val="00B06EEB"/>
    <w:rsid w:val="00B07376"/>
    <w:rsid w:val="00B10406"/>
    <w:rsid w:val="00B10517"/>
    <w:rsid w:val="00B1323D"/>
    <w:rsid w:val="00B1364D"/>
    <w:rsid w:val="00B13D51"/>
    <w:rsid w:val="00B13F34"/>
    <w:rsid w:val="00B14E76"/>
    <w:rsid w:val="00B15718"/>
    <w:rsid w:val="00B15757"/>
    <w:rsid w:val="00B161B8"/>
    <w:rsid w:val="00B2048C"/>
    <w:rsid w:val="00B22224"/>
    <w:rsid w:val="00B22E19"/>
    <w:rsid w:val="00B268D9"/>
    <w:rsid w:val="00B30B06"/>
    <w:rsid w:val="00B310B9"/>
    <w:rsid w:val="00B3183E"/>
    <w:rsid w:val="00B330FA"/>
    <w:rsid w:val="00B35211"/>
    <w:rsid w:val="00B35F3F"/>
    <w:rsid w:val="00B36CBB"/>
    <w:rsid w:val="00B370EB"/>
    <w:rsid w:val="00B40532"/>
    <w:rsid w:val="00B425E0"/>
    <w:rsid w:val="00B440AA"/>
    <w:rsid w:val="00B44B70"/>
    <w:rsid w:val="00B47B8F"/>
    <w:rsid w:val="00B50563"/>
    <w:rsid w:val="00B507B7"/>
    <w:rsid w:val="00B51BBE"/>
    <w:rsid w:val="00B53703"/>
    <w:rsid w:val="00B53C56"/>
    <w:rsid w:val="00B53E4F"/>
    <w:rsid w:val="00B54341"/>
    <w:rsid w:val="00B545A6"/>
    <w:rsid w:val="00B5556B"/>
    <w:rsid w:val="00B60A7E"/>
    <w:rsid w:val="00B6427E"/>
    <w:rsid w:val="00B67CE3"/>
    <w:rsid w:val="00B706F1"/>
    <w:rsid w:val="00B725E6"/>
    <w:rsid w:val="00B736DE"/>
    <w:rsid w:val="00B74FE7"/>
    <w:rsid w:val="00B753E0"/>
    <w:rsid w:val="00B7569F"/>
    <w:rsid w:val="00B75C09"/>
    <w:rsid w:val="00B76674"/>
    <w:rsid w:val="00B77EA6"/>
    <w:rsid w:val="00B80439"/>
    <w:rsid w:val="00B80BAB"/>
    <w:rsid w:val="00B81598"/>
    <w:rsid w:val="00B82F7D"/>
    <w:rsid w:val="00B839DA"/>
    <w:rsid w:val="00B83EE2"/>
    <w:rsid w:val="00B841F1"/>
    <w:rsid w:val="00B8480B"/>
    <w:rsid w:val="00B91D3E"/>
    <w:rsid w:val="00B92400"/>
    <w:rsid w:val="00B93AA8"/>
    <w:rsid w:val="00B944D6"/>
    <w:rsid w:val="00B96CD2"/>
    <w:rsid w:val="00BA054C"/>
    <w:rsid w:val="00BA0777"/>
    <w:rsid w:val="00BA0AED"/>
    <w:rsid w:val="00BA22CD"/>
    <w:rsid w:val="00BA3028"/>
    <w:rsid w:val="00BA3356"/>
    <w:rsid w:val="00BA49E7"/>
    <w:rsid w:val="00BA5298"/>
    <w:rsid w:val="00BB1990"/>
    <w:rsid w:val="00BB2D7E"/>
    <w:rsid w:val="00BB4C52"/>
    <w:rsid w:val="00BB4DF0"/>
    <w:rsid w:val="00BC0AE4"/>
    <w:rsid w:val="00BC1202"/>
    <w:rsid w:val="00BC1A97"/>
    <w:rsid w:val="00BC2731"/>
    <w:rsid w:val="00BC289F"/>
    <w:rsid w:val="00BC5361"/>
    <w:rsid w:val="00BC5460"/>
    <w:rsid w:val="00BC6B50"/>
    <w:rsid w:val="00BD0E25"/>
    <w:rsid w:val="00BD2458"/>
    <w:rsid w:val="00BD5121"/>
    <w:rsid w:val="00BD6D67"/>
    <w:rsid w:val="00BD6E57"/>
    <w:rsid w:val="00BE01DE"/>
    <w:rsid w:val="00BE218A"/>
    <w:rsid w:val="00BE39F0"/>
    <w:rsid w:val="00BE5FB5"/>
    <w:rsid w:val="00BE7259"/>
    <w:rsid w:val="00BF060C"/>
    <w:rsid w:val="00BF2962"/>
    <w:rsid w:val="00BF2E85"/>
    <w:rsid w:val="00BF5BD6"/>
    <w:rsid w:val="00BF6316"/>
    <w:rsid w:val="00BF718F"/>
    <w:rsid w:val="00C01DBE"/>
    <w:rsid w:val="00C03E31"/>
    <w:rsid w:val="00C05BAF"/>
    <w:rsid w:val="00C05CAD"/>
    <w:rsid w:val="00C05F29"/>
    <w:rsid w:val="00C06A2B"/>
    <w:rsid w:val="00C11626"/>
    <w:rsid w:val="00C137AD"/>
    <w:rsid w:val="00C13B26"/>
    <w:rsid w:val="00C1480D"/>
    <w:rsid w:val="00C1658B"/>
    <w:rsid w:val="00C23BFD"/>
    <w:rsid w:val="00C24603"/>
    <w:rsid w:val="00C259D0"/>
    <w:rsid w:val="00C30983"/>
    <w:rsid w:val="00C30D73"/>
    <w:rsid w:val="00C313B9"/>
    <w:rsid w:val="00C31B41"/>
    <w:rsid w:val="00C33276"/>
    <w:rsid w:val="00C33E72"/>
    <w:rsid w:val="00C3423D"/>
    <w:rsid w:val="00C342CE"/>
    <w:rsid w:val="00C34C84"/>
    <w:rsid w:val="00C34EED"/>
    <w:rsid w:val="00C354B2"/>
    <w:rsid w:val="00C35554"/>
    <w:rsid w:val="00C36831"/>
    <w:rsid w:val="00C4133E"/>
    <w:rsid w:val="00C41611"/>
    <w:rsid w:val="00C41EB1"/>
    <w:rsid w:val="00C426CE"/>
    <w:rsid w:val="00C42709"/>
    <w:rsid w:val="00C516E5"/>
    <w:rsid w:val="00C5216D"/>
    <w:rsid w:val="00C533CC"/>
    <w:rsid w:val="00C54531"/>
    <w:rsid w:val="00C5751C"/>
    <w:rsid w:val="00C61BFC"/>
    <w:rsid w:val="00C62B85"/>
    <w:rsid w:val="00C634C6"/>
    <w:rsid w:val="00C63DE6"/>
    <w:rsid w:val="00C65438"/>
    <w:rsid w:val="00C65FA1"/>
    <w:rsid w:val="00C663B4"/>
    <w:rsid w:val="00C66789"/>
    <w:rsid w:val="00C677E0"/>
    <w:rsid w:val="00C71C3C"/>
    <w:rsid w:val="00C73C9E"/>
    <w:rsid w:val="00C77033"/>
    <w:rsid w:val="00C77575"/>
    <w:rsid w:val="00C77955"/>
    <w:rsid w:val="00C77D11"/>
    <w:rsid w:val="00C80BE1"/>
    <w:rsid w:val="00C80E5E"/>
    <w:rsid w:val="00C87773"/>
    <w:rsid w:val="00C91BEF"/>
    <w:rsid w:val="00C91CBB"/>
    <w:rsid w:val="00C94460"/>
    <w:rsid w:val="00C94755"/>
    <w:rsid w:val="00C9494C"/>
    <w:rsid w:val="00C976D8"/>
    <w:rsid w:val="00C9779E"/>
    <w:rsid w:val="00CA1D7E"/>
    <w:rsid w:val="00CA4889"/>
    <w:rsid w:val="00CA6417"/>
    <w:rsid w:val="00CA7A47"/>
    <w:rsid w:val="00CA7CBE"/>
    <w:rsid w:val="00CB2258"/>
    <w:rsid w:val="00CB37D6"/>
    <w:rsid w:val="00CB5AA7"/>
    <w:rsid w:val="00CC09B6"/>
    <w:rsid w:val="00CC2ECC"/>
    <w:rsid w:val="00CC42AE"/>
    <w:rsid w:val="00CC5828"/>
    <w:rsid w:val="00CC666F"/>
    <w:rsid w:val="00CD0159"/>
    <w:rsid w:val="00CD1E3F"/>
    <w:rsid w:val="00CD2CD4"/>
    <w:rsid w:val="00CD2F8E"/>
    <w:rsid w:val="00CD33CA"/>
    <w:rsid w:val="00CD41F7"/>
    <w:rsid w:val="00CD7039"/>
    <w:rsid w:val="00CE07D1"/>
    <w:rsid w:val="00CE10F5"/>
    <w:rsid w:val="00CE245D"/>
    <w:rsid w:val="00CE298B"/>
    <w:rsid w:val="00CE41E9"/>
    <w:rsid w:val="00CE4476"/>
    <w:rsid w:val="00CE44F6"/>
    <w:rsid w:val="00CE49DA"/>
    <w:rsid w:val="00CE6166"/>
    <w:rsid w:val="00CE7B61"/>
    <w:rsid w:val="00CF0C95"/>
    <w:rsid w:val="00CF303D"/>
    <w:rsid w:val="00CF32A8"/>
    <w:rsid w:val="00CF47D0"/>
    <w:rsid w:val="00CF537A"/>
    <w:rsid w:val="00CF5A38"/>
    <w:rsid w:val="00D00095"/>
    <w:rsid w:val="00D007A3"/>
    <w:rsid w:val="00D00CD9"/>
    <w:rsid w:val="00D01872"/>
    <w:rsid w:val="00D01D1C"/>
    <w:rsid w:val="00D03F76"/>
    <w:rsid w:val="00D07457"/>
    <w:rsid w:val="00D120DF"/>
    <w:rsid w:val="00D12260"/>
    <w:rsid w:val="00D14981"/>
    <w:rsid w:val="00D17582"/>
    <w:rsid w:val="00D20620"/>
    <w:rsid w:val="00D21AB8"/>
    <w:rsid w:val="00D21B96"/>
    <w:rsid w:val="00D21FCA"/>
    <w:rsid w:val="00D23CC1"/>
    <w:rsid w:val="00D253CD"/>
    <w:rsid w:val="00D26091"/>
    <w:rsid w:val="00D26765"/>
    <w:rsid w:val="00D30031"/>
    <w:rsid w:val="00D34E7C"/>
    <w:rsid w:val="00D35489"/>
    <w:rsid w:val="00D41FB4"/>
    <w:rsid w:val="00D42D3C"/>
    <w:rsid w:val="00D43BB3"/>
    <w:rsid w:val="00D4531F"/>
    <w:rsid w:val="00D5056E"/>
    <w:rsid w:val="00D51276"/>
    <w:rsid w:val="00D577F9"/>
    <w:rsid w:val="00D6086D"/>
    <w:rsid w:val="00D60B63"/>
    <w:rsid w:val="00D6672E"/>
    <w:rsid w:val="00D66F3E"/>
    <w:rsid w:val="00D67949"/>
    <w:rsid w:val="00D70080"/>
    <w:rsid w:val="00D7035F"/>
    <w:rsid w:val="00D70D9E"/>
    <w:rsid w:val="00D7255A"/>
    <w:rsid w:val="00D729A5"/>
    <w:rsid w:val="00D7311E"/>
    <w:rsid w:val="00D74434"/>
    <w:rsid w:val="00D74948"/>
    <w:rsid w:val="00D75E52"/>
    <w:rsid w:val="00D769DB"/>
    <w:rsid w:val="00D8058B"/>
    <w:rsid w:val="00D811F1"/>
    <w:rsid w:val="00D81CF0"/>
    <w:rsid w:val="00D86259"/>
    <w:rsid w:val="00D87885"/>
    <w:rsid w:val="00D9128F"/>
    <w:rsid w:val="00D938FB"/>
    <w:rsid w:val="00D95A81"/>
    <w:rsid w:val="00DA2414"/>
    <w:rsid w:val="00DA2E7B"/>
    <w:rsid w:val="00DA376F"/>
    <w:rsid w:val="00DA4CF4"/>
    <w:rsid w:val="00DA517E"/>
    <w:rsid w:val="00DA64CE"/>
    <w:rsid w:val="00DA65AC"/>
    <w:rsid w:val="00DA73F4"/>
    <w:rsid w:val="00DB1913"/>
    <w:rsid w:val="00DB23A2"/>
    <w:rsid w:val="00DB31AE"/>
    <w:rsid w:val="00DB469B"/>
    <w:rsid w:val="00DB6217"/>
    <w:rsid w:val="00DB6D81"/>
    <w:rsid w:val="00DB7682"/>
    <w:rsid w:val="00DB774B"/>
    <w:rsid w:val="00DB7B27"/>
    <w:rsid w:val="00DB7ED3"/>
    <w:rsid w:val="00DC1D19"/>
    <w:rsid w:val="00DC29F0"/>
    <w:rsid w:val="00DC410D"/>
    <w:rsid w:val="00DC482F"/>
    <w:rsid w:val="00DC4E3B"/>
    <w:rsid w:val="00DC53AB"/>
    <w:rsid w:val="00DC68CA"/>
    <w:rsid w:val="00DC7CBA"/>
    <w:rsid w:val="00DD0F4D"/>
    <w:rsid w:val="00DD109B"/>
    <w:rsid w:val="00DD2D64"/>
    <w:rsid w:val="00DD73B7"/>
    <w:rsid w:val="00DE28E8"/>
    <w:rsid w:val="00DE57ED"/>
    <w:rsid w:val="00DE6D3D"/>
    <w:rsid w:val="00DF0369"/>
    <w:rsid w:val="00DF256A"/>
    <w:rsid w:val="00DF28BC"/>
    <w:rsid w:val="00DF2BBE"/>
    <w:rsid w:val="00DF34B9"/>
    <w:rsid w:val="00DF36DA"/>
    <w:rsid w:val="00DF4EE4"/>
    <w:rsid w:val="00DF69F2"/>
    <w:rsid w:val="00E00C0C"/>
    <w:rsid w:val="00E01053"/>
    <w:rsid w:val="00E032C4"/>
    <w:rsid w:val="00E03AB5"/>
    <w:rsid w:val="00E04FF6"/>
    <w:rsid w:val="00E07ACF"/>
    <w:rsid w:val="00E07C49"/>
    <w:rsid w:val="00E1142E"/>
    <w:rsid w:val="00E11EA9"/>
    <w:rsid w:val="00E13C23"/>
    <w:rsid w:val="00E17451"/>
    <w:rsid w:val="00E176E0"/>
    <w:rsid w:val="00E20F23"/>
    <w:rsid w:val="00E21189"/>
    <w:rsid w:val="00E22344"/>
    <w:rsid w:val="00E22D73"/>
    <w:rsid w:val="00E24A28"/>
    <w:rsid w:val="00E2598A"/>
    <w:rsid w:val="00E26D43"/>
    <w:rsid w:val="00E2719A"/>
    <w:rsid w:val="00E331A1"/>
    <w:rsid w:val="00E33202"/>
    <w:rsid w:val="00E336A9"/>
    <w:rsid w:val="00E339F9"/>
    <w:rsid w:val="00E34D61"/>
    <w:rsid w:val="00E352AD"/>
    <w:rsid w:val="00E35DF9"/>
    <w:rsid w:val="00E36162"/>
    <w:rsid w:val="00E4020E"/>
    <w:rsid w:val="00E41572"/>
    <w:rsid w:val="00E42E24"/>
    <w:rsid w:val="00E4326C"/>
    <w:rsid w:val="00E43716"/>
    <w:rsid w:val="00E43E83"/>
    <w:rsid w:val="00E4418C"/>
    <w:rsid w:val="00E442E7"/>
    <w:rsid w:val="00E47FEC"/>
    <w:rsid w:val="00E50624"/>
    <w:rsid w:val="00E50EC1"/>
    <w:rsid w:val="00E559C8"/>
    <w:rsid w:val="00E559F4"/>
    <w:rsid w:val="00E568DF"/>
    <w:rsid w:val="00E6091E"/>
    <w:rsid w:val="00E63E1C"/>
    <w:rsid w:val="00E64269"/>
    <w:rsid w:val="00E648BF"/>
    <w:rsid w:val="00E67B9B"/>
    <w:rsid w:val="00E70395"/>
    <w:rsid w:val="00E71182"/>
    <w:rsid w:val="00E7180C"/>
    <w:rsid w:val="00E71EE8"/>
    <w:rsid w:val="00E759C7"/>
    <w:rsid w:val="00E778AF"/>
    <w:rsid w:val="00E82267"/>
    <w:rsid w:val="00E82D19"/>
    <w:rsid w:val="00E8382C"/>
    <w:rsid w:val="00E84714"/>
    <w:rsid w:val="00E879E6"/>
    <w:rsid w:val="00E9375F"/>
    <w:rsid w:val="00E938AA"/>
    <w:rsid w:val="00E95984"/>
    <w:rsid w:val="00E96D03"/>
    <w:rsid w:val="00EA010F"/>
    <w:rsid w:val="00EA039B"/>
    <w:rsid w:val="00EA2455"/>
    <w:rsid w:val="00EA262D"/>
    <w:rsid w:val="00EA4AA3"/>
    <w:rsid w:val="00EA4BCA"/>
    <w:rsid w:val="00EA545A"/>
    <w:rsid w:val="00EA5E4F"/>
    <w:rsid w:val="00EB2461"/>
    <w:rsid w:val="00EC1C2C"/>
    <w:rsid w:val="00EC25B6"/>
    <w:rsid w:val="00EC38BD"/>
    <w:rsid w:val="00EC3F04"/>
    <w:rsid w:val="00ED1B63"/>
    <w:rsid w:val="00ED29E6"/>
    <w:rsid w:val="00ED29EA"/>
    <w:rsid w:val="00ED360C"/>
    <w:rsid w:val="00ED3C1F"/>
    <w:rsid w:val="00ED4085"/>
    <w:rsid w:val="00ED420E"/>
    <w:rsid w:val="00ED6AD8"/>
    <w:rsid w:val="00ED71DF"/>
    <w:rsid w:val="00EE0963"/>
    <w:rsid w:val="00EE1FC9"/>
    <w:rsid w:val="00EE24E3"/>
    <w:rsid w:val="00EE2F57"/>
    <w:rsid w:val="00EE6332"/>
    <w:rsid w:val="00EF132A"/>
    <w:rsid w:val="00EF4C34"/>
    <w:rsid w:val="00EF5291"/>
    <w:rsid w:val="00EF64E8"/>
    <w:rsid w:val="00EF659B"/>
    <w:rsid w:val="00EF77C6"/>
    <w:rsid w:val="00EF7BDE"/>
    <w:rsid w:val="00EF7CA7"/>
    <w:rsid w:val="00F022B4"/>
    <w:rsid w:val="00F0292C"/>
    <w:rsid w:val="00F05438"/>
    <w:rsid w:val="00F0746A"/>
    <w:rsid w:val="00F110A1"/>
    <w:rsid w:val="00F113D8"/>
    <w:rsid w:val="00F118C3"/>
    <w:rsid w:val="00F1361C"/>
    <w:rsid w:val="00F14902"/>
    <w:rsid w:val="00F160C7"/>
    <w:rsid w:val="00F16FDE"/>
    <w:rsid w:val="00F20320"/>
    <w:rsid w:val="00F20532"/>
    <w:rsid w:val="00F21001"/>
    <w:rsid w:val="00F228F9"/>
    <w:rsid w:val="00F248A8"/>
    <w:rsid w:val="00F24E3F"/>
    <w:rsid w:val="00F26D60"/>
    <w:rsid w:val="00F30138"/>
    <w:rsid w:val="00F301B6"/>
    <w:rsid w:val="00F31EA1"/>
    <w:rsid w:val="00F3294D"/>
    <w:rsid w:val="00F354A9"/>
    <w:rsid w:val="00F36D8F"/>
    <w:rsid w:val="00F3744E"/>
    <w:rsid w:val="00F40698"/>
    <w:rsid w:val="00F406E9"/>
    <w:rsid w:val="00F417B1"/>
    <w:rsid w:val="00F460AB"/>
    <w:rsid w:val="00F50AC5"/>
    <w:rsid w:val="00F53E68"/>
    <w:rsid w:val="00F5454E"/>
    <w:rsid w:val="00F559FA"/>
    <w:rsid w:val="00F57903"/>
    <w:rsid w:val="00F602DF"/>
    <w:rsid w:val="00F6390A"/>
    <w:rsid w:val="00F6529E"/>
    <w:rsid w:val="00F6641D"/>
    <w:rsid w:val="00F75CC0"/>
    <w:rsid w:val="00F75CCC"/>
    <w:rsid w:val="00F75F9D"/>
    <w:rsid w:val="00F81FD9"/>
    <w:rsid w:val="00F82490"/>
    <w:rsid w:val="00F8281D"/>
    <w:rsid w:val="00F835D4"/>
    <w:rsid w:val="00F841AA"/>
    <w:rsid w:val="00F845B5"/>
    <w:rsid w:val="00F86932"/>
    <w:rsid w:val="00F875DB"/>
    <w:rsid w:val="00F87E73"/>
    <w:rsid w:val="00F905A4"/>
    <w:rsid w:val="00F92C70"/>
    <w:rsid w:val="00F93633"/>
    <w:rsid w:val="00F93DF5"/>
    <w:rsid w:val="00FA0947"/>
    <w:rsid w:val="00FA23E8"/>
    <w:rsid w:val="00FA2F5B"/>
    <w:rsid w:val="00FA4421"/>
    <w:rsid w:val="00FA4B00"/>
    <w:rsid w:val="00FA525F"/>
    <w:rsid w:val="00FA77AD"/>
    <w:rsid w:val="00FB0BBA"/>
    <w:rsid w:val="00FB1FF4"/>
    <w:rsid w:val="00FB55E6"/>
    <w:rsid w:val="00FC124C"/>
    <w:rsid w:val="00FC1E02"/>
    <w:rsid w:val="00FC3048"/>
    <w:rsid w:val="00FC4660"/>
    <w:rsid w:val="00FC46BC"/>
    <w:rsid w:val="00FC7DEF"/>
    <w:rsid w:val="00FD020D"/>
    <w:rsid w:val="00FD3016"/>
    <w:rsid w:val="00FD3828"/>
    <w:rsid w:val="00FD3CC1"/>
    <w:rsid w:val="00FD5BFE"/>
    <w:rsid w:val="00FE17BC"/>
    <w:rsid w:val="00FE2AD1"/>
    <w:rsid w:val="00FE4DB0"/>
    <w:rsid w:val="00FE5493"/>
    <w:rsid w:val="00FE625C"/>
    <w:rsid w:val="00FF1E02"/>
    <w:rsid w:val="00FF30B4"/>
    <w:rsid w:val="00FF66E8"/>
    <w:rsid w:val="012F3CEB"/>
    <w:rsid w:val="01B354EA"/>
    <w:rsid w:val="01CF32DE"/>
    <w:rsid w:val="01D74DB7"/>
    <w:rsid w:val="01D86637"/>
    <w:rsid w:val="01F04616"/>
    <w:rsid w:val="037A757D"/>
    <w:rsid w:val="03F359AA"/>
    <w:rsid w:val="043A3897"/>
    <w:rsid w:val="045647CC"/>
    <w:rsid w:val="0463543B"/>
    <w:rsid w:val="048D6B52"/>
    <w:rsid w:val="04A56E6E"/>
    <w:rsid w:val="04D45254"/>
    <w:rsid w:val="04D550AF"/>
    <w:rsid w:val="051A6F96"/>
    <w:rsid w:val="05C25E8C"/>
    <w:rsid w:val="06951176"/>
    <w:rsid w:val="07001BE1"/>
    <w:rsid w:val="07267DE7"/>
    <w:rsid w:val="088F55D5"/>
    <w:rsid w:val="089C4B49"/>
    <w:rsid w:val="09081517"/>
    <w:rsid w:val="091B747D"/>
    <w:rsid w:val="092E626A"/>
    <w:rsid w:val="09A572B6"/>
    <w:rsid w:val="0A19737C"/>
    <w:rsid w:val="0B7218AA"/>
    <w:rsid w:val="0B99373B"/>
    <w:rsid w:val="0BA37CB5"/>
    <w:rsid w:val="0C3B31CB"/>
    <w:rsid w:val="0D0429D6"/>
    <w:rsid w:val="0D093B48"/>
    <w:rsid w:val="0D10137A"/>
    <w:rsid w:val="0D322E51"/>
    <w:rsid w:val="0D6C338E"/>
    <w:rsid w:val="0DB37F58"/>
    <w:rsid w:val="0DB742A8"/>
    <w:rsid w:val="0E6D2010"/>
    <w:rsid w:val="0EC00B7E"/>
    <w:rsid w:val="0F5E6610"/>
    <w:rsid w:val="0FB52B86"/>
    <w:rsid w:val="0FDB629D"/>
    <w:rsid w:val="0FFD0B0D"/>
    <w:rsid w:val="103747CF"/>
    <w:rsid w:val="103F4D68"/>
    <w:rsid w:val="10C055FF"/>
    <w:rsid w:val="116A6D7C"/>
    <w:rsid w:val="11761AF6"/>
    <w:rsid w:val="11851C0B"/>
    <w:rsid w:val="11D56DF6"/>
    <w:rsid w:val="11ED6591"/>
    <w:rsid w:val="11F85D8C"/>
    <w:rsid w:val="13367661"/>
    <w:rsid w:val="136F089E"/>
    <w:rsid w:val="13D81ACD"/>
    <w:rsid w:val="14D728AA"/>
    <w:rsid w:val="15F1786F"/>
    <w:rsid w:val="1665477F"/>
    <w:rsid w:val="16BB723D"/>
    <w:rsid w:val="17283764"/>
    <w:rsid w:val="17BC7656"/>
    <w:rsid w:val="17EA348C"/>
    <w:rsid w:val="1840212F"/>
    <w:rsid w:val="184656CF"/>
    <w:rsid w:val="193C261A"/>
    <w:rsid w:val="19934117"/>
    <w:rsid w:val="19943114"/>
    <w:rsid w:val="19DE22C0"/>
    <w:rsid w:val="1AB026BC"/>
    <w:rsid w:val="1ABB32B6"/>
    <w:rsid w:val="1B787B60"/>
    <w:rsid w:val="1BF70747"/>
    <w:rsid w:val="1C06153F"/>
    <w:rsid w:val="1C986C96"/>
    <w:rsid w:val="1D7371C3"/>
    <w:rsid w:val="1DDC2BB3"/>
    <w:rsid w:val="1DFE706D"/>
    <w:rsid w:val="1E34479D"/>
    <w:rsid w:val="1EF81F78"/>
    <w:rsid w:val="1F620905"/>
    <w:rsid w:val="1FD12B34"/>
    <w:rsid w:val="201A6AB0"/>
    <w:rsid w:val="203B66A0"/>
    <w:rsid w:val="206D278F"/>
    <w:rsid w:val="211A679A"/>
    <w:rsid w:val="21253DA0"/>
    <w:rsid w:val="21A94BCD"/>
    <w:rsid w:val="22755B2E"/>
    <w:rsid w:val="22857975"/>
    <w:rsid w:val="23700C36"/>
    <w:rsid w:val="23844B7E"/>
    <w:rsid w:val="23902475"/>
    <w:rsid w:val="23FA0B3C"/>
    <w:rsid w:val="240371BF"/>
    <w:rsid w:val="2435534E"/>
    <w:rsid w:val="244017F7"/>
    <w:rsid w:val="24534F10"/>
    <w:rsid w:val="24DF6C66"/>
    <w:rsid w:val="253D03DB"/>
    <w:rsid w:val="253F66D1"/>
    <w:rsid w:val="25A20B86"/>
    <w:rsid w:val="25B1070F"/>
    <w:rsid w:val="25BC6564"/>
    <w:rsid w:val="25DD571A"/>
    <w:rsid w:val="265C1D1F"/>
    <w:rsid w:val="26BB36DB"/>
    <w:rsid w:val="271C5A93"/>
    <w:rsid w:val="276F1834"/>
    <w:rsid w:val="27B459F9"/>
    <w:rsid w:val="27C51E91"/>
    <w:rsid w:val="280173B2"/>
    <w:rsid w:val="28513369"/>
    <w:rsid w:val="28BF6D42"/>
    <w:rsid w:val="28C822A0"/>
    <w:rsid w:val="28FE016A"/>
    <w:rsid w:val="292E058E"/>
    <w:rsid w:val="29FD04D3"/>
    <w:rsid w:val="2B084FE7"/>
    <w:rsid w:val="2C1E1BB4"/>
    <w:rsid w:val="2CAE1BBE"/>
    <w:rsid w:val="2CCF04B2"/>
    <w:rsid w:val="2DF079DB"/>
    <w:rsid w:val="2E4C04E0"/>
    <w:rsid w:val="2E67588F"/>
    <w:rsid w:val="2F803D16"/>
    <w:rsid w:val="2FF22B1D"/>
    <w:rsid w:val="30CB71E3"/>
    <w:rsid w:val="30E36C85"/>
    <w:rsid w:val="31810DA9"/>
    <w:rsid w:val="31903F88"/>
    <w:rsid w:val="319F7F4E"/>
    <w:rsid w:val="31B72CAD"/>
    <w:rsid w:val="32004B5E"/>
    <w:rsid w:val="323A1C2F"/>
    <w:rsid w:val="329448A6"/>
    <w:rsid w:val="32F45598"/>
    <w:rsid w:val="33204932"/>
    <w:rsid w:val="33447C07"/>
    <w:rsid w:val="33F67560"/>
    <w:rsid w:val="345D075E"/>
    <w:rsid w:val="35244754"/>
    <w:rsid w:val="361C390A"/>
    <w:rsid w:val="364D41F6"/>
    <w:rsid w:val="36FD0156"/>
    <w:rsid w:val="38207F4E"/>
    <w:rsid w:val="38F8371D"/>
    <w:rsid w:val="39226F5F"/>
    <w:rsid w:val="39902098"/>
    <w:rsid w:val="39FD5F33"/>
    <w:rsid w:val="3A3A0F35"/>
    <w:rsid w:val="3A4E1148"/>
    <w:rsid w:val="3AF15A98"/>
    <w:rsid w:val="3C8D2F9D"/>
    <w:rsid w:val="3CE0510E"/>
    <w:rsid w:val="3D0E3B71"/>
    <w:rsid w:val="3D1927CA"/>
    <w:rsid w:val="3D1E4B3E"/>
    <w:rsid w:val="3D6F2272"/>
    <w:rsid w:val="3D8344ED"/>
    <w:rsid w:val="3E03620E"/>
    <w:rsid w:val="3E343C22"/>
    <w:rsid w:val="3F512FA9"/>
    <w:rsid w:val="3F7C601F"/>
    <w:rsid w:val="3FAC4683"/>
    <w:rsid w:val="3FEA5DFB"/>
    <w:rsid w:val="40035B02"/>
    <w:rsid w:val="401C35B7"/>
    <w:rsid w:val="40C02D8A"/>
    <w:rsid w:val="40EA7211"/>
    <w:rsid w:val="4119235A"/>
    <w:rsid w:val="413B5D46"/>
    <w:rsid w:val="41677310"/>
    <w:rsid w:val="41DE6A45"/>
    <w:rsid w:val="422C2C46"/>
    <w:rsid w:val="4251506E"/>
    <w:rsid w:val="42B75819"/>
    <w:rsid w:val="43684120"/>
    <w:rsid w:val="444F07DA"/>
    <w:rsid w:val="44601E28"/>
    <w:rsid w:val="472E4611"/>
    <w:rsid w:val="475E72DC"/>
    <w:rsid w:val="478D6B48"/>
    <w:rsid w:val="47F514AF"/>
    <w:rsid w:val="4839282C"/>
    <w:rsid w:val="4873147A"/>
    <w:rsid w:val="48FD75BD"/>
    <w:rsid w:val="49243056"/>
    <w:rsid w:val="494C4A06"/>
    <w:rsid w:val="4A113668"/>
    <w:rsid w:val="4A277A41"/>
    <w:rsid w:val="4A745623"/>
    <w:rsid w:val="4B187071"/>
    <w:rsid w:val="4B2B2DCB"/>
    <w:rsid w:val="4B6A5BC2"/>
    <w:rsid w:val="4B6D2BD3"/>
    <w:rsid w:val="4C7555EC"/>
    <w:rsid w:val="4D135D42"/>
    <w:rsid w:val="4D846266"/>
    <w:rsid w:val="4D8D78A2"/>
    <w:rsid w:val="4DF123A8"/>
    <w:rsid w:val="4E290981"/>
    <w:rsid w:val="4E832A53"/>
    <w:rsid w:val="4E9E44C2"/>
    <w:rsid w:val="4EBC1A30"/>
    <w:rsid w:val="4F395B30"/>
    <w:rsid w:val="4F3B530F"/>
    <w:rsid w:val="4F6F7A34"/>
    <w:rsid w:val="4FD74194"/>
    <w:rsid w:val="4FDA49F5"/>
    <w:rsid w:val="502D0C9C"/>
    <w:rsid w:val="50AE413E"/>
    <w:rsid w:val="51DF7A7D"/>
    <w:rsid w:val="51E1640E"/>
    <w:rsid w:val="51EE42CA"/>
    <w:rsid w:val="52195E38"/>
    <w:rsid w:val="52302EF2"/>
    <w:rsid w:val="526E48F5"/>
    <w:rsid w:val="52ED6284"/>
    <w:rsid w:val="5322283B"/>
    <w:rsid w:val="532B0C13"/>
    <w:rsid w:val="533D4F08"/>
    <w:rsid w:val="53BA6F17"/>
    <w:rsid w:val="53BE2B80"/>
    <w:rsid w:val="54136CE6"/>
    <w:rsid w:val="541505F1"/>
    <w:rsid w:val="542D2749"/>
    <w:rsid w:val="54992FD0"/>
    <w:rsid w:val="55872E29"/>
    <w:rsid w:val="55923320"/>
    <w:rsid w:val="56D0674C"/>
    <w:rsid w:val="57D23F06"/>
    <w:rsid w:val="58BA52C3"/>
    <w:rsid w:val="58BC5D23"/>
    <w:rsid w:val="59177DCC"/>
    <w:rsid w:val="59E040FC"/>
    <w:rsid w:val="59E11CD3"/>
    <w:rsid w:val="5A857BDE"/>
    <w:rsid w:val="5B2A4567"/>
    <w:rsid w:val="5BE202EA"/>
    <w:rsid w:val="5CAD7C22"/>
    <w:rsid w:val="5CE95B0C"/>
    <w:rsid w:val="5CFA7F1D"/>
    <w:rsid w:val="5D577E65"/>
    <w:rsid w:val="5D6F6B2F"/>
    <w:rsid w:val="5E2506F8"/>
    <w:rsid w:val="5E5E7F75"/>
    <w:rsid w:val="5EA316D6"/>
    <w:rsid w:val="5ECE1AC8"/>
    <w:rsid w:val="5EF556B7"/>
    <w:rsid w:val="5F3A07D2"/>
    <w:rsid w:val="5F593A88"/>
    <w:rsid w:val="5FE356D0"/>
    <w:rsid w:val="5FF901AE"/>
    <w:rsid w:val="60651EAC"/>
    <w:rsid w:val="60BB3927"/>
    <w:rsid w:val="6200749A"/>
    <w:rsid w:val="620F0B35"/>
    <w:rsid w:val="6240022D"/>
    <w:rsid w:val="62A42EE2"/>
    <w:rsid w:val="62BE686B"/>
    <w:rsid w:val="62F14F12"/>
    <w:rsid w:val="630D013F"/>
    <w:rsid w:val="63347FC4"/>
    <w:rsid w:val="63604CB9"/>
    <w:rsid w:val="64A36D0B"/>
    <w:rsid w:val="64C656C1"/>
    <w:rsid w:val="64F77166"/>
    <w:rsid w:val="65201386"/>
    <w:rsid w:val="657F4183"/>
    <w:rsid w:val="658466A7"/>
    <w:rsid w:val="6596487B"/>
    <w:rsid w:val="65DF63C9"/>
    <w:rsid w:val="65E950BC"/>
    <w:rsid w:val="662A7F2C"/>
    <w:rsid w:val="66627873"/>
    <w:rsid w:val="66D65FFA"/>
    <w:rsid w:val="67C24194"/>
    <w:rsid w:val="67EB36EB"/>
    <w:rsid w:val="68DA2DB6"/>
    <w:rsid w:val="693F42CF"/>
    <w:rsid w:val="69725134"/>
    <w:rsid w:val="6B4666B6"/>
    <w:rsid w:val="6BB306BC"/>
    <w:rsid w:val="6CC85DA9"/>
    <w:rsid w:val="6D2A5F93"/>
    <w:rsid w:val="6D8F2D6B"/>
    <w:rsid w:val="6DB91990"/>
    <w:rsid w:val="6DC31436"/>
    <w:rsid w:val="6E6F4E2B"/>
    <w:rsid w:val="6ECB49CF"/>
    <w:rsid w:val="6ECB5A2B"/>
    <w:rsid w:val="6F4D197C"/>
    <w:rsid w:val="6F806E0F"/>
    <w:rsid w:val="70202A42"/>
    <w:rsid w:val="70ED3F4C"/>
    <w:rsid w:val="72227D09"/>
    <w:rsid w:val="72E476B5"/>
    <w:rsid w:val="72F22338"/>
    <w:rsid w:val="73327580"/>
    <w:rsid w:val="733572FD"/>
    <w:rsid w:val="73BE3A62"/>
    <w:rsid w:val="746C7E4B"/>
    <w:rsid w:val="750E6C6B"/>
    <w:rsid w:val="755E374E"/>
    <w:rsid w:val="75884CEA"/>
    <w:rsid w:val="75B310E7"/>
    <w:rsid w:val="75B318F4"/>
    <w:rsid w:val="75F61299"/>
    <w:rsid w:val="761A4623"/>
    <w:rsid w:val="76377F56"/>
    <w:rsid w:val="764B35A7"/>
    <w:rsid w:val="769E6A57"/>
    <w:rsid w:val="77716ACC"/>
    <w:rsid w:val="77B238DE"/>
    <w:rsid w:val="78A4106B"/>
    <w:rsid w:val="79975481"/>
    <w:rsid w:val="79B4511D"/>
    <w:rsid w:val="79F60BE5"/>
    <w:rsid w:val="7A1B4027"/>
    <w:rsid w:val="7A965738"/>
    <w:rsid w:val="7ABC1C9C"/>
    <w:rsid w:val="7B022DCE"/>
    <w:rsid w:val="7B272834"/>
    <w:rsid w:val="7B8F71DF"/>
    <w:rsid w:val="7C1568F9"/>
    <w:rsid w:val="7CB2612E"/>
    <w:rsid w:val="7CC25607"/>
    <w:rsid w:val="7DE859ED"/>
    <w:rsid w:val="7E005816"/>
    <w:rsid w:val="7E4C610E"/>
    <w:rsid w:val="7ECA59B1"/>
    <w:rsid w:val="7F09108F"/>
    <w:rsid w:val="7FDC49A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nhideWhenUsed="0" w:uiPriority="0"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37"/>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3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unhideWhenUsed/>
    <w:qFormat/>
    <w:uiPriority w:val="99"/>
    <w:pPr>
      <w:ind w:firstLine="420" w:firstLineChars="200"/>
    </w:pPr>
  </w:style>
  <w:style w:type="paragraph" w:styleId="4">
    <w:name w:val="Body Text Indent"/>
    <w:basedOn w:val="1"/>
    <w:next w:val="3"/>
    <w:qFormat/>
    <w:uiPriority w:val="0"/>
    <w:pPr>
      <w:spacing w:after="120"/>
      <w:ind w:leftChars="200"/>
    </w:pPr>
    <w:rPr>
      <w:rFonts w:ascii="仿宋_GB2312"/>
      <w:szCs w:val="32"/>
    </w:rPr>
  </w:style>
  <w:style w:type="paragraph" w:styleId="8">
    <w:name w:val="Normal Indent"/>
    <w:basedOn w:val="1"/>
    <w:unhideWhenUsed/>
    <w:qFormat/>
    <w:uiPriority w:val="99"/>
    <w:pPr>
      <w:ind w:firstLine="680"/>
    </w:pPr>
  </w:style>
  <w:style w:type="paragraph" w:styleId="9">
    <w:name w:val="annotation text"/>
    <w:basedOn w:val="1"/>
    <w:semiHidden/>
    <w:unhideWhenUsed/>
    <w:qFormat/>
    <w:uiPriority w:val="99"/>
    <w:pPr>
      <w:jc w:val="left"/>
    </w:pPr>
  </w:style>
  <w:style w:type="paragraph" w:styleId="10">
    <w:name w:val="Body Text"/>
    <w:basedOn w:val="1"/>
    <w:link w:val="30"/>
    <w:qFormat/>
    <w:uiPriority w:val="99"/>
    <w:pPr>
      <w:spacing w:beforeLines="30"/>
    </w:pPr>
    <w:rPr>
      <w:rFonts w:ascii="仿宋_GB2312" w:eastAsia="仿宋_GB2312"/>
      <w:kern w:val="0"/>
      <w:sz w:val="30"/>
    </w:rPr>
  </w:style>
  <w:style w:type="paragraph" w:styleId="11">
    <w:name w:val="toc 3"/>
    <w:basedOn w:val="1"/>
    <w:next w:val="1"/>
    <w:unhideWhenUsed/>
    <w:qFormat/>
    <w:uiPriority w:val="39"/>
    <w:pPr>
      <w:tabs>
        <w:tab w:val="right" w:leader="dot" w:pos="8296"/>
      </w:tabs>
      <w:ind w:left="840" w:leftChars="400"/>
    </w:pPr>
  </w:style>
  <w:style w:type="paragraph" w:styleId="12">
    <w:name w:val="Balloon Text"/>
    <w:basedOn w:val="1"/>
    <w:link w:val="35"/>
    <w:semiHidden/>
    <w:unhideWhenUsed/>
    <w:qFormat/>
    <w:uiPriority w:val="99"/>
    <w:rPr>
      <w:sz w:val="18"/>
      <w:szCs w:val="18"/>
    </w:rPr>
  </w:style>
  <w:style w:type="paragraph" w:styleId="13">
    <w:name w:val="footer"/>
    <w:basedOn w:val="1"/>
    <w:link w:val="28"/>
    <w:qFormat/>
    <w:uiPriority w:val="99"/>
    <w:pPr>
      <w:tabs>
        <w:tab w:val="center" w:pos="4153"/>
        <w:tab w:val="right" w:pos="8306"/>
      </w:tabs>
      <w:snapToGrid w:val="0"/>
      <w:jc w:val="left"/>
    </w:pPr>
    <w:rPr>
      <w:rFonts w:ascii="Calibri" w:hAnsi="Calibri"/>
      <w:kern w:val="0"/>
      <w:sz w:val="18"/>
      <w:szCs w:val="18"/>
    </w:rPr>
  </w:style>
  <w:style w:type="paragraph" w:styleId="14">
    <w:name w:val="header"/>
    <w:basedOn w:val="1"/>
    <w:link w:val="26"/>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5">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6">
    <w:name w:val="table of figures"/>
    <w:basedOn w:val="1"/>
    <w:next w:val="1"/>
    <w:autoRedefine/>
    <w:qFormat/>
    <w:uiPriority w:val="0"/>
    <w:pPr>
      <w:ind w:left="200" w:leftChars="200" w:hanging="200" w:hangingChars="200"/>
    </w:pPr>
  </w:style>
  <w:style w:type="paragraph" w:styleId="17">
    <w:name w:val="toc 2"/>
    <w:basedOn w:val="1"/>
    <w:next w:val="1"/>
    <w:autoRedefine/>
    <w:unhideWhenUsed/>
    <w:qFormat/>
    <w:uiPriority w:val="39"/>
    <w:pPr>
      <w:tabs>
        <w:tab w:val="right" w:leader="dot" w:pos="8296"/>
      </w:tabs>
      <w:ind w:left="420" w:leftChars="200"/>
    </w:pPr>
  </w:style>
  <w:style w:type="paragraph" w:styleId="1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21">
    <w:name w:val="Strong"/>
    <w:basedOn w:val="20"/>
    <w:qFormat/>
    <w:uiPriority w:val="99"/>
    <w:rPr>
      <w:b/>
    </w:rPr>
  </w:style>
  <w:style w:type="character" w:styleId="22">
    <w:name w:val="Hyperlink"/>
    <w:basedOn w:val="20"/>
    <w:unhideWhenUsed/>
    <w:qFormat/>
    <w:uiPriority w:val="99"/>
    <w:rPr>
      <w:color w:val="0000FF" w:themeColor="hyperlink"/>
      <w:u w:val="single"/>
      <w14:textFill>
        <w14:solidFill>
          <w14:schemeClr w14:val="hlink"/>
        </w14:solidFill>
      </w14:textFill>
    </w:rPr>
  </w:style>
  <w:style w:type="character" w:styleId="23">
    <w:name w:val="annotation reference"/>
    <w:basedOn w:val="20"/>
    <w:semiHidden/>
    <w:unhideWhenUsed/>
    <w:qFormat/>
    <w:uiPriority w:val="99"/>
    <w:rPr>
      <w:sz w:val="21"/>
      <w:szCs w:val="21"/>
    </w:rPr>
  </w:style>
  <w:style w:type="paragraph" w:customStyle="1" w:styleId="2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25">
    <w:name w:val="Header Char"/>
    <w:basedOn w:val="20"/>
    <w:semiHidden/>
    <w:qFormat/>
    <w:uiPriority w:val="99"/>
    <w:rPr>
      <w:rFonts w:ascii="Times New Roman" w:hAnsi="Times New Roman"/>
      <w:sz w:val="18"/>
      <w:szCs w:val="18"/>
    </w:rPr>
  </w:style>
  <w:style w:type="character" w:customStyle="1" w:styleId="26">
    <w:name w:val="页眉 字符"/>
    <w:link w:val="14"/>
    <w:semiHidden/>
    <w:qFormat/>
    <w:locked/>
    <w:uiPriority w:val="99"/>
    <w:rPr>
      <w:sz w:val="18"/>
    </w:rPr>
  </w:style>
  <w:style w:type="character" w:customStyle="1" w:styleId="27">
    <w:name w:val="Footer Char"/>
    <w:basedOn w:val="20"/>
    <w:autoRedefine/>
    <w:semiHidden/>
    <w:qFormat/>
    <w:uiPriority w:val="99"/>
    <w:rPr>
      <w:rFonts w:ascii="Times New Roman" w:hAnsi="Times New Roman"/>
      <w:sz w:val="18"/>
      <w:szCs w:val="18"/>
    </w:rPr>
  </w:style>
  <w:style w:type="character" w:customStyle="1" w:styleId="28">
    <w:name w:val="页脚 字符"/>
    <w:link w:val="13"/>
    <w:autoRedefine/>
    <w:qFormat/>
    <w:locked/>
    <w:uiPriority w:val="99"/>
    <w:rPr>
      <w:sz w:val="18"/>
    </w:rPr>
  </w:style>
  <w:style w:type="character" w:customStyle="1" w:styleId="29">
    <w:name w:val="Body Text Char"/>
    <w:basedOn w:val="20"/>
    <w:semiHidden/>
    <w:qFormat/>
    <w:uiPriority w:val="99"/>
    <w:rPr>
      <w:rFonts w:ascii="Times New Roman" w:hAnsi="Times New Roman"/>
      <w:szCs w:val="24"/>
    </w:rPr>
  </w:style>
  <w:style w:type="character" w:customStyle="1" w:styleId="30">
    <w:name w:val="正文文本 字符"/>
    <w:link w:val="10"/>
    <w:qFormat/>
    <w:locked/>
    <w:uiPriority w:val="99"/>
    <w:rPr>
      <w:rFonts w:ascii="仿宋_GB2312" w:hAnsi="Times New Roman" w:eastAsia="仿宋_GB2312"/>
      <w:sz w:val="24"/>
    </w:rPr>
  </w:style>
  <w:style w:type="paragraph" w:styleId="31">
    <w:name w:val="List Paragraph"/>
    <w:basedOn w:val="1"/>
    <w:autoRedefine/>
    <w:qFormat/>
    <w:uiPriority w:val="34"/>
    <w:pPr>
      <w:ind w:firstLine="420" w:firstLineChars="200"/>
    </w:pPr>
  </w:style>
  <w:style w:type="character" w:customStyle="1" w:styleId="32">
    <w:name w:val="标题 1 字符"/>
    <w:basedOn w:val="20"/>
    <w:link w:val="5"/>
    <w:qFormat/>
    <w:uiPriority w:val="9"/>
    <w:rPr>
      <w:rFonts w:ascii="Times New Roman" w:hAnsi="Times New Roman"/>
      <w:b/>
      <w:bCs/>
      <w:kern w:val="44"/>
      <w:sz w:val="44"/>
      <w:szCs w:val="44"/>
    </w:rPr>
  </w:style>
  <w:style w:type="character" w:customStyle="1" w:styleId="33">
    <w:name w:val="标题 2 字符"/>
    <w:basedOn w:val="20"/>
    <w:link w:val="6"/>
    <w:qFormat/>
    <w:uiPriority w:val="9"/>
    <w:rPr>
      <w:rFonts w:asciiTheme="majorHAnsi" w:hAnsiTheme="majorHAnsi" w:eastAsiaTheme="majorEastAsia" w:cstheme="majorBidi"/>
      <w:b/>
      <w:bCs/>
      <w:kern w:val="2"/>
      <w:sz w:val="32"/>
      <w:szCs w:val="32"/>
    </w:rPr>
  </w:style>
  <w:style w:type="paragraph" w:customStyle="1" w:styleId="34">
    <w:name w:val="TOC 标题1"/>
    <w:basedOn w:val="5"/>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5">
    <w:name w:val="批注框文本 字符"/>
    <w:basedOn w:val="20"/>
    <w:link w:val="12"/>
    <w:autoRedefine/>
    <w:semiHidden/>
    <w:qFormat/>
    <w:uiPriority w:val="99"/>
    <w:rPr>
      <w:rFonts w:ascii="Times New Roman" w:hAnsi="Times New Roman"/>
      <w:kern w:val="2"/>
      <w:sz w:val="18"/>
      <w:szCs w:val="18"/>
    </w:rPr>
  </w:style>
  <w:style w:type="character" w:customStyle="1" w:styleId="36">
    <w:name w:val="标题 3 字符"/>
    <w:basedOn w:val="20"/>
    <w:link w:val="7"/>
    <w:autoRedefine/>
    <w:qFormat/>
    <w:uiPriority w:val="9"/>
    <w:rPr>
      <w:rFonts w:ascii="Times New Roman" w:hAnsi="Times New Roman"/>
      <w:b/>
      <w:bCs/>
      <w:kern w:val="2"/>
      <w:sz w:val="32"/>
      <w:szCs w:val="32"/>
    </w:rPr>
  </w:style>
  <w:style w:type="character" w:customStyle="1" w:styleId="37">
    <w:name w:val="标题 1 Char"/>
    <w:basedOn w:val="20"/>
    <w:link w:val="5"/>
    <w:qFormat/>
    <w:uiPriority w:val="9"/>
    <w:rPr>
      <w:b/>
      <w:bCs/>
      <w:kern w:val="44"/>
      <w:sz w:val="44"/>
      <w:szCs w:val="44"/>
    </w:rPr>
  </w:style>
  <w:style w:type="paragraph" w:customStyle="1" w:styleId="38">
    <w:name w:val="Normal_0"/>
    <w:qFormat/>
    <w:uiPriority w:val="0"/>
    <w:rPr>
      <w:rFonts w:ascii="Times New Roman" w:hAnsi="Times New Roman" w:eastAsia="Times New Roman" w:cs="Times New Roman"/>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chart" Target="charts/chart7.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收、支决算总计变动情况图</a:t>
            </a:r>
            <a:endParaRPr lang="en-US" sz="1100"/>
          </a:p>
        </c:rich>
      </c:tx>
      <c:layout/>
      <c:overlay val="0"/>
    </c:title>
    <c:autoTitleDeleted val="0"/>
    <c:plotArea>
      <c:layout>
        <c:manualLayout>
          <c:layoutTarget val="inner"/>
          <c:xMode val="edge"/>
          <c:yMode val="edge"/>
          <c:x val="0.0559816218099468"/>
          <c:y val="0.247865112907836"/>
          <c:w val="0.800713012477719"/>
          <c:h val="0.654027777777778"/>
        </c:manualLayout>
      </c:layout>
      <c:barChart>
        <c:barDir val="col"/>
        <c:grouping val="clustered"/>
        <c:varyColors val="0"/>
        <c:ser>
          <c:idx val="1"/>
          <c:order val="0"/>
          <c:tx>
            <c:strRef>
              <c:f>收支总计</c:f>
              <c:strCache>
                <c:ptCount val="1"/>
                <c:pt idx="0">
                  <c:v>收支总计</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{"2024","2025"}</c:f>
              <c:strCache>
                <c:ptCount val="2"/>
                <c:pt idx="0">
                  <c:v>2024</c:v>
                </c:pt>
                <c:pt idx="1">
                  <c:v>2025</c:v>
                </c:pt>
              </c:strCache>
            </c:strRef>
          </c:cat>
          <c:val>
            <c:numRef>
              <c:f>{1628.68,1257.32}</c:f>
              <c:numCache>
                <c:formatCode>General</c:formatCode>
                <c:ptCount val="2"/>
                <c:pt idx="0">
                  <c:v>1628.68</c:v>
                </c:pt>
                <c:pt idx="1">
                  <c:v>1257.32</c:v>
                </c:pt>
              </c:numCache>
            </c:numRef>
          </c:val>
        </c:ser>
        <c:dLbls>
          <c:showLegendKey val="0"/>
          <c:showVal val="1"/>
          <c:showCatName val="0"/>
          <c:showSerName val="0"/>
          <c:showPercent val="0"/>
          <c:showBubbleSize val="0"/>
        </c:dLbls>
        <c:gapWidth val="41"/>
        <c:axId val="261387392"/>
        <c:axId val="261388928"/>
      </c:barChart>
      <c:catAx>
        <c:axId val="261387392"/>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dk1">
                    <a:lumMod val="65000"/>
                    <a:lumOff val="35000"/>
                  </a:schemeClr>
                </a:solidFill>
                <a:effectLst/>
                <a:latin typeface="+mn-lt"/>
                <a:ea typeface="+mn-ea"/>
                <a:cs typeface="+mn-cs"/>
              </a:defRPr>
            </a:pPr>
          </a:p>
        </c:txPr>
        <c:crossAx val="261388928"/>
        <c:crosses val="autoZero"/>
        <c:auto val="1"/>
        <c:lblAlgn val="ctr"/>
        <c:lblOffset val="100"/>
        <c:noMultiLvlLbl val="0"/>
      </c:catAx>
      <c:valAx>
        <c:axId val="261388928"/>
        <c:scaling>
          <c:orientation val="minMax"/>
        </c:scaling>
        <c:delete val="1"/>
        <c:axPos val="l"/>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138739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56e6b1b-a5c7-4896-8b45-eb61aad265cb}"/>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收入决算结构图</a:t>
            </a:r>
            <a:endParaRPr lang="en-US" sz="1100"/>
          </a:p>
        </c:rich>
      </c:tx>
      <c:layout/>
      <c:overlay val="0"/>
    </c:title>
    <c:autoTitleDeleted val="0"/>
    <c:plotArea>
      <c:layout/>
      <c:pieChart>
        <c:varyColors val="1"/>
        <c:ser>
          <c:idx val="1"/>
          <c:order val="0"/>
          <c:explosion val="0"/>
          <c:dPt>
            <c:idx val="0"/>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{"一般公共预算财政拨款收入"}</c:f>
              <c:strCache>
                <c:ptCount val="1"/>
                <c:pt idx="0">
                  <c:v>一般公共预算财政拨款收入</c:v>
                </c:pt>
              </c:strCache>
            </c:strRef>
          </c:cat>
          <c:val>
            <c:numRef>
              <c:f>{1257.32}</c:f>
              <c:numCache>
                <c:formatCode>General</c:formatCode>
                <c:ptCount val="1"/>
                <c:pt idx="0">
                  <c:v>1257.32</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e3effd8a-66c7-4ba0-80a2-8d63075e80f9}"/>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支出决算结构图</a:t>
            </a:r>
            <a:endParaRPr lang="en-US" sz="1100"/>
          </a:p>
        </c:rich>
      </c:tx>
      <c:layout/>
      <c:overlay val="0"/>
    </c:title>
    <c:autoTitleDeleted val="0"/>
    <c:plotArea>
      <c:layout/>
      <c:pieChart>
        <c:varyColors val="1"/>
        <c:ser>
          <c:idx val="1"/>
          <c:order val="0"/>
          <c:explosion val="0"/>
          <c:dPt>
            <c:idx val="0"/>
            <c:bubble3D val="0"/>
          </c:dPt>
          <c:dPt>
            <c:idx val="1"/>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{"基本支出","项目支出"}</c:f>
              <c:strCache>
                <c:ptCount val="2"/>
                <c:pt idx="0">
                  <c:v>基本支出</c:v>
                </c:pt>
                <c:pt idx="1">
                  <c:v>项目支出</c:v>
                </c:pt>
              </c:strCache>
            </c:strRef>
          </c:cat>
          <c:val>
            <c:numRef>
              <c:f>{917.82,339.49}</c:f>
              <c:numCache>
                <c:formatCode>General</c:formatCode>
                <c:ptCount val="2"/>
                <c:pt idx="0">
                  <c:v>917.82</c:v>
                </c:pt>
                <c:pt idx="1">
                  <c:v>339.49</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f2932d16-61fe-4e19-9081-2d4f0a0a64c1}"/>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2"/>
                </a:solidFill>
                <a:latin typeface="+mn-lt"/>
                <a:ea typeface="+mn-ea"/>
                <a:cs typeface="+mn-cs"/>
              </a:defRPr>
            </a:pPr>
            <a:r>
              <a:rPr lang="en-US" altLang="zh-CN"/>
              <a:t>财政拨款收、支决算总计变动情况</a:t>
            </a:r>
            <a:endParaRPr lang="en-US" altLang="zh-CN"/>
          </a:p>
        </c:rich>
      </c:tx>
      <c:layout/>
      <c:overlay val="0"/>
      <c:spPr>
        <a:noFill/>
        <a:ln>
          <a:noFill/>
        </a:ln>
        <a:effectLst/>
      </c:spPr>
    </c:title>
    <c:autoTitleDeleted val="0"/>
    <c:plotArea>
      <c:layout/>
      <c:barChart>
        <c:barDir val="col"/>
        <c:grouping val="clustered"/>
        <c:varyColors val="0"/>
        <c:ser>
          <c:idx val="1"/>
          <c:order val="0"/>
          <c:tx>
            <c:strRef>
              <c:f>收支总计</c:f>
              <c:strCache>
                <c:ptCount val="1"/>
                <c:pt idx="0">
                  <c:v>收支总计</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{"2024","2025"}</c:f>
              <c:strCache>
                <c:ptCount val="2"/>
                <c:pt idx="0">
                  <c:v>2024</c:v>
                </c:pt>
                <c:pt idx="1">
                  <c:v>2025</c:v>
                </c:pt>
              </c:strCache>
            </c:strRef>
          </c:cat>
          <c:val>
            <c:numRef>
              <c:f>{1623.85,1257.32}</c:f>
              <c:numCache>
                <c:formatCode>General</c:formatCode>
                <c:ptCount val="2"/>
                <c:pt idx="0">
                  <c:v>1623.85</c:v>
                </c:pt>
                <c:pt idx="1">
                  <c:v>1257.32</c:v>
                </c:pt>
              </c:numCache>
            </c:numRef>
          </c:val>
        </c:ser>
        <c:dLbls>
          <c:showLegendKey val="0"/>
          <c:showVal val="1"/>
          <c:showCatName val="0"/>
          <c:showSerName val="0"/>
          <c:showPercent val="0"/>
          <c:showBubbleSize val="0"/>
        </c:dLbls>
        <c:gapWidth val="100"/>
        <c:overlap val="-24"/>
        <c:axId val="263359104"/>
        <c:axId val="263373184"/>
      </c:barChart>
      <c:catAx>
        <c:axId val="263359104"/>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solidFill>
              <a:schemeClr val="tx2">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73184"/>
        <c:crosses val="autoZero"/>
        <c:auto val="1"/>
        <c:lblAlgn val="ctr"/>
        <c:lblOffset val="100"/>
        <c:noMultiLvlLbl val="0"/>
      </c:catAx>
      <c:valAx>
        <c:axId val="263373184"/>
        <c:scaling>
          <c:orientation val="minMax"/>
        </c:scaling>
        <c:delete val="0"/>
        <c:axPos val="l"/>
        <c:majorGridlines>
          <c:spPr>
            <a:ln w="9525" cap="flat" cmpd="sng" algn="ctr">
              <a:solidFill>
                <a:schemeClr val="tx2">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5910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extLst>
      <c:ext uri="{0b15fc19-7d7d-44ad-8c2d-2c3a37ce22c3}">
        <chartProps xmlns="https://web.wps.cn/et/2018/main" chartId="{59487755-1466-4a80-ae4f-b996273c4387}"/>
      </c:ext>
    </c:extLst>
  </c:chart>
  <c:spPr>
    <a:solidFill>
      <a:schemeClr val="bg1"/>
    </a:solidFill>
    <a:ln w="9525" cap="flat" cmpd="sng" algn="ctr">
      <a:solidFill>
        <a:schemeClr val="tx2">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1">
                    <a:lumMod val="65000"/>
                    <a:lumOff val="35000"/>
                  </a:schemeClr>
                </a:solidFill>
                <a:latin typeface="+mn-lt"/>
                <a:ea typeface="+mn-ea"/>
                <a:cs typeface="+mn-cs"/>
              </a:defRPr>
            </a:pPr>
            <a:r>
              <a:rPr lang="zh-CN" altLang="en-US" sz="1200"/>
              <a:t>一般公共预算财政拨款支出</a:t>
            </a:r>
            <a:endParaRPr lang="zh-CN" altLang="en-US" sz="1200"/>
          </a:p>
        </c:rich>
      </c:tx>
      <c:layout/>
      <c:overlay val="0"/>
      <c:spPr>
        <a:noFill/>
        <a:ln>
          <a:noFill/>
        </a:ln>
        <a:effectLst/>
      </c:spPr>
    </c:title>
    <c:autoTitleDeleted val="0"/>
    <c:plotArea>
      <c:layout>
        <c:manualLayout>
          <c:layoutTarget val="inner"/>
          <c:xMode val="edge"/>
          <c:yMode val="edge"/>
          <c:x val="0.0736333103993069"/>
          <c:y val="0.199582873033408"/>
          <c:w val="0.767623678108199"/>
          <c:h val="0.708506514060342"/>
        </c:manualLayout>
      </c:layout>
      <c:barChart>
        <c:barDir val="col"/>
        <c:grouping val="clustered"/>
        <c:varyColors val="0"/>
        <c:ser>
          <c:idx val="1"/>
          <c:order val="0"/>
          <c:tx>
            <c:strRef>
              <c:f>2024</c:f>
              <c:strCache>
                <c:ptCount val="1"/>
                <c:pt idx="0">
                  <c:v>2024</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{1623.85}</c:f>
              <c:numCache>
                <c:formatCode>General</c:formatCode>
                <c:ptCount val="1"/>
                <c:pt idx="0">
                  <c:v>1623.85</c:v>
                </c:pt>
              </c:numCache>
            </c:numRef>
          </c:val>
        </c:ser>
        <c:ser>
          <c:idx val="2"/>
          <c:order val="1"/>
          <c:tx>
            <c:strRef>
              <c:f>2025</c:f>
              <c:strCache>
                <c:ptCount val="1"/>
                <c:pt idx="0">
                  <c:v>2025</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{1257.32}</c:f>
              <c:numCache>
                <c:formatCode>General</c:formatCode>
                <c:ptCount val="1"/>
                <c:pt idx="0">
                  <c:v>1257.32</c:v>
                </c:pt>
              </c:numCache>
            </c:numRef>
          </c:val>
        </c:ser>
        <c:dLbls>
          <c:showLegendKey val="0"/>
          <c:showVal val="1"/>
          <c:showCatName val="0"/>
          <c:showSerName val="0"/>
          <c:showPercent val="0"/>
          <c:showBubbleSize val="0"/>
        </c:dLbls>
        <c:gapWidth val="100"/>
        <c:overlap val="-24"/>
        <c:axId val="263440640"/>
        <c:axId val="263135232"/>
      </c:barChart>
      <c:catAx>
        <c:axId val="263440640"/>
        <c:scaling>
          <c:orientation val="minMax"/>
        </c:scaling>
        <c:delete val="1"/>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3135232"/>
        <c:crosses val="autoZero"/>
        <c:auto val="1"/>
        <c:lblAlgn val="ctr"/>
        <c:lblOffset val="100"/>
        <c:noMultiLvlLbl val="0"/>
      </c:catAx>
      <c:valAx>
        <c:axId val="26313523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3440640"/>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6951291-93c5-49e5-9867-c8397a7c53dd}"/>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一般公共预算财政拨款支出</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{"社会保障和就业支出","卫生健康支出","住房保障支出"}</c:f>
              <c:strCache>
                <c:ptCount val="3"/>
                <c:pt idx="0">
                  <c:v>社会保障和就业支出</c:v>
                </c:pt>
                <c:pt idx="1">
                  <c:v>卫生健康支出</c:v>
                </c:pt>
                <c:pt idx="2">
                  <c:v>住房保障支出</c:v>
                </c:pt>
              </c:strCache>
            </c:strRef>
          </c:cat>
          <c:val>
            <c:numRef>
              <c:f>{125.36,1064.87,67.09}</c:f>
              <c:numCache>
                <c:formatCode>General</c:formatCode>
                <c:ptCount val="3"/>
                <c:pt idx="0">
                  <c:v>125.36</c:v>
                </c:pt>
                <c:pt idx="1">
                  <c:v>1064.87</c:v>
                </c:pt>
                <c:pt idx="2">
                  <c:v>67.09</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e3effd8a-66c7-4ba0-80a2-8d63075e80f9}"/>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"三公"经费</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{"因公出国（境）费","公务用车购置及运行维护费","公务接待费"}</c:f>
              <c:strCache>
                <c:ptCount val="3"/>
                <c:pt idx="0">
                  <c:v>因公出国（境）费</c:v>
                </c:pt>
                <c:pt idx="1">
                  <c:v>公务用车购置及运行维护费</c:v>
                </c:pt>
                <c:pt idx="2">
                  <c:v>公务接待费</c:v>
                </c:pt>
              </c:strCache>
            </c:strRef>
          </c:cat>
          <c:val>
            <c:numRef>
              <c:f>{0,0,0.04}</c:f>
              <c:numCache>
                <c:formatCode>General</c:formatCode>
                <c:ptCount val="3"/>
                <c:pt idx="0">
                  <c:v>0</c:v>
                </c:pt>
                <c:pt idx="1">
                  <c:v>0</c:v>
                </c:pt>
                <c:pt idx="2">
                  <c:v>0.04</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e3effd8a-66c7-4ba0-80a2-8d63075e80f9}"/>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4FC5A5-8DE4-4565-B639-6D345C1D7E6D}">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38</Pages>
  <Words>20</Words>
  <Characters>23</Characters>
  <Lines>48</Lines>
  <Paragraphs>13</Paragraphs>
  <TotalTime>285</TotalTime>
  <ScaleCrop>false</ScaleCrop>
  <LinksUpToDate>false</LinksUpToDate>
  <CharactersWithSpaces>24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2023-08-18T07:28:00Z</dcterms:created>
  <dc:creator>pjf</dc:creator>
  <cp:lastModifiedBy>慕容奇骏</cp:lastModifiedBy>
  <cp:lastPrinted>2021-09-26T08:39:00Z</cp:lastPrinted>
  <dcterms:modified xsi:type="dcterms:W3CDTF">2026-10-12T07:49:22Z</dcterms:modified>
  <dc:title>四川省决算编制说明</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AE704E13CFF4408687CAE6A43C450F27_13</vt:lpwstr>
  </property>
  <property fmtid="{D5CDD505-2E9C-101B-9397-08002B2CF9AE}" pid="4" name="KSOTemplateDocerSaveRecord">
    <vt:lpwstr>eyJoZGlkIjoiMDE4OTdiZTFkZWU0MGIyMThjMzI3NTIyMWVlNTQwN2EiLCJ1c2VySWQiOiI2NDMzNDIwNjEifQ==</vt:lpwstr>
  </property>
</Properties>
</file>