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33A9C1">
      <w:pPr>
        <w:pStyle w:val="3"/>
        <w:rPr>
          <w:rFonts w:hint="eastAsia" w:ascii="Times New Roman" w:hAnsi="Times New Roman" w:eastAsia="方正小标宋简体" w:cs="Times New Roman"/>
          <w:color w:val="auto"/>
          <w:kern w:val="2"/>
          <w:sz w:val="72"/>
          <w:szCs w:val="72"/>
          <w:highlight w:val="none"/>
          <w:lang w:val="en-US" w:eastAsia="zh-CN" w:bidi="ar-SA"/>
        </w:rPr>
      </w:pPr>
      <w:bookmarkStart w:id="0" w:name="_Toc15396475"/>
      <w:bookmarkStart w:id="1" w:name="_Toc15377425"/>
      <w:bookmarkStart w:id="2" w:name="_Toc15396597"/>
      <w:bookmarkStart w:id="3" w:name="_Toc15378441"/>
      <w:bookmarkStart w:id="4" w:name="_Toc15306267"/>
      <w:bookmarkStart w:id="5" w:name="_Toc15377193"/>
    </w:p>
    <w:p w14:paraId="707BF0C7">
      <w:pPr>
        <w:pStyle w:val="3"/>
        <w:rPr>
          <w:rFonts w:hint="eastAsia" w:ascii="Times New Roman" w:hAnsi="Times New Roman" w:eastAsia="方正小标宋简体" w:cs="Times New Roman"/>
          <w:color w:val="auto"/>
          <w:kern w:val="2"/>
          <w:sz w:val="72"/>
          <w:szCs w:val="72"/>
          <w:highlight w:val="none"/>
          <w:lang w:val="en-US" w:eastAsia="zh-CN" w:bidi="ar-SA"/>
        </w:rPr>
      </w:pPr>
    </w:p>
    <w:p w14:paraId="7B0B6DF2">
      <w:pPr>
        <w:pStyle w:val="3"/>
        <w:rPr>
          <w:rFonts w:hint="eastAsia" w:ascii="Times New Roman" w:hAnsi="Times New Roman" w:eastAsia="方正小标宋简体" w:cs="Times New Roman"/>
          <w:color w:val="auto"/>
          <w:kern w:val="2"/>
          <w:sz w:val="72"/>
          <w:szCs w:val="72"/>
          <w:highlight w:val="none"/>
          <w:lang w:val="en-US" w:eastAsia="zh-CN" w:bidi="ar-SA"/>
        </w:rPr>
      </w:pPr>
    </w:p>
    <w:p w14:paraId="450008CF">
      <w:pPr>
        <w:pStyle w:val="3"/>
        <w:rPr>
          <w:rFonts w:hint="eastAsia" w:ascii="Times New Roman" w:hAnsi="Times New Roman" w:eastAsia="方正小标宋简体" w:cs="Times New Roman"/>
          <w:color w:val="auto"/>
          <w:kern w:val="2"/>
          <w:sz w:val="72"/>
          <w:szCs w:val="72"/>
          <w:highlight w:val="none"/>
          <w:lang w:val="en-US" w:eastAsia="zh-CN" w:bidi="ar-SA"/>
        </w:rPr>
      </w:pPr>
    </w:p>
    <w:p w14:paraId="1FBC8919">
      <w:pPr>
        <w:pStyle w:val="16"/>
        <w:keepNext w:val="0"/>
        <w:keepLines w:val="0"/>
        <w:widowControl/>
        <w:suppressLineNumbers w:val="0"/>
        <w:spacing w:before="0" w:beforeAutospacing="0"/>
        <w:ind w:left="0"/>
        <w:jc w:val="center"/>
        <w:rPr>
          <w:rFonts w:hint="eastAsia" w:ascii="仿宋" w:hAnsi="仿宋" w:eastAsia="仿宋" w:cs="仿宋"/>
          <w:sz w:val="36"/>
          <w:szCs w:val="36"/>
        </w:rPr>
      </w:pPr>
      <w:r>
        <w:rPr>
          <w:rStyle w:val="19"/>
          <w:rFonts w:hint="eastAsia" w:ascii="仿宋" w:hAnsi="仿宋" w:eastAsia="仿宋" w:cs="仿宋"/>
          <w:sz w:val="36"/>
          <w:szCs w:val="36"/>
          <w:shd w:val="clear" w:color="auto" w:fill="FFFFFF"/>
        </w:rPr>
        <w:t>202</w:t>
      </w:r>
      <w:r>
        <w:rPr>
          <w:rStyle w:val="19"/>
          <w:rFonts w:hint="eastAsia" w:ascii="仿宋" w:hAnsi="仿宋" w:eastAsia="仿宋" w:cs="仿宋"/>
          <w:sz w:val="36"/>
          <w:szCs w:val="36"/>
          <w:shd w:val="clear" w:color="auto" w:fill="FFFFFF"/>
          <w:lang w:val="en-US" w:eastAsia="zh-CN"/>
        </w:rPr>
        <w:t>5</w:t>
      </w:r>
      <w:r>
        <w:rPr>
          <w:rStyle w:val="19"/>
          <w:rFonts w:hint="eastAsia" w:ascii="仿宋" w:hAnsi="仿宋" w:eastAsia="仿宋" w:cs="仿宋"/>
          <w:sz w:val="36"/>
          <w:szCs w:val="36"/>
          <w:shd w:val="clear" w:color="auto" w:fill="FFFFFF"/>
        </w:rPr>
        <w:t>年度</w:t>
      </w:r>
    </w:p>
    <w:p w14:paraId="7F7EC0AD">
      <w:pPr>
        <w:spacing w:line="600" w:lineRule="exact"/>
        <w:jc w:val="center"/>
        <w:outlineLvl w:val="0"/>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r>
        <w:rPr>
          <w:rStyle w:val="19"/>
          <w:rFonts w:hint="eastAsia" w:ascii="仿宋" w:hAnsi="仿宋" w:eastAsia="仿宋" w:cs="仿宋"/>
          <w:sz w:val="36"/>
          <w:szCs w:val="36"/>
          <w:shd w:val="clear" w:color="auto" w:fill="FFFFFF"/>
        </w:rPr>
        <w:t>阿坝州红原县</w:t>
      </w:r>
      <w:r>
        <w:rPr>
          <w:rStyle w:val="19"/>
          <w:rFonts w:hint="eastAsia" w:ascii="仿宋" w:hAnsi="仿宋" w:eastAsia="仿宋" w:cs="仿宋"/>
          <w:sz w:val="36"/>
          <w:szCs w:val="36"/>
          <w:shd w:val="clear" w:color="auto" w:fill="FFFFFF"/>
          <w:lang w:val="en-US" w:eastAsia="zh-CN"/>
        </w:rPr>
        <w:t>邛溪镇</w:t>
      </w:r>
      <w:r>
        <w:rPr>
          <w:rStyle w:val="19"/>
          <w:rFonts w:hint="eastAsia" w:ascii="仿宋" w:hAnsi="仿宋" w:eastAsia="仿宋" w:cs="仿宋"/>
          <w:sz w:val="36"/>
          <w:szCs w:val="36"/>
          <w:shd w:val="clear" w:color="auto" w:fill="FFFFFF"/>
        </w:rPr>
        <w:t>卫生院</w:t>
      </w:r>
      <w:r>
        <w:rPr>
          <w:rStyle w:val="19"/>
          <w:rFonts w:hint="eastAsia" w:ascii="仿宋" w:hAnsi="仿宋" w:eastAsia="仿宋" w:cs="仿宋"/>
          <w:sz w:val="36"/>
          <w:szCs w:val="36"/>
          <w:shd w:val="clear" w:color="auto" w:fill="FFFFFF"/>
          <w:lang w:eastAsia="zh-CN"/>
        </w:rPr>
        <w:t>单位</w:t>
      </w:r>
      <w:r>
        <w:rPr>
          <w:rStyle w:val="19"/>
          <w:rFonts w:hint="eastAsia" w:ascii="仿宋" w:hAnsi="仿宋" w:eastAsia="仿宋" w:cs="仿宋"/>
          <w:sz w:val="36"/>
          <w:szCs w:val="36"/>
          <w:shd w:val="clear" w:color="auto" w:fill="FFFFFF"/>
        </w:rPr>
        <w:t>决算</w:t>
      </w:r>
      <w:r>
        <w:rPr>
          <w:rStyle w:val="19"/>
          <w:rFonts w:hint="eastAsia" w:ascii="仿宋" w:hAnsi="仿宋" w:eastAsia="仿宋" w:cs="仿宋"/>
          <w:sz w:val="36"/>
          <w:szCs w:val="36"/>
          <w:shd w:val="clear" w:color="auto" w:fill="FFFFFF"/>
          <w:lang w:eastAsia="zh-CN"/>
        </w:rPr>
        <w:t>公开说明</w:t>
      </w:r>
    </w:p>
    <w:p w14:paraId="33A2F1D3">
      <w:pPr>
        <w:pStyle w:val="3"/>
        <w:jc w:val="both"/>
        <w:rPr>
          <w:rFonts w:hint="eastAsia" w:ascii="Times New Roman" w:hAnsi="Times New Roman" w:eastAsia="方正小标宋简体" w:cs="Times New Roman"/>
          <w:color w:val="auto"/>
          <w:kern w:val="2"/>
          <w:sz w:val="44"/>
          <w:szCs w:val="44"/>
          <w:highlight w:val="none"/>
          <w:lang w:val="en-US" w:eastAsia="zh-CN" w:bidi="ar-SA"/>
        </w:rPr>
      </w:pPr>
    </w:p>
    <w:p w14:paraId="315DAE85">
      <w:pPr>
        <w:pStyle w:val="3"/>
        <w:jc w:val="center"/>
        <w:rPr>
          <w:rFonts w:hint="eastAsia" w:ascii="Times New Roman" w:hAnsi="Times New Roman" w:eastAsia="方正小标宋简体" w:cs="Times New Roman"/>
          <w:color w:val="auto"/>
          <w:kern w:val="2"/>
          <w:sz w:val="44"/>
          <w:szCs w:val="44"/>
          <w:highlight w:val="none"/>
          <w:lang w:val="en-US" w:eastAsia="zh-CN" w:bidi="ar-SA"/>
        </w:rPr>
      </w:pPr>
    </w:p>
    <w:p w14:paraId="17C7EC0E">
      <w:pPr>
        <w:pStyle w:val="3"/>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36A28BD8">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1347402F">
      <w:pPr>
        <w:widowControl/>
        <w:jc w:val="center"/>
        <w:rPr>
          <w:rFonts w:ascii="Times New Roman" w:hAnsi="Times New Roman" w:eastAsia="黑体" w:cstheme="minorBidi"/>
          <w:color w:val="auto"/>
          <w:sz w:val="28"/>
          <w:szCs w:val="28"/>
          <w:highlight w:val="none"/>
        </w:rPr>
      </w:pPr>
    </w:p>
    <w:p w14:paraId="12D26013">
      <w:pPr>
        <w:pStyle w:val="13"/>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19  </w:t>
      </w:r>
      <w:r>
        <w:rPr>
          <w:rFonts w:hint="eastAsia" w:ascii="Times New Roman" w:hAnsi="Times New Roman" w:eastAsia="仿宋_GB2312" w:cs="仿宋_GB2312"/>
          <w:color w:val="auto"/>
          <w:sz w:val="32"/>
          <w:szCs w:val="32"/>
          <w:highlight w:val="none"/>
        </w:rPr>
        <w:t>日</w:t>
      </w:r>
    </w:p>
    <w:p w14:paraId="45C0B391">
      <w:pPr>
        <w:rPr>
          <w:rFonts w:ascii="Times New Roman" w:hAnsi="Times New Roman"/>
          <w:color w:val="auto"/>
          <w:highlight w:val="none"/>
        </w:rPr>
      </w:pPr>
    </w:p>
    <w:p w14:paraId="48250263">
      <w:pPr>
        <w:pStyle w:val="13"/>
        <w:adjustRightInd w:val="0"/>
        <w:snapToGrid w:val="0"/>
        <w:spacing w:before="0" w:line="440" w:lineRule="exact"/>
        <w:jc w:val="left"/>
        <w:rPr>
          <w:rFonts w:hint="eastAsia" w:ascii="宋体" w:hAnsi="宋体" w:eastAsia="宋体" w:cs="宋体"/>
          <w:sz w:val="24"/>
          <w:szCs w:val="24"/>
        </w:rPr>
      </w:pPr>
      <w:bookmarkStart w:id="6" w:name="_Toc15377196"/>
      <w:bookmarkStart w:id="7" w:name="_Toc15396599"/>
      <w:r>
        <w:rPr>
          <w:rFonts w:hint="eastAsia" w:ascii="宋体" w:hAnsi="宋体" w:eastAsia="宋体" w:cs="宋体"/>
          <w:sz w:val="24"/>
        </w:rPr>
        <w:t>第一部分 部门概况</w:t>
      </w:r>
    </w:p>
    <w:p w14:paraId="1F8B7E54">
      <w:pPr>
        <w:pStyle w:val="9"/>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14:paraId="56D98A10">
      <w:pPr>
        <w:pStyle w:val="9"/>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14:paraId="0B12986C">
      <w:pPr>
        <w:pStyle w:val="13"/>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14:paraId="6F7E7E8A">
      <w:pPr>
        <w:pStyle w:val="9"/>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14:paraId="33FFFE27">
      <w:pPr>
        <w:pStyle w:val="9"/>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14:paraId="7A6C7610">
      <w:pPr>
        <w:pStyle w:val="9"/>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14:paraId="27C2E73F">
      <w:pPr>
        <w:pStyle w:val="9"/>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14:paraId="63BED48D">
      <w:pPr>
        <w:pStyle w:val="9"/>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14:paraId="532895ED">
      <w:pPr>
        <w:pStyle w:val="9"/>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14:paraId="4C5AA5E3">
      <w:pPr>
        <w:pStyle w:val="9"/>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14:paraId="50101AC4">
      <w:pPr>
        <w:pStyle w:val="9"/>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14:paraId="718F90BC">
      <w:pPr>
        <w:pStyle w:val="9"/>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14:paraId="3C9C685C">
      <w:pPr>
        <w:pStyle w:val="9"/>
        <w:bidi w:val="0"/>
        <w:ind w:left="0" w:leftChars="0" w:firstLine="480" w:firstLineChars="200"/>
        <w:rPr>
          <w:rFonts w:hint="default" w:eastAsia="宋体"/>
          <w:lang w:val="en-US" w:eastAsia="zh-CN"/>
        </w:rPr>
      </w:pPr>
      <w:r>
        <w:rPr>
          <w:rStyle w:val="20"/>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tab/>
      </w:r>
      <w:r>
        <w:rPr>
          <w:rFonts w:hint="eastAsia"/>
          <w:lang w:val="en-US" w:eastAsia="zh-CN"/>
        </w:rPr>
        <w:t>10</w:t>
      </w:r>
    </w:p>
    <w:p w14:paraId="6546FA13">
      <w:pPr>
        <w:pStyle w:val="9"/>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14:paraId="16CC9AB4">
      <w:pPr>
        <w:pStyle w:val="13"/>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14:paraId="12923E60">
      <w:pPr>
        <w:pStyle w:val="9"/>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p>
    <w:p w14:paraId="42E2FAD4">
      <w:pPr>
        <w:pStyle w:val="9"/>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14:paraId="3EC88F00">
      <w:pPr>
        <w:pStyle w:val="9"/>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14:paraId="11C6BA5D">
      <w:pPr>
        <w:pStyle w:val="9"/>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14:paraId="1F6E34AD">
      <w:pPr>
        <w:pStyle w:val="9"/>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p>
    <w:p w14:paraId="2775F6B5">
      <w:pPr>
        <w:pStyle w:val="9"/>
        <w:bidi w:val="0"/>
        <w:ind w:left="0" w:leftChars="0" w:firstLine="480" w:firstLineChars="200"/>
        <w:rPr>
          <w:rFonts w:hint="eastAsia"/>
          <w:sz w:val="24"/>
        </w:rPr>
      </w:pPr>
      <w:r>
        <w:rPr>
          <w:rFonts w:hint="eastAsia" w:ascii="宋体" w:hAnsi="宋体" w:eastAsia="宋体" w:cs="宋体"/>
          <w:sz w:val="24"/>
        </w:rPr>
        <w:t>三、支出决算表</w:t>
      </w:r>
    </w:p>
    <w:p w14:paraId="3FCE6CFA">
      <w:pPr>
        <w:pStyle w:val="9"/>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14:paraId="79AD7FF5">
      <w:pPr>
        <w:pStyle w:val="9"/>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14:paraId="28EBD749">
      <w:pPr>
        <w:pStyle w:val="9"/>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14:paraId="33D6F622">
      <w:pPr>
        <w:pStyle w:val="9"/>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14:paraId="3D11A48E">
      <w:pPr>
        <w:pStyle w:val="9"/>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14:paraId="7D282624">
      <w:pPr>
        <w:pStyle w:val="9"/>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14:paraId="13B33685">
      <w:pPr>
        <w:pStyle w:val="9"/>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14:paraId="16080411">
      <w:pPr>
        <w:pStyle w:val="9"/>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14:paraId="7D9E68EE">
      <w:pPr>
        <w:pStyle w:val="9"/>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14:paraId="041B9482">
      <w:pPr>
        <w:pStyle w:val="9"/>
        <w:bidi w:val="0"/>
        <w:ind w:left="0" w:leftChars="0" w:firstLine="480" w:firstLineChars="200"/>
        <w:rPr>
          <w:rFonts w:hint="eastAsia" w:ascii="Times New Roman" w:hAnsi="Times New Roman" w:eastAsia="仿宋_GB2312" w:cs="仿宋_GB2312"/>
          <w:bCs/>
          <w:color w:val="auto"/>
          <w:kern w:val="44"/>
          <w:sz w:val="32"/>
          <w:szCs w:val="32"/>
          <w:highlight w:val="none"/>
        </w:rPr>
      </w:pPr>
      <w:r>
        <w:rPr>
          <w:rFonts w:hint="eastAsia" w:ascii="仿宋" w:hAnsi="仿宋" w:eastAsia="仿宋"/>
          <w:sz w:val="24"/>
        </w:rPr>
        <w:t>十三、</w:t>
      </w:r>
      <w:r>
        <w:rPr>
          <w:rFonts w:hint="eastAsia"/>
          <w:sz w:val="24"/>
        </w:rPr>
        <w:t>国有资本经营预算支出决算表</w:t>
      </w:r>
      <w:r>
        <w:rPr>
          <w:rFonts w:hint="eastAsia" w:ascii="Times New Roman" w:hAnsi="Times New Roman" w:eastAsia="仿宋_GB2312" w:cs="仿宋_GB2312"/>
          <w:b/>
          <w:color w:val="auto"/>
          <w:sz w:val="32"/>
          <w:szCs w:val="32"/>
          <w:highlight w:val="none"/>
        </w:rPr>
        <w:br w:type="page"/>
      </w:r>
    </w:p>
    <w:p w14:paraId="335E3F40">
      <w:pPr>
        <w:pStyle w:val="4"/>
        <w:jc w:val="center"/>
        <w:rPr>
          <w:rStyle w:val="30"/>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0"/>
          <w:rFonts w:hint="eastAsia" w:ascii="Times New Roman" w:hAnsi="Times New Roman" w:eastAsia="方正小标宋简体" w:cs="方正小标宋简体"/>
          <w:b w:val="0"/>
          <w:bCs w:val="0"/>
          <w:color w:val="auto"/>
          <w:highlight w:val="none"/>
        </w:rPr>
        <w:t>部门概况</w:t>
      </w:r>
      <w:bookmarkEnd w:id="6"/>
      <w:bookmarkEnd w:id="7"/>
    </w:p>
    <w:p w14:paraId="68105D66">
      <w:pPr>
        <w:widowControl/>
        <w:jc w:val="left"/>
        <w:rPr>
          <w:rFonts w:ascii="Times New Roman" w:hAnsi="Times New Roman" w:eastAsia="黑体"/>
          <w:color w:val="auto"/>
          <w:sz w:val="32"/>
          <w:szCs w:val="32"/>
          <w:highlight w:val="none"/>
        </w:rPr>
      </w:pPr>
    </w:p>
    <w:p w14:paraId="5DD271DD">
      <w:pPr>
        <w:pStyle w:val="5"/>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14:paraId="6BD96798">
      <w:pPr>
        <w:numPr>
          <w:ilvl w:val="0"/>
          <w:numId w:val="0"/>
        </w:numPr>
        <w:ind w:firstLine="640" w:firstLineChars="200"/>
        <w:rPr>
          <w:rFonts w:hint="eastAsia"/>
          <w:lang w:eastAsia="zh-CN"/>
        </w:rPr>
      </w:pP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57FA16F8">
      <w:pPr>
        <w:pStyle w:val="5"/>
        <w:rPr>
          <w:rStyle w:val="31"/>
          <w:rFonts w:ascii="Times New Roman" w:hAnsi="Times New Roman"/>
          <w:b w:val="0"/>
          <w:bCs w:val="0"/>
          <w:color w:val="auto"/>
          <w:highlight w:val="none"/>
        </w:rPr>
      </w:pPr>
      <w:bookmarkStart w:id="8" w:name="_Toc15396601"/>
      <w:bookmarkStart w:id="9" w:name="_Toc15377200"/>
      <w:r>
        <w:rPr>
          <w:rFonts w:hint="eastAsia" w:ascii="Times New Roman" w:hAnsi="Times New Roman" w:eastAsia="黑体"/>
          <w:b w:val="0"/>
          <w:color w:val="auto"/>
          <w:highlight w:val="none"/>
        </w:rPr>
        <w:t>二、机</w:t>
      </w:r>
      <w:r>
        <w:rPr>
          <w:rStyle w:val="31"/>
          <w:rFonts w:hint="eastAsia" w:ascii="Times New Roman" w:hAnsi="Times New Roman" w:eastAsia="黑体"/>
          <w:b w:val="0"/>
          <w:bCs w:val="0"/>
          <w:color w:val="auto"/>
          <w:highlight w:val="none"/>
        </w:rPr>
        <w:t>构设置</w:t>
      </w:r>
      <w:bookmarkEnd w:id="8"/>
      <w:bookmarkEnd w:id="9"/>
    </w:p>
    <w:p w14:paraId="29F0E281">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color w:val="000000"/>
          <w:kern w:val="0"/>
          <w:sz w:val="32"/>
          <w:szCs w:val="32"/>
          <w:lang w:val="en-US" w:eastAsia="zh-CN"/>
        </w:rPr>
      </w:pPr>
      <w:bookmarkStart w:id="10" w:name="_Toc15396602"/>
      <w:bookmarkStart w:id="11" w:name="_Toc15377204"/>
      <w:r>
        <w:rPr>
          <w:rFonts w:hint="eastAsia" w:ascii="仿宋" w:hAnsi="仿宋" w:eastAsia="仿宋" w:cs="仿宋"/>
          <w:color w:val="auto"/>
          <w:sz w:val="32"/>
          <w:szCs w:val="32"/>
          <w:highlight w:val="none"/>
        </w:rPr>
        <w:t>红原县</w:t>
      </w:r>
      <w:r>
        <w:rPr>
          <w:rFonts w:hint="eastAsia" w:ascii="仿宋" w:hAnsi="仿宋" w:eastAsia="仿宋" w:cs="仿宋"/>
          <w:color w:val="auto"/>
          <w:sz w:val="32"/>
          <w:szCs w:val="32"/>
          <w:highlight w:val="none"/>
          <w:lang w:eastAsia="zh-CN"/>
        </w:rPr>
        <w:t>邛溪镇</w:t>
      </w:r>
      <w:r>
        <w:rPr>
          <w:rFonts w:hint="eastAsia" w:ascii="仿宋" w:hAnsi="仿宋" w:eastAsia="仿宋" w:cs="仿宋"/>
          <w:color w:val="auto"/>
          <w:sz w:val="32"/>
          <w:szCs w:val="32"/>
          <w:highlight w:val="none"/>
        </w:rPr>
        <w:t>卫生院下属二级</w:t>
      </w:r>
      <w:r>
        <w:rPr>
          <w:rFonts w:hint="eastAsia" w:ascii="仿宋" w:hAnsi="仿宋" w:eastAsia="仿宋" w:cs="仿宋"/>
          <w:color w:val="auto"/>
          <w:sz w:val="32"/>
          <w:szCs w:val="32"/>
          <w:highlight w:val="none"/>
          <w:lang w:eastAsia="zh-CN"/>
        </w:rPr>
        <w:t>预算</w:t>
      </w:r>
      <w:r>
        <w:rPr>
          <w:rFonts w:hint="eastAsia" w:ascii="仿宋" w:hAnsi="仿宋" w:eastAsia="仿宋" w:cs="仿宋"/>
          <w:color w:val="auto"/>
          <w:sz w:val="32"/>
          <w:szCs w:val="32"/>
          <w:highlight w:val="none"/>
        </w:rPr>
        <w:t>单位</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个</w:t>
      </w:r>
      <w:r>
        <w:rPr>
          <w:rFonts w:hint="eastAsia" w:ascii="仿宋" w:hAnsi="仿宋" w:eastAsia="仿宋" w:cs="仿宋"/>
          <w:color w:val="auto"/>
          <w:sz w:val="32"/>
          <w:szCs w:val="32"/>
          <w:highlight w:val="none"/>
          <w:lang w:eastAsia="zh-CN"/>
        </w:rPr>
        <w:t>，</w:t>
      </w:r>
      <w:r>
        <w:rPr>
          <w:rFonts w:hint="eastAsia" w:ascii="仿宋" w:hAnsi="仿宋" w:eastAsia="仿宋" w:cs="仿宋"/>
          <w:bCs/>
          <w:sz w:val="32"/>
          <w:szCs w:val="32"/>
        </w:rPr>
        <w:t>我单位为独立核算全额拨款事业单位，</w:t>
      </w:r>
      <w:r>
        <w:rPr>
          <w:rFonts w:hint="eastAsia" w:ascii="仿宋" w:hAnsi="仿宋" w:eastAsia="仿宋" w:cs="仿宋"/>
          <w:bCs/>
          <w:sz w:val="32"/>
          <w:szCs w:val="32"/>
          <w:lang w:eastAsia="zh-CN"/>
        </w:rPr>
        <w:t>下设</w:t>
      </w:r>
      <w:r>
        <w:rPr>
          <w:rFonts w:hint="eastAsia" w:ascii="仿宋" w:hAnsi="仿宋" w:eastAsia="仿宋" w:cs="仿宋"/>
          <w:bCs/>
          <w:sz w:val="32"/>
          <w:szCs w:val="32"/>
          <w:lang w:val="en-US" w:eastAsia="zh-CN"/>
        </w:rPr>
        <w:t>1机构。</w:t>
      </w: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共有编制10个，其中事业编10个，在职10人,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10</w:t>
      </w:r>
      <w:r>
        <w:rPr>
          <w:rFonts w:hint="eastAsia" w:ascii="仿宋" w:hAnsi="仿宋" w:eastAsia="仿宋" w:cs="仿宋"/>
          <w:bCs/>
          <w:sz w:val="32"/>
          <w:szCs w:val="32"/>
        </w:rPr>
        <w:t>人。</w:t>
      </w:r>
    </w:p>
    <w:p w14:paraId="1623C9EC">
      <w:pPr>
        <w:pStyle w:val="3"/>
        <w:adjustRightInd w:val="0"/>
        <w:snapToGrid w:val="0"/>
        <w:spacing w:before="93" w:line="600" w:lineRule="exact"/>
        <w:ind w:firstLine="672" w:firstLineChars="21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rPr>
        <w:t>纳入</w:t>
      </w:r>
      <w:r>
        <w:rPr>
          <w:sz w:val="32"/>
          <w:szCs w:val="32"/>
        </w:rPr>
        <w:t>红原县</w:t>
      </w:r>
      <w:r>
        <w:rPr>
          <w:rFonts w:hint="eastAsia"/>
          <w:sz w:val="32"/>
          <w:szCs w:val="32"/>
          <w:lang w:eastAsia="zh-CN"/>
        </w:rPr>
        <w:t>邛溪镇</w:t>
      </w:r>
      <w:r>
        <w:rPr>
          <w:sz w:val="32"/>
          <w:szCs w:val="32"/>
        </w:rPr>
        <w:t>卫生院</w:t>
      </w:r>
      <w:r>
        <w:rPr>
          <w:rFonts w:hint="eastAsia" w:ascii="Times New Roman" w:hAnsi="Times New Roman" w:eastAsia="仿宋_GB2312" w:cs="仿宋_GB2312"/>
          <w:color w:val="auto"/>
          <w:sz w:val="32"/>
          <w:szCs w:val="32"/>
          <w:highlight w:val="none"/>
          <w:lang w:eastAsia="zh-CN"/>
        </w:rPr>
        <w:t>202</w:t>
      </w:r>
      <w:r>
        <w:rPr>
          <w:rFonts w:hint="eastAsia" w:ascii="Times New Roman" w:hAnsi="Times New Roman" w:cs="仿宋_GB2312"/>
          <w:color w:val="auto"/>
          <w:sz w:val="32"/>
          <w:szCs w:val="32"/>
          <w:highlight w:val="none"/>
          <w:lang w:val="en-US" w:eastAsia="zh-CN"/>
        </w:rPr>
        <w:t>5</w:t>
      </w:r>
      <w:r>
        <w:rPr>
          <w:rFonts w:hint="eastAsia" w:ascii="Times New Roman" w:hAnsi="Times New Roman" w:eastAsia="仿宋_GB2312" w:cs="仿宋_GB2312"/>
          <w:color w:val="auto"/>
          <w:sz w:val="32"/>
          <w:szCs w:val="32"/>
          <w:highlight w:val="none"/>
          <w:lang w:eastAsia="zh-CN"/>
        </w:rPr>
        <w:t>年度</w:t>
      </w:r>
      <w:r>
        <w:rPr>
          <w:rFonts w:hint="eastAsia" w:ascii="Times New Roman" w:hAnsi="Times New Roman" w:eastAsia="仿宋_GB2312" w:cs="仿宋_GB2312"/>
          <w:color w:val="auto"/>
          <w:sz w:val="32"/>
          <w:szCs w:val="32"/>
          <w:highlight w:val="none"/>
        </w:rPr>
        <w:t>部门决算编制范围的二级预算单位</w:t>
      </w:r>
      <w:r>
        <w:rPr>
          <w:rFonts w:hint="eastAsia" w:ascii="Times New Roman" w:cs="仿宋_GB2312"/>
          <w:color w:val="auto"/>
          <w:sz w:val="32"/>
          <w:szCs w:val="32"/>
          <w:highlight w:val="none"/>
          <w:lang w:eastAsia="zh-CN"/>
        </w:rPr>
        <w:t>无。</w:t>
      </w:r>
    </w:p>
    <w:p w14:paraId="4C2344A6">
      <w:pPr>
        <w:pStyle w:val="4"/>
        <w:jc w:val="center"/>
        <w:rPr>
          <w:rFonts w:hint="eastAsia" w:ascii="Times New Roman" w:hAnsi="Times New Roman" w:eastAsia="方正小标宋简体" w:cs="方正小标宋简体"/>
          <w:b w:val="0"/>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10"/>
      <w:bookmarkEnd w:id="11"/>
    </w:p>
    <w:p w14:paraId="26C7455F">
      <w:pPr>
        <w:rPr>
          <w:rFonts w:ascii="Times New Roman" w:hAnsi="Times New Roman"/>
          <w:color w:val="auto"/>
          <w:highlight w:val="none"/>
        </w:rPr>
      </w:pPr>
    </w:p>
    <w:p w14:paraId="353F350A">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2" w:name="_Toc15396603"/>
      <w:bookmarkStart w:id="13"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1"/>
          <w:rFonts w:hint="eastAsia" w:ascii="Times New Roman" w:hAnsi="Times New Roman" w:eastAsia="黑体"/>
          <w:b w:val="0"/>
          <w:color w:val="auto"/>
          <w:highlight w:val="none"/>
        </w:rPr>
        <w:t>入支出决算总体情况说明</w:t>
      </w:r>
      <w:bookmarkEnd w:id="12"/>
      <w:bookmarkEnd w:id="13"/>
    </w:p>
    <w:p w14:paraId="400CA23F">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-795655</wp:posOffset>
            </wp:positionH>
            <wp:positionV relativeFrom="paragraph">
              <wp:posOffset>1440815</wp:posOffset>
            </wp:positionV>
            <wp:extent cx="6517005" cy="1823720"/>
            <wp:effectExtent l="4445" t="4445" r="12700" b="1968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292.94</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val="en-US" w:eastAsia="zh-CN"/>
        </w:rPr>
        <w:t>2024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仿宋_GB2312" w:hAnsi="仿宋_GB2312" w:eastAsia="仿宋_GB2312" w:cs="仿宋_GB2312"/>
          <w:sz w:val="32"/>
          <w:szCs w:val="32"/>
        </w:rPr>
        <w:t>275.85</w:t>
      </w:r>
      <w:r>
        <w:rPr>
          <w:rFonts w:hint="eastAsia" w:ascii="Times New Roman" w:hAnsi="Times New Roman" w:eastAsia="仿宋_GB2312" w:cs="仿宋_GB2312"/>
          <w:color w:val="auto"/>
          <w:sz w:val="32"/>
          <w:szCs w:val="32"/>
          <w:highlight w:val="none"/>
        </w:rPr>
        <w:t>万元相比，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增加</w:t>
      </w:r>
      <w:r>
        <w:rPr>
          <w:rFonts w:hint="eastAsia" w:eastAsia="仿宋_GB2312" w:cs="仿宋_GB2312"/>
          <w:color w:val="auto"/>
          <w:sz w:val="32"/>
          <w:szCs w:val="32"/>
          <w:highlight w:val="none"/>
          <w:lang w:val="en-US" w:eastAsia="zh-CN"/>
        </w:rPr>
        <w:t>17.09</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5.83</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人员经费增加。</w:t>
      </w:r>
    </w:p>
    <w:p w14:paraId="33F21CEE">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41076AA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14:paraId="2FF8F797">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96604"/>
      <w:bookmarkStart w:id="15" w:name="_Toc15377206"/>
      <w:r>
        <w:rPr>
          <w:rFonts w:hint="eastAsia" w:ascii="Times New Roman" w:hAnsi="Times New Roman" w:eastAsia="黑体"/>
          <w:color w:val="auto"/>
          <w:sz w:val="32"/>
          <w:szCs w:val="32"/>
          <w:highlight w:val="none"/>
          <w:lang w:eastAsia="zh-CN"/>
        </w:rPr>
        <w:t>二、收入决算情况说明</w:t>
      </w:r>
      <w:bookmarkEnd w:id="14"/>
      <w:bookmarkEnd w:id="15"/>
    </w:p>
    <w:p w14:paraId="52D7D2D9">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292.94</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279.34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95.35</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w:t>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0288" behindDoc="0" locked="0" layoutInCell="1" allowOverlap="1">
            <wp:simplePos x="0" y="0"/>
            <wp:positionH relativeFrom="column">
              <wp:posOffset>-1090930</wp:posOffset>
            </wp:positionH>
            <wp:positionV relativeFrom="paragraph">
              <wp:posOffset>1623695</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Times New Roman" w:hAnsi="Times New Roman" w:eastAsia="仿宋_GB2312" w:cs="仿宋_GB2312"/>
          <w:color w:val="auto"/>
          <w:sz w:val="32"/>
          <w:szCs w:val="32"/>
          <w:highlight w:val="none"/>
          <w:lang w:eastAsia="zh-CN"/>
        </w:rPr>
        <w:t>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1.87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0.63</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11.73</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4</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14:paraId="18E54535">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015BD06B">
      <w:pPr>
        <w:ind w:firstLine="800" w:firstLineChars="250"/>
        <w:rPr>
          <w:rFonts w:hint="eastAsia" w:ascii="Times New Roman" w:hAnsi="Times New Roman" w:eastAsia="仿宋_GB2312" w:cs="仿宋_GB2312"/>
          <w:color w:val="auto"/>
          <w:sz w:val="32"/>
          <w:szCs w:val="32"/>
          <w:highlight w:val="none"/>
          <w:lang w:eastAsia="zh-CN"/>
        </w:rPr>
      </w:pPr>
    </w:p>
    <w:p w14:paraId="3D9D23AF">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6" w:name="_Toc15396605"/>
      <w:bookmarkStart w:id="1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1"/>
          <w:rFonts w:hint="eastAsia" w:ascii="Times New Roman" w:hAnsi="Times New Roman" w:eastAsia="黑体"/>
          <w:b w:val="0"/>
          <w:color w:val="auto"/>
          <w:highlight w:val="none"/>
        </w:rPr>
        <w:t>出决算情况说明</w:t>
      </w:r>
      <w:bookmarkEnd w:id="16"/>
      <w:bookmarkEnd w:id="17"/>
    </w:p>
    <w:p w14:paraId="1B5A4F57">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-814705</wp:posOffset>
            </wp:positionH>
            <wp:positionV relativeFrom="paragraph">
              <wp:posOffset>1922145</wp:posOffset>
            </wp:positionV>
            <wp:extent cx="5988685" cy="1212850"/>
            <wp:effectExtent l="4445" t="4445" r="7620" b="2095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292.94</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255.1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87.08</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37.84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12.91</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7D5649A5">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14:paraId="3CA551D2">
      <w:pPr>
        <w:ind w:firstLine="800" w:firstLineChars="250"/>
        <w:rPr>
          <w:rFonts w:hint="eastAsia" w:ascii="Times New Roman" w:hAnsi="Times New Roman" w:eastAsia="仿宋_GB2312" w:cs="仿宋_GB2312"/>
          <w:color w:val="auto"/>
          <w:sz w:val="32"/>
          <w:szCs w:val="32"/>
          <w:highlight w:val="none"/>
          <w:lang w:eastAsia="zh-CN"/>
        </w:rPr>
      </w:pPr>
    </w:p>
    <w:p w14:paraId="08F0A17F">
      <w:pPr>
        <w:spacing w:line="600" w:lineRule="exact"/>
        <w:ind w:firstLine="640" w:firstLineChars="200"/>
        <w:outlineLvl w:val="1"/>
        <w:rPr>
          <w:rStyle w:val="31"/>
          <w:rFonts w:ascii="Times New Roman" w:hAnsi="Times New Roman" w:eastAsia="黑体"/>
          <w:b w:val="0"/>
          <w:color w:val="auto"/>
          <w:highlight w:val="none"/>
        </w:rPr>
      </w:pPr>
      <w:bookmarkStart w:id="18" w:name="_Toc15377208"/>
      <w:bookmarkStart w:id="19" w:name="_Toc15396606"/>
      <w:r>
        <w:rPr>
          <w:rFonts w:hint="eastAsia" w:ascii="Times New Roman" w:hAnsi="Times New Roman" w:eastAsia="黑体"/>
          <w:color w:val="auto"/>
          <w:sz w:val="32"/>
          <w:szCs w:val="32"/>
          <w:highlight w:val="none"/>
        </w:rPr>
        <w:t>四、财</w:t>
      </w:r>
      <w:r>
        <w:rPr>
          <w:rStyle w:val="31"/>
          <w:rFonts w:hint="eastAsia" w:ascii="Times New Roman" w:hAnsi="Times New Roman" w:eastAsia="黑体"/>
          <w:b w:val="0"/>
          <w:color w:val="auto"/>
          <w:highlight w:val="none"/>
        </w:rPr>
        <w:t>政拨款收入支出决算总体情况说明</w:t>
      </w:r>
      <w:bookmarkEnd w:id="18"/>
      <w:bookmarkEnd w:id="19"/>
    </w:p>
    <w:p w14:paraId="0B29F61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2336" behindDoc="0" locked="0" layoutInCell="1" allowOverlap="1">
            <wp:simplePos x="0" y="0"/>
            <wp:positionH relativeFrom="column">
              <wp:posOffset>-929005</wp:posOffset>
            </wp:positionH>
            <wp:positionV relativeFrom="paragraph">
              <wp:posOffset>1604645</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279.34</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sz w:val="32"/>
          <w:szCs w:val="32"/>
        </w:rPr>
        <w:t>275.85</w:t>
      </w:r>
      <w:r>
        <w:rPr>
          <w:rFonts w:hint="eastAsia" w:ascii="Times New Roman" w:hAnsi="Times New Roman" w:eastAsia="仿宋_GB2312" w:cs="仿宋_GB2312"/>
          <w:color w:val="auto"/>
          <w:kern w:val="2"/>
          <w:sz w:val="32"/>
          <w:szCs w:val="32"/>
          <w:highlight w:val="none"/>
          <w:lang w:val="en-US" w:eastAsia="zh-CN" w:bidi="ar-SA"/>
        </w:rPr>
        <w:t>万元相比，财政拨款收入、支出总计各增加</w:t>
      </w:r>
      <w:r>
        <w:rPr>
          <w:rFonts w:hint="eastAsia" w:eastAsia="仿宋_GB2312" w:cs="仿宋_GB2312"/>
          <w:color w:val="auto"/>
          <w:kern w:val="2"/>
          <w:sz w:val="32"/>
          <w:szCs w:val="32"/>
          <w:highlight w:val="none"/>
          <w:lang w:val="en-US" w:eastAsia="zh-CN" w:bidi="ar-SA"/>
        </w:rPr>
        <w:t>3.49</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1.25</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卫生健康类</w:t>
      </w:r>
      <w:r>
        <w:rPr>
          <w:rFonts w:hint="eastAsia" w:ascii="Times New Roman" w:hAnsi="Times New Roman" w:eastAsia="仿宋_GB2312" w:cs="仿宋_GB2312"/>
          <w:color w:val="auto"/>
          <w:kern w:val="2"/>
          <w:sz w:val="32"/>
          <w:szCs w:val="32"/>
          <w:highlight w:val="none"/>
          <w:lang w:val="en-US" w:eastAsia="zh-CN" w:bidi="ar-SA"/>
        </w:rPr>
        <w:t>收入、支出增加。</w:t>
      </w:r>
    </w:p>
    <w:p w14:paraId="7D173780">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0C4011D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F7B3775">
      <w:pPr>
        <w:spacing w:line="600" w:lineRule="exact"/>
        <w:ind w:firstLine="640" w:firstLineChars="200"/>
        <w:outlineLvl w:val="1"/>
        <w:rPr>
          <w:rStyle w:val="31"/>
          <w:rFonts w:ascii="Times New Roman" w:hAnsi="Times New Roman" w:eastAsia="黑体"/>
          <w:b w:val="0"/>
          <w:color w:val="auto"/>
          <w:highlight w:val="none"/>
        </w:rPr>
      </w:pPr>
      <w:bookmarkStart w:id="20" w:name="_Toc15377209"/>
      <w:bookmarkStart w:id="21"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般公共预算财政拨款支出决算情况说明</w:t>
      </w:r>
      <w:bookmarkEnd w:id="20"/>
      <w:bookmarkEnd w:id="21"/>
    </w:p>
    <w:p w14:paraId="30036DB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14:paraId="2F69F81D">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279.34</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95.35</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sz w:val="32"/>
          <w:szCs w:val="32"/>
        </w:rPr>
        <w:t>275.85</w:t>
      </w:r>
      <w:r>
        <w:rPr>
          <w:rFonts w:hint="eastAsia" w:ascii="Times New Roman" w:hAnsi="Times New Roman" w:eastAsia="仿宋_GB2312" w:cs="仿宋_GB2312"/>
          <w:color w:val="auto"/>
          <w:kern w:val="2"/>
          <w:sz w:val="32"/>
          <w:szCs w:val="32"/>
          <w:highlight w:val="none"/>
          <w:lang w:val="en-US" w:eastAsia="zh-CN" w:bidi="ar-SA"/>
        </w:rPr>
        <w:t>万元相比，一般公共预算财政拨款支出增加</w:t>
      </w:r>
      <w:r>
        <w:rPr>
          <w:rFonts w:hint="eastAsia" w:eastAsia="仿宋_GB2312" w:cs="仿宋_GB2312"/>
          <w:color w:val="auto"/>
          <w:kern w:val="2"/>
          <w:sz w:val="32"/>
          <w:szCs w:val="32"/>
          <w:highlight w:val="none"/>
          <w:lang w:val="en-US" w:eastAsia="zh-CN" w:bidi="ar-SA"/>
        </w:rPr>
        <w:t>3.49</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1.25</w:t>
      </w:r>
      <w:r>
        <w:rPr>
          <w:rFonts w:hint="eastAsia" w:ascii="Times New Roman" w:hAnsi="Times New Roman" w:eastAsia="仿宋_GB2312" w:cs="仿宋_GB2312"/>
          <w:color w:val="auto"/>
          <w:kern w:val="2"/>
          <w:sz w:val="32"/>
          <w:szCs w:val="32"/>
          <w:highlight w:val="none"/>
          <w:lang w:val="en-US" w:eastAsia="zh-CN" w:bidi="ar-SA"/>
        </w:rPr>
        <w:t>%。主要变动原因是主要变动原因是</w:t>
      </w:r>
      <w:r>
        <w:rPr>
          <w:rFonts w:hint="eastAsia" w:eastAsia="仿宋_GB2312" w:cs="仿宋_GB2312"/>
          <w:color w:val="auto"/>
          <w:kern w:val="2"/>
          <w:sz w:val="32"/>
          <w:szCs w:val="32"/>
          <w:highlight w:val="none"/>
          <w:lang w:val="en-US" w:eastAsia="zh-CN" w:bidi="ar-SA"/>
        </w:rPr>
        <w:t>卫生健康类</w:t>
      </w:r>
      <w:r>
        <w:rPr>
          <w:rFonts w:hint="eastAsia" w:ascii="Times New Roman" w:hAnsi="Times New Roman" w:eastAsia="仿宋_GB2312" w:cs="仿宋_GB2312"/>
          <w:color w:val="auto"/>
          <w:kern w:val="2"/>
          <w:sz w:val="32"/>
          <w:szCs w:val="32"/>
          <w:highlight w:val="none"/>
          <w:lang w:val="en-US" w:eastAsia="zh-CN" w:bidi="ar-SA"/>
        </w:rPr>
        <w:t>收入、支出增加。</w:t>
      </w:r>
    </w:p>
    <w:p w14:paraId="2F36B3D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3360" behindDoc="0" locked="0" layoutInCell="1" allowOverlap="1">
            <wp:simplePos x="0" y="0"/>
            <wp:positionH relativeFrom="column">
              <wp:posOffset>-376555</wp:posOffset>
            </wp:positionH>
            <wp:positionV relativeFrom="paragraph">
              <wp:posOffset>75565</wp:posOffset>
            </wp:positionV>
            <wp:extent cx="6219190" cy="1900555"/>
            <wp:effectExtent l="4445" t="4445" r="5715" b="19050"/>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63F7679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398335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14:paraId="7D075B7B">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4384" behindDoc="0" locked="0" layoutInCell="1" allowOverlap="1">
            <wp:simplePos x="0" y="0"/>
            <wp:positionH relativeFrom="column">
              <wp:posOffset>-948055</wp:posOffset>
            </wp:positionH>
            <wp:positionV relativeFrom="paragraph">
              <wp:posOffset>2886075</wp:posOffset>
            </wp:positionV>
            <wp:extent cx="6584950" cy="1755140"/>
            <wp:effectExtent l="4445" t="5080" r="20955" b="1143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279.34</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一般公共服务支出**万元，占**%；教育支出**万元，占**%；科学技术支出**万元，占**%；文化旅游体育与传媒支出**万元，占**%；社会保障和就业支出</w:t>
      </w:r>
      <w:r>
        <w:rPr>
          <w:rFonts w:hint="eastAsia" w:eastAsia="仿宋_GB2312" w:cs="仿宋_GB2312"/>
          <w:color w:val="auto"/>
          <w:kern w:val="2"/>
          <w:sz w:val="32"/>
          <w:szCs w:val="32"/>
          <w:highlight w:val="none"/>
          <w:lang w:val="en-US" w:eastAsia="zh-CN" w:bidi="ar-SA"/>
        </w:rPr>
        <w:t>34.54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12.37</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224.94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80.53</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19.86</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7.11</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63650EA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4EBBF57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DB6835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14:paraId="2D50381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8460"/>
      <w:bookmarkStart w:id="26" w:name="_Toc15377213"/>
      <w:bookmarkStart w:id="27" w:name="_Toc15377444"/>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279.34</w:t>
      </w:r>
      <w:r>
        <w:rPr>
          <w:rFonts w:hint="eastAsia" w:ascii="Times New Roman" w:hAnsi="Times New Roman" w:eastAsia="仿宋_GB2312" w:cs="仿宋_GB2312"/>
          <w:color w:val="auto"/>
          <w:kern w:val="2"/>
          <w:sz w:val="32"/>
          <w:szCs w:val="32"/>
          <w:highlight w:val="none"/>
          <w:lang w:val="en-US" w:eastAsia="zh-CN" w:bidi="ar-SA"/>
        </w:rPr>
        <w:t>，完成预算**%。其中：</w:t>
      </w:r>
      <w:bookmarkEnd w:id="25"/>
      <w:bookmarkEnd w:id="26"/>
      <w:bookmarkEnd w:id="27"/>
    </w:p>
    <w:p w14:paraId="2089985B">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住房保障支出</w:t>
      </w:r>
      <w:r>
        <w:rPr>
          <w:rFonts w:hint="eastAsia" w:ascii="Times New Roman" w:hAnsi="Times New Roman" w:eastAsia="仿宋_GB2312" w:cs="仿宋_GB2312"/>
          <w:color w:val="auto"/>
          <w:kern w:val="2"/>
          <w:sz w:val="32"/>
          <w:szCs w:val="32"/>
          <w:highlight w:val="none"/>
          <w:lang w:val="en-US" w:eastAsia="zh-CN" w:bidi="ar-SA"/>
        </w:rPr>
        <w:t>服务（类）</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19.86</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14:paraId="28A6A0C0">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2.社会保障和就业（类）</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06</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34.54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14:paraId="63A57403">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3.卫生健康（类）</w:t>
      </w:r>
      <w:r>
        <w:rPr>
          <w:rFonts w:hint="eastAsia" w:eastAsia="仿宋_GB2312" w:cs="仿宋_GB2312"/>
          <w:color w:val="auto"/>
          <w:kern w:val="2"/>
          <w:sz w:val="32"/>
          <w:szCs w:val="32"/>
          <w:highlight w:val="none"/>
          <w:lang w:val="en-US" w:eastAsia="zh-CN" w:bidi="ar-SA"/>
        </w:rPr>
        <w:t>03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224.94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p>
    <w:p w14:paraId="7A96B8D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AB37710">
      <w:pPr>
        <w:tabs>
          <w:tab w:val="right" w:pos="8306"/>
        </w:tabs>
        <w:spacing w:line="600" w:lineRule="exact"/>
        <w:ind w:firstLine="640"/>
        <w:outlineLvl w:val="1"/>
        <w:rPr>
          <w:rStyle w:val="31"/>
          <w:rFonts w:ascii="Times New Roman" w:hAnsi="Times New Roman"/>
          <w:color w:val="auto"/>
          <w:highlight w:val="none"/>
        </w:rPr>
      </w:pPr>
      <w:bookmarkStart w:id="28" w:name="_Toc15377214"/>
      <w:bookmarkStart w:id="29"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般公共预算财政拨款基本支出决算情况说明</w:t>
      </w:r>
      <w:bookmarkEnd w:id="28"/>
      <w:bookmarkEnd w:id="29"/>
      <w:r>
        <w:rPr>
          <w:rStyle w:val="31"/>
          <w:rFonts w:ascii="Times New Roman" w:hAnsi="Times New Roman" w:eastAsia="黑体"/>
          <w:b w:val="0"/>
          <w:color w:val="auto"/>
          <w:highlight w:val="none"/>
        </w:rPr>
        <w:tab/>
      </w:r>
    </w:p>
    <w:p w14:paraId="64585E6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255.1</w:t>
      </w:r>
      <w:r>
        <w:rPr>
          <w:rFonts w:hint="eastAsia" w:ascii="Times New Roman" w:hAnsi="Times New Roman" w:eastAsia="仿宋_GB2312" w:cs="仿宋_GB2312"/>
          <w:color w:val="auto"/>
          <w:kern w:val="2"/>
          <w:sz w:val="32"/>
          <w:szCs w:val="32"/>
          <w:highlight w:val="none"/>
          <w:lang w:val="en-US" w:eastAsia="zh-CN" w:bidi="ar-SA"/>
        </w:rPr>
        <w:t>万元，其中：</w:t>
      </w:r>
    </w:p>
    <w:p w14:paraId="76328C7D">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251.28</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3.83</w:t>
      </w:r>
      <w:r>
        <w:rPr>
          <w:rFonts w:hint="eastAsia" w:ascii="Times New Roman" w:hAnsi="Times New Roman" w:eastAsia="仿宋_GB2312" w:cs="仿宋_GB2312"/>
          <w:color w:val="auto"/>
          <w:kern w:val="2"/>
          <w:sz w:val="32"/>
          <w:szCs w:val="32"/>
          <w:highlight w:val="none"/>
          <w:lang w:val="en-US" w:eastAsia="zh-CN" w:bidi="ar-SA"/>
        </w:rPr>
        <w:t>万元，主要包括：工会经费</w:t>
      </w:r>
      <w:r>
        <w:rPr>
          <w:rFonts w:hint="eastAsia" w:eastAsia="仿宋_GB2312" w:cs="仿宋_GB2312"/>
          <w:color w:val="auto"/>
          <w:kern w:val="2"/>
          <w:sz w:val="32"/>
          <w:szCs w:val="32"/>
          <w:highlight w:val="none"/>
          <w:lang w:val="en-US" w:eastAsia="zh-CN" w:bidi="ar-SA"/>
        </w:rPr>
        <w:t>1.76万元</w:t>
      </w:r>
      <w:r>
        <w:rPr>
          <w:rFonts w:hint="eastAsia" w:ascii="Times New Roman" w:hAnsi="Times New Roman" w:eastAsia="仿宋_GB2312" w:cs="仿宋_GB2312"/>
          <w:color w:val="auto"/>
          <w:kern w:val="2"/>
          <w:sz w:val="32"/>
          <w:szCs w:val="32"/>
          <w:highlight w:val="none"/>
          <w:lang w:val="en-US" w:eastAsia="zh-CN" w:bidi="ar-SA"/>
        </w:rPr>
        <w:t>、其他商品和服务支出</w:t>
      </w:r>
      <w:r>
        <w:rPr>
          <w:rFonts w:hint="eastAsia" w:eastAsia="仿宋_GB2312" w:cs="仿宋_GB2312"/>
          <w:color w:val="auto"/>
          <w:kern w:val="2"/>
          <w:sz w:val="32"/>
          <w:szCs w:val="32"/>
          <w:highlight w:val="none"/>
          <w:lang w:val="en-US" w:eastAsia="zh-CN" w:bidi="ar-SA"/>
        </w:rPr>
        <w:t>2.07万元。</w:t>
      </w:r>
    </w:p>
    <w:p w14:paraId="5F6A1056">
      <w:pPr>
        <w:spacing w:line="600" w:lineRule="exact"/>
        <w:ind w:firstLine="640"/>
        <w:outlineLvl w:val="1"/>
        <w:rPr>
          <w:rStyle w:val="31"/>
          <w:rFonts w:ascii="Times New Roman" w:hAnsi="Times New Roman" w:eastAsia="黑体"/>
          <w:b w:val="0"/>
          <w:color w:val="auto"/>
          <w:highlight w:val="none"/>
        </w:rPr>
      </w:pPr>
      <w:bookmarkStart w:id="30" w:name="_Toc15377215"/>
      <w:bookmarkStart w:id="31" w:name="_Toc15396609"/>
      <w:r>
        <w:rPr>
          <w:rFonts w:hint="eastAsia" w:ascii="Times New Roman" w:hAnsi="Times New Roman" w:eastAsia="黑体"/>
          <w:color w:val="auto"/>
          <w:sz w:val="32"/>
          <w:szCs w:val="32"/>
          <w:highlight w:val="none"/>
        </w:rPr>
        <w:t>七、</w:t>
      </w:r>
      <w:r>
        <w:rPr>
          <w:rStyle w:val="31"/>
          <w:rFonts w:hint="eastAsia" w:ascii="Times New Roman" w:hAnsi="Times New Roman" w:eastAsia="黑体"/>
          <w:b w:val="0"/>
          <w:color w:val="auto"/>
          <w:highlight w:val="none"/>
        </w:rPr>
        <w:t>财政拨款</w:t>
      </w:r>
      <w:r>
        <w:rPr>
          <w:rStyle w:val="31"/>
          <w:rFonts w:hint="eastAsia" w:ascii="Times New Roman" w:hAnsi="Times New Roman" w:eastAsia="黑体"/>
          <w:color w:val="auto"/>
          <w:highlight w:val="none"/>
        </w:rPr>
        <w:t>“</w:t>
      </w:r>
      <w:r>
        <w:rPr>
          <w:rStyle w:val="31"/>
          <w:rFonts w:hint="eastAsia" w:ascii="Times New Roman" w:hAnsi="Times New Roman" w:eastAsia="黑体"/>
          <w:b w:val="0"/>
          <w:color w:val="auto"/>
          <w:highlight w:val="none"/>
        </w:rPr>
        <w:t>三公”经费支出决算情况说明</w:t>
      </w:r>
      <w:bookmarkEnd w:id="30"/>
      <w:bookmarkEnd w:id="31"/>
    </w:p>
    <w:p w14:paraId="60F7C7A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14:paraId="475EBF2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14:paraId="52392CAB">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bookmarkStart w:id="62" w:name="_GoBack"/>
      <w:bookmarkEnd w:id="62"/>
    </w:p>
    <w:p w14:paraId="770AAE6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14:paraId="21EC387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14:paraId="6ADF842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45EE080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263A8AD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14:paraId="0B8646F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5FEAAAB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14:paraId="2FB736E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14:paraId="518EC28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14:paraId="59873BD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14:paraId="1C99CF4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14:paraId="4C79A15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77218"/>
      <w:bookmarkStart w:id="35" w:name="_Toc15396610"/>
    </w:p>
    <w:p w14:paraId="46571731">
      <w:pPr>
        <w:spacing w:line="600" w:lineRule="exact"/>
        <w:ind w:firstLine="640"/>
        <w:outlineLvl w:val="1"/>
        <w:rPr>
          <w:rStyle w:val="31"/>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1"/>
          <w:rFonts w:hint="eastAsia" w:ascii="Times New Roman" w:hAnsi="Times New Roman" w:eastAsia="黑体"/>
          <w:b w:val="0"/>
          <w:color w:val="auto"/>
          <w:highlight w:val="none"/>
        </w:rPr>
        <w:t>政府性基金预算支出决算情况说明</w:t>
      </w:r>
      <w:bookmarkEnd w:id="34"/>
      <w:bookmarkEnd w:id="35"/>
    </w:p>
    <w:p w14:paraId="6D8B1068">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4E80442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AF19537">
      <w:pPr>
        <w:numPr>
          <w:ilvl w:val="0"/>
          <w:numId w:val="0"/>
        </w:numPr>
        <w:spacing w:line="600" w:lineRule="exact"/>
        <w:ind w:left="630" w:leftChars="0"/>
        <w:outlineLvl w:val="1"/>
        <w:rPr>
          <w:rStyle w:val="31"/>
          <w:rFonts w:ascii="Times New Roman" w:hAnsi="Times New Roman" w:eastAsia="黑体"/>
          <w:b w:val="0"/>
          <w:color w:val="auto"/>
          <w:highlight w:val="none"/>
        </w:rPr>
      </w:pPr>
      <w:bookmarkStart w:id="36" w:name="_Toc15377219"/>
      <w:bookmarkStart w:id="37" w:name="_Toc15396611"/>
      <w:r>
        <w:rPr>
          <w:rStyle w:val="31"/>
          <w:rFonts w:hint="eastAsia" w:ascii="Times New Roman" w:hAnsi="Times New Roman" w:eastAsia="黑体"/>
          <w:b w:val="0"/>
          <w:color w:val="auto"/>
          <w:highlight w:val="none"/>
          <w:lang w:eastAsia="zh-CN"/>
        </w:rPr>
        <w:t>九、</w:t>
      </w:r>
      <w:r>
        <w:rPr>
          <w:rStyle w:val="31"/>
          <w:rFonts w:hint="eastAsia" w:ascii="Times New Roman" w:hAnsi="Times New Roman" w:eastAsia="黑体"/>
          <w:b w:val="0"/>
          <w:color w:val="auto"/>
          <w:highlight w:val="none"/>
        </w:rPr>
        <w:t>国有资本经营预算支出决算情况说明</w:t>
      </w:r>
      <w:bookmarkEnd w:id="36"/>
      <w:bookmarkEnd w:id="37"/>
    </w:p>
    <w:p w14:paraId="14928AE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48E5F80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6982335">
      <w:pPr>
        <w:numPr>
          <w:ilvl w:val="0"/>
          <w:numId w:val="0"/>
        </w:numPr>
        <w:spacing w:line="600" w:lineRule="exact"/>
        <w:ind w:left="630" w:leftChars="0"/>
        <w:outlineLvl w:val="1"/>
        <w:rPr>
          <w:rStyle w:val="31"/>
          <w:rFonts w:hint="eastAsia" w:ascii="Times New Roman" w:hAnsi="Times New Roman" w:eastAsia="黑体"/>
          <w:b w:val="0"/>
          <w:color w:val="auto"/>
          <w:highlight w:val="none"/>
        </w:rPr>
      </w:pPr>
      <w:bookmarkStart w:id="38" w:name="_Toc15377221"/>
      <w:bookmarkStart w:id="39" w:name="_Toc15396612"/>
      <w:r>
        <w:rPr>
          <w:rStyle w:val="31"/>
          <w:rFonts w:hint="eastAsia" w:ascii="Times New Roman" w:hAnsi="Times New Roman" w:eastAsia="黑体"/>
          <w:b w:val="0"/>
          <w:color w:val="auto"/>
          <w:highlight w:val="none"/>
          <w:lang w:eastAsia="zh-CN"/>
        </w:rPr>
        <w:t>十、</w:t>
      </w:r>
      <w:r>
        <w:rPr>
          <w:rStyle w:val="31"/>
          <w:rFonts w:hint="eastAsia" w:ascii="Times New Roman" w:hAnsi="Times New Roman" w:eastAsia="黑体"/>
          <w:b w:val="0"/>
          <w:color w:val="auto"/>
          <w:highlight w:val="none"/>
        </w:rPr>
        <w:t>其他重要事项的情况说明</w:t>
      </w:r>
      <w:bookmarkEnd w:id="38"/>
      <w:bookmarkEnd w:id="39"/>
    </w:p>
    <w:p w14:paraId="5A274E1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14:paraId="62DDCD3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红原县邛溪镇卫生院</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2249C6A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FA265B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14:paraId="29A964C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红原县邛溪镇卫生院</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62FF834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F5B015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14:paraId="3D4EB03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红原县邛溪镇卫生院</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巡诊义诊。</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4875929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7769917">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2B3FE157">
      <w:pPr>
        <w:pStyle w:val="16"/>
        <w:keepNext w:val="0"/>
        <w:keepLines w:val="0"/>
        <w:widowControl/>
        <w:numPr>
          <w:ilvl w:val="0"/>
          <w:numId w:val="0"/>
        </w:numPr>
        <w:suppressLineNumbers w:val="0"/>
        <w:spacing w:before="0" w:beforeAutospacing="0"/>
        <w:ind w:right="0" w:rightChars="0" w:firstLine="640" w:firstLineChars="200"/>
        <w:jc w:val="left"/>
        <w:rPr>
          <w:rFonts w:hint="eastAsia" w:asciiTheme="minorEastAsia" w:hAnsiTheme="minorEastAsia" w:eastAsiaTheme="minorEastAsia" w:cstheme="minorEastAsia"/>
          <w:sz w:val="32"/>
          <w:szCs w:val="32"/>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asciiTheme="minorEastAsia" w:hAnsiTheme="minorEastAsia" w:eastAsiaTheme="minorEastAsia" w:cstheme="minorEastAsia"/>
          <w:sz w:val="32"/>
          <w:szCs w:val="32"/>
        </w:rPr>
        <w:t>根据预算绩效管理要求，本单位在年初预算编制阶段，组织对</w:t>
      </w:r>
      <w:r>
        <w:rPr>
          <w:rFonts w:hint="eastAsia" w:asciiTheme="minorEastAsia" w:hAnsiTheme="minorEastAsia" w:eastAsiaTheme="minorEastAsia" w:cstheme="minorEastAsia"/>
          <w:sz w:val="32"/>
          <w:szCs w:val="32"/>
          <w:lang w:val="en-US" w:eastAsia="zh-CN"/>
        </w:rPr>
        <w:t>2个</w:t>
      </w:r>
      <w:r>
        <w:rPr>
          <w:rFonts w:hint="eastAsia" w:asciiTheme="minorEastAsia" w:hAnsiTheme="minorEastAsia" w:eastAsiaTheme="minorEastAsia" w:cstheme="minorEastAsia"/>
          <w:sz w:val="32"/>
          <w:szCs w:val="32"/>
        </w:rPr>
        <w:t>项目（项目</w:t>
      </w:r>
      <w:r>
        <w:rPr>
          <w:rFonts w:hint="eastAsia" w:asciiTheme="minorEastAsia" w:hAnsiTheme="minorEastAsia" w:eastAsiaTheme="minorEastAsia" w:cstheme="minorEastAsia"/>
          <w:sz w:val="32"/>
          <w:szCs w:val="32"/>
          <w:lang w:eastAsia="zh-CN"/>
        </w:rPr>
        <w:t>：基本公共卫生及基本药物补助</w:t>
      </w:r>
      <w:r>
        <w:rPr>
          <w:rFonts w:hint="eastAsia" w:asciiTheme="minorEastAsia" w:hAnsiTheme="minorEastAsia" w:eastAsiaTheme="minorEastAsia" w:cstheme="minorEastAsia"/>
          <w:sz w:val="32"/>
          <w:szCs w:val="32"/>
        </w:rPr>
        <w:t>）开展了预算事前绩效评估，对</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个项目编制了绩效目标，预算执行过程中，选取</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个项目开展绩效监控，年终执行完毕后，对</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个项目开展了绩效目标完成情况自评。</w:t>
      </w:r>
    </w:p>
    <w:tbl>
      <w:tblPr>
        <w:tblStyle w:val="17"/>
        <w:tblW w:w="12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870"/>
        <w:gridCol w:w="1392"/>
        <w:gridCol w:w="1192"/>
        <w:gridCol w:w="1857"/>
        <w:gridCol w:w="770"/>
        <w:gridCol w:w="781"/>
        <w:gridCol w:w="926"/>
        <w:gridCol w:w="781"/>
        <w:gridCol w:w="750"/>
        <w:gridCol w:w="770"/>
        <w:gridCol w:w="436"/>
        <w:gridCol w:w="668"/>
      </w:tblGrid>
      <w:tr w14:paraId="2AC3E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12193" w:type="dxa"/>
            <w:gridSpan w:val="12"/>
            <w:tcBorders>
              <w:top w:val="single" w:color="FFFFFF" w:sz="4" w:space="0"/>
              <w:left w:val="single" w:color="FFFFFF" w:sz="4" w:space="0"/>
              <w:bottom w:val="single" w:color="FFFFFF" w:sz="4" w:space="0"/>
              <w:right w:val="single" w:color="FFFFFF" w:sz="4" w:space="0"/>
            </w:tcBorders>
            <w:shd w:val="clear" w:color="auto" w:fill="auto"/>
            <w:vAlign w:val="center"/>
          </w:tcPr>
          <w:p w14:paraId="231F81D8">
            <w:pPr>
              <w:keepNext w:val="0"/>
              <w:keepLines w:val="0"/>
              <w:widowControl/>
              <w:suppressLineNumbers w:val="0"/>
              <w:jc w:val="center"/>
              <w:textAlignment w:val="center"/>
              <w:rPr>
                <w:rFonts w:hint="eastAsia" w:ascii="宋体" w:hAnsi="宋体" w:eastAsia="宋体" w:cs="宋体"/>
                <w:b/>
                <w:i w:val="0"/>
                <w:color w:val="000000"/>
                <w:sz w:val="30"/>
                <w:szCs w:val="30"/>
                <w:u w:val="none"/>
              </w:rPr>
            </w:pPr>
            <w:r>
              <w:rPr>
                <w:rFonts w:hint="eastAsia" w:ascii="宋体" w:hAnsi="宋体" w:eastAsia="宋体" w:cs="宋体"/>
                <w:b/>
                <w:i w:val="0"/>
                <w:color w:val="000000"/>
                <w:kern w:val="0"/>
                <w:sz w:val="30"/>
                <w:szCs w:val="30"/>
                <w:u w:val="none"/>
                <w:lang w:val="en-US" w:eastAsia="zh-CN" w:bidi="ar"/>
              </w:rPr>
              <w:t>部门预算项目绩效目标表（2025年度）</w:t>
            </w:r>
          </w:p>
        </w:tc>
      </w:tr>
      <w:tr w14:paraId="5CB96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6" w:hRule="atLeast"/>
        </w:trPr>
        <w:tc>
          <w:tcPr>
            <w:tcW w:w="6311" w:type="dxa"/>
            <w:gridSpan w:val="4"/>
            <w:tcBorders>
              <w:top w:val="single" w:color="FFFFFF" w:sz="4" w:space="0"/>
              <w:left w:val="single" w:color="FFFFFF" w:sz="4" w:space="0"/>
              <w:right w:val="single" w:color="FFFFFF" w:sz="4" w:space="0"/>
            </w:tcBorders>
            <w:shd w:val="clear" w:color="auto" w:fill="auto"/>
            <w:vAlign w:val="center"/>
          </w:tcPr>
          <w:p w14:paraId="39A0F93D">
            <w:pPr>
              <w:rPr>
                <w:rFonts w:hint="eastAsia" w:ascii="宋体" w:hAnsi="宋体" w:eastAsia="宋体" w:cs="宋体"/>
                <w:i w:val="0"/>
                <w:color w:val="000000"/>
                <w:sz w:val="22"/>
                <w:szCs w:val="22"/>
                <w:u w:val="none"/>
              </w:rPr>
            </w:pPr>
          </w:p>
        </w:tc>
        <w:tc>
          <w:tcPr>
            <w:tcW w:w="770" w:type="dxa"/>
            <w:tcBorders>
              <w:top w:val="single" w:color="FFFFFF" w:sz="4" w:space="0"/>
              <w:left w:val="single" w:color="FFFFFF" w:sz="4" w:space="0"/>
              <w:right w:val="single" w:color="FFFFFF" w:sz="4" w:space="0"/>
            </w:tcBorders>
            <w:shd w:val="clear" w:color="auto" w:fill="auto"/>
            <w:vAlign w:val="center"/>
          </w:tcPr>
          <w:p w14:paraId="5FC28D52">
            <w:pPr>
              <w:rPr>
                <w:rFonts w:hint="eastAsia" w:ascii="宋体" w:hAnsi="宋体" w:eastAsia="宋体" w:cs="宋体"/>
                <w:i w:val="0"/>
                <w:color w:val="000000"/>
                <w:sz w:val="22"/>
                <w:szCs w:val="22"/>
                <w:u w:val="none"/>
              </w:rPr>
            </w:pPr>
          </w:p>
        </w:tc>
        <w:tc>
          <w:tcPr>
            <w:tcW w:w="781" w:type="dxa"/>
            <w:tcBorders>
              <w:top w:val="single" w:color="FFFFFF" w:sz="4" w:space="0"/>
              <w:left w:val="single" w:color="FFFFFF" w:sz="4" w:space="0"/>
              <w:right w:val="single" w:color="FFFFFF" w:sz="4" w:space="0"/>
            </w:tcBorders>
            <w:shd w:val="clear" w:color="auto" w:fill="auto"/>
            <w:vAlign w:val="center"/>
          </w:tcPr>
          <w:p w14:paraId="1D229F32">
            <w:pPr>
              <w:rPr>
                <w:rFonts w:hint="eastAsia" w:ascii="宋体" w:hAnsi="宋体" w:eastAsia="宋体" w:cs="宋体"/>
                <w:i w:val="0"/>
                <w:color w:val="000000"/>
                <w:sz w:val="22"/>
                <w:szCs w:val="22"/>
                <w:u w:val="none"/>
              </w:rPr>
            </w:pPr>
          </w:p>
        </w:tc>
        <w:tc>
          <w:tcPr>
            <w:tcW w:w="926" w:type="dxa"/>
            <w:tcBorders>
              <w:top w:val="single" w:color="FFFFFF" w:sz="4" w:space="0"/>
              <w:left w:val="single" w:color="FFFFFF" w:sz="4" w:space="0"/>
              <w:right w:val="single" w:color="FFFFFF" w:sz="4" w:space="0"/>
            </w:tcBorders>
            <w:shd w:val="clear" w:color="auto" w:fill="auto"/>
            <w:vAlign w:val="center"/>
          </w:tcPr>
          <w:p w14:paraId="2B2741D4">
            <w:pPr>
              <w:rPr>
                <w:rFonts w:hint="eastAsia" w:ascii="宋体" w:hAnsi="宋体" w:eastAsia="宋体" w:cs="宋体"/>
                <w:i w:val="0"/>
                <w:color w:val="000000"/>
                <w:sz w:val="22"/>
                <w:szCs w:val="22"/>
                <w:u w:val="none"/>
              </w:rPr>
            </w:pPr>
          </w:p>
        </w:tc>
        <w:tc>
          <w:tcPr>
            <w:tcW w:w="781" w:type="dxa"/>
            <w:tcBorders>
              <w:top w:val="single" w:color="FFFFFF" w:sz="4" w:space="0"/>
              <w:left w:val="single" w:color="FFFFFF" w:sz="4" w:space="0"/>
              <w:right w:val="single" w:color="FFFFFF" w:sz="4" w:space="0"/>
            </w:tcBorders>
            <w:shd w:val="clear" w:color="auto" w:fill="auto"/>
            <w:vAlign w:val="center"/>
          </w:tcPr>
          <w:p w14:paraId="015FA8D8">
            <w:pPr>
              <w:rPr>
                <w:rFonts w:hint="eastAsia" w:ascii="宋体" w:hAnsi="宋体" w:eastAsia="宋体" w:cs="宋体"/>
                <w:i w:val="0"/>
                <w:color w:val="000000"/>
                <w:sz w:val="22"/>
                <w:szCs w:val="22"/>
                <w:u w:val="none"/>
              </w:rPr>
            </w:pPr>
          </w:p>
        </w:tc>
        <w:tc>
          <w:tcPr>
            <w:tcW w:w="750" w:type="dxa"/>
            <w:tcBorders>
              <w:top w:val="single" w:color="FFFFFF" w:sz="4" w:space="0"/>
              <w:left w:val="single" w:color="FFFFFF" w:sz="4" w:space="0"/>
              <w:right w:val="single" w:color="FFFFFF" w:sz="4" w:space="0"/>
            </w:tcBorders>
            <w:shd w:val="clear" w:color="auto" w:fill="auto"/>
            <w:vAlign w:val="center"/>
          </w:tcPr>
          <w:p w14:paraId="597E3963">
            <w:pPr>
              <w:rPr>
                <w:rFonts w:hint="eastAsia" w:ascii="宋体" w:hAnsi="宋体" w:eastAsia="宋体" w:cs="宋体"/>
                <w:i w:val="0"/>
                <w:color w:val="000000"/>
                <w:sz w:val="22"/>
                <w:szCs w:val="22"/>
                <w:u w:val="none"/>
              </w:rPr>
            </w:pPr>
          </w:p>
        </w:tc>
        <w:tc>
          <w:tcPr>
            <w:tcW w:w="1874" w:type="dxa"/>
            <w:gridSpan w:val="3"/>
            <w:tcBorders>
              <w:top w:val="single" w:color="FFFFFF" w:sz="4" w:space="0"/>
              <w:left w:val="single" w:color="FFFFFF" w:sz="4" w:space="0"/>
              <w:right w:val="single" w:color="FFFFFF" w:sz="4" w:space="0"/>
            </w:tcBorders>
            <w:shd w:val="clear" w:color="auto" w:fill="auto"/>
            <w:vAlign w:val="center"/>
          </w:tcPr>
          <w:p w14:paraId="6A6F0832">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14:paraId="535D4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20" w:hRule="atLeast"/>
        </w:trPr>
        <w:tc>
          <w:tcPr>
            <w:tcW w:w="187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8079E55">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单位名称</w:t>
            </w:r>
          </w:p>
        </w:tc>
        <w:tc>
          <w:tcPr>
            <w:tcW w:w="1392"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7FF13BB">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项目名称</w:t>
            </w:r>
          </w:p>
        </w:tc>
        <w:tc>
          <w:tcPr>
            <w:tcW w:w="1192"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13BE53F">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预算数</w:t>
            </w:r>
          </w:p>
        </w:tc>
        <w:tc>
          <w:tcPr>
            <w:tcW w:w="185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F4A9446">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年度目标</w:t>
            </w:r>
          </w:p>
        </w:tc>
        <w:tc>
          <w:tcPr>
            <w:tcW w:w="77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B9BDD3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一级指标</w:t>
            </w:r>
          </w:p>
        </w:tc>
        <w:tc>
          <w:tcPr>
            <w:tcW w:w="78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532E952">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二级指标</w:t>
            </w:r>
          </w:p>
        </w:tc>
        <w:tc>
          <w:tcPr>
            <w:tcW w:w="92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AD2BE55">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三级指标</w:t>
            </w:r>
          </w:p>
        </w:tc>
        <w:tc>
          <w:tcPr>
            <w:tcW w:w="78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DCCCCD4">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指标性质</w:t>
            </w:r>
          </w:p>
        </w:tc>
        <w:tc>
          <w:tcPr>
            <w:tcW w:w="75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F822594">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指标值</w:t>
            </w:r>
          </w:p>
        </w:tc>
        <w:tc>
          <w:tcPr>
            <w:tcW w:w="77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577F948">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度量单位</w:t>
            </w:r>
          </w:p>
        </w:tc>
        <w:tc>
          <w:tcPr>
            <w:tcW w:w="43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F872758">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权重</w:t>
            </w:r>
          </w:p>
        </w:tc>
        <w:tc>
          <w:tcPr>
            <w:tcW w:w="668"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3432D16">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指标方向性</w:t>
            </w:r>
          </w:p>
        </w:tc>
      </w:tr>
      <w:tr w14:paraId="2E6C1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1F3C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122-红原县卫生健康局</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7F69">
            <w:pPr>
              <w:rPr>
                <w:rFonts w:hint="eastAsia" w:ascii="宋体" w:hAnsi="宋体" w:eastAsia="宋体" w:cs="宋体"/>
                <w:i w:val="0"/>
                <w:color w:val="000000"/>
                <w:sz w:val="18"/>
                <w:szCs w:val="18"/>
                <w:u w:val="none"/>
              </w:rPr>
            </w:pP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38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6.08</w:t>
            </w:r>
          </w:p>
        </w:tc>
        <w:tc>
          <w:tcPr>
            <w:tcW w:w="1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D2ACB">
            <w:pPr>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A2495">
            <w:pPr>
              <w:rPr>
                <w:rFonts w:hint="eastAsia" w:ascii="宋体" w:hAnsi="宋体" w:eastAsia="宋体" w:cs="宋体"/>
                <w:i w:val="0"/>
                <w:color w:val="000000"/>
                <w:sz w:val="18"/>
                <w:szCs w:val="18"/>
                <w:u w:val="none"/>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3025B">
            <w:pPr>
              <w:rPr>
                <w:rFonts w:hint="eastAsia" w:ascii="宋体" w:hAnsi="宋体" w:eastAsia="宋体" w:cs="宋体"/>
                <w:i w:val="0"/>
                <w:color w:val="000000"/>
                <w:sz w:val="18"/>
                <w:szCs w:val="18"/>
                <w:u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3DCC4">
            <w:pPr>
              <w:rPr>
                <w:rFonts w:hint="eastAsia" w:ascii="宋体" w:hAnsi="宋体" w:eastAsia="宋体" w:cs="宋体"/>
                <w:i w:val="0"/>
                <w:color w:val="000000"/>
                <w:sz w:val="18"/>
                <w:szCs w:val="18"/>
                <w:u w:val="none"/>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EDE84">
            <w:pPr>
              <w:rPr>
                <w:rFonts w:hint="eastAsia" w:ascii="宋体" w:hAnsi="宋体" w:eastAsia="宋体" w:cs="宋体"/>
                <w:i w:val="0"/>
                <w:color w:val="000000"/>
                <w:sz w:val="18"/>
                <w:szCs w:val="1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D64A6">
            <w:pPr>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A9581">
            <w:pPr>
              <w:rPr>
                <w:rFonts w:hint="eastAsia" w:ascii="宋体" w:hAnsi="宋体" w:eastAsia="宋体" w:cs="宋体"/>
                <w:i w:val="0"/>
                <w:color w:val="000000"/>
                <w:sz w:val="18"/>
                <w:szCs w:val="18"/>
                <w:u w:val="none"/>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C66A">
            <w:pPr>
              <w:rPr>
                <w:rFonts w:hint="eastAsia" w:ascii="宋体" w:hAnsi="宋体" w:eastAsia="宋体" w:cs="宋体"/>
                <w:i w:val="0"/>
                <w:color w:val="000000"/>
                <w:sz w:val="18"/>
                <w:szCs w:val="18"/>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88DBD">
            <w:pPr>
              <w:rPr>
                <w:rFonts w:hint="eastAsia" w:ascii="宋体" w:hAnsi="宋体" w:eastAsia="宋体" w:cs="宋体"/>
                <w:i w:val="0"/>
                <w:color w:val="000000"/>
                <w:sz w:val="18"/>
                <w:szCs w:val="18"/>
                <w:u w:val="none"/>
              </w:rPr>
            </w:pPr>
          </w:p>
        </w:tc>
      </w:tr>
      <w:tr w14:paraId="5B4FD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16" w:hRule="atLeast"/>
        </w:trPr>
        <w:tc>
          <w:tcPr>
            <w:tcW w:w="18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3D566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122014-红原县邛溪镇卫生院</w:t>
            </w:r>
          </w:p>
        </w:tc>
        <w:tc>
          <w:tcPr>
            <w:tcW w:w="1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F6F3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县级配套基本公共卫生</w:t>
            </w:r>
          </w:p>
        </w:tc>
        <w:tc>
          <w:tcPr>
            <w:tcW w:w="11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2FB7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2.93</w:t>
            </w:r>
          </w:p>
        </w:tc>
        <w:tc>
          <w:tcPr>
            <w:tcW w:w="18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3CCD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乡镇卫生院开展基本公共卫生服务，包括建立居民健康档案，预防接种、传染病防治、高血压糖尿病等慢性病管理重型精神病管理、儿童保健、孕产妇保健、老年人保健；协助处置突发公共卫生事件。开展基本公共卫生服产生的办公费，邮电费等支出。</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884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FC2E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68E5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高血压患者管理人数</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B03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CAA7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243</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6319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4CF4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D7F2B">
            <w:pPr>
              <w:jc w:val="left"/>
              <w:rPr>
                <w:rFonts w:hint="eastAsia" w:ascii="宋体" w:hAnsi="宋体" w:eastAsia="宋体" w:cs="宋体"/>
                <w:i w:val="0"/>
                <w:color w:val="000000"/>
                <w:sz w:val="18"/>
                <w:szCs w:val="18"/>
                <w:u w:val="none"/>
              </w:rPr>
            </w:pPr>
          </w:p>
        </w:tc>
      </w:tr>
      <w:tr w14:paraId="4A653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73"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5BA65">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DC40C">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25BC0">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E4B8E">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0F7B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6916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377C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基层群众满意度</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4A85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CD39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906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9A0D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6FDAA">
            <w:pPr>
              <w:jc w:val="left"/>
              <w:rPr>
                <w:rFonts w:hint="eastAsia" w:ascii="宋体" w:hAnsi="宋体" w:eastAsia="宋体" w:cs="宋体"/>
                <w:i w:val="0"/>
                <w:color w:val="000000"/>
                <w:sz w:val="18"/>
                <w:szCs w:val="18"/>
                <w:u w:val="none"/>
              </w:rPr>
            </w:pPr>
          </w:p>
        </w:tc>
      </w:tr>
      <w:tr w14:paraId="170EF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FA358">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3C03B">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67B2E">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C9566">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358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7B7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ECD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提高公共卫生服务均等化水平</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56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84B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0BCDF">
            <w:pPr>
              <w:jc w:val="left"/>
              <w:rPr>
                <w:rFonts w:hint="eastAsia" w:ascii="宋体" w:hAnsi="宋体" w:eastAsia="宋体" w:cs="宋体"/>
                <w:i w:val="0"/>
                <w:color w:val="000000"/>
                <w:sz w:val="18"/>
                <w:szCs w:val="18"/>
                <w:u w:val="none"/>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4DC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9A676">
            <w:pPr>
              <w:jc w:val="left"/>
              <w:rPr>
                <w:rFonts w:hint="eastAsia" w:ascii="宋体" w:hAnsi="宋体" w:eastAsia="宋体" w:cs="宋体"/>
                <w:i w:val="0"/>
                <w:color w:val="000000"/>
                <w:sz w:val="18"/>
                <w:szCs w:val="18"/>
                <w:u w:val="none"/>
              </w:rPr>
            </w:pPr>
          </w:p>
        </w:tc>
      </w:tr>
      <w:tr w14:paraId="00429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AA4C5">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27BAC">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7D1EE">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83BDB">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06DE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DF7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F54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65岁及以上居民健康管理人数</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6904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CC32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273</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9E00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EEF5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DAE8">
            <w:pPr>
              <w:jc w:val="left"/>
              <w:rPr>
                <w:rFonts w:hint="eastAsia" w:ascii="宋体" w:hAnsi="宋体" w:eastAsia="宋体" w:cs="宋体"/>
                <w:i w:val="0"/>
                <w:color w:val="000000"/>
                <w:sz w:val="18"/>
                <w:szCs w:val="18"/>
                <w:u w:val="none"/>
              </w:rPr>
            </w:pPr>
          </w:p>
        </w:tc>
      </w:tr>
      <w:tr w14:paraId="78974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03913">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439B8">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442B4">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2F1F9">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29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2C1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2337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居民电子健康档案管理人数</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96A5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B44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4228</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4AE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0838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538E">
            <w:pPr>
              <w:jc w:val="left"/>
              <w:rPr>
                <w:rFonts w:hint="eastAsia" w:ascii="宋体" w:hAnsi="宋体" w:eastAsia="宋体" w:cs="宋体"/>
                <w:i w:val="0"/>
                <w:color w:val="000000"/>
                <w:sz w:val="18"/>
                <w:szCs w:val="18"/>
                <w:u w:val="none"/>
              </w:rPr>
            </w:pPr>
          </w:p>
        </w:tc>
      </w:tr>
      <w:tr w14:paraId="2841F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90C6C">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02FEA">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AF921">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CE61C">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4A9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3828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864B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严重精神障碍患者随访人次</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41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67CB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426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人次</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BFB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3CB31">
            <w:pPr>
              <w:jc w:val="left"/>
              <w:rPr>
                <w:rFonts w:hint="eastAsia" w:ascii="宋体" w:hAnsi="宋体" w:eastAsia="宋体" w:cs="宋体"/>
                <w:i w:val="0"/>
                <w:color w:val="000000"/>
                <w:sz w:val="18"/>
                <w:szCs w:val="18"/>
                <w:u w:val="none"/>
              </w:rPr>
            </w:pPr>
          </w:p>
        </w:tc>
      </w:tr>
      <w:tr w14:paraId="7C3DA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4B40A">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5AA72">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C9A7B">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68EF8">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94C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6CD7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经济成本指标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C8B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基本公共卫生服务县级配套项目成本</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09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E5E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2.992374</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5A60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A0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AB855">
            <w:pPr>
              <w:jc w:val="left"/>
              <w:rPr>
                <w:rFonts w:hint="eastAsia" w:ascii="宋体" w:hAnsi="宋体" w:eastAsia="宋体" w:cs="宋体"/>
                <w:i w:val="0"/>
                <w:color w:val="000000"/>
                <w:sz w:val="18"/>
                <w:szCs w:val="18"/>
                <w:u w:val="none"/>
              </w:rPr>
            </w:pPr>
          </w:p>
        </w:tc>
      </w:tr>
      <w:tr w14:paraId="4A799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02CF3">
            <w:pPr>
              <w:jc w:val="left"/>
              <w:rPr>
                <w:rFonts w:hint="eastAsia" w:ascii="宋体" w:hAnsi="宋体" w:eastAsia="宋体" w:cs="宋体"/>
                <w:i w:val="0"/>
                <w:color w:val="000000"/>
                <w:sz w:val="18"/>
                <w:szCs w:val="18"/>
                <w:u w:val="none"/>
              </w:rPr>
            </w:pPr>
          </w:p>
        </w:tc>
        <w:tc>
          <w:tcPr>
            <w:tcW w:w="1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B8515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w:t>
            </w:r>
          </w:p>
        </w:tc>
        <w:tc>
          <w:tcPr>
            <w:tcW w:w="11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8375E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3.15</w:t>
            </w:r>
          </w:p>
        </w:tc>
        <w:tc>
          <w:tcPr>
            <w:tcW w:w="18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78055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县级配套基本药物用于卫生院日常开支，包含办公费、邮电费、电费等</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E4C0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6D11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9A39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基本药物补助县级配套资金支付及时率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F567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17F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DD83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B50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FB82D">
            <w:pPr>
              <w:jc w:val="left"/>
              <w:rPr>
                <w:rFonts w:hint="eastAsia" w:ascii="宋体" w:hAnsi="宋体" w:eastAsia="宋体" w:cs="宋体"/>
                <w:i w:val="0"/>
                <w:color w:val="000000"/>
                <w:sz w:val="18"/>
                <w:szCs w:val="18"/>
                <w:u w:val="none"/>
              </w:rPr>
            </w:pPr>
          </w:p>
        </w:tc>
      </w:tr>
      <w:tr w14:paraId="1774A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8B576">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55C8A">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3DE88">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BB277">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8632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6857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FFC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基层医疗机构药品零差率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7FA2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1DF7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等于100</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213CB">
            <w:pPr>
              <w:jc w:val="left"/>
              <w:rPr>
                <w:rFonts w:hint="eastAsia" w:ascii="宋体" w:hAnsi="宋体" w:eastAsia="宋体" w:cs="宋体"/>
                <w:i w:val="0"/>
                <w:color w:val="000000"/>
                <w:sz w:val="18"/>
                <w:szCs w:val="18"/>
                <w:u w:val="none"/>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38F7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DB4C">
            <w:pPr>
              <w:jc w:val="left"/>
              <w:rPr>
                <w:rFonts w:hint="eastAsia" w:ascii="宋体" w:hAnsi="宋体" w:eastAsia="宋体" w:cs="宋体"/>
                <w:i w:val="0"/>
                <w:color w:val="000000"/>
                <w:sz w:val="18"/>
                <w:szCs w:val="18"/>
                <w:u w:val="none"/>
              </w:rPr>
            </w:pPr>
          </w:p>
        </w:tc>
      </w:tr>
      <w:tr w14:paraId="3DF61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8"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08C0A">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7D553">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7D260">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D2E44">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D5A2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D184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22E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实行基本药物补助县级配套的基层医疗机构个数</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9278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48BC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AD1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AB5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0C60">
            <w:pPr>
              <w:jc w:val="left"/>
              <w:rPr>
                <w:rFonts w:hint="eastAsia" w:ascii="宋体" w:hAnsi="宋体" w:eastAsia="宋体" w:cs="宋体"/>
                <w:i w:val="0"/>
                <w:color w:val="000000"/>
                <w:sz w:val="18"/>
                <w:szCs w:val="18"/>
                <w:u w:val="none"/>
              </w:rPr>
            </w:pPr>
          </w:p>
        </w:tc>
      </w:tr>
      <w:tr w14:paraId="594B5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00"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EE475">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D79B6">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29CC5">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26AD8">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8E00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FBF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D3B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基本药物补助县级配套资金支付准确率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5351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2AD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651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044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D927F">
            <w:pPr>
              <w:jc w:val="left"/>
              <w:rPr>
                <w:rFonts w:hint="eastAsia" w:ascii="宋体" w:hAnsi="宋体" w:eastAsia="宋体" w:cs="宋体"/>
                <w:i w:val="0"/>
                <w:color w:val="000000"/>
                <w:sz w:val="18"/>
                <w:szCs w:val="18"/>
                <w:u w:val="none"/>
              </w:rPr>
            </w:pPr>
          </w:p>
        </w:tc>
      </w:tr>
      <w:tr w14:paraId="48C43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E95D9">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36152">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6E3B2">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E6E9A">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5F53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FF3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8DF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基层医疗机构基本药物网购置次数</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10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0DF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18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99FD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4C272">
            <w:pPr>
              <w:jc w:val="left"/>
              <w:rPr>
                <w:rFonts w:hint="eastAsia" w:ascii="宋体" w:hAnsi="宋体" w:eastAsia="宋体" w:cs="宋体"/>
                <w:i w:val="0"/>
                <w:color w:val="000000"/>
                <w:sz w:val="18"/>
                <w:szCs w:val="18"/>
                <w:u w:val="none"/>
              </w:rPr>
            </w:pPr>
          </w:p>
        </w:tc>
      </w:tr>
      <w:tr w14:paraId="769AD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CB995">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C01DA">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01BC0">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64B22">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8539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5BA9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195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基层医疗机构工作人员满意度</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672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FA3D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56F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9B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B77E">
            <w:pPr>
              <w:jc w:val="left"/>
              <w:rPr>
                <w:rFonts w:hint="eastAsia" w:ascii="宋体" w:hAnsi="宋体" w:eastAsia="宋体" w:cs="宋体"/>
                <w:i w:val="0"/>
                <w:color w:val="000000"/>
                <w:sz w:val="18"/>
                <w:szCs w:val="18"/>
                <w:u w:val="none"/>
              </w:rPr>
            </w:pPr>
          </w:p>
        </w:tc>
      </w:tr>
      <w:tr w14:paraId="6CBED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F7D9E">
            <w:pPr>
              <w:jc w:val="left"/>
              <w:rPr>
                <w:rFonts w:hint="eastAsia" w:ascii="宋体" w:hAnsi="宋体" w:eastAsia="宋体" w:cs="宋体"/>
                <w:i w:val="0"/>
                <w:color w:val="000000"/>
                <w:sz w:val="18"/>
                <w:szCs w:val="18"/>
                <w:u w:val="none"/>
              </w:rPr>
            </w:pPr>
          </w:p>
        </w:tc>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64A95">
            <w:pPr>
              <w:jc w:val="left"/>
              <w:rPr>
                <w:rFonts w:hint="eastAsia" w:ascii="宋体" w:hAnsi="宋体" w:eastAsia="宋体" w:cs="宋体"/>
                <w:i w:val="0"/>
                <w:color w:val="000000"/>
                <w:sz w:val="18"/>
                <w:szCs w:val="18"/>
                <w:u w:val="none"/>
              </w:rPr>
            </w:pPr>
          </w:p>
        </w:tc>
        <w:tc>
          <w:tcPr>
            <w:tcW w:w="11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6107C">
            <w:pPr>
              <w:jc w:val="right"/>
              <w:rPr>
                <w:rFonts w:hint="eastAsia" w:ascii="宋体" w:hAnsi="宋体" w:eastAsia="宋体" w:cs="宋体"/>
                <w:i w:val="0"/>
                <w:color w:val="000000"/>
                <w:sz w:val="18"/>
                <w:szCs w:val="18"/>
                <w:u w:val="none"/>
              </w:rPr>
            </w:pPr>
          </w:p>
        </w:tc>
        <w:tc>
          <w:tcPr>
            <w:tcW w:w="1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0FB03">
            <w:pPr>
              <w:jc w:val="left"/>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66F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034D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641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确保药品采购公平、公正、公开</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CD5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B3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优良中低差</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C057">
            <w:pPr>
              <w:jc w:val="left"/>
              <w:rPr>
                <w:rFonts w:hint="eastAsia" w:ascii="宋体" w:hAnsi="宋体" w:eastAsia="宋体" w:cs="宋体"/>
                <w:i w:val="0"/>
                <w:color w:val="000000"/>
                <w:sz w:val="18"/>
                <w:szCs w:val="18"/>
                <w:u w:val="none"/>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86C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26F4">
            <w:pPr>
              <w:jc w:val="left"/>
              <w:rPr>
                <w:rFonts w:hint="eastAsia" w:ascii="宋体" w:hAnsi="宋体" w:eastAsia="宋体" w:cs="宋体"/>
                <w:i w:val="0"/>
                <w:color w:val="000000"/>
                <w:sz w:val="18"/>
                <w:szCs w:val="18"/>
                <w:u w:val="none"/>
              </w:rPr>
            </w:pPr>
          </w:p>
        </w:tc>
      </w:tr>
    </w:tbl>
    <w:p w14:paraId="5911D38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69FF79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ED54AB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E6D8EBB">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96613"/>
      <w:bookmarkStart w:id="44"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14:paraId="4EBA3E8E">
      <w:pPr>
        <w:spacing w:line="600" w:lineRule="exact"/>
        <w:jc w:val="left"/>
        <w:rPr>
          <w:rFonts w:ascii="Times New Roman" w:hAnsi="Times New Roman"/>
          <w:b/>
          <w:color w:val="auto"/>
          <w:sz w:val="44"/>
          <w:szCs w:val="44"/>
          <w:highlight w:val="none"/>
        </w:rPr>
      </w:pPr>
    </w:p>
    <w:p w14:paraId="0BE3163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1D5911B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w:t>
      </w:r>
      <w:r>
        <w:rPr>
          <w:rFonts w:hint="eastAsia" w:eastAsia="仿宋_GB2312" w:cs="仿宋_GB2312"/>
          <w:color w:val="auto"/>
          <w:kern w:val="2"/>
          <w:sz w:val="32"/>
          <w:szCs w:val="32"/>
          <w:highlight w:val="none"/>
          <w:lang w:val="en-US" w:eastAsia="zh-CN" w:bidi="ar-SA"/>
        </w:rPr>
        <w:t>医疗门诊治疗活动</w:t>
      </w:r>
      <w:r>
        <w:rPr>
          <w:rFonts w:hint="eastAsia" w:ascii="Times New Roman" w:hAnsi="Times New Roman" w:eastAsia="仿宋_GB2312" w:cs="仿宋_GB2312"/>
          <w:color w:val="auto"/>
          <w:kern w:val="2"/>
          <w:sz w:val="32"/>
          <w:szCs w:val="32"/>
          <w:highlight w:val="none"/>
          <w:lang w:val="en-US" w:eastAsia="zh-CN" w:bidi="ar-SA"/>
        </w:rPr>
        <w:t>等。</w:t>
      </w:r>
    </w:p>
    <w:p w14:paraId="6B87FC5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3.其他收入：指单位取得的除上述收入以外的各项收入。主要是</w:t>
      </w:r>
      <w:r>
        <w:rPr>
          <w:rFonts w:hint="eastAsia" w:eastAsia="仿宋_GB2312" w:cs="仿宋_GB2312"/>
          <w:color w:val="auto"/>
          <w:kern w:val="2"/>
          <w:sz w:val="32"/>
          <w:szCs w:val="32"/>
          <w:highlight w:val="none"/>
          <w:lang w:val="en-US" w:eastAsia="zh-CN" w:bidi="ar-SA"/>
        </w:rPr>
        <w:t>包虫病筛查收入</w:t>
      </w:r>
      <w:r>
        <w:rPr>
          <w:rFonts w:hint="eastAsia" w:ascii="Times New Roman" w:hAnsi="Times New Roman" w:eastAsia="仿宋_GB2312" w:cs="仿宋_GB2312"/>
          <w:color w:val="auto"/>
          <w:kern w:val="2"/>
          <w:sz w:val="32"/>
          <w:szCs w:val="32"/>
          <w:highlight w:val="none"/>
          <w:lang w:val="en-US" w:eastAsia="zh-CN" w:bidi="ar-SA"/>
        </w:rPr>
        <w:t xml:space="preserve">等。 </w:t>
      </w:r>
    </w:p>
    <w:p w14:paraId="1C2E7AEB">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14:paraId="4B6DB25E">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.卫生健康：指</w:t>
      </w:r>
      <w:r>
        <w:rPr>
          <w:rFonts w:hint="eastAsia" w:eastAsia="仿宋_GB2312" w:cs="仿宋_GB2312"/>
          <w:color w:val="auto"/>
          <w:kern w:val="2"/>
          <w:sz w:val="32"/>
          <w:szCs w:val="32"/>
          <w:highlight w:val="none"/>
          <w:lang w:val="en-US" w:eastAsia="zh-CN" w:bidi="ar-SA"/>
        </w:rPr>
        <w:t>基层医疗卫生健康支出。</w:t>
      </w:r>
    </w:p>
    <w:p w14:paraId="0DB53A64">
      <w:pPr>
        <w:spacing w:line="600" w:lineRule="exact"/>
        <w:ind w:firstLine="640"/>
        <w:rPr>
          <w:rFonts w:hint="eastAsia" w:ascii="仿宋" w:hAnsi="仿宋" w:eastAsia="仿宋" w:cs="仿宋"/>
          <w:color w:val="000000"/>
          <w:sz w:val="32"/>
          <w:szCs w:val="32"/>
          <w:lang w:eastAsia="zh-CN"/>
        </w:rPr>
      </w:pP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14:paraId="5B65965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14:paraId="4E3300E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14:paraId="5EFAAD0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经费：指部门用财政拨款安排的因公出国（境）费、公务用车购置及运行费和公务接待费。其中，公务用车运行费支出、燃料费、维修费、过路过桥费、保险费等支出。</w:t>
      </w:r>
      <w:bookmarkStart w:id="45" w:name="_Toc15396614"/>
      <w:bookmarkStart w:id="46" w:name="_Toc15377226"/>
    </w:p>
    <w:p w14:paraId="2FE56AE5">
      <w:pPr>
        <w:spacing w:line="600" w:lineRule="exact"/>
        <w:rPr>
          <w:rFonts w:hint="eastAsia" w:ascii="Times New Roman" w:hAnsi="Times New Roman" w:eastAsia="仿宋_GB2312" w:cs="仿宋_GB2312"/>
          <w:color w:val="auto"/>
          <w:kern w:val="2"/>
          <w:sz w:val="32"/>
          <w:szCs w:val="32"/>
          <w:highlight w:val="none"/>
          <w:lang w:val="en-US" w:eastAsia="zh-CN" w:bidi="ar-SA"/>
        </w:rPr>
      </w:pPr>
    </w:p>
    <w:p w14:paraId="1418CF77">
      <w:pPr>
        <w:spacing w:line="600" w:lineRule="exact"/>
        <w:rPr>
          <w:rFonts w:hint="eastAsia" w:ascii="Times New Roman" w:hAnsi="Times New Roman" w:eastAsia="仿宋_GB2312" w:cs="仿宋_GB2312"/>
          <w:color w:val="auto"/>
          <w:kern w:val="2"/>
          <w:sz w:val="32"/>
          <w:szCs w:val="32"/>
          <w:highlight w:val="none"/>
          <w:lang w:val="en-US" w:eastAsia="zh-CN" w:bidi="ar-SA"/>
        </w:rPr>
      </w:pPr>
    </w:p>
    <w:p w14:paraId="4F091316">
      <w:pPr>
        <w:spacing w:line="600" w:lineRule="exact"/>
        <w:ind w:firstLine="2640" w:firstLineChars="600"/>
        <w:rPr>
          <w:rStyle w:val="30"/>
          <w:rFonts w:hint="eastAsia" w:ascii="Times New Roman" w:hAnsi="Times New Roman" w:eastAsia="黑体"/>
          <w:b w:val="0"/>
          <w:color w:val="auto"/>
          <w:highlight w:val="none"/>
          <w:lang w:eastAsia="zh-CN"/>
        </w:rPr>
      </w:pPr>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5"/>
    </w:p>
    <w:p w14:paraId="407FD717">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00F138A8">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3F9E7BF7">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5825F9C9">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仿宋_GB2312" w:cs="Times New Roman"/>
          <w:sz w:val="32"/>
          <w:szCs w:val="32"/>
          <w:highlight w:val="none"/>
          <w:shd w:val="clear" w:color="auto" w:fill="FFFFFF"/>
        </w:rPr>
      </w:pPr>
      <w:r>
        <w:rPr>
          <w:rFonts w:hint="eastAsia" w:ascii="仿宋" w:hAnsi="仿宋" w:eastAsia="仿宋" w:cs="仿宋"/>
          <w:sz w:val="32"/>
          <w:szCs w:val="32"/>
          <w:shd w:val="clear" w:color="auto" w:fill="FFFFFF"/>
          <w:lang w:val="en-US" w:eastAsia="zh-CN"/>
        </w:rPr>
        <w:t>红原县</w:t>
      </w:r>
      <w:r>
        <w:rPr>
          <w:rFonts w:hint="eastAsia" w:ascii="仿宋_GB2312" w:hAnsi="仿宋_GB2312" w:eastAsia="仿宋_GB2312" w:cs="仿宋_GB2312"/>
          <w:sz w:val="32"/>
          <w:szCs w:val="32"/>
          <w:lang w:val="en-US" w:eastAsia="zh-CN"/>
        </w:rPr>
        <w:t>邛溪镇</w:t>
      </w:r>
      <w:r>
        <w:rPr>
          <w:rFonts w:hint="eastAsia" w:ascii="仿宋" w:hAnsi="仿宋" w:eastAsia="仿宋" w:cs="仿宋"/>
          <w:sz w:val="32"/>
          <w:szCs w:val="32"/>
          <w:shd w:val="clear" w:color="auto" w:fill="FFFFFF"/>
          <w:lang w:val="en-US" w:eastAsia="zh-CN"/>
        </w:rPr>
        <w:t>卫生院</w:t>
      </w:r>
      <w:r>
        <w:rPr>
          <w:rFonts w:hint="eastAsia" w:ascii="仿宋" w:hAnsi="仿宋" w:eastAsia="仿宋" w:cs="仿宋"/>
          <w:sz w:val="32"/>
          <w:szCs w:val="32"/>
          <w:shd w:val="clear" w:color="auto" w:fill="FFFFFF"/>
        </w:rPr>
        <w:t>202</w:t>
      </w:r>
      <w:r>
        <w:rPr>
          <w:rFonts w:hint="eastAsia" w:ascii="仿宋" w:hAnsi="仿宋" w:eastAsia="仿宋" w:cs="仿宋"/>
          <w:sz w:val="32"/>
          <w:szCs w:val="32"/>
          <w:shd w:val="clear" w:color="auto" w:fill="FFFFFF"/>
          <w:lang w:val="en-US" w:eastAsia="zh-CN"/>
        </w:rPr>
        <w:t>5</w:t>
      </w:r>
      <w:r>
        <w:rPr>
          <w:rFonts w:hint="eastAsia" w:ascii="仿宋" w:hAnsi="仿宋" w:eastAsia="仿宋" w:cs="仿宋"/>
          <w:sz w:val="32"/>
          <w:szCs w:val="32"/>
          <w:shd w:val="clear" w:color="auto" w:fill="FFFFFF"/>
        </w:rPr>
        <w:t>年</w:t>
      </w:r>
      <w:r>
        <w:rPr>
          <w:rFonts w:hint="eastAsia" w:ascii="仿宋" w:hAnsi="仿宋" w:eastAsia="仿宋" w:cs="仿宋"/>
          <w:sz w:val="32"/>
          <w:szCs w:val="32"/>
          <w:lang w:eastAsia="zh-CN"/>
        </w:rPr>
        <w:t>单位</w:t>
      </w:r>
      <w:r>
        <w:rPr>
          <w:rFonts w:hint="eastAsia" w:ascii="仿宋" w:hAnsi="仿宋" w:eastAsia="仿宋" w:cs="仿宋"/>
          <w:sz w:val="32"/>
          <w:szCs w:val="32"/>
          <w:shd w:val="clear" w:color="auto" w:fill="FFFFFF"/>
        </w:rPr>
        <w:t>整体支出绩效评价报告</w:t>
      </w:r>
    </w:p>
    <w:p w14:paraId="51D557D2">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14:paraId="7DB89249">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2E5C79DA">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楷体_GB2312"/>
          <w:b/>
          <w:color w:val="auto"/>
          <w:sz w:val="32"/>
          <w:szCs w:val="32"/>
          <w:highlight w:val="none"/>
          <w:lang w:val="zh-CN"/>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p>
    <w:p w14:paraId="49FC77A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960" w:firstLineChars="300"/>
        <w:contextualSpacing/>
        <w:jc w:val="left"/>
        <w:textAlignment w:val="auto"/>
        <w:outlineLvl w:val="9"/>
        <w:rPr>
          <w:rFonts w:hint="default" w:ascii="Times New Roman" w:hAnsi="Times New Roman" w:cs="Times New Roman"/>
          <w:sz w:val="32"/>
          <w:szCs w:val="32"/>
        </w:rPr>
      </w:pPr>
      <w:r>
        <w:rPr>
          <w:rFonts w:hint="eastAsia" w:ascii="宋体" w:hAnsi="宋体" w:eastAsia="宋体" w:cs="宋体"/>
          <w:color w:val="000000"/>
          <w:kern w:val="0"/>
          <w:sz w:val="32"/>
          <w:szCs w:val="32"/>
          <w:lang w:val="zh-CN" w:eastAsia="zh-CN" w:bidi="ar"/>
        </w:rPr>
        <w:t>我单位为独立核算全额拨款事业单位，下设</w:t>
      </w:r>
      <w:r>
        <w:rPr>
          <w:rFonts w:hint="eastAsia" w:ascii="宋体" w:hAnsi="宋体" w:eastAsia="宋体" w:cs="宋体"/>
          <w:color w:val="000000"/>
          <w:kern w:val="0"/>
          <w:sz w:val="32"/>
          <w:szCs w:val="32"/>
          <w:lang w:val="en-US" w:eastAsia="zh-CN" w:bidi="ar"/>
        </w:rPr>
        <w:t>1机构。</w:t>
      </w:r>
    </w:p>
    <w:p w14:paraId="288D1FE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420" w:firstLineChars="200"/>
        <w:contextualSpacing/>
        <w:jc w:val="left"/>
        <w:textAlignment w:val="auto"/>
        <w:outlineLvl w:val="9"/>
        <w:rPr>
          <w:rFonts w:hint="default" w:ascii="Times New Roman" w:hAnsi="Times New Roman" w:cs="Times New Roman"/>
          <w:szCs w:val="32"/>
        </w:rPr>
      </w:pPr>
    </w:p>
    <w:p w14:paraId="2D107D8E">
      <w:pPr>
        <w:keepNext w:val="0"/>
        <w:keepLines w:val="0"/>
        <w:pageBreakBefore w:val="0"/>
        <w:widowControl/>
        <w:numPr>
          <w:ilvl w:val="0"/>
          <w:numId w:val="3"/>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楷体_GB2312" w:cs="楷体_GB2312"/>
          <w:b/>
          <w:color w:val="auto"/>
          <w:sz w:val="32"/>
          <w:szCs w:val="32"/>
          <w:highlight w:val="none"/>
          <w:lang w:val="zh-CN"/>
        </w:rPr>
      </w:pPr>
      <w:r>
        <w:rPr>
          <w:rFonts w:hint="default" w:ascii="Times New Roman" w:hAnsi="Times New Roman" w:eastAsia="楷体_GB2312" w:cs="楷体_GB2312"/>
          <w:b/>
          <w:color w:val="auto"/>
          <w:sz w:val="32"/>
          <w:szCs w:val="32"/>
          <w:highlight w:val="none"/>
          <w:lang w:val="zh-CN"/>
        </w:rPr>
        <w:t>机构职能</w:t>
      </w:r>
      <w:r>
        <w:rPr>
          <w:rFonts w:hint="eastAsia" w:ascii="Times New Roman" w:hAnsi="Times New Roman" w:eastAsia="楷体_GB2312" w:cs="楷体_GB2312"/>
          <w:b/>
          <w:color w:val="auto"/>
          <w:sz w:val="32"/>
          <w:szCs w:val="32"/>
          <w:highlight w:val="none"/>
          <w:lang w:val="zh-CN"/>
        </w:rPr>
        <w:t>。</w:t>
      </w:r>
    </w:p>
    <w:p w14:paraId="36E57A56">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960" w:firstLineChars="3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eastAsia" w:ascii="宋体" w:hAnsi="宋体" w:eastAsia="宋体" w:cs="宋体"/>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65FC0EEE">
      <w:pPr>
        <w:keepNext w:val="0"/>
        <w:keepLines w:val="0"/>
        <w:pageBreakBefore w:val="0"/>
        <w:widowControl/>
        <w:kinsoku/>
        <w:wordWrap/>
        <w:overflowPunct/>
        <w:topLinePunct w:val="0"/>
        <w:autoSpaceDE/>
        <w:autoSpaceDN/>
        <w:bidi w:val="0"/>
        <w:adjustRightInd w:val="0"/>
        <w:snapToGrid w:val="0"/>
        <w:spacing w:line="578" w:lineRule="exact"/>
        <w:ind w:firstLine="422"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p>
    <w:p w14:paraId="59869BAA">
      <w:pPr>
        <w:keepNext w:val="0"/>
        <w:keepLines w:val="0"/>
        <w:widowControl/>
        <w:numPr>
          <w:ilvl w:val="0"/>
          <w:numId w:val="3"/>
        </w:numPr>
        <w:suppressLineNumbers w:val="0"/>
        <w:adjustRightInd w:val="0"/>
        <w:snapToGrid w:val="0"/>
        <w:spacing w:before="0" w:beforeAutospacing="0" w:after="0" w:afterAutospacing="0" w:line="480" w:lineRule="exact"/>
        <w:ind w:left="0" w:leftChars="0" w:right="0" w:rightChars="0" w:firstLine="643" w:firstLineChars="200"/>
        <w:jc w:val="left"/>
        <w:rPr>
          <w:rFonts w:hint="eastAsia"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p>
    <w:p w14:paraId="1BCC927B">
      <w:pPr>
        <w:keepNext w:val="0"/>
        <w:keepLines w:val="0"/>
        <w:widowControl/>
        <w:numPr>
          <w:ilvl w:val="0"/>
          <w:numId w:val="0"/>
        </w:numPr>
        <w:suppressLineNumbers w:val="0"/>
        <w:adjustRightInd w:val="0"/>
        <w:snapToGrid w:val="0"/>
        <w:spacing w:before="0" w:beforeAutospacing="0" w:after="0" w:afterAutospacing="0" w:line="480" w:lineRule="exact"/>
        <w:ind w:leftChars="200" w:right="0" w:rightChars="0" w:firstLine="640" w:firstLineChars="200"/>
        <w:jc w:val="left"/>
        <w:rPr>
          <w:rFonts w:hint="default" w:ascii="Times New Roman" w:hAnsi="Times New Roman" w:cs="Times New Roman"/>
          <w:szCs w:val="32"/>
        </w:rPr>
      </w:pP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共有编制10个，其中事业编10个，在职10人,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10</w:t>
      </w:r>
      <w:r>
        <w:rPr>
          <w:rFonts w:hint="eastAsia" w:ascii="仿宋" w:hAnsi="仿宋" w:eastAsia="仿宋" w:cs="仿宋"/>
          <w:bCs/>
          <w:sz w:val="32"/>
          <w:szCs w:val="32"/>
        </w:rPr>
        <w:t>人。</w:t>
      </w:r>
    </w:p>
    <w:p w14:paraId="10F7F984">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775BC101">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邛溪镇</w:t>
      </w:r>
      <w:r>
        <w:rPr>
          <w:rFonts w:hint="eastAsia" w:eastAsia="楷体_GB2312" w:cs="Times New Roman"/>
          <w:b/>
          <w:bCs/>
          <w:color w:val="000000"/>
          <w:kern w:val="0"/>
          <w:sz w:val="32"/>
          <w:szCs w:val="32"/>
          <w:highlight w:val="none"/>
          <w:shd w:val="clear" w:color="auto" w:fill="FFFFFF"/>
          <w:lang w:val="zh-CN"/>
        </w:rPr>
        <w:t>卫生院</w:t>
      </w:r>
      <w:r>
        <w:rPr>
          <w:rFonts w:hint="eastAsia" w:ascii="Times New Roman" w:hAnsi="Times New Roman" w:eastAsia="仿宋_GB2312" w:cs="Times New Roman"/>
          <w:sz w:val="32"/>
          <w:szCs w:val="32"/>
          <w:lang w:val="en-US" w:eastAsia="zh-CN"/>
        </w:rPr>
        <w:t>2025年年初预算收入</w:t>
      </w:r>
      <w:r>
        <w:rPr>
          <w:rFonts w:hint="eastAsia" w:eastAsia="仿宋_GB2312" w:cs="Times New Roman"/>
          <w:sz w:val="32"/>
          <w:szCs w:val="32"/>
          <w:lang w:val="en-US" w:eastAsia="zh-CN"/>
        </w:rPr>
        <w:t>为253.89万元</w:t>
      </w:r>
      <w:r>
        <w:rPr>
          <w:rFonts w:hint="eastAsia" w:ascii="Times New Roman" w:hAnsi="Times New Roman" w:eastAsia="仿宋_GB2312" w:cs="Times New Roman"/>
          <w:sz w:val="32"/>
          <w:szCs w:val="32"/>
          <w:lang w:val="en-US" w:eastAsia="zh-CN"/>
        </w:rPr>
        <w:t>、决算报表收入</w:t>
      </w:r>
      <w:r>
        <w:rPr>
          <w:rFonts w:hint="eastAsia" w:eastAsia="仿宋_GB2312" w:cs="Times New Roman"/>
          <w:sz w:val="32"/>
          <w:szCs w:val="32"/>
          <w:lang w:val="en-US" w:eastAsia="zh-CN"/>
        </w:rPr>
        <w:t>为279.34万元</w:t>
      </w:r>
      <w:r>
        <w:rPr>
          <w:rFonts w:hint="eastAsia" w:ascii="Times New Roman" w:hAnsi="Times New Roman" w:eastAsia="仿宋_GB2312" w:cs="Times New Roman"/>
          <w:sz w:val="32"/>
          <w:szCs w:val="32"/>
          <w:lang w:val="en-US" w:eastAsia="zh-CN"/>
        </w:rPr>
        <w:t>。</w:t>
      </w:r>
    </w:p>
    <w:p w14:paraId="74C42D54">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溪镇</w:t>
      </w:r>
      <w:r>
        <w:rPr>
          <w:rFonts w:hint="eastAsia" w:eastAsia="楷体_GB2312" w:cs="Times New Roman"/>
          <w:b/>
          <w:bCs/>
          <w:color w:val="000000"/>
          <w:kern w:val="0"/>
          <w:sz w:val="32"/>
          <w:szCs w:val="32"/>
          <w:highlight w:val="none"/>
          <w:shd w:val="clear" w:color="auto" w:fill="FFFFFF"/>
          <w:lang w:val="zh-CN"/>
        </w:rPr>
        <w:t>卫生院</w:t>
      </w:r>
      <w:r>
        <w:rPr>
          <w:rFonts w:hint="eastAsia" w:ascii="Times New Roman" w:hAnsi="Times New Roman" w:eastAsia="仿宋_GB2312" w:cs="Times New Roman"/>
          <w:sz w:val="32"/>
          <w:szCs w:val="32"/>
          <w:lang w:val="en-US" w:eastAsia="zh-CN"/>
        </w:rPr>
        <w:t>2025年年初预算支出</w:t>
      </w:r>
      <w:r>
        <w:rPr>
          <w:rFonts w:hint="eastAsia" w:eastAsia="仿宋_GB2312" w:cs="Times New Roman"/>
          <w:sz w:val="32"/>
          <w:szCs w:val="32"/>
          <w:lang w:val="en-US" w:eastAsia="zh-CN"/>
        </w:rPr>
        <w:t>为253.89万元</w:t>
      </w:r>
      <w:r>
        <w:rPr>
          <w:rFonts w:hint="eastAsia" w:ascii="Times New Roman" w:hAnsi="Times New Roman" w:eastAsia="仿宋_GB2312" w:cs="Times New Roman"/>
          <w:sz w:val="32"/>
          <w:szCs w:val="32"/>
          <w:lang w:val="en-US" w:eastAsia="zh-CN"/>
        </w:rPr>
        <w:t>、决算报表支出</w:t>
      </w:r>
      <w:r>
        <w:rPr>
          <w:rFonts w:hint="eastAsia" w:eastAsia="仿宋_GB2312" w:cs="Times New Roman"/>
          <w:sz w:val="32"/>
          <w:szCs w:val="32"/>
          <w:lang w:val="en-US" w:eastAsia="zh-CN"/>
        </w:rPr>
        <w:t>为279.34万元</w:t>
      </w:r>
      <w:r>
        <w:rPr>
          <w:rFonts w:hint="eastAsia" w:ascii="Times New Roman" w:hAnsi="Times New Roman" w:eastAsia="仿宋_GB2312" w:cs="Times New Roman"/>
          <w:sz w:val="32"/>
          <w:szCs w:val="32"/>
          <w:lang w:val="en-US" w:eastAsia="zh-CN"/>
        </w:rPr>
        <w:t>。</w:t>
      </w:r>
    </w:p>
    <w:p w14:paraId="45C21308">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zh-CN"/>
        </w:rPr>
        <w:t>溪镇</w:t>
      </w:r>
      <w:r>
        <w:rPr>
          <w:rFonts w:hint="eastAsia" w:eastAsia="楷体_GB2312" w:cs="Times New Roman"/>
          <w:b/>
          <w:bCs/>
          <w:color w:val="000000"/>
          <w:kern w:val="0"/>
          <w:sz w:val="32"/>
          <w:szCs w:val="32"/>
          <w:highlight w:val="none"/>
          <w:shd w:val="clear" w:color="auto" w:fill="FFFFFF"/>
          <w:lang w:val="zh-CN"/>
        </w:rPr>
        <w:t>卫生院</w:t>
      </w:r>
      <w:r>
        <w:rPr>
          <w:rFonts w:hint="eastAsia" w:ascii="Times New Roman" w:hAnsi="Times New Roman" w:eastAsia="仿宋_GB2312" w:cs="Times New Roman"/>
          <w:sz w:val="32"/>
          <w:szCs w:val="32"/>
          <w:lang w:val="en-US" w:eastAsia="zh-CN"/>
        </w:rPr>
        <w:t>2025年决算报表</w:t>
      </w:r>
      <w:r>
        <w:rPr>
          <w:rFonts w:hint="default" w:ascii="Times New Roman" w:hAnsi="Times New Roman" w:eastAsia="仿宋_GB2312" w:cs="Times New Roman"/>
          <w:sz w:val="32"/>
          <w:szCs w:val="32"/>
          <w:lang w:val="en-US" w:eastAsia="zh-CN"/>
        </w:rPr>
        <w:t>结转结余</w:t>
      </w:r>
      <w:r>
        <w:rPr>
          <w:rFonts w:hint="eastAsia" w:eastAsia="仿宋_GB2312" w:cs="Times New Roman"/>
          <w:sz w:val="32"/>
          <w:szCs w:val="32"/>
          <w:lang w:val="en-US" w:eastAsia="zh-CN"/>
        </w:rPr>
        <w:t>无。</w:t>
      </w:r>
    </w:p>
    <w:p w14:paraId="6231400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7681088C">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0ACE26EF">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履职效能。部门整体绩效目标中选定3-5个核心职能目标，对职能目标完成效果情况绩效分析。</w:t>
      </w:r>
    </w:p>
    <w:p w14:paraId="6C859C6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。围绕预算编制质量、单位收入统筹、支出执行进度、预算年终结余、严控一般性支出</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6B09965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。围绕财务管理制度、财务岗位设置、资金使用规范</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00DDBFB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。围绕人均资产变化率、资产利用率、资产盘活率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1FC53D46">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1F99F167">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14:paraId="3886579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31D01A9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2D2C3CF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4607DD1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3B476C1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tbl>
      <w:tblPr>
        <w:tblStyle w:val="17"/>
        <w:tblW w:w="12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847"/>
        <w:gridCol w:w="1369"/>
        <w:gridCol w:w="1176"/>
        <w:gridCol w:w="1829"/>
        <w:gridCol w:w="759"/>
        <w:gridCol w:w="770"/>
        <w:gridCol w:w="915"/>
        <w:gridCol w:w="770"/>
        <w:gridCol w:w="750"/>
        <w:gridCol w:w="759"/>
        <w:gridCol w:w="432"/>
        <w:gridCol w:w="817"/>
      </w:tblGrid>
      <w:tr w14:paraId="018CB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12193" w:type="dxa"/>
            <w:gridSpan w:val="12"/>
            <w:tcBorders>
              <w:top w:val="single" w:color="FFFFFF" w:sz="4" w:space="0"/>
              <w:left w:val="single" w:color="FFFFFF" w:sz="4" w:space="0"/>
              <w:bottom w:val="single" w:color="FFFFFF" w:sz="4" w:space="0"/>
              <w:right w:val="single" w:color="FFFFFF" w:sz="4" w:space="0"/>
            </w:tcBorders>
            <w:shd w:val="clear" w:color="auto" w:fill="auto"/>
            <w:vAlign w:val="center"/>
          </w:tcPr>
          <w:p w14:paraId="0C594BA1">
            <w:pPr>
              <w:keepNext w:val="0"/>
              <w:keepLines w:val="0"/>
              <w:widowControl/>
              <w:suppressLineNumbers w:val="0"/>
              <w:jc w:val="center"/>
              <w:textAlignment w:val="center"/>
              <w:rPr>
                <w:rFonts w:hint="eastAsia" w:ascii="宋体" w:hAnsi="宋体" w:eastAsia="宋体" w:cs="宋体"/>
                <w:b/>
                <w:i w:val="0"/>
                <w:color w:val="000000"/>
                <w:sz w:val="30"/>
                <w:szCs w:val="30"/>
                <w:u w:val="none"/>
              </w:rPr>
            </w:pPr>
            <w:r>
              <w:rPr>
                <w:rFonts w:hint="eastAsia" w:ascii="宋体" w:hAnsi="宋体" w:eastAsia="宋体" w:cs="宋体"/>
                <w:b/>
                <w:i w:val="0"/>
                <w:color w:val="000000"/>
                <w:kern w:val="0"/>
                <w:sz w:val="30"/>
                <w:szCs w:val="30"/>
                <w:u w:val="none"/>
                <w:lang w:val="en-US" w:eastAsia="zh-CN" w:bidi="ar"/>
              </w:rPr>
              <w:t>部门预算项目绩效目标表（2025年度）</w:t>
            </w:r>
          </w:p>
        </w:tc>
      </w:tr>
      <w:tr w14:paraId="54CD3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6" w:hRule="atLeast"/>
        </w:trPr>
        <w:tc>
          <w:tcPr>
            <w:tcW w:w="6221" w:type="dxa"/>
            <w:gridSpan w:val="4"/>
            <w:tcBorders>
              <w:top w:val="single" w:color="FFFFFF" w:sz="4" w:space="0"/>
              <w:left w:val="single" w:color="FFFFFF" w:sz="4" w:space="0"/>
              <w:right w:val="single" w:color="FFFFFF" w:sz="4" w:space="0"/>
            </w:tcBorders>
            <w:shd w:val="clear" w:color="auto" w:fill="auto"/>
            <w:vAlign w:val="center"/>
          </w:tcPr>
          <w:p w14:paraId="1EC946D8">
            <w:pPr>
              <w:rPr>
                <w:rFonts w:hint="eastAsia" w:ascii="宋体" w:hAnsi="宋体" w:eastAsia="宋体" w:cs="宋体"/>
                <w:i w:val="0"/>
                <w:color w:val="000000"/>
                <w:sz w:val="22"/>
                <w:szCs w:val="22"/>
                <w:u w:val="none"/>
              </w:rPr>
            </w:pPr>
          </w:p>
        </w:tc>
        <w:tc>
          <w:tcPr>
            <w:tcW w:w="759" w:type="dxa"/>
            <w:tcBorders>
              <w:top w:val="single" w:color="FFFFFF" w:sz="4" w:space="0"/>
              <w:left w:val="single" w:color="FFFFFF" w:sz="4" w:space="0"/>
              <w:right w:val="single" w:color="FFFFFF" w:sz="4" w:space="0"/>
            </w:tcBorders>
            <w:shd w:val="clear" w:color="auto" w:fill="auto"/>
            <w:vAlign w:val="center"/>
          </w:tcPr>
          <w:p w14:paraId="210B0132">
            <w:pPr>
              <w:rPr>
                <w:rFonts w:hint="eastAsia" w:ascii="宋体" w:hAnsi="宋体" w:eastAsia="宋体" w:cs="宋体"/>
                <w:i w:val="0"/>
                <w:color w:val="000000"/>
                <w:sz w:val="22"/>
                <w:szCs w:val="22"/>
                <w:u w:val="none"/>
              </w:rPr>
            </w:pPr>
          </w:p>
        </w:tc>
        <w:tc>
          <w:tcPr>
            <w:tcW w:w="770" w:type="dxa"/>
            <w:tcBorders>
              <w:top w:val="single" w:color="FFFFFF" w:sz="4" w:space="0"/>
              <w:left w:val="single" w:color="FFFFFF" w:sz="4" w:space="0"/>
              <w:right w:val="single" w:color="FFFFFF" w:sz="4" w:space="0"/>
            </w:tcBorders>
            <w:shd w:val="clear" w:color="auto" w:fill="auto"/>
            <w:vAlign w:val="center"/>
          </w:tcPr>
          <w:p w14:paraId="4054883A">
            <w:pPr>
              <w:rPr>
                <w:rFonts w:hint="eastAsia" w:ascii="宋体" w:hAnsi="宋体" w:eastAsia="宋体" w:cs="宋体"/>
                <w:i w:val="0"/>
                <w:color w:val="000000"/>
                <w:sz w:val="22"/>
                <w:szCs w:val="22"/>
                <w:u w:val="none"/>
              </w:rPr>
            </w:pPr>
          </w:p>
        </w:tc>
        <w:tc>
          <w:tcPr>
            <w:tcW w:w="915" w:type="dxa"/>
            <w:tcBorders>
              <w:top w:val="single" w:color="FFFFFF" w:sz="4" w:space="0"/>
              <w:left w:val="single" w:color="FFFFFF" w:sz="4" w:space="0"/>
              <w:right w:val="single" w:color="FFFFFF" w:sz="4" w:space="0"/>
            </w:tcBorders>
            <w:shd w:val="clear" w:color="auto" w:fill="auto"/>
            <w:vAlign w:val="center"/>
          </w:tcPr>
          <w:p w14:paraId="1254728E">
            <w:pPr>
              <w:rPr>
                <w:rFonts w:hint="eastAsia" w:ascii="宋体" w:hAnsi="宋体" w:eastAsia="宋体" w:cs="宋体"/>
                <w:i w:val="0"/>
                <w:color w:val="000000"/>
                <w:sz w:val="22"/>
                <w:szCs w:val="22"/>
                <w:u w:val="none"/>
              </w:rPr>
            </w:pPr>
          </w:p>
        </w:tc>
        <w:tc>
          <w:tcPr>
            <w:tcW w:w="770" w:type="dxa"/>
            <w:tcBorders>
              <w:top w:val="single" w:color="FFFFFF" w:sz="4" w:space="0"/>
              <w:left w:val="single" w:color="FFFFFF" w:sz="4" w:space="0"/>
              <w:right w:val="single" w:color="FFFFFF" w:sz="4" w:space="0"/>
            </w:tcBorders>
            <w:shd w:val="clear" w:color="auto" w:fill="auto"/>
            <w:vAlign w:val="center"/>
          </w:tcPr>
          <w:p w14:paraId="33452FD8">
            <w:pPr>
              <w:rPr>
                <w:rFonts w:hint="eastAsia" w:ascii="宋体" w:hAnsi="宋体" w:eastAsia="宋体" w:cs="宋体"/>
                <w:i w:val="0"/>
                <w:color w:val="000000"/>
                <w:sz w:val="22"/>
                <w:szCs w:val="22"/>
                <w:u w:val="none"/>
              </w:rPr>
            </w:pPr>
          </w:p>
        </w:tc>
        <w:tc>
          <w:tcPr>
            <w:tcW w:w="750" w:type="dxa"/>
            <w:tcBorders>
              <w:top w:val="single" w:color="FFFFFF" w:sz="4" w:space="0"/>
              <w:left w:val="single" w:color="FFFFFF" w:sz="4" w:space="0"/>
              <w:right w:val="single" w:color="FFFFFF" w:sz="4" w:space="0"/>
            </w:tcBorders>
            <w:shd w:val="clear" w:color="auto" w:fill="auto"/>
            <w:vAlign w:val="center"/>
          </w:tcPr>
          <w:p w14:paraId="2B7E3AC0">
            <w:pPr>
              <w:rPr>
                <w:rFonts w:hint="eastAsia" w:ascii="宋体" w:hAnsi="宋体" w:eastAsia="宋体" w:cs="宋体"/>
                <w:i w:val="0"/>
                <w:color w:val="000000"/>
                <w:sz w:val="22"/>
                <w:szCs w:val="22"/>
                <w:u w:val="none"/>
              </w:rPr>
            </w:pPr>
          </w:p>
        </w:tc>
        <w:tc>
          <w:tcPr>
            <w:tcW w:w="2008" w:type="dxa"/>
            <w:gridSpan w:val="3"/>
            <w:tcBorders>
              <w:top w:val="single" w:color="FFFFFF" w:sz="4" w:space="0"/>
              <w:left w:val="single" w:color="FFFFFF" w:sz="4" w:space="0"/>
              <w:right w:val="single" w:color="FFFFFF" w:sz="4" w:space="0"/>
            </w:tcBorders>
            <w:shd w:val="clear" w:color="auto" w:fill="auto"/>
            <w:vAlign w:val="center"/>
          </w:tcPr>
          <w:p w14:paraId="4385F2A9">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14:paraId="78117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trPr>
        <w:tc>
          <w:tcPr>
            <w:tcW w:w="184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CF3188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单位名称</w:t>
            </w:r>
          </w:p>
        </w:tc>
        <w:tc>
          <w:tcPr>
            <w:tcW w:w="1369"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2F2E677">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项目名称</w:t>
            </w:r>
          </w:p>
        </w:tc>
        <w:tc>
          <w:tcPr>
            <w:tcW w:w="117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1EAC001">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预算数</w:t>
            </w:r>
          </w:p>
        </w:tc>
        <w:tc>
          <w:tcPr>
            <w:tcW w:w="1829"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C1C8EAD">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年度目标</w:t>
            </w:r>
          </w:p>
        </w:tc>
        <w:tc>
          <w:tcPr>
            <w:tcW w:w="759"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28C3B9B">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一级指标</w:t>
            </w:r>
          </w:p>
        </w:tc>
        <w:tc>
          <w:tcPr>
            <w:tcW w:w="77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16D131F">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二级指标</w:t>
            </w:r>
          </w:p>
        </w:tc>
        <w:tc>
          <w:tcPr>
            <w:tcW w:w="915"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091880B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三级指标</w:t>
            </w:r>
          </w:p>
        </w:tc>
        <w:tc>
          <w:tcPr>
            <w:tcW w:w="77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3CFB71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指标性质</w:t>
            </w:r>
          </w:p>
        </w:tc>
        <w:tc>
          <w:tcPr>
            <w:tcW w:w="75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521AEC2">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指标值</w:t>
            </w:r>
          </w:p>
        </w:tc>
        <w:tc>
          <w:tcPr>
            <w:tcW w:w="759"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AA4CA75">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度量单位</w:t>
            </w:r>
          </w:p>
        </w:tc>
        <w:tc>
          <w:tcPr>
            <w:tcW w:w="432"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B14569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权重</w:t>
            </w:r>
          </w:p>
        </w:tc>
        <w:tc>
          <w:tcPr>
            <w:tcW w:w="81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0C20DDA7">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指标方向性</w:t>
            </w:r>
          </w:p>
        </w:tc>
      </w:tr>
      <w:tr w14:paraId="33278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6" w:hRule="atLeast"/>
        </w:trPr>
        <w:tc>
          <w:tcPr>
            <w:tcW w:w="18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D66F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122-红原县卫生健康局</w:t>
            </w:r>
          </w:p>
        </w:tc>
        <w:tc>
          <w:tcPr>
            <w:tcW w:w="1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F527">
            <w:pPr>
              <w:rPr>
                <w:rFonts w:hint="eastAsia" w:ascii="宋体" w:hAnsi="宋体" w:eastAsia="宋体" w:cs="宋体"/>
                <w:i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BF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6.08</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8CECB">
            <w:pPr>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1ED1">
            <w:pPr>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55279">
            <w:pPr>
              <w:rPr>
                <w:rFonts w:hint="eastAsia" w:ascii="宋体" w:hAnsi="宋体" w:eastAsia="宋体" w:cs="宋体"/>
                <w:i w:val="0"/>
                <w:color w:val="000000"/>
                <w:sz w:val="18"/>
                <w:szCs w:val="18"/>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810DA">
            <w:pPr>
              <w:rPr>
                <w:rFonts w:hint="eastAsia" w:ascii="宋体" w:hAnsi="宋体" w:eastAsia="宋体" w:cs="宋体"/>
                <w:i w:val="0"/>
                <w:color w:val="000000"/>
                <w:sz w:val="18"/>
                <w:szCs w:val="18"/>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61A9A">
            <w:pPr>
              <w:rPr>
                <w:rFonts w:hint="eastAsia" w:ascii="宋体" w:hAnsi="宋体" w:eastAsia="宋体" w:cs="宋体"/>
                <w:i w:val="0"/>
                <w:color w:val="000000"/>
                <w:sz w:val="18"/>
                <w:szCs w:val="1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0ABBA">
            <w:pPr>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0F4B6">
            <w:pPr>
              <w:rPr>
                <w:rFonts w:hint="eastAsia" w:ascii="宋体" w:hAnsi="宋体" w:eastAsia="宋体" w:cs="宋体"/>
                <w:i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5FF0A">
            <w:pPr>
              <w:rPr>
                <w:rFonts w:hint="eastAsia" w:ascii="宋体" w:hAnsi="宋体" w:eastAsia="宋体" w:cs="宋体"/>
                <w:i w:val="0"/>
                <w:color w:val="000000"/>
                <w:sz w:val="18"/>
                <w:szCs w:val="18"/>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5C73">
            <w:pPr>
              <w:rPr>
                <w:rFonts w:hint="eastAsia" w:ascii="宋体" w:hAnsi="宋体" w:eastAsia="宋体" w:cs="宋体"/>
                <w:i w:val="0"/>
                <w:color w:val="000000"/>
                <w:sz w:val="18"/>
                <w:szCs w:val="18"/>
                <w:u w:val="none"/>
              </w:rPr>
            </w:pPr>
          </w:p>
        </w:tc>
      </w:tr>
      <w:tr w14:paraId="55784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6" w:hRule="atLeast"/>
        </w:trPr>
        <w:tc>
          <w:tcPr>
            <w:tcW w:w="18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F3B53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122014-红原县邛溪镇卫生院</w:t>
            </w:r>
          </w:p>
        </w:tc>
        <w:tc>
          <w:tcPr>
            <w:tcW w:w="13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149A5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县级配套基本公共卫生</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DB275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2.93</w:t>
            </w:r>
          </w:p>
        </w:tc>
        <w:tc>
          <w:tcPr>
            <w:tcW w:w="18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5DA07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乡镇卫生院开展基本公共卫生服务，包括建立居民健康档案，预防接种、传染病防治、高血压糖尿病等慢性病管理重型精神病管理、儿童保健、孕产妇保健、老年人保健；协助处置突发公共卫生事件。开展基本公共卫生服产生的办公费，邮电费等支出。</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303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89AA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02BA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高血压患者管理人数</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A0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2FF6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243</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3A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A90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EA676">
            <w:pPr>
              <w:jc w:val="left"/>
              <w:rPr>
                <w:rFonts w:hint="eastAsia" w:ascii="宋体" w:hAnsi="宋体" w:eastAsia="宋体" w:cs="宋体"/>
                <w:i w:val="0"/>
                <w:color w:val="000000"/>
                <w:sz w:val="18"/>
                <w:szCs w:val="18"/>
                <w:u w:val="none"/>
              </w:rPr>
            </w:pPr>
          </w:p>
        </w:tc>
      </w:tr>
      <w:tr w14:paraId="512B4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98CAA">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7842F">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0CD36">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4E9E9">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E07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760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D19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基层群众满意度</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405C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C63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281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7C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376D">
            <w:pPr>
              <w:jc w:val="left"/>
              <w:rPr>
                <w:rFonts w:hint="eastAsia" w:ascii="宋体" w:hAnsi="宋体" w:eastAsia="宋体" w:cs="宋体"/>
                <w:i w:val="0"/>
                <w:color w:val="000000"/>
                <w:sz w:val="18"/>
                <w:szCs w:val="18"/>
                <w:u w:val="none"/>
              </w:rPr>
            </w:pPr>
          </w:p>
        </w:tc>
      </w:tr>
      <w:tr w14:paraId="71349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CAD71">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C0FC3">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85617">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04748">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DE0C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4A67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89E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提高公共卫生服务均等化水平</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0F82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3A7E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AB5A4">
            <w:pPr>
              <w:jc w:val="left"/>
              <w:rPr>
                <w:rFonts w:hint="eastAsia" w:ascii="宋体" w:hAnsi="宋体" w:eastAsia="宋体" w:cs="宋体"/>
                <w:i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058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7B7E6">
            <w:pPr>
              <w:jc w:val="left"/>
              <w:rPr>
                <w:rFonts w:hint="eastAsia" w:ascii="宋体" w:hAnsi="宋体" w:eastAsia="宋体" w:cs="宋体"/>
                <w:i w:val="0"/>
                <w:color w:val="000000"/>
                <w:sz w:val="18"/>
                <w:szCs w:val="18"/>
                <w:u w:val="none"/>
              </w:rPr>
            </w:pPr>
          </w:p>
        </w:tc>
      </w:tr>
      <w:tr w14:paraId="699BA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FC9EF">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21B56">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0C4FE">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F7131">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FD0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2525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BF8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65岁及以上居民健康管理人数</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446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8E2A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273</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6F1D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EC44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26FA7">
            <w:pPr>
              <w:jc w:val="left"/>
              <w:rPr>
                <w:rFonts w:hint="eastAsia" w:ascii="宋体" w:hAnsi="宋体" w:eastAsia="宋体" w:cs="宋体"/>
                <w:i w:val="0"/>
                <w:color w:val="000000"/>
                <w:sz w:val="18"/>
                <w:szCs w:val="18"/>
                <w:u w:val="none"/>
              </w:rPr>
            </w:pPr>
          </w:p>
        </w:tc>
      </w:tr>
      <w:tr w14:paraId="05A42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37868">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A7D2B">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E6C1D">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FAB4C">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E4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6A1C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66D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居民电子健康档案管理人数</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B07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ECB4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4228</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59C3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726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A1A18">
            <w:pPr>
              <w:jc w:val="left"/>
              <w:rPr>
                <w:rFonts w:hint="eastAsia" w:ascii="宋体" w:hAnsi="宋体" w:eastAsia="宋体" w:cs="宋体"/>
                <w:i w:val="0"/>
                <w:color w:val="000000"/>
                <w:sz w:val="18"/>
                <w:szCs w:val="18"/>
                <w:u w:val="none"/>
              </w:rPr>
            </w:pPr>
          </w:p>
        </w:tc>
      </w:tr>
      <w:tr w14:paraId="7EB98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B39C4">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3949B">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1D160">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22BA3">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A48E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D66D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837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严重精神障碍患者随访人次</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8C54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0C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52A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人次</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F4C7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68919">
            <w:pPr>
              <w:jc w:val="left"/>
              <w:rPr>
                <w:rFonts w:hint="eastAsia" w:ascii="宋体" w:hAnsi="宋体" w:eastAsia="宋体" w:cs="宋体"/>
                <w:i w:val="0"/>
                <w:color w:val="000000"/>
                <w:sz w:val="18"/>
                <w:szCs w:val="18"/>
                <w:u w:val="none"/>
              </w:rPr>
            </w:pPr>
          </w:p>
        </w:tc>
      </w:tr>
      <w:tr w14:paraId="248FB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8A448">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3DA7A">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188B9">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9B220">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BED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E50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经济成本指标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733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基本公共卫生服务县级配套项目成本</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9C2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241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2.992374</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DD18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7DF4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06EC">
            <w:pPr>
              <w:jc w:val="left"/>
              <w:rPr>
                <w:rFonts w:hint="eastAsia" w:ascii="宋体" w:hAnsi="宋体" w:eastAsia="宋体" w:cs="宋体"/>
                <w:i w:val="0"/>
                <w:color w:val="000000"/>
                <w:sz w:val="18"/>
                <w:szCs w:val="18"/>
                <w:u w:val="none"/>
              </w:rPr>
            </w:pPr>
          </w:p>
        </w:tc>
      </w:tr>
      <w:tr w14:paraId="20E9D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6985A">
            <w:pPr>
              <w:jc w:val="left"/>
              <w:rPr>
                <w:rFonts w:hint="eastAsia" w:ascii="宋体" w:hAnsi="宋体" w:eastAsia="宋体" w:cs="宋体"/>
                <w:i w:val="0"/>
                <w:color w:val="000000"/>
                <w:sz w:val="18"/>
                <w:szCs w:val="18"/>
                <w:u w:val="none"/>
              </w:rPr>
            </w:pPr>
          </w:p>
        </w:tc>
        <w:tc>
          <w:tcPr>
            <w:tcW w:w="13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9D8E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65060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3.15</w:t>
            </w:r>
          </w:p>
        </w:tc>
        <w:tc>
          <w:tcPr>
            <w:tcW w:w="18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3C409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县级配套基本药物用于卫生院日常开支，包含办公费、邮电费、电费等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7A8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8BA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500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基本药物补助县级配套资金支付及时率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22DA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7D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FAAC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D17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13138">
            <w:pPr>
              <w:jc w:val="left"/>
              <w:rPr>
                <w:rFonts w:hint="eastAsia" w:ascii="宋体" w:hAnsi="宋体" w:eastAsia="宋体" w:cs="宋体"/>
                <w:i w:val="0"/>
                <w:color w:val="000000"/>
                <w:sz w:val="18"/>
                <w:szCs w:val="18"/>
                <w:u w:val="none"/>
              </w:rPr>
            </w:pPr>
          </w:p>
        </w:tc>
      </w:tr>
      <w:tr w14:paraId="2AEE7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30889">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C52FA">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4A632">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D6079">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D9E7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135F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6D0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基层医疗机构药品零差率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FB7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A94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等于100</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55079">
            <w:pPr>
              <w:jc w:val="left"/>
              <w:rPr>
                <w:rFonts w:hint="eastAsia" w:ascii="宋体" w:hAnsi="宋体" w:eastAsia="宋体" w:cs="宋体"/>
                <w:i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88C4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8805">
            <w:pPr>
              <w:jc w:val="left"/>
              <w:rPr>
                <w:rFonts w:hint="eastAsia" w:ascii="宋体" w:hAnsi="宋体" w:eastAsia="宋体" w:cs="宋体"/>
                <w:i w:val="0"/>
                <w:color w:val="000000"/>
                <w:sz w:val="18"/>
                <w:szCs w:val="18"/>
                <w:u w:val="none"/>
              </w:rPr>
            </w:pPr>
          </w:p>
        </w:tc>
      </w:tr>
      <w:tr w14:paraId="4EC8F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8"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AF303">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7661A">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721F8">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0B002">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328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8566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EFF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实行基本药物补助县级配套的基层医疗机构个数</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4E8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FDF9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AB5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3FA9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4B66">
            <w:pPr>
              <w:jc w:val="left"/>
              <w:rPr>
                <w:rFonts w:hint="eastAsia" w:ascii="宋体" w:hAnsi="宋体" w:eastAsia="宋体" w:cs="宋体"/>
                <w:i w:val="0"/>
                <w:color w:val="000000"/>
                <w:sz w:val="18"/>
                <w:szCs w:val="18"/>
                <w:u w:val="none"/>
              </w:rPr>
            </w:pPr>
          </w:p>
        </w:tc>
      </w:tr>
      <w:tr w14:paraId="1752D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AEA05">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8E19E">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DF79C">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5E552">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DD00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D0E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66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基本药物补助县级配套资金支付准确率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D07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34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7F7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91B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EFC9E">
            <w:pPr>
              <w:jc w:val="left"/>
              <w:rPr>
                <w:rFonts w:hint="eastAsia" w:ascii="宋体" w:hAnsi="宋体" w:eastAsia="宋体" w:cs="宋体"/>
                <w:i w:val="0"/>
                <w:color w:val="000000"/>
                <w:sz w:val="18"/>
                <w:szCs w:val="18"/>
                <w:u w:val="none"/>
              </w:rPr>
            </w:pPr>
          </w:p>
        </w:tc>
      </w:tr>
      <w:tr w14:paraId="4A8F8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FB60F">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5B6AB">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F2FB2">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A3DBD">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ACD4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C98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287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基层医疗机构基本药物网购置次数</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C26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79E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91C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086F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3CBE">
            <w:pPr>
              <w:jc w:val="left"/>
              <w:rPr>
                <w:rFonts w:hint="eastAsia" w:ascii="宋体" w:hAnsi="宋体" w:eastAsia="宋体" w:cs="宋体"/>
                <w:i w:val="0"/>
                <w:color w:val="000000"/>
                <w:sz w:val="18"/>
                <w:szCs w:val="18"/>
                <w:u w:val="none"/>
              </w:rPr>
            </w:pPr>
          </w:p>
        </w:tc>
      </w:tr>
      <w:tr w14:paraId="0AFD2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C97B1">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B54E0">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D51F3">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DA3E3">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032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6D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DA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基层医疗机构工作人员满意度</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071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DFD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F8E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DF07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7BD70">
            <w:pPr>
              <w:jc w:val="left"/>
              <w:rPr>
                <w:rFonts w:hint="eastAsia" w:ascii="宋体" w:hAnsi="宋体" w:eastAsia="宋体" w:cs="宋体"/>
                <w:i w:val="0"/>
                <w:color w:val="000000"/>
                <w:sz w:val="18"/>
                <w:szCs w:val="18"/>
                <w:u w:val="none"/>
              </w:rPr>
            </w:pPr>
          </w:p>
        </w:tc>
      </w:tr>
      <w:tr w14:paraId="63508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0C040">
            <w:pPr>
              <w:jc w:val="left"/>
              <w:rPr>
                <w:rFonts w:hint="eastAsia" w:ascii="宋体" w:hAnsi="宋体" w:eastAsia="宋体" w:cs="宋体"/>
                <w:i w:val="0"/>
                <w:color w:val="000000"/>
                <w:sz w:val="18"/>
                <w:szCs w:val="18"/>
                <w:u w:val="none"/>
              </w:rPr>
            </w:pPr>
          </w:p>
        </w:tc>
        <w:tc>
          <w:tcPr>
            <w:tcW w:w="13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58447">
            <w:pPr>
              <w:jc w:val="left"/>
              <w:rPr>
                <w:rFonts w:hint="eastAsia" w:ascii="宋体" w:hAnsi="宋体" w:eastAsia="宋体" w:cs="宋体"/>
                <w:i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3C76E">
            <w:pPr>
              <w:jc w:val="right"/>
              <w:rPr>
                <w:rFonts w:hint="eastAsia" w:ascii="宋体" w:hAnsi="宋体" w:eastAsia="宋体" w:cs="宋体"/>
                <w:i w:val="0"/>
                <w:color w:val="000000"/>
                <w:sz w:val="18"/>
                <w:szCs w:val="18"/>
                <w:u w:val="none"/>
              </w:rPr>
            </w:pPr>
          </w:p>
        </w:tc>
        <w:tc>
          <w:tcPr>
            <w:tcW w:w="18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2C12E">
            <w:pPr>
              <w:jc w:val="left"/>
              <w:rPr>
                <w:rFonts w:hint="eastAsia" w:ascii="宋体" w:hAnsi="宋体" w:eastAsia="宋体" w:cs="宋体"/>
                <w:i w:val="0"/>
                <w:color w:val="000000"/>
                <w:sz w:val="18"/>
                <w:szCs w:val="18"/>
                <w:u w:val="none"/>
              </w:rPr>
            </w:pP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3478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A62C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3029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确保药品采购公平、公正、公开</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EE8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F6D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优良中低差</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08509">
            <w:pPr>
              <w:jc w:val="left"/>
              <w:rPr>
                <w:rFonts w:hint="eastAsia" w:ascii="宋体" w:hAnsi="宋体" w:eastAsia="宋体" w:cs="宋体"/>
                <w:i w:val="0"/>
                <w:color w:val="000000"/>
                <w:sz w:val="18"/>
                <w:szCs w:val="18"/>
                <w:u w:val="none"/>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4462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FD4F3">
            <w:pPr>
              <w:jc w:val="left"/>
              <w:rPr>
                <w:rFonts w:hint="eastAsia" w:ascii="宋体" w:hAnsi="宋体" w:eastAsia="宋体" w:cs="宋体"/>
                <w:i w:val="0"/>
                <w:color w:val="000000"/>
                <w:sz w:val="18"/>
                <w:szCs w:val="18"/>
                <w:u w:val="none"/>
              </w:rPr>
            </w:pPr>
          </w:p>
        </w:tc>
      </w:tr>
    </w:tbl>
    <w:p w14:paraId="4052F60C">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p>
    <w:p w14:paraId="16B7650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r>
        <w:rPr>
          <w:rFonts w:hint="default" w:ascii="Times New Roman" w:hAnsi="Times New Roman" w:eastAsia="仿宋_GB2312" w:cs="仿宋_GB2312"/>
          <w:color w:val="auto"/>
          <w:kern w:val="2"/>
          <w:sz w:val="32"/>
          <w:szCs w:val="32"/>
          <w:highlight w:val="none"/>
          <w:lang w:val="en-US" w:eastAsia="zh-CN" w:bidi="ar-SA"/>
        </w:rPr>
        <w:t>省级部门对</w:t>
      </w:r>
      <w:r>
        <w:rPr>
          <w:rFonts w:hint="eastAsia" w:eastAsia="仿宋_GB2312" w:cs="仿宋_GB2312"/>
          <w:color w:val="auto"/>
          <w:kern w:val="2"/>
          <w:sz w:val="32"/>
          <w:szCs w:val="32"/>
          <w:highlight w:val="none"/>
          <w:lang w:val="en-US" w:eastAsia="zh-CN" w:bidi="ar-SA"/>
        </w:rPr>
        <w:t>2025年度</w:t>
      </w:r>
      <w:r>
        <w:rPr>
          <w:rFonts w:hint="default" w:ascii="Times New Roman" w:hAnsi="Times New Roman" w:eastAsia="仿宋_GB2312" w:cs="仿宋_GB2312"/>
          <w:color w:val="auto"/>
          <w:kern w:val="2"/>
          <w:sz w:val="32"/>
          <w:szCs w:val="32"/>
          <w:highlight w:val="none"/>
          <w:lang w:val="en-US" w:eastAsia="zh-CN" w:bidi="ar-SA"/>
        </w:rPr>
        <w:t>一般公共预算、政府性基金预算、国有资本经营预算安排的常年项目、阶段项目绩效目标完成情况，以及债券资金、政府购买服务有关情况进行梳理阐述</w:t>
      </w:r>
      <w:r>
        <w:rPr>
          <w:rFonts w:hint="eastAsia" w:eastAsia="仿宋_GB2312" w:cs="仿宋_GB2312"/>
          <w:color w:val="auto"/>
          <w:kern w:val="2"/>
          <w:sz w:val="32"/>
          <w:szCs w:val="32"/>
          <w:highlight w:val="none"/>
          <w:lang w:val="en-US" w:eastAsia="zh-CN" w:bidi="ar-SA"/>
        </w:rPr>
        <w:t>。</w:t>
      </w:r>
    </w:p>
    <w:p w14:paraId="21C2AE8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zh-CN" w:eastAsia="zh-CN" w:bidi="ar-SA"/>
        </w:rPr>
        <w:t>围绕内部应用情况、</w:t>
      </w:r>
      <w:r>
        <w:rPr>
          <w:rFonts w:hint="default" w:ascii="Times New Roman" w:hAnsi="Times New Roman" w:eastAsia="仿宋_GB2312" w:cs="仿宋_GB2312"/>
          <w:color w:val="auto"/>
          <w:kern w:val="2"/>
          <w:sz w:val="32"/>
          <w:szCs w:val="32"/>
          <w:highlight w:val="none"/>
          <w:lang w:val="zh-CN" w:eastAsia="zh-CN" w:bidi="ar-SA"/>
        </w:rPr>
        <w:t>信息公开情况</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整改反馈情况</w:t>
      </w:r>
      <w:r>
        <w:rPr>
          <w:rFonts w:hint="eastAsia" w:ascii="Times New Roman" w:hAnsi="Times New Roman" w:eastAsia="仿宋_GB2312" w:cs="仿宋_GB2312"/>
          <w:color w:val="auto"/>
          <w:kern w:val="2"/>
          <w:sz w:val="32"/>
          <w:szCs w:val="32"/>
          <w:highlight w:val="none"/>
          <w:lang w:val="zh-CN" w:eastAsia="zh-CN" w:bidi="ar-SA"/>
        </w:rPr>
        <w:t>进行分析。</w:t>
      </w:r>
    </w:p>
    <w:p w14:paraId="57EB0C8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78D4F002">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p>
    <w:p w14:paraId="378F25AD">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960" w:firstLineChars="3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2025年部门预算编制基础数据真实可靠，按照年度</w:t>
      </w:r>
      <w:r>
        <w:rPr>
          <w:rFonts w:hint="eastAsia" w:ascii="仿宋" w:hAnsi="仿宋" w:eastAsia="仿宋" w:cs="仿宋"/>
          <w:color w:val="000000"/>
          <w:kern w:val="2"/>
          <w:sz w:val="32"/>
          <w:szCs w:val="32"/>
          <w:lang w:val="en-US" w:eastAsia="zh-CN" w:bidi="ar-SA"/>
        </w:rPr>
        <w:fldChar w:fldCharType="begin"/>
      </w:r>
      <w:r>
        <w:rPr>
          <w:rFonts w:hint="eastAsia" w:ascii="仿宋" w:hAnsi="仿宋" w:eastAsia="仿宋" w:cs="仿宋"/>
          <w:color w:val="000000"/>
          <w:kern w:val="2"/>
          <w:sz w:val="32"/>
          <w:szCs w:val="32"/>
          <w:lang w:val="en-US" w:eastAsia="zh-CN" w:bidi="ar-SA"/>
        </w:rPr>
        <w:instrText xml:space="preserve"> HYPERLINK "http://www.91wenmi.com/wenmi/zongjie/gongzuojihua/" \t "_blank" </w:instrText>
      </w:r>
      <w:r>
        <w:rPr>
          <w:rFonts w:hint="eastAsia" w:ascii="仿宋" w:hAnsi="仿宋" w:eastAsia="仿宋" w:cs="仿宋"/>
          <w:color w:val="000000"/>
          <w:kern w:val="2"/>
          <w:sz w:val="32"/>
          <w:szCs w:val="32"/>
          <w:lang w:val="en-US" w:eastAsia="zh-CN" w:bidi="ar-SA"/>
        </w:rPr>
        <w:fldChar w:fldCharType="separate"/>
      </w:r>
      <w:r>
        <w:rPr>
          <w:rFonts w:hint="eastAsia" w:ascii="仿宋" w:hAnsi="仿宋" w:eastAsia="仿宋" w:cs="仿宋"/>
          <w:color w:val="000000"/>
          <w:kern w:val="2"/>
          <w:sz w:val="32"/>
          <w:szCs w:val="32"/>
          <w:lang w:val="en-US" w:eastAsia="zh-CN" w:bidi="ar-SA"/>
        </w:rPr>
        <w:t>工作计划</w:t>
      </w:r>
      <w:r>
        <w:rPr>
          <w:rFonts w:hint="eastAsia" w:ascii="仿宋" w:hAnsi="仿宋" w:eastAsia="仿宋" w:cs="仿宋"/>
          <w:color w:val="000000"/>
          <w:kern w:val="2"/>
          <w:sz w:val="32"/>
          <w:szCs w:val="32"/>
          <w:lang w:val="en-US" w:eastAsia="zh-CN" w:bidi="ar-SA"/>
        </w:rPr>
        <w:fldChar w:fldCharType="end"/>
      </w:r>
      <w:r>
        <w:rPr>
          <w:rFonts w:hint="eastAsia" w:ascii="仿宋" w:hAnsi="仿宋" w:eastAsia="仿宋" w:cs="仿宋"/>
          <w:color w:val="000000"/>
          <w:kern w:val="2"/>
          <w:sz w:val="32"/>
          <w:szCs w:val="32"/>
          <w:lang w:val="en-US" w:eastAsia="zh-CN" w:bidi="ar-SA"/>
        </w:rPr>
        <w:t>和支出标准合理编制预算方案，预算数据按要求及时报送。基本支出按时间进度支付，达到执行进度，年终无结余。严格执行“三公经费”预算，严格审批，无超预算、无预算执行的情况。</w:t>
      </w:r>
    </w:p>
    <w:p w14:paraId="4659DA6C">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仿宋_GB2312" w:cs="Times New Roman"/>
          <w:sz w:val="32"/>
          <w:szCs w:val="32"/>
          <w:u w:val="none"/>
          <w:lang w:val="en-US" w:eastAsia="zh-CN" w:bidi="ar"/>
        </w:rPr>
      </w:pPr>
    </w:p>
    <w:p w14:paraId="658D6F89">
      <w:pPr>
        <w:pStyle w:val="16"/>
        <w:keepNext w:val="0"/>
        <w:keepLines w:val="0"/>
        <w:pageBreakBefore w:val="0"/>
        <w:widowControl/>
        <w:numPr>
          <w:ilvl w:val="0"/>
          <w:numId w:val="4"/>
        </w:numPr>
        <w:suppressLineNumbers w:val="0"/>
        <w:kinsoku/>
        <w:wordWrap/>
        <w:overflowPunct/>
        <w:topLinePunct w:val="0"/>
        <w:autoSpaceDE/>
        <w:autoSpaceDN/>
        <w:bidi w:val="0"/>
        <w:adjustRightInd/>
        <w:spacing w:before="0" w:beforeAutospacing="0" w:after="0" w:afterAutospacing="0" w:line="540" w:lineRule="exact"/>
        <w:ind w:right="0" w:righ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存在问题。</w:t>
      </w:r>
    </w:p>
    <w:p w14:paraId="4620D72B">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leftChars="200" w:right="0" w:rightChars="0"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专项资金执行进度有待进一步加快，固定资产管理继续加强中。账务处理有待于提高。</w:t>
      </w:r>
    </w:p>
    <w:p w14:paraId="011C5A02">
      <w:pPr>
        <w:pStyle w:val="8"/>
        <w:keepNext w:val="0"/>
        <w:keepLines w:val="0"/>
        <w:pageBreakBefore w:val="0"/>
        <w:numPr>
          <w:ilvl w:val="0"/>
          <w:numId w:val="4"/>
        </w:numPr>
        <w:kinsoku/>
        <w:wordWrap/>
        <w:overflowPunct/>
        <w:topLinePunct w:val="0"/>
        <w:autoSpaceDE/>
        <w:autoSpaceDN/>
        <w:bidi w:val="0"/>
        <w:spacing w:line="560" w:lineRule="exact"/>
        <w:ind w:left="0" w:lef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改进建议。</w:t>
      </w:r>
      <w:bookmarkStart w:id="47" w:name="_Hlk110546638"/>
    </w:p>
    <w:p w14:paraId="1598A6A8">
      <w:pPr>
        <w:pStyle w:val="8"/>
        <w:keepNext w:val="0"/>
        <w:keepLines w:val="0"/>
        <w:pageBreakBefore w:val="0"/>
        <w:numPr>
          <w:ilvl w:val="0"/>
          <w:numId w:val="0"/>
        </w:numPr>
        <w:kinsoku/>
        <w:wordWrap/>
        <w:overflowPunct/>
        <w:topLinePunct w:val="0"/>
        <w:autoSpaceDE/>
        <w:autoSpaceDN/>
        <w:bidi w:val="0"/>
        <w:spacing w:line="560" w:lineRule="exact"/>
        <w:ind w:firstLine="960" w:firstLineChars="3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深入学习贯彻《预算法》等相关法律、法规，进一步增强预算意识，始终坚持先有预算、后有支出，没有预算不得支出的原则。科学合理编制部门预算，推进预算编制科学化、准确化。年度预算编制后，根据实际情况，定期做好预算执行分析，适时掌握预算执行进度，及时找出预算实际执行情况与预算目标之间存在的差距，进一步加快预算执行。加强与业务部门工作对接，做好提前准备工作，资金下达后及时开展项目工作，加快执行进度，充分发挥项目资金效益。</w:t>
      </w:r>
    </w:p>
    <w:p w14:paraId="326FC9E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u w:val="none"/>
          <w:lang w:val="en" w:eastAsia="zh-CN" w:bidi="ar"/>
        </w:rPr>
      </w:pPr>
    </w:p>
    <w:bookmarkEnd w:id="47"/>
    <w:p w14:paraId="30C6EAAF">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14:paraId="70C4264A">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14:paraId="44200D36">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部门预算项目支出绩效自评表（2025年度）</w:t>
      </w:r>
      <w:r>
        <w:rPr>
          <w:rFonts w:hint="eastAsia" w:ascii="Times New Roman" w:eastAsia="仿宋_GB2312" w:cs="仿宋_GB2312"/>
          <w:b w:val="0"/>
          <w:bCs w:val="0"/>
          <w:kern w:val="0"/>
          <w:position w:val="0"/>
          <w:sz w:val="32"/>
          <w:szCs w:val="32"/>
          <w:highlight w:val="none"/>
          <w:lang w:val="en-US" w:eastAsia="zh-CN" w:bidi="ar-SA"/>
        </w:rPr>
        <w:t>为各部门在预算管理一体化系统绩效自评模块上传的表格，</w:t>
      </w:r>
      <w:r>
        <w:rPr>
          <w:rFonts w:hint="eastAsia" w:ascii="Times New Roman" w:hAnsi="Times New Roman" w:eastAsia="仿宋_GB2312" w:cs="仿宋_GB2312"/>
          <w:b w:val="0"/>
          <w:bCs w:val="0"/>
          <w:kern w:val="0"/>
          <w:position w:val="0"/>
          <w:sz w:val="32"/>
          <w:szCs w:val="32"/>
          <w:highlight w:val="none"/>
          <w:lang w:val="en-US" w:eastAsia="zh-CN" w:bidi="ar-SA"/>
        </w:rPr>
        <w:t>该表格应作为附表予以公开）</w:t>
      </w:r>
    </w:p>
    <w:p w14:paraId="1D9D9D8E">
      <w:pPr>
        <w:pStyle w:val="8"/>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14:paraId="3B8034B9">
      <w:pPr>
        <w:pStyle w:val="3"/>
        <w:rPr>
          <w:rFonts w:hint="eastAsia" w:ascii="Times New Roman" w:hAnsi="Times New Roman" w:cs="宋体"/>
          <w:color w:val="FF0000"/>
          <w:kern w:val="0"/>
          <w:sz w:val="32"/>
          <w:szCs w:val="32"/>
          <w:highlight w:val="yellow"/>
          <w:shd w:val="clear" w:color="auto" w:fill="FFFFFF"/>
          <w:lang w:val="zh-CN"/>
        </w:rPr>
      </w:pPr>
    </w:p>
    <w:p w14:paraId="31D9855B">
      <w:pPr>
        <w:widowControl/>
        <w:jc w:val="both"/>
        <w:rPr>
          <w:rFonts w:hint="eastAsia" w:ascii="Times New Roman" w:hAnsi="Times New Roman" w:eastAsia="仿宋"/>
          <w:b w:val="0"/>
          <w:color w:val="auto"/>
          <w:highlight w:val="none"/>
        </w:rPr>
      </w:pPr>
      <w:bookmarkStart w:id="48" w:name="_Toc15396618"/>
      <w:r>
        <w:rPr>
          <w:rFonts w:hint="eastAsia" w:ascii="Times New Roman" w:hAnsi="Times New Roman" w:eastAsia="黑体"/>
          <w:color w:val="auto"/>
          <w:sz w:val="44"/>
          <w:szCs w:val="44"/>
          <w:highlight w:val="none"/>
        </w:rPr>
        <w:t>第</w:t>
      </w:r>
      <w:r>
        <w:rPr>
          <w:rStyle w:val="30"/>
          <w:rFonts w:hint="eastAsia" w:ascii="Times New Roman" w:hAnsi="Times New Roman" w:eastAsia="黑体"/>
          <w:b w:val="0"/>
          <w:color w:val="auto"/>
          <w:highlight w:val="none"/>
        </w:rPr>
        <w:t>五部分 附表</w:t>
      </w:r>
      <w:bookmarkEnd w:id="46"/>
      <w:bookmarkEnd w:id="48"/>
      <w:bookmarkStart w:id="49" w:name="_Toc15396619"/>
    </w:p>
    <w:p w14:paraId="1619E7D4">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17CC1156">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9"/>
    </w:p>
    <w:p w14:paraId="5C6729CD">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0"/>
      <w:r>
        <w:rPr>
          <w:rFonts w:hint="eastAsia" w:ascii="Times New Roman" w:hAnsi="Times New Roman" w:eastAsia="仿宋_GB2312" w:cs="仿宋_GB2312"/>
          <w:color w:val="auto"/>
          <w:sz w:val="32"/>
          <w:szCs w:val="32"/>
          <w:highlight w:val="none"/>
        </w:rPr>
        <w:t>二、收入决算表</w:t>
      </w:r>
      <w:bookmarkEnd w:id="50"/>
    </w:p>
    <w:p w14:paraId="2C7C1BF7">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1"/>
      <w:r>
        <w:rPr>
          <w:rFonts w:hint="eastAsia" w:ascii="Times New Roman" w:hAnsi="Times New Roman" w:eastAsia="仿宋_GB2312" w:cs="仿宋_GB2312"/>
          <w:color w:val="auto"/>
          <w:sz w:val="32"/>
          <w:szCs w:val="32"/>
          <w:highlight w:val="none"/>
        </w:rPr>
        <w:t>三、支出决算表</w:t>
      </w:r>
      <w:bookmarkEnd w:id="51"/>
    </w:p>
    <w:p w14:paraId="528AEE80">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2"/>
      <w:r>
        <w:rPr>
          <w:rFonts w:hint="eastAsia" w:ascii="Times New Roman" w:hAnsi="Times New Roman" w:eastAsia="仿宋_GB2312" w:cs="仿宋_GB2312"/>
          <w:color w:val="auto"/>
          <w:sz w:val="32"/>
          <w:szCs w:val="32"/>
          <w:highlight w:val="none"/>
        </w:rPr>
        <w:t>四、财政拨款收入支出决算总表</w:t>
      </w:r>
      <w:bookmarkEnd w:id="52"/>
    </w:p>
    <w:p w14:paraId="0CD44BB7">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3"/>
      <w:r>
        <w:rPr>
          <w:rFonts w:hint="eastAsia" w:ascii="Times New Roman" w:hAnsi="Times New Roman" w:eastAsia="仿宋_GB2312" w:cs="仿宋_GB2312"/>
          <w:color w:val="auto"/>
          <w:sz w:val="32"/>
          <w:szCs w:val="32"/>
          <w:highlight w:val="none"/>
        </w:rPr>
        <w:t>五、财政拨款支出决算明细表</w:t>
      </w:r>
      <w:bookmarkEnd w:id="53"/>
      <w:bookmarkStart w:id="54" w:name="_Toc15396624"/>
    </w:p>
    <w:p w14:paraId="072C1000">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4"/>
    </w:p>
    <w:p w14:paraId="369BB296">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5"/>
      <w:r>
        <w:rPr>
          <w:rFonts w:hint="eastAsia" w:ascii="Times New Roman" w:hAnsi="Times New Roman" w:eastAsia="仿宋_GB2312" w:cs="仿宋_GB2312"/>
          <w:color w:val="auto"/>
          <w:sz w:val="32"/>
          <w:szCs w:val="32"/>
          <w:highlight w:val="none"/>
        </w:rPr>
        <w:t>七、一般公共预算财政拨款支出决算明细表</w:t>
      </w:r>
      <w:bookmarkEnd w:id="55"/>
    </w:p>
    <w:p w14:paraId="5408624D">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6"/>
      <w:r>
        <w:rPr>
          <w:rFonts w:hint="eastAsia" w:ascii="Times New Roman" w:hAnsi="Times New Roman" w:eastAsia="仿宋_GB2312" w:cs="仿宋_GB2312"/>
          <w:color w:val="auto"/>
          <w:sz w:val="32"/>
          <w:szCs w:val="32"/>
          <w:highlight w:val="none"/>
        </w:rPr>
        <w:t>八、一般公共预算财政拨款基本支出决算表</w:t>
      </w:r>
      <w:bookmarkEnd w:id="56"/>
    </w:p>
    <w:p w14:paraId="1DDB5074">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7"/>
      <w:r>
        <w:rPr>
          <w:rFonts w:hint="eastAsia" w:ascii="Times New Roman" w:hAnsi="Times New Roman" w:eastAsia="仿宋_GB2312" w:cs="仿宋_GB2312"/>
          <w:color w:val="auto"/>
          <w:sz w:val="32"/>
          <w:szCs w:val="32"/>
          <w:highlight w:val="none"/>
        </w:rPr>
        <w:t>九、一般公共预算财政拨款项目支出决算表</w:t>
      </w:r>
      <w:bookmarkEnd w:id="57"/>
    </w:p>
    <w:p w14:paraId="565621A2">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8"/>
      <w:r>
        <w:rPr>
          <w:rFonts w:hint="eastAsia" w:ascii="Times New Roman" w:hAnsi="Times New Roman" w:eastAsia="仿宋_GB2312" w:cs="仿宋_GB2312"/>
          <w:color w:val="auto"/>
          <w:sz w:val="32"/>
          <w:szCs w:val="32"/>
          <w:highlight w:val="none"/>
        </w:rPr>
        <w:t>十、</w:t>
      </w:r>
      <w:bookmarkEnd w:id="58"/>
      <w:r>
        <w:rPr>
          <w:rFonts w:hint="eastAsia" w:ascii="Times New Roman" w:hAnsi="Times New Roman" w:eastAsia="仿宋_GB2312" w:cs="仿宋_GB2312"/>
          <w:color w:val="auto"/>
          <w:sz w:val="32"/>
          <w:szCs w:val="32"/>
          <w:highlight w:val="none"/>
        </w:rPr>
        <w:t>政府性基金预算财政拨款收入支出决算表</w:t>
      </w:r>
    </w:p>
    <w:p w14:paraId="054C66F0">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9"/>
      <w:r>
        <w:rPr>
          <w:rFonts w:hint="eastAsia" w:ascii="Times New Roman" w:hAnsi="Times New Roman" w:eastAsia="仿宋_GB2312" w:cs="仿宋_GB2312"/>
          <w:color w:val="auto"/>
          <w:sz w:val="32"/>
          <w:szCs w:val="32"/>
          <w:highlight w:val="none"/>
        </w:rPr>
        <w:t>十一、</w:t>
      </w:r>
      <w:bookmarkEnd w:id="5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3DCD33D4">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30"/>
      <w:r>
        <w:rPr>
          <w:rFonts w:hint="eastAsia" w:ascii="Times New Roman" w:hAnsi="Times New Roman" w:eastAsia="仿宋_GB2312" w:cs="仿宋_GB2312"/>
          <w:color w:val="auto"/>
          <w:sz w:val="32"/>
          <w:szCs w:val="32"/>
          <w:highlight w:val="none"/>
        </w:rPr>
        <w:t>十二、</w:t>
      </w:r>
      <w:bookmarkEnd w:id="60"/>
      <w:r>
        <w:rPr>
          <w:rFonts w:hint="eastAsia" w:ascii="Times New Roman" w:hAnsi="Times New Roman" w:eastAsia="仿宋_GB2312" w:cs="仿宋_GB2312"/>
          <w:color w:val="auto"/>
          <w:sz w:val="32"/>
          <w:szCs w:val="32"/>
          <w:highlight w:val="none"/>
          <w:lang w:eastAsia="zh-CN"/>
        </w:rPr>
        <w:t>国有资本经营预算财政拨款支出决算表</w:t>
      </w:r>
    </w:p>
    <w:p w14:paraId="681ABD5A">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1" w:name="_Toc15396631"/>
      <w:r>
        <w:rPr>
          <w:rFonts w:hint="eastAsia" w:ascii="Times New Roman" w:hAnsi="Times New Roman" w:eastAsia="仿宋_GB2312" w:cs="仿宋_GB2312"/>
          <w:color w:val="auto"/>
          <w:sz w:val="32"/>
          <w:szCs w:val="32"/>
          <w:highlight w:val="none"/>
        </w:rPr>
        <w:t>十三、</w:t>
      </w:r>
      <w:bookmarkEnd w:id="61"/>
      <w:r>
        <w:rPr>
          <w:rFonts w:hint="eastAsia" w:ascii="Times New Roman" w:hAnsi="Times New Roman" w:eastAsia="仿宋_GB2312" w:cs="仿宋_GB2312"/>
          <w:color w:val="auto"/>
          <w:sz w:val="32"/>
          <w:szCs w:val="32"/>
          <w:highlight w:val="none"/>
          <w:lang w:eastAsia="zh-CN"/>
        </w:rPr>
        <w:t>财政拨款“三公”经费支出决算表</w:t>
      </w:r>
    </w:p>
    <w:p w14:paraId="5FFA3C27">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E53A8">
    <w:pPr>
      <w:pStyle w:val="11"/>
      <w:jc w:val="center"/>
    </w:pPr>
  </w:p>
  <w:p w14:paraId="494480CD">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BFD03">
    <w:pPr>
      <w:pStyle w:val="11"/>
      <w:jc w:val="center"/>
    </w:pPr>
  </w:p>
  <w:p w14:paraId="0189824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6EDB8">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D4AA3F">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1D4AA3F">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59BD0">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50AE67"/>
    <w:multiLevelType w:val="singleLevel"/>
    <w:tmpl w:val="AE50AE67"/>
    <w:lvl w:ilvl="0" w:tentative="0">
      <w:start w:val="2"/>
      <w:numFmt w:val="chineseCounting"/>
      <w:suff w:val="nothing"/>
      <w:lvlText w:val="（%1）"/>
      <w:lvlJc w:val="left"/>
      <w:rPr>
        <w:rFonts w:hint="eastAsia"/>
      </w:rPr>
    </w:lvl>
  </w:abstractNum>
  <w:abstractNum w:abstractNumId="1">
    <w:nsid w:val="E2A6BE58"/>
    <w:multiLevelType w:val="singleLevel"/>
    <w:tmpl w:val="E2A6BE58"/>
    <w:lvl w:ilvl="0" w:tentative="0">
      <w:start w:val="2"/>
      <w:numFmt w:val="chineseCounting"/>
      <w:suff w:val="nothing"/>
      <w:lvlText w:val="（%1）"/>
      <w:lvlJc w:val="left"/>
      <w:rPr>
        <w:rFonts w:hint="eastAsia"/>
      </w:rPr>
    </w:lvl>
  </w:abstractNum>
  <w:abstractNum w:abstractNumId="2">
    <w:nsid w:val="F1E03367"/>
    <w:multiLevelType w:val="singleLevel"/>
    <w:tmpl w:val="F1E03367"/>
    <w:lvl w:ilvl="0" w:tentative="0">
      <w:start w:val="1"/>
      <w:numFmt w:val="chineseCounting"/>
      <w:suff w:val="nothing"/>
      <w:lvlText w:val="%1、"/>
      <w:lvlJc w:val="left"/>
      <w:rPr>
        <w:rFonts w:hint="eastAsia"/>
      </w:rPr>
    </w:lvl>
  </w:abstractNum>
  <w:abstractNum w:abstractNumId="3">
    <w:nsid w:val="68C911E6"/>
    <w:multiLevelType w:val="singleLevel"/>
    <w:tmpl w:val="68C911E6"/>
    <w:lvl w:ilvl="0" w:tentative="0">
      <w:start w:val="1"/>
      <w:numFmt w:val="decimal"/>
      <w:suff w:val="nothing"/>
      <w:lvlText w:val="%1."/>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4F545EF"/>
    <w:rsid w:val="061E35DE"/>
    <w:rsid w:val="066E0107"/>
    <w:rsid w:val="07996F6E"/>
    <w:rsid w:val="07DFD8BA"/>
    <w:rsid w:val="08DB07E4"/>
    <w:rsid w:val="09867E8F"/>
    <w:rsid w:val="0A2032A3"/>
    <w:rsid w:val="0C6C4794"/>
    <w:rsid w:val="0CA8290A"/>
    <w:rsid w:val="0CFE6E73"/>
    <w:rsid w:val="0D35B1ED"/>
    <w:rsid w:val="0DE07E2B"/>
    <w:rsid w:val="0F98263C"/>
    <w:rsid w:val="101860EC"/>
    <w:rsid w:val="10194378"/>
    <w:rsid w:val="102F45B6"/>
    <w:rsid w:val="10C055FF"/>
    <w:rsid w:val="110A60E1"/>
    <w:rsid w:val="11772AA4"/>
    <w:rsid w:val="118107EC"/>
    <w:rsid w:val="11E5183D"/>
    <w:rsid w:val="12CC4DCF"/>
    <w:rsid w:val="13957196"/>
    <w:rsid w:val="13D50BC4"/>
    <w:rsid w:val="14022904"/>
    <w:rsid w:val="152F2A07"/>
    <w:rsid w:val="165E0673"/>
    <w:rsid w:val="16BB723D"/>
    <w:rsid w:val="16F13FCB"/>
    <w:rsid w:val="186504BB"/>
    <w:rsid w:val="1938089F"/>
    <w:rsid w:val="19A445FC"/>
    <w:rsid w:val="1B7D550C"/>
    <w:rsid w:val="1BE8440E"/>
    <w:rsid w:val="1D155CEE"/>
    <w:rsid w:val="1DE178F3"/>
    <w:rsid w:val="1E740ACF"/>
    <w:rsid w:val="1FF35744"/>
    <w:rsid w:val="1FF6BC77"/>
    <w:rsid w:val="21962A9E"/>
    <w:rsid w:val="219F63D1"/>
    <w:rsid w:val="21AE7C77"/>
    <w:rsid w:val="22BC3C41"/>
    <w:rsid w:val="23860B96"/>
    <w:rsid w:val="240371BF"/>
    <w:rsid w:val="260F557C"/>
    <w:rsid w:val="2699649B"/>
    <w:rsid w:val="281408E2"/>
    <w:rsid w:val="29FD04D3"/>
    <w:rsid w:val="2BFF7BC6"/>
    <w:rsid w:val="2C8A61B5"/>
    <w:rsid w:val="2D2E01CF"/>
    <w:rsid w:val="2DF04E50"/>
    <w:rsid w:val="2E9545B0"/>
    <w:rsid w:val="2F040D46"/>
    <w:rsid w:val="2FAE5751"/>
    <w:rsid w:val="2FB1A395"/>
    <w:rsid w:val="2FD9A7D8"/>
    <w:rsid w:val="319F7F4E"/>
    <w:rsid w:val="321B2544"/>
    <w:rsid w:val="3304709D"/>
    <w:rsid w:val="34281836"/>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ADC31DD"/>
    <w:rsid w:val="3B7EF35A"/>
    <w:rsid w:val="3B9FDB6C"/>
    <w:rsid w:val="3BF5BC2F"/>
    <w:rsid w:val="3CEBA265"/>
    <w:rsid w:val="3D98207C"/>
    <w:rsid w:val="3D9B0D99"/>
    <w:rsid w:val="3DE713D4"/>
    <w:rsid w:val="3DEE7CF3"/>
    <w:rsid w:val="3DF02244"/>
    <w:rsid w:val="3E78745D"/>
    <w:rsid w:val="3FF4CAE0"/>
    <w:rsid w:val="3FF7B227"/>
    <w:rsid w:val="40E54C45"/>
    <w:rsid w:val="41313393"/>
    <w:rsid w:val="43A407DF"/>
    <w:rsid w:val="44515BEA"/>
    <w:rsid w:val="44B732CB"/>
    <w:rsid w:val="44E268DA"/>
    <w:rsid w:val="453F7E5B"/>
    <w:rsid w:val="486A6C7A"/>
    <w:rsid w:val="49176D9B"/>
    <w:rsid w:val="494006BD"/>
    <w:rsid w:val="4A627F82"/>
    <w:rsid w:val="4B0E749A"/>
    <w:rsid w:val="4B4F25DA"/>
    <w:rsid w:val="4BDA0CFB"/>
    <w:rsid w:val="4BE068DB"/>
    <w:rsid w:val="4D3C0CCC"/>
    <w:rsid w:val="4D577224"/>
    <w:rsid w:val="4DBF1CEB"/>
    <w:rsid w:val="4EAB630A"/>
    <w:rsid w:val="4ECE2238"/>
    <w:rsid w:val="4F833267"/>
    <w:rsid w:val="4FE9BD67"/>
    <w:rsid w:val="4FFB052F"/>
    <w:rsid w:val="53083A92"/>
    <w:rsid w:val="537E6D0A"/>
    <w:rsid w:val="53AF27A2"/>
    <w:rsid w:val="53F74C96"/>
    <w:rsid w:val="56065614"/>
    <w:rsid w:val="56E47B74"/>
    <w:rsid w:val="57BD3DD4"/>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240417E"/>
    <w:rsid w:val="62BF3928"/>
    <w:rsid w:val="647F5392"/>
    <w:rsid w:val="664B1D71"/>
    <w:rsid w:val="67AA3209"/>
    <w:rsid w:val="681C4F0D"/>
    <w:rsid w:val="68375A04"/>
    <w:rsid w:val="69046D0F"/>
    <w:rsid w:val="698D0931"/>
    <w:rsid w:val="6A993CED"/>
    <w:rsid w:val="6B053271"/>
    <w:rsid w:val="6BCE6674"/>
    <w:rsid w:val="6BCF4242"/>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734D90"/>
    <w:rsid w:val="7332FE48"/>
    <w:rsid w:val="73AB61DA"/>
    <w:rsid w:val="73AD73D5"/>
    <w:rsid w:val="73B6EB34"/>
    <w:rsid w:val="73FA497D"/>
    <w:rsid w:val="744731E5"/>
    <w:rsid w:val="74527205"/>
    <w:rsid w:val="74BBD01D"/>
    <w:rsid w:val="74ED5379"/>
    <w:rsid w:val="74FC2395"/>
    <w:rsid w:val="75AF2AC6"/>
    <w:rsid w:val="75DEEEC2"/>
    <w:rsid w:val="76E3355F"/>
    <w:rsid w:val="76FF5125"/>
    <w:rsid w:val="776F6FFA"/>
    <w:rsid w:val="778769C8"/>
    <w:rsid w:val="77DC22F5"/>
    <w:rsid w:val="79086DAD"/>
    <w:rsid w:val="79974F09"/>
    <w:rsid w:val="79D7FD79"/>
    <w:rsid w:val="79EE5BA4"/>
    <w:rsid w:val="7A131E9C"/>
    <w:rsid w:val="7A894339"/>
    <w:rsid w:val="7AFF7572"/>
    <w:rsid w:val="7B6C7DFB"/>
    <w:rsid w:val="7B6D2971"/>
    <w:rsid w:val="7B9C3028"/>
    <w:rsid w:val="7BBFBED0"/>
    <w:rsid w:val="7BC3E394"/>
    <w:rsid w:val="7C1F3737"/>
    <w:rsid w:val="7CBFC87B"/>
    <w:rsid w:val="7CFE0F48"/>
    <w:rsid w:val="7D7EC23E"/>
    <w:rsid w:val="7D916348"/>
    <w:rsid w:val="7E8ADEBF"/>
    <w:rsid w:val="7EEF11D3"/>
    <w:rsid w:val="7F0971A6"/>
    <w:rsid w:val="7F293534"/>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8">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tabs>
        <w:tab w:val="left" w:pos="2160"/>
      </w:tabs>
      <w:ind w:firstLineChars="100"/>
    </w:pPr>
  </w:style>
  <w:style w:type="paragraph" w:styleId="3">
    <w:name w:val="Body Text"/>
    <w:basedOn w:val="1"/>
    <w:link w:val="27"/>
    <w:qFormat/>
    <w:uiPriority w:val="99"/>
    <w:pPr>
      <w:spacing w:beforeLines="30"/>
    </w:pPr>
    <w:rPr>
      <w:rFonts w:ascii="仿宋_GB2312" w:eastAsia="仿宋_GB2312"/>
      <w:kern w:val="0"/>
      <w:sz w:val="30"/>
    </w:rPr>
  </w:style>
  <w:style w:type="paragraph" w:styleId="7">
    <w:name w:val="Body Text Indent"/>
    <w:basedOn w:val="1"/>
    <w:next w:val="8"/>
    <w:qFormat/>
    <w:uiPriority w:val="0"/>
    <w:pPr>
      <w:spacing w:after="120"/>
      <w:ind w:leftChars="200"/>
    </w:pPr>
    <w:rPr>
      <w:rFonts w:ascii="仿宋_GB2312"/>
      <w:szCs w:val="32"/>
    </w:rPr>
  </w:style>
  <w:style w:type="paragraph" w:styleId="8">
    <w:name w:val="Body Text First Indent 2"/>
    <w:basedOn w:val="7"/>
    <w:unhideWhenUsed/>
    <w:qFormat/>
    <w:uiPriority w:val="99"/>
    <w:pPr>
      <w:ind w:firstLine="420" w:firstLineChars="200"/>
    </w:p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3"/>
    <w:semiHidden/>
    <w:unhideWhenUsed/>
    <w:qFormat/>
    <w:uiPriority w:val="99"/>
    <w:rPr>
      <w:sz w:val="18"/>
      <w:szCs w:val="18"/>
    </w:rPr>
  </w:style>
  <w:style w:type="paragraph" w:styleId="11">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footnote text"/>
    <w:basedOn w:val="1"/>
    <w:next w:val="8"/>
    <w:semiHidden/>
    <w:qFormat/>
    <w:uiPriority w:val="0"/>
    <w:pPr>
      <w:snapToGrid w:val="0"/>
      <w:jc w:val="left"/>
    </w:pPr>
    <w:rPr>
      <w:sz w:val="18"/>
      <w:szCs w:val="18"/>
    </w:rPr>
  </w:style>
  <w:style w:type="paragraph" w:styleId="15">
    <w:name w:val="toc 2"/>
    <w:basedOn w:val="1"/>
    <w:next w:val="1"/>
    <w:unhideWhenUsed/>
    <w:qFormat/>
    <w:uiPriority w:val="39"/>
    <w:pPr>
      <w:tabs>
        <w:tab w:val="right" w:leader="dot" w:pos="8296"/>
      </w:tabs>
      <w:ind w:left="420" w:leftChars="200"/>
    </w:pPr>
  </w:style>
  <w:style w:type="paragraph" w:styleId="16">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9">
    <w:name w:val="Strong"/>
    <w:basedOn w:val="18"/>
    <w:qFormat/>
    <w:uiPriority w:val="99"/>
    <w:rPr>
      <w:b/>
    </w:rPr>
  </w:style>
  <w:style w:type="character" w:styleId="20">
    <w:name w:val="Hyperlink"/>
    <w:basedOn w:val="18"/>
    <w:unhideWhenUsed/>
    <w:qFormat/>
    <w:uiPriority w:val="99"/>
    <w:rPr>
      <w:color w:val="0000FF" w:themeColor="hyperlink"/>
      <w:u w:val="single"/>
      <w14:textFill>
        <w14:solidFill>
          <w14:schemeClr w14:val="hlink"/>
        </w14:solidFill>
      </w14:textFill>
    </w:rPr>
  </w:style>
  <w:style w:type="paragraph" w:customStyle="1" w:styleId="21">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2">
    <w:name w:val="Header Char"/>
    <w:basedOn w:val="18"/>
    <w:semiHidden/>
    <w:qFormat/>
    <w:uiPriority w:val="99"/>
    <w:rPr>
      <w:rFonts w:ascii="Times New Roman" w:hAnsi="Times New Roman"/>
      <w:sz w:val="18"/>
      <w:szCs w:val="18"/>
    </w:rPr>
  </w:style>
  <w:style w:type="character" w:customStyle="1" w:styleId="23">
    <w:name w:val="页眉 Char"/>
    <w:link w:val="12"/>
    <w:semiHidden/>
    <w:qFormat/>
    <w:locked/>
    <w:uiPriority w:val="99"/>
    <w:rPr>
      <w:sz w:val="18"/>
    </w:rPr>
  </w:style>
  <w:style w:type="character" w:customStyle="1" w:styleId="24">
    <w:name w:val="Footer Char"/>
    <w:basedOn w:val="18"/>
    <w:semiHidden/>
    <w:qFormat/>
    <w:uiPriority w:val="99"/>
    <w:rPr>
      <w:rFonts w:ascii="Times New Roman" w:hAnsi="Times New Roman"/>
      <w:sz w:val="18"/>
      <w:szCs w:val="18"/>
    </w:rPr>
  </w:style>
  <w:style w:type="character" w:customStyle="1" w:styleId="25">
    <w:name w:val="页脚 Char"/>
    <w:link w:val="11"/>
    <w:qFormat/>
    <w:locked/>
    <w:uiPriority w:val="99"/>
    <w:rPr>
      <w:sz w:val="18"/>
    </w:rPr>
  </w:style>
  <w:style w:type="character" w:customStyle="1" w:styleId="26">
    <w:name w:val="Body Text Char"/>
    <w:basedOn w:val="18"/>
    <w:semiHidden/>
    <w:qFormat/>
    <w:uiPriority w:val="99"/>
    <w:rPr>
      <w:rFonts w:ascii="Times New Roman" w:hAnsi="Times New Roman"/>
      <w:szCs w:val="24"/>
    </w:rPr>
  </w:style>
  <w:style w:type="character" w:customStyle="1" w:styleId="27">
    <w:name w:val="正文文本 Char"/>
    <w:link w:val="3"/>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Char"/>
    <w:basedOn w:val="18"/>
    <w:link w:val="4"/>
    <w:qFormat/>
    <w:uiPriority w:val="9"/>
    <w:rPr>
      <w:rFonts w:ascii="Times New Roman" w:hAnsi="Times New Roman"/>
      <w:b/>
      <w:bCs/>
      <w:kern w:val="44"/>
      <w:sz w:val="44"/>
      <w:szCs w:val="44"/>
    </w:rPr>
  </w:style>
  <w:style w:type="character" w:customStyle="1" w:styleId="31">
    <w:name w:val="标题 2 Char"/>
    <w:basedOn w:val="18"/>
    <w:link w:val="5"/>
    <w:qFormat/>
    <w:uiPriority w:val="9"/>
    <w:rPr>
      <w:rFonts w:asciiTheme="majorHAnsi" w:hAnsiTheme="majorHAnsi" w:eastAsiaTheme="majorEastAsia" w:cstheme="majorBidi"/>
      <w:b/>
      <w:bCs/>
      <w:kern w:val="2"/>
      <w:sz w:val="32"/>
      <w:szCs w:val="32"/>
    </w:rPr>
  </w:style>
  <w:style w:type="paragraph" w:customStyle="1" w:styleId="32">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Char"/>
    <w:basedOn w:val="18"/>
    <w:link w:val="10"/>
    <w:semiHidden/>
    <w:qFormat/>
    <w:uiPriority w:val="99"/>
    <w:rPr>
      <w:rFonts w:ascii="Times New Roman" w:hAnsi="Times New Roman"/>
      <w:kern w:val="2"/>
      <w:sz w:val="18"/>
      <w:szCs w:val="18"/>
    </w:rPr>
  </w:style>
  <w:style w:type="character" w:customStyle="1" w:styleId="34">
    <w:name w:val="标题 3 Char"/>
    <w:basedOn w:val="18"/>
    <w:link w:val="6"/>
    <w:qFormat/>
    <w:uiPriority w:val="9"/>
    <w:rPr>
      <w:rFonts w:ascii="Times New Roman" w:hAnsi="Times New Roman"/>
      <w:b/>
      <w:bCs/>
      <w:kern w:val="2"/>
      <w:sz w:val="32"/>
      <w:szCs w:val="32"/>
    </w:rPr>
  </w:style>
  <w:style w:type="paragraph" w:customStyle="1" w:styleId="35">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64"/>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24年收入</c:v>
                </c:pt>
                <c:pt idx="1">
                  <c:v>25年收入</c:v>
                </c:pt>
              </c:strCache>
            </c:strRef>
          </c:cat>
          <c:val>
            <c:numRef>
              <c:f>Sheet1!$B$2:$B$3</c:f>
              <c:numCache>
                <c:formatCode>General</c:formatCode>
                <c:ptCount val="2"/>
                <c:pt idx="0">
                  <c:v>275.85</c:v>
                </c:pt>
                <c:pt idx="1">
                  <c:v>292.94</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454bd73-52ac-480a-a021-24735a33664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2025年本年收入结构图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财政拨款收入</c:v>
                </c:pt>
                <c:pt idx="1">
                  <c:v>事业收入</c:v>
                </c:pt>
              </c:strCache>
            </c:strRef>
          </c:cat>
          <c:val>
            <c:numRef>
              <c:f>Sheet1!$B$2:$B$3</c:f>
              <c:numCache>
                <c:formatCode>General</c:formatCode>
                <c:ptCount val="2"/>
                <c:pt idx="0">
                  <c:v>279.34</c:v>
                </c:pt>
                <c:pt idx="1">
                  <c:v>1.87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0eaa5f1-cd24-425a-a260-192cd6bbeb9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2023年本年支出结构图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255.1</c:v>
                </c:pt>
                <c:pt idx="1">
                  <c:v>37.84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ea4456b-fdfe-40bc-a9d9-bc305f40a40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416681486750845"/>
          <c:y val="0.40690310322989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25年财政收入</c:v>
                </c:pt>
                <c:pt idx="1">
                  <c:v>24年财政收入</c:v>
                </c:pt>
              </c:strCache>
            </c:strRef>
          </c:cat>
          <c:val>
            <c:numRef>
              <c:f>Sheet1!$B$2:$B$4</c:f>
              <c:numCache>
                <c:formatCode>General</c:formatCode>
                <c:ptCount val="3"/>
                <c:pt idx="0">
                  <c:v>279.34</c:v>
                </c:pt>
                <c:pt idx="1">
                  <c:v>275.85</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plotVisOnly val="1"/>
    <c:dispBlanksAs val="gap"/>
    <c:showDLblsOverMax val="0"/>
    <c:extLst>
      <c:ext uri="{0b15fc19-7d7d-44ad-8c2d-2c3a37ce22c3}">
        <chartProps xmlns="https://web.wps.cn/et/2018/main" chartId="{431102e3-92af-42a2-a256-8f01ecc8161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163758467763102"/>
          <c:y val="0.00898203592814371"/>
        </c:manualLayout>
      </c:layout>
      <c:overlay val="0"/>
      <c:spPr>
        <a:noFill/>
        <a:ln>
          <a:noFill/>
        </a:ln>
        <a:effectLst/>
      </c:spPr>
    </c:title>
    <c:autoTitleDeleted val="0"/>
    <c:plotArea>
      <c:layout>
        <c:manualLayout>
          <c:layoutTarget val="inner"/>
          <c:xMode val="edge"/>
          <c:yMode val="edge"/>
          <c:x val="0.0646466323102647"/>
          <c:y val="0.38622754491018"/>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24年财政支出</c:v>
                </c:pt>
                <c:pt idx="1">
                  <c:v>25年财政支出</c:v>
                </c:pt>
              </c:strCache>
            </c:strRef>
          </c:cat>
          <c:val>
            <c:numRef>
              <c:f>Sheet1!$B$2:$B$3</c:f>
              <c:numCache>
                <c:formatCode>General</c:formatCode>
                <c:ptCount val="2"/>
                <c:pt idx="0">
                  <c:v>275.85</c:v>
                </c:pt>
                <c:pt idx="1">
                  <c:v>279.34</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manualLayout>
          <c:xMode val="edge"/>
          <c:yMode val="edge"/>
          <c:x val="0.344692005242464"/>
          <c:y val="0.20658682634730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4a739c0-35a1-40d1-8861-184c0f618d8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34.54</c:v>
                </c:pt>
                <c:pt idx="1">
                  <c:v>224.94</c:v>
                </c:pt>
                <c:pt idx="2">
                  <c:v>19.86</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a83a1d2-e4b6-4954-8cca-3ca8bb676d8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4445</Words>
  <Characters>4850</Characters>
  <Lines>61</Lines>
  <Paragraphs>17</Paragraphs>
  <TotalTime>1</TotalTime>
  <ScaleCrop>false</ScaleCrop>
  <LinksUpToDate>false</LinksUpToDate>
  <CharactersWithSpaces>4866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2026-10-20T02:36:16Z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24D880469B6644BFA9F259A7BE0E095E_13</vt:lpwstr>
  </property>
  <property fmtid="{D5CDD505-2E9C-101B-9397-08002B2CF9AE}" pid="4" name="KSOTemplateDocerSaveRecord">
    <vt:lpwstr>eyJoZGlkIjoiNDNkMDU4ZTk0OTE4ZTI4YzBiNTQ0YzBiNjMxM2RlMjgifQ==</vt:lpwstr>
  </property>
</Properties>
</file>