
<file path=[Content_Types].xml><?xml version="1.0" encoding="utf-8"?>
<Types xmlns="http://schemas.openxmlformats.org/package/2006/content-types">
  <Default Extension="xml" ContentType="application/xml"/>
  <Default Extension="xlsx" ContentType="application/vnd.openxmlformats-officedocument.spreadsheetml.sheet"/>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charts/chart1.xml" ContentType="application/vnd.openxmlformats-officedocument.drawingml.chart+xml"/>
  <Override PartName="/word/charts/chart2.xml" ContentType="application/vnd.openxmlformats-officedocument.drawingml.chart+xml"/>
  <Override PartName="/word/charts/chart3.xml" ContentType="application/vnd.openxmlformats-officedocument.drawingml.chart+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charts/colors1.xml" ContentType="application/vnd.ms-office.chartcolorstyle+xml"/>
  <Override PartName="/word/charts/colors2.xml" ContentType="application/vnd.ms-office.chartcolorstyle+xml"/>
  <Override PartName="/word/charts/colors3.xml" ContentType="application/vnd.ms-office.chartcolorstyle+xml"/>
  <Override PartName="/word/charts/colors4.xml" ContentType="application/vnd.ms-office.chartcolorstyle+xml"/>
  <Override PartName="/word/charts/colors5.xml" ContentType="application/vnd.ms-office.chartcolorstyle+xml"/>
  <Override PartName="/word/charts/colors6.xml" ContentType="application/vnd.ms-office.chartcolorstyle+xml"/>
  <Override PartName="/word/charts/colors7.xml" ContentType="application/vnd.ms-office.chartcolorstyle+xml"/>
  <Override PartName="/word/charts/style1.xml" ContentType="application/vnd.ms-office.chartstyle+xml"/>
  <Override PartName="/word/charts/style2.xml" ContentType="application/vnd.ms-office.chartstyle+xml"/>
  <Override PartName="/word/charts/style3.xml" ContentType="application/vnd.ms-office.chartstyle+xml"/>
  <Override PartName="/word/charts/style4.xml" ContentType="application/vnd.ms-office.chartstyle+xml"/>
  <Override PartName="/word/charts/style5.xml" ContentType="application/vnd.ms-office.chartstyle+xml"/>
  <Override PartName="/word/charts/style6.xml" ContentType="application/vnd.ms-office.chartstyle+xml"/>
  <Override PartName="/word/charts/style7.xml" ContentType="application/vnd.ms-office.chartstyle+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348B6D61">
      <w:pPr>
        <w:pStyle w:val="3"/>
        <w:rPr>
          <w:rFonts w:hint="eastAsia" w:ascii="Times New Roman" w:hAnsi="Times New Roman" w:eastAsia="方正小标宋简体" w:cs="Times New Roman"/>
          <w:color w:val="auto"/>
          <w:kern w:val="2"/>
          <w:sz w:val="72"/>
          <w:szCs w:val="72"/>
          <w:highlight w:val="none"/>
          <w:lang w:val="en-US" w:eastAsia="zh-CN" w:bidi="ar-SA"/>
        </w:rPr>
      </w:pPr>
      <w:bookmarkStart w:id="0" w:name="_Toc15306267"/>
      <w:bookmarkStart w:id="1" w:name="_Toc15396475"/>
      <w:bookmarkStart w:id="2" w:name="_Toc15377425"/>
      <w:bookmarkStart w:id="3" w:name="_Toc15378441"/>
      <w:bookmarkStart w:id="4" w:name="_Toc15377193"/>
      <w:bookmarkStart w:id="5" w:name="_Toc15396597"/>
    </w:p>
    <w:p w14:paraId="2C1CED41">
      <w:pPr>
        <w:pStyle w:val="3"/>
        <w:rPr>
          <w:rFonts w:hint="eastAsia" w:ascii="Times New Roman" w:hAnsi="Times New Roman" w:eastAsia="方正小标宋简体" w:cs="Times New Roman"/>
          <w:color w:val="auto"/>
          <w:kern w:val="2"/>
          <w:sz w:val="72"/>
          <w:szCs w:val="72"/>
          <w:highlight w:val="none"/>
          <w:lang w:val="en-US" w:eastAsia="zh-CN" w:bidi="ar-SA"/>
        </w:rPr>
      </w:pPr>
    </w:p>
    <w:p w14:paraId="55CA9B69">
      <w:pPr>
        <w:pStyle w:val="3"/>
        <w:rPr>
          <w:rFonts w:hint="eastAsia" w:ascii="Times New Roman" w:hAnsi="Times New Roman" w:eastAsia="方正小标宋简体" w:cs="Times New Roman"/>
          <w:color w:val="auto"/>
          <w:kern w:val="2"/>
          <w:sz w:val="72"/>
          <w:szCs w:val="72"/>
          <w:highlight w:val="none"/>
          <w:lang w:val="en-US" w:eastAsia="zh-CN" w:bidi="ar-SA"/>
        </w:rPr>
      </w:pPr>
    </w:p>
    <w:p w14:paraId="52CB619F">
      <w:pPr>
        <w:pStyle w:val="3"/>
        <w:rPr>
          <w:rFonts w:hint="eastAsia" w:ascii="Times New Roman" w:hAnsi="Times New Roman" w:eastAsia="方正小标宋简体" w:cs="Times New Roman"/>
          <w:color w:val="auto"/>
          <w:kern w:val="2"/>
          <w:sz w:val="72"/>
          <w:szCs w:val="72"/>
          <w:highlight w:val="none"/>
          <w:lang w:val="en-US" w:eastAsia="zh-CN" w:bidi="ar-SA"/>
        </w:rPr>
      </w:pPr>
    </w:p>
    <w:p w14:paraId="1465A885">
      <w:pPr>
        <w:pStyle w:val="16"/>
        <w:keepNext w:val="0"/>
        <w:keepLines w:val="0"/>
        <w:widowControl/>
        <w:suppressLineNumbers w:val="0"/>
        <w:spacing w:before="0" w:beforeAutospacing="0"/>
        <w:ind w:left="0"/>
        <w:jc w:val="center"/>
        <w:rPr>
          <w:rFonts w:hint="eastAsia" w:ascii="仿宋" w:hAnsi="仿宋" w:eastAsia="仿宋" w:cs="仿宋"/>
          <w:sz w:val="36"/>
          <w:szCs w:val="36"/>
        </w:rPr>
      </w:pPr>
      <w:r>
        <w:rPr>
          <w:rStyle w:val="19"/>
          <w:rFonts w:hint="eastAsia" w:ascii="仿宋" w:hAnsi="仿宋" w:eastAsia="仿宋" w:cs="仿宋"/>
          <w:sz w:val="36"/>
          <w:szCs w:val="36"/>
          <w:shd w:val="clear" w:color="auto" w:fill="FFFFFF"/>
        </w:rPr>
        <w:t>202</w:t>
      </w:r>
      <w:r>
        <w:rPr>
          <w:rStyle w:val="19"/>
          <w:rFonts w:hint="eastAsia" w:ascii="仿宋" w:hAnsi="仿宋" w:eastAsia="仿宋" w:cs="仿宋"/>
          <w:sz w:val="36"/>
          <w:szCs w:val="36"/>
          <w:shd w:val="clear" w:color="auto" w:fill="FFFFFF"/>
          <w:lang w:val="en-US" w:eastAsia="zh-CN"/>
        </w:rPr>
        <w:t>5</w:t>
      </w:r>
      <w:r>
        <w:rPr>
          <w:rStyle w:val="19"/>
          <w:rFonts w:hint="eastAsia" w:ascii="仿宋" w:hAnsi="仿宋" w:eastAsia="仿宋" w:cs="仿宋"/>
          <w:sz w:val="36"/>
          <w:szCs w:val="36"/>
          <w:shd w:val="clear" w:color="auto" w:fill="FFFFFF"/>
        </w:rPr>
        <w:t>年度</w:t>
      </w:r>
    </w:p>
    <w:p w14:paraId="5AC61650">
      <w:pPr>
        <w:pStyle w:val="16"/>
        <w:keepNext w:val="0"/>
        <w:keepLines w:val="0"/>
        <w:widowControl/>
        <w:suppressLineNumbers w:val="0"/>
        <w:spacing w:before="0" w:beforeAutospacing="0"/>
        <w:ind w:left="0"/>
        <w:jc w:val="center"/>
        <w:rPr>
          <w:rFonts w:ascii="Times New Roman" w:hAnsi="Times New Roman"/>
        </w:rPr>
        <w:sectPr>
          <w:headerReference r:id="rId3" w:type="default"/>
          <w:footerReference r:id="rId4" w:type="default"/>
          <w:pgSz w:w="11906" w:h="16838"/>
          <w:pgMar w:top="1440" w:right="1800" w:bottom="1440" w:left="1800" w:header="851" w:footer="992" w:gutter="0"/>
          <w:pgNumType w:fmt="decimal" w:start="1"/>
          <w:cols w:space="425" w:num="1"/>
          <w:titlePg/>
          <w:docGrid w:type="lines" w:linePitch="312" w:charSpace="0"/>
        </w:sectPr>
      </w:pPr>
      <w:r>
        <w:rPr>
          <w:rStyle w:val="19"/>
          <w:rFonts w:hint="eastAsia" w:ascii="仿宋" w:hAnsi="仿宋" w:eastAsia="仿宋" w:cs="仿宋"/>
          <w:sz w:val="36"/>
          <w:szCs w:val="36"/>
          <w:shd w:val="clear" w:color="auto" w:fill="FFFFFF"/>
          <w:lang w:val="en-US" w:eastAsia="zh-CN"/>
        </w:rPr>
        <w:t xml:space="preserve">  </w:t>
      </w:r>
      <w:r>
        <w:rPr>
          <w:rStyle w:val="19"/>
          <w:rFonts w:hint="eastAsia" w:ascii="仿宋" w:hAnsi="仿宋" w:eastAsia="仿宋" w:cs="仿宋"/>
          <w:sz w:val="36"/>
          <w:szCs w:val="36"/>
          <w:shd w:val="clear" w:color="auto" w:fill="FFFFFF"/>
        </w:rPr>
        <w:t>阿坝州红原县</w:t>
      </w:r>
      <w:r>
        <w:rPr>
          <w:rStyle w:val="19"/>
          <w:rFonts w:hint="eastAsia" w:ascii="仿宋" w:hAnsi="仿宋" w:eastAsia="仿宋" w:cs="仿宋"/>
          <w:sz w:val="36"/>
          <w:szCs w:val="36"/>
          <w:shd w:val="clear" w:color="auto" w:fill="FFFFFF"/>
          <w:lang w:val="en-US" w:eastAsia="zh-CN"/>
        </w:rPr>
        <w:t>邛溪镇社区</w:t>
      </w:r>
      <w:r>
        <w:rPr>
          <w:rStyle w:val="19"/>
          <w:rFonts w:hint="eastAsia" w:ascii="仿宋" w:hAnsi="仿宋" w:eastAsia="仿宋" w:cs="仿宋"/>
          <w:sz w:val="36"/>
          <w:szCs w:val="36"/>
          <w:shd w:val="clear" w:color="auto" w:fill="FFFFFF"/>
        </w:rPr>
        <w:t>卫生</w:t>
      </w:r>
      <w:r>
        <w:rPr>
          <w:rStyle w:val="19"/>
          <w:rFonts w:hint="eastAsia" w:ascii="仿宋" w:hAnsi="仿宋" w:eastAsia="仿宋" w:cs="仿宋"/>
          <w:sz w:val="36"/>
          <w:szCs w:val="36"/>
          <w:shd w:val="clear" w:color="auto" w:fill="FFFFFF"/>
          <w:lang w:val="en-US" w:eastAsia="zh-CN"/>
        </w:rPr>
        <w:t>服务中心</w:t>
      </w:r>
      <w:r>
        <w:rPr>
          <w:rStyle w:val="19"/>
          <w:rFonts w:hint="eastAsia" w:ascii="仿宋" w:hAnsi="仿宋" w:eastAsia="仿宋" w:cs="仿宋"/>
          <w:sz w:val="36"/>
          <w:szCs w:val="36"/>
          <w:shd w:val="clear" w:color="auto" w:fill="FFFFFF"/>
          <w:lang w:eastAsia="zh-CN"/>
        </w:rPr>
        <w:t>单位</w:t>
      </w:r>
      <w:r>
        <w:rPr>
          <w:rStyle w:val="19"/>
          <w:rFonts w:hint="eastAsia" w:ascii="仿宋" w:hAnsi="仿宋" w:eastAsia="仿宋" w:cs="仿宋"/>
          <w:sz w:val="36"/>
          <w:szCs w:val="36"/>
          <w:shd w:val="clear" w:color="auto" w:fill="FFFFFF"/>
        </w:rPr>
        <w:t>决算</w:t>
      </w:r>
      <w:r>
        <w:rPr>
          <w:rStyle w:val="19"/>
          <w:rFonts w:hint="eastAsia" w:ascii="仿宋" w:hAnsi="仿宋" w:eastAsia="仿宋" w:cs="仿宋"/>
          <w:sz w:val="36"/>
          <w:szCs w:val="36"/>
          <w:shd w:val="clear" w:color="auto" w:fill="FFFFFF"/>
          <w:lang w:eastAsia="zh-CN"/>
        </w:rPr>
        <w:t>公开说明</w:t>
      </w:r>
    </w:p>
    <w:p w14:paraId="51261F27">
      <w:pPr>
        <w:pStyle w:val="3"/>
        <w:jc w:val="both"/>
        <w:rPr>
          <w:rFonts w:hint="eastAsia" w:ascii="Times New Roman" w:hAnsi="Times New Roman" w:eastAsia="方正小标宋简体" w:cs="Times New Roman"/>
          <w:color w:val="auto"/>
          <w:kern w:val="2"/>
          <w:sz w:val="44"/>
          <w:szCs w:val="44"/>
          <w:highlight w:val="none"/>
          <w:lang w:val="en-US" w:eastAsia="zh-CN" w:bidi="ar-SA"/>
        </w:rPr>
      </w:pPr>
    </w:p>
    <w:bookmarkEnd w:id="0"/>
    <w:bookmarkEnd w:id="1"/>
    <w:bookmarkEnd w:id="2"/>
    <w:bookmarkEnd w:id="3"/>
    <w:bookmarkEnd w:id="4"/>
    <w:bookmarkEnd w:id="5"/>
    <w:p w14:paraId="01D881B0">
      <w:pPr>
        <w:widowControl/>
        <w:jc w:val="center"/>
        <w:rPr>
          <w:rFonts w:ascii="Times New Roman" w:hAnsi="Times New Roman" w:eastAsia="黑体"/>
          <w:color w:val="auto"/>
          <w:sz w:val="48"/>
          <w:szCs w:val="48"/>
          <w:highlight w:val="none"/>
        </w:rPr>
      </w:pPr>
      <w:r>
        <w:rPr>
          <w:rFonts w:hint="eastAsia" w:ascii="Times New Roman" w:hAnsi="Times New Roman" w:eastAsia="黑体"/>
          <w:color w:val="auto"/>
          <w:sz w:val="48"/>
          <w:szCs w:val="48"/>
          <w:highlight w:val="none"/>
        </w:rPr>
        <w:t>目录</w:t>
      </w:r>
    </w:p>
    <w:p w14:paraId="4EADF43F">
      <w:pPr>
        <w:widowControl/>
        <w:jc w:val="center"/>
        <w:rPr>
          <w:rFonts w:ascii="Times New Roman" w:hAnsi="Times New Roman" w:eastAsia="黑体" w:cstheme="minorBidi"/>
          <w:color w:val="auto"/>
          <w:sz w:val="28"/>
          <w:szCs w:val="28"/>
          <w:highlight w:val="none"/>
        </w:rPr>
      </w:pPr>
    </w:p>
    <w:p w14:paraId="36E5FAE9">
      <w:pPr>
        <w:pStyle w:val="13"/>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公开时间：20</w:t>
      </w:r>
      <w:r>
        <w:rPr>
          <w:rFonts w:hint="eastAsia" w:ascii="Times New Roman" w:hAnsi="Times New Roman" w:eastAsia="仿宋_GB2312" w:cs="仿宋_GB2312"/>
          <w:color w:val="auto"/>
          <w:sz w:val="32"/>
          <w:szCs w:val="32"/>
          <w:highlight w:val="none"/>
          <w:lang w:val="en-US" w:eastAsia="zh-CN"/>
        </w:rPr>
        <w:t>26</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val="en-US" w:eastAsia="zh-CN"/>
        </w:rPr>
        <w:t xml:space="preserve"> 10 </w:t>
      </w:r>
      <w:r>
        <w:rPr>
          <w:rFonts w:hint="eastAsia" w:ascii="Times New Roman" w:hAnsi="Times New Roman" w:eastAsia="仿宋_GB2312" w:cs="仿宋_GB2312"/>
          <w:color w:val="auto"/>
          <w:sz w:val="32"/>
          <w:szCs w:val="32"/>
          <w:highlight w:val="none"/>
        </w:rPr>
        <w:t>月</w:t>
      </w:r>
      <w:r>
        <w:rPr>
          <w:rFonts w:hint="eastAsia" w:ascii="Times New Roman" w:hAnsi="Times New Roman" w:eastAsia="仿宋_GB2312" w:cs="仿宋_GB2312"/>
          <w:color w:val="auto"/>
          <w:sz w:val="32"/>
          <w:szCs w:val="32"/>
          <w:highlight w:val="none"/>
          <w:lang w:val="en-US" w:eastAsia="zh-CN"/>
        </w:rPr>
        <w:t xml:space="preserve"> 19 </w:t>
      </w:r>
      <w:r>
        <w:rPr>
          <w:rFonts w:hint="eastAsia" w:ascii="Times New Roman" w:hAnsi="Times New Roman" w:eastAsia="仿宋_GB2312" w:cs="仿宋_GB2312"/>
          <w:color w:val="auto"/>
          <w:sz w:val="32"/>
          <w:szCs w:val="32"/>
          <w:highlight w:val="none"/>
        </w:rPr>
        <w:t>日</w:t>
      </w:r>
    </w:p>
    <w:p w14:paraId="54238EAE">
      <w:pPr>
        <w:rPr>
          <w:rFonts w:ascii="Times New Roman" w:hAnsi="Times New Roman"/>
          <w:color w:val="auto"/>
          <w:highlight w:val="none"/>
        </w:rPr>
      </w:pPr>
    </w:p>
    <w:p w14:paraId="48250263">
      <w:pPr>
        <w:pStyle w:val="13"/>
        <w:adjustRightInd w:val="0"/>
        <w:snapToGrid w:val="0"/>
        <w:spacing w:before="0" w:line="440" w:lineRule="exact"/>
        <w:jc w:val="left"/>
        <w:rPr>
          <w:rFonts w:hint="eastAsia" w:ascii="宋体" w:hAnsi="宋体" w:eastAsia="宋体" w:cs="宋体"/>
          <w:sz w:val="24"/>
          <w:szCs w:val="24"/>
        </w:rPr>
      </w:pPr>
      <w:bookmarkStart w:id="6" w:name="_Toc15396599"/>
      <w:bookmarkStart w:id="7" w:name="_Toc15377196"/>
      <w:r>
        <w:rPr>
          <w:rFonts w:hint="eastAsia" w:ascii="宋体" w:hAnsi="宋体" w:eastAsia="宋体" w:cs="宋体"/>
          <w:sz w:val="24"/>
        </w:rPr>
        <w:t>第一部分 部门概况</w:t>
      </w:r>
    </w:p>
    <w:p w14:paraId="1F8B7E54">
      <w:pPr>
        <w:pStyle w:val="9"/>
        <w:bidi w:val="0"/>
        <w:ind w:left="0" w:leftChars="0" w:firstLine="420" w:firstLineChars="200"/>
        <w:rPr>
          <w:rFonts w:hint="eastAsia"/>
          <w:lang w:val="en-US" w:eastAsia="zh-CN"/>
        </w:rPr>
      </w:pPr>
      <w:r>
        <w:rPr>
          <w:rFonts w:hint="eastAsia"/>
        </w:rPr>
        <w:t>一</w:t>
      </w:r>
      <w:r>
        <w:rPr>
          <w:rFonts w:hint="eastAsia"/>
          <w:sz w:val="24"/>
          <w:szCs w:val="24"/>
        </w:rPr>
        <w:t>、基本职能及主要工作</w:t>
      </w:r>
      <w:r>
        <w:tab/>
      </w:r>
      <w:r>
        <w:rPr>
          <w:rFonts w:hint="eastAsia"/>
          <w:lang w:val="en-US" w:eastAsia="zh-CN"/>
        </w:rPr>
        <w:t>1</w:t>
      </w:r>
    </w:p>
    <w:p w14:paraId="56D98A10">
      <w:pPr>
        <w:pStyle w:val="9"/>
        <w:bidi w:val="0"/>
        <w:ind w:left="0" w:leftChars="0" w:firstLine="480" w:firstLineChars="200"/>
        <w:rPr>
          <w:rFonts w:hint="default" w:eastAsia="宋体"/>
          <w:lang w:val="en-US" w:eastAsia="zh-CN"/>
        </w:rPr>
      </w:pPr>
      <w:r>
        <w:rPr>
          <w:rFonts w:hint="eastAsia"/>
          <w:sz w:val="24"/>
        </w:rPr>
        <w:t>二、机构设置</w:t>
      </w:r>
      <w:r>
        <w:tab/>
      </w:r>
      <w:r>
        <w:rPr>
          <w:rFonts w:hint="eastAsia"/>
          <w:lang w:val="en-US" w:eastAsia="zh-CN"/>
        </w:rPr>
        <w:t>2</w:t>
      </w:r>
    </w:p>
    <w:p w14:paraId="0B12986C">
      <w:pPr>
        <w:pStyle w:val="13"/>
        <w:adjustRightInd w:val="0"/>
        <w:snapToGrid w:val="0"/>
        <w:spacing w:before="0" w:line="440" w:lineRule="exact"/>
        <w:jc w:val="left"/>
        <w:rPr>
          <w:rFonts w:hint="eastAsia" w:ascii="宋体" w:hAnsi="宋体" w:eastAsia="宋体" w:cs="宋体"/>
          <w:sz w:val="24"/>
          <w:szCs w:val="24"/>
        </w:rPr>
      </w:pPr>
      <w:r>
        <w:rPr>
          <w:rFonts w:hint="eastAsia" w:ascii="宋体" w:hAnsi="宋体" w:eastAsia="宋体" w:cs="宋体"/>
          <w:sz w:val="24"/>
        </w:rPr>
        <w:t>第二部分度部门决算情况说明</w:t>
      </w:r>
    </w:p>
    <w:p w14:paraId="6F7E7E8A">
      <w:pPr>
        <w:pStyle w:val="9"/>
        <w:bidi w:val="0"/>
        <w:ind w:left="0" w:leftChars="0" w:firstLine="480" w:firstLineChars="200"/>
        <w:rPr>
          <w:rFonts w:hint="eastAsia" w:eastAsia="宋体"/>
          <w:lang w:val="en-US" w:eastAsia="zh-CN"/>
        </w:rPr>
      </w:pPr>
      <w:r>
        <w:rPr>
          <w:rFonts w:hint="eastAsia"/>
          <w:sz w:val="24"/>
        </w:rPr>
        <w:t>一、收入支出决算总体情况说明</w:t>
      </w:r>
      <w:r>
        <w:tab/>
      </w:r>
      <w:r>
        <w:rPr>
          <w:rFonts w:hint="eastAsia"/>
          <w:lang w:val="en-US" w:eastAsia="zh-CN"/>
        </w:rPr>
        <w:t>3</w:t>
      </w:r>
    </w:p>
    <w:p w14:paraId="33FFFE27">
      <w:pPr>
        <w:pStyle w:val="9"/>
        <w:bidi w:val="0"/>
        <w:ind w:left="0" w:leftChars="0" w:firstLine="480" w:firstLineChars="200"/>
        <w:rPr>
          <w:rFonts w:hint="eastAsia"/>
          <w:lang w:val="en-US" w:eastAsia="zh-CN"/>
        </w:rPr>
      </w:pPr>
      <w:r>
        <w:rPr>
          <w:rFonts w:hint="eastAsia"/>
          <w:sz w:val="24"/>
        </w:rPr>
        <w:t>二、收入决算情况说明</w:t>
      </w:r>
      <w:r>
        <w:tab/>
      </w:r>
      <w:r>
        <w:rPr>
          <w:rFonts w:hint="eastAsia"/>
          <w:lang w:val="en-US" w:eastAsia="zh-CN"/>
        </w:rPr>
        <w:t>3</w:t>
      </w:r>
    </w:p>
    <w:p w14:paraId="7A6C7610">
      <w:pPr>
        <w:pStyle w:val="9"/>
        <w:bidi w:val="0"/>
        <w:ind w:left="0" w:leftChars="0" w:firstLine="480" w:firstLineChars="200"/>
        <w:rPr>
          <w:rFonts w:hint="eastAsia" w:eastAsia="宋体"/>
          <w:lang w:val="en-US" w:eastAsia="zh-CN"/>
        </w:rPr>
      </w:pPr>
      <w:r>
        <w:rPr>
          <w:rFonts w:hint="eastAsia"/>
          <w:sz w:val="24"/>
        </w:rPr>
        <w:t>三、支出决算情况说明</w:t>
      </w:r>
      <w:r>
        <w:tab/>
      </w:r>
      <w:r>
        <w:rPr>
          <w:rFonts w:hint="eastAsia"/>
          <w:lang w:val="en-US" w:eastAsia="zh-CN"/>
        </w:rPr>
        <w:t>4</w:t>
      </w:r>
    </w:p>
    <w:p w14:paraId="27C2E73F">
      <w:pPr>
        <w:pStyle w:val="9"/>
        <w:bidi w:val="0"/>
        <w:ind w:left="0" w:leftChars="0" w:firstLine="480" w:firstLineChars="200"/>
        <w:rPr>
          <w:rFonts w:hint="eastAsia" w:eastAsia="宋体"/>
          <w:lang w:val="en-US" w:eastAsia="zh-CN"/>
        </w:rPr>
      </w:pPr>
      <w:r>
        <w:rPr>
          <w:rFonts w:hint="eastAsia"/>
          <w:sz w:val="24"/>
        </w:rPr>
        <w:t>四、财政拨款收入支出决算总体情况说明</w:t>
      </w:r>
      <w:r>
        <w:tab/>
      </w:r>
      <w:r>
        <w:rPr>
          <w:rFonts w:hint="eastAsia"/>
          <w:lang w:val="en-US" w:eastAsia="zh-CN"/>
        </w:rPr>
        <w:t>5</w:t>
      </w:r>
    </w:p>
    <w:p w14:paraId="63BED48D">
      <w:pPr>
        <w:pStyle w:val="9"/>
        <w:bidi w:val="0"/>
        <w:ind w:left="0" w:leftChars="0" w:firstLine="480" w:firstLineChars="200"/>
        <w:rPr>
          <w:rFonts w:hint="eastAsia" w:eastAsia="宋体"/>
          <w:lang w:val="en-US" w:eastAsia="zh-CN"/>
        </w:rPr>
      </w:pPr>
      <w:r>
        <w:rPr>
          <w:rFonts w:hint="eastAsia"/>
          <w:sz w:val="24"/>
        </w:rPr>
        <w:t>五、一般公共预算财政拨款支出决算情况说明</w:t>
      </w:r>
      <w:r>
        <w:tab/>
      </w:r>
      <w:r>
        <w:rPr>
          <w:rFonts w:hint="eastAsia"/>
          <w:lang w:val="en-US" w:eastAsia="zh-CN"/>
        </w:rPr>
        <w:t>6</w:t>
      </w:r>
    </w:p>
    <w:p w14:paraId="532895ED">
      <w:pPr>
        <w:pStyle w:val="9"/>
        <w:bidi w:val="0"/>
        <w:ind w:left="0" w:leftChars="0" w:firstLine="480" w:firstLineChars="200"/>
        <w:rPr>
          <w:rFonts w:hint="eastAsia" w:eastAsia="宋体"/>
          <w:lang w:val="en-US" w:eastAsia="zh-CN"/>
        </w:rPr>
      </w:pPr>
      <w:r>
        <w:rPr>
          <w:rFonts w:hint="eastAsia"/>
          <w:sz w:val="24"/>
        </w:rPr>
        <w:t>六、一般公共预算财政拨款基本支出决算情况说明</w:t>
      </w:r>
      <w:r>
        <w:tab/>
      </w:r>
      <w:r>
        <w:rPr>
          <w:rFonts w:hint="eastAsia"/>
          <w:lang w:val="en-US" w:eastAsia="zh-CN"/>
        </w:rPr>
        <w:t>7</w:t>
      </w:r>
    </w:p>
    <w:p w14:paraId="4C5AA5E3">
      <w:pPr>
        <w:pStyle w:val="9"/>
        <w:bidi w:val="0"/>
        <w:ind w:left="0" w:leftChars="0" w:firstLine="480" w:firstLineChars="200"/>
        <w:rPr>
          <w:rFonts w:hint="eastAsia" w:eastAsia="宋体"/>
          <w:lang w:val="en-US" w:eastAsia="zh-CN"/>
        </w:rPr>
      </w:pPr>
      <w:r>
        <w:rPr>
          <w:rFonts w:hint="eastAsia"/>
          <w:sz w:val="24"/>
        </w:rPr>
        <w:t>七、</w:t>
      </w:r>
      <w:r>
        <w:rPr>
          <w:sz w:val="24"/>
        </w:rPr>
        <w:t>“</w:t>
      </w:r>
      <w:r>
        <w:rPr>
          <w:rFonts w:hint="eastAsia"/>
          <w:sz w:val="24"/>
        </w:rPr>
        <w:t>三公”经费财政拨款支出决算情况说明</w:t>
      </w:r>
      <w:r>
        <w:tab/>
      </w:r>
      <w:r>
        <w:rPr>
          <w:rFonts w:hint="eastAsia"/>
          <w:lang w:val="en-US" w:eastAsia="zh-CN"/>
        </w:rPr>
        <w:t>8</w:t>
      </w:r>
    </w:p>
    <w:p w14:paraId="50101AC4">
      <w:pPr>
        <w:pStyle w:val="9"/>
        <w:bidi w:val="0"/>
        <w:ind w:left="0" w:leftChars="0" w:firstLine="480" w:firstLineChars="200"/>
        <w:rPr>
          <w:rFonts w:hint="eastAsia" w:eastAsia="宋体"/>
          <w:lang w:val="en-US" w:eastAsia="zh-CN"/>
        </w:rPr>
      </w:pPr>
      <w:r>
        <w:rPr>
          <w:rFonts w:hint="eastAsia"/>
          <w:sz w:val="24"/>
        </w:rPr>
        <w:t>八、政府性基金预算支出决算情况说明</w:t>
      </w:r>
      <w:r>
        <w:tab/>
      </w:r>
      <w:r>
        <w:rPr>
          <w:rFonts w:hint="eastAsia"/>
          <w:lang w:val="en-US" w:eastAsia="zh-CN"/>
        </w:rPr>
        <w:t>9</w:t>
      </w:r>
    </w:p>
    <w:p w14:paraId="718F90BC">
      <w:pPr>
        <w:pStyle w:val="9"/>
        <w:bidi w:val="0"/>
        <w:ind w:left="0" w:leftChars="0" w:firstLine="480" w:firstLineChars="200"/>
        <w:rPr>
          <w:rFonts w:hint="default"/>
          <w:lang w:val="en-US" w:eastAsia="zh-CN"/>
        </w:rPr>
      </w:pPr>
      <w:r>
        <w:rPr>
          <w:rFonts w:hint="eastAsia" w:ascii="仿宋" w:hAnsi="仿宋" w:eastAsia="仿宋"/>
          <w:sz w:val="24"/>
        </w:rPr>
        <w:t>九、</w:t>
      </w:r>
      <w:r>
        <w:rPr>
          <w:sz w:val="24"/>
        </w:rPr>
        <w:t xml:space="preserve"> 国</w:t>
      </w:r>
      <w:r>
        <w:rPr>
          <w:rFonts w:hint="eastAsia"/>
          <w:sz w:val="24"/>
        </w:rPr>
        <w:t>有资本经营预算支出决算情况说明</w:t>
      </w:r>
      <w:r>
        <w:tab/>
      </w:r>
      <w:r>
        <w:rPr>
          <w:rFonts w:hint="eastAsia"/>
          <w:lang w:val="en-US" w:eastAsia="zh-CN"/>
        </w:rPr>
        <w:t>10</w:t>
      </w:r>
    </w:p>
    <w:p w14:paraId="3C9C685C">
      <w:pPr>
        <w:pStyle w:val="9"/>
        <w:bidi w:val="0"/>
        <w:ind w:left="0" w:leftChars="0" w:firstLine="480" w:firstLineChars="200"/>
        <w:rPr>
          <w:rFonts w:hint="default" w:eastAsia="宋体"/>
          <w:lang w:val="en-US" w:eastAsia="zh-CN"/>
        </w:rPr>
      </w:pPr>
      <w:r>
        <w:rPr>
          <w:rStyle w:val="20"/>
          <w:rFonts w:hint="eastAsia" w:ascii="仿宋" w:hAnsi="仿宋" w:eastAsia="仿宋"/>
          <w:color w:val="000000" w:themeColor="text1"/>
          <w:sz w:val="24"/>
          <w:u w:val="none"/>
          <w14:textFill>
            <w14:solidFill>
              <w14:schemeClr w14:val="tx1"/>
            </w14:solidFill>
          </w14:textFill>
        </w:rPr>
        <w:t>十、</w:t>
      </w:r>
      <w:r>
        <w:rPr>
          <w:rFonts w:hint="eastAsia"/>
          <w:sz w:val="24"/>
        </w:rPr>
        <w:t>其他重要事项的情况说</w:t>
      </w:r>
      <w:r>
        <w:tab/>
      </w:r>
      <w:r>
        <w:rPr>
          <w:rFonts w:hint="eastAsia"/>
          <w:lang w:val="en-US" w:eastAsia="zh-CN"/>
        </w:rPr>
        <w:t>10</w:t>
      </w:r>
    </w:p>
    <w:p w14:paraId="6546FA13">
      <w:pPr>
        <w:pStyle w:val="9"/>
        <w:bidi w:val="0"/>
        <w:ind w:left="0" w:leftChars="0" w:firstLine="0" w:firstLineChars="0"/>
        <w:rPr>
          <w:rFonts w:hint="default" w:eastAsia="宋体"/>
          <w:lang w:val="en-US" w:eastAsia="zh-CN"/>
        </w:rPr>
      </w:pPr>
      <w:r>
        <w:rPr>
          <w:rFonts w:hint="eastAsia"/>
          <w:sz w:val="24"/>
        </w:rPr>
        <w:t>第三部分</w:t>
      </w:r>
      <w:r>
        <w:rPr>
          <w:sz w:val="24"/>
        </w:rPr>
        <w:t xml:space="preserve"> </w:t>
      </w:r>
      <w:r>
        <w:rPr>
          <w:rFonts w:hint="eastAsia"/>
          <w:sz w:val="24"/>
        </w:rPr>
        <w:t>名词解释</w:t>
      </w:r>
      <w:r>
        <w:tab/>
      </w:r>
      <w:r>
        <w:rPr>
          <w:rFonts w:hint="eastAsia"/>
          <w:lang w:val="en-US" w:eastAsia="zh-CN"/>
        </w:rPr>
        <w:t>13</w:t>
      </w:r>
    </w:p>
    <w:p w14:paraId="16CC9AB4">
      <w:pPr>
        <w:pStyle w:val="13"/>
        <w:adjustRightInd w:val="0"/>
        <w:snapToGrid w:val="0"/>
        <w:spacing w:before="0" w:line="440" w:lineRule="exact"/>
        <w:jc w:val="left"/>
        <w:rPr>
          <w:rFonts w:cstheme="minorBidi"/>
          <w:sz w:val="24"/>
          <w:szCs w:val="24"/>
        </w:rPr>
      </w:pPr>
      <w:r>
        <w:rPr>
          <w:rFonts w:hint="eastAsia" w:asciiTheme="majorEastAsia" w:hAnsiTheme="majorEastAsia" w:eastAsiaTheme="majorEastAsia" w:cstheme="majorEastAsia"/>
          <w:sz w:val="24"/>
        </w:rPr>
        <w:t>第四部分 附件</w:t>
      </w:r>
    </w:p>
    <w:p w14:paraId="12923E60">
      <w:pPr>
        <w:pStyle w:val="9"/>
        <w:bidi w:val="0"/>
        <w:ind w:left="0" w:leftChars="0" w:firstLine="480" w:firstLineChars="200"/>
        <w:rPr>
          <w:rFonts w:hint="default" w:eastAsia="宋体"/>
          <w:lang w:val="en-US" w:eastAsia="zh-CN"/>
        </w:rPr>
      </w:pPr>
      <w:r>
        <w:rPr>
          <w:rFonts w:hint="eastAsia"/>
          <w:sz w:val="24"/>
        </w:rPr>
        <w:t>附件</w:t>
      </w:r>
      <w:r>
        <w:rPr>
          <w:sz w:val="24"/>
        </w:rPr>
        <w:t>1</w:t>
      </w:r>
      <w:r>
        <w:tab/>
      </w:r>
      <w:r>
        <w:rPr>
          <w:rFonts w:hint="eastAsia"/>
          <w:lang w:val="en-US" w:eastAsia="zh-CN"/>
        </w:rPr>
        <w:t>14</w:t>
      </w:r>
    </w:p>
    <w:p w14:paraId="42E2FAD4">
      <w:pPr>
        <w:pStyle w:val="9"/>
        <w:bidi w:val="0"/>
        <w:ind w:left="0" w:leftChars="0" w:firstLine="480" w:firstLineChars="200"/>
        <w:rPr>
          <w:rFonts w:hint="default" w:eastAsia="宋体"/>
          <w:lang w:val="en-US" w:eastAsia="zh-CN"/>
        </w:rPr>
      </w:pPr>
      <w:r>
        <w:rPr>
          <w:rFonts w:hint="eastAsia"/>
          <w:sz w:val="24"/>
        </w:rPr>
        <w:t>附件</w:t>
      </w:r>
      <w:r>
        <w:rPr>
          <w:sz w:val="24"/>
        </w:rPr>
        <w:t>2</w:t>
      </w:r>
      <w:r>
        <w:tab/>
      </w:r>
      <w:r>
        <w:rPr>
          <w:rFonts w:hint="eastAsia"/>
          <w:lang w:val="en-US" w:eastAsia="zh-CN"/>
        </w:rPr>
        <w:t>19</w:t>
      </w:r>
    </w:p>
    <w:p w14:paraId="3EC88F00">
      <w:pPr>
        <w:pStyle w:val="9"/>
        <w:bidi w:val="0"/>
        <w:ind w:left="0" w:leftChars="0" w:firstLine="0" w:firstLineChars="0"/>
        <w:rPr>
          <w:rFonts w:hint="default"/>
          <w:lang w:val="en-US" w:eastAsia="zh-CN"/>
        </w:rPr>
      </w:pPr>
      <w:r>
        <w:rPr>
          <w:rFonts w:hint="eastAsia"/>
          <w:sz w:val="24"/>
        </w:rPr>
        <w:t>第五部分</w:t>
      </w:r>
      <w:r>
        <w:rPr>
          <w:sz w:val="24"/>
        </w:rPr>
        <w:t xml:space="preserve"> </w:t>
      </w:r>
      <w:r>
        <w:rPr>
          <w:rFonts w:hint="eastAsia"/>
          <w:sz w:val="24"/>
        </w:rPr>
        <w:t>附表</w:t>
      </w:r>
      <w:r>
        <w:tab/>
      </w:r>
      <w:r>
        <w:rPr>
          <w:rFonts w:hint="eastAsia"/>
          <w:lang w:val="en-US" w:eastAsia="zh-CN"/>
        </w:rPr>
        <w:t>23</w:t>
      </w:r>
    </w:p>
    <w:p w14:paraId="11C6BA5D">
      <w:pPr>
        <w:pStyle w:val="9"/>
        <w:bidi w:val="0"/>
        <w:ind w:left="0" w:leftChars="0" w:firstLine="480" w:firstLineChars="200"/>
        <w:rPr>
          <w:rFonts w:hint="default" w:eastAsia="宋体"/>
          <w:lang w:val="en-US" w:eastAsia="zh-CN"/>
        </w:rPr>
      </w:pPr>
      <w:r>
        <w:rPr>
          <w:rFonts w:hint="eastAsia" w:ascii="仿宋" w:hAnsi="仿宋" w:eastAsia="仿宋"/>
          <w:sz w:val="24"/>
        </w:rPr>
        <w:t>一、</w:t>
      </w:r>
      <w:r>
        <w:rPr>
          <w:rFonts w:hint="eastAsia"/>
          <w:sz w:val="24"/>
        </w:rPr>
        <w:t>收入支出决算总表</w:t>
      </w:r>
    </w:p>
    <w:p w14:paraId="1F6E34AD">
      <w:pPr>
        <w:pStyle w:val="9"/>
        <w:bidi w:val="0"/>
        <w:ind w:left="0" w:leftChars="0" w:firstLine="480" w:firstLineChars="200"/>
        <w:rPr>
          <w:rFonts w:hint="eastAsia" w:ascii="宋体" w:hAnsi="宋体" w:eastAsia="宋体" w:cs="宋体"/>
          <w:sz w:val="24"/>
        </w:rPr>
      </w:pPr>
      <w:r>
        <w:rPr>
          <w:rFonts w:hint="eastAsia" w:ascii="仿宋" w:hAnsi="仿宋" w:eastAsia="仿宋"/>
          <w:sz w:val="24"/>
        </w:rPr>
        <w:t>二、</w:t>
      </w:r>
      <w:r>
        <w:rPr>
          <w:rFonts w:hint="eastAsia" w:ascii="宋体" w:hAnsi="宋体" w:eastAsia="宋体" w:cs="宋体"/>
          <w:sz w:val="24"/>
        </w:rPr>
        <w:t>收入决算表</w:t>
      </w:r>
    </w:p>
    <w:p w14:paraId="2775F6B5">
      <w:pPr>
        <w:pStyle w:val="9"/>
        <w:bidi w:val="0"/>
        <w:ind w:left="0" w:leftChars="0" w:firstLine="480" w:firstLineChars="200"/>
        <w:rPr>
          <w:rFonts w:hint="eastAsia"/>
          <w:sz w:val="24"/>
        </w:rPr>
      </w:pPr>
      <w:r>
        <w:rPr>
          <w:rFonts w:hint="eastAsia" w:ascii="宋体" w:hAnsi="宋体" w:eastAsia="宋体" w:cs="宋体"/>
          <w:sz w:val="24"/>
        </w:rPr>
        <w:t>三、支出决算表</w:t>
      </w:r>
    </w:p>
    <w:p w14:paraId="3FCE6CFA">
      <w:pPr>
        <w:pStyle w:val="9"/>
        <w:bidi w:val="0"/>
        <w:ind w:left="0" w:leftChars="0" w:firstLine="480" w:firstLineChars="200"/>
        <w:rPr>
          <w:rFonts w:hint="default" w:eastAsia="宋体"/>
          <w:lang w:val="en-US" w:eastAsia="zh-CN"/>
        </w:rPr>
      </w:pPr>
      <w:r>
        <w:rPr>
          <w:rFonts w:hint="eastAsia" w:ascii="仿宋" w:hAnsi="仿宋" w:eastAsia="仿宋"/>
          <w:sz w:val="24"/>
        </w:rPr>
        <w:t>四、</w:t>
      </w:r>
      <w:r>
        <w:rPr>
          <w:rFonts w:hint="eastAsia"/>
          <w:sz w:val="24"/>
        </w:rPr>
        <w:t>财政拨款收入支出决算总表</w:t>
      </w:r>
    </w:p>
    <w:p w14:paraId="79AD7FF5">
      <w:pPr>
        <w:pStyle w:val="9"/>
        <w:bidi w:val="0"/>
        <w:ind w:left="0" w:leftChars="0" w:firstLine="480" w:firstLineChars="200"/>
        <w:rPr>
          <w:rFonts w:hint="eastAsia" w:ascii="宋体" w:hAnsi="宋体" w:eastAsia="宋体" w:cs="宋体"/>
          <w:sz w:val="24"/>
        </w:rPr>
      </w:pPr>
      <w:r>
        <w:rPr>
          <w:rFonts w:hint="eastAsia" w:ascii="仿宋" w:hAnsi="仿宋" w:eastAsia="仿宋"/>
          <w:sz w:val="24"/>
        </w:rPr>
        <w:t>五、</w:t>
      </w:r>
      <w:r>
        <w:rPr>
          <w:rFonts w:hint="eastAsia" w:ascii="宋体" w:hAnsi="宋体" w:eastAsia="宋体" w:cs="宋体"/>
          <w:sz w:val="24"/>
        </w:rPr>
        <w:t>财政拨款支出决算明细表</w:t>
      </w:r>
    </w:p>
    <w:p w14:paraId="28EBD749">
      <w:pPr>
        <w:pStyle w:val="9"/>
        <w:bidi w:val="0"/>
        <w:ind w:left="0" w:leftChars="0" w:firstLine="480" w:firstLineChars="200"/>
        <w:rPr>
          <w:rFonts w:hint="eastAsia"/>
          <w:sz w:val="24"/>
        </w:rPr>
      </w:pPr>
      <w:r>
        <w:rPr>
          <w:rFonts w:hint="eastAsia" w:ascii="仿宋" w:hAnsi="仿宋" w:eastAsia="仿宋"/>
          <w:sz w:val="24"/>
        </w:rPr>
        <w:t>六、</w:t>
      </w:r>
      <w:r>
        <w:rPr>
          <w:rFonts w:hint="eastAsia"/>
          <w:sz w:val="24"/>
        </w:rPr>
        <w:t>一般公共预算财政拨款支出决算表</w:t>
      </w:r>
    </w:p>
    <w:p w14:paraId="33D6F622">
      <w:pPr>
        <w:pStyle w:val="9"/>
        <w:bidi w:val="0"/>
        <w:ind w:left="0" w:leftChars="0" w:firstLine="480" w:firstLineChars="200"/>
        <w:rPr>
          <w:rFonts w:hint="eastAsia"/>
          <w:sz w:val="24"/>
        </w:rPr>
      </w:pPr>
      <w:r>
        <w:rPr>
          <w:rFonts w:hint="eastAsia" w:ascii="仿宋" w:hAnsi="仿宋" w:eastAsia="仿宋"/>
          <w:sz w:val="24"/>
        </w:rPr>
        <w:t>七、</w:t>
      </w:r>
      <w:r>
        <w:rPr>
          <w:rFonts w:hint="eastAsia"/>
          <w:sz w:val="24"/>
        </w:rPr>
        <w:t>一般公共预算财政拨款支出决算明细表</w:t>
      </w:r>
    </w:p>
    <w:p w14:paraId="3D11A48E">
      <w:pPr>
        <w:pStyle w:val="9"/>
        <w:bidi w:val="0"/>
        <w:ind w:left="0" w:leftChars="0" w:firstLine="480" w:firstLineChars="200"/>
        <w:rPr>
          <w:rFonts w:hint="default" w:eastAsia="宋体"/>
          <w:lang w:val="en-US" w:eastAsia="zh-CN"/>
        </w:rPr>
      </w:pPr>
      <w:r>
        <w:rPr>
          <w:rFonts w:hint="eastAsia" w:ascii="仿宋" w:hAnsi="仿宋" w:eastAsia="仿宋"/>
          <w:sz w:val="24"/>
        </w:rPr>
        <w:t>八、</w:t>
      </w:r>
      <w:r>
        <w:rPr>
          <w:rFonts w:hint="eastAsia"/>
          <w:sz w:val="24"/>
        </w:rPr>
        <w:t>一般公共预算财政拨款基本支出决算表</w:t>
      </w:r>
    </w:p>
    <w:p w14:paraId="7D282624">
      <w:pPr>
        <w:pStyle w:val="9"/>
        <w:bidi w:val="0"/>
        <w:ind w:left="0" w:leftChars="0" w:firstLine="480" w:firstLineChars="200"/>
        <w:rPr>
          <w:rFonts w:hint="eastAsia"/>
          <w:sz w:val="24"/>
        </w:rPr>
      </w:pPr>
      <w:r>
        <w:rPr>
          <w:rFonts w:hint="eastAsia" w:ascii="仿宋" w:hAnsi="仿宋" w:eastAsia="仿宋"/>
          <w:sz w:val="24"/>
        </w:rPr>
        <w:t>九、</w:t>
      </w:r>
      <w:r>
        <w:rPr>
          <w:rFonts w:hint="eastAsia"/>
          <w:sz w:val="24"/>
        </w:rPr>
        <w:t>一般公共预算财政拨款项目支出决算表</w:t>
      </w:r>
    </w:p>
    <w:p w14:paraId="13B33685">
      <w:pPr>
        <w:pStyle w:val="9"/>
        <w:bidi w:val="0"/>
        <w:ind w:left="0" w:leftChars="0" w:firstLine="480" w:firstLineChars="200"/>
        <w:rPr>
          <w:rFonts w:hint="eastAsia"/>
          <w:sz w:val="24"/>
        </w:rPr>
      </w:pPr>
      <w:r>
        <w:rPr>
          <w:rFonts w:hint="eastAsia" w:ascii="仿宋" w:hAnsi="仿宋" w:eastAsia="仿宋"/>
          <w:sz w:val="24"/>
        </w:rPr>
        <w:t>十、</w:t>
      </w:r>
      <w:r>
        <w:rPr>
          <w:rFonts w:hint="eastAsia"/>
          <w:sz w:val="24"/>
        </w:rPr>
        <w:t>一般公共预算财政拨款“三公”经费支出决算表</w:t>
      </w:r>
    </w:p>
    <w:p w14:paraId="16080411">
      <w:pPr>
        <w:pStyle w:val="9"/>
        <w:bidi w:val="0"/>
        <w:ind w:left="0" w:leftChars="0" w:firstLine="480" w:firstLineChars="200"/>
        <w:rPr>
          <w:rFonts w:hint="eastAsia"/>
          <w:sz w:val="24"/>
        </w:rPr>
      </w:pPr>
      <w:r>
        <w:rPr>
          <w:rFonts w:hint="eastAsia" w:ascii="仿宋" w:hAnsi="仿宋" w:eastAsia="仿宋"/>
          <w:sz w:val="24"/>
        </w:rPr>
        <w:t>十一、</w:t>
      </w:r>
      <w:r>
        <w:rPr>
          <w:rFonts w:hint="eastAsia"/>
          <w:sz w:val="24"/>
        </w:rPr>
        <w:t>政府性基金预算财政拨款收入支出决算表</w:t>
      </w:r>
    </w:p>
    <w:p w14:paraId="7212AD80">
      <w:pPr>
        <w:pStyle w:val="9"/>
        <w:bidi w:val="0"/>
        <w:ind w:left="0" w:leftChars="0" w:firstLine="480" w:firstLineChars="200"/>
        <w:rPr>
          <w:rFonts w:hint="eastAsia"/>
          <w:sz w:val="24"/>
        </w:rPr>
      </w:pPr>
      <w:r>
        <w:rPr>
          <w:rFonts w:hint="eastAsia" w:ascii="仿宋" w:hAnsi="仿宋" w:eastAsia="仿宋"/>
          <w:sz w:val="24"/>
        </w:rPr>
        <w:t>十二、</w:t>
      </w:r>
      <w:r>
        <w:rPr>
          <w:rFonts w:hint="eastAsia"/>
          <w:sz w:val="24"/>
        </w:rPr>
        <w:t>政府性基金预算财政拨款“三公”经费支出决算表</w:t>
      </w:r>
    </w:p>
    <w:p w14:paraId="1B91C245">
      <w:pPr>
        <w:pStyle w:val="9"/>
        <w:bidi w:val="0"/>
        <w:ind w:left="0" w:leftChars="0" w:firstLine="480" w:firstLineChars="200"/>
        <w:rPr>
          <w:rFonts w:hint="eastAsia"/>
          <w:sz w:val="24"/>
        </w:rPr>
      </w:pPr>
      <w:r>
        <w:rPr>
          <w:rFonts w:hint="eastAsia" w:ascii="仿宋" w:hAnsi="仿宋" w:eastAsia="仿宋"/>
          <w:sz w:val="24"/>
        </w:rPr>
        <w:t>十三、</w:t>
      </w:r>
      <w:r>
        <w:rPr>
          <w:rFonts w:hint="eastAsia"/>
          <w:sz w:val="24"/>
        </w:rPr>
        <w:t>国有资本经营预算支出决算表</w:t>
      </w:r>
    </w:p>
    <w:p w14:paraId="13D8B046">
      <w:pPr>
        <w:pStyle w:val="4"/>
        <w:jc w:val="center"/>
        <w:rPr>
          <w:rStyle w:val="30"/>
          <w:rFonts w:hint="eastAsia" w:ascii="Times New Roman" w:hAnsi="Times New Roman" w:eastAsia="方正小标宋简体" w:cs="方正小标宋简体"/>
          <w:b/>
          <w:bCs w:val="0"/>
          <w:color w:val="auto"/>
          <w:highlight w:val="none"/>
        </w:rPr>
      </w:pPr>
      <w:r>
        <w:rPr>
          <w:rFonts w:hint="eastAsia" w:ascii="Times New Roman" w:hAnsi="Times New Roman" w:eastAsia="方正小标宋简体" w:cs="方正小标宋简体"/>
          <w:b w:val="0"/>
          <w:color w:val="auto"/>
          <w:highlight w:val="none"/>
        </w:rPr>
        <w:t>第一部分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Style w:val="30"/>
          <w:rFonts w:hint="eastAsia" w:ascii="Times New Roman" w:hAnsi="Times New Roman" w:eastAsia="方正小标宋简体" w:cs="方正小标宋简体"/>
          <w:b w:val="0"/>
          <w:bCs w:val="0"/>
          <w:color w:val="auto"/>
          <w:highlight w:val="none"/>
        </w:rPr>
        <w:t>部门概况</w:t>
      </w:r>
      <w:bookmarkEnd w:id="6"/>
      <w:bookmarkEnd w:id="7"/>
    </w:p>
    <w:p w14:paraId="01AFAA9C">
      <w:pPr>
        <w:widowControl/>
        <w:jc w:val="left"/>
        <w:rPr>
          <w:rFonts w:ascii="Times New Roman" w:hAnsi="Times New Roman" w:eastAsia="黑体"/>
          <w:color w:val="auto"/>
          <w:sz w:val="32"/>
          <w:szCs w:val="32"/>
          <w:highlight w:val="none"/>
        </w:rPr>
      </w:pPr>
    </w:p>
    <w:p w14:paraId="3905D1B3">
      <w:pPr>
        <w:pStyle w:val="5"/>
        <w:numPr>
          <w:ilvl w:val="0"/>
          <w:numId w:val="1"/>
        </w:numPr>
        <w:rPr>
          <w:rFonts w:hint="eastAsia" w:ascii="Times New Roman" w:hAnsi="Times New Roman" w:eastAsia="黑体"/>
          <w:b w:val="0"/>
          <w:color w:val="auto"/>
          <w:highlight w:val="none"/>
          <w:lang w:eastAsia="zh-CN"/>
        </w:rPr>
      </w:pPr>
      <w:r>
        <w:rPr>
          <w:rFonts w:hint="eastAsia" w:ascii="Times New Roman" w:hAnsi="Times New Roman" w:eastAsia="黑体"/>
          <w:b w:val="0"/>
          <w:color w:val="auto"/>
          <w:highlight w:val="none"/>
          <w:lang w:eastAsia="zh-CN"/>
        </w:rPr>
        <w:t>部门职责</w:t>
      </w:r>
    </w:p>
    <w:p w14:paraId="2A05EB5D">
      <w:pPr>
        <w:numPr>
          <w:ilvl w:val="0"/>
          <w:numId w:val="0"/>
        </w:numPr>
        <w:ind w:firstLine="640" w:firstLineChars="200"/>
        <w:rPr>
          <w:rFonts w:hint="eastAsia"/>
          <w:lang w:eastAsia="zh-CN"/>
        </w:rPr>
      </w:pPr>
      <w:r>
        <w:rPr>
          <w:rFonts w:hint="eastAsia" w:ascii="仿宋" w:hAnsi="仿宋" w:eastAsia="仿宋" w:cs="仿宋"/>
          <w:sz w:val="32"/>
          <w:szCs w:val="32"/>
          <w:lang w:val="en-US" w:eastAsia="zh-CN"/>
        </w:rPr>
        <w:t xml:space="preserve"> </w:t>
      </w:r>
      <w:r>
        <w:rPr>
          <w:rFonts w:hint="eastAsia" w:ascii="仿宋" w:hAnsi="仿宋" w:eastAsia="仿宋" w:cs="仿宋"/>
          <w:sz w:val="32"/>
          <w:szCs w:val="32"/>
          <w:lang w:eastAsia="zh-CN"/>
        </w:rPr>
        <w:t>宣传贯彻党和政府的各项医疗卫生方针政策，协助</w:t>
      </w:r>
      <w:r>
        <w:rPr>
          <w:rFonts w:hint="eastAsia" w:ascii="仿宋" w:hAnsi="仿宋" w:eastAsia="仿宋" w:cs="仿宋"/>
          <w:sz w:val="32"/>
          <w:szCs w:val="32"/>
          <w:lang w:val="en-US" w:eastAsia="zh-CN"/>
        </w:rPr>
        <w:t>开展突发公共卫生事件应急调查和处置工作</w:t>
      </w:r>
      <w:r>
        <w:rPr>
          <w:rFonts w:hint="eastAsia" w:ascii="仿宋" w:hAnsi="仿宋" w:eastAsia="仿宋" w:cs="仿宋"/>
          <w:sz w:val="32"/>
          <w:szCs w:val="32"/>
          <w:lang w:eastAsia="zh-CN"/>
        </w:rPr>
        <w:t>；承担区域内公共卫生相关信息的收集和报告。协助做好新型农村合作医疗工作；提供基本公共卫生服务，包括建立居民健康档案、</w:t>
      </w:r>
      <w:r>
        <w:rPr>
          <w:rFonts w:hint="eastAsia" w:ascii="仿宋" w:hAnsi="仿宋" w:eastAsia="仿宋" w:cs="仿宋"/>
          <w:sz w:val="32"/>
          <w:szCs w:val="32"/>
          <w:lang w:val="en-US" w:eastAsia="zh-CN"/>
        </w:rPr>
        <w:t>-</w:t>
      </w:r>
      <w:r>
        <w:rPr>
          <w:rFonts w:hint="eastAsia" w:ascii="仿宋" w:hAnsi="仿宋" w:eastAsia="仿宋" w:cs="仿宋"/>
          <w:sz w:val="32"/>
          <w:szCs w:val="32"/>
          <w:lang w:eastAsia="zh-CN"/>
        </w:rPr>
        <w:t>管理、重性精神疾病管理、儿童保健、孕产妇保健、老年人保健等；协助处置突发公共卫生事件。</w:t>
      </w:r>
    </w:p>
    <w:p w14:paraId="1211EBED">
      <w:pPr>
        <w:pStyle w:val="5"/>
        <w:rPr>
          <w:rStyle w:val="31"/>
          <w:rFonts w:ascii="Times New Roman" w:hAnsi="Times New Roman"/>
          <w:b w:val="0"/>
          <w:bCs w:val="0"/>
          <w:color w:val="auto"/>
          <w:highlight w:val="none"/>
        </w:rPr>
      </w:pPr>
      <w:bookmarkStart w:id="8" w:name="_Toc15377200"/>
      <w:bookmarkStart w:id="9" w:name="_Toc15396601"/>
      <w:r>
        <w:rPr>
          <w:rFonts w:hint="eastAsia" w:ascii="Times New Roman" w:hAnsi="Times New Roman" w:eastAsia="黑体"/>
          <w:b w:val="0"/>
          <w:color w:val="auto"/>
          <w:highlight w:val="none"/>
        </w:rPr>
        <w:t>二、机</w:t>
      </w:r>
      <w:r>
        <w:rPr>
          <w:rStyle w:val="31"/>
          <w:rFonts w:hint="eastAsia" w:ascii="Times New Roman" w:hAnsi="Times New Roman" w:eastAsia="黑体"/>
          <w:b w:val="0"/>
          <w:bCs w:val="0"/>
          <w:color w:val="auto"/>
          <w:highlight w:val="none"/>
        </w:rPr>
        <w:t>构设置</w:t>
      </w:r>
      <w:bookmarkEnd w:id="8"/>
      <w:bookmarkEnd w:id="9"/>
    </w:p>
    <w:p w14:paraId="36372670">
      <w:pPr>
        <w:keepNext w:val="0"/>
        <w:keepLines w:val="0"/>
        <w:widowControl/>
        <w:numPr>
          <w:ilvl w:val="0"/>
          <w:numId w:val="0"/>
        </w:numPr>
        <w:suppressLineNumbers w:val="0"/>
        <w:adjustRightInd w:val="0"/>
        <w:snapToGrid w:val="0"/>
        <w:spacing w:before="0" w:beforeAutospacing="0" w:after="0" w:afterAutospacing="0" w:line="480" w:lineRule="exact"/>
        <w:ind w:right="0" w:rightChars="0" w:firstLine="640" w:firstLineChars="200"/>
        <w:jc w:val="left"/>
        <w:rPr>
          <w:rFonts w:hint="eastAsia" w:ascii="仿宋" w:hAnsi="仿宋" w:eastAsia="仿宋" w:cs="仿宋"/>
          <w:color w:val="000000"/>
          <w:kern w:val="0"/>
          <w:sz w:val="32"/>
          <w:szCs w:val="32"/>
          <w:lang w:val="en-US" w:eastAsia="zh-CN"/>
        </w:rPr>
      </w:pPr>
      <w:r>
        <w:rPr>
          <w:rFonts w:hint="eastAsia" w:ascii="仿宋" w:hAnsi="仿宋" w:eastAsia="仿宋" w:cs="仿宋"/>
          <w:color w:val="auto"/>
          <w:sz w:val="32"/>
          <w:szCs w:val="32"/>
          <w:highlight w:val="none"/>
        </w:rPr>
        <w:t>红原县</w:t>
      </w:r>
      <w:r>
        <w:rPr>
          <w:rFonts w:hint="eastAsia" w:ascii="仿宋" w:hAnsi="仿宋" w:eastAsia="仿宋" w:cs="仿宋"/>
          <w:color w:val="auto"/>
          <w:sz w:val="32"/>
          <w:szCs w:val="32"/>
          <w:highlight w:val="none"/>
          <w:lang w:eastAsia="zh-CN"/>
        </w:rPr>
        <w:t>邛溪镇社区卫生服务中心</w:t>
      </w:r>
      <w:r>
        <w:rPr>
          <w:rFonts w:hint="eastAsia" w:ascii="仿宋" w:hAnsi="仿宋" w:eastAsia="仿宋" w:cs="仿宋"/>
          <w:color w:val="auto"/>
          <w:sz w:val="32"/>
          <w:szCs w:val="32"/>
          <w:highlight w:val="none"/>
        </w:rPr>
        <w:t>下属二级</w:t>
      </w:r>
      <w:r>
        <w:rPr>
          <w:rFonts w:hint="eastAsia" w:ascii="仿宋" w:hAnsi="仿宋" w:eastAsia="仿宋" w:cs="仿宋"/>
          <w:color w:val="auto"/>
          <w:sz w:val="32"/>
          <w:szCs w:val="32"/>
          <w:highlight w:val="none"/>
          <w:lang w:eastAsia="zh-CN"/>
        </w:rPr>
        <w:t>预算</w:t>
      </w:r>
      <w:r>
        <w:rPr>
          <w:rFonts w:hint="eastAsia" w:ascii="仿宋" w:hAnsi="仿宋" w:eastAsia="仿宋" w:cs="仿宋"/>
          <w:color w:val="auto"/>
          <w:sz w:val="32"/>
          <w:szCs w:val="32"/>
          <w:highlight w:val="none"/>
        </w:rPr>
        <w:t>单位</w:t>
      </w:r>
      <w:r>
        <w:rPr>
          <w:rFonts w:hint="eastAsia" w:ascii="仿宋" w:hAnsi="仿宋" w:eastAsia="仿宋" w:cs="仿宋"/>
          <w:color w:val="auto"/>
          <w:sz w:val="32"/>
          <w:szCs w:val="32"/>
          <w:highlight w:val="none"/>
          <w:lang w:val="en-US" w:eastAsia="zh-CN"/>
        </w:rPr>
        <w:t>0</w:t>
      </w:r>
      <w:r>
        <w:rPr>
          <w:rFonts w:hint="eastAsia" w:ascii="仿宋" w:hAnsi="仿宋" w:eastAsia="仿宋" w:cs="仿宋"/>
          <w:color w:val="auto"/>
          <w:sz w:val="32"/>
          <w:szCs w:val="32"/>
          <w:highlight w:val="none"/>
        </w:rPr>
        <w:t>个</w:t>
      </w:r>
      <w:r>
        <w:rPr>
          <w:rFonts w:hint="eastAsia" w:ascii="仿宋" w:hAnsi="仿宋" w:eastAsia="仿宋" w:cs="仿宋"/>
          <w:color w:val="auto"/>
          <w:sz w:val="32"/>
          <w:szCs w:val="32"/>
          <w:highlight w:val="none"/>
          <w:lang w:eastAsia="zh-CN"/>
        </w:rPr>
        <w:t>，</w:t>
      </w:r>
      <w:r>
        <w:rPr>
          <w:rFonts w:hint="eastAsia" w:ascii="仿宋" w:hAnsi="仿宋" w:eastAsia="仿宋" w:cs="仿宋"/>
          <w:bCs/>
          <w:sz w:val="32"/>
          <w:szCs w:val="32"/>
        </w:rPr>
        <w:t>我单位为独立核算全额拨款事业单位，</w:t>
      </w:r>
      <w:r>
        <w:rPr>
          <w:rFonts w:hint="eastAsia" w:ascii="仿宋" w:hAnsi="仿宋" w:eastAsia="仿宋" w:cs="仿宋"/>
          <w:bCs/>
          <w:sz w:val="32"/>
          <w:szCs w:val="32"/>
          <w:lang w:eastAsia="zh-CN"/>
        </w:rPr>
        <w:t>下设</w:t>
      </w:r>
      <w:r>
        <w:rPr>
          <w:rFonts w:hint="eastAsia" w:ascii="仿宋" w:hAnsi="仿宋" w:eastAsia="仿宋" w:cs="仿宋"/>
          <w:bCs/>
          <w:sz w:val="32"/>
          <w:szCs w:val="32"/>
          <w:lang w:val="en-US" w:eastAsia="zh-CN"/>
        </w:rPr>
        <w:t>1机构。</w:t>
      </w:r>
      <w:r>
        <w:rPr>
          <w:rFonts w:hint="eastAsia" w:ascii="仿宋" w:hAnsi="仿宋" w:eastAsia="仿宋" w:cs="仿宋"/>
          <w:bCs/>
          <w:sz w:val="32"/>
          <w:szCs w:val="32"/>
        </w:rPr>
        <w:t>截止20</w:t>
      </w:r>
      <w:r>
        <w:rPr>
          <w:rFonts w:hint="eastAsia" w:ascii="仿宋" w:hAnsi="仿宋" w:eastAsia="仿宋" w:cs="仿宋"/>
          <w:bCs/>
          <w:sz w:val="32"/>
          <w:szCs w:val="32"/>
          <w:lang w:val="en-US" w:eastAsia="zh-CN"/>
        </w:rPr>
        <w:t>25</w:t>
      </w:r>
      <w:r>
        <w:rPr>
          <w:rFonts w:hint="eastAsia" w:ascii="仿宋" w:hAnsi="仿宋" w:eastAsia="仿宋" w:cs="仿宋"/>
          <w:bCs/>
          <w:sz w:val="32"/>
          <w:szCs w:val="32"/>
        </w:rPr>
        <w:t>年底我单位</w:t>
      </w:r>
      <w:r>
        <w:rPr>
          <w:rFonts w:hint="eastAsia" w:ascii="仿宋" w:hAnsi="仿宋" w:eastAsia="仿宋" w:cs="仿宋"/>
          <w:color w:val="000000"/>
          <w:kern w:val="0"/>
          <w:sz w:val="32"/>
          <w:szCs w:val="32"/>
          <w:lang w:val="en-US" w:eastAsia="zh-CN" w:bidi="ar"/>
        </w:rPr>
        <w:t>共有编制5个，其中事业编5个，在职5人,</w:t>
      </w:r>
      <w:r>
        <w:rPr>
          <w:rFonts w:hint="eastAsia" w:ascii="仿宋" w:hAnsi="仿宋" w:eastAsia="仿宋" w:cs="仿宋"/>
          <w:bCs/>
          <w:sz w:val="32"/>
          <w:szCs w:val="32"/>
        </w:rPr>
        <w:t>事业编制</w:t>
      </w:r>
      <w:r>
        <w:rPr>
          <w:rFonts w:hint="eastAsia" w:ascii="仿宋" w:hAnsi="仿宋" w:eastAsia="仿宋" w:cs="仿宋"/>
          <w:bCs/>
          <w:sz w:val="32"/>
          <w:szCs w:val="32"/>
          <w:lang w:val="en-US" w:eastAsia="zh-CN"/>
        </w:rPr>
        <w:t>5</w:t>
      </w:r>
      <w:r>
        <w:rPr>
          <w:rFonts w:hint="eastAsia" w:ascii="仿宋" w:hAnsi="仿宋" w:eastAsia="仿宋" w:cs="仿宋"/>
          <w:bCs/>
          <w:sz w:val="32"/>
          <w:szCs w:val="32"/>
        </w:rPr>
        <w:t>人。</w:t>
      </w:r>
    </w:p>
    <w:p w14:paraId="493A593A">
      <w:pPr>
        <w:widowControl/>
        <w:ind w:firstLine="640" w:firstLineChars="200"/>
        <w:jc w:val="left"/>
        <w:rPr>
          <w:rFonts w:ascii="Times New Roman" w:hAnsi="Times New Roman" w:eastAsia="仿宋"/>
          <w:color w:val="auto"/>
          <w:kern w:val="0"/>
          <w:sz w:val="32"/>
          <w:szCs w:val="32"/>
          <w:highlight w:val="none"/>
        </w:rPr>
      </w:pPr>
      <w:r>
        <w:rPr>
          <w:rFonts w:hint="eastAsia" w:ascii="Times New Roman" w:hAnsi="Times New Roman" w:eastAsia="仿宋_GB2312" w:cs="仿宋_GB2312"/>
          <w:color w:val="auto"/>
          <w:sz w:val="32"/>
          <w:szCs w:val="32"/>
          <w:highlight w:val="none"/>
        </w:rPr>
        <w:t>纳入</w:t>
      </w:r>
      <w:r>
        <w:rPr>
          <w:sz w:val="32"/>
          <w:szCs w:val="32"/>
        </w:rPr>
        <w:t>红原县</w:t>
      </w:r>
      <w:r>
        <w:rPr>
          <w:rFonts w:hint="eastAsia"/>
          <w:sz w:val="32"/>
          <w:szCs w:val="32"/>
          <w:lang w:eastAsia="zh-CN"/>
        </w:rPr>
        <w:t>邛溪镇</w:t>
      </w:r>
      <w:r>
        <w:rPr>
          <w:sz w:val="32"/>
          <w:szCs w:val="32"/>
        </w:rPr>
        <w:t>卫生院</w:t>
      </w:r>
      <w:r>
        <w:rPr>
          <w:rFonts w:hint="eastAsia" w:ascii="Times New Roman" w:hAnsi="Times New Roman" w:eastAsia="仿宋_GB2312" w:cs="仿宋_GB2312"/>
          <w:color w:val="auto"/>
          <w:sz w:val="32"/>
          <w:szCs w:val="32"/>
          <w:highlight w:val="none"/>
          <w:lang w:eastAsia="zh-CN"/>
        </w:rPr>
        <w:t>202</w:t>
      </w:r>
      <w:r>
        <w:rPr>
          <w:rFonts w:hint="eastAsia" w:ascii="Times New Roman" w:hAnsi="Times New Roman" w:eastAsia="仿宋_GB2312" w:cs="仿宋_GB2312"/>
          <w:color w:val="auto"/>
          <w:sz w:val="32"/>
          <w:szCs w:val="32"/>
          <w:highlight w:val="none"/>
          <w:lang w:val="en-US" w:eastAsia="zh-CN"/>
        </w:rPr>
        <w:t>5</w:t>
      </w:r>
      <w:r>
        <w:rPr>
          <w:rFonts w:hint="eastAsia" w:ascii="Times New Roman" w:hAnsi="Times New Roman" w:eastAsia="仿宋_GB2312" w:cs="仿宋_GB2312"/>
          <w:color w:val="auto"/>
          <w:sz w:val="32"/>
          <w:szCs w:val="32"/>
          <w:highlight w:val="none"/>
          <w:lang w:eastAsia="zh-CN"/>
        </w:rPr>
        <w:t>年度</w:t>
      </w:r>
      <w:r>
        <w:rPr>
          <w:rFonts w:hint="eastAsia" w:ascii="Times New Roman" w:hAnsi="Times New Roman" w:eastAsia="仿宋_GB2312" w:cs="仿宋_GB2312"/>
          <w:color w:val="auto"/>
          <w:sz w:val="32"/>
          <w:szCs w:val="32"/>
          <w:highlight w:val="none"/>
        </w:rPr>
        <w:t>部门决算编制范围的二级预算单位</w:t>
      </w:r>
      <w:r>
        <w:rPr>
          <w:rFonts w:hint="eastAsia" w:ascii="Times New Roman" w:cs="仿宋_GB2312"/>
          <w:color w:val="auto"/>
          <w:sz w:val="32"/>
          <w:szCs w:val="32"/>
          <w:highlight w:val="none"/>
          <w:lang w:eastAsia="zh-CN"/>
        </w:rPr>
        <w:t>无。</w:t>
      </w:r>
    </w:p>
    <w:p w14:paraId="5D3A910D">
      <w:pPr>
        <w:widowControl/>
        <w:jc w:val="left"/>
        <w:rPr>
          <w:rFonts w:ascii="Times New Roman" w:hAnsi="Times New Roman" w:eastAsia="仿宋"/>
          <w:color w:val="auto"/>
          <w:kern w:val="0"/>
          <w:sz w:val="32"/>
          <w:szCs w:val="32"/>
          <w:highlight w:val="none"/>
        </w:rPr>
      </w:pPr>
      <w:r>
        <w:rPr>
          <w:rFonts w:ascii="Times New Roman" w:hAnsi="Times New Roman" w:eastAsia="仿宋"/>
          <w:color w:val="auto"/>
          <w:sz w:val="32"/>
          <w:szCs w:val="32"/>
          <w:highlight w:val="none"/>
        </w:rPr>
        <w:br w:type="page"/>
      </w:r>
    </w:p>
    <w:p w14:paraId="66DC4E9A">
      <w:pPr>
        <w:pStyle w:val="4"/>
        <w:jc w:val="center"/>
        <w:rPr>
          <w:rFonts w:hint="eastAsia" w:ascii="Times New Roman" w:hAnsi="Times New Roman" w:eastAsia="方正小标宋简体" w:cs="方正小标宋简体"/>
          <w:b w:val="0"/>
          <w:color w:val="auto"/>
          <w:highlight w:val="none"/>
        </w:rPr>
      </w:pPr>
      <w:bookmarkStart w:id="10" w:name="_Toc15377204"/>
      <w:bookmarkStart w:id="11" w:name="_Toc15396602"/>
      <w:r>
        <w:rPr>
          <w:rFonts w:hint="eastAsia" w:ascii="Times New Roman" w:hAnsi="Times New Roman" w:eastAsia="方正小标宋简体" w:cs="方正小标宋简体"/>
          <w:b w:val="0"/>
          <w:color w:val="auto"/>
          <w:highlight w:val="none"/>
        </w:rPr>
        <w:t>第二部分</w:t>
      </w:r>
      <w:r>
        <w:rPr>
          <w:rFonts w:hint="eastAsia" w:ascii="Times New Roman" w:hAnsi="Times New Roman" w:eastAsia="方正小标宋简体" w:cs="方正小标宋简体"/>
          <w:b w:val="0"/>
          <w:color w:val="auto"/>
          <w:highlight w:val="none"/>
          <w:lang w:val="en-US" w:eastAsia="zh-CN"/>
        </w:rPr>
        <w:t xml:space="preserve"> </w:t>
      </w:r>
      <w:r>
        <w:rPr>
          <w:rFonts w:hint="eastAsia" w:ascii="Times New Roman" w:hAnsi="Times New Roman" w:eastAsia="方正小标宋简体" w:cs="方正小标宋简体"/>
          <w:b w:val="0"/>
          <w:color w:val="auto"/>
          <w:highlight w:val="none"/>
        </w:rPr>
        <w:t xml:space="preserve"> </w:t>
      </w:r>
      <w:r>
        <w:rPr>
          <w:rFonts w:hint="eastAsia" w:eastAsia="方正小标宋简体" w:cs="方正小标宋简体"/>
          <w:b w:val="0"/>
          <w:color w:val="auto"/>
          <w:highlight w:val="none"/>
          <w:lang w:val="en-US" w:eastAsia="zh-CN"/>
        </w:rPr>
        <w:t>2025年度</w:t>
      </w:r>
      <w:r>
        <w:rPr>
          <w:rFonts w:hint="eastAsia" w:ascii="Times New Roman" w:hAnsi="Times New Roman" w:eastAsia="方正小标宋简体" w:cs="方正小标宋简体"/>
          <w:b w:val="0"/>
          <w:color w:val="auto"/>
          <w:highlight w:val="none"/>
        </w:rPr>
        <w:t>部门决算情况说明</w:t>
      </w:r>
      <w:bookmarkEnd w:id="10"/>
      <w:bookmarkEnd w:id="11"/>
    </w:p>
    <w:p w14:paraId="176E0895">
      <w:pPr>
        <w:rPr>
          <w:rFonts w:ascii="Times New Roman" w:hAnsi="Times New Roman"/>
          <w:color w:val="auto"/>
          <w:highlight w:val="none"/>
        </w:rPr>
      </w:pPr>
    </w:p>
    <w:p w14:paraId="5D6B2640">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12" w:name="_Toc15377205"/>
      <w:bookmarkStart w:id="13" w:name="_Toc15396603"/>
      <w:r>
        <w:rPr>
          <w:rFonts w:hint="eastAsia" w:ascii="Times New Roman" w:hAnsi="Times New Roman" w:eastAsia="黑体"/>
          <w:color w:val="auto"/>
          <w:sz w:val="32"/>
          <w:szCs w:val="32"/>
          <w:highlight w:val="none"/>
          <w:lang w:eastAsia="zh-CN"/>
        </w:rPr>
        <w:t>一、</w:t>
      </w:r>
      <w:r>
        <w:rPr>
          <w:rFonts w:hint="eastAsia" w:ascii="Times New Roman" w:hAnsi="Times New Roman" w:eastAsia="黑体"/>
          <w:color w:val="auto"/>
          <w:sz w:val="32"/>
          <w:szCs w:val="32"/>
          <w:highlight w:val="none"/>
        </w:rPr>
        <w:t>收</w:t>
      </w:r>
      <w:r>
        <w:rPr>
          <w:rStyle w:val="31"/>
          <w:rFonts w:hint="eastAsia" w:ascii="Times New Roman" w:hAnsi="Times New Roman" w:eastAsia="黑体"/>
          <w:b w:val="0"/>
          <w:color w:val="auto"/>
          <w:highlight w:val="none"/>
        </w:rPr>
        <w:t>入支出决算总体情况说明</w:t>
      </w:r>
      <w:bookmarkEnd w:id="12"/>
      <w:bookmarkEnd w:id="13"/>
    </w:p>
    <w:p w14:paraId="0628E29D">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59264" behindDoc="0" locked="0" layoutInCell="1" allowOverlap="1">
            <wp:simplePos x="0" y="0"/>
            <wp:positionH relativeFrom="column">
              <wp:posOffset>-938530</wp:posOffset>
            </wp:positionH>
            <wp:positionV relativeFrom="paragraph">
              <wp:posOffset>1412240</wp:posOffset>
            </wp:positionV>
            <wp:extent cx="6760210" cy="2067560"/>
            <wp:effectExtent l="4445" t="4445" r="17145" b="23495"/>
            <wp:wrapSquare wrapText="bothSides"/>
            <wp:docPr id="3" name="图表 3"/>
            <wp:cNvGraphicFramePr/>
            <a:graphic xmlns:a="http://schemas.openxmlformats.org/drawingml/2006/main">
              <a:graphicData uri="http://schemas.openxmlformats.org/drawingml/2006/chart">
                <c:chart xmlns:c="http://schemas.openxmlformats.org/drawingml/2006/chart" xmlns:r="http://schemas.openxmlformats.org/officeDocument/2006/relationships" r:id="rId8"/>
              </a:graphicData>
            </a:graphic>
          </wp:anchor>
        </w:drawing>
      </w: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w:t>
      </w:r>
      <w:r>
        <w:rPr>
          <w:rFonts w:hint="eastAsia" w:ascii="Times New Roman" w:hAnsi="Times New Roman" w:eastAsia="仿宋_GB2312" w:cs="仿宋_GB2312"/>
          <w:color w:val="auto"/>
          <w:sz w:val="32"/>
          <w:szCs w:val="32"/>
          <w:highlight w:val="none"/>
          <w:lang w:eastAsia="zh-CN"/>
        </w:rPr>
        <w:t>均为</w:t>
      </w:r>
      <w:r>
        <w:rPr>
          <w:rFonts w:hint="eastAsia" w:ascii="仿宋_GB2312" w:hAnsi="仿宋_GB2312" w:eastAsia="仿宋_GB2312" w:cs="仿宋_GB2312"/>
          <w:sz w:val="32"/>
          <w:szCs w:val="32"/>
        </w:rPr>
        <w:t>162.83</w:t>
      </w:r>
      <w:r>
        <w:rPr>
          <w:rFonts w:hint="eastAsia" w:ascii="Times New Roman" w:hAnsi="Times New Roman" w:eastAsia="仿宋_GB2312" w:cs="仿宋_GB2312"/>
          <w:color w:val="auto"/>
          <w:sz w:val="32"/>
          <w:szCs w:val="32"/>
          <w:highlight w:val="none"/>
        </w:rPr>
        <w:t>万元。与</w:t>
      </w:r>
      <w:r>
        <w:rPr>
          <w:rFonts w:hint="eastAsia" w:eastAsia="仿宋_GB2312" w:cs="仿宋_GB2312"/>
          <w:color w:val="auto"/>
          <w:sz w:val="32"/>
          <w:szCs w:val="32"/>
          <w:highlight w:val="none"/>
          <w:lang w:val="en-US" w:eastAsia="zh-CN"/>
        </w:rPr>
        <w:t>2024</w:t>
      </w:r>
      <w:r>
        <w:rPr>
          <w:rFonts w:hint="eastAsia" w:ascii="Times New Roman" w:hAnsi="Times New Roman" w:eastAsia="仿宋_GB2312" w:cs="仿宋_GB2312"/>
          <w:color w:val="auto"/>
          <w:sz w:val="32"/>
          <w:szCs w:val="32"/>
          <w:highlight w:val="none"/>
        </w:rPr>
        <w:t>年</w:t>
      </w:r>
      <w:r>
        <w:rPr>
          <w:rFonts w:hint="eastAsia" w:ascii="Times New Roman" w:hAnsi="Times New Roman" w:eastAsia="仿宋_GB2312" w:cs="仿宋_GB2312"/>
          <w:color w:val="auto"/>
          <w:sz w:val="32"/>
          <w:szCs w:val="32"/>
          <w:highlight w:val="none"/>
          <w:lang w:eastAsia="zh-CN"/>
        </w:rPr>
        <w:t>度</w:t>
      </w:r>
      <w:r>
        <w:rPr>
          <w:rFonts w:hint="eastAsia" w:ascii="仿宋_GB2312" w:hAnsi="仿宋_GB2312" w:eastAsia="仿宋_GB2312" w:cs="仿宋_GB2312"/>
          <w:sz w:val="32"/>
          <w:szCs w:val="32"/>
        </w:rPr>
        <w:t>129.15</w:t>
      </w:r>
      <w:r>
        <w:rPr>
          <w:rFonts w:hint="eastAsia" w:ascii="Times New Roman" w:hAnsi="Times New Roman" w:eastAsia="仿宋_GB2312" w:cs="仿宋_GB2312"/>
          <w:color w:val="auto"/>
          <w:sz w:val="32"/>
          <w:szCs w:val="32"/>
          <w:highlight w:val="none"/>
        </w:rPr>
        <w:t>万元相比，</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总计各增加</w:t>
      </w:r>
      <w:r>
        <w:rPr>
          <w:rFonts w:hint="eastAsia" w:eastAsia="仿宋_GB2312" w:cs="仿宋_GB2312"/>
          <w:color w:val="auto"/>
          <w:sz w:val="32"/>
          <w:szCs w:val="32"/>
          <w:highlight w:val="none"/>
          <w:lang w:val="en-US" w:eastAsia="zh-CN"/>
        </w:rPr>
        <w:t>33.68</w:t>
      </w:r>
      <w:r>
        <w:rPr>
          <w:rFonts w:hint="eastAsia" w:ascii="Times New Roman" w:hAnsi="Times New Roman" w:eastAsia="仿宋_GB2312" w:cs="仿宋_GB2312"/>
          <w:color w:val="auto"/>
          <w:sz w:val="32"/>
          <w:szCs w:val="32"/>
          <w:highlight w:val="none"/>
        </w:rPr>
        <w:t>万元，增长</w:t>
      </w:r>
      <w:r>
        <w:rPr>
          <w:rFonts w:hint="eastAsia" w:eastAsia="仿宋_GB2312" w:cs="仿宋_GB2312"/>
          <w:color w:val="auto"/>
          <w:sz w:val="32"/>
          <w:szCs w:val="32"/>
          <w:highlight w:val="none"/>
          <w:lang w:val="en-US" w:eastAsia="zh-CN"/>
        </w:rPr>
        <w:t>20.68</w:t>
      </w:r>
      <w:r>
        <w:rPr>
          <w:rFonts w:hint="eastAsia" w:ascii="Times New Roman" w:hAnsi="Times New Roman" w:eastAsia="仿宋_GB2312" w:cs="仿宋_GB2312"/>
          <w:color w:val="auto"/>
          <w:sz w:val="32"/>
          <w:szCs w:val="32"/>
          <w:highlight w:val="none"/>
        </w:rPr>
        <w:t>%。主要变动原因是</w:t>
      </w:r>
      <w:r>
        <w:rPr>
          <w:rFonts w:hint="eastAsia" w:eastAsia="仿宋_GB2312" w:cs="仿宋_GB2312"/>
          <w:color w:val="auto"/>
          <w:sz w:val="32"/>
          <w:szCs w:val="32"/>
          <w:highlight w:val="none"/>
          <w:lang w:val="en-US" w:eastAsia="zh-CN"/>
        </w:rPr>
        <w:t>其他</w:t>
      </w:r>
      <w:r>
        <w:rPr>
          <w:rFonts w:hint="eastAsia" w:eastAsia="仿宋_GB2312" w:cs="仿宋_GB2312"/>
          <w:color w:val="auto"/>
          <w:sz w:val="32"/>
          <w:szCs w:val="32"/>
          <w:highlight w:val="none"/>
          <w:lang w:eastAsia="zh-CN"/>
        </w:rPr>
        <w:t>收入。</w:t>
      </w:r>
    </w:p>
    <w:p w14:paraId="7E6FDBAB">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0288" behindDoc="0" locked="0" layoutInCell="1" allowOverlap="1">
            <wp:simplePos x="0" y="0"/>
            <wp:positionH relativeFrom="column">
              <wp:posOffset>-800100</wp:posOffset>
            </wp:positionH>
            <wp:positionV relativeFrom="paragraph">
              <wp:posOffset>294640</wp:posOffset>
            </wp:positionV>
            <wp:extent cx="6760210" cy="2067560"/>
            <wp:effectExtent l="4445" t="4445" r="17145" b="23495"/>
            <wp:wrapSquare wrapText="bothSides"/>
            <wp:docPr id="2" name="图表 2"/>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anchor>
        </w:drawing>
      </w:r>
      <w:r>
        <w:rPr>
          <w:rFonts w:hint="eastAsia" w:ascii="Times New Roman" w:hAnsi="Times New Roman" w:eastAsia="仿宋_GB2312" w:cs="仿宋_GB2312"/>
          <w:color w:val="auto"/>
          <w:sz w:val="32"/>
          <w:szCs w:val="32"/>
          <w:highlight w:val="none"/>
        </w:rPr>
        <w:t>（图1：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决算总计变动情况图（图1：</w:t>
      </w:r>
      <w:r>
        <w:rPr>
          <w:rFonts w:hint="eastAsia" w:ascii="Times New Roman" w:hAnsi="Times New Roman" w:eastAsia="仿宋_GB2312" w:cs="仿宋_GB2312"/>
          <w:color w:val="auto"/>
          <w:sz w:val="32"/>
          <w:szCs w:val="32"/>
          <w:highlight w:val="none"/>
          <w:lang w:eastAsia="zh-CN"/>
        </w:rPr>
        <w:t>收入</w:t>
      </w:r>
      <w:r>
        <w:rPr>
          <w:rFonts w:hint="eastAsia" w:ascii="Times New Roman" w:hAnsi="Times New Roman" w:eastAsia="仿宋_GB2312" w:cs="仿宋_GB2312"/>
          <w:color w:val="auto"/>
          <w:sz w:val="32"/>
          <w:szCs w:val="32"/>
          <w:highlight w:val="none"/>
        </w:rPr>
        <w:t>、</w:t>
      </w:r>
      <w:r>
        <w:rPr>
          <w:rFonts w:hint="eastAsia" w:ascii="Times New Roman" w:hAnsi="Times New Roman" w:eastAsia="仿宋_GB2312" w:cs="仿宋_GB2312"/>
          <w:color w:val="auto"/>
          <w:sz w:val="32"/>
          <w:szCs w:val="32"/>
          <w:highlight w:val="none"/>
          <w:lang w:eastAsia="zh-CN"/>
        </w:rPr>
        <w:t>支出</w:t>
      </w:r>
      <w:r>
        <w:rPr>
          <w:rFonts w:hint="eastAsia" w:ascii="Times New Roman" w:hAnsi="Times New Roman" w:eastAsia="仿宋_GB2312" w:cs="仿宋_GB2312"/>
          <w:color w:val="auto"/>
          <w:sz w:val="32"/>
          <w:szCs w:val="32"/>
          <w:highlight w:val="none"/>
        </w:rPr>
        <w:t>决算总计变动情况图）（柱状图）</w:t>
      </w:r>
    </w:p>
    <w:p w14:paraId="1A8951B6">
      <w:pPr>
        <w:keepNext w:val="0"/>
        <w:keepLines w:val="0"/>
        <w:pageBreakBefore w:val="0"/>
        <w:widowControl w:val="0"/>
        <w:kinsoku/>
        <w:wordWrap/>
        <w:overflowPunct/>
        <w:topLinePunct w:val="0"/>
        <w:autoSpaceDE/>
        <w:autoSpaceDN/>
        <w:bidi w:val="0"/>
        <w:adjustRightInd/>
        <w:snapToGrid/>
        <w:ind w:firstLine="640" w:firstLineChars="200"/>
        <w:textAlignment w:val="auto"/>
        <w:rPr>
          <w:rFonts w:hint="eastAsia" w:ascii="Times New Roman" w:hAnsi="Times New Roman" w:eastAsia="仿宋_GB2312" w:cs="仿宋_GB2312"/>
          <w:color w:val="auto"/>
          <w:sz w:val="32"/>
          <w:szCs w:val="32"/>
          <w:highlight w:val="none"/>
        </w:rPr>
      </w:pPr>
    </w:p>
    <w:p w14:paraId="61A42F0A">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黑体"/>
          <w:color w:val="auto"/>
          <w:sz w:val="32"/>
          <w:szCs w:val="32"/>
          <w:highlight w:val="none"/>
          <w:lang w:eastAsia="zh-CN"/>
        </w:rPr>
      </w:pPr>
      <w:bookmarkStart w:id="14" w:name="_Toc15377206"/>
      <w:bookmarkStart w:id="15" w:name="_Toc15396604"/>
      <w:r>
        <w:rPr>
          <w:rFonts w:hint="eastAsia" w:ascii="Times New Roman" w:hAnsi="Times New Roman" w:eastAsia="黑体"/>
          <w:color w:val="auto"/>
          <w:sz w:val="32"/>
          <w:szCs w:val="32"/>
          <w:highlight w:val="none"/>
          <w:lang w:eastAsia="zh-CN"/>
        </w:rPr>
        <w:t>二、收入决算情况说明</w:t>
      </w:r>
      <w:bookmarkEnd w:id="14"/>
      <w:bookmarkEnd w:id="15"/>
    </w:p>
    <w:p w14:paraId="5B37A40B">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本年收入合计</w:t>
      </w:r>
      <w:r>
        <w:rPr>
          <w:rFonts w:hint="eastAsia" w:ascii="仿宋_GB2312" w:hAnsi="仿宋_GB2312" w:eastAsia="仿宋_GB2312" w:cs="仿宋_GB2312"/>
          <w:sz w:val="32"/>
          <w:szCs w:val="32"/>
        </w:rPr>
        <w:t>162.83</w:t>
      </w:r>
      <w:r>
        <w:rPr>
          <w:rFonts w:hint="eastAsia" w:ascii="Times New Roman" w:hAnsi="Times New Roman" w:eastAsia="仿宋_GB2312" w:cs="仿宋_GB2312"/>
          <w:color w:val="auto"/>
          <w:sz w:val="32"/>
          <w:szCs w:val="32"/>
          <w:highlight w:val="none"/>
          <w:lang w:eastAsia="zh-CN"/>
        </w:rPr>
        <w:t>万元，其中：一般公共预算财政拨款收入</w:t>
      </w:r>
      <w:r>
        <w:rPr>
          <w:rFonts w:hint="eastAsia" w:ascii="仿宋_GB2312" w:hAnsi="仿宋_GB2312" w:eastAsia="仿宋_GB2312" w:cs="仿宋_GB2312"/>
          <w:sz w:val="32"/>
          <w:szCs w:val="32"/>
        </w:rPr>
        <w:t>137.25</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84.28</w:t>
      </w:r>
      <w:r>
        <w:rPr>
          <w:rFonts w:hint="eastAsia" w:ascii="Times New Roman" w:hAnsi="Times New Roman" w:eastAsia="仿宋_GB2312" w:cs="仿宋_GB2312"/>
          <w:color w:val="auto"/>
          <w:sz w:val="32"/>
          <w:szCs w:val="32"/>
          <w:highlight w:val="none"/>
          <w:lang w:eastAsia="zh-CN"/>
        </w:rPr>
        <w:t>%；政府性基金预算财政拨款收入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%；国有资本经营预算财政拨款收入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%；上级补助收入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%；事业收入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%；附属单位上缴收入</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%；其他收入</w:t>
      </w:r>
      <w:r>
        <w:rPr>
          <w:rFonts w:hint="eastAsia" w:ascii="仿宋_GB2312" w:hAnsi="仿宋_GB2312" w:eastAsia="仿宋_GB2312" w:cs="仿宋_GB2312"/>
          <w:sz w:val="32"/>
          <w:szCs w:val="32"/>
        </w:rPr>
        <w:t>25.58</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15.71</w:t>
      </w:r>
      <w:r>
        <w:rPr>
          <w:rFonts w:hint="eastAsia" w:ascii="Times New Roman" w:hAnsi="Times New Roman" w:eastAsia="仿宋_GB2312" w:cs="仿宋_GB2312"/>
          <w:color w:val="auto"/>
          <w:sz w:val="32"/>
          <w:szCs w:val="32"/>
          <w:highlight w:val="none"/>
          <w:lang w:eastAsia="zh-CN"/>
        </w:rPr>
        <w:t>%。</w:t>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1312" behindDoc="0" locked="0" layoutInCell="1" allowOverlap="1">
            <wp:simplePos x="0" y="0"/>
            <wp:positionH relativeFrom="column">
              <wp:posOffset>-33655</wp:posOffset>
            </wp:positionH>
            <wp:positionV relativeFrom="paragraph">
              <wp:posOffset>728345</wp:posOffset>
            </wp:positionV>
            <wp:extent cx="5844540" cy="1567180"/>
            <wp:effectExtent l="4445" t="4445" r="18415" b="9525"/>
            <wp:wrapSquare wrapText="bothSides"/>
            <wp:docPr id="4" name="图表 4"/>
            <wp:cNvGraphicFramePr/>
            <a:graphic xmlns:a="http://schemas.openxmlformats.org/drawingml/2006/main">
              <a:graphicData uri="http://schemas.openxmlformats.org/drawingml/2006/chart">
                <c:chart xmlns:c="http://schemas.openxmlformats.org/drawingml/2006/chart" xmlns:r="http://schemas.openxmlformats.org/officeDocument/2006/relationships" r:id="rId10"/>
              </a:graphicData>
            </a:graphic>
          </wp:anchor>
        </w:drawing>
      </w:r>
      <w:r>
        <w:rPr>
          <w:rFonts w:hint="eastAsia" w:ascii="Times New Roman" w:hAnsi="Times New Roman" w:eastAsia="仿宋_GB2312" w:cs="仿宋_GB2312"/>
          <w:b/>
          <w:bCs/>
          <w:color w:val="auto"/>
          <w:sz w:val="32"/>
          <w:szCs w:val="32"/>
          <w:highlight w:val="none"/>
          <w:lang w:eastAsia="zh-CN"/>
        </w:rPr>
        <w:t>（注：仅罗列本部门涉及的收入）</w:t>
      </w:r>
    </w:p>
    <w:p w14:paraId="5F36A80E">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（图2：收入决算结构图）（饼状图）</w:t>
      </w:r>
    </w:p>
    <w:p w14:paraId="1527E608">
      <w:pPr>
        <w:ind w:firstLine="800" w:firstLineChars="250"/>
        <w:rPr>
          <w:rFonts w:hint="eastAsia" w:ascii="Times New Roman" w:hAnsi="Times New Roman" w:eastAsia="仿宋_GB2312" w:cs="仿宋_GB2312"/>
          <w:color w:val="auto"/>
          <w:sz w:val="32"/>
          <w:szCs w:val="32"/>
          <w:highlight w:val="none"/>
          <w:lang w:eastAsia="zh-CN"/>
        </w:rPr>
      </w:pPr>
    </w:p>
    <w:p w14:paraId="04F6A715">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Style w:val="31"/>
          <w:rFonts w:hint="eastAsia" w:ascii="Times New Roman" w:hAnsi="Times New Roman" w:eastAsia="黑体"/>
          <w:b w:val="0"/>
          <w:color w:val="auto"/>
          <w:highlight w:val="none"/>
        </w:rPr>
      </w:pPr>
      <w:bookmarkStart w:id="16" w:name="_Toc15396605"/>
      <w:bookmarkStart w:id="17" w:name="_Toc15377207"/>
      <w:r>
        <w:rPr>
          <w:rFonts w:hint="eastAsia" w:ascii="Times New Roman" w:hAnsi="Times New Roman" w:eastAsia="黑体"/>
          <w:color w:val="auto"/>
          <w:sz w:val="32"/>
          <w:szCs w:val="32"/>
          <w:highlight w:val="none"/>
          <w:lang w:eastAsia="zh-CN"/>
        </w:rPr>
        <w:t>三、</w:t>
      </w:r>
      <w:r>
        <w:rPr>
          <w:rFonts w:hint="eastAsia" w:ascii="Times New Roman" w:hAnsi="Times New Roman" w:eastAsia="黑体"/>
          <w:color w:val="auto"/>
          <w:sz w:val="32"/>
          <w:szCs w:val="32"/>
          <w:highlight w:val="none"/>
        </w:rPr>
        <w:t>支</w:t>
      </w:r>
      <w:r>
        <w:rPr>
          <w:rStyle w:val="31"/>
          <w:rFonts w:hint="eastAsia" w:ascii="Times New Roman" w:hAnsi="Times New Roman" w:eastAsia="黑体"/>
          <w:b w:val="0"/>
          <w:color w:val="auto"/>
          <w:highlight w:val="none"/>
        </w:rPr>
        <w:t>出决算情况说明</w:t>
      </w:r>
      <w:bookmarkEnd w:id="16"/>
      <w:bookmarkEnd w:id="17"/>
    </w:p>
    <w:p w14:paraId="2A3090F1">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b/>
          <w:bCs/>
          <w:color w:val="auto"/>
          <w:sz w:val="32"/>
          <w:szCs w:val="32"/>
          <w:highlight w:val="none"/>
          <w:lang w:eastAsia="zh-CN"/>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2336" behindDoc="0" locked="0" layoutInCell="1" allowOverlap="1">
            <wp:simplePos x="0" y="0"/>
            <wp:positionH relativeFrom="column">
              <wp:posOffset>-147955</wp:posOffset>
            </wp:positionH>
            <wp:positionV relativeFrom="paragraph">
              <wp:posOffset>2255520</wp:posOffset>
            </wp:positionV>
            <wp:extent cx="5988685" cy="1212850"/>
            <wp:effectExtent l="4445" t="4445" r="7620" b="20955"/>
            <wp:wrapSquare wrapText="bothSides"/>
            <wp:docPr id="5" name="图表 5"/>
            <wp:cNvGraphicFramePr/>
            <a:graphic xmlns:a="http://schemas.openxmlformats.org/drawingml/2006/main">
              <a:graphicData uri="http://schemas.openxmlformats.org/drawingml/2006/chart">
                <c:chart xmlns:c="http://schemas.openxmlformats.org/drawingml/2006/chart" xmlns:r="http://schemas.openxmlformats.org/officeDocument/2006/relationships" r:id="rId11"/>
              </a:graphicData>
            </a:graphic>
          </wp:anchor>
        </w:drawing>
      </w:r>
      <w:r>
        <w:rPr>
          <w:rFonts w:hint="eastAsia" w:eastAsia="仿宋_GB2312" w:cs="仿宋_GB2312"/>
          <w:color w:val="auto"/>
          <w:sz w:val="32"/>
          <w:szCs w:val="32"/>
          <w:highlight w:val="none"/>
          <w:lang w:eastAsia="zh-CN"/>
        </w:rPr>
        <w:t>2025年度</w:t>
      </w:r>
      <w:r>
        <w:rPr>
          <w:rFonts w:hint="eastAsia" w:ascii="Times New Roman" w:hAnsi="Times New Roman" w:eastAsia="仿宋_GB2312" w:cs="仿宋_GB2312"/>
          <w:color w:val="auto"/>
          <w:sz w:val="32"/>
          <w:szCs w:val="32"/>
          <w:highlight w:val="none"/>
          <w:lang w:eastAsia="zh-CN"/>
        </w:rPr>
        <w:t>本年支出合计</w:t>
      </w:r>
      <w:r>
        <w:rPr>
          <w:rFonts w:hint="eastAsia" w:ascii="仿宋_GB2312" w:hAnsi="仿宋_GB2312" w:eastAsia="仿宋_GB2312" w:cs="仿宋_GB2312"/>
          <w:sz w:val="32"/>
          <w:szCs w:val="32"/>
        </w:rPr>
        <w:t>162.83</w:t>
      </w:r>
      <w:r>
        <w:rPr>
          <w:rFonts w:hint="eastAsia" w:ascii="Times New Roman" w:hAnsi="Times New Roman" w:eastAsia="仿宋_GB2312" w:cs="仿宋_GB2312"/>
          <w:color w:val="auto"/>
          <w:sz w:val="32"/>
          <w:szCs w:val="32"/>
          <w:highlight w:val="none"/>
          <w:lang w:eastAsia="zh-CN"/>
        </w:rPr>
        <w:t>万元，其中：基本支出</w:t>
      </w:r>
      <w:r>
        <w:rPr>
          <w:rFonts w:hint="eastAsia" w:ascii="仿宋_GB2312" w:hAnsi="仿宋_GB2312" w:eastAsia="仿宋_GB2312" w:cs="仿宋_GB2312"/>
          <w:sz w:val="32"/>
          <w:szCs w:val="32"/>
        </w:rPr>
        <w:t>132.94</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81.64</w:t>
      </w:r>
      <w:r>
        <w:rPr>
          <w:rFonts w:hint="eastAsia" w:ascii="Times New Roman" w:hAnsi="Times New Roman" w:eastAsia="仿宋_GB2312" w:cs="仿宋_GB2312"/>
          <w:color w:val="auto"/>
          <w:sz w:val="32"/>
          <w:szCs w:val="32"/>
          <w:highlight w:val="none"/>
          <w:lang w:eastAsia="zh-CN"/>
        </w:rPr>
        <w:t>%；项目支出</w:t>
      </w:r>
      <w:r>
        <w:rPr>
          <w:rFonts w:hint="eastAsia" w:ascii="仿宋_GB2312" w:hAnsi="仿宋_GB2312" w:eastAsia="仿宋_GB2312" w:cs="仿宋_GB2312"/>
          <w:sz w:val="32"/>
          <w:szCs w:val="32"/>
        </w:rPr>
        <w:t>29.89</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18.35</w:t>
      </w:r>
      <w:r>
        <w:rPr>
          <w:rFonts w:hint="eastAsia" w:ascii="Times New Roman" w:hAnsi="Times New Roman" w:eastAsia="仿宋_GB2312" w:cs="仿宋_GB2312"/>
          <w:color w:val="auto"/>
          <w:sz w:val="32"/>
          <w:szCs w:val="32"/>
          <w:highlight w:val="none"/>
          <w:lang w:eastAsia="zh-CN"/>
        </w:rPr>
        <w:t>%；上缴上级支出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%；经营支出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%；对附属单位补助支出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万元，占</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sz w:val="32"/>
          <w:szCs w:val="32"/>
          <w:highlight w:val="none"/>
          <w:lang w:eastAsia="zh-CN"/>
        </w:rPr>
        <w:t>%。</w:t>
      </w:r>
      <w:r>
        <w:rPr>
          <w:rFonts w:hint="eastAsia" w:ascii="Times New Roman" w:hAnsi="Times New Roman" w:eastAsia="仿宋_GB2312" w:cs="仿宋_GB2312"/>
          <w:b/>
          <w:bCs/>
          <w:color w:val="auto"/>
          <w:sz w:val="32"/>
          <w:szCs w:val="32"/>
          <w:highlight w:val="none"/>
          <w:lang w:eastAsia="zh-CN"/>
        </w:rPr>
        <w:t>（注：仅罗列本部门涉及的支出）</w:t>
      </w:r>
    </w:p>
    <w:p w14:paraId="1B309D47">
      <w:pPr>
        <w:pStyle w:val="29"/>
        <w:keepNext w:val="0"/>
        <w:keepLines w:val="0"/>
        <w:pageBreakBefore w:val="0"/>
        <w:widowControl w:val="0"/>
        <w:numPr>
          <w:ilvl w:val="0"/>
          <w:numId w:val="0"/>
        </w:numPr>
        <w:kinsoku/>
        <w:wordWrap/>
        <w:overflowPunct/>
        <w:topLinePunct w:val="0"/>
        <w:autoSpaceDE/>
        <w:autoSpaceDN/>
        <w:bidi w:val="0"/>
        <w:adjustRightInd/>
        <w:snapToGrid/>
        <w:spacing w:line="600" w:lineRule="exact"/>
        <w:ind w:firstLine="640" w:firstLineChars="200"/>
        <w:textAlignment w:val="auto"/>
        <w:outlineLvl w:val="1"/>
        <w:rPr>
          <w:rFonts w:hint="eastAsia" w:ascii="Times New Roman" w:hAnsi="Times New Roman" w:eastAsia="仿宋_GB2312" w:cs="仿宋_GB2312"/>
          <w:color w:val="auto"/>
          <w:sz w:val="32"/>
          <w:szCs w:val="32"/>
          <w:highlight w:val="none"/>
          <w:lang w:eastAsia="zh-CN"/>
        </w:rPr>
      </w:pPr>
      <w:r>
        <w:rPr>
          <w:rFonts w:hint="eastAsia" w:ascii="Times New Roman" w:hAnsi="Times New Roman" w:eastAsia="仿宋_GB2312" w:cs="仿宋_GB2312"/>
          <w:color w:val="auto"/>
          <w:sz w:val="32"/>
          <w:szCs w:val="32"/>
          <w:highlight w:val="none"/>
          <w:lang w:eastAsia="zh-CN"/>
        </w:rPr>
        <w:t>（图3：支出决算结构图）（饼状图）</w:t>
      </w:r>
    </w:p>
    <w:p w14:paraId="1D0F6FE3">
      <w:pPr>
        <w:ind w:firstLine="800" w:firstLineChars="250"/>
        <w:rPr>
          <w:rFonts w:hint="eastAsia" w:ascii="Times New Roman" w:hAnsi="Times New Roman" w:eastAsia="仿宋_GB2312" w:cs="仿宋_GB2312"/>
          <w:color w:val="auto"/>
          <w:sz w:val="32"/>
          <w:szCs w:val="32"/>
          <w:highlight w:val="none"/>
          <w:lang w:eastAsia="zh-CN"/>
        </w:rPr>
      </w:pPr>
    </w:p>
    <w:p w14:paraId="5EB7BBD9">
      <w:pPr>
        <w:spacing w:line="600" w:lineRule="exact"/>
        <w:ind w:firstLine="640" w:firstLineChars="200"/>
        <w:outlineLvl w:val="1"/>
        <w:rPr>
          <w:rStyle w:val="31"/>
          <w:rFonts w:ascii="Times New Roman" w:hAnsi="Times New Roman" w:eastAsia="黑体"/>
          <w:b w:val="0"/>
          <w:color w:val="auto"/>
          <w:highlight w:val="none"/>
        </w:rPr>
      </w:pPr>
      <w:bookmarkStart w:id="18" w:name="_Toc15377208"/>
      <w:bookmarkStart w:id="19" w:name="_Toc15396606"/>
      <w:r>
        <w:rPr>
          <w:rFonts w:hint="eastAsia" w:ascii="Times New Roman" w:hAnsi="Times New Roman" w:eastAsia="黑体"/>
          <w:color w:val="auto"/>
          <w:sz w:val="32"/>
          <w:szCs w:val="32"/>
          <w:highlight w:val="none"/>
        </w:rPr>
        <w:t>四、财</w:t>
      </w:r>
      <w:r>
        <w:rPr>
          <w:rStyle w:val="31"/>
          <w:rFonts w:hint="eastAsia" w:ascii="Times New Roman" w:hAnsi="Times New Roman" w:eastAsia="黑体"/>
          <w:b w:val="0"/>
          <w:color w:val="auto"/>
          <w:highlight w:val="none"/>
        </w:rPr>
        <w:t>政拨款收入支出决算总体情况说明</w:t>
      </w:r>
      <w:bookmarkEnd w:id="18"/>
      <w:bookmarkEnd w:id="19"/>
    </w:p>
    <w:p w14:paraId="408CA31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财政拨款收入、支出总计均为</w:t>
      </w:r>
      <w:r>
        <w:rPr>
          <w:rFonts w:hint="eastAsia" w:ascii="仿宋_GB2312" w:hAnsi="仿宋_GB2312" w:eastAsia="仿宋_GB2312" w:cs="仿宋_GB2312"/>
          <w:sz w:val="32"/>
          <w:szCs w:val="32"/>
        </w:rPr>
        <w:t>137.25</w:t>
      </w:r>
      <w:r>
        <w:rPr>
          <w:rFonts w:hint="eastAsia" w:ascii="Times New Roman" w:hAnsi="Times New Roman" w:eastAsia="仿宋_GB2312" w:cs="仿宋_GB2312"/>
          <w:color w:val="auto"/>
          <w:kern w:val="2"/>
          <w:sz w:val="32"/>
          <w:szCs w:val="32"/>
          <w:highlight w:val="none"/>
          <w:lang w:val="en-US" w:eastAsia="zh-CN" w:bidi="ar-SA"/>
        </w:rPr>
        <w:t>万元。</w:t>
      </w: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3360" behindDoc="0" locked="0" layoutInCell="1" allowOverlap="1">
            <wp:simplePos x="0" y="0"/>
            <wp:positionH relativeFrom="column">
              <wp:posOffset>-909955</wp:posOffset>
            </wp:positionH>
            <wp:positionV relativeFrom="paragraph">
              <wp:posOffset>1052195</wp:posOffset>
            </wp:positionV>
            <wp:extent cx="7141210" cy="2005330"/>
            <wp:effectExtent l="4445" t="4445" r="17145" b="9525"/>
            <wp:wrapSquare wrapText="bothSides"/>
            <wp:docPr id="1" name="图表 1"/>
            <wp:cNvGraphicFramePr/>
            <a:graphic xmlns:a="http://schemas.openxmlformats.org/drawingml/2006/main">
              <a:graphicData uri="http://schemas.openxmlformats.org/drawingml/2006/chart">
                <c:chart xmlns:c="http://schemas.openxmlformats.org/drawingml/2006/chart" xmlns:r="http://schemas.openxmlformats.org/officeDocument/2006/relationships" r:id="rId12"/>
              </a:graphicData>
            </a:graphic>
          </wp:anchor>
        </w:drawing>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ascii="仿宋_GB2312" w:hAnsi="仿宋_GB2312" w:eastAsia="仿宋_GB2312" w:cs="仿宋_GB2312"/>
          <w:sz w:val="32"/>
          <w:szCs w:val="32"/>
        </w:rPr>
        <w:t>129.15</w:t>
      </w:r>
      <w:r>
        <w:rPr>
          <w:rFonts w:hint="eastAsia" w:ascii="Times New Roman" w:hAnsi="Times New Roman" w:eastAsia="仿宋_GB2312" w:cs="仿宋_GB2312"/>
          <w:color w:val="auto"/>
          <w:kern w:val="2"/>
          <w:sz w:val="32"/>
          <w:szCs w:val="32"/>
          <w:highlight w:val="none"/>
          <w:lang w:val="en-US" w:eastAsia="zh-CN" w:bidi="ar-SA"/>
        </w:rPr>
        <w:t>万元相比，财政拨款收入、支出总计各增加</w:t>
      </w:r>
      <w:r>
        <w:rPr>
          <w:rFonts w:hint="eastAsia" w:eastAsia="仿宋_GB2312" w:cs="仿宋_GB2312"/>
          <w:color w:val="auto"/>
          <w:kern w:val="2"/>
          <w:sz w:val="32"/>
          <w:szCs w:val="32"/>
          <w:highlight w:val="none"/>
          <w:lang w:val="en-US" w:eastAsia="zh-CN" w:bidi="ar-SA"/>
        </w:rPr>
        <w:t>8.1</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5.9</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人员经费变动。</w:t>
      </w:r>
    </w:p>
    <w:p w14:paraId="436202AE">
      <w:pPr>
        <w:spacing w:line="600" w:lineRule="exact"/>
        <w:ind w:firstLine="640" w:firstLineChars="20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（图4：财政拨款收、支决算总计变动情况）（柱状图）</w:t>
      </w:r>
    </w:p>
    <w:p w14:paraId="11CD687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855D60A">
      <w:pPr>
        <w:spacing w:line="600" w:lineRule="exact"/>
        <w:ind w:firstLine="640" w:firstLineChars="200"/>
        <w:outlineLvl w:val="1"/>
        <w:rPr>
          <w:rStyle w:val="31"/>
          <w:rFonts w:ascii="Times New Roman" w:hAnsi="Times New Roman" w:eastAsia="黑体"/>
          <w:b w:val="0"/>
          <w:color w:val="auto"/>
          <w:highlight w:val="none"/>
        </w:rPr>
      </w:pPr>
      <w:bookmarkStart w:id="20" w:name="_Toc15377209"/>
      <w:bookmarkStart w:id="21" w:name="_Toc15396607"/>
      <w:r>
        <w:rPr>
          <w:rFonts w:hint="eastAsia" w:ascii="Times New Roman" w:hAnsi="Times New Roman" w:eastAsia="黑体"/>
          <w:color w:val="auto"/>
          <w:sz w:val="32"/>
          <w:szCs w:val="32"/>
          <w:highlight w:val="none"/>
        </w:rPr>
        <w:t>五、</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般公共预算财政拨款支出决算情况说明</w:t>
      </w:r>
      <w:bookmarkEnd w:id="20"/>
      <w:bookmarkEnd w:id="21"/>
    </w:p>
    <w:p w14:paraId="22AAD12B">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2" w:name="_Toc15377210"/>
      <w:r>
        <w:rPr>
          <w:rFonts w:hint="eastAsia" w:ascii="Times New Roman" w:hAnsi="Times New Roman" w:eastAsia="楷体_GB2312" w:cs="楷体_GB2312"/>
          <w:b/>
          <w:color w:val="auto"/>
          <w:sz w:val="32"/>
          <w:szCs w:val="32"/>
          <w:highlight w:val="none"/>
        </w:rPr>
        <w:t>（一）一般公共预算财政拨款支出决算总体情况</w:t>
      </w:r>
      <w:bookmarkEnd w:id="22"/>
    </w:p>
    <w:p w14:paraId="2D083D85">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4384" behindDoc="0" locked="0" layoutInCell="1" allowOverlap="1">
            <wp:simplePos x="0" y="0"/>
            <wp:positionH relativeFrom="column">
              <wp:posOffset>-519430</wp:posOffset>
            </wp:positionH>
            <wp:positionV relativeFrom="paragraph">
              <wp:posOffset>1842135</wp:posOffset>
            </wp:positionV>
            <wp:extent cx="6219190" cy="1900555"/>
            <wp:effectExtent l="4445" t="4445" r="5715" b="19050"/>
            <wp:wrapSquare wrapText="bothSides"/>
            <wp:docPr id="7" name="图表 7"/>
            <wp:cNvGraphicFramePr/>
            <a:graphic xmlns:a="http://schemas.openxmlformats.org/drawingml/2006/main">
              <a:graphicData uri="http://schemas.openxmlformats.org/drawingml/2006/chart">
                <c:chart xmlns:c="http://schemas.openxmlformats.org/drawingml/2006/chart" xmlns:r="http://schemas.openxmlformats.org/officeDocument/2006/relationships" r:id="rId13"/>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137.25</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84.28</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2024</w:t>
      </w:r>
      <w:r>
        <w:rPr>
          <w:rFonts w:hint="eastAsia" w:ascii="Times New Roman" w:hAnsi="Times New Roman" w:eastAsia="仿宋_GB2312" w:cs="仿宋_GB2312"/>
          <w:color w:val="auto"/>
          <w:kern w:val="2"/>
          <w:sz w:val="32"/>
          <w:szCs w:val="32"/>
          <w:highlight w:val="none"/>
          <w:lang w:val="en-US" w:eastAsia="zh-CN" w:bidi="ar-SA"/>
        </w:rPr>
        <w:t>年度</w:t>
      </w:r>
      <w:r>
        <w:rPr>
          <w:rFonts w:hint="eastAsia" w:ascii="仿宋_GB2312" w:hAnsi="仿宋_GB2312" w:eastAsia="仿宋_GB2312" w:cs="仿宋_GB2312"/>
          <w:sz w:val="32"/>
          <w:szCs w:val="32"/>
        </w:rPr>
        <w:t>129.15</w:t>
      </w:r>
      <w:r>
        <w:rPr>
          <w:rFonts w:hint="eastAsia" w:ascii="Times New Roman" w:hAnsi="Times New Roman" w:eastAsia="仿宋_GB2312" w:cs="仿宋_GB2312"/>
          <w:color w:val="auto"/>
          <w:kern w:val="2"/>
          <w:sz w:val="32"/>
          <w:szCs w:val="32"/>
          <w:highlight w:val="none"/>
          <w:lang w:val="en-US" w:eastAsia="zh-CN" w:bidi="ar-SA"/>
        </w:rPr>
        <w:t>万元相比，一般公共预算财政拨款支出增加</w:t>
      </w:r>
      <w:r>
        <w:rPr>
          <w:rFonts w:hint="eastAsia" w:eastAsia="仿宋_GB2312" w:cs="仿宋_GB2312"/>
          <w:color w:val="auto"/>
          <w:kern w:val="2"/>
          <w:sz w:val="32"/>
          <w:szCs w:val="32"/>
          <w:highlight w:val="none"/>
          <w:lang w:val="en-US" w:eastAsia="zh-CN" w:bidi="ar-SA"/>
        </w:rPr>
        <w:t>8.1</w:t>
      </w:r>
      <w:r>
        <w:rPr>
          <w:rFonts w:hint="eastAsia" w:ascii="Times New Roman" w:hAnsi="Times New Roman" w:eastAsia="仿宋_GB2312" w:cs="仿宋_GB2312"/>
          <w:color w:val="auto"/>
          <w:kern w:val="2"/>
          <w:sz w:val="32"/>
          <w:szCs w:val="32"/>
          <w:highlight w:val="none"/>
          <w:lang w:val="en-US" w:eastAsia="zh-CN" w:bidi="ar-SA"/>
        </w:rPr>
        <w:t>万元，增长</w:t>
      </w:r>
      <w:r>
        <w:rPr>
          <w:rFonts w:hint="eastAsia" w:eastAsia="仿宋_GB2312" w:cs="仿宋_GB2312"/>
          <w:color w:val="auto"/>
          <w:kern w:val="2"/>
          <w:sz w:val="32"/>
          <w:szCs w:val="32"/>
          <w:highlight w:val="none"/>
          <w:lang w:val="en-US" w:eastAsia="zh-CN" w:bidi="ar-SA"/>
        </w:rPr>
        <w:t>5.9</w:t>
      </w:r>
      <w:r>
        <w:rPr>
          <w:rFonts w:hint="eastAsia" w:ascii="Times New Roman" w:hAnsi="Times New Roman" w:eastAsia="仿宋_GB2312" w:cs="仿宋_GB2312"/>
          <w:color w:val="auto"/>
          <w:kern w:val="2"/>
          <w:sz w:val="32"/>
          <w:szCs w:val="32"/>
          <w:highlight w:val="none"/>
          <w:lang w:val="en-US" w:eastAsia="zh-CN" w:bidi="ar-SA"/>
        </w:rPr>
        <w:t>%。主要变动原因是</w:t>
      </w:r>
      <w:r>
        <w:rPr>
          <w:rFonts w:hint="eastAsia" w:eastAsia="仿宋_GB2312" w:cs="仿宋_GB2312"/>
          <w:color w:val="auto"/>
          <w:kern w:val="2"/>
          <w:sz w:val="32"/>
          <w:szCs w:val="32"/>
          <w:highlight w:val="none"/>
          <w:lang w:val="en-US" w:eastAsia="zh-CN" w:bidi="ar-SA"/>
        </w:rPr>
        <w:t>人员经费变动。</w:t>
      </w:r>
    </w:p>
    <w:p w14:paraId="55C12AD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（图5：一般公共预算财政拨款支出决算变动情况）（柱状图）</w:t>
      </w:r>
    </w:p>
    <w:p w14:paraId="0A0D5F2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13F81496">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3" w:name="_Toc15377211"/>
      <w:r>
        <w:rPr>
          <w:rFonts w:hint="eastAsia" w:ascii="Times New Roman" w:hAnsi="Times New Roman" w:eastAsia="楷体_GB2312" w:cs="楷体_GB2312"/>
          <w:b/>
          <w:color w:val="auto"/>
          <w:sz w:val="32"/>
          <w:szCs w:val="32"/>
          <w:highlight w:val="none"/>
        </w:rPr>
        <w:t>（二）一般公共预算财政拨款支出决算结构情况</w:t>
      </w:r>
      <w:bookmarkEnd w:id="23"/>
    </w:p>
    <w:p w14:paraId="1FE5A95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仿宋" w:hAnsi="仿宋" w:eastAsia="仿宋"/>
          <w:color w:val="000000" w:themeColor="text1"/>
          <w:sz w:val="32"/>
          <w:szCs w:val="32"/>
          <w14:textFill>
            <w14:solidFill>
              <w14:schemeClr w14:val="tx1"/>
            </w14:solidFill>
          </w14:textFill>
        </w:rPr>
        <w:drawing>
          <wp:anchor distT="0" distB="0" distL="114300" distR="114300" simplePos="0" relativeHeight="251665408" behindDoc="0" locked="0" layoutInCell="1" allowOverlap="1">
            <wp:simplePos x="0" y="0"/>
            <wp:positionH relativeFrom="column">
              <wp:posOffset>-481330</wp:posOffset>
            </wp:positionH>
            <wp:positionV relativeFrom="paragraph">
              <wp:posOffset>2919095</wp:posOffset>
            </wp:positionV>
            <wp:extent cx="6584950" cy="1755140"/>
            <wp:effectExtent l="4445" t="5080" r="20955" b="11430"/>
            <wp:wrapSquare wrapText="bothSides"/>
            <wp:docPr id="8" name="图表 8"/>
            <wp:cNvGraphicFramePr/>
            <a:graphic xmlns:a="http://schemas.openxmlformats.org/drawingml/2006/main">
              <a:graphicData uri="http://schemas.openxmlformats.org/drawingml/2006/chart">
                <c:chart xmlns:c="http://schemas.openxmlformats.org/drawingml/2006/chart" xmlns:r="http://schemas.openxmlformats.org/officeDocument/2006/relationships" r:id="rId14"/>
              </a:graphicData>
            </a:graphic>
          </wp:anchor>
        </w:drawing>
      </w: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一般公共预算财政拨款支出</w:t>
      </w:r>
      <w:r>
        <w:rPr>
          <w:rFonts w:hint="eastAsia" w:ascii="仿宋_GB2312" w:hAnsi="仿宋_GB2312" w:eastAsia="仿宋_GB2312" w:cs="仿宋_GB2312"/>
          <w:sz w:val="32"/>
          <w:szCs w:val="32"/>
        </w:rPr>
        <w:t>137.25</w:t>
      </w:r>
      <w:r>
        <w:rPr>
          <w:rFonts w:hint="eastAsia" w:ascii="Times New Roman" w:hAnsi="Times New Roman" w:eastAsia="仿宋_GB2312" w:cs="仿宋_GB2312"/>
          <w:color w:val="auto"/>
          <w:kern w:val="2"/>
          <w:sz w:val="32"/>
          <w:szCs w:val="32"/>
          <w:highlight w:val="none"/>
          <w:lang w:val="en-US" w:eastAsia="zh-CN" w:bidi="ar-SA"/>
        </w:rPr>
        <w:t>万元，主要用于以下方面</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一般公共服务支出**万元，占**%；教育支出**万元，占**%；科学技术支出**万元，占**%；文化旅游体育与传媒支出**万元，占**%；社会保障和就业支出</w:t>
      </w:r>
      <w:r>
        <w:rPr>
          <w:rFonts w:hint="eastAsia" w:eastAsia="仿宋_GB2312" w:cs="仿宋_GB2312"/>
          <w:color w:val="auto"/>
          <w:kern w:val="2"/>
          <w:sz w:val="32"/>
          <w:szCs w:val="32"/>
          <w:highlight w:val="none"/>
          <w:lang w:val="en-US" w:eastAsia="zh-CN" w:bidi="ar-SA"/>
        </w:rPr>
        <w:t>18.11</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13.2</w:t>
      </w:r>
      <w:r>
        <w:rPr>
          <w:rFonts w:hint="eastAsia" w:ascii="Times New Roman" w:hAnsi="Times New Roman" w:eastAsia="仿宋_GB2312" w:cs="仿宋_GB2312"/>
          <w:color w:val="auto"/>
          <w:kern w:val="2"/>
          <w:sz w:val="32"/>
          <w:szCs w:val="32"/>
          <w:highlight w:val="none"/>
          <w:lang w:val="en-US" w:eastAsia="zh-CN" w:bidi="ar-SA"/>
        </w:rPr>
        <w:t>%；卫生健康支出</w:t>
      </w:r>
      <w:r>
        <w:rPr>
          <w:rFonts w:hint="eastAsia" w:eastAsia="仿宋_GB2312" w:cs="仿宋_GB2312"/>
          <w:color w:val="auto"/>
          <w:kern w:val="2"/>
          <w:sz w:val="32"/>
          <w:szCs w:val="32"/>
          <w:highlight w:val="none"/>
          <w:lang w:val="en-US" w:eastAsia="zh-CN" w:bidi="ar-SA"/>
        </w:rPr>
        <w:t>108.34</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78.94</w:t>
      </w:r>
      <w:r>
        <w:rPr>
          <w:rFonts w:hint="eastAsia" w:ascii="Times New Roman" w:hAnsi="Times New Roman" w:eastAsia="仿宋_GB2312" w:cs="仿宋_GB2312"/>
          <w:color w:val="auto"/>
          <w:kern w:val="2"/>
          <w:sz w:val="32"/>
          <w:szCs w:val="32"/>
          <w:highlight w:val="none"/>
          <w:lang w:val="en-US" w:eastAsia="zh-CN" w:bidi="ar-SA"/>
        </w:rPr>
        <w:t>%；住房保障支出</w:t>
      </w:r>
      <w:r>
        <w:rPr>
          <w:rFonts w:hint="eastAsia" w:eastAsia="仿宋_GB2312" w:cs="仿宋_GB2312"/>
          <w:color w:val="auto"/>
          <w:kern w:val="2"/>
          <w:sz w:val="32"/>
          <w:szCs w:val="32"/>
          <w:highlight w:val="none"/>
          <w:lang w:val="en-US" w:eastAsia="zh-CN" w:bidi="ar-SA"/>
        </w:rPr>
        <w:t>10.80</w:t>
      </w:r>
      <w:r>
        <w:rPr>
          <w:rFonts w:hint="eastAsia" w:ascii="Times New Roman" w:hAnsi="Times New Roman" w:eastAsia="仿宋_GB2312" w:cs="仿宋_GB2312"/>
          <w:color w:val="auto"/>
          <w:kern w:val="2"/>
          <w:sz w:val="32"/>
          <w:szCs w:val="32"/>
          <w:highlight w:val="none"/>
          <w:lang w:val="en-US" w:eastAsia="zh-CN" w:bidi="ar-SA"/>
        </w:rPr>
        <w:t>万元，占</w:t>
      </w:r>
      <w:r>
        <w:rPr>
          <w:rFonts w:hint="eastAsia" w:eastAsia="仿宋_GB2312" w:cs="仿宋_GB2312"/>
          <w:color w:val="auto"/>
          <w:kern w:val="2"/>
          <w:sz w:val="32"/>
          <w:szCs w:val="32"/>
          <w:highlight w:val="none"/>
          <w:lang w:val="en-US" w:eastAsia="zh-CN" w:bidi="ar-SA"/>
        </w:rPr>
        <w:t>7.87</w:t>
      </w:r>
      <w:r>
        <w:rPr>
          <w:rFonts w:hint="eastAsia" w:ascii="Times New Roman" w:hAnsi="Times New Roman" w:eastAsia="仿宋_GB2312" w:cs="仿宋_GB2312"/>
          <w:color w:val="auto"/>
          <w:kern w:val="2"/>
          <w:sz w:val="32"/>
          <w:szCs w:val="32"/>
          <w:highlight w:val="none"/>
          <w:lang w:val="en-US" w:eastAsia="zh-CN" w:bidi="ar-SA"/>
        </w:rPr>
        <w:t>%；</w:t>
      </w:r>
    </w:p>
    <w:p w14:paraId="33825C1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（图6：一般公共预算财政拨款支出决算结构）（饼状图）</w:t>
      </w:r>
    </w:p>
    <w:p w14:paraId="6946042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0A5418F">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24" w:name="_Toc15377212"/>
      <w:r>
        <w:rPr>
          <w:rFonts w:hint="eastAsia" w:ascii="Times New Roman" w:hAnsi="Times New Roman" w:eastAsia="楷体_GB2312" w:cs="楷体_GB2312"/>
          <w:b/>
          <w:color w:val="auto"/>
          <w:sz w:val="32"/>
          <w:szCs w:val="32"/>
          <w:highlight w:val="none"/>
        </w:rPr>
        <w:t>（三）一般公共预算财政拨款支出决算具体情况</w:t>
      </w:r>
      <w:bookmarkEnd w:id="24"/>
    </w:p>
    <w:p w14:paraId="29DF0EC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25" w:name="_Toc15377213"/>
      <w:bookmarkStart w:id="26" w:name="_Toc15377444"/>
      <w:bookmarkStart w:id="27" w:name="_Toc15378460"/>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一般公共预算支出决算数为</w:t>
      </w:r>
      <w:r>
        <w:rPr>
          <w:rFonts w:hint="eastAsia" w:ascii="仿宋_GB2312" w:hAnsi="仿宋_GB2312" w:eastAsia="仿宋_GB2312" w:cs="仿宋_GB2312"/>
          <w:sz w:val="32"/>
          <w:szCs w:val="32"/>
        </w:rPr>
        <w:t>137.25</w:t>
      </w:r>
      <w:r>
        <w:rPr>
          <w:rFonts w:hint="eastAsia" w:ascii="Times New Roman" w:hAnsi="Times New Roman" w:eastAsia="仿宋_GB2312" w:cs="仿宋_GB2312"/>
          <w:color w:val="auto"/>
          <w:kern w:val="2"/>
          <w:sz w:val="32"/>
          <w:szCs w:val="32"/>
          <w:highlight w:val="none"/>
          <w:lang w:val="en-US" w:eastAsia="zh-CN" w:bidi="ar-SA"/>
        </w:rPr>
        <w:t>，完成预算**%。其中：</w:t>
      </w:r>
      <w:bookmarkEnd w:id="25"/>
      <w:bookmarkEnd w:id="26"/>
      <w:bookmarkEnd w:id="27"/>
    </w:p>
    <w:p w14:paraId="2CDD3544">
      <w:pPr>
        <w:numPr>
          <w:ilvl w:val="0"/>
          <w:numId w:val="2"/>
        </w:numPr>
        <w:spacing w:line="600" w:lineRule="exact"/>
        <w:ind w:firstLine="640"/>
        <w:rPr>
          <w:rFonts w:hint="eastAsia"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住房保障支出</w:t>
      </w:r>
      <w:r>
        <w:rPr>
          <w:rFonts w:hint="eastAsia" w:ascii="Times New Roman" w:hAnsi="Times New Roman" w:eastAsia="仿宋_GB2312" w:cs="仿宋_GB2312"/>
          <w:color w:val="auto"/>
          <w:kern w:val="2"/>
          <w:sz w:val="32"/>
          <w:szCs w:val="32"/>
          <w:highlight w:val="none"/>
          <w:lang w:val="en-US" w:eastAsia="zh-CN" w:bidi="ar-SA"/>
        </w:rPr>
        <w:t>服务（类）</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01</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支出决算为10.8万元，完成预算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等于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w:t>
      </w:r>
    </w:p>
    <w:p w14:paraId="740922F3">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2.社会保障和就业（类）</w:t>
      </w:r>
      <w:r>
        <w:rPr>
          <w:rFonts w:hint="eastAsia" w:eastAsia="仿宋_GB2312" w:cs="仿宋_GB2312"/>
          <w:color w:val="auto"/>
          <w:kern w:val="2"/>
          <w:sz w:val="32"/>
          <w:szCs w:val="32"/>
          <w:highlight w:val="none"/>
          <w:lang w:val="en-US" w:eastAsia="zh-CN" w:bidi="ar-SA"/>
        </w:rPr>
        <w:t>05</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06</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18.11</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w:t>
      </w:r>
      <w:r>
        <w:rPr>
          <w:rFonts w:hint="eastAsia" w:eastAsia="仿宋_GB2312" w:cs="仿宋_GB2312"/>
          <w:color w:val="auto"/>
          <w:kern w:val="2"/>
          <w:sz w:val="32"/>
          <w:szCs w:val="32"/>
          <w:highlight w:val="none"/>
          <w:lang w:val="en-US" w:eastAsia="zh-CN" w:bidi="ar-SA"/>
        </w:rPr>
        <w:t>等于</w:t>
      </w:r>
      <w:r>
        <w:rPr>
          <w:rFonts w:hint="eastAsia" w:ascii="Times New Roman" w:hAnsi="Times New Roman" w:eastAsia="仿宋_GB2312" w:cs="仿宋_GB2312"/>
          <w:color w:val="auto"/>
          <w:kern w:val="2"/>
          <w:sz w:val="32"/>
          <w:szCs w:val="32"/>
          <w:highlight w:val="none"/>
          <w:lang w:val="en-US" w:eastAsia="zh-CN" w:bidi="ar-SA"/>
        </w:rPr>
        <w:t>预算数</w:t>
      </w:r>
      <w:r>
        <w:rPr>
          <w:rFonts w:hint="eastAsia" w:eastAsia="仿宋_GB2312" w:cs="仿宋_GB2312"/>
          <w:color w:val="auto"/>
          <w:kern w:val="2"/>
          <w:sz w:val="32"/>
          <w:szCs w:val="32"/>
          <w:highlight w:val="none"/>
          <w:lang w:val="en-US" w:eastAsia="zh-CN" w:bidi="ar-SA"/>
        </w:rPr>
        <w:t>。</w:t>
      </w:r>
    </w:p>
    <w:p w14:paraId="2B43D47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3.卫生健康（类）</w:t>
      </w:r>
      <w:r>
        <w:rPr>
          <w:rFonts w:hint="eastAsia" w:eastAsia="仿宋_GB2312" w:cs="仿宋_GB2312"/>
          <w:color w:val="auto"/>
          <w:kern w:val="2"/>
          <w:sz w:val="32"/>
          <w:szCs w:val="32"/>
          <w:highlight w:val="none"/>
          <w:lang w:val="en-US" w:eastAsia="zh-CN" w:bidi="ar-SA"/>
        </w:rPr>
        <w:t>03</w:t>
      </w:r>
      <w:r>
        <w:rPr>
          <w:rFonts w:hint="eastAsia" w:ascii="Times New Roman" w:hAnsi="Times New Roman" w:eastAsia="仿宋_GB2312" w:cs="仿宋_GB2312"/>
          <w:color w:val="auto"/>
          <w:kern w:val="2"/>
          <w:sz w:val="32"/>
          <w:szCs w:val="32"/>
          <w:highlight w:val="none"/>
          <w:lang w:val="en-US" w:eastAsia="zh-CN" w:bidi="ar-SA"/>
        </w:rPr>
        <w:t>（款）</w:t>
      </w:r>
      <w:r>
        <w:rPr>
          <w:rFonts w:hint="eastAsia" w:eastAsia="仿宋_GB2312" w:cs="仿宋_GB2312"/>
          <w:color w:val="auto"/>
          <w:kern w:val="2"/>
          <w:sz w:val="32"/>
          <w:szCs w:val="32"/>
          <w:highlight w:val="none"/>
          <w:lang w:val="en-US" w:eastAsia="zh-CN" w:bidi="ar-SA"/>
        </w:rPr>
        <w:t>02</w:t>
      </w:r>
      <w:r>
        <w:rPr>
          <w:rFonts w:hint="eastAsia" w:ascii="Times New Roman" w:hAnsi="Times New Roman" w:eastAsia="仿宋_GB2312" w:cs="仿宋_GB2312"/>
          <w:color w:val="auto"/>
          <w:kern w:val="2"/>
          <w:sz w:val="32"/>
          <w:szCs w:val="32"/>
          <w:highlight w:val="none"/>
          <w:lang w:val="en-US" w:eastAsia="zh-CN" w:bidi="ar-SA"/>
        </w:rPr>
        <w:t>（项）</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支出决算为</w:t>
      </w:r>
      <w:r>
        <w:rPr>
          <w:rFonts w:hint="eastAsia" w:eastAsia="仿宋_GB2312" w:cs="仿宋_GB2312"/>
          <w:color w:val="auto"/>
          <w:kern w:val="2"/>
          <w:sz w:val="32"/>
          <w:szCs w:val="32"/>
          <w:highlight w:val="none"/>
          <w:lang w:val="en-US" w:eastAsia="zh-CN" w:bidi="ar-SA"/>
        </w:rPr>
        <w:t>108.34</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eastAsia="仿宋_GB2312" w:cs="仿宋_GB2312"/>
          <w:color w:val="auto"/>
          <w:kern w:val="2"/>
          <w:sz w:val="32"/>
          <w:szCs w:val="32"/>
          <w:highlight w:val="none"/>
          <w:lang w:val="en-US" w:eastAsia="zh-CN" w:bidi="ar-SA"/>
        </w:rPr>
        <w:t>100</w:t>
      </w:r>
      <w:r>
        <w:rPr>
          <w:rFonts w:hint="eastAsia" w:ascii="Times New Roman" w:hAnsi="Times New Roman" w:eastAsia="仿宋_GB2312" w:cs="仿宋_GB2312"/>
          <w:color w:val="auto"/>
          <w:kern w:val="2"/>
          <w:sz w:val="32"/>
          <w:szCs w:val="32"/>
          <w:highlight w:val="none"/>
          <w:lang w:val="en-US" w:eastAsia="zh-CN" w:bidi="ar-SA"/>
        </w:rPr>
        <w:t>%，决算数等于预算数</w:t>
      </w:r>
      <w:r>
        <w:rPr>
          <w:rFonts w:hint="eastAsia" w:eastAsia="仿宋_GB2312" w:cs="仿宋_GB2312"/>
          <w:color w:val="auto"/>
          <w:kern w:val="2"/>
          <w:sz w:val="32"/>
          <w:szCs w:val="32"/>
          <w:highlight w:val="none"/>
          <w:lang w:val="en-US" w:eastAsia="zh-CN" w:bidi="ar-SA"/>
        </w:rPr>
        <w:t>。</w:t>
      </w:r>
    </w:p>
    <w:p w14:paraId="3172EA4F">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3315EAFA">
      <w:pPr>
        <w:tabs>
          <w:tab w:val="right" w:pos="8306"/>
        </w:tabs>
        <w:spacing w:line="600" w:lineRule="exact"/>
        <w:ind w:firstLine="640"/>
        <w:outlineLvl w:val="1"/>
        <w:rPr>
          <w:rStyle w:val="31"/>
          <w:rFonts w:ascii="Times New Roman" w:hAnsi="Times New Roman"/>
          <w:color w:val="auto"/>
          <w:highlight w:val="none"/>
        </w:rPr>
      </w:pPr>
      <w:bookmarkStart w:id="28" w:name="_Toc15396608"/>
      <w:bookmarkStart w:id="29" w:name="_Toc15377214"/>
      <w:r>
        <w:rPr>
          <w:rFonts w:hint="eastAsia" w:ascii="Times New Roman" w:hAnsi="Times New Roman" w:eastAsia="黑体"/>
          <w:color w:val="auto"/>
          <w:sz w:val="32"/>
          <w:szCs w:val="32"/>
          <w:highlight w:val="none"/>
        </w:rPr>
        <w:t>六</w:t>
      </w:r>
      <w:r>
        <w:rPr>
          <w:rFonts w:hint="eastAsia" w:ascii="Times New Roman" w:hAnsi="Times New Roman" w:eastAsia="黑体"/>
          <w:b/>
          <w:color w:val="auto"/>
          <w:sz w:val="32"/>
          <w:szCs w:val="32"/>
          <w:highlight w:val="none"/>
        </w:rPr>
        <w:t>、一</w:t>
      </w:r>
      <w:r>
        <w:rPr>
          <w:rStyle w:val="31"/>
          <w:rFonts w:hint="eastAsia" w:ascii="Times New Roman" w:hAnsi="Times New Roman" w:eastAsia="黑体"/>
          <w:b w:val="0"/>
          <w:color w:val="auto"/>
          <w:highlight w:val="none"/>
        </w:rPr>
        <w:t>般公共预算财政拨款基本支出决算情况说明</w:t>
      </w:r>
      <w:bookmarkEnd w:id="28"/>
      <w:bookmarkEnd w:id="29"/>
      <w:r>
        <w:rPr>
          <w:rStyle w:val="31"/>
          <w:rFonts w:ascii="Times New Roman" w:hAnsi="Times New Roman" w:eastAsia="黑体"/>
          <w:b w:val="0"/>
          <w:color w:val="auto"/>
          <w:highlight w:val="none"/>
        </w:rPr>
        <w:tab/>
      </w:r>
    </w:p>
    <w:p w14:paraId="4EE4985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一般公共预算财政拨款基本支出</w:t>
      </w:r>
      <w:r>
        <w:rPr>
          <w:rFonts w:hint="eastAsia" w:ascii="仿宋_GB2312" w:hAnsi="仿宋_GB2312" w:eastAsia="仿宋_GB2312" w:cs="仿宋_GB2312"/>
          <w:sz w:val="32"/>
          <w:szCs w:val="32"/>
        </w:rPr>
        <w:t>132.94</w:t>
      </w:r>
      <w:r>
        <w:rPr>
          <w:rFonts w:hint="eastAsia" w:ascii="Times New Roman" w:hAnsi="Times New Roman" w:eastAsia="仿宋_GB2312" w:cs="仿宋_GB2312"/>
          <w:color w:val="auto"/>
          <w:kern w:val="2"/>
          <w:sz w:val="32"/>
          <w:szCs w:val="32"/>
          <w:highlight w:val="none"/>
          <w:lang w:val="en-US" w:eastAsia="zh-CN" w:bidi="ar-SA"/>
        </w:rPr>
        <w:t>万元，其中：</w:t>
      </w:r>
    </w:p>
    <w:p w14:paraId="6B34CE77">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人员经费</w:t>
      </w:r>
      <w:r>
        <w:rPr>
          <w:rFonts w:hint="eastAsia" w:ascii="仿宋_GB2312" w:hAnsi="仿宋_GB2312" w:eastAsia="仿宋_GB2312" w:cs="仿宋_GB2312"/>
          <w:sz w:val="32"/>
          <w:szCs w:val="32"/>
        </w:rPr>
        <w:t>130.86</w:t>
      </w:r>
      <w:r>
        <w:rPr>
          <w:rFonts w:hint="eastAsia" w:ascii="Times New Roman" w:hAnsi="Times New Roman" w:eastAsia="仿宋_GB2312" w:cs="仿宋_GB2312"/>
          <w:color w:val="auto"/>
          <w:kern w:val="2"/>
          <w:sz w:val="32"/>
          <w:szCs w:val="32"/>
          <w:highlight w:val="none"/>
          <w:lang w:val="en-US" w:eastAsia="zh-CN" w:bidi="ar-SA"/>
        </w:rPr>
        <w:t>万元，主要包括：基本工资、津贴补贴、奖金、伙食补助费、绩效工资、机关事业单位基本养老保险缴费、职业年金缴费、其他社会保障缴费、其他工资福利支出、离休费、退休费、抚恤金、生活补助、医疗费补助、奖励金、住房公积金、其他对个人和家庭的补助支出等。</w:t>
      </w:r>
      <w:r>
        <w:rPr>
          <w:rFonts w:hint="eastAsia" w:ascii="Times New Roman" w:hAnsi="Times New Roman" w:eastAsia="仿宋_GB2312" w:cs="仿宋_GB2312"/>
          <w:color w:val="auto"/>
          <w:kern w:val="2"/>
          <w:sz w:val="32"/>
          <w:szCs w:val="32"/>
          <w:highlight w:val="none"/>
          <w:lang w:val="en-US" w:eastAsia="zh-CN" w:bidi="ar-SA"/>
        </w:rPr>
        <w:br w:type="textWrapping"/>
      </w:r>
      <w:r>
        <w:rPr>
          <w:rFonts w:hint="eastAsia" w:ascii="Times New Roman" w:hAnsi="Times New Roman" w:eastAsia="仿宋_GB2312" w:cs="仿宋_GB2312"/>
          <w:color w:val="auto"/>
          <w:kern w:val="2"/>
          <w:sz w:val="32"/>
          <w:szCs w:val="32"/>
          <w:highlight w:val="none"/>
          <w:lang w:val="en-US" w:eastAsia="zh-CN" w:bidi="ar-SA"/>
        </w:rPr>
        <w:t>　　公用经费</w:t>
      </w:r>
      <w:r>
        <w:rPr>
          <w:rFonts w:hint="eastAsia" w:ascii="仿宋_GB2312" w:hAnsi="仿宋_GB2312" w:eastAsia="仿宋_GB2312" w:cs="仿宋_GB2312"/>
          <w:sz w:val="32"/>
          <w:szCs w:val="32"/>
        </w:rPr>
        <w:t>2.08</w:t>
      </w:r>
      <w:r>
        <w:rPr>
          <w:rFonts w:hint="eastAsia" w:ascii="Times New Roman" w:hAnsi="Times New Roman" w:eastAsia="仿宋_GB2312" w:cs="仿宋_GB2312"/>
          <w:color w:val="auto"/>
          <w:kern w:val="2"/>
          <w:sz w:val="32"/>
          <w:szCs w:val="32"/>
          <w:highlight w:val="none"/>
          <w:lang w:val="en-US" w:eastAsia="zh-CN" w:bidi="ar-SA"/>
        </w:rPr>
        <w:t>万元，主要包括：工会经费</w:t>
      </w:r>
      <w:r>
        <w:rPr>
          <w:rFonts w:hint="eastAsia" w:eastAsia="仿宋_GB2312" w:cs="仿宋_GB2312"/>
          <w:color w:val="auto"/>
          <w:kern w:val="2"/>
          <w:sz w:val="32"/>
          <w:szCs w:val="32"/>
          <w:highlight w:val="none"/>
          <w:lang w:val="en-US" w:eastAsia="zh-CN" w:bidi="ar-SA"/>
        </w:rPr>
        <w:t>0.96万元</w:t>
      </w:r>
      <w:r>
        <w:rPr>
          <w:rFonts w:hint="eastAsia" w:ascii="Times New Roman" w:hAnsi="Times New Roman" w:eastAsia="仿宋_GB2312" w:cs="仿宋_GB2312"/>
          <w:color w:val="auto"/>
          <w:kern w:val="2"/>
          <w:sz w:val="32"/>
          <w:szCs w:val="32"/>
          <w:highlight w:val="none"/>
          <w:lang w:val="en-US" w:eastAsia="zh-CN" w:bidi="ar-SA"/>
        </w:rPr>
        <w:t>、其他商品和服务支出</w:t>
      </w:r>
      <w:r>
        <w:rPr>
          <w:rFonts w:hint="eastAsia" w:eastAsia="仿宋_GB2312" w:cs="仿宋_GB2312"/>
          <w:color w:val="auto"/>
          <w:kern w:val="2"/>
          <w:sz w:val="32"/>
          <w:szCs w:val="32"/>
          <w:highlight w:val="none"/>
          <w:lang w:val="en-US" w:eastAsia="zh-CN" w:bidi="ar-SA"/>
        </w:rPr>
        <w:t>1.13万元</w:t>
      </w:r>
      <w:r>
        <w:rPr>
          <w:rFonts w:hint="eastAsia" w:ascii="Times New Roman" w:hAnsi="Times New Roman" w:eastAsia="仿宋_GB2312" w:cs="仿宋_GB2312"/>
          <w:color w:val="auto"/>
          <w:kern w:val="2"/>
          <w:sz w:val="32"/>
          <w:szCs w:val="32"/>
          <w:highlight w:val="none"/>
          <w:lang w:val="en-US" w:eastAsia="zh-CN" w:bidi="ar-SA"/>
        </w:rPr>
        <w:t>。</w:t>
      </w:r>
    </w:p>
    <w:p w14:paraId="3FA62540">
      <w:pPr>
        <w:spacing w:line="600" w:lineRule="exact"/>
        <w:ind w:firstLine="640"/>
        <w:outlineLvl w:val="1"/>
        <w:rPr>
          <w:rStyle w:val="31"/>
          <w:rFonts w:ascii="Times New Roman" w:hAnsi="Times New Roman" w:eastAsia="黑体"/>
          <w:b w:val="0"/>
          <w:color w:val="auto"/>
          <w:highlight w:val="none"/>
        </w:rPr>
      </w:pPr>
      <w:bookmarkStart w:id="62" w:name="_GoBack"/>
      <w:bookmarkEnd w:id="62"/>
      <w:bookmarkStart w:id="30" w:name="_Toc15377215"/>
      <w:bookmarkStart w:id="31" w:name="_Toc15396609"/>
      <w:r>
        <w:rPr>
          <w:rFonts w:hint="eastAsia" w:ascii="Times New Roman" w:hAnsi="Times New Roman" w:eastAsia="黑体"/>
          <w:color w:val="auto"/>
          <w:sz w:val="32"/>
          <w:szCs w:val="32"/>
          <w:highlight w:val="none"/>
        </w:rPr>
        <w:t>七、</w:t>
      </w:r>
      <w:r>
        <w:rPr>
          <w:rStyle w:val="31"/>
          <w:rFonts w:hint="eastAsia" w:ascii="Times New Roman" w:hAnsi="Times New Roman" w:eastAsia="黑体"/>
          <w:b w:val="0"/>
          <w:color w:val="auto"/>
          <w:highlight w:val="none"/>
        </w:rPr>
        <w:t>财政拨款</w:t>
      </w:r>
      <w:r>
        <w:rPr>
          <w:rStyle w:val="31"/>
          <w:rFonts w:hint="eastAsia" w:ascii="Times New Roman" w:hAnsi="Times New Roman" w:eastAsia="黑体"/>
          <w:color w:val="auto"/>
          <w:highlight w:val="none"/>
        </w:rPr>
        <w:t>“</w:t>
      </w:r>
      <w:r>
        <w:rPr>
          <w:rStyle w:val="31"/>
          <w:rFonts w:hint="eastAsia" w:ascii="Times New Roman" w:hAnsi="Times New Roman" w:eastAsia="黑体"/>
          <w:b w:val="0"/>
          <w:color w:val="auto"/>
          <w:highlight w:val="none"/>
        </w:rPr>
        <w:t>三公”经费支出决算情况说明</w:t>
      </w:r>
      <w:bookmarkEnd w:id="30"/>
      <w:bookmarkEnd w:id="31"/>
    </w:p>
    <w:p w14:paraId="148929FE">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2" w:name="_Toc15377216"/>
      <w:r>
        <w:rPr>
          <w:rFonts w:hint="eastAsia" w:ascii="Times New Roman" w:hAnsi="Times New Roman" w:eastAsia="楷体_GB2312" w:cs="楷体_GB2312"/>
          <w:b/>
          <w:color w:val="auto"/>
          <w:sz w:val="32"/>
          <w:szCs w:val="32"/>
          <w:highlight w:val="none"/>
        </w:rPr>
        <w:t>（一）财政拨款“三公”经费支出决算总体情况说明</w:t>
      </w:r>
      <w:bookmarkEnd w:id="32"/>
    </w:p>
    <w:p w14:paraId="30C076AC">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万元，完成预算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%，较上年度增加/减少**万元，增长/下降**%。决算数小于预算数（或与预算数持平）的主要原因是……</w:t>
      </w:r>
    </w:p>
    <w:p w14:paraId="128BE5B8">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（注：上述“预算”口径为全年预算数，包括一般公共预算和政府性基金预算财政拨款支出决算情况，与预算数持平可以不写原因）</w:t>
      </w:r>
    </w:p>
    <w:p w14:paraId="7EE86C9F">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33" w:name="_Toc15377217"/>
      <w:r>
        <w:rPr>
          <w:rFonts w:hint="eastAsia" w:ascii="Times New Roman" w:hAnsi="Times New Roman" w:eastAsia="楷体_GB2312" w:cs="楷体_GB2312"/>
          <w:b/>
          <w:color w:val="auto"/>
          <w:sz w:val="32"/>
          <w:szCs w:val="32"/>
          <w:highlight w:val="none"/>
        </w:rPr>
        <w:t>（二）财政拨款“三公”经费支出决算具体情况说明</w:t>
      </w:r>
      <w:bookmarkEnd w:id="33"/>
    </w:p>
    <w:p w14:paraId="0197256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财政拨款“三公”经费支出决算中，因公出国（境）费支出决算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万元，占**%；公务用车购置及运行维护费支出决算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万元，占**%；公务接待费支出决算</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万元，占**%。具体情况如下：</w:t>
      </w:r>
    </w:p>
    <w:p w14:paraId="0661C22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（图7：财政拨款“三公”经费支出结构）（饼状图）</w:t>
      </w:r>
    </w:p>
    <w:p w14:paraId="282DEDF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1.因公出国（境）经费支出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全年安排因公出国（境）团组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次，出国（境）</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人。因公出国（境）支出决算比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665BEF2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开支内容包括：……（团组名称、出访地点、取得成效等）</w:t>
      </w:r>
    </w:p>
    <w:p w14:paraId="3AFD2D7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2.公务用车购置及运行维护费支出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w:t>
      </w:r>
      <w:r>
        <w:rPr>
          <w:rFonts w:hint="eastAsia" w:eastAsia="仿宋_GB2312" w:cs="仿宋_GB2312"/>
          <w:b/>
          <w:bCs/>
          <w:color w:val="auto"/>
          <w:kern w:val="2"/>
          <w:sz w:val="32"/>
          <w:szCs w:val="32"/>
          <w:highlight w:val="none"/>
          <w:lang w:val="en-US" w:eastAsia="zh-CN" w:bidi="ar-SA"/>
        </w:rPr>
        <w:t>，</w:t>
      </w:r>
      <w:r>
        <w:rPr>
          <w:rFonts w:hint="eastAsia" w:ascii="Times New Roman" w:hAnsi="Times New Roman" w:eastAsia="仿宋_GB2312" w:cs="仿宋_GB2312"/>
          <w:b/>
          <w:bCs/>
          <w:color w:val="auto"/>
          <w:kern w:val="2"/>
          <w:sz w:val="32"/>
          <w:szCs w:val="32"/>
          <w:highlight w:val="none"/>
          <w:lang w:val="en-US" w:eastAsia="zh-CN" w:bidi="ar-SA"/>
        </w:rPr>
        <w:t>完成预算**%。</w:t>
      </w:r>
      <w:r>
        <w:rPr>
          <w:rFonts w:hint="eastAsia" w:ascii="Times New Roman" w:hAnsi="Times New Roman" w:eastAsia="仿宋_GB2312" w:cs="仿宋_GB2312"/>
          <w:color w:val="auto"/>
          <w:kern w:val="2"/>
          <w:sz w:val="32"/>
          <w:szCs w:val="32"/>
          <w:highlight w:val="none"/>
          <w:lang w:val="en-US" w:eastAsia="zh-CN" w:bidi="ar-SA"/>
        </w:rPr>
        <w:t>公务用车购置及运行维护费支出决算比</w:t>
      </w:r>
      <w:r>
        <w:rPr>
          <w:rFonts w:hint="eastAsia" w:eastAsia="仿宋_GB2312" w:cs="仿宋_GB2312"/>
          <w:color w:val="auto"/>
          <w:kern w:val="2"/>
          <w:sz w:val="32"/>
          <w:szCs w:val="32"/>
          <w:highlight w:val="none"/>
          <w:lang w:val="en-US" w:eastAsia="zh-CN" w:bidi="ar-SA"/>
        </w:rPr>
        <w:t>上年度</w:t>
      </w:r>
      <w:r>
        <w:rPr>
          <w:rFonts w:hint="eastAsia" w:ascii="Times New Roman" w:hAnsi="Times New Roman" w:eastAsia="仿宋_GB2312" w:cs="仿宋_GB2312"/>
          <w:color w:val="auto"/>
          <w:kern w:val="2"/>
          <w:sz w:val="32"/>
          <w:szCs w:val="32"/>
          <w:highlight w:val="none"/>
          <w:lang w:val="en-US" w:eastAsia="zh-CN" w:bidi="ar-SA"/>
        </w:rPr>
        <w:t>增加/减少**万元，增长/下降**%。主要原因是……</w:t>
      </w:r>
    </w:p>
    <w:p w14:paraId="57FB94A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其中：公务用车购置支出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万元。全年按规定更新购置公务用车**辆，其中：轿车**辆、金额**万元，越野车**辆、金额**万元，载客汽车**辆、金额**万元，主要用于……。截至202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年12月31日，单位共有公务用车**辆，其中：轿车**辆、越野车**辆、载客汽车**辆。</w:t>
      </w:r>
    </w:p>
    <w:p w14:paraId="720EBB20">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公务用车运行维护费支出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万元。主要用于……（具体工作）所需的公务用车燃料费、维修费、过路过桥费、保险费等支出。</w:t>
      </w:r>
    </w:p>
    <w:p w14:paraId="3FC4C1E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b/>
          <w:bCs/>
          <w:color w:val="auto"/>
          <w:kern w:val="2"/>
          <w:sz w:val="32"/>
          <w:szCs w:val="32"/>
          <w:highlight w:val="none"/>
          <w:lang w:val="en-US" w:eastAsia="zh-CN" w:bidi="ar-SA"/>
        </w:rPr>
        <w:t>3.公务接待费支出</w:t>
      </w:r>
      <w:r>
        <w:rPr>
          <w:rFonts w:hint="eastAsia" w:ascii="仿宋_GB2312" w:hAnsi="仿宋_GB2312" w:eastAsia="仿宋_GB2312" w:cs="仿宋_GB2312"/>
          <w:b/>
          <w:bCs/>
          <w:color w:val="auto"/>
          <w:kern w:val="2"/>
          <w:sz w:val="32"/>
          <w:szCs w:val="32"/>
          <w:highlight w:val="none"/>
          <w:lang w:val="en-US" w:eastAsia="zh-CN" w:bidi="ar-SA"/>
        </w:rPr>
        <w:t>0</w:t>
      </w:r>
      <w:r>
        <w:rPr>
          <w:rFonts w:hint="eastAsia" w:ascii="Times New Roman" w:hAnsi="Times New Roman" w:eastAsia="仿宋_GB2312" w:cs="仿宋_GB2312"/>
          <w:b/>
          <w:bCs/>
          <w:color w:val="auto"/>
          <w:kern w:val="2"/>
          <w:sz w:val="32"/>
          <w:szCs w:val="32"/>
          <w:highlight w:val="none"/>
          <w:lang w:val="en-US" w:eastAsia="zh-CN" w:bidi="ar-SA"/>
        </w:rPr>
        <w:t>万元，完成预算**%。</w:t>
      </w:r>
      <w:r>
        <w:rPr>
          <w:rFonts w:hint="eastAsia" w:ascii="Times New Roman" w:hAnsi="Times New Roman" w:eastAsia="仿宋_GB2312" w:cs="仿宋_GB2312"/>
          <w:color w:val="auto"/>
          <w:kern w:val="2"/>
          <w:sz w:val="32"/>
          <w:szCs w:val="32"/>
          <w:highlight w:val="none"/>
          <w:lang w:val="en-US" w:eastAsia="zh-CN" w:bidi="ar-SA"/>
        </w:rPr>
        <w:t>公务接待费支出决算比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年度增加/减少**万元，增长/下降**%。主要原因是……。其中：</w:t>
      </w:r>
    </w:p>
    <w:p w14:paraId="5705EEA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国内公务接待支出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执行公务、开展业务活动开支的交通费、住宿费、用餐费等</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。国内公务接待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人次（不包括陪同人员），共计支出**万元，具体内容包括：……（接待具体项目、金额）。</w:t>
      </w:r>
    </w:p>
    <w:p w14:paraId="303B6D5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外事接待支出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万元，主要用于……（具体项目）。外事接待</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批次，</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人次（不包括陪同人员），共计支出**万元。</w:t>
      </w:r>
    </w:p>
    <w:p w14:paraId="4A3D6272">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bookmarkStart w:id="34" w:name="_Toc15377218"/>
      <w:bookmarkStart w:id="35" w:name="_Toc15396610"/>
    </w:p>
    <w:p w14:paraId="14E3E669">
      <w:pPr>
        <w:spacing w:line="600" w:lineRule="exact"/>
        <w:ind w:firstLine="640"/>
        <w:outlineLvl w:val="1"/>
        <w:rPr>
          <w:rStyle w:val="31"/>
          <w:rFonts w:ascii="Times New Roman" w:hAnsi="Times New Roman" w:eastAsia="黑体"/>
          <w:color w:val="auto"/>
          <w:highlight w:val="none"/>
        </w:rPr>
      </w:pPr>
      <w:r>
        <w:rPr>
          <w:rFonts w:hint="eastAsia" w:ascii="Times New Roman" w:hAnsi="Times New Roman" w:eastAsia="黑体"/>
          <w:color w:val="auto"/>
          <w:sz w:val="32"/>
          <w:szCs w:val="32"/>
          <w:highlight w:val="none"/>
        </w:rPr>
        <w:t>八、</w:t>
      </w:r>
      <w:r>
        <w:rPr>
          <w:rStyle w:val="31"/>
          <w:rFonts w:hint="eastAsia" w:ascii="Times New Roman" w:hAnsi="Times New Roman" w:eastAsia="黑体"/>
          <w:b w:val="0"/>
          <w:color w:val="auto"/>
          <w:highlight w:val="none"/>
        </w:rPr>
        <w:t>政府性基金预算支出决算情况说明</w:t>
      </w:r>
      <w:bookmarkEnd w:id="34"/>
      <w:bookmarkEnd w:id="35"/>
    </w:p>
    <w:p w14:paraId="6B751C7A">
      <w:pPr>
        <w:spacing w:line="600" w:lineRule="exact"/>
        <w:ind w:firstLine="640"/>
        <w:rPr>
          <w:rFonts w:hint="eastAsia" w:ascii="Times New Roman" w:hAnsi="Times New Roman" w:eastAsia="仿宋_GB2312" w:cs="仿宋_GB2312"/>
          <w:b/>
          <w:bCs/>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政府性基金预算财政拨款支出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年度相比，政府性基金预算财政拨款支出增加/减少**万元，增长/下降**%。主要变动原因是……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198F308D">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26221D60">
      <w:pPr>
        <w:numPr>
          <w:ilvl w:val="0"/>
          <w:numId w:val="0"/>
        </w:numPr>
        <w:spacing w:line="600" w:lineRule="exact"/>
        <w:ind w:left="630" w:leftChars="0"/>
        <w:outlineLvl w:val="1"/>
        <w:rPr>
          <w:rStyle w:val="31"/>
          <w:rFonts w:ascii="Times New Roman" w:hAnsi="Times New Roman" w:eastAsia="黑体"/>
          <w:b w:val="0"/>
          <w:color w:val="auto"/>
          <w:highlight w:val="none"/>
        </w:rPr>
      </w:pPr>
      <w:bookmarkStart w:id="36" w:name="_Toc15396611"/>
      <w:bookmarkStart w:id="37" w:name="_Toc15377219"/>
      <w:r>
        <w:rPr>
          <w:rStyle w:val="31"/>
          <w:rFonts w:hint="eastAsia" w:ascii="Times New Roman" w:hAnsi="Times New Roman" w:eastAsia="黑体"/>
          <w:b w:val="0"/>
          <w:color w:val="auto"/>
          <w:highlight w:val="none"/>
          <w:lang w:eastAsia="zh-CN"/>
        </w:rPr>
        <w:t>九、</w:t>
      </w:r>
      <w:r>
        <w:rPr>
          <w:rStyle w:val="31"/>
          <w:rFonts w:hint="eastAsia" w:ascii="Times New Roman" w:hAnsi="Times New Roman" w:eastAsia="黑体"/>
          <w:b w:val="0"/>
          <w:color w:val="auto"/>
          <w:highlight w:val="none"/>
        </w:rPr>
        <w:t>国有资本经营预算支出决算情况说明</w:t>
      </w:r>
      <w:bookmarkEnd w:id="36"/>
      <w:bookmarkEnd w:id="37"/>
    </w:p>
    <w:p w14:paraId="0101AD5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国有资本经营预算财政拨款支出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万元，占本年支出合计的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年度相比，国有资本经营预算财政拨款支出增加/减少**万元，增长/下降**%。主要变动原因是……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7C18A3C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4F3147E6">
      <w:pPr>
        <w:numPr>
          <w:ilvl w:val="0"/>
          <w:numId w:val="0"/>
        </w:numPr>
        <w:spacing w:line="600" w:lineRule="exact"/>
        <w:ind w:left="630" w:leftChars="0"/>
        <w:outlineLvl w:val="1"/>
        <w:rPr>
          <w:rStyle w:val="31"/>
          <w:rFonts w:hint="eastAsia" w:ascii="Times New Roman" w:hAnsi="Times New Roman" w:eastAsia="黑体"/>
          <w:b w:val="0"/>
          <w:color w:val="auto"/>
          <w:highlight w:val="none"/>
        </w:rPr>
      </w:pPr>
      <w:bookmarkStart w:id="38" w:name="_Toc15377221"/>
      <w:bookmarkStart w:id="39" w:name="_Toc15396612"/>
      <w:r>
        <w:rPr>
          <w:rStyle w:val="31"/>
          <w:rFonts w:hint="eastAsia" w:ascii="Times New Roman" w:hAnsi="Times New Roman" w:eastAsia="黑体"/>
          <w:b w:val="0"/>
          <w:color w:val="auto"/>
          <w:highlight w:val="none"/>
          <w:lang w:eastAsia="zh-CN"/>
        </w:rPr>
        <w:t>十、</w:t>
      </w:r>
      <w:r>
        <w:rPr>
          <w:rStyle w:val="31"/>
          <w:rFonts w:hint="eastAsia" w:ascii="Times New Roman" w:hAnsi="Times New Roman" w:eastAsia="黑体"/>
          <w:b w:val="0"/>
          <w:color w:val="auto"/>
          <w:highlight w:val="none"/>
        </w:rPr>
        <w:t>其他重要事项的情况说明</w:t>
      </w:r>
      <w:bookmarkEnd w:id="38"/>
      <w:bookmarkEnd w:id="39"/>
    </w:p>
    <w:p w14:paraId="46FB49D7">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0" w:name="_Toc15377222"/>
      <w:r>
        <w:rPr>
          <w:rFonts w:hint="eastAsia" w:ascii="Times New Roman" w:hAnsi="Times New Roman" w:eastAsia="楷体_GB2312" w:cs="楷体_GB2312"/>
          <w:b/>
          <w:color w:val="auto"/>
          <w:sz w:val="32"/>
          <w:szCs w:val="32"/>
          <w:highlight w:val="none"/>
        </w:rPr>
        <w:t>（一）机关运行经费支出情况</w:t>
      </w:r>
      <w:bookmarkEnd w:id="40"/>
    </w:p>
    <w:p w14:paraId="06C496D4">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红原县邛溪镇社区卫生服务中心</w:t>
      </w:r>
      <w:r>
        <w:rPr>
          <w:rFonts w:hint="eastAsia" w:ascii="Times New Roman" w:hAnsi="Times New Roman" w:eastAsia="仿宋_GB2312" w:cs="仿宋_GB2312"/>
          <w:color w:val="auto"/>
          <w:kern w:val="2"/>
          <w:sz w:val="32"/>
          <w:szCs w:val="32"/>
          <w:highlight w:val="none"/>
          <w:lang w:val="en-US" w:eastAsia="zh-CN" w:bidi="ar-SA"/>
        </w:rPr>
        <w:t>机关运行经费支出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万元，比</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年度增加/减少**万元，增长/下降**%（或与</w:t>
      </w:r>
      <w:r>
        <w:rPr>
          <w:rFonts w:hint="eastAsia" w:eastAsia="仿宋_GB2312" w:cs="仿宋_GB2312"/>
          <w:color w:val="auto"/>
          <w:kern w:val="2"/>
          <w:sz w:val="32"/>
          <w:szCs w:val="32"/>
          <w:highlight w:val="none"/>
          <w:lang w:val="en-US" w:eastAsia="zh-CN" w:bidi="ar-SA"/>
        </w:rPr>
        <w:t>上</w:t>
      </w:r>
      <w:r>
        <w:rPr>
          <w:rFonts w:hint="eastAsia" w:ascii="Times New Roman" w:hAnsi="Times New Roman" w:eastAsia="仿宋_GB2312" w:cs="仿宋_GB2312"/>
          <w:color w:val="auto"/>
          <w:kern w:val="2"/>
          <w:sz w:val="32"/>
          <w:szCs w:val="32"/>
          <w:highlight w:val="none"/>
          <w:lang w:val="en-US" w:eastAsia="zh-CN" w:bidi="ar-SA"/>
        </w:rPr>
        <w:t>年度决算数持平）。主要原因是……</w:t>
      </w:r>
      <w:r>
        <w:rPr>
          <w:rFonts w:hint="eastAsia" w:ascii="Times New Roman" w:hAnsi="Times New Roman" w:eastAsia="仿宋_GB2312" w:cs="仿宋_GB2312"/>
          <w:b/>
          <w:bCs/>
          <w:color w:val="auto"/>
          <w:kern w:val="2"/>
          <w:sz w:val="32"/>
          <w:szCs w:val="32"/>
          <w:highlight w:val="none"/>
          <w:lang w:val="en-US" w:eastAsia="zh-CN" w:bidi="ar-SA"/>
        </w:rPr>
        <w:t>（注：支出数与上年持平可以不写原因）</w:t>
      </w:r>
    </w:p>
    <w:p w14:paraId="2F0DFEE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0FA3836B">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1" w:name="_Toc15377223"/>
      <w:r>
        <w:rPr>
          <w:rFonts w:hint="eastAsia" w:ascii="Times New Roman" w:hAnsi="Times New Roman" w:eastAsia="楷体_GB2312" w:cs="楷体_GB2312"/>
          <w:b/>
          <w:color w:val="auto"/>
          <w:sz w:val="32"/>
          <w:szCs w:val="32"/>
          <w:highlight w:val="none"/>
        </w:rPr>
        <w:t>（二）政府采购支出情况</w:t>
      </w:r>
      <w:bookmarkEnd w:id="41"/>
    </w:p>
    <w:p w14:paraId="2C0F7E6A">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2025年度</w:t>
      </w:r>
      <w:r>
        <w:rPr>
          <w:rFonts w:hint="eastAsia" w:ascii="Times New Roman" w:hAnsi="Times New Roman" w:eastAsia="仿宋_GB2312" w:cs="仿宋_GB2312"/>
          <w:color w:val="auto"/>
          <w:kern w:val="2"/>
          <w:sz w:val="32"/>
          <w:szCs w:val="32"/>
          <w:highlight w:val="none"/>
          <w:lang w:val="en-US" w:eastAsia="zh-CN" w:bidi="ar-SA"/>
        </w:rPr>
        <w:t>，</w:t>
      </w:r>
      <w:r>
        <w:rPr>
          <w:rFonts w:hint="eastAsia" w:ascii="仿宋_GB2312" w:hAnsi="仿宋_GB2312" w:eastAsia="仿宋_GB2312" w:cs="仿宋_GB2312"/>
          <w:sz w:val="32"/>
          <w:szCs w:val="32"/>
        </w:rPr>
        <w:t>红原县邛溪镇社区卫生服务中心</w:t>
      </w:r>
      <w:r>
        <w:rPr>
          <w:rFonts w:hint="eastAsia" w:ascii="Times New Roman" w:hAnsi="Times New Roman" w:eastAsia="仿宋_GB2312" w:cs="仿宋_GB2312"/>
          <w:color w:val="auto"/>
          <w:kern w:val="2"/>
          <w:sz w:val="32"/>
          <w:szCs w:val="32"/>
          <w:highlight w:val="none"/>
          <w:lang w:val="en-US" w:eastAsia="zh-CN" w:bidi="ar-SA"/>
        </w:rPr>
        <w:t>政府采购支出总额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万元，其中：政府采购货物支出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万元、政府采购工程支出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万元、政府采购服务支出</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万元。主要用于……（具体工作）。授予中小企业合同金额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%，其中：授予小微企业合同金额</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万元，占政府采购支出总额的</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w:t>
      </w:r>
    </w:p>
    <w:p w14:paraId="1F39A823">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6C45B068">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bookmarkStart w:id="42" w:name="_Toc15377224"/>
      <w:r>
        <w:rPr>
          <w:rFonts w:hint="eastAsia" w:ascii="Times New Roman" w:hAnsi="Times New Roman" w:eastAsia="楷体_GB2312" w:cs="楷体_GB2312"/>
          <w:b/>
          <w:color w:val="auto"/>
          <w:sz w:val="32"/>
          <w:szCs w:val="32"/>
          <w:highlight w:val="none"/>
        </w:rPr>
        <w:t>（三）国有资产占有使用情况</w:t>
      </w:r>
      <w:bookmarkEnd w:id="42"/>
    </w:p>
    <w:p w14:paraId="6062543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截至202</w:t>
      </w:r>
      <w:r>
        <w:rPr>
          <w:rFonts w:hint="eastAsia" w:eastAsia="仿宋_GB2312" w:cs="仿宋_GB2312"/>
          <w:color w:val="auto"/>
          <w:kern w:val="2"/>
          <w:sz w:val="32"/>
          <w:szCs w:val="32"/>
          <w:highlight w:val="none"/>
          <w:lang w:val="en-US" w:eastAsia="zh-CN" w:bidi="ar-SA"/>
        </w:rPr>
        <w:t>5</w:t>
      </w:r>
      <w:r>
        <w:rPr>
          <w:rFonts w:hint="eastAsia" w:ascii="Times New Roman" w:hAnsi="Times New Roman" w:eastAsia="仿宋_GB2312" w:cs="仿宋_GB2312"/>
          <w:color w:val="auto"/>
          <w:kern w:val="2"/>
          <w:sz w:val="32"/>
          <w:szCs w:val="32"/>
          <w:highlight w:val="none"/>
          <w:lang w:val="en-US" w:eastAsia="zh-CN" w:bidi="ar-SA"/>
        </w:rPr>
        <w:t>年12月31日，</w:t>
      </w:r>
      <w:r>
        <w:rPr>
          <w:rFonts w:hint="eastAsia" w:ascii="仿宋_GB2312" w:hAnsi="仿宋_GB2312" w:eastAsia="仿宋_GB2312" w:cs="仿宋_GB2312"/>
          <w:sz w:val="32"/>
          <w:szCs w:val="32"/>
        </w:rPr>
        <w:t>红原县邛溪镇社区卫生服务中心</w:t>
      </w:r>
      <w:r>
        <w:rPr>
          <w:rFonts w:hint="eastAsia" w:ascii="Times New Roman" w:hAnsi="Times New Roman" w:eastAsia="仿宋_GB2312" w:cs="仿宋_GB2312"/>
          <w:color w:val="auto"/>
          <w:kern w:val="2"/>
          <w:sz w:val="32"/>
          <w:szCs w:val="32"/>
          <w:highlight w:val="none"/>
          <w:lang w:val="en-US" w:eastAsia="zh-CN" w:bidi="ar-SA"/>
        </w:rPr>
        <w:t>共有车辆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辆，其中：副部（省）级及以上领导用车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辆、主要</w:t>
      </w:r>
      <w:r>
        <w:rPr>
          <w:rFonts w:hint="eastAsia" w:eastAsia="仿宋_GB2312" w:cs="仿宋_GB2312"/>
          <w:color w:val="auto"/>
          <w:kern w:val="2"/>
          <w:sz w:val="32"/>
          <w:szCs w:val="32"/>
          <w:highlight w:val="none"/>
          <w:lang w:val="en-US" w:eastAsia="zh-CN" w:bidi="ar-SA"/>
        </w:rPr>
        <w:t>负责人</w:t>
      </w:r>
      <w:r>
        <w:rPr>
          <w:rFonts w:hint="eastAsia" w:ascii="Times New Roman" w:hAnsi="Times New Roman" w:eastAsia="仿宋_GB2312" w:cs="仿宋_GB2312"/>
          <w:color w:val="auto"/>
          <w:kern w:val="2"/>
          <w:sz w:val="32"/>
          <w:szCs w:val="32"/>
          <w:highlight w:val="none"/>
          <w:lang w:val="en-US" w:eastAsia="zh-CN" w:bidi="ar-SA"/>
        </w:rPr>
        <w:t>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辆、机要通信用车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辆、应急保障用车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辆、执法执勤用车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辆、特种专业技术用车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辆、离退休干部服务用车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辆，其他用车主要是用于……</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单价100万元</w:t>
      </w:r>
      <w:r>
        <w:rPr>
          <w:rFonts w:hint="eastAsia" w:eastAsia="仿宋_GB2312" w:cs="仿宋_GB2312"/>
          <w:color w:val="auto"/>
          <w:kern w:val="2"/>
          <w:sz w:val="32"/>
          <w:szCs w:val="32"/>
          <w:highlight w:val="none"/>
          <w:lang w:val="en-US" w:eastAsia="zh-CN" w:bidi="ar-SA"/>
        </w:rPr>
        <w:t>（含）</w:t>
      </w:r>
      <w:r>
        <w:rPr>
          <w:rFonts w:hint="eastAsia" w:ascii="Times New Roman" w:hAnsi="Times New Roman" w:eastAsia="仿宋_GB2312" w:cs="仿宋_GB2312"/>
          <w:color w:val="auto"/>
          <w:kern w:val="2"/>
          <w:sz w:val="32"/>
          <w:szCs w:val="32"/>
          <w:highlight w:val="none"/>
          <w:lang w:val="en-US" w:eastAsia="zh-CN" w:bidi="ar-SA"/>
        </w:rPr>
        <w:t>以上设备（不含车辆）</w:t>
      </w:r>
      <w:r>
        <w:rPr>
          <w:rFonts w:hint="eastAsia" w:ascii="仿宋_GB2312" w:hAnsi="仿宋_GB2312" w:eastAsia="仿宋_GB2312" w:cs="仿宋_GB2312"/>
          <w:sz w:val="32"/>
          <w:szCs w:val="32"/>
        </w:rPr>
        <w:t>0</w:t>
      </w:r>
      <w:r>
        <w:rPr>
          <w:rFonts w:hint="eastAsia" w:ascii="Times New Roman" w:hAnsi="Times New Roman" w:eastAsia="仿宋_GB2312" w:cs="仿宋_GB2312"/>
          <w:color w:val="auto"/>
          <w:kern w:val="2"/>
          <w:sz w:val="32"/>
          <w:szCs w:val="32"/>
          <w:highlight w:val="none"/>
          <w:lang w:val="en-US" w:eastAsia="zh-CN" w:bidi="ar-SA"/>
        </w:rPr>
        <w:t>台（套）。</w:t>
      </w:r>
    </w:p>
    <w:p w14:paraId="5D70D7B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301D39C1">
      <w:pPr>
        <w:spacing w:line="600" w:lineRule="exact"/>
        <w:ind w:firstLine="643" w:firstLineChars="200"/>
        <w:outlineLvl w:val="2"/>
        <w:rPr>
          <w:rFonts w:hint="eastAsia" w:ascii="Times New Roman" w:hAnsi="Times New Roman" w:eastAsia="楷体_GB2312" w:cs="楷体_GB2312"/>
          <w:b/>
          <w:color w:val="auto"/>
          <w:sz w:val="32"/>
          <w:szCs w:val="32"/>
          <w:highlight w:val="none"/>
        </w:rPr>
      </w:pPr>
      <w:r>
        <w:rPr>
          <w:rFonts w:hint="eastAsia" w:ascii="Times New Roman" w:hAnsi="Times New Roman" w:eastAsia="楷体_GB2312" w:cs="楷体_GB2312"/>
          <w:b/>
          <w:color w:val="auto"/>
          <w:sz w:val="32"/>
          <w:szCs w:val="32"/>
          <w:highlight w:val="none"/>
        </w:rPr>
        <w:t>（四）预算绩效管理情况</w:t>
      </w:r>
    </w:p>
    <w:p w14:paraId="0DF4E2E8">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heme="minorEastAsia" w:hAnsiTheme="minorEastAsia" w:eastAsiaTheme="minorEastAsia" w:cstheme="minorEastAsia"/>
          <w:sz w:val="32"/>
          <w:szCs w:val="32"/>
        </w:rPr>
        <w:t>根据预算绩效管理要求，本单位在年初预算编制阶段，组织对</w:t>
      </w:r>
      <w:r>
        <w:rPr>
          <w:rFonts w:hint="eastAsia" w:asciiTheme="minorEastAsia" w:hAnsiTheme="minorEastAsia" w:eastAsiaTheme="minorEastAsia" w:cstheme="minorEastAsia"/>
          <w:sz w:val="32"/>
          <w:szCs w:val="32"/>
          <w:lang w:val="en-US" w:eastAsia="zh-CN"/>
        </w:rPr>
        <w:t>1个</w:t>
      </w:r>
      <w:r>
        <w:rPr>
          <w:rFonts w:hint="eastAsia" w:asciiTheme="minorEastAsia" w:hAnsiTheme="minorEastAsia" w:eastAsiaTheme="minorEastAsia" w:cstheme="minorEastAsia"/>
          <w:sz w:val="32"/>
          <w:szCs w:val="32"/>
        </w:rPr>
        <w:t>项目（项目</w:t>
      </w:r>
      <w:r>
        <w:rPr>
          <w:rFonts w:hint="eastAsia" w:asciiTheme="minorEastAsia" w:hAnsiTheme="minorEastAsia" w:eastAsiaTheme="minorEastAsia" w:cstheme="minorEastAsia"/>
          <w:sz w:val="32"/>
          <w:szCs w:val="32"/>
          <w:lang w:eastAsia="zh-CN"/>
        </w:rPr>
        <w:t>：基本公共卫生</w:t>
      </w:r>
      <w:r>
        <w:rPr>
          <w:rFonts w:hint="eastAsia" w:asciiTheme="minorEastAsia" w:hAnsiTheme="minorEastAsia" w:eastAsiaTheme="minorEastAsia" w:cstheme="minorEastAsia"/>
          <w:sz w:val="32"/>
          <w:szCs w:val="32"/>
        </w:rPr>
        <w:t>）开展了预算事前绩效评估，对</w:t>
      </w:r>
      <w:r>
        <w:rPr>
          <w:rFonts w:hint="eastAsia" w:asciiTheme="minorEastAsia" w:hAnsiTheme="minorEastAsia" w:eastAsiaTheme="minorEastAsia" w:cstheme="minorEastAsia"/>
          <w:sz w:val="32"/>
          <w:szCs w:val="32"/>
          <w:lang w:val="en-US" w:eastAsia="zh-CN"/>
        </w:rPr>
        <w:t>1</w:t>
      </w:r>
      <w:r>
        <w:rPr>
          <w:rFonts w:hint="eastAsia" w:asciiTheme="minorEastAsia" w:hAnsiTheme="minorEastAsia" w:eastAsiaTheme="minorEastAsia" w:cstheme="minorEastAsia"/>
          <w:sz w:val="32"/>
          <w:szCs w:val="32"/>
        </w:rPr>
        <w:t>个项目编制了绩效目标，预算执行过程中，选取</w:t>
      </w:r>
      <w:r>
        <w:rPr>
          <w:rFonts w:hint="eastAsia" w:asciiTheme="minorEastAsia" w:hAnsiTheme="minorEastAsia" w:eastAsiaTheme="minorEastAsia" w:cstheme="minorEastAsia"/>
          <w:sz w:val="32"/>
          <w:szCs w:val="32"/>
          <w:lang w:val="en-US" w:eastAsia="zh-CN"/>
        </w:rPr>
        <w:t>1</w:t>
      </w:r>
      <w:r>
        <w:rPr>
          <w:rFonts w:hint="eastAsia" w:asciiTheme="minorEastAsia" w:hAnsiTheme="minorEastAsia" w:eastAsiaTheme="minorEastAsia" w:cstheme="minorEastAsia"/>
          <w:sz w:val="32"/>
          <w:szCs w:val="32"/>
        </w:rPr>
        <w:t>个项目开展绩效监控，年终执行完毕后，对</w:t>
      </w:r>
      <w:r>
        <w:rPr>
          <w:rFonts w:hint="eastAsia" w:asciiTheme="minorEastAsia" w:hAnsiTheme="minorEastAsia" w:eastAsiaTheme="minorEastAsia" w:cstheme="minorEastAsia"/>
          <w:sz w:val="32"/>
          <w:szCs w:val="32"/>
          <w:lang w:val="en-US" w:eastAsia="zh-CN"/>
        </w:rPr>
        <w:t>1</w:t>
      </w:r>
      <w:r>
        <w:rPr>
          <w:rFonts w:hint="eastAsia" w:asciiTheme="minorEastAsia" w:hAnsiTheme="minorEastAsia" w:eastAsiaTheme="minorEastAsia" w:cstheme="minorEastAsia"/>
          <w:sz w:val="32"/>
          <w:szCs w:val="32"/>
        </w:rPr>
        <w:t>个项目开展了绩效目标完成情况自评。</w:t>
      </w:r>
    </w:p>
    <w:tbl>
      <w:tblPr>
        <w:tblStyle w:val="17"/>
        <w:tblW w:w="121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861"/>
        <w:gridCol w:w="1383"/>
        <w:gridCol w:w="1186"/>
        <w:gridCol w:w="1846"/>
        <w:gridCol w:w="766"/>
        <w:gridCol w:w="777"/>
        <w:gridCol w:w="913"/>
        <w:gridCol w:w="777"/>
        <w:gridCol w:w="750"/>
        <w:gridCol w:w="766"/>
        <w:gridCol w:w="434"/>
        <w:gridCol w:w="734"/>
      </w:tblGrid>
      <w:tr w14:paraId="7781D126">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96" w:hRule="atLeast"/>
        </w:trPr>
        <w:tc>
          <w:tcPr>
            <w:tcW w:w="12193" w:type="dxa"/>
            <w:gridSpan w:val="12"/>
            <w:tcBorders>
              <w:top w:val="single" w:color="FFFFFF" w:sz="4" w:space="0"/>
              <w:left w:val="single" w:color="FFFFFF" w:sz="4" w:space="0"/>
              <w:bottom w:val="single" w:color="FFFFFF" w:sz="4" w:space="0"/>
              <w:right w:val="single" w:color="FFFFFF" w:sz="4" w:space="0"/>
            </w:tcBorders>
            <w:shd w:val="clear" w:color="auto" w:fill="auto"/>
            <w:vAlign w:val="center"/>
          </w:tcPr>
          <w:p w14:paraId="30310D41">
            <w:pPr>
              <w:keepNext w:val="0"/>
              <w:keepLines w:val="0"/>
              <w:widowControl/>
              <w:suppressLineNumbers w:val="0"/>
              <w:jc w:val="center"/>
              <w:textAlignment w:val="center"/>
              <w:rPr>
                <w:rFonts w:hint="eastAsia" w:ascii="宋体" w:hAnsi="宋体" w:eastAsia="宋体" w:cs="宋体"/>
                <w:b/>
                <w:i w:val="0"/>
                <w:color w:val="000000"/>
                <w:sz w:val="30"/>
                <w:szCs w:val="30"/>
                <w:u w:val="none"/>
              </w:rPr>
            </w:pPr>
            <w:r>
              <w:rPr>
                <w:rFonts w:hint="eastAsia" w:ascii="宋体" w:hAnsi="宋体" w:eastAsia="宋体" w:cs="宋体"/>
                <w:b/>
                <w:i w:val="0"/>
                <w:color w:val="000000"/>
                <w:kern w:val="0"/>
                <w:sz w:val="30"/>
                <w:szCs w:val="30"/>
                <w:u w:val="none"/>
                <w:lang w:val="en-US" w:eastAsia="zh-CN" w:bidi="ar"/>
              </w:rPr>
              <w:t>部门预算项目绩效目标表（2025年度）</w:t>
            </w:r>
          </w:p>
        </w:tc>
      </w:tr>
      <w:tr w14:paraId="34FB7CC5">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36" w:hRule="atLeast"/>
        </w:trPr>
        <w:tc>
          <w:tcPr>
            <w:tcW w:w="6276" w:type="dxa"/>
            <w:gridSpan w:val="4"/>
            <w:tcBorders>
              <w:top w:val="single" w:color="FFFFFF" w:sz="4" w:space="0"/>
              <w:left w:val="single" w:color="FFFFFF" w:sz="4" w:space="0"/>
              <w:right w:val="single" w:color="FFFFFF" w:sz="4" w:space="0"/>
            </w:tcBorders>
            <w:shd w:val="clear" w:color="auto" w:fill="auto"/>
            <w:vAlign w:val="center"/>
          </w:tcPr>
          <w:p w14:paraId="40A8992A">
            <w:pPr>
              <w:rPr>
                <w:rFonts w:hint="eastAsia" w:ascii="宋体" w:hAnsi="宋体" w:eastAsia="宋体" w:cs="宋体"/>
                <w:i w:val="0"/>
                <w:color w:val="000000"/>
                <w:sz w:val="22"/>
                <w:szCs w:val="22"/>
                <w:u w:val="none"/>
              </w:rPr>
            </w:pPr>
          </w:p>
        </w:tc>
        <w:tc>
          <w:tcPr>
            <w:tcW w:w="766" w:type="dxa"/>
            <w:tcBorders>
              <w:top w:val="single" w:color="FFFFFF" w:sz="4" w:space="0"/>
              <w:left w:val="single" w:color="FFFFFF" w:sz="4" w:space="0"/>
              <w:right w:val="single" w:color="FFFFFF" w:sz="4" w:space="0"/>
            </w:tcBorders>
            <w:shd w:val="clear" w:color="auto" w:fill="auto"/>
            <w:vAlign w:val="center"/>
          </w:tcPr>
          <w:p w14:paraId="127F14FF">
            <w:pPr>
              <w:rPr>
                <w:rFonts w:hint="eastAsia" w:ascii="宋体" w:hAnsi="宋体" w:eastAsia="宋体" w:cs="宋体"/>
                <w:i w:val="0"/>
                <w:color w:val="000000"/>
                <w:sz w:val="22"/>
                <w:szCs w:val="22"/>
                <w:u w:val="none"/>
              </w:rPr>
            </w:pPr>
          </w:p>
        </w:tc>
        <w:tc>
          <w:tcPr>
            <w:tcW w:w="777" w:type="dxa"/>
            <w:tcBorders>
              <w:top w:val="single" w:color="FFFFFF" w:sz="4" w:space="0"/>
              <w:left w:val="single" w:color="FFFFFF" w:sz="4" w:space="0"/>
              <w:right w:val="single" w:color="FFFFFF" w:sz="4" w:space="0"/>
            </w:tcBorders>
            <w:shd w:val="clear" w:color="auto" w:fill="auto"/>
            <w:vAlign w:val="center"/>
          </w:tcPr>
          <w:p w14:paraId="146F5033">
            <w:pPr>
              <w:rPr>
                <w:rFonts w:hint="eastAsia" w:ascii="宋体" w:hAnsi="宋体" w:eastAsia="宋体" w:cs="宋体"/>
                <w:i w:val="0"/>
                <w:color w:val="000000"/>
                <w:sz w:val="22"/>
                <w:szCs w:val="22"/>
                <w:u w:val="none"/>
              </w:rPr>
            </w:pPr>
          </w:p>
        </w:tc>
        <w:tc>
          <w:tcPr>
            <w:tcW w:w="913" w:type="dxa"/>
            <w:tcBorders>
              <w:top w:val="single" w:color="FFFFFF" w:sz="4" w:space="0"/>
              <w:left w:val="single" w:color="FFFFFF" w:sz="4" w:space="0"/>
              <w:right w:val="single" w:color="FFFFFF" w:sz="4" w:space="0"/>
            </w:tcBorders>
            <w:shd w:val="clear" w:color="auto" w:fill="auto"/>
            <w:vAlign w:val="center"/>
          </w:tcPr>
          <w:p w14:paraId="23A16E1B">
            <w:pPr>
              <w:rPr>
                <w:rFonts w:hint="eastAsia" w:ascii="宋体" w:hAnsi="宋体" w:eastAsia="宋体" w:cs="宋体"/>
                <w:i w:val="0"/>
                <w:color w:val="000000"/>
                <w:sz w:val="22"/>
                <w:szCs w:val="22"/>
                <w:u w:val="none"/>
              </w:rPr>
            </w:pPr>
          </w:p>
        </w:tc>
        <w:tc>
          <w:tcPr>
            <w:tcW w:w="777" w:type="dxa"/>
            <w:tcBorders>
              <w:top w:val="single" w:color="FFFFFF" w:sz="4" w:space="0"/>
              <w:left w:val="single" w:color="FFFFFF" w:sz="4" w:space="0"/>
              <w:right w:val="single" w:color="FFFFFF" w:sz="4" w:space="0"/>
            </w:tcBorders>
            <w:shd w:val="clear" w:color="auto" w:fill="auto"/>
            <w:vAlign w:val="center"/>
          </w:tcPr>
          <w:p w14:paraId="530BE581">
            <w:pPr>
              <w:rPr>
                <w:rFonts w:hint="eastAsia" w:ascii="宋体" w:hAnsi="宋体" w:eastAsia="宋体" w:cs="宋体"/>
                <w:i w:val="0"/>
                <w:color w:val="000000"/>
                <w:sz w:val="22"/>
                <w:szCs w:val="22"/>
                <w:u w:val="none"/>
              </w:rPr>
            </w:pPr>
          </w:p>
        </w:tc>
        <w:tc>
          <w:tcPr>
            <w:tcW w:w="750" w:type="dxa"/>
            <w:tcBorders>
              <w:top w:val="single" w:color="FFFFFF" w:sz="4" w:space="0"/>
              <w:left w:val="single" w:color="FFFFFF" w:sz="4" w:space="0"/>
              <w:right w:val="single" w:color="FFFFFF" w:sz="4" w:space="0"/>
            </w:tcBorders>
            <w:shd w:val="clear" w:color="auto" w:fill="auto"/>
            <w:vAlign w:val="center"/>
          </w:tcPr>
          <w:p w14:paraId="0E515FA9">
            <w:pPr>
              <w:rPr>
                <w:rFonts w:hint="eastAsia" w:ascii="宋体" w:hAnsi="宋体" w:eastAsia="宋体" w:cs="宋体"/>
                <w:i w:val="0"/>
                <w:color w:val="000000"/>
                <w:sz w:val="22"/>
                <w:szCs w:val="22"/>
                <w:u w:val="none"/>
              </w:rPr>
            </w:pPr>
          </w:p>
        </w:tc>
        <w:tc>
          <w:tcPr>
            <w:tcW w:w="1934" w:type="dxa"/>
            <w:gridSpan w:val="3"/>
            <w:tcBorders>
              <w:top w:val="single" w:color="FFFFFF" w:sz="4" w:space="0"/>
              <w:left w:val="single" w:color="FFFFFF" w:sz="4" w:space="0"/>
              <w:right w:val="single" w:color="FFFFFF" w:sz="4" w:space="0"/>
            </w:tcBorders>
            <w:shd w:val="clear" w:color="auto" w:fill="auto"/>
            <w:vAlign w:val="center"/>
          </w:tcPr>
          <w:p w14:paraId="30D4C5C9">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14:paraId="47ED03BB">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20" w:hRule="atLeast"/>
        </w:trPr>
        <w:tc>
          <w:tcPr>
            <w:tcW w:w="1861"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1F4E7EB9">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单位名称</w:t>
            </w:r>
          </w:p>
        </w:tc>
        <w:tc>
          <w:tcPr>
            <w:tcW w:w="1383"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C370DA3">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项目名称</w:t>
            </w:r>
          </w:p>
        </w:tc>
        <w:tc>
          <w:tcPr>
            <w:tcW w:w="1186"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D9C19ED">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预算数</w:t>
            </w:r>
          </w:p>
        </w:tc>
        <w:tc>
          <w:tcPr>
            <w:tcW w:w="1846"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5DAE993">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年度目标</w:t>
            </w:r>
          </w:p>
        </w:tc>
        <w:tc>
          <w:tcPr>
            <w:tcW w:w="766"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CDAA829">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一级指标</w:t>
            </w:r>
          </w:p>
        </w:tc>
        <w:tc>
          <w:tcPr>
            <w:tcW w:w="777"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72541BB8">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二级指标</w:t>
            </w:r>
          </w:p>
        </w:tc>
        <w:tc>
          <w:tcPr>
            <w:tcW w:w="913"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E128CA9">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三级指标</w:t>
            </w:r>
          </w:p>
        </w:tc>
        <w:tc>
          <w:tcPr>
            <w:tcW w:w="777"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8123EB3">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指标性质</w:t>
            </w:r>
          </w:p>
        </w:tc>
        <w:tc>
          <w:tcPr>
            <w:tcW w:w="75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1619F595">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指标值</w:t>
            </w:r>
          </w:p>
        </w:tc>
        <w:tc>
          <w:tcPr>
            <w:tcW w:w="766"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6610AC3">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度量单位</w:t>
            </w:r>
          </w:p>
        </w:tc>
        <w:tc>
          <w:tcPr>
            <w:tcW w:w="434"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38E1231">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权重</w:t>
            </w:r>
          </w:p>
        </w:tc>
        <w:tc>
          <w:tcPr>
            <w:tcW w:w="734"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D3A3692">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指标方向性</w:t>
            </w:r>
          </w:p>
        </w:tc>
      </w:tr>
      <w:tr w14:paraId="1D1B74A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6" w:hRule="atLeast"/>
        </w:trPr>
        <w:tc>
          <w:tcPr>
            <w:tcW w:w="186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EB6F0E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122-红原县卫生健康局</w:t>
            </w:r>
          </w:p>
        </w:tc>
        <w:tc>
          <w:tcPr>
            <w:tcW w:w="138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A4D037B">
            <w:pPr>
              <w:rPr>
                <w:rFonts w:hint="eastAsia" w:ascii="宋体" w:hAnsi="宋体" w:eastAsia="宋体" w:cs="宋体"/>
                <w:i w:val="0"/>
                <w:color w:val="000000"/>
                <w:sz w:val="18"/>
                <w:szCs w:val="18"/>
                <w:u w:val="none"/>
              </w:rPr>
            </w:pPr>
          </w:p>
        </w:tc>
        <w:tc>
          <w:tcPr>
            <w:tcW w:w="118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EF1F5">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4.34</w:t>
            </w:r>
          </w:p>
        </w:tc>
        <w:tc>
          <w:tcPr>
            <w:tcW w:w="18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BB48EC0">
            <w:pPr>
              <w:rPr>
                <w:rFonts w:hint="eastAsia" w:ascii="宋体" w:hAnsi="宋体" w:eastAsia="宋体" w:cs="宋体"/>
                <w:i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A77F6F4">
            <w:pPr>
              <w:rPr>
                <w:rFonts w:hint="eastAsia" w:ascii="宋体" w:hAnsi="宋体" w:eastAsia="宋体" w:cs="宋体"/>
                <w:i w:val="0"/>
                <w:color w:val="000000"/>
                <w:sz w:val="18"/>
                <w:szCs w:val="18"/>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265079">
            <w:pPr>
              <w:rPr>
                <w:rFonts w:hint="eastAsia" w:ascii="宋体" w:hAnsi="宋体" w:eastAsia="宋体" w:cs="宋体"/>
                <w:i w:val="0"/>
                <w:color w:val="000000"/>
                <w:sz w:val="18"/>
                <w:szCs w:val="18"/>
                <w:u w:val="none"/>
              </w:rPr>
            </w:pP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E5CF32">
            <w:pPr>
              <w:rPr>
                <w:rFonts w:hint="eastAsia" w:ascii="宋体" w:hAnsi="宋体" w:eastAsia="宋体" w:cs="宋体"/>
                <w:i w:val="0"/>
                <w:color w:val="000000"/>
                <w:sz w:val="18"/>
                <w:szCs w:val="18"/>
                <w:u w:val="none"/>
              </w:rPr>
            </w:pP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024FD1">
            <w:pPr>
              <w:rPr>
                <w:rFonts w:hint="eastAsia" w:ascii="宋体" w:hAnsi="宋体" w:eastAsia="宋体" w:cs="宋体"/>
                <w:i w:val="0"/>
                <w:color w:val="000000"/>
                <w:sz w:val="18"/>
                <w:szCs w:val="18"/>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993136B">
            <w:pPr>
              <w:rPr>
                <w:rFonts w:hint="eastAsia" w:ascii="宋体" w:hAnsi="宋体" w:eastAsia="宋体" w:cs="宋体"/>
                <w:i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D0BC8D">
            <w:pPr>
              <w:rPr>
                <w:rFonts w:hint="eastAsia" w:ascii="宋体" w:hAnsi="宋体" w:eastAsia="宋体" w:cs="宋体"/>
                <w:i w:val="0"/>
                <w:color w:val="000000"/>
                <w:sz w:val="18"/>
                <w:szCs w:val="18"/>
                <w:u w:val="none"/>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93DDDCB">
            <w:pPr>
              <w:rPr>
                <w:rFonts w:hint="eastAsia" w:ascii="宋体" w:hAnsi="宋体" w:eastAsia="宋体" w:cs="宋体"/>
                <w:i w:val="0"/>
                <w:color w:val="000000"/>
                <w:sz w:val="18"/>
                <w:szCs w:val="18"/>
                <w:u w:val="none"/>
              </w:rPr>
            </w:pP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A381E4">
            <w:pPr>
              <w:rPr>
                <w:rFonts w:hint="eastAsia" w:ascii="宋体" w:hAnsi="宋体" w:eastAsia="宋体" w:cs="宋体"/>
                <w:i w:val="0"/>
                <w:color w:val="000000"/>
                <w:sz w:val="18"/>
                <w:szCs w:val="18"/>
                <w:u w:val="none"/>
              </w:rPr>
            </w:pPr>
          </w:p>
        </w:tc>
      </w:tr>
      <w:tr w14:paraId="5E86968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86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D418FB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122019-红原县邛溪镇社区卫生服务中心</w:t>
            </w:r>
          </w:p>
        </w:tc>
        <w:tc>
          <w:tcPr>
            <w:tcW w:w="1383"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5F6239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县级配套基本公共卫生</w:t>
            </w:r>
          </w:p>
        </w:tc>
        <w:tc>
          <w:tcPr>
            <w:tcW w:w="118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0379245E">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4.34</w:t>
            </w:r>
          </w:p>
        </w:tc>
        <w:tc>
          <w:tcPr>
            <w:tcW w:w="1846"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6219A66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乡镇卫生院开展基本公共卫生服务，包括建立居民健康档案，预防接种、传染病防治、高血压糖尿病等慢性病管理重型精神病管理、儿童保健、孕产妇保健、老年人保健；协助处置突发公共卫生事件。开展基本公共卫生服产生的办公费，邮电费等支出。</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B692D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D384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82BFE1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基层群众满意度</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3541E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662C6A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68A0D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CF2EE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6BBF50">
            <w:pPr>
              <w:jc w:val="left"/>
              <w:rPr>
                <w:rFonts w:hint="eastAsia" w:ascii="宋体" w:hAnsi="宋体" w:eastAsia="宋体" w:cs="宋体"/>
                <w:i w:val="0"/>
                <w:color w:val="000000"/>
                <w:sz w:val="18"/>
                <w:szCs w:val="18"/>
                <w:u w:val="none"/>
              </w:rPr>
            </w:pPr>
          </w:p>
        </w:tc>
      </w:tr>
      <w:tr w14:paraId="2372D8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FCC3F4">
            <w:pPr>
              <w:jc w:val="left"/>
              <w:rPr>
                <w:rFonts w:hint="eastAsia" w:ascii="宋体" w:hAnsi="宋体" w:eastAsia="宋体" w:cs="宋体"/>
                <w:i w:val="0"/>
                <w:color w:val="000000"/>
                <w:sz w:val="18"/>
                <w:szCs w:val="18"/>
                <w:u w:val="none"/>
              </w:rPr>
            </w:pPr>
          </w:p>
        </w:tc>
        <w:tc>
          <w:tcPr>
            <w:tcW w:w="13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9DF42D">
            <w:pPr>
              <w:jc w:val="left"/>
              <w:rPr>
                <w:rFonts w:hint="eastAsia" w:ascii="宋体" w:hAnsi="宋体" w:eastAsia="宋体" w:cs="宋体"/>
                <w:i w:val="0"/>
                <w:color w:val="000000"/>
                <w:sz w:val="18"/>
                <w:szCs w:val="18"/>
                <w:u w:val="none"/>
              </w:rPr>
            </w:pPr>
          </w:p>
        </w:tc>
        <w:tc>
          <w:tcPr>
            <w:tcW w:w="11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ECA7F6C">
            <w:pPr>
              <w:jc w:val="right"/>
              <w:rPr>
                <w:rFonts w:hint="eastAsia" w:ascii="宋体" w:hAnsi="宋体" w:eastAsia="宋体" w:cs="宋体"/>
                <w:i w:val="0"/>
                <w:color w:val="000000"/>
                <w:sz w:val="18"/>
                <w:szCs w:val="18"/>
                <w:u w:val="none"/>
              </w:rPr>
            </w:pPr>
          </w:p>
        </w:tc>
        <w:tc>
          <w:tcPr>
            <w:tcW w:w="1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57C7D48">
            <w:pPr>
              <w:jc w:val="left"/>
              <w:rPr>
                <w:rFonts w:hint="eastAsia" w:ascii="宋体" w:hAnsi="宋体" w:eastAsia="宋体" w:cs="宋体"/>
                <w:i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08CC3F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成本指标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317CB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经济成本指标</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D5933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基本公共卫生服务县级配套项目成本</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F2684A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9CB95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5.159385</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072E72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9449C2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2A68A0">
            <w:pPr>
              <w:jc w:val="left"/>
              <w:rPr>
                <w:rFonts w:hint="eastAsia" w:ascii="宋体" w:hAnsi="宋体" w:eastAsia="宋体" w:cs="宋体"/>
                <w:i w:val="0"/>
                <w:color w:val="000000"/>
                <w:sz w:val="18"/>
                <w:szCs w:val="18"/>
                <w:u w:val="none"/>
              </w:rPr>
            </w:pPr>
          </w:p>
        </w:tc>
      </w:tr>
      <w:tr w14:paraId="0B37E54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F90BD4">
            <w:pPr>
              <w:jc w:val="left"/>
              <w:rPr>
                <w:rFonts w:hint="eastAsia" w:ascii="宋体" w:hAnsi="宋体" w:eastAsia="宋体" w:cs="宋体"/>
                <w:i w:val="0"/>
                <w:color w:val="000000"/>
                <w:sz w:val="18"/>
                <w:szCs w:val="18"/>
                <w:u w:val="none"/>
              </w:rPr>
            </w:pPr>
          </w:p>
        </w:tc>
        <w:tc>
          <w:tcPr>
            <w:tcW w:w="13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4691E6">
            <w:pPr>
              <w:jc w:val="left"/>
              <w:rPr>
                <w:rFonts w:hint="eastAsia" w:ascii="宋体" w:hAnsi="宋体" w:eastAsia="宋体" w:cs="宋体"/>
                <w:i w:val="0"/>
                <w:color w:val="000000"/>
                <w:sz w:val="18"/>
                <w:szCs w:val="18"/>
                <w:u w:val="none"/>
              </w:rPr>
            </w:pPr>
          </w:p>
        </w:tc>
        <w:tc>
          <w:tcPr>
            <w:tcW w:w="11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A1B411">
            <w:pPr>
              <w:jc w:val="right"/>
              <w:rPr>
                <w:rFonts w:hint="eastAsia" w:ascii="宋体" w:hAnsi="宋体" w:eastAsia="宋体" w:cs="宋体"/>
                <w:i w:val="0"/>
                <w:color w:val="000000"/>
                <w:sz w:val="18"/>
                <w:szCs w:val="18"/>
                <w:u w:val="none"/>
              </w:rPr>
            </w:pPr>
          </w:p>
        </w:tc>
        <w:tc>
          <w:tcPr>
            <w:tcW w:w="1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93C4D7B">
            <w:pPr>
              <w:jc w:val="left"/>
              <w:rPr>
                <w:rFonts w:hint="eastAsia" w:ascii="宋体" w:hAnsi="宋体" w:eastAsia="宋体" w:cs="宋体"/>
                <w:i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81184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F16082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7A501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老年人中医药健康管理率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9DB6D7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1D8C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F820C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53EACA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C5C198A">
            <w:pPr>
              <w:jc w:val="left"/>
              <w:rPr>
                <w:rFonts w:hint="eastAsia" w:ascii="宋体" w:hAnsi="宋体" w:eastAsia="宋体" w:cs="宋体"/>
                <w:i w:val="0"/>
                <w:color w:val="000000"/>
                <w:sz w:val="18"/>
                <w:szCs w:val="18"/>
                <w:u w:val="none"/>
              </w:rPr>
            </w:pPr>
          </w:p>
        </w:tc>
      </w:tr>
      <w:tr w14:paraId="407BEA24">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C31A015">
            <w:pPr>
              <w:jc w:val="left"/>
              <w:rPr>
                <w:rFonts w:hint="eastAsia" w:ascii="宋体" w:hAnsi="宋体" w:eastAsia="宋体" w:cs="宋体"/>
                <w:i w:val="0"/>
                <w:color w:val="000000"/>
                <w:sz w:val="18"/>
                <w:szCs w:val="18"/>
                <w:u w:val="none"/>
              </w:rPr>
            </w:pPr>
          </w:p>
        </w:tc>
        <w:tc>
          <w:tcPr>
            <w:tcW w:w="13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0BC109">
            <w:pPr>
              <w:jc w:val="left"/>
              <w:rPr>
                <w:rFonts w:hint="eastAsia" w:ascii="宋体" w:hAnsi="宋体" w:eastAsia="宋体" w:cs="宋体"/>
                <w:i w:val="0"/>
                <w:color w:val="000000"/>
                <w:sz w:val="18"/>
                <w:szCs w:val="18"/>
                <w:u w:val="none"/>
              </w:rPr>
            </w:pPr>
          </w:p>
        </w:tc>
        <w:tc>
          <w:tcPr>
            <w:tcW w:w="11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C0A44DC">
            <w:pPr>
              <w:jc w:val="right"/>
              <w:rPr>
                <w:rFonts w:hint="eastAsia" w:ascii="宋体" w:hAnsi="宋体" w:eastAsia="宋体" w:cs="宋体"/>
                <w:i w:val="0"/>
                <w:color w:val="000000"/>
                <w:sz w:val="18"/>
                <w:szCs w:val="18"/>
                <w:u w:val="none"/>
              </w:rPr>
            </w:pPr>
          </w:p>
        </w:tc>
        <w:tc>
          <w:tcPr>
            <w:tcW w:w="1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0D0442B">
            <w:pPr>
              <w:jc w:val="left"/>
              <w:rPr>
                <w:rFonts w:hint="eastAsia" w:ascii="宋体" w:hAnsi="宋体" w:eastAsia="宋体" w:cs="宋体"/>
                <w:i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EAB09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E4560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7FA1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居民电子健康档案管理人数</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60B339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F8DD7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7445</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F82AD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146231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0A8BD5">
            <w:pPr>
              <w:jc w:val="left"/>
              <w:rPr>
                <w:rFonts w:hint="eastAsia" w:ascii="宋体" w:hAnsi="宋体" w:eastAsia="宋体" w:cs="宋体"/>
                <w:i w:val="0"/>
                <w:color w:val="000000"/>
                <w:sz w:val="18"/>
                <w:szCs w:val="18"/>
                <w:u w:val="none"/>
              </w:rPr>
            </w:pPr>
          </w:p>
        </w:tc>
      </w:tr>
      <w:tr w14:paraId="5AC7797C">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B987D8">
            <w:pPr>
              <w:jc w:val="left"/>
              <w:rPr>
                <w:rFonts w:hint="eastAsia" w:ascii="宋体" w:hAnsi="宋体" w:eastAsia="宋体" w:cs="宋体"/>
                <w:i w:val="0"/>
                <w:color w:val="000000"/>
                <w:sz w:val="18"/>
                <w:szCs w:val="18"/>
                <w:u w:val="none"/>
              </w:rPr>
            </w:pPr>
          </w:p>
        </w:tc>
        <w:tc>
          <w:tcPr>
            <w:tcW w:w="13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9BAFE4E">
            <w:pPr>
              <w:jc w:val="left"/>
              <w:rPr>
                <w:rFonts w:hint="eastAsia" w:ascii="宋体" w:hAnsi="宋体" w:eastAsia="宋体" w:cs="宋体"/>
                <w:i w:val="0"/>
                <w:color w:val="000000"/>
                <w:sz w:val="18"/>
                <w:szCs w:val="18"/>
                <w:u w:val="none"/>
              </w:rPr>
            </w:pPr>
          </w:p>
        </w:tc>
        <w:tc>
          <w:tcPr>
            <w:tcW w:w="11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D8FA182">
            <w:pPr>
              <w:jc w:val="right"/>
              <w:rPr>
                <w:rFonts w:hint="eastAsia" w:ascii="宋体" w:hAnsi="宋体" w:eastAsia="宋体" w:cs="宋体"/>
                <w:i w:val="0"/>
                <w:color w:val="000000"/>
                <w:sz w:val="18"/>
                <w:szCs w:val="18"/>
                <w:u w:val="none"/>
              </w:rPr>
            </w:pPr>
          </w:p>
        </w:tc>
        <w:tc>
          <w:tcPr>
            <w:tcW w:w="1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8BEDE0D">
            <w:pPr>
              <w:jc w:val="left"/>
              <w:rPr>
                <w:rFonts w:hint="eastAsia" w:ascii="宋体" w:hAnsi="宋体" w:eastAsia="宋体" w:cs="宋体"/>
                <w:i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E3C21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A8C11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D1B9E3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严重精神障碍患者随访人次</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7F4F0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5183DF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7A995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人次</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DE140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CA62A17">
            <w:pPr>
              <w:jc w:val="left"/>
              <w:rPr>
                <w:rFonts w:hint="eastAsia" w:ascii="宋体" w:hAnsi="宋体" w:eastAsia="宋体" w:cs="宋体"/>
                <w:i w:val="0"/>
                <w:color w:val="000000"/>
                <w:sz w:val="18"/>
                <w:szCs w:val="18"/>
                <w:u w:val="none"/>
              </w:rPr>
            </w:pPr>
          </w:p>
        </w:tc>
      </w:tr>
      <w:tr w14:paraId="6C3627E9">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EB01513">
            <w:pPr>
              <w:jc w:val="left"/>
              <w:rPr>
                <w:rFonts w:hint="eastAsia" w:ascii="宋体" w:hAnsi="宋体" w:eastAsia="宋体" w:cs="宋体"/>
                <w:i w:val="0"/>
                <w:color w:val="000000"/>
                <w:sz w:val="18"/>
                <w:szCs w:val="18"/>
                <w:u w:val="none"/>
              </w:rPr>
            </w:pPr>
          </w:p>
        </w:tc>
        <w:tc>
          <w:tcPr>
            <w:tcW w:w="13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A525D61">
            <w:pPr>
              <w:jc w:val="left"/>
              <w:rPr>
                <w:rFonts w:hint="eastAsia" w:ascii="宋体" w:hAnsi="宋体" w:eastAsia="宋体" w:cs="宋体"/>
                <w:i w:val="0"/>
                <w:color w:val="000000"/>
                <w:sz w:val="18"/>
                <w:szCs w:val="18"/>
                <w:u w:val="none"/>
              </w:rPr>
            </w:pPr>
          </w:p>
        </w:tc>
        <w:tc>
          <w:tcPr>
            <w:tcW w:w="11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052B430">
            <w:pPr>
              <w:jc w:val="right"/>
              <w:rPr>
                <w:rFonts w:hint="eastAsia" w:ascii="宋体" w:hAnsi="宋体" w:eastAsia="宋体" w:cs="宋体"/>
                <w:i w:val="0"/>
                <w:color w:val="000000"/>
                <w:sz w:val="18"/>
                <w:szCs w:val="18"/>
                <w:u w:val="none"/>
              </w:rPr>
            </w:pPr>
          </w:p>
        </w:tc>
        <w:tc>
          <w:tcPr>
            <w:tcW w:w="1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8AAC46A">
            <w:pPr>
              <w:jc w:val="left"/>
              <w:rPr>
                <w:rFonts w:hint="eastAsia" w:ascii="宋体" w:hAnsi="宋体" w:eastAsia="宋体" w:cs="宋体"/>
                <w:i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B0D1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3A51B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C9AEA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65岁及以上居民健康管理人数</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57565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58137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353</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53F89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1ED4D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C2EE7B">
            <w:pPr>
              <w:jc w:val="left"/>
              <w:rPr>
                <w:rFonts w:hint="eastAsia" w:ascii="宋体" w:hAnsi="宋体" w:eastAsia="宋体" w:cs="宋体"/>
                <w:i w:val="0"/>
                <w:color w:val="000000"/>
                <w:sz w:val="18"/>
                <w:szCs w:val="18"/>
                <w:u w:val="none"/>
              </w:rPr>
            </w:pPr>
          </w:p>
        </w:tc>
      </w:tr>
      <w:tr w14:paraId="116AA0E2">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86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73E183B">
            <w:pPr>
              <w:jc w:val="left"/>
              <w:rPr>
                <w:rFonts w:hint="eastAsia" w:ascii="宋体" w:hAnsi="宋体" w:eastAsia="宋体" w:cs="宋体"/>
                <w:i w:val="0"/>
                <w:color w:val="000000"/>
                <w:sz w:val="18"/>
                <w:szCs w:val="18"/>
                <w:u w:val="none"/>
              </w:rPr>
            </w:pPr>
          </w:p>
        </w:tc>
        <w:tc>
          <w:tcPr>
            <w:tcW w:w="1383"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A3FB5FC">
            <w:pPr>
              <w:jc w:val="left"/>
              <w:rPr>
                <w:rFonts w:hint="eastAsia" w:ascii="宋体" w:hAnsi="宋体" w:eastAsia="宋体" w:cs="宋体"/>
                <w:i w:val="0"/>
                <w:color w:val="000000"/>
                <w:sz w:val="18"/>
                <w:szCs w:val="18"/>
                <w:u w:val="none"/>
              </w:rPr>
            </w:pPr>
          </w:p>
        </w:tc>
        <w:tc>
          <w:tcPr>
            <w:tcW w:w="118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5CF42FC">
            <w:pPr>
              <w:jc w:val="right"/>
              <w:rPr>
                <w:rFonts w:hint="eastAsia" w:ascii="宋体" w:hAnsi="宋体" w:eastAsia="宋体" w:cs="宋体"/>
                <w:i w:val="0"/>
                <w:color w:val="000000"/>
                <w:sz w:val="18"/>
                <w:szCs w:val="18"/>
                <w:u w:val="none"/>
              </w:rPr>
            </w:pPr>
          </w:p>
        </w:tc>
        <w:tc>
          <w:tcPr>
            <w:tcW w:w="1846"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695311C">
            <w:pPr>
              <w:jc w:val="left"/>
              <w:rPr>
                <w:rFonts w:hint="eastAsia" w:ascii="宋体" w:hAnsi="宋体" w:eastAsia="宋体" w:cs="宋体"/>
                <w:i w:val="0"/>
                <w:color w:val="000000"/>
                <w:sz w:val="18"/>
                <w:szCs w:val="18"/>
                <w:u w:val="none"/>
              </w:rPr>
            </w:pP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709BED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92B41C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913"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01168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提高公共卫生服务均等化水平</w:t>
            </w:r>
          </w:p>
        </w:tc>
        <w:tc>
          <w:tcPr>
            <w:tcW w:w="77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DBB9A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4187C7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优良中</w:t>
            </w:r>
          </w:p>
        </w:tc>
        <w:tc>
          <w:tcPr>
            <w:tcW w:w="76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281D48">
            <w:pPr>
              <w:jc w:val="left"/>
              <w:rPr>
                <w:rFonts w:hint="eastAsia" w:ascii="宋体" w:hAnsi="宋体" w:eastAsia="宋体" w:cs="宋体"/>
                <w:i w:val="0"/>
                <w:color w:val="000000"/>
                <w:sz w:val="18"/>
                <w:szCs w:val="18"/>
                <w:u w:val="none"/>
              </w:rPr>
            </w:pPr>
          </w:p>
        </w:tc>
        <w:tc>
          <w:tcPr>
            <w:tcW w:w="4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A2A8BE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73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73D325">
            <w:pPr>
              <w:jc w:val="left"/>
              <w:rPr>
                <w:rFonts w:hint="eastAsia" w:ascii="宋体" w:hAnsi="宋体" w:eastAsia="宋体" w:cs="宋体"/>
                <w:i w:val="0"/>
                <w:color w:val="000000"/>
                <w:sz w:val="18"/>
                <w:szCs w:val="18"/>
                <w:u w:val="none"/>
              </w:rPr>
            </w:pPr>
          </w:p>
        </w:tc>
      </w:tr>
    </w:tbl>
    <w:p w14:paraId="249660E1">
      <w:pPr>
        <w:pStyle w:val="2"/>
        <w:rPr>
          <w:rFonts w:hint="eastAsia"/>
          <w:lang w:val="en-US" w:eastAsia="zh-CN"/>
        </w:rPr>
      </w:pPr>
    </w:p>
    <w:p w14:paraId="22E77BA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p>
    <w:p w14:paraId="7889AB28">
      <w:pPr>
        <w:numPr>
          <w:ilvl w:val="0"/>
          <w:numId w:val="0"/>
        </w:numPr>
        <w:spacing w:line="600" w:lineRule="exact"/>
        <w:jc w:val="center"/>
        <w:outlineLvl w:val="0"/>
        <w:rPr>
          <w:rFonts w:hint="eastAsia" w:ascii="Times New Roman" w:hAnsi="Times New Roman" w:eastAsia="黑体"/>
          <w:color w:val="auto"/>
          <w:sz w:val="44"/>
          <w:szCs w:val="44"/>
          <w:highlight w:val="none"/>
        </w:rPr>
      </w:pPr>
      <w:bookmarkStart w:id="43" w:name="_Toc15396613"/>
      <w:bookmarkStart w:id="44" w:name="_Toc15377225"/>
      <w:r>
        <w:rPr>
          <w:rFonts w:hint="eastAsia" w:ascii="Times New Roman" w:hAnsi="Times New Roman" w:eastAsia="黑体"/>
          <w:color w:val="auto"/>
          <w:sz w:val="44"/>
          <w:szCs w:val="44"/>
          <w:highlight w:val="none"/>
        </w:rPr>
        <w:t>第</w:t>
      </w:r>
      <w:r>
        <w:rPr>
          <w:rFonts w:hint="eastAsia" w:eastAsia="黑体"/>
          <w:color w:val="auto"/>
          <w:sz w:val="44"/>
          <w:szCs w:val="44"/>
          <w:highlight w:val="none"/>
          <w:lang w:eastAsia="zh-CN"/>
        </w:rPr>
        <w:t>三</w:t>
      </w:r>
      <w:r>
        <w:rPr>
          <w:rFonts w:hint="eastAsia" w:ascii="Times New Roman" w:hAnsi="Times New Roman" w:eastAsia="黑体"/>
          <w:color w:val="auto"/>
          <w:sz w:val="44"/>
          <w:szCs w:val="44"/>
          <w:highlight w:val="none"/>
        </w:rPr>
        <w:t>部分</w:t>
      </w:r>
      <w:r>
        <w:rPr>
          <w:rFonts w:hint="eastAsia" w:ascii="Times New Roman" w:hAnsi="Times New Roman" w:eastAsia="黑体"/>
          <w:color w:val="auto"/>
          <w:sz w:val="44"/>
          <w:szCs w:val="44"/>
          <w:highlight w:val="none"/>
          <w:lang w:val="en-US" w:eastAsia="zh-CN"/>
        </w:rPr>
        <w:t xml:space="preserve"> </w:t>
      </w:r>
      <w:r>
        <w:rPr>
          <w:rFonts w:hint="eastAsia"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名词解释</w:t>
      </w:r>
      <w:bookmarkEnd w:id="43"/>
      <w:bookmarkEnd w:id="44"/>
    </w:p>
    <w:p w14:paraId="20EABF62">
      <w:pPr>
        <w:spacing w:line="600" w:lineRule="exact"/>
        <w:jc w:val="left"/>
        <w:rPr>
          <w:rFonts w:ascii="Times New Roman" w:hAnsi="Times New Roman"/>
          <w:b/>
          <w:color w:val="auto"/>
          <w:sz w:val="44"/>
          <w:szCs w:val="44"/>
          <w:highlight w:val="none"/>
        </w:rPr>
      </w:pPr>
    </w:p>
    <w:p w14:paraId="29E1D6D1">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1.财政拨款收入：指单位从同级财政部门取得的财政预算资金。</w:t>
      </w:r>
    </w:p>
    <w:p w14:paraId="0D3AEDD5">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2.其他收入：指单位取得的除上述收入以外的各项收入。主要是</w:t>
      </w:r>
      <w:r>
        <w:rPr>
          <w:rFonts w:hint="eastAsia" w:eastAsia="仿宋_GB2312" w:cs="仿宋_GB2312"/>
          <w:color w:val="auto"/>
          <w:kern w:val="2"/>
          <w:sz w:val="32"/>
          <w:szCs w:val="32"/>
          <w:highlight w:val="none"/>
          <w:lang w:val="en-US" w:eastAsia="zh-CN" w:bidi="ar-SA"/>
        </w:rPr>
        <w:t>包虫病筛查收入</w:t>
      </w:r>
      <w:r>
        <w:rPr>
          <w:rFonts w:hint="eastAsia" w:ascii="Times New Roman" w:hAnsi="Times New Roman" w:eastAsia="仿宋_GB2312" w:cs="仿宋_GB2312"/>
          <w:color w:val="auto"/>
          <w:kern w:val="2"/>
          <w:sz w:val="32"/>
          <w:szCs w:val="32"/>
          <w:highlight w:val="none"/>
          <w:lang w:val="en-US" w:eastAsia="zh-CN" w:bidi="ar-SA"/>
        </w:rPr>
        <w:t xml:space="preserve">等。 </w:t>
      </w:r>
    </w:p>
    <w:p w14:paraId="6CF1905E">
      <w:pPr>
        <w:ind w:firstLine="640" w:firstLineChars="200"/>
        <w:rPr>
          <w:rFonts w:hint="eastAsia" w:ascii="仿宋" w:hAnsi="仿宋" w:eastAsia="仿宋" w:cs="仿宋"/>
          <w:color w:val="000000"/>
          <w:sz w:val="32"/>
          <w:szCs w:val="32"/>
        </w:rPr>
      </w:pPr>
      <w:r>
        <w:rPr>
          <w:rFonts w:hint="eastAsia" w:ascii="Times New Roman" w:hAnsi="Times New Roman" w:eastAsia="仿宋_GB2312" w:cs="仿宋_GB2312"/>
          <w:color w:val="auto"/>
          <w:kern w:val="2"/>
          <w:sz w:val="32"/>
          <w:szCs w:val="32"/>
          <w:highlight w:val="none"/>
          <w:lang w:val="en-US" w:eastAsia="zh-CN" w:bidi="ar-SA"/>
        </w:rPr>
        <w:t>社会保障和就业</w:t>
      </w:r>
      <w:r>
        <w:rPr>
          <w:rFonts w:hint="eastAsia" w:eastAsia="仿宋_GB2312" w:cs="仿宋_GB2312"/>
          <w:color w:val="auto"/>
          <w:kern w:val="2"/>
          <w:sz w:val="32"/>
          <w:szCs w:val="32"/>
          <w:highlight w:val="none"/>
          <w:lang w:val="en-US" w:eastAsia="zh-CN" w:bidi="ar-SA"/>
        </w:rPr>
        <w:t>：</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机关事业单位职业年金缴费及本养老保险缴费支出</w:t>
      </w:r>
      <w:r>
        <w:rPr>
          <w:rFonts w:hint="eastAsia" w:ascii="仿宋" w:hAnsi="仿宋" w:eastAsia="仿宋" w:cs="仿宋"/>
          <w:color w:val="000000"/>
          <w:sz w:val="32"/>
          <w:szCs w:val="32"/>
        </w:rPr>
        <w:t>。</w:t>
      </w:r>
    </w:p>
    <w:p w14:paraId="3AC2AFF0">
      <w:pPr>
        <w:spacing w:line="600" w:lineRule="exact"/>
        <w:ind w:firstLine="640"/>
        <w:rPr>
          <w:rFonts w:hint="eastAsia"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3.卫生健康：指</w:t>
      </w:r>
      <w:r>
        <w:rPr>
          <w:rFonts w:hint="eastAsia" w:eastAsia="仿宋_GB2312" w:cs="仿宋_GB2312"/>
          <w:color w:val="auto"/>
          <w:kern w:val="2"/>
          <w:sz w:val="32"/>
          <w:szCs w:val="32"/>
          <w:highlight w:val="none"/>
          <w:lang w:val="en-US" w:eastAsia="zh-CN" w:bidi="ar-SA"/>
        </w:rPr>
        <w:t>基层医疗卫生健康支出。</w:t>
      </w:r>
    </w:p>
    <w:p w14:paraId="65296BC0">
      <w:pPr>
        <w:spacing w:line="600" w:lineRule="exact"/>
        <w:ind w:firstLine="640"/>
        <w:rPr>
          <w:rFonts w:hint="eastAsia" w:ascii="仿宋" w:hAnsi="仿宋" w:eastAsia="仿宋" w:cs="仿宋"/>
          <w:color w:val="000000"/>
          <w:sz w:val="32"/>
          <w:szCs w:val="32"/>
          <w:lang w:eastAsia="zh-CN"/>
        </w:rPr>
      </w:pPr>
      <w:r>
        <w:rPr>
          <w:rFonts w:hint="eastAsia" w:ascii="Times New Roman" w:hAnsi="Times New Roman" w:eastAsia="仿宋_GB2312" w:cs="仿宋_GB2312"/>
          <w:color w:val="auto"/>
          <w:kern w:val="2"/>
          <w:sz w:val="32"/>
          <w:szCs w:val="32"/>
          <w:highlight w:val="none"/>
          <w:lang w:val="en-US" w:eastAsia="zh-CN" w:bidi="ar-SA"/>
        </w:rPr>
        <w:t>4.住房保障（类）</w:t>
      </w:r>
      <w:r>
        <w:rPr>
          <w:rFonts w:hint="eastAsia" w:ascii="仿宋" w:hAnsi="仿宋" w:eastAsia="仿宋" w:cs="仿宋"/>
          <w:color w:val="000000"/>
          <w:sz w:val="32"/>
          <w:szCs w:val="32"/>
        </w:rPr>
        <w:t>指</w:t>
      </w:r>
      <w:r>
        <w:rPr>
          <w:rFonts w:hint="eastAsia" w:ascii="仿宋" w:hAnsi="仿宋" w:eastAsia="仿宋" w:cs="仿宋"/>
          <w:color w:val="000000"/>
          <w:sz w:val="32"/>
          <w:szCs w:val="32"/>
          <w:lang w:eastAsia="zh-CN"/>
        </w:rPr>
        <w:t>机关事业单位住房保障支出。</w:t>
      </w:r>
    </w:p>
    <w:p w14:paraId="6BDFE28E">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ascii="Times New Roman" w:hAnsi="Times New Roman" w:eastAsia="仿宋_GB2312" w:cs="仿宋_GB2312"/>
          <w:color w:val="auto"/>
          <w:kern w:val="2"/>
          <w:sz w:val="32"/>
          <w:szCs w:val="32"/>
          <w:highlight w:val="none"/>
          <w:lang w:val="en-US" w:eastAsia="zh-CN" w:bidi="ar-SA"/>
        </w:rPr>
        <w:t>5.基本支出：指为保障机构正常运转、完成日常工作任务而发生的人员支出和公用支出。</w:t>
      </w:r>
    </w:p>
    <w:p w14:paraId="527730B6">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6.</w:t>
      </w:r>
      <w:r>
        <w:rPr>
          <w:rFonts w:hint="eastAsia" w:ascii="Times New Roman" w:hAnsi="Times New Roman" w:eastAsia="仿宋_GB2312" w:cs="仿宋_GB2312"/>
          <w:color w:val="auto"/>
          <w:kern w:val="2"/>
          <w:sz w:val="32"/>
          <w:szCs w:val="32"/>
          <w:highlight w:val="none"/>
          <w:lang w:val="en-US" w:eastAsia="zh-CN" w:bidi="ar-SA"/>
        </w:rPr>
        <w:t xml:space="preserve">项目支出：指在基本支出之外为完成特定行政任务和事业发展目标所发生的支出。 </w:t>
      </w:r>
    </w:p>
    <w:p w14:paraId="5934075B">
      <w:pPr>
        <w:spacing w:line="600" w:lineRule="exact"/>
        <w:ind w:firstLine="640"/>
        <w:rPr>
          <w:rFonts w:hint="eastAsia" w:ascii="Times New Roman" w:hAnsi="Times New Roman" w:eastAsia="仿宋_GB2312" w:cs="仿宋_GB2312"/>
          <w:color w:val="auto"/>
          <w:kern w:val="2"/>
          <w:sz w:val="32"/>
          <w:szCs w:val="32"/>
          <w:highlight w:val="none"/>
          <w:lang w:val="en-US" w:eastAsia="zh-CN" w:bidi="ar-SA"/>
        </w:rPr>
      </w:pPr>
      <w:r>
        <w:rPr>
          <w:rFonts w:hint="eastAsia" w:eastAsia="仿宋_GB2312" w:cs="仿宋_GB2312"/>
          <w:color w:val="auto"/>
          <w:kern w:val="2"/>
          <w:sz w:val="32"/>
          <w:szCs w:val="32"/>
          <w:highlight w:val="none"/>
          <w:lang w:val="en-US" w:eastAsia="zh-CN" w:bidi="ar-SA"/>
        </w:rPr>
        <w:t>7.“</w:t>
      </w:r>
      <w:r>
        <w:rPr>
          <w:rFonts w:hint="eastAsia" w:ascii="Times New Roman" w:hAnsi="Times New Roman" w:eastAsia="仿宋_GB2312" w:cs="仿宋_GB2312"/>
          <w:color w:val="auto"/>
          <w:kern w:val="2"/>
          <w:sz w:val="32"/>
          <w:szCs w:val="32"/>
          <w:highlight w:val="none"/>
          <w:lang w:val="en-US" w:eastAsia="zh-CN" w:bidi="ar-SA"/>
        </w:rPr>
        <w:t>三公</w:t>
      </w:r>
      <w:r>
        <w:rPr>
          <w:rFonts w:hint="eastAsia" w:eastAsia="仿宋_GB2312" w:cs="仿宋_GB2312"/>
          <w:color w:val="auto"/>
          <w:kern w:val="2"/>
          <w:sz w:val="32"/>
          <w:szCs w:val="32"/>
          <w:highlight w:val="none"/>
          <w:lang w:val="en-US" w:eastAsia="zh-CN" w:bidi="ar-SA"/>
        </w:rPr>
        <w:t>”</w:t>
      </w:r>
      <w:r>
        <w:rPr>
          <w:rFonts w:hint="eastAsia" w:ascii="Times New Roman" w:hAnsi="Times New Roman" w:eastAsia="仿宋_GB2312" w:cs="仿宋_GB2312"/>
          <w:color w:val="auto"/>
          <w:kern w:val="2"/>
          <w:sz w:val="32"/>
          <w:szCs w:val="32"/>
          <w:highlight w:val="none"/>
          <w:lang w:val="en-US" w:eastAsia="zh-CN" w:bidi="ar-SA"/>
        </w:rPr>
        <w:t>经费：指部门用财政拨款安排的因公出国（境）费、公务用车购置及运行费和公务接待费。其中，公务用车运行费支出、燃料费、维修费、过路过桥费、保险费等支出。</w:t>
      </w:r>
    </w:p>
    <w:p w14:paraId="32B9CB7E">
      <w:pPr>
        <w:spacing w:line="600" w:lineRule="exact"/>
        <w:jc w:val="center"/>
        <w:rPr>
          <w:rStyle w:val="30"/>
          <w:rFonts w:hint="eastAsia" w:ascii="Times New Roman" w:hAnsi="Times New Roman" w:eastAsia="黑体"/>
          <w:b w:val="0"/>
          <w:color w:val="auto"/>
          <w:highlight w:val="none"/>
          <w:lang w:eastAsia="zh-CN"/>
        </w:rPr>
      </w:pPr>
      <w:bookmarkStart w:id="45" w:name="_Toc15396614"/>
      <w:bookmarkStart w:id="46" w:name="_Toc15377226"/>
      <w:r>
        <w:rPr>
          <w:rFonts w:hint="eastAsia" w:ascii="Times New Roman" w:hAnsi="Times New Roman" w:eastAsia="黑体"/>
          <w:color w:val="auto"/>
          <w:sz w:val="44"/>
          <w:szCs w:val="44"/>
          <w:highlight w:val="none"/>
        </w:rPr>
        <w:t>第四部分</w:t>
      </w:r>
      <w:r>
        <w:rPr>
          <w:rFonts w:hint="eastAsia" w:ascii="Times New Roman" w:hAnsi="Times New Roman" w:eastAsia="黑体"/>
          <w:color w:val="auto"/>
          <w:sz w:val="44"/>
          <w:szCs w:val="44"/>
          <w:highlight w:val="none"/>
          <w:lang w:val="en-US" w:eastAsia="zh-CN"/>
        </w:rPr>
        <w:t xml:space="preserve"> </w:t>
      </w:r>
      <w:r>
        <w:rPr>
          <w:rFonts w:hint="eastAsia" w:ascii="Times New Roman" w:hAnsi="Times New Roman" w:eastAsia="黑体"/>
          <w:color w:val="auto"/>
          <w:sz w:val="44"/>
          <w:szCs w:val="44"/>
          <w:highlight w:val="none"/>
        </w:rPr>
        <w:t xml:space="preserve"> 附件</w:t>
      </w:r>
      <w:bookmarkEnd w:id="45"/>
    </w:p>
    <w:p w14:paraId="532C535C">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黑体"/>
          <w:color w:val="FF0000"/>
          <w:sz w:val="32"/>
          <w:szCs w:val="32"/>
          <w:highlight w:val="none"/>
        </w:rPr>
      </w:pPr>
    </w:p>
    <w:p w14:paraId="35014CEB">
      <w:pPr>
        <w:keepNext w:val="0"/>
        <w:keepLines w:val="0"/>
        <w:pageBreakBefore w:val="0"/>
        <w:kinsoku/>
        <w:wordWrap/>
        <w:overflowPunct/>
        <w:topLinePunct w:val="0"/>
        <w:autoSpaceDE/>
        <w:autoSpaceDN/>
        <w:bidi w:val="0"/>
        <w:spacing w:line="572" w:lineRule="exact"/>
        <w:jc w:val="left"/>
        <w:textAlignment w:val="auto"/>
        <w:outlineLvl w:val="0"/>
        <w:rPr>
          <w:rFonts w:hint="eastAsia" w:ascii="Times New Roman" w:hAnsi="Times New Roman" w:eastAsia="黑体" w:cs="方正小标宋简体"/>
          <w:color w:val="auto"/>
          <w:sz w:val="44"/>
          <w:szCs w:val="44"/>
          <w:highlight w:val="none"/>
          <w:lang w:val="en-US" w:eastAsia="zh-CN"/>
        </w:rPr>
      </w:pPr>
      <w:r>
        <w:rPr>
          <w:rFonts w:hint="eastAsia" w:ascii="Times New Roman" w:hAnsi="Times New Roman" w:eastAsia="黑体" w:cs="黑体"/>
          <w:color w:val="auto"/>
          <w:sz w:val="32"/>
          <w:szCs w:val="32"/>
          <w:highlight w:val="none"/>
        </w:rPr>
        <w:t>附件</w:t>
      </w:r>
      <w:r>
        <w:rPr>
          <w:rFonts w:hint="eastAsia" w:ascii="Times New Roman" w:hAnsi="Times New Roman" w:eastAsia="黑体" w:cs="黑体"/>
          <w:color w:val="auto"/>
          <w:sz w:val="32"/>
          <w:szCs w:val="32"/>
          <w:highlight w:val="none"/>
          <w:lang w:val="en-US" w:eastAsia="zh-CN"/>
        </w:rPr>
        <w:t>1</w:t>
      </w:r>
    </w:p>
    <w:p w14:paraId="2165A441">
      <w:pPr>
        <w:keepNext w:val="0"/>
        <w:keepLines w:val="0"/>
        <w:pageBreakBefore w:val="0"/>
        <w:widowControl/>
        <w:kinsoku/>
        <w:wordWrap/>
        <w:overflowPunct/>
        <w:topLinePunct w:val="0"/>
        <w:autoSpaceDE/>
        <w:autoSpaceDN/>
        <w:bidi w:val="0"/>
        <w:spacing w:line="578" w:lineRule="exact"/>
        <w:contextualSpacing/>
        <w:jc w:val="center"/>
        <w:textAlignment w:val="auto"/>
        <w:outlineLvl w:val="9"/>
        <w:rPr>
          <w:rFonts w:hint="default" w:ascii="Times New Roman" w:hAnsi="Times New Roman" w:eastAsia="方正小标宋简体" w:cs="Times New Roman"/>
          <w:b w:val="0"/>
          <w:bCs/>
          <w:sz w:val="44"/>
          <w:szCs w:val="44"/>
          <w:highlight w:val="none"/>
          <w:shd w:val="clear" w:color="auto" w:fill="FFFFFF"/>
        </w:rPr>
      </w:pPr>
    </w:p>
    <w:p w14:paraId="414FA9F0">
      <w:pPr>
        <w:pStyle w:val="16"/>
        <w:keepNext w:val="0"/>
        <w:keepLines w:val="0"/>
        <w:widowControl/>
        <w:suppressLineNumbers w:val="0"/>
        <w:spacing w:before="0" w:beforeAutospacing="0"/>
        <w:ind w:left="0"/>
        <w:jc w:val="center"/>
        <w:rPr>
          <w:rFonts w:hint="eastAsia" w:ascii="仿宋" w:hAnsi="仿宋" w:eastAsia="仿宋" w:cs="仿宋"/>
          <w:sz w:val="32"/>
          <w:szCs w:val="32"/>
        </w:rPr>
      </w:pPr>
      <w:r>
        <w:rPr>
          <w:rFonts w:hint="eastAsia" w:ascii="仿宋" w:hAnsi="仿宋" w:eastAsia="仿宋" w:cs="仿宋"/>
          <w:sz w:val="32"/>
          <w:szCs w:val="32"/>
          <w:shd w:val="clear" w:color="auto" w:fill="FFFFFF"/>
          <w:lang w:val="en-US" w:eastAsia="zh-CN"/>
        </w:rPr>
        <w:t xml:space="preserve"> 红原县</w:t>
      </w:r>
      <w:r>
        <w:rPr>
          <w:rFonts w:hint="eastAsia" w:ascii="仿宋_GB2312" w:hAnsi="仿宋_GB2312" w:eastAsia="仿宋_GB2312" w:cs="仿宋_GB2312"/>
          <w:sz w:val="32"/>
          <w:szCs w:val="32"/>
          <w:lang w:val="en-US" w:eastAsia="zh-CN"/>
        </w:rPr>
        <w:t>邛溪镇社区</w:t>
      </w:r>
      <w:r>
        <w:rPr>
          <w:rFonts w:hint="eastAsia" w:ascii="仿宋" w:hAnsi="仿宋" w:eastAsia="仿宋" w:cs="仿宋"/>
          <w:sz w:val="32"/>
          <w:szCs w:val="32"/>
          <w:shd w:val="clear" w:color="auto" w:fill="FFFFFF"/>
          <w:lang w:val="en-US" w:eastAsia="zh-CN"/>
        </w:rPr>
        <w:t>卫生服务中心</w:t>
      </w:r>
      <w:r>
        <w:rPr>
          <w:rFonts w:hint="eastAsia" w:ascii="仿宋" w:hAnsi="仿宋" w:eastAsia="仿宋" w:cs="仿宋"/>
          <w:sz w:val="32"/>
          <w:szCs w:val="32"/>
          <w:shd w:val="clear" w:color="auto" w:fill="FFFFFF"/>
        </w:rPr>
        <w:t>202</w:t>
      </w:r>
      <w:r>
        <w:rPr>
          <w:rFonts w:hint="eastAsia" w:ascii="仿宋" w:hAnsi="仿宋" w:eastAsia="仿宋" w:cs="仿宋"/>
          <w:sz w:val="32"/>
          <w:szCs w:val="32"/>
          <w:shd w:val="clear" w:color="auto" w:fill="FFFFFF"/>
          <w:lang w:val="en-US" w:eastAsia="zh-CN"/>
        </w:rPr>
        <w:t>5</w:t>
      </w:r>
      <w:r>
        <w:rPr>
          <w:rFonts w:hint="eastAsia" w:ascii="仿宋" w:hAnsi="仿宋" w:eastAsia="仿宋" w:cs="仿宋"/>
          <w:sz w:val="32"/>
          <w:szCs w:val="32"/>
          <w:shd w:val="clear" w:color="auto" w:fill="FFFFFF"/>
        </w:rPr>
        <w:t>年</w:t>
      </w:r>
      <w:r>
        <w:rPr>
          <w:rFonts w:hint="eastAsia" w:ascii="仿宋" w:hAnsi="仿宋" w:eastAsia="仿宋" w:cs="仿宋"/>
          <w:sz w:val="32"/>
          <w:szCs w:val="32"/>
          <w:lang w:eastAsia="zh-CN"/>
        </w:rPr>
        <w:t>单位</w:t>
      </w:r>
      <w:r>
        <w:rPr>
          <w:rFonts w:hint="eastAsia" w:ascii="仿宋" w:hAnsi="仿宋" w:eastAsia="仿宋" w:cs="仿宋"/>
          <w:sz w:val="32"/>
          <w:szCs w:val="32"/>
          <w:shd w:val="clear" w:color="auto" w:fill="FFFFFF"/>
        </w:rPr>
        <w:t>整体支出绩效评价报告</w:t>
      </w:r>
    </w:p>
    <w:p w14:paraId="131B730F">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eastAsia" w:ascii="Times New Roman" w:hAnsi="Times New Roman" w:eastAsia="黑体" w:cs="Times New Roman"/>
          <w:color w:val="000000"/>
          <w:kern w:val="0"/>
          <w:sz w:val="32"/>
          <w:szCs w:val="32"/>
          <w:highlight w:val="none"/>
          <w:shd w:val="clear" w:color="auto" w:fill="FFFFFF"/>
          <w:lang w:val="zh-CN"/>
        </w:rPr>
        <w:t>一、</w:t>
      </w:r>
      <w:r>
        <w:rPr>
          <w:rFonts w:hint="default" w:ascii="Times New Roman" w:hAnsi="Times New Roman" w:eastAsia="黑体" w:cs="Times New Roman"/>
          <w:color w:val="000000"/>
          <w:kern w:val="0"/>
          <w:sz w:val="32"/>
          <w:szCs w:val="32"/>
          <w:highlight w:val="none"/>
          <w:shd w:val="clear" w:color="auto" w:fill="FFFFFF"/>
          <w:lang w:val="zh-CN"/>
        </w:rPr>
        <w:t>部门（单位）基本情况</w:t>
      </w:r>
    </w:p>
    <w:p w14:paraId="24EDCBA3">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楷体_GB2312" w:cs="楷体_GB2312"/>
          <w:b/>
          <w:color w:val="auto"/>
          <w:sz w:val="32"/>
          <w:szCs w:val="32"/>
          <w:highlight w:val="none"/>
          <w:lang w:val="zh-CN"/>
        </w:rPr>
      </w:pPr>
      <w:r>
        <w:rPr>
          <w:rFonts w:hint="eastAsia" w:ascii="Times New Roman" w:hAnsi="Times New Roman" w:eastAsia="楷体_GB2312" w:cs="楷体_GB2312"/>
          <w:b/>
          <w:color w:val="auto"/>
          <w:sz w:val="32"/>
          <w:szCs w:val="32"/>
          <w:highlight w:val="none"/>
          <w:lang w:val="zh-CN"/>
        </w:rPr>
        <w:t>（一）</w:t>
      </w:r>
      <w:r>
        <w:rPr>
          <w:rFonts w:hint="default" w:ascii="Times New Roman" w:hAnsi="Times New Roman" w:eastAsia="楷体_GB2312" w:cs="楷体_GB2312"/>
          <w:b/>
          <w:color w:val="auto"/>
          <w:sz w:val="32"/>
          <w:szCs w:val="32"/>
          <w:highlight w:val="none"/>
          <w:lang w:val="zh-CN"/>
        </w:rPr>
        <w:t>机构组成。</w:t>
      </w:r>
    </w:p>
    <w:p w14:paraId="03A777BB">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1200" w:firstLineChars="500"/>
        <w:contextualSpacing/>
        <w:jc w:val="left"/>
        <w:textAlignment w:val="auto"/>
        <w:outlineLvl w:val="9"/>
        <w:rPr>
          <w:rFonts w:hint="default" w:ascii="Times New Roman" w:hAnsi="Times New Roman" w:cs="Times New Roman"/>
          <w:szCs w:val="32"/>
        </w:rPr>
      </w:pPr>
      <w:r>
        <w:rPr>
          <w:rFonts w:hint="eastAsia" w:ascii="宋体" w:hAnsi="宋体" w:eastAsia="宋体" w:cs="宋体"/>
          <w:color w:val="000000"/>
          <w:kern w:val="0"/>
          <w:sz w:val="24"/>
          <w:szCs w:val="24"/>
          <w:lang w:val="zh-CN" w:eastAsia="zh-CN" w:bidi="ar"/>
        </w:rPr>
        <w:t>我单位为独立核算全额拨款事业单位，下设</w:t>
      </w:r>
      <w:r>
        <w:rPr>
          <w:rFonts w:hint="eastAsia" w:ascii="宋体" w:hAnsi="宋体" w:eastAsia="宋体" w:cs="宋体"/>
          <w:color w:val="000000"/>
          <w:kern w:val="0"/>
          <w:sz w:val="24"/>
          <w:szCs w:val="24"/>
          <w:lang w:val="en-US" w:eastAsia="zh-CN" w:bidi="ar"/>
        </w:rPr>
        <w:t>1机构。</w:t>
      </w:r>
    </w:p>
    <w:p w14:paraId="35F41D1C">
      <w:pPr>
        <w:keepNext w:val="0"/>
        <w:keepLines w:val="0"/>
        <w:pageBreakBefore w:val="0"/>
        <w:numPr>
          <w:ilvl w:val="0"/>
          <w:numId w:val="3"/>
        </w:numPr>
        <w:kinsoku/>
        <w:wordWrap/>
        <w:overflowPunct/>
        <w:topLinePunct w:val="0"/>
        <w:bidi w:val="0"/>
        <w:spacing w:line="580" w:lineRule="exact"/>
        <w:ind w:firstLine="643" w:firstLineChars="200"/>
        <w:textAlignment w:val="auto"/>
        <w:outlineLvl w:val="9"/>
        <w:rPr>
          <w:rFonts w:hint="eastAsia" w:ascii="Times New Roman" w:hAnsi="Times New Roman" w:eastAsia="楷体_GB2312" w:cs="楷体_GB2312"/>
          <w:b/>
          <w:color w:val="auto"/>
          <w:sz w:val="32"/>
          <w:szCs w:val="32"/>
          <w:highlight w:val="none"/>
          <w:lang w:val="zh-CN"/>
        </w:rPr>
      </w:pPr>
      <w:r>
        <w:rPr>
          <w:rFonts w:hint="default" w:ascii="Times New Roman" w:hAnsi="Times New Roman" w:eastAsia="楷体_GB2312" w:cs="楷体_GB2312"/>
          <w:b/>
          <w:color w:val="auto"/>
          <w:sz w:val="32"/>
          <w:szCs w:val="32"/>
          <w:highlight w:val="none"/>
          <w:lang w:val="zh-CN"/>
        </w:rPr>
        <w:t>机构职能</w:t>
      </w:r>
      <w:r>
        <w:rPr>
          <w:rFonts w:hint="eastAsia" w:ascii="Times New Roman" w:hAnsi="Times New Roman" w:eastAsia="楷体_GB2312" w:cs="楷体_GB2312"/>
          <w:b/>
          <w:color w:val="auto"/>
          <w:sz w:val="32"/>
          <w:szCs w:val="32"/>
          <w:highlight w:val="none"/>
          <w:lang w:val="zh-CN"/>
        </w:rPr>
        <w:t>。</w:t>
      </w:r>
    </w:p>
    <w:p w14:paraId="6BC85BEF">
      <w:pPr>
        <w:keepNext w:val="0"/>
        <w:keepLines w:val="0"/>
        <w:pageBreakBefore w:val="0"/>
        <w:numPr>
          <w:ilvl w:val="0"/>
          <w:numId w:val="0"/>
        </w:numPr>
        <w:kinsoku/>
        <w:wordWrap/>
        <w:overflowPunct/>
        <w:topLinePunct w:val="0"/>
        <w:bidi w:val="0"/>
        <w:spacing w:line="580" w:lineRule="exact"/>
        <w:ind w:firstLine="720" w:firstLineChars="300"/>
        <w:textAlignment w:val="auto"/>
        <w:outlineLvl w:val="9"/>
        <w:rPr>
          <w:rFonts w:hint="default" w:ascii="Times New Roman" w:hAnsi="Times New Roman" w:eastAsia="楷体_GB2312" w:cs="Times New Roman"/>
          <w:b/>
          <w:bCs/>
          <w:color w:val="000000"/>
          <w:kern w:val="0"/>
          <w:szCs w:val="32"/>
          <w:highlight w:val="none"/>
          <w:shd w:val="clear" w:color="auto" w:fill="FFFFFF"/>
          <w:lang w:val="zh-CN"/>
        </w:rPr>
      </w:pPr>
      <w:r>
        <w:rPr>
          <w:rFonts w:hint="eastAsia" w:ascii="宋体" w:hAnsi="宋体" w:eastAsia="宋体" w:cs="宋体"/>
          <w:sz w:val="24"/>
          <w:szCs w:val="24"/>
          <w:lang w:eastAsia="zh-CN"/>
        </w:rPr>
        <w:t>宣传贯彻党和政府的各项医疗卫生方针政策，协助开展突发公共卫生事件应急调查和处置工作，承担区域内公共卫生相关信息的收集和报告。协助做好区域内食品卫生、饮用水卫生、化共场所卫生、职业卫生等爱国卫生工作；提供基本公共卫生服务，包括建立居民健康档案、健康档案、预防接种、传染病防治、高血压糖尿病等慢性病管理、重性精神疾病管理、儿童保健、孕产妇保健、老年人保健等；协助处置突发公共卫生事件。</w:t>
      </w:r>
    </w:p>
    <w:p w14:paraId="0CAF4453">
      <w:pPr>
        <w:keepNext w:val="0"/>
        <w:keepLines w:val="0"/>
        <w:pageBreakBefore w:val="0"/>
        <w:widowControl w:val="0"/>
        <w:numPr>
          <w:ilvl w:val="0"/>
          <w:numId w:val="3"/>
        </w:numPr>
        <w:kinsoku/>
        <w:wordWrap/>
        <w:overflowPunct/>
        <w:topLinePunct w:val="0"/>
        <w:autoSpaceDE/>
        <w:autoSpaceDN/>
        <w:bidi w:val="0"/>
        <w:adjustRightInd/>
        <w:snapToGrid/>
        <w:spacing w:line="600" w:lineRule="exact"/>
        <w:ind w:left="0" w:leftChars="0" w:firstLine="643" w:firstLineChars="200"/>
        <w:textAlignment w:val="auto"/>
        <w:rPr>
          <w:rFonts w:hint="eastAsia"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人员概况</w:t>
      </w:r>
      <w:r>
        <w:rPr>
          <w:rFonts w:hint="eastAsia" w:ascii="Times New Roman" w:hAnsi="Times New Roman" w:eastAsia="楷体_GB2312" w:cs="Times New Roman"/>
          <w:b/>
          <w:bCs/>
          <w:color w:val="000000"/>
          <w:kern w:val="0"/>
          <w:sz w:val="32"/>
          <w:szCs w:val="32"/>
          <w:highlight w:val="none"/>
          <w:shd w:val="clear" w:color="auto" w:fill="FFFFFF"/>
          <w:lang w:val="zh-CN"/>
        </w:rPr>
        <w:t>。</w:t>
      </w:r>
    </w:p>
    <w:p w14:paraId="67521B1B">
      <w:pPr>
        <w:keepNext w:val="0"/>
        <w:keepLines w:val="0"/>
        <w:pageBreakBefore w:val="0"/>
        <w:widowControl w:val="0"/>
        <w:numPr>
          <w:ilvl w:val="0"/>
          <w:numId w:val="0"/>
        </w:numPr>
        <w:kinsoku/>
        <w:wordWrap/>
        <w:overflowPunct/>
        <w:topLinePunct w:val="0"/>
        <w:autoSpaceDE/>
        <w:autoSpaceDN/>
        <w:bidi w:val="0"/>
        <w:adjustRightInd/>
        <w:snapToGrid/>
        <w:spacing w:line="600" w:lineRule="exact"/>
        <w:ind w:leftChars="200"/>
        <w:textAlignment w:val="auto"/>
        <w:rPr>
          <w:rFonts w:hint="default" w:ascii="Times New Roman" w:hAnsi="Times New Roman" w:cs="Times New Roman"/>
          <w:szCs w:val="32"/>
        </w:rPr>
      </w:pPr>
      <w:r>
        <w:rPr>
          <w:rFonts w:hint="eastAsia" w:ascii="宋体" w:hAnsi="宋体" w:eastAsia="宋体" w:cs="宋体"/>
          <w:color w:val="000000"/>
          <w:kern w:val="0"/>
          <w:sz w:val="24"/>
          <w:szCs w:val="24"/>
          <w:lang w:val="en-US" w:eastAsia="zh-CN" w:bidi="ar"/>
        </w:rPr>
        <w:t>2025年我院共有编制</w:t>
      </w:r>
      <w:r>
        <w:rPr>
          <w:rFonts w:hint="eastAsia" w:cs="宋体"/>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个，其中事业编</w:t>
      </w:r>
      <w:r>
        <w:rPr>
          <w:rFonts w:hint="eastAsia" w:cs="宋体"/>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个，在职</w:t>
      </w:r>
      <w:r>
        <w:rPr>
          <w:rFonts w:hint="eastAsia" w:cs="宋体"/>
          <w:color w:val="000000"/>
          <w:kern w:val="0"/>
          <w:sz w:val="24"/>
          <w:szCs w:val="24"/>
          <w:lang w:val="en-US" w:eastAsia="zh-CN" w:bidi="ar"/>
        </w:rPr>
        <w:t>5</w:t>
      </w:r>
      <w:r>
        <w:rPr>
          <w:rFonts w:hint="eastAsia" w:ascii="宋体" w:hAnsi="宋体" w:eastAsia="宋体" w:cs="宋体"/>
          <w:color w:val="000000"/>
          <w:kern w:val="0"/>
          <w:sz w:val="24"/>
          <w:szCs w:val="24"/>
          <w:lang w:val="en-US" w:eastAsia="zh-CN" w:bidi="ar"/>
        </w:rPr>
        <w:t>人,</w:t>
      </w:r>
      <w:r>
        <w:rPr>
          <w:rFonts w:hint="eastAsia" w:ascii="宋体" w:hAnsi="宋体" w:eastAsia="宋体" w:cs="宋体"/>
          <w:bCs/>
          <w:sz w:val="24"/>
          <w:szCs w:val="24"/>
        </w:rPr>
        <w:t>事业编制</w:t>
      </w:r>
      <w:r>
        <w:rPr>
          <w:rFonts w:hint="eastAsia" w:cs="宋体"/>
          <w:bCs/>
          <w:sz w:val="24"/>
          <w:szCs w:val="24"/>
          <w:lang w:val="en-US" w:eastAsia="zh-CN"/>
        </w:rPr>
        <w:t>5</w:t>
      </w:r>
      <w:r>
        <w:rPr>
          <w:rFonts w:hint="eastAsia" w:ascii="宋体" w:hAnsi="宋体" w:eastAsia="宋体" w:cs="宋体"/>
          <w:bCs/>
          <w:sz w:val="24"/>
          <w:szCs w:val="24"/>
        </w:rPr>
        <w:t>人</w:t>
      </w:r>
      <w:r>
        <w:rPr>
          <w:rFonts w:hint="eastAsia" w:ascii="宋体" w:hAnsi="宋体" w:eastAsia="宋体" w:cs="宋体"/>
          <w:bCs/>
          <w:sz w:val="24"/>
          <w:szCs w:val="24"/>
          <w:lang w:eastAsia="zh-CN"/>
        </w:rPr>
        <w:t>。</w:t>
      </w:r>
    </w:p>
    <w:p w14:paraId="6AFA6D46">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二、部门资金收支情况</w:t>
      </w:r>
    </w:p>
    <w:p w14:paraId="2E96A482">
      <w:pPr>
        <w:keepNext w:val="0"/>
        <w:keepLines w:val="0"/>
        <w:pageBreakBefore w:val="0"/>
        <w:widowControl/>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Times New Roman"/>
          <w:b w:val="0"/>
          <w:bCs w:val="0"/>
          <w:color w:val="000000"/>
          <w:kern w:val="0"/>
          <w:szCs w:val="32"/>
          <w:highlight w:val="none"/>
          <w:shd w:val="clear" w:color="auto" w:fill="FFFFFF"/>
          <w:lang w:val="zh-CN" w:eastAsia="zh-CN"/>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收入情况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eastAsia="仿宋_GB2312" w:cs="仿宋_GB2312"/>
          <w:color w:val="auto"/>
          <w:kern w:val="2"/>
          <w:sz w:val="32"/>
          <w:szCs w:val="32"/>
          <w:highlight w:val="none"/>
          <w:lang w:val="en-US" w:eastAsia="zh-CN" w:bidi="ar-SA"/>
        </w:rPr>
        <w:t>红原县邛溪镇社区卫生服务中心</w:t>
      </w:r>
      <w:r>
        <w:rPr>
          <w:rFonts w:hint="eastAsia" w:ascii="Times New Roman" w:hAnsi="Times New Roman" w:eastAsia="仿宋_GB2312" w:cs="Times New Roman"/>
          <w:sz w:val="32"/>
          <w:szCs w:val="32"/>
          <w:lang w:val="en-US" w:eastAsia="zh-CN"/>
        </w:rPr>
        <w:t>2025年年初预算收入</w:t>
      </w:r>
      <w:r>
        <w:rPr>
          <w:rFonts w:hint="eastAsia" w:eastAsia="仿宋_GB2312" w:cs="Times New Roman"/>
          <w:sz w:val="32"/>
          <w:szCs w:val="32"/>
          <w:lang w:val="en-US" w:eastAsia="zh-CN"/>
        </w:rPr>
        <w:t>134.63万元</w:t>
      </w:r>
      <w:r>
        <w:rPr>
          <w:rFonts w:hint="eastAsia" w:ascii="Times New Roman" w:hAnsi="Times New Roman" w:eastAsia="仿宋_GB2312" w:cs="Times New Roman"/>
          <w:sz w:val="32"/>
          <w:szCs w:val="32"/>
          <w:lang w:val="en-US" w:eastAsia="zh-CN"/>
        </w:rPr>
        <w:t>、决算报表收入</w:t>
      </w:r>
      <w:r>
        <w:rPr>
          <w:rFonts w:hint="eastAsia" w:eastAsia="仿宋_GB2312" w:cs="Times New Roman"/>
          <w:sz w:val="32"/>
          <w:szCs w:val="32"/>
          <w:lang w:val="en-US" w:eastAsia="zh-CN"/>
        </w:rPr>
        <w:t>137.25万元</w:t>
      </w:r>
      <w:r>
        <w:rPr>
          <w:rFonts w:hint="eastAsia" w:ascii="Times New Roman" w:hAnsi="Times New Roman" w:eastAsia="仿宋_GB2312" w:cs="Times New Roman"/>
          <w:sz w:val="32"/>
          <w:szCs w:val="32"/>
          <w:lang w:val="en-US" w:eastAsia="zh-CN"/>
        </w:rPr>
        <w:t>。</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二</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支出情况</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eastAsia="仿宋_GB2312" w:cs="仿宋_GB2312"/>
          <w:color w:val="auto"/>
          <w:kern w:val="2"/>
          <w:sz w:val="32"/>
          <w:szCs w:val="32"/>
          <w:highlight w:val="none"/>
          <w:lang w:val="en-US" w:eastAsia="zh-CN" w:bidi="ar-SA"/>
        </w:rPr>
        <w:t>红原县邛溪镇社区卫生服务中心</w:t>
      </w:r>
      <w:r>
        <w:rPr>
          <w:rFonts w:hint="eastAsia" w:ascii="Times New Roman" w:hAnsi="Times New Roman" w:eastAsia="仿宋_GB2312" w:cs="Times New Roman"/>
          <w:sz w:val="32"/>
          <w:szCs w:val="32"/>
          <w:lang w:val="en-US" w:eastAsia="zh-CN"/>
        </w:rPr>
        <w:t>2025年年初预算支出</w:t>
      </w:r>
      <w:r>
        <w:rPr>
          <w:rFonts w:hint="eastAsia" w:eastAsia="仿宋_GB2312" w:cs="Times New Roman"/>
          <w:sz w:val="32"/>
          <w:szCs w:val="32"/>
          <w:lang w:val="en-US" w:eastAsia="zh-CN"/>
        </w:rPr>
        <w:t>134.63万元</w:t>
      </w:r>
      <w:r>
        <w:rPr>
          <w:rFonts w:hint="eastAsia" w:ascii="Times New Roman" w:hAnsi="Times New Roman" w:eastAsia="仿宋_GB2312" w:cs="Times New Roman"/>
          <w:sz w:val="32"/>
          <w:szCs w:val="32"/>
          <w:lang w:val="en-US" w:eastAsia="zh-CN"/>
        </w:rPr>
        <w:t>、决算报表支出</w:t>
      </w:r>
      <w:r>
        <w:rPr>
          <w:rFonts w:hint="eastAsia" w:eastAsia="仿宋_GB2312" w:cs="Times New Roman"/>
          <w:sz w:val="32"/>
          <w:szCs w:val="32"/>
          <w:lang w:val="en-US" w:eastAsia="zh-CN"/>
        </w:rPr>
        <w:t>137.25万元</w:t>
      </w:r>
      <w:r>
        <w:rPr>
          <w:rFonts w:hint="eastAsia" w:ascii="Times New Roman" w:hAnsi="Times New Roman" w:eastAsia="仿宋_GB2312" w:cs="Times New Roman"/>
          <w:sz w:val="32"/>
          <w:szCs w:val="32"/>
          <w:lang w:val="en-US" w:eastAsia="zh-CN"/>
        </w:rPr>
        <w:t>。</w:t>
      </w:r>
      <w:r>
        <w:rPr>
          <w:rFonts w:hint="default" w:ascii="Times New Roman" w:hAnsi="Times New Roman" w:eastAsia="楷体_GB2312" w:cs="Times New Roman"/>
          <w:b/>
          <w:bCs/>
          <w:color w:val="000000"/>
          <w:kern w:val="0"/>
          <w:sz w:val="32"/>
          <w:szCs w:val="32"/>
          <w:highlight w:val="none"/>
          <w:shd w:val="clear" w:color="auto" w:fill="FFFFFF"/>
          <w:lang w:val="zh-CN"/>
        </w:rPr>
        <w:t>（</w:t>
      </w:r>
      <w:r>
        <w:rPr>
          <w:rFonts w:hint="eastAsia" w:ascii="Times New Roman" w:hAnsi="Times New Roman" w:eastAsia="楷体_GB2312" w:cs="Times New Roman"/>
          <w:b/>
          <w:bCs/>
          <w:color w:val="000000"/>
          <w:kern w:val="0"/>
          <w:sz w:val="32"/>
          <w:szCs w:val="32"/>
          <w:highlight w:val="none"/>
          <w:shd w:val="clear" w:color="auto" w:fill="FFFFFF"/>
          <w:lang w:val="zh-CN"/>
        </w:rPr>
        <w:t>三</w:t>
      </w:r>
      <w:r>
        <w:rPr>
          <w:rFonts w:hint="default" w:ascii="Times New Roman" w:hAnsi="Times New Roman" w:eastAsia="楷体_GB2312" w:cs="Times New Roman"/>
          <w:b/>
          <w:bCs/>
          <w:color w:val="000000"/>
          <w:kern w:val="0"/>
          <w:sz w:val="32"/>
          <w:szCs w:val="32"/>
          <w:highlight w:val="none"/>
          <w:shd w:val="clear" w:color="auto" w:fill="FFFFFF"/>
          <w:lang w:val="zh-CN"/>
        </w:rPr>
        <w:t>）结余分配和结转结余情况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eastAsia="仿宋_GB2312" w:cs="仿宋_GB2312"/>
          <w:color w:val="auto"/>
          <w:kern w:val="2"/>
          <w:sz w:val="32"/>
          <w:szCs w:val="32"/>
          <w:highlight w:val="none"/>
          <w:lang w:val="en-US" w:eastAsia="zh-CN" w:bidi="ar-SA"/>
        </w:rPr>
        <w:t>红原县邛溪镇社区卫生服务中心</w:t>
      </w:r>
      <w:r>
        <w:rPr>
          <w:rFonts w:hint="eastAsia" w:ascii="Times New Roman" w:hAnsi="Times New Roman" w:eastAsia="仿宋_GB2312" w:cs="Times New Roman"/>
          <w:sz w:val="32"/>
          <w:szCs w:val="32"/>
          <w:lang w:val="en-US" w:eastAsia="zh-CN"/>
        </w:rPr>
        <w:t>202</w:t>
      </w:r>
      <w:r>
        <w:rPr>
          <w:rFonts w:hint="eastAsia" w:eastAsia="仿宋_GB2312" w:cs="Times New Roman"/>
          <w:sz w:val="32"/>
          <w:szCs w:val="32"/>
          <w:lang w:val="en-US" w:eastAsia="zh-CN"/>
        </w:rPr>
        <w:t>5</w:t>
      </w:r>
      <w:r>
        <w:rPr>
          <w:rFonts w:hint="eastAsia" w:ascii="Times New Roman" w:hAnsi="Times New Roman" w:eastAsia="仿宋_GB2312" w:cs="Times New Roman"/>
          <w:sz w:val="32"/>
          <w:szCs w:val="32"/>
          <w:lang w:val="en-US" w:eastAsia="zh-CN"/>
        </w:rPr>
        <w:t>年决算报表</w:t>
      </w:r>
      <w:r>
        <w:rPr>
          <w:rFonts w:hint="default" w:ascii="Times New Roman" w:hAnsi="Times New Roman" w:eastAsia="仿宋_GB2312" w:cs="Times New Roman"/>
          <w:sz w:val="32"/>
          <w:szCs w:val="32"/>
          <w:lang w:val="en-US" w:eastAsia="zh-CN"/>
        </w:rPr>
        <w:t>结转结余</w:t>
      </w:r>
      <w:r>
        <w:rPr>
          <w:rFonts w:hint="eastAsia" w:eastAsia="仿宋_GB2312" w:cs="Times New Roman"/>
          <w:sz w:val="32"/>
          <w:szCs w:val="32"/>
          <w:lang w:val="en-US" w:eastAsia="zh-CN"/>
        </w:rPr>
        <w:t>无</w:t>
      </w:r>
      <w:r>
        <w:rPr>
          <w:rFonts w:hint="default" w:ascii="Times New Roman" w:hAnsi="Times New Roman" w:eastAsia="仿宋_GB2312" w:cs="Times New Roman"/>
          <w:sz w:val="32"/>
          <w:szCs w:val="32"/>
          <w:lang w:val="en-US" w:eastAsia="zh-CN"/>
        </w:rPr>
        <w:t>。</w:t>
      </w:r>
    </w:p>
    <w:p w14:paraId="07656351">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eastAsia="zh-CN"/>
        </w:rPr>
      </w:pPr>
      <w:r>
        <w:rPr>
          <w:rFonts w:hint="default" w:ascii="Times New Roman" w:hAnsi="Times New Roman" w:eastAsia="黑体" w:cs="Times New Roman"/>
          <w:color w:val="000000"/>
          <w:kern w:val="0"/>
          <w:sz w:val="32"/>
          <w:szCs w:val="32"/>
          <w:highlight w:val="none"/>
          <w:shd w:val="clear" w:color="auto" w:fill="FFFFFF"/>
          <w:lang w:val="zh-CN" w:eastAsia="zh-CN"/>
        </w:rPr>
        <w:t>三、部门预算绩效分析</w:t>
      </w:r>
    </w:p>
    <w:p w14:paraId="7C0CEE7B">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left"/>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（一）</w:t>
      </w:r>
      <w:r>
        <w:rPr>
          <w:rFonts w:hint="eastAsia" w:ascii="Times New Roman" w:hAnsi="Times New Roman" w:eastAsia="楷体_GB2312" w:cs="Times New Roman"/>
          <w:b/>
          <w:bCs/>
          <w:color w:val="000000"/>
          <w:kern w:val="0"/>
          <w:sz w:val="32"/>
          <w:szCs w:val="32"/>
          <w:highlight w:val="none"/>
          <w:shd w:val="clear" w:color="auto" w:fill="FFFFFF"/>
          <w:lang w:val="zh-CN"/>
        </w:rPr>
        <w:t>部门预算</w:t>
      </w:r>
      <w:r>
        <w:rPr>
          <w:rFonts w:hint="default" w:ascii="Times New Roman" w:hAnsi="Times New Roman" w:eastAsia="楷体_GB2312" w:cs="Times New Roman"/>
          <w:b/>
          <w:bCs/>
          <w:color w:val="000000"/>
          <w:kern w:val="0"/>
          <w:sz w:val="32"/>
          <w:szCs w:val="32"/>
          <w:highlight w:val="none"/>
          <w:shd w:val="clear" w:color="auto" w:fill="FFFFFF"/>
          <w:lang w:val="zh-CN"/>
        </w:rPr>
        <w:t>总体绩效分析。</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总体绩效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，依次包括履职效能、预算管理、财务管理、资产管理、采购管理等情况。</w:t>
      </w:r>
    </w:p>
    <w:p w14:paraId="54C8AB2E">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履职效能。部门整体绩效目标中选定3-5个核心职能目标，对职能目标完成效果情况绩效分析。</w:t>
      </w:r>
    </w:p>
    <w:p w14:paraId="12C95DB0">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预算管理</w:t>
      </w:r>
      <w:r>
        <w:rPr>
          <w:rFonts w:hint="eastAsia" w:ascii="Times New Roman" w:hAnsi="Times New Roman" w:eastAsia="仿宋_GB2312" w:cs="仿宋_GB2312"/>
          <w:color w:val="auto"/>
          <w:kern w:val="2"/>
          <w:sz w:val="32"/>
          <w:szCs w:val="32"/>
          <w:highlight w:val="none"/>
          <w:lang w:val="zh-CN" w:eastAsia="zh-CN" w:bidi="ar-SA"/>
        </w:rPr>
        <w:t>。围绕预算编制质量、单位收入统筹、支出执行进度、预算年终结余、严控一般性支出</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5C5539BB">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default" w:ascii="Times New Roman" w:hAnsi="Times New Roman" w:eastAsia="仿宋_GB2312" w:cs="仿宋_GB2312"/>
          <w:color w:val="auto"/>
          <w:kern w:val="2"/>
          <w:sz w:val="32"/>
          <w:szCs w:val="32"/>
          <w:highlight w:val="none"/>
          <w:lang w:val="zh-CN" w:eastAsia="zh-CN" w:bidi="ar-SA"/>
        </w:rPr>
        <w:t>财务管理</w:t>
      </w:r>
      <w:r>
        <w:rPr>
          <w:rFonts w:hint="eastAsia" w:ascii="Times New Roman" w:hAnsi="Times New Roman" w:eastAsia="仿宋_GB2312" w:cs="仿宋_GB2312"/>
          <w:color w:val="auto"/>
          <w:kern w:val="2"/>
          <w:sz w:val="32"/>
          <w:szCs w:val="32"/>
          <w:highlight w:val="none"/>
          <w:lang w:val="zh-CN" w:eastAsia="zh-CN" w:bidi="ar-SA"/>
        </w:rPr>
        <w:t>。围绕财务管理制度、财务岗位设置、资金使用规范</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44A8EED2">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4.</w:t>
      </w:r>
      <w:r>
        <w:rPr>
          <w:rFonts w:hint="default" w:ascii="Times New Roman" w:hAnsi="Times New Roman" w:eastAsia="仿宋_GB2312" w:cs="仿宋_GB2312"/>
          <w:color w:val="auto"/>
          <w:kern w:val="2"/>
          <w:sz w:val="32"/>
          <w:szCs w:val="32"/>
          <w:highlight w:val="none"/>
          <w:lang w:val="zh-CN" w:eastAsia="zh-CN" w:bidi="ar-SA"/>
        </w:rPr>
        <w:t>资产管理</w:t>
      </w:r>
      <w:r>
        <w:rPr>
          <w:rFonts w:hint="eastAsia" w:ascii="Times New Roman" w:hAnsi="Times New Roman" w:eastAsia="仿宋_GB2312" w:cs="仿宋_GB2312"/>
          <w:color w:val="auto"/>
          <w:kern w:val="2"/>
          <w:sz w:val="32"/>
          <w:szCs w:val="32"/>
          <w:highlight w:val="none"/>
          <w:lang w:val="zh-CN" w:eastAsia="zh-CN" w:bidi="ar-SA"/>
        </w:rPr>
        <w:t>。围绕人均资产变化率、资产利用率、资产盘活率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56C0F87C">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5.</w:t>
      </w:r>
      <w:r>
        <w:rPr>
          <w:rFonts w:hint="default" w:ascii="Times New Roman" w:hAnsi="Times New Roman" w:eastAsia="仿宋_GB2312" w:cs="仿宋_GB2312"/>
          <w:color w:val="auto"/>
          <w:kern w:val="2"/>
          <w:sz w:val="32"/>
          <w:szCs w:val="32"/>
          <w:highlight w:val="none"/>
          <w:lang w:val="zh-CN" w:eastAsia="zh-CN" w:bidi="ar-SA"/>
        </w:rPr>
        <w:t>采购管理</w:t>
      </w:r>
      <w:r>
        <w:rPr>
          <w:rFonts w:hint="eastAsia" w:ascii="Times New Roman" w:hAnsi="Times New Roman" w:eastAsia="仿宋_GB2312" w:cs="仿宋_GB2312"/>
          <w:color w:val="auto"/>
          <w:kern w:val="2"/>
          <w:sz w:val="32"/>
          <w:szCs w:val="32"/>
          <w:highlight w:val="none"/>
          <w:lang w:val="zh-CN" w:eastAsia="zh-CN" w:bidi="ar-SA"/>
        </w:rPr>
        <w:t>。围绕支持中小企业发展、采购执行率</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23322333">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rPr>
        <w:t>（二）部门预算项目绩效分析。</w:t>
      </w:r>
      <w:r>
        <w:rPr>
          <w:rFonts w:hint="eastAsia" w:ascii="Times New Roman" w:hAnsi="Times New Roman" w:eastAsia="仿宋_GB2312" w:cs="仿宋_GB2312"/>
          <w:color w:val="auto"/>
          <w:kern w:val="2"/>
          <w:sz w:val="32"/>
          <w:szCs w:val="32"/>
          <w:highlight w:val="none"/>
          <w:lang w:val="zh-CN" w:eastAsia="zh-CN" w:bidi="ar-SA"/>
        </w:rPr>
        <w:t>填报以下数据，并</w:t>
      </w:r>
      <w:r>
        <w:rPr>
          <w:rFonts w:hint="default" w:ascii="Times New Roman" w:hAnsi="Times New Roman" w:eastAsia="仿宋_GB2312" w:cs="仿宋_GB2312"/>
          <w:color w:val="auto"/>
          <w:kern w:val="2"/>
          <w:sz w:val="32"/>
          <w:szCs w:val="32"/>
          <w:highlight w:val="none"/>
          <w:lang w:val="zh-CN" w:eastAsia="zh-CN" w:bidi="ar-SA"/>
        </w:rPr>
        <w:t>根据部门预算绩效评价指标体系</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项目绩效</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涉及</w:t>
      </w:r>
      <w:r>
        <w:rPr>
          <w:rFonts w:hint="eastAsia" w:ascii="Times New Roman" w:hAnsi="Times New Roman" w:eastAsia="仿宋_GB2312" w:cs="仿宋_GB2312"/>
          <w:color w:val="auto"/>
          <w:kern w:val="2"/>
          <w:sz w:val="32"/>
          <w:szCs w:val="32"/>
          <w:highlight w:val="none"/>
          <w:lang w:val="zh-CN" w:eastAsia="zh-CN" w:bidi="ar-SA"/>
        </w:rPr>
        <w:t>二、三级</w:t>
      </w:r>
      <w:r>
        <w:rPr>
          <w:rFonts w:hint="default" w:ascii="Times New Roman" w:hAnsi="Times New Roman" w:eastAsia="仿宋_GB2312" w:cs="仿宋_GB2312"/>
          <w:color w:val="auto"/>
          <w:kern w:val="2"/>
          <w:sz w:val="32"/>
          <w:szCs w:val="32"/>
          <w:highlight w:val="none"/>
          <w:lang w:val="zh-CN" w:eastAsia="zh-CN" w:bidi="ar-SA"/>
        </w:rPr>
        <w:t>指标进行</w:t>
      </w:r>
      <w:r>
        <w:rPr>
          <w:rFonts w:hint="eastAsia" w:ascii="Times New Roman" w:hAnsi="Times New Roman" w:eastAsia="仿宋_GB2312" w:cs="仿宋_GB2312"/>
          <w:color w:val="auto"/>
          <w:kern w:val="2"/>
          <w:sz w:val="32"/>
          <w:szCs w:val="32"/>
          <w:highlight w:val="none"/>
          <w:lang w:val="zh-CN" w:eastAsia="zh-CN" w:bidi="ar-SA"/>
        </w:rPr>
        <w:t>逐项</w:t>
      </w:r>
      <w:r>
        <w:rPr>
          <w:rFonts w:hint="default" w:ascii="Times New Roman" w:hAnsi="Times New Roman" w:eastAsia="仿宋_GB2312" w:cs="仿宋_GB2312"/>
          <w:color w:val="auto"/>
          <w:kern w:val="2"/>
          <w:sz w:val="32"/>
          <w:szCs w:val="32"/>
          <w:highlight w:val="none"/>
          <w:lang w:val="zh-CN" w:eastAsia="zh-CN" w:bidi="ar-SA"/>
        </w:rPr>
        <w:t>绩效分析</w:t>
      </w:r>
      <w:r>
        <w:rPr>
          <w:rFonts w:hint="eastAsia" w:ascii="Times New Roman" w:hAnsi="Times New Roman" w:eastAsia="仿宋_GB2312" w:cs="仿宋_GB2312"/>
          <w:color w:val="auto"/>
          <w:kern w:val="2"/>
          <w:sz w:val="32"/>
          <w:szCs w:val="32"/>
          <w:highlight w:val="none"/>
          <w:lang w:val="zh-CN" w:eastAsia="zh-CN" w:bidi="ar-SA"/>
        </w:rPr>
        <w:t>并评分</w:t>
      </w:r>
      <w:r>
        <w:rPr>
          <w:rFonts w:hint="default" w:ascii="Times New Roman" w:hAnsi="Times New Roman" w:eastAsia="仿宋_GB2312" w:cs="仿宋_GB2312"/>
          <w:color w:val="auto"/>
          <w:kern w:val="2"/>
          <w:sz w:val="32"/>
          <w:szCs w:val="32"/>
          <w:highlight w:val="none"/>
          <w:lang w:val="zh-CN" w:eastAsia="zh-CN" w:bidi="ar-SA"/>
        </w:rPr>
        <w:t>，依次包括项目</w:t>
      </w:r>
      <w:r>
        <w:rPr>
          <w:rFonts w:hint="default" w:ascii="Times New Roman" w:hAnsi="Times New Roman" w:eastAsia="仿宋_GB2312" w:cs="仿宋_GB2312"/>
          <w:color w:val="auto"/>
          <w:kern w:val="2"/>
          <w:sz w:val="32"/>
          <w:szCs w:val="32"/>
          <w:highlight w:val="none"/>
          <w:lang w:val="en-US" w:eastAsia="zh-CN" w:bidi="ar-SA"/>
        </w:rPr>
        <w:t>决策、项目执行、目标实现等情况</w:t>
      </w:r>
      <w:r>
        <w:rPr>
          <w:rFonts w:hint="eastAsia" w:ascii="Times New Roman" w:hAnsi="Times New Roman" w:eastAsia="仿宋_GB2312" w:cs="仿宋_GB2312"/>
          <w:color w:val="auto"/>
          <w:kern w:val="2"/>
          <w:sz w:val="32"/>
          <w:szCs w:val="32"/>
          <w:highlight w:val="none"/>
          <w:lang w:val="en-US" w:eastAsia="zh-CN" w:bidi="ar-SA"/>
        </w:rPr>
        <w:t>。</w:t>
      </w:r>
    </w:p>
    <w:p w14:paraId="3181389E">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常年项目绩效分析。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14:paraId="3D8FD697">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zh-CN" w:eastAsia="zh-CN" w:bidi="ar-SA"/>
        </w:rPr>
      </w:pPr>
      <w:r>
        <w:rPr>
          <w:rFonts w:hint="default" w:ascii="Times New Roman" w:hAnsi="Times New Roman" w:eastAsia="仿宋_GB2312" w:cs="仿宋_GB2312"/>
          <w:color w:val="auto"/>
          <w:kern w:val="2"/>
          <w:sz w:val="32"/>
          <w:szCs w:val="32"/>
          <w:highlight w:val="none"/>
          <w:lang w:val="en-US" w:eastAsia="zh-CN" w:bidi="ar-SA"/>
        </w:rPr>
        <w:t>阶段</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一次性</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en-US" w:eastAsia="zh-CN" w:bidi="ar-SA"/>
        </w:rPr>
        <w:t>项目绩效分析。</w:t>
      </w:r>
      <w:r>
        <w:rPr>
          <w:rFonts w:hint="default" w:ascii="Times New Roman" w:hAnsi="Times New Roman" w:eastAsia="仿宋_GB2312" w:cs="仿宋_GB2312"/>
          <w:color w:val="auto"/>
          <w:kern w:val="2"/>
          <w:sz w:val="32"/>
          <w:szCs w:val="32"/>
          <w:highlight w:val="none"/>
          <w:lang w:val="zh-CN" w:eastAsia="zh-CN" w:bidi="ar-SA"/>
        </w:rPr>
        <w:t>该类项目总数</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个，涉及预算总金额</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万元，1</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1</w:t>
      </w:r>
      <w:r>
        <w:rPr>
          <w:rFonts w:hint="default" w:ascii="Times New Roman" w:hAnsi="Times New Roman" w:eastAsia="仿宋_GB2312" w:cs="仿宋_GB2312"/>
          <w:color w:val="auto"/>
          <w:kern w:val="2"/>
          <w:sz w:val="32"/>
          <w:szCs w:val="32"/>
          <w:highlight w:val="none"/>
          <w:lang w:val="en-US" w:eastAsia="zh-CN" w:bidi="ar-SA"/>
        </w:rPr>
        <w:t>2</w:t>
      </w:r>
      <w:r>
        <w:rPr>
          <w:rFonts w:hint="default" w:ascii="Times New Roman" w:hAnsi="Times New Roman" w:eastAsia="仿宋_GB2312" w:cs="仿宋_GB2312"/>
          <w:color w:val="auto"/>
          <w:kern w:val="2"/>
          <w:sz w:val="32"/>
          <w:szCs w:val="32"/>
          <w:highlight w:val="none"/>
          <w:lang w:val="zh-CN" w:eastAsia="zh-CN" w:bidi="ar-SA"/>
        </w:rPr>
        <w:t>月预算执行总体进度为</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%，其中：预算结余率大于</w:t>
      </w:r>
      <w:r>
        <w:rPr>
          <w:rFonts w:hint="default" w:ascii="Times New Roman" w:hAnsi="Times New Roman" w:eastAsia="仿宋_GB2312" w:cs="仿宋_GB2312"/>
          <w:color w:val="auto"/>
          <w:kern w:val="2"/>
          <w:sz w:val="32"/>
          <w:szCs w:val="32"/>
          <w:highlight w:val="none"/>
          <w:lang w:val="en-US" w:eastAsia="zh-CN" w:bidi="ar-SA"/>
        </w:rPr>
        <w:t>10%</w:t>
      </w:r>
      <w:r>
        <w:rPr>
          <w:rFonts w:hint="default" w:ascii="Times New Roman" w:hAnsi="Times New Roman" w:eastAsia="仿宋_GB2312" w:cs="仿宋_GB2312"/>
          <w:color w:val="auto"/>
          <w:kern w:val="2"/>
          <w:sz w:val="32"/>
          <w:szCs w:val="32"/>
          <w:highlight w:val="none"/>
          <w:lang w:val="zh-CN" w:eastAsia="zh-CN" w:bidi="ar-SA"/>
        </w:rPr>
        <w:t>的项目共计</w:t>
      </w:r>
      <w:r>
        <w:rPr>
          <w:rFonts w:hint="eastAsia" w:ascii="Times New Roman" w:hAnsi="Times New Roman" w:eastAsia="仿宋_GB2312" w:cs="仿宋_GB2312"/>
          <w:color w:val="auto"/>
          <w:kern w:val="2"/>
          <w:sz w:val="32"/>
          <w:szCs w:val="32"/>
          <w:highlight w:val="none"/>
          <w:lang w:val="en-US" w:eastAsia="zh-CN" w:bidi="ar-SA"/>
        </w:rPr>
        <w:t>***</w:t>
      </w:r>
      <w:r>
        <w:rPr>
          <w:rFonts w:hint="default" w:ascii="Times New Roman" w:hAnsi="Times New Roman" w:eastAsia="仿宋_GB2312" w:cs="仿宋_GB2312"/>
          <w:color w:val="auto"/>
          <w:kern w:val="2"/>
          <w:sz w:val="32"/>
          <w:szCs w:val="32"/>
          <w:highlight w:val="none"/>
          <w:lang w:val="zh-CN" w:eastAsia="zh-CN" w:bidi="ar-SA"/>
        </w:rPr>
        <w:t>个。</w:t>
      </w:r>
    </w:p>
    <w:p w14:paraId="1300A88E">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1.</w:t>
      </w:r>
      <w:r>
        <w:rPr>
          <w:rFonts w:hint="eastAsia" w:ascii="Times New Roman" w:hAnsi="Times New Roman" w:eastAsia="仿宋_GB2312" w:cs="仿宋_GB2312"/>
          <w:color w:val="auto"/>
          <w:kern w:val="2"/>
          <w:sz w:val="32"/>
          <w:szCs w:val="32"/>
          <w:highlight w:val="none"/>
          <w:lang w:val="zh-CN" w:eastAsia="zh-CN" w:bidi="ar-SA"/>
        </w:rPr>
        <w:t>项目决策。围绕决策程序、目标设置、项目入库</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6741AF63">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2.项目执行</w:t>
      </w:r>
      <w:r>
        <w:rPr>
          <w:rFonts w:hint="eastAsia" w:ascii="Times New Roman" w:hAnsi="Times New Roman" w:eastAsia="仿宋_GB2312" w:cs="仿宋_GB2312"/>
          <w:color w:val="auto"/>
          <w:kern w:val="2"/>
          <w:sz w:val="32"/>
          <w:szCs w:val="32"/>
          <w:highlight w:val="none"/>
          <w:lang w:val="zh-CN" w:eastAsia="zh-CN" w:bidi="ar-SA"/>
        </w:rPr>
        <w:t>。围绕资金执行同向、项目调整、执行结果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p w14:paraId="314CAA99">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r>
        <w:rPr>
          <w:rFonts w:hint="eastAsia" w:ascii="Times New Roman" w:hAnsi="Times New Roman" w:eastAsia="仿宋_GB2312" w:cs="仿宋_GB2312"/>
          <w:color w:val="auto"/>
          <w:kern w:val="2"/>
          <w:sz w:val="32"/>
          <w:szCs w:val="32"/>
          <w:highlight w:val="none"/>
          <w:lang w:val="en-US" w:eastAsia="zh-CN" w:bidi="ar-SA"/>
        </w:rPr>
        <w:t>3.</w:t>
      </w:r>
      <w:r>
        <w:rPr>
          <w:rFonts w:hint="eastAsia" w:ascii="Times New Roman" w:hAnsi="Times New Roman" w:eastAsia="仿宋_GB2312" w:cs="仿宋_GB2312"/>
          <w:color w:val="auto"/>
          <w:kern w:val="2"/>
          <w:sz w:val="32"/>
          <w:szCs w:val="32"/>
          <w:highlight w:val="none"/>
          <w:lang w:val="zh-CN" w:eastAsia="zh-CN" w:bidi="ar-SA"/>
        </w:rPr>
        <w:t>目标实现。围绕目标完成、目标偏离、实现效果</w:t>
      </w:r>
      <w:r>
        <w:rPr>
          <w:rFonts w:hint="default" w:ascii="Times New Roman" w:hAnsi="Times New Roman" w:eastAsia="仿宋_GB2312" w:cs="仿宋_GB2312"/>
          <w:color w:val="auto"/>
          <w:kern w:val="2"/>
          <w:sz w:val="32"/>
          <w:szCs w:val="32"/>
          <w:highlight w:val="none"/>
          <w:lang w:val="zh-CN" w:eastAsia="zh-CN" w:bidi="ar-SA"/>
        </w:rPr>
        <w:t>进行绩效分析</w:t>
      </w:r>
      <w:r>
        <w:rPr>
          <w:rFonts w:hint="eastAsia" w:ascii="Times New Roman" w:hAnsi="Times New Roman" w:eastAsia="仿宋_GB2312" w:cs="仿宋_GB2312"/>
          <w:color w:val="auto"/>
          <w:kern w:val="2"/>
          <w:sz w:val="32"/>
          <w:szCs w:val="32"/>
          <w:highlight w:val="none"/>
          <w:lang w:val="zh-CN" w:eastAsia="zh-CN" w:bidi="ar-SA"/>
        </w:rPr>
        <w:t>。</w:t>
      </w:r>
    </w:p>
    <w:tbl>
      <w:tblPr>
        <w:tblStyle w:val="17"/>
        <w:tblW w:w="12193" w:type="dxa"/>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15" w:type="dxa"/>
          <w:left w:w="15" w:type="dxa"/>
          <w:bottom w:w="15" w:type="dxa"/>
          <w:right w:w="15" w:type="dxa"/>
        </w:tblCellMar>
      </w:tblPr>
      <w:tblGrid>
        <w:gridCol w:w="1794"/>
        <w:gridCol w:w="1317"/>
        <w:gridCol w:w="1141"/>
        <w:gridCol w:w="1765"/>
        <w:gridCol w:w="735"/>
        <w:gridCol w:w="746"/>
        <w:gridCol w:w="874"/>
        <w:gridCol w:w="746"/>
        <w:gridCol w:w="750"/>
        <w:gridCol w:w="735"/>
        <w:gridCol w:w="422"/>
        <w:gridCol w:w="1168"/>
      </w:tblGrid>
      <w:tr w14:paraId="7291A196">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6" w:hRule="atLeast"/>
        </w:trPr>
        <w:tc>
          <w:tcPr>
            <w:tcW w:w="12193" w:type="dxa"/>
            <w:gridSpan w:val="12"/>
            <w:tcBorders>
              <w:top w:val="single" w:color="FFFFFF" w:sz="4" w:space="0"/>
              <w:left w:val="single" w:color="FFFFFF" w:sz="4" w:space="0"/>
              <w:bottom w:val="single" w:color="FFFFFF" w:sz="4" w:space="0"/>
              <w:right w:val="single" w:color="FFFFFF" w:sz="4" w:space="0"/>
            </w:tcBorders>
            <w:shd w:val="clear" w:color="auto" w:fill="auto"/>
            <w:vAlign w:val="center"/>
          </w:tcPr>
          <w:p w14:paraId="4EE6B300">
            <w:pPr>
              <w:keepNext w:val="0"/>
              <w:keepLines w:val="0"/>
              <w:widowControl/>
              <w:suppressLineNumbers w:val="0"/>
              <w:jc w:val="center"/>
              <w:textAlignment w:val="center"/>
              <w:rPr>
                <w:rFonts w:hint="eastAsia" w:ascii="宋体" w:hAnsi="宋体" w:eastAsia="宋体" w:cs="宋体"/>
                <w:b/>
                <w:i w:val="0"/>
                <w:color w:val="000000"/>
                <w:sz w:val="30"/>
                <w:szCs w:val="30"/>
                <w:u w:val="none"/>
              </w:rPr>
            </w:pPr>
            <w:r>
              <w:rPr>
                <w:rFonts w:hint="eastAsia" w:ascii="宋体" w:hAnsi="宋体" w:eastAsia="宋体" w:cs="宋体"/>
                <w:b/>
                <w:i w:val="0"/>
                <w:color w:val="000000"/>
                <w:kern w:val="0"/>
                <w:sz w:val="30"/>
                <w:szCs w:val="30"/>
                <w:u w:val="none"/>
                <w:lang w:val="en-US" w:eastAsia="zh-CN" w:bidi="ar"/>
              </w:rPr>
              <w:t>部门预算项目绩效目标表（2025年度）</w:t>
            </w:r>
          </w:p>
        </w:tc>
      </w:tr>
      <w:tr w14:paraId="4BA4968F">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336" w:hRule="atLeast"/>
        </w:trPr>
        <w:tc>
          <w:tcPr>
            <w:tcW w:w="6017" w:type="dxa"/>
            <w:gridSpan w:val="4"/>
            <w:tcBorders>
              <w:top w:val="single" w:color="FFFFFF" w:sz="4" w:space="0"/>
              <w:left w:val="single" w:color="FFFFFF" w:sz="4" w:space="0"/>
              <w:right w:val="single" w:color="FFFFFF" w:sz="4" w:space="0"/>
            </w:tcBorders>
            <w:shd w:val="clear" w:color="auto" w:fill="auto"/>
            <w:vAlign w:val="center"/>
          </w:tcPr>
          <w:p w14:paraId="06A513C1">
            <w:pPr>
              <w:rPr>
                <w:rFonts w:hint="eastAsia" w:ascii="宋体" w:hAnsi="宋体" w:eastAsia="宋体" w:cs="宋体"/>
                <w:i w:val="0"/>
                <w:color w:val="000000"/>
                <w:sz w:val="22"/>
                <w:szCs w:val="22"/>
                <w:u w:val="none"/>
              </w:rPr>
            </w:pPr>
          </w:p>
        </w:tc>
        <w:tc>
          <w:tcPr>
            <w:tcW w:w="735" w:type="dxa"/>
            <w:tcBorders>
              <w:top w:val="single" w:color="FFFFFF" w:sz="4" w:space="0"/>
              <w:left w:val="single" w:color="FFFFFF" w:sz="4" w:space="0"/>
              <w:right w:val="single" w:color="FFFFFF" w:sz="4" w:space="0"/>
            </w:tcBorders>
            <w:shd w:val="clear" w:color="auto" w:fill="auto"/>
            <w:vAlign w:val="center"/>
          </w:tcPr>
          <w:p w14:paraId="79E34483">
            <w:pPr>
              <w:rPr>
                <w:rFonts w:hint="eastAsia" w:ascii="宋体" w:hAnsi="宋体" w:eastAsia="宋体" w:cs="宋体"/>
                <w:i w:val="0"/>
                <w:color w:val="000000"/>
                <w:sz w:val="22"/>
                <w:szCs w:val="22"/>
                <w:u w:val="none"/>
              </w:rPr>
            </w:pPr>
          </w:p>
        </w:tc>
        <w:tc>
          <w:tcPr>
            <w:tcW w:w="746" w:type="dxa"/>
            <w:tcBorders>
              <w:top w:val="single" w:color="FFFFFF" w:sz="4" w:space="0"/>
              <w:left w:val="single" w:color="FFFFFF" w:sz="4" w:space="0"/>
              <w:right w:val="single" w:color="FFFFFF" w:sz="4" w:space="0"/>
            </w:tcBorders>
            <w:shd w:val="clear" w:color="auto" w:fill="auto"/>
            <w:vAlign w:val="center"/>
          </w:tcPr>
          <w:p w14:paraId="2F52B1A8">
            <w:pPr>
              <w:rPr>
                <w:rFonts w:hint="eastAsia" w:ascii="宋体" w:hAnsi="宋体" w:eastAsia="宋体" w:cs="宋体"/>
                <w:i w:val="0"/>
                <w:color w:val="000000"/>
                <w:sz w:val="22"/>
                <w:szCs w:val="22"/>
                <w:u w:val="none"/>
              </w:rPr>
            </w:pPr>
          </w:p>
        </w:tc>
        <w:tc>
          <w:tcPr>
            <w:tcW w:w="874" w:type="dxa"/>
            <w:tcBorders>
              <w:top w:val="single" w:color="FFFFFF" w:sz="4" w:space="0"/>
              <w:left w:val="single" w:color="FFFFFF" w:sz="4" w:space="0"/>
              <w:right w:val="single" w:color="FFFFFF" w:sz="4" w:space="0"/>
            </w:tcBorders>
            <w:shd w:val="clear" w:color="auto" w:fill="auto"/>
            <w:vAlign w:val="center"/>
          </w:tcPr>
          <w:p w14:paraId="5C4B035C">
            <w:pPr>
              <w:rPr>
                <w:rFonts w:hint="eastAsia" w:ascii="宋体" w:hAnsi="宋体" w:eastAsia="宋体" w:cs="宋体"/>
                <w:i w:val="0"/>
                <w:color w:val="000000"/>
                <w:sz w:val="22"/>
                <w:szCs w:val="22"/>
                <w:u w:val="none"/>
              </w:rPr>
            </w:pPr>
          </w:p>
        </w:tc>
        <w:tc>
          <w:tcPr>
            <w:tcW w:w="746" w:type="dxa"/>
            <w:tcBorders>
              <w:top w:val="single" w:color="FFFFFF" w:sz="4" w:space="0"/>
              <w:left w:val="single" w:color="FFFFFF" w:sz="4" w:space="0"/>
              <w:right w:val="single" w:color="FFFFFF" w:sz="4" w:space="0"/>
            </w:tcBorders>
            <w:shd w:val="clear" w:color="auto" w:fill="auto"/>
            <w:vAlign w:val="center"/>
          </w:tcPr>
          <w:p w14:paraId="19472AAD">
            <w:pPr>
              <w:rPr>
                <w:rFonts w:hint="eastAsia" w:ascii="宋体" w:hAnsi="宋体" w:eastAsia="宋体" w:cs="宋体"/>
                <w:i w:val="0"/>
                <w:color w:val="000000"/>
                <w:sz w:val="22"/>
                <w:szCs w:val="22"/>
                <w:u w:val="none"/>
              </w:rPr>
            </w:pPr>
          </w:p>
        </w:tc>
        <w:tc>
          <w:tcPr>
            <w:tcW w:w="750" w:type="dxa"/>
            <w:tcBorders>
              <w:top w:val="single" w:color="FFFFFF" w:sz="4" w:space="0"/>
              <w:left w:val="single" w:color="FFFFFF" w:sz="4" w:space="0"/>
              <w:right w:val="single" w:color="FFFFFF" w:sz="4" w:space="0"/>
            </w:tcBorders>
            <w:shd w:val="clear" w:color="auto" w:fill="auto"/>
            <w:vAlign w:val="center"/>
          </w:tcPr>
          <w:p w14:paraId="42AC9A46">
            <w:pPr>
              <w:rPr>
                <w:rFonts w:hint="eastAsia" w:ascii="宋体" w:hAnsi="宋体" w:eastAsia="宋体" w:cs="宋体"/>
                <w:i w:val="0"/>
                <w:color w:val="000000"/>
                <w:sz w:val="22"/>
                <w:szCs w:val="22"/>
                <w:u w:val="none"/>
              </w:rPr>
            </w:pPr>
          </w:p>
        </w:tc>
        <w:tc>
          <w:tcPr>
            <w:tcW w:w="2325" w:type="dxa"/>
            <w:gridSpan w:val="3"/>
            <w:tcBorders>
              <w:top w:val="single" w:color="FFFFFF" w:sz="4" w:space="0"/>
              <w:left w:val="single" w:color="FFFFFF" w:sz="4" w:space="0"/>
              <w:right w:val="single" w:color="FFFFFF" w:sz="4" w:space="0"/>
            </w:tcBorders>
            <w:shd w:val="clear" w:color="auto" w:fill="auto"/>
            <w:vAlign w:val="center"/>
          </w:tcPr>
          <w:p w14:paraId="0560EFCD">
            <w:pPr>
              <w:keepNext w:val="0"/>
              <w:keepLines w:val="0"/>
              <w:widowControl/>
              <w:suppressLineNumbers w:val="0"/>
              <w:jc w:val="right"/>
              <w:textAlignment w:val="center"/>
              <w:rPr>
                <w:rFonts w:hint="eastAsia" w:ascii="宋体" w:hAnsi="宋体" w:eastAsia="宋体" w:cs="宋体"/>
                <w:i w:val="0"/>
                <w:color w:val="000000"/>
                <w:sz w:val="22"/>
                <w:szCs w:val="22"/>
                <w:u w:val="none"/>
              </w:rPr>
            </w:pPr>
            <w:r>
              <w:rPr>
                <w:rFonts w:hint="eastAsia" w:ascii="宋体" w:hAnsi="宋体" w:eastAsia="宋体" w:cs="宋体"/>
                <w:i w:val="0"/>
                <w:color w:val="000000"/>
                <w:kern w:val="0"/>
                <w:sz w:val="22"/>
                <w:szCs w:val="22"/>
                <w:u w:val="none"/>
                <w:lang w:val="en-US" w:eastAsia="zh-CN" w:bidi="ar"/>
              </w:rPr>
              <w:t>金额单位：万元</w:t>
            </w:r>
          </w:p>
        </w:tc>
      </w:tr>
      <w:tr w14:paraId="01BE5152">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420" w:hRule="atLeast"/>
        </w:trPr>
        <w:tc>
          <w:tcPr>
            <w:tcW w:w="1794"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4DB0C35">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单位名称</w:t>
            </w:r>
          </w:p>
        </w:tc>
        <w:tc>
          <w:tcPr>
            <w:tcW w:w="1317"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522928D4">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项目名称</w:t>
            </w:r>
          </w:p>
        </w:tc>
        <w:tc>
          <w:tcPr>
            <w:tcW w:w="1141"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527268E7">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预算数</w:t>
            </w:r>
          </w:p>
        </w:tc>
        <w:tc>
          <w:tcPr>
            <w:tcW w:w="1765"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5B8BC4D">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年度目标</w:t>
            </w:r>
          </w:p>
        </w:tc>
        <w:tc>
          <w:tcPr>
            <w:tcW w:w="735"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D25646C">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一级指标</w:t>
            </w:r>
          </w:p>
        </w:tc>
        <w:tc>
          <w:tcPr>
            <w:tcW w:w="746"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ABCF7FB">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二级指标</w:t>
            </w:r>
          </w:p>
        </w:tc>
        <w:tc>
          <w:tcPr>
            <w:tcW w:w="874"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35DFAC02">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三级指标</w:t>
            </w:r>
          </w:p>
        </w:tc>
        <w:tc>
          <w:tcPr>
            <w:tcW w:w="746"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2065EFD5">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指标性质</w:t>
            </w:r>
          </w:p>
        </w:tc>
        <w:tc>
          <w:tcPr>
            <w:tcW w:w="750"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7158F567">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指标值</w:t>
            </w:r>
          </w:p>
        </w:tc>
        <w:tc>
          <w:tcPr>
            <w:tcW w:w="735"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4FDEC8EC">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度量单位</w:t>
            </w:r>
          </w:p>
        </w:tc>
        <w:tc>
          <w:tcPr>
            <w:tcW w:w="422"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14562497">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权重</w:t>
            </w:r>
          </w:p>
        </w:tc>
        <w:tc>
          <w:tcPr>
            <w:tcW w:w="1168" w:type="dxa"/>
            <w:tcBorders>
              <w:top w:val="single" w:color="000000" w:sz="4" w:space="0"/>
              <w:left w:val="single" w:color="000000" w:sz="4" w:space="0"/>
              <w:bottom w:val="single" w:color="000000" w:sz="4" w:space="0"/>
              <w:right w:val="single" w:color="000000" w:sz="4" w:space="0"/>
            </w:tcBorders>
            <w:shd w:val="clear" w:color="EFF2F7" w:fill="EFF2F7"/>
            <w:vAlign w:val="center"/>
          </w:tcPr>
          <w:p w14:paraId="176B9920">
            <w:pPr>
              <w:keepNext w:val="0"/>
              <w:keepLines w:val="0"/>
              <w:widowControl/>
              <w:suppressLineNumbers w:val="0"/>
              <w:jc w:val="center"/>
              <w:textAlignment w:val="center"/>
              <w:rPr>
                <w:rFonts w:hint="eastAsia" w:ascii="宋体" w:hAnsi="宋体" w:eastAsia="宋体" w:cs="宋体"/>
                <w:b/>
                <w:i w:val="0"/>
                <w:color w:val="000000"/>
                <w:sz w:val="18"/>
                <w:szCs w:val="18"/>
                <w:u w:val="none"/>
              </w:rPr>
            </w:pPr>
            <w:r>
              <w:rPr>
                <w:rFonts w:hint="eastAsia" w:ascii="宋体" w:hAnsi="宋体" w:eastAsia="宋体" w:cs="宋体"/>
                <w:b/>
                <w:i w:val="0"/>
                <w:color w:val="000000"/>
                <w:kern w:val="0"/>
                <w:sz w:val="18"/>
                <w:szCs w:val="18"/>
                <w:u w:val="none"/>
                <w:lang w:val="en-US" w:eastAsia="zh-CN" w:bidi="ar"/>
              </w:rPr>
              <w:t>指标方向性</w:t>
            </w:r>
          </w:p>
        </w:tc>
      </w:tr>
      <w:tr w14:paraId="70CF00E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396" w:hRule="atLeast"/>
        </w:trPr>
        <w:tc>
          <w:tcPr>
            <w:tcW w:w="179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A4AC8E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122-红原县卫生健康局</w:t>
            </w:r>
          </w:p>
        </w:tc>
        <w:tc>
          <w:tcPr>
            <w:tcW w:w="1317"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798B25">
            <w:pPr>
              <w:rPr>
                <w:rFonts w:hint="eastAsia" w:ascii="宋体" w:hAnsi="宋体" w:eastAsia="宋体" w:cs="宋体"/>
                <w:i w:val="0"/>
                <w:color w:val="000000"/>
                <w:sz w:val="18"/>
                <w:szCs w:val="18"/>
                <w:u w:val="none"/>
              </w:rPr>
            </w:pPr>
          </w:p>
        </w:tc>
        <w:tc>
          <w:tcPr>
            <w:tcW w:w="1141"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4E527">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4.34</w:t>
            </w:r>
          </w:p>
        </w:tc>
        <w:tc>
          <w:tcPr>
            <w:tcW w:w="176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5F29A88">
            <w:pPr>
              <w:rPr>
                <w:rFonts w:hint="eastAsia" w:ascii="宋体" w:hAnsi="宋体" w:eastAsia="宋体" w:cs="宋体"/>
                <w:i w:val="0"/>
                <w:color w:val="000000"/>
                <w:sz w:val="18"/>
                <w:szCs w:val="18"/>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9D3B98">
            <w:pPr>
              <w:rPr>
                <w:rFonts w:hint="eastAsia" w:ascii="宋体" w:hAnsi="宋体" w:eastAsia="宋体" w:cs="宋体"/>
                <w:i w:val="0"/>
                <w:color w:val="000000"/>
                <w:sz w:val="18"/>
                <w:szCs w:val="18"/>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9835C0">
            <w:pPr>
              <w:rPr>
                <w:rFonts w:hint="eastAsia" w:ascii="宋体" w:hAnsi="宋体" w:eastAsia="宋体" w:cs="宋体"/>
                <w:i w:val="0"/>
                <w:color w:val="000000"/>
                <w:sz w:val="18"/>
                <w:szCs w:val="18"/>
                <w:u w:val="none"/>
              </w:rPr>
            </w:pP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60A235">
            <w:pPr>
              <w:rPr>
                <w:rFonts w:hint="eastAsia" w:ascii="宋体" w:hAnsi="宋体" w:eastAsia="宋体" w:cs="宋体"/>
                <w:i w:val="0"/>
                <w:color w:val="000000"/>
                <w:sz w:val="18"/>
                <w:szCs w:val="18"/>
                <w:u w:val="none"/>
              </w:rPr>
            </w:pP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C13381D">
            <w:pPr>
              <w:rPr>
                <w:rFonts w:hint="eastAsia" w:ascii="宋体" w:hAnsi="宋体" w:eastAsia="宋体" w:cs="宋体"/>
                <w:i w:val="0"/>
                <w:color w:val="000000"/>
                <w:sz w:val="18"/>
                <w:szCs w:val="18"/>
                <w:u w:val="none"/>
              </w:rPr>
            </w:pP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BF434C8">
            <w:pPr>
              <w:rPr>
                <w:rFonts w:hint="eastAsia" w:ascii="宋体" w:hAnsi="宋体" w:eastAsia="宋体" w:cs="宋体"/>
                <w:i w:val="0"/>
                <w:color w:val="000000"/>
                <w:sz w:val="18"/>
                <w:szCs w:val="18"/>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3EA7CBC">
            <w:pPr>
              <w:rPr>
                <w:rFonts w:hint="eastAsia" w:ascii="宋体" w:hAnsi="宋体" w:eastAsia="宋体" w:cs="宋体"/>
                <w:i w:val="0"/>
                <w:color w:val="000000"/>
                <w:sz w:val="18"/>
                <w:szCs w:val="18"/>
                <w:u w:val="none"/>
              </w:rPr>
            </w:pP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4BD1906">
            <w:pPr>
              <w:rPr>
                <w:rFonts w:hint="eastAsia" w:ascii="宋体" w:hAnsi="宋体" w:eastAsia="宋体" w:cs="宋体"/>
                <w:i w:val="0"/>
                <w:color w:val="000000"/>
                <w:sz w:val="18"/>
                <w:szCs w:val="18"/>
                <w:u w:val="none"/>
              </w:rPr>
            </w:pP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196905">
            <w:pPr>
              <w:rPr>
                <w:rFonts w:hint="eastAsia" w:ascii="宋体" w:hAnsi="宋体" w:eastAsia="宋体" w:cs="宋体"/>
                <w:i w:val="0"/>
                <w:color w:val="000000"/>
                <w:sz w:val="18"/>
                <w:szCs w:val="18"/>
                <w:u w:val="none"/>
              </w:rPr>
            </w:pPr>
          </w:p>
        </w:tc>
      </w:tr>
      <w:tr w14:paraId="5A43AF50">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4"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21DA0B3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122019-红原县邛溪镇社区卫生服务中心</w:t>
            </w:r>
          </w:p>
        </w:tc>
        <w:tc>
          <w:tcPr>
            <w:tcW w:w="1317"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EB1134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县级配套基本公共卫生</w:t>
            </w:r>
          </w:p>
        </w:tc>
        <w:tc>
          <w:tcPr>
            <w:tcW w:w="1141"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5B108C0F">
            <w:pPr>
              <w:keepNext w:val="0"/>
              <w:keepLines w:val="0"/>
              <w:widowControl/>
              <w:suppressLineNumbers w:val="0"/>
              <w:jc w:val="righ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4.34</w:t>
            </w:r>
          </w:p>
        </w:tc>
        <w:tc>
          <w:tcPr>
            <w:tcW w:w="1765" w:type="dxa"/>
            <w:vMerge w:val="restart"/>
            <w:tcBorders>
              <w:top w:val="single" w:color="000000" w:sz="4" w:space="0"/>
              <w:left w:val="single" w:color="000000" w:sz="4" w:space="0"/>
              <w:bottom w:val="single" w:color="000000" w:sz="4" w:space="0"/>
              <w:right w:val="single" w:color="000000" w:sz="4" w:space="0"/>
            </w:tcBorders>
            <w:shd w:val="clear" w:color="auto" w:fill="auto"/>
            <w:vAlign w:val="center"/>
          </w:tcPr>
          <w:p w14:paraId="4C016F8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乡镇卫生院开展基本公共卫生服务，包括建立居民健康档案，预防接种、传染病防治、高血压糖尿病等慢性病管理重型精神病管理、儿童保健、孕产妇保健、老年人保健；协助处置突发公共卫生事件。开展基本公共卫生服产生的办公费，邮电费等支出。</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79838D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满意度指标</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822C38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服务对象满意度指标</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FF841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基层群众满意度</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C5F7C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D92D1D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96</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F9915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0B3BAD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99D5DEC">
            <w:pPr>
              <w:jc w:val="left"/>
              <w:rPr>
                <w:rFonts w:hint="eastAsia" w:ascii="宋体" w:hAnsi="宋体" w:eastAsia="宋体" w:cs="宋体"/>
                <w:i w:val="0"/>
                <w:color w:val="000000"/>
                <w:sz w:val="18"/>
                <w:szCs w:val="18"/>
                <w:u w:val="none"/>
              </w:rPr>
            </w:pPr>
          </w:p>
        </w:tc>
      </w:tr>
      <w:tr w14:paraId="1B698D2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900" w:hRule="atLeast"/>
        </w:trPr>
        <w:tc>
          <w:tcPr>
            <w:tcW w:w="1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7B517B4">
            <w:pPr>
              <w:jc w:val="left"/>
              <w:rPr>
                <w:rFonts w:hint="eastAsia" w:ascii="宋体" w:hAnsi="宋体" w:eastAsia="宋体" w:cs="宋体"/>
                <w:i w:val="0"/>
                <w:color w:val="000000"/>
                <w:sz w:val="18"/>
                <w:szCs w:val="18"/>
                <w:u w:val="none"/>
              </w:rPr>
            </w:pPr>
          </w:p>
        </w:tc>
        <w:tc>
          <w:tcPr>
            <w:tcW w:w="13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B825462">
            <w:pPr>
              <w:jc w:val="left"/>
              <w:rPr>
                <w:rFonts w:hint="eastAsia" w:ascii="宋体" w:hAnsi="宋体" w:eastAsia="宋体" w:cs="宋体"/>
                <w:i w:val="0"/>
                <w:color w:val="000000"/>
                <w:sz w:val="18"/>
                <w:szCs w:val="18"/>
                <w:u w:val="none"/>
              </w:rPr>
            </w:pPr>
          </w:p>
        </w:tc>
        <w:tc>
          <w:tcPr>
            <w:tcW w:w="1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85851F4">
            <w:pPr>
              <w:jc w:val="right"/>
              <w:rPr>
                <w:rFonts w:hint="eastAsia" w:ascii="宋体" w:hAnsi="宋体" w:eastAsia="宋体" w:cs="宋体"/>
                <w:i w:val="0"/>
                <w:color w:val="000000"/>
                <w:sz w:val="18"/>
                <w:szCs w:val="18"/>
                <w:u w:val="none"/>
              </w:rPr>
            </w:pPr>
          </w:p>
        </w:tc>
        <w:tc>
          <w:tcPr>
            <w:tcW w:w="1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79EA8FB">
            <w:pPr>
              <w:jc w:val="left"/>
              <w:rPr>
                <w:rFonts w:hint="eastAsia" w:ascii="宋体" w:hAnsi="宋体" w:eastAsia="宋体" w:cs="宋体"/>
                <w:i w:val="0"/>
                <w:color w:val="000000"/>
                <w:sz w:val="18"/>
                <w:szCs w:val="18"/>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B87A7C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成本指标</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05F70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经济成本指标</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372A5D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基本公共卫生服务县级配套项目成本</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6BB34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625461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5.159385</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BD5CC8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万元</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2EDF1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B69CC54">
            <w:pPr>
              <w:jc w:val="left"/>
              <w:rPr>
                <w:rFonts w:hint="eastAsia" w:ascii="宋体" w:hAnsi="宋体" w:eastAsia="宋体" w:cs="宋体"/>
                <w:i w:val="0"/>
                <w:color w:val="000000"/>
                <w:sz w:val="18"/>
                <w:szCs w:val="18"/>
                <w:u w:val="none"/>
              </w:rPr>
            </w:pPr>
          </w:p>
        </w:tc>
      </w:tr>
      <w:tr w14:paraId="3447575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F43A166">
            <w:pPr>
              <w:jc w:val="left"/>
              <w:rPr>
                <w:rFonts w:hint="eastAsia" w:ascii="宋体" w:hAnsi="宋体" w:eastAsia="宋体" w:cs="宋体"/>
                <w:i w:val="0"/>
                <w:color w:val="000000"/>
                <w:sz w:val="18"/>
                <w:szCs w:val="18"/>
                <w:u w:val="none"/>
              </w:rPr>
            </w:pPr>
          </w:p>
        </w:tc>
        <w:tc>
          <w:tcPr>
            <w:tcW w:w="13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196AF9F">
            <w:pPr>
              <w:jc w:val="left"/>
              <w:rPr>
                <w:rFonts w:hint="eastAsia" w:ascii="宋体" w:hAnsi="宋体" w:eastAsia="宋体" w:cs="宋体"/>
                <w:i w:val="0"/>
                <w:color w:val="000000"/>
                <w:sz w:val="18"/>
                <w:szCs w:val="18"/>
                <w:u w:val="none"/>
              </w:rPr>
            </w:pPr>
          </w:p>
        </w:tc>
        <w:tc>
          <w:tcPr>
            <w:tcW w:w="1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6E32455">
            <w:pPr>
              <w:jc w:val="right"/>
              <w:rPr>
                <w:rFonts w:hint="eastAsia" w:ascii="宋体" w:hAnsi="宋体" w:eastAsia="宋体" w:cs="宋体"/>
                <w:i w:val="0"/>
                <w:color w:val="000000"/>
                <w:sz w:val="18"/>
                <w:szCs w:val="18"/>
                <w:u w:val="none"/>
              </w:rPr>
            </w:pPr>
          </w:p>
        </w:tc>
        <w:tc>
          <w:tcPr>
            <w:tcW w:w="1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5D06B1C">
            <w:pPr>
              <w:jc w:val="left"/>
              <w:rPr>
                <w:rFonts w:hint="eastAsia" w:ascii="宋体" w:hAnsi="宋体" w:eastAsia="宋体" w:cs="宋体"/>
                <w:i w:val="0"/>
                <w:color w:val="000000"/>
                <w:sz w:val="18"/>
                <w:szCs w:val="18"/>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AD58B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BD5FD5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EF7E77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老年人中医药健康管理率</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C8EB4F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6EEC4E5">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100</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E84CC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7EB2FD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2E9AD0B">
            <w:pPr>
              <w:jc w:val="left"/>
              <w:rPr>
                <w:rFonts w:hint="eastAsia" w:ascii="宋体" w:hAnsi="宋体" w:eastAsia="宋体" w:cs="宋体"/>
                <w:i w:val="0"/>
                <w:color w:val="000000"/>
                <w:sz w:val="18"/>
                <w:szCs w:val="18"/>
                <w:u w:val="none"/>
              </w:rPr>
            </w:pPr>
          </w:p>
        </w:tc>
      </w:tr>
      <w:tr w14:paraId="22C61F1D">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DB6D257">
            <w:pPr>
              <w:jc w:val="left"/>
              <w:rPr>
                <w:rFonts w:hint="eastAsia" w:ascii="宋体" w:hAnsi="宋体" w:eastAsia="宋体" w:cs="宋体"/>
                <w:i w:val="0"/>
                <w:color w:val="000000"/>
                <w:sz w:val="18"/>
                <w:szCs w:val="18"/>
                <w:u w:val="none"/>
              </w:rPr>
            </w:pPr>
          </w:p>
        </w:tc>
        <w:tc>
          <w:tcPr>
            <w:tcW w:w="13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58FCC48">
            <w:pPr>
              <w:jc w:val="left"/>
              <w:rPr>
                <w:rFonts w:hint="eastAsia" w:ascii="宋体" w:hAnsi="宋体" w:eastAsia="宋体" w:cs="宋体"/>
                <w:i w:val="0"/>
                <w:color w:val="000000"/>
                <w:sz w:val="18"/>
                <w:szCs w:val="18"/>
                <w:u w:val="none"/>
              </w:rPr>
            </w:pPr>
          </w:p>
        </w:tc>
        <w:tc>
          <w:tcPr>
            <w:tcW w:w="1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F8A5DE8">
            <w:pPr>
              <w:jc w:val="right"/>
              <w:rPr>
                <w:rFonts w:hint="eastAsia" w:ascii="宋体" w:hAnsi="宋体" w:eastAsia="宋体" w:cs="宋体"/>
                <w:i w:val="0"/>
                <w:color w:val="000000"/>
                <w:sz w:val="18"/>
                <w:szCs w:val="18"/>
                <w:u w:val="none"/>
              </w:rPr>
            </w:pPr>
          </w:p>
        </w:tc>
        <w:tc>
          <w:tcPr>
            <w:tcW w:w="1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61CD3779">
            <w:pPr>
              <w:jc w:val="left"/>
              <w:rPr>
                <w:rFonts w:hint="eastAsia" w:ascii="宋体" w:hAnsi="宋体" w:eastAsia="宋体" w:cs="宋体"/>
                <w:i w:val="0"/>
                <w:color w:val="000000"/>
                <w:sz w:val="18"/>
                <w:szCs w:val="18"/>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FD6629">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148DB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EADC411">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居民电子健康档案管理人数</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8AD1DF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320FA3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7445</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102492E">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7F457DB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141C2C6">
            <w:pPr>
              <w:jc w:val="left"/>
              <w:rPr>
                <w:rFonts w:hint="eastAsia" w:ascii="宋体" w:hAnsi="宋体" w:eastAsia="宋体" w:cs="宋体"/>
                <w:i w:val="0"/>
                <w:color w:val="000000"/>
                <w:sz w:val="18"/>
                <w:szCs w:val="18"/>
                <w:u w:val="none"/>
              </w:rPr>
            </w:pPr>
          </w:p>
        </w:tc>
      </w:tr>
      <w:tr w14:paraId="52131498">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45B4557">
            <w:pPr>
              <w:jc w:val="left"/>
              <w:rPr>
                <w:rFonts w:hint="eastAsia" w:ascii="宋体" w:hAnsi="宋体" w:eastAsia="宋体" w:cs="宋体"/>
                <w:i w:val="0"/>
                <w:color w:val="000000"/>
                <w:sz w:val="18"/>
                <w:szCs w:val="18"/>
                <w:u w:val="none"/>
              </w:rPr>
            </w:pPr>
          </w:p>
        </w:tc>
        <w:tc>
          <w:tcPr>
            <w:tcW w:w="13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425919E9">
            <w:pPr>
              <w:jc w:val="left"/>
              <w:rPr>
                <w:rFonts w:hint="eastAsia" w:ascii="宋体" w:hAnsi="宋体" w:eastAsia="宋体" w:cs="宋体"/>
                <w:i w:val="0"/>
                <w:color w:val="000000"/>
                <w:sz w:val="18"/>
                <w:szCs w:val="18"/>
                <w:u w:val="none"/>
              </w:rPr>
            </w:pPr>
          </w:p>
        </w:tc>
        <w:tc>
          <w:tcPr>
            <w:tcW w:w="1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52494FDE">
            <w:pPr>
              <w:jc w:val="right"/>
              <w:rPr>
                <w:rFonts w:hint="eastAsia" w:ascii="宋体" w:hAnsi="宋体" w:eastAsia="宋体" w:cs="宋体"/>
                <w:i w:val="0"/>
                <w:color w:val="000000"/>
                <w:sz w:val="18"/>
                <w:szCs w:val="18"/>
                <w:u w:val="none"/>
              </w:rPr>
            </w:pPr>
          </w:p>
        </w:tc>
        <w:tc>
          <w:tcPr>
            <w:tcW w:w="1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81F2680">
            <w:pPr>
              <w:jc w:val="left"/>
              <w:rPr>
                <w:rFonts w:hint="eastAsia" w:ascii="宋体" w:hAnsi="宋体" w:eastAsia="宋体" w:cs="宋体"/>
                <w:i w:val="0"/>
                <w:color w:val="000000"/>
                <w:sz w:val="18"/>
                <w:szCs w:val="18"/>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8FE540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75CD1D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C22C43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严重精神障碍患者随访人次</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44012DC">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685146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A6944D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人次</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41EEF1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5D1EB29">
            <w:pPr>
              <w:jc w:val="left"/>
              <w:rPr>
                <w:rFonts w:hint="eastAsia" w:ascii="宋体" w:hAnsi="宋体" w:eastAsia="宋体" w:cs="宋体"/>
                <w:i w:val="0"/>
                <w:color w:val="000000"/>
                <w:sz w:val="18"/>
                <w:szCs w:val="18"/>
                <w:u w:val="none"/>
              </w:rPr>
            </w:pPr>
          </w:p>
        </w:tc>
      </w:tr>
      <w:tr w14:paraId="00C31B17">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15" w:type="dxa"/>
            <w:left w:w="15" w:type="dxa"/>
            <w:bottom w:w="15" w:type="dxa"/>
            <w:right w:w="15" w:type="dxa"/>
          </w:tblCellMar>
        </w:tblPrEx>
        <w:trPr>
          <w:trHeight w:val="673" w:hRule="atLeast"/>
        </w:trPr>
        <w:tc>
          <w:tcPr>
            <w:tcW w:w="1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DD26359">
            <w:pPr>
              <w:jc w:val="left"/>
              <w:rPr>
                <w:rFonts w:hint="eastAsia" w:ascii="宋体" w:hAnsi="宋体" w:eastAsia="宋体" w:cs="宋体"/>
                <w:i w:val="0"/>
                <w:color w:val="000000"/>
                <w:sz w:val="18"/>
                <w:szCs w:val="18"/>
                <w:u w:val="none"/>
              </w:rPr>
            </w:pPr>
          </w:p>
        </w:tc>
        <w:tc>
          <w:tcPr>
            <w:tcW w:w="13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320593E6">
            <w:pPr>
              <w:jc w:val="left"/>
              <w:rPr>
                <w:rFonts w:hint="eastAsia" w:ascii="宋体" w:hAnsi="宋体" w:eastAsia="宋体" w:cs="宋体"/>
                <w:i w:val="0"/>
                <w:color w:val="000000"/>
                <w:sz w:val="18"/>
                <w:szCs w:val="18"/>
                <w:u w:val="none"/>
              </w:rPr>
            </w:pPr>
          </w:p>
        </w:tc>
        <w:tc>
          <w:tcPr>
            <w:tcW w:w="1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1142F39D">
            <w:pPr>
              <w:jc w:val="right"/>
              <w:rPr>
                <w:rFonts w:hint="eastAsia" w:ascii="宋体" w:hAnsi="宋体" w:eastAsia="宋体" w:cs="宋体"/>
                <w:i w:val="0"/>
                <w:color w:val="000000"/>
                <w:sz w:val="18"/>
                <w:szCs w:val="18"/>
                <w:u w:val="none"/>
              </w:rPr>
            </w:pPr>
          </w:p>
        </w:tc>
        <w:tc>
          <w:tcPr>
            <w:tcW w:w="1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B47CF4E">
            <w:pPr>
              <w:jc w:val="left"/>
              <w:rPr>
                <w:rFonts w:hint="eastAsia" w:ascii="宋体" w:hAnsi="宋体" w:eastAsia="宋体" w:cs="宋体"/>
                <w:i w:val="0"/>
                <w:color w:val="000000"/>
                <w:sz w:val="18"/>
                <w:szCs w:val="18"/>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F726AA7">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产出指标</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D22667B">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数量指标</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681506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65岁及以上居民健康管理人数</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216F71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D82B41A">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353</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40F4A2B6">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人</w:t>
            </w: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6403F808">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10</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E22CC13">
            <w:pPr>
              <w:jc w:val="left"/>
              <w:rPr>
                <w:rFonts w:hint="eastAsia" w:ascii="宋体" w:hAnsi="宋体" w:eastAsia="宋体" w:cs="宋体"/>
                <w:i w:val="0"/>
                <w:color w:val="000000"/>
                <w:sz w:val="18"/>
                <w:szCs w:val="18"/>
                <w:u w:val="none"/>
              </w:rPr>
            </w:pPr>
          </w:p>
        </w:tc>
      </w:tr>
      <w:tr w14:paraId="3250400E">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15" w:type="dxa"/>
            <w:left w:w="15" w:type="dxa"/>
            <w:bottom w:w="15" w:type="dxa"/>
            <w:right w:w="15" w:type="dxa"/>
          </w:tblCellMar>
        </w:tblPrEx>
        <w:trPr>
          <w:trHeight w:val="673" w:hRule="atLeast"/>
        </w:trPr>
        <w:tc>
          <w:tcPr>
            <w:tcW w:w="1794"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0754AA48">
            <w:pPr>
              <w:jc w:val="left"/>
              <w:rPr>
                <w:rFonts w:hint="eastAsia" w:ascii="宋体" w:hAnsi="宋体" w:eastAsia="宋体" w:cs="宋体"/>
                <w:i w:val="0"/>
                <w:color w:val="000000"/>
                <w:sz w:val="18"/>
                <w:szCs w:val="18"/>
                <w:u w:val="none"/>
              </w:rPr>
            </w:pPr>
          </w:p>
        </w:tc>
        <w:tc>
          <w:tcPr>
            <w:tcW w:w="1317"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9E23225">
            <w:pPr>
              <w:jc w:val="left"/>
              <w:rPr>
                <w:rFonts w:hint="eastAsia" w:ascii="宋体" w:hAnsi="宋体" w:eastAsia="宋体" w:cs="宋体"/>
                <w:i w:val="0"/>
                <w:color w:val="000000"/>
                <w:sz w:val="18"/>
                <w:szCs w:val="18"/>
                <w:u w:val="none"/>
              </w:rPr>
            </w:pPr>
          </w:p>
        </w:tc>
        <w:tc>
          <w:tcPr>
            <w:tcW w:w="1141"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2779B155">
            <w:pPr>
              <w:jc w:val="right"/>
              <w:rPr>
                <w:rFonts w:hint="eastAsia" w:ascii="宋体" w:hAnsi="宋体" w:eastAsia="宋体" w:cs="宋体"/>
                <w:i w:val="0"/>
                <w:color w:val="000000"/>
                <w:sz w:val="18"/>
                <w:szCs w:val="18"/>
                <w:u w:val="none"/>
              </w:rPr>
            </w:pPr>
          </w:p>
        </w:tc>
        <w:tc>
          <w:tcPr>
            <w:tcW w:w="1765" w:type="dxa"/>
            <w:vMerge w:val="continue"/>
            <w:tcBorders>
              <w:top w:val="single" w:color="000000" w:sz="4" w:space="0"/>
              <w:left w:val="single" w:color="000000" w:sz="4" w:space="0"/>
              <w:bottom w:val="single" w:color="000000" w:sz="4" w:space="0"/>
              <w:right w:val="single" w:color="000000" w:sz="4" w:space="0"/>
            </w:tcBorders>
            <w:shd w:val="clear" w:color="auto" w:fill="auto"/>
            <w:vAlign w:val="center"/>
          </w:tcPr>
          <w:p w14:paraId="7958BBBB">
            <w:pPr>
              <w:jc w:val="left"/>
              <w:rPr>
                <w:rFonts w:hint="eastAsia" w:ascii="宋体" w:hAnsi="宋体" w:eastAsia="宋体" w:cs="宋体"/>
                <w:i w:val="0"/>
                <w:color w:val="000000"/>
                <w:sz w:val="18"/>
                <w:szCs w:val="18"/>
                <w:u w:val="none"/>
              </w:rPr>
            </w:pP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2773CED">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效益指标</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11EC19B0">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社会效益指标</w:t>
            </w:r>
          </w:p>
        </w:tc>
        <w:tc>
          <w:tcPr>
            <w:tcW w:w="874" w:type="dxa"/>
            <w:tcBorders>
              <w:top w:val="single" w:color="000000" w:sz="4" w:space="0"/>
              <w:left w:val="single" w:color="000000" w:sz="4" w:space="0"/>
              <w:bottom w:val="single" w:color="000000" w:sz="4" w:space="0"/>
              <w:right w:val="single" w:color="000000" w:sz="4" w:space="0"/>
            </w:tcBorders>
            <w:shd w:val="clear" w:color="auto" w:fill="auto"/>
            <w:vAlign w:val="center"/>
          </w:tcPr>
          <w:p w14:paraId="55DB83E3">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提高公共卫生服务均等化水平</w:t>
            </w:r>
          </w:p>
        </w:tc>
        <w:tc>
          <w:tcPr>
            <w:tcW w:w="746"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8F7EF42">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定性</w:t>
            </w:r>
          </w:p>
        </w:tc>
        <w:tc>
          <w:tcPr>
            <w:tcW w:w="750"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333DB0F">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优良中</w:t>
            </w:r>
          </w:p>
        </w:tc>
        <w:tc>
          <w:tcPr>
            <w:tcW w:w="735" w:type="dxa"/>
            <w:tcBorders>
              <w:top w:val="single" w:color="000000" w:sz="4" w:space="0"/>
              <w:left w:val="single" w:color="000000" w:sz="4" w:space="0"/>
              <w:bottom w:val="single" w:color="000000" w:sz="4" w:space="0"/>
              <w:right w:val="single" w:color="000000" w:sz="4" w:space="0"/>
            </w:tcBorders>
            <w:shd w:val="clear" w:color="auto" w:fill="auto"/>
            <w:vAlign w:val="center"/>
          </w:tcPr>
          <w:p w14:paraId="25E54190">
            <w:pPr>
              <w:jc w:val="left"/>
              <w:rPr>
                <w:rFonts w:hint="eastAsia" w:ascii="宋体" w:hAnsi="宋体" w:eastAsia="宋体" w:cs="宋体"/>
                <w:i w:val="0"/>
                <w:color w:val="000000"/>
                <w:sz w:val="18"/>
                <w:szCs w:val="18"/>
                <w:u w:val="none"/>
              </w:rPr>
            </w:pPr>
          </w:p>
        </w:tc>
        <w:tc>
          <w:tcPr>
            <w:tcW w:w="422" w:type="dxa"/>
            <w:tcBorders>
              <w:top w:val="single" w:color="000000" w:sz="4" w:space="0"/>
              <w:left w:val="single" w:color="000000" w:sz="4" w:space="0"/>
              <w:bottom w:val="single" w:color="000000" w:sz="4" w:space="0"/>
              <w:right w:val="single" w:color="000000" w:sz="4" w:space="0"/>
            </w:tcBorders>
            <w:shd w:val="clear" w:color="auto" w:fill="auto"/>
            <w:vAlign w:val="center"/>
          </w:tcPr>
          <w:p w14:paraId="3AE5C154">
            <w:pPr>
              <w:keepNext w:val="0"/>
              <w:keepLines w:val="0"/>
              <w:widowControl/>
              <w:suppressLineNumbers w:val="0"/>
              <w:jc w:val="left"/>
              <w:textAlignment w:val="center"/>
              <w:rPr>
                <w:rFonts w:hint="eastAsia" w:ascii="宋体" w:hAnsi="宋体" w:eastAsia="宋体" w:cs="宋体"/>
                <w:i w:val="0"/>
                <w:color w:val="000000"/>
                <w:sz w:val="18"/>
                <w:szCs w:val="18"/>
                <w:u w:val="none"/>
              </w:rPr>
            </w:pPr>
            <w:r>
              <w:rPr>
                <w:rFonts w:hint="eastAsia" w:ascii="宋体" w:hAnsi="宋体" w:eastAsia="宋体" w:cs="宋体"/>
                <w:i w:val="0"/>
                <w:color w:val="000000"/>
                <w:kern w:val="0"/>
                <w:sz w:val="18"/>
                <w:szCs w:val="18"/>
                <w:u w:val="none"/>
                <w:lang w:val="en-US" w:eastAsia="zh-CN" w:bidi="ar"/>
              </w:rPr>
              <w:t>30</w:t>
            </w:r>
          </w:p>
        </w:tc>
        <w:tc>
          <w:tcPr>
            <w:tcW w:w="1168" w:type="dxa"/>
            <w:tcBorders>
              <w:top w:val="single" w:color="000000" w:sz="4" w:space="0"/>
              <w:left w:val="single" w:color="000000" w:sz="4" w:space="0"/>
              <w:bottom w:val="single" w:color="000000" w:sz="4" w:space="0"/>
              <w:right w:val="single" w:color="000000" w:sz="4" w:space="0"/>
            </w:tcBorders>
            <w:shd w:val="clear" w:color="auto" w:fill="auto"/>
            <w:vAlign w:val="center"/>
          </w:tcPr>
          <w:p w14:paraId="0ED50081">
            <w:pPr>
              <w:jc w:val="left"/>
              <w:rPr>
                <w:rFonts w:hint="eastAsia" w:ascii="宋体" w:hAnsi="宋体" w:eastAsia="宋体" w:cs="宋体"/>
                <w:i w:val="0"/>
                <w:color w:val="000000"/>
                <w:sz w:val="18"/>
                <w:szCs w:val="18"/>
                <w:u w:val="none"/>
              </w:rPr>
            </w:pPr>
          </w:p>
        </w:tc>
      </w:tr>
    </w:tbl>
    <w:p w14:paraId="7DDCFE01">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ascii="Times New Roman" w:hAnsi="Times New Roman" w:eastAsia="仿宋_GB2312" w:cs="仿宋_GB2312"/>
          <w:color w:val="auto"/>
          <w:kern w:val="2"/>
          <w:sz w:val="32"/>
          <w:szCs w:val="32"/>
          <w:highlight w:val="none"/>
          <w:lang w:val="zh-CN" w:eastAsia="zh-CN" w:bidi="ar-SA"/>
        </w:rPr>
      </w:pPr>
    </w:p>
    <w:p w14:paraId="2F727AF5">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0" w:firstLineChars="200"/>
        <w:contextualSpacing/>
        <w:jc w:val="both"/>
        <w:textAlignment w:val="auto"/>
        <w:outlineLvl w:val="9"/>
        <w:rPr>
          <w:rFonts w:hint="eastAsia" w:eastAsia="仿宋_GB2312" w:cs="仿宋_GB2312"/>
          <w:color w:val="auto"/>
          <w:kern w:val="2"/>
          <w:sz w:val="32"/>
          <w:szCs w:val="32"/>
          <w:highlight w:val="none"/>
          <w:lang w:val="en-US" w:eastAsia="zh-CN" w:bidi="ar-SA"/>
        </w:rPr>
      </w:pPr>
      <w:r>
        <w:rPr>
          <w:rFonts w:hint="default" w:ascii="Times New Roman" w:hAnsi="Times New Roman" w:eastAsia="仿宋_GB2312" w:cs="仿宋_GB2312"/>
          <w:color w:val="auto"/>
          <w:kern w:val="2"/>
          <w:sz w:val="32"/>
          <w:szCs w:val="32"/>
          <w:highlight w:val="none"/>
          <w:lang w:val="en-US" w:eastAsia="zh-CN" w:bidi="ar-SA"/>
        </w:rPr>
        <w:t>省级部门对</w:t>
      </w:r>
      <w:r>
        <w:rPr>
          <w:rFonts w:hint="eastAsia" w:eastAsia="仿宋_GB2312" w:cs="仿宋_GB2312"/>
          <w:color w:val="auto"/>
          <w:kern w:val="2"/>
          <w:sz w:val="32"/>
          <w:szCs w:val="32"/>
          <w:highlight w:val="none"/>
          <w:lang w:val="en-US" w:eastAsia="zh-CN" w:bidi="ar-SA"/>
        </w:rPr>
        <w:t>2025年度</w:t>
      </w:r>
      <w:r>
        <w:rPr>
          <w:rFonts w:hint="default" w:ascii="Times New Roman" w:hAnsi="Times New Roman" w:eastAsia="仿宋_GB2312" w:cs="仿宋_GB2312"/>
          <w:color w:val="auto"/>
          <w:kern w:val="2"/>
          <w:sz w:val="32"/>
          <w:szCs w:val="32"/>
          <w:highlight w:val="none"/>
          <w:lang w:val="en-US" w:eastAsia="zh-CN" w:bidi="ar-SA"/>
        </w:rPr>
        <w:t>一般公共预算、政府性基金预算、国有资本经营预算安排的常年项目、阶段项目绩效目标完成情况，以及债券资金、政府购买服务有关情况进行梳理阐述</w:t>
      </w:r>
      <w:r>
        <w:rPr>
          <w:rFonts w:hint="eastAsia" w:eastAsia="仿宋_GB2312" w:cs="仿宋_GB2312"/>
          <w:color w:val="auto"/>
          <w:kern w:val="2"/>
          <w:sz w:val="32"/>
          <w:szCs w:val="32"/>
          <w:highlight w:val="none"/>
          <w:lang w:val="en-US" w:eastAsia="zh-CN" w:bidi="ar-SA"/>
        </w:rPr>
        <w:t>。</w:t>
      </w:r>
    </w:p>
    <w:p w14:paraId="262280BC">
      <w:pPr>
        <w:keepNext w:val="0"/>
        <w:keepLines w:val="0"/>
        <w:pageBreakBefore w:val="0"/>
        <w:widowControl w:val="0"/>
        <w:numPr>
          <w:ilvl w:val="0"/>
          <w:numId w:val="0"/>
        </w:numPr>
        <w:kinsoku/>
        <w:wordWrap/>
        <w:overflowPunct/>
        <w:topLinePunct w:val="0"/>
        <w:autoSpaceDE/>
        <w:autoSpaceDN/>
        <w:bidi w:val="0"/>
        <w:adjustRightInd w:val="0"/>
        <w:snapToGrid w:val="0"/>
        <w:spacing w:line="578" w:lineRule="exact"/>
        <w:ind w:firstLine="643" w:firstLineChars="200"/>
        <w:contextualSpacing/>
        <w:jc w:val="both"/>
        <w:textAlignment w:val="auto"/>
        <w:outlineLvl w:val="9"/>
        <w:rPr>
          <w:rFonts w:hint="default" w:ascii="Times New Roman" w:hAnsi="Times New Roman" w:eastAsia="仿宋_GB2312" w:cs="仿宋_GB2312"/>
          <w:color w:val="auto"/>
          <w:kern w:val="2"/>
          <w:sz w:val="32"/>
          <w:szCs w:val="32"/>
          <w:highlight w:val="none"/>
          <w:lang w:val="en-US" w:eastAsia="zh-CN" w:bidi="ar-SA"/>
        </w:rPr>
      </w:pPr>
      <w:r>
        <w:rPr>
          <w:rFonts w:hint="default"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楷体_GB2312" w:cs="Times New Roman"/>
          <w:b/>
          <w:bCs/>
          <w:color w:val="000000"/>
          <w:kern w:val="0"/>
          <w:sz w:val="32"/>
          <w:szCs w:val="32"/>
          <w:highlight w:val="none"/>
          <w:shd w:val="clear" w:color="auto" w:fill="FFFFFF"/>
          <w:lang w:val="en-US" w:eastAsia="zh-CN"/>
        </w:rPr>
        <w:t>三</w:t>
      </w:r>
      <w:r>
        <w:rPr>
          <w:rFonts w:hint="default" w:ascii="Times New Roman" w:hAnsi="Times New Roman" w:eastAsia="楷体_GB2312" w:cs="Times New Roman"/>
          <w:b/>
          <w:bCs/>
          <w:color w:val="000000"/>
          <w:kern w:val="0"/>
          <w:sz w:val="32"/>
          <w:szCs w:val="32"/>
          <w:highlight w:val="none"/>
          <w:shd w:val="clear" w:color="auto" w:fill="FFFFFF"/>
          <w:lang w:val="zh-CN" w:eastAsia="zh-CN"/>
        </w:rPr>
        <w:t>）绩效结果应用情况</w:t>
      </w:r>
      <w:r>
        <w:rPr>
          <w:rFonts w:hint="eastAsia" w:ascii="Times New Roman" w:hAnsi="Times New Roman" w:eastAsia="楷体_GB2312" w:cs="Times New Roman"/>
          <w:b/>
          <w:bCs/>
          <w:color w:val="000000"/>
          <w:kern w:val="0"/>
          <w:sz w:val="32"/>
          <w:szCs w:val="32"/>
          <w:highlight w:val="none"/>
          <w:shd w:val="clear" w:color="auto" w:fill="FFFFFF"/>
          <w:lang w:val="zh-CN" w:eastAsia="zh-CN"/>
        </w:rPr>
        <w:t>。</w:t>
      </w:r>
      <w:r>
        <w:rPr>
          <w:rFonts w:hint="eastAsia" w:ascii="Times New Roman" w:hAnsi="Times New Roman" w:eastAsia="仿宋_GB2312" w:cs="仿宋_GB2312"/>
          <w:color w:val="auto"/>
          <w:kern w:val="2"/>
          <w:sz w:val="32"/>
          <w:szCs w:val="32"/>
          <w:highlight w:val="none"/>
          <w:lang w:val="zh-CN" w:eastAsia="zh-CN" w:bidi="ar-SA"/>
        </w:rPr>
        <w:t>围绕内部应用情况、</w:t>
      </w:r>
      <w:r>
        <w:rPr>
          <w:rFonts w:hint="default" w:ascii="Times New Roman" w:hAnsi="Times New Roman" w:eastAsia="仿宋_GB2312" w:cs="仿宋_GB2312"/>
          <w:color w:val="auto"/>
          <w:kern w:val="2"/>
          <w:sz w:val="32"/>
          <w:szCs w:val="32"/>
          <w:highlight w:val="none"/>
          <w:lang w:val="zh-CN" w:eastAsia="zh-CN" w:bidi="ar-SA"/>
        </w:rPr>
        <w:t>信息公开情况</w:t>
      </w:r>
      <w:r>
        <w:rPr>
          <w:rFonts w:hint="eastAsia" w:ascii="Times New Roman" w:hAnsi="Times New Roman" w:eastAsia="仿宋_GB2312" w:cs="仿宋_GB2312"/>
          <w:color w:val="auto"/>
          <w:kern w:val="2"/>
          <w:sz w:val="32"/>
          <w:szCs w:val="32"/>
          <w:highlight w:val="none"/>
          <w:lang w:val="zh-CN" w:eastAsia="zh-CN" w:bidi="ar-SA"/>
        </w:rPr>
        <w:t>、</w:t>
      </w:r>
      <w:r>
        <w:rPr>
          <w:rFonts w:hint="default" w:ascii="Times New Roman" w:hAnsi="Times New Roman" w:eastAsia="仿宋_GB2312" w:cs="仿宋_GB2312"/>
          <w:color w:val="auto"/>
          <w:kern w:val="2"/>
          <w:sz w:val="32"/>
          <w:szCs w:val="32"/>
          <w:highlight w:val="none"/>
          <w:lang w:val="zh-CN" w:eastAsia="zh-CN" w:bidi="ar-SA"/>
        </w:rPr>
        <w:t>整改反馈情况</w:t>
      </w:r>
      <w:r>
        <w:rPr>
          <w:rFonts w:hint="eastAsia" w:ascii="Times New Roman" w:hAnsi="Times New Roman" w:eastAsia="仿宋_GB2312" w:cs="仿宋_GB2312"/>
          <w:color w:val="auto"/>
          <w:kern w:val="2"/>
          <w:sz w:val="32"/>
          <w:szCs w:val="32"/>
          <w:highlight w:val="none"/>
          <w:lang w:val="zh-CN" w:eastAsia="zh-CN" w:bidi="ar-SA"/>
        </w:rPr>
        <w:t>进行分析。</w:t>
      </w:r>
    </w:p>
    <w:p w14:paraId="1DEEC771">
      <w:pPr>
        <w:keepNext w:val="0"/>
        <w:keepLines w:val="0"/>
        <w:pageBreakBefore w:val="0"/>
        <w:widowControl/>
        <w:numPr>
          <w:ilvl w:val="0"/>
          <w:numId w:val="0"/>
        </w:numPr>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default" w:ascii="Times New Roman" w:hAnsi="Times New Roman" w:eastAsia="黑体" w:cs="Times New Roman"/>
          <w:color w:val="000000"/>
          <w:kern w:val="0"/>
          <w:sz w:val="32"/>
          <w:szCs w:val="32"/>
          <w:highlight w:val="none"/>
          <w:shd w:val="clear" w:color="auto" w:fill="FFFFFF"/>
          <w:lang w:val="zh-CN"/>
        </w:rPr>
      </w:pPr>
      <w:r>
        <w:rPr>
          <w:rFonts w:hint="default" w:ascii="Times New Roman" w:hAnsi="Times New Roman" w:eastAsia="黑体" w:cs="Times New Roman"/>
          <w:color w:val="000000"/>
          <w:kern w:val="0"/>
          <w:sz w:val="32"/>
          <w:szCs w:val="32"/>
          <w:highlight w:val="none"/>
          <w:shd w:val="clear" w:color="auto" w:fill="FFFFFF"/>
          <w:lang w:val="zh-CN" w:eastAsia="zh-CN"/>
        </w:rPr>
        <w:t>四、</w:t>
      </w:r>
      <w:r>
        <w:rPr>
          <w:rFonts w:hint="default" w:ascii="Times New Roman" w:hAnsi="Times New Roman" w:eastAsia="黑体" w:cs="Times New Roman"/>
          <w:color w:val="000000"/>
          <w:kern w:val="0"/>
          <w:sz w:val="32"/>
          <w:szCs w:val="32"/>
          <w:highlight w:val="none"/>
          <w:shd w:val="clear" w:color="auto" w:fill="FFFFFF"/>
          <w:lang w:val="zh-CN"/>
        </w:rPr>
        <w:t>评价结论及建议</w:t>
      </w:r>
    </w:p>
    <w:p w14:paraId="5A6AD7C4">
      <w:pPr>
        <w:pStyle w:val="16"/>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3" w:firstLineChars="200"/>
        <w:textAlignment w:val="auto"/>
        <w:rPr>
          <w:rFonts w:hint="default" w:ascii="Times New Roman" w:hAnsi="Times New Roman" w:eastAsia="楷体_GB2312" w:cs="Times New Roman"/>
          <w:b/>
          <w:bCs/>
          <w:color w:val="000000"/>
          <w:kern w:val="0"/>
          <w:sz w:val="32"/>
          <w:szCs w:val="32"/>
          <w:highlight w:val="none"/>
          <w:shd w:val="clear" w:color="auto" w:fill="FFFFFF"/>
          <w:lang w:val="zh-CN"/>
        </w:rPr>
      </w:pPr>
      <w:r>
        <w:rPr>
          <w:rFonts w:hint="default" w:ascii="Times New Roman" w:hAnsi="Times New Roman" w:eastAsia="楷体_GB2312" w:cs="Times New Roman"/>
          <w:b/>
          <w:bCs/>
          <w:color w:val="000000"/>
          <w:kern w:val="0"/>
          <w:sz w:val="32"/>
          <w:szCs w:val="32"/>
          <w:highlight w:val="none"/>
          <w:shd w:val="clear" w:color="auto" w:fill="FFFFFF"/>
          <w:lang w:val="zh-CN"/>
        </w:rPr>
        <w:t>（一）评价结论。</w:t>
      </w:r>
      <w:bookmarkStart w:id="47" w:name="_Hlk110546638"/>
    </w:p>
    <w:p w14:paraId="5BFB6D38">
      <w:pPr>
        <w:pStyle w:val="16"/>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2025年部门预算编制基础数据真实可靠，按照年度</w:t>
      </w:r>
      <w:r>
        <w:rPr>
          <w:rFonts w:hint="eastAsia" w:ascii="仿宋" w:hAnsi="仿宋" w:eastAsia="仿宋" w:cs="仿宋"/>
          <w:color w:val="000000"/>
          <w:kern w:val="2"/>
          <w:sz w:val="32"/>
          <w:szCs w:val="32"/>
          <w:lang w:val="en-US" w:eastAsia="zh-CN" w:bidi="ar-SA"/>
        </w:rPr>
        <w:fldChar w:fldCharType="begin"/>
      </w:r>
      <w:r>
        <w:rPr>
          <w:rFonts w:hint="eastAsia" w:ascii="仿宋" w:hAnsi="仿宋" w:eastAsia="仿宋" w:cs="仿宋"/>
          <w:color w:val="000000"/>
          <w:kern w:val="2"/>
          <w:sz w:val="32"/>
          <w:szCs w:val="32"/>
          <w:lang w:val="en-US" w:eastAsia="zh-CN" w:bidi="ar-SA"/>
        </w:rPr>
        <w:instrText xml:space="preserve"> HYPERLINK "http://www.91wenmi.com/wenmi/zongjie/gongzuojihua/" \t "_blank" </w:instrText>
      </w:r>
      <w:r>
        <w:rPr>
          <w:rFonts w:hint="eastAsia" w:ascii="仿宋" w:hAnsi="仿宋" w:eastAsia="仿宋" w:cs="仿宋"/>
          <w:color w:val="000000"/>
          <w:kern w:val="2"/>
          <w:sz w:val="32"/>
          <w:szCs w:val="32"/>
          <w:lang w:val="en-US" w:eastAsia="zh-CN" w:bidi="ar-SA"/>
        </w:rPr>
        <w:fldChar w:fldCharType="separate"/>
      </w:r>
      <w:r>
        <w:rPr>
          <w:rFonts w:hint="eastAsia" w:ascii="仿宋" w:hAnsi="仿宋" w:eastAsia="仿宋" w:cs="仿宋"/>
          <w:color w:val="000000"/>
          <w:kern w:val="2"/>
          <w:sz w:val="32"/>
          <w:szCs w:val="32"/>
          <w:lang w:val="en-US" w:eastAsia="zh-CN" w:bidi="ar-SA"/>
        </w:rPr>
        <w:t>工作计划</w:t>
      </w:r>
      <w:r>
        <w:rPr>
          <w:rFonts w:hint="eastAsia" w:ascii="仿宋" w:hAnsi="仿宋" w:eastAsia="仿宋" w:cs="仿宋"/>
          <w:color w:val="000000"/>
          <w:kern w:val="2"/>
          <w:sz w:val="32"/>
          <w:szCs w:val="32"/>
          <w:lang w:val="en-US" w:eastAsia="zh-CN" w:bidi="ar-SA"/>
        </w:rPr>
        <w:fldChar w:fldCharType="end"/>
      </w:r>
      <w:r>
        <w:rPr>
          <w:rFonts w:hint="eastAsia" w:ascii="仿宋" w:hAnsi="仿宋" w:eastAsia="仿宋" w:cs="仿宋"/>
          <w:color w:val="000000"/>
          <w:kern w:val="2"/>
          <w:sz w:val="32"/>
          <w:szCs w:val="32"/>
          <w:lang w:val="en-US" w:eastAsia="zh-CN" w:bidi="ar-SA"/>
        </w:rPr>
        <w:t>和支出标准合理编制预算方案，预算数据按要求及时报送。基本支出按时间进度支付，达到执行进度，年终无结余。严格执行“三公经费”预算，严格审批，无超预算、无预算执行的情况。</w:t>
      </w:r>
    </w:p>
    <w:p w14:paraId="0AB6A2B8">
      <w:pPr>
        <w:pStyle w:val="16"/>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（二）存在问题。</w:t>
      </w:r>
    </w:p>
    <w:p w14:paraId="75AEADD2">
      <w:pPr>
        <w:pStyle w:val="16"/>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专项资金执行进度有待进一步加快，固定资产管理继续加强中。账务处理有待于提高。</w:t>
      </w:r>
    </w:p>
    <w:p w14:paraId="41BFA9BD">
      <w:pPr>
        <w:pStyle w:val="16"/>
        <w:keepNext w:val="0"/>
        <w:keepLines w:val="0"/>
        <w:pageBreakBefore w:val="0"/>
        <w:widowControl/>
        <w:numPr>
          <w:ilvl w:val="0"/>
          <w:numId w:val="0"/>
        </w:numPr>
        <w:suppressLineNumbers w:val="0"/>
        <w:kinsoku/>
        <w:wordWrap/>
        <w:overflowPunct/>
        <w:topLinePunct w:val="0"/>
        <w:autoSpaceDE/>
        <w:autoSpaceDN/>
        <w:bidi w:val="0"/>
        <w:adjustRightInd/>
        <w:spacing w:before="0" w:beforeAutospacing="0" w:after="0" w:afterAutospacing="0" w:line="540" w:lineRule="exact"/>
        <w:ind w:right="0" w:rightChars="0" w:firstLine="640" w:firstLineChars="200"/>
        <w:textAlignment w:val="auto"/>
        <w:rPr>
          <w:rFonts w:hint="eastAsia" w:ascii="仿宋" w:hAnsi="仿宋" w:eastAsia="仿宋" w:cs="仿宋"/>
          <w:color w:val="000000"/>
          <w:kern w:val="2"/>
          <w:sz w:val="32"/>
          <w:szCs w:val="32"/>
          <w:lang w:val="en-US" w:eastAsia="zh-CN" w:bidi="ar-SA"/>
        </w:rPr>
      </w:pPr>
      <w:r>
        <w:rPr>
          <w:rFonts w:hint="eastAsia" w:ascii="仿宋" w:hAnsi="仿宋" w:eastAsia="仿宋" w:cs="仿宋"/>
          <w:color w:val="000000"/>
          <w:kern w:val="2"/>
          <w:sz w:val="32"/>
          <w:szCs w:val="32"/>
          <w:lang w:val="en-US" w:eastAsia="zh-CN" w:bidi="ar-SA"/>
        </w:rPr>
        <w:t>（三）改进建议。</w:t>
      </w:r>
    </w:p>
    <w:p w14:paraId="023DE416">
      <w:pPr>
        <w:keepNext w:val="0"/>
        <w:keepLines w:val="0"/>
        <w:pageBreakBefore w:val="0"/>
        <w:widowControl/>
        <w:kinsoku/>
        <w:wordWrap/>
        <w:overflowPunct/>
        <w:topLinePunct w:val="0"/>
        <w:autoSpaceDE/>
        <w:autoSpaceDN/>
        <w:bidi w:val="0"/>
        <w:adjustRightInd w:val="0"/>
        <w:snapToGrid w:val="0"/>
        <w:spacing w:line="578" w:lineRule="exact"/>
        <w:ind w:firstLine="640" w:firstLineChars="200"/>
        <w:contextualSpacing/>
        <w:jc w:val="left"/>
        <w:textAlignment w:val="auto"/>
        <w:outlineLvl w:val="9"/>
        <w:rPr>
          <w:rFonts w:hint="eastAsia" w:ascii="Times New Roman" w:hAnsi="Times New Roman" w:eastAsia="仿宋_GB2312" w:cs="Times New Roman"/>
          <w:sz w:val="32"/>
          <w:szCs w:val="32"/>
          <w:u w:val="none"/>
          <w:lang w:val="en" w:eastAsia="zh-CN" w:bidi="ar"/>
        </w:rPr>
      </w:pPr>
      <w:r>
        <w:rPr>
          <w:rFonts w:hint="eastAsia" w:ascii="仿宋" w:hAnsi="仿宋" w:eastAsia="仿宋" w:cs="仿宋"/>
          <w:color w:val="000000"/>
          <w:kern w:val="2"/>
          <w:sz w:val="32"/>
          <w:szCs w:val="32"/>
          <w:lang w:val="en-US" w:eastAsia="zh-CN" w:bidi="ar-SA"/>
        </w:rPr>
        <w:t>深入学习贯彻《预算法》等相关法律、法规，进一步增强预算意识，始终坚持先有预算、后有支出，没有预算不得支出的原则。科学合理编制部门预算，推进预算编制科学化、准确化。年度预算编制后，根据实际情况，定期做好预算执行分析，适时掌握预算执行进度，及时找出预算实际执行情况与预算目标之间存在的差距，进一步加快预算执行。加强与业务部门工作对接，做好提前准备工作，资金下达后及时开展项目工作，加快执行进度，充分发挥项目资金效益。</w:t>
      </w:r>
    </w:p>
    <w:bookmarkEnd w:id="47"/>
    <w:p w14:paraId="64FD3E46">
      <w:pPr>
        <w:pStyle w:val="8"/>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eastAsia="仿宋_GB2312" w:cs="仿宋_GB2312"/>
          <w:b w:val="0"/>
          <w:bCs w:val="0"/>
          <w:kern w:val="0"/>
          <w:position w:val="0"/>
          <w:sz w:val="32"/>
          <w:szCs w:val="32"/>
          <w:highlight w:val="none"/>
          <w:lang w:val="en-US" w:eastAsia="zh-CN" w:bidi="ar-SA"/>
        </w:rPr>
      </w:pPr>
      <w:r>
        <w:rPr>
          <w:rFonts w:hint="eastAsia" w:ascii="Times New Roman" w:hAnsi="Times New Roman" w:eastAsia="仿宋_GB2312" w:cs="仿宋_GB2312"/>
          <w:b w:val="0"/>
          <w:bCs w:val="0"/>
          <w:kern w:val="0"/>
          <w:position w:val="0"/>
          <w:sz w:val="32"/>
          <w:szCs w:val="32"/>
          <w:highlight w:val="none"/>
          <w:lang w:val="en-US" w:eastAsia="zh-CN" w:bidi="ar-SA"/>
        </w:rPr>
        <w:t>（注：</w:t>
      </w:r>
      <w:r>
        <w:rPr>
          <w:rFonts w:hint="eastAsia" w:ascii="Times New Roman" w:eastAsia="仿宋_GB2312" w:cs="仿宋_GB2312"/>
          <w:b w:val="0"/>
          <w:bCs w:val="0"/>
          <w:kern w:val="0"/>
          <w:position w:val="0"/>
          <w:sz w:val="32"/>
          <w:szCs w:val="32"/>
          <w:highlight w:val="none"/>
          <w:lang w:val="en-US" w:eastAsia="zh-CN" w:bidi="ar-SA"/>
        </w:rPr>
        <w:t>部门需公开部门预算绩效自评报告和部门预算项目支出绩效自评表（2025年度），各下属单位需公开部门预算项目支出绩效自评表（2025年度）。</w:t>
      </w:r>
    </w:p>
    <w:p w14:paraId="2EC82F16">
      <w:pPr>
        <w:rPr>
          <w:rFonts w:hint="eastAsia" w:ascii="Times New Roman" w:hAnsi="Times New Roman" w:eastAsia="黑体" w:cs="黑体"/>
          <w:color w:val="auto"/>
          <w:sz w:val="32"/>
          <w:szCs w:val="32"/>
          <w:highlight w:val="none"/>
          <w:lang w:val="en-US" w:eastAsia="zh-CN"/>
        </w:rPr>
      </w:pPr>
      <w:r>
        <w:rPr>
          <w:rFonts w:hint="eastAsia" w:ascii="Times New Roman" w:hAnsi="Times New Roman" w:eastAsia="仿宋_GB2312" w:cs="仿宋_GB2312"/>
          <w:b w:val="0"/>
          <w:bCs w:val="0"/>
          <w:kern w:val="0"/>
          <w:position w:val="0"/>
          <w:sz w:val="32"/>
          <w:szCs w:val="32"/>
          <w:highlight w:val="none"/>
          <w:lang w:val="en-US" w:eastAsia="zh-CN" w:bidi="ar-SA"/>
        </w:rPr>
        <w:t>部门预算项目支出绩效自评表（2025年度）</w:t>
      </w:r>
      <w:r>
        <w:rPr>
          <w:rFonts w:hint="eastAsia" w:ascii="Times New Roman" w:eastAsia="仿宋_GB2312" w:cs="仿宋_GB2312"/>
          <w:b w:val="0"/>
          <w:bCs w:val="0"/>
          <w:kern w:val="0"/>
          <w:position w:val="0"/>
          <w:sz w:val="32"/>
          <w:szCs w:val="32"/>
          <w:highlight w:val="none"/>
          <w:lang w:val="en-US" w:eastAsia="zh-CN" w:bidi="ar-SA"/>
        </w:rPr>
        <w:t>为各部门在预算管理一体化系统绩效自评模块上传的表格，</w:t>
      </w:r>
      <w:r>
        <w:rPr>
          <w:rFonts w:hint="eastAsia" w:ascii="Times New Roman" w:hAnsi="Times New Roman" w:eastAsia="仿宋_GB2312" w:cs="仿宋_GB2312"/>
          <w:b w:val="0"/>
          <w:bCs w:val="0"/>
          <w:kern w:val="0"/>
          <w:position w:val="0"/>
          <w:sz w:val="32"/>
          <w:szCs w:val="32"/>
          <w:highlight w:val="none"/>
          <w:lang w:val="en-US" w:eastAsia="zh-CN" w:bidi="ar-SA"/>
        </w:rPr>
        <w:t>该表格应作为附表予以公开）</w:t>
      </w:r>
      <w:r>
        <w:rPr>
          <w:rFonts w:hint="eastAsia" w:ascii="Times New Roman" w:hAnsi="Times New Roman" w:eastAsia="黑体" w:cs="黑体"/>
          <w:color w:val="auto"/>
          <w:kern w:val="0"/>
          <w:sz w:val="32"/>
          <w:szCs w:val="32"/>
          <w:highlight w:val="none"/>
          <w:shd w:val="clear" w:color="auto" w:fill="FFFFFF"/>
          <w:lang w:val="zh-CN"/>
        </w:rPr>
        <w:t>附件</w:t>
      </w:r>
      <w:r>
        <w:rPr>
          <w:rFonts w:hint="eastAsia" w:ascii="Times New Roman" w:hAnsi="Times New Roman" w:eastAsia="黑体" w:cs="黑体"/>
          <w:color w:val="auto"/>
          <w:kern w:val="0"/>
          <w:sz w:val="32"/>
          <w:szCs w:val="32"/>
          <w:highlight w:val="none"/>
          <w:shd w:val="clear" w:color="auto" w:fill="FFFFFF"/>
          <w:lang w:val="en-US" w:eastAsia="zh-CN"/>
        </w:rPr>
        <w:t>2</w:t>
      </w:r>
    </w:p>
    <w:p w14:paraId="1BB8725B">
      <w:pPr>
        <w:pStyle w:val="3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14:paraId="4CC65DA6">
      <w:pPr>
        <w:pStyle w:val="36"/>
        <w:keepNext w:val="0"/>
        <w:keepLines w:val="0"/>
        <w:pageBreakBefore w:val="0"/>
        <w:widowControl w:val="0"/>
        <w:kinsoku/>
        <w:wordWrap/>
        <w:overflowPunct/>
        <w:topLinePunct w:val="0"/>
        <w:autoSpaceDE/>
        <w:autoSpaceDN/>
        <w:bidi w:val="0"/>
        <w:spacing w:line="578" w:lineRule="exact"/>
        <w:ind w:left="0" w:leftChars="0"/>
        <w:jc w:val="center"/>
        <w:textAlignment w:val="auto"/>
        <w:rPr>
          <w:rFonts w:hint="eastAsia" w:ascii="Times New Roman" w:hAnsi="Times New Roman" w:eastAsia="方正小标宋简体" w:cs="方正小标宋简体"/>
          <w:color w:val="auto"/>
          <w:kern w:val="2"/>
          <w:sz w:val="44"/>
          <w:szCs w:val="44"/>
          <w:highlight w:val="none"/>
          <w:lang w:val="en-US" w:eastAsia="zh-CN"/>
        </w:rPr>
      </w:pPr>
    </w:p>
    <w:p w14:paraId="36F29650">
      <w:pPr>
        <w:spacing w:line="580" w:lineRule="exact"/>
        <w:rPr>
          <w:rFonts w:hint="eastAsia" w:ascii="仿宋" w:hAnsi="仿宋" w:eastAsia="仿宋" w:cs="仿宋"/>
          <w:color w:val="auto"/>
          <w:sz w:val="32"/>
          <w:szCs w:val="32"/>
          <w:highlight w:val="none"/>
          <w:lang w:val="en-US" w:eastAsia="zh-CN"/>
        </w:rPr>
      </w:pPr>
      <w:r>
        <w:rPr>
          <w:rFonts w:hint="eastAsia"/>
          <w:sz w:val="24"/>
          <w:szCs w:val="24"/>
          <w:shd w:val="clear" w:color="auto" w:fill="FFFFFF"/>
          <w:lang w:val="en-US" w:eastAsia="zh-CN"/>
        </w:rPr>
        <w:t xml:space="preserve">                    </w:t>
      </w:r>
      <w:r>
        <w:rPr>
          <w:rFonts w:hint="eastAsia" w:ascii="仿宋" w:hAnsi="仿宋" w:eastAsia="仿宋" w:cs="仿宋"/>
          <w:color w:val="auto"/>
          <w:sz w:val="32"/>
          <w:szCs w:val="32"/>
          <w:highlight w:val="none"/>
          <w:lang w:val="en-US" w:eastAsia="zh-CN"/>
        </w:rPr>
        <w:t>红原县</w:t>
      </w:r>
      <w:r>
        <w:rPr>
          <w:rFonts w:hint="eastAsia" w:ascii="仿宋_GB2312" w:hAnsi="仿宋_GB2312" w:eastAsia="仿宋_GB2312" w:cs="仿宋_GB2312"/>
          <w:sz w:val="32"/>
          <w:szCs w:val="32"/>
          <w:lang w:val="en-US" w:eastAsia="zh-CN"/>
        </w:rPr>
        <w:t>邛溪镇社区卫生服务中心</w:t>
      </w:r>
    </w:p>
    <w:p w14:paraId="48D16574">
      <w:pPr>
        <w:pStyle w:val="36"/>
        <w:keepNext w:val="0"/>
        <w:keepLines w:val="0"/>
        <w:pageBreakBefore w:val="0"/>
        <w:widowControl w:val="0"/>
        <w:kinsoku/>
        <w:wordWrap/>
        <w:overflowPunct/>
        <w:topLinePunct w:val="0"/>
        <w:autoSpaceDE/>
        <w:autoSpaceDN/>
        <w:bidi w:val="0"/>
        <w:adjustRightInd/>
        <w:snapToGrid/>
        <w:spacing w:line="560" w:lineRule="exact"/>
        <w:ind w:firstLine="883"/>
        <w:jc w:val="center"/>
        <w:textAlignment w:val="auto"/>
        <w:rPr>
          <w:rFonts w:hint="eastAsia" w:ascii="仿宋" w:hAnsi="仿宋" w:eastAsia="仿宋" w:cs="仿宋"/>
          <w:color w:val="auto"/>
          <w:sz w:val="32"/>
          <w:szCs w:val="32"/>
          <w:highlight w:val="none"/>
        </w:rPr>
      </w:pPr>
      <w:r>
        <w:rPr>
          <w:rFonts w:hint="eastAsia" w:ascii="仿宋" w:hAnsi="仿宋" w:eastAsia="仿宋" w:cs="仿宋"/>
          <w:color w:val="auto"/>
          <w:sz w:val="32"/>
          <w:szCs w:val="32"/>
          <w:highlight w:val="none"/>
          <w:lang w:eastAsia="zh-CN"/>
        </w:rPr>
        <w:t>关于</w:t>
      </w:r>
      <w:r>
        <w:rPr>
          <w:rFonts w:hint="eastAsia" w:ascii="仿宋" w:hAnsi="仿宋" w:eastAsia="仿宋" w:cs="仿宋"/>
          <w:color w:val="auto"/>
          <w:sz w:val="32"/>
          <w:szCs w:val="32"/>
          <w:highlight w:val="none"/>
          <w:lang w:val="en-US" w:eastAsia="zh-CN"/>
        </w:rPr>
        <w:t>2025年基本公卫</w:t>
      </w:r>
      <w:r>
        <w:rPr>
          <w:rFonts w:hint="eastAsia" w:ascii="仿宋" w:hAnsi="仿宋" w:eastAsia="仿宋" w:cs="仿宋"/>
          <w:color w:val="auto"/>
          <w:sz w:val="32"/>
          <w:szCs w:val="32"/>
          <w:highlight w:val="none"/>
        </w:rPr>
        <w:t>项目绩效自评报告</w:t>
      </w:r>
    </w:p>
    <w:p w14:paraId="16F58757">
      <w:pPr>
        <w:pStyle w:val="36"/>
        <w:keepNext w:val="0"/>
        <w:keepLines w:val="0"/>
        <w:pageBreakBefore w:val="0"/>
        <w:widowControl w:val="0"/>
        <w:kinsoku/>
        <w:wordWrap/>
        <w:overflowPunct/>
        <w:topLinePunct w:val="0"/>
        <w:autoSpaceDE/>
        <w:autoSpaceDN/>
        <w:bidi w:val="0"/>
        <w:adjustRightInd/>
        <w:snapToGrid/>
        <w:spacing w:line="560" w:lineRule="exact"/>
        <w:jc w:val="both"/>
        <w:textAlignment w:val="auto"/>
        <w:rPr>
          <w:rFonts w:hint="eastAsia" w:ascii="仿宋" w:hAnsi="仿宋" w:eastAsia="仿宋" w:cs="仿宋"/>
          <w:sz w:val="32"/>
          <w:szCs w:val="32"/>
          <w:lang w:val="zh-CN"/>
        </w:rPr>
      </w:pPr>
      <w:r>
        <w:rPr>
          <w:rFonts w:hint="eastAsia" w:ascii="仿宋" w:hAnsi="仿宋" w:eastAsia="仿宋" w:cs="仿宋"/>
          <w:sz w:val="32"/>
          <w:szCs w:val="32"/>
        </w:rPr>
        <w:t>一、</w:t>
      </w:r>
      <w:r>
        <w:rPr>
          <w:rFonts w:hint="eastAsia" w:ascii="仿宋" w:hAnsi="仿宋" w:eastAsia="仿宋" w:cs="仿宋"/>
          <w:sz w:val="32"/>
          <w:szCs w:val="32"/>
          <w:lang w:val="zh-CN"/>
        </w:rPr>
        <w:t>项目概况</w:t>
      </w:r>
    </w:p>
    <w:p w14:paraId="70EDC387">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（一）项目基本情况。</w:t>
      </w:r>
    </w:p>
    <w:p w14:paraId="5A76B0CD">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1．说明项目单位在该项目管理中的职能：负责辖区内</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r>
        <w:rPr>
          <w:rFonts w:hint="eastAsia" w:ascii="仿宋" w:hAnsi="仿宋" w:eastAsia="仿宋" w:cs="仿宋"/>
          <w:sz w:val="32"/>
          <w:szCs w:val="32"/>
          <w:lang w:val="zh-CN"/>
        </w:rPr>
        <w:t>。</w:t>
      </w:r>
    </w:p>
    <w:p w14:paraId="501AF5D5">
      <w:pPr>
        <w:adjustRightInd w:val="0"/>
        <w:snapToGrid w:val="0"/>
        <w:spacing w:line="600" w:lineRule="exact"/>
        <w:ind w:firstLine="640" w:firstLineChars="200"/>
        <w:rPr>
          <w:rFonts w:hint="eastAsia" w:ascii="仿宋" w:hAnsi="仿宋" w:eastAsia="仿宋" w:cs="仿宋"/>
          <w:sz w:val="32"/>
          <w:szCs w:val="32"/>
          <w:lang w:val="en-US" w:eastAsia="zh-CN"/>
        </w:rPr>
      </w:pPr>
      <w:r>
        <w:rPr>
          <w:rFonts w:hint="eastAsia" w:ascii="仿宋" w:hAnsi="仿宋" w:eastAsia="仿宋" w:cs="仿宋"/>
          <w:sz w:val="32"/>
          <w:szCs w:val="32"/>
          <w:lang w:val="zh-CN"/>
        </w:rPr>
        <w:t>2．项目立项、资金申报的依据</w:t>
      </w:r>
      <w:r>
        <w:rPr>
          <w:rFonts w:hint="eastAsia" w:ascii="仿宋" w:hAnsi="仿宋" w:eastAsia="仿宋" w:cs="仿宋"/>
          <w:sz w:val="32"/>
          <w:szCs w:val="32"/>
          <w:lang w:val="en-US" w:eastAsia="zh-CN"/>
        </w:rPr>
        <w:t>:根据该单位开展基本公卫服务项目数量，简报及随访人数等进行资金申报，申报程序严格执行转账，杜绝现金交易。</w:t>
      </w:r>
    </w:p>
    <w:p w14:paraId="57DE8556">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3．资金管理办法制定情况，资金支持具体项目的条件、范围与支持方式概况。</w:t>
      </w:r>
      <w:r>
        <w:rPr>
          <w:rFonts w:hint="eastAsia" w:ascii="仿宋" w:hAnsi="仿宋" w:eastAsia="仿宋" w:cs="仿宋"/>
          <w:color w:val="auto"/>
          <w:sz w:val="32"/>
          <w:szCs w:val="32"/>
          <w:highlight w:val="none"/>
          <w:lang w:val="en-US" w:eastAsia="zh-CN"/>
        </w:rPr>
        <w:t>经自查，</w:t>
      </w:r>
      <w:r>
        <w:rPr>
          <w:rFonts w:hint="eastAsia" w:ascii="仿宋" w:hAnsi="仿宋" w:eastAsia="仿宋" w:cs="仿宋"/>
          <w:color w:val="auto"/>
          <w:sz w:val="32"/>
          <w:szCs w:val="32"/>
          <w:highlight w:val="none"/>
          <w:lang w:eastAsia="zh-CN"/>
        </w:rPr>
        <w:t>该</w:t>
      </w:r>
      <w:r>
        <w:rPr>
          <w:rFonts w:hint="eastAsia" w:ascii="仿宋" w:hAnsi="仿宋" w:eastAsia="仿宋" w:cs="仿宋"/>
          <w:color w:val="auto"/>
          <w:sz w:val="32"/>
          <w:szCs w:val="32"/>
          <w:highlight w:val="none"/>
        </w:rPr>
        <w:t>项目我</w:t>
      </w:r>
      <w:r>
        <w:rPr>
          <w:rFonts w:hint="eastAsia" w:ascii="仿宋" w:hAnsi="仿宋" w:eastAsia="仿宋" w:cs="仿宋"/>
          <w:color w:val="auto"/>
          <w:sz w:val="32"/>
          <w:szCs w:val="32"/>
          <w:highlight w:val="none"/>
          <w:lang w:val="en-US" w:eastAsia="zh-CN"/>
        </w:rPr>
        <w:t>院</w:t>
      </w:r>
      <w:r>
        <w:rPr>
          <w:rFonts w:hint="eastAsia" w:ascii="仿宋" w:hAnsi="仿宋" w:eastAsia="仿宋" w:cs="仿宋"/>
          <w:color w:val="auto"/>
          <w:sz w:val="32"/>
          <w:szCs w:val="32"/>
          <w:highlight w:val="none"/>
        </w:rPr>
        <w:t>完善了相关财务工作制度。一是细化了工作流程，明确了工作任务和责任人，使之有了更强的可操作性和针对性。二是进一步规范了财务工作运行机制。结合工作内容和需要对现有各类自制原始凭证进行统一设计，规范填写。加强了凭证审核力度，坚持出纳填制凭证、会计进行初审、财务主管进行最终审核，确保了会计核算和账务处理准确无误。通过进一步强化财务工作制度，使全局财务工作形成了一个相互衔接、相互制约的有机整体，同时财务制度得到进一步完善，财务基础工作得到进一步规范，财务人员自身工作能力得到进一步加强，确保了全局各项工作的顺利开展说明项目财务管理制度建设、机构设置、会计核算及账务处理等相关情况。对照项目资金管理办法，评价项目是否严格执行财务管理制度、财务处理是否及时、会计核算是否规范等。项目实施过程中严格按照项目财务管理制度进行财务管理，专款专用，专人负责，严格对照资金管理办法，不拆借资金，规范会计核算程序。</w:t>
      </w:r>
    </w:p>
    <w:p w14:paraId="7CC993AC">
      <w:pPr>
        <w:adjustRightInd w:val="0"/>
        <w:snapToGrid w:val="0"/>
        <w:spacing w:line="600" w:lineRule="exact"/>
        <w:ind w:firstLine="720"/>
        <w:rPr>
          <w:rFonts w:hint="eastAsia" w:ascii="仿宋" w:hAnsi="仿宋" w:eastAsia="仿宋" w:cs="仿宋"/>
          <w:sz w:val="32"/>
          <w:szCs w:val="32"/>
          <w:lang w:val="en-US" w:eastAsia="zh-CN"/>
        </w:rPr>
      </w:pPr>
      <w:r>
        <w:rPr>
          <w:rFonts w:hint="eastAsia" w:ascii="仿宋" w:hAnsi="仿宋" w:eastAsia="仿宋" w:cs="仿宋"/>
          <w:sz w:val="32"/>
          <w:szCs w:val="32"/>
          <w:lang w:val="zh-CN"/>
        </w:rPr>
        <w:t>4．资金分配的原则及考虑因素：公卫考核</w:t>
      </w:r>
      <w:r>
        <w:rPr>
          <w:rFonts w:hint="eastAsia" w:ascii="仿宋" w:hAnsi="仿宋" w:eastAsia="仿宋" w:cs="仿宋"/>
          <w:sz w:val="32"/>
          <w:szCs w:val="32"/>
          <w:lang w:val="zh-CN" w:eastAsia="zh-CN"/>
        </w:rPr>
        <w:t>情况进行分配并结合常住人口。</w:t>
      </w:r>
    </w:p>
    <w:p w14:paraId="1EB149CE">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（二）项目绩效目标。</w:t>
      </w:r>
    </w:p>
    <w:p w14:paraId="23F90CE2">
      <w:pPr>
        <w:adjustRightInd w:val="0"/>
        <w:snapToGrid w:val="0"/>
        <w:spacing w:line="600" w:lineRule="exact"/>
        <w:ind w:firstLine="720"/>
        <w:rPr>
          <w:rFonts w:hint="eastAsia" w:ascii="仿宋" w:hAnsi="仿宋" w:eastAsia="仿宋" w:cs="仿宋"/>
          <w:color w:val="000000"/>
          <w:sz w:val="32"/>
          <w:szCs w:val="32"/>
          <w:lang w:eastAsia="zh-CN"/>
        </w:rPr>
      </w:pPr>
      <w:r>
        <w:rPr>
          <w:rFonts w:hint="eastAsia" w:ascii="仿宋" w:hAnsi="仿宋" w:eastAsia="仿宋" w:cs="仿宋"/>
          <w:sz w:val="32"/>
          <w:szCs w:val="32"/>
          <w:lang w:val="zh-CN"/>
        </w:rPr>
        <w:t>1．项目主要内容：</w:t>
      </w:r>
      <w:r>
        <w:rPr>
          <w:rFonts w:hint="eastAsia" w:ascii="仿宋" w:hAnsi="仿宋" w:eastAsia="仿宋" w:cs="仿宋"/>
          <w:color w:val="auto"/>
          <w:sz w:val="32"/>
          <w:szCs w:val="32"/>
          <w:highlight w:val="none"/>
          <w:lang w:val="en-US" w:eastAsia="zh-CN"/>
        </w:rPr>
        <w:t>2025年</w:t>
      </w:r>
      <w:r>
        <w:rPr>
          <w:rFonts w:hint="eastAsia" w:ascii="仿宋" w:hAnsi="仿宋" w:eastAsia="仿宋" w:cs="仿宋"/>
          <w:color w:val="000000"/>
          <w:sz w:val="32"/>
          <w:szCs w:val="32"/>
          <w:lang w:eastAsia="zh-CN"/>
        </w:rPr>
        <w:t>开展辖区内的基本公卫服务项目（年老患者、慢性病防治、妇幼等公卫项目）。</w:t>
      </w:r>
    </w:p>
    <w:p w14:paraId="69DEC110">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2．项目覆盖辖区的所有常住人口。</w:t>
      </w:r>
    </w:p>
    <w:p w14:paraId="35F09C46">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3．评价指标与实际相符。</w:t>
      </w:r>
    </w:p>
    <w:p w14:paraId="445EFDB5">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（三）项目自评步骤及方法。</w:t>
      </w:r>
    </w:p>
    <w:p w14:paraId="452DDADF">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说明项目绩效自评采用老年人随访登记册，妇幼登记情况表等的组织实施步骤及方法。</w:t>
      </w:r>
    </w:p>
    <w:p w14:paraId="4B977A6B">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二、项目资金申报及使用情况</w:t>
      </w:r>
    </w:p>
    <w:p w14:paraId="623B50F9">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（一）项目资金申报及批复情况。</w:t>
      </w:r>
    </w:p>
    <w:p w14:paraId="691A79D5">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该项目由卫生院自行提供相关附件由乡镇会计核算中心审核，并由局领导同意报县级财政及相关领导签字后，实行转账支付。</w:t>
      </w:r>
    </w:p>
    <w:p w14:paraId="2BD958F9">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b/>
          <w:sz w:val="32"/>
          <w:szCs w:val="32"/>
          <w:lang w:val="zh-CN"/>
        </w:rPr>
        <w:t>（二）资金计划、到位及使用情况（可用表格形式反映）。</w:t>
      </w:r>
    </w:p>
    <w:p w14:paraId="39176D10">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1．该项目资金为中央，省州公卫资金。</w:t>
      </w:r>
    </w:p>
    <w:p w14:paraId="69699DA4">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2．资金到位。截止评价时点该项目资金已全部到位。</w:t>
      </w:r>
    </w:p>
    <w:p w14:paraId="47E40615">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3．资金使用。该资金已按文件要求合理进行使用。</w:t>
      </w:r>
    </w:p>
    <w:p w14:paraId="0DCD1643">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（三）项目财务管理情况。</w:t>
      </w:r>
    </w:p>
    <w:p w14:paraId="37DA9375">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color w:val="auto"/>
          <w:sz w:val="32"/>
          <w:szCs w:val="32"/>
          <w:highlight w:val="none"/>
        </w:rPr>
        <w:t>项目实施过程中严格按照项目财务管理制度进行财务管理，专款专用，专人负责，严格对照资金管理办法，不拆借资金，规范会计核算程序</w:t>
      </w:r>
      <w:r>
        <w:rPr>
          <w:rFonts w:hint="eastAsia" w:ascii="仿宋" w:hAnsi="仿宋" w:eastAsia="仿宋" w:cs="仿宋"/>
          <w:sz w:val="32"/>
          <w:szCs w:val="32"/>
          <w:lang w:val="zh-CN"/>
        </w:rPr>
        <w:t>。</w:t>
      </w:r>
    </w:p>
    <w:p w14:paraId="2C719393">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三、项目实施及管理情况</w:t>
      </w:r>
    </w:p>
    <w:p w14:paraId="2C040816">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项目实施过程中均无现金交易，都是采用直接申请支付方式付款。</w:t>
      </w:r>
    </w:p>
    <w:p w14:paraId="7A859CF9">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rPr>
        <w:t>四、项目绩效情况</w:t>
      </w:r>
      <w:r>
        <w:rPr>
          <w:rFonts w:hint="eastAsia" w:ascii="仿宋" w:hAnsi="仿宋" w:eastAsia="仿宋" w:cs="仿宋"/>
          <w:sz w:val="32"/>
          <w:szCs w:val="32"/>
          <w:lang w:val="zh-CN"/>
        </w:rPr>
        <w:tab/>
      </w:r>
    </w:p>
    <w:p w14:paraId="1BE0FBD7">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（一）项目完成情况。</w:t>
      </w:r>
    </w:p>
    <w:p w14:paraId="7A7EB290">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sz w:val="32"/>
          <w:szCs w:val="32"/>
          <w:lang w:val="zh-CN"/>
        </w:rPr>
        <w:t>该项目完成了全年的慢病随访，妇幼随访，及婴幼儿预防接种，情况良好。</w:t>
      </w:r>
    </w:p>
    <w:p w14:paraId="3B5931DA">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（二）项目效益情况。</w:t>
      </w:r>
    </w:p>
    <w:p w14:paraId="5237680A">
      <w:pPr>
        <w:adjustRightInd w:val="0"/>
        <w:snapToGrid w:val="0"/>
        <w:spacing w:line="600" w:lineRule="exact"/>
        <w:ind w:firstLine="720"/>
        <w:rPr>
          <w:rFonts w:hint="eastAsia" w:ascii="仿宋" w:hAnsi="仿宋" w:eastAsia="仿宋" w:cs="仿宋"/>
          <w:sz w:val="32"/>
          <w:szCs w:val="32"/>
          <w:lang w:val="zh-CN"/>
        </w:rPr>
      </w:pPr>
      <w:r>
        <w:rPr>
          <w:rFonts w:hint="eastAsia" w:ascii="仿宋" w:hAnsi="仿宋" w:eastAsia="仿宋" w:cs="仿宋"/>
          <w:sz w:val="32"/>
          <w:szCs w:val="32"/>
          <w:lang w:val="zh-CN"/>
        </w:rPr>
        <w:t>该项目是名声工程，群众满意度良好。</w:t>
      </w:r>
    </w:p>
    <w:p w14:paraId="33769EA4">
      <w:pPr>
        <w:adjustRightInd w:val="0"/>
        <w:snapToGrid w:val="0"/>
        <w:spacing w:line="600" w:lineRule="exact"/>
        <w:ind w:firstLine="720"/>
        <w:rPr>
          <w:rFonts w:hint="eastAsia" w:ascii="仿宋" w:hAnsi="仿宋" w:eastAsia="仿宋" w:cs="仿宋"/>
          <w:sz w:val="32"/>
          <w:szCs w:val="32"/>
        </w:rPr>
      </w:pPr>
      <w:r>
        <w:rPr>
          <w:rFonts w:hint="eastAsia" w:ascii="仿宋" w:hAnsi="仿宋" w:eastAsia="仿宋" w:cs="仿宋"/>
          <w:sz w:val="32"/>
          <w:szCs w:val="32"/>
        </w:rPr>
        <w:t>五、评价结论及建议</w:t>
      </w:r>
    </w:p>
    <w:p w14:paraId="3833F636">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（一）评价结论。</w:t>
      </w:r>
    </w:p>
    <w:p w14:paraId="6C17C052">
      <w:pPr>
        <w:adjustRightInd w:val="0"/>
        <w:snapToGrid w:val="0"/>
        <w:spacing w:line="600" w:lineRule="exact"/>
        <w:ind w:firstLine="640" w:firstLineChars="200"/>
        <w:rPr>
          <w:rFonts w:hint="eastAsia" w:ascii="仿宋" w:hAnsi="仿宋" w:eastAsia="仿宋" w:cs="仿宋"/>
          <w:sz w:val="32"/>
          <w:szCs w:val="32"/>
          <w:bdr w:val="single" w:color="auto" w:sz="4" w:space="0"/>
          <w:lang w:val="zh-CN"/>
        </w:rPr>
      </w:pPr>
      <w:r>
        <w:rPr>
          <w:rFonts w:hint="eastAsia" w:ascii="仿宋" w:hAnsi="仿宋" w:eastAsia="仿宋" w:cs="仿宋"/>
          <w:sz w:val="32"/>
          <w:szCs w:val="32"/>
          <w:lang w:val="zh-CN"/>
        </w:rPr>
        <w:t>该项目是当前重点工作，完成情况比较良好。</w:t>
      </w:r>
    </w:p>
    <w:p w14:paraId="66FD9EE4">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（二）存在的问题。</w:t>
      </w:r>
    </w:p>
    <w:p w14:paraId="4218067A">
      <w:pPr>
        <w:adjustRightInd w:val="0"/>
        <w:snapToGrid w:val="0"/>
        <w:spacing w:line="600" w:lineRule="exact"/>
        <w:ind w:firstLine="640" w:firstLineChars="200"/>
        <w:rPr>
          <w:rFonts w:hint="eastAsia" w:ascii="仿宋" w:hAnsi="仿宋" w:eastAsia="仿宋" w:cs="仿宋"/>
          <w:sz w:val="32"/>
          <w:szCs w:val="32"/>
          <w:lang w:val="zh-CN"/>
        </w:rPr>
      </w:pPr>
      <w:r>
        <w:rPr>
          <w:rFonts w:hint="eastAsia" w:ascii="仿宋" w:hAnsi="仿宋" w:eastAsia="仿宋" w:cs="仿宋"/>
          <w:sz w:val="32"/>
          <w:szCs w:val="32"/>
          <w:lang w:val="zh-CN"/>
        </w:rPr>
        <w:t>资金拨付速度较慢。</w:t>
      </w:r>
      <w:r>
        <w:rPr>
          <w:rFonts w:hint="eastAsia" w:ascii="仿宋" w:hAnsi="仿宋" w:eastAsia="仿宋" w:cs="仿宋"/>
          <w:sz w:val="32"/>
          <w:szCs w:val="32"/>
          <w:lang w:val="zh-CN"/>
        </w:rPr>
        <w:tab/>
      </w:r>
    </w:p>
    <w:p w14:paraId="04E6BADC">
      <w:pPr>
        <w:adjustRightInd w:val="0"/>
        <w:snapToGrid w:val="0"/>
        <w:spacing w:line="600" w:lineRule="exact"/>
        <w:ind w:firstLine="720"/>
        <w:rPr>
          <w:rFonts w:hint="eastAsia" w:ascii="仿宋" w:hAnsi="仿宋" w:eastAsia="仿宋" w:cs="仿宋"/>
          <w:b/>
          <w:sz w:val="32"/>
          <w:szCs w:val="32"/>
          <w:lang w:val="zh-CN"/>
        </w:rPr>
      </w:pPr>
      <w:r>
        <w:rPr>
          <w:rFonts w:hint="eastAsia" w:ascii="仿宋" w:hAnsi="仿宋" w:eastAsia="仿宋" w:cs="仿宋"/>
          <w:b/>
          <w:sz w:val="32"/>
          <w:szCs w:val="32"/>
          <w:lang w:val="zh-CN"/>
        </w:rPr>
        <w:t>（三）相关建议。</w:t>
      </w:r>
    </w:p>
    <w:p w14:paraId="525D6A7E">
      <w:pPr>
        <w:pStyle w:val="16"/>
        <w:keepNext w:val="0"/>
        <w:keepLines w:val="0"/>
        <w:widowControl/>
        <w:suppressLineNumbers w:val="0"/>
        <w:spacing w:before="0" w:beforeAutospacing="0"/>
        <w:ind w:left="0" w:firstLine="643" w:firstLineChars="200"/>
        <w:jc w:val="left"/>
        <w:rPr>
          <w:rFonts w:hint="eastAsia" w:ascii="仿宋" w:hAnsi="仿宋" w:eastAsia="仿宋" w:cs="仿宋"/>
          <w:sz w:val="32"/>
          <w:szCs w:val="32"/>
        </w:rPr>
      </w:pPr>
      <w:r>
        <w:rPr>
          <w:rFonts w:hint="eastAsia" w:ascii="仿宋" w:hAnsi="仿宋" w:eastAsia="仿宋" w:cs="仿宋"/>
          <w:b/>
          <w:bCs/>
          <w:color w:val="auto"/>
          <w:sz w:val="32"/>
          <w:szCs w:val="32"/>
          <w:highlight w:val="none"/>
          <w:lang w:val="en-US" w:eastAsia="zh-CN"/>
        </w:rPr>
        <w:t>一是</w:t>
      </w:r>
      <w:r>
        <w:rPr>
          <w:rFonts w:hint="eastAsia" w:ascii="仿宋" w:hAnsi="仿宋" w:eastAsia="仿宋" w:cs="仿宋"/>
          <w:color w:val="auto"/>
          <w:sz w:val="32"/>
          <w:szCs w:val="32"/>
          <w:highlight w:val="none"/>
          <w:lang w:eastAsia="zh-CN"/>
        </w:rPr>
        <w:t>加强宣传培训。</w:t>
      </w:r>
      <w:r>
        <w:rPr>
          <w:rFonts w:hint="eastAsia" w:ascii="仿宋" w:hAnsi="仿宋" w:eastAsia="仿宋" w:cs="仿宋"/>
          <w:b/>
          <w:bCs/>
          <w:color w:val="auto"/>
          <w:sz w:val="32"/>
          <w:szCs w:val="32"/>
          <w:highlight w:val="none"/>
          <w:lang w:val="en-US" w:eastAsia="zh-CN"/>
        </w:rPr>
        <w:t>二是</w:t>
      </w:r>
      <w:r>
        <w:rPr>
          <w:rFonts w:hint="eastAsia" w:ascii="仿宋" w:hAnsi="仿宋" w:eastAsia="仿宋" w:cs="仿宋"/>
          <w:color w:val="auto"/>
          <w:sz w:val="32"/>
          <w:szCs w:val="32"/>
          <w:highlight w:val="none"/>
          <w:lang w:eastAsia="zh-CN"/>
        </w:rPr>
        <w:t>积极申报资金，做好各类相关工作</w:t>
      </w:r>
      <w:r>
        <w:rPr>
          <w:rFonts w:hint="eastAsia" w:ascii="仿宋" w:hAnsi="仿宋" w:eastAsia="仿宋" w:cs="仿宋"/>
          <w:sz w:val="32"/>
          <w:szCs w:val="32"/>
          <w:lang w:val="zh-CN"/>
        </w:rPr>
        <w:t>。</w:t>
      </w:r>
    </w:p>
    <w:p w14:paraId="4C23CC48">
      <w:pPr>
        <w:pStyle w:val="8"/>
        <w:keepNext w:val="0"/>
        <w:keepLines w:val="0"/>
        <w:pageBreakBefore w:val="0"/>
        <w:numPr>
          <w:ilvl w:val="0"/>
          <w:numId w:val="0"/>
        </w:numPr>
        <w:kinsoku/>
        <w:wordWrap/>
        <w:overflowPunct/>
        <w:topLinePunct w:val="0"/>
        <w:autoSpaceDE/>
        <w:autoSpaceDN/>
        <w:bidi w:val="0"/>
        <w:spacing w:line="560" w:lineRule="exact"/>
        <w:ind w:firstLine="640" w:firstLineChars="200"/>
        <w:textAlignment w:val="auto"/>
        <w:rPr>
          <w:rFonts w:hint="eastAsia" w:ascii="Times New Roman" w:hAnsi="Times New Roman" w:eastAsia="仿宋_GB2312" w:cs="仿宋_GB2312"/>
          <w:b w:val="0"/>
          <w:bCs w:val="0"/>
          <w:kern w:val="0"/>
          <w:position w:val="0"/>
          <w:sz w:val="32"/>
          <w:szCs w:val="32"/>
          <w:highlight w:val="none"/>
          <w:lang w:val="en-US" w:eastAsia="zh-CN" w:bidi="ar-SA"/>
        </w:rPr>
      </w:pPr>
    </w:p>
    <w:p w14:paraId="7ADB6B1C">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p>
    <w:p w14:paraId="6D26970D">
      <w:pPr>
        <w:keepNext w:val="0"/>
        <w:keepLines w:val="0"/>
        <w:pageBreakBefore w:val="0"/>
        <w:widowControl w:val="0"/>
        <w:kinsoku/>
        <w:wordWrap/>
        <w:overflowPunct/>
        <w:topLinePunct w:val="0"/>
        <w:autoSpaceDE/>
        <w:autoSpaceDN/>
        <w:bidi w:val="0"/>
        <w:spacing w:line="578" w:lineRule="exact"/>
        <w:ind w:firstLine="640"/>
        <w:textAlignment w:val="auto"/>
        <w:outlineLvl w:val="9"/>
        <w:rPr>
          <w:rFonts w:hint="eastAsia" w:ascii="Times New Roman" w:hAnsi="Times New Roman" w:eastAsia="仿宋_GB2312" w:cs="仿宋_GB2312"/>
          <w:b w:val="0"/>
          <w:bCs w:val="0"/>
          <w:kern w:val="0"/>
          <w:position w:val="0"/>
          <w:sz w:val="32"/>
          <w:szCs w:val="32"/>
          <w:highlight w:val="none"/>
          <w:lang w:val="en-US" w:eastAsia="zh-CN" w:bidi="ar-SA"/>
        </w:rPr>
      </w:pPr>
      <w:bookmarkStart w:id="48" w:name="_Toc15396618"/>
      <w:r>
        <w:rPr>
          <w:rFonts w:hint="eastAsia" w:ascii="Times New Roman" w:hAnsi="Times New Roman" w:eastAsia="仿宋_GB2312" w:cs="仿宋_GB2312"/>
          <w:b w:val="0"/>
          <w:bCs w:val="0"/>
          <w:kern w:val="0"/>
          <w:position w:val="0"/>
          <w:sz w:val="32"/>
          <w:szCs w:val="32"/>
          <w:highlight w:val="none"/>
          <w:lang w:val="en-US" w:eastAsia="zh-CN" w:bidi="ar-SA"/>
        </w:rPr>
        <w:br w:type="page"/>
      </w:r>
    </w:p>
    <w:p w14:paraId="072CE7C6">
      <w:pPr>
        <w:widowControl/>
        <w:jc w:val="center"/>
        <w:rPr>
          <w:rFonts w:hint="eastAsia" w:ascii="Times New Roman" w:hAnsi="Times New Roman" w:eastAsia="仿宋"/>
          <w:b w:val="0"/>
          <w:color w:val="auto"/>
          <w:highlight w:val="none"/>
        </w:rPr>
      </w:pPr>
      <w:r>
        <w:rPr>
          <w:rFonts w:hint="eastAsia" w:ascii="Times New Roman" w:hAnsi="Times New Roman" w:eastAsia="黑体"/>
          <w:color w:val="auto"/>
          <w:sz w:val="44"/>
          <w:szCs w:val="44"/>
          <w:highlight w:val="none"/>
        </w:rPr>
        <w:t>第</w:t>
      </w:r>
      <w:r>
        <w:rPr>
          <w:rStyle w:val="30"/>
          <w:rFonts w:hint="eastAsia" w:ascii="Times New Roman" w:hAnsi="Times New Roman" w:eastAsia="黑体"/>
          <w:b w:val="0"/>
          <w:color w:val="auto"/>
          <w:highlight w:val="none"/>
        </w:rPr>
        <w:t>五部分 附表</w:t>
      </w:r>
      <w:bookmarkEnd w:id="46"/>
      <w:bookmarkEnd w:id="48"/>
      <w:bookmarkStart w:id="49" w:name="_Toc15396619"/>
    </w:p>
    <w:p w14:paraId="462CD0CF">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p>
    <w:p w14:paraId="715DD222">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一、收入支出决算总表</w:t>
      </w:r>
      <w:bookmarkEnd w:id="49"/>
    </w:p>
    <w:p w14:paraId="191472D5">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0" w:name="_Toc15396620"/>
      <w:r>
        <w:rPr>
          <w:rFonts w:hint="eastAsia" w:ascii="Times New Roman" w:hAnsi="Times New Roman" w:eastAsia="仿宋_GB2312" w:cs="仿宋_GB2312"/>
          <w:color w:val="auto"/>
          <w:sz w:val="32"/>
          <w:szCs w:val="32"/>
          <w:highlight w:val="none"/>
        </w:rPr>
        <w:t>二、收入决算表</w:t>
      </w:r>
      <w:bookmarkEnd w:id="50"/>
    </w:p>
    <w:p w14:paraId="17682F48">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1" w:name="_Toc15396621"/>
      <w:r>
        <w:rPr>
          <w:rFonts w:hint="eastAsia" w:ascii="Times New Roman" w:hAnsi="Times New Roman" w:eastAsia="仿宋_GB2312" w:cs="仿宋_GB2312"/>
          <w:color w:val="auto"/>
          <w:sz w:val="32"/>
          <w:szCs w:val="32"/>
          <w:highlight w:val="none"/>
        </w:rPr>
        <w:t>三、支出决算表</w:t>
      </w:r>
      <w:bookmarkEnd w:id="51"/>
    </w:p>
    <w:p w14:paraId="262F1A53">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2" w:name="_Toc15396622"/>
      <w:r>
        <w:rPr>
          <w:rFonts w:hint="eastAsia" w:ascii="Times New Roman" w:hAnsi="Times New Roman" w:eastAsia="仿宋_GB2312" w:cs="仿宋_GB2312"/>
          <w:color w:val="auto"/>
          <w:sz w:val="32"/>
          <w:szCs w:val="32"/>
          <w:highlight w:val="none"/>
        </w:rPr>
        <w:t>四、财政拨款收入支出决算总表</w:t>
      </w:r>
      <w:bookmarkEnd w:id="52"/>
    </w:p>
    <w:p w14:paraId="54983488">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3" w:name="_Toc15396623"/>
      <w:r>
        <w:rPr>
          <w:rFonts w:hint="eastAsia" w:ascii="Times New Roman" w:hAnsi="Times New Roman" w:eastAsia="仿宋_GB2312" w:cs="仿宋_GB2312"/>
          <w:color w:val="auto"/>
          <w:sz w:val="32"/>
          <w:szCs w:val="32"/>
          <w:highlight w:val="none"/>
        </w:rPr>
        <w:t>五、财政拨款支出决算明细表</w:t>
      </w:r>
      <w:bookmarkEnd w:id="53"/>
      <w:bookmarkStart w:id="54" w:name="_Toc15396624"/>
    </w:p>
    <w:p w14:paraId="713E7DEF">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r>
        <w:rPr>
          <w:rFonts w:hint="eastAsia" w:ascii="Times New Roman" w:hAnsi="Times New Roman" w:eastAsia="仿宋_GB2312" w:cs="仿宋_GB2312"/>
          <w:color w:val="auto"/>
          <w:sz w:val="32"/>
          <w:szCs w:val="32"/>
          <w:highlight w:val="none"/>
        </w:rPr>
        <w:t>六、一般公共预算财政拨款支出决算表</w:t>
      </w:r>
      <w:bookmarkEnd w:id="54"/>
    </w:p>
    <w:p w14:paraId="11499C96">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5" w:name="_Toc15396625"/>
      <w:r>
        <w:rPr>
          <w:rFonts w:hint="eastAsia" w:ascii="Times New Roman" w:hAnsi="Times New Roman" w:eastAsia="仿宋_GB2312" w:cs="仿宋_GB2312"/>
          <w:color w:val="auto"/>
          <w:sz w:val="32"/>
          <w:szCs w:val="32"/>
          <w:highlight w:val="none"/>
        </w:rPr>
        <w:t>七、一般公共预算财政拨款支出决算明细表</w:t>
      </w:r>
      <w:bookmarkEnd w:id="55"/>
    </w:p>
    <w:p w14:paraId="74129CB7">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6" w:name="_Toc15396626"/>
      <w:r>
        <w:rPr>
          <w:rFonts w:hint="eastAsia" w:ascii="Times New Roman" w:hAnsi="Times New Roman" w:eastAsia="仿宋_GB2312" w:cs="仿宋_GB2312"/>
          <w:color w:val="auto"/>
          <w:sz w:val="32"/>
          <w:szCs w:val="32"/>
          <w:highlight w:val="none"/>
        </w:rPr>
        <w:t>八、一般公共预算财政拨款基本支出决算表</w:t>
      </w:r>
      <w:bookmarkEnd w:id="56"/>
    </w:p>
    <w:p w14:paraId="0EECC2FD">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7" w:name="_Toc15396627"/>
      <w:r>
        <w:rPr>
          <w:rFonts w:hint="eastAsia" w:ascii="Times New Roman" w:hAnsi="Times New Roman" w:eastAsia="仿宋_GB2312" w:cs="仿宋_GB2312"/>
          <w:color w:val="auto"/>
          <w:sz w:val="32"/>
          <w:szCs w:val="32"/>
          <w:highlight w:val="none"/>
        </w:rPr>
        <w:t>九、一般公共预算财政拨款项目支出决算表</w:t>
      </w:r>
      <w:bookmarkEnd w:id="57"/>
    </w:p>
    <w:p w14:paraId="3E871D9F">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8" w:name="_Toc15396628"/>
      <w:r>
        <w:rPr>
          <w:rFonts w:hint="eastAsia" w:ascii="Times New Roman" w:hAnsi="Times New Roman" w:eastAsia="仿宋_GB2312" w:cs="仿宋_GB2312"/>
          <w:color w:val="auto"/>
          <w:sz w:val="32"/>
          <w:szCs w:val="32"/>
          <w:highlight w:val="none"/>
        </w:rPr>
        <w:t>十、</w:t>
      </w:r>
      <w:bookmarkEnd w:id="58"/>
      <w:r>
        <w:rPr>
          <w:rFonts w:hint="eastAsia" w:ascii="Times New Roman" w:hAnsi="Times New Roman" w:eastAsia="仿宋_GB2312" w:cs="仿宋_GB2312"/>
          <w:color w:val="auto"/>
          <w:sz w:val="32"/>
          <w:szCs w:val="32"/>
          <w:highlight w:val="none"/>
        </w:rPr>
        <w:t>政府性基金预算财政拨款收入支出决算表</w:t>
      </w:r>
    </w:p>
    <w:p w14:paraId="01F8E59C">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59" w:name="_Toc15396629"/>
      <w:r>
        <w:rPr>
          <w:rFonts w:hint="eastAsia" w:ascii="Times New Roman" w:hAnsi="Times New Roman" w:eastAsia="仿宋_GB2312" w:cs="仿宋_GB2312"/>
          <w:color w:val="auto"/>
          <w:sz w:val="32"/>
          <w:szCs w:val="32"/>
          <w:highlight w:val="none"/>
        </w:rPr>
        <w:t>十一、</w:t>
      </w:r>
      <w:bookmarkEnd w:id="59"/>
      <w:r>
        <w:rPr>
          <w:rFonts w:hint="eastAsia" w:ascii="Times New Roman" w:hAnsi="Times New Roman" w:eastAsia="仿宋_GB2312" w:cs="仿宋_GB2312"/>
          <w:color w:val="auto"/>
          <w:sz w:val="32"/>
          <w:szCs w:val="32"/>
          <w:highlight w:val="none"/>
        </w:rPr>
        <w:t>国有资本经营预算</w:t>
      </w:r>
      <w:r>
        <w:rPr>
          <w:rFonts w:hint="eastAsia" w:ascii="Times New Roman" w:hAnsi="Times New Roman" w:eastAsia="仿宋_GB2312" w:cs="仿宋_GB2312"/>
          <w:color w:val="auto"/>
          <w:sz w:val="32"/>
          <w:szCs w:val="32"/>
          <w:highlight w:val="none"/>
          <w:lang w:eastAsia="zh-CN"/>
        </w:rPr>
        <w:t>财政拨款收入</w:t>
      </w:r>
      <w:r>
        <w:rPr>
          <w:rFonts w:hint="eastAsia" w:ascii="Times New Roman" w:hAnsi="Times New Roman" w:eastAsia="仿宋_GB2312" w:cs="仿宋_GB2312"/>
          <w:color w:val="auto"/>
          <w:sz w:val="32"/>
          <w:szCs w:val="32"/>
          <w:highlight w:val="none"/>
        </w:rPr>
        <w:t>支出决算表</w:t>
      </w:r>
    </w:p>
    <w:p w14:paraId="32454687">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rPr>
      </w:pPr>
      <w:bookmarkStart w:id="60" w:name="_Toc15396630"/>
      <w:r>
        <w:rPr>
          <w:rFonts w:hint="eastAsia" w:ascii="Times New Roman" w:hAnsi="Times New Roman" w:eastAsia="仿宋_GB2312" w:cs="仿宋_GB2312"/>
          <w:color w:val="auto"/>
          <w:sz w:val="32"/>
          <w:szCs w:val="32"/>
          <w:highlight w:val="none"/>
        </w:rPr>
        <w:t>十二、</w:t>
      </w:r>
      <w:bookmarkEnd w:id="60"/>
      <w:r>
        <w:rPr>
          <w:rFonts w:hint="eastAsia" w:ascii="Times New Roman" w:hAnsi="Times New Roman" w:eastAsia="仿宋_GB2312" w:cs="仿宋_GB2312"/>
          <w:color w:val="auto"/>
          <w:sz w:val="32"/>
          <w:szCs w:val="32"/>
          <w:highlight w:val="none"/>
          <w:lang w:eastAsia="zh-CN"/>
        </w:rPr>
        <w:t>国有资本经营预算财政拨款支出决算表</w:t>
      </w:r>
    </w:p>
    <w:p w14:paraId="505B38F7">
      <w:pPr>
        <w:pStyle w:val="15"/>
        <w:keepNext w:val="0"/>
        <w:keepLines w:val="0"/>
        <w:pageBreakBefore w:val="0"/>
        <w:kinsoku/>
        <w:wordWrap/>
        <w:overflowPunct/>
        <w:topLinePunct w:val="0"/>
        <w:autoSpaceDE/>
        <w:autoSpaceDN/>
        <w:bidi w:val="0"/>
        <w:adjustRightInd w:val="0"/>
        <w:snapToGrid w:val="0"/>
        <w:spacing w:line="560" w:lineRule="exact"/>
        <w:jc w:val="left"/>
        <w:textAlignment w:val="auto"/>
        <w:rPr>
          <w:rFonts w:hint="eastAsia" w:ascii="Times New Roman" w:hAnsi="Times New Roman" w:eastAsia="仿宋_GB2312" w:cs="仿宋_GB2312"/>
          <w:color w:val="auto"/>
          <w:sz w:val="32"/>
          <w:szCs w:val="32"/>
          <w:highlight w:val="none"/>
          <w:lang w:eastAsia="zh-CN"/>
        </w:rPr>
      </w:pPr>
      <w:bookmarkStart w:id="61" w:name="_Toc15396631"/>
      <w:r>
        <w:rPr>
          <w:rFonts w:hint="eastAsia" w:ascii="Times New Roman" w:hAnsi="Times New Roman" w:eastAsia="仿宋_GB2312" w:cs="仿宋_GB2312"/>
          <w:color w:val="auto"/>
          <w:sz w:val="32"/>
          <w:szCs w:val="32"/>
          <w:highlight w:val="none"/>
        </w:rPr>
        <w:t>十三、</w:t>
      </w:r>
      <w:bookmarkEnd w:id="61"/>
      <w:r>
        <w:rPr>
          <w:rFonts w:hint="eastAsia" w:ascii="Times New Roman" w:hAnsi="Times New Roman" w:eastAsia="仿宋_GB2312" w:cs="仿宋_GB2312"/>
          <w:color w:val="auto"/>
          <w:sz w:val="32"/>
          <w:szCs w:val="32"/>
          <w:highlight w:val="none"/>
          <w:lang w:eastAsia="zh-CN"/>
        </w:rPr>
        <w:t>财政拨款“三公”经费支出决算表</w:t>
      </w:r>
    </w:p>
    <w:p w14:paraId="4175BC7B">
      <w:pPr>
        <w:rPr>
          <w:rFonts w:hint="eastAsia" w:ascii="Times New Roman" w:hAnsi="Times New Roman"/>
          <w:lang w:eastAsia="zh-CN"/>
        </w:rPr>
      </w:pPr>
    </w:p>
    <w:sectPr>
      <w:footerReference r:id="rId6" w:type="first"/>
      <w:footerReference r:id="rId5" w:type="default"/>
      <w:pgSz w:w="11906" w:h="16838"/>
      <w:pgMar w:top="1440" w:right="1800" w:bottom="1440" w:left="1800"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1"/>
    <w:family w:val="roman"/>
    <w:pitch w:val="default"/>
    <w:sig w:usb0="E0002EFF" w:usb1="C000785B" w:usb2="00000009" w:usb3="00000000" w:csb0="400001FF" w:csb1="FFFF0000"/>
  </w:font>
  <w:font w:name="宋体">
    <w:panose1 w:val="02010600030101010101"/>
    <w:charset w:val="81"/>
    <w:family w:val="roman"/>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modern"/>
    <w:pitch w:val="default"/>
    <w:sig w:usb0="800002BF" w:usb1="38CF7CFA" w:usb2="00000016" w:usb3="00000000" w:csb0="00040001" w:csb1="00000000"/>
  </w:font>
  <w:font w:name="??">
    <w:altName w:val="Segoe Print"/>
    <w:panose1 w:val="00000000000000000000"/>
    <w:charset w:val="00"/>
    <w:family w:val="roman"/>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方正小标宋简体">
    <w:altName w:val="黑体"/>
    <w:panose1 w:val="03000509000000000000"/>
    <w:charset w:val="86"/>
    <w:family w:val="script"/>
    <w:pitch w:val="default"/>
    <w:sig w:usb0="00000000" w:usb1="00000000" w:usb2="00000000" w:usb3="00000000" w:csb0="00040000" w:csb1="00000000"/>
  </w:font>
  <w:font w:name="楷体_GB2312">
    <w:altName w:val="楷体"/>
    <w:panose1 w:val="02010609030101010101"/>
    <w:charset w:val="86"/>
    <w:family w:val="auto"/>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C1172AE">
    <w:pPr>
      <w:pStyle w:val="11"/>
      <w:jc w:val="center"/>
    </w:pPr>
  </w:p>
  <w:p w14:paraId="09251C2F">
    <w:pPr>
      <w:pStyle w:val="11"/>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9E3F53">
    <w:pPr>
      <w:pStyle w:val="11"/>
      <w:jc w:val="center"/>
    </w:pPr>
  </w:p>
  <w:p w14:paraId="7C67F923">
    <w:pPr>
      <w:pStyle w:val="11"/>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496AD40">
    <w:pPr>
      <w:pStyle w:val="11"/>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6" name="文本框 6"/>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4F1DFFD9">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wiRJeMQIAAGEEAAAOAAAAAAAAAAEAIAAAAB8BAABkcnMvZTJvRG9jLnhtbFBLBQYA&#10;AAAABgAGAFkBAADCBQAAAAA=&#10;">
              <v:fill on="f" focussize="0,0"/>
              <v:stroke on="f" weight="0.5pt"/>
              <v:imagedata o:title=""/>
              <o:lock v:ext="edit" aspectratio="f"/>
              <v:textbox inset="0mm,0mm,0mm,0mm" style="mso-fit-shape-to-text:t;">
                <w:txbxContent>
                  <w:p w14:paraId="4F1DFFD9">
                    <w:pPr>
                      <w:pStyle w:val="11"/>
                      <w:rPr>
                        <w:rFonts w:hint="eastAsia" w:eastAsia="宋体"/>
                        <w:lang w:eastAsia="zh-CN"/>
                      </w:rPr>
                    </w:pPr>
                    <w:r>
                      <w:rPr>
                        <w:rFonts w:hint="eastAsia"/>
                        <w:lang w:eastAsia="zh-CN"/>
                      </w:rPr>
                      <w:fldChar w:fldCharType="begin"/>
                    </w:r>
                    <w:r>
                      <w:rPr>
                        <w:rFonts w:hint="eastAsia"/>
                        <w:lang w:eastAsia="zh-CN"/>
                      </w:rPr>
                      <w:instrText xml:space="preserve"> PAGE  \* MERGEFORMAT </w:instrText>
                    </w:r>
                    <w:r>
                      <w:rPr>
                        <w:rFonts w:hint="eastAsia"/>
                        <w:lang w:eastAsia="zh-CN"/>
                      </w:rPr>
                      <w:fldChar w:fldCharType="separate"/>
                    </w:r>
                    <w:r>
                      <w:rPr>
                        <w:rFonts w:hint="eastAsia"/>
                        <w:lang w:eastAsia="zh-CN"/>
                      </w:rPr>
                      <w:t>- 1 -</w:t>
                    </w:r>
                    <w:r>
                      <w:rPr>
                        <w:rFonts w:hint="eastAsia"/>
                        <w:lang w:eastAsia="zh-CN"/>
                      </w:rP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C312FBD">
    <w:pPr>
      <w:pStyle w:val="12"/>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0447B4A"/>
    <w:multiLevelType w:val="singleLevel"/>
    <w:tmpl w:val="80447B4A"/>
    <w:lvl w:ilvl="0" w:tentative="0">
      <w:start w:val="1"/>
      <w:numFmt w:val="chineseCounting"/>
      <w:suff w:val="nothing"/>
      <w:lvlText w:val="%1、"/>
      <w:lvlJc w:val="left"/>
      <w:rPr>
        <w:rFonts w:hint="eastAsia"/>
      </w:rPr>
    </w:lvl>
  </w:abstractNum>
  <w:abstractNum w:abstractNumId="1">
    <w:nsid w:val="C7FD86C8"/>
    <w:multiLevelType w:val="singleLevel"/>
    <w:tmpl w:val="C7FD86C8"/>
    <w:lvl w:ilvl="0" w:tentative="0">
      <w:start w:val="2"/>
      <w:numFmt w:val="chineseCounting"/>
      <w:suff w:val="nothing"/>
      <w:lvlText w:val="（%1）"/>
      <w:lvlJc w:val="left"/>
      <w:rPr>
        <w:rFonts w:hint="eastAsia"/>
      </w:rPr>
    </w:lvl>
  </w:abstractNum>
  <w:abstractNum w:abstractNumId="2">
    <w:nsid w:val="68C911E6"/>
    <w:multiLevelType w:val="singleLevel"/>
    <w:tmpl w:val="68C911E6"/>
    <w:lvl w:ilvl="0" w:tentative="0">
      <w:start w:val="1"/>
      <w:numFmt w:val="decimal"/>
      <w:suff w:val="nothing"/>
      <w:lvlText w:val="%1."/>
      <w:lvlJc w:val="left"/>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1361C"/>
    <w:rsid w:val="000222C6"/>
    <w:rsid w:val="0002549F"/>
    <w:rsid w:val="000468DB"/>
    <w:rsid w:val="0006487A"/>
    <w:rsid w:val="00065F8F"/>
    <w:rsid w:val="00070A43"/>
    <w:rsid w:val="000768F2"/>
    <w:rsid w:val="0009184B"/>
    <w:rsid w:val="00094236"/>
    <w:rsid w:val="0009593C"/>
    <w:rsid w:val="00097322"/>
    <w:rsid w:val="000A6A92"/>
    <w:rsid w:val="000B047F"/>
    <w:rsid w:val="000B5923"/>
    <w:rsid w:val="000B5A48"/>
    <w:rsid w:val="000B6FF3"/>
    <w:rsid w:val="000C3467"/>
    <w:rsid w:val="000C3CA6"/>
    <w:rsid w:val="000D1267"/>
    <w:rsid w:val="000D1D50"/>
    <w:rsid w:val="000D5782"/>
    <w:rsid w:val="000E6613"/>
    <w:rsid w:val="000E7119"/>
    <w:rsid w:val="00114E9B"/>
    <w:rsid w:val="00142216"/>
    <w:rsid w:val="00144D6A"/>
    <w:rsid w:val="0014729F"/>
    <w:rsid w:val="00157BAB"/>
    <w:rsid w:val="001654D1"/>
    <w:rsid w:val="00174518"/>
    <w:rsid w:val="0018106D"/>
    <w:rsid w:val="001877A7"/>
    <w:rsid w:val="00191536"/>
    <w:rsid w:val="00196687"/>
    <w:rsid w:val="001C0962"/>
    <w:rsid w:val="001D7531"/>
    <w:rsid w:val="001E737D"/>
    <w:rsid w:val="001F0592"/>
    <w:rsid w:val="001F7506"/>
    <w:rsid w:val="002006CD"/>
    <w:rsid w:val="00202B36"/>
    <w:rsid w:val="00204B7A"/>
    <w:rsid w:val="00204CDE"/>
    <w:rsid w:val="0021101A"/>
    <w:rsid w:val="00220536"/>
    <w:rsid w:val="00235629"/>
    <w:rsid w:val="00260C38"/>
    <w:rsid w:val="002616C0"/>
    <w:rsid w:val="00265372"/>
    <w:rsid w:val="002662AA"/>
    <w:rsid w:val="00280496"/>
    <w:rsid w:val="00294DC9"/>
    <w:rsid w:val="00295495"/>
    <w:rsid w:val="002A31DE"/>
    <w:rsid w:val="002B2613"/>
    <w:rsid w:val="002D6D05"/>
    <w:rsid w:val="002F1818"/>
    <w:rsid w:val="002F567B"/>
    <w:rsid w:val="003216A9"/>
    <w:rsid w:val="00335A74"/>
    <w:rsid w:val="0036561B"/>
    <w:rsid w:val="0037013F"/>
    <w:rsid w:val="00380C92"/>
    <w:rsid w:val="003A484F"/>
    <w:rsid w:val="003A4883"/>
    <w:rsid w:val="003B0BE0"/>
    <w:rsid w:val="003B0C1B"/>
    <w:rsid w:val="003B688C"/>
    <w:rsid w:val="003C0291"/>
    <w:rsid w:val="003C39AE"/>
    <w:rsid w:val="003C7B60"/>
    <w:rsid w:val="003D0C0F"/>
    <w:rsid w:val="003D1FB2"/>
    <w:rsid w:val="003D66DA"/>
    <w:rsid w:val="003E1310"/>
    <w:rsid w:val="003E6F55"/>
    <w:rsid w:val="00406254"/>
    <w:rsid w:val="004223DE"/>
    <w:rsid w:val="00434489"/>
    <w:rsid w:val="00437085"/>
    <w:rsid w:val="00443880"/>
    <w:rsid w:val="004464F4"/>
    <w:rsid w:val="00471401"/>
    <w:rsid w:val="00473F31"/>
    <w:rsid w:val="0048263A"/>
    <w:rsid w:val="00487E5D"/>
    <w:rsid w:val="004A711F"/>
    <w:rsid w:val="004B199D"/>
    <w:rsid w:val="004B4690"/>
    <w:rsid w:val="004E0A2D"/>
    <w:rsid w:val="004E206B"/>
    <w:rsid w:val="004E6DF7"/>
    <w:rsid w:val="004F0FBD"/>
    <w:rsid w:val="00505A47"/>
    <w:rsid w:val="00512FDA"/>
    <w:rsid w:val="00520DA0"/>
    <w:rsid w:val="005664BB"/>
    <w:rsid w:val="00566FFA"/>
    <w:rsid w:val="0057481D"/>
    <w:rsid w:val="0058486E"/>
    <w:rsid w:val="00585B33"/>
    <w:rsid w:val="0059014D"/>
    <w:rsid w:val="005B5C64"/>
    <w:rsid w:val="005C5337"/>
    <w:rsid w:val="005C6BD0"/>
    <w:rsid w:val="005D1C8B"/>
    <w:rsid w:val="005D468D"/>
    <w:rsid w:val="005D5CED"/>
    <w:rsid w:val="005F1A4C"/>
    <w:rsid w:val="00605688"/>
    <w:rsid w:val="006070AF"/>
    <w:rsid w:val="00607E6C"/>
    <w:rsid w:val="006101B1"/>
    <w:rsid w:val="00614E44"/>
    <w:rsid w:val="0062270A"/>
    <w:rsid w:val="00622830"/>
    <w:rsid w:val="00623DA0"/>
    <w:rsid w:val="00630AEF"/>
    <w:rsid w:val="006325F8"/>
    <w:rsid w:val="00633463"/>
    <w:rsid w:val="00634C9A"/>
    <w:rsid w:val="006440E4"/>
    <w:rsid w:val="0066343B"/>
    <w:rsid w:val="00664777"/>
    <w:rsid w:val="006748A4"/>
    <w:rsid w:val="00681A31"/>
    <w:rsid w:val="00683E73"/>
    <w:rsid w:val="006A3141"/>
    <w:rsid w:val="006A5E34"/>
    <w:rsid w:val="006B2422"/>
    <w:rsid w:val="006B2B9A"/>
    <w:rsid w:val="006C1937"/>
    <w:rsid w:val="006F020C"/>
    <w:rsid w:val="007127B7"/>
    <w:rsid w:val="0071798E"/>
    <w:rsid w:val="007416B6"/>
    <w:rsid w:val="00746F48"/>
    <w:rsid w:val="0075404D"/>
    <w:rsid w:val="0076182A"/>
    <w:rsid w:val="00767B7E"/>
    <w:rsid w:val="007770C3"/>
    <w:rsid w:val="00784D24"/>
    <w:rsid w:val="00785FBA"/>
    <w:rsid w:val="00786E4A"/>
    <w:rsid w:val="007875EB"/>
    <w:rsid w:val="0079426B"/>
    <w:rsid w:val="007D1682"/>
    <w:rsid w:val="007D312A"/>
    <w:rsid w:val="007D3F19"/>
    <w:rsid w:val="007E23B0"/>
    <w:rsid w:val="007E23E5"/>
    <w:rsid w:val="007F1991"/>
    <w:rsid w:val="007F2C2F"/>
    <w:rsid w:val="007F55FC"/>
    <w:rsid w:val="007F5665"/>
    <w:rsid w:val="00800112"/>
    <w:rsid w:val="00813348"/>
    <w:rsid w:val="008253BB"/>
    <w:rsid w:val="0083706E"/>
    <w:rsid w:val="008408F6"/>
    <w:rsid w:val="008423A5"/>
    <w:rsid w:val="00850625"/>
    <w:rsid w:val="00853718"/>
    <w:rsid w:val="00855221"/>
    <w:rsid w:val="00860645"/>
    <w:rsid w:val="00871F71"/>
    <w:rsid w:val="00872FD8"/>
    <w:rsid w:val="00885AF4"/>
    <w:rsid w:val="008939CD"/>
    <w:rsid w:val="008B768C"/>
    <w:rsid w:val="008C4DB1"/>
    <w:rsid w:val="008C4EAF"/>
    <w:rsid w:val="008C5176"/>
    <w:rsid w:val="008C7FD0"/>
    <w:rsid w:val="008E1DE7"/>
    <w:rsid w:val="008E707C"/>
    <w:rsid w:val="00900B08"/>
    <w:rsid w:val="00902155"/>
    <w:rsid w:val="00902FA3"/>
    <w:rsid w:val="00923564"/>
    <w:rsid w:val="0092392E"/>
    <w:rsid w:val="009315F9"/>
    <w:rsid w:val="00933499"/>
    <w:rsid w:val="00935C98"/>
    <w:rsid w:val="00946945"/>
    <w:rsid w:val="00951248"/>
    <w:rsid w:val="0095152F"/>
    <w:rsid w:val="00954C49"/>
    <w:rsid w:val="00955E37"/>
    <w:rsid w:val="0097099F"/>
    <w:rsid w:val="00971997"/>
    <w:rsid w:val="00971FFC"/>
    <w:rsid w:val="0098660A"/>
    <w:rsid w:val="009931C3"/>
    <w:rsid w:val="009B2C43"/>
    <w:rsid w:val="009B4EAE"/>
    <w:rsid w:val="009B7573"/>
    <w:rsid w:val="009C22F4"/>
    <w:rsid w:val="009C2A4B"/>
    <w:rsid w:val="009C2E98"/>
    <w:rsid w:val="009D3447"/>
    <w:rsid w:val="009D4711"/>
    <w:rsid w:val="009F1185"/>
    <w:rsid w:val="009F18CD"/>
    <w:rsid w:val="009F2A13"/>
    <w:rsid w:val="009F7527"/>
    <w:rsid w:val="00A04EB0"/>
    <w:rsid w:val="00A13CC1"/>
    <w:rsid w:val="00A16847"/>
    <w:rsid w:val="00A237D8"/>
    <w:rsid w:val="00A268C4"/>
    <w:rsid w:val="00A307CD"/>
    <w:rsid w:val="00A331C8"/>
    <w:rsid w:val="00A40A00"/>
    <w:rsid w:val="00A4142F"/>
    <w:rsid w:val="00A422EB"/>
    <w:rsid w:val="00A45BB7"/>
    <w:rsid w:val="00A56DF2"/>
    <w:rsid w:val="00A56E6E"/>
    <w:rsid w:val="00A67AB5"/>
    <w:rsid w:val="00A733B2"/>
    <w:rsid w:val="00A741C2"/>
    <w:rsid w:val="00A91760"/>
    <w:rsid w:val="00A93B00"/>
    <w:rsid w:val="00A93C21"/>
    <w:rsid w:val="00AB64C9"/>
    <w:rsid w:val="00AC3C6A"/>
    <w:rsid w:val="00AD5620"/>
    <w:rsid w:val="00AD656B"/>
    <w:rsid w:val="00AD7C1B"/>
    <w:rsid w:val="00AE16BA"/>
    <w:rsid w:val="00AE1EBE"/>
    <w:rsid w:val="00B03C9D"/>
    <w:rsid w:val="00B060AE"/>
    <w:rsid w:val="00B10517"/>
    <w:rsid w:val="00B14E76"/>
    <w:rsid w:val="00B161B8"/>
    <w:rsid w:val="00B2048C"/>
    <w:rsid w:val="00B310B9"/>
    <w:rsid w:val="00B35F3F"/>
    <w:rsid w:val="00B36CBB"/>
    <w:rsid w:val="00B425E0"/>
    <w:rsid w:val="00B440AA"/>
    <w:rsid w:val="00B44B70"/>
    <w:rsid w:val="00B53C56"/>
    <w:rsid w:val="00B57DAF"/>
    <w:rsid w:val="00B77EA6"/>
    <w:rsid w:val="00B81598"/>
    <w:rsid w:val="00B841F1"/>
    <w:rsid w:val="00B944D6"/>
    <w:rsid w:val="00BB4DF0"/>
    <w:rsid w:val="00BC289F"/>
    <w:rsid w:val="00BC2D50"/>
    <w:rsid w:val="00BC5361"/>
    <w:rsid w:val="00BC5460"/>
    <w:rsid w:val="00BC6B50"/>
    <w:rsid w:val="00BD0E25"/>
    <w:rsid w:val="00BF5BD6"/>
    <w:rsid w:val="00C03E31"/>
    <w:rsid w:val="00C33E72"/>
    <w:rsid w:val="00C354B2"/>
    <w:rsid w:val="00C35554"/>
    <w:rsid w:val="00C42709"/>
    <w:rsid w:val="00C533CC"/>
    <w:rsid w:val="00C5751C"/>
    <w:rsid w:val="00C61BFC"/>
    <w:rsid w:val="00C62B85"/>
    <w:rsid w:val="00C65438"/>
    <w:rsid w:val="00C87FD8"/>
    <w:rsid w:val="00C91381"/>
    <w:rsid w:val="00C91CBB"/>
    <w:rsid w:val="00CB4E70"/>
    <w:rsid w:val="00CC09B6"/>
    <w:rsid w:val="00CC666F"/>
    <w:rsid w:val="00CD1E3F"/>
    <w:rsid w:val="00CE44F6"/>
    <w:rsid w:val="00CE49DA"/>
    <w:rsid w:val="00CE7B61"/>
    <w:rsid w:val="00D00095"/>
    <w:rsid w:val="00D114F0"/>
    <w:rsid w:val="00D20620"/>
    <w:rsid w:val="00D254F7"/>
    <w:rsid w:val="00D26091"/>
    <w:rsid w:val="00D2685C"/>
    <w:rsid w:val="00D34E7C"/>
    <w:rsid w:val="00D35489"/>
    <w:rsid w:val="00D36AFE"/>
    <w:rsid w:val="00D51276"/>
    <w:rsid w:val="00D7035F"/>
    <w:rsid w:val="00DA634F"/>
    <w:rsid w:val="00DA65AC"/>
    <w:rsid w:val="00DB1913"/>
    <w:rsid w:val="00DC410D"/>
    <w:rsid w:val="00DC5A81"/>
    <w:rsid w:val="00DC68CA"/>
    <w:rsid w:val="00DC7CBA"/>
    <w:rsid w:val="00DD73B7"/>
    <w:rsid w:val="00DF28BC"/>
    <w:rsid w:val="00DF34B9"/>
    <w:rsid w:val="00E01053"/>
    <w:rsid w:val="00E07ACF"/>
    <w:rsid w:val="00E331A1"/>
    <w:rsid w:val="00E33202"/>
    <w:rsid w:val="00E336A9"/>
    <w:rsid w:val="00E472B1"/>
    <w:rsid w:val="00E50624"/>
    <w:rsid w:val="00E54633"/>
    <w:rsid w:val="00E568DF"/>
    <w:rsid w:val="00E64269"/>
    <w:rsid w:val="00E82267"/>
    <w:rsid w:val="00E853CE"/>
    <w:rsid w:val="00E867B6"/>
    <w:rsid w:val="00EA010F"/>
    <w:rsid w:val="00ED1B63"/>
    <w:rsid w:val="00ED3C1F"/>
    <w:rsid w:val="00ED4085"/>
    <w:rsid w:val="00ED420E"/>
    <w:rsid w:val="00ED6FBE"/>
    <w:rsid w:val="00EE2F57"/>
    <w:rsid w:val="00EF4C34"/>
    <w:rsid w:val="00EF77C6"/>
    <w:rsid w:val="00F05438"/>
    <w:rsid w:val="00F1361C"/>
    <w:rsid w:val="00F156F0"/>
    <w:rsid w:val="00F160C7"/>
    <w:rsid w:val="00F2408F"/>
    <w:rsid w:val="00F240E9"/>
    <w:rsid w:val="00F36D8F"/>
    <w:rsid w:val="00F417B1"/>
    <w:rsid w:val="00F45853"/>
    <w:rsid w:val="00F602DF"/>
    <w:rsid w:val="00F754A1"/>
    <w:rsid w:val="00F81FD9"/>
    <w:rsid w:val="00F841AA"/>
    <w:rsid w:val="00F84A94"/>
    <w:rsid w:val="00F87E96"/>
    <w:rsid w:val="00FA23E8"/>
    <w:rsid w:val="00FD3CC1"/>
    <w:rsid w:val="00FF1E02"/>
    <w:rsid w:val="00FF30B4"/>
    <w:rsid w:val="015975B8"/>
    <w:rsid w:val="01A23516"/>
    <w:rsid w:val="02317B1B"/>
    <w:rsid w:val="023A5B99"/>
    <w:rsid w:val="02FEBE30"/>
    <w:rsid w:val="03FF3D9A"/>
    <w:rsid w:val="061E35DE"/>
    <w:rsid w:val="066E0107"/>
    <w:rsid w:val="07996F6E"/>
    <w:rsid w:val="07DFD8BA"/>
    <w:rsid w:val="08DB07E4"/>
    <w:rsid w:val="09867E8F"/>
    <w:rsid w:val="0A2032A3"/>
    <w:rsid w:val="0C6C4794"/>
    <w:rsid w:val="0CA8290A"/>
    <w:rsid w:val="0D35B1ED"/>
    <w:rsid w:val="0DE07E2B"/>
    <w:rsid w:val="0F98263C"/>
    <w:rsid w:val="101860EC"/>
    <w:rsid w:val="10C055FF"/>
    <w:rsid w:val="11262E88"/>
    <w:rsid w:val="11772AA4"/>
    <w:rsid w:val="118107EC"/>
    <w:rsid w:val="13957196"/>
    <w:rsid w:val="13D50BC4"/>
    <w:rsid w:val="14022904"/>
    <w:rsid w:val="152F2A07"/>
    <w:rsid w:val="15F03EF5"/>
    <w:rsid w:val="165E0673"/>
    <w:rsid w:val="16BB723D"/>
    <w:rsid w:val="16F13FCB"/>
    <w:rsid w:val="186504BB"/>
    <w:rsid w:val="1938089F"/>
    <w:rsid w:val="19A445FC"/>
    <w:rsid w:val="1B7D550C"/>
    <w:rsid w:val="1BE8440E"/>
    <w:rsid w:val="1D155CEE"/>
    <w:rsid w:val="1DB34C77"/>
    <w:rsid w:val="1DE178F3"/>
    <w:rsid w:val="1E740ACF"/>
    <w:rsid w:val="1EB72332"/>
    <w:rsid w:val="1FF35744"/>
    <w:rsid w:val="1FF6BC77"/>
    <w:rsid w:val="21962A9E"/>
    <w:rsid w:val="21AE7C77"/>
    <w:rsid w:val="22BC3C41"/>
    <w:rsid w:val="23860B96"/>
    <w:rsid w:val="240371BF"/>
    <w:rsid w:val="260F557C"/>
    <w:rsid w:val="281408E2"/>
    <w:rsid w:val="29FD04D3"/>
    <w:rsid w:val="2BFF7BC6"/>
    <w:rsid w:val="2C8A61B5"/>
    <w:rsid w:val="2D2E01CF"/>
    <w:rsid w:val="2DF04E50"/>
    <w:rsid w:val="2E9545B0"/>
    <w:rsid w:val="2F040D46"/>
    <w:rsid w:val="2FAE5751"/>
    <w:rsid w:val="2FB1A395"/>
    <w:rsid w:val="2FD9A7D8"/>
    <w:rsid w:val="319F7F4E"/>
    <w:rsid w:val="321B2544"/>
    <w:rsid w:val="3304709D"/>
    <w:rsid w:val="34226D0E"/>
    <w:rsid w:val="34281836"/>
    <w:rsid w:val="349D6851"/>
    <w:rsid w:val="34BB3840"/>
    <w:rsid w:val="357D1196"/>
    <w:rsid w:val="35BA6CAF"/>
    <w:rsid w:val="35D37231"/>
    <w:rsid w:val="364D14C1"/>
    <w:rsid w:val="36AA5135"/>
    <w:rsid w:val="36BE0DA7"/>
    <w:rsid w:val="376B6AA6"/>
    <w:rsid w:val="376D39B2"/>
    <w:rsid w:val="37E16F03"/>
    <w:rsid w:val="37F53A3B"/>
    <w:rsid w:val="389B6C89"/>
    <w:rsid w:val="38D469F0"/>
    <w:rsid w:val="39337A8B"/>
    <w:rsid w:val="39627CCD"/>
    <w:rsid w:val="397BAF1F"/>
    <w:rsid w:val="3AB79AF3"/>
    <w:rsid w:val="3B7EF35A"/>
    <w:rsid w:val="3B9FDB6C"/>
    <w:rsid w:val="3BF5BC2F"/>
    <w:rsid w:val="3CEBA265"/>
    <w:rsid w:val="3D98207C"/>
    <w:rsid w:val="3D9B0D99"/>
    <w:rsid w:val="3DEE7CF3"/>
    <w:rsid w:val="3DF02244"/>
    <w:rsid w:val="3E78745D"/>
    <w:rsid w:val="3FBF6AD7"/>
    <w:rsid w:val="3FF4CAE0"/>
    <w:rsid w:val="3FF7B227"/>
    <w:rsid w:val="40E54C45"/>
    <w:rsid w:val="41313393"/>
    <w:rsid w:val="43A407DF"/>
    <w:rsid w:val="43E70352"/>
    <w:rsid w:val="44515BEA"/>
    <w:rsid w:val="44E268DA"/>
    <w:rsid w:val="453F7E5B"/>
    <w:rsid w:val="486A6C7A"/>
    <w:rsid w:val="49176D9B"/>
    <w:rsid w:val="494006BD"/>
    <w:rsid w:val="4A627F82"/>
    <w:rsid w:val="4ADC01F8"/>
    <w:rsid w:val="4B0E749A"/>
    <w:rsid w:val="4B4F25DA"/>
    <w:rsid w:val="4BDA0CFB"/>
    <w:rsid w:val="4BE068DB"/>
    <w:rsid w:val="4D3C0CCC"/>
    <w:rsid w:val="4D577224"/>
    <w:rsid w:val="4DBF1CEB"/>
    <w:rsid w:val="4EAB630A"/>
    <w:rsid w:val="4ECE2238"/>
    <w:rsid w:val="4F833267"/>
    <w:rsid w:val="4FE9BD67"/>
    <w:rsid w:val="4FFB052F"/>
    <w:rsid w:val="50156E6F"/>
    <w:rsid w:val="53083A92"/>
    <w:rsid w:val="537E6D0A"/>
    <w:rsid w:val="53AF27A2"/>
    <w:rsid w:val="53F74C96"/>
    <w:rsid w:val="56DB3CD8"/>
    <w:rsid w:val="56E47B74"/>
    <w:rsid w:val="57044B1F"/>
    <w:rsid w:val="57BD3DD4"/>
    <w:rsid w:val="5AF92295"/>
    <w:rsid w:val="5BDD79E6"/>
    <w:rsid w:val="5BF561CA"/>
    <w:rsid w:val="5BFF5DFC"/>
    <w:rsid w:val="5CC2508E"/>
    <w:rsid w:val="5CD71FC4"/>
    <w:rsid w:val="5D1F11B5"/>
    <w:rsid w:val="5DAE1B18"/>
    <w:rsid w:val="5DE7D9E5"/>
    <w:rsid w:val="5ECEC941"/>
    <w:rsid w:val="5F493CB7"/>
    <w:rsid w:val="5FBF9FF3"/>
    <w:rsid w:val="5FCD4E2C"/>
    <w:rsid w:val="5FD15F49"/>
    <w:rsid w:val="5FEF394A"/>
    <w:rsid w:val="5FF67715"/>
    <w:rsid w:val="62BF3928"/>
    <w:rsid w:val="647F5392"/>
    <w:rsid w:val="664B1D71"/>
    <w:rsid w:val="67AA3209"/>
    <w:rsid w:val="681C4F0D"/>
    <w:rsid w:val="68D563BF"/>
    <w:rsid w:val="69046D0F"/>
    <w:rsid w:val="698D0931"/>
    <w:rsid w:val="6A993CED"/>
    <w:rsid w:val="6B053271"/>
    <w:rsid w:val="6BCE6674"/>
    <w:rsid w:val="6C4A05C8"/>
    <w:rsid w:val="6C8742B8"/>
    <w:rsid w:val="6C8A170F"/>
    <w:rsid w:val="6CB54609"/>
    <w:rsid w:val="6DBF5E93"/>
    <w:rsid w:val="6DFF077E"/>
    <w:rsid w:val="6E7E3605"/>
    <w:rsid w:val="6E7FDCC7"/>
    <w:rsid w:val="6ED6A62E"/>
    <w:rsid w:val="6EE00B15"/>
    <w:rsid w:val="6F544B20"/>
    <w:rsid w:val="6F6FB3EB"/>
    <w:rsid w:val="6F784160"/>
    <w:rsid w:val="6F8731EA"/>
    <w:rsid w:val="6FCE6052"/>
    <w:rsid w:val="6FD57C00"/>
    <w:rsid w:val="6FEFFFD8"/>
    <w:rsid w:val="6FF5CC65"/>
    <w:rsid w:val="6FFB47EC"/>
    <w:rsid w:val="6FFF034A"/>
    <w:rsid w:val="70496804"/>
    <w:rsid w:val="712A28F1"/>
    <w:rsid w:val="715C0E4B"/>
    <w:rsid w:val="72233669"/>
    <w:rsid w:val="72734D90"/>
    <w:rsid w:val="7332FE48"/>
    <w:rsid w:val="73AB61DA"/>
    <w:rsid w:val="73AD73D5"/>
    <w:rsid w:val="73B6EB34"/>
    <w:rsid w:val="73FA497D"/>
    <w:rsid w:val="744731E5"/>
    <w:rsid w:val="74527205"/>
    <w:rsid w:val="74BBD01D"/>
    <w:rsid w:val="74ED5379"/>
    <w:rsid w:val="74FC2395"/>
    <w:rsid w:val="75DEEEC2"/>
    <w:rsid w:val="76E3355F"/>
    <w:rsid w:val="76FF5125"/>
    <w:rsid w:val="776F6FFA"/>
    <w:rsid w:val="778769C8"/>
    <w:rsid w:val="77DC22F5"/>
    <w:rsid w:val="79086DAD"/>
    <w:rsid w:val="79974F09"/>
    <w:rsid w:val="79D7FD79"/>
    <w:rsid w:val="79EE5BA4"/>
    <w:rsid w:val="7A894339"/>
    <w:rsid w:val="7AFF7572"/>
    <w:rsid w:val="7B6C7DFB"/>
    <w:rsid w:val="7BBFBED0"/>
    <w:rsid w:val="7BC3E394"/>
    <w:rsid w:val="7C1F3737"/>
    <w:rsid w:val="7CBFC87B"/>
    <w:rsid w:val="7CFE0F48"/>
    <w:rsid w:val="7D695199"/>
    <w:rsid w:val="7D7EC23E"/>
    <w:rsid w:val="7D916348"/>
    <w:rsid w:val="7E8ADEBF"/>
    <w:rsid w:val="7EEF11D3"/>
    <w:rsid w:val="7F0971A6"/>
    <w:rsid w:val="7F3F679B"/>
    <w:rsid w:val="7F4FC4EF"/>
    <w:rsid w:val="7F5E4D54"/>
    <w:rsid w:val="7F6E0135"/>
    <w:rsid w:val="7FA30C79"/>
    <w:rsid w:val="7FAF8ABF"/>
    <w:rsid w:val="7FB7269E"/>
    <w:rsid w:val="7FC96657"/>
    <w:rsid w:val="7FDA9588"/>
    <w:rsid w:val="7FDE3356"/>
    <w:rsid w:val="7FDF220F"/>
    <w:rsid w:val="7FEDC5F7"/>
    <w:rsid w:val="7FEDD9DE"/>
    <w:rsid w:val="7FF5890D"/>
    <w:rsid w:val="7FF93490"/>
    <w:rsid w:val="99FF2014"/>
    <w:rsid w:val="A6DD0D7F"/>
    <w:rsid w:val="ADC6F725"/>
    <w:rsid w:val="B7CF06AB"/>
    <w:rsid w:val="B7CFA926"/>
    <w:rsid w:val="B7F8786B"/>
    <w:rsid w:val="BABB6AA1"/>
    <w:rsid w:val="BB2F4199"/>
    <w:rsid w:val="BD079C78"/>
    <w:rsid w:val="BD733540"/>
    <w:rsid w:val="BF3735D5"/>
    <w:rsid w:val="BF7F09AC"/>
    <w:rsid w:val="BFD475C3"/>
    <w:rsid w:val="BFDE5EA6"/>
    <w:rsid w:val="CF6FC6F3"/>
    <w:rsid w:val="CFD3D3D7"/>
    <w:rsid w:val="CFDF1009"/>
    <w:rsid w:val="D7D7B16A"/>
    <w:rsid w:val="D8D6DB89"/>
    <w:rsid w:val="DB6F4CAB"/>
    <w:rsid w:val="DB777682"/>
    <w:rsid w:val="DD1FB521"/>
    <w:rsid w:val="DEFBFEAE"/>
    <w:rsid w:val="DF1F3B80"/>
    <w:rsid w:val="DF6F9789"/>
    <w:rsid w:val="DFFFA9E8"/>
    <w:rsid w:val="E5F4E9DC"/>
    <w:rsid w:val="E70FE695"/>
    <w:rsid w:val="ECFED1BC"/>
    <w:rsid w:val="ED1D69BB"/>
    <w:rsid w:val="ED7FD312"/>
    <w:rsid w:val="EF53993F"/>
    <w:rsid w:val="EF6FD633"/>
    <w:rsid w:val="EFBFB2F4"/>
    <w:rsid w:val="EFBFFA21"/>
    <w:rsid w:val="F2BEBCB8"/>
    <w:rsid w:val="F36FB518"/>
    <w:rsid w:val="F3DE1A04"/>
    <w:rsid w:val="F3F722E5"/>
    <w:rsid w:val="FA5F1E70"/>
    <w:rsid w:val="FA5FDB97"/>
    <w:rsid w:val="FB7F486A"/>
    <w:rsid w:val="FBFF5B2E"/>
    <w:rsid w:val="FD7FFE2B"/>
    <w:rsid w:val="FDEE196B"/>
    <w:rsid w:val="FDFE6575"/>
    <w:rsid w:val="FEDFDDC2"/>
    <w:rsid w:val="FEED32F6"/>
    <w:rsid w:val="FEF781DD"/>
    <w:rsid w:val="FF3F7E3F"/>
    <w:rsid w:val="FFBA12D7"/>
    <w:rsid w:val="FFDFFAEE"/>
    <w:rsid w:val="FFF9B57B"/>
    <w:rsid w:val="FFFD61D9"/>
    <w:rsid w:val="FFFD8F59"/>
    <w:rsid w:val="FFFF2BB1"/>
    <w:rsid w:val="FFFFB04D"/>
  </w:rsids>
  <m:mathPr>
    <m:mathFont m:val="Cambria Math"/>
    <m:brkBin m:val="before"/>
    <m:brkBinSub m:val="--"/>
    <m:smallFrac m:val="0"/>
    <m:dispDef/>
    <m:lMargin m:val="0"/>
    <m:rMargin m:val="0"/>
    <m:defJc m:val="centerGroup"/>
    <m:wrapIndent m:val="1440"/>
    <m:intLim m:val="subSup"/>
    <m:naryLim m:val="undOvr"/>
  </m:mathPr>
  <w:doNotAutoCompressPictures/>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semiHidden="0"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qFormat="1" w:uiPriority="39" w:semiHidden="0"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qFormat="1" w:unhideWhenUsed="0" w:uiPriority="0" w:name="footnote text"/>
    <w:lsdException w:uiPriority="99" w:name="annotation text"/>
    <w:lsdException w:qFormat="1" w:unhideWhenUsed="0"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semiHidden="0" w:name="Default Paragraph Font"/>
    <w:lsdException w:qFormat="1" w:unhideWhenUsed="0" w:uiPriority="99" w:semiHidden="0" w:name="Body Text"/>
    <w:lsdException w:qFormat="1"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qFormat="1" w:unhideWhenUsed="0" w:uiPriority="99" w:semiHidden="0" w:name="Body Text First Indent"/>
    <w:lsdException w:qFormat="1" w:uiPriority="99" w:semiHidden="0"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99"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unhideWhenUsed="0" w:uiPriority="5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4">
    <w:name w:val="heading 1"/>
    <w:basedOn w:val="1"/>
    <w:next w:val="1"/>
    <w:link w:val="30"/>
    <w:qFormat/>
    <w:uiPriority w:val="9"/>
    <w:pPr>
      <w:keepNext/>
      <w:keepLines/>
      <w:spacing w:before="340" w:after="330" w:line="578" w:lineRule="auto"/>
      <w:outlineLvl w:val="0"/>
    </w:pPr>
    <w:rPr>
      <w:b/>
      <w:bCs/>
      <w:kern w:val="44"/>
      <w:sz w:val="44"/>
      <w:szCs w:val="44"/>
    </w:rPr>
  </w:style>
  <w:style w:type="paragraph" w:styleId="5">
    <w:name w:val="heading 2"/>
    <w:basedOn w:val="1"/>
    <w:next w:val="1"/>
    <w:link w:val="31"/>
    <w:unhideWhenUsed/>
    <w:qFormat/>
    <w:uiPriority w:val="9"/>
    <w:pPr>
      <w:keepNext/>
      <w:keepLines/>
      <w:spacing w:before="260" w:after="260" w:line="416" w:lineRule="auto"/>
      <w:outlineLvl w:val="1"/>
    </w:pPr>
    <w:rPr>
      <w:rFonts w:asciiTheme="majorHAnsi" w:hAnsiTheme="majorHAnsi" w:eastAsiaTheme="majorEastAsia" w:cstheme="majorBidi"/>
      <w:b/>
      <w:bCs/>
      <w:sz w:val="32"/>
      <w:szCs w:val="32"/>
    </w:rPr>
  </w:style>
  <w:style w:type="paragraph" w:styleId="6">
    <w:name w:val="heading 3"/>
    <w:basedOn w:val="1"/>
    <w:next w:val="1"/>
    <w:link w:val="34"/>
    <w:unhideWhenUsed/>
    <w:qFormat/>
    <w:uiPriority w:val="9"/>
    <w:pPr>
      <w:keepNext/>
      <w:keepLines/>
      <w:spacing w:before="260" w:after="260" w:line="416" w:lineRule="auto"/>
      <w:outlineLvl w:val="2"/>
    </w:pPr>
    <w:rPr>
      <w:b/>
      <w:bCs/>
      <w:sz w:val="32"/>
      <w:szCs w:val="32"/>
    </w:rPr>
  </w:style>
  <w:style w:type="character" w:default="1" w:styleId="18">
    <w:name w:val="Default Paragraph Font"/>
    <w:unhideWhenUsed/>
    <w:qFormat/>
    <w:uiPriority w:val="1"/>
  </w:style>
  <w:style w:type="table" w:default="1" w:styleId="17">
    <w:name w:val="Normal Table"/>
    <w:semiHidden/>
    <w:unhideWhenUsed/>
    <w:qFormat/>
    <w:uiPriority w:val="99"/>
    <w:tblPr>
      <w:tblCellMar>
        <w:top w:w="0" w:type="dxa"/>
        <w:left w:w="108" w:type="dxa"/>
        <w:bottom w:w="0" w:type="dxa"/>
        <w:right w:w="108" w:type="dxa"/>
      </w:tblCellMar>
    </w:tblPr>
  </w:style>
  <w:style w:type="paragraph" w:styleId="2">
    <w:name w:val="Body Text First Indent"/>
    <w:basedOn w:val="3"/>
    <w:qFormat/>
    <w:uiPriority w:val="99"/>
    <w:pPr>
      <w:tabs>
        <w:tab w:val="left" w:pos="2160"/>
      </w:tabs>
      <w:ind w:firstLineChars="100"/>
    </w:pPr>
  </w:style>
  <w:style w:type="paragraph" w:styleId="3">
    <w:name w:val="Body Text"/>
    <w:basedOn w:val="1"/>
    <w:link w:val="27"/>
    <w:qFormat/>
    <w:uiPriority w:val="99"/>
    <w:pPr>
      <w:spacing w:beforeLines="30"/>
    </w:pPr>
    <w:rPr>
      <w:rFonts w:ascii="仿宋_GB2312" w:eastAsia="仿宋_GB2312"/>
      <w:kern w:val="0"/>
      <w:sz w:val="30"/>
    </w:rPr>
  </w:style>
  <w:style w:type="paragraph" w:styleId="7">
    <w:name w:val="Body Text Indent"/>
    <w:basedOn w:val="1"/>
    <w:next w:val="8"/>
    <w:qFormat/>
    <w:uiPriority w:val="0"/>
    <w:pPr>
      <w:spacing w:after="120"/>
      <w:ind w:leftChars="200"/>
    </w:pPr>
    <w:rPr>
      <w:rFonts w:ascii="仿宋_GB2312"/>
      <w:szCs w:val="32"/>
    </w:rPr>
  </w:style>
  <w:style w:type="paragraph" w:styleId="8">
    <w:name w:val="Body Text First Indent 2"/>
    <w:basedOn w:val="7"/>
    <w:unhideWhenUsed/>
    <w:qFormat/>
    <w:uiPriority w:val="99"/>
    <w:pPr>
      <w:ind w:firstLine="420" w:firstLineChars="200"/>
    </w:pPr>
  </w:style>
  <w:style w:type="paragraph" w:styleId="9">
    <w:name w:val="toc 3"/>
    <w:basedOn w:val="1"/>
    <w:next w:val="1"/>
    <w:unhideWhenUsed/>
    <w:qFormat/>
    <w:uiPriority w:val="39"/>
    <w:pPr>
      <w:tabs>
        <w:tab w:val="right" w:leader="dot" w:pos="8296"/>
      </w:tabs>
      <w:ind w:left="840" w:leftChars="400"/>
    </w:pPr>
  </w:style>
  <w:style w:type="paragraph" w:styleId="10">
    <w:name w:val="Balloon Text"/>
    <w:basedOn w:val="1"/>
    <w:link w:val="33"/>
    <w:semiHidden/>
    <w:unhideWhenUsed/>
    <w:qFormat/>
    <w:uiPriority w:val="99"/>
    <w:rPr>
      <w:sz w:val="18"/>
      <w:szCs w:val="18"/>
    </w:rPr>
  </w:style>
  <w:style w:type="paragraph" w:styleId="11">
    <w:name w:val="footer"/>
    <w:basedOn w:val="1"/>
    <w:link w:val="25"/>
    <w:qFormat/>
    <w:uiPriority w:val="99"/>
    <w:pPr>
      <w:tabs>
        <w:tab w:val="center" w:pos="4153"/>
        <w:tab w:val="right" w:pos="8306"/>
      </w:tabs>
      <w:snapToGrid w:val="0"/>
      <w:jc w:val="left"/>
    </w:pPr>
    <w:rPr>
      <w:rFonts w:ascii="Calibri" w:hAnsi="Calibri"/>
      <w:kern w:val="0"/>
      <w:sz w:val="18"/>
      <w:szCs w:val="18"/>
    </w:rPr>
  </w:style>
  <w:style w:type="paragraph" w:styleId="12">
    <w:name w:val="header"/>
    <w:basedOn w:val="1"/>
    <w:link w:val="23"/>
    <w:semiHidden/>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13">
    <w:name w:val="toc 1"/>
    <w:basedOn w:val="1"/>
    <w:next w:val="1"/>
    <w:unhideWhenUsed/>
    <w:qFormat/>
    <w:uiPriority w:val="39"/>
    <w:pPr>
      <w:tabs>
        <w:tab w:val="right" w:leader="dot" w:pos="8296"/>
      </w:tabs>
      <w:spacing w:before="93"/>
      <w:jc w:val="center"/>
    </w:pPr>
    <w:rPr>
      <w:rFonts w:ascii="仿宋" w:hAnsi="仿宋" w:eastAsia="仿宋"/>
      <w:sz w:val="28"/>
      <w:szCs w:val="28"/>
    </w:rPr>
  </w:style>
  <w:style w:type="paragraph" w:styleId="14">
    <w:name w:val="footnote text"/>
    <w:basedOn w:val="1"/>
    <w:next w:val="8"/>
    <w:semiHidden/>
    <w:qFormat/>
    <w:uiPriority w:val="0"/>
    <w:pPr>
      <w:snapToGrid w:val="0"/>
      <w:jc w:val="left"/>
    </w:pPr>
    <w:rPr>
      <w:sz w:val="18"/>
      <w:szCs w:val="18"/>
    </w:rPr>
  </w:style>
  <w:style w:type="paragraph" w:styleId="15">
    <w:name w:val="toc 2"/>
    <w:basedOn w:val="1"/>
    <w:next w:val="1"/>
    <w:unhideWhenUsed/>
    <w:qFormat/>
    <w:uiPriority w:val="39"/>
    <w:pPr>
      <w:tabs>
        <w:tab w:val="right" w:leader="dot" w:pos="8296"/>
      </w:tabs>
      <w:ind w:left="420" w:leftChars="200"/>
    </w:pPr>
  </w:style>
  <w:style w:type="paragraph" w:styleId="16">
    <w:name w:val="Normal (Web)"/>
    <w:basedOn w:val="1"/>
    <w:unhideWhenUsed/>
    <w:qFormat/>
    <w:uiPriority w:val="99"/>
    <w:pPr>
      <w:spacing w:before="100" w:beforeAutospacing="1" w:after="100" w:afterAutospacing="1"/>
      <w:ind w:left="0" w:right="0"/>
      <w:jc w:val="left"/>
    </w:pPr>
    <w:rPr>
      <w:kern w:val="0"/>
      <w:sz w:val="24"/>
      <w:lang w:val="en-US" w:eastAsia="zh-CN" w:bidi="ar"/>
    </w:rPr>
  </w:style>
  <w:style w:type="character" w:styleId="19">
    <w:name w:val="Strong"/>
    <w:basedOn w:val="18"/>
    <w:qFormat/>
    <w:uiPriority w:val="99"/>
    <w:rPr>
      <w:b/>
    </w:rPr>
  </w:style>
  <w:style w:type="character" w:styleId="20">
    <w:name w:val="Hyperlink"/>
    <w:basedOn w:val="18"/>
    <w:unhideWhenUsed/>
    <w:qFormat/>
    <w:uiPriority w:val="99"/>
    <w:rPr>
      <w:color w:val="0000FF" w:themeColor="hyperlink"/>
      <w:u w:val="single"/>
      <w14:textFill>
        <w14:solidFill>
          <w14:schemeClr w14:val="hlink"/>
        </w14:solidFill>
      </w14:textFill>
    </w:rPr>
  </w:style>
  <w:style w:type="paragraph" w:customStyle="1" w:styleId="21">
    <w:name w:val="标题 5（有编号）（绿盟科技）"/>
    <w:next w:val="1"/>
    <w:qFormat/>
    <w:uiPriority w:val="99"/>
    <w:pPr>
      <w:keepNext/>
      <w:keepLines/>
      <w:widowControl w:val="0"/>
      <w:spacing w:before="280" w:after="156" w:line="377" w:lineRule="auto"/>
      <w:jc w:val="left"/>
      <w:outlineLvl w:val="4"/>
    </w:pPr>
    <w:rPr>
      <w:rFonts w:ascii="Arial" w:hAnsi="Arial" w:eastAsia="黑体" w:cs="Times New Roman"/>
      <w:b/>
      <w:kern w:val="2"/>
      <w:sz w:val="24"/>
      <w:szCs w:val="28"/>
      <w:lang w:val="en-US" w:eastAsia="zh-CN" w:bidi="ar-SA"/>
    </w:rPr>
  </w:style>
  <w:style w:type="character" w:customStyle="1" w:styleId="22">
    <w:name w:val="Header Char"/>
    <w:basedOn w:val="18"/>
    <w:semiHidden/>
    <w:qFormat/>
    <w:uiPriority w:val="99"/>
    <w:rPr>
      <w:rFonts w:ascii="Times New Roman" w:hAnsi="Times New Roman"/>
      <w:sz w:val="18"/>
      <w:szCs w:val="18"/>
    </w:rPr>
  </w:style>
  <w:style w:type="character" w:customStyle="1" w:styleId="23">
    <w:name w:val="页眉 Char"/>
    <w:link w:val="12"/>
    <w:semiHidden/>
    <w:qFormat/>
    <w:locked/>
    <w:uiPriority w:val="99"/>
    <w:rPr>
      <w:sz w:val="18"/>
    </w:rPr>
  </w:style>
  <w:style w:type="character" w:customStyle="1" w:styleId="24">
    <w:name w:val="Footer Char"/>
    <w:basedOn w:val="18"/>
    <w:semiHidden/>
    <w:qFormat/>
    <w:uiPriority w:val="99"/>
    <w:rPr>
      <w:rFonts w:ascii="Times New Roman" w:hAnsi="Times New Roman"/>
      <w:sz w:val="18"/>
      <w:szCs w:val="18"/>
    </w:rPr>
  </w:style>
  <w:style w:type="character" w:customStyle="1" w:styleId="25">
    <w:name w:val="页脚 Char"/>
    <w:link w:val="11"/>
    <w:qFormat/>
    <w:locked/>
    <w:uiPriority w:val="99"/>
    <w:rPr>
      <w:sz w:val="18"/>
    </w:rPr>
  </w:style>
  <w:style w:type="character" w:customStyle="1" w:styleId="26">
    <w:name w:val="Body Text Char"/>
    <w:basedOn w:val="18"/>
    <w:semiHidden/>
    <w:qFormat/>
    <w:uiPriority w:val="99"/>
    <w:rPr>
      <w:rFonts w:ascii="Times New Roman" w:hAnsi="Times New Roman"/>
      <w:szCs w:val="24"/>
    </w:rPr>
  </w:style>
  <w:style w:type="character" w:customStyle="1" w:styleId="27">
    <w:name w:val="正文文本 Char"/>
    <w:link w:val="3"/>
    <w:qFormat/>
    <w:locked/>
    <w:uiPriority w:val="99"/>
    <w:rPr>
      <w:rFonts w:ascii="仿宋_GB2312" w:hAnsi="Times New Roman" w:eastAsia="仿宋_GB2312"/>
      <w:sz w:val="24"/>
    </w:rPr>
  </w:style>
  <w:style w:type="paragraph" w:customStyle="1" w:styleId="28">
    <w:name w:val="Default"/>
    <w:qFormat/>
    <w:uiPriority w:val="99"/>
    <w:pPr>
      <w:widowControl w:val="0"/>
      <w:autoSpaceDE w:val="0"/>
      <w:autoSpaceDN w:val="0"/>
      <w:adjustRightInd w:val="0"/>
    </w:pPr>
    <w:rPr>
      <w:rFonts w:ascii="仿宋" w:hAnsi="Calibri" w:eastAsia="仿宋" w:cs="仿宋"/>
      <w:color w:val="000000"/>
      <w:sz w:val="24"/>
      <w:szCs w:val="24"/>
      <w:lang w:val="en-US" w:eastAsia="zh-CN" w:bidi="ar-SA"/>
    </w:rPr>
  </w:style>
  <w:style w:type="paragraph" w:styleId="29">
    <w:name w:val="List Paragraph"/>
    <w:basedOn w:val="1"/>
    <w:qFormat/>
    <w:uiPriority w:val="34"/>
    <w:pPr>
      <w:ind w:firstLine="420" w:firstLineChars="200"/>
    </w:pPr>
  </w:style>
  <w:style w:type="character" w:customStyle="1" w:styleId="30">
    <w:name w:val="标题 1 Char"/>
    <w:basedOn w:val="18"/>
    <w:link w:val="4"/>
    <w:qFormat/>
    <w:uiPriority w:val="9"/>
    <w:rPr>
      <w:rFonts w:ascii="Times New Roman" w:hAnsi="Times New Roman"/>
      <w:b/>
      <w:bCs/>
      <w:kern w:val="44"/>
      <w:sz w:val="44"/>
      <w:szCs w:val="44"/>
    </w:rPr>
  </w:style>
  <w:style w:type="character" w:customStyle="1" w:styleId="31">
    <w:name w:val="标题 2 Char"/>
    <w:basedOn w:val="18"/>
    <w:link w:val="5"/>
    <w:qFormat/>
    <w:uiPriority w:val="9"/>
    <w:rPr>
      <w:rFonts w:asciiTheme="majorHAnsi" w:hAnsiTheme="majorHAnsi" w:eastAsiaTheme="majorEastAsia" w:cstheme="majorBidi"/>
      <w:b/>
      <w:bCs/>
      <w:kern w:val="2"/>
      <w:sz w:val="32"/>
      <w:szCs w:val="32"/>
    </w:rPr>
  </w:style>
  <w:style w:type="paragraph" w:customStyle="1" w:styleId="32">
    <w:name w:val="TOC 标题1"/>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character" w:customStyle="1" w:styleId="33">
    <w:name w:val="批注框文本 Char"/>
    <w:basedOn w:val="18"/>
    <w:link w:val="10"/>
    <w:semiHidden/>
    <w:qFormat/>
    <w:uiPriority w:val="99"/>
    <w:rPr>
      <w:rFonts w:ascii="Times New Roman" w:hAnsi="Times New Roman"/>
      <w:kern w:val="2"/>
      <w:sz w:val="18"/>
      <w:szCs w:val="18"/>
    </w:rPr>
  </w:style>
  <w:style w:type="character" w:customStyle="1" w:styleId="34">
    <w:name w:val="标题 3 Char"/>
    <w:basedOn w:val="18"/>
    <w:link w:val="6"/>
    <w:qFormat/>
    <w:uiPriority w:val="9"/>
    <w:rPr>
      <w:rFonts w:ascii="Times New Roman" w:hAnsi="Times New Roman"/>
      <w:b/>
      <w:bCs/>
      <w:kern w:val="2"/>
      <w:sz w:val="32"/>
      <w:szCs w:val="32"/>
    </w:rPr>
  </w:style>
  <w:style w:type="paragraph" w:customStyle="1" w:styleId="35">
    <w:name w:val="TOC Heading"/>
    <w:basedOn w:val="4"/>
    <w:next w:val="1"/>
    <w:unhideWhenUsed/>
    <w:qFormat/>
    <w:uiPriority w:val="39"/>
    <w:pPr>
      <w:widowControl/>
      <w:spacing w:before="480" w:after="0" w:line="276" w:lineRule="auto"/>
      <w:jc w:val="left"/>
      <w:outlineLvl w:val="9"/>
    </w:pPr>
    <w:rPr>
      <w:rFonts w:asciiTheme="majorHAnsi" w:hAnsiTheme="majorHAnsi" w:eastAsiaTheme="majorEastAsia" w:cstheme="majorBidi"/>
      <w:color w:val="376092" w:themeColor="accent1" w:themeShade="BF"/>
      <w:kern w:val="0"/>
      <w:sz w:val="28"/>
      <w:szCs w:val="28"/>
    </w:rPr>
  </w:style>
  <w:style w:type="paragraph" w:customStyle="1" w:styleId="36">
    <w:name w:val="四号正文"/>
    <w:basedOn w:val="1"/>
    <w:qFormat/>
    <w:uiPriority w:val="0"/>
    <w:pPr>
      <w:spacing w:line="360" w:lineRule="auto"/>
    </w:pPr>
    <w:rPr>
      <w:rFonts w:ascii="??" w:hAnsi="??" w:eastAsia="宋体"/>
      <w:color w:val="000000"/>
      <w:kern w:val="0"/>
      <w:sz w:val="28"/>
      <w:szCs w:val="21"/>
      <w:lang w:val="zh-CN" w:eastAsia="zh-CN"/>
    </w:rPr>
  </w:style>
</w:styles>
</file>

<file path=word/_rels/document.xml.rels><?xml version="1.0" encoding="UTF-8" standalone="yes"?>
<Relationships xmlns="http://schemas.openxmlformats.org/package/2006/relationships"><Relationship Id="rId9" Type="http://schemas.openxmlformats.org/officeDocument/2006/relationships/chart" Target="charts/chart2.xml"/><Relationship Id="rId8" Type="http://schemas.openxmlformats.org/officeDocument/2006/relationships/chart" Target="charts/chart1.xml"/><Relationship Id="rId7" Type="http://schemas.openxmlformats.org/officeDocument/2006/relationships/theme" Target="theme/theme1.xml"/><Relationship Id="rId6" Type="http://schemas.openxmlformats.org/officeDocument/2006/relationships/footer" Target="footer3.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7" Type="http://schemas.openxmlformats.org/officeDocument/2006/relationships/fontTable" Target="fontTable.xml"/><Relationship Id="rId16" Type="http://schemas.openxmlformats.org/officeDocument/2006/relationships/numbering" Target="numbering.xml"/><Relationship Id="rId15" Type="http://schemas.openxmlformats.org/officeDocument/2006/relationships/customXml" Target="../customXml/item1.xml"/><Relationship Id="rId14" Type="http://schemas.openxmlformats.org/officeDocument/2006/relationships/chart" Target="charts/chart7.xml"/><Relationship Id="rId13" Type="http://schemas.openxmlformats.org/officeDocument/2006/relationships/chart" Target="charts/chart6.xml"/><Relationship Id="rId12" Type="http://schemas.openxmlformats.org/officeDocument/2006/relationships/chart" Target="charts/chart5.xml"/><Relationship Id="rId11" Type="http://schemas.openxmlformats.org/officeDocument/2006/relationships/chart" Target="charts/chart4.xml"/><Relationship Id="rId10" Type="http://schemas.openxmlformats.org/officeDocument/2006/relationships/chart" Target="charts/chart3.xml"/><Relationship Id="rId1" Type="http://schemas.openxmlformats.org/officeDocument/2006/relationships/styles" Target="styles.xml"/></Relationships>
</file>

<file path=word/charts/_rels/chart1.xml.rels><?xml version="1.0" encoding="UTF-8" standalone="yes"?>
<Relationships xmlns="http://schemas.openxmlformats.org/package/2006/relationships"><Relationship Id="rId3" Type="http://schemas.microsoft.com/office/2011/relationships/chartColorStyle" Target="colors6.xml"/><Relationship Id="rId2" Type="http://schemas.microsoft.com/office/2011/relationships/chartStyle" Target="style6.xml"/><Relationship Id="rId1" Type="http://schemas.openxmlformats.org/officeDocument/2006/relationships/package" Target="../embeddings/Workbook6.xlsx"/></Relationships>
</file>

<file path=word/charts/_rels/chart2.xml.rels><?xml version="1.0" encoding="UTF-8" standalone="yes"?>
<Relationships xmlns="http://schemas.openxmlformats.org/package/2006/relationships"><Relationship Id="rId3" Type="http://schemas.microsoft.com/office/2011/relationships/chartColorStyle" Target="colors2.xml"/><Relationship Id="rId2" Type="http://schemas.microsoft.com/office/2011/relationships/chartStyle" Target="style2.xml"/><Relationship Id="rId1" Type="http://schemas.openxmlformats.org/officeDocument/2006/relationships/package" Target="../embeddings/Workbook2.xlsx"/></Relationships>
</file>

<file path=word/charts/_rels/chart3.xml.rels><?xml version="1.0" encoding="UTF-8" standalone="yes"?>
<Relationships xmlns="http://schemas.openxmlformats.org/package/2006/relationships"><Relationship Id="rId3" Type="http://schemas.microsoft.com/office/2011/relationships/chartColorStyle" Target="colors3.xml"/><Relationship Id="rId2" Type="http://schemas.microsoft.com/office/2011/relationships/chartStyle" Target="style3.xml"/><Relationship Id="rId1" Type="http://schemas.openxmlformats.org/officeDocument/2006/relationships/package" Target="../embeddings/Workbook3.xlsx"/></Relationships>
</file>

<file path=word/charts/_rels/chart4.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package" Target="../embeddings/Workbook1.xlsx"/></Relationships>
</file>

<file path=word/charts/_rels/chart5.xml.rels><?xml version="1.0" encoding="UTF-8" standalone="yes"?>
<Relationships xmlns="http://schemas.openxmlformats.org/package/2006/relationships"><Relationship Id="rId3" Type="http://schemas.microsoft.com/office/2011/relationships/chartColorStyle" Target="colors5.xml"/><Relationship Id="rId2" Type="http://schemas.microsoft.com/office/2011/relationships/chartStyle" Target="style5.xml"/><Relationship Id="rId1" Type="http://schemas.openxmlformats.org/officeDocument/2006/relationships/package" Target="../embeddings/Workbook5.xlsx"/></Relationships>
</file>

<file path=word/charts/_rels/chart6.xml.rels><?xml version="1.0" encoding="UTF-8" standalone="yes"?>
<Relationships xmlns="http://schemas.openxmlformats.org/package/2006/relationships"><Relationship Id="rId3" Type="http://schemas.microsoft.com/office/2011/relationships/chartColorStyle" Target="colors7.xml"/><Relationship Id="rId2" Type="http://schemas.microsoft.com/office/2011/relationships/chartStyle" Target="style7.xml"/><Relationship Id="rId1" Type="http://schemas.openxmlformats.org/officeDocument/2006/relationships/package" Target="../embeddings/Workbook7.xlsx"/></Relationships>
</file>

<file path=word/charts/_rels/chart7.xml.rels><?xml version="1.0" encoding="UTF-8" standalone="yes"?>
<Relationships xmlns="http://schemas.openxmlformats.org/package/2006/relationships"><Relationship Id="rId3" Type="http://schemas.microsoft.com/office/2011/relationships/chartColorStyle" Target="colors4.xml"/><Relationship Id="rId2" Type="http://schemas.microsoft.com/office/2011/relationships/chartStyle" Target="style4.xml"/><Relationship Id="rId1" Type="http://schemas.openxmlformats.org/officeDocument/2006/relationships/package" Target="../embeddings/Workbook4.xlsx"/></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收、支决算总计变动情况图</a:t>
            </a:r>
            <a:r>
              <a:rPr lang="en-US" altLang="zh-CN"/>
              <a:t>1</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47874799928864"/>
          <c:y val="0.283233532934132"/>
          <c:w val="0.93254490485506"/>
          <c:h val="0.489940119760479"/>
        </c:manualLayout>
      </c:layout>
      <c:barChart>
        <c:barDir val="col"/>
        <c:grouping val="clustered"/>
        <c:varyColors val="0"/>
        <c:ser>
          <c:idx val="0"/>
          <c:order val="0"/>
          <c:tx>
            <c:strRef>
              <c:f>Sheet1!$B$1</c:f>
              <c:strCache>
                <c:ptCount val="1"/>
                <c:pt idx="0">
                  <c:v>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23年收入</c:v>
                </c:pt>
                <c:pt idx="1">
                  <c:v>24年收入</c:v>
                </c:pt>
              </c:strCache>
            </c:strRef>
          </c:cat>
          <c:val>
            <c:numRef>
              <c:f>Sheet1!$B$2:$B$3</c:f>
              <c:numCache>
                <c:formatCode>General</c:formatCode>
                <c:ptCount val="2"/>
                <c:pt idx="0">
                  <c:v>152.83</c:v>
                </c:pt>
                <c:pt idx="1">
                  <c:v>129.15</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a7f3b07-ef78-45b0-b430-ffdbfc75797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收、支决算总计变动情况图</a:t>
            </a:r>
            <a:r>
              <a:rPr lang="en-US" altLang="zh-CN"/>
              <a:t>1</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647874799928864"/>
          <c:y val="0.283233532934132"/>
          <c:w val="0.93254490485506"/>
          <c:h val="0.489940119760479"/>
        </c:manualLayout>
      </c:layout>
      <c:barChart>
        <c:barDir val="col"/>
        <c:grouping val="clustered"/>
        <c:varyColors val="0"/>
        <c:ser>
          <c:idx val="0"/>
          <c:order val="0"/>
          <c:tx>
            <c:strRef>
              <c:f>Sheet1!$B$1</c:f>
              <c:strCache>
                <c:ptCount val="1"/>
                <c:pt idx="0">
                  <c:v>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24年收入</c:v>
                </c:pt>
                <c:pt idx="1">
                  <c:v>25年收入</c:v>
                </c:pt>
              </c:strCache>
            </c:strRef>
          </c:cat>
          <c:val>
            <c:numRef>
              <c:f>Sheet1!$B$2:$B$3</c:f>
              <c:numCache>
                <c:formatCode>General</c:formatCode>
                <c:ptCount val="2"/>
                <c:pt idx="0">
                  <c:v>129.15</c:v>
                </c:pt>
                <c:pt idx="1">
                  <c:v>162.83</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a7f3b07-ef78-45b0-b430-ffdbfc75797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a:t>
            </a:r>
            <a:r>
              <a:rPr lang="en-US" altLang="zh-CN"/>
              <a:t>25</a:t>
            </a:r>
            <a:r>
              <a:t>年全年收入结构图</a:t>
            </a:r>
            <a:r>
              <a:rPr lang="en-US" altLang="zh-CN"/>
              <a:t>2</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2024年本年收入结构图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财政拨款收入</c:v>
                </c:pt>
                <c:pt idx="1">
                  <c:v>其他收入</c:v>
                </c:pt>
              </c:strCache>
            </c:strRef>
          </c:cat>
          <c:val>
            <c:numRef>
              <c:f>Sheet1!$B$2:$B$3</c:f>
              <c:numCache>
                <c:formatCode>General</c:formatCode>
                <c:ptCount val="2"/>
                <c:pt idx="0">
                  <c:v>137.25</c:v>
                </c:pt>
                <c:pt idx="1">
                  <c:v>25.58</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db20335-0ff5-41b4-b9ae-79ac1a6bb24e}"/>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202</a:t>
            </a:r>
            <a:r>
              <a:rPr lang="en-US" altLang="zh-CN"/>
              <a:t>5</a:t>
            </a:r>
            <a:r>
              <a:t>年本年支出结构图</a:t>
            </a:r>
            <a:r>
              <a:rPr lang="en-US" altLang="zh-CN"/>
              <a:t>3</a:t>
            </a:r>
            <a:endParaRPr lang="en-US" altLang="zh-CN"/>
          </a:p>
        </c:rich>
      </c:tx>
      <c:layout>
        <c:manualLayout>
          <c:xMode val="edge"/>
          <c:yMode val="edge"/>
          <c:x val="0.353507374475086"/>
          <c:y val="0.105891866662585"/>
        </c:manualLayout>
      </c:layout>
      <c:overlay val="0"/>
      <c:spPr>
        <a:noFill/>
        <a:ln>
          <a:noFill/>
        </a:ln>
        <a:effectLst/>
      </c:spPr>
    </c:title>
    <c:autoTitleDeleted val="0"/>
    <c:plotArea>
      <c:layout/>
      <c:pieChart>
        <c:varyColors val="1"/>
        <c:ser>
          <c:idx val="0"/>
          <c:order val="0"/>
          <c:tx>
            <c:strRef>
              <c:f>Sheet1!$B$1</c:f>
              <c:strCache>
                <c:ptCount val="1"/>
                <c:pt idx="0">
                  <c:v>2024年本年支出结构图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基本支出</c:v>
                </c:pt>
                <c:pt idx="1">
                  <c:v>项目支出</c:v>
                </c:pt>
              </c:strCache>
            </c:strRef>
          </c:cat>
          <c:val>
            <c:numRef>
              <c:f>Sheet1!$B$2:$B$3</c:f>
              <c:numCache>
                <c:formatCode>General</c:formatCode>
                <c:ptCount val="2"/>
                <c:pt idx="0">
                  <c:v>132.94</c:v>
                </c:pt>
                <c:pt idx="1">
                  <c:v>29.89</c:v>
                </c:pt>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6337601078167"/>
          <c:y val="0.851249273678094"/>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75846723-c098-4fd4-8109-2a8ffd094a66}"/>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财政拨款收支决算总计变动情况图</a:t>
            </a:r>
            <a:r>
              <a:rPr lang="en-US" altLang="zh-CN"/>
              <a:t>4</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manualLayout>
          <c:layoutTarget val="inner"/>
          <c:xMode val="edge"/>
          <c:yMode val="edge"/>
          <c:x val="0.0416681486750845"/>
          <c:y val="0.406903103229892"/>
          <c:w val="0.93254490485506"/>
          <c:h val="0.462127929069031"/>
        </c:manualLayout>
      </c:layout>
      <c:barChart>
        <c:barDir val="col"/>
        <c:grouping val="clustered"/>
        <c:varyColors val="0"/>
        <c:ser>
          <c:idx val="0"/>
          <c:order val="0"/>
          <c:tx>
            <c:strRef>
              <c:f>Sheet1!$B$1</c:f>
              <c:strCache>
                <c:ptCount val="1"/>
                <c:pt idx="0">
                  <c:v>财政拨款收支决算总计变动情况图</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25年财政收入</c:v>
                </c:pt>
                <c:pt idx="1">
                  <c:v>24年财政收入</c:v>
                </c:pt>
              </c:strCache>
            </c:strRef>
          </c:cat>
          <c:val>
            <c:numRef>
              <c:f>Sheet1!$B$2:$B$4</c:f>
              <c:numCache>
                <c:formatCode>General</c:formatCode>
                <c:ptCount val="3"/>
                <c:pt idx="0">
                  <c:v>137.25</c:v>
                </c:pt>
                <c:pt idx="1">
                  <c:v>129.15</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plotVisOnly val="1"/>
    <c:dispBlanksAs val="gap"/>
    <c:showDLblsOverMax val="0"/>
    <c:extLst>
      <c:ext uri="{0b15fc19-7d7d-44ad-8c2d-2c3a37ce22c3}">
        <chartProps xmlns="https://web.wps.cn/et/2018/main" chartId="{b9832631-cbd2-499d-b8de-678041b59f13}"/>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一般公共预算财政拨款支出决算变动情况</a:t>
            </a:r>
            <a:r>
              <a:rPr lang="en-US" altLang="zh-CN"/>
              <a:t>5</a:t>
            </a:r>
            <a:endParaRPr lang="en-US" altLang="zh-CN"/>
          </a:p>
        </c:rich>
      </c:tx>
      <c:layout>
        <c:manualLayout>
          <c:xMode val="edge"/>
          <c:yMode val="edge"/>
          <c:x val="0.163758467763102"/>
          <c:y val="0.00898203592814371"/>
        </c:manualLayout>
      </c:layout>
      <c:overlay val="0"/>
      <c:spPr>
        <a:noFill/>
        <a:ln>
          <a:noFill/>
        </a:ln>
        <a:effectLst/>
      </c:spPr>
    </c:title>
    <c:autoTitleDeleted val="0"/>
    <c:plotArea>
      <c:layout>
        <c:manualLayout>
          <c:layoutTarget val="inner"/>
          <c:xMode val="edge"/>
          <c:yMode val="edge"/>
          <c:x val="0.0646466323102647"/>
          <c:y val="0.38622754491018"/>
          <c:w val="0.93254490485506"/>
          <c:h val="0.489940119760479"/>
        </c:manualLayout>
      </c:layout>
      <c:barChart>
        <c:barDir val="col"/>
        <c:grouping val="clustered"/>
        <c:varyColors val="0"/>
        <c:ser>
          <c:idx val="0"/>
          <c:order val="0"/>
          <c:tx>
            <c:strRef>
              <c:f>Sheet1!$B$1</c:f>
              <c:strCache>
                <c:ptCount val="1"/>
                <c:pt idx="0">
                  <c:v>一般公共预算财政拨款支出决算变动情况</c:v>
                </c:pt>
              </c:strCache>
            </c:strRef>
          </c:tx>
          <c:spPr>
            <a:solidFill>
              <a:schemeClr val="accent1"/>
            </a:solidFill>
            <a:ln w="19050">
              <a:solidFill>
                <a:schemeClr val="lt1"/>
              </a:solidFill>
            </a:ln>
            <a:effectLst/>
          </c:spPr>
          <c:invertIfNegative val="0"/>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outEnd"/>
            <c:showLegendKey val="0"/>
            <c:showVal val="1"/>
            <c:showCatName val="0"/>
            <c:showSerName val="0"/>
            <c:showPercent val="0"/>
            <c:showBubbleSize val="0"/>
            <c:showLeaderLines val="0"/>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Sheet1!$A$2:$A$3</c:f>
              <c:strCache>
                <c:ptCount val="2"/>
                <c:pt idx="0">
                  <c:v>24年财政支出</c:v>
                </c:pt>
                <c:pt idx="1">
                  <c:v>25年财政支出</c:v>
                </c:pt>
              </c:strCache>
            </c:strRef>
          </c:cat>
          <c:val>
            <c:numRef>
              <c:f>Sheet1!$B$2:$B$3</c:f>
              <c:numCache>
                <c:formatCode>General</c:formatCode>
                <c:ptCount val="2"/>
                <c:pt idx="0">
                  <c:v>129.15</c:v>
                </c:pt>
                <c:pt idx="1">
                  <c:v>137.25</c:v>
                </c:pt>
              </c:numCache>
            </c:numRef>
          </c:val>
        </c:ser>
        <c:dLbls>
          <c:showLegendKey val="0"/>
          <c:showVal val="1"/>
          <c:showCatName val="0"/>
          <c:showSerName val="0"/>
          <c:showPercent val="0"/>
          <c:showBubbleSize val="0"/>
        </c:dLbls>
        <c:gapWidth val="150"/>
        <c:overlap val="0"/>
        <c:axId val="23641863"/>
        <c:axId val="103582683"/>
      </c:barChart>
      <c:catAx>
        <c:axId val="23641863"/>
        <c:scaling>
          <c:orientation val="minMax"/>
        </c:scaling>
        <c:delete val="0"/>
        <c:axPos val="b"/>
        <c:majorTickMark val="out"/>
        <c:minorTickMark val="none"/>
        <c:tickLblPos val="nextTo"/>
        <c:spPr>
          <a:noFill/>
          <a:ln w="9525" cap="flat" cmpd="sng" algn="ctr">
            <a:solidFill>
              <a:schemeClr val="tx1">
                <a:lumMod val="15000"/>
                <a:lumOff val="85000"/>
              </a:schemeClr>
            </a:solidFill>
            <a:round/>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103582683"/>
        <c:crosses val="autoZero"/>
        <c:auto val="1"/>
        <c:lblAlgn val="ctr"/>
        <c:lblOffset val="100"/>
        <c:noMultiLvlLbl val="0"/>
      </c:catAx>
      <c:valAx>
        <c:axId val="103582683"/>
        <c:scaling>
          <c:orientation val="minMax"/>
        </c:scaling>
        <c:delete val="0"/>
        <c:axPos val="l"/>
        <c:majorGridlines>
          <c:spPr>
            <a:ln w="9525" cap="flat" cmpd="sng" algn="ctr">
              <a:solidFill>
                <a:schemeClr val="tx1">
                  <a:lumMod val="15000"/>
                  <a:lumOff val="85000"/>
                </a:schemeClr>
              </a:solidFill>
              <a:round/>
            </a:ln>
            <a:effectLst/>
          </c:spPr>
        </c:majorGridlines>
        <c:numFmt formatCode="General" sourceLinked="1"/>
        <c:majorTickMark val="out"/>
        <c:minorTickMark val="none"/>
        <c:tickLblPos val="nextTo"/>
        <c:spPr>
          <a:noFill/>
          <a:ln>
            <a:noFill/>
          </a:ln>
          <a:effectLst/>
        </c:spPr>
        <c:txPr>
          <a:bodyPr rot="-6000000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crossAx val="23641863"/>
        <c:crosses val="autoZero"/>
        <c:crossBetween val="between"/>
      </c:valAx>
      <c:spPr>
        <a:noFill/>
        <a:ln>
          <a:noFill/>
        </a:ln>
        <a:effectLst/>
      </c:spPr>
    </c:plotArea>
    <c:legend>
      <c:legendPos val="b"/>
      <c:layout>
        <c:manualLayout>
          <c:xMode val="edge"/>
          <c:yMode val="edge"/>
          <c:x val="0.344692005242464"/>
          <c:y val="0.206586826347305"/>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0c1b626d-bfbf-4d72-9b7d-8c589f41baa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zh-CN"/>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0" vertOverflow="ellipsis" vert="horz" wrap="square" anchor="ctr" anchorCtr="1"/>
          <a:lstStyle/>
          <a:p>
            <a:pPr defTabSz="914400">
              <a:defRPr lang="zh-CN" sz="1400" b="0" i="0" u="none" strike="noStrike" kern="1200" spc="0" baseline="0">
                <a:solidFill>
                  <a:schemeClr val="tx1">
                    <a:lumMod val="65000"/>
                    <a:lumOff val="35000"/>
                  </a:schemeClr>
                </a:solidFill>
                <a:latin typeface="+mn-lt"/>
                <a:ea typeface="+mn-ea"/>
                <a:cs typeface="+mn-cs"/>
              </a:defRPr>
            </a:pPr>
            <a:r>
              <a:t>一般公共预算财政拨款支出决算结构图</a:t>
            </a:r>
            <a:r>
              <a:rPr lang="en-US" altLang="zh-CN"/>
              <a:t>6</a:t>
            </a:r>
            <a:endParaRPr lang="en-US" altLang="zh-CN"/>
          </a:p>
        </c:rich>
      </c:tx>
      <c:layout>
        <c:manualLayout>
          <c:xMode val="edge"/>
          <c:yMode val="edge"/>
          <c:x val="0.35063130684392"/>
          <c:y val="0.0761388169749922"/>
        </c:manualLayout>
      </c:layout>
      <c:overlay val="0"/>
      <c:spPr>
        <a:noFill/>
        <a:ln>
          <a:noFill/>
        </a:ln>
        <a:effectLst/>
      </c:spPr>
    </c:title>
    <c:autoTitleDeleted val="0"/>
    <c:plotArea>
      <c:layout/>
      <c:pieChart>
        <c:varyColors val="1"/>
        <c:ser>
          <c:idx val="0"/>
          <c:order val="0"/>
          <c:tx>
            <c:strRef>
              <c:f>Sheet1!$B$1</c:f>
              <c:strCache>
                <c:ptCount val="1"/>
                <c:pt idx="0">
                  <c:v>一般公共预算财政拨款支出决算结构图</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Sheet1!$B$2:$B$4</c:f>
              <c:numCache>
                <c:formatCode>General</c:formatCode>
                <c:ptCount val="3"/>
                <c:pt idx="0">
                  <c:v>18.11</c:v>
                </c:pt>
                <c:pt idx="1">
                  <c:v>108.34</c:v>
                </c:pt>
                <c:pt idx="2">
                  <c:v>10.8</c:v>
                </c:pt>
              </c:numCache>
            </c:numRef>
          </c:val>
        </c:ser>
        <c:ser>
          <c:idx val="1"/>
          <c:order val="1"/>
          <c:tx>
            <c:strRef>
              <c:f>Sheet1!$C$1</c:f>
              <c:strCache>
                <c:ptCount val="1"/>
                <c:pt idx="0">
                  <c:v/>
                </c:pt>
              </c:strCache>
            </c:strRef>
          </c:tx>
          <c:spPr/>
          <c:explosion val="0"/>
          <c:dPt>
            <c:idx val="0"/>
            <c:bubble3D val="0"/>
            <c:spPr>
              <a:solidFill>
                <a:schemeClr val="accent1"/>
              </a:solidFill>
              <a:ln w="19050">
                <a:solidFill>
                  <a:schemeClr val="lt1"/>
                </a:solidFill>
              </a:ln>
              <a:effectLst/>
            </c:spPr>
          </c:dPt>
          <c:dPt>
            <c:idx val="1"/>
            <c:bubble3D val="0"/>
            <c:spPr>
              <a:solidFill>
                <a:schemeClr val="accent2"/>
              </a:solidFill>
              <a:ln w="19050">
                <a:solidFill>
                  <a:schemeClr val="lt1"/>
                </a:solidFill>
              </a:ln>
              <a:effectLst/>
            </c:spPr>
          </c:dPt>
          <c:dPt>
            <c:idx val="2"/>
            <c:bubble3D val="0"/>
            <c:spPr>
              <a:solidFill>
                <a:schemeClr val="accent3"/>
              </a:solidFill>
              <a:ln w="19050">
                <a:solidFill>
                  <a:schemeClr val="lt1"/>
                </a:solidFill>
              </a:ln>
              <a:effectLst/>
            </c:spPr>
          </c:dPt>
          <c:dLbls>
            <c:numFmt formatCode="General" sourceLinked="1"/>
            <c:spPr>
              <a:noFill/>
              <a:ln>
                <a:noFill/>
              </a:ln>
              <a:effectLst/>
            </c:spPr>
            <c:txPr>
              <a:bodyPr rot="0" spcFirstLastPara="0" vertOverflow="ellipsis" vert="horz" wrap="square" lIns="38100" tIns="19050" rIns="38100" bIns="19050" anchor="ctr" anchorCtr="1"/>
              <a:lstStyle/>
              <a:p>
                <a:pPr>
                  <a:defRPr lang="zh-CN" sz="900" b="0" i="0" u="none" strike="noStrike" kern="1200" baseline="0">
                    <a:solidFill>
                      <a:schemeClr val="tx1">
                        <a:lumMod val="75000"/>
                        <a:lumOff val="25000"/>
                      </a:schemeClr>
                    </a:solidFill>
                    <a:latin typeface="+mn-lt"/>
                    <a:ea typeface="+mn-ea"/>
                    <a:cs typeface="+mn-cs"/>
                  </a:defRPr>
                </a:pPr>
              </a:p>
            </c:txPr>
            <c:dLblPos val="bestFit"/>
            <c:showLegendKey val="0"/>
            <c:showVal val="1"/>
            <c:showCatName val="0"/>
            <c:showSerName val="0"/>
            <c:showPercent val="0"/>
            <c:showBubbleSize val="0"/>
            <c:showLeaderLines val="1"/>
            <c:extLs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Sheet1!$A$2:$A$4</c:f>
              <c:strCache>
                <c:ptCount val="3"/>
                <c:pt idx="0">
                  <c:v>社会保障和就业类</c:v>
                </c:pt>
                <c:pt idx="1">
                  <c:v>卫生健康支出</c:v>
                </c:pt>
                <c:pt idx="2">
                  <c:v>住房保障支出</c:v>
                </c:pt>
              </c:strCache>
            </c:strRef>
          </c:cat>
          <c:val>
            <c:numRef>
              <c:f>Sheet1!$C$2:$C$4</c:f>
              <c:numCache>
                <c:formatCode>General</c:formatCode>
                <c:ptCount val="3"/>
              </c:numCache>
            </c:numRef>
          </c:val>
        </c:ser>
        <c:dLbls>
          <c:showLegendKey val="0"/>
          <c:showVal val="1"/>
          <c:showCatName val="0"/>
          <c:showSerName val="0"/>
          <c:showPercent val="0"/>
          <c:showBubbleSize val="0"/>
          <c:showLeaderLines val="1"/>
        </c:dLbls>
        <c:firstSliceAng val="0"/>
      </c:pieChart>
      <c:spPr>
        <a:noFill/>
        <a:ln>
          <a:noFill/>
        </a:ln>
        <a:effectLst/>
      </c:spPr>
    </c:plotArea>
    <c:legend>
      <c:legendPos val="b"/>
      <c:layout>
        <c:manualLayout>
          <c:xMode val="edge"/>
          <c:yMode val="edge"/>
          <c:x val="0.334463270481951"/>
          <c:y val="0.84533211391478"/>
          <c:w val="0.380559299191375"/>
          <c:h val="0.113887274840209"/>
        </c:manualLayout>
      </c:layout>
      <c:overlay val="0"/>
      <c:spPr>
        <a:noFill/>
        <a:ln>
          <a:noFill/>
        </a:ln>
        <a:effectLst/>
      </c:spPr>
      <c:txPr>
        <a:bodyPr rot="0" spcFirstLastPara="0" vertOverflow="ellipsis" vert="horz" wrap="square" anchor="ctr" anchorCtr="1"/>
        <a:lstStyle/>
        <a:p>
          <a:pPr>
            <a:defRPr lang="zh-CN" sz="900" b="0" i="0" u="none" strike="noStrike" kern="1200" baseline="0">
              <a:solidFill>
                <a:schemeClr val="tx1">
                  <a:lumMod val="65000"/>
                  <a:lumOff val="35000"/>
                </a:schemeClr>
              </a:solidFill>
              <a:latin typeface="+mn-lt"/>
              <a:ea typeface="+mn-ea"/>
              <a:cs typeface="+mn-cs"/>
            </a:defRPr>
          </a:pPr>
        </a:p>
      </c:txPr>
    </c:legend>
    <c:plotVisOnly val="1"/>
    <c:dispBlanksAs val="gap"/>
    <c:showDLblsOverMax val="0"/>
    <c:extLst>
      <c:ext uri="{0b15fc19-7d7d-44ad-8c2d-2c3a37ce22c3}">
        <chartProps xmlns="https://web.wps.cn/et/2018/main" chartId="{f9f73fcc-f0a3-47c1-a5c2-dd844f578bac}"/>
      </c:ext>
    </c:extLst>
  </c:chart>
  <c:spPr>
    <a:solidFill>
      <a:schemeClr val="bg1"/>
    </a:solidFill>
    <a:ln w="9525" cap="flat" cmpd="sng" algn="ctr">
      <a:solidFill>
        <a:schemeClr val="tx1">
          <a:lumMod val="15000"/>
          <a:lumOff val="85000"/>
        </a:schemeClr>
      </a:solidFill>
      <a:round/>
    </a:ln>
    <a:effectLst/>
  </c:spPr>
  <c:txPr>
    <a:bodyPr/>
    <a:lstStyle/>
    <a:p>
      <a:pPr>
        <a:defRPr lang="zh-CN"/>
      </a:pPr>
    </a:p>
  </c:txPr>
  <c:externalData r:id="rId1">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7.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7.xml><?xml version="1.0" encoding="utf-8"?>
<cs:chartStyle xmlns:cs="http://schemas.microsoft.com/office/drawing/2012/chartStyle" xmlns:a="http://schemas.openxmlformats.org/drawingml/2006/main" id="25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9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spPr>
      <a:ln w="19050">
        <a:solidFill>
          <a:schemeClr val="lt1"/>
        </a:solidFill>
      </a:ln>
    </cs:spPr>
  </cs:dataPoint>
  <cs:dataPoint3D>
    <cs:lnRef idx="0"/>
    <cs:fillRef idx="1">
      <cs:styleClr val="auto"/>
    </cs:fillRef>
    <cs:effectRef idx="0"/>
    <cs:fontRef idx="minor">
      <a:schemeClr val="tx1"/>
    </cs:fontRef>
    <cs:spPr>
      <a:ln w="25400">
        <a:solidFill>
          <a:schemeClr val="lt1"/>
        </a:solidFill>
      </a:ln>
    </cs:spPr>
  </cs:dataPoint3D>
  <cs:dataPointLine>
    <cs:lnRef idx="0">
      <cs:styleClr val="auto"/>
    </cs:lnRef>
    <cs:fillRef idx="0"/>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0"/>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Company>四川省财政厅</Company>
  <Pages>22</Pages>
  <Words>3773</Words>
  <Characters>4122</Characters>
  <Lines>61</Lines>
  <Paragraphs>17</Paragraphs>
  <TotalTime>1</TotalTime>
  <ScaleCrop>false</ScaleCrop>
  <LinksUpToDate>false</LinksUpToDate>
  <CharactersWithSpaces>4141</CharactersWithSpaces>
  <Application>WPS Office_12.1.0.24034_F1E327BC-269C-435d-A152-05C5408002CA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2020-08-08T17:49:00Z</dcterms:created>
  <dc:creator>曹颖</dc:creator>
  <cp:lastModifiedBy>Administrator</cp:lastModifiedBy>
  <cp:lastPrinted>2026-08-03T09:27:00Z</cp:lastPrinted>
  <dcterms:modified xsi:type="dcterms:W3CDTF">2026-10-20T02:42:05Z</dcterms:modified>
  <dc:title>四川省***</dc:title>
  <cp:revision>32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2052-12.1.0.24034</vt:lpwstr>
  </property>
  <property fmtid="{D5CDD505-2E9C-101B-9397-08002B2CF9AE}" pid="3" name="ICV">
    <vt:lpwstr>5354198F21304895B00E0E4F58A010FA_13</vt:lpwstr>
  </property>
  <property fmtid="{D5CDD505-2E9C-101B-9397-08002B2CF9AE}" pid="4" name="KSOTemplateDocerSaveRecord">
    <vt:lpwstr>eyJoZGlkIjoiNDNkMDU4ZTk0OTE4ZTI4YzBiNTQ0YzBiNjMxM2RlMjgifQ==</vt:lpwstr>
  </property>
</Properties>
</file>