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2FDB33">
      <w:pPr>
        <w:pStyle w:val="7"/>
        <w:rPr>
          <w:rFonts w:hint="eastAsia" w:ascii="Times New Roman" w:hAnsi="Times New Roman" w:eastAsia="方正小标宋简体" w:cs="Times New Roman"/>
          <w:color w:val="auto"/>
          <w:kern w:val="2"/>
          <w:sz w:val="72"/>
          <w:szCs w:val="72"/>
          <w:highlight w:val="none"/>
          <w:lang w:val="en-US" w:eastAsia="zh-CN" w:bidi="ar-SA"/>
        </w:rPr>
      </w:pPr>
      <w:bookmarkStart w:id="0" w:name="_Toc15396475"/>
      <w:bookmarkStart w:id="1" w:name="_Toc15378441"/>
      <w:bookmarkStart w:id="2" w:name="_Toc15306267"/>
      <w:bookmarkStart w:id="3" w:name="_Toc15377193"/>
      <w:bookmarkStart w:id="4" w:name="_Toc15396597"/>
      <w:bookmarkStart w:id="5" w:name="_Toc15377425"/>
    </w:p>
    <w:p w14:paraId="0F0A06EB">
      <w:pPr>
        <w:pStyle w:val="7"/>
        <w:rPr>
          <w:rFonts w:hint="eastAsia" w:ascii="Times New Roman" w:hAnsi="Times New Roman" w:eastAsia="方正小标宋简体" w:cs="Times New Roman"/>
          <w:color w:val="auto"/>
          <w:kern w:val="2"/>
          <w:sz w:val="72"/>
          <w:szCs w:val="72"/>
          <w:highlight w:val="none"/>
          <w:lang w:val="en-US" w:eastAsia="zh-CN" w:bidi="ar-SA"/>
        </w:rPr>
      </w:pPr>
    </w:p>
    <w:p w14:paraId="34978661">
      <w:pPr>
        <w:pStyle w:val="7"/>
        <w:rPr>
          <w:rFonts w:hint="eastAsia" w:ascii="Times New Roman" w:hAnsi="Times New Roman" w:eastAsia="方正小标宋简体" w:cs="Times New Roman"/>
          <w:color w:val="auto"/>
          <w:kern w:val="2"/>
          <w:sz w:val="72"/>
          <w:szCs w:val="72"/>
          <w:highlight w:val="none"/>
          <w:lang w:val="en-US" w:eastAsia="zh-CN" w:bidi="ar-SA"/>
        </w:rPr>
      </w:pPr>
    </w:p>
    <w:p w14:paraId="0A68A82C">
      <w:pPr>
        <w:pStyle w:val="7"/>
        <w:rPr>
          <w:rFonts w:hint="eastAsia" w:ascii="Times New Roman" w:hAnsi="Times New Roman" w:eastAsia="方正小标宋简体" w:cs="Times New Roman"/>
          <w:color w:val="auto"/>
          <w:kern w:val="2"/>
          <w:sz w:val="72"/>
          <w:szCs w:val="72"/>
          <w:highlight w:val="none"/>
          <w:lang w:val="en-US" w:eastAsia="zh-CN" w:bidi="ar-SA"/>
        </w:rPr>
      </w:pPr>
    </w:p>
    <w:p w14:paraId="2478EADD">
      <w:pPr>
        <w:pStyle w:val="15"/>
        <w:keepNext w:val="0"/>
        <w:keepLines w:val="0"/>
        <w:widowControl/>
        <w:suppressLineNumbers w:val="0"/>
        <w:spacing w:before="0" w:beforeAutospacing="0"/>
        <w:ind w:left="0"/>
        <w:jc w:val="center"/>
        <w:rPr>
          <w:rFonts w:hint="eastAsia" w:ascii="仿宋" w:hAnsi="仿宋" w:eastAsia="仿宋" w:cs="仿宋"/>
          <w:sz w:val="36"/>
          <w:szCs w:val="36"/>
        </w:rPr>
      </w:pPr>
      <w:r>
        <w:rPr>
          <w:rStyle w:val="19"/>
          <w:rFonts w:hint="eastAsia" w:ascii="仿宋" w:hAnsi="仿宋" w:eastAsia="仿宋" w:cs="仿宋"/>
          <w:sz w:val="36"/>
          <w:szCs w:val="36"/>
          <w:shd w:val="clear" w:color="auto" w:fill="FFFFFF"/>
        </w:rPr>
        <w:t>202</w:t>
      </w:r>
      <w:r>
        <w:rPr>
          <w:rStyle w:val="19"/>
          <w:rFonts w:hint="eastAsia" w:ascii="仿宋" w:hAnsi="仿宋" w:eastAsia="仿宋" w:cs="仿宋"/>
          <w:sz w:val="36"/>
          <w:szCs w:val="36"/>
          <w:shd w:val="clear" w:color="auto" w:fill="FFFFFF"/>
          <w:lang w:val="en-US" w:eastAsia="zh-CN"/>
        </w:rPr>
        <w:t>5</w:t>
      </w:r>
      <w:r>
        <w:rPr>
          <w:rStyle w:val="19"/>
          <w:rFonts w:hint="eastAsia" w:ascii="仿宋" w:hAnsi="仿宋" w:eastAsia="仿宋" w:cs="仿宋"/>
          <w:sz w:val="36"/>
          <w:szCs w:val="36"/>
          <w:shd w:val="clear" w:color="auto" w:fill="FFFFFF"/>
        </w:rPr>
        <w:t>年度</w:t>
      </w:r>
    </w:p>
    <w:p w14:paraId="00C67105">
      <w:pPr>
        <w:pStyle w:val="15"/>
        <w:keepNext w:val="0"/>
        <w:keepLines w:val="0"/>
        <w:widowControl/>
        <w:suppressLineNumbers w:val="0"/>
        <w:spacing w:before="0" w:beforeAutospacing="0"/>
        <w:ind w:left="0"/>
        <w:jc w:val="center"/>
        <w:rPr>
          <w:rFonts w:hint="eastAsia" w:ascii="仿宋" w:hAnsi="仿宋" w:eastAsia="仿宋" w:cs="仿宋"/>
          <w:sz w:val="36"/>
          <w:szCs w:val="36"/>
        </w:rPr>
      </w:pPr>
      <w:r>
        <w:rPr>
          <w:rStyle w:val="19"/>
          <w:rFonts w:hint="eastAsia" w:ascii="仿宋" w:hAnsi="仿宋" w:eastAsia="仿宋" w:cs="仿宋"/>
          <w:sz w:val="36"/>
          <w:szCs w:val="36"/>
          <w:shd w:val="clear" w:color="auto" w:fill="FFFFFF"/>
        </w:rPr>
        <w:t>阿坝州红原县</w:t>
      </w:r>
      <w:r>
        <w:rPr>
          <w:rStyle w:val="19"/>
          <w:rFonts w:hint="eastAsia" w:ascii="仿宋" w:hAnsi="仿宋" w:eastAsia="仿宋" w:cs="仿宋"/>
          <w:sz w:val="36"/>
          <w:szCs w:val="36"/>
          <w:shd w:val="clear" w:color="auto" w:fill="FFFFFF"/>
          <w:lang w:val="en-US" w:eastAsia="zh-CN"/>
        </w:rPr>
        <w:t>查尔玛</w:t>
      </w:r>
      <w:r>
        <w:rPr>
          <w:rStyle w:val="19"/>
          <w:rFonts w:hint="eastAsia" w:ascii="仿宋" w:hAnsi="仿宋" w:eastAsia="仿宋" w:cs="仿宋"/>
          <w:sz w:val="36"/>
          <w:szCs w:val="36"/>
          <w:shd w:val="clear" w:color="auto" w:fill="FFFFFF"/>
          <w:lang w:eastAsia="zh-CN"/>
        </w:rPr>
        <w:t>乡</w:t>
      </w:r>
      <w:r>
        <w:rPr>
          <w:rStyle w:val="19"/>
          <w:rFonts w:hint="eastAsia" w:ascii="仿宋" w:hAnsi="仿宋" w:eastAsia="仿宋" w:cs="仿宋"/>
          <w:sz w:val="36"/>
          <w:szCs w:val="36"/>
          <w:shd w:val="clear" w:color="auto" w:fill="FFFFFF"/>
        </w:rPr>
        <w:t>卫生院</w:t>
      </w:r>
      <w:r>
        <w:rPr>
          <w:rStyle w:val="19"/>
          <w:rFonts w:hint="eastAsia" w:ascii="仿宋" w:hAnsi="仿宋" w:eastAsia="仿宋" w:cs="仿宋"/>
          <w:sz w:val="36"/>
          <w:szCs w:val="36"/>
          <w:shd w:val="clear" w:color="auto" w:fill="FFFFFF"/>
          <w:lang w:eastAsia="zh-CN"/>
        </w:rPr>
        <w:t>单位</w:t>
      </w:r>
      <w:r>
        <w:rPr>
          <w:rStyle w:val="19"/>
          <w:rFonts w:hint="eastAsia" w:ascii="仿宋" w:hAnsi="仿宋" w:eastAsia="仿宋" w:cs="仿宋"/>
          <w:sz w:val="36"/>
          <w:szCs w:val="36"/>
          <w:shd w:val="clear" w:color="auto" w:fill="FFFFFF"/>
        </w:rPr>
        <w:t>决算</w:t>
      </w:r>
      <w:r>
        <w:rPr>
          <w:rStyle w:val="19"/>
          <w:rFonts w:hint="eastAsia" w:ascii="仿宋" w:hAnsi="仿宋" w:eastAsia="仿宋" w:cs="仿宋"/>
          <w:sz w:val="36"/>
          <w:szCs w:val="36"/>
          <w:shd w:val="clear" w:color="auto" w:fill="FFFFFF"/>
          <w:lang w:eastAsia="zh-CN"/>
        </w:rPr>
        <w:t>公开说明</w:t>
      </w:r>
    </w:p>
    <w:p w14:paraId="4C6DB483">
      <w:pPr>
        <w:spacing w:line="600" w:lineRule="exact"/>
        <w:jc w:val="center"/>
        <w:outlineLvl w:val="0"/>
        <w:rPr>
          <w:rFonts w:ascii="Times New Roman" w:hAnsi="Times New Roman" w:eastAsia="方正小标宋简体"/>
          <w:color w:val="auto"/>
          <w:sz w:val="72"/>
          <w:szCs w:val="72"/>
          <w:highlight w:val="none"/>
        </w:rPr>
      </w:pPr>
    </w:p>
    <w:p w14:paraId="6A283802">
      <w:pPr>
        <w:pStyle w:val="21"/>
        <w:rPr>
          <w:rFonts w:ascii="Times New Roman" w:hAnsi="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p w14:paraId="2DC5D0C8">
      <w:pPr>
        <w:rPr>
          <w:rFonts w:ascii="Times New Roman" w:hAnsi="Times New Roman"/>
        </w:rPr>
      </w:pPr>
    </w:p>
    <w:p w14:paraId="4935BAB7">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5E54F997">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76C1DBF1">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41016981">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035A09F4">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119C491A">
      <w:pPr>
        <w:widowControl/>
        <w:jc w:val="center"/>
        <w:rPr>
          <w:rFonts w:ascii="Times New Roman" w:hAnsi="Times New Roman" w:eastAsia="黑体" w:cstheme="minorBidi"/>
          <w:color w:val="auto"/>
          <w:sz w:val="28"/>
          <w:szCs w:val="28"/>
          <w:highlight w:val="none"/>
        </w:rPr>
      </w:pPr>
    </w:p>
    <w:p w14:paraId="1465ADB2">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 </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19 </w:t>
      </w:r>
      <w:r>
        <w:rPr>
          <w:rFonts w:hint="eastAsia" w:ascii="Times New Roman" w:hAnsi="Times New Roman" w:eastAsia="仿宋_GB2312" w:cs="仿宋_GB2312"/>
          <w:color w:val="auto"/>
          <w:sz w:val="32"/>
          <w:szCs w:val="32"/>
          <w:highlight w:val="none"/>
        </w:rPr>
        <w:t>日</w:t>
      </w:r>
    </w:p>
    <w:p w14:paraId="39CEAFF1">
      <w:pPr>
        <w:rPr>
          <w:rFonts w:ascii="Times New Roman" w:hAnsi="Times New Roman"/>
          <w:color w:val="auto"/>
          <w:highlight w:val="none"/>
        </w:rPr>
      </w:pPr>
    </w:p>
    <w:p w14:paraId="48250263">
      <w:pPr>
        <w:pStyle w:val="12"/>
        <w:adjustRightInd w:val="0"/>
        <w:snapToGrid w:val="0"/>
        <w:spacing w:before="0" w:line="440" w:lineRule="exact"/>
        <w:jc w:val="left"/>
        <w:rPr>
          <w:rFonts w:hint="eastAsia" w:ascii="宋体" w:hAnsi="宋体" w:eastAsia="宋体" w:cs="宋体"/>
          <w:sz w:val="24"/>
          <w:szCs w:val="24"/>
        </w:rPr>
      </w:pPr>
      <w:bookmarkStart w:id="6" w:name="_Toc15377196"/>
      <w:bookmarkStart w:id="7" w:name="_Toc15396599"/>
      <w:r>
        <w:rPr>
          <w:rFonts w:hint="eastAsia" w:ascii="宋体" w:hAnsi="宋体" w:eastAsia="宋体" w:cs="宋体"/>
          <w:sz w:val="24"/>
        </w:rPr>
        <w:t>第一部分 部门概况</w:t>
      </w:r>
    </w:p>
    <w:p w14:paraId="1F8B7E54">
      <w:pPr>
        <w:pStyle w:val="8"/>
        <w:bidi w:val="0"/>
        <w:ind w:left="0" w:leftChars="0" w:firstLine="420" w:firstLineChars="200"/>
        <w:rPr>
          <w:rFonts w:hint="eastAsia"/>
          <w:lang w:val="en-US" w:eastAsia="zh-CN"/>
        </w:rPr>
      </w:pPr>
      <w:r>
        <w:rPr>
          <w:rFonts w:hint="eastAsia"/>
        </w:rPr>
        <w:t>一</w:t>
      </w:r>
      <w:r>
        <w:rPr>
          <w:rFonts w:hint="eastAsia"/>
          <w:sz w:val="24"/>
          <w:szCs w:val="24"/>
        </w:rPr>
        <w:t>、基本职能及主要工作</w:t>
      </w:r>
      <w:r>
        <w:tab/>
      </w:r>
      <w:r>
        <w:rPr>
          <w:rFonts w:hint="eastAsia"/>
          <w:lang w:val="en-US" w:eastAsia="zh-CN"/>
        </w:rPr>
        <w:t>1</w:t>
      </w:r>
    </w:p>
    <w:p w14:paraId="56D98A10">
      <w:pPr>
        <w:pStyle w:val="8"/>
        <w:bidi w:val="0"/>
        <w:ind w:left="0" w:leftChars="0" w:firstLine="480" w:firstLineChars="200"/>
        <w:rPr>
          <w:rFonts w:hint="default" w:eastAsia="宋体"/>
          <w:lang w:val="en-US" w:eastAsia="zh-CN"/>
        </w:rPr>
      </w:pPr>
      <w:r>
        <w:rPr>
          <w:rFonts w:hint="eastAsia"/>
          <w:sz w:val="24"/>
        </w:rPr>
        <w:t>二、机构设置</w:t>
      </w:r>
      <w:r>
        <w:tab/>
      </w:r>
      <w:r>
        <w:rPr>
          <w:rFonts w:hint="eastAsia"/>
          <w:lang w:val="en-US" w:eastAsia="zh-CN"/>
        </w:rPr>
        <w:t>2</w:t>
      </w:r>
    </w:p>
    <w:p w14:paraId="0B12986C">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第二部分度部门决算情况说明</w:t>
      </w:r>
    </w:p>
    <w:p w14:paraId="6F7E7E8A">
      <w:pPr>
        <w:pStyle w:val="8"/>
        <w:bidi w:val="0"/>
        <w:ind w:left="0" w:leftChars="0" w:firstLine="480" w:firstLineChars="200"/>
        <w:rPr>
          <w:rFonts w:hint="eastAsia" w:eastAsia="宋体"/>
          <w:lang w:val="en-US" w:eastAsia="zh-CN"/>
        </w:rPr>
      </w:pPr>
      <w:r>
        <w:rPr>
          <w:rFonts w:hint="eastAsia"/>
          <w:sz w:val="24"/>
        </w:rPr>
        <w:t>一、收入支出决算总体情况说明</w:t>
      </w:r>
      <w:r>
        <w:tab/>
      </w:r>
      <w:r>
        <w:rPr>
          <w:rFonts w:hint="eastAsia"/>
          <w:lang w:val="en-US" w:eastAsia="zh-CN"/>
        </w:rPr>
        <w:t>3</w:t>
      </w:r>
    </w:p>
    <w:p w14:paraId="33FFFE27">
      <w:pPr>
        <w:pStyle w:val="8"/>
        <w:bidi w:val="0"/>
        <w:ind w:left="0" w:leftChars="0" w:firstLine="480" w:firstLineChars="200"/>
        <w:rPr>
          <w:rFonts w:hint="eastAsia"/>
          <w:lang w:val="en-US" w:eastAsia="zh-CN"/>
        </w:rPr>
      </w:pPr>
      <w:r>
        <w:rPr>
          <w:rFonts w:hint="eastAsia"/>
          <w:sz w:val="24"/>
        </w:rPr>
        <w:t>二、收入决算情况说明</w:t>
      </w:r>
      <w:r>
        <w:tab/>
      </w:r>
      <w:r>
        <w:rPr>
          <w:rFonts w:hint="eastAsia"/>
          <w:lang w:val="en-US" w:eastAsia="zh-CN"/>
        </w:rPr>
        <w:t>3</w:t>
      </w:r>
    </w:p>
    <w:p w14:paraId="7A6C7610">
      <w:pPr>
        <w:pStyle w:val="8"/>
        <w:bidi w:val="0"/>
        <w:ind w:left="0" w:leftChars="0" w:firstLine="480" w:firstLineChars="200"/>
        <w:rPr>
          <w:rFonts w:hint="eastAsia" w:eastAsia="宋体"/>
          <w:lang w:val="en-US" w:eastAsia="zh-CN"/>
        </w:rPr>
      </w:pPr>
      <w:r>
        <w:rPr>
          <w:rFonts w:hint="eastAsia"/>
          <w:sz w:val="24"/>
        </w:rPr>
        <w:t>三、支出决算情况说明</w:t>
      </w:r>
      <w:r>
        <w:tab/>
      </w:r>
      <w:r>
        <w:rPr>
          <w:rFonts w:hint="eastAsia"/>
          <w:lang w:val="en-US" w:eastAsia="zh-CN"/>
        </w:rPr>
        <w:t>4</w:t>
      </w:r>
    </w:p>
    <w:p w14:paraId="27C2E73F">
      <w:pPr>
        <w:pStyle w:val="8"/>
        <w:bidi w:val="0"/>
        <w:ind w:left="0" w:leftChars="0" w:firstLine="480" w:firstLineChars="200"/>
        <w:rPr>
          <w:rFonts w:hint="eastAsia" w:eastAsia="宋体"/>
          <w:lang w:val="en-US" w:eastAsia="zh-CN"/>
        </w:rPr>
      </w:pPr>
      <w:r>
        <w:rPr>
          <w:rFonts w:hint="eastAsia"/>
          <w:sz w:val="24"/>
        </w:rPr>
        <w:t>四、财政拨款收入支出决算总体情况说明</w:t>
      </w:r>
      <w:r>
        <w:tab/>
      </w:r>
      <w:r>
        <w:rPr>
          <w:rFonts w:hint="eastAsia"/>
          <w:lang w:val="en-US" w:eastAsia="zh-CN"/>
        </w:rPr>
        <w:t>5</w:t>
      </w:r>
    </w:p>
    <w:p w14:paraId="63BED48D">
      <w:pPr>
        <w:pStyle w:val="8"/>
        <w:bidi w:val="0"/>
        <w:ind w:left="0" w:leftChars="0" w:firstLine="480" w:firstLineChars="200"/>
        <w:rPr>
          <w:rFonts w:hint="eastAsia" w:eastAsia="宋体"/>
          <w:lang w:val="en-US" w:eastAsia="zh-CN"/>
        </w:rPr>
      </w:pPr>
      <w:r>
        <w:rPr>
          <w:rFonts w:hint="eastAsia"/>
          <w:sz w:val="24"/>
        </w:rPr>
        <w:t>五、一般公共预算财政拨款支出决算情况说明</w:t>
      </w:r>
      <w:r>
        <w:tab/>
      </w:r>
      <w:r>
        <w:rPr>
          <w:rFonts w:hint="eastAsia"/>
          <w:lang w:val="en-US" w:eastAsia="zh-CN"/>
        </w:rPr>
        <w:t>6</w:t>
      </w:r>
    </w:p>
    <w:p w14:paraId="532895ED">
      <w:pPr>
        <w:pStyle w:val="8"/>
        <w:bidi w:val="0"/>
        <w:ind w:left="0" w:leftChars="0" w:firstLine="480" w:firstLineChars="200"/>
        <w:rPr>
          <w:rFonts w:hint="eastAsia" w:eastAsia="宋体"/>
          <w:lang w:val="en-US" w:eastAsia="zh-CN"/>
        </w:rPr>
      </w:pPr>
      <w:r>
        <w:rPr>
          <w:rFonts w:hint="eastAsia"/>
          <w:sz w:val="24"/>
        </w:rPr>
        <w:t>六、一般公共预算财政拨款基本支出决算情况说明</w:t>
      </w:r>
      <w:r>
        <w:tab/>
      </w:r>
      <w:r>
        <w:rPr>
          <w:rFonts w:hint="eastAsia"/>
          <w:lang w:val="en-US" w:eastAsia="zh-CN"/>
        </w:rPr>
        <w:t>7</w:t>
      </w:r>
    </w:p>
    <w:p w14:paraId="4C5AA5E3">
      <w:pPr>
        <w:pStyle w:val="8"/>
        <w:bidi w:val="0"/>
        <w:ind w:left="0" w:leftChars="0" w:firstLine="480" w:firstLineChars="200"/>
        <w:rPr>
          <w:rFonts w:hint="eastAsia" w:eastAsia="宋体"/>
          <w:lang w:val="en-US" w:eastAsia="zh-CN"/>
        </w:rPr>
      </w:pPr>
      <w:r>
        <w:rPr>
          <w:rFonts w:hint="eastAsia"/>
          <w:sz w:val="24"/>
        </w:rPr>
        <w:t>七、</w:t>
      </w:r>
      <w:r>
        <w:rPr>
          <w:sz w:val="24"/>
        </w:rPr>
        <w:t>“</w:t>
      </w:r>
      <w:r>
        <w:rPr>
          <w:rFonts w:hint="eastAsia"/>
          <w:sz w:val="24"/>
        </w:rPr>
        <w:t>三公”经费财政拨款支出决算情况说明</w:t>
      </w:r>
      <w:r>
        <w:tab/>
      </w:r>
      <w:r>
        <w:rPr>
          <w:rFonts w:hint="eastAsia"/>
          <w:lang w:val="en-US" w:eastAsia="zh-CN"/>
        </w:rPr>
        <w:t>8</w:t>
      </w:r>
    </w:p>
    <w:p w14:paraId="50101AC4">
      <w:pPr>
        <w:pStyle w:val="8"/>
        <w:bidi w:val="0"/>
        <w:ind w:left="0" w:leftChars="0" w:firstLine="480" w:firstLineChars="200"/>
        <w:rPr>
          <w:rFonts w:hint="eastAsia" w:eastAsia="宋体"/>
          <w:lang w:val="en-US" w:eastAsia="zh-CN"/>
        </w:rPr>
      </w:pPr>
      <w:r>
        <w:rPr>
          <w:rFonts w:hint="eastAsia"/>
          <w:sz w:val="24"/>
        </w:rPr>
        <w:t>八、政府性基金预算支出决算情况说明</w:t>
      </w:r>
      <w:r>
        <w:tab/>
      </w:r>
      <w:r>
        <w:rPr>
          <w:rFonts w:hint="eastAsia"/>
          <w:lang w:val="en-US" w:eastAsia="zh-CN"/>
        </w:rPr>
        <w:t>9</w:t>
      </w:r>
    </w:p>
    <w:p w14:paraId="718F90BC">
      <w:pPr>
        <w:pStyle w:val="8"/>
        <w:bidi w:val="0"/>
        <w:ind w:left="0" w:leftChars="0" w:firstLine="480" w:firstLineChars="200"/>
        <w:rPr>
          <w:rFonts w:hint="default"/>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tab/>
      </w:r>
      <w:r>
        <w:rPr>
          <w:rFonts w:hint="eastAsia"/>
          <w:lang w:val="en-US" w:eastAsia="zh-CN"/>
        </w:rPr>
        <w:t>10</w:t>
      </w:r>
    </w:p>
    <w:p w14:paraId="3C9C685C">
      <w:pPr>
        <w:pStyle w:val="8"/>
        <w:bidi w:val="0"/>
        <w:ind w:left="0" w:leftChars="0" w:firstLine="480" w:firstLineChars="200"/>
        <w:rPr>
          <w:rFonts w:hint="default" w:eastAsia="宋体"/>
          <w:lang w:val="en-US" w:eastAsia="zh-CN"/>
        </w:rPr>
      </w:pPr>
      <w:r>
        <w:rPr>
          <w:rStyle w:val="20"/>
          <w:rFonts w:hint="eastAsia" w:ascii="仿宋" w:hAnsi="仿宋" w:eastAsia="仿宋"/>
          <w:color w:val="000000" w:themeColor="text1"/>
          <w:sz w:val="24"/>
          <w:u w:val="none"/>
          <w14:textFill>
            <w14:solidFill>
              <w14:schemeClr w14:val="tx1"/>
            </w14:solidFill>
          </w14:textFill>
        </w:rPr>
        <w:t>十、</w:t>
      </w:r>
      <w:r>
        <w:rPr>
          <w:rFonts w:hint="eastAsia"/>
          <w:sz w:val="24"/>
        </w:rPr>
        <w:t>其他重要事项的情况说</w:t>
      </w:r>
      <w:r>
        <w:tab/>
      </w:r>
      <w:r>
        <w:rPr>
          <w:rFonts w:hint="eastAsia"/>
          <w:lang w:val="en-US" w:eastAsia="zh-CN"/>
        </w:rPr>
        <w:t>10</w:t>
      </w:r>
    </w:p>
    <w:p w14:paraId="6546FA13">
      <w:pPr>
        <w:pStyle w:val="8"/>
        <w:bidi w:val="0"/>
        <w:ind w:left="0" w:leftChars="0" w:firstLine="0" w:firstLineChars="0"/>
        <w:rPr>
          <w:rFonts w:hint="default" w:eastAsia="宋体"/>
          <w:lang w:val="en-US" w:eastAsia="zh-CN"/>
        </w:rPr>
      </w:pPr>
      <w:r>
        <w:rPr>
          <w:rFonts w:hint="eastAsia"/>
          <w:sz w:val="24"/>
        </w:rPr>
        <w:t>第三部分</w:t>
      </w:r>
      <w:r>
        <w:rPr>
          <w:sz w:val="24"/>
        </w:rPr>
        <w:t xml:space="preserve"> </w:t>
      </w:r>
      <w:r>
        <w:rPr>
          <w:rFonts w:hint="eastAsia"/>
          <w:sz w:val="24"/>
        </w:rPr>
        <w:t>名词解释</w:t>
      </w:r>
      <w:r>
        <w:tab/>
      </w:r>
      <w:r>
        <w:rPr>
          <w:rFonts w:hint="eastAsia"/>
          <w:lang w:val="en-US" w:eastAsia="zh-CN"/>
        </w:rPr>
        <w:t>13</w:t>
      </w:r>
    </w:p>
    <w:p w14:paraId="16CC9AB4">
      <w:pPr>
        <w:pStyle w:val="12"/>
        <w:adjustRightInd w:val="0"/>
        <w:snapToGrid w:val="0"/>
        <w:spacing w:before="0" w:line="440" w:lineRule="exact"/>
        <w:jc w:val="left"/>
        <w:rPr>
          <w:rFonts w:cstheme="minorBidi"/>
          <w:sz w:val="24"/>
          <w:szCs w:val="24"/>
        </w:rPr>
      </w:pPr>
      <w:r>
        <w:rPr>
          <w:rFonts w:hint="eastAsia" w:asciiTheme="majorEastAsia" w:hAnsiTheme="majorEastAsia" w:eastAsiaTheme="majorEastAsia" w:cstheme="majorEastAsia"/>
          <w:sz w:val="24"/>
        </w:rPr>
        <w:t>第四部分 附件</w:t>
      </w:r>
    </w:p>
    <w:p w14:paraId="12923E60">
      <w:pPr>
        <w:pStyle w:val="8"/>
        <w:bidi w:val="0"/>
        <w:ind w:left="0" w:leftChars="0" w:firstLine="480" w:firstLineChars="200"/>
        <w:rPr>
          <w:rFonts w:hint="default" w:eastAsia="宋体"/>
          <w:lang w:val="en-US" w:eastAsia="zh-CN"/>
        </w:rPr>
      </w:pPr>
      <w:r>
        <w:rPr>
          <w:rFonts w:hint="eastAsia"/>
          <w:sz w:val="24"/>
        </w:rPr>
        <w:t>附件</w:t>
      </w:r>
      <w:r>
        <w:rPr>
          <w:sz w:val="24"/>
        </w:rPr>
        <w:t>1</w:t>
      </w:r>
      <w:r>
        <w:tab/>
      </w:r>
      <w:r>
        <w:rPr>
          <w:rFonts w:hint="eastAsia"/>
          <w:lang w:val="en-US" w:eastAsia="zh-CN"/>
        </w:rPr>
        <w:t>14</w:t>
      </w:r>
    </w:p>
    <w:p w14:paraId="42E2FAD4">
      <w:pPr>
        <w:pStyle w:val="8"/>
        <w:bidi w:val="0"/>
        <w:ind w:left="0" w:leftChars="0" w:firstLine="480" w:firstLineChars="200"/>
        <w:rPr>
          <w:rFonts w:hint="default" w:eastAsia="宋体"/>
          <w:lang w:val="en-US" w:eastAsia="zh-CN"/>
        </w:rPr>
      </w:pPr>
      <w:r>
        <w:rPr>
          <w:rFonts w:hint="eastAsia"/>
          <w:sz w:val="24"/>
        </w:rPr>
        <w:t>附件</w:t>
      </w:r>
      <w:r>
        <w:rPr>
          <w:sz w:val="24"/>
        </w:rPr>
        <w:t>2</w:t>
      </w:r>
      <w:r>
        <w:tab/>
      </w:r>
      <w:r>
        <w:rPr>
          <w:rFonts w:hint="eastAsia"/>
          <w:lang w:val="en-US" w:eastAsia="zh-CN"/>
        </w:rPr>
        <w:t>19</w:t>
      </w:r>
    </w:p>
    <w:p w14:paraId="3EC88F00">
      <w:pPr>
        <w:pStyle w:val="8"/>
        <w:bidi w:val="0"/>
        <w:ind w:left="0" w:leftChars="0" w:firstLine="0" w:firstLineChars="0"/>
        <w:rPr>
          <w:rFonts w:hint="default"/>
          <w:lang w:val="en-US" w:eastAsia="zh-CN"/>
        </w:rPr>
      </w:pPr>
      <w:r>
        <w:rPr>
          <w:rFonts w:hint="eastAsia"/>
          <w:sz w:val="24"/>
        </w:rPr>
        <w:t>第五部分</w:t>
      </w:r>
      <w:r>
        <w:rPr>
          <w:sz w:val="24"/>
        </w:rPr>
        <w:t xml:space="preserve"> </w:t>
      </w:r>
      <w:r>
        <w:rPr>
          <w:rFonts w:hint="eastAsia"/>
          <w:sz w:val="24"/>
        </w:rPr>
        <w:t>附表</w:t>
      </w:r>
      <w:r>
        <w:tab/>
      </w:r>
      <w:r>
        <w:rPr>
          <w:rFonts w:hint="eastAsia"/>
          <w:lang w:val="en-US" w:eastAsia="zh-CN"/>
        </w:rPr>
        <w:t>23</w:t>
      </w:r>
    </w:p>
    <w:p w14:paraId="11C6BA5D">
      <w:pPr>
        <w:pStyle w:val="8"/>
        <w:bidi w:val="0"/>
        <w:ind w:left="0" w:leftChars="0" w:firstLine="480" w:firstLineChars="200"/>
        <w:rPr>
          <w:rFonts w:hint="default" w:eastAsia="宋体"/>
          <w:lang w:val="en-US" w:eastAsia="zh-CN"/>
        </w:rPr>
      </w:pPr>
      <w:r>
        <w:rPr>
          <w:rFonts w:hint="eastAsia" w:ascii="仿宋" w:hAnsi="仿宋" w:eastAsia="仿宋"/>
          <w:sz w:val="24"/>
        </w:rPr>
        <w:t>一、</w:t>
      </w:r>
      <w:r>
        <w:rPr>
          <w:rFonts w:hint="eastAsia"/>
          <w:sz w:val="24"/>
        </w:rPr>
        <w:t>收入支出决算总表</w:t>
      </w:r>
    </w:p>
    <w:p w14:paraId="1F6E34AD">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二、</w:t>
      </w:r>
      <w:r>
        <w:rPr>
          <w:rFonts w:hint="eastAsia" w:ascii="宋体" w:hAnsi="宋体" w:eastAsia="宋体" w:cs="宋体"/>
          <w:sz w:val="24"/>
        </w:rPr>
        <w:t>收入决算表</w:t>
      </w:r>
    </w:p>
    <w:p w14:paraId="2775F6B5">
      <w:pPr>
        <w:pStyle w:val="8"/>
        <w:bidi w:val="0"/>
        <w:ind w:left="0" w:leftChars="0" w:firstLine="480" w:firstLineChars="200"/>
        <w:rPr>
          <w:rFonts w:hint="eastAsia"/>
          <w:sz w:val="24"/>
        </w:rPr>
      </w:pPr>
      <w:r>
        <w:rPr>
          <w:rFonts w:hint="eastAsia" w:ascii="宋体" w:hAnsi="宋体" w:eastAsia="宋体" w:cs="宋体"/>
          <w:sz w:val="24"/>
        </w:rPr>
        <w:t>三、支出决算表</w:t>
      </w:r>
    </w:p>
    <w:p w14:paraId="3FCE6CFA">
      <w:pPr>
        <w:pStyle w:val="8"/>
        <w:bidi w:val="0"/>
        <w:ind w:left="0" w:leftChars="0" w:firstLine="480" w:firstLineChars="200"/>
        <w:rPr>
          <w:rFonts w:hint="default" w:eastAsia="宋体"/>
          <w:lang w:val="en-US" w:eastAsia="zh-CN"/>
        </w:rPr>
      </w:pPr>
      <w:r>
        <w:rPr>
          <w:rFonts w:hint="eastAsia" w:ascii="仿宋" w:hAnsi="仿宋" w:eastAsia="仿宋"/>
          <w:sz w:val="24"/>
        </w:rPr>
        <w:t>四、</w:t>
      </w:r>
      <w:r>
        <w:rPr>
          <w:rFonts w:hint="eastAsia"/>
          <w:sz w:val="24"/>
        </w:rPr>
        <w:t>财政拨款收入支出决算总表</w:t>
      </w:r>
    </w:p>
    <w:p w14:paraId="79AD7FF5">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五、</w:t>
      </w:r>
      <w:r>
        <w:rPr>
          <w:rFonts w:hint="eastAsia" w:ascii="宋体" w:hAnsi="宋体" w:eastAsia="宋体" w:cs="宋体"/>
          <w:sz w:val="24"/>
        </w:rPr>
        <w:t>财政拨款支出决算明细表</w:t>
      </w:r>
    </w:p>
    <w:p w14:paraId="28EBD749">
      <w:pPr>
        <w:pStyle w:val="8"/>
        <w:bidi w:val="0"/>
        <w:ind w:left="0" w:leftChars="0" w:firstLine="480" w:firstLineChars="200"/>
        <w:rPr>
          <w:rFonts w:hint="eastAsia"/>
          <w:sz w:val="24"/>
        </w:rPr>
      </w:pPr>
      <w:r>
        <w:rPr>
          <w:rFonts w:hint="eastAsia" w:ascii="仿宋" w:hAnsi="仿宋" w:eastAsia="仿宋"/>
          <w:sz w:val="24"/>
        </w:rPr>
        <w:t>六、</w:t>
      </w:r>
      <w:r>
        <w:rPr>
          <w:rFonts w:hint="eastAsia"/>
          <w:sz w:val="24"/>
        </w:rPr>
        <w:t>一般公共预算财政拨款支出决算表</w:t>
      </w:r>
    </w:p>
    <w:p w14:paraId="33D6F622">
      <w:pPr>
        <w:pStyle w:val="8"/>
        <w:bidi w:val="0"/>
        <w:ind w:left="0" w:leftChars="0" w:firstLine="480" w:firstLineChars="200"/>
        <w:rPr>
          <w:rFonts w:hint="eastAsia"/>
          <w:sz w:val="24"/>
        </w:rPr>
      </w:pPr>
      <w:r>
        <w:rPr>
          <w:rFonts w:hint="eastAsia" w:ascii="仿宋" w:hAnsi="仿宋" w:eastAsia="仿宋"/>
          <w:sz w:val="24"/>
        </w:rPr>
        <w:t>七、</w:t>
      </w:r>
      <w:r>
        <w:rPr>
          <w:rFonts w:hint="eastAsia"/>
          <w:sz w:val="24"/>
        </w:rPr>
        <w:t>一般公共预算财政拨款支出决算明细表</w:t>
      </w:r>
    </w:p>
    <w:p w14:paraId="3D11A48E">
      <w:pPr>
        <w:pStyle w:val="8"/>
        <w:bidi w:val="0"/>
        <w:ind w:left="0" w:leftChars="0" w:firstLine="480" w:firstLineChars="200"/>
        <w:rPr>
          <w:rFonts w:hint="default" w:eastAsia="宋体"/>
          <w:lang w:val="en-US" w:eastAsia="zh-CN"/>
        </w:rPr>
      </w:pPr>
      <w:r>
        <w:rPr>
          <w:rFonts w:hint="eastAsia" w:ascii="仿宋" w:hAnsi="仿宋" w:eastAsia="仿宋"/>
          <w:sz w:val="24"/>
        </w:rPr>
        <w:t>八、</w:t>
      </w:r>
      <w:r>
        <w:rPr>
          <w:rFonts w:hint="eastAsia"/>
          <w:sz w:val="24"/>
        </w:rPr>
        <w:t>一般公共预算财政拨款基本支出决算表</w:t>
      </w:r>
    </w:p>
    <w:p w14:paraId="7D282624">
      <w:pPr>
        <w:pStyle w:val="8"/>
        <w:bidi w:val="0"/>
        <w:ind w:left="0" w:leftChars="0" w:firstLine="480" w:firstLineChars="200"/>
        <w:rPr>
          <w:rFonts w:hint="eastAsia"/>
          <w:sz w:val="24"/>
        </w:rPr>
      </w:pPr>
      <w:r>
        <w:rPr>
          <w:rFonts w:hint="eastAsia" w:ascii="仿宋" w:hAnsi="仿宋" w:eastAsia="仿宋"/>
          <w:sz w:val="24"/>
        </w:rPr>
        <w:t>九、</w:t>
      </w:r>
      <w:r>
        <w:rPr>
          <w:rFonts w:hint="eastAsia"/>
          <w:sz w:val="24"/>
        </w:rPr>
        <w:t>一般公共预算财政拨款项目支出决算表</w:t>
      </w:r>
    </w:p>
    <w:p w14:paraId="13B33685">
      <w:pPr>
        <w:pStyle w:val="8"/>
        <w:bidi w:val="0"/>
        <w:ind w:left="0" w:leftChars="0" w:firstLine="480" w:firstLineChars="200"/>
        <w:rPr>
          <w:rFonts w:hint="eastAsia"/>
          <w:sz w:val="24"/>
        </w:rPr>
      </w:pPr>
      <w:r>
        <w:rPr>
          <w:rFonts w:hint="eastAsia" w:ascii="仿宋" w:hAnsi="仿宋" w:eastAsia="仿宋"/>
          <w:sz w:val="24"/>
        </w:rPr>
        <w:t>十、</w:t>
      </w:r>
      <w:r>
        <w:rPr>
          <w:rFonts w:hint="eastAsia"/>
          <w:sz w:val="24"/>
        </w:rPr>
        <w:t>一般公共预算财政拨款“三公”经费支出决算表</w:t>
      </w:r>
    </w:p>
    <w:p w14:paraId="16080411">
      <w:pPr>
        <w:pStyle w:val="8"/>
        <w:bidi w:val="0"/>
        <w:ind w:left="0" w:leftChars="0" w:firstLine="480" w:firstLineChars="200"/>
        <w:rPr>
          <w:rFonts w:hint="eastAsia"/>
          <w:sz w:val="24"/>
        </w:rPr>
      </w:pPr>
      <w:r>
        <w:rPr>
          <w:rFonts w:hint="eastAsia" w:ascii="仿宋" w:hAnsi="仿宋" w:eastAsia="仿宋"/>
          <w:sz w:val="24"/>
        </w:rPr>
        <w:t>十一、</w:t>
      </w:r>
      <w:r>
        <w:rPr>
          <w:rFonts w:hint="eastAsia"/>
          <w:sz w:val="24"/>
        </w:rPr>
        <w:t>政府性基金预算财政拨款收入支出决算表</w:t>
      </w:r>
    </w:p>
    <w:p w14:paraId="22DC73C2">
      <w:pPr>
        <w:pStyle w:val="8"/>
        <w:bidi w:val="0"/>
        <w:ind w:left="0" w:leftChars="0" w:firstLine="480" w:firstLineChars="200"/>
        <w:rPr>
          <w:rFonts w:hint="eastAsia"/>
          <w:sz w:val="24"/>
        </w:rPr>
      </w:pPr>
      <w:r>
        <w:rPr>
          <w:rFonts w:hint="eastAsia" w:ascii="仿宋" w:hAnsi="仿宋" w:eastAsia="仿宋"/>
          <w:sz w:val="24"/>
        </w:rPr>
        <w:t>十二、</w:t>
      </w:r>
      <w:r>
        <w:rPr>
          <w:rFonts w:hint="eastAsia"/>
          <w:sz w:val="24"/>
        </w:rPr>
        <w:t>政府性基金预算财政拨款“三公”经费支出决算表</w:t>
      </w:r>
    </w:p>
    <w:p w14:paraId="4DF4F9E6">
      <w:pPr>
        <w:pStyle w:val="8"/>
        <w:bidi w:val="0"/>
        <w:ind w:left="0" w:leftChars="0" w:firstLine="480" w:firstLineChars="200"/>
        <w:rPr>
          <w:rFonts w:hint="eastAsia" w:ascii="Times New Roman" w:hAnsi="Times New Roman" w:eastAsia="仿宋_GB2312" w:cs="仿宋_GB2312"/>
          <w:bCs/>
          <w:color w:val="auto"/>
          <w:kern w:val="44"/>
          <w:sz w:val="32"/>
          <w:szCs w:val="32"/>
          <w:highlight w:val="none"/>
        </w:rPr>
      </w:pPr>
      <w:r>
        <w:rPr>
          <w:rFonts w:hint="eastAsia" w:ascii="仿宋" w:hAnsi="仿宋" w:eastAsia="仿宋"/>
          <w:sz w:val="24"/>
        </w:rPr>
        <w:t>十三、</w:t>
      </w:r>
      <w:r>
        <w:rPr>
          <w:rFonts w:hint="eastAsia"/>
          <w:sz w:val="24"/>
        </w:rPr>
        <w:t>国有资本经营预算支出决算表</w:t>
      </w:r>
      <w:r>
        <w:rPr>
          <w:rFonts w:hint="eastAsia" w:ascii="Times New Roman" w:hAnsi="Times New Roman" w:eastAsia="仿宋_GB2312" w:cs="仿宋_GB2312"/>
          <w:b/>
          <w:color w:val="auto"/>
          <w:sz w:val="32"/>
          <w:szCs w:val="32"/>
          <w:highlight w:val="none"/>
        </w:rPr>
        <w:br w:type="page"/>
      </w:r>
    </w:p>
    <w:p w14:paraId="4FF68D16">
      <w:pPr>
        <w:pStyle w:val="4"/>
        <w:jc w:val="center"/>
        <w:rPr>
          <w:rStyle w:val="30"/>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0"/>
          <w:rFonts w:hint="eastAsia" w:ascii="Times New Roman" w:hAnsi="Times New Roman" w:eastAsia="方正小标宋简体" w:cs="方正小标宋简体"/>
          <w:b w:val="0"/>
          <w:bCs w:val="0"/>
          <w:color w:val="auto"/>
          <w:highlight w:val="none"/>
        </w:rPr>
        <w:t>部门概况</w:t>
      </w:r>
      <w:bookmarkEnd w:id="6"/>
      <w:bookmarkEnd w:id="7"/>
    </w:p>
    <w:p w14:paraId="01EE5F41">
      <w:pPr>
        <w:widowControl/>
        <w:jc w:val="left"/>
        <w:rPr>
          <w:rFonts w:ascii="Times New Roman" w:hAnsi="Times New Roman" w:eastAsia="黑体"/>
          <w:color w:val="auto"/>
          <w:sz w:val="32"/>
          <w:szCs w:val="32"/>
          <w:highlight w:val="none"/>
        </w:rPr>
      </w:pPr>
    </w:p>
    <w:p w14:paraId="1F1F3A35">
      <w:pPr>
        <w:pStyle w:val="5"/>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14:paraId="4E233B38">
      <w:pPr>
        <w:keepNext w:val="0"/>
        <w:keepLines w:val="0"/>
        <w:pageBreakBefore w:val="0"/>
        <w:numPr>
          <w:ilvl w:val="0"/>
          <w:numId w:val="0"/>
        </w:numPr>
        <w:kinsoku/>
        <w:wordWrap/>
        <w:overflowPunct/>
        <w:topLinePunct w:val="0"/>
        <w:bidi w:val="0"/>
        <w:spacing w:line="580" w:lineRule="exact"/>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管理、重性精神疾病管理、儿童保健、孕产妇保健、老年人保健等；协助处置突发公共卫生事件。</w:t>
      </w:r>
    </w:p>
    <w:p w14:paraId="00BC9810">
      <w:pPr>
        <w:numPr>
          <w:ilvl w:val="0"/>
          <w:numId w:val="0"/>
        </w:numPr>
        <w:rPr>
          <w:rFonts w:hint="eastAsia"/>
          <w:lang w:eastAsia="zh-CN"/>
        </w:rPr>
      </w:pPr>
      <w:bookmarkStart w:id="62" w:name="_GoBack"/>
      <w:bookmarkEnd w:id="62"/>
    </w:p>
    <w:p w14:paraId="00BA2067">
      <w:pPr>
        <w:pStyle w:val="5"/>
        <w:rPr>
          <w:rStyle w:val="31"/>
          <w:rFonts w:ascii="Times New Roman" w:hAnsi="Times New Roman"/>
          <w:b w:val="0"/>
          <w:bCs w:val="0"/>
          <w:color w:val="auto"/>
          <w:highlight w:val="none"/>
        </w:rPr>
      </w:pPr>
      <w:bookmarkStart w:id="8" w:name="_Toc15377200"/>
      <w:bookmarkStart w:id="9" w:name="_Toc15396601"/>
      <w:r>
        <w:rPr>
          <w:rFonts w:hint="eastAsia" w:ascii="Times New Roman" w:hAnsi="Times New Roman" w:eastAsia="黑体"/>
          <w:b w:val="0"/>
          <w:color w:val="auto"/>
          <w:highlight w:val="none"/>
        </w:rPr>
        <w:t>二、机</w:t>
      </w:r>
      <w:r>
        <w:rPr>
          <w:rStyle w:val="31"/>
          <w:rFonts w:hint="eastAsia" w:ascii="Times New Roman" w:hAnsi="Times New Roman" w:eastAsia="黑体"/>
          <w:b w:val="0"/>
          <w:bCs w:val="0"/>
          <w:color w:val="auto"/>
          <w:highlight w:val="none"/>
        </w:rPr>
        <w:t>构设置</w:t>
      </w:r>
      <w:bookmarkEnd w:id="8"/>
      <w:bookmarkEnd w:id="9"/>
    </w:p>
    <w:p w14:paraId="618FC99E">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Times New Roman" w:hAnsi="Times New Roman" w:eastAsia="仿宋_GB2312" w:cs="仿宋_GB2312"/>
          <w:color w:val="auto"/>
          <w:sz w:val="32"/>
          <w:szCs w:val="32"/>
          <w:highlight w:val="none"/>
        </w:rPr>
      </w:pPr>
      <w:r>
        <w:rPr>
          <w:rFonts w:hint="eastAsia" w:ascii="仿宋" w:hAnsi="仿宋" w:eastAsia="仿宋" w:cs="仿宋"/>
          <w:color w:val="auto"/>
          <w:sz w:val="32"/>
          <w:szCs w:val="32"/>
          <w:highlight w:val="none"/>
        </w:rPr>
        <w:t>红原县</w:t>
      </w:r>
      <w:r>
        <w:rPr>
          <w:rFonts w:hint="eastAsia" w:ascii="仿宋" w:hAnsi="仿宋" w:eastAsia="仿宋" w:cs="仿宋"/>
          <w:color w:val="auto"/>
          <w:sz w:val="32"/>
          <w:szCs w:val="32"/>
          <w:highlight w:val="none"/>
          <w:lang w:eastAsia="zh-CN"/>
        </w:rPr>
        <w:t>查尔玛</w:t>
      </w:r>
      <w:r>
        <w:rPr>
          <w:rFonts w:hint="eastAsia" w:ascii="仿宋" w:hAnsi="仿宋" w:eastAsia="仿宋" w:cs="仿宋"/>
          <w:color w:val="auto"/>
          <w:sz w:val="32"/>
          <w:szCs w:val="32"/>
          <w:highlight w:val="none"/>
        </w:rPr>
        <w:t>乡卫生院下属二级</w:t>
      </w:r>
      <w:r>
        <w:rPr>
          <w:rFonts w:hint="eastAsia" w:ascii="仿宋" w:hAnsi="仿宋" w:eastAsia="仿宋" w:cs="仿宋"/>
          <w:color w:val="auto"/>
          <w:sz w:val="32"/>
          <w:szCs w:val="32"/>
          <w:highlight w:val="none"/>
          <w:lang w:eastAsia="zh-CN"/>
        </w:rPr>
        <w:t>预算</w:t>
      </w:r>
      <w:r>
        <w:rPr>
          <w:rFonts w:hint="eastAsia" w:ascii="仿宋" w:hAnsi="仿宋" w:eastAsia="仿宋" w:cs="仿宋"/>
          <w:color w:val="auto"/>
          <w:sz w:val="32"/>
          <w:szCs w:val="32"/>
          <w:highlight w:val="none"/>
        </w:rPr>
        <w:t>单位</w:t>
      </w:r>
      <w:r>
        <w:rPr>
          <w:rFonts w:hint="eastAsia" w:ascii="仿宋" w:hAnsi="仿宋" w:eastAsia="仿宋" w:cs="仿宋"/>
          <w:color w:val="auto"/>
          <w:sz w:val="32"/>
          <w:szCs w:val="32"/>
          <w:highlight w:val="none"/>
          <w:lang w:val="en-US" w:eastAsia="zh-CN"/>
        </w:rPr>
        <w:t>0</w:t>
      </w:r>
      <w:r>
        <w:rPr>
          <w:rFonts w:hint="eastAsia" w:ascii="仿宋" w:hAnsi="仿宋" w:eastAsia="仿宋" w:cs="仿宋"/>
          <w:color w:val="auto"/>
          <w:sz w:val="32"/>
          <w:szCs w:val="32"/>
          <w:highlight w:val="none"/>
        </w:rPr>
        <w:t>个</w:t>
      </w:r>
      <w:r>
        <w:rPr>
          <w:rFonts w:hint="eastAsia" w:ascii="仿宋" w:hAnsi="仿宋" w:eastAsia="仿宋" w:cs="仿宋"/>
          <w:color w:val="auto"/>
          <w:sz w:val="32"/>
          <w:szCs w:val="32"/>
          <w:highlight w:val="none"/>
          <w:lang w:eastAsia="zh-CN"/>
        </w:rPr>
        <w:t>，</w:t>
      </w:r>
      <w:r>
        <w:rPr>
          <w:rFonts w:hint="eastAsia" w:ascii="仿宋" w:hAnsi="仿宋" w:eastAsia="仿宋" w:cs="仿宋"/>
          <w:bCs/>
          <w:sz w:val="32"/>
          <w:szCs w:val="32"/>
        </w:rPr>
        <w:t>我单位为独立核算全额拨款事业单位，</w:t>
      </w:r>
      <w:r>
        <w:rPr>
          <w:rFonts w:hint="eastAsia" w:ascii="仿宋" w:hAnsi="仿宋" w:eastAsia="仿宋" w:cs="仿宋"/>
          <w:bCs/>
          <w:sz w:val="32"/>
          <w:szCs w:val="32"/>
          <w:lang w:eastAsia="zh-CN"/>
        </w:rPr>
        <w:t>下设</w:t>
      </w:r>
      <w:r>
        <w:rPr>
          <w:rFonts w:hint="eastAsia" w:ascii="仿宋" w:hAnsi="仿宋" w:eastAsia="仿宋" w:cs="仿宋"/>
          <w:bCs/>
          <w:sz w:val="32"/>
          <w:szCs w:val="32"/>
          <w:lang w:val="en-US" w:eastAsia="zh-CN"/>
        </w:rPr>
        <w:t>1机构。</w:t>
      </w:r>
      <w:r>
        <w:rPr>
          <w:rFonts w:hint="eastAsia" w:ascii="仿宋" w:hAnsi="仿宋" w:eastAsia="仿宋" w:cs="仿宋"/>
          <w:bCs/>
          <w:sz w:val="32"/>
          <w:szCs w:val="32"/>
        </w:rPr>
        <w:t>截止20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共有编制8个，其中事业编8个，在职7人,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7</w:t>
      </w:r>
      <w:r>
        <w:rPr>
          <w:rFonts w:hint="eastAsia" w:ascii="仿宋" w:hAnsi="仿宋" w:eastAsia="仿宋" w:cs="仿宋"/>
          <w:bCs/>
          <w:sz w:val="32"/>
          <w:szCs w:val="32"/>
        </w:rPr>
        <w:t>人。</w:t>
      </w:r>
    </w:p>
    <w:p w14:paraId="7E39A645">
      <w:pPr>
        <w:widowControl/>
        <w:jc w:val="left"/>
        <w:rPr>
          <w:rFonts w:hint="eastAsia" w:ascii="Times New Roman" w:hAnsi="Times New Roman" w:eastAsia="仿宋_GB2312"/>
          <w:color w:val="auto"/>
          <w:kern w:val="0"/>
          <w:sz w:val="32"/>
          <w:szCs w:val="32"/>
          <w:highlight w:val="none"/>
          <w:lang w:val="en-US" w:eastAsia="zh-CN"/>
        </w:rPr>
      </w:pPr>
      <w:r>
        <w:rPr>
          <w:rFonts w:hint="eastAsia" w:ascii="Times New Roman" w:hAnsi="Times New Roman" w:eastAsia="仿宋_GB2312" w:cs="仿宋_GB2312"/>
          <w:color w:val="auto"/>
          <w:sz w:val="32"/>
          <w:szCs w:val="32"/>
          <w:highlight w:val="none"/>
        </w:rPr>
        <w:t>纳入</w:t>
      </w:r>
      <w:r>
        <w:rPr>
          <w:rFonts w:hint="eastAsia" w:ascii="仿宋_GB2312" w:hAnsi="仿宋_GB2312" w:eastAsia="仿宋_GB2312" w:cs="仿宋_GB2312"/>
          <w:color w:val="auto"/>
          <w:sz w:val="32"/>
          <w:szCs w:val="32"/>
          <w:highlight w:val="none"/>
        </w:rPr>
        <w:t>红原县查尔玛乡卫生院</w:t>
      </w:r>
      <w:r>
        <w:rPr>
          <w:rFonts w:hint="eastAsia" w:ascii="Times New Roman"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rPr>
        <w:t>部门决算编制范围的二级预算单位</w:t>
      </w:r>
      <w:r>
        <w:rPr>
          <w:rFonts w:hint="eastAsia" w:eastAsia="仿宋_GB2312" w:cs="仿宋_GB2312"/>
          <w:color w:val="auto"/>
          <w:sz w:val="32"/>
          <w:szCs w:val="32"/>
          <w:highlight w:val="none"/>
          <w:lang w:val="en-US" w:eastAsia="zh-CN"/>
        </w:rPr>
        <w:t>无</w:t>
      </w:r>
    </w:p>
    <w:p w14:paraId="40E4B057">
      <w:pPr>
        <w:pStyle w:val="4"/>
        <w:jc w:val="center"/>
        <w:rPr>
          <w:rFonts w:hint="eastAsia" w:ascii="Times New Roman" w:hAnsi="Times New Roman" w:eastAsia="方正小标宋简体" w:cs="方正小标宋简体"/>
          <w:b w:val="0"/>
          <w:color w:val="auto"/>
          <w:highlight w:val="none"/>
        </w:rPr>
      </w:pPr>
      <w:bookmarkStart w:id="10" w:name="_Toc15396602"/>
      <w:bookmarkStart w:id="11" w:name="_Toc15377204"/>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10"/>
      <w:bookmarkEnd w:id="11"/>
    </w:p>
    <w:p w14:paraId="7776C673">
      <w:pPr>
        <w:rPr>
          <w:rFonts w:ascii="Times New Roman" w:hAnsi="Times New Roman"/>
          <w:color w:val="auto"/>
          <w:highlight w:val="none"/>
        </w:rPr>
      </w:pPr>
    </w:p>
    <w:p w14:paraId="142C6B30">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12" w:name="_Toc15396603"/>
      <w:bookmarkStart w:id="13"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1"/>
          <w:rFonts w:hint="eastAsia" w:ascii="Times New Roman" w:hAnsi="Times New Roman" w:eastAsia="黑体"/>
          <w:b w:val="0"/>
          <w:color w:val="auto"/>
          <w:highlight w:val="none"/>
        </w:rPr>
        <w:t>入支出决算总体情况说明</w:t>
      </w:r>
      <w:bookmarkEnd w:id="12"/>
      <w:bookmarkEnd w:id="13"/>
    </w:p>
    <w:p w14:paraId="2D97F4D4">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val="en-US"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column">
              <wp:posOffset>-586105</wp:posOffset>
            </wp:positionH>
            <wp:positionV relativeFrom="paragraph">
              <wp:posOffset>1290320</wp:posOffset>
            </wp:positionV>
            <wp:extent cx="6517005" cy="1823720"/>
            <wp:effectExtent l="4445" t="4445" r="12700" b="1968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197.87</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val="en-US" w:eastAsia="zh-CN"/>
        </w:rPr>
        <w:t>2024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仿宋_GB2312" w:hAnsi="仿宋_GB2312" w:eastAsia="仿宋_GB2312" w:cs="仿宋_GB2312"/>
          <w:sz w:val="32"/>
          <w:szCs w:val="32"/>
        </w:rPr>
        <w:t>200.74</w:t>
      </w:r>
      <w:r>
        <w:rPr>
          <w:rFonts w:hint="eastAsia" w:ascii="Times New Roman" w:hAnsi="Times New Roman" w:eastAsia="仿宋_GB2312" w:cs="仿宋_GB2312"/>
          <w:color w:val="auto"/>
          <w:sz w:val="32"/>
          <w:szCs w:val="32"/>
          <w:highlight w:val="none"/>
        </w:rPr>
        <w:t>万元相比，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总计各减少</w:t>
      </w:r>
      <w:r>
        <w:rPr>
          <w:rFonts w:hint="eastAsia" w:eastAsia="仿宋_GB2312" w:cs="仿宋_GB2312"/>
          <w:color w:val="auto"/>
          <w:sz w:val="32"/>
          <w:szCs w:val="32"/>
          <w:highlight w:val="none"/>
          <w:lang w:val="en-US" w:eastAsia="zh-CN"/>
        </w:rPr>
        <w:t>2.87</w:t>
      </w:r>
      <w:r>
        <w:rPr>
          <w:rFonts w:hint="eastAsia" w:ascii="Times New Roman" w:hAnsi="Times New Roman" w:eastAsia="仿宋_GB2312" w:cs="仿宋_GB2312"/>
          <w:color w:val="auto"/>
          <w:sz w:val="32"/>
          <w:szCs w:val="32"/>
          <w:highlight w:val="none"/>
        </w:rPr>
        <w:t>万元，下降</w:t>
      </w:r>
      <w:r>
        <w:rPr>
          <w:rFonts w:hint="eastAsia" w:eastAsia="仿宋_GB2312" w:cs="仿宋_GB2312"/>
          <w:color w:val="auto"/>
          <w:sz w:val="32"/>
          <w:szCs w:val="32"/>
          <w:highlight w:val="none"/>
          <w:lang w:val="en-US" w:eastAsia="zh-CN"/>
        </w:rPr>
        <w:t>1.45</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人员经费。</w:t>
      </w:r>
    </w:p>
    <w:p w14:paraId="73C5CC5D">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14:paraId="0B7D927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14:paraId="3FC97432">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96604"/>
      <w:bookmarkStart w:id="15" w:name="_Toc15377206"/>
      <w:r>
        <w:rPr>
          <w:rFonts w:hint="eastAsia" w:ascii="Times New Roman" w:hAnsi="Times New Roman" w:eastAsia="黑体"/>
          <w:color w:val="auto"/>
          <w:sz w:val="32"/>
          <w:szCs w:val="32"/>
          <w:highlight w:val="none"/>
          <w:lang w:eastAsia="zh-CN"/>
        </w:rPr>
        <w:t>二、收入决算情况说明</w:t>
      </w:r>
      <w:bookmarkEnd w:id="14"/>
      <w:bookmarkEnd w:id="15"/>
    </w:p>
    <w:p w14:paraId="251828CA">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197.87</w:t>
      </w:r>
      <w:r>
        <w:rPr>
          <w:rFonts w:hint="eastAsia" w:ascii="Times New Roman" w:hAnsi="Times New Roman" w:eastAsia="仿宋_GB2312" w:cs="仿宋_GB2312"/>
          <w:color w:val="auto"/>
          <w:sz w:val="32"/>
          <w:szCs w:val="32"/>
          <w:highlight w:val="none"/>
          <w:lang w:eastAsia="zh-CN"/>
        </w:rPr>
        <w:t>万元，其中：一般公共</w:t>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0288" behindDoc="0" locked="0" layoutInCell="1" allowOverlap="1">
            <wp:simplePos x="0" y="0"/>
            <wp:positionH relativeFrom="column">
              <wp:posOffset>-862330</wp:posOffset>
            </wp:positionH>
            <wp:positionV relativeFrom="paragraph">
              <wp:posOffset>2433320</wp:posOffset>
            </wp:positionV>
            <wp:extent cx="6851650" cy="1922780"/>
            <wp:effectExtent l="4445" t="4445" r="20955" b="1587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ascii="Times New Roman" w:hAnsi="Times New Roman" w:eastAsia="仿宋_GB2312" w:cs="仿宋_GB2312"/>
          <w:color w:val="auto"/>
          <w:sz w:val="32"/>
          <w:szCs w:val="32"/>
          <w:highlight w:val="none"/>
          <w:lang w:eastAsia="zh-CN"/>
        </w:rPr>
        <w:t>预算财政拨款收入</w:t>
      </w:r>
      <w:r>
        <w:rPr>
          <w:rFonts w:hint="eastAsia" w:ascii="仿宋_GB2312" w:hAnsi="仿宋_GB2312" w:eastAsia="仿宋_GB2312" w:cs="仿宋_GB2312"/>
          <w:sz w:val="32"/>
          <w:szCs w:val="32"/>
        </w:rPr>
        <w:t>193.86</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97.97</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4.01</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2.02</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14:paraId="76312F7A">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1B904A32">
      <w:pPr>
        <w:ind w:firstLine="800" w:firstLineChars="250"/>
        <w:rPr>
          <w:rFonts w:hint="eastAsia" w:ascii="Times New Roman" w:hAnsi="Times New Roman" w:eastAsia="仿宋_GB2312" w:cs="仿宋_GB2312"/>
          <w:color w:val="auto"/>
          <w:sz w:val="32"/>
          <w:szCs w:val="32"/>
          <w:highlight w:val="none"/>
          <w:lang w:eastAsia="zh-CN"/>
        </w:rPr>
      </w:pPr>
    </w:p>
    <w:p w14:paraId="250688C8">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16" w:name="_Toc15396605"/>
      <w:bookmarkStart w:id="17"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1"/>
          <w:rFonts w:hint="eastAsia" w:ascii="Times New Roman" w:hAnsi="Times New Roman" w:eastAsia="黑体"/>
          <w:b w:val="0"/>
          <w:color w:val="auto"/>
          <w:highlight w:val="none"/>
        </w:rPr>
        <w:t>出决算情况说明</w:t>
      </w:r>
      <w:bookmarkEnd w:id="16"/>
      <w:bookmarkEnd w:id="17"/>
    </w:p>
    <w:p w14:paraId="2F93A671">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1312" behindDoc="0" locked="0" layoutInCell="1" allowOverlap="1">
            <wp:simplePos x="0" y="0"/>
            <wp:positionH relativeFrom="column">
              <wp:posOffset>-824230</wp:posOffset>
            </wp:positionH>
            <wp:positionV relativeFrom="paragraph">
              <wp:posOffset>2531745</wp:posOffset>
            </wp:positionV>
            <wp:extent cx="5988685" cy="1212850"/>
            <wp:effectExtent l="4445" t="4445" r="7620" b="2095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197.87</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180.28</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91.1</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17.59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8.89</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73798C10">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14:paraId="752B876F">
      <w:pPr>
        <w:ind w:firstLine="800" w:firstLineChars="250"/>
        <w:rPr>
          <w:rFonts w:hint="eastAsia" w:ascii="Times New Roman" w:hAnsi="Times New Roman" w:eastAsia="仿宋_GB2312" w:cs="仿宋_GB2312"/>
          <w:color w:val="auto"/>
          <w:sz w:val="32"/>
          <w:szCs w:val="32"/>
          <w:highlight w:val="none"/>
          <w:lang w:eastAsia="zh-CN"/>
        </w:rPr>
      </w:pPr>
    </w:p>
    <w:p w14:paraId="5FAE12F3">
      <w:pPr>
        <w:spacing w:line="600" w:lineRule="exact"/>
        <w:ind w:firstLine="640" w:firstLineChars="200"/>
        <w:outlineLvl w:val="1"/>
        <w:rPr>
          <w:rStyle w:val="31"/>
          <w:rFonts w:ascii="Times New Roman" w:hAnsi="Times New Roman" w:eastAsia="黑体"/>
          <w:b w:val="0"/>
          <w:color w:val="auto"/>
          <w:highlight w:val="none"/>
        </w:rPr>
      </w:pPr>
      <w:bookmarkStart w:id="18" w:name="_Toc15377208"/>
      <w:bookmarkStart w:id="19" w:name="_Toc15396606"/>
      <w:r>
        <w:rPr>
          <w:rFonts w:hint="eastAsia" w:ascii="Times New Roman" w:hAnsi="Times New Roman" w:eastAsia="黑体"/>
          <w:color w:val="auto"/>
          <w:sz w:val="32"/>
          <w:szCs w:val="32"/>
          <w:highlight w:val="none"/>
        </w:rPr>
        <w:t>四、财</w:t>
      </w:r>
      <w:r>
        <w:rPr>
          <w:rStyle w:val="31"/>
          <w:rFonts w:hint="eastAsia" w:ascii="Times New Roman" w:hAnsi="Times New Roman" w:eastAsia="黑体"/>
          <w:b w:val="0"/>
          <w:color w:val="auto"/>
          <w:highlight w:val="none"/>
        </w:rPr>
        <w:t>政拨款收入支出决算总体情况说明</w:t>
      </w:r>
      <w:bookmarkEnd w:id="18"/>
      <w:bookmarkEnd w:id="19"/>
    </w:p>
    <w:p w14:paraId="1A440AB4">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2336" behindDoc="0" locked="0" layoutInCell="1" allowOverlap="1">
            <wp:simplePos x="0" y="0"/>
            <wp:positionH relativeFrom="column">
              <wp:posOffset>-843280</wp:posOffset>
            </wp:positionH>
            <wp:positionV relativeFrom="paragraph">
              <wp:posOffset>1465580</wp:posOffset>
            </wp:positionV>
            <wp:extent cx="7141210" cy="2005330"/>
            <wp:effectExtent l="4445" t="4445" r="1714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193.86</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sz w:val="32"/>
          <w:szCs w:val="32"/>
        </w:rPr>
        <w:t>200.74</w:t>
      </w:r>
      <w:r>
        <w:rPr>
          <w:rFonts w:hint="eastAsia" w:ascii="Times New Roman" w:hAnsi="Times New Roman" w:eastAsia="仿宋_GB2312" w:cs="仿宋_GB2312"/>
          <w:color w:val="auto"/>
          <w:kern w:val="2"/>
          <w:sz w:val="32"/>
          <w:szCs w:val="32"/>
          <w:highlight w:val="none"/>
          <w:lang w:val="en-US" w:eastAsia="zh-CN" w:bidi="ar-SA"/>
        </w:rPr>
        <w:t>万元相比，财政拨款收入、支出总计各减少</w:t>
      </w:r>
      <w:r>
        <w:rPr>
          <w:rFonts w:hint="eastAsia" w:eastAsia="仿宋_GB2312" w:cs="仿宋_GB2312"/>
          <w:color w:val="auto"/>
          <w:kern w:val="2"/>
          <w:sz w:val="32"/>
          <w:szCs w:val="32"/>
          <w:highlight w:val="none"/>
          <w:lang w:val="en-US" w:eastAsia="zh-CN" w:bidi="ar-SA"/>
        </w:rPr>
        <w:t>6.88</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3.55</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人员变动。</w:t>
      </w:r>
    </w:p>
    <w:p w14:paraId="477228B1">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526DDA7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F1540F9">
      <w:pPr>
        <w:spacing w:line="600" w:lineRule="exact"/>
        <w:ind w:firstLine="640" w:firstLineChars="200"/>
        <w:outlineLvl w:val="1"/>
        <w:rPr>
          <w:rStyle w:val="31"/>
          <w:rFonts w:ascii="Times New Roman" w:hAnsi="Times New Roman" w:eastAsia="黑体"/>
          <w:b w:val="0"/>
          <w:color w:val="auto"/>
          <w:highlight w:val="none"/>
        </w:rPr>
      </w:pPr>
      <w:bookmarkStart w:id="20" w:name="_Toc15377209"/>
      <w:bookmarkStart w:id="21"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般公共预算财政拨款支出决算情况说明</w:t>
      </w:r>
      <w:bookmarkEnd w:id="20"/>
      <w:bookmarkEnd w:id="21"/>
    </w:p>
    <w:p w14:paraId="3361EDE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14:paraId="3ED874CE">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3360" behindDoc="0" locked="0" layoutInCell="1" allowOverlap="1">
            <wp:simplePos x="0" y="0"/>
            <wp:positionH relativeFrom="column">
              <wp:posOffset>-767080</wp:posOffset>
            </wp:positionH>
            <wp:positionV relativeFrom="paragraph">
              <wp:posOffset>1771015</wp:posOffset>
            </wp:positionV>
            <wp:extent cx="6219190" cy="1900555"/>
            <wp:effectExtent l="4445" t="4445" r="5715" b="19050"/>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193.86</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97.97</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eastAsia="仿宋_GB2312" w:cs="仿宋_GB2312"/>
          <w:color w:val="auto"/>
          <w:kern w:val="2"/>
          <w:sz w:val="32"/>
          <w:szCs w:val="32"/>
          <w:highlight w:val="none"/>
          <w:lang w:val="en-US" w:eastAsia="zh-CN" w:bidi="ar-SA"/>
        </w:rPr>
        <w:t>200.74万元</w:t>
      </w:r>
      <w:r>
        <w:rPr>
          <w:rFonts w:hint="eastAsia" w:ascii="Times New Roman" w:hAnsi="Times New Roman" w:eastAsia="仿宋_GB2312" w:cs="仿宋_GB2312"/>
          <w:color w:val="auto"/>
          <w:kern w:val="2"/>
          <w:sz w:val="32"/>
          <w:szCs w:val="32"/>
          <w:highlight w:val="none"/>
          <w:lang w:val="en-US" w:eastAsia="zh-CN" w:bidi="ar-SA"/>
        </w:rPr>
        <w:t>相比，一般公共预算财政拨款支出减少</w:t>
      </w:r>
      <w:r>
        <w:rPr>
          <w:rFonts w:hint="eastAsia" w:eastAsia="仿宋_GB2312" w:cs="仿宋_GB2312"/>
          <w:color w:val="auto"/>
          <w:kern w:val="2"/>
          <w:sz w:val="32"/>
          <w:szCs w:val="32"/>
          <w:highlight w:val="none"/>
          <w:lang w:val="en-US" w:eastAsia="zh-CN" w:bidi="ar-SA"/>
        </w:rPr>
        <w:t>6.88</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3.55</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人员变动。</w:t>
      </w:r>
    </w:p>
    <w:p w14:paraId="411F7CD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14:paraId="7DF237C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CCC49E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14:paraId="3E0608A1">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4384" behindDoc="0" locked="0" layoutInCell="1" allowOverlap="1">
            <wp:simplePos x="0" y="0"/>
            <wp:positionH relativeFrom="column">
              <wp:posOffset>-881380</wp:posOffset>
            </wp:positionH>
            <wp:positionV relativeFrom="paragraph">
              <wp:posOffset>2690495</wp:posOffset>
            </wp:positionV>
            <wp:extent cx="6584950" cy="1755140"/>
            <wp:effectExtent l="4445" t="5080" r="20955" b="11430"/>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193.86</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一般公共服务支出**万元，占**%；教育支出**万元，占**%；科学技术支出**万元，占**%；文化旅游体育与传媒支出**万元，占**%；社会保障和就业支出</w:t>
      </w:r>
      <w:r>
        <w:rPr>
          <w:rFonts w:hint="eastAsia" w:eastAsia="仿宋_GB2312" w:cs="仿宋_GB2312"/>
          <w:color w:val="auto"/>
          <w:kern w:val="2"/>
          <w:sz w:val="32"/>
          <w:szCs w:val="32"/>
          <w:highlight w:val="none"/>
          <w:lang w:val="en-US" w:eastAsia="zh-CN" w:bidi="ar-SA"/>
        </w:rPr>
        <w:t>23.88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12.32</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155.71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80.32</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14.27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7.36</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3CF9DEC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2AB9258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1AA6BA9">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4"/>
    </w:p>
    <w:p w14:paraId="2B7A731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8460"/>
      <w:bookmarkStart w:id="26" w:name="_Toc15377444"/>
      <w:bookmarkStart w:id="27" w:name="_Toc15377213"/>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193.86</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5"/>
      <w:bookmarkEnd w:id="26"/>
      <w:bookmarkEnd w:id="27"/>
    </w:p>
    <w:p w14:paraId="445AA021">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1.社会保障和就业支出（208）行政事业单位养老支出（05）机关事业单位基本养老保险缴费支出（05）:支出决算</w:t>
      </w:r>
      <w:r>
        <w:rPr>
          <w:rFonts w:hint="eastAsia" w:ascii="仿宋" w:hAnsi="仿宋" w:eastAsia="仿宋" w:cs="仿宋"/>
          <w:color w:val="000000"/>
          <w:sz w:val="32"/>
          <w:szCs w:val="32"/>
          <w:lang w:val="en-US" w:eastAsia="zh-CN"/>
        </w:rPr>
        <w:t>15.85</w:t>
      </w:r>
      <w:r>
        <w:rPr>
          <w:rFonts w:hint="eastAsia" w:ascii="仿宋" w:hAnsi="仿宋" w:eastAsia="仿宋" w:cs="仿宋"/>
          <w:color w:val="000000"/>
          <w:sz w:val="32"/>
          <w:szCs w:val="32"/>
        </w:rPr>
        <w:t>万元，完成预算100%。</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 xml:space="preserve">    2.社会保障和就业支出（208）行政事业单位养老支出（05）机关事业单位职业年金缴费支出（06）:支出决算</w:t>
      </w:r>
      <w:r>
        <w:rPr>
          <w:rFonts w:hint="eastAsia" w:ascii="仿宋" w:hAnsi="仿宋" w:eastAsia="仿宋" w:cs="仿宋"/>
          <w:color w:val="000000"/>
          <w:sz w:val="32"/>
          <w:szCs w:val="32"/>
          <w:lang w:val="en-US" w:eastAsia="zh-CN"/>
        </w:rPr>
        <w:t>8.04</w:t>
      </w:r>
      <w:r>
        <w:rPr>
          <w:rFonts w:hint="eastAsia" w:ascii="仿宋" w:hAnsi="仿宋" w:eastAsia="仿宋" w:cs="仿宋"/>
          <w:color w:val="000000"/>
          <w:sz w:val="32"/>
          <w:szCs w:val="32"/>
        </w:rPr>
        <w:t>万元，完成预算100%。</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lang w:val="en-US" w:eastAsia="zh-CN"/>
        </w:rPr>
        <w:t xml:space="preserve">   </w:t>
      </w:r>
      <w:r>
        <w:rPr>
          <w:rFonts w:hint="eastAsia" w:ascii="Times New Roman" w:hAnsi="Times New Roman" w:eastAsia="仿宋_GB2312" w:cs="仿宋_GB2312"/>
          <w:color w:val="auto"/>
          <w:kern w:val="2"/>
          <w:sz w:val="32"/>
          <w:szCs w:val="32"/>
          <w:highlight w:val="none"/>
          <w:lang w:val="en-US" w:eastAsia="zh-CN" w:bidi="ar-SA"/>
        </w:rPr>
        <w:t>3.</w:t>
      </w:r>
      <w:r>
        <w:rPr>
          <w:rFonts w:hint="eastAsia" w:ascii="仿宋" w:hAnsi="仿宋" w:eastAsia="仿宋" w:cs="仿宋"/>
          <w:color w:val="000000"/>
          <w:sz w:val="32"/>
          <w:szCs w:val="32"/>
        </w:rPr>
        <w:t>卫生健康支出（210）公共卫生（0</w:t>
      </w:r>
      <w:r>
        <w:rPr>
          <w:rFonts w:hint="eastAsia" w:ascii="仿宋" w:hAnsi="仿宋" w:eastAsia="仿宋" w:cs="仿宋"/>
          <w:color w:val="000000"/>
          <w:sz w:val="32"/>
          <w:szCs w:val="32"/>
          <w:lang w:val="en-US" w:eastAsia="zh-CN"/>
        </w:rPr>
        <w:t>3</w:t>
      </w:r>
      <w:r>
        <w:rPr>
          <w:rFonts w:hint="eastAsia" w:ascii="仿宋" w:hAnsi="仿宋" w:eastAsia="仿宋" w:cs="仿宋"/>
          <w:color w:val="000000"/>
          <w:sz w:val="32"/>
          <w:szCs w:val="32"/>
        </w:rPr>
        <w:t>）</w:t>
      </w:r>
      <w:r>
        <w:rPr>
          <w:rFonts w:hint="eastAsia" w:ascii="仿宋" w:hAnsi="仿宋" w:eastAsia="仿宋" w:cs="仿宋"/>
          <w:color w:val="000000"/>
          <w:sz w:val="32"/>
          <w:szCs w:val="32"/>
          <w:lang w:eastAsia="zh-CN"/>
        </w:rPr>
        <w:t>基层医疗机构卫生</w:t>
      </w:r>
      <w:r>
        <w:rPr>
          <w:rFonts w:hint="eastAsia" w:ascii="仿宋" w:hAnsi="仿宋" w:eastAsia="仿宋" w:cs="仿宋"/>
          <w:color w:val="000000"/>
          <w:sz w:val="32"/>
          <w:szCs w:val="32"/>
        </w:rPr>
        <w:t>（0</w:t>
      </w:r>
      <w:r>
        <w:rPr>
          <w:rFonts w:hint="eastAsia" w:ascii="仿宋" w:hAnsi="仿宋" w:eastAsia="仿宋" w:cs="仿宋"/>
          <w:color w:val="000000"/>
          <w:sz w:val="32"/>
          <w:szCs w:val="32"/>
          <w:lang w:val="en-US" w:eastAsia="zh-CN"/>
        </w:rPr>
        <w:t>2</w:t>
      </w:r>
      <w:r>
        <w:rPr>
          <w:rFonts w:hint="eastAsia" w:ascii="仿宋" w:hAnsi="仿宋" w:eastAsia="仿宋" w:cs="仿宋"/>
          <w:color w:val="000000"/>
          <w:sz w:val="32"/>
          <w:szCs w:val="32"/>
        </w:rPr>
        <w:t>）:支出决算</w:t>
      </w:r>
      <w:r>
        <w:rPr>
          <w:rFonts w:hint="eastAsia" w:ascii="仿宋" w:hAnsi="仿宋" w:eastAsia="仿宋" w:cs="仿宋"/>
          <w:color w:val="000000"/>
          <w:sz w:val="32"/>
          <w:szCs w:val="32"/>
          <w:lang w:val="en-US" w:eastAsia="zh-CN"/>
        </w:rPr>
        <w:t>144.14</w:t>
      </w:r>
      <w:r>
        <w:rPr>
          <w:rFonts w:hint="eastAsia" w:ascii="仿宋" w:hAnsi="仿宋" w:eastAsia="仿宋" w:cs="仿宋"/>
          <w:color w:val="000000"/>
          <w:sz w:val="32"/>
          <w:szCs w:val="32"/>
        </w:rPr>
        <w:t>万元，完成预算100%。</w:t>
      </w:r>
    </w:p>
    <w:p w14:paraId="09B1544F">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4.</w:t>
      </w:r>
      <w:r>
        <w:rPr>
          <w:rFonts w:hint="eastAsia" w:ascii="仿宋" w:hAnsi="仿宋" w:eastAsia="仿宋" w:cs="仿宋"/>
          <w:color w:val="000000"/>
          <w:sz w:val="32"/>
          <w:szCs w:val="32"/>
        </w:rPr>
        <w:t>卫生健康支出（210）其他卫生健康支出（</w:t>
      </w:r>
      <w:r>
        <w:rPr>
          <w:rFonts w:hint="eastAsia" w:ascii="仿宋" w:hAnsi="仿宋" w:eastAsia="仿宋" w:cs="仿宋"/>
          <w:color w:val="000000"/>
          <w:sz w:val="32"/>
          <w:szCs w:val="32"/>
          <w:lang w:val="en-US" w:eastAsia="zh-CN"/>
        </w:rPr>
        <w:t>03</w:t>
      </w:r>
      <w:r>
        <w:rPr>
          <w:rFonts w:hint="eastAsia" w:ascii="仿宋" w:hAnsi="仿宋" w:eastAsia="仿宋" w:cs="仿宋"/>
          <w:color w:val="000000"/>
          <w:sz w:val="32"/>
          <w:szCs w:val="32"/>
        </w:rPr>
        <w:t>）其他卫生健康支出（99）:支出决算</w:t>
      </w:r>
      <w:r>
        <w:rPr>
          <w:rFonts w:hint="eastAsia" w:ascii="仿宋" w:hAnsi="仿宋" w:eastAsia="仿宋" w:cs="仿宋"/>
          <w:color w:val="000000"/>
          <w:sz w:val="32"/>
          <w:szCs w:val="32"/>
          <w:lang w:val="en-US" w:eastAsia="zh-CN"/>
        </w:rPr>
        <w:t>11.4</w:t>
      </w:r>
      <w:r>
        <w:rPr>
          <w:rFonts w:hint="eastAsia" w:ascii="仿宋" w:hAnsi="仿宋" w:eastAsia="仿宋" w:cs="仿宋"/>
          <w:color w:val="000000"/>
          <w:sz w:val="32"/>
          <w:szCs w:val="32"/>
        </w:rPr>
        <w:t>万元，完成预算100%。</w:t>
      </w:r>
    </w:p>
    <w:p w14:paraId="3AF90620">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5.</w:t>
      </w:r>
      <w:r>
        <w:rPr>
          <w:rFonts w:hint="eastAsia" w:ascii="仿宋" w:hAnsi="仿宋" w:eastAsia="仿宋" w:cs="仿宋"/>
          <w:color w:val="000000"/>
          <w:sz w:val="32"/>
          <w:szCs w:val="32"/>
        </w:rPr>
        <w:t>卫生健康支出（210）公共卫生（0</w:t>
      </w:r>
      <w:r>
        <w:rPr>
          <w:rFonts w:hint="eastAsia" w:ascii="仿宋" w:hAnsi="仿宋" w:eastAsia="仿宋" w:cs="仿宋"/>
          <w:color w:val="000000"/>
          <w:sz w:val="32"/>
          <w:szCs w:val="32"/>
          <w:lang w:val="en-US" w:eastAsia="zh-CN"/>
        </w:rPr>
        <w:t>4</w:t>
      </w:r>
      <w:r>
        <w:rPr>
          <w:rFonts w:hint="eastAsia" w:ascii="仿宋" w:hAnsi="仿宋" w:eastAsia="仿宋" w:cs="仿宋"/>
          <w:color w:val="000000"/>
          <w:sz w:val="32"/>
          <w:szCs w:val="32"/>
        </w:rPr>
        <w:t>）基本公共卫生服务（0</w:t>
      </w: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）:支出决算</w:t>
      </w:r>
      <w:r>
        <w:rPr>
          <w:rFonts w:hint="eastAsia" w:ascii="仿宋" w:hAnsi="仿宋" w:eastAsia="仿宋" w:cs="仿宋"/>
          <w:color w:val="000000"/>
          <w:sz w:val="32"/>
          <w:szCs w:val="32"/>
          <w:lang w:val="en-US" w:eastAsia="zh-CN"/>
        </w:rPr>
        <w:t>1.48</w:t>
      </w:r>
      <w:r>
        <w:rPr>
          <w:rFonts w:hint="eastAsia" w:ascii="仿宋" w:hAnsi="仿宋" w:eastAsia="仿宋" w:cs="仿宋"/>
          <w:color w:val="000000"/>
          <w:sz w:val="32"/>
          <w:szCs w:val="32"/>
        </w:rPr>
        <w:t>万元，完成预算100%。</w:t>
      </w:r>
    </w:p>
    <w:p w14:paraId="4E83403C">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6.</w:t>
      </w:r>
      <w:r>
        <w:rPr>
          <w:rFonts w:hint="eastAsia" w:ascii="仿宋" w:hAnsi="仿宋" w:eastAsia="仿宋" w:cs="仿宋"/>
          <w:color w:val="000000"/>
          <w:sz w:val="32"/>
          <w:szCs w:val="32"/>
        </w:rPr>
        <w:t>卫生健康支出（210）行政事业单位医疗（11）事业单位医疗（02）:支出决算</w:t>
      </w:r>
      <w:r>
        <w:rPr>
          <w:rFonts w:hint="eastAsia" w:ascii="仿宋" w:hAnsi="仿宋" w:eastAsia="仿宋" w:cs="仿宋"/>
          <w:color w:val="000000"/>
          <w:sz w:val="32"/>
          <w:szCs w:val="32"/>
          <w:lang w:val="en-US" w:eastAsia="zh-CN"/>
        </w:rPr>
        <w:t>8.56</w:t>
      </w:r>
      <w:r>
        <w:rPr>
          <w:rFonts w:hint="eastAsia" w:ascii="仿宋" w:hAnsi="仿宋" w:eastAsia="仿宋" w:cs="仿宋"/>
          <w:color w:val="000000"/>
          <w:sz w:val="32"/>
          <w:szCs w:val="32"/>
        </w:rPr>
        <w:t>万元，完成预算100%。</w:t>
      </w:r>
    </w:p>
    <w:p w14:paraId="27388578">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7.卫生健康支出（210）其他卫生健康支出（</w:t>
      </w:r>
      <w:r>
        <w:rPr>
          <w:rFonts w:hint="eastAsia" w:ascii="仿宋" w:hAnsi="仿宋" w:eastAsia="仿宋" w:cs="仿宋"/>
          <w:color w:val="000000"/>
          <w:sz w:val="32"/>
          <w:szCs w:val="32"/>
          <w:lang w:val="en-US" w:eastAsia="zh-CN"/>
        </w:rPr>
        <w:t>11</w:t>
      </w:r>
      <w:r>
        <w:rPr>
          <w:rFonts w:hint="eastAsia" w:ascii="仿宋" w:hAnsi="仿宋" w:eastAsia="仿宋" w:cs="仿宋"/>
          <w:color w:val="000000"/>
          <w:sz w:val="32"/>
          <w:szCs w:val="32"/>
        </w:rPr>
        <w:t>）其他卫生健康支出（99）:支出决算</w:t>
      </w:r>
      <w:r>
        <w:rPr>
          <w:rFonts w:hint="eastAsia" w:ascii="仿宋" w:hAnsi="仿宋" w:eastAsia="仿宋" w:cs="仿宋"/>
          <w:color w:val="000000"/>
          <w:sz w:val="32"/>
          <w:szCs w:val="32"/>
          <w:lang w:val="en-US" w:eastAsia="zh-CN"/>
        </w:rPr>
        <w:t>1.53</w:t>
      </w:r>
      <w:r>
        <w:rPr>
          <w:rFonts w:hint="eastAsia" w:ascii="仿宋" w:hAnsi="仿宋" w:eastAsia="仿宋" w:cs="仿宋"/>
          <w:color w:val="000000"/>
          <w:sz w:val="32"/>
          <w:szCs w:val="32"/>
        </w:rPr>
        <w:t>万元，完成预算100%。</w:t>
      </w:r>
    </w:p>
    <w:p w14:paraId="2820CC97">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住房保障支出（221）住房改革支出（02）住房公积金（01）:支出决算</w:t>
      </w:r>
      <w:r>
        <w:rPr>
          <w:rFonts w:hint="eastAsia" w:ascii="仿宋" w:hAnsi="仿宋" w:eastAsia="仿宋" w:cs="仿宋"/>
          <w:color w:val="000000"/>
          <w:sz w:val="32"/>
          <w:szCs w:val="32"/>
          <w:lang w:val="en-US" w:eastAsia="zh-CN"/>
        </w:rPr>
        <w:t>11.4</w:t>
      </w:r>
      <w:r>
        <w:rPr>
          <w:rFonts w:hint="eastAsia" w:ascii="仿宋" w:hAnsi="仿宋" w:eastAsia="仿宋" w:cs="仿宋"/>
          <w:color w:val="000000"/>
          <w:sz w:val="32"/>
          <w:szCs w:val="32"/>
        </w:rPr>
        <w:t>万元，完成预算100%。</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14:paraId="0BEFB39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CC0FE82">
      <w:pPr>
        <w:tabs>
          <w:tab w:val="right" w:pos="8306"/>
        </w:tabs>
        <w:spacing w:line="600" w:lineRule="exact"/>
        <w:ind w:firstLine="640"/>
        <w:outlineLvl w:val="1"/>
        <w:rPr>
          <w:rStyle w:val="31"/>
          <w:rFonts w:ascii="Times New Roman" w:hAnsi="Times New Roman"/>
          <w:color w:val="auto"/>
          <w:highlight w:val="none"/>
        </w:rPr>
      </w:pPr>
      <w:bookmarkStart w:id="28" w:name="_Toc15377214"/>
      <w:bookmarkStart w:id="29"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般公共预算财政拨款基本支出决算情况说明</w:t>
      </w:r>
      <w:bookmarkEnd w:id="28"/>
      <w:bookmarkEnd w:id="29"/>
      <w:r>
        <w:rPr>
          <w:rStyle w:val="31"/>
          <w:rFonts w:ascii="Times New Roman" w:hAnsi="Times New Roman" w:eastAsia="黑体"/>
          <w:b w:val="0"/>
          <w:color w:val="auto"/>
          <w:highlight w:val="none"/>
        </w:rPr>
        <w:tab/>
      </w:r>
    </w:p>
    <w:p w14:paraId="5F82ED3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180.28</w:t>
      </w:r>
      <w:r>
        <w:rPr>
          <w:rFonts w:hint="eastAsia" w:ascii="Times New Roman" w:hAnsi="Times New Roman" w:eastAsia="仿宋_GB2312" w:cs="仿宋_GB2312"/>
          <w:color w:val="auto"/>
          <w:kern w:val="2"/>
          <w:sz w:val="32"/>
          <w:szCs w:val="32"/>
          <w:highlight w:val="none"/>
          <w:lang w:val="en-US" w:eastAsia="zh-CN" w:bidi="ar-SA"/>
        </w:rPr>
        <w:t>万元，其中：</w:t>
      </w:r>
    </w:p>
    <w:p w14:paraId="15572275">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175.36</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4.92</w:t>
      </w:r>
      <w:r>
        <w:rPr>
          <w:rFonts w:hint="eastAsia" w:ascii="Times New Roman" w:hAnsi="Times New Roman" w:eastAsia="仿宋_GB2312" w:cs="仿宋_GB2312"/>
          <w:color w:val="auto"/>
          <w:kern w:val="2"/>
          <w:sz w:val="32"/>
          <w:szCs w:val="32"/>
          <w:highlight w:val="none"/>
          <w:lang w:val="en-US" w:eastAsia="zh-CN" w:bidi="ar-SA"/>
        </w:rPr>
        <w:t>万元，主要包括：工会经费</w:t>
      </w:r>
      <w:r>
        <w:rPr>
          <w:rFonts w:hint="eastAsia" w:eastAsia="仿宋_GB2312" w:cs="仿宋_GB2312"/>
          <w:color w:val="auto"/>
          <w:kern w:val="2"/>
          <w:sz w:val="32"/>
          <w:szCs w:val="32"/>
          <w:highlight w:val="none"/>
          <w:lang w:val="en-US" w:eastAsia="zh-CN" w:bidi="ar-SA"/>
        </w:rPr>
        <w:t>1.26万元</w:t>
      </w:r>
      <w:r>
        <w:rPr>
          <w:rFonts w:hint="eastAsia" w:ascii="Times New Roman" w:hAnsi="Times New Roman" w:eastAsia="仿宋_GB2312" w:cs="仿宋_GB2312"/>
          <w:color w:val="auto"/>
          <w:kern w:val="2"/>
          <w:sz w:val="32"/>
          <w:szCs w:val="32"/>
          <w:highlight w:val="none"/>
          <w:lang w:val="en-US" w:eastAsia="zh-CN" w:bidi="ar-SA"/>
        </w:rPr>
        <w:t>、福利费</w:t>
      </w:r>
      <w:r>
        <w:rPr>
          <w:rFonts w:hint="eastAsia" w:eastAsia="仿宋_GB2312" w:cs="仿宋_GB2312"/>
          <w:color w:val="auto"/>
          <w:kern w:val="2"/>
          <w:sz w:val="32"/>
          <w:szCs w:val="32"/>
          <w:highlight w:val="none"/>
          <w:lang w:val="en-US" w:eastAsia="zh-CN" w:bidi="ar-SA"/>
        </w:rPr>
        <w:t>2.18万元、</w:t>
      </w:r>
      <w:r>
        <w:rPr>
          <w:rFonts w:hint="eastAsia" w:ascii="Times New Roman" w:hAnsi="Times New Roman" w:eastAsia="仿宋_GB2312" w:cs="仿宋_GB2312"/>
          <w:color w:val="auto"/>
          <w:kern w:val="2"/>
          <w:sz w:val="32"/>
          <w:szCs w:val="32"/>
          <w:highlight w:val="none"/>
          <w:lang w:val="en-US" w:eastAsia="zh-CN" w:bidi="ar-SA"/>
        </w:rPr>
        <w:t>其他商品和服务支出</w:t>
      </w:r>
      <w:r>
        <w:rPr>
          <w:rFonts w:hint="eastAsia" w:eastAsia="仿宋_GB2312" w:cs="仿宋_GB2312"/>
          <w:color w:val="auto"/>
          <w:kern w:val="2"/>
          <w:sz w:val="32"/>
          <w:szCs w:val="32"/>
          <w:highlight w:val="none"/>
          <w:lang w:val="en-US" w:eastAsia="zh-CN" w:bidi="ar-SA"/>
        </w:rPr>
        <w:t>1.48万元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4C9F908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B7EA89C">
      <w:pPr>
        <w:spacing w:line="600" w:lineRule="exact"/>
        <w:ind w:firstLine="640"/>
        <w:outlineLvl w:val="1"/>
        <w:rPr>
          <w:rStyle w:val="31"/>
          <w:rFonts w:ascii="Times New Roman" w:hAnsi="Times New Roman" w:eastAsia="黑体"/>
          <w:b w:val="0"/>
          <w:color w:val="auto"/>
          <w:highlight w:val="none"/>
        </w:rPr>
      </w:pPr>
      <w:bookmarkStart w:id="30" w:name="_Toc15396609"/>
      <w:bookmarkStart w:id="31" w:name="_Toc15377215"/>
      <w:r>
        <w:rPr>
          <w:rFonts w:hint="eastAsia" w:ascii="Times New Roman" w:hAnsi="Times New Roman" w:eastAsia="黑体"/>
          <w:color w:val="auto"/>
          <w:sz w:val="32"/>
          <w:szCs w:val="32"/>
          <w:highlight w:val="none"/>
        </w:rPr>
        <w:t>七、</w:t>
      </w:r>
      <w:r>
        <w:rPr>
          <w:rStyle w:val="31"/>
          <w:rFonts w:hint="eastAsia" w:ascii="Times New Roman" w:hAnsi="Times New Roman" w:eastAsia="黑体"/>
          <w:b w:val="0"/>
          <w:color w:val="auto"/>
          <w:highlight w:val="none"/>
        </w:rPr>
        <w:t>财政拨款</w:t>
      </w:r>
      <w:r>
        <w:rPr>
          <w:rStyle w:val="31"/>
          <w:rFonts w:hint="eastAsia" w:ascii="Times New Roman" w:hAnsi="Times New Roman" w:eastAsia="黑体"/>
          <w:color w:val="auto"/>
          <w:highlight w:val="none"/>
        </w:rPr>
        <w:t>“</w:t>
      </w:r>
      <w:r>
        <w:rPr>
          <w:rStyle w:val="31"/>
          <w:rFonts w:hint="eastAsia" w:ascii="Times New Roman" w:hAnsi="Times New Roman" w:eastAsia="黑体"/>
          <w:b w:val="0"/>
          <w:color w:val="auto"/>
          <w:highlight w:val="none"/>
        </w:rPr>
        <w:t>三公”经费支出决算情况说明</w:t>
      </w:r>
      <w:bookmarkEnd w:id="30"/>
      <w:bookmarkEnd w:id="31"/>
    </w:p>
    <w:p w14:paraId="4BBFC969">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14:paraId="309506DB">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14:paraId="74CBCC47">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14:paraId="6D5DC86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14:paraId="5348550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558D8E1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6865E4A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14:paraId="7C2B92F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18C5644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14:paraId="05A2E39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14:paraId="1A1126E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14:paraId="1B1BD47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14:paraId="04E5C84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14:paraId="3B8DB51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4" w:name="_Toc15396610"/>
      <w:bookmarkStart w:id="35" w:name="_Toc15377218"/>
    </w:p>
    <w:p w14:paraId="37982677">
      <w:pPr>
        <w:spacing w:line="600" w:lineRule="exact"/>
        <w:ind w:firstLine="640"/>
        <w:outlineLvl w:val="1"/>
        <w:rPr>
          <w:rStyle w:val="31"/>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1"/>
          <w:rFonts w:hint="eastAsia" w:ascii="Times New Roman" w:hAnsi="Times New Roman" w:eastAsia="黑体"/>
          <w:b w:val="0"/>
          <w:color w:val="auto"/>
          <w:highlight w:val="none"/>
        </w:rPr>
        <w:t>政府性基金预算支出决算情况说明</w:t>
      </w:r>
      <w:bookmarkEnd w:id="34"/>
      <w:bookmarkEnd w:id="35"/>
    </w:p>
    <w:p w14:paraId="421C7342">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2F7E569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0189C74">
      <w:pPr>
        <w:numPr>
          <w:ilvl w:val="0"/>
          <w:numId w:val="0"/>
        </w:numPr>
        <w:spacing w:line="600" w:lineRule="exact"/>
        <w:ind w:left="630" w:leftChars="0"/>
        <w:outlineLvl w:val="1"/>
        <w:rPr>
          <w:rStyle w:val="31"/>
          <w:rFonts w:ascii="Times New Roman" w:hAnsi="Times New Roman" w:eastAsia="黑体"/>
          <w:b w:val="0"/>
          <w:color w:val="auto"/>
          <w:highlight w:val="none"/>
        </w:rPr>
      </w:pPr>
      <w:bookmarkStart w:id="36" w:name="_Toc15396611"/>
      <w:bookmarkStart w:id="37" w:name="_Toc15377219"/>
      <w:r>
        <w:rPr>
          <w:rStyle w:val="31"/>
          <w:rFonts w:hint="eastAsia" w:ascii="Times New Roman" w:hAnsi="Times New Roman" w:eastAsia="黑体"/>
          <w:b w:val="0"/>
          <w:color w:val="auto"/>
          <w:highlight w:val="none"/>
          <w:lang w:eastAsia="zh-CN"/>
        </w:rPr>
        <w:t>九、</w:t>
      </w:r>
      <w:r>
        <w:rPr>
          <w:rStyle w:val="31"/>
          <w:rFonts w:hint="eastAsia" w:ascii="Times New Roman" w:hAnsi="Times New Roman" w:eastAsia="黑体"/>
          <w:b w:val="0"/>
          <w:color w:val="auto"/>
          <w:highlight w:val="none"/>
        </w:rPr>
        <w:t>国有资本经营预算支出决算情况说明</w:t>
      </w:r>
      <w:bookmarkEnd w:id="36"/>
      <w:bookmarkEnd w:id="37"/>
    </w:p>
    <w:p w14:paraId="62B182D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7160878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88DB589">
      <w:pPr>
        <w:numPr>
          <w:ilvl w:val="0"/>
          <w:numId w:val="0"/>
        </w:numPr>
        <w:spacing w:line="600" w:lineRule="exact"/>
        <w:ind w:left="630" w:leftChars="0"/>
        <w:outlineLvl w:val="1"/>
        <w:rPr>
          <w:rStyle w:val="31"/>
          <w:rFonts w:hint="eastAsia" w:ascii="Times New Roman" w:hAnsi="Times New Roman" w:eastAsia="黑体"/>
          <w:b w:val="0"/>
          <w:color w:val="auto"/>
          <w:highlight w:val="none"/>
        </w:rPr>
      </w:pPr>
      <w:bookmarkStart w:id="38" w:name="_Toc15396612"/>
      <w:bookmarkStart w:id="39" w:name="_Toc15377221"/>
      <w:r>
        <w:rPr>
          <w:rStyle w:val="31"/>
          <w:rFonts w:hint="eastAsia" w:ascii="Times New Roman" w:hAnsi="Times New Roman" w:eastAsia="黑体"/>
          <w:b w:val="0"/>
          <w:color w:val="auto"/>
          <w:highlight w:val="none"/>
          <w:lang w:eastAsia="zh-CN"/>
        </w:rPr>
        <w:t>十、</w:t>
      </w:r>
      <w:r>
        <w:rPr>
          <w:rStyle w:val="31"/>
          <w:rFonts w:hint="eastAsia" w:ascii="Times New Roman" w:hAnsi="Times New Roman" w:eastAsia="黑体"/>
          <w:b w:val="0"/>
          <w:color w:val="auto"/>
          <w:highlight w:val="none"/>
        </w:rPr>
        <w:t>其他重要事项的情况说明</w:t>
      </w:r>
      <w:bookmarkEnd w:id="38"/>
      <w:bookmarkEnd w:id="39"/>
    </w:p>
    <w:p w14:paraId="19EC689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14:paraId="7EA1B70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红原县查尔玛乡卫生院</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4B77E23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7D2687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14:paraId="2851CAD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红原县查尔玛乡卫生院</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14:paraId="6F0EDE4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CAB9592">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14:paraId="6CD60A2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红原县查尔玛乡卫生院</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3</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3</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巡诊义诊及转运急救病人。</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0B9E8AF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998757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2DE7CB64">
      <w:pPr>
        <w:spacing w:line="600" w:lineRule="exact"/>
        <w:ind w:firstLine="640"/>
        <w:rPr>
          <w:rFonts w:hint="eastAsia" w:asciiTheme="minorEastAsia" w:hAnsiTheme="minorEastAsia" w:eastAsiaTheme="minorEastAsia" w:cstheme="minorEastAsia"/>
          <w:sz w:val="32"/>
          <w:szCs w:val="32"/>
        </w:rPr>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eastAsia="仿宋_GB2312" w:cs="仿宋_GB2312"/>
          <w:color w:val="auto"/>
          <w:kern w:val="2"/>
          <w:sz w:val="32"/>
          <w:szCs w:val="32"/>
          <w:highlight w:val="none"/>
          <w:lang w:val="en-US" w:eastAsia="zh-CN" w:bidi="ar-SA"/>
        </w:rPr>
        <w:t>本</w:t>
      </w:r>
      <w:r>
        <w:rPr>
          <w:rFonts w:hint="eastAsia" w:asciiTheme="minorEastAsia" w:hAnsiTheme="minorEastAsia" w:eastAsiaTheme="minorEastAsia" w:cstheme="minorEastAsia"/>
          <w:sz w:val="32"/>
          <w:szCs w:val="32"/>
        </w:rPr>
        <w:t>本单位在年初预算编制阶段，组织对</w:t>
      </w:r>
      <w:r>
        <w:rPr>
          <w:rFonts w:hint="eastAsia" w:asciiTheme="minorEastAsia" w:hAnsiTheme="minorEastAsia" w:eastAsiaTheme="minorEastAsia" w:cstheme="minorEastAsia"/>
          <w:sz w:val="32"/>
          <w:szCs w:val="32"/>
          <w:lang w:val="en-US" w:eastAsia="zh-CN"/>
        </w:rPr>
        <w:t>2个</w:t>
      </w:r>
      <w:r>
        <w:rPr>
          <w:rFonts w:hint="eastAsia" w:asciiTheme="minorEastAsia" w:hAnsiTheme="minorEastAsia" w:eastAsiaTheme="minorEastAsia" w:cstheme="minorEastAsia"/>
          <w:sz w:val="32"/>
          <w:szCs w:val="32"/>
        </w:rPr>
        <w:t>项目（项目</w:t>
      </w:r>
      <w:r>
        <w:rPr>
          <w:rFonts w:hint="eastAsia" w:asciiTheme="minorEastAsia" w:hAnsiTheme="minorEastAsia" w:eastAsiaTheme="minorEastAsia" w:cstheme="minorEastAsia"/>
          <w:sz w:val="32"/>
          <w:szCs w:val="32"/>
          <w:lang w:eastAsia="zh-CN"/>
        </w:rPr>
        <w:t>：基本公共卫生及基本药物补助</w:t>
      </w:r>
      <w:r>
        <w:rPr>
          <w:rFonts w:hint="eastAsia" w:asciiTheme="minorEastAsia" w:hAnsiTheme="minorEastAsia" w:eastAsiaTheme="minorEastAsia" w:cstheme="minorEastAsia"/>
          <w:sz w:val="32"/>
          <w:szCs w:val="32"/>
        </w:rPr>
        <w:t>）开展了预算事前绩效评估，对</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个项目编制了绩效目标，预算执行过程中，选取</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个项目开展绩效监控，年终执行完毕后，对</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个项目开展了绩效目标完成情况自评。</w:t>
      </w:r>
    </w:p>
    <w:tbl>
      <w:tblPr>
        <w:tblStyle w:val="17"/>
        <w:tblW w:w="12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880"/>
        <w:gridCol w:w="1401"/>
        <w:gridCol w:w="1198"/>
        <w:gridCol w:w="1869"/>
        <w:gridCol w:w="774"/>
        <w:gridCol w:w="786"/>
        <w:gridCol w:w="930"/>
        <w:gridCol w:w="786"/>
        <w:gridCol w:w="750"/>
        <w:gridCol w:w="774"/>
        <w:gridCol w:w="437"/>
        <w:gridCol w:w="608"/>
      </w:tblGrid>
      <w:tr w14:paraId="0AA63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6" w:hRule="atLeast"/>
        </w:trPr>
        <w:tc>
          <w:tcPr>
            <w:tcW w:w="12193" w:type="dxa"/>
            <w:gridSpan w:val="12"/>
            <w:tcBorders>
              <w:top w:val="single" w:color="FFFFFF" w:sz="4" w:space="0"/>
              <w:left w:val="single" w:color="FFFFFF" w:sz="4" w:space="0"/>
              <w:bottom w:val="single" w:color="FFFFFF" w:sz="4" w:space="0"/>
              <w:right w:val="single" w:color="FFFFFF" w:sz="4" w:space="0"/>
            </w:tcBorders>
            <w:shd w:val="clear" w:color="auto" w:fill="auto"/>
            <w:vAlign w:val="center"/>
          </w:tcPr>
          <w:p w14:paraId="386969AA">
            <w:pPr>
              <w:keepNext w:val="0"/>
              <w:keepLines w:val="0"/>
              <w:widowControl/>
              <w:suppressLineNumbers w:val="0"/>
              <w:jc w:val="center"/>
              <w:textAlignment w:val="center"/>
              <w:rPr>
                <w:rFonts w:hint="eastAsia" w:ascii="宋体" w:hAnsi="宋体" w:eastAsia="宋体" w:cs="宋体"/>
                <w:b/>
                <w:i w:val="0"/>
                <w:color w:val="000000"/>
                <w:sz w:val="30"/>
                <w:szCs w:val="30"/>
                <w:u w:val="none"/>
              </w:rPr>
            </w:pPr>
            <w:r>
              <w:rPr>
                <w:rFonts w:hint="eastAsia" w:ascii="宋体" w:hAnsi="宋体" w:eastAsia="宋体" w:cs="宋体"/>
                <w:b/>
                <w:i w:val="0"/>
                <w:color w:val="000000"/>
                <w:kern w:val="0"/>
                <w:sz w:val="30"/>
                <w:szCs w:val="30"/>
                <w:u w:val="none"/>
                <w:lang w:val="en-US" w:eastAsia="zh-CN" w:bidi="ar"/>
              </w:rPr>
              <w:t>部门预算项目绩效目标表（2025年度）</w:t>
            </w:r>
          </w:p>
        </w:tc>
      </w:tr>
      <w:tr w14:paraId="2F355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6" w:hRule="atLeast"/>
        </w:trPr>
        <w:tc>
          <w:tcPr>
            <w:tcW w:w="6348" w:type="dxa"/>
            <w:gridSpan w:val="4"/>
            <w:tcBorders>
              <w:top w:val="single" w:color="FFFFFF" w:sz="4" w:space="0"/>
              <w:left w:val="single" w:color="FFFFFF" w:sz="4" w:space="0"/>
              <w:right w:val="single" w:color="FFFFFF" w:sz="4" w:space="0"/>
            </w:tcBorders>
            <w:shd w:val="clear" w:color="auto" w:fill="auto"/>
            <w:vAlign w:val="center"/>
          </w:tcPr>
          <w:p w14:paraId="3B2BB464">
            <w:pPr>
              <w:rPr>
                <w:rFonts w:hint="eastAsia" w:ascii="宋体" w:hAnsi="宋体" w:eastAsia="宋体" w:cs="宋体"/>
                <w:i w:val="0"/>
                <w:color w:val="000000"/>
                <w:sz w:val="22"/>
                <w:szCs w:val="22"/>
                <w:u w:val="none"/>
              </w:rPr>
            </w:pPr>
          </w:p>
        </w:tc>
        <w:tc>
          <w:tcPr>
            <w:tcW w:w="774" w:type="dxa"/>
            <w:tcBorders>
              <w:top w:val="single" w:color="FFFFFF" w:sz="4" w:space="0"/>
              <w:left w:val="single" w:color="FFFFFF" w:sz="4" w:space="0"/>
              <w:right w:val="single" w:color="FFFFFF" w:sz="4" w:space="0"/>
            </w:tcBorders>
            <w:shd w:val="clear" w:color="auto" w:fill="auto"/>
            <w:vAlign w:val="center"/>
          </w:tcPr>
          <w:p w14:paraId="71BA07D0">
            <w:pPr>
              <w:rPr>
                <w:rFonts w:hint="eastAsia" w:ascii="宋体" w:hAnsi="宋体" w:eastAsia="宋体" w:cs="宋体"/>
                <w:i w:val="0"/>
                <w:color w:val="000000"/>
                <w:sz w:val="22"/>
                <w:szCs w:val="22"/>
                <w:u w:val="none"/>
              </w:rPr>
            </w:pPr>
          </w:p>
        </w:tc>
        <w:tc>
          <w:tcPr>
            <w:tcW w:w="786" w:type="dxa"/>
            <w:tcBorders>
              <w:top w:val="single" w:color="FFFFFF" w:sz="4" w:space="0"/>
              <w:left w:val="single" w:color="FFFFFF" w:sz="4" w:space="0"/>
              <w:right w:val="single" w:color="FFFFFF" w:sz="4" w:space="0"/>
            </w:tcBorders>
            <w:shd w:val="clear" w:color="auto" w:fill="auto"/>
            <w:vAlign w:val="center"/>
          </w:tcPr>
          <w:p w14:paraId="715A86EF">
            <w:pPr>
              <w:rPr>
                <w:rFonts w:hint="eastAsia" w:ascii="宋体" w:hAnsi="宋体" w:eastAsia="宋体" w:cs="宋体"/>
                <w:i w:val="0"/>
                <w:color w:val="000000"/>
                <w:sz w:val="22"/>
                <w:szCs w:val="22"/>
                <w:u w:val="none"/>
              </w:rPr>
            </w:pPr>
          </w:p>
        </w:tc>
        <w:tc>
          <w:tcPr>
            <w:tcW w:w="930" w:type="dxa"/>
            <w:tcBorders>
              <w:top w:val="single" w:color="FFFFFF" w:sz="4" w:space="0"/>
              <w:left w:val="single" w:color="FFFFFF" w:sz="4" w:space="0"/>
              <w:right w:val="single" w:color="FFFFFF" w:sz="4" w:space="0"/>
            </w:tcBorders>
            <w:shd w:val="clear" w:color="auto" w:fill="auto"/>
            <w:vAlign w:val="center"/>
          </w:tcPr>
          <w:p w14:paraId="6098417D">
            <w:pPr>
              <w:rPr>
                <w:rFonts w:hint="eastAsia" w:ascii="宋体" w:hAnsi="宋体" w:eastAsia="宋体" w:cs="宋体"/>
                <w:i w:val="0"/>
                <w:color w:val="000000"/>
                <w:sz w:val="22"/>
                <w:szCs w:val="22"/>
                <w:u w:val="none"/>
              </w:rPr>
            </w:pPr>
          </w:p>
        </w:tc>
        <w:tc>
          <w:tcPr>
            <w:tcW w:w="786" w:type="dxa"/>
            <w:tcBorders>
              <w:top w:val="single" w:color="FFFFFF" w:sz="4" w:space="0"/>
              <w:left w:val="single" w:color="FFFFFF" w:sz="4" w:space="0"/>
              <w:right w:val="single" w:color="FFFFFF" w:sz="4" w:space="0"/>
            </w:tcBorders>
            <w:shd w:val="clear" w:color="auto" w:fill="auto"/>
            <w:vAlign w:val="center"/>
          </w:tcPr>
          <w:p w14:paraId="0DC241DF">
            <w:pPr>
              <w:rPr>
                <w:rFonts w:hint="eastAsia" w:ascii="宋体" w:hAnsi="宋体" w:eastAsia="宋体" w:cs="宋体"/>
                <w:i w:val="0"/>
                <w:color w:val="000000"/>
                <w:sz w:val="22"/>
                <w:szCs w:val="22"/>
                <w:u w:val="none"/>
              </w:rPr>
            </w:pPr>
          </w:p>
        </w:tc>
        <w:tc>
          <w:tcPr>
            <w:tcW w:w="750" w:type="dxa"/>
            <w:tcBorders>
              <w:top w:val="single" w:color="FFFFFF" w:sz="4" w:space="0"/>
              <w:left w:val="single" w:color="FFFFFF" w:sz="4" w:space="0"/>
              <w:right w:val="single" w:color="FFFFFF" w:sz="4" w:space="0"/>
            </w:tcBorders>
            <w:shd w:val="clear" w:color="auto" w:fill="auto"/>
            <w:vAlign w:val="center"/>
          </w:tcPr>
          <w:p w14:paraId="5A954FA9">
            <w:pPr>
              <w:rPr>
                <w:rFonts w:hint="eastAsia" w:ascii="宋体" w:hAnsi="宋体" w:eastAsia="宋体" w:cs="宋体"/>
                <w:i w:val="0"/>
                <w:color w:val="000000"/>
                <w:sz w:val="22"/>
                <w:szCs w:val="22"/>
                <w:u w:val="none"/>
              </w:rPr>
            </w:pPr>
          </w:p>
        </w:tc>
        <w:tc>
          <w:tcPr>
            <w:tcW w:w="1819" w:type="dxa"/>
            <w:gridSpan w:val="3"/>
            <w:tcBorders>
              <w:top w:val="single" w:color="FFFFFF" w:sz="4" w:space="0"/>
              <w:left w:val="single" w:color="FFFFFF" w:sz="4" w:space="0"/>
              <w:right w:val="single" w:color="FFFFFF" w:sz="4" w:space="0"/>
            </w:tcBorders>
            <w:shd w:val="clear" w:color="auto" w:fill="auto"/>
            <w:vAlign w:val="center"/>
          </w:tcPr>
          <w:p w14:paraId="7AA3F37A">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14:paraId="20BE6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20" w:hRule="atLeast"/>
        </w:trPr>
        <w:tc>
          <w:tcPr>
            <w:tcW w:w="188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2BA892A">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单位名称</w:t>
            </w:r>
          </w:p>
        </w:tc>
        <w:tc>
          <w:tcPr>
            <w:tcW w:w="1401"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8F6C885">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项目名称</w:t>
            </w:r>
          </w:p>
        </w:tc>
        <w:tc>
          <w:tcPr>
            <w:tcW w:w="1198"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D487315">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预算数</w:t>
            </w:r>
          </w:p>
        </w:tc>
        <w:tc>
          <w:tcPr>
            <w:tcW w:w="1869"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CBAD78B">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年度目标</w:t>
            </w:r>
          </w:p>
        </w:tc>
        <w:tc>
          <w:tcPr>
            <w:tcW w:w="77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7C1C14FE">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一级指标</w:t>
            </w:r>
          </w:p>
        </w:tc>
        <w:tc>
          <w:tcPr>
            <w:tcW w:w="78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18352F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二级指标</w:t>
            </w:r>
          </w:p>
        </w:tc>
        <w:tc>
          <w:tcPr>
            <w:tcW w:w="93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D346B9F">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三级指标</w:t>
            </w:r>
          </w:p>
        </w:tc>
        <w:tc>
          <w:tcPr>
            <w:tcW w:w="78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7002B958">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指标性质</w:t>
            </w:r>
          </w:p>
        </w:tc>
        <w:tc>
          <w:tcPr>
            <w:tcW w:w="75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CFB6A68">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指标值</w:t>
            </w:r>
          </w:p>
        </w:tc>
        <w:tc>
          <w:tcPr>
            <w:tcW w:w="77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BA88B2A">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度量单位</w:t>
            </w:r>
          </w:p>
        </w:tc>
        <w:tc>
          <w:tcPr>
            <w:tcW w:w="43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51D03B5">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权重</w:t>
            </w:r>
          </w:p>
        </w:tc>
        <w:tc>
          <w:tcPr>
            <w:tcW w:w="608"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76A474C">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指标方向性</w:t>
            </w:r>
          </w:p>
        </w:tc>
      </w:tr>
      <w:tr w14:paraId="45BE5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6" w:hRule="atLeast"/>
        </w:trPr>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F4B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122-红原县卫生健康局</w:t>
            </w: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720C1">
            <w:pPr>
              <w:rPr>
                <w:rFonts w:hint="eastAsia" w:ascii="宋体" w:hAnsi="宋体" w:eastAsia="宋体" w:cs="宋体"/>
                <w:i w:val="0"/>
                <w:color w:val="000000"/>
                <w:sz w:val="18"/>
                <w:szCs w:val="18"/>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082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2.31</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5B964">
            <w:pPr>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F055">
            <w:pPr>
              <w:rPr>
                <w:rFonts w:hint="eastAsia" w:ascii="宋体" w:hAnsi="宋体" w:eastAsia="宋体" w:cs="宋体"/>
                <w:i w:val="0"/>
                <w:color w:val="000000"/>
                <w:sz w:val="18"/>
                <w:szCs w:val="18"/>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40B47">
            <w:pPr>
              <w:rPr>
                <w:rFonts w:hint="eastAsia" w:ascii="宋体" w:hAnsi="宋体" w:eastAsia="宋体" w:cs="宋体"/>
                <w:i w:val="0"/>
                <w:color w:val="000000"/>
                <w:sz w:val="18"/>
                <w:szCs w:val="18"/>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28281">
            <w:pPr>
              <w:rPr>
                <w:rFonts w:hint="eastAsia" w:ascii="宋体" w:hAnsi="宋体" w:eastAsia="宋体" w:cs="宋体"/>
                <w:i w:val="0"/>
                <w:color w:val="000000"/>
                <w:sz w:val="18"/>
                <w:szCs w:val="18"/>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A5793">
            <w:pPr>
              <w:rPr>
                <w:rFonts w:hint="eastAsia" w:ascii="宋体" w:hAnsi="宋体" w:eastAsia="宋体" w:cs="宋体"/>
                <w:i w:val="0"/>
                <w:color w:val="000000"/>
                <w:sz w:val="18"/>
                <w:szCs w:val="18"/>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B30B">
            <w:pPr>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33F24">
            <w:pPr>
              <w:rPr>
                <w:rFonts w:hint="eastAsia" w:ascii="宋体" w:hAnsi="宋体" w:eastAsia="宋体" w:cs="宋体"/>
                <w:i w:val="0"/>
                <w:color w:val="000000"/>
                <w:sz w:val="18"/>
                <w:szCs w:val="18"/>
                <w:u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4691">
            <w:pPr>
              <w:rPr>
                <w:rFonts w:hint="eastAsia" w:ascii="宋体" w:hAnsi="宋体" w:eastAsia="宋体" w:cs="宋体"/>
                <w:i w:val="0"/>
                <w:color w:val="00000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3E3AD">
            <w:pPr>
              <w:rPr>
                <w:rFonts w:hint="eastAsia" w:ascii="宋体" w:hAnsi="宋体" w:eastAsia="宋体" w:cs="宋体"/>
                <w:i w:val="0"/>
                <w:color w:val="000000"/>
                <w:sz w:val="18"/>
                <w:szCs w:val="18"/>
                <w:u w:val="none"/>
              </w:rPr>
            </w:pPr>
          </w:p>
        </w:tc>
      </w:tr>
      <w:tr w14:paraId="412F9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C56AF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122011-红原县查尔玛乡卫生院</w:t>
            </w:r>
          </w:p>
        </w:tc>
        <w:tc>
          <w:tcPr>
            <w:tcW w:w="14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FDFB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县级配套基本公共卫生</w:t>
            </w:r>
          </w:p>
        </w:tc>
        <w:tc>
          <w:tcPr>
            <w:tcW w:w="11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726B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w:t>
            </w:r>
          </w:p>
        </w:tc>
        <w:tc>
          <w:tcPr>
            <w:tcW w:w="18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8971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乡镇卫生院开展基本公共卫生服务，包括建立居民健康档案，预防接种、传染病防治、高血压糖尿病等慢性病管理重型精神病管理、儿童保健、孕产妇保健、老年人保健；协助处置突发公共卫生事件。开展基本公共卫生服产生的办公费，邮电费等支出。</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951F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FE6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A1A1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2型糖尿病患者管理人数</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C5C6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A1F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A474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3D1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67A9C">
            <w:pPr>
              <w:jc w:val="left"/>
              <w:rPr>
                <w:rFonts w:hint="eastAsia" w:ascii="宋体" w:hAnsi="宋体" w:eastAsia="宋体" w:cs="宋体"/>
                <w:i w:val="0"/>
                <w:color w:val="000000"/>
                <w:sz w:val="18"/>
                <w:szCs w:val="18"/>
                <w:u w:val="none"/>
              </w:rPr>
            </w:pPr>
          </w:p>
        </w:tc>
      </w:tr>
      <w:tr w14:paraId="513DE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93348">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4FED7">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49E56">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11992">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D28F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C30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D667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基层群众满意度</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D7EF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35B8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98</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90B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86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DF99B">
            <w:pPr>
              <w:jc w:val="left"/>
              <w:rPr>
                <w:rFonts w:hint="eastAsia" w:ascii="宋体" w:hAnsi="宋体" w:eastAsia="宋体" w:cs="宋体"/>
                <w:i w:val="0"/>
                <w:color w:val="000000"/>
                <w:sz w:val="18"/>
                <w:szCs w:val="18"/>
                <w:u w:val="none"/>
              </w:rPr>
            </w:pPr>
          </w:p>
        </w:tc>
      </w:tr>
      <w:tr w14:paraId="4A400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6"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520D1">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5E5F3">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373AA">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05174">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7249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B274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6619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高血压患者管理人数</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6D64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F68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106</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5543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F20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2F919">
            <w:pPr>
              <w:jc w:val="left"/>
              <w:rPr>
                <w:rFonts w:hint="eastAsia" w:ascii="宋体" w:hAnsi="宋体" w:eastAsia="宋体" w:cs="宋体"/>
                <w:i w:val="0"/>
                <w:color w:val="000000"/>
                <w:sz w:val="18"/>
                <w:szCs w:val="18"/>
                <w:u w:val="none"/>
              </w:rPr>
            </w:pPr>
          </w:p>
        </w:tc>
      </w:tr>
      <w:tr w14:paraId="4BD90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34C46">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EC4A7">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92800">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8BCBC">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4D7E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D2E7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4AC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提高公共卫生服务均等化水平</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83C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9F05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优良中低</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2CA0">
            <w:pPr>
              <w:jc w:val="left"/>
              <w:rPr>
                <w:rFonts w:hint="eastAsia" w:ascii="宋体" w:hAnsi="宋体" w:eastAsia="宋体" w:cs="宋体"/>
                <w:i w:val="0"/>
                <w:color w:val="000000"/>
                <w:sz w:val="18"/>
                <w:szCs w:val="18"/>
                <w:u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23B6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AAD43">
            <w:pPr>
              <w:jc w:val="left"/>
              <w:rPr>
                <w:rFonts w:hint="eastAsia" w:ascii="宋体" w:hAnsi="宋体" w:eastAsia="宋体" w:cs="宋体"/>
                <w:i w:val="0"/>
                <w:color w:val="000000"/>
                <w:sz w:val="18"/>
                <w:szCs w:val="18"/>
                <w:u w:val="none"/>
              </w:rPr>
            </w:pPr>
          </w:p>
        </w:tc>
      </w:tr>
      <w:tr w14:paraId="4DE71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AE65D">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A63E9">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EF0BC">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C3279">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DAC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33C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3C98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居民电子健康档案管理人数</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B5CF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5405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2322</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7090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F53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F7AC0">
            <w:pPr>
              <w:jc w:val="left"/>
              <w:rPr>
                <w:rFonts w:hint="eastAsia" w:ascii="宋体" w:hAnsi="宋体" w:eastAsia="宋体" w:cs="宋体"/>
                <w:i w:val="0"/>
                <w:color w:val="000000"/>
                <w:sz w:val="18"/>
                <w:szCs w:val="18"/>
                <w:u w:val="none"/>
              </w:rPr>
            </w:pPr>
          </w:p>
        </w:tc>
      </w:tr>
      <w:tr w14:paraId="2105F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38D23">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CE8B2">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2CE65">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21856">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AED0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0E6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经济成本指标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83A4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基本公共卫生服务县级配套项目成本</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C07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91CE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1.609146</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C085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C18B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23BDA">
            <w:pPr>
              <w:jc w:val="left"/>
              <w:rPr>
                <w:rFonts w:hint="eastAsia" w:ascii="宋体" w:hAnsi="宋体" w:eastAsia="宋体" w:cs="宋体"/>
                <w:i w:val="0"/>
                <w:color w:val="000000"/>
                <w:sz w:val="18"/>
                <w:szCs w:val="18"/>
                <w:u w:val="none"/>
              </w:rPr>
            </w:pPr>
          </w:p>
        </w:tc>
      </w:tr>
      <w:tr w14:paraId="0B799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9420D">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8AD90">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191D7">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2FDF9">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5C5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7FE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890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老年人中医药健康管理率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79D4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7700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26D4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9F1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FDC1">
            <w:pPr>
              <w:jc w:val="left"/>
              <w:rPr>
                <w:rFonts w:hint="eastAsia" w:ascii="宋体" w:hAnsi="宋体" w:eastAsia="宋体" w:cs="宋体"/>
                <w:i w:val="0"/>
                <w:color w:val="000000"/>
                <w:sz w:val="18"/>
                <w:szCs w:val="18"/>
                <w:u w:val="none"/>
              </w:rPr>
            </w:pPr>
          </w:p>
        </w:tc>
      </w:tr>
      <w:tr w14:paraId="7648B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55C8D">
            <w:pPr>
              <w:jc w:val="left"/>
              <w:rPr>
                <w:rFonts w:hint="eastAsia" w:ascii="宋体" w:hAnsi="宋体" w:eastAsia="宋体" w:cs="宋体"/>
                <w:i w:val="0"/>
                <w:color w:val="000000"/>
                <w:sz w:val="18"/>
                <w:szCs w:val="18"/>
                <w:u w:val="none"/>
              </w:rPr>
            </w:pPr>
          </w:p>
        </w:tc>
        <w:tc>
          <w:tcPr>
            <w:tcW w:w="14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528EF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w:t>
            </w:r>
          </w:p>
        </w:tc>
        <w:tc>
          <w:tcPr>
            <w:tcW w:w="11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9FD33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0.70</w:t>
            </w:r>
          </w:p>
        </w:tc>
        <w:tc>
          <w:tcPr>
            <w:tcW w:w="18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77D02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县级配套基本药物用于卫生院日常开支，包含办公费、邮电费、电费等</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918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F031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7975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基层医疗机构基本药物网购置次数</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26E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B5B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8076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BAE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EF5B">
            <w:pPr>
              <w:jc w:val="left"/>
              <w:rPr>
                <w:rFonts w:hint="eastAsia" w:ascii="宋体" w:hAnsi="宋体" w:eastAsia="宋体" w:cs="宋体"/>
                <w:i w:val="0"/>
                <w:color w:val="000000"/>
                <w:sz w:val="18"/>
                <w:szCs w:val="18"/>
                <w:u w:val="none"/>
              </w:rPr>
            </w:pPr>
          </w:p>
        </w:tc>
      </w:tr>
      <w:tr w14:paraId="07A65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5594E">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93CC8">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1D06C">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F7E1D">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5C7C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40D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45D7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确保药品采购公平、公正、公开</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C5BD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4D0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优良中低差</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9A2A9">
            <w:pPr>
              <w:jc w:val="left"/>
              <w:rPr>
                <w:rFonts w:hint="eastAsia" w:ascii="宋体" w:hAnsi="宋体" w:eastAsia="宋体" w:cs="宋体"/>
                <w:i w:val="0"/>
                <w:color w:val="000000"/>
                <w:sz w:val="18"/>
                <w:szCs w:val="18"/>
                <w:u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F95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A6282">
            <w:pPr>
              <w:jc w:val="left"/>
              <w:rPr>
                <w:rFonts w:hint="eastAsia" w:ascii="宋体" w:hAnsi="宋体" w:eastAsia="宋体" w:cs="宋体"/>
                <w:i w:val="0"/>
                <w:color w:val="000000"/>
                <w:sz w:val="18"/>
                <w:szCs w:val="18"/>
                <w:u w:val="none"/>
              </w:rPr>
            </w:pPr>
          </w:p>
        </w:tc>
      </w:tr>
      <w:tr w14:paraId="3AA33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28"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723C0">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5A801">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57BDC">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D586A">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F99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0DB1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CE91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实行基本药物补助县级配套的基层医疗机构个数</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84DA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19D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FBAA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个</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DDC4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2EA2">
            <w:pPr>
              <w:jc w:val="left"/>
              <w:rPr>
                <w:rFonts w:hint="eastAsia" w:ascii="宋体" w:hAnsi="宋体" w:eastAsia="宋体" w:cs="宋体"/>
                <w:i w:val="0"/>
                <w:color w:val="000000"/>
                <w:sz w:val="18"/>
                <w:szCs w:val="18"/>
                <w:u w:val="none"/>
              </w:rPr>
            </w:pPr>
          </w:p>
        </w:tc>
      </w:tr>
      <w:tr w14:paraId="563B4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CE9D4">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7FC56">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FB0A1">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52550">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1F4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E283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224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基本药物补助县级配套资金支付准确率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39B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6D9B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D03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127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C6735">
            <w:pPr>
              <w:jc w:val="left"/>
              <w:rPr>
                <w:rFonts w:hint="eastAsia" w:ascii="宋体" w:hAnsi="宋体" w:eastAsia="宋体" w:cs="宋体"/>
                <w:i w:val="0"/>
                <w:color w:val="000000"/>
                <w:sz w:val="18"/>
                <w:szCs w:val="18"/>
                <w:u w:val="none"/>
              </w:rPr>
            </w:pPr>
          </w:p>
        </w:tc>
      </w:tr>
      <w:tr w14:paraId="4F706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450AD">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39B1A">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F0608">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3CF5E">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311E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71A5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DF56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基层医疗机构工作人员满意度</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AA7C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B431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717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34E2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68686">
            <w:pPr>
              <w:jc w:val="left"/>
              <w:rPr>
                <w:rFonts w:hint="eastAsia" w:ascii="宋体" w:hAnsi="宋体" w:eastAsia="宋体" w:cs="宋体"/>
                <w:i w:val="0"/>
                <w:color w:val="000000"/>
                <w:sz w:val="18"/>
                <w:szCs w:val="18"/>
                <w:u w:val="none"/>
              </w:rPr>
            </w:pPr>
          </w:p>
        </w:tc>
      </w:tr>
      <w:tr w14:paraId="752DD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1D46B">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89701">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29E56">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D6F48">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554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746E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D45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基本药物补助县级配套资金支付及时率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24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6FC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B914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D8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D1845">
            <w:pPr>
              <w:jc w:val="left"/>
              <w:rPr>
                <w:rFonts w:hint="eastAsia" w:ascii="宋体" w:hAnsi="宋体" w:eastAsia="宋体" w:cs="宋体"/>
                <w:i w:val="0"/>
                <w:color w:val="000000"/>
                <w:sz w:val="18"/>
                <w:szCs w:val="18"/>
                <w:u w:val="none"/>
              </w:rPr>
            </w:pPr>
          </w:p>
        </w:tc>
      </w:tr>
      <w:tr w14:paraId="31C7F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89FAF">
            <w:pPr>
              <w:jc w:val="left"/>
              <w:rPr>
                <w:rFonts w:hint="eastAsia" w:ascii="宋体" w:hAnsi="宋体" w:eastAsia="宋体" w:cs="宋体"/>
                <w:i w:val="0"/>
                <w:color w:val="000000"/>
                <w:sz w:val="18"/>
                <w:szCs w:val="18"/>
                <w:u w:val="none"/>
              </w:rPr>
            </w:pP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B5DD4">
            <w:pPr>
              <w:jc w:val="left"/>
              <w:rPr>
                <w:rFonts w:hint="eastAsia" w:ascii="宋体" w:hAnsi="宋体" w:eastAsia="宋体" w:cs="宋体"/>
                <w:i w:val="0"/>
                <w:color w:val="000000"/>
                <w:sz w:val="18"/>
                <w:szCs w:val="18"/>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183C7">
            <w:pPr>
              <w:jc w:val="right"/>
              <w:rPr>
                <w:rFonts w:hint="eastAsia" w:ascii="宋体" w:hAnsi="宋体" w:eastAsia="宋体" w:cs="宋体"/>
                <w:i w:val="0"/>
                <w:color w:val="000000"/>
                <w:sz w:val="18"/>
                <w:szCs w:val="18"/>
                <w:u w:val="none"/>
              </w:rPr>
            </w:pPr>
          </w:p>
        </w:tc>
        <w:tc>
          <w:tcPr>
            <w:tcW w:w="1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E562B">
            <w:pPr>
              <w:jc w:val="left"/>
              <w:rPr>
                <w:rFonts w:hint="eastAsia" w:ascii="宋体" w:hAnsi="宋体" w:eastAsia="宋体" w:cs="宋体"/>
                <w:i w:val="0"/>
                <w:color w:val="000000"/>
                <w:sz w:val="18"/>
                <w:szCs w:val="18"/>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D84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70B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经济效益指标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52E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基层医疗机构药品零差率</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0D24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23A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等于100</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18FA4">
            <w:pPr>
              <w:jc w:val="left"/>
              <w:rPr>
                <w:rFonts w:hint="eastAsia" w:ascii="宋体" w:hAnsi="宋体" w:eastAsia="宋体" w:cs="宋体"/>
                <w:i w:val="0"/>
                <w:color w:val="000000"/>
                <w:sz w:val="18"/>
                <w:szCs w:val="18"/>
                <w:u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6672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944C5">
            <w:pPr>
              <w:jc w:val="left"/>
              <w:rPr>
                <w:rFonts w:hint="eastAsia" w:ascii="宋体" w:hAnsi="宋体" w:eastAsia="宋体" w:cs="宋体"/>
                <w:i w:val="0"/>
                <w:color w:val="000000"/>
                <w:sz w:val="18"/>
                <w:szCs w:val="18"/>
                <w:u w:val="none"/>
              </w:rPr>
            </w:pPr>
          </w:p>
        </w:tc>
      </w:tr>
    </w:tbl>
    <w:p w14:paraId="5E4BFA28">
      <w:pPr>
        <w:spacing w:line="600" w:lineRule="exact"/>
        <w:ind w:firstLine="640"/>
        <w:rPr>
          <w:rFonts w:hint="eastAsia" w:asciiTheme="minorEastAsia" w:hAnsiTheme="minorEastAsia" w:eastAsiaTheme="minorEastAsia" w:cstheme="minorEastAsia"/>
          <w:sz w:val="32"/>
          <w:szCs w:val="32"/>
        </w:rPr>
      </w:pPr>
    </w:p>
    <w:p w14:paraId="0218A60F">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96613"/>
      <w:bookmarkStart w:id="44"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14:paraId="4816B597">
      <w:pPr>
        <w:spacing w:line="600" w:lineRule="exact"/>
        <w:jc w:val="left"/>
        <w:rPr>
          <w:rFonts w:ascii="Times New Roman" w:hAnsi="Times New Roman"/>
          <w:b/>
          <w:color w:val="auto"/>
          <w:sz w:val="44"/>
          <w:szCs w:val="44"/>
          <w:highlight w:val="none"/>
        </w:rPr>
      </w:pPr>
    </w:p>
    <w:p w14:paraId="4C59004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214BB9E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w:t>
      </w:r>
      <w:r>
        <w:rPr>
          <w:rFonts w:hint="eastAsia" w:eastAsia="仿宋_GB2312" w:cs="仿宋_GB2312"/>
          <w:color w:val="auto"/>
          <w:kern w:val="2"/>
          <w:sz w:val="32"/>
          <w:szCs w:val="32"/>
          <w:highlight w:val="none"/>
          <w:lang w:val="en-US" w:eastAsia="zh-CN" w:bidi="ar-SA"/>
        </w:rPr>
        <w:t>医疗门诊治疗活动</w:t>
      </w:r>
      <w:r>
        <w:rPr>
          <w:rFonts w:hint="eastAsia" w:ascii="Times New Roman" w:hAnsi="Times New Roman" w:eastAsia="仿宋_GB2312" w:cs="仿宋_GB2312"/>
          <w:color w:val="auto"/>
          <w:kern w:val="2"/>
          <w:sz w:val="32"/>
          <w:szCs w:val="32"/>
          <w:highlight w:val="none"/>
          <w:lang w:val="en-US" w:eastAsia="zh-CN" w:bidi="ar-SA"/>
        </w:rPr>
        <w:t>等。</w:t>
      </w:r>
    </w:p>
    <w:p w14:paraId="27DA708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3.其他收入：指单位取得的除上述收入以外的各项收入。主要是</w:t>
      </w:r>
      <w:r>
        <w:rPr>
          <w:rFonts w:hint="eastAsia" w:eastAsia="仿宋_GB2312" w:cs="仿宋_GB2312"/>
          <w:color w:val="auto"/>
          <w:kern w:val="2"/>
          <w:sz w:val="32"/>
          <w:szCs w:val="32"/>
          <w:highlight w:val="none"/>
          <w:lang w:val="en-US" w:eastAsia="zh-CN" w:bidi="ar-SA"/>
        </w:rPr>
        <w:t>包虫病筛查收入</w:t>
      </w:r>
      <w:r>
        <w:rPr>
          <w:rFonts w:hint="eastAsia" w:ascii="Times New Roman" w:hAnsi="Times New Roman" w:eastAsia="仿宋_GB2312" w:cs="仿宋_GB2312"/>
          <w:color w:val="auto"/>
          <w:kern w:val="2"/>
          <w:sz w:val="32"/>
          <w:szCs w:val="32"/>
          <w:highlight w:val="none"/>
          <w:lang w:val="en-US" w:eastAsia="zh-CN" w:bidi="ar-SA"/>
        </w:rPr>
        <w:t xml:space="preserve">等。 </w:t>
      </w:r>
    </w:p>
    <w:p w14:paraId="18BB6ED8">
      <w:pPr>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社会保障和就业</w:t>
      </w:r>
      <w:r>
        <w:rPr>
          <w:rFonts w:hint="eastAsia"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机关事业单位职业年金缴费及本养老保险缴费支出</w:t>
      </w:r>
      <w:r>
        <w:rPr>
          <w:rFonts w:hint="eastAsia" w:ascii="仿宋" w:hAnsi="仿宋" w:eastAsia="仿宋" w:cs="仿宋"/>
          <w:color w:val="000000"/>
          <w:sz w:val="32"/>
          <w:szCs w:val="32"/>
        </w:rPr>
        <w:t>。</w:t>
      </w:r>
    </w:p>
    <w:p w14:paraId="71520F62">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.卫生健康：指</w:t>
      </w:r>
      <w:r>
        <w:rPr>
          <w:rFonts w:hint="eastAsia" w:eastAsia="仿宋_GB2312" w:cs="仿宋_GB2312"/>
          <w:color w:val="auto"/>
          <w:kern w:val="2"/>
          <w:sz w:val="32"/>
          <w:szCs w:val="32"/>
          <w:highlight w:val="none"/>
          <w:lang w:val="en-US" w:eastAsia="zh-CN" w:bidi="ar-SA"/>
        </w:rPr>
        <w:t>基层医疗卫生健康支出。</w:t>
      </w:r>
    </w:p>
    <w:p w14:paraId="0A35D7A3">
      <w:pPr>
        <w:spacing w:line="600" w:lineRule="exact"/>
        <w:ind w:firstLine="640"/>
        <w:rPr>
          <w:rFonts w:hint="eastAsia" w:ascii="仿宋" w:hAnsi="仿宋" w:eastAsia="仿宋" w:cs="仿宋"/>
          <w:color w:val="000000"/>
          <w:sz w:val="32"/>
          <w:szCs w:val="32"/>
          <w:lang w:eastAsia="zh-CN"/>
        </w:rPr>
      </w:pP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.住房保障（类）</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机关事业单位住房保障支出。</w:t>
      </w:r>
    </w:p>
    <w:p w14:paraId="4546FDD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14:paraId="268FC91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14:paraId="6B3B405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8.“</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经费：指部门用财政拨款安排的因公出国（境）费、公务用车购置及运行费和公务接待费。其中，公务用车运行费支出、燃料费、维修费、过路过桥费、保险费等支出。</w:t>
      </w:r>
    </w:p>
    <w:p w14:paraId="146863D9">
      <w:pPr>
        <w:spacing w:line="600" w:lineRule="exact"/>
        <w:jc w:val="center"/>
        <w:rPr>
          <w:rStyle w:val="30"/>
          <w:rFonts w:hint="eastAsia" w:ascii="Times New Roman" w:hAnsi="Times New Roman" w:eastAsia="黑体"/>
          <w:b w:val="0"/>
          <w:color w:val="auto"/>
          <w:highlight w:val="none"/>
          <w:lang w:eastAsia="zh-CN"/>
        </w:rPr>
      </w:pPr>
      <w:bookmarkStart w:id="45" w:name="_Toc15396614"/>
      <w:bookmarkStart w:id="46" w:name="_Toc15377226"/>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5"/>
    </w:p>
    <w:p w14:paraId="3BC2387C">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12987CCE">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2AEEA53D">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14:paraId="568043D8">
      <w:pPr>
        <w:pStyle w:val="15"/>
        <w:keepNext w:val="0"/>
        <w:keepLines w:val="0"/>
        <w:widowControl/>
        <w:suppressLineNumbers w:val="0"/>
        <w:spacing w:before="0" w:beforeAutospacing="0"/>
        <w:ind w:left="0"/>
        <w:jc w:val="center"/>
        <w:rPr>
          <w:rFonts w:hint="default" w:ascii="Times New Roman" w:hAnsi="Times New Roman" w:eastAsia="黑体" w:cs="Times New Roman"/>
          <w:color w:val="000000"/>
          <w:kern w:val="0"/>
          <w:sz w:val="24"/>
          <w:szCs w:val="32"/>
          <w:highlight w:val="none"/>
          <w:shd w:val="clear" w:color="auto" w:fill="FFFFFF"/>
        </w:rPr>
      </w:pPr>
      <w:r>
        <w:rPr>
          <w:rFonts w:hint="eastAsia" w:ascii="仿宋" w:hAnsi="仿宋" w:eastAsia="仿宋" w:cs="仿宋"/>
          <w:sz w:val="32"/>
          <w:szCs w:val="32"/>
          <w:shd w:val="clear" w:color="auto" w:fill="FFFFFF"/>
          <w:lang w:val="en-US" w:eastAsia="zh-CN"/>
        </w:rPr>
        <w:t>红原县</w:t>
      </w:r>
      <w:r>
        <w:rPr>
          <w:rFonts w:hint="eastAsia" w:ascii="仿宋_GB2312" w:hAnsi="仿宋_GB2312" w:eastAsia="仿宋_GB2312" w:cs="仿宋_GB2312"/>
          <w:sz w:val="32"/>
          <w:szCs w:val="32"/>
          <w:lang w:val="en-US" w:eastAsia="zh-CN"/>
        </w:rPr>
        <w:t>查尔玛</w:t>
      </w:r>
      <w:r>
        <w:rPr>
          <w:rFonts w:hint="eastAsia" w:ascii="仿宋_GB2312" w:hAnsi="仿宋_GB2312" w:eastAsia="仿宋_GB2312" w:cs="仿宋_GB2312"/>
          <w:sz w:val="32"/>
          <w:szCs w:val="32"/>
          <w:lang w:eastAsia="zh-CN"/>
        </w:rPr>
        <w:t>乡</w:t>
      </w:r>
      <w:r>
        <w:rPr>
          <w:rFonts w:hint="eastAsia" w:ascii="仿宋" w:hAnsi="仿宋" w:eastAsia="仿宋" w:cs="仿宋"/>
          <w:sz w:val="32"/>
          <w:szCs w:val="32"/>
          <w:shd w:val="clear" w:color="auto" w:fill="FFFFFF"/>
          <w:lang w:val="en-US" w:eastAsia="zh-CN"/>
        </w:rPr>
        <w:t>卫生院</w:t>
      </w:r>
      <w:r>
        <w:rPr>
          <w:rFonts w:hint="eastAsia" w:ascii="仿宋" w:hAnsi="仿宋" w:eastAsia="仿宋" w:cs="仿宋"/>
          <w:sz w:val="32"/>
          <w:szCs w:val="32"/>
          <w:shd w:val="clear" w:color="auto" w:fill="FFFFFF"/>
        </w:rPr>
        <w:t>202</w:t>
      </w:r>
      <w:r>
        <w:rPr>
          <w:rFonts w:hint="eastAsia" w:ascii="仿宋" w:hAnsi="仿宋" w:eastAsia="仿宋" w:cs="仿宋"/>
          <w:sz w:val="32"/>
          <w:szCs w:val="32"/>
          <w:shd w:val="clear" w:color="auto" w:fill="FFFFFF"/>
          <w:lang w:val="en-US" w:eastAsia="zh-CN"/>
        </w:rPr>
        <w:t>5</w:t>
      </w:r>
      <w:r>
        <w:rPr>
          <w:rFonts w:hint="eastAsia" w:ascii="仿宋" w:hAnsi="仿宋" w:eastAsia="仿宋" w:cs="仿宋"/>
          <w:sz w:val="32"/>
          <w:szCs w:val="32"/>
          <w:shd w:val="clear" w:color="auto" w:fill="FFFFFF"/>
        </w:rPr>
        <w:t>年</w:t>
      </w:r>
      <w:r>
        <w:rPr>
          <w:rFonts w:hint="eastAsia" w:ascii="仿宋" w:hAnsi="仿宋" w:eastAsia="仿宋" w:cs="仿宋"/>
          <w:sz w:val="32"/>
          <w:szCs w:val="32"/>
          <w:lang w:eastAsia="zh-CN"/>
        </w:rPr>
        <w:t>单位</w:t>
      </w:r>
      <w:r>
        <w:rPr>
          <w:rFonts w:hint="eastAsia" w:ascii="仿宋" w:hAnsi="仿宋" w:eastAsia="仿宋" w:cs="仿宋"/>
          <w:sz w:val="32"/>
          <w:szCs w:val="32"/>
          <w:shd w:val="clear" w:color="auto" w:fill="FFFFFF"/>
        </w:rPr>
        <w:t>整体支出绩效评价报告</w:t>
      </w:r>
    </w:p>
    <w:p w14:paraId="7785102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14:paraId="34B6CC6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楷体_GB2312"/>
          <w:b/>
          <w:color w:val="auto"/>
          <w:sz w:val="32"/>
          <w:szCs w:val="32"/>
          <w:highlight w:val="none"/>
          <w:lang w:val="zh-CN"/>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p>
    <w:p w14:paraId="2B17117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cs="Times New Roman"/>
          <w:szCs w:val="32"/>
        </w:rPr>
      </w:pPr>
      <w:r>
        <w:rPr>
          <w:rFonts w:hint="eastAsia" w:ascii="宋体" w:hAnsi="宋体" w:eastAsia="宋体" w:cs="宋体"/>
          <w:color w:val="000000"/>
          <w:kern w:val="0"/>
          <w:sz w:val="32"/>
          <w:szCs w:val="32"/>
          <w:lang w:val="zh-CN" w:eastAsia="zh-CN" w:bidi="ar"/>
        </w:rPr>
        <w:t>我单位为独立核算全额拨款事业单位，下设</w:t>
      </w:r>
      <w:r>
        <w:rPr>
          <w:rFonts w:hint="eastAsia" w:ascii="宋体" w:hAnsi="宋体" w:eastAsia="宋体" w:cs="宋体"/>
          <w:color w:val="000000"/>
          <w:kern w:val="0"/>
          <w:sz w:val="32"/>
          <w:szCs w:val="32"/>
          <w:lang w:val="en-US" w:eastAsia="zh-CN" w:bidi="ar"/>
        </w:rPr>
        <w:t>1机构。</w:t>
      </w:r>
    </w:p>
    <w:p w14:paraId="29E67571">
      <w:pPr>
        <w:keepNext w:val="0"/>
        <w:keepLines w:val="0"/>
        <w:pageBreakBefore w:val="0"/>
        <w:widowControl/>
        <w:numPr>
          <w:ilvl w:val="0"/>
          <w:numId w:val="2"/>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楷体_GB2312" w:cs="楷体_GB2312"/>
          <w:b/>
          <w:color w:val="auto"/>
          <w:sz w:val="32"/>
          <w:szCs w:val="32"/>
          <w:highlight w:val="none"/>
          <w:lang w:val="zh-CN"/>
        </w:rPr>
      </w:pPr>
      <w:r>
        <w:rPr>
          <w:rFonts w:hint="default" w:ascii="Times New Roman" w:hAnsi="Times New Roman" w:eastAsia="楷体_GB2312" w:cs="楷体_GB2312"/>
          <w:b/>
          <w:color w:val="auto"/>
          <w:sz w:val="32"/>
          <w:szCs w:val="32"/>
          <w:highlight w:val="none"/>
          <w:lang w:val="zh-CN"/>
        </w:rPr>
        <w:t>机构职能</w:t>
      </w:r>
      <w:r>
        <w:rPr>
          <w:rFonts w:hint="eastAsia" w:ascii="Times New Roman" w:hAnsi="Times New Roman" w:eastAsia="楷体_GB2312" w:cs="楷体_GB2312"/>
          <w:b/>
          <w:color w:val="auto"/>
          <w:sz w:val="32"/>
          <w:szCs w:val="32"/>
          <w:highlight w:val="none"/>
          <w:lang w:val="zh-CN"/>
        </w:rPr>
        <w:t>。</w:t>
      </w:r>
    </w:p>
    <w:p w14:paraId="2B2A07B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eastAsia" w:ascii="宋体" w:hAnsi="宋体" w:eastAsia="宋体" w:cs="宋体"/>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7ED10E89">
      <w:pPr>
        <w:keepNext w:val="0"/>
        <w:keepLines w:val="0"/>
        <w:pageBreakBefore w:val="0"/>
        <w:widowControl/>
        <w:kinsoku/>
        <w:wordWrap/>
        <w:overflowPunct/>
        <w:topLinePunct w:val="0"/>
        <w:autoSpaceDE/>
        <w:autoSpaceDN/>
        <w:bidi w:val="0"/>
        <w:adjustRightInd w:val="0"/>
        <w:snapToGrid w:val="0"/>
        <w:spacing w:line="578" w:lineRule="exact"/>
        <w:ind w:firstLine="422"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p>
    <w:p w14:paraId="755DC408">
      <w:pPr>
        <w:keepNext w:val="0"/>
        <w:keepLines w:val="0"/>
        <w:widowControl/>
        <w:numPr>
          <w:ilvl w:val="0"/>
          <w:numId w:val="2"/>
        </w:numPr>
        <w:suppressLineNumbers w:val="0"/>
        <w:adjustRightInd w:val="0"/>
        <w:snapToGrid w:val="0"/>
        <w:spacing w:before="0" w:beforeAutospacing="0" w:after="0" w:afterAutospacing="0" w:line="480" w:lineRule="exact"/>
        <w:ind w:left="0" w:leftChars="0" w:right="0" w:rightChars="0" w:firstLine="643" w:firstLineChars="200"/>
        <w:jc w:val="left"/>
        <w:rPr>
          <w:rFonts w:hint="eastAsia"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p>
    <w:p w14:paraId="3819539E">
      <w:pPr>
        <w:keepNext w:val="0"/>
        <w:keepLines w:val="0"/>
        <w:widowControl/>
        <w:numPr>
          <w:ilvl w:val="0"/>
          <w:numId w:val="0"/>
        </w:numPr>
        <w:suppressLineNumbers w:val="0"/>
        <w:adjustRightInd w:val="0"/>
        <w:snapToGrid w:val="0"/>
        <w:spacing w:before="0" w:beforeAutospacing="0" w:after="0" w:afterAutospacing="0" w:line="480" w:lineRule="exact"/>
        <w:ind w:leftChars="200" w:right="0" w:rightChars="0" w:firstLine="960" w:firstLineChars="300"/>
        <w:jc w:val="left"/>
        <w:rPr>
          <w:rFonts w:hint="default" w:ascii="Times New Roman" w:hAnsi="Times New Roman" w:cs="Times New Roman"/>
          <w:szCs w:val="32"/>
        </w:rPr>
      </w:pPr>
      <w:r>
        <w:rPr>
          <w:rFonts w:hint="eastAsia" w:ascii="仿宋" w:hAnsi="仿宋" w:eastAsia="仿宋" w:cs="仿宋"/>
          <w:bCs/>
          <w:sz w:val="32"/>
          <w:szCs w:val="32"/>
        </w:rPr>
        <w:t>截止20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共有编制8个，其中事业编8个，在职7人,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7</w:t>
      </w:r>
      <w:r>
        <w:rPr>
          <w:rFonts w:hint="eastAsia" w:ascii="仿宋" w:hAnsi="仿宋" w:eastAsia="仿宋" w:cs="仿宋"/>
          <w:bCs/>
          <w:sz w:val="32"/>
          <w:szCs w:val="32"/>
        </w:rPr>
        <w:t>人。</w:t>
      </w:r>
    </w:p>
    <w:p w14:paraId="7D582E2F">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hint="default" w:ascii="Times New Roman" w:hAnsi="Times New Roman" w:cs="Times New Roman"/>
          <w:szCs w:val="32"/>
        </w:rPr>
      </w:pPr>
    </w:p>
    <w:p w14:paraId="2B8887C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14:paraId="4843EA6C">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查尔玛</w:t>
      </w:r>
      <w:r>
        <w:rPr>
          <w:rFonts w:hint="eastAsia" w:eastAsia="楷体_GB2312" w:cs="Times New Roman"/>
          <w:b/>
          <w:bCs/>
          <w:color w:val="000000"/>
          <w:kern w:val="0"/>
          <w:sz w:val="32"/>
          <w:szCs w:val="32"/>
          <w:highlight w:val="none"/>
          <w:shd w:val="clear" w:color="auto" w:fill="FFFFFF"/>
          <w:lang w:val="zh-CN"/>
        </w:rPr>
        <w:t>乡卫生院</w:t>
      </w:r>
      <w:r>
        <w:rPr>
          <w:rFonts w:hint="eastAsia" w:ascii="Times New Roman" w:hAnsi="Times New Roman" w:eastAsia="仿宋_GB2312" w:cs="Times New Roman"/>
          <w:sz w:val="32"/>
          <w:szCs w:val="32"/>
          <w:lang w:val="en-US" w:eastAsia="zh-CN"/>
        </w:rPr>
        <w:t>2025年年初预算收入</w:t>
      </w:r>
      <w:r>
        <w:rPr>
          <w:rFonts w:hint="eastAsia" w:eastAsia="仿宋_GB2312" w:cs="Times New Roman"/>
          <w:sz w:val="32"/>
          <w:szCs w:val="32"/>
          <w:lang w:val="en-US" w:eastAsia="zh-CN"/>
        </w:rPr>
        <w:t>为178.33万元</w:t>
      </w:r>
      <w:r>
        <w:rPr>
          <w:rFonts w:hint="eastAsia" w:ascii="Times New Roman" w:hAnsi="Times New Roman" w:eastAsia="仿宋_GB2312" w:cs="Times New Roman"/>
          <w:sz w:val="32"/>
          <w:szCs w:val="32"/>
          <w:lang w:val="en-US" w:eastAsia="zh-CN"/>
        </w:rPr>
        <w:t>、决算报表收入</w:t>
      </w:r>
      <w:r>
        <w:rPr>
          <w:rFonts w:hint="eastAsia" w:eastAsia="仿宋_GB2312" w:cs="Times New Roman"/>
          <w:sz w:val="32"/>
          <w:szCs w:val="32"/>
          <w:lang w:val="en-US" w:eastAsia="zh-CN"/>
        </w:rPr>
        <w:t>为197.87万元</w:t>
      </w:r>
      <w:r>
        <w:rPr>
          <w:rFonts w:hint="eastAsia" w:ascii="Times New Roman" w:hAnsi="Times New Roman" w:eastAsia="仿宋_GB2312" w:cs="Times New Roman"/>
          <w:sz w:val="32"/>
          <w:szCs w:val="32"/>
          <w:lang w:val="en-US" w:eastAsia="zh-CN"/>
        </w:rPr>
        <w:t>。</w:t>
      </w:r>
    </w:p>
    <w:p w14:paraId="6912C73D">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查尔玛</w:t>
      </w:r>
      <w:r>
        <w:rPr>
          <w:rFonts w:hint="eastAsia" w:eastAsia="楷体_GB2312" w:cs="Times New Roman"/>
          <w:b/>
          <w:bCs/>
          <w:color w:val="000000"/>
          <w:kern w:val="0"/>
          <w:sz w:val="32"/>
          <w:szCs w:val="32"/>
          <w:highlight w:val="none"/>
          <w:shd w:val="clear" w:color="auto" w:fill="FFFFFF"/>
          <w:lang w:val="zh-CN"/>
        </w:rPr>
        <w:t>乡卫生院</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年年初预算支</w:t>
      </w:r>
      <w:r>
        <w:rPr>
          <w:rFonts w:hint="eastAsia" w:eastAsia="仿宋_GB2312" w:cs="Times New Roman"/>
          <w:sz w:val="32"/>
          <w:szCs w:val="32"/>
          <w:lang w:val="en-US" w:eastAsia="zh-CN"/>
        </w:rPr>
        <w:t>为178.33万元</w:t>
      </w:r>
      <w:r>
        <w:rPr>
          <w:rFonts w:hint="eastAsia" w:ascii="Times New Roman" w:hAnsi="Times New Roman" w:eastAsia="仿宋_GB2312" w:cs="Times New Roman"/>
          <w:sz w:val="32"/>
          <w:szCs w:val="32"/>
          <w:lang w:val="en-US" w:eastAsia="zh-CN"/>
        </w:rPr>
        <w:t>、决算报表支出</w:t>
      </w:r>
      <w:r>
        <w:rPr>
          <w:rFonts w:hint="eastAsia" w:eastAsia="仿宋_GB2312" w:cs="Times New Roman"/>
          <w:sz w:val="32"/>
          <w:szCs w:val="32"/>
          <w:lang w:val="en-US" w:eastAsia="zh-CN"/>
        </w:rPr>
        <w:t>为197.87万元</w:t>
      </w:r>
      <w:r>
        <w:rPr>
          <w:rFonts w:hint="eastAsia" w:ascii="Times New Roman" w:hAnsi="Times New Roman" w:eastAsia="仿宋_GB2312" w:cs="Times New Roman"/>
          <w:sz w:val="32"/>
          <w:szCs w:val="32"/>
          <w:lang w:val="en-US" w:eastAsia="zh-CN"/>
        </w:rPr>
        <w:t>。</w:t>
      </w:r>
    </w:p>
    <w:p w14:paraId="6F3404F3">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zh-CN"/>
        </w:rPr>
        <w:t>查尔玛</w:t>
      </w:r>
      <w:r>
        <w:rPr>
          <w:rFonts w:hint="eastAsia" w:eastAsia="楷体_GB2312" w:cs="Times New Roman"/>
          <w:b/>
          <w:bCs/>
          <w:color w:val="000000"/>
          <w:kern w:val="0"/>
          <w:sz w:val="32"/>
          <w:szCs w:val="32"/>
          <w:highlight w:val="none"/>
          <w:shd w:val="clear" w:color="auto" w:fill="FFFFFF"/>
          <w:lang w:val="zh-CN"/>
        </w:rPr>
        <w:t>乡卫生院</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年决算报表</w:t>
      </w:r>
      <w:r>
        <w:rPr>
          <w:rFonts w:hint="default" w:ascii="Times New Roman" w:hAnsi="Times New Roman" w:eastAsia="仿宋_GB2312" w:cs="Times New Roman"/>
          <w:sz w:val="32"/>
          <w:szCs w:val="32"/>
          <w:lang w:val="en-US" w:eastAsia="zh-CN"/>
        </w:rPr>
        <w:t>结转结余</w:t>
      </w:r>
      <w:r>
        <w:rPr>
          <w:rFonts w:hint="eastAsia" w:eastAsia="仿宋_GB2312" w:cs="Times New Roman"/>
          <w:sz w:val="32"/>
          <w:szCs w:val="32"/>
          <w:lang w:val="en-US" w:eastAsia="zh-CN"/>
        </w:rPr>
        <w:t>无</w:t>
      </w:r>
      <w:r>
        <w:rPr>
          <w:rFonts w:hint="default" w:ascii="Times New Roman" w:hAnsi="Times New Roman" w:eastAsia="仿宋_GB2312" w:cs="Times New Roman"/>
          <w:sz w:val="32"/>
          <w:szCs w:val="32"/>
          <w:lang w:val="en-US" w:eastAsia="zh-CN"/>
        </w:rPr>
        <w:t>。</w:t>
      </w:r>
    </w:p>
    <w:p w14:paraId="70D3DC63">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14:paraId="0FCBC99F">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14:paraId="3A35807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履职效能。部门整体绩效目标中选定3-5个核心职能目标，对职能目标完成效果情况绩效分析。</w:t>
      </w:r>
    </w:p>
    <w:p w14:paraId="44591C2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。围绕预算编制质量、单位收入统筹、支出执行进度、预算年终结余、严控一般性支出</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2DD1607F">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ascii="Times New Roman" w:hAnsi="Times New Roman" w:eastAsia="仿宋_GB2312" w:cs="仿宋_GB2312"/>
          <w:color w:val="auto"/>
          <w:kern w:val="2"/>
          <w:sz w:val="32"/>
          <w:szCs w:val="32"/>
          <w:highlight w:val="none"/>
          <w:lang w:val="zh-CN" w:eastAsia="zh-CN" w:bidi="ar-SA"/>
        </w:rPr>
        <w:t>。围绕财务管理制度、财务岗位设置、资金使用规范</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714ABB4A">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。围绕人均资产变化率、资产利用率、资产盘活率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6CF25B71">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。围绕支持中小企业发展、采购执行率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497899D2">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Times New Roman" w:hAnsi="Times New Roman" w:eastAsia="仿宋_GB2312" w:cs="仿宋_GB2312"/>
          <w:color w:val="auto"/>
          <w:kern w:val="2"/>
          <w:sz w:val="32"/>
          <w:szCs w:val="32"/>
          <w:highlight w:val="none"/>
          <w:lang w:val="zh-CN" w:eastAsia="zh-CN" w:bidi="ar-SA"/>
        </w:rPr>
        <w:t>填报以下数据，并</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p w14:paraId="0FBFDBD1">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2AE9845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2F2DD68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项目决策。围绕决策程序、目标设置、项目入库</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75E636C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。围绕资金执行同向、项目调整、执行结果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701F6E9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目标实现。围绕目标完成、目标偏离、实现效果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46C416E7">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eastAsia="仿宋_GB2312" w:cs="仿宋_GB2312"/>
          <w:color w:val="auto"/>
          <w:kern w:val="2"/>
          <w:sz w:val="32"/>
          <w:szCs w:val="32"/>
          <w:highlight w:val="none"/>
          <w:lang w:val="en-US" w:eastAsia="zh-CN" w:bidi="ar-SA"/>
        </w:rPr>
      </w:pPr>
      <w:r>
        <w:rPr>
          <w:rFonts w:hint="default" w:ascii="Times New Roman" w:hAnsi="Times New Roman" w:eastAsia="仿宋_GB2312" w:cs="仿宋_GB2312"/>
          <w:color w:val="auto"/>
          <w:kern w:val="2"/>
          <w:sz w:val="32"/>
          <w:szCs w:val="32"/>
          <w:highlight w:val="none"/>
          <w:lang w:val="en-US" w:eastAsia="zh-CN" w:bidi="ar-SA"/>
        </w:rPr>
        <w:t>省级部门对</w:t>
      </w:r>
      <w:r>
        <w:rPr>
          <w:rFonts w:hint="eastAsia" w:eastAsia="仿宋_GB2312" w:cs="仿宋_GB2312"/>
          <w:color w:val="auto"/>
          <w:kern w:val="2"/>
          <w:sz w:val="32"/>
          <w:szCs w:val="32"/>
          <w:highlight w:val="none"/>
          <w:lang w:val="en-US" w:eastAsia="zh-CN" w:bidi="ar-SA"/>
        </w:rPr>
        <w:t>2025年度</w:t>
      </w:r>
      <w:r>
        <w:rPr>
          <w:rFonts w:hint="default" w:ascii="Times New Roman" w:hAnsi="Times New Roman" w:eastAsia="仿宋_GB2312" w:cs="仿宋_GB2312"/>
          <w:color w:val="auto"/>
          <w:kern w:val="2"/>
          <w:sz w:val="32"/>
          <w:szCs w:val="32"/>
          <w:highlight w:val="none"/>
          <w:lang w:val="en-US" w:eastAsia="zh-CN" w:bidi="ar-SA"/>
        </w:rPr>
        <w:t>一般公共预算、政府性基金预算、国有资本经营预算安排的常年项目、阶段项目绩效目标完成情况，以及债券资金、政府购买服务有关情况进行梳理阐述</w:t>
      </w:r>
      <w:r>
        <w:rPr>
          <w:rFonts w:hint="eastAsia" w:eastAsia="仿宋_GB2312" w:cs="仿宋_GB2312"/>
          <w:color w:val="auto"/>
          <w:kern w:val="2"/>
          <w:sz w:val="32"/>
          <w:szCs w:val="32"/>
          <w:highlight w:val="none"/>
          <w:lang w:val="en-US" w:eastAsia="zh-CN" w:bidi="ar-SA"/>
        </w:rPr>
        <w:t>。</w:t>
      </w:r>
    </w:p>
    <w:p w14:paraId="2CDAF8D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zh-CN" w:eastAsia="zh-CN" w:bidi="ar-SA"/>
        </w:rPr>
        <w:t>围绕内部应用情况、</w:t>
      </w:r>
      <w:r>
        <w:rPr>
          <w:rFonts w:hint="default" w:ascii="Times New Roman" w:hAnsi="Times New Roman" w:eastAsia="仿宋_GB2312" w:cs="仿宋_GB2312"/>
          <w:color w:val="auto"/>
          <w:kern w:val="2"/>
          <w:sz w:val="32"/>
          <w:szCs w:val="32"/>
          <w:highlight w:val="none"/>
          <w:lang w:val="zh-CN" w:eastAsia="zh-CN" w:bidi="ar-SA"/>
        </w:rPr>
        <w:t>信息公开情况</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整改反馈情况</w:t>
      </w:r>
      <w:r>
        <w:rPr>
          <w:rFonts w:hint="eastAsia" w:ascii="Times New Roman" w:hAnsi="Times New Roman" w:eastAsia="仿宋_GB2312" w:cs="仿宋_GB2312"/>
          <w:color w:val="auto"/>
          <w:kern w:val="2"/>
          <w:sz w:val="32"/>
          <w:szCs w:val="32"/>
          <w:highlight w:val="none"/>
          <w:lang w:val="zh-CN" w:eastAsia="zh-CN" w:bidi="ar-SA"/>
        </w:rPr>
        <w:t>进行分析。</w:t>
      </w:r>
    </w:p>
    <w:p w14:paraId="5C1BE1A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14:paraId="13F996DC">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p>
    <w:p w14:paraId="4E53E7DC">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仿宋_GB2312" w:cs="Times New Roman"/>
          <w:sz w:val="32"/>
          <w:szCs w:val="32"/>
          <w:u w:val="none"/>
          <w:lang w:val="en-US" w:eastAsia="zh-CN" w:bidi="ar"/>
        </w:rPr>
      </w:pPr>
      <w:r>
        <w:rPr>
          <w:rFonts w:hint="eastAsia" w:ascii="仿宋" w:hAnsi="仿宋" w:eastAsia="仿宋" w:cs="仿宋"/>
          <w:color w:val="000000"/>
          <w:kern w:val="2"/>
          <w:sz w:val="32"/>
          <w:szCs w:val="32"/>
          <w:lang w:val="en-US" w:eastAsia="zh-CN" w:bidi="ar-SA"/>
        </w:rPr>
        <w:t>2025年部门预算编制基础数据真实可靠，按照年度</w:t>
      </w:r>
      <w:r>
        <w:rPr>
          <w:rFonts w:hint="eastAsia" w:ascii="仿宋" w:hAnsi="仿宋" w:eastAsia="仿宋" w:cs="仿宋"/>
          <w:color w:val="000000"/>
          <w:kern w:val="2"/>
          <w:sz w:val="32"/>
          <w:szCs w:val="32"/>
          <w:lang w:val="en-US" w:eastAsia="zh-CN" w:bidi="ar-SA"/>
        </w:rPr>
        <w:fldChar w:fldCharType="begin"/>
      </w:r>
      <w:r>
        <w:rPr>
          <w:rFonts w:hint="eastAsia" w:ascii="仿宋" w:hAnsi="仿宋" w:eastAsia="仿宋" w:cs="仿宋"/>
          <w:color w:val="000000"/>
          <w:kern w:val="2"/>
          <w:sz w:val="32"/>
          <w:szCs w:val="32"/>
          <w:lang w:val="en-US" w:eastAsia="zh-CN" w:bidi="ar-SA"/>
        </w:rPr>
        <w:instrText xml:space="preserve"> HYPERLINK "http://www.91wenmi.com/wenmi/zongjie/gongzuojihua/" \t "_blank" </w:instrText>
      </w:r>
      <w:r>
        <w:rPr>
          <w:rFonts w:hint="eastAsia" w:ascii="仿宋" w:hAnsi="仿宋" w:eastAsia="仿宋" w:cs="仿宋"/>
          <w:color w:val="000000"/>
          <w:kern w:val="2"/>
          <w:sz w:val="32"/>
          <w:szCs w:val="32"/>
          <w:lang w:val="en-US" w:eastAsia="zh-CN" w:bidi="ar-SA"/>
        </w:rPr>
        <w:fldChar w:fldCharType="separate"/>
      </w:r>
      <w:r>
        <w:rPr>
          <w:rFonts w:hint="eastAsia" w:ascii="仿宋" w:hAnsi="仿宋" w:eastAsia="仿宋" w:cs="仿宋"/>
          <w:color w:val="000000"/>
          <w:kern w:val="2"/>
          <w:sz w:val="32"/>
          <w:szCs w:val="32"/>
          <w:lang w:val="en-US" w:eastAsia="zh-CN" w:bidi="ar-SA"/>
        </w:rPr>
        <w:t>工作计划</w:t>
      </w:r>
      <w:r>
        <w:rPr>
          <w:rFonts w:hint="eastAsia" w:ascii="仿宋" w:hAnsi="仿宋" w:eastAsia="仿宋" w:cs="仿宋"/>
          <w:color w:val="000000"/>
          <w:kern w:val="2"/>
          <w:sz w:val="32"/>
          <w:szCs w:val="32"/>
          <w:lang w:val="en-US" w:eastAsia="zh-CN" w:bidi="ar-SA"/>
        </w:rPr>
        <w:fldChar w:fldCharType="end"/>
      </w:r>
      <w:r>
        <w:rPr>
          <w:rFonts w:hint="eastAsia" w:ascii="仿宋" w:hAnsi="仿宋" w:eastAsia="仿宋" w:cs="仿宋"/>
          <w:color w:val="000000"/>
          <w:kern w:val="2"/>
          <w:sz w:val="32"/>
          <w:szCs w:val="32"/>
          <w:lang w:val="en-US" w:eastAsia="zh-CN" w:bidi="ar-SA"/>
        </w:rPr>
        <w:t>和支出标准合理编制预算方案，预算数据按要求及时报送。基本支出按时间进度支付，达到执行进度，年终无结余。严格执行“三公经费”预算，严格审批，无超预算、无预算执行的情况。</w:t>
      </w:r>
    </w:p>
    <w:p w14:paraId="7CA4FE57">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3" w:firstLineChars="200"/>
        <w:textAlignment w:val="auto"/>
        <w:rPr>
          <w:rFonts w:hint="eastAsia" w:ascii="仿宋" w:hAnsi="仿宋" w:eastAsia="仿宋" w:cs="仿宋"/>
          <w:color w:val="000000"/>
          <w:kern w:val="2"/>
          <w:sz w:val="32"/>
          <w:szCs w:val="32"/>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（二）存在问题。</w:t>
      </w:r>
      <w:r>
        <w:rPr>
          <w:rFonts w:hint="eastAsia" w:ascii="仿宋" w:hAnsi="仿宋" w:eastAsia="仿宋" w:cs="仿宋"/>
          <w:color w:val="000000"/>
          <w:kern w:val="2"/>
          <w:sz w:val="32"/>
          <w:szCs w:val="32"/>
          <w:lang w:val="en-US" w:eastAsia="zh-CN" w:bidi="ar-SA"/>
        </w:rPr>
        <w:t>专项资金执行进度有待进一步加快，固定资产管理继续加强中。账务处理有待于提高。</w:t>
      </w:r>
    </w:p>
    <w:p w14:paraId="2226C7D4">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kern w:val="2"/>
          <w:sz w:val="32"/>
          <w:szCs w:val="32"/>
          <w:u w:val="none"/>
          <w:lang w:val="zh-CN"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bookmarkStart w:id="47" w:name="_Hlk110546638"/>
      <w:r>
        <w:rPr>
          <w:rFonts w:hint="eastAsia" w:ascii="仿宋" w:hAnsi="仿宋" w:eastAsia="仿宋" w:cs="仿宋"/>
          <w:color w:val="000000"/>
          <w:kern w:val="2"/>
          <w:sz w:val="32"/>
          <w:szCs w:val="32"/>
          <w:lang w:val="en-US" w:eastAsia="zh-CN" w:bidi="ar-SA"/>
        </w:rPr>
        <w:t>深入学习贯彻《预算法》等相关法律、法规，进一步增强预算意识，始终坚持先有预算、后有支出，没有预算不得支出的原则。科学合理编制部门预算，推进预算编制科学化、准确化。年度预算编制后，根据实际情况，定期做好预算执行分析，适时掌握预算执行进度，及时找出预算实际执行情况与预算目标之间存在的差距，进一步加快预算执行。加强与业务部门工作对接，做好提前准备工作，资金下达后及时开展项目工作，加快执行进度，充分发挥项目资金效益。</w:t>
      </w:r>
      <w:bookmarkEnd w:id="47"/>
    </w:p>
    <w:p w14:paraId="48D39429">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（注：</w:t>
      </w:r>
      <w:r>
        <w:rPr>
          <w:rFonts w:hint="eastAsia" w:ascii="Times New Roman" w:eastAsia="仿宋_GB2312" w:cs="仿宋_GB2312"/>
          <w:b w:val="0"/>
          <w:bCs w:val="0"/>
          <w:kern w:val="0"/>
          <w:position w:val="0"/>
          <w:sz w:val="32"/>
          <w:szCs w:val="32"/>
          <w:highlight w:val="none"/>
          <w:lang w:val="en-US" w:eastAsia="zh-CN" w:bidi="ar-SA"/>
        </w:rPr>
        <w:t>部门需公开部门预算绩效自评报告和部门预算项目支出绩效自评表（2025年度），各下属单位需公开部门预算项目支出绩效自评表（2025年度）。</w:t>
      </w:r>
    </w:p>
    <w:p w14:paraId="68ABC910">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部门预算项目支出绩效自评表（2025年度）</w:t>
      </w:r>
      <w:r>
        <w:rPr>
          <w:rFonts w:hint="eastAsia" w:ascii="Times New Roman" w:eastAsia="仿宋_GB2312" w:cs="仿宋_GB2312"/>
          <w:b w:val="0"/>
          <w:bCs w:val="0"/>
          <w:kern w:val="0"/>
          <w:position w:val="0"/>
          <w:sz w:val="32"/>
          <w:szCs w:val="32"/>
          <w:highlight w:val="none"/>
          <w:lang w:val="en-US" w:eastAsia="zh-CN" w:bidi="ar-SA"/>
        </w:rPr>
        <w:t>为各部门在预算管理一体化系统绩效自评模块上传的表格，</w:t>
      </w:r>
      <w:r>
        <w:rPr>
          <w:rFonts w:hint="eastAsia" w:ascii="Times New Roman" w:hAnsi="Times New Roman" w:eastAsia="仿宋_GB2312" w:cs="仿宋_GB2312"/>
          <w:b w:val="0"/>
          <w:bCs w:val="0"/>
          <w:kern w:val="0"/>
          <w:position w:val="0"/>
          <w:sz w:val="32"/>
          <w:szCs w:val="32"/>
          <w:highlight w:val="none"/>
          <w:lang w:val="en-US" w:eastAsia="zh-CN" w:bidi="ar-SA"/>
        </w:rPr>
        <w:t>该表格应作为附表予以公开）</w:t>
      </w:r>
    </w:p>
    <w:p w14:paraId="38596A5B">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14:paraId="6F558001">
      <w:pPr>
        <w:pStyle w:val="7"/>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14:paraId="4F72D1FD">
      <w:pPr>
        <w:pStyle w:val="3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0B53D886">
      <w:pPr>
        <w:spacing w:line="580" w:lineRule="exact"/>
        <w:ind w:firstLine="2880" w:firstLineChars="9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红原县查尔玛</w:t>
      </w:r>
      <w:r>
        <w:rPr>
          <w:rFonts w:hint="eastAsia" w:ascii="仿宋_GB2312" w:hAnsi="仿宋_GB2312" w:eastAsia="仿宋_GB2312" w:cs="仿宋_GB2312"/>
          <w:sz w:val="32"/>
          <w:szCs w:val="32"/>
          <w:lang w:eastAsia="zh-CN"/>
        </w:rPr>
        <w:t>乡</w:t>
      </w:r>
      <w:r>
        <w:rPr>
          <w:rFonts w:hint="eastAsia" w:ascii="仿宋" w:hAnsi="仿宋" w:eastAsia="仿宋" w:cs="仿宋"/>
          <w:color w:val="auto"/>
          <w:sz w:val="32"/>
          <w:szCs w:val="32"/>
          <w:highlight w:val="none"/>
          <w:lang w:val="en-US" w:eastAsia="zh-CN"/>
        </w:rPr>
        <w:t>卫生院</w:t>
      </w:r>
    </w:p>
    <w:p w14:paraId="18028E46">
      <w:pPr>
        <w:pStyle w:val="36"/>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关于</w:t>
      </w:r>
      <w:r>
        <w:rPr>
          <w:rFonts w:hint="eastAsia" w:ascii="仿宋" w:hAnsi="仿宋" w:eastAsia="仿宋" w:cs="仿宋"/>
          <w:color w:val="auto"/>
          <w:sz w:val="32"/>
          <w:szCs w:val="32"/>
          <w:highlight w:val="none"/>
          <w:lang w:val="en-US" w:eastAsia="zh-CN"/>
        </w:rPr>
        <w:t>2025年基本公卫</w:t>
      </w:r>
      <w:r>
        <w:rPr>
          <w:rFonts w:hint="eastAsia" w:ascii="仿宋" w:hAnsi="仿宋" w:eastAsia="仿宋" w:cs="仿宋"/>
          <w:color w:val="auto"/>
          <w:sz w:val="32"/>
          <w:szCs w:val="32"/>
          <w:highlight w:val="none"/>
        </w:rPr>
        <w:t>项目绩效自评报告</w:t>
      </w:r>
    </w:p>
    <w:p w14:paraId="10955C90">
      <w:pPr>
        <w:pStyle w:val="3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Times New Roman" w:hAnsi="Times New Roman"/>
          <w:color w:val="auto"/>
          <w:kern w:val="2"/>
          <w:sz w:val="32"/>
          <w:szCs w:val="32"/>
          <w:highlight w:val="none"/>
        </w:rPr>
      </w:pPr>
    </w:p>
    <w:p w14:paraId="67672EB6">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（一）项目基本情况。</w:t>
      </w:r>
    </w:p>
    <w:p w14:paraId="2A51F0F9">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1．说明项目单位在该项目管理中的职能：负责辖区内</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r>
        <w:rPr>
          <w:rFonts w:hint="eastAsia" w:ascii="仿宋" w:hAnsi="仿宋" w:eastAsia="仿宋" w:cs="仿宋"/>
          <w:sz w:val="32"/>
          <w:szCs w:val="32"/>
          <w:lang w:val="zh-CN"/>
        </w:rPr>
        <w:t>。</w:t>
      </w:r>
    </w:p>
    <w:p w14:paraId="55A73672">
      <w:pPr>
        <w:adjustRightInd w:val="0"/>
        <w:snapToGrid w:val="0"/>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zh-CN"/>
        </w:rPr>
        <w:t>2．项目立项、资金申报的依据</w:t>
      </w:r>
      <w:r>
        <w:rPr>
          <w:rFonts w:hint="eastAsia" w:ascii="仿宋" w:hAnsi="仿宋" w:eastAsia="仿宋" w:cs="仿宋"/>
          <w:sz w:val="32"/>
          <w:szCs w:val="32"/>
          <w:lang w:val="en-US" w:eastAsia="zh-CN"/>
        </w:rPr>
        <w:t>:根据该单位开展基本公卫服务项目数量，简报及随访人数等进行资金申报，申报程序严格执行转账，杜绝现金交易。</w:t>
      </w:r>
    </w:p>
    <w:p w14:paraId="652B1C0B">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3．资金管理办法制定情况，资金支持具体项目的条件、范围与支持方式概况。</w:t>
      </w:r>
      <w:r>
        <w:rPr>
          <w:rFonts w:hint="eastAsia" w:ascii="仿宋" w:hAnsi="仿宋" w:eastAsia="仿宋" w:cs="仿宋"/>
          <w:color w:val="auto"/>
          <w:sz w:val="32"/>
          <w:szCs w:val="32"/>
          <w:highlight w:val="none"/>
          <w:lang w:val="en-US" w:eastAsia="zh-CN"/>
        </w:rPr>
        <w:t>经自查，</w:t>
      </w:r>
      <w:r>
        <w:rPr>
          <w:rFonts w:hint="eastAsia" w:ascii="仿宋" w:hAnsi="仿宋" w:eastAsia="仿宋" w:cs="仿宋"/>
          <w:color w:val="auto"/>
          <w:sz w:val="32"/>
          <w:szCs w:val="32"/>
          <w:highlight w:val="none"/>
          <w:lang w:eastAsia="zh-CN"/>
        </w:rPr>
        <w:t>该</w:t>
      </w:r>
      <w:r>
        <w:rPr>
          <w:rFonts w:hint="eastAsia" w:ascii="仿宋" w:hAnsi="仿宋" w:eastAsia="仿宋" w:cs="仿宋"/>
          <w:color w:val="auto"/>
          <w:sz w:val="32"/>
          <w:szCs w:val="32"/>
          <w:highlight w:val="none"/>
        </w:rPr>
        <w:t>项目我</w:t>
      </w:r>
      <w:r>
        <w:rPr>
          <w:rFonts w:hint="eastAsia" w:ascii="仿宋" w:hAnsi="仿宋" w:eastAsia="仿宋" w:cs="仿宋"/>
          <w:color w:val="auto"/>
          <w:sz w:val="32"/>
          <w:szCs w:val="32"/>
          <w:highlight w:val="none"/>
          <w:lang w:val="en-US" w:eastAsia="zh-CN"/>
        </w:rPr>
        <w:t>院</w:t>
      </w:r>
      <w:r>
        <w:rPr>
          <w:rFonts w:hint="eastAsia" w:ascii="仿宋" w:hAnsi="仿宋" w:eastAsia="仿宋" w:cs="仿宋"/>
          <w:color w:val="auto"/>
          <w:sz w:val="32"/>
          <w:szCs w:val="32"/>
          <w:highlight w:val="none"/>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14:paraId="38C5E241">
      <w:pPr>
        <w:adjustRightInd w:val="0"/>
        <w:snapToGrid w:val="0"/>
        <w:spacing w:line="600" w:lineRule="exact"/>
        <w:ind w:firstLine="720"/>
        <w:rPr>
          <w:rFonts w:hint="eastAsia" w:ascii="仿宋" w:hAnsi="仿宋" w:eastAsia="仿宋" w:cs="仿宋"/>
          <w:sz w:val="32"/>
          <w:szCs w:val="32"/>
          <w:lang w:val="en-US" w:eastAsia="zh-CN"/>
        </w:rPr>
      </w:pPr>
      <w:r>
        <w:rPr>
          <w:rFonts w:hint="eastAsia" w:ascii="仿宋" w:hAnsi="仿宋" w:eastAsia="仿宋" w:cs="仿宋"/>
          <w:sz w:val="32"/>
          <w:szCs w:val="32"/>
          <w:lang w:val="zh-CN"/>
        </w:rPr>
        <w:t>4．资金分配的原则及考虑因素：公卫考核</w:t>
      </w:r>
      <w:r>
        <w:rPr>
          <w:rFonts w:hint="eastAsia" w:ascii="仿宋" w:hAnsi="仿宋" w:eastAsia="仿宋" w:cs="仿宋"/>
          <w:sz w:val="32"/>
          <w:szCs w:val="32"/>
          <w:lang w:val="zh-CN" w:eastAsia="zh-CN"/>
        </w:rPr>
        <w:t>情况进行分配并结合常住人口。</w:t>
      </w:r>
    </w:p>
    <w:p w14:paraId="3D251C9A">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（二）项目绩效目标。</w:t>
      </w:r>
    </w:p>
    <w:p w14:paraId="4978BD3D">
      <w:pPr>
        <w:adjustRightInd w:val="0"/>
        <w:snapToGrid w:val="0"/>
        <w:spacing w:line="600" w:lineRule="exact"/>
        <w:ind w:firstLine="720"/>
        <w:rPr>
          <w:rFonts w:hint="eastAsia" w:ascii="仿宋" w:hAnsi="仿宋" w:eastAsia="仿宋" w:cs="仿宋"/>
          <w:color w:val="000000"/>
          <w:sz w:val="32"/>
          <w:szCs w:val="32"/>
          <w:lang w:eastAsia="zh-CN"/>
        </w:rPr>
      </w:pPr>
      <w:r>
        <w:rPr>
          <w:rFonts w:hint="eastAsia" w:ascii="仿宋" w:hAnsi="仿宋" w:eastAsia="仿宋" w:cs="仿宋"/>
          <w:sz w:val="32"/>
          <w:szCs w:val="32"/>
          <w:lang w:val="zh-CN"/>
        </w:rPr>
        <w:t>1．项目主要内容：</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p w14:paraId="55DBFF4C">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2．项目覆盖辖区的所有常住人口。</w:t>
      </w:r>
    </w:p>
    <w:p w14:paraId="10124268">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3．评价指标与实际相符。</w:t>
      </w:r>
    </w:p>
    <w:p w14:paraId="4EE818A8">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（三）项目自评步骤及方法。</w:t>
      </w:r>
    </w:p>
    <w:p w14:paraId="5EF2F8AD">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说明项目绩效自评采用老年人随访登记册，妇幼登记情况表等的组织实施步骤及方法。</w:t>
      </w:r>
    </w:p>
    <w:p w14:paraId="0644939E">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二、项目资金申报及使用情况</w:t>
      </w:r>
    </w:p>
    <w:p w14:paraId="1CAF1821">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（一）项目资金申报及批复情况。</w:t>
      </w:r>
    </w:p>
    <w:p w14:paraId="2371554D">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该项目由卫生院自行提供相关附件由乡镇会计核算中心审核，并由局领导同意报县级财政及相关领导签字后，实行转账支付。</w:t>
      </w:r>
    </w:p>
    <w:p w14:paraId="17837B27">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b/>
          <w:sz w:val="32"/>
          <w:szCs w:val="32"/>
          <w:lang w:val="zh-CN"/>
        </w:rPr>
        <w:t>（二）资金计划、到位及使用情况（可用表格形式反映）。</w:t>
      </w:r>
    </w:p>
    <w:p w14:paraId="52D151B2">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1．该项目资金为中央，省州公卫资金。</w:t>
      </w:r>
    </w:p>
    <w:p w14:paraId="0C8CF56B">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2．资金到位。截止评价时点该项目资金已全部到位。</w:t>
      </w:r>
    </w:p>
    <w:p w14:paraId="26434320">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3．资金使用。该资金已按文件要求合理进行使用。</w:t>
      </w:r>
    </w:p>
    <w:p w14:paraId="693974BB">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（三）项目财务管理情况。</w:t>
      </w:r>
    </w:p>
    <w:p w14:paraId="6DFF0B40">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color w:val="auto"/>
          <w:sz w:val="32"/>
          <w:szCs w:val="32"/>
          <w:highlight w:val="none"/>
        </w:rPr>
        <w:t>项目实施过程中严格按照项目财务管理制度进行财务管理，专款专用，专人负责，严格对照资金管理办法，不拆借资金，规范会计核算程序</w:t>
      </w:r>
      <w:r>
        <w:rPr>
          <w:rFonts w:hint="eastAsia" w:ascii="仿宋" w:hAnsi="仿宋" w:eastAsia="仿宋" w:cs="仿宋"/>
          <w:sz w:val="32"/>
          <w:szCs w:val="32"/>
          <w:lang w:val="zh-CN"/>
        </w:rPr>
        <w:t>。</w:t>
      </w:r>
    </w:p>
    <w:p w14:paraId="78D364BC">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三、项目实施及管理情况</w:t>
      </w:r>
    </w:p>
    <w:p w14:paraId="333D91D3">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项目实施过程中均无现金交易，都是采用直接申请支付方式付款。</w:t>
      </w:r>
    </w:p>
    <w:p w14:paraId="5B256976">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rPr>
        <w:t>四、项目绩效情况</w:t>
      </w:r>
      <w:r>
        <w:rPr>
          <w:rFonts w:hint="eastAsia" w:ascii="仿宋" w:hAnsi="仿宋" w:eastAsia="仿宋" w:cs="仿宋"/>
          <w:sz w:val="32"/>
          <w:szCs w:val="32"/>
          <w:lang w:val="zh-CN"/>
        </w:rPr>
        <w:tab/>
      </w:r>
    </w:p>
    <w:p w14:paraId="53126732">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（一）项目完成情况。</w:t>
      </w:r>
    </w:p>
    <w:p w14:paraId="75853108">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sz w:val="32"/>
          <w:szCs w:val="32"/>
          <w:lang w:val="zh-CN"/>
        </w:rPr>
        <w:t>该项目完成了全年的慢病随访，妇幼随访，及婴幼儿预防接种，情况良好。</w:t>
      </w:r>
    </w:p>
    <w:p w14:paraId="5E8BB5EC">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（二）项目效益情况。</w:t>
      </w:r>
    </w:p>
    <w:p w14:paraId="4073CE84">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该项目是名声工程，群众满意度良好。</w:t>
      </w:r>
    </w:p>
    <w:p w14:paraId="5193E302">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五、评价结论及建议</w:t>
      </w:r>
    </w:p>
    <w:p w14:paraId="51884A93">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（一）评价结论。</w:t>
      </w:r>
    </w:p>
    <w:p w14:paraId="1CB72D6C">
      <w:pPr>
        <w:adjustRightInd w:val="0"/>
        <w:snapToGrid w:val="0"/>
        <w:spacing w:line="600" w:lineRule="exact"/>
        <w:ind w:firstLine="640" w:firstLineChars="200"/>
        <w:rPr>
          <w:rFonts w:hint="eastAsia" w:ascii="仿宋" w:hAnsi="仿宋" w:eastAsia="仿宋" w:cs="仿宋"/>
          <w:sz w:val="32"/>
          <w:szCs w:val="32"/>
          <w:bdr w:val="single" w:color="auto" w:sz="4" w:space="0"/>
          <w:lang w:val="zh-CN"/>
        </w:rPr>
      </w:pPr>
      <w:r>
        <w:rPr>
          <w:rFonts w:hint="eastAsia" w:ascii="仿宋" w:hAnsi="仿宋" w:eastAsia="仿宋" w:cs="仿宋"/>
          <w:sz w:val="32"/>
          <w:szCs w:val="32"/>
          <w:lang w:val="zh-CN"/>
        </w:rPr>
        <w:t>该项目是当前重点工作，完成情况比较良好。</w:t>
      </w:r>
    </w:p>
    <w:p w14:paraId="6C685215">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（二）存在的问题。</w:t>
      </w:r>
    </w:p>
    <w:p w14:paraId="49CAE95D">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资金拨付速度较慢。</w:t>
      </w:r>
      <w:r>
        <w:rPr>
          <w:rFonts w:hint="eastAsia" w:ascii="仿宋" w:hAnsi="仿宋" w:eastAsia="仿宋" w:cs="仿宋"/>
          <w:sz w:val="32"/>
          <w:szCs w:val="32"/>
          <w:lang w:val="zh-CN"/>
        </w:rPr>
        <w:tab/>
      </w:r>
    </w:p>
    <w:p w14:paraId="1C00F8A6">
      <w:pPr>
        <w:numPr>
          <w:ilvl w:val="0"/>
          <w:numId w:val="2"/>
        </w:numPr>
        <w:adjustRightInd w:val="0"/>
        <w:snapToGrid w:val="0"/>
        <w:spacing w:line="600" w:lineRule="exact"/>
        <w:ind w:left="0" w:leftChars="0" w:firstLine="643" w:firstLineChars="200"/>
        <w:rPr>
          <w:rFonts w:hint="eastAsia" w:ascii="仿宋" w:hAnsi="仿宋" w:eastAsia="仿宋" w:cs="仿宋"/>
          <w:b/>
          <w:sz w:val="32"/>
          <w:szCs w:val="32"/>
          <w:lang w:val="zh-CN"/>
        </w:rPr>
      </w:pPr>
      <w:r>
        <w:rPr>
          <w:rFonts w:hint="eastAsia" w:ascii="仿宋" w:hAnsi="仿宋" w:eastAsia="仿宋" w:cs="仿宋"/>
          <w:b/>
          <w:sz w:val="32"/>
          <w:szCs w:val="32"/>
          <w:lang w:val="zh-CN"/>
        </w:rPr>
        <w:t>相关建议。</w:t>
      </w:r>
    </w:p>
    <w:p w14:paraId="506097A0">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仿宋" w:hAnsi="仿宋" w:eastAsia="仿宋" w:cs="仿宋"/>
          <w:b/>
          <w:bCs/>
          <w:color w:val="auto"/>
          <w:sz w:val="32"/>
          <w:szCs w:val="32"/>
          <w:highlight w:val="none"/>
          <w:lang w:val="en-US" w:eastAsia="zh-CN"/>
        </w:rPr>
        <w:t>一是</w:t>
      </w:r>
      <w:r>
        <w:rPr>
          <w:rFonts w:hint="eastAsia" w:ascii="仿宋" w:hAnsi="仿宋" w:eastAsia="仿宋" w:cs="仿宋"/>
          <w:color w:val="auto"/>
          <w:sz w:val="32"/>
          <w:szCs w:val="32"/>
          <w:highlight w:val="none"/>
          <w:lang w:eastAsia="zh-CN"/>
        </w:rPr>
        <w:t>加强宣传培训。</w:t>
      </w:r>
      <w:r>
        <w:rPr>
          <w:rFonts w:hint="eastAsia" w:ascii="仿宋" w:hAnsi="仿宋" w:eastAsia="仿宋" w:cs="仿宋"/>
          <w:b/>
          <w:bCs/>
          <w:color w:val="auto"/>
          <w:sz w:val="32"/>
          <w:szCs w:val="32"/>
          <w:highlight w:val="none"/>
          <w:lang w:val="en-US" w:eastAsia="zh-CN"/>
        </w:rPr>
        <w:t>二是</w:t>
      </w:r>
      <w:r>
        <w:rPr>
          <w:rFonts w:hint="eastAsia" w:ascii="仿宋" w:hAnsi="仿宋" w:eastAsia="仿宋" w:cs="仿宋"/>
          <w:color w:val="auto"/>
          <w:sz w:val="32"/>
          <w:szCs w:val="32"/>
          <w:highlight w:val="none"/>
          <w:lang w:eastAsia="zh-CN"/>
        </w:rPr>
        <w:t>积极申报资金，做好各类相关工作</w:t>
      </w:r>
      <w:r>
        <w:rPr>
          <w:rFonts w:hint="eastAsia" w:ascii="仿宋" w:hAnsi="仿宋" w:eastAsia="仿宋" w:cs="仿宋"/>
          <w:sz w:val="32"/>
          <w:szCs w:val="32"/>
          <w:lang w:val="zh-CN"/>
        </w:rPr>
        <w:t>。</w:t>
      </w:r>
    </w:p>
    <w:p w14:paraId="1FFFA59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48"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14:paraId="4EC68534">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30"/>
          <w:rFonts w:hint="eastAsia" w:ascii="Times New Roman" w:hAnsi="Times New Roman" w:eastAsia="黑体"/>
          <w:b w:val="0"/>
          <w:color w:val="auto"/>
          <w:highlight w:val="none"/>
        </w:rPr>
        <w:t>五部分 附表</w:t>
      </w:r>
      <w:bookmarkEnd w:id="46"/>
      <w:bookmarkEnd w:id="48"/>
      <w:bookmarkStart w:id="49" w:name="_Toc15396619"/>
    </w:p>
    <w:p w14:paraId="43C9EB7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3668499A">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9"/>
    </w:p>
    <w:p w14:paraId="1C8FED6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0"/>
      <w:r>
        <w:rPr>
          <w:rFonts w:hint="eastAsia" w:ascii="Times New Roman" w:hAnsi="Times New Roman" w:eastAsia="仿宋_GB2312" w:cs="仿宋_GB2312"/>
          <w:color w:val="auto"/>
          <w:sz w:val="32"/>
          <w:szCs w:val="32"/>
          <w:highlight w:val="none"/>
        </w:rPr>
        <w:t>二、收入决算表</w:t>
      </w:r>
      <w:bookmarkEnd w:id="50"/>
    </w:p>
    <w:p w14:paraId="377B5EF0">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1"/>
      <w:r>
        <w:rPr>
          <w:rFonts w:hint="eastAsia" w:ascii="Times New Roman" w:hAnsi="Times New Roman" w:eastAsia="仿宋_GB2312" w:cs="仿宋_GB2312"/>
          <w:color w:val="auto"/>
          <w:sz w:val="32"/>
          <w:szCs w:val="32"/>
          <w:highlight w:val="none"/>
        </w:rPr>
        <w:t>三、支出决算表</w:t>
      </w:r>
      <w:bookmarkEnd w:id="51"/>
    </w:p>
    <w:p w14:paraId="71811BC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2"/>
      <w:r>
        <w:rPr>
          <w:rFonts w:hint="eastAsia" w:ascii="Times New Roman" w:hAnsi="Times New Roman" w:eastAsia="仿宋_GB2312" w:cs="仿宋_GB2312"/>
          <w:color w:val="auto"/>
          <w:sz w:val="32"/>
          <w:szCs w:val="32"/>
          <w:highlight w:val="none"/>
        </w:rPr>
        <w:t>四、财政拨款收入支出决算总表</w:t>
      </w:r>
      <w:bookmarkEnd w:id="52"/>
    </w:p>
    <w:p w14:paraId="7C42BC7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3"/>
      <w:r>
        <w:rPr>
          <w:rFonts w:hint="eastAsia" w:ascii="Times New Roman" w:hAnsi="Times New Roman" w:eastAsia="仿宋_GB2312" w:cs="仿宋_GB2312"/>
          <w:color w:val="auto"/>
          <w:sz w:val="32"/>
          <w:szCs w:val="32"/>
          <w:highlight w:val="none"/>
        </w:rPr>
        <w:t>五、财政拨款支出决算明细表</w:t>
      </w:r>
      <w:bookmarkEnd w:id="53"/>
      <w:bookmarkStart w:id="54" w:name="_Toc15396624"/>
    </w:p>
    <w:p w14:paraId="6333487C">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4"/>
    </w:p>
    <w:p w14:paraId="1E48E354">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5"/>
      <w:r>
        <w:rPr>
          <w:rFonts w:hint="eastAsia" w:ascii="Times New Roman" w:hAnsi="Times New Roman" w:eastAsia="仿宋_GB2312" w:cs="仿宋_GB2312"/>
          <w:color w:val="auto"/>
          <w:sz w:val="32"/>
          <w:szCs w:val="32"/>
          <w:highlight w:val="none"/>
        </w:rPr>
        <w:t>七、一般公共预算财政拨款支出决算明细表</w:t>
      </w:r>
      <w:bookmarkEnd w:id="55"/>
    </w:p>
    <w:p w14:paraId="25E9ED13">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6"/>
      <w:r>
        <w:rPr>
          <w:rFonts w:hint="eastAsia" w:ascii="Times New Roman" w:hAnsi="Times New Roman" w:eastAsia="仿宋_GB2312" w:cs="仿宋_GB2312"/>
          <w:color w:val="auto"/>
          <w:sz w:val="32"/>
          <w:szCs w:val="32"/>
          <w:highlight w:val="none"/>
        </w:rPr>
        <w:t>八、一般公共预算财政拨款基本支出决算表</w:t>
      </w:r>
      <w:bookmarkEnd w:id="56"/>
    </w:p>
    <w:p w14:paraId="5A2CDA03">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7"/>
      <w:r>
        <w:rPr>
          <w:rFonts w:hint="eastAsia" w:ascii="Times New Roman" w:hAnsi="Times New Roman" w:eastAsia="仿宋_GB2312" w:cs="仿宋_GB2312"/>
          <w:color w:val="auto"/>
          <w:sz w:val="32"/>
          <w:szCs w:val="32"/>
          <w:highlight w:val="none"/>
        </w:rPr>
        <w:t>九、一般公共预算财政拨款项目支出决算表</w:t>
      </w:r>
      <w:bookmarkEnd w:id="57"/>
    </w:p>
    <w:p w14:paraId="6671457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8"/>
      <w:r>
        <w:rPr>
          <w:rFonts w:hint="eastAsia" w:ascii="Times New Roman" w:hAnsi="Times New Roman" w:eastAsia="仿宋_GB2312" w:cs="仿宋_GB2312"/>
          <w:color w:val="auto"/>
          <w:sz w:val="32"/>
          <w:szCs w:val="32"/>
          <w:highlight w:val="none"/>
        </w:rPr>
        <w:t>十、</w:t>
      </w:r>
      <w:bookmarkEnd w:id="58"/>
      <w:r>
        <w:rPr>
          <w:rFonts w:hint="eastAsia" w:ascii="Times New Roman" w:hAnsi="Times New Roman" w:eastAsia="仿宋_GB2312" w:cs="仿宋_GB2312"/>
          <w:color w:val="auto"/>
          <w:sz w:val="32"/>
          <w:szCs w:val="32"/>
          <w:highlight w:val="none"/>
        </w:rPr>
        <w:t>政府性基金预算财政拨款收入支出决算表</w:t>
      </w:r>
    </w:p>
    <w:p w14:paraId="41CC2F4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9"/>
      <w:r>
        <w:rPr>
          <w:rFonts w:hint="eastAsia" w:ascii="Times New Roman" w:hAnsi="Times New Roman" w:eastAsia="仿宋_GB2312" w:cs="仿宋_GB2312"/>
          <w:color w:val="auto"/>
          <w:sz w:val="32"/>
          <w:szCs w:val="32"/>
          <w:highlight w:val="none"/>
        </w:rPr>
        <w:t>十一、</w:t>
      </w:r>
      <w:bookmarkEnd w:id="59"/>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3B22016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30"/>
      <w:r>
        <w:rPr>
          <w:rFonts w:hint="eastAsia" w:ascii="Times New Roman" w:hAnsi="Times New Roman" w:eastAsia="仿宋_GB2312" w:cs="仿宋_GB2312"/>
          <w:color w:val="auto"/>
          <w:sz w:val="32"/>
          <w:szCs w:val="32"/>
          <w:highlight w:val="none"/>
        </w:rPr>
        <w:t>十二、</w:t>
      </w:r>
      <w:bookmarkEnd w:id="60"/>
      <w:r>
        <w:rPr>
          <w:rFonts w:hint="eastAsia" w:ascii="Times New Roman" w:hAnsi="Times New Roman" w:eastAsia="仿宋_GB2312" w:cs="仿宋_GB2312"/>
          <w:color w:val="auto"/>
          <w:sz w:val="32"/>
          <w:szCs w:val="32"/>
          <w:highlight w:val="none"/>
          <w:lang w:eastAsia="zh-CN"/>
        </w:rPr>
        <w:t>国有资本经营预算财政拨款支出决算表</w:t>
      </w:r>
    </w:p>
    <w:p w14:paraId="77359D4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1" w:name="_Toc15396631"/>
      <w:r>
        <w:rPr>
          <w:rFonts w:hint="eastAsia" w:ascii="Times New Roman" w:hAnsi="Times New Roman" w:eastAsia="仿宋_GB2312" w:cs="仿宋_GB2312"/>
          <w:color w:val="auto"/>
          <w:sz w:val="32"/>
          <w:szCs w:val="32"/>
          <w:highlight w:val="none"/>
        </w:rPr>
        <w:t>十三、</w:t>
      </w:r>
      <w:bookmarkEnd w:id="61"/>
      <w:r>
        <w:rPr>
          <w:rFonts w:hint="eastAsia" w:ascii="Times New Roman" w:hAnsi="Times New Roman" w:eastAsia="仿宋_GB2312" w:cs="仿宋_GB2312"/>
          <w:color w:val="auto"/>
          <w:sz w:val="32"/>
          <w:szCs w:val="32"/>
          <w:highlight w:val="none"/>
          <w:lang w:eastAsia="zh-CN"/>
        </w:rPr>
        <w:t>财政拨款“三公”经费支出决算表</w:t>
      </w:r>
    </w:p>
    <w:p w14:paraId="405F9AE5">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A9376">
    <w:pPr>
      <w:pStyle w:val="10"/>
      <w:jc w:val="center"/>
    </w:pPr>
  </w:p>
  <w:p w14:paraId="5C52A975">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CF9EA">
    <w:pPr>
      <w:pStyle w:val="10"/>
      <w:jc w:val="center"/>
    </w:pPr>
  </w:p>
  <w:p w14:paraId="00DFC532">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7DFE2">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3F9DFB">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B3F9DFB">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C9B5F">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4A8D07"/>
    <w:multiLevelType w:val="singleLevel"/>
    <w:tmpl w:val="AD4A8D07"/>
    <w:lvl w:ilvl="0" w:tentative="0">
      <w:start w:val="1"/>
      <w:numFmt w:val="chineseCounting"/>
      <w:suff w:val="nothing"/>
      <w:lvlText w:val="%1、"/>
      <w:lvlJc w:val="left"/>
      <w:rPr>
        <w:rFonts w:hint="eastAsia"/>
      </w:rPr>
    </w:lvl>
  </w:abstractNum>
  <w:abstractNum w:abstractNumId="1">
    <w:nsid w:val="417894F4"/>
    <w:multiLevelType w:val="singleLevel"/>
    <w:tmpl w:val="417894F4"/>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44B1342"/>
    <w:rsid w:val="061E35DE"/>
    <w:rsid w:val="066E0107"/>
    <w:rsid w:val="07996F6E"/>
    <w:rsid w:val="07DFD8BA"/>
    <w:rsid w:val="08A41020"/>
    <w:rsid w:val="08DB07E4"/>
    <w:rsid w:val="09867E8F"/>
    <w:rsid w:val="09C00DEC"/>
    <w:rsid w:val="0A2032A3"/>
    <w:rsid w:val="0C452514"/>
    <w:rsid w:val="0C6C4794"/>
    <w:rsid w:val="0CA8290A"/>
    <w:rsid w:val="0D35B1ED"/>
    <w:rsid w:val="0DE07E2B"/>
    <w:rsid w:val="0EBB2495"/>
    <w:rsid w:val="0F98263C"/>
    <w:rsid w:val="101860EC"/>
    <w:rsid w:val="102A4933"/>
    <w:rsid w:val="10C055FF"/>
    <w:rsid w:val="10EB53A5"/>
    <w:rsid w:val="11772AA4"/>
    <w:rsid w:val="118107EC"/>
    <w:rsid w:val="13957196"/>
    <w:rsid w:val="13D50BC4"/>
    <w:rsid w:val="14022904"/>
    <w:rsid w:val="152F2A07"/>
    <w:rsid w:val="1563320B"/>
    <w:rsid w:val="165E0673"/>
    <w:rsid w:val="16BB723D"/>
    <w:rsid w:val="16F13FCB"/>
    <w:rsid w:val="186504BB"/>
    <w:rsid w:val="1938089F"/>
    <w:rsid w:val="19A445FC"/>
    <w:rsid w:val="1B7D550C"/>
    <w:rsid w:val="1BE8440E"/>
    <w:rsid w:val="1D155CEE"/>
    <w:rsid w:val="1DB47B00"/>
    <w:rsid w:val="1DE178F3"/>
    <w:rsid w:val="1E740ACF"/>
    <w:rsid w:val="1FF35744"/>
    <w:rsid w:val="1FF6BC77"/>
    <w:rsid w:val="218D48F0"/>
    <w:rsid w:val="21962A9E"/>
    <w:rsid w:val="21AE7C77"/>
    <w:rsid w:val="2250591D"/>
    <w:rsid w:val="22BC3C41"/>
    <w:rsid w:val="23860B96"/>
    <w:rsid w:val="23B26890"/>
    <w:rsid w:val="240371BF"/>
    <w:rsid w:val="260F557C"/>
    <w:rsid w:val="267D0418"/>
    <w:rsid w:val="281408E2"/>
    <w:rsid w:val="29FD04D3"/>
    <w:rsid w:val="2A4A2E52"/>
    <w:rsid w:val="2A7C799B"/>
    <w:rsid w:val="2BFF7BC6"/>
    <w:rsid w:val="2C8A61B5"/>
    <w:rsid w:val="2D2E01CF"/>
    <w:rsid w:val="2DF04E50"/>
    <w:rsid w:val="2E9545B0"/>
    <w:rsid w:val="2F040D46"/>
    <w:rsid w:val="2F8C1E45"/>
    <w:rsid w:val="2FAE5751"/>
    <w:rsid w:val="2FB1A395"/>
    <w:rsid w:val="2FD9A7D8"/>
    <w:rsid w:val="30C75568"/>
    <w:rsid w:val="3114059F"/>
    <w:rsid w:val="3195008C"/>
    <w:rsid w:val="319F7F4E"/>
    <w:rsid w:val="321B2544"/>
    <w:rsid w:val="322D5264"/>
    <w:rsid w:val="3304709D"/>
    <w:rsid w:val="33754D69"/>
    <w:rsid w:val="34281836"/>
    <w:rsid w:val="349D6851"/>
    <w:rsid w:val="35BA6CAF"/>
    <w:rsid w:val="35BF62F8"/>
    <w:rsid w:val="35D37231"/>
    <w:rsid w:val="364D14C1"/>
    <w:rsid w:val="36AA5135"/>
    <w:rsid w:val="36BE0DA7"/>
    <w:rsid w:val="376B6AA6"/>
    <w:rsid w:val="376D39B2"/>
    <w:rsid w:val="37E16F03"/>
    <w:rsid w:val="37F53A3B"/>
    <w:rsid w:val="37F708BD"/>
    <w:rsid w:val="389B6C89"/>
    <w:rsid w:val="38D469F0"/>
    <w:rsid w:val="39627CCD"/>
    <w:rsid w:val="397BAF1F"/>
    <w:rsid w:val="39873EC3"/>
    <w:rsid w:val="39A53926"/>
    <w:rsid w:val="3AB79AF3"/>
    <w:rsid w:val="3B7EF35A"/>
    <w:rsid w:val="3B9FDB6C"/>
    <w:rsid w:val="3BF5BC2F"/>
    <w:rsid w:val="3CEBA265"/>
    <w:rsid w:val="3D98207C"/>
    <w:rsid w:val="3D9B0D99"/>
    <w:rsid w:val="3DEE7CF3"/>
    <w:rsid w:val="3DF02244"/>
    <w:rsid w:val="3E78745D"/>
    <w:rsid w:val="3F6C393F"/>
    <w:rsid w:val="3FF4CAE0"/>
    <w:rsid w:val="3FF7B227"/>
    <w:rsid w:val="40E54C45"/>
    <w:rsid w:val="41313393"/>
    <w:rsid w:val="421A0D29"/>
    <w:rsid w:val="43A407DF"/>
    <w:rsid w:val="44515BEA"/>
    <w:rsid w:val="44957494"/>
    <w:rsid w:val="44E268DA"/>
    <w:rsid w:val="453F7E5B"/>
    <w:rsid w:val="46B4633C"/>
    <w:rsid w:val="486A6C7A"/>
    <w:rsid w:val="49176D9B"/>
    <w:rsid w:val="494006BD"/>
    <w:rsid w:val="4A627F82"/>
    <w:rsid w:val="4B0E749A"/>
    <w:rsid w:val="4B4F25DA"/>
    <w:rsid w:val="4BDA0CFB"/>
    <w:rsid w:val="4BE068DB"/>
    <w:rsid w:val="4D3C0CCC"/>
    <w:rsid w:val="4D577224"/>
    <w:rsid w:val="4DBF1CEB"/>
    <w:rsid w:val="4E3B0DA4"/>
    <w:rsid w:val="4EAB630A"/>
    <w:rsid w:val="4ECE2238"/>
    <w:rsid w:val="4F833267"/>
    <w:rsid w:val="4FE9BD67"/>
    <w:rsid w:val="4FFB052F"/>
    <w:rsid w:val="53083A92"/>
    <w:rsid w:val="537E6D0A"/>
    <w:rsid w:val="53AF27A2"/>
    <w:rsid w:val="53F74C96"/>
    <w:rsid w:val="565749A5"/>
    <w:rsid w:val="56E47B74"/>
    <w:rsid w:val="57BD3DD4"/>
    <w:rsid w:val="5A1706EC"/>
    <w:rsid w:val="5AF92295"/>
    <w:rsid w:val="5BDD79E6"/>
    <w:rsid w:val="5BE75664"/>
    <w:rsid w:val="5BF561CA"/>
    <w:rsid w:val="5BFF5DFC"/>
    <w:rsid w:val="5C7A3FEC"/>
    <w:rsid w:val="5CD71FC4"/>
    <w:rsid w:val="5D1F11B5"/>
    <w:rsid w:val="5DAE1B18"/>
    <w:rsid w:val="5DE7D9E5"/>
    <w:rsid w:val="5E6A153A"/>
    <w:rsid w:val="5ECEC941"/>
    <w:rsid w:val="5F493CB7"/>
    <w:rsid w:val="5FBF9FF3"/>
    <w:rsid w:val="5FCD4E2C"/>
    <w:rsid w:val="5FD15F49"/>
    <w:rsid w:val="5FEF394A"/>
    <w:rsid w:val="5FF67715"/>
    <w:rsid w:val="62782477"/>
    <w:rsid w:val="62BF3928"/>
    <w:rsid w:val="647F5392"/>
    <w:rsid w:val="664B1D71"/>
    <w:rsid w:val="67AA3209"/>
    <w:rsid w:val="681C4F0D"/>
    <w:rsid w:val="688C6FE4"/>
    <w:rsid w:val="69046D0F"/>
    <w:rsid w:val="698D0931"/>
    <w:rsid w:val="6A993CED"/>
    <w:rsid w:val="6B053271"/>
    <w:rsid w:val="6BCE6674"/>
    <w:rsid w:val="6C4A05C8"/>
    <w:rsid w:val="6C8742B8"/>
    <w:rsid w:val="6C8A170F"/>
    <w:rsid w:val="6CB54609"/>
    <w:rsid w:val="6DBF5E93"/>
    <w:rsid w:val="6DE035C6"/>
    <w:rsid w:val="6DFF077E"/>
    <w:rsid w:val="6E591ABC"/>
    <w:rsid w:val="6E7E3605"/>
    <w:rsid w:val="6E7FDCC7"/>
    <w:rsid w:val="6ED6A62E"/>
    <w:rsid w:val="6EE00B15"/>
    <w:rsid w:val="6F544B20"/>
    <w:rsid w:val="6F6FB3EB"/>
    <w:rsid w:val="6F784160"/>
    <w:rsid w:val="6F8731EA"/>
    <w:rsid w:val="6FCE6052"/>
    <w:rsid w:val="6FD57C00"/>
    <w:rsid w:val="6FDB5AFE"/>
    <w:rsid w:val="6FEFFFD8"/>
    <w:rsid w:val="6FF5CC65"/>
    <w:rsid w:val="6FFB47EC"/>
    <w:rsid w:val="6FFF034A"/>
    <w:rsid w:val="701D640C"/>
    <w:rsid w:val="70496804"/>
    <w:rsid w:val="712A28F1"/>
    <w:rsid w:val="715C0E4B"/>
    <w:rsid w:val="71FB7DD2"/>
    <w:rsid w:val="72233669"/>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9086DAD"/>
    <w:rsid w:val="79974F09"/>
    <w:rsid w:val="79D7FD79"/>
    <w:rsid w:val="79EE5BA4"/>
    <w:rsid w:val="7A894339"/>
    <w:rsid w:val="7AFF7572"/>
    <w:rsid w:val="7B6C7DFB"/>
    <w:rsid w:val="7BBFBED0"/>
    <w:rsid w:val="7BC3E394"/>
    <w:rsid w:val="7BE51585"/>
    <w:rsid w:val="7C1F3737"/>
    <w:rsid w:val="7CBFC87B"/>
    <w:rsid w:val="7CFE0F48"/>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4"/>
    <w:unhideWhenUsed/>
    <w:qFormat/>
    <w:uiPriority w:val="9"/>
    <w:pPr>
      <w:keepNext/>
      <w:keepLines/>
      <w:spacing w:before="260" w:after="260" w:line="416" w:lineRule="auto"/>
      <w:outlineLvl w:val="2"/>
    </w:pPr>
    <w:rPr>
      <w:b/>
      <w:bCs/>
      <w:sz w:val="32"/>
      <w:szCs w:val="32"/>
    </w:rPr>
  </w:style>
  <w:style w:type="character" w:default="1" w:styleId="18">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7">
    <w:name w:val="Body Text"/>
    <w:basedOn w:val="1"/>
    <w:next w:val="1"/>
    <w:link w:val="27"/>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3"/>
    <w:semiHidden/>
    <w:unhideWhenUsed/>
    <w:qFormat/>
    <w:uiPriority w:val="99"/>
    <w:rPr>
      <w:sz w:val="18"/>
      <w:szCs w:val="18"/>
    </w:rPr>
  </w:style>
  <w:style w:type="paragraph" w:styleId="10">
    <w:name w:val="footer"/>
    <w:basedOn w:val="1"/>
    <w:link w:val="25"/>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3"/>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2"/>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16">
    <w:name w:val="Body Text First Indent"/>
    <w:basedOn w:val="7"/>
    <w:qFormat/>
    <w:uiPriority w:val="99"/>
    <w:pPr>
      <w:tabs>
        <w:tab w:val="left" w:pos="2160"/>
      </w:tabs>
      <w:ind w:firstLineChars="100"/>
    </w:pPr>
  </w:style>
  <w:style w:type="character" w:styleId="19">
    <w:name w:val="Strong"/>
    <w:basedOn w:val="18"/>
    <w:qFormat/>
    <w:uiPriority w:val="99"/>
    <w:rPr>
      <w:b/>
    </w:rPr>
  </w:style>
  <w:style w:type="character" w:styleId="20">
    <w:name w:val="Hyperlink"/>
    <w:basedOn w:val="18"/>
    <w:unhideWhenUsed/>
    <w:qFormat/>
    <w:uiPriority w:val="99"/>
    <w:rPr>
      <w:color w:val="0000FF" w:themeColor="hyperlink"/>
      <w:u w:val="single"/>
      <w14:textFill>
        <w14:solidFill>
          <w14:schemeClr w14:val="hlink"/>
        </w14:solidFill>
      </w14:textFill>
    </w:rPr>
  </w:style>
  <w:style w:type="paragraph" w:customStyle="1" w:styleId="21">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2">
    <w:name w:val="Header Char"/>
    <w:basedOn w:val="18"/>
    <w:semiHidden/>
    <w:qFormat/>
    <w:uiPriority w:val="99"/>
    <w:rPr>
      <w:rFonts w:ascii="Times New Roman" w:hAnsi="Times New Roman"/>
      <w:sz w:val="18"/>
      <w:szCs w:val="18"/>
    </w:rPr>
  </w:style>
  <w:style w:type="character" w:customStyle="1" w:styleId="23">
    <w:name w:val="页眉 Char"/>
    <w:link w:val="11"/>
    <w:semiHidden/>
    <w:qFormat/>
    <w:locked/>
    <w:uiPriority w:val="99"/>
    <w:rPr>
      <w:sz w:val="18"/>
    </w:rPr>
  </w:style>
  <w:style w:type="character" w:customStyle="1" w:styleId="24">
    <w:name w:val="Footer Char"/>
    <w:basedOn w:val="18"/>
    <w:semiHidden/>
    <w:qFormat/>
    <w:uiPriority w:val="99"/>
    <w:rPr>
      <w:rFonts w:ascii="Times New Roman" w:hAnsi="Times New Roman"/>
      <w:sz w:val="18"/>
      <w:szCs w:val="18"/>
    </w:rPr>
  </w:style>
  <w:style w:type="character" w:customStyle="1" w:styleId="25">
    <w:name w:val="页脚 Char"/>
    <w:link w:val="10"/>
    <w:qFormat/>
    <w:locked/>
    <w:uiPriority w:val="99"/>
    <w:rPr>
      <w:sz w:val="18"/>
    </w:rPr>
  </w:style>
  <w:style w:type="character" w:customStyle="1" w:styleId="26">
    <w:name w:val="Body Text Char"/>
    <w:basedOn w:val="18"/>
    <w:semiHidden/>
    <w:qFormat/>
    <w:uiPriority w:val="99"/>
    <w:rPr>
      <w:rFonts w:ascii="Times New Roman" w:hAnsi="Times New Roman"/>
      <w:szCs w:val="24"/>
    </w:rPr>
  </w:style>
  <w:style w:type="character" w:customStyle="1" w:styleId="27">
    <w:name w:val="正文文本 Char"/>
    <w:link w:val="7"/>
    <w:qFormat/>
    <w:locked/>
    <w:uiPriority w:val="99"/>
    <w:rPr>
      <w:rFonts w:ascii="仿宋_GB2312" w:hAnsi="Times New Roman" w:eastAsia="仿宋_GB2312"/>
      <w:sz w:val="24"/>
    </w:rPr>
  </w:style>
  <w:style w:type="paragraph" w:customStyle="1" w:styleId="28">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9">
    <w:name w:val="List Paragraph"/>
    <w:basedOn w:val="1"/>
    <w:qFormat/>
    <w:uiPriority w:val="34"/>
    <w:pPr>
      <w:ind w:firstLine="420" w:firstLineChars="200"/>
    </w:pPr>
  </w:style>
  <w:style w:type="character" w:customStyle="1" w:styleId="30">
    <w:name w:val="标题 1 Char"/>
    <w:basedOn w:val="18"/>
    <w:link w:val="4"/>
    <w:qFormat/>
    <w:uiPriority w:val="9"/>
    <w:rPr>
      <w:rFonts w:ascii="Times New Roman" w:hAnsi="Times New Roman"/>
      <w:b/>
      <w:bCs/>
      <w:kern w:val="44"/>
      <w:sz w:val="44"/>
      <w:szCs w:val="44"/>
    </w:rPr>
  </w:style>
  <w:style w:type="character" w:customStyle="1" w:styleId="31">
    <w:name w:val="标题 2 Char"/>
    <w:basedOn w:val="18"/>
    <w:link w:val="5"/>
    <w:qFormat/>
    <w:uiPriority w:val="9"/>
    <w:rPr>
      <w:rFonts w:asciiTheme="majorHAnsi" w:hAnsiTheme="majorHAnsi" w:eastAsiaTheme="majorEastAsia" w:cstheme="majorBidi"/>
      <w:b/>
      <w:bCs/>
      <w:kern w:val="2"/>
      <w:sz w:val="32"/>
      <w:szCs w:val="32"/>
    </w:rPr>
  </w:style>
  <w:style w:type="paragraph" w:customStyle="1" w:styleId="32">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Char"/>
    <w:basedOn w:val="18"/>
    <w:link w:val="9"/>
    <w:semiHidden/>
    <w:qFormat/>
    <w:uiPriority w:val="99"/>
    <w:rPr>
      <w:rFonts w:ascii="Times New Roman" w:hAnsi="Times New Roman"/>
      <w:kern w:val="2"/>
      <w:sz w:val="18"/>
      <w:szCs w:val="18"/>
    </w:rPr>
  </w:style>
  <w:style w:type="character" w:customStyle="1" w:styleId="34">
    <w:name w:val="标题 3 Char"/>
    <w:basedOn w:val="18"/>
    <w:link w:val="6"/>
    <w:qFormat/>
    <w:uiPriority w:val="9"/>
    <w:rPr>
      <w:rFonts w:ascii="Times New Roman" w:hAnsi="Times New Roman"/>
      <w:b/>
      <w:bCs/>
      <w:kern w:val="2"/>
      <w:sz w:val="32"/>
      <w:szCs w:val="32"/>
    </w:rPr>
  </w:style>
  <w:style w:type="paragraph" w:customStyle="1" w:styleId="35">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7874799928864"/>
          <c:y val="0.28323353293413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24年收入</c:v>
                </c:pt>
                <c:pt idx="1">
                  <c:v>25年收入</c:v>
                </c:pt>
              </c:strCache>
            </c:strRef>
          </c:cat>
          <c:val>
            <c:numRef>
              <c:f>Sheet1!$B$2:$B$3</c:f>
              <c:numCache>
                <c:formatCode>General</c:formatCode>
                <c:ptCount val="2"/>
                <c:pt idx="0">
                  <c:v>200.74</c:v>
                </c:pt>
                <c:pt idx="1">
                  <c:v>197.87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b73bdd1-35d5-4934-8d59-d46a427d284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25</a:t>
            </a:r>
            <a:r>
              <a:t>年全年收入结构图</a:t>
            </a:r>
            <a:r>
              <a:rPr lang="en-US" altLang="zh-CN"/>
              <a:t>2</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2024年本年收入结构图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财政拨款收入</c:v>
                </c:pt>
                <c:pt idx="1">
                  <c:v>事业收入</c:v>
                </c:pt>
              </c:strCache>
            </c:strRef>
          </c:cat>
          <c:val>
            <c:numRef>
              <c:f>Sheet1!$B$2:$B$3</c:f>
              <c:numCache>
                <c:formatCode>General</c:formatCode>
                <c:ptCount val="2"/>
                <c:pt idx="0">
                  <c:v>193.86</c:v>
                </c:pt>
                <c:pt idx="1">
                  <c:v>4.01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a3070b7-e941-4a09-979c-61efdecc3fd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2023年本年支出结构图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180.28</c:v>
                </c:pt>
                <c:pt idx="1">
                  <c:v>17.59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186b995-d7bc-4218-876b-60c06fc6390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416681486750845"/>
          <c:y val="0.40690310322989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25年财政收入</c:v>
                </c:pt>
                <c:pt idx="1">
                  <c:v>24年财政收入</c:v>
                </c:pt>
              </c:strCache>
            </c:strRef>
          </c:cat>
          <c:val>
            <c:numRef>
              <c:f>Sheet1!$B$2:$B$4</c:f>
              <c:numCache>
                <c:formatCode>General</c:formatCode>
                <c:ptCount val="3"/>
                <c:pt idx="0">
                  <c:v>193.86</c:v>
                </c:pt>
                <c:pt idx="1">
                  <c:v>220.74</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plotVisOnly val="1"/>
    <c:dispBlanksAs val="gap"/>
    <c:showDLblsOverMax val="0"/>
    <c:extLst>
      <c:ext uri="{0b15fc19-7d7d-44ad-8c2d-2c3a37ce22c3}">
        <chartProps xmlns="https://web.wps.cn/et/2018/main" chartId="{fabd509e-3918-4ab1-a4a7-f728b88eef4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r>
              <a:rPr lang="en-US" altLang="zh-CN"/>
              <a:t>5</a:t>
            </a:r>
            <a:endParaRPr lang="en-US" altLang="zh-CN"/>
          </a:p>
        </c:rich>
      </c:tx>
      <c:layout>
        <c:manualLayout>
          <c:xMode val="edge"/>
          <c:yMode val="edge"/>
          <c:x val="0.163758467763102"/>
          <c:y val="0.00898203592814371"/>
        </c:manualLayout>
      </c:layout>
      <c:overlay val="0"/>
      <c:spPr>
        <a:noFill/>
        <a:ln>
          <a:noFill/>
        </a:ln>
        <a:effectLst/>
      </c:spPr>
    </c:title>
    <c:autoTitleDeleted val="0"/>
    <c:plotArea>
      <c:layout>
        <c:manualLayout>
          <c:layoutTarget val="inner"/>
          <c:xMode val="edge"/>
          <c:yMode val="edge"/>
          <c:x val="0.0646466323102647"/>
          <c:y val="0.38622754491018"/>
          <c:w val="0.93254490485506"/>
          <c:h val="0.489940119760479"/>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24年财政支出</c:v>
                </c:pt>
                <c:pt idx="1">
                  <c:v>25年财政支出</c:v>
                </c:pt>
              </c:strCache>
            </c:strRef>
          </c:cat>
          <c:val>
            <c:numRef>
              <c:f>Sheet1!$B$2:$B$3</c:f>
              <c:numCache>
                <c:formatCode>General</c:formatCode>
                <c:ptCount val="2"/>
                <c:pt idx="0">
                  <c:v>200.74</c:v>
                </c:pt>
                <c:pt idx="1">
                  <c:v>193.86</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manualLayout>
          <c:xMode val="edge"/>
          <c:yMode val="edge"/>
          <c:x val="0.344692005242464"/>
          <c:y val="0.20658682634730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882aabb-9f73-4aa1-bb06-7cf36764480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23.88</c:v>
                </c:pt>
                <c:pt idx="1">
                  <c:v>155.71</c:v>
                </c:pt>
                <c:pt idx="2">
                  <c:v>14.27</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aa824f0-484d-4f25-9948-71d0ecb954a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1055</Words>
  <Characters>1101</Characters>
  <Lines>61</Lines>
  <Paragraphs>17</Paragraphs>
  <TotalTime>0</TotalTime>
  <ScaleCrop>false</ScaleCrop>
  <LinksUpToDate>false</LinksUpToDate>
  <CharactersWithSpaces>1130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2026-10-20T02:52:43Z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EFF0C1D3C86C4212BD45C9D8F6504040_13</vt:lpwstr>
  </property>
  <property fmtid="{D5CDD505-2E9C-101B-9397-08002B2CF9AE}" pid="4" name="KSOTemplateDocerSaveRecord">
    <vt:lpwstr>eyJoZGlkIjoiNDNkMDU4ZTk0OTE4ZTI4YzBiNTQ0YzBiNjMxM2RlMjgifQ==</vt:lpwstr>
  </property>
</Properties>
</file>