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E05D6F">
      <w:pPr>
        <w:pStyle w:val="7"/>
        <w:rPr>
          <w:rFonts w:hint="eastAsia" w:ascii="黑体" w:hAnsi="黑体" w:eastAsia="黑体" w:cs="黑体"/>
          <w:color w:val="auto"/>
          <w:kern w:val="2"/>
          <w:sz w:val="32"/>
          <w:szCs w:val="32"/>
          <w:highlight w:val="none"/>
          <w:lang w:val="en-US" w:eastAsia="zh-CN" w:bidi="ar-SA"/>
        </w:rPr>
      </w:pPr>
      <w:bookmarkStart w:id="0" w:name="_Toc15377193"/>
      <w:bookmarkStart w:id="1" w:name="_Toc15378441"/>
      <w:bookmarkStart w:id="2" w:name="_Toc15396597"/>
      <w:bookmarkStart w:id="3" w:name="_Toc15306267"/>
      <w:bookmarkStart w:id="4" w:name="_Toc15377425"/>
      <w:bookmarkStart w:id="5" w:name="_Toc15396475"/>
      <w:r>
        <w:rPr>
          <w:rFonts w:hint="eastAsia" w:ascii="黑体" w:hAnsi="黑体" w:eastAsia="黑体" w:cs="黑体"/>
          <w:color w:val="auto"/>
          <w:kern w:val="2"/>
          <w:sz w:val="32"/>
          <w:szCs w:val="32"/>
          <w:highlight w:val="none"/>
          <w:lang w:val="en-US" w:eastAsia="zh-CN" w:bidi="ar-SA"/>
        </w:rPr>
        <w:t>附件4</w:t>
      </w:r>
    </w:p>
    <w:p w14:paraId="1B63EA00">
      <w:pPr>
        <w:pStyle w:val="7"/>
        <w:rPr>
          <w:rFonts w:hint="eastAsia" w:ascii="Times New Roman" w:hAnsi="Times New Roman" w:eastAsia="方正小标宋简体" w:cs="Times New Roman"/>
          <w:color w:val="auto"/>
          <w:kern w:val="2"/>
          <w:sz w:val="72"/>
          <w:szCs w:val="72"/>
          <w:highlight w:val="none"/>
          <w:lang w:val="en-US" w:eastAsia="zh-CN" w:bidi="ar-SA"/>
        </w:rPr>
      </w:pPr>
    </w:p>
    <w:p w14:paraId="74BC015A">
      <w:pPr>
        <w:pStyle w:val="7"/>
        <w:rPr>
          <w:rFonts w:hint="eastAsia" w:ascii="Times New Roman" w:hAnsi="Times New Roman" w:eastAsia="方正小标宋简体" w:cs="Times New Roman"/>
          <w:color w:val="auto"/>
          <w:kern w:val="2"/>
          <w:sz w:val="72"/>
          <w:szCs w:val="72"/>
          <w:highlight w:val="none"/>
          <w:lang w:val="en-US" w:eastAsia="zh-CN" w:bidi="ar-SA"/>
        </w:rPr>
      </w:pPr>
    </w:p>
    <w:p w14:paraId="0557F5D1">
      <w:pPr>
        <w:pStyle w:val="7"/>
        <w:rPr>
          <w:rFonts w:hint="eastAsia" w:ascii="Times New Roman" w:hAnsi="Times New Roman" w:eastAsia="方正小标宋简体" w:cs="Times New Roman"/>
          <w:color w:val="auto"/>
          <w:kern w:val="2"/>
          <w:sz w:val="72"/>
          <w:szCs w:val="72"/>
          <w:highlight w:val="none"/>
          <w:lang w:val="en-US" w:eastAsia="zh-CN" w:bidi="ar-SA"/>
        </w:rPr>
      </w:pPr>
    </w:p>
    <w:p w14:paraId="60B34B5E">
      <w:pPr>
        <w:pStyle w:val="7"/>
        <w:rPr>
          <w:rFonts w:hint="eastAsia" w:ascii="Times New Roman" w:hAnsi="Times New Roman" w:eastAsia="方正小标宋简体" w:cs="Times New Roman"/>
          <w:color w:val="auto"/>
          <w:kern w:val="2"/>
          <w:sz w:val="72"/>
          <w:szCs w:val="72"/>
          <w:highlight w:val="none"/>
          <w:lang w:val="en-US" w:eastAsia="zh-CN" w:bidi="ar-SA"/>
        </w:rPr>
      </w:pPr>
    </w:p>
    <w:p w14:paraId="6E556E11">
      <w:pPr>
        <w:jc w:val="center"/>
        <w:rPr>
          <w:rFonts w:hint="eastAsia" w:eastAsia="方正小标宋简体" w:cs="Times New Roman"/>
          <w:color w:val="auto"/>
          <w:kern w:val="2"/>
          <w:sz w:val="44"/>
          <w:szCs w:val="44"/>
          <w:highlight w:val="none"/>
          <w:lang w:val="en-US" w:eastAsia="zh-CN" w:bidi="ar-SA"/>
        </w:rPr>
      </w:pPr>
      <w:r>
        <w:rPr>
          <w:rFonts w:hint="eastAsia" w:eastAsia="方正小标宋简体" w:cs="Times New Roman"/>
          <w:color w:val="auto"/>
          <w:kern w:val="2"/>
          <w:sz w:val="44"/>
          <w:szCs w:val="44"/>
          <w:highlight w:val="none"/>
          <w:lang w:val="en-US" w:eastAsia="zh-CN" w:bidi="ar-SA"/>
        </w:rPr>
        <w:t>红原县龙日镇卫生院</w:t>
      </w:r>
    </w:p>
    <w:p w14:paraId="2E1B6CBA">
      <w:pPr>
        <w:jc w:val="center"/>
        <w:rPr>
          <w:rFonts w:hint="default" w:ascii="Times New Roman" w:hAnsi="Times New Roman"/>
          <w:lang w:val="en-US"/>
        </w:rPr>
      </w:pPr>
      <w:r>
        <w:rPr>
          <w:rFonts w:hint="eastAsia" w:eastAsia="方正小标宋简体" w:cs="Times New Roman"/>
          <w:color w:val="auto"/>
          <w:kern w:val="2"/>
          <w:sz w:val="44"/>
          <w:szCs w:val="44"/>
          <w:highlight w:val="none"/>
          <w:lang w:val="en-US" w:eastAsia="zh-CN" w:bidi="ar-SA"/>
        </w:rPr>
        <w:t>2025年度决算公开说明</w:t>
      </w:r>
    </w:p>
    <w:p w14:paraId="61DA7AB4">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14:paraId="25C6FAF7">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14:paraId="76873058">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14:paraId="0799A337">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p w14:paraId="5CFDFB76">
      <w:pPr>
        <w:widowControl/>
        <w:jc w:val="center"/>
        <w:rPr>
          <w:rFonts w:hint="eastAsia" w:ascii="Times New Roman" w:hAnsi="Times New Roman" w:eastAsia="黑体"/>
          <w:color w:val="auto"/>
          <w:sz w:val="48"/>
          <w:szCs w:val="48"/>
          <w:highlight w:val="none"/>
        </w:rPr>
      </w:pPr>
    </w:p>
    <w:p w14:paraId="196C378E">
      <w:pPr>
        <w:widowControl/>
        <w:jc w:val="center"/>
        <w:rPr>
          <w:rFonts w:hint="eastAsia" w:ascii="Times New Roman" w:hAnsi="Times New Roman" w:eastAsia="黑体"/>
          <w:color w:val="auto"/>
          <w:sz w:val="48"/>
          <w:szCs w:val="48"/>
          <w:highlight w:val="none"/>
        </w:rPr>
      </w:pPr>
    </w:p>
    <w:p w14:paraId="3E3C1A46">
      <w:pPr>
        <w:widowControl/>
        <w:jc w:val="center"/>
        <w:rPr>
          <w:rFonts w:hint="eastAsia" w:ascii="Times New Roman" w:hAnsi="Times New Roman" w:eastAsia="黑体"/>
          <w:color w:val="auto"/>
          <w:sz w:val="48"/>
          <w:szCs w:val="48"/>
          <w:highlight w:val="none"/>
        </w:rPr>
      </w:pPr>
    </w:p>
    <w:p w14:paraId="443917A3">
      <w:pPr>
        <w:widowControl/>
        <w:jc w:val="center"/>
        <w:rPr>
          <w:rFonts w:hint="eastAsia" w:ascii="Times New Roman" w:hAnsi="Times New Roman" w:eastAsia="黑体"/>
          <w:color w:val="auto"/>
          <w:sz w:val="48"/>
          <w:szCs w:val="48"/>
          <w:highlight w:val="none"/>
        </w:rPr>
      </w:pPr>
    </w:p>
    <w:p w14:paraId="266D117E">
      <w:pPr>
        <w:widowControl/>
        <w:jc w:val="center"/>
        <w:rPr>
          <w:rFonts w:hint="eastAsia" w:ascii="Times New Roman" w:hAnsi="Times New Roman" w:eastAsia="黑体"/>
          <w:color w:val="auto"/>
          <w:sz w:val="48"/>
          <w:szCs w:val="48"/>
          <w:highlight w:val="none"/>
        </w:rPr>
      </w:pPr>
    </w:p>
    <w:p w14:paraId="2A87604A">
      <w:pPr>
        <w:widowControl/>
        <w:jc w:val="center"/>
        <w:rPr>
          <w:rFonts w:hint="eastAsia" w:ascii="Times New Roman" w:hAnsi="Times New Roman" w:eastAsia="黑体"/>
          <w:color w:val="auto"/>
          <w:sz w:val="48"/>
          <w:szCs w:val="48"/>
          <w:highlight w:val="none"/>
        </w:rPr>
      </w:pPr>
    </w:p>
    <w:p w14:paraId="0815D51B">
      <w:pPr>
        <w:widowControl/>
        <w:jc w:val="center"/>
        <w:rPr>
          <w:rFonts w:hint="eastAsia" w:ascii="Times New Roman" w:hAnsi="Times New Roman" w:eastAsia="黑体"/>
          <w:color w:val="auto"/>
          <w:sz w:val="48"/>
          <w:szCs w:val="48"/>
          <w:highlight w:val="none"/>
        </w:rPr>
      </w:pPr>
    </w:p>
    <w:p w14:paraId="5C635CD3">
      <w:pPr>
        <w:widowControl/>
        <w:jc w:val="center"/>
        <w:rPr>
          <w:rFonts w:hint="eastAsia" w:ascii="Times New Roman" w:hAnsi="Times New Roman" w:eastAsia="黑体"/>
          <w:color w:val="auto"/>
          <w:sz w:val="48"/>
          <w:szCs w:val="48"/>
          <w:highlight w:val="none"/>
        </w:rPr>
      </w:pPr>
    </w:p>
    <w:p w14:paraId="55D7A166">
      <w:pPr>
        <w:pStyle w:val="15"/>
        <w:keepNext w:val="0"/>
        <w:keepLines w:val="0"/>
        <w:widowControl/>
        <w:suppressLineNumbers w:val="0"/>
        <w:spacing w:before="0" w:beforeAutospacing="0"/>
        <w:ind w:left="0"/>
        <w:jc w:val="left"/>
        <w:rPr>
          <w:rFonts w:hint="eastAsia" w:ascii="Times New Roman" w:hAnsi="Times New Roman" w:eastAsia="黑体"/>
          <w:color w:val="auto"/>
          <w:sz w:val="48"/>
          <w:szCs w:val="48"/>
          <w:highlight w:val="none"/>
        </w:rPr>
      </w:pPr>
      <w:bookmarkStart w:id="6" w:name="_Toc15377196"/>
      <w:bookmarkStart w:id="7" w:name="_Toc15396599"/>
      <w:r>
        <w:rPr>
          <w:rFonts w:hint="eastAsia"/>
          <w:sz w:val="24"/>
          <w:szCs w:val="24"/>
          <w:shd w:val="clear" w:color="auto" w:fill="FFFFFF"/>
          <w:lang w:val="en-US" w:eastAsia="zh-CN"/>
        </w:rPr>
        <w:t xml:space="preserve">                                </w:t>
      </w:r>
      <w:r>
        <w:rPr>
          <w:rFonts w:hint="eastAsia"/>
          <w:sz w:val="24"/>
          <w:szCs w:val="24"/>
          <w:shd w:val="clear" w:color="auto" w:fill="FFFFFF"/>
          <w:lang w:eastAsia="zh-CN"/>
        </w:rPr>
        <w:t>目录</w:t>
      </w:r>
    </w:p>
    <w:p w14:paraId="3FBF8AE9">
      <w:pPr>
        <w:pStyle w:val="15"/>
        <w:keepNext w:val="0"/>
        <w:keepLines w:val="0"/>
        <w:widowControl/>
        <w:suppressLineNumbers w:val="0"/>
        <w:spacing w:before="0" w:beforeAutospacing="0"/>
        <w:ind w:left="0"/>
        <w:jc w:val="center"/>
      </w:pPr>
      <w:r>
        <w:rPr>
          <w:sz w:val="24"/>
          <w:szCs w:val="24"/>
          <w:shd w:val="clear" w:color="auto" w:fill="FFFFFF"/>
        </w:rPr>
        <w:t>公开时间：202</w:t>
      </w:r>
      <w:r>
        <w:rPr>
          <w:rFonts w:hint="eastAsia"/>
          <w:sz w:val="24"/>
          <w:szCs w:val="24"/>
          <w:shd w:val="clear" w:color="auto" w:fill="FFFFFF"/>
          <w:lang w:val="en-US" w:eastAsia="zh-CN"/>
        </w:rPr>
        <w:t>6</w:t>
      </w:r>
      <w:r>
        <w:rPr>
          <w:sz w:val="24"/>
          <w:szCs w:val="24"/>
          <w:shd w:val="clear" w:color="auto" w:fill="FFFFFF"/>
        </w:rPr>
        <w:t>年</w:t>
      </w:r>
      <w:r>
        <w:rPr>
          <w:rFonts w:hint="eastAsia"/>
          <w:sz w:val="24"/>
          <w:szCs w:val="24"/>
          <w:shd w:val="clear" w:color="auto" w:fill="FFFFFF"/>
          <w:lang w:val="en-US" w:eastAsia="zh-CN"/>
        </w:rPr>
        <w:t>10</w:t>
      </w:r>
      <w:r>
        <w:rPr>
          <w:sz w:val="24"/>
          <w:szCs w:val="24"/>
          <w:shd w:val="clear" w:color="auto" w:fill="FFFFFF"/>
        </w:rPr>
        <w:t>月</w:t>
      </w:r>
      <w:r>
        <w:rPr>
          <w:rFonts w:hint="eastAsia"/>
          <w:sz w:val="24"/>
          <w:szCs w:val="24"/>
          <w:shd w:val="clear" w:color="auto" w:fill="FFFFFF"/>
          <w:lang w:val="en-US" w:eastAsia="zh-CN"/>
        </w:rPr>
        <w:t>13</w:t>
      </w:r>
      <w:r>
        <w:rPr>
          <w:sz w:val="24"/>
          <w:szCs w:val="24"/>
          <w:shd w:val="clear" w:color="auto" w:fill="FFFFFF"/>
        </w:rPr>
        <w:t>日</w:t>
      </w:r>
    </w:p>
    <w:p w14:paraId="2FFB90DC">
      <w:pPr>
        <w:pStyle w:val="12"/>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第一部分 部门概况</w:t>
      </w:r>
    </w:p>
    <w:p w14:paraId="6C784BB0">
      <w:pPr>
        <w:pStyle w:val="8"/>
        <w:bidi w:val="0"/>
        <w:ind w:left="0" w:leftChars="0" w:firstLine="420" w:firstLineChars="200"/>
        <w:rPr>
          <w:rFonts w:hint="eastAsia"/>
          <w:lang w:val="en-US" w:eastAsia="zh-CN"/>
        </w:rPr>
      </w:pPr>
      <w:r>
        <w:rPr>
          <w:rFonts w:hint="eastAsia"/>
        </w:rPr>
        <w:t>一</w:t>
      </w:r>
      <w:r>
        <w:rPr>
          <w:rFonts w:hint="eastAsia"/>
          <w:sz w:val="24"/>
          <w:szCs w:val="24"/>
        </w:rPr>
        <w:t>、基本职能及主要工作</w:t>
      </w:r>
      <w:r>
        <w:tab/>
      </w:r>
      <w:r>
        <w:rPr>
          <w:rFonts w:hint="eastAsia"/>
          <w:lang w:val="en-US" w:eastAsia="zh-CN"/>
        </w:rPr>
        <w:t>1</w:t>
      </w:r>
    </w:p>
    <w:p w14:paraId="06A4C9E7">
      <w:pPr>
        <w:pStyle w:val="8"/>
        <w:bidi w:val="0"/>
        <w:ind w:left="0" w:leftChars="0" w:firstLine="480" w:firstLineChars="200"/>
        <w:rPr>
          <w:rFonts w:hint="default" w:eastAsia="宋体"/>
          <w:lang w:val="en-US" w:eastAsia="zh-CN"/>
        </w:rPr>
      </w:pPr>
      <w:r>
        <w:rPr>
          <w:rFonts w:hint="eastAsia"/>
          <w:sz w:val="24"/>
        </w:rPr>
        <w:t>二、机构设置</w:t>
      </w:r>
      <w:r>
        <w:tab/>
      </w:r>
      <w:r>
        <w:rPr>
          <w:rFonts w:hint="eastAsia"/>
          <w:lang w:val="en-US" w:eastAsia="zh-CN"/>
        </w:rPr>
        <w:t>2</w:t>
      </w:r>
    </w:p>
    <w:p w14:paraId="47E52B47">
      <w:pPr>
        <w:pStyle w:val="12"/>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第二部分度部门决算情况说明</w:t>
      </w:r>
    </w:p>
    <w:p w14:paraId="54376366">
      <w:pPr>
        <w:pStyle w:val="8"/>
        <w:bidi w:val="0"/>
        <w:ind w:left="0" w:leftChars="0" w:firstLine="480" w:firstLineChars="200"/>
        <w:rPr>
          <w:rFonts w:hint="eastAsia" w:eastAsia="宋体"/>
          <w:lang w:val="en-US" w:eastAsia="zh-CN"/>
        </w:rPr>
      </w:pPr>
      <w:r>
        <w:rPr>
          <w:rFonts w:hint="eastAsia"/>
          <w:sz w:val="24"/>
        </w:rPr>
        <w:t>一、收入支出决算总体情况说明</w:t>
      </w:r>
      <w:r>
        <w:tab/>
      </w:r>
      <w:r>
        <w:rPr>
          <w:rFonts w:hint="eastAsia"/>
          <w:lang w:val="en-US" w:eastAsia="zh-CN"/>
        </w:rPr>
        <w:t>3</w:t>
      </w:r>
    </w:p>
    <w:p w14:paraId="37B9CAEB">
      <w:pPr>
        <w:pStyle w:val="8"/>
        <w:bidi w:val="0"/>
        <w:ind w:left="0" w:leftChars="0" w:firstLine="480" w:firstLineChars="200"/>
        <w:rPr>
          <w:rFonts w:hint="eastAsia"/>
          <w:lang w:val="en-US" w:eastAsia="zh-CN"/>
        </w:rPr>
      </w:pPr>
      <w:r>
        <w:rPr>
          <w:rFonts w:hint="eastAsia"/>
          <w:sz w:val="24"/>
        </w:rPr>
        <w:t>二、收入决算情况说明</w:t>
      </w:r>
      <w:r>
        <w:tab/>
      </w:r>
      <w:r>
        <w:rPr>
          <w:rFonts w:hint="eastAsia"/>
          <w:lang w:val="en-US" w:eastAsia="zh-CN"/>
        </w:rPr>
        <w:t>3</w:t>
      </w:r>
    </w:p>
    <w:p w14:paraId="19BD5E0D">
      <w:pPr>
        <w:pStyle w:val="8"/>
        <w:bidi w:val="0"/>
        <w:ind w:left="0" w:leftChars="0" w:firstLine="480" w:firstLineChars="200"/>
        <w:rPr>
          <w:rFonts w:hint="eastAsia" w:eastAsia="宋体"/>
          <w:lang w:val="en-US" w:eastAsia="zh-CN"/>
        </w:rPr>
      </w:pPr>
      <w:r>
        <w:rPr>
          <w:rFonts w:hint="eastAsia"/>
          <w:sz w:val="24"/>
        </w:rPr>
        <w:t>三、支出决算情况说明</w:t>
      </w:r>
      <w:r>
        <w:tab/>
      </w:r>
      <w:r>
        <w:rPr>
          <w:rFonts w:hint="eastAsia"/>
          <w:lang w:val="en-US" w:eastAsia="zh-CN"/>
        </w:rPr>
        <w:t>4</w:t>
      </w:r>
    </w:p>
    <w:p w14:paraId="1B48984B">
      <w:pPr>
        <w:pStyle w:val="8"/>
        <w:bidi w:val="0"/>
        <w:ind w:left="0" w:leftChars="0" w:firstLine="480" w:firstLineChars="200"/>
        <w:rPr>
          <w:rFonts w:hint="eastAsia" w:eastAsia="宋体"/>
          <w:lang w:val="en-US" w:eastAsia="zh-CN"/>
        </w:rPr>
      </w:pPr>
      <w:r>
        <w:rPr>
          <w:rFonts w:hint="eastAsia"/>
          <w:sz w:val="24"/>
        </w:rPr>
        <w:t>四、财政拨款收入支出决算总体情况说明</w:t>
      </w:r>
      <w:r>
        <w:tab/>
      </w:r>
      <w:r>
        <w:rPr>
          <w:rFonts w:hint="eastAsia"/>
          <w:lang w:val="en-US" w:eastAsia="zh-CN"/>
        </w:rPr>
        <w:t>5</w:t>
      </w:r>
    </w:p>
    <w:p w14:paraId="36C952D4">
      <w:pPr>
        <w:pStyle w:val="8"/>
        <w:bidi w:val="0"/>
        <w:ind w:left="0" w:leftChars="0" w:firstLine="480" w:firstLineChars="200"/>
        <w:rPr>
          <w:rFonts w:hint="eastAsia" w:eastAsia="宋体"/>
          <w:lang w:val="en-US" w:eastAsia="zh-CN"/>
        </w:rPr>
      </w:pPr>
      <w:r>
        <w:rPr>
          <w:rFonts w:hint="eastAsia"/>
          <w:sz w:val="24"/>
        </w:rPr>
        <w:t>五、一般公共预算财政拨款支出决算情况说明</w:t>
      </w:r>
      <w:r>
        <w:tab/>
      </w:r>
      <w:r>
        <w:rPr>
          <w:rFonts w:hint="eastAsia"/>
          <w:lang w:val="en-US" w:eastAsia="zh-CN"/>
        </w:rPr>
        <w:t>6</w:t>
      </w:r>
    </w:p>
    <w:p w14:paraId="0E14CDA4">
      <w:pPr>
        <w:pStyle w:val="8"/>
        <w:bidi w:val="0"/>
        <w:ind w:left="0" w:leftChars="0" w:firstLine="480" w:firstLineChars="200"/>
        <w:rPr>
          <w:rFonts w:hint="eastAsia" w:eastAsia="宋体"/>
          <w:lang w:val="en-US" w:eastAsia="zh-CN"/>
        </w:rPr>
      </w:pPr>
      <w:r>
        <w:rPr>
          <w:rFonts w:hint="eastAsia"/>
          <w:sz w:val="24"/>
        </w:rPr>
        <w:t>六、一般公共预算财政拨款基本支出决算情况说明</w:t>
      </w:r>
      <w:r>
        <w:tab/>
      </w:r>
      <w:r>
        <w:rPr>
          <w:rFonts w:hint="eastAsia"/>
          <w:lang w:val="en-US" w:eastAsia="zh-CN"/>
        </w:rPr>
        <w:t>7</w:t>
      </w:r>
    </w:p>
    <w:p w14:paraId="4C41B31D">
      <w:pPr>
        <w:pStyle w:val="8"/>
        <w:bidi w:val="0"/>
        <w:ind w:left="0" w:leftChars="0" w:firstLine="480" w:firstLineChars="200"/>
        <w:rPr>
          <w:rFonts w:hint="eastAsia" w:eastAsia="宋体"/>
          <w:lang w:val="en-US" w:eastAsia="zh-CN"/>
        </w:rPr>
      </w:pPr>
      <w:r>
        <w:rPr>
          <w:rFonts w:hint="eastAsia"/>
          <w:sz w:val="24"/>
        </w:rPr>
        <w:t>七、</w:t>
      </w:r>
      <w:r>
        <w:rPr>
          <w:sz w:val="24"/>
        </w:rPr>
        <w:t>“</w:t>
      </w:r>
      <w:r>
        <w:rPr>
          <w:rFonts w:hint="eastAsia"/>
          <w:sz w:val="24"/>
        </w:rPr>
        <w:t>三公”经费财政拨款支出决算情况说明</w:t>
      </w:r>
      <w:r>
        <w:tab/>
      </w:r>
      <w:r>
        <w:rPr>
          <w:rFonts w:hint="eastAsia"/>
          <w:lang w:val="en-US" w:eastAsia="zh-CN"/>
        </w:rPr>
        <w:t>8</w:t>
      </w:r>
    </w:p>
    <w:p w14:paraId="23BDB9FF">
      <w:pPr>
        <w:pStyle w:val="8"/>
        <w:bidi w:val="0"/>
        <w:ind w:left="0" w:leftChars="0" w:firstLine="480" w:firstLineChars="200"/>
        <w:rPr>
          <w:rFonts w:hint="eastAsia" w:eastAsia="宋体"/>
          <w:lang w:val="en-US" w:eastAsia="zh-CN"/>
        </w:rPr>
      </w:pPr>
      <w:r>
        <w:rPr>
          <w:rFonts w:hint="eastAsia"/>
          <w:sz w:val="24"/>
        </w:rPr>
        <w:t>八、政府性基金预算支出决算情况说明</w:t>
      </w:r>
      <w:r>
        <w:tab/>
      </w:r>
      <w:r>
        <w:rPr>
          <w:rFonts w:hint="eastAsia"/>
          <w:lang w:val="en-US" w:eastAsia="zh-CN"/>
        </w:rPr>
        <w:t>9</w:t>
      </w:r>
    </w:p>
    <w:p w14:paraId="7DAE34B4">
      <w:pPr>
        <w:pStyle w:val="8"/>
        <w:bidi w:val="0"/>
        <w:ind w:left="0" w:leftChars="0" w:firstLine="480" w:firstLineChars="200"/>
        <w:rPr>
          <w:rFonts w:hint="default"/>
          <w:lang w:val="en-US" w:eastAsia="zh-CN"/>
        </w:rPr>
      </w:pPr>
      <w:r>
        <w:rPr>
          <w:rFonts w:hint="eastAsia" w:ascii="仿宋" w:hAnsi="仿宋" w:eastAsia="仿宋"/>
          <w:sz w:val="24"/>
        </w:rPr>
        <w:t>九、</w:t>
      </w:r>
      <w:r>
        <w:rPr>
          <w:sz w:val="24"/>
        </w:rPr>
        <w:t xml:space="preserve"> 国</w:t>
      </w:r>
      <w:r>
        <w:rPr>
          <w:rFonts w:hint="eastAsia"/>
          <w:sz w:val="24"/>
        </w:rPr>
        <w:t>有资本经营预算支出决算情况说明</w:t>
      </w:r>
      <w:r>
        <w:tab/>
      </w:r>
      <w:r>
        <w:rPr>
          <w:rFonts w:hint="eastAsia"/>
          <w:lang w:val="en-US" w:eastAsia="zh-CN"/>
        </w:rPr>
        <w:t>10</w:t>
      </w:r>
    </w:p>
    <w:p w14:paraId="16B507F8">
      <w:pPr>
        <w:pStyle w:val="8"/>
        <w:bidi w:val="0"/>
        <w:ind w:left="0" w:leftChars="0" w:firstLine="480" w:firstLineChars="200"/>
        <w:rPr>
          <w:rFonts w:hint="default" w:eastAsia="宋体"/>
          <w:lang w:val="en-US" w:eastAsia="zh-CN"/>
        </w:rPr>
      </w:pPr>
      <w:r>
        <w:rPr>
          <w:rStyle w:val="19"/>
          <w:rFonts w:hint="eastAsia" w:ascii="仿宋" w:hAnsi="仿宋" w:eastAsia="仿宋"/>
          <w:color w:val="000000" w:themeColor="text1"/>
          <w:sz w:val="24"/>
          <w:u w:val="none"/>
          <w14:textFill>
            <w14:solidFill>
              <w14:schemeClr w14:val="tx1"/>
            </w14:solidFill>
          </w14:textFill>
        </w:rPr>
        <w:t>十、</w:t>
      </w:r>
      <w:r>
        <w:rPr>
          <w:rFonts w:hint="eastAsia"/>
          <w:sz w:val="24"/>
        </w:rPr>
        <w:t>其他重要事项的情况说</w:t>
      </w:r>
      <w:r>
        <w:rPr>
          <w:rFonts w:hint="eastAsia"/>
          <w:sz w:val="24"/>
          <w:lang w:eastAsia="zh-CN"/>
        </w:rPr>
        <w:t>明</w:t>
      </w:r>
      <w:r>
        <w:tab/>
      </w:r>
      <w:r>
        <w:rPr>
          <w:rFonts w:hint="eastAsia"/>
          <w:lang w:val="en-US" w:eastAsia="zh-CN"/>
        </w:rPr>
        <w:t>10</w:t>
      </w:r>
    </w:p>
    <w:p w14:paraId="4FD8BB14">
      <w:pPr>
        <w:pStyle w:val="8"/>
        <w:bidi w:val="0"/>
        <w:ind w:left="0" w:leftChars="0" w:firstLine="0" w:firstLineChars="0"/>
        <w:rPr>
          <w:rFonts w:hint="default" w:eastAsia="宋体"/>
          <w:lang w:val="en-US" w:eastAsia="zh-CN"/>
        </w:rPr>
      </w:pPr>
      <w:r>
        <w:rPr>
          <w:rFonts w:hint="eastAsia"/>
          <w:sz w:val="24"/>
        </w:rPr>
        <w:t>第三部分</w:t>
      </w:r>
      <w:r>
        <w:rPr>
          <w:sz w:val="24"/>
        </w:rPr>
        <w:t xml:space="preserve"> </w:t>
      </w:r>
      <w:r>
        <w:rPr>
          <w:rFonts w:hint="eastAsia"/>
          <w:sz w:val="24"/>
        </w:rPr>
        <w:t>名词解释</w:t>
      </w:r>
      <w:r>
        <w:tab/>
      </w:r>
      <w:r>
        <w:rPr>
          <w:rFonts w:hint="eastAsia"/>
          <w:lang w:val="en-US" w:eastAsia="zh-CN"/>
        </w:rPr>
        <w:t>13</w:t>
      </w:r>
    </w:p>
    <w:p w14:paraId="28A5B3A8">
      <w:pPr>
        <w:pStyle w:val="12"/>
        <w:adjustRightInd w:val="0"/>
        <w:snapToGrid w:val="0"/>
        <w:spacing w:before="0" w:line="440" w:lineRule="exact"/>
        <w:jc w:val="left"/>
        <w:rPr>
          <w:rFonts w:cstheme="minorBidi"/>
          <w:sz w:val="24"/>
          <w:szCs w:val="24"/>
        </w:rPr>
      </w:pPr>
      <w:r>
        <w:rPr>
          <w:rFonts w:hint="eastAsia" w:asciiTheme="majorEastAsia" w:hAnsiTheme="majorEastAsia" w:eastAsiaTheme="majorEastAsia" w:cstheme="majorEastAsia"/>
          <w:sz w:val="24"/>
        </w:rPr>
        <w:t>第四部分 附件</w:t>
      </w:r>
    </w:p>
    <w:p w14:paraId="0ADD0AAB">
      <w:pPr>
        <w:pStyle w:val="8"/>
        <w:bidi w:val="0"/>
        <w:ind w:left="0" w:leftChars="0" w:firstLine="480" w:firstLineChars="200"/>
        <w:rPr>
          <w:rFonts w:hint="default" w:eastAsia="宋体"/>
          <w:lang w:val="en-US" w:eastAsia="zh-CN"/>
        </w:rPr>
      </w:pPr>
      <w:r>
        <w:rPr>
          <w:rFonts w:hint="eastAsia"/>
          <w:sz w:val="24"/>
        </w:rPr>
        <w:t>附件</w:t>
      </w:r>
      <w:r>
        <w:rPr>
          <w:sz w:val="24"/>
        </w:rPr>
        <w:t>1</w:t>
      </w:r>
      <w:r>
        <w:tab/>
      </w:r>
      <w:r>
        <w:rPr>
          <w:rFonts w:hint="eastAsia"/>
          <w:lang w:val="en-US" w:eastAsia="zh-CN"/>
        </w:rPr>
        <w:t>14</w:t>
      </w:r>
    </w:p>
    <w:p w14:paraId="10C73F6C">
      <w:pPr>
        <w:pStyle w:val="8"/>
        <w:bidi w:val="0"/>
        <w:ind w:left="0" w:leftChars="0" w:firstLine="480" w:firstLineChars="200"/>
        <w:rPr>
          <w:rFonts w:hint="default" w:eastAsia="宋体"/>
          <w:lang w:val="en-US" w:eastAsia="zh-CN"/>
        </w:rPr>
      </w:pPr>
      <w:r>
        <w:rPr>
          <w:rFonts w:hint="eastAsia"/>
          <w:sz w:val="24"/>
        </w:rPr>
        <w:t>附件</w:t>
      </w:r>
      <w:r>
        <w:rPr>
          <w:sz w:val="24"/>
        </w:rPr>
        <w:t>2</w:t>
      </w:r>
      <w:r>
        <w:tab/>
      </w:r>
      <w:r>
        <w:rPr>
          <w:rFonts w:hint="eastAsia"/>
          <w:lang w:val="en-US" w:eastAsia="zh-CN"/>
        </w:rPr>
        <w:t>19</w:t>
      </w:r>
    </w:p>
    <w:p w14:paraId="00DCF0B8">
      <w:pPr>
        <w:pStyle w:val="8"/>
        <w:bidi w:val="0"/>
        <w:ind w:left="0" w:leftChars="0" w:firstLine="0" w:firstLineChars="0"/>
        <w:rPr>
          <w:rFonts w:hint="default"/>
          <w:lang w:val="en-US" w:eastAsia="zh-CN"/>
        </w:rPr>
      </w:pPr>
      <w:r>
        <w:rPr>
          <w:rFonts w:hint="eastAsia"/>
          <w:sz w:val="24"/>
        </w:rPr>
        <w:t>第五部分</w:t>
      </w:r>
      <w:r>
        <w:rPr>
          <w:sz w:val="24"/>
        </w:rPr>
        <w:t xml:space="preserve"> </w:t>
      </w:r>
      <w:r>
        <w:rPr>
          <w:rFonts w:hint="eastAsia"/>
          <w:sz w:val="24"/>
        </w:rPr>
        <w:t>附表</w:t>
      </w:r>
      <w:r>
        <w:tab/>
      </w:r>
      <w:r>
        <w:rPr>
          <w:rFonts w:hint="eastAsia"/>
          <w:lang w:val="en-US" w:eastAsia="zh-CN"/>
        </w:rPr>
        <w:t>23</w:t>
      </w:r>
    </w:p>
    <w:p w14:paraId="1A99C903">
      <w:pPr>
        <w:pStyle w:val="8"/>
        <w:bidi w:val="0"/>
        <w:ind w:left="0" w:leftChars="0" w:firstLine="480" w:firstLineChars="200"/>
        <w:rPr>
          <w:rFonts w:hint="default" w:eastAsia="宋体"/>
          <w:lang w:val="en-US" w:eastAsia="zh-CN"/>
        </w:rPr>
      </w:pPr>
      <w:r>
        <w:rPr>
          <w:rFonts w:hint="eastAsia" w:ascii="仿宋" w:hAnsi="仿宋" w:eastAsia="仿宋"/>
          <w:sz w:val="24"/>
        </w:rPr>
        <w:t>一、</w:t>
      </w:r>
      <w:r>
        <w:rPr>
          <w:rFonts w:hint="eastAsia"/>
          <w:sz w:val="24"/>
        </w:rPr>
        <w:t>收入支出决算总表</w:t>
      </w:r>
    </w:p>
    <w:p w14:paraId="63C9E259">
      <w:pPr>
        <w:pStyle w:val="8"/>
        <w:bidi w:val="0"/>
        <w:ind w:left="0" w:leftChars="0" w:firstLine="480" w:firstLineChars="200"/>
        <w:rPr>
          <w:rFonts w:hint="eastAsia" w:ascii="宋体" w:hAnsi="宋体" w:eastAsia="宋体" w:cs="宋体"/>
          <w:sz w:val="24"/>
        </w:rPr>
      </w:pPr>
      <w:r>
        <w:rPr>
          <w:rFonts w:hint="eastAsia" w:ascii="仿宋" w:hAnsi="仿宋" w:eastAsia="仿宋"/>
          <w:sz w:val="24"/>
        </w:rPr>
        <w:t>二、</w:t>
      </w:r>
      <w:r>
        <w:rPr>
          <w:rFonts w:hint="eastAsia" w:ascii="宋体" w:hAnsi="宋体" w:eastAsia="宋体" w:cs="宋体"/>
          <w:sz w:val="24"/>
        </w:rPr>
        <w:t>收入决算表</w:t>
      </w:r>
      <w:bookmarkStart w:id="61" w:name="_GoBack"/>
      <w:bookmarkEnd w:id="61"/>
    </w:p>
    <w:p w14:paraId="7DB7F598">
      <w:pPr>
        <w:pStyle w:val="8"/>
        <w:bidi w:val="0"/>
        <w:ind w:left="0" w:leftChars="0" w:firstLine="480" w:firstLineChars="200"/>
        <w:rPr>
          <w:rFonts w:hint="eastAsia"/>
          <w:sz w:val="24"/>
        </w:rPr>
      </w:pPr>
      <w:r>
        <w:rPr>
          <w:rFonts w:hint="eastAsia" w:ascii="宋体" w:hAnsi="宋体" w:eastAsia="宋体" w:cs="宋体"/>
          <w:sz w:val="24"/>
        </w:rPr>
        <w:t>三、支出决算表</w:t>
      </w:r>
    </w:p>
    <w:p w14:paraId="627303A2">
      <w:pPr>
        <w:pStyle w:val="8"/>
        <w:bidi w:val="0"/>
        <w:ind w:left="0" w:leftChars="0" w:firstLine="480" w:firstLineChars="200"/>
        <w:rPr>
          <w:rFonts w:hint="default" w:eastAsia="宋体"/>
          <w:lang w:val="en-US" w:eastAsia="zh-CN"/>
        </w:rPr>
      </w:pPr>
      <w:r>
        <w:rPr>
          <w:rFonts w:hint="eastAsia" w:ascii="仿宋" w:hAnsi="仿宋" w:eastAsia="仿宋"/>
          <w:sz w:val="24"/>
        </w:rPr>
        <w:t>四、</w:t>
      </w:r>
      <w:r>
        <w:rPr>
          <w:rFonts w:hint="eastAsia"/>
          <w:sz w:val="24"/>
        </w:rPr>
        <w:t>财政拨款收入支出决算总表</w:t>
      </w:r>
    </w:p>
    <w:p w14:paraId="4BA5C078">
      <w:pPr>
        <w:pStyle w:val="8"/>
        <w:bidi w:val="0"/>
        <w:ind w:left="0" w:leftChars="0" w:firstLine="480" w:firstLineChars="200"/>
        <w:rPr>
          <w:rFonts w:hint="eastAsia" w:ascii="宋体" w:hAnsi="宋体" w:eastAsia="宋体" w:cs="宋体"/>
          <w:sz w:val="24"/>
        </w:rPr>
      </w:pPr>
      <w:r>
        <w:rPr>
          <w:rFonts w:hint="eastAsia" w:ascii="仿宋" w:hAnsi="仿宋" w:eastAsia="仿宋"/>
          <w:sz w:val="24"/>
        </w:rPr>
        <w:t>五、</w:t>
      </w:r>
      <w:r>
        <w:rPr>
          <w:rFonts w:hint="eastAsia" w:ascii="宋体" w:hAnsi="宋体" w:eastAsia="宋体" w:cs="宋体"/>
          <w:sz w:val="24"/>
        </w:rPr>
        <w:t>财政拨款支出决算明细表</w:t>
      </w:r>
    </w:p>
    <w:p w14:paraId="6B3782DE">
      <w:pPr>
        <w:pStyle w:val="8"/>
        <w:bidi w:val="0"/>
        <w:ind w:left="0" w:leftChars="0" w:firstLine="480" w:firstLineChars="200"/>
        <w:rPr>
          <w:rFonts w:hint="eastAsia"/>
          <w:sz w:val="24"/>
        </w:rPr>
      </w:pPr>
      <w:r>
        <w:rPr>
          <w:rFonts w:hint="eastAsia" w:ascii="仿宋" w:hAnsi="仿宋" w:eastAsia="仿宋"/>
          <w:sz w:val="24"/>
        </w:rPr>
        <w:t>六、</w:t>
      </w:r>
      <w:r>
        <w:rPr>
          <w:rFonts w:hint="eastAsia"/>
          <w:sz w:val="24"/>
        </w:rPr>
        <w:t>一般公共预算财政拨款支出决算表</w:t>
      </w:r>
    </w:p>
    <w:p w14:paraId="5D8BA0A8">
      <w:pPr>
        <w:pStyle w:val="8"/>
        <w:bidi w:val="0"/>
        <w:ind w:left="0" w:leftChars="0" w:firstLine="480" w:firstLineChars="200"/>
        <w:rPr>
          <w:rFonts w:hint="eastAsia"/>
          <w:sz w:val="24"/>
        </w:rPr>
      </w:pPr>
      <w:r>
        <w:rPr>
          <w:rFonts w:hint="eastAsia" w:ascii="仿宋" w:hAnsi="仿宋" w:eastAsia="仿宋"/>
          <w:sz w:val="24"/>
        </w:rPr>
        <w:t>七、</w:t>
      </w:r>
      <w:r>
        <w:rPr>
          <w:rFonts w:hint="eastAsia"/>
          <w:sz w:val="24"/>
        </w:rPr>
        <w:t>一般公共预算财政拨款支出决算明细表</w:t>
      </w:r>
    </w:p>
    <w:p w14:paraId="1EF63FCD">
      <w:pPr>
        <w:pStyle w:val="8"/>
        <w:bidi w:val="0"/>
        <w:ind w:left="0" w:leftChars="0" w:firstLine="480" w:firstLineChars="200"/>
        <w:rPr>
          <w:rFonts w:hint="default" w:eastAsia="宋体"/>
          <w:lang w:val="en-US" w:eastAsia="zh-CN"/>
        </w:rPr>
      </w:pPr>
      <w:r>
        <w:rPr>
          <w:rFonts w:hint="eastAsia" w:ascii="仿宋" w:hAnsi="仿宋" w:eastAsia="仿宋"/>
          <w:sz w:val="24"/>
        </w:rPr>
        <w:t>八、</w:t>
      </w:r>
      <w:r>
        <w:rPr>
          <w:rFonts w:hint="eastAsia"/>
          <w:sz w:val="24"/>
        </w:rPr>
        <w:t>一般公共预算财政拨款基本支出决算表</w:t>
      </w:r>
    </w:p>
    <w:p w14:paraId="7408CC89">
      <w:pPr>
        <w:pStyle w:val="8"/>
        <w:bidi w:val="0"/>
        <w:ind w:left="0" w:leftChars="0" w:firstLine="480" w:firstLineChars="200"/>
        <w:rPr>
          <w:rFonts w:hint="eastAsia"/>
          <w:sz w:val="24"/>
        </w:rPr>
      </w:pPr>
      <w:r>
        <w:rPr>
          <w:rFonts w:hint="eastAsia" w:ascii="仿宋" w:hAnsi="仿宋" w:eastAsia="仿宋"/>
          <w:sz w:val="24"/>
        </w:rPr>
        <w:t>九、</w:t>
      </w:r>
      <w:r>
        <w:rPr>
          <w:rFonts w:hint="eastAsia"/>
          <w:sz w:val="24"/>
        </w:rPr>
        <w:t>一般公共预算财政拨款项目支出决算表</w:t>
      </w:r>
    </w:p>
    <w:p w14:paraId="7A7E55CC">
      <w:pPr>
        <w:pStyle w:val="8"/>
        <w:bidi w:val="0"/>
        <w:ind w:left="0" w:leftChars="0" w:firstLine="480" w:firstLineChars="200"/>
        <w:rPr>
          <w:rFonts w:hint="eastAsia"/>
          <w:sz w:val="24"/>
        </w:rPr>
      </w:pPr>
      <w:r>
        <w:rPr>
          <w:rFonts w:hint="eastAsia" w:ascii="仿宋" w:hAnsi="仿宋" w:eastAsia="仿宋"/>
          <w:sz w:val="24"/>
        </w:rPr>
        <w:t>十、</w:t>
      </w:r>
      <w:r>
        <w:rPr>
          <w:rFonts w:hint="eastAsia"/>
          <w:sz w:val="24"/>
        </w:rPr>
        <w:t>一般公共预算财政拨款“三公”经费支出决算表</w:t>
      </w:r>
    </w:p>
    <w:p w14:paraId="5CF4A2FE">
      <w:pPr>
        <w:pStyle w:val="8"/>
        <w:bidi w:val="0"/>
        <w:ind w:left="0" w:leftChars="0" w:firstLine="480" w:firstLineChars="200"/>
        <w:rPr>
          <w:rFonts w:hint="eastAsia"/>
          <w:sz w:val="24"/>
        </w:rPr>
      </w:pPr>
      <w:r>
        <w:rPr>
          <w:rFonts w:hint="eastAsia" w:ascii="仿宋" w:hAnsi="仿宋" w:eastAsia="仿宋"/>
          <w:sz w:val="24"/>
        </w:rPr>
        <w:t>十一、</w:t>
      </w:r>
      <w:r>
        <w:rPr>
          <w:rFonts w:hint="eastAsia"/>
          <w:sz w:val="24"/>
        </w:rPr>
        <w:t>政府性基金预算财政拨款收入支出决算表</w:t>
      </w:r>
    </w:p>
    <w:p w14:paraId="16B842A7">
      <w:pPr>
        <w:pStyle w:val="8"/>
        <w:bidi w:val="0"/>
        <w:ind w:left="0" w:leftChars="0" w:firstLine="480" w:firstLineChars="200"/>
        <w:rPr>
          <w:rFonts w:hint="eastAsia"/>
          <w:sz w:val="24"/>
        </w:rPr>
      </w:pPr>
      <w:r>
        <w:rPr>
          <w:rFonts w:hint="eastAsia" w:ascii="仿宋" w:hAnsi="仿宋" w:eastAsia="仿宋"/>
          <w:sz w:val="24"/>
        </w:rPr>
        <w:t>十二、</w:t>
      </w:r>
      <w:r>
        <w:rPr>
          <w:rFonts w:hint="eastAsia"/>
          <w:sz w:val="24"/>
        </w:rPr>
        <w:t>政府性基金预算财政拨款“三公”经费支出决算表</w:t>
      </w:r>
    </w:p>
    <w:p w14:paraId="77157AB2">
      <w:pPr>
        <w:widowControl/>
        <w:adjustRightInd w:val="0"/>
        <w:snapToGrid w:val="0"/>
        <w:spacing w:line="440" w:lineRule="exact"/>
        <w:ind w:firstLine="480" w:firstLineChars="200"/>
        <w:jc w:val="left"/>
        <w:rPr>
          <w:rFonts w:hint="eastAsia" w:ascii="黑体" w:hAnsi="黑体" w:eastAsia="黑体"/>
          <w:b w:val="0"/>
        </w:rPr>
        <w:sectPr>
          <w:footerReference r:id="rId5" w:type="first"/>
          <w:headerReference r:id="rId3" w:type="default"/>
          <w:footerReference r:id="rId4" w:type="default"/>
          <w:pgSz w:w="11906" w:h="16838"/>
          <w:pgMar w:top="1440" w:right="1800" w:bottom="1440" w:left="1800" w:header="851" w:footer="992" w:gutter="0"/>
          <w:pgNumType w:start="1"/>
          <w:cols w:space="425" w:num="1"/>
          <w:docGrid w:type="lines" w:linePitch="312" w:charSpace="0"/>
        </w:sectPr>
      </w:pPr>
      <w:r>
        <w:rPr>
          <w:rFonts w:hint="eastAsia" w:ascii="仿宋" w:hAnsi="仿宋" w:eastAsia="仿宋"/>
          <w:sz w:val="24"/>
        </w:rPr>
        <w:t>十三、</w:t>
      </w:r>
      <w:r>
        <w:rPr>
          <w:rFonts w:hint="eastAsia"/>
          <w:sz w:val="24"/>
        </w:rPr>
        <w:t>国有资本经营预算支出决算表</w:t>
      </w:r>
    </w:p>
    <w:p w14:paraId="0A8BF323">
      <w:pPr>
        <w:pStyle w:val="4"/>
        <w:jc w:val="center"/>
        <w:rPr>
          <w:rStyle w:val="29"/>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9"/>
          <w:rFonts w:hint="eastAsia" w:ascii="Times New Roman" w:hAnsi="Times New Roman" w:eastAsia="方正小标宋简体" w:cs="方正小标宋简体"/>
          <w:b w:val="0"/>
          <w:bCs w:val="0"/>
          <w:color w:val="auto"/>
          <w:highlight w:val="none"/>
        </w:rPr>
        <w:t>部门概况</w:t>
      </w:r>
      <w:bookmarkEnd w:id="6"/>
      <w:bookmarkEnd w:id="7"/>
    </w:p>
    <w:p w14:paraId="6B5BC4BD">
      <w:pPr>
        <w:widowControl/>
        <w:jc w:val="left"/>
        <w:rPr>
          <w:rFonts w:ascii="Times New Roman" w:hAnsi="Times New Roman" w:eastAsia="黑体"/>
          <w:color w:val="auto"/>
          <w:sz w:val="32"/>
          <w:szCs w:val="32"/>
          <w:highlight w:val="none"/>
        </w:rPr>
      </w:pPr>
    </w:p>
    <w:p w14:paraId="1D578B0E">
      <w:pPr>
        <w:pStyle w:val="5"/>
        <w:numPr>
          <w:ilvl w:val="0"/>
          <w:numId w:val="1"/>
        </w:numPr>
        <w:rPr>
          <w:rFonts w:hint="eastAsia" w:ascii="Times New Roman" w:hAnsi="Times New Roman" w:eastAsia="黑体"/>
          <w:b w:val="0"/>
          <w:color w:val="auto"/>
          <w:highlight w:val="none"/>
          <w:lang w:eastAsia="zh-CN"/>
        </w:rPr>
      </w:pPr>
      <w:bookmarkStart w:id="8" w:name="_Toc15396602"/>
      <w:bookmarkStart w:id="9" w:name="_Toc15377204"/>
      <w:r>
        <w:rPr>
          <w:rFonts w:hint="eastAsia" w:ascii="Times New Roman" w:hAnsi="Times New Roman" w:eastAsia="黑体"/>
          <w:b w:val="0"/>
          <w:color w:val="auto"/>
          <w:highlight w:val="none"/>
          <w:lang w:eastAsia="zh-CN"/>
        </w:rPr>
        <w:t>部门职责</w:t>
      </w:r>
    </w:p>
    <w:p w14:paraId="52014A7A">
      <w:pPr>
        <w:keepNext w:val="0"/>
        <w:keepLines w:val="0"/>
        <w:pageBreakBefore w:val="0"/>
        <w:numPr>
          <w:ilvl w:val="0"/>
          <w:numId w:val="0"/>
        </w:numPr>
        <w:kinsoku/>
        <w:wordWrap/>
        <w:overflowPunct/>
        <w:topLinePunct w:val="0"/>
        <w:bidi w:val="0"/>
        <w:spacing w:line="580" w:lineRule="exact"/>
        <w:ind w:firstLine="420" w:firstLineChars="200"/>
        <w:textAlignment w:val="auto"/>
        <w:outlineLvl w:val="9"/>
        <w:rPr>
          <w:rFonts w:hint="eastAsia" w:ascii="仿宋" w:hAnsi="仿宋" w:eastAsia="仿宋" w:cs="仿宋"/>
          <w:sz w:val="32"/>
          <w:szCs w:val="32"/>
          <w:lang w:eastAsia="zh-CN"/>
        </w:rPr>
      </w:pPr>
      <w:r>
        <w:rPr>
          <w:rFonts w:hint="eastAsia"/>
          <w:lang w:val="en-US" w:eastAsia="zh-CN"/>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14:paraId="1E45CD84">
      <w:pPr>
        <w:pStyle w:val="5"/>
        <w:numPr>
          <w:ilvl w:val="0"/>
          <w:numId w:val="1"/>
        </w:numPr>
        <w:rPr>
          <w:rStyle w:val="30"/>
          <w:rFonts w:hint="eastAsia" w:ascii="Times New Roman" w:hAnsi="Times New Roman" w:eastAsia="黑体"/>
          <w:b w:val="0"/>
          <w:bCs w:val="0"/>
          <w:color w:val="auto"/>
          <w:highlight w:val="none"/>
        </w:rPr>
      </w:pPr>
      <w:bookmarkStart w:id="10" w:name="_Toc15396601"/>
      <w:bookmarkStart w:id="11" w:name="_Toc15377200"/>
      <w:r>
        <w:rPr>
          <w:rFonts w:hint="eastAsia" w:ascii="Times New Roman" w:hAnsi="Times New Roman" w:eastAsia="黑体"/>
          <w:b w:val="0"/>
          <w:color w:val="auto"/>
          <w:highlight w:val="none"/>
        </w:rPr>
        <w:t>机</w:t>
      </w:r>
      <w:r>
        <w:rPr>
          <w:rStyle w:val="30"/>
          <w:rFonts w:hint="eastAsia" w:ascii="Times New Roman" w:hAnsi="Times New Roman" w:eastAsia="黑体"/>
          <w:b w:val="0"/>
          <w:bCs w:val="0"/>
          <w:color w:val="auto"/>
          <w:highlight w:val="none"/>
        </w:rPr>
        <w:t>构设置</w:t>
      </w:r>
      <w:bookmarkEnd w:id="10"/>
      <w:bookmarkEnd w:id="11"/>
    </w:p>
    <w:p w14:paraId="79A6E4CD">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sz w:val="32"/>
          <w:szCs w:val="32"/>
          <w:lang w:val="en-US" w:eastAsia="zh-CN"/>
        </w:rPr>
        <w:t xml:space="preserve">    </w:t>
      </w:r>
      <w:r>
        <w:rPr>
          <w:rFonts w:hint="eastAsia" w:ascii="仿宋" w:hAnsi="仿宋" w:eastAsia="仿宋" w:cs="仿宋"/>
          <w:color w:val="auto"/>
          <w:sz w:val="32"/>
          <w:szCs w:val="32"/>
          <w:highlight w:val="none"/>
        </w:rPr>
        <w:t>红原县</w:t>
      </w:r>
      <w:r>
        <w:rPr>
          <w:rFonts w:hint="eastAsia" w:ascii="仿宋" w:hAnsi="仿宋" w:eastAsia="仿宋" w:cs="仿宋"/>
          <w:color w:val="auto"/>
          <w:sz w:val="32"/>
          <w:szCs w:val="32"/>
          <w:highlight w:val="none"/>
          <w:lang w:eastAsia="zh-CN"/>
        </w:rPr>
        <w:t>龙日镇</w:t>
      </w:r>
      <w:r>
        <w:rPr>
          <w:rFonts w:hint="eastAsia" w:ascii="仿宋" w:hAnsi="仿宋" w:eastAsia="仿宋" w:cs="仿宋"/>
          <w:color w:val="auto"/>
          <w:sz w:val="32"/>
          <w:szCs w:val="32"/>
          <w:highlight w:val="none"/>
        </w:rPr>
        <w:t>卫生院下属二级</w:t>
      </w:r>
      <w:r>
        <w:rPr>
          <w:rFonts w:hint="eastAsia" w:ascii="仿宋" w:hAnsi="仿宋" w:eastAsia="仿宋" w:cs="仿宋"/>
          <w:color w:val="auto"/>
          <w:sz w:val="32"/>
          <w:szCs w:val="32"/>
          <w:highlight w:val="none"/>
          <w:lang w:eastAsia="zh-CN"/>
        </w:rPr>
        <w:t>预算</w:t>
      </w:r>
      <w:r>
        <w:rPr>
          <w:rFonts w:hint="eastAsia" w:ascii="仿宋" w:hAnsi="仿宋" w:eastAsia="仿宋" w:cs="仿宋"/>
          <w:color w:val="auto"/>
          <w:sz w:val="32"/>
          <w:szCs w:val="32"/>
          <w:highlight w:val="none"/>
        </w:rPr>
        <w:t>单位</w:t>
      </w:r>
      <w:r>
        <w:rPr>
          <w:rFonts w:hint="eastAsia" w:ascii="仿宋" w:hAnsi="仿宋" w:eastAsia="仿宋" w:cs="仿宋"/>
          <w:color w:val="auto"/>
          <w:sz w:val="32"/>
          <w:szCs w:val="32"/>
          <w:highlight w:val="none"/>
          <w:lang w:val="en-US" w:eastAsia="zh-CN"/>
        </w:rPr>
        <w:t>0</w:t>
      </w:r>
      <w:r>
        <w:rPr>
          <w:rFonts w:hint="eastAsia" w:ascii="仿宋" w:hAnsi="仿宋" w:eastAsia="仿宋" w:cs="仿宋"/>
          <w:color w:val="auto"/>
          <w:sz w:val="32"/>
          <w:szCs w:val="32"/>
          <w:highlight w:val="none"/>
        </w:rPr>
        <w:t>个</w:t>
      </w:r>
      <w:r>
        <w:rPr>
          <w:rFonts w:hint="eastAsia" w:ascii="仿宋" w:hAnsi="仿宋" w:eastAsia="仿宋" w:cs="仿宋"/>
          <w:color w:val="auto"/>
          <w:sz w:val="32"/>
          <w:szCs w:val="32"/>
          <w:highlight w:val="none"/>
          <w:lang w:eastAsia="zh-CN"/>
        </w:rPr>
        <w:t>，</w:t>
      </w:r>
      <w:r>
        <w:rPr>
          <w:rFonts w:hint="eastAsia" w:ascii="仿宋" w:hAnsi="仿宋" w:eastAsia="仿宋" w:cs="仿宋"/>
          <w:bCs/>
          <w:sz w:val="32"/>
          <w:szCs w:val="32"/>
        </w:rPr>
        <w:t>我单位为独立核算全额拨款事业单位，</w:t>
      </w:r>
      <w:r>
        <w:rPr>
          <w:rFonts w:hint="eastAsia" w:ascii="仿宋" w:hAnsi="仿宋" w:eastAsia="仿宋" w:cs="仿宋"/>
          <w:bCs/>
          <w:sz w:val="32"/>
          <w:szCs w:val="32"/>
          <w:lang w:eastAsia="zh-CN"/>
        </w:rPr>
        <w:t>下设</w:t>
      </w:r>
      <w:r>
        <w:rPr>
          <w:rFonts w:hint="eastAsia" w:ascii="仿宋" w:hAnsi="仿宋" w:eastAsia="仿宋" w:cs="仿宋"/>
          <w:bCs/>
          <w:sz w:val="32"/>
          <w:szCs w:val="32"/>
          <w:lang w:val="en-US" w:eastAsia="zh-CN"/>
        </w:rPr>
        <w:t>1机构。</w:t>
      </w:r>
      <w:r>
        <w:rPr>
          <w:rFonts w:hint="eastAsia" w:ascii="仿宋" w:hAnsi="仿宋" w:eastAsia="仿宋" w:cs="仿宋"/>
          <w:bCs/>
          <w:sz w:val="32"/>
          <w:szCs w:val="32"/>
        </w:rPr>
        <w:t>截止20</w:t>
      </w:r>
      <w:r>
        <w:rPr>
          <w:rFonts w:hint="eastAsia" w:ascii="仿宋" w:hAnsi="仿宋" w:eastAsia="仿宋" w:cs="仿宋"/>
          <w:bCs/>
          <w:sz w:val="32"/>
          <w:szCs w:val="32"/>
          <w:lang w:val="en-US" w:eastAsia="zh-CN"/>
        </w:rPr>
        <w:t>25</w:t>
      </w:r>
      <w:r>
        <w:rPr>
          <w:rFonts w:hint="eastAsia" w:ascii="仿宋" w:hAnsi="仿宋" w:eastAsia="仿宋" w:cs="仿宋"/>
          <w:bCs/>
          <w:sz w:val="32"/>
          <w:szCs w:val="32"/>
        </w:rPr>
        <w:t>年底我单位</w:t>
      </w:r>
      <w:r>
        <w:rPr>
          <w:rFonts w:hint="eastAsia" w:ascii="仿宋" w:hAnsi="仿宋" w:eastAsia="仿宋" w:cs="仿宋"/>
          <w:color w:val="000000"/>
          <w:kern w:val="0"/>
          <w:sz w:val="32"/>
          <w:szCs w:val="32"/>
          <w:lang w:val="en-US" w:eastAsia="zh-CN" w:bidi="ar"/>
        </w:rPr>
        <w:t>共有编制8个，其中事业编8个，在职8人,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8</w:t>
      </w:r>
      <w:r>
        <w:rPr>
          <w:rFonts w:hint="eastAsia" w:ascii="仿宋" w:hAnsi="仿宋" w:eastAsia="仿宋" w:cs="仿宋"/>
          <w:bCs/>
          <w:sz w:val="32"/>
          <w:szCs w:val="32"/>
        </w:rPr>
        <w:t>人。</w:t>
      </w:r>
    </w:p>
    <w:p w14:paraId="0774E521">
      <w:pPr>
        <w:pStyle w:val="4"/>
        <w:jc w:val="center"/>
        <w:rPr>
          <w:rFonts w:hint="eastAsia" w:ascii="Times New Roman" w:hAnsi="Times New Roman" w:eastAsia="方正小标宋简体" w:cs="方正小标宋简体"/>
          <w:b w:val="0"/>
          <w:color w:val="auto"/>
          <w:highlight w:val="none"/>
        </w:rPr>
      </w:pPr>
    </w:p>
    <w:p w14:paraId="36C73075">
      <w:pPr>
        <w:pStyle w:val="4"/>
        <w:jc w:val="center"/>
        <w:rPr>
          <w:rFonts w:hint="eastAsia" w:ascii="Times New Roman" w:hAnsi="Times New Roman" w:eastAsia="方正小标宋简体" w:cs="方正小标宋简体"/>
          <w:b w:val="0"/>
          <w:color w:val="auto"/>
          <w:highlight w:val="none"/>
        </w:rPr>
      </w:pPr>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8"/>
      <w:bookmarkEnd w:id="9"/>
    </w:p>
    <w:p w14:paraId="2A62F181">
      <w:pPr>
        <w:rPr>
          <w:rFonts w:ascii="Times New Roman" w:hAnsi="Times New Roman"/>
          <w:color w:val="auto"/>
          <w:highlight w:val="none"/>
        </w:rPr>
      </w:pPr>
    </w:p>
    <w:p w14:paraId="550B8EFA">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2" w:name="_Toc15396603"/>
      <w:bookmarkStart w:id="13"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0"/>
          <w:rFonts w:hint="eastAsia" w:ascii="Times New Roman" w:hAnsi="Times New Roman" w:eastAsia="黑体"/>
          <w:b w:val="0"/>
          <w:color w:val="auto"/>
          <w:highlight w:val="none"/>
        </w:rPr>
        <w:t>入支出决算总体情况说明</w:t>
      </w:r>
      <w:bookmarkEnd w:id="12"/>
      <w:bookmarkEnd w:id="13"/>
    </w:p>
    <w:p w14:paraId="5A64B45A">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val="en-US"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242.74</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eastAsia="zh-CN"/>
        </w:rPr>
        <w:t>上</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54.65</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22.51</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事业收入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lang w:val="en-US" w:eastAsia="zh-CN"/>
        </w:rPr>
        <w:t>纳入决算编报。</w:t>
      </w:r>
    </w:p>
    <w:p w14:paraId="41B42FCF">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w:t>
      </w:r>
      <w:bookmarkStart w:id="14" w:name="_Toc15377206"/>
      <w:bookmarkStart w:id="15" w:name="_Toc15396604"/>
    </w:p>
    <w:p w14:paraId="6C4E22E6">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59264" behindDoc="0" locked="0" layoutInCell="1" allowOverlap="1">
            <wp:simplePos x="0" y="0"/>
            <wp:positionH relativeFrom="column">
              <wp:posOffset>-471805</wp:posOffset>
            </wp:positionH>
            <wp:positionV relativeFrom="paragraph">
              <wp:posOffset>382905</wp:posOffset>
            </wp:positionV>
            <wp:extent cx="6482080" cy="2067560"/>
            <wp:effectExtent l="4445" t="4445" r="9525" b="2349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03F10D26">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r>
        <w:rPr>
          <w:rFonts w:hint="eastAsia" w:ascii="Times New Roman" w:hAnsi="Times New Roman" w:eastAsia="黑体"/>
          <w:color w:val="auto"/>
          <w:sz w:val="32"/>
          <w:szCs w:val="32"/>
          <w:highlight w:val="none"/>
          <w:lang w:eastAsia="zh-CN"/>
        </w:rPr>
        <w:t>二、收入决算情况说明</w:t>
      </w:r>
      <w:bookmarkEnd w:id="14"/>
      <w:bookmarkEnd w:id="15"/>
    </w:p>
    <w:p w14:paraId="715148C8">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242.74</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209.1</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86.14</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8.73</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3.59</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24.9</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10.25</w:t>
      </w:r>
      <w:r>
        <w:rPr>
          <w:rFonts w:hint="eastAsia" w:ascii="Times New Roman" w:hAnsi="Times New Roman" w:eastAsia="仿宋_GB2312" w:cs="仿宋_GB2312"/>
          <w:color w:val="auto"/>
          <w:sz w:val="32"/>
          <w:szCs w:val="32"/>
          <w:highlight w:val="none"/>
          <w:lang w:eastAsia="zh-CN"/>
        </w:rPr>
        <w:t>%。</w:t>
      </w:r>
    </w:p>
    <w:p w14:paraId="21B0AA33">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0288" behindDoc="0" locked="0" layoutInCell="1" allowOverlap="1">
            <wp:simplePos x="0" y="0"/>
            <wp:positionH relativeFrom="column">
              <wp:posOffset>-995680</wp:posOffset>
            </wp:positionH>
            <wp:positionV relativeFrom="paragraph">
              <wp:posOffset>909320</wp:posOffset>
            </wp:positionV>
            <wp:extent cx="6851650" cy="1922780"/>
            <wp:effectExtent l="4445" t="4445" r="20955" b="1587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ascii="Times New Roman" w:hAnsi="Times New Roman" w:eastAsia="仿宋_GB2312" w:cs="仿宋_GB2312"/>
          <w:color w:val="auto"/>
          <w:sz w:val="32"/>
          <w:szCs w:val="32"/>
          <w:highlight w:val="none"/>
          <w:lang w:eastAsia="zh-CN"/>
        </w:rPr>
        <w:t>（图2：收入决算结构图）</w:t>
      </w:r>
    </w:p>
    <w:p w14:paraId="75B8F994">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p>
    <w:p w14:paraId="4EC83762">
      <w:pPr>
        <w:ind w:firstLine="800" w:firstLineChars="250"/>
        <w:rPr>
          <w:rFonts w:hint="eastAsia" w:ascii="Times New Roman" w:hAnsi="Times New Roman" w:eastAsia="仿宋_GB2312" w:cs="仿宋_GB2312"/>
          <w:color w:val="auto"/>
          <w:sz w:val="32"/>
          <w:szCs w:val="32"/>
          <w:highlight w:val="none"/>
          <w:lang w:eastAsia="zh-CN"/>
        </w:rPr>
      </w:pPr>
    </w:p>
    <w:p w14:paraId="138A3FC9">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16" w:name="_Toc15396605"/>
      <w:bookmarkStart w:id="17"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0"/>
          <w:rFonts w:hint="eastAsia" w:ascii="Times New Roman" w:hAnsi="Times New Roman" w:eastAsia="黑体"/>
          <w:b w:val="0"/>
          <w:color w:val="auto"/>
          <w:highlight w:val="none"/>
        </w:rPr>
        <w:t>出决算情况说明</w:t>
      </w:r>
      <w:bookmarkEnd w:id="16"/>
      <w:bookmarkEnd w:id="17"/>
    </w:p>
    <w:p w14:paraId="09EA9C6F">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242.74</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199.94</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82.37</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42.79</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17.62</w:t>
      </w:r>
      <w:r>
        <w:rPr>
          <w:rFonts w:hint="eastAsia" w:ascii="Times New Roman" w:hAnsi="Times New Roman" w:eastAsia="仿宋_GB2312" w:cs="仿宋_GB2312"/>
          <w:color w:val="auto"/>
          <w:sz w:val="32"/>
          <w:szCs w:val="32"/>
          <w:highlight w:val="none"/>
          <w:lang w:eastAsia="zh-CN"/>
        </w:rPr>
        <w:t>%。</w:t>
      </w:r>
      <w:r>
        <w:rPr>
          <w:rFonts w:hint="eastAsia" w:eastAsia="仿宋_GB2312" w:cs="仿宋_GB2312"/>
          <w:color w:val="auto"/>
          <w:sz w:val="32"/>
          <w:szCs w:val="32"/>
          <w:highlight w:val="none"/>
          <w:lang w:val="en-US" w:eastAsia="zh-CN"/>
        </w:rPr>
        <w:t xml:space="preserve">     </w:t>
      </w:r>
      <w:r>
        <w:rPr>
          <w:rFonts w:hint="eastAsia" w:ascii="Times New Roman" w:hAnsi="Times New Roman" w:eastAsia="仿宋_GB2312" w:cs="仿宋_GB2312"/>
          <w:color w:val="auto"/>
          <w:sz w:val="32"/>
          <w:szCs w:val="32"/>
          <w:highlight w:val="none"/>
          <w:lang w:eastAsia="zh-CN"/>
        </w:rPr>
        <w:t>（图3：支出决算结构图）</w:t>
      </w:r>
    </w:p>
    <w:p w14:paraId="4906C928">
      <w:pPr>
        <w:ind w:firstLine="800" w:firstLineChars="250"/>
        <w:rPr>
          <w:rFonts w:hint="eastAsia" w:ascii="Times New Roman" w:hAnsi="Times New Roman" w:eastAsia="仿宋_GB2312" w:cs="仿宋_GB2312"/>
          <w:color w:val="auto"/>
          <w:sz w:val="32"/>
          <w:szCs w:val="32"/>
          <w:highlight w:val="none"/>
          <w:lang w:eastAsia="zh-CN"/>
        </w:rPr>
      </w:pPr>
    </w:p>
    <w:p w14:paraId="1297FB09">
      <w:pPr>
        <w:spacing w:line="600" w:lineRule="exact"/>
        <w:ind w:firstLine="640" w:firstLineChars="200"/>
        <w:outlineLvl w:val="1"/>
        <w:rPr>
          <w:rStyle w:val="30"/>
          <w:rFonts w:ascii="Times New Roman" w:hAnsi="Times New Roman" w:eastAsia="黑体"/>
          <w:b w:val="0"/>
          <w:color w:val="auto"/>
          <w:highlight w:val="none"/>
        </w:rPr>
      </w:pPr>
      <w:bookmarkStart w:id="18" w:name="_Toc15396606"/>
      <w:bookmarkStart w:id="19" w:name="_Toc15377208"/>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1312" behindDoc="0" locked="0" layoutInCell="1" allowOverlap="1">
            <wp:simplePos x="0" y="0"/>
            <wp:positionH relativeFrom="column">
              <wp:posOffset>-548005</wp:posOffset>
            </wp:positionH>
            <wp:positionV relativeFrom="paragraph">
              <wp:posOffset>87630</wp:posOffset>
            </wp:positionV>
            <wp:extent cx="6346190" cy="1502410"/>
            <wp:effectExtent l="4445" t="4445" r="12065" b="1714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ascii="Times New Roman" w:hAnsi="Times New Roman" w:eastAsia="黑体"/>
          <w:color w:val="auto"/>
          <w:sz w:val="32"/>
          <w:szCs w:val="32"/>
          <w:highlight w:val="none"/>
        </w:rPr>
        <w:t>四、财</w:t>
      </w:r>
      <w:r>
        <w:rPr>
          <w:rStyle w:val="30"/>
          <w:rFonts w:hint="eastAsia" w:ascii="Times New Roman" w:hAnsi="Times New Roman" w:eastAsia="黑体"/>
          <w:b w:val="0"/>
          <w:color w:val="auto"/>
          <w:highlight w:val="none"/>
        </w:rPr>
        <w:t>政拨款收入支出决算总体情况说明</w:t>
      </w:r>
      <w:bookmarkEnd w:id="18"/>
      <w:bookmarkEnd w:id="19"/>
    </w:p>
    <w:p w14:paraId="41C74585">
      <w:pPr>
        <w:spacing w:line="600" w:lineRule="exact"/>
        <w:ind w:firstLine="640"/>
        <w:rPr>
          <w:rFonts w:hint="default"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209.1</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年度相比，财政拨款收入、支出总计各增加</w:t>
      </w:r>
      <w:r>
        <w:rPr>
          <w:rFonts w:hint="eastAsia" w:eastAsia="仿宋_GB2312" w:cs="仿宋_GB2312"/>
          <w:color w:val="auto"/>
          <w:kern w:val="2"/>
          <w:sz w:val="32"/>
          <w:szCs w:val="32"/>
          <w:highlight w:val="none"/>
          <w:lang w:val="en-US" w:eastAsia="zh-CN" w:bidi="ar-SA"/>
        </w:rPr>
        <w:t>21.01</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10.04</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卫生健康类经费增加。</w:t>
      </w:r>
    </w:p>
    <w:p w14:paraId="6B802DE6">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14:paraId="1F28429A">
      <w:pPr>
        <w:pStyle w:val="2"/>
        <w:rPr>
          <w:rFonts w:hint="eastAsia"/>
          <w:lang w:val="en-US"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2336" behindDoc="0" locked="0" layoutInCell="1" allowOverlap="1">
            <wp:simplePos x="0" y="0"/>
            <wp:positionH relativeFrom="column">
              <wp:posOffset>-1143000</wp:posOffset>
            </wp:positionH>
            <wp:positionV relativeFrom="paragraph">
              <wp:posOffset>-914400</wp:posOffset>
            </wp:positionV>
            <wp:extent cx="7141210" cy="2005330"/>
            <wp:effectExtent l="4445" t="4445" r="17145" b="952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26F08B8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E84B2C4">
      <w:pPr>
        <w:spacing w:line="600" w:lineRule="exact"/>
        <w:ind w:firstLine="640" w:firstLineChars="200"/>
        <w:outlineLvl w:val="1"/>
        <w:rPr>
          <w:rStyle w:val="30"/>
          <w:rFonts w:ascii="Times New Roman" w:hAnsi="Times New Roman" w:eastAsia="黑体"/>
          <w:b w:val="0"/>
          <w:color w:val="auto"/>
          <w:highlight w:val="none"/>
        </w:rPr>
      </w:pPr>
      <w:bookmarkStart w:id="20" w:name="_Toc15396607"/>
      <w:bookmarkStart w:id="21" w:name="_Toc15377209"/>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般公共预算财政拨款支出决算情况说明</w:t>
      </w:r>
      <w:bookmarkEnd w:id="20"/>
      <w:bookmarkEnd w:id="21"/>
    </w:p>
    <w:p w14:paraId="5C6BCA86">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2"/>
    </w:p>
    <w:p w14:paraId="425F4BAC">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3360" behindDoc="0" locked="0" layoutInCell="1" allowOverlap="1">
            <wp:simplePos x="0" y="0"/>
            <wp:positionH relativeFrom="column">
              <wp:posOffset>-595630</wp:posOffset>
            </wp:positionH>
            <wp:positionV relativeFrom="paragraph">
              <wp:posOffset>2244090</wp:posOffset>
            </wp:positionV>
            <wp:extent cx="6783070" cy="2120900"/>
            <wp:effectExtent l="4445" t="4445" r="13335" b="8255"/>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209.1</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86.14</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年度相比，一般公共预算财政拨款支出增加</w:t>
      </w:r>
      <w:r>
        <w:rPr>
          <w:rFonts w:hint="eastAsia" w:eastAsia="仿宋_GB2312" w:cs="仿宋_GB2312"/>
          <w:color w:val="auto"/>
          <w:kern w:val="2"/>
          <w:sz w:val="32"/>
          <w:szCs w:val="32"/>
          <w:highlight w:val="none"/>
          <w:lang w:val="en-US" w:eastAsia="zh-CN" w:bidi="ar-SA"/>
        </w:rPr>
        <w:t>21.01</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10.04</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卫生健康类经费增加。</w:t>
      </w:r>
    </w:p>
    <w:p w14:paraId="76D2292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w:t>
      </w:r>
    </w:p>
    <w:p w14:paraId="00F2F81A">
      <w:pPr>
        <w:pStyle w:val="2"/>
        <w:rPr>
          <w:rFonts w:hint="eastAsia"/>
          <w:lang w:val="en-US" w:eastAsia="zh-CN"/>
        </w:rPr>
      </w:pPr>
    </w:p>
    <w:p w14:paraId="376483C7">
      <w:pPr>
        <w:pStyle w:val="2"/>
        <w:rPr>
          <w:rFonts w:hint="eastAsia"/>
          <w:lang w:val="en-US" w:eastAsia="zh-CN"/>
        </w:rPr>
      </w:pPr>
    </w:p>
    <w:p w14:paraId="0082301D">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3"/>
    </w:p>
    <w:p w14:paraId="00C1AC42">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209.1</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26.77</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12.80</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166.77</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79.75</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15.54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7.43</w:t>
      </w:r>
      <w:r>
        <w:rPr>
          <w:rFonts w:hint="eastAsia" w:ascii="Times New Roman" w:hAnsi="Times New Roman" w:eastAsia="仿宋_GB2312" w:cs="仿宋_GB2312"/>
          <w:color w:val="auto"/>
          <w:kern w:val="2"/>
          <w:sz w:val="32"/>
          <w:szCs w:val="32"/>
          <w:highlight w:val="none"/>
          <w:lang w:val="en-US" w:eastAsia="zh-CN" w:bidi="ar-SA"/>
        </w:rPr>
        <w:t>%</w:t>
      </w:r>
      <w:r>
        <w:rPr>
          <w:rFonts w:hint="eastAsia" w:eastAsia="仿宋_GB2312" w:cs="仿宋_GB2312"/>
          <w:color w:val="auto"/>
          <w:kern w:val="2"/>
          <w:sz w:val="32"/>
          <w:szCs w:val="32"/>
          <w:highlight w:val="none"/>
          <w:lang w:val="en-US" w:eastAsia="zh-CN" w:bidi="ar-SA"/>
        </w:rPr>
        <w:t>。</w:t>
      </w:r>
    </w:p>
    <w:p w14:paraId="20DE5B0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w:t>
      </w:r>
    </w:p>
    <w:p w14:paraId="1FE25DC9">
      <w:pPr>
        <w:pStyle w:val="2"/>
        <w:rPr>
          <w:rFonts w:hint="eastAsia"/>
          <w:lang w:val="en-US" w:eastAsia="zh-CN"/>
        </w:rPr>
      </w:pPr>
    </w:p>
    <w:p w14:paraId="5FFE6824">
      <w:pPr>
        <w:spacing w:line="600" w:lineRule="exact"/>
        <w:ind w:firstLine="640" w:firstLineChars="200"/>
        <w:outlineLvl w:val="2"/>
        <w:rPr>
          <w:rFonts w:hint="eastAsia" w:ascii="Times New Roman" w:hAnsi="Times New Roman" w:eastAsia="楷体_GB2312" w:cs="楷体_GB2312"/>
          <w:b/>
          <w:color w:val="auto"/>
          <w:sz w:val="32"/>
          <w:szCs w:val="32"/>
          <w:highlight w:val="none"/>
        </w:rPr>
      </w:pPr>
      <w:bookmarkStart w:id="24" w:name="_Toc15377212"/>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4384" behindDoc="0" locked="0" layoutInCell="1" allowOverlap="1">
            <wp:simplePos x="0" y="0"/>
            <wp:positionH relativeFrom="column">
              <wp:posOffset>-405130</wp:posOffset>
            </wp:positionH>
            <wp:positionV relativeFrom="paragraph">
              <wp:posOffset>292735</wp:posOffset>
            </wp:positionV>
            <wp:extent cx="6584950" cy="1755140"/>
            <wp:effectExtent l="4445" t="5080" r="20955" b="11430"/>
            <wp:wrapSquare wrapText="bothSides"/>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Pr>
          <w:rFonts w:hint="eastAsia" w:ascii="Times New Roman" w:hAnsi="Times New Roman" w:eastAsia="楷体_GB2312" w:cs="楷体_GB2312"/>
          <w:b/>
          <w:color w:val="auto"/>
          <w:sz w:val="32"/>
          <w:szCs w:val="32"/>
          <w:highlight w:val="none"/>
        </w:rPr>
        <w:t>（三）一般公共预算财政拨款支出决算具体情况</w:t>
      </w:r>
      <w:bookmarkEnd w:id="24"/>
    </w:p>
    <w:p w14:paraId="268EDD5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5" w:name="_Toc15378460"/>
      <w:bookmarkStart w:id="26" w:name="_Toc15377444"/>
      <w:bookmarkStart w:id="27" w:name="_Toc15377213"/>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209.1</w:t>
      </w:r>
      <w:r>
        <w:rPr>
          <w:rFonts w:hint="eastAsia" w:ascii="Times New Roman" w:hAnsi="Times New Roman" w:eastAsia="仿宋_GB2312" w:cs="仿宋_GB2312"/>
          <w:color w:val="auto"/>
          <w:kern w:val="2"/>
          <w:sz w:val="32"/>
          <w:szCs w:val="32"/>
          <w:highlight w:val="none"/>
          <w:lang w:val="en-US" w:eastAsia="zh-CN" w:bidi="ar-SA"/>
        </w:rPr>
        <w:t>，完成预算**%。其中：</w:t>
      </w:r>
      <w:bookmarkEnd w:id="25"/>
      <w:bookmarkEnd w:id="26"/>
      <w:bookmarkEnd w:id="27"/>
    </w:p>
    <w:p w14:paraId="7A7BC5E9">
      <w:pPr>
        <w:numPr>
          <w:ilvl w:val="0"/>
          <w:numId w:val="2"/>
        </w:num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住房保障</w:t>
      </w:r>
      <w:r>
        <w:rPr>
          <w:rFonts w:hint="eastAsia" w:ascii="Times New Roman" w:hAnsi="Times New Roman" w:eastAsia="仿宋_GB2312" w:cs="仿宋_GB2312"/>
          <w:color w:val="auto"/>
          <w:kern w:val="2"/>
          <w:sz w:val="32"/>
          <w:szCs w:val="32"/>
          <w:highlight w:val="none"/>
          <w:lang w:val="en-US" w:eastAsia="zh-CN" w:bidi="ar-SA"/>
        </w:rPr>
        <w:t>服务（类）</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01</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15.54</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等于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w:t>
      </w:r>
    </w:p>
    <w:p w14:paraId="43722B9C">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2.社会保障和就业（类）</w:t>
      </w:r>
      <w:r>
        <w:rPr>
          <w:rFonts w:hint="eastAsia" w:eastAsia="仿宋_GB2312" w:cs="仿宋_GB2312"/>
          <w:color w:val="auto"/>
          <w:kern w:val="2"/>
          <w:sz w:val="32"/>
          <w:szCs w:val="32"/>
          <w:highlight w:val="none"/>
          <w:lang w:val="en-US" w:eastAsia="zh-CN" w:bidi="ar-SA"/>
        </w:rPr>
        <w:t>05</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06</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26.77</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等于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w:t>
      </w:r>
    </w:p>
    <w:p w14:paraId="357621FA">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3.卫生健康（类）</w:t>
      </w:r>
      <w:r>
        <w:rPr>
          <w:rFonts w:hint="eastAsia" w:eastAsia="仿宋_GB2312" w:cs="仿宋_GB2312"/>
          <w:color w:val="auto"/>
          <w:kern w:val="2"/>
          <w:sz w:val="32"/>
          <w:szCs w:val="32"/>
          <w:highlight w:val="none"/>
          <w:lang w:val="en-US" w:eastAsia="zh-CN" w:bidi="ar-SA"/>
        </w:rPr>
        <w:t>03</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166.77</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%，决算数小于预算数的主要原因是</w:t>
      </w:r>
      <w:r>
        <w:rPr>
          <w:rFonts w:hint="eastAsia" w:eastAsia="仿宋_GB2312" w:cs="仿宋_GB2312"/>
          <w:color w:val="auto"/>
          <w:kern w:val="2"/>
          <w:sz w:val="32"/>
          <w:szCs w:val="32"/>
          <w:highlight w:val="none"/>
          <w:lang w:val="en-US" w:eastAsia="zh-CN" w:bidi="ar-SA"/>
        </w:rPr>
        <w:t>基层医疗卫生经费支出的减少。</w:t>
      </w:r>
    </w:p>
    <w:p w14:paraId="7B8D61F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33D6FB9B">
      <w:pPr>
        <w:tabs>
          <w:tab w:val="right" w:pos="8306"/>
        </w:tabs>
        <w:spacing w:line="600" w:lineRule="exact"/>
        <w:ind w:firstLine="640"/>
        <w:outlineLvl w:val="1"/>
        <w:rPr>
          <w:rStyle w:val="30"/>
          <w:rFonts w:ascii="Times New Roman" w:hAnsi="Times New Roman"/>
          <w:color w:val="auto"/>
          <w:highlight w:val="none"/>
        </w:rPr>
      </w:pPr>
      <w:bookmarkStart w:id="28" w:name="_Toc15377214"/>
      <w:bookmarkStart w:id="29" w:name="_Toc15396608"/>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般公共预算财政拨款基本支出决算情况说明</w:t>
      </w:r>
      <w:bookmarkEnd w:id="28"/>
      <w:bookmarkEnd w:id="29"/>
      <w:r>
        <w:rPr>
          <w:rStyle w:val="30"/>
          <w:rFonts w:ascii="Times New Roman" w:hAnsi="Times New Roman" w:eastAsia="黑体"/>
          <w:b w:val="0"/>
          <w:color w:val="auto"/>
          <w:highlight w:val="none"/>
        </w:rPr>
        <w:tab/>
      </w:r>
    </w:p>
    <w:p w14:paraId="564CB02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199.94</w:t>
      </w:r>
      <w:r>
        <w:rPr>
          <w:rFonts w:hint="eastAsia" w:ascii="Times New Roman" w:hAnsi="Times New Roman" w:eastAsia="仿宋_GB2312" w:cs="仿宋_GB2312"/>
          <w:color w:val="auto"/>
          <w:kern w:val="2"/>
          <w:sz w:val="32"/>
          <w:szCs w:val="32"/>
          <w:highlight w:val="none"/>
          <w:lang w:val="en-US" w:eastAsia="zh-CN" w:bidi="ar-SA"/>
        </w:rPr>
        <w:t>万元，其中：</w:t>
      </w:r>
    </w:p>
    <w:p w14:paraId="76846CA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194.18</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万元，主要包括：基本工资、津贴补贴、绩效工资、机关事业单位基本养老保险缴费、职业年金缴费、其他社会保障缴费、生活补助、医疗费补助、奖励金、住房公积金。</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5.77</w:t>
      </w:r>
      <w:r>
        <w:rPr>
          <w:rFonts w:hint="eastAsia" w:ascii="Times New Roman" w:hAnsi="Times New Roman" w:eastAsia="仿宋_GB2312" w:cs="仿宋_GB2312"/>
          <w:color w:val="auto"/>
          <w:kern w:val="2"/>
          <w:sz w:val="32"/>
          <w:szCs w:val="32"/>
          <w:highlight w:val="none"/>
          <w:lang w:val="en-US" w:eastAsia="zh-CN" w:bidi="ar-SA"/>
        </w:rPr>
        <w:t>万元，主要包括：工会经费、福利费、。</w:t>
      </w:r>
    </w:p>
    <w:p w14:paraId="72C62F67">
      <w:pPr>
        <w:spacing w:line="600" w:lineRule="exact"/>
        <w:ind w:firstLine="640"/>
        <w:outlineLvl w:val="1"/>
        <w:rPr>
          <w:rStyle w:val="30"/>
          <w:rFonts w:ascii="Times New Roman" w:hAnsi="Times New Roman" w:eastAsia="黑体"/>
          <w:b w:val="0"/>
          <w:color w:val="auto"/>
          <w:highlight w:val="none"/>
        </w:rPr>
      </w:pPr>
      <w:bookmarkStart w:id="30" w:name="_Toc15396609"/>
      <w:bookmarkStart w:id="31" w:name="_Toc15377215"/>
      <w:r>
        <w:rPr>
          <w:rFonts w:hint="eastAsia" w:ascii="Times New Roman" w:hAnsi="Times New Roman" w:eastAsia="黑体"/>
          <w:color w:val="auto"/>
          <w:sz w:val="32"/>
          <w:szCs w:val="32"/>
          <w:highlight w:val="none"/>
        </w:rPr>
        <w:t>七、</w:t>
      </w:r>
      <w:r>
        <w:rPr>
          <w:rStyle w:val="30"/>
          <w:rFonts w:hint="eastAsia" w:ascii="Times New Roman" w:hAnsi="Times New Roman" w:eastAsia="黑体"/>
          <w:b w:val="0"/>
          <w:color w:val="auto"/>
          <w:highlight w:val="none"/>
        </w:rPr>
        <w:t>财政拨款</w:t>
      </w:r>
      <w:r>
        <w:rPr>
          <w:rStyle w:val="30"/>
          <w:rFonts w:hint="eastAsia" w:ascii="Times New Roman" w:hAnsi="Times New Roman" w:eastAsia="黑体"/>
          <w:color w:val="auto"/>
          <w:highlight w:val="none"/>
        </w:rPr>
        <w:t>“</w:t>
      </w:r>
      <w:r>
        <w:rPr>
          <w:rStyle w:val="30"/>
          <w:rFonts w:hint="eastAsia" w:ascii="Times New Roman" w:hAnsi="Times New Roman" w:eastAsia="黑体"/>
          <w:b w:val="0"/>
          <w:color w:val="auto"/>
          <w:highlight w:val="none"/>
        </w:rPr>
        <w:t>三公”经费支出决算情况说明</w:t>
      </w:r>
      <w:bookmarkEnd w:id="30"/>
      <w:bookmarkEnd w:id="31"/>
    </w:p>
    <w:p w14:paraId="247195E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2"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32"/>
    </w:p>
    <w:p w14:paraId="4059AEA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%，较上年度增加/减少**万元，增长/下降**%。决算数小于预算数（或与预算数持平）的主要原因是……</w:t>
      </w:r>
    </w:p>
    <w:p w14:paraId="5E84E038">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33"/>
    </w:p>
    <w:p w14:paraId="44093FB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万元，占**%；公务用车购置及运行维护费支出决算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万元，占**%。具体情况如下：</w:t>
      </w:r>
    </w:p>
    <w:p w14:paraId="0A7F211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14:paraId="559C13C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4EBFA5F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14:paraId="7381E0E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711C687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万元。全年按规定更新购置公务用车**辆，其中：轿车**辆、金额**万元，越野车**辆、金额**万元，载客汽车**辆、金额**万元，主要用于……。截至202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年12月31日，单位共有公务用车**辆，其中：轿车**辆、越野车**辆、载客汽车**辆。</w:t>
      </w:r>
    </w:p>
    <w:p w14:paraId="4BB0994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p>
    <w:p w14:paraId="3FA5DE1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年度增加/减少**万元，增长/下降**%。主要原因是……。其中：</w:t>
      </w:r>
    </w:p>
    <w:p w14:paraId="29EC256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执行公务、开展业务活动开支的交通费、住宿费、用餐费等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。国内公务接待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人次（不包括陪同人员），共计支出**万元，具体内容包括：……（接待具体项目、金额）。</w:t>
      </w:r>
    </w:p>
    <w:p w14:paraId="4D371AE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万元，主要用于……（具体项目）。外事接待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w:t>
      </w:r>
    </w:p>
    <w:p w14:paraId="381A6B6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4" w:name="_Toc15396610"/>
      <w:bookmarkStart w:id="35" w:name="_Toc15377218"/>
    </w:p>
    <w:p w14:paraId="432622D1">
      <w:pPr>
        <w:spacing w:line="600" w:lineRule="exact"/>
        <w:ind w:firstLine="640"/>
        <w:outlineLvl w:val="1"/>
        <w:rPr>
          <w:rStyle w:val="30"/>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0"/>
          <w:rFonts w:hint="eastAsia" w:ascii="Times New Roman" w:hAnsi="Times New Roman" w:eastAsia="黑体"/>
          <w:b w:val="0"/>
          <w:color w:val="auto"/>
          <w:highlight w:val="none"/>
        </w:rPr>
        <w:t>政府性基金预算支出决算情况说明</w:t>
      </w:r>
      <w:bookmarkEnd w:id="34"/>
      <w:bookmarkEnd w:id="35"/>
    </w:p>
    <w:p w14:paraId="3FF5F3A1">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69264E9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AF71DCB">
      <w:pPr>
        <w:numPr>
          <w:ilvl w:val="0"/>
          <w:numId w:val="0"/>
        </w:numPr>
        <w:spacing w:line="600" w:lineRule="exact"/>
        <w:ind w:left="630" w:leftChars="0"/>
        <w:outlineLvl w:val="1"/>
        <w:rPr>
          <w:rStyle w:val="30"/>
          <w:rFonts w:ascii="Times New Roman" w:hAnsi="Times New Roman" w:eastAsia="黑体"/>
          <w:b w:val="0"/>
          <w:color w:val="auto"/>
          <w:highlight w:val="none"/>
        </w:rPr>
      </w:pPr>
      <w:bookmarkStart w:id="36" w:name="_Toc15377219"/>
      <w:bookmarkStart w:id="37" w:name="_Toc15396611"/>
      <w:r>
        <w:rPr>
          <w:rStyle w:val="30"/>
          <w:rFonts w:hint="eastAsia" w:ascii="Times New Roman" w:hAnsi="Times New Roman" w:eastAsia="黑体"/>
          <w:b w:val="0"/>
          <w:color w:val="auto"/>
          <w:highlight w:val="none"/>
          <w:lang w:eastAsia="zh-CN"/>
        </w:rPr>
        <w:t>九、</w:t>
      </w:r>
      <w:r>
        <w:rPr>
          <w:rStyle w:val="30"/>
          <w:rFonts w:hint="eastAsia" w:ascii="Times New Roman" w:hAnsi="Times New Roman" w:eastAsia="黑体"/>
          <w:b w:val="0"/>
          <w:color w:val="auto"/>
          <w:highlight w:val="none"/>
        </w:rPr>
        <w:t>国有资本经营预算支出决算情况说明</w:t>
      </w:r>
      <w:bookmarkEnd w:id="36"/>
      <w:bookmarkEnd w:id="37"/>
    </w:p>
    <w:p w14:paraId="00B2893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2C2A140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B925FAD">
      <w:pPr>
        <w:numPr>
          <w:ilvl w:val="0"/>
          <w:numId w:val="0"/>
        </w:numPr>
        <w:spacing w:line="600" w:lineRule="exact"/>
        <w:ind w:left="630" w:leftChars="0"/>
        <w:outlineLvl w:val="1"/>
        <w:rPr>
          <w:rStyle w:val="30"/>
          <w:rFonts w:hint="eastAsia" w:ascii="Times New Roman" w:hAnsi="Times New Roman" w:eastAsia="黑体"/>
          <w:b w:val="0"/>
          <w:color w:val="auto"/>
          <w:highlight w:val="none"/>
        </w:rPr>
      </w:pPr>
      <w:bookmarkStart w:id="38" w:name="_Toc15377221"/>
      <w:bookmarkStart w:id="39" w:name="_Toc15396612"/>
      <w:r>
        <w:rPr>
          <w:rStyle w:val="30"/>
          <w:rFonts w:hint="eastAsia" w:ascii="Times New Roman" w:hAnsi="Times New Roman" w:eastAsia="黑体"/>
          <w:b w:val="0"/>
          <w:color w:val="auto"/>
          <w:highlight w:val="none"/>
          <w:lang w:eastAsia="zh-CN"/>
        </w:rPr>
        <w:t>十、</w:t>
      </w:r>
      <w:r>
        <w:rPr>
          <w:rStyle w:val="30"/>
          <w:rFonts w:hint="eastAsia" w:ascii="Times New Roman" w:hAnsi="Times New Roman" w:eastAsia="黑体"/>
          <w:b w:val="0"/>
          <w:color w:val="auto"/>
          <w:highlight w:val="none"/>
        </w:rPr>
        <w:t>其他重要事项的情况说明</w:t>
      </w:r>
      <w:bookmarkEnd w:id="38"/>
      <w:bookmarkEnd w:id="39"/>
    </w:p>
    <w:p w14:paraId="27640AC7">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2"/>
      <w:r>
        <w:rPr>
          <w:rFonts w:hint="eastAsia" w:ascii="Times New Roman" w:hAnsi="Times New Roman" w:eastAsia="楷体_GB2312" w:cs="楷体_GB2312"/>
          <w:b/>
          <w:color w:val="auto"/>
          <w:sz w:val="32"/>
          <w:szCs w:val="32"/>
          <w:highlight w:val="none"/>
        </w:rPr>
        <w:t>（一）机关运行经费支出情况</w:t>
      </w:r>
      <w:bookmarkEnd w:id="40"/>
    </w:p>
    <w:p w14:paraId="37B6CCF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红原县龙日镇卫生院</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年度增加/减少**万元，增长/下降**%（或与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77D7238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6F3C4E5">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3"/>
      <w:r>
        <w:rPr>
          <w:rFonts w:hint="eastAsia" w:ascii="Times New Roman" w:hAnsi="Times New Roman" w:eastAsia="楷体_GB2312" w:cs="楷体_GB2312"/>
          <w:b/>
          <w:color w:val="auto"/>
          <w:sz w:val="32"/>
          <w:szCs w:val="32"/>
          <w:highlight w:val="none"/>
        </w:rPr>
        <w:t>（二）政府采购支出情况</w:t>
      </w:r>
      <w:bookmarkEnd w:id="41"/>
    </w:p>
    <w:p w14:paraId="0A538F7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红原县龙日镇卫生院</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14:paraId="1B60FF1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CB5E0AC">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4"/>
      <w:r>
        <w:rPr>
          <w:rFonts w:hint="eastAsia" w:ascii="Times New Roman" w:hAnsi="Times New Roman" w:eastAsia="楷体_GB2312" w:cs="楷体_GB2312"/>
          <w:b/>
          <w:color w:val="auto"/>
          <w:sz w:val="32"/>
          <w:szCs w:val="32"/>
          <w:highlight w:val="none"/>
        </w:rPr>
        <w:t>（三）国有资产占有使用情况</w:t>
      </w:r>
      <w:bookmarkEnd w:id="42"/>
    </w:p>
    <w:p w14:paraId="50DF567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红原县龙日镇卫生院</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eastAsia="仿宋_GB2312" w:cs="仿宋_GB2312"/>
          <w:color w:val="auto"/>
          <w:kern w:val="2"/>
          <w:sz w:val="32"/>
          <w:szCs w:val="32"/>
          <w:highlight w:val="none"/>
          <w:lang w:val="en-US" w:eastAsia="zh-CN" w:bidi="ar-SA"/>
        </w:rPr>
        <w:t>巡诊义诊及出诊转运本人。</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14:paraId="73AFEC4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DEBD3AE">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3002A9DC">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sz w:val="32"/>
          <w:szCs w:val="32"/>
        </w:rPr>
      </w:pPr>
      <w:bookmarkStart w:id="43" w:name="_Toc15396613"/>
      <w:bookmarkStart w:id="44" w:name="_Toc15377225"/>
      <w:r>
        <w:rPr>
          <w:rFonts w:hint="eastAsia" w:ascii="仿宋" w:hAnsi="仿宋" w:eastAsia="仿宋" w:cs="仿宋"/>
          <w:sz w:val="32"/>
          <w:szCs w:val="32"/>
        </w:rPr>
        <w:t>根据预算绩效管理要求，本单位在年初预算编制阶段，组织对</w:t>
      </w:r>
      <w:r>
        <w:rPr>
          <w:rFonts w:hint="eastAsia" w:ascii="仿宋" w:hAnsi="仿宋" w:eastAsia="仿宋" w:cs="仿宋"/>
          <w:sz w:val="32"/>
          <w:szCs w:val="32"/>
          <w:lang w:val="en-US" w:eastAsia="zh-CN"/>
        </w:rPr>
        <w:t>1个</w:t>
      </w:r>
      <w:r>
        <w:rPr>
          <w:rFonts w:hint="eastAsia" w:ascii="仿宋" w:hAnsi="仿宋" w:eastAsia="仿宋" w:cs="仿宋"/>
          <w:sz w:val="32"/>
          <w:szCs w:val="32"/>
        </w:rPr>
        <w:t>项目（项目</w:t>
      </w:r>
      <w:r>
        <w:rPr>
          <w:rFonts w:hint="eastAsia" w:ascii="仿宋" w:hAnsi="仿宋" w:eastAsia="仿宋" w:cs="仿宋"/>
          <w:sz w:val="32"/>
          <w:szCs w:val="32"/>
          <w:lang w:eastAsia="zh-CN"/>
        </w:rPr>
        <w:t>：基本公共卫生</w:t>
      </w:r>
      <w:r>
        <w:rPr>
          <w:rFonts w:hint="eastAsia" w:ascii="仿宋" w:hAnsi="仿宋" w:eastAsia="仿宋" w:cs="仿宋"/>
          <w:sz w:val="32"/>
          <w:szCs w:val="32"/>
        </w:rPr>
        <w:t>）开展了预算事前绩效评估，对</w:t>
      </w:r>
      <w:r>
        <w:rPr>
          <w:rFonts w:hint="eastAsia" w:ascii="仿宋" w:hAnsi="仿宋" w:eastAsia="仿宋" w:cs="仿宋"/>
          <w:sz w:val="32"/>
          <w:szCs w:val="32"/>
          <w:lang w:val="en-US" w:eastAsia="zh-CN"/>
        </w:rPr>
        <w:t>1</w:t>
      </w:r>
      <w:r>
        <w:rPr>
          <w:rFonts w:hint="eastAsia" w:ascii="仿宋" w:hAnsi="仿宋" w:eastAsia="仿宋" w:cs="仿宋"/>
          <w:sz w:val="32"/>
          <w:szCs w:val="32"/>
        </w:rPr>
        <w:t>个项目编制了绩效目标，预算执行过程中，选取</w:t>
      </w:r>
      <w:r>
        <w:rPr>
          <w:rFonts w:hint="eastAsia" w:ascii="仿宋" w:hAnsi="仿宋" w:eastAsia="仿宋" w:cs="仿宋"/>
          <w:sz w:val="32"/>
          <w:szCs w:val="32"/>
          <w:lang w:val="en-US" w:eastAsia="zh-CN"/>
        </w:rPr>
        <w:t>1</w:t>
      </w:r>
      <w:r>
        <w:rPr>
          <w:rFonts w:hint="eastAsia" w:ascii="仿宋" w:hAnsi="仿宋" w:eastAsia="仿宋" w:cs="仿宋"/>
          <w:sz w:val="32"/>
          <w:szCs w:val="32"/>
        </w:rPr>
        <w:t>个项目开展绩效监控，年终执行完毕后，对</w:t>
      </w:r>
      <w:r>
        <w:rPr>
          <w:rFonts w:hint="eastAsia" w:ascii="仿宋" w:hAnsi="仿宋" w:eastAsia="仿宋" w:cs="仿宋"/>
          <w:sz w:val="32"/>
          <w:szCs w:val="32"/>
          <w:lang w:val="en-US" w:eastAsia="zh-CN"/>
        </w:rPr>
        <w:t>1</w:t>
      </w:r>
      <w:r>
        <w:rPr>
          <w:rFonts w:hint="eastAsia" w:ascii="仿宋" w:hAnsi="仿宋" w:eastAsia="仿宋" w:cs="仿宋"/>
          <w:sz w:val="32"/>
          <w:szCs w:val="32"/>
        </w:rPr>
        <w:t>个项目开展了绩效目标完成情况自评。</w:t>
      </w:r>
    </w:p>
    <w:p w14:paraId="1628414D">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本部门按要求对20</w:t>
      </w:r>
      <w:r>
        <w:rPr>
          <w:rFonts w:hint="eastAsia" w:ascii="仿宋" w:hAnsi="仿宋" w:eastAsia="仿宋" w:cs="仿宋"/>
          <w:sz w:val="32"/>
          <w:szCs w:val="32"/>
          <w:lang w:val="en-US" w:eastAsia="zh-CN"/>
        </w:rPr>
        <w:t>25</w:t>
      </w:r>
      <w:r>
        <w:rPr>
          <w:rFonts w:hint="eastAsia" w:ascii="仿宋" w:hAnsi="仿宋" w:eastAsia="仿宋" w:cs="仿宋"/>
          <w:sz w:val="32"/>
          <w:szCs w:val="32"/>
        </w:rPr>
        <w:t>年</w:t>
      </w:r>
      <w:r>
        <w:rPr>
          <w:rFonts w:hint="eastAsia" w:ascii="仿宋" w:hAnsi="仿宋" w:eastAsia="仿宋" w:cs="仿宋"/>
          <w:sz w:val="32"/>
          <w:szCs w:val="32"/>
          <w:lang w:eastAsia="zh-CN"/>
        </w:rPr>
        <w:t>单位</w:t>
      </w:r>
      <w:r>
        <w:rPr>
          <w:rFonts w:hint="eastAsia" w:ascii="仿宋" w:hAnsi="仿宋" w:eastAsia="仿宋" w:cs="仿宋"/>
          <w:sz w:val="32"/>
          <w:szCs w:val="32"/>
        </w:rPr>
        <w:t>整体支出开展绩效自评，从评价情况来看</w:t>
      </w:r>
      <w:r>
        <w:rPr>
          <w:rFonts w:hint="eastAsia" w:ascii="仿宋" w:hAnsi="仿宋" w:eastAsia="仿宋" w:cs="仿宋"/>
          <w:sz w:val="32"/>
          <w:szCs w:val="32"/>
          <w:lang w:eastAsia="zh-CN"/>
        </w:rPr>
        <w:t>该项目完成情况良好</w:t>
      </w:r>
      <w:r>
        <w:rPr>
          <w:rFonts w:hint="eastAsia" w:ascii="仿宋" w:hAnsi="仿宋" w:eastAsia="仿宋" w:cs="仿宋"/>
          <w:sz w:val="32"/>
          <w:szCs w:val="32"/>
        </w:rPr>
        <w:t>。本部门还自行组织了</w:t>
      </w:r>
      <w:r>
        <w:rPr>
          <w:rFonts w:hint="eastAsia" w:ascii="仿宋" w:hAnsi="仿宋" w:eastAsia="仿宋" w:cs="仿宋"/>
          <w:sz w:val="32"/>
          <w:szCs w:val="32"/>
          <w:lang w:val="en-US" w:eastAsia="zh-CN"/>
        </w:rPr>
        <w:t>1</w:t>
      </w:r>
      <w:r>
        <w:rPr>
          <w:rFonts w:hint="eastAsia" w:ascii="仿宋" w:hAnsi="仿宋" w:eastAsia="仿宋" w:cs="仿宋"/>
          <w:sz w:val="32"/>
          <w:szCs w:val="32"/>
        </w:rPr>
        <w:t>个项目支出绩效评价</w:t>
      </w:r>
      <w:r>
        <w:rPr>
          <w:rFonts w:hint="eastAsia" w:ascii="仿宋" w:hAnsi="仿宋" w:eastAsia="仿宋" w:cs="仿宋"/>
          <w:sz w:val="32"/>
          <w:szCs w:val="32"/>
          <w:lang w:val="en-US" w:eastAsia="zh-CN"/>
        </w:rPr>
        <w:t>:</w:t>
      </w:r>
      <w:r>
        <w:rPr>
          <w:rFonts w:hint="eastAsia" w:ascii="仿宋" w:hAnsi="仿宋" w:eastAsia="仿宋" w:cs="仿宋"/>
          <w:sz w:val="32"/>
          <w:szCs w:val="32"/>
          <w:lang w:eastAsia="zh-CN"/>
        </w:rPr>
        <w:t>协助开展突发公共卫生事件应急调查和处置工作，承担区域内公共卫生相关信息的收集和报告</w:t>
      </w:r>
      <w:r>
        <w:rPr>
          <w:rFonts w:hint="eastAsia" w:ascii="仿宋" w:hAnsi="仿宋" w:eastAsia="仿宋" w:cs="仿宋"/>
          <w:sz w:val="32"/>
          <w:szCs w:val="32"/>
        </w:rPr>
        <w:t>）。</w:t>
      </w:r>
    </w:p>
    <w:p w14:paraId="6698CAFC">
      <w:pPr>
        <w:numPr>
          <w:ilvl w:val="0"/>
          <w:numId w:val="3"/>
        </w:numPr>
        <w:rPr>
          <w:rFonts w:hint="eastAsia" w:ascii="仿宋" w:hAnsi="仿宋" w:eastAsia="仿宋" w:cs="仿宋"/>
          <w:sz w:val="32"/>
          <w:szCs w:val="32"/>
          <w:lang w:eastAsia="zh-CN"/>
        </w:rPr>
      </w:pPr>
      <w:r>
        <w:rPr>
          <w:rFonts w:hint="eastAsia" w:ascii="仿宋" w:hAnsi="仿宋" w:eastAsia="仿宋" w:cs="仿宋"/>
          <w:sz w:val="32"/>
          <w:szCs w:val="32"/>
        </w:rPr>
        <w:t>项目绩效目标完成情况。</w:t>
      </w:r>
      <w:r>
        <w:rPr>
          <w:rFonts w:hint="eastAsia" w:ascii="仿宋" w:hAnsi="仿宋" w:eastAsia="仿宋" w:cs="仿宋"/>
          <w:sz w:val="32"/>
          <w:szCs w:val="32"/>
        </w:rPr>
        <w:br w:type="textWrapping"/>
      </w:r>
      <w:r>
        <w:rPr>
          <w:rFonts w:hint="eastAsia" w:ascii="仿宋" w:hAnsi="仿宋" w:eastAsia="仿宋" w:cs="仿宋"/>
          <w:sz w:val="32"/>
          <w:szCs w:val="32"/>
        </w:rPr>
        <w:t xml:space="preserve">    本部门在20</w:t>
      </w:r>
      <w:r>
        <w:rPr>
          <w:rFonts w:hint="eastAsia" w:ascii="仿宋" w:hAnsi="仿宋" w:eastAsia="仿宋" w:cs="仿宋"/>
          <w:sz w:val="32"/>
          <w:szCs w:val="32"/>
          <w:lang w:val="en-US" w:eastAsia="zh-CN"/>
        </w:rPr>
        <w:t>25</w:t>
      </w:r>
      <w:r>
        <w:rPr>
          <w:rFonts w:hint="eastAsia" w:ascii="仿宋" w:hAnsi="仿宋" w:eastAsia="仿宋" w:cs="仿宋"/>
          <w:sz w:val="32"/>
          <w:szCs w:val="32"/>
        </w:rPr>
        <w:t>年度</w:t>
      </w:r>
      <w:r>
        <w:rPr>
          <w:rFonts w:hint="eastAsia" w:ascii="仿宋" w:hAnsi="仿宋" w:eastAsia="仿宋" w:cs="仿宋"/>
          <w:sz w:val="32"/>
          <w:szCs w:val="32"/>
          <w:lang w:eastAsia="zh-CN"/>
        </w:rPr>
        <w:t>单位</w:t>
      </w:r>
      <w:r>
        <w:rPr>
          <w:rFonts w:hint="eastAsia" w:ascii="仿宋" w:hAnsi="仿宋" w:eastAsia="仿宋" w:cs="仿宋"/>
          <w:sz w:val="32"/>
          <w:szCs w:val="32"/>
        </w:rPr>
        <w:t>决算中反映</w:t>
      </w:r>
      <w:r>
        <w:rPr>
          <w:rFonts w:hint="eastAsia" w:ascii="仿宋" w:hAnsi="仿宋" w:eastAsia="仿宋" w:cs="仿宋"/>
          <w:sz w:val="32"/>
          <w:szCs w:val="32"/>
          <w:lang w:eastAsia="zh-CN"/>
        </w:rPr>
        <w:t>基本公共卫生</w:t>
      </w:r>
      <w:r>
        <w:rPr>
          <w:rFonts w:hint="eastAsia" w:ascii="仿宋" w:hAnsi="仿宋" w:eastAsia="仿宋" w:cs="仿宋"/>
          <w:sz w:val="32"/>
          <w:szCs w:val="32"/>
          <w:lang w:val="en-US" w:eastAsia="zh-CN"/>
        </w:rPr>
        <w:t>1</w:t>
      </w:r>
      <w:r>
        <w:rPr>
          <w:rFonts w:hint="eastAsia" w:ascii="仿宋" w:hAnsi="仿宋" w:eastAsia="仿宋" w:cs="仿宋"/>
          <w:sz w:val="32"/>
          <w:szCs w:val="32"/>
        </w:rPr>
        <w:t>个项目绩效目标实际完成情况。）。</w:t>
      </w:r>
      <w:r>
        <w:rPr>
          <w:rFonts w:hint="eastAsia" w:ascii="仿宋" w:hAnsi="仿宋" w:eastAsia="仿宋" w:cs="仿宋"/>
          <w:sz w:val="32"/>
          <w:szCs w:val="32"/>
          <w:lang w:eastAsia="zh-CN"/>
        </w:rPr>
        <w:t>基本公共卫生</w:t>
      </w:r>
      <w:r>
        <w:rPr>
          <w:rFonts w:hint="eastAsia" w:ascii="仿宋" w:hAnsi="仿宋" w:eastAsia="仿宋" w:cs="仿宋"/>
          <w:sz w:val="32"/>
          <w:szCs w:val="32"/>
        </w:rPr>
        <w:t>项目绩效目标完成情况综述。项目全年预算数</w:t>
      </w:r>
      <w:r>
        <w:rPr>
          <w:rFonts w:hint="eastAsia" w:ascii="仿宋" w:hAnsi="仿宋" w:eastAsia="仿宋" w:cs="仿宋"/>
          <w:sz w:val="32"/>
          <w:szCs w:val="32"/>
          <w:lang w:val="en-US" w:eastAsia="zh-CN"/>
        </w:rPr>
        <w:t>1.65</w:t>
      </w:r>
      <w:r>
        <w:rPr>
          <w:rFonts w:hint="eastAsia" w:ascii="仿宋" w:hAnsi="仿宋" w:eastAsia="仿宋" w:cs="仿宋"/>
          <w:sz w:val="32"/>
          <w:szCs w:val="32"/>
        </w:rPr>
        <w:t>万元，执行数为</w:t>
      </w:r>
      <w:r>
        <w:rPr>
          <w:rFonts w:hint="eastAsia" w:ascii="仿宋" w:hAnsi="仿宋" w:eastAsia="仿宋" w:cs="仿宋"/>
          <w:sz w:val="32"/>
          <w:szCs w:val="32"/>
          <w:lang w:val="en-US" w:eastAsia="zh-CN"/>
        </w:rPr>
        <w:t>1.65</w:t>
      </w:r>
      <w:r>
        <w:rPr>
          <w:rFonts w:hint="eastAsia" w:ascii="仿宋" w:hAnsi="仿宋" w:eastAsia="仿宋" w:cs="仿宋"/>
          <w:sz w:val="32"/>
          <w:szCs w:val="32"/>
        </w:rPr>
        <w:t>万元，完成预算的</w:t>
      </w:r>
      <w:r>
        <w:rPr>
          <w:rFonts w:hint="eastAsia" w:ascii="仿宋" w:hAnsi="仿宋" w:eastAsia="仿宋" w:cs="仿宋"/>
          <w:color w:val="auto"/>
          <w:sz w:val="32"/>
          <w:szCs w:val="32"/>
          <w:highlight w:val="none"/>
          <w:lang w:val="en-US" w:eastAsia="zh-CN"/>
        </w:rPr>
        <w:t>100</w:t>
      </w:r>
      <w:r>
        <w:rPr>
          <w:rFonts w:hint="eastAsia" w:ascii="仿宋" w:hAnsi="仿宋" w:eastAsia="仿宋" w:cs="仿宋"/>
          <w:color w:val="auto"/>
          <w:sz w:val="32"/>
          <w:szCs w:val="32"/>
          <w:highlight w:val="none"/>
        </w:rPr>
        <w:t>%</w:t>
      </w:r>
      <w:r>
        <w:rPr>
          <w:rFonts w:hint="eastAsia" w:ascii="仿宋" w:hAnsi="仿宋" w:eastAsia="仿宋" w:cs="仿宋"/>
          <w:sz w:val="32"/>
          <w:szCs w:val="32"/>
        </w:rPr>
        <w:t>。通过项目实施，保障</w:t>
      </w:r>
      <w:r>
        <w:rPr>
          <w:rFonts w:hint="eastAsia" w:ascii="仿宋" w:hAnsi="仿宋" w:eastAsia="仿宋" w:cs="仿宋"/>
          <w:sz w:val="32"/>
          <w:szCs w:val="32"/>
          <w:lang w:eastAsia="zh-CN"/>
        </w:rPr>
        <w:t>辖区内居民基本公共卫生服务。</w:t>
      </w:r>
    </w:p>
    <w:tbl>
      <w:tblPr>
        <w:tblStyle w:val="16"/>
        <w:tblW w:w="8345" w:type="dxa"/>
        <w:jc w:val="center"/>
        <w:tblCellSpacing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21"/>
        <w:gridCol w:w="854"/>
        <w:gridCol w:w="1113"/>
        <w:gridCol w:w="1701"/>
        <w:gridCol w:w="1978"/>
        <w:gridCol w:w="1978"/>
      </w:tblGrid>
      <w:tr w14:paraId="31D9EA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8345" w:type="dxa"/>
            <w:gridSpan w:val="6"/>
            <w:vAlign w:val="center"/>
          </w:tcPr>
          <w:p w14:paraId="43E4B6A0">
            <w:pPr>
              <w:pStyle w:val="15"/>
              <w:keepNext w:val="0"/>
              <w:keepLines w:val="0"/>
              <w:widowControl/>
              <w:suppressLineNumbers w:val="0"/>
              <w:jc w:val="left"/>
              <w:rPr>
                <w:rFonts w:hint="eastAsia" w:ascii="仿宋" w:hAnsi="仿宋" w:eastAsia="仿宋" w:cs="仿宋"/>
                <w:sz w:val="32"/>
                <w:szCs w:val="32"/>
              </w:rPr>
            </w:pPr>
            <w:r>
              <w:rPr>
                <w:rStyle w:val="18"/>
                <w:rFonts w:hint="eastAsia" w:ascii="仿宋" w:hAnsi="仿宋" w:eastAsia="仿宋" w:cs="仿宋"/>
                <w:sz w:val="32"/>
                <w:szCs w:val="32"/>
              </w:rPr>
              <w:t xml:space="preserve">项目绩效目标完成情况表 </w:t>
            </w:r>
            <w:r>
              <w:rPr>
                <w:rFonts w:hint="eastAsia" w:ascii="仿宋" w:hAnsi="仿宋" w:eastAsia="仿宋" w:cs="仿宋"/>
                <w:sz w:val="32"/>
                <w:szCs w:val="32"/>
              </w:rPr>
              <w:t>(202</w:t>
            </w:r>
            <w:r>
              <w:rPr>
                <w:rFonts w:hint="eastAsia" w:ascii="仿宋" w:hAnsi="仿宋" w:eastAsia="仿宋" w:cs="仿宋"/>
                <w:sz w:val="32"/>
                <w:szCs w:val="32"/>
                <w:lang w:val="en-US" w:eastAsia="zh-CN"/>
              </w:rPr>
              <w:t>5</w:t>
            </w:r>
            <w:r>
              <w:rPr>
                <w:rFonts w:hint="eastAsia" w:ascii="仿宋" w:hAnsi="仿宋" w:eastAsia="仿宋" w:cs="仿宋"/>
                <w:sz w:val="32"/>
                <w:szCs w:val="32"/>
              </w:rPr>
              <w:t>年度)</w:t>
            </w:r>
          </w:p>
        </w:tc>
      </w:tr>
      <w:tr w14:paraId="68F976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2688" w:type="dxa"/>
            <w:gridSpan w:val="3"/>
            <w:vAlign w:val="center"/>
          </w:tcPr>
          <w:p w14:paraId="001C7691">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项目名称</w:t>
            </w:r>
          </w:p>
        </w:tc>
        <w:tc>
          <w:tcPr>
            <w:tcW w:w="5657" w:type="dxa"/>
            <w:gridSpan w:val="3"/>
            <w:vAlign w:val="center"/>
          </w:tcPr>
          <w:p w14:paraId="66D4CBF8">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val="en-US" w:eastAsia="zh-CN"/>
              </w:rPr>
              <w:t>基本公共卫生服务</w:t>
            </w:r>
          </w:p>
        </w:tc>
      </w:tr>
      <w:tr w14:paraId="205A77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2688" w:type="dxa"/>
            <w:gridSpan w:val="3"/>
            <w:vAlign w:val="center"/>
          </w:tcPr>
          <w:p w14:paraId="33448586">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预算单位</w:t>
            </w:r>
          </w:p>
        </w:tc>
        <w:tc>
          <w:tcPr>
            <w:tcW w:w="5657" w:type="dxa"/>
            <w:gridSpan w:val="3"/>
            <w:vAlign w:val="center"/>
          </w:tcPr>
          <w:p w14:paraId="3CBC8DC0">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val="en-US" w:eastAsia="zh-CN"/>
              </w:rPr>
              <w:t>红原县龙日镇卫生院</w:t>
            </w:r>
          </w:p>
        </w:tc>
      </w:tr>
      <w:tr w14:paraId="06671FB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287F0D1E">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预算执行情况(万元)</w:t>
            </w:r>
          </w:p>
        </w:tc>
        <w:tc>
          <w:tcPr>
            <w:tcW w:w="1967" w:type="dxa"/>
            <w:gridSpan w:val="2"/>
            <w:vAlign w:val="center"/>
          </w:tcPr>
          <w:p w14:paraId="415941EA">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预算数:</w:t>
            </w:r>
          </w:p>
        </w:tc>
        <w:tc>
          <w:tcPr>
            <w:tcW w:w="1701" w:type="dxa"/>
            <w:vAlign w:val="center"/>
          </w:tcPr>
          <w:p w14:paraId="74B4C457">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1.65</w:t>
            </w:r>
          </w:p>
        </w:tc>
        <w:tc>
          <w:tcPr>
            <w:tcW w:w="1978" w:type="dxa"/>
            <w:vAlign w:val="center"/>
          </w:tcPr>
          <w:p w14:paraId="40D91DE9">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执行数:</w:t>
            </w:r>
          </w:p>
        </w:tc>
        <w:tc>
          <w:tcPr>
            <w:tcW w:w="1978" w:type="dxa"/>
            <w:vAlign w:val="center"/>
          </w:tcPr>
          <w:p w14:paraId="42354013">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1.65</w:t>
            </w:r>
          </w:p>
        </w:tc>
      </w:tr>
      <w:tr w14:paraId="06FE4E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424BB301">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67" w:type="dxa"/>
            <w:gridSpan w:val="2"/>
            <w:vAlign w:val="center"/>
          </w:tcPr>
          <w:p w14:paraId="1B1B03F3">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其中-财政拨款:</w:t>
            </w:r>
          </w:p>
        </w:tc>
        <w:tc>
          <w:tcPr>
            <w:tcW w:w="1701" w:type="dxa"/>
            <w:vAlign w:val="center"/>
          </w:tcPr>
          <w:p w14:paraId="2DD6679C">
            <w:pPr>
              <w:keepNext w:val="0"/>
              <w:keepLines w:val="0"/>
              <w:widowControl/>
              <w:suppressLineNumbers w:val="0"/>
              <w:tabs>
                <w:tab w:val="center" w:pos="835"/>
              </w:tabs>
              <w:jc w:val="lef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1.65</w:t>
            </w:r>
          </w:p>
        </w:tc>
        <w:tc>
          <w:tcPr>
            <w:tcW w:w="1978" w:type="dxa"/>
            <w:vAlign w:val="center"/>
          </w:tcPr>
          <w:p w14:paraId="30510FA8">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其中-财政拨款:</w:t>
            </w:r>
          </w:p>
        </w:tc>
        <w:tc>
          <w:tcPr>
            <w:tcW w:w="1978" w:type="dxa"/>
            <w:vAlign w:val="center"/>
          </w:tcPr>
          <w:p w14:paraId="784CFE85">
            <w:pPr>
              <w:keepNext w:val="0"/>
              <w:keepLines w:val="0"/>
              <w:widowControl/>
              <w:suppressLineNumbers w:val="0"/>
              <w:jc w:val="left"/>
              <w:rPr>
                <w:rFonts w:hint="default"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1.65</w:t>
            </w:r>
          </w:p>
        </w:tc>
      </w:tr>
      <w:tr w14:paraId="77E36F7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7F6EA81F">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67" w:type="dxa"/>
            <w:gridSpan w:val="2"/>
            <w:vAlign w:val="center"/>
          </w:tcPr>
          <w:p w14:paraId="2D81A9DB">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其它资金:</w:t>
            </w:r>
          </w:p>
        </w:tc>
        <w:tc>
          <w:tcPr>
            <w:tcW w:w="1701" w:type="dxa"/>
            <w:vAlign w:val="center"/>
          </w:tcPr>
          <w:p w14:paraId="76E0E21C">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无</w:t>
            </w:r>
          </w:p>
        </w:tc>
        <w:tc>
          <w:tcPr>
            <w:tcW w:w="1978" w:type="dxa"/>
            <w:vAlign w:val="center"/>
          </w:tcPr>
          <w:p w14:paraId="504DFCFD">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其它资金:</w:t>
            </w:r>
          </w:p>
        </w:tc>
        <w:tc>
          <w:tcPr>
            <w:tcW w:w="1978" w:type="dxa"/>
            <w:vAlign w:val="center"/>
          </w:tcPr>
          <w:p w14:paraId="01DCB281">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无</w:t>
            </w:r>
          </w:p>
        </w:tc>
      </w:tr>
      <w:tr w14:paraId="620EF07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33C7D21A">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年度目标完成情况</w:t>
            </w:r>
          </w:p>
        </w:tc>
        <w:tc>
          <w:tcPr>
            <w:tcW w:w="3668" w:type="dxa"/>
            <w:gridSpan w:val="3"/>
            <w:vAlign w:val="center"/>
          </w:tcPr>
          <w:p w14:paraId="0F641146">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预期目标</w:t>
            </w:r>
          </w:p>
        </w:tc>
        <w:tc>
          <w:tcPr>
            <w:tcW w:w="3956" w:type="dxa"/>
            <w:gridSpan w:val="2"/>
            <w:vAlign w:val="center"/>
          </w:tcPr>
          <w:p w14:paraId="1DAC45E4">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实际完成目标</w:t>
            </w:r>
          </w:p>
        </w:tc>
      </w:tr>
      <w:tr w14:paraId="58D64A2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2B4038BD">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3668" w:type="dxa"/>
            <w:gridSpan w:val="3"/>
            <w:vAlign w:val="center"/>
          </w:tcPr>
          <w:p w14:paraId="44D618FD">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3956" w:type="dxa"/>
            <w:gridSpan w:val="2"/>
            <w:vAlign w:val="center"/>
          </w:tcPr>
          <w:p w14:paraId="4CC9525E">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000000"/>
                <w:sz w:val="32"/>
                <w:szCs w:val="32"/>
                <w:lang w:eastAsia="zh-CN"/>
              </w:rPr>
              <w:t>开展辖区内的基本公卫服务项目（年老患者、慢性病防治、妇幼等公卫项目）</w:t>
            </w:r>
          </w:p>
        </w:tc>
      </w:tr>
      <w:tr w14:paraId="45D5E9A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15" w:hRule="atLeast"/>
          <w:tblCellSpacing w:w="0" w:type="dxa"/>
          <w:jc w:val="center"/>
        </w:trPr>
        <w:tc>
          <w:tcPr>
            <w:tcW w:w="721" w:type="dxa"/>
            <w:vAlign w:val="center"/>
          </w:tcPr>
          <w:p w14:paraId="39C85759">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绩效指标完成情况</w:t>
            </w:r>
          </w:p>
        </w:tc>
        <w:tc>
          <w:tcPr>
            <w:tcW w:w="854" w:type="dxa"/>
            <w:vAlign w:val="center"/>
          </w:tcPr>
          <w:p w14:paraId="4CE2FEDC">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一级指标</w:t>
            </w:r>
          </w:p>
        </w:tc>
        <w:tc>
          <w:tcPr>
            <w:tcW w:w="1113" w:type="dxa"/>
            <w:vAlign w:val="center"/>
          </w:tcPr>
          <w:p w14:paraId="7415E1A1">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二级指标</w:t>
            </w:r>
          </w:p>
        </w:tc>
        <w:tc>
          <w:tcPr>
            <w:tcW w:w="1701" w:type="dxa"/>
            <w:vAlign w:val="center"/>
          </w:tcPr>
          <w:p w14:paraId="5844FDD4">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三级指标</w:t>
            </w:r>
          </w:p>
        </w:tc>
        <w:tc>
          <w:tcPr>
            <w:tcW w:w="1978" w:type="dxa"/>
            <w:vAlign w:val="center"/>
          </w:tcPr>
          <w:p w14:paraId="3514422E">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预期指标值(包含数字及文字描述)</w:t>
            </w:r>
          </w:p>
        </w:tc>
        <w:tc>
          <w:tcPr>
            <w:tcW w:w="1978" w:type="dxa"/>
            <w:vAlign w:val="center"/>
          </w:tcPr>
          <w:p w14:paraId="08F54225">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实际完成指标值(包含数字及文字描述)</w:t>
            </w:r>
          </w:p>
        </w:tc>
      </w:tr>
      <w:tr w14:paraId="6BAD23A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68F4620B">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58257A3E">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31C7437B">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绩效目标</w:t>
            </w:r>
          </w:p>
        </w:tc>
        <w:tc>
          <w:tcPr>
            <w:tcW w:w="1701" w:type="dxa"/>
            <w:vAlign w:val="center"/>
          </w:tcPr>
          <w:p w14:paraId="7C67E7AA">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目标内容</w:t>
            </w:r>
          </w:p>
        </w:tc>
        <w:tc>
          <w:tcPr>
            <w:tcW w:w="1978" w:type="dxa"/>
            <w:vAlign w:val="center"/>
          </w:tcPr>
          <w:p w14:paraId="69C82708">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2D99B1C2">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tc>
      </w:tr>
      <w:tr w14:paraId="65695F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477BFFCC">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5DDD89FF">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587A3381">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进度计划</w:t>
            </w:r>
          </w:p>
        </w:tc>
        <w:tc>
          <w:tcPr>
            <w:tcW w:w="1701" w:type="dxa"/>
            <w:vAlign w:val="center"/>
          </w:tcPr>
          <w:p w14:paraId="7BF5C720">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项目计划实施进度明确</w:t>
            </w:r>
          </w:p>
        </w:tc>
        <w:tc>
          <w:tcPr>
            <w:tcW w:w="1978" w:type="dxa"/>
            <w:vAlign w:val="center"/>
          </w:tcPr>
          <w:p w14:paraId="0255C91E">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05E446DA">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明确</w:t>
            </w:r>
          </w:p>
        </w:tc>
      </w:tr>
      <w:tr w14:paraId="0626E2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1FD787A1">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5B608732">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782EA009">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目标匹配</w:t>
            </w:r>
          </w:p>
        </w:tc>
        <w:tc>
          <w:tcPr>
            <w:tcW w:w="1701" w:type="dxa"/>
            <w:vAlign w:val="center"/>
          </w:tcPr>
          <w:p w14:paraId="3F137AED">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12C0BD4B">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1789DB1F">
            <w:pPr>
              <w:keepNext w:val="0"/>
              <w:keepLines w:val="0"/>
              <w:widowControl/>
              <w:suppressLineNumbers w:val="0"/>
              <w:jc w:val="left"/>
              <w:rPr>
                <w:rFonts w:hint="eastAsia" w:ascii="仿宋" w:hAnsi="仿宋" w:eastAsia="仿宋" w:cs="仿宋"/>
                <w:sz w:val="32"/>
                <w:szCs w:val="32"/>
                <w:lang w:val="en-US" w:eastAsia="zh-CN"/>
              </w:rPr>
            </w:pPr>
            <w:r>
              <w:rPr>
                <w:rFonts w:hint="eastAsia" w:ascii="仿宋" w:hAnsi="仿宋" w:eastAsia="仿宋" w:cs="仿宋"/>
                <w:sz w:val="32"/>
                <w:szCs w:val="32"/>
              </w:rPr>
              <w:t> </w:t>
            </w:r>
            <w:r>
              <w:rPr>
                <w:rFonts w:hint="eastAsia" w:ascii="仿宋" w:hAnsi="仿宋" w:eastAsia="仿宋" w:cs="仿宋"/>
                <w:sz w:val="32"/>
                <w:szCs w:val="32"/>
                <w:lang w:val="en-US" w:eastAsia="zh-CN"/>
              </w:rPr>
              <w:t>1</w:t>
            </w:r>
          </w:p>
        </w:tc>
      </w:tr>
      <w:tr w14:paraId="1277DAF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5B0C23E7">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4D26F188">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0B3D8AA6">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政策依据</w:t>
            </w:r>
          </w:p>
        </w:tc>
        <w:tc>
          <w:tcPr>
            <w:tcW w:w="1701" w:type="dxa"/>
            <w:vAlign w:val="center"/>
          </w:tcPr>
          <w:p w14:paraId="6CBB57CD">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604F6154">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27A7A184">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符合</w:t>
            </w:r>
          </w:p>
        </w:tc>
      </w:tr>
      <w:tr w14:paraId="0C0A17A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48D3FEEF">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76EC235E">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项目完成指标</w:t>
            </w:r>
          </w:p>
        </w:tc>
        <w:tc>
          <w:tcPr>
            <w:tcW w:w="1113" w:type="dxa"/>
            <w:vAlign w:val="center"/>
          </w:tcPr>
          <w:p w14:paraId="41363067">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14:paraId="75B7E8AC">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797DEE0F">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76209989">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14:paraId="3682FFD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55A86E87">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6FF0C78D">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w:t>
            </w:r>
          </w:p>
        </w:tc>
        <w:tc>
          <w:tcPr>
            <w:tcW w:w="1113" w:type="dxa"/>
            <w:vAlign w:val="center"/>
          </w:tcPr>
          <w:p w14:paraId="3B535ECE">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14:paraId="302B2EC3">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1613D5D5">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75AB8162">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14:paraId="3714B28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7EE134D4">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3A6CF06F">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效益指标</w:t>
            </w:r>
          </w:p>
        </w:tc>
        <w:tc>
          <w:tcPr>
            <w:tcW w:w="1113" w:type="dxa"/>
            <w:vAlign w:val="center"/>
          </w:tcPr>
          <w:p w14:paraId="6E6C8F1F">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完成数量</w:t>
            </w:r>
          </w:p>
        </w:tc>
        <w:tc>
          <w:tcPr>
            <w:tcW w:w="1701" w:type="dxa"/>
            <w:vAlign w:val="center"/>
          </w:tcPr>
          <w:p w14:paraId="6F0B902A">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实际完成任务量/绩效目标设定任务量×100%</w:t>
            </w:r>
          </w:p>
        </w:tc>
        <w:tc>
          <w:tcPr>
            <w:tcW w:w="1978" w:type="dxa"/>
            <w:vAlign w:val="center"/>
          </w:tcPr>
          <w:p w14:paraId="706FEF07">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100%</w:t>
            </w:r>
          </w:p>
        </w:tc>
        <w:tc>
          <w:tcPr>
            <w:tcW w:w="1978" w:type="dxa"/>
            <w:vAlign w:val="center"/>
          </w:tcPr>
          <w:p w14:paraId="66808671">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100%</w:t>
            </w:r>
          </w:p>
        </w:tc>
      </w:tr>
      <w:tr w14:paraId="5203124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5586754D">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4F5215C0">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效益指标</w:t>
            </w:r>
          </w:p>
        </w:tc>
        <w:tc>
          <w:tcPr>
            <w:tcW w:w="1113" w:type="dxa"/>
            <w:vAlign w:val="center"/>
          </w:tcPr>
          <w:p w14:paraId="05C6B3FA">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完成质量</w:t>
            </w:r>
          </w:p>
        </w:tc>
        <w:tc>
          <w:tcPr>
            <w:tcW w:w="1701" w:type="dxa"/>
            <w:vAlign w:val="center"/>
          </w:tcPr>
          <w:p w14:paraId="72201528">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符合绩效目标设定的验收标准，达到行业基准水平</w:t>
            </w:r>
          </w:p>
        </w:tc>
        <w:tc>
          <w:tcPr>
            <w:tcW w:w="1978" w:type="dxa"/>
            <w:vAlign w:val="center"/>
          </w:tcPr>
          <w:p w14:paraId="31F029DE">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w:t>
            </w:r>
          </w:p>
        </w:tc>
        <w:tc>
          <w:tcPr>
            <w:tcW w:w="1978" w:type="dxa"/>
            <w:vAlign w:val="center"/>
          </w:tcPr>
          <w:p w14:paraId="2DB87664">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符合</w:t>
            </w:r>
          </w:p>
        </w:tc>
      </w:tr>
      <w:tr w14:paraId="07AE5DC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6EF01759">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5DCA451A">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w:t>
            </w:r>
          </w:p>
        </w:tc>
        <w:tc>
          <w:tcPr>
            <w:tcW w:w="1113" w:type="dxa"/>
            <w:vAlign w:val="center"/>
          </w:tcPr>
          <w:p w14:paraId="309CACA8">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701" w:type="dxa"/>
            <w:vAlign w:val="center"/>
          </w:tcPr>
          <w:p w14:paraId="75D69C1F">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152D69A5">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1978" w:type="dxa"/>
            <w:vAlign w:val="center"/>
          </w:tcPr>
          <w:p w14:paraId="1A407E7C">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r>
      <w:tr w14:paraId="5A36A3F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jc w:val="center"/>
        </w:trPr>
        <w:tc>
          <w:tcPr>
            <w:tcW w:w="721" w:type="dxa"/>
            <w:vAlign w:val="center"/>
          </w:tcPr>
          <w:p w14:paraId="54E817F6">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p>
        </w:tc>
        <w:tc>
          <w:tcPr>
            <w:tcW w:w="854" w:type="dxa"/>
            <w:vAlign w:val="center"/>
          </w:tcPr>
          <w:p w14:paraId="7AFF7581">
            <w:pPr>
              <w:pStyle w:val="15"/>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满意度指标</w:t>
            </w:r>
          </w:p>
        </w:tc>
        <w:tc>
          <w:tcPr>
            <w:tcW w:w="1113" w:type="dxa"/>
            <w:vAlign w:val="center"/>
          </w:tcPr>
          <w:p w14:paraId="35F3272A">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服务对象满意度</w:t>
            </w:r>
          </w:p>
        </w:tc>
        <w:tc>
          <w:tcPr>
            <w:tcW w:w="1701" w:type="dxa"/>
            <w:vAlign w:val="center"/>
          </w:tcPr>
          <w:p w14:paraId="4CA596E8">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kern w:val="0"/>
                <w:sz w:val="32"/>
                <w:szCs w:val="32"/>
                <w:highlight w:val="none"/>
                <w:u w:val="none"/>
                <w:lang w:val="en-US" w:eastAsia="zh-CN" w:bidi="ar"/>
              </w:rPr>
              <w:t>反映服务对象或项目受益人对相关产出及其影响的认可程度，根据项目实际细化具体指标。</w:t>
            </w:r>
          </w:p>
        </w:tc>
        <w:tc>
          <w:tcPr>
            <w:tcW w:w="1978" w:type="dxa"/>
            <w:vAlign w:val="center"/>
          </w:tcPr>
          <w:p w14:paraId="05A307D4">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群众满意度高</w:t>
            </w:r>
          </w:p>
        </w:tc>
        <w:tc>
          <w:tcPr>
            <w:tcW w:w="1978" w:type="dxa"/>
            <w:vAlign w:val="center"/>
          </w:tcPr>
          <w:p w14:paraId="62C6DF40">
            <w:pPr>
              <w:keepNext w:val="0"/>
              <w:keepLines w:val="0"/>
              <w:widowControl/>
              <w:suppressLineNumbers w:val="0"/>
              <w:jc w:val="left"/>
              <w:rPr>
                <w:rFonts w:hint="eastAsia" w:ascii="仿宋" w:hAnsi="仿宋" w:eastAsia="仿宋" w:cs="仿宋"/>
                <w:sz w:val="32"/>
                <w:szCs w:val="32"/>
              </w:rPr>
            </w:pPr>
            <w:r>
              <w:rPr>
                <w:rFonts w:hint="eastAsia" w:ascii="仿宋" w:hAnsi="仿宋" w:eastAsia="仿宋" w:cs="仿宋"/>
                <w:sz w:val="32"/>
                <w:szCs w:val="32"/>
              </w:rPr>
              <w:t> </w:t>
            </w:r>
            <w:r>
              <w:rPr>
                <w:rFonts w:hint="eastAsia" w:ascii="仿宋" w:hAnsi="仿宋" w:eastAsia="仿宋" w:cs="仿宋"/>
                <w:i w:val="0"/>
                <w:color w:val="auto"/>
                <w:sz w:val="32"/>
                <w:szCs w:val="32"/>
                <w:highlight w:val="none"/>
                <w:u w:val="none"/>
                <w:lang w:eastAsia="zh-CN"/>
              </w:rPr>
              <w:t>群众满意度高</w:t>
            </w:r>
          </w:p>
        </w:tc>
      </w:tr>
    </w:tbl>
    <w:p w14:paraId="05D75383">
      <w:pPr>
        <w:spacing w:line="600" w:lineRule="exact"/>
        <w:ind w:firstLine="640"/>
        <w:rPr>
          <w:rFonts w:hint="eastAsia" w:ascii="仿宋" w:hAnsi="仿宋" w:eastAsia="仿宋" w:cs="仿宋"/>
          <w:color w:val="auto"/>
          <w:kern w:val="2"/>
          <w:sz w:val="32"/>
          <w:szCs w:val="32"/>
          <w:highlight w:val="none"/>
          <w:lang w:val="en-US" w:eastAsia="zh-CN" w:bidi="ar-SA"/>
        </w:rPr>
      </w:pPr>
    </w:p>
    <w:p w14:paraId="222E7630">
      <w:pPr>
        <w:numPr>
          <w:ilvl w:val="0"/>
          <w:numId w:val="0"/>
        </w:numPr>
        <w:spacing w:line="600" w:lineRule="exact"/>
        <w:jc w:val="center"/>
        <w:outlineLvl w:val="0"/>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3"/>
      <w:bookmarkEnd w:id="44"/>
    </w:p>
    <w:p w14:paraId="1A41D25D">
      <w:pPr>
        <w:spacing w:line="600" w:lineRule="exact"/>
        <w:jc w:val="left"/>
        <w:rPr>
          <w:rFonts w:ascii="Times New Roman" w:hAnsi="Times New Roman"/>
          <w:b/>
          <w:color w:val="auto"/>
          <w:sz w:val="44"/>
          <w:szCs w:val="44"/>
          <w:highlight w:val="none"/>
        </w:rPr>
      </w:pPr>
    </w:p>
    <w:p w14:paraId="73162E2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.事业收入：指事业单位开展专业业务活动及辅助活动取得的收入。如</w:t>
      </w:r>
      <w:r>
        <w:rPr>
          <w:rFonts w:hint="eastAsia" w:eastAsia="仿宋_GB2312" w:cs="仿宋_GB2312"/>
          <w:color w:val="auto"/>
          <w:kern w:val="2"/>
          <w:sz w:val="32"/>
          <w:szCs w:val="32"/>
          <w:highlight w:val="none"/>
          <w:lang w:val="en-US" w:eastAsia="zh-CN" w:bidi="ar-SA"/>
        </w:rPr>
        <w:t>开展门诊诊疗活动</w:t>
      </w:r>
      <w:r>
        <w:rPr>
          <w:rFonts w:hint="eastAsia" w:ascii="Times New Roman" w:hAnsi="Times New Roman" w:eastAsia="仿宋_GB2312" w:cs="仿宋_GB2312"/>
          <w:color w:val="auto"/>
          <w:kern w:val="2"/>
          <w:sz w:val="32"/>
          <w:szCs w:val="32"/>
          <w:highlight w:val="none"/>
          <w:lang w:val="en-US" w:eastAsia="zh-CN" w:bidi="ar-SA"/>
        </w:rPr>
        <w:t>等。</w:t>
      </w:r>
    </w:p>
    <w:p w14:paraId="077A6B0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2.财政拨款收入：指单位从同级财政部门取得的财政预算资金。</w:t>
      </w:r>
    </w:p>
    <w:p w14:paraId="1881A49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3.其他收入：指单位取得的除上述收入以外的各项收入。主要是</w:t>
      </w:r>
      <w:r>
        <w:rPr>
          <w:rFonts w:hint="eastAsia" w:eastAsia="仿宋_GB2312" w:cs="仿宋_GB2312"/>
          <w:color w:val="auto"/>
          <w:kern w:val="2"/>
          <w:sz w:val="32"/>
          <w:szCs w:val="32"/>
          <w:highlight w:val="none"/>
          <w:lang w:val="en-US" w:eastAsia="zh-CN" w:bidi="ar-SA"/>
        </w:rPr>
        <w:t>上级部门下拨收入</w:t>
      </w:r>
      <w:r>
        <w:rPr>
          <w:rFonts w:hint="eastAsia" w:ascii="Times New Roman" w:hAnsi="Times New Roman" w:eastAsia="仿宋_GB2312" w:cs="仿宋_GB2312"/>
          <w:color w:val="auto"/>
          <w:kern w:val="2"/>
          <w:sz w:val="32"/>
          <w:szCs w:val="32"/>
          <w:highlight w:val="none"/>
          <w:lang w:val="en-US" w:eastAsia="zh-CN" w:bidi="ar-SA"/>
        </w:rPr>
        <w:t xml:space="preserve">等。 </w:t>
      </w:r>
    </w:p>
    <w:p w14:paraId="3D9DAF63">
      <w:pPr>
        <w:pStyle w:val="2"/>
        <w:rPr>
          <w:rFonts w:hint="eastAsia"/>
          <w:lang w:val="en-US" w:eastAsia="zh-CN"/>
        </w:rPr>
      </w:pPr>
    </w:p>
    <w:p w14:paraId="5805E82C">
      <w:pPr>
        <w:ind w:firstLine="640" w:firstLineChars="20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4.社会保障和就业</w:t>
      </w:r>
      <w:r>
        <w:rPr>
          <w:rFonts w:hint="eastAsia"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机关事业单位职业年金缴费及本养老保险缴费支出</w:t>
      </w:r>
      <w:r>
        <w:rPr>
          <w:rFonts w:hint="eastAsia" w:ascii="仿宋" w:hAnsi="仿宋" w:eastAsia="仿宋" w:cs="仿宋"/>
          <w:color w:val="000000"/>
          <w:sz w:val="32"/>
          <w:szCs w:val="32"/>
        </w:rPr>
        <w:t>。</w:t>
      </w:r>
    </w:p>
    <w:p w14:paraId="02863D47">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.卫生健康：指</w:t>
      </w:r>
      <w:r>
        <w:rPr>
          <w:rFonts w:hint="eastAsia" w:eastAsia="仿宋_GB2312" w:cs="仿宋_GB2312"/>
          <w:color w:val="auto"/>
          <w:kern w:val="2"/>
          <w:sz w:val="32"/>
          <w:szCs w:val="32"/>
          <w:highlight w:val="none"/>
          <w:lang w:val="en-US" w:eastAsia="zh-CN" w:bidi="ar-SA"/>
        </w:rPr>
        <w:t>基层医疗卫生健康支出。</w:t>
      </w:r>
    </w:p>
    <w:p w14:paraId="04BC9A40">
      <w:pPr>
        <w:spacing w:line="600" w:lineRule="exact"/>
        <w:ind w:firstLine="640"/>
        <w:rPr>
          <w:rFonts w:hint="eastAsia" w:ascii="仿宋" w:hAnsi="仿宋" w:eastAsia="仿宋" w:cs="仿宋"/>
          <w:color w:val="000000"/>
          <w:sz w:val="32"/>
          <w:szCs w:val="32"/>
          <w:lang w:eastAsia="zh-CN"/>
        </w:rPr>
      </w:pPr>
      <w:r>
        <w:rPr>
          <w:rFonts w:hint="eastAsia" w:eastAsia="仿宋_GB2312" w:cs="仿宋_GB2312"/>
          <w:color w:val="auto"/>
          <w:kern w:val="2"/>
          <w:sz w:val="32"/>
          <w:szCs w:val="32"/>
          <w:highlight w:val="none"/>
          <w:lang w:val="en-US" w:eastAsia="zh-CN" w:bidi="ar-SA"/>
        </w:rPr>
        <w:t>6</w:t>
      </w:r>
      <w:r>
        <w:rPr>
          <w:rFonts w:hint="eastAsia" w:ascii="Times New Roman" w:hAnsi="Times New Roman" w:eastAsia="仿宋_GB2312" w:cs="仿宋_GB2312"/>
          <w:color w:val="auto"/>
          <w:kern w:val="2"/>
          <w:sz w:val="32"/>
          <w:szCs w:val="32"/>
          <w:highlight w:val="none"/>
          <w:lang w:val="en-US" w:eastAsia="zh-CN" w:bidi="ar-SA"/>
        </w:rPr>
        <w:t>.住房保障（类）</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机关事业单位住房保障支出。</w:t>
      </w:r>
    </w:p>
    <w:p w14:paraId="6C8B62F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.基本支出：指为保障机构正常运转、完成日常工作任务而发生的人员支出和公用支出。</w:t>
      </w:r>
    </w:p>
    <w:p w14:paraId="2D1556A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8.</w:t>
      </w:r>
      <w:r>
        <w:rPr>
          <w:rFonts w:hint="eastAsia" w:ascii="Times New Roman" w:hAnsi="Times New Roman" w:eastAsia="仿宋_GB2312" w:cs="仿宋_GB2312"/>
          <w:color w:val="auto"/>
          <w:kern w:val="2"/>
          <w:sz w:val="32"/>
          <w:szCs w:val="32"/>
          <w:highlight w:val="none"/>
          <w:lang w:val="en-US" w:eastAsia="zh-CN" w:bidi="ar-SA"/>
        </w:rPr>
        <w:t xml:space="preserve">项目支出：指在基本支出之外为完成特定行政任务和事业发展目标所发生的支出。 </w:t>
      </w:r>
    </w:p>
    <w:p w14:paraId="042BA814">
      <w:pPr>
        <w:pStyle w:val="2"/>
        <w:rPr>
          <w:rFonts w:hint="eastAsia"/>
          <w:lang w:val="en-US" w:eastAsia="zh-CN"/>
        </w:rPr>
      </w:pPr>
    </w:p>
    <w:p w14:paraId="091D99F1">
      <w:pPr>
        <w:spacing w:line="600" w:lineRule="exact"/>
        <w:jc w:val="center"/>
        <w:rPr>
          <w:rFonts w:hint="eastAsia" w:ascii="Times New Roman" w:hAnsi="Times New Roman" w:eastAsia="黑体"/>
          <w:color w:val="auto"/>
          <w:sz w:val="44"/>
          <w:szCs w:val="44"/>
          <w:highlight w:val="none"/>
        </w:rPr>
      </w:pPr>
      <w:bookmarkStart w:id="45" w:name="_Toc15396614"/>
      <w:bookmarkStart w:id="46" w:name="_Toc15377226"/>
    </w:p>
    <w:p w14:paraId="09134678">
      <w:pPr>
        <w:spacing w:line="600" w:lineRule="exact"/>
        <w:jc w:val="center"/>
        <w:rPr>
          <w:rFonts w:hint="eastAsia" w:ascii="Times New Roman" w:hAnsi="Times New Roman" w:eastAsia="黑体"/>
          <w:color w:val="auto"/>
          <w:sz w:val="44"/>
          <w:szCs w:val="44"/>
          <w:highlight w:val="none"/>
        </w:rPr>
      </w:pPr>
    </w:p>
    <w:p w14:paraId="41799D5C">
      <w:pPr>
        <w:spacing w:line="600" w:lineRule="exact"/>
        <w:jc w:val="center"/>
        <w:rPr>
          <w:rFonts w:hint="eastAsia" w:ascii="Times New Roman" w:hAnsi="Times New Roman" w:eastAsia="黑体"/>
          <w:color w:val="auto"/>
          <w:sz w:val="44"/>
          <w:szCs w:val="44"/>
          <w:highlight w:val="none"/>
        </w:rPr>
      </w:pPr>
    </w:p>
    <w:p w14:paraId="2CA7C745">
      <w:pPr>
        <w:spacing w:line="600" w:lineRule="exact"/>
        <w:jc w:val="center"/>
        <w:rPr>
          <w:rStyle w:val="29"/>
          <w:rFonts w:hint="eastAsia" w:ascii="Times New Roman" w:hAnsi="Times New Roman" w:eastAsia="黑体"/>
          <w:b w:val="0"/>
          <w:color w:val="auto"/>
          <w:highlight w:val="none"/>
          <w:lang w:eastAsia="zh-CN"/>
        </w:rPr>
      </w:pPr>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5"/>
    </w:p>
    <w:p w14:paraId="3C49840D">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14:paraId="60A4D35F">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14:paraId="669AFFE9">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14:paraId="2DED9DA9">
      <w:pPr>
        <w:pStyle w:val="15"/>
        <w:keepNext w:val="0"/>
        <w:keepLines w:val="0"/>
        <w:widowControl/>
        <w:suppressLineNumbers w:val="0"/>
        <w:spacing w:before="0" w:beforeAutospacing="0"/>
        <w:ind w:left="0"/>
        <w:jc w:val="center"/>
        <w:rPr>
          <w:rFonts w:hint="eastAsia" w:ascii="仿宋" w:hAnsi="仿宋" w:eastAsia="仿宋" w:cs="仿宋"/>
          <w:sz w:val="32"/>
          <w:szCs w:val="32"/>
        </w:rPr>
      </w:pPr>
      <w:r>
        <w:rPr>
          <w:rFonts w:hint="eastAsia" w:ascii="仿宋" w:hAnsi="仿宋" w:eastAsia="仿宋" w:cs="仿宋"/>
          <w:sz w:val="32"/>
          <w:szCs w:val="32"/>
          <w:shd w:val="clear" w:color="auto" w:fill="FFFFFF"/>
        </w:rPr>
        <w:t> </w:t>
      </w:r>
      <w:r>
        <w:rPr>
          <w:rFonts w:hint="eastAsia" w:ascii="仿宋" w:hAnsi="仿宋" w:eastAsia="仿宋" w:cs="仿宋"/>
          <w:sz w:val="32"/>
          <w:szCs w:val="32"/>
          <w:shd w:val="clear" w:color="auto" w:fill="FFFFFF"/>
          <w:lang w:val="en-US" w:eastAsia="zh-CN"/>
        </w:rPr>
        <w:t>红原县龙日镇卫生院</w:t>
      </w:r>
      <w:r>
        <w:rPr>
          <w:rFonts w:hint="eastAsia" w:ascii="仿宋" w:hAnsi="仿宋" w:eastAsia="仿宋" w:cs="仿宋"/>
          <w:sz w:val="32"/>
          <w:szCs w:val="32"/>
          <w:shd w:val="clear" w:color="auto" w:fill="FFFFFF"/>
        </w:rPr>
        <w:t>202</w:t>
      </w:r>
      <w:r>
        <w:rPr>
          <w:rFonts w:hint="eastAsia" w:ascii="仿宋" w:hAnsi="仿宋" w:eastAsia="仿宋" w:cs="仿宋"/>
          <w:sz w:val="32"/>
          <w:szCs w:val="32"/>
          <w:shd w:val="clear" w:color="auto" w:fill="FFFFFF"/>
          <w:lang w:val="en-US" w:eastAsia="zh-CN"/>
        </w:rPr>
        <w:t>5</w:t>
      </w:r>
      <w:r>
        <w:rPr>
          <w:rFonts w:hint="eastAsia" w:ascii="仿宋" w:hAnsi="仿宋" w:eastAsia="仿宋" w:cs="仿宋"/>
          <w:sz w:val="32"/>
          <w:szCs w:val="32"/>
          <w:shd w:val="clear" w:color="auto" w:fill="FFFFFF"/>
        </w:rPr>
        <w:t>年</w:t>
      </w:r>
      <w:r>
        <w:rPr>
          <w:rFonts w:hint="eastAsia" w:ascii="仿宋" w:hAnsi="仿宋" w:eastAsia="仿宋" w:cs="仿宋"/>
          <w:sz w:val="32"/>
          <w:szCs w:val="32"/>
          <w:lang w:eastAsia="zh-CN"/>
        </w:rPr>
        <w:t>单位</w:t>
      </w:r>
      <w:r>
        <w:rPr>
          <w:rFonts w:hint="eastAsia" w:ascii="仿宋" w:hAnsi="仿宋" w:eastAsia="仿宋" w:cs="仿宋"/>
          <w:sz w:val="32"/>
          <w:szCs w:val="32"/>
          <w:shd w:val="clear" w:color="auto" w:fill="FFFFFF"/>
        </w:rPr>
        <w:t>整体支出绩效评价报告</w:t>
      </w:r>
    </w:p>
    <w:p w14:paraId="07F1D576">
      <w:pPr>
        <w:pStyle w:val="15"/>
        <w:keepNext w:val="0"/>
        <w:keepLines w:val="0"/>
        <w:widowControl/>
        <w:numPr>
          <w:ilvl w:val="0"/>
          <w:numId w:val="4"/>
        </w:numPr>
        <w:suppressLineNumbers w:val="0"/>
        <w:spacing w:before="0" w:beforeAutospacing="0"/>
        <w:ind w:left="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部门（单位）概况</w:t>
      </w:r>
    </w:p>
    <w:p w14:paraId="2D39F14A">
      <w:pPr>
        <w:pStyle w:val="15"/>
        <w:keepNext w:val="0"/>
        <w:keepLines w:val="0"/>
        <w:widowControl/>
        <w:numPr>
          <w:ilvl w:val="0"/>
          <w:numId w:val="5"/>
        </w:numPr>
        <w:suppressLineNumbers w:val="0"/>
        <w:spacing w:before="0" w:beforeAutospacing="0"/>
        <w:ind w:right="0" w:rightChars="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机构组成。</w:t>
      </w:r>
    </w:p>
    <w:p w14:paraId="451270A6">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zh-CN" w:eastAsia="zh-CN" w:bidi="ar"/>
        </w:rPr>
        <w:t>我单位为独立核算全额拨款事业单位，下设</w:t>
      </w:r>
      <w:r>
        <w:rPr>
          <w:rFonts w:hint="eastAsia" w:ascii="仿宋" w:hAnsi="仿宋" w:eastAsia="仿宋" w:cs="仿宋"/>
          <w:color w:val="000000"/>
          <w:kern w:val="0"/>
          <w:sz w:val="32"/>
          <w:szCs w:val="32"/>
          <w:lang w:val="en-US" w:eastAsia="zh-CN" w:bidi="ar"/>
        </w:rPr>
        <w:t>1机构。</w:t>
      </w:r>
    </w:p>
    <w:p w14:paraId="474F93F5">
      <w:pPr>
        <w:pStyle w:val="15"/>
        <w:keepNext w:val="0"/>
        <w:keepLines w:val="0"/>
        <w:widowControl/>
        <w:numPr>
          <w:ilvl w:val="0"/>
          <w:numId w:val="5"/>
        </w:numPr>
        <w:suppressLineNumbers w:val="0"/>
        <w:spacing w:before="0" w:beforeAutospacing="0"/>
        <w:ind w:left="0" w:leftChars="0" w:right="0" w:rightChars="0" w:firstLine="0" w:firstLineChars="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机构职能。</w:t>
      </w:r>
    </w:p>
    <w:p w14:paraId="00C2F469">
      <w:pPr>
        <w:pStyle w:val="15"/>
        <w:keepNext w:val="0"/>
        <w:keepLines w:val="0"/>
        <w:widowControl/>
        <w:numPr>
          <w:ilvl w:val="0"/>
          <w:numId w:val="0"/>
        </w:numPr>
        <w:suppressLineNumbers w:val="0"/>
        <w:spacing w:before="0" w:beforeAutospacing="0"/>
        <w:ind w:leftChars="0" w:right="0" w:rightChars="0" w:firstLine="640" w:firstLineChars="200"/>
        <w:jc w:val="left"/>
        <w:rPr>
          <w:rFonts w:hint="eastAsia" w:ascii="仿宋" w:hAnsi="仿宋" w:eastAsia="仿宋" w:cs="仿宋"/>
          <w:sz w:val="32"/>
          <w:szCs w:val="32"/>
          <w:lang w:eastAsia="zh-CN"/>
        </w:rPr>
      </w:pPr>
      <w:r>
        <w:rPr>
          <w:rFonts w:hint="eastAsia" w:ascii="仿宋" w:hAnsi="仿宋" w:eastAsia="仿宋" w:cs="仿宋"/>
          <w:sz w:val="32"/>
          <w:szCs w:val="32"/>
          <w:lang w:eastAsia="zh-CN"/>
        </w:rPr>
        <w:t>宣传贯彻党和政府的各项医疗卫生方针政策，协助政府实施农村医改工作；提供基本医疗服务，开展农村常见病、多发病以及诊断明确的慢性非传染性疾病的诊疗、护理；贯彻落实国家基本药物制度，使用基本药物；实行网上统一采购、统一配送的基本药物采购机制；实施基本药物零差率销售；协助开展突发公共卫生事件应急调查和处置工作，承担区域内公共卫生相关信息的收集和报告。对所属行政村卫生室实行一体化管理，承担对村卫生室和乡村医生的业务管理和指导。协助做好区域内食品卫生、饮用水卫生、化共场所卫生、职业卫生等爱国卫生工作；协助做好新型农村合作医疗工作；提供基本公共卫生服务，包括建立居民健康档案、健康档案、预防接种、传染病防治、高血压糖尿病等慢性病管理、重性精神疾病管理、儿童保健、孕产妇保健、老年人保健等；协助处置突发公共卫生事件。</w:t>
      </w:r>
    </w:p>
    <w:p w14:paraId="762E8E78">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三</w:t>
      </w:r>
      <w:r>
        <w:rPr>
          <w:rFonts w:hint="eastAsia" w:ascii="仿宋" w:hAnsi="仿宋" w:eastAsia="仿宋" w:cs="仿宋"/>
          <w:color w:val="000000"/>
          <w:kern w:val="0"/>
          <w:sz w:val="32"/>
          <w:szCs w:val="32"/>
          <w:lang w:val="zh-CN" w:eastAsia="zh-CN" w:bidi="ar"/>
        </w:rPr>
        <w:t>）人员概况。</w:t>
      </w:r>
    </w:p>
    <w:p w14:paraId="7B9D5999">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bCs/>
          <w:sz w:val="32"/>
          <w:szCs w:val="32"/>
        </w:rPr>
      </w:pPr>
      <w:r>
        <w:rPr>
          <w:rFonts w:hint="eastAsia" w:ascii="仿宋" w:hAnsi="仿宋" w:eastAsia="仿宋" w:cs="仿宋"/>
          <w:color w:val="000000"/>
          <w:kern w:val="0"/>
          <w:sz w:val="32"/>
          <w:szCs w:val="32"/>
          <w:lang w:val="en-US" w:eastAsia="zh-CN" w:bidi="ar"/>
        </w:rPr>
        <w:t>2025年我院共有编制8个，其中事业编8个，在职8人,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8</w:t>
      </w:r>
      <w:r>
        <w:rPr>
          <w:rFonts w:hint="eastAsia" w:ascii="仿宋" w:hAnsi="仿宋" w:eastAsia="仿宋" w:cs="仿宋"/>
          <w:bCs/>
          <w:sz w:val="32"/>
          <w:szCs w:val="32"/>
        </w:rPr>
        <w:t>人。</w:t>
      </w:r>
    </w:p>
    <w:p w14:paraId="5F39E73D">
      <w:pPr>
        <w:keepNext w:val="0"/>
        <w:keepLines w:val="0"/>
        <w:widowControl/>
        <w:numPr>
          <w:ilvl w:val="0"/>
          <w:numId w:val="0"/>
        </w:numPr>
        <w:suppressLineNumbers w:val="0"/>
        <w:adjustRightInd w:val="0"/>
        <w:snapToGrid w:val="0"/>
        <w:spacing w:before="0" w:beforeAutospacing="0" w:after="0" w:afterAutospacing="0" w:line="480" w:lineRule="exact"/>
        <w:ind w:right="0" w:rightChars="0"/>
        <w:jc w:val="left"/>
        <w:rPr>
          <w:rFonts w:hint="eastAsia" w:ascii="仿宋" w:hAnsi="仿宋" w:eastAsia="仿宋" w:cs="仿宋"/>
          <w:color w:val="000000"/>
          <w:kern w:val="0"/>
          <w:sz w:val="32"/>
          <w:szCs w:val="32"/>
          <w:lang w:val="en-US"/>
        </w:rPr>
      </w:pPr>
      <w:r>
        <w:rPr>
          <w:rFonts w:hint="eastAsia" w:ascii="仿宋" w:hAnsi="仿宋" w:eastAsia="仿宋" w:cs="仿宋"/>
          <w:color w:val="000000"/>
          <w:kern w:val="0"/>
          <w:sz w:val="32"/>
          <w:szCs w:val="32"/>
          <w:lang w:val="en-US" w:eastAsia="zh-CN" w:bidi="ar"/>
        </w:rPr>
        <w:t>二、部门财政资金收支情况</w:t>
      </w:r>
    </w:p>
    <w:p w14:paraId="08EF8A51">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（一）</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财政资金收入情况。</w:t>
      </w:r>
    </w:p>
    <w:p w14:paraId="659AEB1A">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b w:val="0"/>
          <w:color w:val="000000"/>
          <w:sz w:val="32"/>
          <w:szCs w:val="32"/>
          <w:lang w:val="en-US" w:eastAsia="zh-CN"/>
        </w:rPr>
      </w:pPr>
      <w:r>
        <w:rPr>
          <w:rFonts w:hint="eastAsia" w:ascii="仿宋" w:hAnsi="仿宋" w:eastAsia="仿宋" w:cs="仿宋"/>
          <w:b w:val="0"/>
          <w:color w:val="000000"/>
          <w:sz w:val="32"/>
          <w:szCs w:val="32"/>
        </w:rPr>
        <w:t>20</w:t>
      </w:r>
      <w:r>
        <w:rPr>
          <w:rFonts w:hint="eastAsia" w:ascii="仿宋" w:hAnsi="仿宋" w:eastAsia="仿宋" w:cs="仿宋"/>
          <w:b w:val="0"/>
          <w:color w:val="000000"/>
          <w:sz w:val="32"/>
          <w:szCs w:val="32"/>
          <w:lang w:val="en-US" w:eastAsia="zh-CN"/>
        </w:rPr>
        <w:t>25</w:t>
      </w:r>
      <w:r>
        <w:rPr>
          <w:rFonts w:hint="eastAsia" w:ascii="仿宋" w:hAnsi="仿宋" w:eastAsia="仿宋" w:cs="仿宋"/>
          <w:b w:val="0"/>
          <w:color w:val="000000"/>
          <w:sz w:val="32"/>
          <w:szCs w:val="32"/>
        </w:rPr>
        <w:t>年</w:t>
      </w:r>
      <w:r>
        <w:rPr>
          <w:rFonts w:hint="eastAsia" w:ascii="仿宋" w:hAnsi="仿宋" w:eastAsia="仿宋" w:cs="仿宋"/>
          <w:sz w:val="32"/>
          <w:szCs w:val="32"/>
          <w:shd w:val="clear" w:color="auto" w:fill="FFFFFF"/>
          <w:lang w:val="en-US" w:eastAsia="zh-CN"/>
        </w:rPr>
        <w:t>龙日镇</w:t>
      </w:r>
      <w:r>
        <w:rPr>
          <w:rFonts w:hint="eastAsia" w:ascii="仿宋" w:hAnsi="仿宋" w:eastAsia="仿宋" w:cs="仿宋"/>
          <w:b w:val="0"/>
          <w:color w:val="000000"/>
          <w:sz w:val="32"/>
          <w:szCs w:val="32"/>
          <w:lang w:eastAsia="zh-CN"/>
        </w:rPr>
        <w:t>卫生院</w:t>
      </w:r>
      <w:r>
        <w:rPr>
          <w:rFonts w:hint="eastAsia" w:ascii="仿宋" w:hAnsi="仿宋" w:eastAsia="仿宋" w:cs="仿宋"/>
          <w:b w:val="0"/>
          <w:color w:val="000000"/>
          <w:sz w:val="32"/>
          <w:szCs w:val="32"/>
        </w:rPr>
        <w:t>收入合计</w:t>
      </w:r>
      <w:r>
        <w:rPr>
          <w:rFonts w:hint="eastAsia" w:ascii="仿宋" w:hAnsi="仿宋" w:eastAsia="仿宋" w:cs="仿宋"/>
          <w:b w:val="0"/>
          <w:color w:val="000000"/>
          <w:sz w:val="32"/>
          <w:szCs w:val="32"/>
          <w:lang w:val="en-US" w:eastAsia="zh-CN"/>
        </w:rPr>
        <w:t>242.73万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rPr>
        <w:t>，其中：一般公共预算财政拨款收入</w:t>
      </w:r>
      <w:r>
        <w:rPr>
          <w:rFonts w:hint="eastAsia" w:ascii="仿宋" w:hAnsi="仿宋" w:eastAsia="仿宋" w:cs="仿宋"/>
          <w:b w:val="0"/>
          <w:color w:val="000000"/>
          <w:sz w:val="32"/>
          <w:szCs w:val="32"/>
          <w:lang w:val="en-US" w:eastAsia="zh-CN"/>
        </w:rPr>
        <w:t>209.10万</w:t>
      </w:r>
      <w:r>
        <w:rPr>
          <w:rFonts w:hint="eastAsia" w:ascii="仿宋" w:hAnsi="仿宋" w:eastAsia="仿宋" w:cs="仿宋"/>
          <w:b w:val="0"/>
          <w:color w:val="000000"/>
          <w:sz w:val="32"/>
          <w:szCs w:val="32"/>
          <w:lang w:eastAsia="zh-CN"/>
        </w:rPr>
        <w:t>元。</w:t>
      </w:r>
    </w:p>
    <w:p w14:paraId="52C3C3D3">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320" w:firstLineChars="100"/>
        <w:jc w:val="left"/>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二</w:t>
      </w:r>
      <w:r>
        <w:rPr>
          <w:rFonts w:hint="eastAsia" w:ascii="仿宋" w:hAnsi="仿宋" w:eastAsia="仿宋" w:cs="仿宋"/>
          <w:color w:val="000000"/>
          <w:kern w:val="0"/>
          <w:sz w:val="32"/>
          <w:szCs w:val="32"/>
          <w:lang w:val="zh-CN" w:eastAsia="zh-CN" w:bidi="ar"/>
        </w:rPr>
        <w:t>）</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财政资金支出情况。</w:t>
      </w:r>
    </w:p>
    <w:p w14:paraId="298726D4">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b w:val="0"/>
          <w:color w:val="000000"/>
          <w:sz w:val="32"/>
          <w:szCs w:val="32"/>
          <w:lang w:val="en-US" w:eastAsia="zh-CN"/>
        </w:rPr>
      </w:pPr>
      <w:r>
        <w:rPr>
          <w:rFonts w:hint="eastAsia" w:ascii="仿宋" w:hAnsi="仿宋" w:eastAsia="仿宋" w:cs="仿宋"/>
          <w:b w:val="0"/>
          <w:color w:val="000000"/>
          <w:sz w:val="32"/>
          <w:szCs w:val="32"/>
        </w:rPr>
        <w:t>20</w:t>
      </w:r>
      <w:r>
        <w:rPr>
          <w:rFonts w:hint="eastAsia" w:ascii="仿宋" w:hAnsi="仿宋" w:eastAsia="仿宋" w:cs="仿宋"/>
          <w:b w:val="0"/>
          <w:color w:val="000000"/>
          <w:sz w:val="32"/>
          <w:szCs w:val="32"/>
          <w:lang w:val="en-US" w:eastAsia="zh-CN"/>
        </w:rPr>
        <w:t>25</w:t>
      </w:r>
      <w:r>
        <w:rPr>
          <w:rFonts w:hint="eastAsia" w:ascii="仿宋" w:hAnsi="仿宋" w:eastAsia="仿宋" w:cs="仿宋"/>
          <w:b w:val="0"/>
          <w:color w:val="000000"/>
          <w:sz w:val="32"/>
          <w:szCs w:val="32"/>
        </w:rPr>
        <w:t>年</w:t>
      </w:r>
      <w:r>
        <w:rPr>
          <w:rFonts w:hint="eastAsia" w:ascii="仿宋" w:hAnsi="仿宋" w:eastAsia="仿宋" w:cs="仿宋"/>
          <w:sz w:val="32"/>
          <w:szCs w:val="32"/>
          <w:shd w:val="clear" w:color="auto" w:fill="FFFFFF"/>
          <w:lang w:val="en-US" w:eastAsia="zh-CN"/>
        </w:rPr>
        <w:t>龙日镇</w:t>
      </w:r>
      <w:r>
        <w:rPr>
          <w:rFonts w:hint="eastAsia" w:ascii="仿宋" w:hAnsi="仿宋" w:eastAsia="仿宋" w:cs="仿宋"/>
          <w:b w:val="0"/>
          <w:color w:val="000000"/>
          <w:sz w:val="32"/>
          <w:szCs w:val="32"/>
          <w:lang w:eastAsia="zh-CN"/>
        </w:rPr>
        <w:t>卫生院</w:t>
      </w:r>
      <w:r>
        <w:rPr>
          <w:rFonts w:hint="eastAsia" w:ascii="仿宋" w:hAnsi="仿宋" w:eastAsia="仿宋" w:cs="仿宋"/>
          <w:b w:val="0"/>
          <w:color w:val="000000"/>
          <w:sz w:val="32"/>
          <w:szCs w:val="32"/>
        </w:rPr>
        <w:t>支出合计</w:t>
      </w:r>
      <w:r>
        <w:rPr>
          <w:rFonts w:hint="eastAsia" w:ascii="仿宋" w:hAnsi="仿宋" w:eastAsia="仿宋" w:cs="仿宋"/>
          <w:b w:val="0"/>
          <w:color w:val="000000"/>
          <w:sz w:val="32"/>
          <w:szCs w:val="32"/>
          <w:lang w:val="en-US" w:eastAsia="zh-CN"/>
        </w:rPr>
        <w:t>242.73万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rPr>
        <w:t>，其中：基本支出</w:t>
      </w:r>
      <w:r>
        <w:rPr>
          <w:rFonts w:hint="eastAsia" w:ascii="仿宋" w:hAnsi="仿宋" w:eastAsia="仿宋" w:cs="仿宋"/>
          <w:b w:val="0"/>
          <w:color w:val="000000"/>
          <w:sz w:val="32"/>
          <w:szCs w:val="32"/>
          <w:lang w:val="en-US" w:eastAsia="zh-CN"/>
        </w:rPr>
        <w:t>199.94万</w:t>
      </w:r>
      <w:r>
        <w:rPr>
          <w:rFonts w:hint="eastAsia" w:ascii="仿宋" w:hAnsi="仿宋" w:eastAsia="仿宋" w:cs="仿宋"/>
          <w:b w:val="0"/>
          <w:color w:val="000000"/>
          <w:sz w:val="32"/>
          <w:szCs w:val="32"/>
          <w:lang w:eastAsia="zh-CN"/>
        </w:rPr>
        <w:t>元</w:t>
      </w:r>
      <w:r>
        <w:rPr>
          <w:rFonts w:hint="eastAsia" w:ascii="仿宋" w:hAnsi="仿宋" w:eastAsia="仿宋" w:cs="仿宋"/>
          <w:b w:val="0"/>
          <w:color w:val="000000"/>
          <w:sz w:val="32"/>
          <w:szCs w:val="32"/>
          <w:lang w:val="en-US" w:eastAsia="zh-CN"/>
        </w:rPr>
        <w:t>,</w:t>
      </w:r>
      <w:r>
        <w:rPr>
          <w:rFonts w:hint="eastAsia" w:ascii="仿宋" w:hAnsi="仿宋" w:eastAsia="仿宋" w:cs="仿宋"/>
          <w:b w:val="0"/>
          <w:color w:val="000000"/>
          <w:sz w:val="32"/>
          <w:szCs w:val="32"/>
        </w:rPr>
        <w:t>项目支出</w:t>
      </w:r>
      <w:r>
        <w:rPr>
          <w:rFonts w:hint="eastAsia" w:ascii="仿宋" w:hAnsi="仿宋" w:eastAsia="仿宋" w:cs="仿宋"/>
          <w:b w:val="0"/>
          <w:color w:val="000000"/>
          <w:sz w:val="32"/>
          <w:szCs w:val="32"/>
          <w:lang w:val="en-US" w:eastAsia="zh-CN"/>
        </w:rPr>
        <w:t>42.79元。</w:t>
      </w:r>
    </w:p>
    <w:p w14:paraId="7D241A52">
      <w:pPr>
        <w:keepNext w:val="0"/>
        <w:keepLines w:val="0"/>
        <w:widowControl/>
        <w:suppressLineNumbers w:val="0"/>
        <w:adjustRightInd w:val="0"/>
        <w:snapToGrid w:val="0"/>
        <w:spacing w:before="0" w:beforeAutospacing="0" w:after="0" w:afterAutospacing="0" w:line="480" w:lineRule="exact"/>
        <w:ind w:right="0"/>
        <w:jc w:val="left"/>
        <w:rPr>
          <w:rFonts w:hint="eastAsia" w:ascii="仿宋" w:hAnsi="仿宋" w:eastAsia="仿宋" w:cs="仿宋"/>
          <w:color w:val="000000"/>
          <w:kern w:val="0"/>
          <w:sz w:val="32"/>
          <w:szCs w:val="32"/>
          <w:lang w:val="en-US"/>
        </w:rPr>
      </w:pPr>
      <w:r>
        <w:rPr>
          <w:rFonts w:hint="eastAsia" w:ascii="仿宋" w:hAnsi="仿宋" w:eastAsia="仿宋" w:cs="仿宋"/>
          <w:color w:val="000000"/>
          <w:kern w:val="0"/>
          <w:sz w:val="32"/>
          <w:szCs w:val="32"/>
          <w:lang w:val="en-US" w:eastAsia="zh-CN" w:bidi="ar"/>
        </w:rPr>
        <w:t>三、</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en-US" w:eastAsia="zh-CN" w:bidi="ar"/>
        </w:rPr>
        <w:t>整体预算绩效管理情况</w:t>
      </w:r>
    </w:p>
    <w:p w14:paraId="03D6B54B">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（一）</w:t>
      </w:r>
      <w:r>
        <w:rPr>
          <w:rFonts w:hint="eastAsia" w:ascii="仿宋" w:hAnsi="仿宋" w:eastAsia="仿宋" w:cs="仿宋"/>
          <w:sz w:val="32"/>
          <w:szCs w:val="32"/>
          <w:lang w:eastAsia="zh-CN"/>
        </w:rPr>
        <w:t>单位</w:t>
      </w:r>
      <w:r>
        <w:rPr>
          <w:rFonts w:hint="eastAsia" w:ascii="仿宋" w:hAnsi="仿宋" w:eastAsia="仿宋" w:cs="仿宋"/>
          <w:color w:val="000000"/>
          <w:kern w:val="0"/>
          <w:sz w:val="32"/>
          <w:szCs w:val="32"/>
          <w:lang w:val="zh-CN" w:eastAsia="zh-CN" w:bidi="ar"/>
        </w:rPr>
        <w:t>预算</w:t>
      </w:r>
      <w:r>
        <w:rPr>
          <w:rFonts w:hint="eastAsia" w:ascii="仿宋" w:hAnsi="仿宋" w:eastAsia="仿宋" w:cs="仿宋"/>
          <w:color w:val="000000"/>
          <w:kern w:val="0"/>
          <w:sz w:val="32"/>
          <w:szCs w:val="32"/>
          <w:lang w:val="en-US" w:eastAsia="zh-CN" w:bidi="ar"/>
        </w:rPr>
        <w:t>管理</w:t>
      </w:r>
      <w:r>
        <w:rPr>
          <w:rFonts w:hint="eastAsia" w:ascii="仿宋" w:hAnsi="仿宋" w:eastAsia="仿宋" w:cs="仿宋"/>
          <w:color w:val="000000"/>
          <w:kern w:val="0"/>
          <w:sz w:val="32"/>
          <w:szCs w:val="32"/>
          <w:lang w:val="zh-CN" w:eastAsia="zh-CN" w:bidi="ar"/>
        </w:rPr>
        <w:t>。</w:t>
      </w:r>
    </w:p>
    <w:p w14:paraId="19D5838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根据《中华人民共和国预算法》及</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红原县</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财政局印发的《关于</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下达</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2025年</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部门预算的通知》要求，结合本单位实际，按照增收节支、厉行节约、绩效优化的原则，从严从紧编制预算。细化支出预算编制，推进预算信息公开，深化预算绩效管理，提高资金使用效益。</w:t>
      </w:r>
    </w:p>
    <w:p w14:paraId="7EFC229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年预算人员支出对照20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24</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年12月份人员及工资信息编制，日常公用支出按照“经费包干、明细编报”的原则进行编制，重点做好培训费等预算编制。</w:t>
      </w:r>
    </w:p>
    <w:p w14:paraId="4980EE6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对照年初的预算，通过编制部门决算报表，全面、真实、准确的反映了20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年度财政资金的使用情况。</w:t>
      </w:r>
    </w:p>
    <w:p w14:paraId="7CCC7748">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1</w:t>
      </w:r>
      <w:r>
        <w:rPr>
          <w:rFonts w:hint="eastAsia" w:ascii="仿宋" w:hAnsi="仿宋" w:eastAsia="仿宋" w:cs="仿宋"/>
          <w:color w:val="000000"/>
          <w:kern w:val="0"/>
          <w:sz w:val="32"/>
          <w:szCs w:val="32"/>
          <w:lang w:val="zh-CN" w:eastAsia="zh-CN" w:bidi="ar"/>
        </w:rPr>
        <w:t>）执行管理情况。</w:t>
      </w:r>
      <w:r>
        <w:rPr>
          <w:rFonts w:hint="eastAsia" w:ascii="仿宋" w:hAnsi="仿宋" w:eastAsia="仿宋" w:cs="仿宋"/>
          <w:color w:val="000000"/>
          <w:kern w:val="0"/>
          <w:sz w:val="32"/>
          <w:szCs w:val="32"/>
          <w:lang w:val="zh-CN" w:eastAsia="zh-CN" w:bidi="ar"/>
        </w:rPr>
        <w:tab/>
      </w:r>
    </w:p>
    <w:p w14:paraId="3E1A413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本着少花钱、多办事、办好事、遵循有预算才支出的原则，20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年财政预算支出全面落实到位，均按规定的用途支付</w:t>
      </w:r>
    </w:p>
    <w:p w14:paraId="5239166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基本支出，是用于保障本单位正常运转的日常支出，包括基本工资、津贴补贴等人员经费以及办公费、印刷费、水电费、办公设备购置等日常公用经费。</w:t>
      </w:r>
    </w:p>
    <w:p w14:paraId="52527F20">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5"/>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项目支出，是用于保障本单位为完成特定的</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项上</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工作任务</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用于专项业务工作的经费支出。</w:t>
      </w:r>
    </w:p>
    <w:p w14:paraId="044F253F">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left="0" w:right="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我单位</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20</w:t>
      </w:r>
      <w:r>
        <w:rPr>
          <w:rFonts w:hint="eastAsia" w:ascii="仿宋" w:hAnsi="仿宋" w:eastAsia="仿宋" w:cs="仿宋"/>
          <w:b w:val="0"/>
          <w:i w:val="0"/>
          <w:caps w:val="0"/>
          <w:color w:val="000000" w:themeColor="text1"/>
          <w:spacing w:val="0"/>
          <w:sz w:val="32"/>
          <w:szCs w:val="32"/>
          <w:shd w:val="clear" w:fill="FFFFFF"/>
          <w:lang w:val="en-US" w:eastAsia="zh-CN"/>
          <w14:textFill>
            <w14:solidFill>
              <w14:schemeClr w14:val="tx1"/>
            </w14:solidFill>
          </w14:textFill>
        </w:rPr>
        <w:t>25</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年未发生公务出国（境）费用，本着厉行节约的原则，公务用车实行定点加油和维修，使用及维修前报分管领导和主要负责人同意。</w:t>
      </w:r>
    </w:p>
    <w:p w14:paraId="275F944E">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color w:val="000000"/>
          <w:kern w:val="0"/>
          <w:sz w:val="32"/>
          <w:szCs w:val="32"/>
          <w:lang w:val="zh-CN" w:eastAsia="zh-CN" w:bidi="ar"/>
        </w:rPr>
        <w:t>（</w:t>
      </w:r>
      <w:r>
        <w:rPr>
          <w:rFonts w:hint="eastAsia" w:ascii="仿宋" w:hAnsi="仿宋" w:eastAsia="仿宋" w:cs="仿宋"/>
          <w:color w:val="000000"/>
          <w:kern w:val="0"/>
          <w:sz w:val="32"/>
          <w:szCs w:val="32"/>
          <w:lang w:val="en-US" w:eastAsia="zh-CN" w:bidi="ar"/>
        </w:rPr>
        <w:t>2</w:t>
      </w:r>
      <w:r>
        <w:rPr>
          <w:rFonts w:hint="eastAsia" w:ascii="仿宋" w:hAnsi="仿宋" w:eastAsia="仿宋" w:cs="仿宋"/>
          <w:color w:val="000000"/>
          <w:kern w:val="0"/>
          <w:sz w:val="32"/>
          <w:szCs w:val="32"/>
          <w:lang w:val="zh-CN" w:eastAsia="zh-CN" w:bidi="ar"/>
        </w:rPr>
        <w:t>）综合管理情况。</w:t>
      </w:r>
    </w:p>
    <w:p w14:paraId="543329A3">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w:t>
      </w:r>
      <w:r>
        <w:rPr>
          <w:rFonts w:hint="eastAsia" w:ascii="仿宋" w:hAnsi="仿宋" w:eastAsia="仿宋" w:cs="仿宋"/>
          <w:color w:val="000000" w:themeColor="text1"/>
          <w:sz w:val="32"/>
          <w:szCs w:val="32"/>
          <w:lang w:eastAsia="zh-CN"/>
          <w14:textFill>
            <w14:solidFill>
              <w14:schemeClr w14:val="tx1"/>
            </w14:solidFill>
          </w14:textFill>
        </w:rPr>
        <w:t>建立建全内部控制</w:t>
      </w:r>
      <w:r>
        <w:rPr>
          <w:rFonts w:hint="eastAsia" w:ascii="仿宋" w:hAnsi="仿宋" w:eastAsia="仿宋" w:cs="仿宋"/>
          <w:color w:val="000000" w:themeColor="text1"/>
          <w:sz w:val="32"/>
          <w:szCs w:val="32"/>
          <w14:textFill>
            <w14:solidFill>
              <w14:schemeClr w14:val="tx1"/>
            </w14:solidFill>
          </w14:textFill>
        </w:rPr>
        <w:t>制度：我</w:t>
      </w:r>
      <w:r>
        <w:rPr>
          <w:rFonts w:hint="eastAsia" w:ascii="仿宋" w:hAnsi="仿宋" w:eastAsia="仿宋" w:cs="仿宋"/>
          <w:color w:val="000000" w:themeColor="text1"/>
          <w:sz w:val="32"/>
          <w:szCs w:val="32"/>
          <w:lang w:eastAsia="zh-CN"/>
          <w14:textFill>
            <w14:solidFill>
              <w14:schemeClr w14:val="tx1"/>
            </w14:solidFill>
          </w14:textFill>
        </w:rPr>
        <w:t>单位</w:t>
      </w:r>
      <w:r>
        <w:rPr>
          <w:rFonts w:hint="eastAsia" w:ascii="仿宋" w:hAnsi="仿宋" w:eastAsia="仿宋" w:cs="仿宋"/>
          <w:color w:val="000000" w:themeColor="text1"/>
          <w:sz w:val="32"/>
          <w:szCs w:val="32"/>
          <w14:textFill>
            <w14:solidFill>
              <w14:schemeClr w14:val="tx1"/>
            </w14:solidFill>
          </w14:textFill>
        </w:rPr>
        <w:t>加强和规范内部控制，提高内部管理水平和风险防范能力，杜绝违法违纪行为，推进廉政建设，维护社会公众利益，根据《中华人民共和国会计法》、《中华人民共和国预算法》、《行政事业单位内部控制规范》(试行)和其他有关法律法规。</w:t>
      </w:r>
    </w:p>
    <w:p w14:paraId="3FD28150">
      <w:pPr>
        <w:pStyle w:val="15"/>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w:t>
      </w:r>
      <w:r>
        <w:rPr>
          <w:rFonts w:hint="eastAsia" w:ascii="仿宋" w:hAnsi="仿宋" w:eastAsia="仿宋" w:cs="仿宋"/>
          <w:color w:val="000000" w:themeColor="text1"/>
          <w:sz w:val="32"/>
          <w:szCs w:val="32"/>
          <w14:textFill>
            <w14:solidFill>
              <w14:schemeClr w14:val="tx1"/>
            </w14:solidFill>
          </w14:textFill>
        </w:rPr>
        <w:t xml:space="preserve">资金使用合规性：资金支出符合国家财经法规和财务管理制度规定以及有关专项资金管理办法的规定；资金拨付有完整的审批程序和手续；符合部门预算批复的用途；资金使用无截留、挤占、挪用、虚列支出等情况。 </w:t>
      </w:r>
    </w:p>
    <w:p w14:paraId="45A23F65">
      <w:pPr>
        <w:pStyle w:val="15"/>
        <w:keepNext w:val="0"/>
        <w:keepLines w:val="0"/>
        <w:pageBreakBefore w:val="0"/>
        <w:widowControl/>
        <w:suppressLineNumbers w:val="0"/>
        <w:kinsoku/>
        <w:wordWrap/>
        <w:overflowPunct/>
        <w:topLinePunct w:val="0"/>
        <w:autoSpaceDE/>
        <w:autoSpaceDN/>
        <w:bidi w:val="0"/>
        <w:adjustRightInd/>
        <w:spacing w:before="0" w:beforeAutospacing="0" w:after="0" w:afterAutospacing="0" w:line="540" w:lineRule="exact"/>
        <w:ind w:left="0" w:right="0" w:firstLine="640" w:firstLineChars="200"/>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3</w:t>
      </w:r>
      <w:r>
        <w:rPr>
          <w:rFonts w:hint="eastAsia" w:ascii="仿宋" w:hAnsi="仿宋" w:eastAsia="仿宋" w:cs="仿宋"/>
          <w:color w:val="000000" w:themeColor="text1"/>
          <w:sz w:val="32"/>
          <w:szCs w:val="32"/>
          <w:lang w:val="en-US"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预算信息公开：</w:t>
      </w:r>
      <w:r>
        <w:rPr>
          <w:rFonts w:hint="eastAsia" w:ascii="仿宋" w:hAnsi="仿宋" w:eastAsia="仿宋" w:cs="仿宋"/>
          <w:color w:val="000000" w:themeColor="text1"/>
          <w:sz w:val="32"/>
          <w:szCs w:val="32"/>
          <w:lang w:eastAsia="zh-CN"/>
          <w14:textFill>
            <w14:solidFill>
              <w14:schemeClr w14:val="tx1"/>
            </w14:solidFill>
          </w14:textFill>
        </w:rPr>
        <w:t>我单位</w:t>
      </w:r>
      <w:r>
        <w:rPr>
          <w:rFonts w:hint="eastAsia" w:ascii="仿宋" w:hAnsi="仿宋" w:eastAsia="仿宋" w:cs="仿宋"/>
          <w:color w:val="000000" w:themeColor="text1"/>
          <w:sz w:val="32"/>
          <w:szCs w:val="32"/>
          <w14:textFill>
            <w14:solidFill>
              <w14:schemeClr w14:val="tx1"/>
            </w14:solidFill>
          </w14:textFill>
        </w:rPr>
        <w:t xml:space="preserve">按规定内容公开预决算信息；按规定时限公开预决算信息；基础数据信息和会计信息资料真实；基础数据信息和会计信息资料完整；基础数据信息和汇集信息资料准确。 </w:t>
      </w:r>
    </w:p>
    <w:p w14:paraId="42B36FA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4</w:t>
      </w:r>
      <w:r>
        <w:rPr>
          <w:rFonts w:hint="eastAsia" w:ascii="仿宋" w:hAnsi="仿宋" w:eastAsia="仿宋" w:cs="仿宋"/>
          <w:color w:val="000000" w:themeColor="text1"/>
          <w:sz w:val="32"/>
          <w:szCs w:val="32"/>
          <w:lang w:val="en-US"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财务信息完善性：经核对</w:t>
      </w:r>
      <w:r>
        <w:rPr>
          <w:rFonts w:hint="eastAsia" w:ascii="仿宋" w:hAnsi="仿宋" w:eastAsia="仿宋" w:cs="仿宋"/>
          <w:color w:val="000000" w:themeColor="text1"/>
          <w:sz w:val="32"/>
          <w:szCs w:val="32"/>
          <w:lang w:eastAsia="zh-CN"/>
          <w14:textFill>
            <w14:solidFill>
              <w14:schemeClr w14:val="tx1"/>
            </w14:solidFill>
          </w14:textFill>
        </w:rPr>
        <w:t>我单位</w:t>
      </w:r>
      <w:r>
        <w:rPr>
          <w:rFonts w:hint="eastAsia" w:ascii="仿宋" w:hAnsi="仿宋" w:eastAsia="仿宋" w:cs="仿宋"/>
          <w:color w:val="000000" w:themeColor="text1"/>
          <w:sz w:val="32"/>
          <w:szCs w:val="32"/>
          <w14:textFill>
            <w14:solidFill>
              <w14:schemeClr w14:val="tx1"/>
            </w14:solidFill>
          </w14:textFill>
        </w:rPr>
        <w:t>20</w:t>
      </w:r>
      <w:r>
        <w:rPr>
          <w:rFonts w:hint="eastAsia" w:ascii="仿宋" w:hAnsi="仿宋" w:eastAsia="仿宋" w:cs="仿宋"/>
          <w:color w:val="000000" w:themeColor="text1"/>
          <w:sz w:val="32"/>
          <w:szCs w:val="32"/>
          <w:lang w:val="en-US" w:eastAsia="zh-CN"/>
          <w14:textFill>
            <w14:solidFill>
              <w14:schemeClr w14:val="tx1"/>
            </w14:solidFill>
          </w14:textFill>
        </w:rPr>
        <w:t>25</w:t>
      </w:r>
      <w:r>
        <w:rPr>
          <w:rFonts w:hint="eastAsia" w:ascii="仿宋" w:hAnsi="仿宋" w:eastAsia="仿宋" w:cs="仿宋"/>
          <w:color w:val="000000" w:themeColor="text1"/>
          <w:sz w:val="32"/>
          <w:szCs w:val="32"/>
          <w14:textFill>
            <w14:solidFill>
              <w14:schemeClr w14:val="tx1"/>
            </w14:solidFill>
          </w14:textFill>
        </w:rPr>
        <w:t>年度总账、明细账、决算报表，其结果账账、账表相符；财务信息资料真实、完整、准确</w:t>
      </w:r>
      <w:r>
        <w:rPr>
          <w:rFonts w:hint="eastAsia" w:ascii="仿宋" w:hAnsi="仿宋" w:eastAsia="仿宋" w:cs="仿宋"/>
          <w:color w:val="000000" w:themeColor="text1"/>
          <w:sz w:val="32"/>
          <w:szCs w:val="32"/>
          <w:lang w:eastAsia="zh-CN"/>
          <w14:textFill>
            <w14:solidFill>
              <w14:schemeClr w14:val="tx1"/>
            </w14:solidFill>
          </w14:textFill>
        </w:rPr>
        <w:t>。</w:t>
      </w:r>
    </w:p>
    <w:p w14:paraId="74E8725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textAlignment w:val="auto"/>
        <w:rPr>
          <w:rFonts w:hint="eastAsia" w:ascii="仿宋" w:hAnsi="仿宋" w:eastAsia="仿宋" w:cs="仿宋"/>
          <w:b w:val="0"/>
          <w:bCs w:val="0"/>
          <w:i w:val="0"/>
          <w:caps w:val="0"/>
          <w:color w:val="000000" w:themeColor="text1"/>
          <w:spacing w:val="0"/>
          <w:sz w:val="32"/>
          <w:szCs w:val="32"/>
          <w:shd w:val="clear" w:fill="FFFFFF"/>
          <w14:textFill>
            <w14:solidFill>
              <w14:schemeClr w14:val="tx1"/>
            </w14:solidFill>
          </w14:textFill>
        </w:rPr>
      </w:pPr>
      <w:r>
        <w:rPr>
          <w:rFonts w:hint="eastAsia" w:ascii="仿宋" w:hAnsi="仿宋" w:eastAsia="仿宋" w:cs="仿宋"/>
          <w:b w:val="0"/>
          <w:bCs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bCs w:val="0"/>
          <w:i w:val="0"/>
          <w:caps w:val="0"/>
          <w:color w:val="000000" w:themeColor="text1"/>
          <w:spacing w:val="0"/>
          <w:sz w:val="32"/>
          <w:szCs w:val="32"/>
          <w:shd w:val="clear" w:fill="FFFFFF"/>
          <w:lang w:val="en-US" w:eastAsia="zh-CN"/>
          <w14:textFill>
            <w14:solidFill>
              <w14:schemeClr w14:val="tx1"/>
            </w14:solidFill>
          </w14:textFill>
        </w:rPr>
        <w:t>3</w:t>
      </w:r>
      <w:r>
        <w:rPr>
          <w:rFonts w:hint="eastAsia" w:ascii="仿宋" w:hAnsi="仿宋" w:eastAsia="仿宋" w:cs="仿宋"/>
          <w:b w:val="0"/>
          <w:bCs w:val="0"/>
          <w:i w:val="0"/>
          <w:caps w:val="0"/>
          <w:color w:val="000000" w:themeColor="text1"/>
          <w:spacing w:val="0"/>
          <w:sz w:val="32"/>
          <w:szCs w:val="32"/>
          <w:shd w:val="clear" w:fill="FFFFFF"/>
          <w:lang w:eastAsia="zh-CN"/>
          <w14:textFill>
            <w14:solidFill>
              <w14:schemeClr w14:val="tx1"/>
            </w14:solidFill>
          </w14:textFill>
        </w:rPr>
        <w:t>）</w:t>
      </w:r>
      <w:r>
        <w:rPr>
          <w:rFonts w:hint="eastAsia" w:ascii="仿宋" w:hAnsi="仿宋" w:eastAsia="仿宋" w:cs="仿宋"/>
          <w:b w:val="0"/>
          <w:bCs w:val="0"/>
          <w:i w:val="0"/>
          <w:caps w:val="0"/>
          <w:color w:val="000000" w:themeColor="text1"/>
          <w:spacing w:val="0"/>
          <w:sz w:val="32"/>
          <w:szCs w:val="32"/>
          <w:shd w:val="clear" w:fill="FFFFFF"/>
          <w14:textFill>
            <w14:solidFill>
              <w14:schemeClr w14:val="tx1"/>
            </w14:solidFill>
          </w14:textFill>
        </w:rPr>
        <w:t>执行预算制度到位</w:t>
      </w:r>
    </w:p>
    <w:p w14:paraId="35CFE371">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firstLine="640" w:firstLineChars="200"/>
        <w:textAlignment w:val="auto"/>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能够严格执行《预算法》和各项财经纪律，财务管理规范，预算编制合理;二是资金监管到位。经费开支按用途使用合理，做到专帐专管,专款专用；三是人员配备和帐务核算到位。财务人员帐务核算及时规范。</w:t>
      </w:r>
      <w:r>
        <w:rPr>
          <w:rFonts w:hint="eastAsia" w:ascii="仿宋" w:hAnsi="仿宋" w:eastAsia="仿宋" w:cs="仿宋"/>
          <w:color w:val="000000" w:themeColor="text1"/>
          <w:sz w:val="32"/>
          <w:szCs w:val="32"/>
          <w14:textFill>
            <w14:solidFill>
              <w14:schemeClr w14:val="tx1"/>
            </w14:solidFill>
          </w14:textFill>
        </w:rPr>
        <w:t>我单位在财务上进行合理安排和运用，以“认真、严谨、细致”</w:t>
      </w:r>
      <w:r>
        <w:rPr>
          <w:rFonts w:hint="eastAsia" w:ascii="仿宋" w:hAnsi="仿宋" w:eastAsia="仿宋" w:cs="仿宋"/>
          <w:color w:val="000000" w:themeColor="text1"/>
          <w:sz w:val="32"/>
          <w:szCs w:val="32"/>
          <w:lang w:eastAsia="zh-CN"/>
          <w14:textFill>
            <w14:solidFill>
              <w14:schemeClr w14:val="tx1"/>
            </w14:solidFill>
          </w14:textFill>
        </w:rPr>
        <w:t>的</w:t>
      </w:r>
      <w:r>
        <w:rPr>
          <w:rFonts w:hint="eastAsia" w:ascii="仿宋" w:hAnsi="仿宋" w:eastAsia="仿宋" w:cs="仿宋"/>
          <w:color w:val="000000" w:themeColor="text1"/>
          <w:sz w:val="32"/>
          <w:szCs w:val="32"/>
          <w14:textFill>
            <w14:solidFill>
              <w14:schemeClr w14:val="tx1"/>
            </w14:solidFill>
          </w14:textFill>
        </w:rPr>
        <w:t>精神，做好一切财务工作</w:t>
      </w:r>
      <w:r>
        <w:rPr>
          <w:rFonts w:hint="eastAsia" w:ascii="仿宋" w:hAnsi="仿宋" w:eastAsia="仿宋" w:cs="仿宋"/>
          <w:color w:val="000000" w:themeColor="text1"/>
          <w:sz w:val="32"/>
          <w:szCs w:val="32"/>
          <w:lang w:eastAsia="zh-CN"/>
          <w14:textFill>
            <w14:solidFill>
              <w14:schemeClr w14:val="tx1"/>
            </w14:solidFill>
          </w14:textFill>
        </w:rPr>
        <w:t>。</w:t>
      </w:r>
    </w:p>
    <w:p w14:paraId="18BCAF12">
      <w:pPr>
        <w:keepNext w:val="0"/>
        <w:keepLines w:val="0"/>
        <w:pageBreakBefore w:val="0"/>
        <w:kinsoku/>
        <w:wordWrap/>
        <w:overflowPunct/>
        <w:topLinePunct w:val="0"/>
        <w:autoSpaceDE/>
        <w:autoSpaceDN/>
        <w:bidi w:val="0"/>
        <w:adjustRightInd/>
        <w:spacing w:beforeAutospacing="0" w:afterAutospacing="0" w:line="540" w:lineRule="exact"/>
        <w:textAlignment w:val="auto"/>
        <w:rPr>
          <w:rFonts w:hint="eastAsia" w:ascii="仿宋" w:hAnsi="仿宋" w:eastAsia="仿宋" w:cs="仿宋"/>
          <w:b/>
          <w:bCs w:val="0"/>
          <w:color w:val="000000" w:themeColor="text1"/>
          <w:sz w:val="32"/>
          <w:szCs w:val="32"/>
          <w:lang w:eastAsia="zh-CN"/>
          <w14:textFill>
            <w14:solidFill>
              <w14:schemeClr w14:val="tx1"/>
            </w14:solidFill>
          </w14:textFill>
        </w:rPr>
      </w:pPr>
      <w:r>
        <w:rPr>
          <w:rFonts w:hint="eastAsia" w:ascii="仿宋" w:hAnsi="仿宋" w:eastAsia="仿宋" w:cs="仿宋"/>
          <w:color w:val="000000"/>
          <w:kern w:val="0"/>
          <w:sz w:val="32"/>
          <w:szCs w:val="32"/>
          <w:lang w:val="en-US" w:eastAsia="zh-CN" w:bidi="ar"/>
        </w:rPr>
        <w:t xml:space="preserve"> 四、</w:t>
      </w:r>
      <w:r>
        <w:rPr>
          <w:rFonts w:hint="eastAsia" w:ascii="仿宋" w:hAnsi="仿宋" w:eastAsia="仿宋" w:cs="仿宋"/>
          <w:b/>
          <w:bCs w:val="0"/>
          <w:color w:val="000000" w:themeColor="text1"/>
          <w:sz w:val="32"/>
          <w:szCs w:val="32"/>
          <w:lang w:eastAsia="zh-CN"/>
          <w14:textFill>
            <w14:solidFill>
              <w14:schemeClr w14:val="tx1"/>
            </w14:solidFill>
          </w14:textFill>
        </w:rPr>
        <w:t>评价结论及建议</w:t>
      </w:r>
    </w:p>
    <w:p w14:paraId="0E82BBD6">
      <w:pPr>
        <w:keepNext w:val="0"/>
        <w:keepLines w:val="0"/>
        <w:widowControl/>
        <w:suppressLineNumbers w:val="0"/>
        <w:adjustRightInd w:val="0"/>
        <w:snapToGrid w:val="0"/>
        <w:spacing w:before="0" w:beforeAutospacing="0" w:after="0" w:afterAutospacing="0" w:line="480" w:lineRule="exact"/>
        <w:ind w:right="0"/>
        <w:jc w:val="left"/>
        <w:rPr>
          <w:rFonts w:hint="eastAsia" w:ascii="仿宋" w:hAnsi="仿宋" w:eastAsia="仿宋" w:cs="仿宋"/>
          <w:b w:val="0"/>
          <w:bCs/>
          <w:color w:val="000000"/>
          <w:kern w:val="0"/>
          <w:sz w:val="32"/>
          <w:szCs w:val="32"/>
          <w:lang w:val="zh-CN" w:eastAsia="zh-CN"/>
        </w:rPr>
      </w:pPr>
      <w:r>
        <w:rPr>
          <w:rFonts w:hint="eastAsia" w:ascii="仿宋" w:hAnsi="仿宋" w:eastAsia="仿宋" w:cs="仿宋"/>
          <w:color w:val="000000"/>
          <w:kern w:val="0"/>
          <w:sz w:val="32"/>
          <w:szCs w:val="32"/>
          <w:lang w:val="zh-CN" w:eastAsia="zh-CN" w:bidi="ar"/>
        </w:rPr>
        <w:t>（二）评价结论。</w:t>
      </w:r>
      <w:r>
        <w:rPr>
          <w:rStyle w:val="18"/>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经自评20</w:t>
      </w:r>
      <w:r>
        <w:rPr>
          <w:rStyle w:val="18"/>
          <w:rFonts w:hint="eastAsia" w:ascii="仿宋" w:hAnsi="仿宋" w:eastAsia="仿宋" w:cs="仿宋"/>
          <w:b w:val="0"/>
          <w:bCs/>
          <w:i w:val="0"/>
          <w:caps w:val="0"/>
          <w:color w:val="000000" w:themeColor="text1"/>
          <w:spacing w:val="0"/>
          <w:sz w:val="32"/>
          <w:szCs w:val="32"/>
          <w:shd w:val="clear" w:fill="FFFFFF"/>
          <w:lang w:val="en-US" w:eastAsia="zh-CN"/>
          <w14:textFill>
            <w14:solidFill>
              <w14:schemeClr w14:val="tx1"/>
            </w14:solidFill>
          </w14:textFill>
        </w:rPr>
        <w:t>25</w:t>
      </w:r>
      <w:r>
        <w:rPr>
          <w:rStyle w:val="18"/>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年度</w:t>
      </w:r>
      <w:r>
        <w:rPr>
          <w:rStyle w:val="18"/>
          <w:rFonts w:hint="eastAsia" w:ascii="仿宋" w:hAnsi="仿宋" w:eastAsia="仿宋" w:cs="仿宋"/>
          <w:b w:val="0"/>
          <w:bCs/>
          <w:i w:val="0"/>
          <w:caps w:val="0"/>
          <w:color w:val="000000" w:themeColor="text1"/>
          <w:spacing w:val="0"/>
          <w:sz w:val="32"/>
          <w:szCs w:val="32"/>
          <w:shd w:val="clear" w:fill="FFFFFF"/>
          <w:lang w:eastAsia="zh-CN"/>
          <w14:textFill>
            <w14:solidFill>
              <w14:schemeClr w14:val="tx1"/>
            </w14:solidFill>
          </w14:textFill>
        </w:rPr>
        <w:t>本单位整体</w:t>
      </w:r>
      <w:r>
        <w:rPr>
          <w:rStyle w:val="18"/>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支出绩效</w:t>
      </w:r>
      <w:r>
        <w:rPr>
          <w:rStyle w:val="18"/>
          <w:rFonts w:hint="eastAsia" w:ascii="仿宋" w:hAnsi="仿宋" w:eastAsia="仿宋" w:cs="仿宋"/>
          <w:b w:val="0"/>
          <w:bCs/>
          <w:i w:val="0"/>
          <w:caps w:val="0"/>
          <w:color w:val="000000" w:themeColor="text1"/>
          <w:spacing w:val="0"/>
          <w:sz w:val="32"/>
          <w:szCs w:val="32"/>
          <w:shd w:val="clear" w:fill="FFFFFF"/>
          <w:lang w:eastAsia="zh-CN"/>
          <w14:textFill>
            <w14:solidFill>
              <w14:schemeClr w14:val="tx1"/>
            </w14:solidFill>
          </w14:textFill>
        </w:rPr>
        <w:t>评价为优秀</w:t>
      </w:r>
      <w:r>
        <w:rPr>
          <w:rStyle w:val="18"/>
          <w:rFonts w:hint="eastAsia" w:ascii="仿宋" w:hAnsi="仿宋" w:eastAsia="仿宋" w:cs="仿宋"/>
          <w:b w:val="0"/>
          <w:bCs/>
          <w:i w:val="0"/>
          <w:caps w:val="0"/>
          <w:color w:val="000000" w:themeColor="text1"/>
          <w:spacing w:val="0"/>
          <w:sz w:val="32"/>
          <w:szCs w:val="32"/>
          <w:shd w:val="clear" w:fill="FFFFFF"/>
          <w14:textFill>
            <w14:solidFill>
              <w14:schemeClr w14:val="tx1"/>
            </w14:solidFill>
          </w14:textFill>
        </w:rPr>
        <w:t>。</w:t>
      </w:r>
    </w:p>
    <w:p w14:paraId="4ED67BD2">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tabs>
          <w:tab w:val="left" w:pos="817"/>
        </w:tabs>
        <w:kinsoku/>
        <w:wordWrap/>
        <w:overflowPunct/>
        <w:topLinePunct w:val="0"/>
        <w:autoSpaceDE/>
        <w:autoSpaceDN/>
        <w:bidi w:val="0"/>
        <w:adjustRightInd/>
        <w:spacing w:before="0" w:beforeAutospacing="0" w:after="0" w:afterAutospacing="0" w:line="540" w:lineRule="exact"/>
        <w:ind w:right="0" w:rightChars="0"/>
        <w:textAlignment w:val="auto"/>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（三）存在问题。</w:t>
      </w:r>
    </w:p>
    <w:p w14:paraId="644DCFB8">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 w:hAnsi="仿宋" w:eastAsia="仿宋" w:cs="仿宋"/>
          <w:color w:val="000000"/>
          <w:kern w:val="0"/>
          <w:sz w:val="32"/>
          <w:szCs w:val="32"/>
          <w:lang w:val="zh-CN" w:eastAsia="zh-CN"/>
        </w:rPr>
      </w:pP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内部控制制度缺乏完善，需要完善机制，财务人员缺乏指导。</w:t>
      </w:r>
    </w:p>
    <w:p w14:paraId="2E6C7FCC">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tabs>
          <w:tab w:val="left" w:pos="817"/>
        </w:tabs>
        <w:kinsoku/>
        <w:wordWrap/>
        <w:overflowPunct/>
        <w:topLinePunct w:val="0"/>
        <w:autoSpaceDE/>
        <w:autoSpaceDN/>
        <w:bidi w:val="0"/>
        <w:adjustRightInd/>
        <w:spacing w:before="0" w:beforeAutospacing="0" w:after="0" w:afterAutospacing="0" w:line="540" w:lineRule="exact"/>
        <w:ind w:right="0" w:rightChars="0"/>
        <w:textAlignment w:val="auto"/>
        <w:rPr>
          <w:rFonts w:hint="eastAsia" w:ascii="仿宋" w:hAnsi="仿宋" w:eastAsia="仿宋" w:cs="仿宋"/>
          <w:color w:val="000000"/>
          <w:kern w:val="0"/>
          <w:sz w:val="32"/>
          <w:szCs w:val="32"/>
          <w:lang w:val="zh-CN" w:eastAsia="zh-CN" w:bidi="ar"/>
        </w:rPr>
      </w:pPr>
      <w:r>
        <w:rPr>
          <w:rFonts w:hint="eastAsia" w:ascii="仿宋" w:hAnsi="仿宋" w:eastAsia="仿宋" w:cs="仿宋"/>
          <w:color w:val="000000"/>
          <w:kern w:val="0"/>
          <w:sz w:val="32"/>
          <w:szCs w:val="32"/>
          <w:lang w:val="zh-CN" w:eastAsia="zh-CN" w:bidi="ar"/>
        </w:rPr>
        <w:t>（四）改进建议。</w:t>
      </w:r>
    </w:p>
    <w:p w14:paraId="082DFB9F">
      <w:pPr>
        <w:pStyle w:val="1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b w:val="0"/>
          <w:i w:val="0"/>
          <w:caps w:val="0"/>
          <w:color w:val="000000" w:themeColor="text1"/>
          <w:spacing w:val="0"/>
          <w:sz w:val="32"/>
          <w:szCs w:val="32"/>
          <w14:textFill>
            <w14:solidFill>
              <w14:schemeClr w14:val="tx1"/>
            </w14:solidFill>
          </w14:textFill>
        </w:rPr>
      </w:pP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建立长效机制，严格财务管理，加强财务监督，坚持厉行节约，严格</w:t>
      </w:r>
      <w:r>
        <w:rPr>
          <w:rFonts w:hint="eastAsia" w:ascii="仿宋" w:hAnsi="仿宋" w:eastAsia="仿宋" w:cs="仿宋"/>
          <w:b w:val="0"/>
          <w:i w:val="0"/>
          <w:caps w:val="0"/>
          <w:color w:val="000000" w:themeColor="text1"/>
          <w:spacing w:val="0"/>
          <w:sz w:val="32"/>
          <w:szCs w:val="32"/>
          <w:shd w:val="clear" w:fill="FFFFFF"/>
          <w:lang w:eastAsia="zh-CN"/>
          <w14:textFill>
            <w14:solidFill>
              <w14:schemeClr w14:val="tx1"/>
            </w14:solidFill>
          </w14:textFill>
        </w:rPr>
        <w:t>杜绝</w:t>
      </w:r>
      <w:r>
        <w:rPr>
          <w:rFonts w:hint="eastAsia" w:ascii="仿宋" w:hAnsi="仿宋" w:eastAsia="仿宋" w:cs="仿宋"/>
          <w:b w:val="0"/>
          <w:i w:val="0"/>
          <w:caps w:val="0"/>
          <w:color w:val="000000" w:themeColor="text1"/>
          <w:spacing w:val="0"/>
          <w:sz w:val="32"/>
          <w:szCs w:val="32"/>
          <w:shd w:val="clear" w:fill="FFFFFF"/>
          <w14:textFill>
            <w14:solidFill>
              <w14:schemeClr w14:val="tx1"/>
            </w14:solidFill>
          </w14:textFill>
        </w:rPr>
        <w:t>现金支出。加强事业单位会计制度的学习，准且完整的核算部门全年收入支出，确保不漏记多记支。     </w:t>
      </w:r>
    </w:p>
    <w:p w14:paraId="049E2663">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14:paraId="329D5F4A">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部门预算项目支出绩效自评表（2025年度）</w:t>
      </w:r>
    </w:p>
    <w:p w14:paraId="56D0EBDB">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14:paraId="1671507A">
      <w:pPr>
        <w:pStyle w:val="7"/>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bookmarkEnd w:id="46"/>
    <w:p w14:paraId="68A00957">
      <w:pPr>
        <w:spacing w:line="580" w:lineRule="exact"/>
        <w:rPr>
          <w:rFonts w:hint="eastAsia" w:ascii="仿宋" w:hAnsi="仿宋" w:eastAsia="仿宋" w:cs="仿宋"/>
          <w:color w:val="auto"/>
          <w:sz w:val="32"/>
          <w:szCs w:val="32"/>
          <w:highlight w:val="none"/>
          <w:lang w:val="en-US" w:eastAsia="zh-CN"/>
        </w:rPr>
      </w:pPr>
      <w:bookmarkStart w:id="47" w:name="_Toc15396618"/>
      <w:r>
        <w:rPr>
          <w:rFonts w:hint="eastAsia"/>
          <w:sz w:val="24"/>
          <w:szCs w:val="24"/>
          <w:shd w:val="clear" w:color="auto" w:fill="FFFFFF"/>
          <w:lang w:val="en-US" w:eastAsia="zh-CN"/>
        </w:rPr>
        <w:t xml:space="preserve">                       </w:t>
      </w:r>
      <w:r>
        <w:rPr>
          <w:rFonts w:hint="eastAsia" w:ascii="仿宋" w:hAnsi="仿宋" w:eastAsia="仿宋" w:cs="仿宋"/>
          <w:color w:val="auto"/>
          <w:sz w:val="32"/>
          <w:szCs w:val="32"/>
          <w:highlight w:val="none"/>
          <w:lang w:val="en-US" w:eastAsia="zh-CN"/>
        </w:rPr>
        <w:t>红原县龙日镇卫生院</w:t>
      </w:r>
    </w:p>
    <w:p w14:paraId="41771C80">
      <w:pPr>
        <w:pStyle w:val="35"/>
        <w:keepNext w:val="0"/>
        <w:keepLines w:val="0"/>
        <w:pageBreakBefore w:val="0"/>
        <w:widowControl w:val="0"/>
        <w:kinsoku/>
        <w:wordWrap/>
        <w:overflowPunct/>
        <w:topLinePunct w:val="0"/>
        <w:autoSpaceDE/>
        <w:autoSpaceDN/>
        <w:bidi w:val="0"/>
        <w:adjustRightInd/>
        <w:snapToGrid/>
        <w:spacing w:line="560" w:lineRule="exact"/>
        <w:ind w:firstLine="883"/>
        <w:jc w:val="center"/>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关于</w:t>
      </w:r>
      <w:r>
        <w:rPr>
          <w:rFonts w:hint="eastAsia" w:ascii="仿宋" w:hAnsi="仿宋" w:eastAsia="仿宋" w:cs="仿宋"/>
          <w:color w:val="auto"/>
          <w:sz w:val="32"/>
          <w:szCs w:val="32"/>
          <w:highlight w:val="none"/>
          <w:lang w:val="en-US" w:eastAsia="zh-CN"/>
        </w:rPr>
        <w:t>2025年基本公卫</w:t>
      </w:r>
      <w:r>
        <w:rPr>
          <w:rFonts w:hint="eastAsia" w:ascii="仿宋" w:hAnsi="仿宋" w:eastAsia="仿宋" w:cs="仿宋"/>
          <w:color w:val="auto"/>
          <w:sz w:val="32"/>
          <w:szCs w:val="32"/>
          <w:highlight w:val="none"/>
        </w:rPr>
        <w:t>项目绩效自评报告</w:t>
      </w:r>
    </w:p>
    <w:p w14:paraId="6A23EF7A">
      <w:pPr>
        <w:pStyle w:val="35"/>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zh-CN"/>
        </w:rPr>
      </w:pPr>
      <w:r>
        <w:rPr>
          <w:rFonts w:hint="eastAsia" w:ascii="仿宋" w:hAnsi="仿宋" w:eastAsia="仿宋" w:cs="仿宋"/>
          <w:sz w:val="32"/>
          <w:szCs w:val="32"/>
        </w:rPr>
        <w:t>一、</w:t>
      </w:r>
      <w:r>
        <w:rPr>
          <w:rFonts w:hint="eastAsia" w:ascii="仿宋" w:hAnsi="仿宋" w:eastAsia="仿宋" w:cs="仿宋"/>
          <w:sz w:val="32"/>
          <w:szCs w:val="32"/>
          <w:lang w:val="zh-CN"/>
        </w:rPr>
        <w:t>项目概况</w:t>
      </w:r>
    </w:p>
    <w:p w14:paraId="16EF4824">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（一）项目基本情况。</w:t>
      </w:r>
    </w:p>
    <w:p w14:paraId="499C8440">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1．说明项目单位在该项目管理中的职能：负责辖区内</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r>
        <w:rPr>
          <w:rFonts w:hint="eastAsia" w:ascii="仿宋" w:hAnsi="仿宋" w:eastAsia="仿宋" w:cs="仿宋"/>
          <w:sz w:val="32"/>
          <w:szCs w:val="32"/>
          <w:lang w:val="zh-CN"/>
        </w:rPr>
        <w:t>。</w:t>
      </w:r>
    </w:p>
    <w:p w14:paraId="514D887B">
      <w:pPr>
        <w:adjustRightInd w:val="0"/>
        <w:snapToGrid w:val="0"/>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zh-CN"/>
        </w:rPr>
        <w:t>2．项目立项、资金申报的依据</w:t>
      </w:r>
      <w:r>
        <w:rPr>
          <w:rFonts w:hint="eastAsia" w:ascii="仿宋" w:hAnsi="仿宋" w:eastAsia="仿宋" w:cs="仿宋"/>
          <w:sz w:val="32"/>
          <w:szCs w:val="32"/>
          <w:lang w:val="en-US" w:eastAsia="zh-CN"/>
        </w:rPr>
        <w:t>:根据该单位开展基本公卫服务项目数量，简报及随访人数等进行资金申报，申报程序严格执行转账，杜绝现金交易。</w:t>
      </w:r>
    </w:p>
    <w:p w14:paraId="3C95C08B">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3．资金管理办法制定情况，资金支持具体项目的条件、范围与支持方式概况。</w:t>
      </w:r>
      <w:r>
        <w:rPr>
          <w:rFonts w:hint="eastAsia" w:ascii="仿宋" w:hAnsi="仿宋" w:eastAsia="仿宋" w:cs="仿宋"/>
          <w:color w:val="auto"/>
          <w:sz w:val="32"/>
          <w:szCs w:val="32"/>
          <w:highlight w:val="none"/>
          <w:lang w:val="en-US" w:eastAsia="zh-CN"/>
        </w:rPr>
        <w:t>经自查，</w:t>
      </w:r>
      <w:r>
        <w:rPr>
          <w:rFonts w:hint="eastAsia" w:ascii="仿宋" w:hAnsi="仿宋" w:eastAsia="仿宋" w:cs="仿宋"/>
          <w:color w:val="auto"/>
          <w:sz w:val="32"/>
          <w:szCs w:val="32"/>
          <w:highlight w:val="none"/>
          <w:lang w:eastAsia="zh-CN"/>
        </w:rPr>
        <w:t>该</w:t>
      </w:r>
      <w:r>
        <w:rPr>
          <w:rFonts w:hint="eastAsia" w:ascii="仿宋" w:hAnsi="仿宋" w:eastAsia="仿宋" w:cs="仿宋"/>
          <w:color w:val="auto"/>
          <w:sz w:val="32"/>
          <w:szCs w:val="32"/>
          <w:highlight w:val="none"/>
        </w:rPr>
        <w:t>项目我</w:t>
      </w:r>
      <w:r>
        <w:rPr>
          <w:rFonts w:hint="eastAsia" w:ascii="仿宋" w:hAnsi="仿宋" w:eastAsia="仿宋" w:cs="仿宋"/>
          <w:color w:val="auto"/>
          <w:sz w:val="32"/>
          <w:szCs w:val="32"/>
          <w:highlight w:val="none"/>
          <w:lang w:val="en-US" w:eastAsia="zh-CN"/>
        </w:rPr>
        <w:t>院</w:t>
      </w:r>
      <w:r>
        <w:rPr>
          <w:rFonts w:hint="eastAsia" w:ascii="仿宋" w:hAnsi="仿宋" w:eastAsia="仿宋" w:cs="仿宋"/>
          <w:color w:val="auto"/>
          <w:sz w:val="32"/>
          <w:szCs w:val="32"/>
          <w:highlight w:val="none"/>
        </w:rPr>
        <w:t>完善了相关财务工作制度。一是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局各项工作的顺利开展说明项目财务管理制度建设、机构设置、会计核算及账务处理等相关情况。对照项目资金管理办法，评价项目是否严格执行财务管理制度、财务处理是否及时、会计核算是否规范等。项目实施过程中严格按照项目财务管理制度进行财务管理，专款专用，专人负责，严格对照资金管理办法，不拆借资金，规范会计核算程序。</w:t>
      </w:r>
    </w:p>
    <w:p w14:paraId="6968C493">
      <w:pPr>
        <w:adjustRightInd w:val="0"/>
        <w:snapToGrid w:val="0"/>
        <w:spacing w:line="600" w:lineRule="exact"/>
        <w:ind w:firstLine="720"/>
        <w:rPr>
          <w:rFonts w:hint="eastAsia" w:ascii="仿宋" w:hAnsi="仿宋" w:eastAsia="仿宋" w:cs="仿宋"/>
          <w:sz w:val="32"/>
          <w:szCs w:val="32"/>
          <w:lang w:val="en-US" w:eastAsia="zh-CN"/>
        </w:rPr>
      </w:pPr>
      <w:r>
        <w:rPr>
          <w:rFonts w:hint="eastAsia" w:ascii="仿宋" w:hAnsi="仿宋" w:eastAsia="仿宋" w:cs="仿宋"/>
          <w:sz w:val="32"/>
          <w:szCs w:val="32"/>
          <w:lang w:val="zh-CN"/>
        </w:rPr>
        <w:t>4．资金分配的原则及考虑因素：公卫考核</w:t>
      </w:r>
      <w:r>
        <w:rPr>
          <w:rFonts w:hint="eastAsia" w:ascii="仿宋" w:hAnsi="仿宋" w:eastAsia="仿宋" w:cs="仿宋"/>
          <w:sz w:val="32"/>
          <w:szCs w:val="32"/>
          <w:lang w:val="zh-CN" w:eastAsia="zh-CN"/>
        </w:rPr>
        <w:t>情况进行分配并结合常住人口。</w:t>
      </w:r>
    </w:p>
    <w:p w14:paraId="1CD93078">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（二）项目绩效目标。</w:t>
      </w:r>
    </w:p>
    <w:p w14:paraId="3AC24808">
      <w:pPr>
        <w:adjustRightInd w:val="0"/>
        <w:snapToGrid w:val="0"/>
        <w:spacing w:line="600" w:lineRule="exact"/>
        <w:ind w:firstLine="720"/>
        <w:rPr>
          <w:rFonts w:hint="eastAsia" w:ascii="仿宋" w:hAnsi="仿宋" w:eastAsia="仿宋" w:cs="仿宋"/>
          <w:color w:val="000000"/>
          <w:sz w:val="32"/>
          <w:szCs w:val="32"/>
          <w:lang w:eastAsia="zh-CN"/>
        </w:rPr>
      </w:pPr>
      <w:r>
        <w:rPr>
          <w:rFonts w:hint="eastAsia" w:ascii="仿宋" w:hAnsi="仿宋" w:eastAsia="仿宋" w:cs="仿宋"/>
          <w:sz w:val="32"/>
          <w:szCs w:val="32"/>
          <w:lang w:val="zh-CN"/>
        </w:rPr>
        <w:t>1．项目主要内容：</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p w14:paraId="3FA9ACC5">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2．项目覆盖辖区的所有常住人口。</w:t>
      </w:r>
    </w:p>
    <w:p w14:paraId="3EF2EADB">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3．评价指标与实际相符。</w:t>
      </w:r>
    </w:p>
    <w:p w14:paraId="0BC72A1C">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（三）项目自评步骤及方法。</w:t>
      </w:r>
    </w:p>
    <w:p w14:paraId="5664E104">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说明项目绩效自评采用老年人随访登记册，妇幼登记情况表等的组织实施步骤及方法。</w:t>
      </w:r>
    </w:p>
    <w:p w14:paraId="587FA736">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二、项目资金申报及使用情况</w:t>
      </w:r>
    </w:p>
    <w:p w14:paraId="5A5E6A10">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（一）项目资金申报及批复情况。</w:t>
      </w:r>
    </w:p>
    <w:p w14:paraId="7F38C197">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该项目由卫生院自行提供相关附件由乡镇会计核算中心审核，并由局领导同意报县级财政及相关领导签字后，实行转账支付。</w:t>
      </w:r>
    </w:p>
    <w:p w14:paraId="458E77BD">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b/>
          <w:sz w:val="32"/>
          <w:szCs w:val="32"/>
          <w:lang w:val="zh-CN"/>
        </w:rPr>
        <w:t>（二）资金计划、到位及使用情况（可用表格形式反映）。</w:t>
      </w:r>
    </w:p>
    <w:p w14:paraId="37B1BE25">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1．该项目资金为中央，省州公卫资金。</w:t>
      </w:r>
    </w:p>
    <w:p w14:paraId="5D1B8E06">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2．资金到位。截止评价时点该项目资金已全部到位。</w:t>
      </w:r>
    </w:p>
    <w:p w14:paraId="2161AAC4">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3．资金使用。该资金已按文件要求合理进行使用。</w:t>
      </w:r>
    </w:p>
    <w:p w14:paraId="7067858D">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（三）项目财务管理情况。</w:t>
      </w:r>
    </w:p>
    <w:p w14:paraId="3FD0C36B">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color w:val="auto"/>
          <w:sz w:val="32"/>
          <w:szCs w:val="32"/>
          <w:highlight w:val="none"/>
        </w:rPr>
        <w:t>项目实施过程中严格按照项目财务管理制度进行财务管理，专款专用，专人负责，严格对照资金管理办法，不拆借资金，规范会计核算程序</w:t>
      </w:r>
      <w:r>
        <w:rPr>
          <w:rFonts w:hint="eastAsia" w:ascii="仿宋" w:hAnsi="仿宋" w:eastAsia="仿宋" w:cs="仿宋"/>
          <w:sz w:val="32"/>
          <w:szCs w:val="32"/>
          <w:lang w:val="zh-CN"/>
        </w:rPr>
        <w:t>。</w:t>
      </w:r>
    </w:p>
    <w:p w14:paraId="765AD256">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三、项目实施及管理情况</w:t>
      </w:r>
    </w:p>
    <w:p w14:paraId="223E1ADC">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项目实施过程中均无现金交易，都是采用直接申请支付方式付款。</w:t>
      </w:r>
    </w:p>
    <w:p w14:paraId="41F89E18">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rPr>
        <w:t>四、项目绩效情况</w:t>
      </w:r>
      <w:r>
        <w:rPr>
          <w:rFonts w:hint="eastAsia" w:ascii="仿宋" w:hAnsi="仿宋" w:eastAsia="仿宋" w:cs="仿宋"/>
          <w:sz w:val="32"/>
          <w:szCs w:val="32"/>
          <w:lang w:val="zh-CN"/>
        </w:rPr>
        <w:tab/>
      </w:r>
    </w:p>
    <w:p w14:paraId="152CB5EE">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（一）项目完成情况。</w:t>
      </w:r>
    </w:p>
    <w:p w14:paraId="12BC9F3F">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sz w:val="32"/>
          <w:szCs w:val="32"/>
          <w:lang w:val="zh-CN"/>
        </w:rPr>
        <w:t>该项目完成了全年的慢病随访，妇幼随访，及婴幼儿预防接种，情况良好。</w:t>
      </w:r>
    </w:p>
    <w:p w14:paraId="119E4DE7">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（二）项目效益情况。</w:t>
      </w:r>
    </w:p>
    <w:p w14:paraId="7349EBDC">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该项目是名声工程，群众满意度良好。</w:t>
      </w:r>
    </w:p>
    <w:p w14:paraId="50B1D911">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五、评价结论及建议</w:t>
      </w:r>
    </w:p>
    <w:p w14:paraId="3D60622D">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（一）评价结论。</w:t>
      </w:r>
    </w:p>
    <w:p w14:paraId="0B7BAA4C">
      <w:pPr>
        <w:adjustRightInd w:val="0"/>
        <w:snapToGrid w:val="0"/>
        <w:spacing w:line="600" w:lineRule="exact"/>
        <w:ind w:firstLine="640" w:firstLineChars="200"/>
        <w:rPr>
          <w:rFonts w:hint="eastAsia" w:ascii="仿宋" w:hAnsi="仿宋" w:eastAsia="仿宋" w:cs="仿宋"/>
          <w:sz w:val="32"/>
          <w:szCs w:val="32"/>
          <w:bdr w:val="single" w:color="auto" w:sz="4" w:space="0"/>
          <w:lang w:val="zh-CN"/>
        </w:rPr>
      </w:pPr>
      <w:r>
        <w:rPr>
          <w:rFonts w:hint="eastAsia" w:ascii="仿宋" w:hAnsi="仿宋" w:eastAsia="仿宋" w:cs="仿宋"/>
          <w:sz w:val="32"/>
          <w:szCs w:val="32"/>
          <w:lang w:val="zh-CN"/>
        </w:rPr>
        <w:t>该项目是当前重点工作，完成情况比较良好。</w:t>
      </w:r>
    </w:p>
    <w:p w14:paraId="1245731C">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（二）存在的问题。</w:t>
      </w:r>
    </w:p>
    <w:p w14:paraId="1C32B69F">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资金拨付速度较慢。</w:t>
      </w:r>
      <w:r>
        <w:rPr>
          <w:rFonts w:hint="eastAsia" w:ascii="仿宋" w:hAnsi="仿宋" w:eastAsia="仿宋" w:cs="仿宋"/>
          <w:sz w:val="32"/>
          <w:szCs w:val="32"/>
          <w:lang w:val="zh-CN"/>
        </w:rPr>
        <w:tab/>
      </w:r>
    </w:p>
    <w:p w14:paraId="51C76686">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（三）相关建议。</w:t>
      </w:r>
    </w:p>
    <w:p w14:paraId="6CCFA3D6">
      <w:pPr>
        <w:pStyle w:val="15"/>
        <w:keepNext w:val="0"/>
        <w:keepLines w:val="0"/>
        <w:widowControl/>
        <w:suppressLineNumbers w:val="0"/>
        <w:spacing w:before="0" w:beforeAutospacing="0"/>
        <w:ind w:left="0" w:firstLine="643" w:firstLineChars="200"/>
        <w:jc w:val="left"/>
        <w:rPr>
          <w:rFonts w:hint="eastAsia" w:ascii="仿宋" w:hAnsi="仿宋" w:eastAsia="仿宋" w:cs="仿宋"/>
          <w:sz w:val="32"/>
          <w:szCs w:val="32"/>
        </w:rPr>
      </w:pPr>
      <w:r>
        <w:rPr>
          <w:rFonts w:hint="eastAsia" w:ascii="仿宋" w:hAnsi="仿宋" w:eastAsia="仿宋" w:cs="仿宋"/>
          <w:b/>
          <w:bCs/>
          <w:color w:val="auto"/>
          <w:sz w:val="32"/>
          <w:szCs w:val="32"/>
          <w:highlight w:val="none"/>
          <w:lang w:val="en-US" w:eastAsia="zh-CN"/>
        </w:rPr>
        <w:t>一是</w:t>
      </w:r>
      <w:r>
        <w:rPr>
          <w:rFonts w:hint="eastAsia" w:ascii="仿宋" w:hAnsi="仿宋" w:eastAsia="仿宋" w:cs="仿宋"/>
          <w:color w:val="auto"/>
          <w:sz w:val="32"/>
          <w:szCs w:val="32"/>
          <w:highlight w:val="none"/>
          <w:lang w:eastAsia="zh-CN"/>
        </w:rPr>
        <w:t>加强宣传培训。</w:t>
      </w:r>
      <w:r>
        <w:rPr>
          <w:rFonts w:hint="eastAsia" w:ascii="仿宋" w:hAnsi="仿宋" w:eastAsia="仿宋" w:cs="仿宋"/>
          <w:b/>
          <w:bCs/>
          <w:color w:val="auto"/>
          <w:sz w:val="32"/>
          <w:szCs w:val="32"/>
          <w:highlight w:val="none"/>
          <w:lang w:val="en-US" w:eastAsia="zh-CN"/>
        </w:rPr>
        <w:t>二是</w:t>
      </w:r>
      <w:r>
        <w:rPr>
          <w:rFonts w:hint="eastAsia" w:ascii="仿宋" w:hAnsi="仿宋" w:eastAsia="仿宋" w:cs="仿宋"/>
          <w:color w:val="auto"/>
          <w:sz w:val="32"/>
          <w:szCs w:val="32"/>
          <w:highlight w:val="none"/>
          <w:lang w:eastAsia="zh-CN"/>
        </w:rPr>
        <w:t>积极申报资金，做好各类相关工作</w:t>
      </w:r>
      <w:r>
        <w:rPr>
          <w:rFonts w:hint="eastAsia" w:ascii="仿宋" w:hAnsi="仿宋" w:eastAsia="仿宋" w:cs="仿宋"/>
          <w:sz w:val="32"/>
          <w:szCs w:val="32"/>
          <w:lang w:val="zh-CN"/>
        </w:rPr>
        <w:t>。</w:t>
      </w:r>
    </w:p>
    <w:p w14:paraId="33C1C9C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 w:hAnsi="仿宋" w:eastAsia="仿宋" w:cs="仿宋"/>
          <w:b w:val="0"/>
          <w:bCs w:val="0"/>
          <w:kern w:val="0"/>
          <w:position w:val="0"/>
          <w:sz w:val="32"/>
          <w:szCs w:val="32"/>
          <w:highlight w:val="none"/>
          <w:lang w:val="en-US" w:eastAsia="zh-CN" w:bidi="ar-SA"/>
        </w:rPr>
      </w:pPr>
      <w:r>
        <w:rPr>
          <w:rFonts w:hint="eastAsia" w:ascii="仿宋" w:hAnsi="仿宋" w:eastAsia="仿宋" w:cs="仿宋"/>
          <w:b w:val="0"/>
          <w:bCs w:val="0"/>
          <w:kern w:val="0"/>
          <w:position w:val="0"/>
          <w:sz w:val="32"/>
          <w:szCs w:val="32"/>
          <w:highlight w:val="none"/>
          <w:lang w:val="en-US" w:eastAsia="zh-CN" w:bidi="ar-SA"/>
        </w:rPr>
        <w:br w:type="page"/>
      </w:r>
    </w:p>
    <w:p w14:paraId="3229C3C1">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9"/>
          <w:rFonts w:hint="eastAsia" w:ascii="Times New Roman" w:hAnsi="Times New Roman" w:eastAsia="黑体"/>
          <w:b w:val="0"/>
          <w:color w:val="auto"/>
          <w:highlight w:val="none"/>
        </w:rPr>
        <w:t>五部分 附表</w:t>
      </w:r>
      <w:bookmarkEnd w:id="47"/>
      <w:bookmarkStart w:id="48" w:name="_Toc15396619"/>
    </w:p>
    <w:p w14:paraId="102D8585">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5FACD23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8"/>
    </w:p>
    <w:p w14:paraId="53C62348">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49" w:name="_Toc15396620"/>
      <w:r>
        <w:rPr>
          <w:rFonts w:hint="eastAsia" w:ascii="Times New Roman" w:hAnsi="Times New Roman" w:eastAsia="仿宋_GB2312" w:cs="仿宋_GB2312"/>
          <w:color w:val="auto"/>
          <w:sz w:val="32"/>
          <w:szCs w:val="32"/>
          <w:highlight w:val="none"/>
        </w:rPr>
        <w:t>二、收入决算表</w:t>
      </w:r>
      <w:bookmarkEnd w:id="49"/>
    </w:p>
    <w:p w14:paraId="4767A063">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1"/>
      <w:r>
        <w:rPr>
          <w:rFonts w:hint="eastAsia" w:ascii="Times New Roman" w:hAnsi="Times New Roman" w:eastAsia="仿宋_GB2312" w:cs="仿宋_GB2312"/>
          <w:color w:val="auto"/>
          <w:sz w:val="32"/>
          <w:szCs w:val="32"/>
          <w:highlight w:val="none"/>
        </w:rPr>
        <w:t>三、支出决算表</w:t>
      </w:r>
      <w:bookmarkEnd w:id="50"/>
    </w:p>
    <w:p w14:paraId="1E327B51">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2"/>
      <w:r>
        <w:rPr>
          <w:rFonts w:hint="eastAsia" w:ascii="Times New Roman" w:hAnsi="Times New Roman" w:eastAsia="仿宋_GB2312" w:cs="仿宋_GB2312"/>
          <w:color w:val="auto"/>
          <w:sz w:val="32"/>
          <w:szCs w:val="32"/>
          <w:highlight w:val="none"/>
        </w:rPr>
        <w:t>四、财政拨款收入支出决算总表</w:t>
      </w:r>
      <w:bookmarkEnd w:id="51"/>
    </w:p>
    <w:p w14:paraId="0E04D21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3"/>
      <w:r>
        <w:rPr>
          <w:rFonts w:hint="eastAsia" w:ascii="Times New Roman" w:hAnsi="Times New Roman" w:eastAsia="仿宋_GB2312" w:cs="仿宋_GB2312"/>
          <w:color w:val="auto"/>
          <w:sz w:val="32"/>
          <w:szCs w:val="32"/>
          <w:highlight w:val="none"/>
        </w:rPr>
        <w:t>五、财政拨款支出决算明细表</w:t>
      </w:r>
      <w:bookmarkEnd w:id="52"/>
      <w:bookmarkStart w:id="53" w:name="_Toc15396624"/>
    </w:p>
    <w:p w14:paraId="60FEFAC6">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3"/>
    </w:p>
    <w:p w14:paraId="241ED375">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4" w:name="_Toc15396625"/>
      <w:r>
        <w:rPr>
          <w:rFonts w:hint="eastAsia" w:ascii="Times New Roman" w:hAnsi="Times New Roman" w:eastAsia="仿宋_GB2312" w:cs="仿宋_GB2312"/>
          <w:color w:val="auto"/>
          <w:sz w:val="32"/>
          <w:szCs w:val="32"/>
          <w:highlight w:val="none"/>
        </w:rPr>
        <w:t>七、一般公共预算财政拨款支出决算明细表</w:t>
      </w:r>
      <w:bookmarkEnd w:id="54"/>
    </w:p>
    <w:p w14:paraId="2F7A264C">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6"/>
      <w:r>
        <w:rPr>
          <w:rFonts w:hint="eastAsia" w:ascii="Times New Roman" w:hAnsi="Times New Roman" w:eastAsia="仿宋_GB2312" w:cs="仿宋_GB2312"/>
          <w:color w:val="auto"/>
          <w:sz w:val="32"/>
          <w:szCs w:val="32"/>
          <w:highlight w:val="none"/>
        </w:rPr>
        <w:t>八、一般公共预算财政拨款基本支出决算表</w:t>
      </w:r>
      <w:bookmarkEnd w:id="55"/>
    </w:p>
    <w:p w14:paraId="209785FB">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7"/>
      <w:r>
        <w:rPr>
          <w:rFonts w:hint="eastAsia" w:ascii="Times New Roman" w:hAnsi="Times New Roman" w:eastAsia="仿宋_GB2312" w:cs="仿宋_GB2312"/>
          <w:color w:val="auto"/>
          <w:sz w:val="32"/>
          <w:szCs w:val="32"/>
          <w:highlight w:val="none"/>
        </w:rPr>
        <w:t>九、一般公共预算财政拨款项目支出决算表</w:t>
      </w:r>
      <w:bookmarkEnd w:id="56"/>
    </w:p>
    <w:p w14:paraId="568CAF16">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8"/>
      <w:r>
        <w:rPr>
          <w:rFonts w:hint="eastAsia" w:ascii="Times New Roman" w:hAnsi="Times New Roman" w:eastAsia="仿宋_GB2312" w:cs="仿宋_GB2312"/>
          <w:color w:val="auto"/>
          <w:sz w:val="32"/>
          <w:szCs w:val="32"/>
          <w:highlight w:val="none"/>
        </w:rPr>
        <w:t>十、</w:t>
      </w:r>
      <w:bookmarkEnd w:id="57"/>
      <w:r>
        <w:rPr>
          <w:rFonts w:hint="eastAsia" w:ascii="Times New Roman" w:hAnsi="Times New Roman" w:eastAsia="仿宋_GB2312" w:cs="仿宋_GB2312"/>
          <w:color w:val="auto"/>
          <w:sz w:val="32"/>
          <w:szCs w:val="32"/>
          <w:highlight w:val="none"/>
        </w:rPr>
        <w:t>政府性基金预算财政拨款收入支出决算表</w:t>
      </w:r>
    </w:p>
    <w:p w14:paraId="5006FA5A">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9"/>
      <w:r>
        <w:rPr>
          <w:rFonts w:hint="eastAsia" w:ascii="Times New Roman" w:hAnsi="Times New Roman" w:eastAsia="仿宋_GB2312" w:cs="仿宋_GB2312"/>
          <w:color w:val="auto"/>
          <w:sz w:val="32"/>
          <w:szCs w:val="32"/>
          <w:highlight w:val="none"/>
        </w:rPr>
        <w:t>十一、</w:t>
      </w:r>
      <w:bookmarkEnd w:id="58"/>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4F2CB5EA">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30"/>
      <w:r>
        <w:rPr>
          <w:rFonts w:hint="eastAsia" w:ascii="Times New Roman" w:hAnsi="Times New Roman" w:eastAsia="仿宋_GB2312" w:cs="仿宋_GB2312"/>
          <w:color w:val="auto"/>
          <w:sz w:val="32"/>
          <w:szCs w:val="32"/>
          <w:highlight w:val="none"/>
        </w:rPr>
        <w:t>十二、</w:t>
      </w:r>
      <w:bookmarkEnd w:id="59"/>
      <w:r>
        <w:rPr>
          <w:rFonts w:hint="eastAsia" w:ascii="Times New Roman" w:hAnsi="Times New Roman" w:eastAsia="仿宋_GB2312" w:cs="仿宋_GB2312"/>
          <w:color w:val="auto"/>
          <w:sz w:val="32"/>
          <w:szCs w:val="32"/>
          <w:highlight w:val="none"/>
          <w:lang w:eastAsia="zh-CN"/>
        </w:rPr>
        <w:t>国有资本经营预算财政拨款支出决算表</w:t>
      </w:r>
    </w:p>
    <w:p w14:paraId="15FD08F5">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0" w:name="_Toc15396631"/>
      <w:r>
        <w:rPr>
          <w:rFonts w:hint="eastAsia" w:ascii="Times New Roman" w:hAnsi="Times New Roman" w:eastAsia="仿宋_GB2312" w:cs="仿宋_GB2312"/>
          <w:color w:val="auto"/>
          <w:sz w:val="32"/>
          <w:szCs w:val="32"/>
          <w:highlight w:val="none"/>
        </w:rPr>
        <w:t>十三、</w:t>
      </w:r>
      <w:bookmarkEnd w:id="60"/>
      <w:r>
        <w:rPr>
          <w:rFonts w:hint="eastAsia" w:ascii="Times New Roman" w:hAnsi="Times New Roman" w:eastAsia="仿宋_GB2312" w:cs="仿宋_GB2312"/>
          <w:color w:val="auto"/>
          <w:sz w:val="32"/>
          <w:szCs w:val="32"/>
          <w:highlight w:val="none"/>
          <w:lang w:eastAsia="zh-CN"/>
        </w:rPr>
        <w:t>财政拨款“三公”经费支出决算表</w:t>
      </w:r>
    </w:p>
    <w:p w14:paraId="23546EB6">
      <w:pPr>
        <w:rPr>
          <w:rFonts w:hint="eastAsia" w:ascii="Times New Roman" w:hAnsi="Times New Roman"/>
          <w:lang w:eastAsia="zh-CN"/>
        </w:rPr>
      </w:pPr>
    </w:p>
    <w:p w14:paraId="2ABD257D">
      <w:pPr>
        <w:rPr>
          <w:rFonts w:hint="eastAsia" w:ascii="Times New Roman" w:hAnsi="Times New Roman"/>
          <w:lang w:eastAsia="zh-CN"/>
        </w:rPr>
      </w:pPr>
    </w:p>
    <w:sectPr>
      <w:footerReference r:id="rId8" w:type="first"/>
      <w:headerReference r:id="rId6" w:type="default"/>
      <w:footerReference r:id="rId7"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24242">
    <w:pPr>
      <w:pStyle w:val="10"/>
      <w:jc w:val="center"/>
    </w:pPr>
  </w:p>
  <w:p w14:paraId="7C1181B0">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14CD2">
    <w:pPr>
      <w:pStyle w:val="10"/>
      <w:rPr>
        <w:rFonts w:hint="eastAsia" w:eastAsia="宋体"/>
        <w:lang w:val="en-US" w:eastAsia="zh-CN"/>
      </w:rPr>
    </w:pPr>
    <w:r>
      <w:rPr>
        <w:rFonts w:hint="eastAsia"/>
        <w:lang w:val="en-US" w:eastAsia="zh-CN"/>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BBC0C">
    <w:pPr>
      <w:pStyle w:val="10"/>
      <w:jc w:val="center"/>
    </w:pPr>
  </w:p>
  <w:p w14:paraId="5EE6B3F9">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8E60C">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5C987">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6E5C987">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D7336">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F451C">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8EC286"/>
    <w:multiLevelType w:val="singleLevel"/>
    <w:tmpl w:val="068EC286"/>
    <w:lvl w:ilvl="0" w:tentative="0">
      <w:start w:val="1"/>
      <w:numFmt w:val="decimal"/>
      <w:lvlText w:val="%1."/>
      <w:lvlJc w:val="left"/>
      <w:pPr>
        <w:tabs>
          <w:tab w:val="left" w:pos="312"/>
        </w:tabs>
      </w:pPr>
    </w:lvl>
  </w:abstractNum>
  <w:abstractNum w:abstractNumId="1">
    <w:nsid w:val="520A3CC7"/>
    <w:multiLevelType w:val="singleLevel"/>
    <w:tmpl w:val="520A3CC7"/>
    <w:lvl w:ilvl="0" w:tentative="0">
      <w:start w:val="1"/>
      <w:numFmt w:val="chineseCounting"/>
      <w:suff w:val="nothing"/>
      <w:lvlText w:val="%1、"/>
      <w:lvlJc w:val="left"/>
      <w:rPr>
        <w:rFonts w:hint="eastAsia"/>
      </w:rPr>
    </w:lvl>
  </w:abstractNum>
  <w:abstractNum w:abstractNumId="2">
    <w:nsid w:val="6100AD16"/>
    <w:multiLevelType w:val="singleLevel"/>
    <w:tmpl w:val="6100AD16"/>
    <w:lvl w:ilvl="0" w:tentative="0">
      <w:start w:val="1"/>
      <w:numFmt w:val="chineseCounting"/>
      <w:suff w:val="nothing"/>
      <w:lvlText w:val="（%1）"/>
      <w:lvlJc w:val="left"/>
      <w:rPr>
        <w:rFonts w:hint="eastAsia"/>
      </w:rPr>
    </w:lvl>
  </w:abstractNum>
  <w:abstractNum w:abstractNumId="3">
    <w:nsid w:val="68C8D586"/>
    <w:multiLevelType w:val="singleLevel"/>
    <w:tmpl w:val="68C8D586"/>
    <w:lvl w:ilvl="0" w:tentative="0">
      <w:start w:val="1"/>
      <w:numFmt w:val="chineseCounting"/>
      <w:suff w:val="nothing"/>
      <w:lvlText w:val="%1、"/>
      <w:lvlJc w:val="left"/>
    </w:lvl>
  </w:abstractNum>
  <w:abstractNum w:abstractNumId="4">
    <w:nsid w:val="68C911E6"/>
    <w:multiLevelType w:val="singleLevel"/>
    <w:tmpl w:val="68C911E6"/>
    <w:lvl w:ilvl="0" w:tentative="0">
      <w:start w:val="1"/>
      <w:numFmt w:val="decimal"/>
      <w:suff w:val="nothing"/>
      <w:lvlText w:val="%1."/>
      <w:lvlJc w:val="left"/>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1FB37BB"/>
    <w:rsid w:val="02317B1B"/>
    <w:rsid w:val="02FEBE30"/>
    <w:rsid w:val="061E35DE"/>
    <w:rsid w:val="066E0107"/>
    <w:rsid w:val="06AC723C"/>
    <w:rsid w:val="075600A4"/>
    <w:rsid w:val="07996F6E"/>
    <w:rsid w:val="07DFD8BA"/>
    <w:rsid w:val="08DB07E4"/>
    <w:rsid w:val="09867E8F"/>
    <w:rsid w:val="0A2032A3"/>
    <w:rsid w:val="0C6C4794"/>
    <w:rsid w:val="0CA8290A"/>
    <w:rsid w:val="0D35B1ED"/>
    <w:rsid w:val="0DE07E2B"/>
    <w:rsid w:val="0F98263C"/>
    <w:rsid w:val="101860EC"/>
    <w:rsid w:val="10C055FF"/>
    <w:rsid w:val="11772AA4"/>
    <w:rsid w:val="118107EC"/>
    <w:rsid w:val="127D25E6"/>
    <w:rsid w:val="13957196"/>
    <w:rsid w:val="13D50BC4"/>
    <w:rsid w:val="14022904"/>
    <w:rsid w:val="152F2A07"/>
    <w:rsid w:val="165E0673"/>
    <w:rsid w:val="16BB723D"/>
    <w:rsid w:val="16F13FCB"/>
    <w:rsid w:val="186504BB"/>
    <w:rsid w:val="1938089F"/>
    <w:rsid w:val="19A445FC"/>
    <w:rsid w:val="1B7D550C"/>
    <w:rsid w:val="1BE8440E"/>
    <w:rsid w:val="1D155CEE"/>
    <w:rsid w:val="1DE178F3"/>
    <w:rsid w:val="1E740ACF"/>
    <w:rsid w:val="1FF35744"/>
    <w:rsid w:val="1FF6BC77"/>
    <w:rsid w:val="21962A9E"/>
    <w:rsid w:val="21AE7C77"/>
    <w:rsid w:val="22BC3C41"/>
    <w:rsid w:val="23860B96"/>
    <w:rsid w:val="240371BF"/>
    <w:rsid w:val="260F557C"/>
    <w:rsid w:val="281408E2"/>
    <w:rsid w:val="29FD04D3"/>
    <w:rsid w:val="2BFF7BC6"/>
    <w:rsid w:val="2C8A61B5"/>
    <w:rsid w:val="2D2E01CF"/>
    <w:rsid w:val="2DF04E50"/>
    <w:rsid w:val="2E9545B0"/>
    <w:rsid w:val="2F040D46"/>
    <w:rsid w:val="2FAE5751"/>
    <w:rsid w:val="2FB1A395"/>
    <w:rsid w:val="2FD9A7D8"/>
    <w:rsid w:val="319F7F4E"/>
    <w:rsid w:val="31AB3E7D"/>
    <w:rsid w:val="321B2544"/>
    <w:rsid w:val="3304709D"/>
    <w:rsid w:val="330D187D"/>
    <w:rsid w:val="34281836"/>
    <w:rsid w:val="349D6851"/>
    <w:rsid w:val="35BA6CAF"/>
    <w:rsid w:val="35D37231"/>
    <w:rsid w:val="364D14C1"/>
    <w:rsid w:val="36AA5135"/>
    <w:rsid w:val="36BE0DA7"/>
    <w:rsid w:val="376B6AA6"/>
    <w:rsid w:val="376D39B2"/>
    <w:rsid w:val="37E16F03"/>
    <w:rsid w:val="37F53A3B"/>
    <w:rsid w:val="389B6C89"/>
    <w:rsid w:val="38D469F0"/>
    <w:rsid w:val="39627CCD"/>
    <w:rsid w:val="397BAF1F"/>
    <w:rsid w:val="3AB79AF3"/>
    <w:rsid w:val="3B7EF35A"/>
    <w:rsid w:val="3B9FDB6C"/>
    <w:rsid w:val="3BF5BC2F"/>
    <w:rsid w:val="3CEBA265"/>
    <w:rsid w:val="3D98207C"/>
    <w:rsid w:val="3D9B0D99"/>
    <w:rsid w:val="3DEE7CF3"/>
    <w:rsid w:val="3DF02244"/>
    <w:rsid w:val="3E78745D"/>
    <w:rsid w:val="3FF4CAE0"/>
    <w:rsid w:val="3FF7B227"/>
    <w:rsid w:val="40E54C45"/>
    <w:rsid w:val="41313393"/>
    <w:rsid w:val="43A407DF"/>
    <w:rsid w:val="44515BEA"/>
    <w:rsid w:val="44E268DA"/>
    <w:rsid w:val="453F7E5B"/>
    <w:rsid w:val="47D25399"/>
    <w:rsid w:val="486A6C7A"/>
    <w:rsid w:val="48CF2C3E"/>
    <w:rsid w:val="49176D9B"/>
    <w:rsid w:val="494006BD"/>
    <w:rsid w:val="4A627F82"/>
    <w:rsid w:val="4B0E749A"/>
    <w:rsid w:val="4B4F25DA"/>
    <w:rsid w:val="4BDA0CFB"/>
    <w:rsid w:val="4BE068DB"/>
    <w:rsid w:val="4D3C0CCC"/>
    <w:rsid w:val="4D577224"/>
    <w:rsid w:val="4DBF1CEB"/>
    <w:rsid w:val="4EAB630A"/>
    <w:rsid w:val="4ECE2238"/>
    <w:rsid w:val="4F833267"/>
    <w:rsid w:val="4FE9BD67"/>
    <w:rsid w:val="4FFB052F"/>
    <w:rsid w:val="501A1680"/>
    <w:rsid w:val="52A2676A"/>
    <w:rsid w:val="53083A92"/>
    <w:rsid w:val="537E6D0A"/>
    <w:rsid w:val="53AF27A2"/>
    <w:rsid w:val="53F74C96"/>
    <w:rsid w:val="56E47B74"/>
    <w:rsid w:val="57673A55"/>
    <w:rsid w:val="57BD3DD4"/>
    <w:rsid w:val="59595622"/>
    <w:rsid w:val="5AF92295"/>
    <w:rsid w:val="5BDD79E6"/>
    <w:rsid w:val="5BF561CA"/>
    <w:rsid w:val="5BFF5DFC"/>
    <w:rsid w:val="5CD71FC4"/>
    <w:rsid w:val="5D1F11B5"/>
    <w:rsid w:val="5DAE1B18"/>
    <w:rsid w:val="5DE7D9E5"/>
    <w:rsid w:val="5EAC5546"/>
    <w:rsid w:val="5ECEC941"/>
    <w:rsid w:val="5F493CB7"/>
    <w:rsid w:val="5FBF9FF3"/>
    <w:rsid w:val="5FCD4E2C"/>
    <w:rsid w:val="5FD15F49"/>
    <w:rsid w:val="5FEF394A"/>
    <w:rsid w:val="5FF67715"/>
    <w:rsid w:val="61F53D53"/>
    <w:rsid w:val="62BF3928"/>
    <w:rsid w:val="647F5392"/>
    <w:rsid w:val="664B1D71"/>
    <w:rsid w:val="67AA3209"/>
    <w:rsid w:val="681C4F0D"/>
    <w:rsid w:val="69046D0F"/>
    <w:rsid w:val="698D0931"/>
    <w:rsid w:val="6A993CED"/>
    <w:rsid w:val="6B053271"/>
    <w:rsid w:val="6BCE6674"/>
    <w:rsid w:val="6C4A05C8"/>
    <w:rsid w:val="6C8742B8"/>
    <w:rsid w:val="6C8A170F"/>
    <w:rsid w:val="6CB54609"/>
    <w:rsid w:val="6DBF5E93"/>
    <w:rsid w:val="6DFF077E"/>
    <w:rsid w:val="6E7E3605"/>
    <w:rsid w:val="6E7FDCC7"/>
    <w:rsid w:val="6ED6A62E"/>
    <w:rsid w:val="6EE00B15"/>
    <w:rsid w:val="6F175951"/>
    <w:rsid w:val="6F544B20"/>
    <w:rsid w:val="6F6FB3EB"/>
    <w:rsid w:val="6F784160"/>
    <w:rsid w:val="6F8731EA"/>
    <w:rsid w:val="6FAD1FC3"/>
    <w:rsid w:val="6FCE6052"/>
    <w:rsid w:val="6FD57C00"/>
    <w:rsid w:val="6FEFFFD8"/>
    <w:rsid w:val="6FF5CC65"/>
    <w:rsid w:val="6FFB47EC"/>
    <w:rsid w:val="6FFF034A"/>
    <w:rsid w:val="70496804"/>
    <w:rsid w:val="712A28F1"/>
    <w:rsid w:val="715C0E4B"/>
    <w:rsid w:val="72233669"/>
    <w:rsid w:val="72734D90"/>
    <w:rsid w:val="7332FE48"/>
    <w:rsid w:val="73AB61DA"/>
    <w:rsid w:val="73AD73D5"/>
    <w:rsid w:val="73B6EB34"/>
    <w:rsid w:val="73FA497D"/>
    <w:rsid w:val="744731E5"/>
    <w:rsid w:val="74527205"/>
    <w:rsid w:val="74BBD01D"/>
    <w:rsid w:val="74ED5379"/>
    <w:rsid w:val="74FC2395"/>
    <w:rsid w:val="75DD37D4"/>
    <w:rsid w:val="75DEEEC2"/>
    <w:rsid w:val="76E3355F"/>
    <w:rsid w:val="76FF5125"/>
    <w:rsid w:val="776F6FFA"/>
    <w:rsid w:val="778769C8"/>
    <w:rsid w:val="77DC22F5"/>
    <w:rsid w:val="79086DAD"/>
    <w:rsid w:val="79974F09"/>
    <w:rsid w:val="79D7FD79"/>
    <w:rsid w:val="79EE5BA4"/>
    <w:rsid w:val="7A894339"/>
    <w:rsid w:val="7AFF7572"/>
    <w:rsid w:val="7B6C7DFB"/>
    <w:rsid w:val="7BBFBED0"/>
    <w:rsid w:val="7BC3E394"/>
    <w:rsid w:val="7C1F3737"/>
    <w:rsid w:val="7CBFC87B"/>
    <w:rsid w:val="7CFE0F48"/>
    <w:rsid w:val="7D7EC23E"/>
    <w:rsid w:val="7D916348"/>
    <w:rsid w:val="7E8ADEBF"/>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7">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2"/>
    <w:qFormat/>
    <w:uiPriority w:val="0"/>
    <w:pPr>
      <w:spacing w:after="120"/>
      <w:ind w:leftChars="200"/>
    </w:pPr>
    <w:rPr>
      <w:rFonts w:ascii="仿宋_GB2312"/>
      <w:szCs w:val="32"/>
    </w:rPr>
  </w:style>
  <w:style w:type="paragraph" w:styleId="7">
    <w:name w:val="Body Text"/>
    <w:basedOn w:val="1"/>
    <w:link w:val="26"/>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2"/>
    <w:semiHidden/>
    <w:unhideWhenUsed/>
    <w:qFormat/>
    <w:uiPriority w:val="99"/>
    <w:rPr>
      <w:sz w:val="18"/>
      <w:szCs w:val="18"/>
    </w:rPr>
  </w:style>
  <w:style w:type="paragraph" w:styleId="10">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2"/>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paragraph" w:customStyle="1" w:styleId="20">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1">
    <w:name w:val="Header Char"/>
    <w:basedOn w:val="17"/>
    <w:semiHidden/>
    <w:qFormat/>
    <w:uiPriority w:val="99"/>
    <w:rPr>
      <w:rFonts w:ascii="Times New Roman" w:hAnsi="Times New Roman"/>
      <w:sz w:val="18"/>
      <w:szCs w:val="18"/>
    </w:rPr>
  </w:style>
  <w:style w:type="character" w:customStyle="1" w:styleId="22">
    <w:name w:val="页眉 Char"/>
    <w:link w:val="11"/>
    <w:semiHidden/>
    <w:qFormat/>
    <w:locked/>
    <w:uiPriority w:val="99"/>
    <w:rPr>
      <w:sz w:val="18"/>
    </w:rPr>
  </w:style>
  <w:style w:type="character" w:customStyle="1" w:styleId="23">
    <w:name w:val="Footer Char"/>
    <w:basedOn w:val="17"/>
    <w:semiHidden/>
    <w:qFormat/>
    <w:uiPriority w:val="99"/>
    <w:rPr>
      <w:rFonts w:ascii="Times New Roman" w:hAnsi="Times New Roman"/>
      <w:sz w:val="18"/>
      <w:szCs w:val="18"/>
    </w:rPr>
  </w:style>
  <w:style w:type="character" w:customStyle="1" w:styleId="24">
    <w:name w:val="页脚 Char"/>
    <w:link w:val="10"/>
    <w:qFormat/>
    <w:locked/>
    <w:uiPriority w:val="99"/>
    <w:rPr>
      <w:sz w:val="18"/>
    </w:rPr>
  </w:style>
  <w:style w:type="character" w:customStyle="1" w:styleId="25">
    <w:name w:val="Body Text Char"/>
    <w:basedOn w:val="17"/>
    <w:semiHidden/>
    <w:qFormat/>
    <w:uiPriority w:val="99"/>
    <w:rPr>
      <w:rFonts w:ascii="Times New Roman" w:hAnsi="Times New Roman"/>
      <w:szCs w:val="24"/>
    </w:rPr>
  </w:style>
  <w:style w:type="character" w:customStyle="1" w:styleId="26">
    <w:name w:val="正文文本 Char"/>
    <w:link w:val="7"/>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Char"/>
    <w:basedOn w:val="17"/>
    <w:link w:val="4"/>
    <w:qFormat/>
    <w:uiPriority w:val="9"/>
    <w:rPr>
      <w:rFonts w:ascii="Times New Roman" w:hAnsi="Times New Roman"/>
      <w:b/>
      <w:bCs/>
      <w:kern w:val="44"/>
      <w:sz w:val="44"/>
      <w:szCs w:val="44"/>
    </w:rPr>
  </w:style>
  <w:style w:type="character" w:customStyle="1" w:styleId="30">
    <w:name w:val="标题 2 Char"/>
    <w:basedOn w:val="17"/>
    <w:link w:val="5"/>
    <w:qFormat/>
    <w:uiPriority w:val="9"/>
    <w:rPr>
      <w:rFonts w:asciiTheme="majorHAnsi" w:hAnsiTheme="majorHAnsi" w:eastAsiaTheme="majorEastAsia" w:cstheme="majorBidi"/>
      <w:b/>
      <w:bCs/>
      <w:kern w:val="2"/>
      <w:sz w:val="32"/>
      <w:szCs w:val="32"/>
    </w:rPr>
  </w:style>
  <w:style w:type="paragraph" w:customStyle="1" w:styleId="31">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Char"/>
    <w:basedOn w:val="17"/>
    <w:link w:val="9"/>
    <w:semiHidden/>
    <w:qFormat/>
    <w:uiPriority w:val="99"/>
    <w:rPr>
      <w:rFonts w:ascii="Times New Roman" w:hAnsi="Times New Roman"/>
      <w:kern w:val="2"/>
      <w:sz w:val="18"/>
      <w:szCs w:val="18"/>
    </w:rPr>
  </w:style>
  <w:style w:type="character" w:customStyle="1" w:styleId="33">
    <w:name w:val="标题 3 Char"/>
    <w:basedOn w:val="17"/>
    <w:link w:val="6"/>
    <w:qFormat/>
    <w:uiPriority w:val="9"/>
    <w:rPr>
      <w:rFonts w:ascii="Times New Roman" w:hAnsi="Times New Roman"/>
      <w:b/>
      <w:bCs/>
      <w:kern w:val="2"/>
      <w:sz w:val="32"/>
      <w:szCs w:val="32"/>
    </w:rPr>
  </w:style>
  <w:style w:type="paragraph" w:customStyle="1" w:styleId="34">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chart" Target="charts/chart6.xml"/><Relationship Id="rId14" Type="http://schemas.openxmlformats.org/officeDocument/2006/relationships/chart" Target="charts/chart5.xml"/><Relationship Id="rId13" Type="http://schemas.openxmlformats.org/officeDocument/2006/relationships/chart" Target="charts/chart4.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收、支决算总计变动情况图</a:t>
            </a:r>
            <a:r>
              <a:rPr lang="en-US" altLang="zh-CN"/>
              <a:t>1</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45162236715858"/>
          <c:y val="0.267860863040504"/>
          <c:w val="0.93254490485506"/>
          <c:h val="0.489940119760479"/>
        </c:manualLayout>
      </c:layout>
      <c:barChart>
        <c:barDir val="col"/>
        <c:grouping val="clustered"/>
        <c:varyColors val="0"/>
        <c:ser>
          <c:idx val="0"/>
          <c:order val="0"/>
          <c:tx>
            <c:strRef>
              <c:f>Sheet1!$B$1</c:f>
              <c:strCache>
                <c:ptCount val="1"/>
                <c:pt idx="0">
                  <c:v>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24年收入</c:v>
                </c:pt>
                <c:pt idx="1">
                  <c:v>25年收入</c:v>
                </c:pt>
              </c:strCache>
            </c:strRef>
          </c:cat>
          <c:val>
            <c:numRef>
              <c:f>Sheet1!$B$2:$B$4</c:f>
              <c:numCache>
                <c:formatCode>General</c:formatCode>
                <c:ptCount val="3"/>
                <c:pt idx="0">
                  <c:v>188.09</c:v>
                </c:pt>
                <c:pt idx="1">
                  <c:v>242.74</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0fc43ec-197b-43e7-8f7b-5d4d1b99a87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a:t>
            </a:r>
            <a:r>
              <a:rPr lang="en-US" altLang="zh-CN"/>
              <a:t>25</a:t>
            </a:r>
            <a:r>
              <a:t>年全年收入结构图</a:t>
            </a:r>
            <a:r>
              <a:rPr lang="en-US" altLang="zh-CN"/>
              <a:t>2</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2025年本年收入结构图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财政拨款收入</c:v>
                </c:pt>
                <c:pt idx="1">
                  <c:v>事业收入</c:v>
                </c:pt>
                <c:pt idx="2">
                  <c:v>其他收入</c:v>
                </c:pt>
              </c:strCache>
            </c:strRef>
          </c:cat>
          <c:val>
            <c:numRef>
              <c:f>Sheet1!$B$2:$B$4</c:f>
              <c:numCache>
                <c:formatCode>General</c:formatCode>
                <c:ptCount val="3"/>
                <c:pt idx="0">
                  <c:v>209.1</c:v>
                </c:pt>
                <c:pt idx="1">
                  <c:v>8.73</c:v>
                </c:pt>
                <c:pt idx="2">
                  <c:v>24.9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d7a7124-0a41-4a53-8fbb-5c6e2ec9a4e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202</a:t>
            </a:r>
            <a:r>
              <a:rPr lang="en-US" altLang="zh-CN"/>
              <a:t>5</a:t>
            </a:r>
            <a:r>
              <a:t>年本年支出结构图</a:t>
            </a:r>
            <a:r>
              <a:rPr lang="en-US" altLang="zh-CN"/>
              <a:t>3</a:t>
            </a:r>
            <a:endParaRPr lang="en-US" altLang="zh-CN"/>
          </a:p>
        </c:rich>
      </c:tx>
      <c:layout>
        <c:manualLayout>
          <c:xMode val="edge"/>
          <c:yMode val="edge"/>
          <c:x val="0.353507374475086"/>
          <c:y val="0.105891866662585"/>
        </c:manualLayout>
      </c:layout>
      <c:overlay val="0"/>
      <c:spPr>
        <a:noFill/>
        <a:ln>
          <a:noFill/>
        </a:ln>
        <a:effectLst/>
      </c:spPr>
    </c:title>
    <c:autoTitleDeleted val="0"/>
    <c:plotArea>
      <c:layout/>
      <c:pieChart>
        <c:varyColors val="1"/>
        <c:ser>
          <c:idx val="0"/>
          <c:order val="0"/>
          <c:tx>
            <c:strRef>
              <c:f>Sheet1!$B$1</c:f>
              <c:strCache>
                <c:ptCount val="1"/>
                <c:pt idx="0">
                  <c:v>2025年本年支出结构图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199.94</c:v>
                </c:pt>
                <c:pt idx="1">
                  <c:v>42.79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8825d0a-4e85-4aff-a210-5f28d4ce84a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23866263560377"/>
          <c:y val="0.28024065864471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24年财政收入</c:v>
                </c:pt>
                <c:pt idx="1">
                  <c:v>25年财政收入</c:v>
                </c:pt>
              </c:strCache>
            </c:strRef>
          </c:cat>
          <c:val>
            <c:numRef>
              <c:f>Sheet1!$B$2:$B$4</c:f>
              <c:numCache>
                <c:formatCode>General</c:formatCode>
                <c:ptCount val="3"/>
                <c:pt idx="0">
                  <c:v>188.09</c:v>
                </c:pt>
                <c:pt idx="1">
                  <c:v>209.1</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bbc6d23-0075-4faf-8c0a-4dce3aff82f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r>
              <a:rPr lang="en-US" altLang="zh-CN"/>
              <a:t>5</a:t>
            </a:r>
            <a:endParaRPr lang="en-US" altLang="zh-CN"/>
          </a:p>
        </c:rich>
      </c:tx>
      <c:layout>
        <c:manualLayout>
          <c:xMode val="edge"/>
          <c:yMode val="edge"/>
          <c:x val="0.416145661172576"/>
          <c:y val="0.872754491017964"/>
        </c:manualLayout>
      </c:layout>
      <c:overlay val="0"/>
      <c:spPr>
        <a:noFill/>
        <a:ln>
          <a:noFill/>
        </a:ln>
        <a:effectLst/>
      </c:spPr>
    </c:title>
    <c:autoTitleDeleted val="0"/>
    <c:plotArea>
      <c:layout>
        <c:manualLayout>
          <c:layoutTarget val="inner"/>
          <c:xMode val="edge"/>
          <c:yMode val="edge"/>
          <c:x val="0.0448692868575494"/>
          <c:y val="0.166766467065868"/>
          <c:w val="0.93254490485506"/>
          <c:h val="0.489940119760479"/>
        </c:manualLayout>
      </c:layout>
      <c:barChart>
        <c:barDir val="col"/>
        <c:grouping val="clustered"/>
        <c:varyColors val="0"/>
        <c:ser>
          <c:idx val="0"/>
          <c:order val="0"/>
          <c:tx>
            <c:strRef>
              <c:f>Sheet1!$B$1</c:f>
              <c:strCache>
                <c:ptCount val="1"/>
                <c:pt idx="0">
                  <c:v>一般公共预算财政拨款支出决算变动情况</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25年财政支出</c:v>
                </c:pt>
                <c:pt idx="1">
                  <c:v>24年财政支出</c:v>
                </c:pt>
              </c:strCache>
            </c:strRef>
          </c:cat>
          <c:val>
            <c:numRef>
              <c:f>Sheet1!$B$2:$B$3</c:f>
              <c:numCache>
                <c:formatCode>General</c:formatCode>
                <c:ptCount val="2"/>
                <c:pt idx="0">
                  <c:v>209.1</c:v>
                </c:pt>
                <c:pt idx="1">
                  <c:v>188.09</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manualLayout>
          <c:xMode val="edge"/>
          <c:yMode val="edge"/>
          <c:x val="0.369687324471073"/>
          <c:y val="0.0604790419161677"/>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bab7bb1-33c4-490b-9918-40e3f25f571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一般公共预算财政拨款支出决算结构图</a:t>
            </a:r>
            <a:r>
              <a:rPr lang="en-US" altLang="zh-CN"/>
              <a:t>6</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一般公共预算财政拨款支出决算结构图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Sheet1!$B$2:$B$4</c:f>
              <c:numCache>
                <c:formatCode>General</c:formatCode>
                <c:ptCount val="3"/>
                <c:pt idx="0">
                  <c:v>26.77</c:v>
                </c:pt>
                <c:pt idx="1">
                  <c:v>166.77</c:v>
                </c:pt>
                <c:pt idx="2">
                  <c:v>15.54</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4463270481951"/>
          <c:y val="0.84533211391478"/>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df4f487-a65a-4d86-9880-f759de3d64a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23</Pages>
  <Words>7557</Words>
  <Characters>7991</Characters>
  <Lines>61</Lines>
  <Paragraphs>17</Paragraphs>
  <TotalTime>5</TotalTime>
  <ScaleCrop>false</ScaleCrop>
  <LinksUpToDate>false</LinksUpToDate>
  <CharactersWithSpaces>8172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Administrator</cp:lastModifiedBy>
  <cp:lastPrinted>2026-08-03T09:27:00Z</cp:lastPrinted>
  <dcterms:modified xsi:type="dcterms:W3CDTF">2026-10-22T02:21:27Z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400D301575C74348A5277D00A7902E06</vt:lpwstr>
  </property>
  <property fmtid="{D5CDD505-2E9C-101B-9397-08002B2CF9AE}" pid="4" name="KSOTemplateDocerSaveRecord">
    <vt:lpwstr>eyJoZGlkIjoiMjg5OWZiMjc2MDJiNDc4NzFjMWM1OGEwN2FmZjdiN2QiLCJ1c2VySWQiOiIxMTQ4NzIyNDAwIn0=</vt:lpwstr>
  </property>
</Properties>
</file>