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FD62A">
      <w:pPr>
        <w:pStyle w:val="28"/>
        <w:keepNext w:val="0"/>
        <w:keepLines w:val="0"/>
        <w:widowControl/>
        <w:suppressLineNumbers w:val="0"/>
        <w:spacing w:before="0" w:beforeAutospacing="0"/>
        <w:ind w:left="0"/>
        <w:jc w:val="center"/>
        <w:rPr>
          <w:sz w:val="24"/>
          <w:szCs w:val="24"/>
        </w:rPr>
      </w:pPr>
      <w:r>
        <w:rPr>
          <w:rStyle w:val="34"/>
          <w:sz w:val="24"/>
          <w:szCs w:val="24"/>
          <w:shd w:val="clear" w:color="auto" w:fill="FFFFFF"/>
        </w:rPr>
        <w:t>202</w:t>
      </w:r>
      <w:r>
        <w:rPr>
          <w:rStyle w:val="34"/>
          <w:rFonts w:hint="eastAsia"/>
          <w:sz w:val="24"/>
          <w:szCs w:val="24"/>
          <w:shd w:val="clear" w:color="auto" w:fill="FFFFFF"/>
          <w:lang w:val="en-US" w:eastAsia="zh-CN"/>
        </w:rPr>
        <w:t>5</w:t>
      </w:r>
      <w:r>
        <w:rPr>
          <w:rStyle w:val="34"/>
          <w:sz w:val="24"/>
          <w:szCs w:val="24"/>
          <w:shd w:val="clear" w:color="auto" w:fill="FFFFFF"/>
        </w:rPr>
        <w:t>年度</w:t>
      </w:r>
    </w:p>
    <w:p w14:paraId="1BAF6BA4">
      <w:pPr>
        <w:pStyle w:val="28"/>
        <w:keepNext w:val="0"/>
        <w:keepLines w:val="0"/>
        <w:widowControl/>
        <w:suppressLineNumbers w:val="0"/>
        <w:spacing w:before="0" w:beforeAutospacing="0"/>
        <w:ind w:left="0"/>
        <w:jc w:val="center"/>
        <w:rPr>
          <w:sz w:val="24"/>
          <w:szCs w:val="24"/>
        </w:rPr>
      </w:pPr>
      <w:r>
        <w:rPr>
          <w:rStyle w:val="34"/>
          <w:sz w:val="24"/>
          <w:szCs w:val="24"/>
          <w:shd w:val="clear" w:color="auto" w:fill="FFFFFF"/>
        </w:rPr>
        <w:t>阿坝州红原县</w:t>
      </w:r>
      <w:r>
        <w:rPr>
          <w:rStyle w:val="34"/>
          <w:rFonts w:hint="eastAsia"/>
          <w:sz w:val="24"/>
          <w:szCs w:val="24"/>
          <w:shd w:val="clear" w:color="auto" w:fill="FFFFFF"/>
          <w:lang w:eastAsia="zh-CN"/>
        </w:rPr>
        <w:t>安曲</w:t>
      </w:r>
      <w:r>
        <w:rPr>
          <w:rStyle w:val="34"/>
          <w:sz w:val="24"/>
          <w:szCs w:val="24"/>
          <w:shd w:val="clear" w:color="auto" w:fill="FFFFFF"/>
        </w:rPr>
        <w:t>镇卫生院</w:t>
      </w:r>
      <w:r>
        <w:rPr>
          <w:rStyle w:val="34"/>
          <w:rFonts w:hint="eastAsia"/>
          <w:sz w:val="24"/>
          <w:szCs w:val="24"/>
          <w:shd w:val="clear" w:color="auto" w:fill="FFFFFF"/>
          <w:lang w:eastAsia="zh-CN"/>
        </w:rPr>
        <w:t>单位</w:t>
      </w:r>
      <w:r>
        <w:rPr>
          <w:rStyle w:val="34"/>
          <w:sz w:val="24"/>
          <w:szCs w:val="24"/>
          <w:shd w:val="clear" w:color="auto" w:fill="FFFFFF"/>
        </w:rPr>
        <w:t>决算</w:t>
      </w:r>
      <w:r>
        <w:rPr>
          <w:rStyle w:val="34"/>
          <w:rFonts w:hint="eastAsia"/>
          <w:sz w:val="24"/>
          <w:szCs w:val="24"/>
          <w:shd w:val="clear" w:color="auto" w:fill="FFFFFF"/>
          <w:lang w:eastAsia="zh-CN"/>
        </w:rPr>
        <w:t>公开</w:t>
      </w:r>
    </w:p>
    <w:p w14:paraId="786EB513">
      <w:pPr>
        <w:rPr>
          <w:rFonts w:ascii="Times New Roman" w:hAnsi="Times New Roman"/>
          <w:sz w:val="24"/>
          <w:szCs w:val="24"/>
        </w:rPr>
      </w:pPr>
    </w:p>
    <w:p w14:paraId="5D8E56AE">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0D75AFE2">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665EC980">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3FEB6F22">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465E939F">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723F0C64">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bookmarkStart w:id="132" w:name="_GoBack"/>
      <w:bookmarkEnd w:id="132"/>
    </w:p>
    <w:p w14:paraId="378C6DA0">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26BAB850">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366F3817">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367676A5">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3FFFC251">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65C63934">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1A1176F1">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08877792">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44D56214">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419557FC">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6076703B">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3DA9260B">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p w14:paraId="0BCEDF8A">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b w:val="0"/>
          <w:color w:val="auto"/>
          <w:highlight w:val="none"/>
        </w:rPr>
      </w:pPr>
    </w:p>
    <w:sdt>
      <w:sdtPr>
        <w:rPr>
          <w:rFonts w:hint="eastAsia" w:ascii="方正公文小标宋" w:hAnsi="方正公文小标宋" w:eastAsia="方正公文小标宋" w:cs="方正公文小标宋"/>
          <w:kern w:val="2"/>
          <w:sz w:val="44"/>
          <w:szCs w:val="44"/>
          <w:lang w:val="en-US" w:eastAsia="zh-CN" w:bidi="ar-SA"/>
        </w:rPr>
        <w:id w:val="147469864"/>
        <w15:color w:val="DBDBDB"/>
        <w:docPartObj>
          <w:docPartGallery w:val="Table of Contents"/>
          <w:docPartUnique/>
        </w:docPartObj>
      </w:sdtPr>
      <w:sdtEndPr>
        <w:rPr>
          <w:rFonts w:hint="eastAsia" w:ascii="Times New Roman" w:hAnsi="Times New Roman" w:eastAsia="方正小标宋简体" w:cs="方正小标宋简体"/>
          <w:color w:val="auto"/>
          <w:kern w:val="2"/>
          <w:sz w:val="24"/>
          <w:szCs w:val="24"/>
          <w:highlight w:val="none"/>
          <w:lang w:val="en-US" w:eastAsia="zh-CN" w:bidi="ar-SA"/>
        </w:rPr>
      </w:sdtEndPr>
      <w:sdtContent>
        <w:p w14:paraId="33F6A5C8">
          <w:pPr>
            <w:pageBreakBefore w:val="0"/>
            <w:kinsoku/>
            <w:wordWrap/>
            <w:overflowPunct/>
            <w:topLinePunct w:val="0"/>
            <w:autoSpaceDE/>
            <w:autoSpaceDN/>
            <w:bidi w:val="0"/>
            <w:spacing w:before="0" w:beforeLines="0" w:after="0" w:afterLines="0" w:line="560" w:lineRule="exact"/>
            <w:ind w:left="0" w:leftChars="0" w:right="0" w:rightChars="0" w:firstLine="0" w:firstLineChars="0"/>
            <w:jc w:val="center"/>
            <w:textAlignment w:val="auto"/>
            <w:rPr>
              <w:rFonts w:hint="eastAsia" w:ascii="方正公文小标宋" w:hAnsi="方正公文小标宋" w:eastAsia="方正公文小标宋" w:cs="方正公文小标宋"/>
              <w:kern w:val="2"/>
              <w:sz w:val="44"/>
              <w:szCs w:val="44"/>
              <w:lang w:val="en-US" w:eastAsia="zh-CN" w:bidi="ar-SA"/>
            </w:rPr>
          </w:pPr>
        </w:p>
        <w:p w14:paraId="53CEBEF9">
          <w:pPr>
            <w:pageBreakBefore w:val="0"/>
            <w:kinsoku/>
            <w:wordWrap/>
            <w:overflowPunct/>
            <w:topLinePunct w:val="0"/>
            <w:autoSpaceDE/>
            <w:autoSpaceDN/>
            <w:bidi w:val="0"/>
            <w:spacing w:before="0" w:beforeLines="0" w:after="0" w:afterLines="0" w:line="560" w:lineRule="exact"/>
            <w:ind w:left="0" w:leftChars="0" w:right="0" w:rightChars="0" w:firstLine="0" w:firstLineChars="0"/>
            <w:jc w:val="center"/>
            <w:textAlignment w:val="auto"/>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目录</w:t>
          </w:r>
        </w:p>
        <w:p w14:paraId="14CAC6DA">
          <w:pPr>
            <w:pStyle w:val="23"/>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 w:val="24"/>
              <w:szCs w:val="24"/>
              <w:highlight w:val="none"/>
              <w:lang w:val="en-US" w:eastAsia="zh-CN" w:bidi="ar-SA"/>
            </w:rPr>
            <w:fldChar w:fldCharType="begin"/>
          </w:r>
          <w:r>
            <w:rPr>
              <w:rFonts w:hint="eastAsia" w:ascii="Times New Roman" w:hAnsi="Times New Roman" w:eastAsia="方正小标宋简体" w:cs="方正小标宋简体"/>
              <w:color w:val="auto"/>
              <w:kern w:val="2"/>
              <w:sz w:val="24"/>
              <w:szCs w:val="24"/>
              <w:highlight w:val="none"/>
              <w:lang w:val="en-US" w:eastAsia="zh-CN" w:bidi="ar-SA"/>
            </w:rPr>
            <w:instrText xml:space="preserve">TOC \o "1-3" \h \u </w:instrText>
          </w:r>
          <w:r>
            <w:rPr>
              <w:rFonts w:hint="eastAsia" w:ascii="Times New Roman" w:hAnsi="Times New Roman" w:eastAsia="方正小标宋简体" w:cs="方正小标宋简体"/>
              <w:color w:val="auto"/>
              <w:kern w:val="2"/>
              <w:sz w:val="24"/>
              <w:szCs w:val="24"/>
              <w:highlight w:val="none"/>
              <w:lang w:val="en-US" w:eastAsia="zh-CN" w:bidi="ar-SA"/>
            </w:rPr>
            <w:fldChar w:fldCharType="separate"/>
          </w: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_Toc16033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方正小标宋简体" w:cs="方正小标宋简体"/>
              <w:highlight w:val="none"/>
            </w:rPr>
            <w:t>第一部分</w:t>
          </w:r>
          <w:r>
            <w:rPr>
              <w:rFonts w:hint="eastAsia" w:ascii="Times New Roman" w:hAnsi="Times New Roman" w:eastAsia="方正小标宋简体" w:cs="方正小标宋简体"/>
              <w:highlight w:val="none"/>
              <w:lang w:val="en-US" w:eastAsia="zh-CN"/>
            </w:rPr>
            <w:t xml:space="preserve">  </w:t>
          </w:r>
          <w:r>
            <w:rPr>
              <w:rFonts w:hint="eastAsia" w:ascii="Times New Roman" w:hAnsi="Times New Roman" w:eastAsia="方正小标宋简体" w:cs="方正小标宋简体"/>
              <w:bCs w:val="0"/>
              <w:highlight w:val="none"/>
            </w:rPr>
            <w:t>部门概况</w:t>
          </w:r>
          <w:r>
            <w:tab/>
          </w:r>
          <w:r>
            <w:fldChar w:fldCharType="begin"/>
          </w:r>
          <w:r>
            <w:instrText xml:space="preserve"> PAGEREF _Toc16033 \h </w:instrText>
          </w:r>
          <w:r>
            <w:fldChar w:fldCharType="separate"/>
          </w:r>
          <w:r>
            <w:t>3</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F1883F3">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_Toc15891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方正仿宋_GB2312" w:hAnsi="方正仿宋_GB2312" w:eastAsia="方正仿宋_GB2312" w:cs="方正仿宋_GB2312"/>
              <w:bCs/>
              <w:kern w:val="2"/>
              <w:szCs w:val="32"/>
              <w:lang w:val="en-US" w:eastAsia="zh-CN" w:bidi="ar-SA"/>
            </w:rPr>
            <w:t>一、</w:t>
          </w:r>
          <w:r>
            <w:rPr>
              <w:rFonts w:hint="eastAsia" w:ascii="Times New Roman" w:hAnsi="Times New Roman" w:eastAsia="黑体"/>
              <w:highlight w:val="none"/>
              <w:lang w:eastAsia="zh-CN"/>
            </w:rPr>
            <w:t>部门职责</w:t>
          </w:r>
          <w:r>
            <w:tab/>
          </w:r>
          <w:r>
            <w:fldChar w:fldCharType="begin"/>
          </w:r>
          <w:r>
            <w:instrText xml:space="preserve"> PAGEREF _Toc15891 \h </w:instrText>
          </w:r>
          <w:r>
            <w:fldChar w:fldCharType="separate"/>
          </w:r>
          <w:r>
            <w:t>3</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39C375CD">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_Toc29482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cstheme="minorBidi"/>
              <w:bCs w:val="0"/>
              <w:kern w:val="2"/>
              <w:szCs w:val="32"/>
              <w:lang w:val="en-US" w:eastAsia="zh-CN" w:bidi="ar-SA"/>
            </w:rPr>
            <w:t>二、</w:t>
          </w:r>
          <w:r>
            <w:rPr>
              <w:rFonts w:hint="eastAsia" w:ascii="Times New Roman" w:hAnsi="Times New Roman" w:eastAsia="黑体"/>
              <w:highlight w:val="none"/>
            </w:rPr>
            <w:t>机</w:t>
          </w:r>
          <w:r>
            <w:rPr>
              <w:rFonts w:hint="eastAsia" w:ascii="Times New Roman" w:hAnsi="Times New Roman" w:eastAsia="黑体"/>
              <w:bCs w:val="0"/>
              <w:highlight w:val="none"/>
            </w:rPr>
            <w:t>构设置</w:t>
          </w:r>
          <w:r>
            <w:tab/>
          </w:r>
          <w:r>
            <w:fldChar w:fldCharType="begin"/>
          </w:r>
          <w:r>
            <w:instrText xml:space="preserve"> PAGEREF _Toc29482 \h </w:instrText>
          </w:r>
          <w:r>
            <w:fldChar w:fldCharType="separate"/>
          </w:r>
          <w:r>
            <w:t>3</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058AFB2">
          <w:pPr>
            <w:pStyle w:val="23"/>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_Toc13008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方正小标宋简体" w:cs="方正小标宋简体"/>
              <w:highlight w:val="none"/>
            </w:rPr>
            <w:t>第二部分</w:t>
          </w:r>
          <w:r>
            <w:rPr>
              <w:rFonts w:hint="eastAsia" w:ascii="Times New Roman" w:hAnsi="Times New Roman" w:eastAsia="方正小标宋简体" w:cs="方正小标宋简体"/>
              <w:highlight w:val="none"/>
              <w:lang w:val="en-US" w:eastAsia="zh-CN"/>
            </w:rPr>
            <w:t xml:space="preserve"> </w:t>
          </w:r>
          <w:r>
            <w:rPr>
              <w:rFonts w:hint="eastAsia" w:ascii="Times New Roman" w:hAnsi="Times New Roman" w:eastAsia="方正小标宋简体" w:cs="方正小标宋简体"/>
              <w:highlight w:val="none"/>
            </w:rPr>
            <w:t xml:space="preserve"> </w:t>
          </w:r>
          <w:r>
            <w:rPr>
              <w:rFonts w:hint="eastAsia" w:ascii="Times New Roman" w:hAnsi="Times New Roman" w:eastAsia="方正小标宋简体" w:cs="方正小标宋简体"/>
              <w:highlight w:val="none"/>
              <w:lang w:val="en-US" w:eastAsia="zh-CN"/>
            </w:rPr>
            <w:t>2025年度</w:t>
          </w:r>
          <w:r>
            <w:rPr>
              <w:rFonts w:hint="eastAsia" w:ascii="Times New Roman" w:hAnsi="Times New Roman" w:eastAsia="方正小标宋简体" w:cs="方正小标宋简体"/>
              <w:highlight w:val="none"/>
            </w:rPr>
            <w:t>部门决算情况说明</w:t>
          </w:r>
          <w:r>
            <w:tab/>
          </w:r>
          <w:r>
            <w:fldChar w:fldCharType="begin"/>
          </w:r>
          <w:r>
            <w:instrText xml:space="preserve"> PAGEREF _Toc13008 \h </w:instrText>
          </w:r>
          <w:r>
            <w:fldChar w:fldCharType="separate"/>
          </w:r>
          <w:r>
            <w:t>4</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1C23A0E">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_Toc11150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lang w:eastAsia="zh-CN"/>
            </w:rPr>
            <w:t>一、</w:t>
          </w:r>
          <w:r>
            <w:rPr>
              <w:rFonts w:hint="eastAsia" w:ascii="Times New Roman" w:hAnsi="Times New Roman" w:eastAsia="黑体"/>
              <w:szCs w:val="32"/>
              <w:highlight w:val="none"/>
            </w:rPr>
            <w:t>收</w:t>
          </w:r>
          <w:r>
            <w:rPr>
              <w:rFonts w:hint="eastAsia" w:ascii="Times New Roman" w:hAnsi="Times New Roman" w:eastAsia="黑体"/>
              <w:highlight w:val="none"/>
            </w:rPr>
            <w:t>入支出决算总体情况说明</w:t>
          </w:r>
          <w:r>
            <w:tab/>
          </w:r>
          <w:r>
            <w:fldChar w:fldCharType="begin"/>
          </w:r>
          <w:r>
            <w:instrText xml:space="preserve"> PAGEREF _Toc11150 \h </w:instrText>
          </w:r>
          <w:r>
            <w:fldChar w:fldCharType="separate"/>
          </w:r>
          <w:r>
            <w:t>4</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A6BAB39">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_Toc23795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lang w:eastAsia="zh-CN"/>
            </w:rPr>
            <w:t>二、收入决算情况说明</w:t>
          </w:r>
          <w:r>
            <w:tab/>
          </w:r>
          <w:r>
            <w:fldChar w:fldCharType="begin"/>
          </w:r>
          <w:r>
            <w:instrText xml:space="preserve"> PAGEREF _Toc23795 \h </w:instrText>
          </w:r>
          <w:r>
            <w:fldChar w:fldCharType="separate"/>
          </w:r>
          <w:r>
            <w:t>4</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44E9817">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_Toc28124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lang w:eastAsia="zh-CN"/>
            </w:rPr>
            <w:t>三、</w:t>
          </w:r>
          <w:r>
            <w:rPr>
              <w:rFonts w:hint="eastAsia" w:ascii="Times New Roman" w:hAnsi="Times New Roman" w:eastAsia="黑体"/>
              <w:szCs w:val="32"/>
              <w:highlight w:val="none"/>
            </w:rPr>
            <w:t>支</w:t>
          </w:r>
          <w:r>
            <w:rPr>
              <w:rFonts w:hint="eastAsia" w:ascii="Times New Roman" w:hAnsi="Times New Roman" w:eastAsia="黑体"/>
              <w:highlight w:val="none"/>
            </w:rPr>
            <w:t>出决算情况说明</w:t>
          </w:r>
          <w:r>
            <w:tab/>
          </w:r>
          <w:r>
            <w:fldChar w:fldCharType="begin"/>
          </w:r>
          <w:r>
            <w:instrText xml:space="preserve"> PAGEREF _Toc28124 \h </w:instrText>
          </w:r>
          <w:r>
            <w:fldChar w:fldCharType="separate"/>
          </w:r>
          <w:r>
            <w:t>5</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1A1FD33">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_Toc9223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rPr>
            <w:t>四、财</w:t>
          </w:r>
          <w:r>
            <w:rPr>
              <w:rFonts w:hint="eastAsia" w:ascii="Times New Roman" w:hAnsi="Times New Roman" w:eastAsia="黑体"/>
              <w:highlight w:val="none"/>
            </w:rPr>
            <w:t>政拨款收入支出决算总体情况说明</w:t>
          </w:r>
          <w:r>
            <w:tab/>
          </w:r>
          <w:r>
            <w:fldChar w:fldCharType="begin"/>
          </w:r>
          <w:r>
            <w:instrText xml:space="preserve"> PAGEREF _Toc9223 \h </w:instrText>
          </w:r>
          <w:r>
            <w:fldChar w:fldCharType="separate"/>
          </w:r>
          <w:r>
            <w:t>5</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13B64104">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_Toc32321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rPr>
            <w:t>五、一</w:t>
          </w:r>
          <w:r>
            <w:rPr>
              <w:rFonts w:hint="eastAsia" w:ascii="Times New Roman" w:hAnsi="Times New Roman" w:eastAsia="黑体"/>
              <w:highlight w:val="none"/>
            </w:rPr>
            <w:t>般公共预算财政拨款支出决算情况说明</w:t>
          </w:r>
          <w:r>
            <w:tab/>
          </w:r>
          <w:r>
            <w:fldChar w:fldCharType="begin"/>
          </w:r>
          <w:r>
            <w:instrText xml:space="preserve"> PAGEREF _Toc32321 \h </w:instrText>
          </w:r>
          <w:r>
            <w:fldChar w:fldCharType="separate"/>
          </w:r>
          <w:r>
            <w:t>5</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8FADD9B">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_Toc4882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方正仿宋_GB2312" w:hAnsi="方正仿宋_GB2312" w:eastAsia="方正仿宋_GB2312" w:cs="方正仿宋_GB2312"/>
              <w:bCs/>
              <w:szCs w:val="32"/>
              <w:lang w:eastAsia="zh-CN"/>
            </w:rPr>
            <w:t>（一）一般公共预算财政拨款支出决算总体情况</w:t>
          </w:r>
          <w:r>
            <w:tab/>
          </w:r>
          <w:r>
            <w:fldChar w:fldCharType="begin"/>
          </w:r>
          <w:r>
            <w:instrText xml:space="preserve"> PAGEREF _Toc4882 \h </w:instrText>
          </w:r>
          <w:r>
            <w:fldChar w:fldCharType="separate"/>
          </w:r>
          <w:r>
            <w:t>6</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D9EABE5">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_Toc23825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方正仿宋_GB2312" w:hAnsi="方正仿宋_GB2312" w:eastAsia="方正仿宋_GB2312" w:cs="方正仿宋_GB2312"/>
              <w:bCs/>
              <w:szCs w:val="32"/>
              <w:lang w:eastAsia="zh-CN"/>
            </w:rPr>
            <w:t>（二）一般公共预算财政拨款支出决算结构情况</w:t>
          </w:r>
          <w:r>
            <w:tab/>
          </w:r>
          <w:r>
            <w:fldChar w:fldCharType="begin"/>
          </w:r>
          <w:r>
            <w:instrText xml:space="preserve"> PAGEREF _Toc23825 \h </w:instrText>
          </w:r>
          <w:r>
            <w:fldChar w:fldCharType="separate"/>
          </w:r>
          <w:r>
            <w:t>6</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C4B0133">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_Toc19700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方正仿宋_GB2312" w:hAnsi="方正仿宋_GB2312" w:eastAsia="方正仿宋_GB2312" w:cs="方正仿宋_GB2312"/>
              <w:bCs/>
              <w:szCs w:val="32"/>
              <w:lang w:val="en-US" w:eastAsia="zh-CN"/>
            </w:rPr>
            <w:t>（三）一般公共预算财政拨款支出决算具体情况</w:t>
          </w:r>
          <w:r>
            <w:tab/>
          </w:r>
          <w:r>
            <w:fldChar w:fldCharType="begin"/>
          </w:r>
          <w:r>
            <w:instrText xml:space="preserve"> PAGEREF _Toc19700 \h </w:instrText>
          </w:r>
          <w:r>
            <w:fldChar w:fldCharType="separate"/>
          </w:r>
          <w:r>
            <w:t>7</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E22BF1C">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_Toc7707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rPr>
            <w:t>六、一</w:t>
          </w:r>
          <w:r>
            <w:rPr>
              <w:rFonts w:hint="eastAsia" w:ascii="Times New Roman" w:hAnsi="Times New Roman" w:eastAsia="黑体"/>
              <w:highlight w:val="none"/>
            </w:rPr>
            <w:t>般公共预算财政拨款基本支出决算情况说明</w:t>
          </w:r>
          <w:r>
            <w:tab/>
          </w:r>
          <w:r>
            <w:fldChar w:fldCharType="begin"/>
          </w:r>
          <w:r>
            <w:instrText xml:space="preserve"> PAGEREF _Toc7707 \h </w:instrText>
          </w:r>
          <w:r>
            <w:fldChar w:fldCharType="separate"/>
          </w:r>
          <w:r>
            <w:t>7</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3D4516A0">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_Toc26853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rPr>
            <w:t>七、</w:t>
          </w:r>
          <w:r>
            <w:rPr>
              <w:rFonts w:hint="eastAsia" w:ascii="Times New Roman" w:hAnsi="Times New Roman" w:eastAsia="黑体"/>
              <w:highlight w:val="none"/>
            </w:rPr>
            <w:t>财政拨款“三公”经费支出决算情况说明</w:t>
          </w:r>
          <w:r>
            <w:tab/>
          </w:r>
          <w:r>
            <w:fldChar w:fldCharType="begin"/>
          </w:r>
          <w:r>
            <w:instrText xml:space="preserve"> PAGEREF _Toc26853 \h </w:instrText>
          </w:r>
          <w:r>
            <w:fldChar w:fldCharType="separate"/>
          </w:r>
          <w:r>
            <w:t>8</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319D99A">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_Toc11193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方正仿宋_GB2312" w:hAnsi="方正仿宋_GB2312" w:eastAsia="方正仿宋_GB2312" w:cs="方正仿宋_GB2312"/>
              <w:bCs/>
              <w:szCs w:val="32"/>
              <w:lang w:val="en-US" w:eastAsia="zh-CN"/>
            </w:rPr>
            <w:t>（一）财政拨款“三公”经费支出决算总体情况说明</w:t>
          </w:r>
          <w:r>
            <w:tab/>
          </w:r>
          <w:r>
            <w:fldChar w:fldCharType="begin"/>
          </w:r>
          <w:r>
            <w:instrText xml:space="preserve"> PAGEREF _Toc11193 \h </w:instrText>
          </w:r>
          <w:r>
            <w:fldChar w:fldCharType="separate"/>
          </w:r>
          <w:r>
            <w:t>8</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23FCF0BA">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_Toc8147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方正仿宋_GB2312" w:hAnsi="方正仿宋_GB2312" w:eastAsia="方正仿宋_GB2312" w:cs="方正仿宋_GB2312"/>
              <w:bCs/>
              <w:szCs w:val="32"/>
              <w:lang w:val="en-US" w:eastAsia="zh-CN"/>
            </w:rPr>
            <w:t>（二）财政拨款“三公”经费支出决算具体情况说明</w:t>
          </w:r>
          <w:r>
            <w:tab/>
          </w:r>
          <w:r>
            <w:fldChar w:fldCharType="begin"/>
          </w:r>
          <w:r>
            <w:instrText xml:space="preserve"> PAGEREF _Toc8147 \h </w:instrText>
          </w:r>
          <w:r>
            <w:fldChar w:fldCharType="separate"/>
          </w:r>
          <w:r>
            <w:t>8</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33E26FE0">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_Toc23351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szCs w:val="32"/>
              <w:highlight w:val="none"/>
            </w:rPr>
            <w:t>八、</w:t>
          </w:r>
          <w:r>
            <w:rPr>
              <w:rFonts w:hint="eastAsia" w:ascii="Times New Roman" w:hAnsi="Times New Roman" w:eastAsia="黑体"/>
              <w:highlight w:val="none"/>
            </w:rPr>
            <w:t>政府性基金预算支出决算情况说明</w:t>
          </w:r>
          <w:r>
            <w:tab/>
          </w:r>
          <w:r>
            <w:fldChar w:fldCharType="begin"/>
          </w:r>
          <w:r>
            <w:instrText xml:space="preserve"> PAGEREF _Toc23351 \h </w:instrText>
          </w:r>
          <w:r>
            <w:fldChar w:fldCharType="separate"/>
          </w:r>
          <w:r>
            <w:t>9</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E910592">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_Toc14756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highlight w:val="none"/>
              <w:lang w:eastAsia="zh-CN"/>
            </w:rPr>
            <w:t>九、</w:t>
          </w:r>
          <w:r>
            <w:rPr>
              <w:rFonts w:hint="eastAsia" w:ascii="Times New Roman" w:hAnsi="Times New Roman" w:eastAsia="黑体"/>
              <w:highlight w:val="none"/>
            </w:rPr>
            <w:t>国有资本经营预算支出决算情况说明</w:t>
          </w:r>
          <w:r>
            <w:tab/>
          </w:r>
          <w:r>
            <w:fldChar w:fldCharType="begin"/>
          </w:r>
          <w:r>
            <w:instrText xml:space="preserve"> PAGEREF _Toc14756 \h </w:instrText>
          </w:r>
          <w:r>
            <w:fldChar w:fldCharType="separate"/>
          </w:r>
          <w:r>
            <w:t>10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21B57B8">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_Toc9599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highlight w:val="none"/>
              <w:lang w:eastAsia="zh-CN"/>
            </w:rPr>
            <w:t>十、</w:t>
          </w:r>
          <w:r>
            <w:rPr>
              <w:rFonts w:hint="eastAsia" w:ascii="Times New Roman" w:hAnsi="Times New Roman" w:eastAsia="黑体"/>
              <w:highlight w:val="none"/>
            </w:rPr>
            <w:t>其他重要事项的情况说明</w:t>
          </w:r>
          <w:r>
            <w:tab/>
          </w:r>
          <w:r>
            <w:fldChar w:fldCharType="begin"/>
          </w:r>
          <w:r>
            <w:instrText xml:space="preserve"> PAGEREF _Toc9599 \h </w:instrText>
          </w:r>
          <w:r>
            <w:fldChar w:fldCharType="separate"/>
          </w:r>
          <w:r>
            <w:t>10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31FA7D7">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_Toc25012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en-US" w:eastAsia="zh-CN" w:bidi="ar-SA"/>
            </w:rPr>
            <w:t>（一）机关运行经费支出情况</w:t>
          </w:r>
          <w:r>
            <w:tab/>
          </w:r>
          <w:r>
            <w:fldChar w:fldCharType="begin"/>
          </w:r>
          <w:r>
            <w:instrText xml:space="preserve"> PAGEREF _Toc25012 \h </w:instrText>
          </w:r>
          <w:r>
            <w:fldChar w:fldCharType="separate"/>
          </w:r>
          <w:r>
            <w:t>10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EBE5166">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_Toc11831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en-US" w:eastAsia="zh-CN" w:bidi="ar-SA"/>
            </w:rPr>
            <w:t>（二）政府采购支出情况</w:t>
          </w:r>
          <w:r>
            <w:tab/>
          </w:r>
          <w:r>
            <w:fldChar w:fldCharType="begin"/>
          </w:r>
          <w:r>
            <w:instrText xml:space="preserve"> PAGEREF _Toc11831 \h </w:instrText>
          </w:r>
          <w:r>
            <w:fldChar w:fldCharType="separate"/>
          </w:r>
          <w:r>
            <w:t>10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0181EAE">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_Toc1020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en-US" w:eastAsia="zh-CN" w:bidi="ar-SA"/>
            </w:rPr>
            <w:t>（三）国有资产占有使用情况</w:t>
          </w:r>
          <w:r>
            <w:tab/>
          </w:r>
          <w:r>
            <w:fldChar w:fldCharType="begin"/>
          </w:r>
          <w:r>
            <w:instrText xml:space="preserve"> PAGEREF _Toc1020 \h </w:instrText>
          </w:r>
          <w:r>
            <w:fldChar w:fldCharType="separate"/>
          </w:r>
          <w:r>
            <w:t>10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64A2D776">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_Toc21677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en-US" w:eastAsia="zh-CN" w:bidi="ar-SA"/>
            </w:rPr>
            <w:t>（四）预算绩效管理情况</w:t>
          </w:r>
          <w:r>
            <w:tab/>
          </w:r>
          <w:r>
            <w:fldChar w:fldCharType="begin"/>
          </w:r>
          <w:r>
            <w:instrText xml:space="preserve"> PAGEREF _Toc21677 \h </w:instrText>
          </w:r>
          <w:r>
            <w:fldChar w:fldCharType="separate"/>
          </w:r>
          <w:r>
            <w:t>11</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444D1AD">
          <w:pPr>
            <w:pStyle w:val="23"/>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_Toc8398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方正小标宋简体" w:cs="方正小标宋简体"/>
              <w:highlight w:val="none"/>
            </w:rPr>
            <w:t>第</w:t>
          </w:r>
          <w:r>
            <w:rPr>
              <w:rFonts w:hint="eastAsia" w:ascii="Times New Roman" w:hAnsi="Times New Roman" w:eastAsia="方正小标宋简体" w:cs="方正小标宋简体"/>
              <w:highlight w:val="none"/>
              <w:lang w:eastAsia="zh-CN"/>
            </w:rPr>
            <w:t>三</w:t>
          </w:r>
          <w:r>
            <w:rPr>
              <w:rFonts w:hint="eastAsia" w:ascii="Times New Roman" w:hAnsi="Times New Roman" w:eastAsia="方正小标宋简体" w:cs="方正小标宋简体"/>
              <w:highlight w:val="none"/>
            </w:rPr>
            <w:t>部分</w:t>
          </w:r>
          <w:r>
            <w:rPr>
              <w:rFonts w:hint="eastAsia" w:ascii="Times New Roman" w:hAnsi="Times New Roman" w:eastAsia="方正小标宋简体" w:cs="方正小标宋简体"/>
              <w:highlight w:val="none"/>
              <w:lang w:val="en-US" w:eastAsia="zh-CN"/>
            </w:rPr>
            <w:t xml:space="preserve">  </w:t>
          </w:r>
          <w:r>
            <w:rPr>
              <w:rFonts w:hint="eastAsia" w:ascii="Times New Roman" w:hAnsi="Times New Roman" w:eastAsia="方正小标宋简体" w:cs="方正小标宋简体"/>
              <w:highlight w:val="none"/>
            </w:rPr>
            <w:t>名词解释</w:t>
          </w:r>
          <w:r>
            <w:tab/>
          </w:r>
          <w:r>
            <w:fldChar w:fldCharType="begin"/>
          </w:r>
          <w:r>
            <w:instrText xml:space="preserve"> PAGEREF _Toc8398 \h </w:instrText>
          </w:r>
          <w:r>
            <w:fldChar w:fldCharType="separate"/>
          </w:r>
          <w:r>
            <w:t>15</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F607D24">
          <w:pPr>
            <w:pStyle w:val="23"/>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_Toc9540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方正小标宋简体" w:cs="方正小标宋简体"/>
              <w:szCs w:val="44"/>
              <w:highlight w:val="none"/>
            </w:rPr>
            <w:t>第四部分</w:t>
          </w:r>
          <w:r>
            <w:rPr>
              <w:rFonts w:hint="eastAsia" w:ascii="Times New Roman" w:hAnsi="Times New Roman" w:eastAsia="方正小标宋简体" w:cs="方正小标宋简体"/>
              <w:szCs w:val="44"/>
              <w:highlight w:val="none"/>
              <w:lang w:val="en-US" w:eastAsia="zh-CN"/>
            </w:rPr>
            <w:t xml:space="preserve"> </w:t>
          </w:r>
          <w:r>
            <w:rPr>
              <w:rFonts w:hint="eastAsia" w:ascii="Times New Roman" w:hAnsi="Times New Roman" w:eastAsia="方正小标宋简体" w:cs="方正小标宋简体"/>
              <w:szCs w:val="44"/>
              <w:highlight w:val="none"/>
            </w:rPr>
            <w:t xml:space="preserve"> 附件</w:t>
          </w:r>
          <w:r>
            <w:tab/>
          </w:r>
          <w:r>
            <w:fldChar w:fldCharType="begin"/>
          </w:r>
          <w:r>
            <w:instrText xml:space="preserve"> PAGEREF _Toc9540 \h </w:instrText>
          </w:r>
          <w:r>
            <w:fldChar w:fldCharType="separate"/>
          </w:r>
          <w:r>
            <w:t>16</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B312D1E">
          <w:pPr>
            <w:pStyle w:val="23"/>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_Toc13061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cs="黑体"/>
              <w:szCs w:val="32"/>
              <w:highlight w:val="none"/>
            </w:rPr>
            <w:t>附件</w:t>
          </w:r>
          <w:r>
            <w:rPr>
              <w:rFonts w:hint="eastAsia" w:ascii="Times New Roman" w:hAnsi="Times New Roman" w:eastAsia="黑体" w:cs="黑体"/>
              <w:szCs w:val="32"/>
              <w:highlight w:val="none"/>
              <w:lang w:val="en-US" w:eastAsia="zh-CN"/>
            </w:rPr>
            <w:t>1</w:t>
          </w:r>
          <w:r>
            <w:tab/>
          </w:r>
          <w:r>
            <w:fldChar w:fldCharType="begin"/>
          </w:r>
          <w:r>
            <w:instrText xml:space="preserve"> PAGEREF _Toc13061 \h </w:instrText>
          </w:r>
          <w:r>
            <w:fldChar w:fldCharType="separate"/>
          </w:r>
          <w:r>
            <w:t>16</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7D8D41E">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_Toc30537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黑体" w:hAnsi="黑体" w:eastAsia="黑体" w:cs="黑体"/>
              <w:kern w:val="0"/>
              <w:szCs w:val="32"/>
              <w:lang w:val="zh-CN" w:eastAsia="zh-CN" w:bidi="ar"/>
            </w:rPr>
            <w:t>一、部门（单位）概况</w:t>
          </w:r>
          <w:r>
            <w:tab/>
          </w:r>
          <w:r>
            <w:fldChar w:fldCharType="begin"/>
          </w:r>
          <w:r>
            <w:instrText xml:space="preserve"> PAGEREF _Toc30537 \h </w:instrText>
          </w:r>
          <w:r>
            <w:fldChar w:fldCharType="separate"/>
          </w:r>
          <w:r>
            <w:t>16</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1C5ED66">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_Toc25878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（一）机构组成。</w:t>
          </w:r>
          <w:r>
            <w:tab/>
          </w:r>
          <w:r>
            <w:fldChar w:fldCharType="begin"/>
          </w:r>
          <w:r>
            <w:instrText xml:space="preserve"> PAGEREF _Toc25878 \h </w:instrText>
          </w:r>
          <w:r>
            <w:fldChar w:fldCharType="separate"/>
          </w:r>
          <w:r>
            <w:t>16</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1816EADA">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_Toc8784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（二）机构职能。</w:t>
          </w:r>
          <w:r>
            <w:tab/>
          </w:r>
          <w:r>
            <w:fldChar w:fldCharType="begin"/>
          </w:r>
          <w:r>
            <w:instrText xml:space="preserve"> PAGEREF _Toc8784 \h </w:instrText>
          </w:r>
          <w:r>
            <w:fldChar w:fldCharType="separate"/>
          </w:r>
          <w:r>
            <w:t>16</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10F081C4">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_Toc29555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黑体" w:hAnsi="黑体" w:eastAsia="黑体" w:cs="黑体"/>
              <w:kern w:val="0"/>
              <w:szCs w:val="32"/>
              <w:lang w:val="en-US" w:eastAsia="zh-CN" w:bidi="ar"/>
            </w:rPr>
            <w:t>二、</w:t>
          </w:r>
          <w:r>
            <w:rPr>
              <w:rFonts w:hint="eastAsia" w:ascii="黑体" w:hAnsi="黑体" w:eastAsia="黑体" w:cs="黑体"/>
              <w:kern w:val="0"/>
              <w:szCs w:val="32"/>
              <w:lang w:val="zh-CN" w:eastAsia="zh-CN" w:bidi="ar"/>
            </w:rPr>
            <w:t>人员概况。</w:t>
          </w:r>
          <w:r>
            <w:tab/>
          </w:r>
          <w:r>
            <w:fldChar w:fldCharType="begin"/>
          </w:r>
          <w:r>
            <w:instrText xml:space="preserve"> PAGEREF _Toc29555 \h </w:instrText>
          </w:r>
          <w:r>
            <w:fldChar w:fldCharType="separate"/>
          </w:r>
          <w:r>
            <w:t>17</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2294E41E">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_Toc20356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（一）</w:t>
          </w:r>
          <w:r>
            <w:rPr>
              <w:rFonts w:hint="eastAsia" w:ascii="Times New Roman" w:hAnsi="Times New Roman" w:eastAsia="仿宋_GB2312" w:cs="仿宋_GB2312"/>
              <w:bCs/>
              <w:kern w:val="2"/>
              <w:szCs w:val="32"/>
              <w:highlight w:val="none"/>
              <w:lang w:val="en-US" w:eastAsia="zh-CN" w:bidi="ar-SA"/>
            </w:rPr>
            <w:t>单位</w:t>
          </w:r>
          <w:r>
            <w:rPr>
              <w:rFonts w:hint="eastAsia" w:ascii="Times New Roman" w:hAnsi="Times New Roman" w:eastAsia="仿宋_GB2312" w:cs="仿宋_GB2312"/>
              <w:bCs/>
              <w:kern w:val="2"/>
              <w:szCs w:val="32"/>
              <w:highlight w:val="none"/>
              <w:lang w:val="zh-CN" w:eastAsia="zh-CN" w:bidi="ar-SA"/>
            </w:rPr>
            <w:t>财政资金收入情况。</w:t>
          </w:r>
          <w:r>
            <w:tab/>
          </w:r>
          <w:r>
            <w:fldChar w:fldCharType="begin"/>
          </w:r>
          <w:r>
            <w:instrText xml:space="preserve"> PAGEREF _Toc20356 \h </w:instrText>
          </w:r>
          <w:r>
            <w:fldChar w:fldCharType="separate"/>
          </w:r>
          <w:r>
            <w:t>17</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32645CF0">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_Toc20240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w:t>
          </w:r>
          <w:r>
            <w:rPr>
              <w:rFonts w:hint="eastAsia" w:ascii="Times New Roman" w:hAnsi="Times New Roman" w:eastAsia="仿宋_GB2312" w:cs="仿宋_GB2312"/>
              <w:bCs/>
              <w:kern w:val="2"/>
              <w:szCs w:val="32"/>
              <w:highlight w:val="none"/>
              <w:lang w:val="en-US" w:eastAsia="zh-CN" w:bidi="ar-SA"/>
            </w:rPr>
            <w:t>二</w:t>
          </w:r>
          <w:r>
            <w:rPr>
              <w:rFonts w:hint="eastAsia" w:ascii="Times New Roman" w:hAnsi="Times New Roman" w:eastAsia="仿宋_GB2312" w:cs="仿宋_GB2312"/>
              <w:bCs/>
              <w:kern w:val="2"/>
              <w:szCs w:val="32"/>
              <w:highlight w:val="none"/>
              <w:lang w:val="zh-CN" w:eastAsia="zh-CN" w:bidi="ar-SA"/>
            </w:rPr>
            <w:t>）</w:t>
          </w:r>
          <w:r>
            <w:rPr>
              <w:rFonts w:hint="eastAsia" w:ascii="Times New Roman" w:hAnsi="Times New Roman" w:eastAsia="仿宋_GB2312" w:cs="仿宋_GB2312"/>
              <w:bCs/>
              <w:kern w:val="2"/>
              <w:szCs w:val="32"/>
              <w:highlight w:val="none"/>
              <w:lang w:val="en-US" w:eastAsia="zh-CN" w:bidi="ar-SA"/>
            </w:rPr>
            <w:t>单位</w:t>
          </w:r>
          <w:r>
            <w:rPr>
              <w:rFonts w:hint="eastAsia" w:ascii="Times New Roman" w:hAnsi="Times New Roman" w:eastAsia="仿宋_GB2312" w:cs="仿宋_GB2312"/>
              <w:bCs/>
              <w:kern w:val="2"/>
              <w:szCs w:val="32"/>
              <w:highlight w:val="none"/>
              <w:lang w:val="zh-CN" w:eastAsia="zh-CN" w:bidi="ar-SA"/>
            </w:rPr>
            <w:t>财政资金支出情况。</w:t>
          </w:r>
          <w:r>
            <w:tab/>
          </w:r>
          <w:r>
            <w:fldChar w:fldCharType="begin"/>
          </w:r>
          <w:r>
            <w:instrText xml:space="preserve"> PAGEREF _Toc20240 \h </w:instrText>
          </w:r>
          <w:r>
            <w:fldChar w:fldCharType="separate"/>
          </w:r>
          <w:r>
            <w:t>17</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8B06DA5">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_Toc20126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黑体" w:hAnsi="黑体" w:eastAsia="黑体" w:cs="黑体"/>
              <w:kern w:val="0"/>
              <w:szCs w:val="32"/>
              <w:lang w:val="en-US" w:eastAsia="zh-CN" w:bidi="ar"/>
            </w:rPr>
            <w:t>三、</w:t>
          </w:r>
          <w:r>
            <w:rPr>
              <w:rFonts w:hint="eastAsia" w:ascii="黑体" w:hAnsi="黑体" w:eastAsia="黑体" w:cs="黑体"/>
              <w:kern w:val="0"/>
              <w:szCs w:val="32"/>
              <w:lang w:val="zh-CN" w:eastAsia="zh-CN" w:bidi="ar"/>
            </w:rPr>
            <w:t>单位</w:t>
          </w:r>
          <w:r>
            <w:rPr>
              <w:rFonts w:hint="eastAsia" w:ascii="黑体" w:hAnsi="黑体" w:eastAsia="黑体" w:cs="黑体"/>
              <w:kern w:val="0"/>
              <w:szCs w:val="32"/>
              <w:lang w:val="en-US" w:eastAsia="zh-CN" w:bidi="ar"/>
            </w:rPr>
            <w:t>整体预算绩效管理情况</w:t>
          </w:r>
          <w:r>
            <w:tab/>
          </w:r>
          <w:r>
            <w:fldChar w:fldCharType="begin"/>
          </w:r>
          <w:r>
            <w:instrText xml:space="preserve"> PAGEREF _Toc20126 \h </w:instrText>
          </w:r>
          <w:r>
            <w:fldChar w:fldCharType="separate"/>
          </w:r>
          <w:r>
            <w:t>17</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3359CA8E">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_Toc26896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（一）单位预算</w:t>
          </w:r>
          <w:r>
            <w:rPr>
              <w:rFonts w:hint="eastAsia" w:ascii="Times New Roman" w:hAnsi="Times New Roman" w:eastAsia="仿宋_GB2312" w:cs="仿宋_GB2312"/>
              <w:bCs/>
              <w:kern w:val="2"/>
              <w:szCs w:val="32"/>
              <w:highlight w:val="none"/>
              <w:lang w:val="en-US" w:eastAsia="zh-CN" w:bidi="ar-SA"/>
            </w:rPr>
            <w:t>管理</w:t>
          </w:r>
          <w:r>
            <w:rPr>
              <w:rFonts w:hint="eastAsia" w:ascii="Times New Roman" w:hAnsi="Times New Roman" w:eastAsia="仿宋_GB2312" w:cs="仿宋_GB2312"/>
              <w:bCs/>
              <w:kern w:val="2"/>
              <w:szCs w:val="32"/>
              <w:highlight w:val="none"/>
              <w:lang w:val="zh-CN" w:eastAsia="zh-CN" w:bidi="ar-SA"/>
            </w:rPr>
            <w:t>。</w:t>
          </w:r>
          <w:r>
            <w:tab/>
          </w:r>
          <w:r>
            <w:fldChar w:fldCharType="begin"/>
          </w:r>
          <w:r>
            <w:instrText xml:space="preserve"> PAGEREF _Toc26896 \h </w:instrText>
          </w:r>
          <w:r>
            <w:fldChar w:fldCharType="separate"/>
          </w:r>
          <w:r>
            <w:t>17</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6FF28D19">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_Toc21334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黑体" w:hAnsi="黑体" w:eastAsia="黑体" w:cs="黑体"/>
              <w:kern w:val="0"/>
              <w:szCs w:val="32"/>
              <w:lang w:val="en-US" w:eastAsia="zh-CN" w:bidi="ar"/>
            </w:rPr>
            <w:t>四、</w:t>
          </w:r>
          <w:r>
            <w:rPr>
              <w:rFonts w:hint="eastAsia" w:ascii="黑体" w:hAnsi="黑体" w:eastAsia="黑体" w:cs="黑体"/>
              <w:kern w:val="0"/>
              <w:szCs w:val="32"/>
              <w:lang w:val="zh-CN" w:eastAsia="zh-CN" w:bidi="ar"/>
            </w:rPr>
            <w:t>评价结论及建议</w:t>
          </w:r>
          <w:r>
            <w:tab/>
          </w:r>
          <w:r>
            <w:fldChar w:fldCharType="begin"/>
          </w:r>
          <w:r>
            <w:instrText xml:space="preserve"> PAGEREF _Toc21334 \h </w:instrText>
          </w:r>
          <w:r>
            <w:fldChar w:fldCharType="separate"/>
          </w:r>
          <w:r>
            <w:t>19</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8E74C5F">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_Toc6373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kern w:val="2"/>
              <w:szCs w:val="32"/>
              <w:highlight w:val="none"/>
              <w:lang w:val="zh-CN" w:eastAsia="zh-CN" w:bidi="ar-SA"/>
            </w:rPr>
            <w:t>（</w:t>
          </w:r>
          <w:r>
            <w:rPr>
              <w:rFonts w:hint="eastAsia" w:eastAsia="仿宋_GB2312" w:cs="仿宋_GB2312"/>
              <w:kern w:val="2"/>
              <w:szCs w:val="32"/>
              <w:highlight w:val="none"/>
              <w:lang w:val="en-US" w:eastAsia="zh-CN" w:bidi="ar-SA"/>
            </w:rPr>
            <w:t>一</w:t>
          </w:r>
          <w:r>
            <w:rPr>
              <w:rFonts w:hint="eastAsia" w:ascii="Times New Roman" w:hAnsi="Times New Roman" w:eastAsia="仿宋_GB2312" w:cs="仿宋_GB2312"/>
              <w:kern w:val="2"/>
              <w:szCs w:val="32"/>
              <w:highlight w:val="none"/>
              <w:lang w:val="zh-CN" w:eastAsia="zh-CN" w:bidi="ar-SA"/>
            </w:rPr>
            <w:t>）评价结论。</w:t>
          </w:r>
          <w:r>
            <w:rPr>
              <w:rFonts w:hint="eastAsia" w:ascii="Times New Roman" w:hAnsi="Times New Roman" w:eastAsia="仿宋_GB2312" w:cs="仿宋_GB2312"/>
              <w:kern w:val="2"/>
              <w:szCs w:val="32"/>
              <w:highlight w:val="none"/>
              <w:lang w:val="en-US" w:eastAsia="zh-CN" w:bidi="ar-SA"/>
            </w:rPr>
            <w:t>经自评2025年度本单位整体支出绩效评价为优秀。</w:t>
          </w:r>
          <w:r>
            <w:tab/>
          </w:r>
          <w:r>
            <w:fldChar w:fldCharType="begin"/>
          </w:r>
          <w:r>
            <w:instrText xml:space="preserve"> PAGEREF _Toc6373 \h </w:instrText>
          </w:r>
          <w:r>
            <w:fldChar w:fldCharType="separate"/>
          </w:r>
          <w:r>
            <w:t>19</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2646ED2C">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_Toc26501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kern w:val="2"/>
              <w:szCs w:val="32"/>
              <w:highlight w:val="none"/>
              <w:lang w:val="zh-CN" w:eastAsia="zh-CN" w:bidi="ar-SA"/>
            </w:rPr>
            <w:t>（</w:t>
          </w:r>
          <w:r>
            <w:rPr>
              <w:rFonts w:hint="eastAsia" w:eastAsia="仿宋_GB2312" w:cs="仿宋_GB2312"/>
              <w:kern w:val="2"/>
              <w:szCs w:val="32"/>
              <w:highlight w:val="none"/>
              <w:lang w:val="en-US" w:eastAsia="zh-CN" w:bidi="ar-SA"/>
            </w:rPr>
            <w:t>二</w:t>
          </w:r>
          <w:r>
            <w:rPr>
              <w:rFonts w:hint="eastAsia" w:ascii="Times New Roman" w:hAnsi="Times New Roman" w:eastAsia="仿宋_GB2312" w:cs="仿宋_GB2312"/>
              <w:kern w:val="2"/>
              <w:szCs w:val="32"/>
              <w:highlight w:val="none"/>
              <w:lang w:val="zh-CN" w:eastAsia="zh-CN" w:bidi="ar-SA"/>
            </w:rPr>
            <w:t>）存在问题。</w:t>
          </w:r>
          <w:r>
            <w:tab/>
          </w:r>
          <w:r>
            <w:fldChar w:fldCharType="begin"/>
          </w:r>
          <w:r>
            <w:instrText xml:space="preserve"> PAGEREF _Toc26501 \h </w:instrText>
          </w:r>
          <w:r>
            <w:fldChar w:fldCharType="separate"/>
          </w:r>
          <w:r>
            <w:t>19</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F2D3E54">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_Toc22634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kern w:val="2"/>
              <w:szCs w:val="32"/>
              <w:highlight w:val="none"/>
              <w:lang w:val="zh-CN" w:eastAsia="zh-CN" w:bidi="ar-SA"/>
            </w:rPr>
            <w:t>（</w:t>
          </w:r>
          <w:r>
            <w:rPr>
              <w:rFonts w:hint="eastAsia" w:eastAsia="仿宋_GB2312" w:cs="仿宋_GB2312"/>
              <w:kern w:val="2"/>
              <w:szCs w:val="32"/>
              <w:highlight w:val="none"/>
              <w:lang w:val="en-US" w:eastAsia="zh-CN" w:bidi="ar-SA"/>
            </w:rPr>
            <w:t>三</w:t>
          </w:r>
          <w:r>
            <w:rPr>
              <w:rFonts w:hint="eastAsia" w:ascii="Times New Roman" w:hAnsi="Times New Roman" w:eastAsia="仿宋_GB2312" w:cs="仿宋_GB2312"/>
              <w:kern w:val="2"/>
              <w:szCs w:val="32"/>
              <w:highlight w:val="none"/>
              <w:lang w:val="zh-CN" w:eastAsia="zh-CN" w:bidi="ar-SA"/>
            </w:rPr>
            <w:t>）改进建议。</w:t>
          </w:r>
          <w:r>
            <w:tab/>
          </w:r>
          <w:r>
            <w:fldChar w:fldCharType="begin"/>
          </w:r>
          <w:r>
            <w:instrText xml:space="preserve"> PAGEREF _Toc22634 \h </w:instrText>
          </w:r>
          <w:r>
            <w:fldChar w:fldCharType="separate"/>
          </w:r>
          <w:r>
            <w:t>19</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AAF9973">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_Toc32610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黑体" w:cs="黑体"/>
              <w:kern w:val="0"/>
              <w:szCs w:val="32"/>
              <w:highlight w:val="none"/>
              <w:shd w:val="clear" w:color="auto" w:fill="FFFFFF"/>
              <w:lang w:val="zh-CN"/>
            </w:rPr>
            <w:t>附件</w:t>
          </w:r>
          <w:r>
            <w:rPr>
              <w:rFonts w:hint="eastAsia" w:ascii="Times New Roman" w:hAnsi="Times New Roman" w:eastAsia="黑体" w:cs="黑体"/>
              <w:kern w:val="0"/>
              <w:szCs w:val="32"/>
              <w:highlight w:val="none"/>
              <w:shd w:val="clear" w:color="auto" w:fill="FFFFFF"/>
              <w:lang w:val="en-US" w:eastAsia="zh-CN"/>
            </w:rPr>
            <w:t>2</w:t>
          </w:r>
          <w:r>
            <w:tab/>
          </w:r>
          <w:r>
            <w:fldChar w:fldCharType="begin"/>
          </w:r>
          <w:r>
            <w:instrText xml:space="preserve"> PAGEREF _Toc32610 \h </w:instrText>
          </w:r>
          <w:r>
            <w:fldChar w:fldCharType="separate"/>
          </w:r>
          <w:r>
            <w:t>20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F47D4B6">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_Toc11703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黑体" w:hAnsi="黑体" w:eastAsia="黑体" w:cs="黑体"/>
              <w:szCs w:val="32"/>
            </w:rPr>
            <w:t>一、</w:t>
          </w:r>
          <w:r>
            <w:rPr>
              <w:rFonts w:hint="eastAsia" w:ascii="黑体" w:hAnsi="黑体" w:eastAsia="黑体" w:cs="黑体"/>
              <w:szCs w:val="32"/>
              <w:lang w:val="zh-CN"/>
            </w:rPr>
            <w:t>项目概况</w:t>
          </w:r>
          <w:r>
            <w:tab/>
          </w:r>
          <w:r>
            <w:fldChar w:fldCharType="begin"/>
          </w:r>
          <w:r>
            <w:instrText xml:space="preserve"> PAGEREF _Toc11703 \h </w:instrText>
          </w:r>
          <w:r>
            <w:fldChar w:fldCharType="separate"/>
          </w:r>
          <w:r>
            <w:t>20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70C12590">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_Toc18545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（一）项目基本情况。</w:t>
          </w:r>
          <w:r>
            <w:tab/>
          </w:r>
          <w:r>
            <w:fldChar w:fldCharType="begin"/>
          </w:r>
          <w:r>
            <w:instrText xml:space="preserve"> PAGEREF _Toc18545 \h </w:instrText>
          </w:r>
          <w:r>
            <w:fldChar w:fldCharType="separate"/>
          </w:r>
          <w:r>
            <w:t>20</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EBE4752">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_Toc6344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（二）项目绩效目标。</w:t>
          </w:r>
          <w:r>
            <w:tab/>
          </w:r>
          <w:r>
            <w:fldChar w:fldCharType="begin"/>
          </w:r>
          <w:r>
            <w:instrText xml:space="preserve"> PAGEREF _Toc6344 \h </w:instrText>
          </w:r>
          <w:r>
            <w:fldChar w:fldCharType="separate"/>
          </w:r>
          <w:r>
            <w:t>21</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654A8F1">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_Toc20767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（三）项目自评步骤及方法。</w:t>
          </w:r>
          <w:r>
            <w:tab/>
          </w:r>
          <w:r>
            <w:fldChar w:fldCharType="begin"/>
          </w:r>
          <w:r>
            <w:instrText xml:space="preserve"> PAGEREF _Toc20767 \h </w:instrText>
          </w:r>
          <w:r>
            <w:fldChar w:fldCharType="separate"/>
          </w:r>
          <w:r>
            <w:t>21</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CCF25C5">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_Toc19249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黑体" w:hAnsi="黑体" w:eastAsia="黑体" w:cs="黑体"/>
              <w:szCs w:val="32"/>
              <w:lang w:val="zh-CN"/>
            </w:rPr>
            <w:t>二、项目资金申报及使用情况</w:t>
          </w:r>
          <w:r>
            <w:tab/>
          </w:r>
          <w:r>
            <w:fldChar w:fldCharType="begin"/>
          </w:r>
          <w:r>
            <w:instrText xml:space="preserve"> PAGEREF _Toc19249 \h </w:instrText>
          </w:r>
          <w:r>
            <w:fldChar w:fldCharType="separate"/>
          </w:r>
          <w:r>
            <w:t>21</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98EFC1D">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_Toc22058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（一）项目资金申报及批复情况。</w:t>
          </w:r>
          <w:r>
            <w:tab/>
          </w:r>
          <w:r>
            <w:fldChar w:fldCharType="begin"/>
          </w:r>
          <w:r>
            <w:instrText xml:space="preserve"> PAGEREF _Toc22058 \h </w:instrText>
          </w:r>
          <w:r>
            <w:fldChar w:fldCharType="separate"/>
          </w:r>
          <w:r>
            <w:t>21</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20901F7">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_Toc25187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（二）资金计划、到位及使用情况（可用表格形式反映）。</w:t>
          </w:r>
          <w:r>
            <w:tab/>
          </w:r>
          <w:r>
            <w:fldChar w:fldCharType="begin"/>
          </w:r>
          <w:r>
            <w:instrText xml:space="preserve"> PAGEREF _Toc25187 \h </w:instrText>
          </w:r>
          <w:r>
            <w:fldChar w:fldCharType="separate"/>
          </w:r>
          <w:r>
            <w:t>21</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56B5A5E7">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_Toc11321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（三）项目财务管理情况。</w:t>
          </w:r>
          <w:r>
            <w:tab/>
          </w:r>
          <w:r>
            <w:fldChar w:fldCharType="begin"/>
          </w:r>
          <w:r>
            <w:instrText xml:space="preserve"> PAGEREF _Toc11321 \h </w:instrText>
          </w:r>
          <w:r>
            <w:fldChar w:fldCharType="separate"/>
          </w:r>
          <w:r>
            <w:t>22</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34196394">
          <w:pPr>
            <w:pStyle w:val="2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_Toc24930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黑体" w:hAnsi="黑体" w:eastAsia="黑体" w:cs="黑体"/>
              <w:szCs w:val="32"/>
              <w:lang w:val="zh-CN"/>
            </w:rPr>
            <w:t>三、项目实施及管理情况</w:t>
          </w:r>
          <w:r>
            <w:tab/>
          </w:r>
          <w:r>
            <w:fldChar w:fldCharType="begin"/>
          </w:r>
          <w:r>
            <w:instrText xml:space="preserve"> PAGEREF _Toc24930 \h </w:instrText>
          </w:r>
          <w:r>
            <w:fldChar w:fldCharType="separate"/>
          </w:r>
          <w:r>
            <w:t>22</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3C489FB7">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_Toc12121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（一）项目完成情况。</w:t>
          </w:r>
          <w:r>
            <w:tab/>
          </w:r>
          <w:r>
            <w:fldChar w:fldCharType="begin"/>
          </w:r>
          <w:r>
            <w:instrText xml:space="preserve"> PAGEREF _Toc12121 \h </w:instrText>
          </w:r>
          <w:r>
            <w:fldChar w:fldCharType="separate"/>
          </w:r>
          <w:r>
            <w:t>22</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6301EC5">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_Toc19667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（二）项目效益情况。</w:t>
          </w:r>
          <w:r>
            <w:tab/>
          </w:r>
          <w:r>
            <w:fldChar w:fldCharType="begin"/>
          </w:r>
          <w:r>
            <w:instrText xml:space="preserve"> PAGEREF _Toc19667 \h </w:instrText>
          </w:r>
          <w:r>
            <w:fldChar w:fldCharType="separate"/>
          </w:r>
          <w:r>
            <w:t>22</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253EC2FB">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_Toc12085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（一）评价结论。</w:t>
          </w:r>
          <w:r>
            <w:tab/>
          </w:r>
          <w:r>
            <w:fldChar w:fldCharType="begin"/>
          </w:r>
          <w:r>
            <w:instrText xml:space="preserve"> PAGEREF _Toc12085 \h </w:instrText>
          </w:r>
          <w:r>
            <w:fldChar w:fldCharType="separate"/>
          </w:r>
          <w:r>
            <w:t>22</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94E7699">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_Toc9419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（二）存在的问题。</w:t>
          </w:r>
          <w:r>
            <w:tab/>
          </w:r>
          <w:r>
            <w:fldChar w:fldCharType="begin"/>
          </w:r>
          <w:r>
            <w:instrText xml:space="preserve"> PAGEREF _Toc9419 \h </w:instrText>
          </w:r>
          <w:r>
            <w:fldChar w:fldCharType="separate"/>
          </w:r>
          <w:r>
            <w:t>22</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0B4188E3">
          <w:pPr>
            <w:pStyle w:val="16"/>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_Toc17992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仿宋_GB2312" w:cs="仿宋_GB2312"/>
              <w:bCs/>
              <w:kern w:val="2"/>
              <w:szCs w:val="32"/>
              <w:highlight w:val="none"/>
              <w:lang w:val="zh-CN" w:eastAsia="zh-CN" w:bidi="ar-SA"/>
            </w:rPr>
            <w:t>（三）相关建议。</w:t>
          </w:r>
          <w:r>
            <w:tab/>
          </w:r>
          <w:r>
            <w:fldChar w:fldCharType="begin"/>
          </w:r>
          <w:r>
            <w:instrText xml:space="preserve"> PAGEREF _Toc17992 \h </w:instrText>
          </w:r>
          <w:r>
            <w:fldChar w:fldCharType="separate"/>
          </w:r>
          <w:r>
            <w:t>22</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2441F860">
          <w:pPr>
            <w:pStyle w:val="23"/>
            <w:pageBreakBefore w:val="0"/>
            <w:tabs>
              <w:tab w:val="right" w:leader="dot" w:pos="8306"/>
            </w:tabs>
            <w:kinsoku/>
            <w:wordWrap/>
            <w:overflowPunct/>
            <w:topLinePunct w:val="0"/>
            <w:autoSpaceDE/>
            <w:autoSpaceDN/>
            <w:bidi w:val="0"/>
            <w:spacing w:line="560" w:lineRule="exact"/>
            <w:textAlignment w:val="auto"/>
          </w:pPr>
          <w:r>
            <w:rPr>
              <w:rFonts w:hint="eastAsia" w:ascii="Times New Roman" w:hAnsi="Times New Roman" w:eastAsia="方正小标宋简体" w:cs="方正小标宋简体"/>
              <w:color w:val="auto"/>
              <w:kern w:val="2"/>
              <w:szCs w:val="24"/>
              <w:highlight w:val="none"/>
              <w:lang w:val="en-US" w:eastAsia="zh-CN" w:bidi="ar-SA"/>
            </w:rPr>
            <w:fldChar w:fldCharType="begin"/>
          </w:r>
          <w:r>
            <w:rPr>
              <w:rFonts w:hint="eastAsia" w:ascii="Times New Roman" w:hAnsi="Times New Roman" w:eastAsia="方正小标宋简体" w:cs="方正小标宋简体"/>
              <w:kern w:val="2"/>
              <w:szCs w:val="24"/>
              <w:highlight w:val="none"/>
              <w:lang w:val="en-US" w:eastAsia="zh-CN" w:bidi="ar-SA"/>
            </w:rPr>
            <w:instrText xml:space="preserve"> HYPERLINK \l _Toc4552 </w:instrText>
          </w:r>
          <w:r>
            <w:rPr>
              <w:rFonts w:hint="eastAsia" w:ascii="Times New Roman" w:hAnsi="Times New Roman" w:eastAsia="方正小标宋简体" w:cs="方正小标宋简体"/>
              <w:kern w:val="2"/>
              <w:szCs w:val="24"/>
              <w:highlight w:val="none"/>
              <w:lang w:val="en-US" w:eastAsia="zh-CN" w:bidi="ar-SA"/>
            </w:rPr>
            <w:fldChar w:fldCharType="separate"/>
          </w:r>
          <w:r>
            <w:rPr>
              <w:rFonts w:hint="eastAsia" w:ascii="Times New Roman" w:hAnsi="Times New Roman" w:eastAsia="方正小标宋简体" w:cs="方正小标宋简体"/>
              <w:highlight w:val="none"/>
            </w:rPr>
            <w:t>第五部分 附表</w:t>
          </w:r>
          <w:r>
            <w:tab/>
          </w:r>
          <w:r>
            <w:fldChar w:fldCharType="begin"/>
          </w:r>
          <w:r>
            <w:instrText xml:space="preserve"> PAGEREF _Toc4552 \h </w:instrText>
          </w:r>
          <w:r>
            <w:fldChar w:fldCharType="separate"/>
          </w:r>
          <w:r>
            <w:t>23</w:t>
          </w:r>
          <w:r>
            <w:fldChar w:fldCharType="end"/>
          </w:r>
          <w:r>
            <w:rPr>
              <w:rFonts w:hint="eastAsia" w:ascii="Times New Roman" w:hAnsi="Times New Roman" w:eastAsia="方正小标宋简体" w:cs="方正小标宋简体"/>
              <w:color w:val="auto"/>
              <w:kern w:val="2"/>
              <w:szCs w:val="24"/>
              <w:highlight w:val="none"/>
              <w:lang w:val="en-US" w:eastAsia="zh-CN" w:bidi="ar-SA"/>
            </w:rPr>
            <w:fldChar w:fldCharType="end"/>
          </w:r>
        </w:p>
        <w:p w14:paraId="4CA96E9C">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color w:val="auto"/>
              <w:kern w:val="2"/>
              <w:sz w:val="24"/>
              <w:szCs w:val="24"/>
              <w:highlight w:val="none"/>
              <w:lang w:val="en-US" w:eastAsia="zh-CN" w:bidi="ar-SA"/>
            </w:rPr>
          </w:pPr>
          <w:r>
            <w:rPr>
              <w:rFonts w:hint="eastAsia" w:ascii="Times New Roman" w:hAnsi="Times New Roman" w:eastAsia="方正小标宋简体" w:cs="方正小标宋简体"/>
              <w:color w:val="auto"/>
              <w:kern w:val="2"/>
              <w:szCs w:val="24"/>
              <w:highlight w:val="none"/>
              <w:lang w:val="en-US" w:eastAsia="zh-CN" w:bidi="ar-SA"/>
            </w:rPr>
            <w:fldChar w:fldCharType="end"/>
          </w:r>
        </w:p>
      </w:sdtContent>
    </w:sdt>
    <w:p w14:paraId="4C0DEC3C">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color w:val="auto"/>
          <w:kern w:val="2"/>
          <w:sz w:val="24"/>
          <w:szCs w:val="24"/>
          <w:highlight w:val="none"/>
          <w:lang w:val="en-US" w:eastAsia="zh-CN" w:bidi="ar-SA"/>
        </w:rPr>
      </w:pPr>
    </w:p>
    <w:p w14:paraId="124B46EA">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color w:val="auto"/>
          <w:kern w:val="2"/>
          <w:sz w:val="24"/>
          <w:szCs w:val="24"/>
          <w:highlight w:val="none"/>
          <w:lang w:val="en-US" w:eastAsia="zh-CN" w:bidi="ar-SA"/>
        </w:rPr>
      </w:pPr>
    </w:p>
    <w:p w14:paraId="1AC606FF">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color w:val="auto"/>
          <w:kern w:val="2"/>
          <w:sz w:val="24"/>
          <w:szCs w:val="24"/>
          <w:highlight w:val="none"/>
          <w:lang w:val="en-US" w:eastAsia="zh-CN" w:bidi="ar-SA"/>
        </w:rPr>
      </w:pPr>
    </w:p>
    <w:p w14:paraId="4B9D253B">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color w:val="auto"/>
          <w:kern w:val="2"/>
          <w:sz w:val="24"/>
          <w:szCs w:val="24"/>
          <w:highlight w:val="none"/>
          <w:lang w:val="en-US" w:eastAsia="zh-CN" w:bidi="ar-SA"/>
        </w:rPr>
      </w:pPr>
    </w:p>
    <w:p w14:paraId="20C40472">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color w:val="auto"/>
          <w:kern w:val="2"/>
          <w:sz w:val="24"/>
          <w:szCs w:val="24"/>
          <w:highlight w:val="none"/>
          <w:lang w:val="en-US" w:eastAsia="zh-CN" w:bidi="ar-SA"/>
        </w:rPr>
      </w:pPr>
    </w:p>
    <w:p w14:paraId="0274C600">
      <w:pPr>
        <w:pageBreakBefore w:val="0"/>
        <w:kinsoku/>
        <w:wordWrap/>
        <w:overflowPunct/>
        <w:topLinePunct w:val="0"/>
        <w:autoSpaceDE/>
        <w:autoSpaceDN/>
        <w:bidi w:val="0"/>
        <w:spacing w:line="560" w:lineRule="exact"/>
        <w:textAlignment w:val="auto"/>
        <w:rPr>
          <w:rFonts w:hint="eastAsia" w:ascii="Times New Roman" w:hAnsi="Times New Roman" w:eastAsia="方正小标宋简体" w:cs="方正小标宋简体"/>
          <w:color w:val="auto"/>
          <w:kern w:val="2"/>
          <w:sz w:val="24"/>
          <w:szCs w:val="24"/>
          <w:highlight w:val="none"/>
          <w:lang w:val="en-US" w:eastAsia="zh-CN" w:bidi="ar-SA"/>
        </w:rPr>
      </w:pPr>
    </w:p>
    <w:p w14:paraId="627CA690">
      <w:pPr>
        <w:pStyle w:val="2"/>
        <w:keepNext/>
        <w:keepLines/>
        <w:pageBreakBefore w:val="0"/>
        <w:widowControl w:val="0"/>
        <w:kinsoku/>
        <w:wordWrap/>
        <w:overflowPunct/>
        <w:topLinePunct w:val="0"/>
        <w:autoSpaceDE/>
        <w:autoSpaceDN/>
        <w:bidi w:val="0"/>
        <w:adjustRightInd w:val="0"/>
        <w:snapToGrid w:val="0"/>
        <w:spacing w:line="560" w:lineRule="exact"/>
        <w:jc w:val="center"/>
        <w:textAlignment w:val="auto"/>
        <w:rPr>
          <w:rFonts w:ascii="Times New Roman" w:hAnsi="Times New Roman" w:eastAsia="黑体"/>
          <w:color w:val="auto"/>
          <w:sz w:val="32"/>
          <w:szCs w:val="32"/>
          <w:highlight w:val="none"/>
        </w:rPr>
      </w:pPr>
      <w:bookmarkStart w:id="0" w:name="_Toc16033"/>
      <w:bookmarkStart w:id="1" w:name="_Toc14788"/>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Style w:val="51"/>
          <w:rFonts w:hint="eastAsia" w:ascii="Times New Roman" w:hAnsi="Times New Roman" w:eastAsia="方正小标宋简体" w:cs="方正小标宋简体"/>
          <w:b w:val="0"/>
          <w:bCs w:val="0"/>
          <w:color w:val="auto"/>
          <w:highlight w:val="none"/>
        </w:rPr>
        <w:t>部门概况</w:t>
      </w:r>
      <w:bookmarkEnd w:id="0"/>
      <w:bookmarkEnd w:id="1"/>
    </w:p>
    <w:p w14:paraId="5E7CE515">
      <w:pPr>
        <w:pStyle w:val="3"/>
        <w:pageBreakBefore w:val="0"/>
        <w:numPr>
          <w:ilvl w:val="0"/>
          <w:numId w:val="0"/>
        </w:numPr>
        <w:kinsoku/>
        <w:wordWrap/>
        <w:overflowPunct/>
        <w:topLinePunct w:val="0"/>
        <w:autoSpaceDE/>
        <w:autoSpaceDN/>
        <w:bidi w:val="0"/>
        <w:spacing w:line="560" w:lineRule="exact"/>
        <w:ind w:firstLine="643" w:firstLineChars="200"/>
        <w:textAlignment w:val="auto"/>
        <w:outlineLvl w:val="1"/>
        <w:rPr>
          <w:rFonts w:hint="eastAsia" w:ascii="方正仿宋_GB2312" w:hAnsi="方正仿宋_GB2312" w:eastAsia="方正仿宋_GB2312" w:cs="方正仿宋_GB2312"/>
          <w:sz w:val="32"/>
          <w:szCs w:val="32"/>
          <w:lang w:eastAsia="zh-CN"/>
        </w:rPr>
      </w:pPr>
      <w:bookmarkStart w:id="2" w:name="_Toc15891"/>
      <w:bookmarkStart w:id="3" w:name="_Toc6264"/>
      <w:bookmarkStart w:id="4" w:name="_Toc15396602"/>
      <w:bookmarkStart w:id="5" w:name="_Toc15377204"/>
      <w:r>
        <w:rPr>
          <w:rFonts w:hint="eastAsia" w:ascii="方正仿宋_GB2312" w:hAnsi="方正仿宋_GB2312" w:eastAsia="方正仿宋_GB2312" w:cs="方正仿宋_GB2312"/>
          <w:b/>
          <w:bCs/>
          <w:kern w:val="2"/>
          <w:sz w:val="32"/>
          <w:szCs w:val="32"/>
          <w:lang w:val="en-US" w:eastAsia="zh-CN" w:bidi="ar-SA"/>
        </w:rPr>
        <w:t>一、</w:t>
      </w:r>
      <w:r>
        <w:rPr>
          <w:rFonts w:hint="eastAsia" w:ascii="Times New Roman" w:hAnsi="Times New Roman" w:eastAsia="黑体"/>
          <w:b w:val="0"/>
          <w:color w:val="auto"/>
          <w:highlight w:val="none"/>
          <w:lang w:eastAsia="zh-CN"/>
        </w:rPr>
        <w:t>部门职责</w:t>
      </w:r>
      <w:bookmarkEnd w:id="2"/>
      <w:bookmarkEnd w:id="3"/>
    </w:p>
    <w:p w14:paraId="315F7B78">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w:t>
      </w:r>
      <w:r>
        <w:rPr>
          <w:rFonts w:hint="eastAsia" w:ascii="方正仿宋_GB2312" w:hAnsi="方正仿宋_GB2312" w:eastAsia="方正仿宋_GB2312" w:cs="方正仿宋_GB2312"/>
          <w:sz w:val="32"/>
          <w:szCs w:val="32"/>
          <w:lang w:val="en-US" w:eastAsia="zh-CN"/>
        </w:rPr>
        <w:t>-</w:t>
      </w:r>
      <w:r>
        <w:rPr>
          <w:rFonts w:hint="eastAsia" w:ascii="方正仿宋_GB2312" w:hAnsi="方正仿宋_GB2312" w:eastAsia="方正仿宋_GB2312" w:cs="方正仿宋_GB2312"/>
          <w:sz w:val="32"/>
          <w:szCs w:val="32"/>
          <w:lang w:eastAsia="zh-CN"/>
        </w:rPr>
        <w:t>管理、重性精神疾病管理、儿童保健、孕产妇保健、老年人保健等；协助处置突发公共卫生事件。</w:t>
      </w:r>
    </w:p>
    <w:p w14:paraId="0DECCFCB">
      <w:pPr>
        <w:pStyle w:val="3"/>
        <w:pageBreakBefore w:val="0"/>
        <w:numPr>
          <w:ilvl w:val="0"/>
          <w:numId w:val="0"/>
        </w:numPr>
        <w:kinsoku/>
        <w:wordWrap/>
        <w:overflowPunct/>
        <w:topLinePunct w:val="0"/>
        <w:autoSpaceDE/>
        <w:autoSpaceDN/>
        <w:bidi w:val="0"/>
        <w:spacing w:line="560" w:lineRule="exact"/>
        <w:ind w:firstLine="640" w:firstLineChars="200"/>
        <w:textAlignment w:val="auto"/>
        <w:outlineLvl w:val="1"/>
        <w:rPr>
          <w:rStyle w:val="52"/>
          <w:rFonts w:hint="eastAsia" w:ascii="Times New Roman" w:hAnsi="Times New Roman" w:eastAsia="黑体"/>
          <w:b w:val="0"/>
          <w:bCs w:val="0"/>
          <w:color w:val="auto"/>
          <w:highlight w:val="none"/>
        </w:rPr>
      </w:pPr>
      <w:bookmarkStart w:id="6" w:name="_Toc29482"/>
      <w:bookmarkStart w:id="7" w:name="_Toc4435"/>
      <w:bookmarkStart w:id="8" w:name="_Toc15396601"/>
      <w:bookmarkStart w:id="9" w:name="_Toc15377200"/>
      <w:r>
        <w:rPr>
          <w:rFonts w:hint="eastAsia" w:ascii="Times New Roman" w:hAnsi="Times New Roman" w:eastAsia="黑体" w:cstheme="minorBidi"/>
          <w:b w:val="0"/>
          <w:bCs w:val="0"/>
          <w:color w:val="auto"/>
          <w:kern w:val="2"/>
          <w:sz w:val="32"/>
          <w:szCs w:val="32"/>
          <w:lang w:val="en-US" w:eastAsia="zh-CN" w:bidi="ar-SA"/>
        </w:rPr>
        <w:t>二、</w:t>
      </w:r>
      <w:r>
        <w:rPr>
          <w:rFonts w:hint="eastAsia" w:ascii="Times New Roman" w:hAnsi="Times New Roman" w:eastAsia="黑体"/>
          <w:b w:val="0"/>
          <w:color w:val="auto"/>
          <w:highlight w:val="none"/>
        </w:rPr>
        <w:t>机</w:t>
      </w:r>
      <w:r>
        <w:rPr>
          <w:rStyle w:val="52"/>
          <w:rFonts w:hint="eastAsia" w:ascii="Times New Roman" w:hAnsi="Times New Roman" w:eastAsia="黑体"/>
          <w:b w:val="0"/>
          <w:bCs w:val="0"/>
          <w:color w:val="auto"/>
          <w:highlight w:val="none"/>
        </w:rPr>
        <w:t>构设置</w:t>
      </w:r>
      <w:bookmarkEnd w:id="6"/>
      <w:bookmarkEnd w:id="7"/>
      <w:bookmarkEnd w:id="8"/>
      <w:bookmarkEnd w:id="9"/>
    </w:p>
    <w:p w14:paraId="1BF9A915">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红</w:t>
      </w:r>
      <w:r>
        <w:rPr>
          <w:rFonts w:hint="eastAsia" w:ascii="方正仿宋_GB2312" w:hAnsi="方正仿宋_GB2312" w:eastAsia="方正仿宋_GB2312" w:cs="方正仿宋_GB2312"/>
          <w:sz w:val="32"/>
          <w:szCs w:val="32"/>
          <w:lang w:eastAsia="zh-CN"/>
        </w:rPr>
        <w:t>原县阿木乡卫生院下属二级预算单位</w:t>
      </w:r>
      <w:r>
        <w:rPr>
          <w:rFonts w:hint="eastAsia" w:ascii="方正仿宋_GB2312" w:hAnsi="方正仿宋_GB2312" w:eastAsia="方正仿宋_GB2312" w:cs="方正仿宋_GB2312"/>
          <w:sz w:val="32"/>
          <w:szCs w:val="32"/>
          <w:lang w:val="en-US" w:eastAsia="zh-CN"/>
        </w:rPr>
        <w:t>0</w:t>
      </w:r>
      <w:r>
        <w:rPr>
          <w:rFonts w:hint="eastAsia" w:ascii="方正仿宋_GB2312" w:hAnsi="方正仿宋_GB2312" w:eastAsia="方正仿宋_GB2312" w:cs="方正仿宋_GB2312"/>
          <w:sz w:val="32"/>
          <w:szCs w:val="32"/>
          <w:lang w:eastAsia="zh-CN"/>
        </w:rPr>
        <w:t>个，我单</w:t>
      </w:r>
      <w:r>
        <w:rPr>
          <w:rFonts w:hint="eastAsia" w:ascii="方正仿宋_GB2312" w:hAnsi="方正仿宋_GB2312" w:eastAsia="方正仿宋_GB2312" w:cs="方正仿宋_GB2312"/>
          <w:sz w:val="32"/>
          <w:szCs w:val="32"/>
          <w:lang w:val="en-US" w:eastAsia="zh-CN"/>
        </w:rPr>
        <w:t>N</w:t>
      </w:r>
      <w:r>
        <w:rPr>
          <w:rFonts w:hint="eastAsia" w:ascii="方正仿宋_GB2312" w:hAnsi="方正仿宋_GB2312" w:eastAsia="方正仿宋_GB2312" w:cs="方正仿宋_GB2312"/>
          <w:sz w:val="32"/>
          <w:szCs w:val="32"/>
          <w:lang w:eastAsia="zh-CN"/>
        </w:rPr>
        <w:t>为独立核算全额拨款事业单位，下设</w:t>
      </w:r>
      <w:r>
        <w:rPr>
          <w:rFonts w:hint="eastAsia" w:ascii="方正仿宋_GB2312" w:hAnsi="方正仿宋_GB2312" w:eastAsia="方正仿宋_GB2312" w:cs="方正仿宋_GB2312"/>
          <w:sz w:val="32"/>
          <w:szCs w:val="32"/>
          <w:lang w:val="en-US" w:eastAsia="zh-CN"/>
        </w:rPr>
        <w:t>1机构。</w:t>
      </w:r>
      <w:r>
        <w:rPr>
          <w:rFonts w:hint="eastAsia" w:ascii="方正仿宋_GB2312" w:hAnsi="方正仿宋_GB2312" w:eastAsia="方正仿宋_GB2312" w:cs="方正仿宋_GB2312"/>
          <w:sz w:val="32"/>
          <w:szCs w:val="32"/>
          <w:lang w:eastAsia="zh-CN"/>
        </w:rPr>
        <w:t>截止20</w:t>
      </w:r>
      <w:r>
        <w:rPr>
          <w:rFonts w:hint="eastAsia" w:ascii="方正仿宋_GB2312" w:hAnsi="方正仿宋_GB2312" w:eastAsia="方正仿宋_GB2312" w:cs="方正仿宋_GB2312"/>
          <w:sz w:val="32"/>
          <w:szCs w:val="32"/>
          <w:lang w:val="en-US" w:eastAsia="zh-CN"/>
        </w:rPr>
        <w:t>25</w:t>
      </w:r>
      <w:r>
        <w:rPr>
          <w:rFonts w:hint="eastAsia" w:ascii="方正仿宋_GB2312" w:hAnsi="方正仿宋_GB2312" w:eastAsia="方正仿宋_GB2312" w:cs="方正仿宋_GB2312"/>
          <w:sz w:val="32"/>
          <w:szCs w:val="32"/>
          <w:lang w:eastAsia="zh-CN"/>
        </w:rPr>
        <w:t>年底我单位</w:t>
      </w:r>
      <w:r>
        <w:rPr>
          <w:rFonts w:hint="eastAsia" w:ascii="方正仿宋_GB2312" w:hAnsi="方正仿宋_GB2312" w:eastAsia="方正仿宋_GB2312" w:cs="方正仿宋_GB2312"/>
          <w:sz w:val="32"/>
          <w:szCs w:val="32"/>
          <w:lang w:val="en-US" w:eastAsia="zh-CN"/>
        </w:rPr>
        <w:t>共有编制9个，其中事业编9个，在职9人,</w:t>
      </w:r>
      <w:r>
        <w:rPr>
          <w:rFonts w:hint="eastAsia" w:ascii="方正仿宋_GB2312" w:hAnsi="方正仿宋_GB2312" w:eastAsia="方正仿宋_GB2312" w:cs="方正仿宋_GB2312"/>
          <w:sz w:val="32"/>
          <w:szCs w:val="32"/>
          <w:lang w:eastAsia="zh-CN"/>
        </w:rPr>
        <w:t>事业编制</w:t>
      </w:r>
      <w:r>
        <w:rPr>
          <w:rFonts w:hint="eastAsia" w:ascii="方正仿宋_GB2312" w:hAnsi="方正仿宋_GB2312" w:eastAsia="方正仿宋_GB2312" w:cs="方正仿宋_GB2312"/>
          <w:sz w:val="32"/>
          <w:szCs w:val="32"/>
          <w:lang w:val="en-US" w:eastAsia="zh-CN"/>
        </w:rPr>
        <w:t>9</w:t>
      </w:r>
      <w:r>
        <w:rPr>
          <w:rFonts w:hint="eastAsia" w:ascii="方正仿宋_GB2312" w:hAnsi="方正仿宋_GB2312" w:eastAsia="方正仿宋_GB2312" w:cs="方正仿宋_GB2312"/>
          <w:sz w:val="32"/>
          <w:szCs w:val="32"/>
          <w:lang w:eastAsia="zh-CN"/>
        </w:rPr>
        <w:t>人。</w:t>
      </w:r>
    </w:p>
    <w:p w14:paraId="23B1B050">
      <w:pPr>
        <w:pStyle w:val="2"/>
        <w:keepNext/>
        <w:keepLines/>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Times New Roman" w:hAnsi="Times New Roman" w:eastAsia="方正小标宋简体" w:cs="方正小标宋简体"/>
          <w:b w:val="0"/>
          <w:color w:val="auto"/>
          <w:highlight w:val="none"/>
        </w:rPr>
      </w:pPr>
      <w:bookmarkStart w:id="10" w:name="_Toc13008"/>
      <w:bookmarkStart w:id="11" w:name="_Toc769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4"/>
      <w:bookmarkEnd w:id="5"/>
      <w:bookmarkEnd w:id="10"/>
      <w:bookmarkEnd w:id="11"/>
    </w:p>
    <w:p w14:paraId="67962C43">
      <w:pPr>
        <w:pageBreakBefore w:val="0"/>
        <w:kinsoku/>
        <w:wordWrap/>
        <w:overflowPunct/>
        <w:topLinePunct w:val="0"/>
        <w:autoSpaceDE/>
        <w:autoSpaceDN/>
        <w:bidi w:val="0"/>
        <w:spacing w:line="560" w:lineRule="exact"/>
        <w:textAlignment w:val="auto"/>
        <w:rPr>
          <w:rFonts w:ascii="Times New Roman" w:hAnsi="Times New Roman"/>
          <w:color w:val="auto"/>
          <w:highlight w:val="none"/>
        </w:rPr>
      </w:pPr>
    </w:p>
    <w:p w14:paraId="76FDE97E">
      <w:pPr>
        <w:pStyle w:val="5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Style w:val="52"/>
          <w:rFonts w:hint="eastAsia" w:ascii="Times New Roman" w:hAnsi="Times New Roman" w:eastAsia="黑体"/>
          <w:b w:val="0"/>
          <w:color w:val="auto"/>
          <w:highlight w:val="none"/>
        </w:rPr>
      </w:pPr>
      <w:bookmarkStart w:id="12" w:name="_Toc11150"/>
      <w:bookmarkStart w:id="13" w:name="_Toc12152"/>
      <w:bookmarkStart w:id="14" w:name="_Toc15377205"/>
      <w:bookmarkStart w:id="15"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52"/>
          <w:rFonts w:hint="eastAsia" w:ascii="Times New Roman" w:hAnsi="Times New Roman" w:eastAsia="黑体"/>
          <w:b w:val="0"/>
          <w:color w:val="auto"/>
          <w:highlight w:val="none"/>
        </w:rPr>
        <w:t>入支出决算总体情况说明</w:t>
      </w:r>
      <w:bookmarkEnd w:id="12"/>
      <w:bookmarkEnd w:id="13"/>
      <w:bookmarkEnd w:id="14"/>
      <w:bookmarkEnd w:id="15"/>
    </w:p>
    <w:p w14:paraId="278F7B59">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t>2025年度收入、支出总计均为261.55万元。与上年度相比，收入、支出总计各增加</w:t>
      </w:r>
      <w:r>
        <w:rPr>
          <w:rFonts w:hint="eastAsia" w:ascii="方正仿宋_GB2312" w:hAnsi="方正仿宋_GB2312" w:eastAsia="方正仿宋_GB2312" w:cs="方正仿宋_GB2312"/>
          <w:sz w:val="32"/>
          <w:szCs w:val="32"/>
          <w:lang w:val="en-US" w:eastAsia="zh-CN"/>
        </w:rPr>
        <w:t>46.77</w:t>
      </w:r>
      <w:r>
        <w:rPr>
          <w:rFonts w:hint="eastAsia" w:ascii="方正仿宋_GB2312" w:hAnsi="方正仿宋_GB2312" w:eastAsia="方正仿宋_GB2312" w:cs="方正仿宋_GB2312"/>
          <w:sz w:val="32"/>
          <w:szCs w:val="32"/>
          <w:lang w:eastAsia="zh-CN"/>
        </w:rPr>
        <w:t>万元，增长</w:t>
      </w:r>
      <w:r>
        <w:rPr>
          <w:rFonts w:hint="eastAsia" w:ascii="方正仿宋_GB2312" w:hAnsi="方正仿宋_GB2312" w:eastAsia="方正仿宋_GB2312" w:cs="方正仿宋_GB2312"/>
          <w:sz w:val="32"/>
          <w:szCs w:val="32"/>
          <w:lang w:val="en-US" w:eastAsia="zh-CN"/>
        </w:rPr>
        <w:t>17.88</w:t>
      </w:r>
      <w:r>
        <w:rPr>
          <w:rFonts w:hint="eastAsia" w:ascii="方正仿宋_GB2312" w:hAnsi="方正仿宋_GB2312" w:eastAsia="方正仿宋_GB2312" w:cs="方正仿宋_GB2312"/>
          <w:sz w:val="32"/>
          <w:szCs w:val="32"/>
          <w:lang w:eastAsia="zh-CN"/>
        </w:rPr>
        <w:t>%。主要变动原因是当年经营性事业收入纳入</w:t>
      </w:r>
      <w:r>
        <w:rPr>
          <w:rFonts w:hint="eastAsia" w:ascii="方正仿宋_GB2312" w:hAnsi="方正仿宋_GB2312" w:eastAsia="方正仿宋_GB2312" w:cs="方正仿宋_GB2312"/>
          <w:sz w:val="32"/>
          <w:szCs w:val="32"/>
          <w:lang w:val="en-US" w:eastAsia="zh-CN"/>
        </w:rPr>
        <w:t>决算。</w:t>
      </w:r>
    </w:p>
    <w:p w14:paraId="59506153">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drawing>
          <wp:anchor distT="0" distB="0" distL="114300" distR="114300" simplePos="0" relativeHeight="251659264" behindDoc="0" locked="0" layoutInCell="1" allowOverlap="1">
            <wp:simplePos x="0" y="0"/>
            <wp:positionH relativeFrom="column">
              <wp:posOffset>-528955</wp:posOffset>
            </wp:positionH>
            <wp:positionV relativeFrom="paragraph">
              <wp:posOffset>472440</wp:posOffset>
            </wp:positionV>
            <wp:extent cx="6482080" cy="2067560"/>
            <wp:effectExtent l="4445" t="4445" r="952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方正仿宋_GB2312" w:hAnsi="方正仿宋_GB2312" w:eastAsia="方正仿宋_GB2312" w:cs="方正仿宋_GB2312"/>
          <w:sz w:val="32"/>
          <w:szCs w:val="32"/>
          <w:lang w:eastAsia="zh-CN"/>
        </w:rPr>
        <w:t>（图1：收入、支出决算总计变动情况图）（柱状图）</w:t>
      </w:r>
    </w:p>
    <w:p w14:paraId="3FCDC6C0">
      <w:pPr>
        <w:pStyle w:val="5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6" w:name="_Toc15377206"/>
      <w:bookmarkStart w:id="17" w:name="_Toc15396604"/>
      <w:bookmarkStart w:id="18" w:name="_Toc15393"/>
      <w:bookmarkStart w:id="19" w:name="_Toc23795"/>
      <w:r>
        <w:rPr>
          <w:rFonts w:hint="eastAsia" w:ascii="Times New Roman" w:hAnsi="Times New Roman" w:eastAsia="黑体"/>
          <w:color w:val="auto"/>
          <w:sz w:val="32"/>
          <w:szCs w:val="32"/>
          <w:highlight w:val="none"/>
          <w:lang w:eastAsia="zh-CN"/>
        </w:rPr>
        <w:t>二、收入决算情况说明</w:t>
      </w:r>
      <w:bookmarkEnd w:id="16"/>
      <w:bookmarkEnd w:id="17"/>
      <w:bookmarkEnd w:id="18"/>
      <w:bookmarkEnd w:id="19"/>
    </w:p>
    <w:p w14:paraId="7EDEE2BC">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2025年度本年收入合计261.55万元，其中：一般公共预算财政拨款收入255.56万元，占97.7%；事业收入5.55万元，占2.12%；其他收入0.45万元，占0.17%。</w:t>
      </w:r>
    </w:p>
    <w:p w14:paraId="540EF9A2">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（图2：收入决算结构图）（饼状图）</w:t>
      </w:r>
    </w:p>
    <w:p w14:paraId="5B425F32">
      <w:pPr>
        <w:pageBreakBefore w:val="0"/>
        <w:kinsoku/>
        <w:wordWrap/>
        <w:overflowPunct/>
        <w:topLinePunct w:val="0"/>
        <w:autoSpaceDE/>
        <w:autoSpaceDN/>
        <w:bidi w:val="0"/>
        <w:spacing w:line="560" w:lineRule="exact"/>
        <w:textAlignment w:val="auto"/>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-1143000</wp:posOffset>
            </wp:positionH>
            <wp:positionV relativeFrom="paragraph">
              <wp:posOffset>-8188325</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2EBBA67F">
      <w:pPr>
        <w:pStyle w:val="50"/>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Style w:val="52"/>
          <w:rFonts w:hint="eastAsia" w:ascii="Times New Roman" w:hAnsi="Times New Roman" w:eastAsia="黑体"/>
          <w:b w:val="0"/>
          <w:color w:val="auto"/>
          <w:highlight w:val="none"/>
        </w:rPr>
      </w:pPr>
      <w:bookmarkStart w:id="20" w:name="_Toc28124"/>
      <w:bookmarkStart w:id="21" w:name="_Toc15377207"/>
      <w:bookmarkStart w:id="22" w:name="_Toc23628"/>
      <w:bookmarkStart w:id="23"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52"/>
          <w:rFonts w:hint="eastAsia" w:ascii="Times New Roman" w:hAnsi="Times New Roman" w:eastAsia="黑体"/>
          <w:b w:val="0"/>
          <w:color w:val="auto"/>
          <w:highlight w:val="none"/>
        </w:rPr>
        <w:t>出决算情况说明</w:t>
      </w:r>
      <w:bookmarkEnd w:id="20"/>
      <w:bookmarkEnd w:id="21"/>
      <w:bookmarkEnd w:id="22"/>
      <w:bookmarkEnd w:id="23"/>
    </w:p>
    <w:p w14:paraId="77C0CDD8">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2025年度本年支出合计261.55万元，其中：基本支出248.17万元，占94.88%；项目支出13.38万元，占5.11%。</w:t>
      </w:r>
    </w:p>
    <w:p w14:paraId="29B50B81">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（图3：支出决算结构图）（饼状图）</w:t>
      </w:r>
    </w:p>
    <w:p w14:paraId="5872BB91">
      <w:pPr>
        <w:pageBreakBefore w:val="0"/>
        <w:kinsoku/>
        <w:wordWrap/>
        <w:overflowPunct/>
        <w:topLinePunct w:val="0"/>
        <w:autoSpaceDE/>
        <w:autoSpaceDN/>
        <w:bidi w:val="0"/>
        <w:spacing w:line="560" w:lineRule="exact"/>
        <w:textAlignment w:val="auto"/>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-595630</wp:posOffset>
            </wp:positionH>
            <wp:positionV relativeFrom="paragraph">
              <wp:posOffset>26670</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0C20B673">
      <w:pPr>
        <w:pageBreakBefore w:val="0"/>
        <w:kinsoku/>
        <w:wordWrap/>
        <w:overflowPunct/>
        <w:topLinePunct w:val="0"/>
        <w:autoSpaceDE/>
        <w:autoSpaceDN/>
        <w:bidi w:val="0"/>
        <w:spacing w:line="560" w:lineRule="exact"/>
        <w:ind w:firstLine="640" w:firstLineChars="200"/>
        <w:textAlignment w:val="auto"/>
        <w:outlineLvl w:val="1"/>
        <w:rPr>
          <w:rStyle w:val="52"/>
          <w:rFonts w:ascii="Times New Roman" w:hAnsi="Times New Roman" w:eastAsia="黑体"/>
          <w:b w:val="0"/>
          <w:color w:val="auto"/>
          <w:highlight w:val="none"/>
        </w:rPr>
      </w:pPr>
      <w:bookmarkStart w:id="24" w:name="_Toc9223"/>
      <w:bookmarkStart w:id="25" w:name="_Toc20100"/>
      <w:bookmarkStart w:id="26" w:name="_Toc15377208"/>
      <w:bookmarkStart w:id="27" w:name="_Toc15396606"/>
      <w:r>
        <w:rPr>
          <w:rFonts w:hint="eastAsia" w:ascii="Times New Roman" w:hAnsi="Times New Roman" w:eastAsia="黑体"/>
          <w:color w:val="auto"/>
          <w:sz w:val="32"/>
          <w:szCs w:val="32"/>
          <w:highlight w:val="none"/>
        </w:rPr>
        <w:t>四、财</w:t>
      </w:r>
      <w:r>
        <w:rPr>
          <w:rStyle w:val="52"/>
          <w:rFonts w:hint="eastAsia" w:ascii="Times New Roman" w:hAnsi="Times New Roman" w:eastAsia="黑体"/>
          <w:b w:val="0"/>
          <w:color w:val="auto"/>
          <w:highlight w:val="none"/>
        </w:rPr>
        <w:t>政拨款收入支出决算总体情况说明</w:t>
      </w:r>
      <w:bookmarkEnd w:id="24"/>
      <w:bookmarkEnd w:id="25"/>
      <w:bookmarkEnd w:id="26"/>
      <w:bookmarkEnd w:id="27"/>
    </w:p>
    <w:p w14:paraId="0BF01B0B">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2025年度财政拨款收入、支出总计均为</w:t>
      </w:r>
      <w:r>
        <w:rPr>
          <w:rFonts w:hint="eastAsia" w:ascii="方正仿宋_GB2312" w:hAnsi="方正仿宋_GB2312" w:eastAsia="方正仿宋_GB2312" w:cs="方正仿宋_GB2312"/>
          <w:sz w:val="32"/>
          <w:szCs w:val="32"/>
          <w:lang w:eastAsia="zh-CN"/>
        </w:rPr>
        <w:t>255.56</w:t>
      </w:r>
      <w:r>
        <w:rPr>
          <w:rFonts w:hint="eastAsia" w:ascii="方正仿宋_GB2312" w:hAnsi="方正仿宋_GB2312" w:eastAsia="方正仿宋_GB2312" w:cs="方正仿宋_GB2312"/>
          <w:sz w:val="32"/>
          <w:szCs w:val="32"/>
          <w:lang w:val="en-US" w:eastAsia="zh-CN"/>
        </w:rPr>
        <w:t>万元。与上年度相比，财政拨款收入、支出总计各增加40.78万元，增长15.95%。主要变动原因是卫生健康类收入、支出增加。</w:t>
      </w:r>
    </w:p>
    <w:p w14:paraId="4009391F">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drawing>
          <wp:anchor distT="0" distB="0" distL="114300" distR="114300" simplePos="0" relativeHeight="251663360" behindDoc="0" locked="0" layoutInCell="1" allowOverlap="1">
            <wp:simplePos x="0" y="0"/>
            <wp:positionH relativeFrom="column">
              <wp:posOffset>-607695</wp:posOffset>
            </wp:positionH>
            <wp:positionV relativeFrom="paragraph">
              <wp:posOffset>753110</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方正仿宋_GB2312" w:hAnsi="方正仿宋_GB2312" w:eastAsia="方正仿宋_GB2312" w:cs="方正仿宋_GB2312"/>
          <w:sz w:val="32"/>
          <w:szCs w:val="32"/>
          <w:lang w:val="en-US" w:eastAsia="zh-CN"/>
        </w:rPr>
        <w:t>（图4：财政拨款收、支决算总计变动情况）（柱状图）</w:t>
      </w:r>
    </w:p>
    <w:p w14:paraId="0F061795">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5E7D25EF">
      <w:pPr>
        <w:pageBreakBefore w:val="0"/>
        <w:kinsoku/>
        <w:wordWrap/>
        <w:overflowPunct/>
        <w:topLinePunct w:val="0"/>
        <w:autoSpaceDE/>
        <w:autoSpaceDN/>
        <w:bidi w:val="0"/>
        <w:spacing w:line="560" w:lineRule="exact"/>
        <w:ind w:firstLine="640" w:firstLineChars="200"/>
        <w:textAlignment w:val="auto"/>
        <w:outlineLvl w:val="1"/>
        <w:rPr>
          <w:rStyle w:val="52"/>
          <w:rFonts w:ascii="Times New Roman" w:hAnsi="Times New Roman" w:eastAsia="黑体"/>
          <w:b w:val="0"/>
          <w:color w:val="auto"/>
          <w:highlight w:val="none"/>
        </w:rPr>
      </w:pPr>
      <w:bookmarkStart w:id="28" w:name="_Toc15377209"/>
      <w:bookmarkStart w:id="29" w:name="_Toc15396607"/>
      <w:bookmarkStart w:id="30" w:name="_Toc20513"/>
      <w:bookmarkStart w:id="31" w:name="_Toc32321"/>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52"/>
          <w:rFonts w:hint="eastAsia" w:ascii="Times New Roman" w:hAnsi="Times New Roman" w:eastAsia="黑体"/>
          <w:b w:val="0"/>
          <w:color w:val="auto"/>
          <w:highlight w:val="none"/>
        </w:rPr>
        <w:t>般公共预算财政拨款支出决算情况说明</w:t>
      </w:r>
      <w:bookmarkEnd w:id="28"/>
      <w:bookmarkEnd w:id="29"/>
      <w:bookmarkEnd w:id="30"/>
      <w:bookmarkEnd w:id="31"/>
    </w:p>
    <w:p w14:paraId="2A41D371">
      <w:pPr>
        <w:pStyle w:val="16"/>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0" w:leftChars="0" w:firstLine="643" w:firstLineChars="200"/>
        <w:jc w:val="left"/>
        <w:textAlignment w:val="auto"/>
        <w:outlineLvl w:val="2"/>
        <w:rPr>
          <w:rFonts w:hint="eastAsia" w:ascii="方正仿宋_GB2312" w:hAnsi="方正仿宋_GB2312" w:eastAsia="方正仿宋_GB2312" w:cs="方正仿宋_GB2312"/>
          <w:b/>
          <w:bCs/>
          <w:sz w:val="32"/>
          <w:szCs w:val="32"/>
          <w:lang w:eastAsia="zh-CN"/>
        </w:rPr>
      </w:pPr>
      <w:bookmarkStart w:id="32" w:name="_Toc15377210"/>
      <w:bookmarkStart w:id="33" w:name="_Toc4882"/>
      <w:r>
        <w:rPr>
          <w:rFonts w:hint="eastAsia" w:ascii="方正仿宋_GB2312" w:hAnsi="方正仿宋_GB2312" w:eastAsia="方正仿宋_GB2312" w:cs="方正仿宋_GB2312"/>
          <w:b/>
          <w:bCs/>
          <w:sz w:val="32"/>
          <w:szCs w:val="32"/>
          <w:lang w:eastAsia="zh-CN"/>
        </w:rPr>
        <w:t>（一）一般公共预算财政拨款支出决算总体情况</w:t>
      </w:r>
      <w:bookmarkEnd w:id="32"/>
      <w:bookmarkEnd w:id="33"/>
    </w:p>
    <w:p w14:paraId="137B603B">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2025年度一般公共预算财政拨款支出</w:t>
      </w:r>
      <w:r>
        <w:rPr>
          <w:rFonts w:hint="eastAsia" w:ascii="方正仿宋_GB2312" w:hAnsi="方正仿宋_GB2312" w:eastAsia="方正仿宋_GB2312" w:cs="方正仿宋_GB2312"/>
          <w:sz w:val="32"/>
          <w:szCs w:val="32"/>
          <w:lang w:eastAsia="zh-CN"/>
        </w:rPr>
        <w:t>255.56</w:t>
      </w:r>
      <w:r>
        <w:rPr>
          <w:rFonts w:hint="eastAsia" w:ascii="方正仿宋_GB2312" w:hAnsi="方正仿宋_GB2312" w:eastAsia="方正仿宋_GB2312" w:cs="方正仿宋_GB2312"/>
          <w:sz w:val="32"/>
          <w:szCs w:val="32"/>
          <w:lang w:val="en-US" w:eastAsia="zh-CN"/>
        </w:rPr>
        <w:t>万元，占本年支出合计的</w:t>
      </w:r>
      <w:r>
        <w:rPr>
          <w:rFonts w:hint="eastAsia" w:ascii="方正仿宋_GB2312" w:hAnsi="方正仿宋_GB2312" w:eastAsia="方正仿宋_GB2312" w:cs="方正仿宋_GB2312"/>
          <w:sz w:val="32"/>
          <w:szCs w:val="32"/>
          <w:lang w:eastAsia="zh-CN"/>
        </w:rPr>
        <w:t>97.7</w:t>
      </w:r>
      <w:r>
        <w:rPr>
          <w:rFonts w:hint="eastAsia" w:ascii="方正仿宋_GB2312" w:hAnsi="方正仿宋_GB2312" w:eastAsia="方正仿宋_GB2312" w:cs="方正仿宋_GB2312"/>
          <w:sz w:val="32"/>
          <w:szCs w:val="32"/>
          <w:lang w:val="en-US" w:eastAsia="zh-CN"/>
        </w:rPr>
        <w:t>%。与上年度相比，一般公共预算财政拨款支出增加40.78万元，增长15.95%。主要变动原因是卫生健康类收入、支出增加。</w:t>
      </w:r>
    </w:p>
    <w:p w14:paraId="6BC093CA">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（图5：一般公共预算财政拨款支出决算变动情况）（柱状图）</w:t>
      </w:r>
    </w:p>
    <w:p w14:paraId="22756D84">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-690880</wp:posOffset>
            </wp:positionH>
            <wp:positionV relativeFrom="paragraph">
              <wp:posOffset>166370</wp:posOffset>
            </wp:positionV>
            <wp:extent cx="6783070" cy="2120900"/>
            <wp:effectExtent l="4445" t="4445" r="13335" b="825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03C3D2B7">
      <w:pPr>
        <w:pStyle w:val="16"/>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0" w:leftChars="0" w:firstLine="643" w:firstLineChars="200"/>
        <w:jc w:val="left"/>
        <w:textAlignment w:val="auto"/>
        <w:outlineLvl w:val="2"/>
        <w:rPr>
          <w:rFonts w:hint="eastAsia" w:ascii="方正仿宋_GB2312" w:hAnsi="方正仿宋_GB2312" w:eastAsia="方正仿宋_GB2312" w:cs="方正仿宋_GB2312"/>
          <w:b/>
          <w:bCs/>
          <w:sz w:val="32"/>
          <w:szCs w:val="32"/>
          <w:lang w:eastAsia="zh-CN"/>
        </w:rPr>
      </w:pPr>
      <w:bookmarkStart w:id="34" w:name="_Toc15377211"/>
      <w:bookmarkStart w:id="35" w:name="_Toc23825"/>
      <w:r>
        <w:rPr>
          <w:rFonts w:hint="eastAsia" w:ascii="方正仿宋_GB2312" w:hAnsi="方正仿宋_GB2312" w:eastAsia="方正仿宋_GB2312" w:cs="方正仿宋_GB2312"/>
          <w:b/>
          <w:bCs/>
          <w:sz w:val="32"/>
          <w:szCs w:val="32"/>
          <w:lang w:eastAsia="zh-CN"/>
        </w:rPr>
        <w:t>（二）一般公共预算财政拨款支出决算结构情况</w:t>
      </w:r>
      <w:bookmarkEnd w:id="34"/>
      <w:bookmarkEnd w:id="35"/>
    </w:p>
    <w:p w14:paraId="71EC9D7A">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度一般公共预算财政拨款支出255.56万元，主要用于以下方面：一般公共服务支出**万元，占**%；教育支出**万元，占**%；科学技术支出**万元，占**%；文化旅游体育与传媒支出**万元，占**%；社会保障和就业支出34.70万元，占13.57%；卫生健康支出201.96万元，占79.02%；住房保障支出18.90万元，占7.39%；</w:t>
      </w:r>
    </w:p>
    <w:p w14:paraId="07C45A36">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drawing>
          <wp:anchor distT="0" distB="0" distL="114300" distR="114300" simplePos="0" relativeHeight="251665408" behindDoc="0" locked="0" layoutInCell="1" allowOverlap="1">
            <wp:simplePos x="0" y="0"/>
            <wp:positionH relativeFrom="column">
              <wp:posOffset>-662305</wp:posOffset>
            </wp:positionH>
            <wp:positionV relativeFrom="paragraph">
              <wp:posOffset>509905</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ascii="方正仿宋_GB2312" w:hAnsi="方正仿宋_GB2312" w:eastAsia="方正仿宋_GB2312" w:cs="方正仿宋_GB2312"/>
          <w:sz w:val="32"/>
          <w:szCs w:val="32"/>
          <w:lang w:val="en-US" w:eastAsia="zh-CN"/>
        </w:rPr>
        <w:t>（图6：一般公共预算财政拨款支出决算结构）（饼状图）</w:t>
      </w:r>
    </w:p>
    <w:p w14:paraId="6E4E36EE">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09F38DA4">
      <w:pPr>
        <w:pStyle w:val="16"/>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0" w:leftChars="0" w:firstLine="643" w:firstLineChars="200"/>
        <w:jc w:val="left"/>
        <w:textAlignment w:val="auto"/>
        <w:outlineLvl w:val="2"/>
        <w:rPr>
          <w:rFonts w:hint="eastAsia" w:ascii="方正仿宋_GB2312" w:hAnsi="方正仿宋_GB2312" w:eastAsia="方正仿宋_GB2312" w:cs="方正仿宋_GB2312"/>
          <w:b/>
          <w:bCs/>
          <w:sz w:val="32"/>
          <w:szCs w:val="32"/>
          <w:lang w:val="en-US" w:eastAsia="zh-CN"/>
        </w:rPr>
      </w:pPr>
      <w:bookmarkStart w:id="36" w:name="_Toc19700"/>
      <w:bookmarkStart w:id="37" w:name="_Toc15377212"/>
      <w:r>
        <w:rPr>
          <w:rFonts w:hint="eastAsia" w:ascii="方正仿宋_GB2312" w:hAnsi="方正仿宋_GB2312" w:eastAsia="方正仿宋_GB2312" w:cs="方正仿宋_GB2312"/>
          <w:b/>
          <w:bCs/>
          <w:sz w:val="32"/>
          <w:szCs w:val="32"/>
          <w:lang w:val="en-US" w:eastAsia="zh-CN"/>
        </w:rPr>
        <w:t>（三）一般公共预算财政拨款支出决算具体情况</w:t>
      </w:r>
      <w:bookmarkEnd w:id="36"/>
      <w:bookmarkEnd w:id="37"/>
    </w:p>
    <w:p w14:paraId="24744018">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bookmarkStart w:id="38" w:name="_Toc15378460"/>
      <w:bookmarkStart w:id="39" w:name="_Toc15377444"/>
      <w:bookmarkStart w:id="40" w:name="_Toc15377213"/>
      <w:r>
        <w:rPr>
          <w:rFonts w:hint="eastAsia" w:ascii="方正仿宋_GB2312" w:hAnsi="方正仿宋_GB2312" w:eastAsia="方正仿宋_GB2312" w:cs="方正仿宋_GB2312"/>
          <w:sz w:val="32"/>
          <w:szCs w:val="32"/>
          <w:lang w:val="en-US" w:eastAsia="zh-CN"/>
        </w:rPr>
        <w:t>2025年度一般公共预算支出决算数为255.56，完成预算**%。其中：</w:t>
      </w:r>
      <w:bookmarkEnd w:id="38"/>
      <w:bookmarkEnd w:id="39"/>
      <w:bookmarkEnd w:id="40"/>
    </w:p>
    <w:p w14:paraId="4AA9285C">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住房保障支出服务（类）02（款）01（项）：支出决算为18.90万元，完成预算100%，决算数等于预算数。</w:t>
      </w:r>
    </w:p>
    <w:p w14:paraId="31B0985C">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2.社会保障和就业（类）05（款）06（项）：支出决算为34.70万元，完成预算100%，决算数等于预算数。</w:t>
      </w:r>
    </w:p>
    <w:p w14:paraId="26179963">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3.卫生健康（类）03（款）02（项）：支出决算为201.96万元，完成预算100%，决算数小于预算数的主要原因是基层医疗卫生经费支出的减少。</w:t>
      </w:r>
    </w:p>
    <w:p w14:paraId="695D5B4B">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0F1CB42E">
      <w:pPr>
        <w:pageBreakBefore w:val="0"/>
        <w:tabs>
          <w:tab w:val="right" w:pos="8306"/>
        </w:tabs>
        <w:kinsoku/>
        <w:wordWrap/>
        <w:overflowPunct/>
        <w:topLinePunct w:val="0"/>
        <w:autoSpaceDE/>
        <w:autoSpaceDN/>
        <w:bidi w:val="0"/>
        <w:spacing w:line="560" w:lineRule="exact"/>
        <w:ind w:firstLine="640"/>
        <w:textAlignment w:val="auto"/>
        <w:outlineLvl w:val="1"/>
        <w:rPr>
          <w:rStyle w:val="52"/>
          <w:rFonts w:ascii="Times New Roman" w:hAnsi="Times New Roman"/>
          <w:color w:val="auto"/>
          <w:highlight w:val="none"/>
        </w:rPr>
      </w:pPr>
      <w:bookmarkStart w:id="41" w:name="_Toc15396608"/>
      <w:bookmarkStart w:id="42" w:name="_Toc7707"/>
      <w:bookmarkStart w:id="43" w:name="_Toc4397"/>
      <w:bookmarkStart w:id="44"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52"/>
          <w:rFonts w:hint="eastAsia" w:ascii="Times New Roman" w:hAnsi="Times New Roman" w:eastAsia="黑体"/>
          <w:b w:val="0"/>
          <w:color w:val="auto"/>
          <w:highlight w:val="none"/>
        </w:rPr>
        <w:t>般公共预算财政拨款基本支出决算情况说明</w:t>
      </w:r>
      <w:bookmarkEnd w:id="41"/>
      <w:bookmarkEnd w:id="42"/>
      <w:bookmarkEnd w:id="43"/>
      <w:bookmarkEnd w:id="44"/>
      <w:r>
        <w:rPr>
          <w:rStyle w:val="52"/>
          <w:rFonts w:ascii="Times New Roman" w:hAnsi="Times New Roman" w:eastAsia="黑体"/>
          <w:b w:val="0"/>
          <w:color w:val="auto"/>
          <w:highlight w:val="none"/>
        </w:rPr>
        <w:tab/>
      </w:r>
    </w:p>
    <w:p w14:paraId="00632ACD">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2025年度一般公共预算财政拨款基本支出248.17万元，其中：</w:t>
      </w:r>
    </w:p>
    <w:p w14:paraId="7CCC9914">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人员经费240.73万元，主要包括：基本工资、津贴补贴、绩效工资、机关事业单位基本养老保险缴费、职业年金缴费、其他社会保障缴费、退休费、生活补助、医疗费补助、奖励金、住房公积金。</w:t>
      </w:r>
      <w:r>
        <w:rPr>
          <w:rFonts w:hint="eastAsia" w:ascii="方正仿宋_GB2312" w:hAnsi="方正仿宋_GB2312" w:eastAsia="方正仿宋_GB2312" w:cs="方正仿宋_GB2312"/>
          <w:sz w:val="32"/>
          <w:szCs w:val="32"/>
          <w:lang w:val="en-US" w:eastAsia="zh-CN"/>
        </w:rPr>
        <w:br w:type="textWrapping"/>
      </w:r>
      <w:r>
        <w:rPr>
          <w:rFonts w:hint="eastAsia" w:ascii="方正仿宋_GB2312" w:hAnsi="方正仿宋_GB2312" w:eastAsia="方正仿宋_GB2312" w:cs="方正仿宋_GB2312"/>
          <w:sz w:val="32"/>
          <w:szCs w:val="32"/>
          <w:lang w:val="en-US" w:eastAsia="zh-CN"/>
        </w:rPr>
        <w:t xml:space="preserve">    公用经费7.44万元，主要包括：工会经费、福利费。</w:t>
      </w:r>
    </w:p>
    <w:p w14:paraId="36A55336">
      <w:pPr>
        <w:pageBreakBefore w:val="0"/>
        <w:kinsoku/>
        <w:wordWrap/>
        <w:overflowPunct/>
        <w:topLinePunct w:val="0"/>
        <w:autoSpaceDE/>
        <w:autoSpaceDN/>
        <w:bidi w:val="0"/>
        <w:spacing w:line="560" w:lineRule="exact"/>
        <w:ind w:firstLine="640"/>
        <w:textAlignment w:val="auto"/>
        <w:outlineLvl w:val="1"/>
        <w:rPr>
          <w:rStyle w:val="52"/>
          <w:rFonts w:ascii="Times New Roman" w:hAnsi="Times New Roman" w:eastAsia="黑体"/>
          <w:b w:val="0"/>
          <w:color w:val="auto"/>
          <w:highlight w:val="none"/>
        </w:rPr>
      </w:pPr>
      <w:bookmarkStart w:id="45" w:name="_Toc20556"/>
      <w:bookmarkStart w:id="46" w:name="_Toc26853"/>
      <w:bookmarkStart w:id="47" w:name="_Toc15396609"/>
      <w:bookmarkStart w:id="48" w:name="_Toc15377215"/>
      <w:r>
        <w:rPr>
          <w:rFonts w:hint="eastAsia" w:ascii="Times New Roman" w:hAnsi="Times New Roman" w:eastAsia="黑体"/>
          <w:color w:val="auto"/>
          <w:sz w:val="32"/>
          <w:szCs w:val="32"/>
          <w:highlight w:val="none"/>
        </w:rPr>
        <w:t>七、</w:t>
      </w:r>
      <w:r>
        <w:rPr>
          <w:rStyle w:val="52"/>
          <w:rFonts w:hint="eastAsia" w:ascii="Times New Roman" w:hAnsi="Times New Roman" w:eastAsia="黑体"/>
          <w:b w:val="0"/>
          <w:color w:val="auto"/>
          <w:highlight w:val="none"/>
        </w:rPr>
        <w:t>财政拨款</w:t>
      </w:r>
      <w:r>
        <w:rPr>
          <w:rStyle w:val="52"/>
          <w:rFonts w:hint="eastAsia" w:ascii="Times New Roman" w:hAnsi="Times New Roman" w:eastAsia="黑体"/>
          <w:color w:val="auto"/>
          <w:highlight w:val="none"/>
        </w:rPr>
        <w:t>“</w:t>
      </w:r>
      <w:r>
        <w:rPr>
          <w:rStyle w:val="52"/>
          <w:rFonts w:hint="eastAsia" w:ascii="Times New Roman" w:hAnsi="Times New Roman" w:eastAsia="黑体"/>
          <w:b w:val="0"/>
          <w:color w:val="auto"/>
          <w:highlight w:val="none"/>
        </w:rPr>
        <w:t>三公”经费支出决算情况说明</w:t>
      </w:r>
      <w:bookmarkEnd w:id="45"/>
      <w:bookmarkEnd w:id="46"/>
      <w:bookmarkEnd w:id="47"/>
      <w:bookmarkEnd w:id="48"/>
    </w:p>
    <w:p w14:paraId="3072B1DA">
      <w:pPr>
        <w:pStyle w:val="16"/>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0" w:leftChars="0" w:firstLine="643" w:firstLineChars="200"/>
        <w:jc w:val="left"/>
        <w:textAlignment w:val="auto"/>
        <w:outlineLvl w:val="2"/>
        <w:rPr>
          <w:rFonts w:hint="eastAsia" w:ascii="方正仿宋_GB2312" w:hAnsi="方正仿宋_GB2312" w:eastAsia="方正仿宋_GB2312" w:cs="方正仿宋_GB2312"/>
          <w:b/>
          <w:bCs/>
          <w:sz w:val="32"/>
          <w:szCs w:val="32"/>
          <w:lang w:val="en-US" w:eastAsia="zh-CN"/>
        </w:rPr>
      </w:pPr>
      <w:bookmarkStart w:id="49" w:name="_Toc11193"/>
      <w:bookmarkStart w:id="50" w:name="_Toc15377216"/>
      <w:r>
        <w:rPr>
          <w:rFonts w:hint="eastAsia" w:ascii="方正仿宋_GB2312" w:hAnsi="方正仿宋_GB2312" w:eastAsia="方正仿宋_GB2312" w:cs="方正仿宋_GB2312"/>
          <w:b/>
          <w:bCs/>
          <w:sz w:val="32"/>
          <w:szCs w:val="32"/>
          <w:lang w:val="en-US" w:eastAsia="zh-CN"/>
        </w:rPr>
        <w:t>（一）财政拨款“三公”经费支出决算总体情况说明</w:t>
      </w:r>
      <w:bookmarkEnd w:id="49"/>
      <w:bookmarkEnd w:id="50"/>
    </w:p>
    <w:p w14:paraId="3BE9183F">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2025年度财政拨款“三公”经费支出决算为0万元，完成预算0%，较上年度增加/减少**万元，增长/下降**%。决算数小于预算数（或与预算数持平）的主要原因是……</w:t>
      </w:r>
    </w:p>
    <w:p w14:paraId="2679DEB8">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（注：上述“预算”口径为全年预算数，包括一般公共预算和政府性基金预算财政拨款支出决算情况，与预算数持平可以不写原因）</w:t>
      </w:r>
    </w:p>
    <w:p w14:paraId="18C15254">
      <w:pPr>
        <w:pStyle w:val="16"/>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0" w:leftChars="0" w:firstLine="643" w:firstLineChars="200"/>
        <w:jc w:val="left"/>
        <w:textAlignment w:val="auto"/>
        <w:outlineLvl w:val="2"/>
        <w:rPr>
          <w:rFonts w:hint="eastAsia" w:ascii="方正仿宋_GB2312" w:hAnsi="方正仿宋_GB2312" w:eastAsia="方正仿宋_GB2312" w:cs="方正仿宋_GB2312"/>
          <w:b/>
          <w:bCs/>
          <w:sz w:val="32"/>
          <w:szCs w:val="32"/>
          <w:lang w:val="en-US" w:eastAsia="zh-CN"/>
        </w:rPr>
      </w:pPr>
      <w:bookmarkStart w:id="51" w:name="_Toc15377217"/>
      <w:bookmarkStart w:id="52" w:name="_Toc8147"/>
      <w:r>
        <w:rPr>
          <w:rFonts w:hint="eastAsia" w:ascii="方正仿宋_GB2312" w:hAnsi="方正仿宋_GB2312" w:eastAsia="方正仿宋_GB2312" w:cs="方正仿宋_GB2312"/>
          <w:b/>
          <w:bCs/>
          <w:sz w:val="32"/>
          <w:szCs w:val="32"/>
          <w:lang w:val="en-US" w:eastAsia="zh-CN"/>
        </w:rPr>
        <w:t>（二）财政拨款“三公”经费支出决算具体情况说明</w:t>
      </w:r>
      <w:bookmarkEnd w:id="51"/>
      <w:bookmarkEnd w:id="52"/>
    </w:p>
    <w:p w14:paraId="5860BD7D">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2025年度财政拨款“三公”经费支出决算中，因公出国（境）费支出决算0万元，占**%；公务用车购置及运行维护费支出决算0万元，占**%；公务接待费支出决算0万元，占**%。具体情况如下：</w:t>
      </w:r>
    </w:p>
    <w:p w14:paraId="006D1204">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（图7：财政拨款“三公”经费支出结构）（饼状图）</w:t>
      </w:r>
    </w:p>
    <w:p w14:paraId="5B8F0C1C">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1.因公出国（境）经费支出0万元，完成预算**%。全年安排因公出国（境）团组0次，出国（境）0人。因公出国（境）支出决算比上年度增加/减少**万元，增长/下降**%。主要原因是……</w:t>
      </w:r>
    </w:p>
    <w:p w14:paraId="19696D8C">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开支内容包括：……（团组名称、出访地点、取得成效等）</w:t>
      </w:r>
    </w:p>
    <w:p w14:paraId="28B554EC">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2.公务用车购置及运行维护费支出0万元，完成预算**%。公务用车购置及运行维护费支出决算比上年度增加/减少**万元，增长/下降**%。主要原因是……</w:t>
      </w:r>
    </w:p>
    <w:p w14:paraId="5ED1557E">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其中：公务用车购置支出0万元。全年按规定更新购置公务用车**辆，其中：轿车**辆、金额**万元，越野车**辆、金额**万元，载客汽车**辆、金额**万元，主要用于……。截至2025年12月31日，单位共有公务用车**辆，其中：轿车**辆、越野车**辆、载客汽车**辆。</w:t>
      </w:r>
    </w:p>
    <w:p w14:paraId="73F2020C">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公务用车运行维护费支出0万元。主要用于……（具体工作）所需的公务用车燃料费、维修费、过路过桥费、保险费等支出。</w:t>
      </w:r>
    </w:p>
    <w:p w14:paraId="08DCCA8D">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3.公务接待费支出0万元，完成预算**%。公务接待费支出决算比上年度增加/减少**万元，增长/下降**%。主要原因是……。其中：</w:t>
      </w:r>
    </w:p>
    <w:p w14:paraId="73C85D9F">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国内公务接待支出0万元，主要用于……（执行公务、开展业务活动开支的交通费、住宿费、用餐费等）。国内公务接待0批次，0人次（不包括陪同人员），共计支出**万元，具体内容包括：……（接待具体项目、金额）。</w:t>
      </w:r>
    </w:p>
    <w:p w14:paraId="578258CD">
      <w:pPr>
        <w:pStyle w:val="16"/>
        <w:pageBreakBefore w:val="0"/>
        <w:tabs>
          <w:tab w:val="right" w:leader="dot" w:pos="8296"/>
        </w:tabs>
        <w:kinsoku/>
        <w:wordWrap/>
        <w:overflowPunct/>
        <w:topLinePunct w:val="0"/>
        <w:autoSpaceDE/>
        <w:autoSpaceDN/>
        <w:bidi w:val="0"/>
        <w:spacing w:line="560" w:lineRule="exact"/>
        <w:ind w:left="0" w:leftChars="0" w:firstLine="640" w:firstLineChars="200"/>
        <w:jc w:val="lef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外事接待支出0万元，主要用于……（具体项目）。外事接待0批次，0人次（不包括陪同人员），共计支出**万元。</w:t>
      </w:r>
      <w:bookmarkStart w:id="53" w:name="_Toc15396610"/>
      <w:bookmarkStart w:id="54" w:name="_Toc15377218"/>
    </w:p>
    <w:p w14:paraId="3158A6F5">
      <w:pPr>
        <w:pageBreakBefore w:val="0"/>
        <w:kinsoku/>
        <w:wordWrap/>
        <w:overflowPunct/>
        <w:topLinePunct w:val="0"/>
        <w:autoSpaceDE/>
        <w:autoSpaceDN/>
        <w:bidi w:val="0"/>
        <w:spacing w:line="560" w:lineRule="exact"/>
        <w:ind w:firstLine="640"/>
        <w:textAlignment w:val="auto"/>
        <w:outlineLvl w:val="1"/>
        <w:rPr>
          <w:rStyle w:val="52"/>
          <w:rFonts w:ascii="Times New Roman" w:hAnsi="Times New Roman" w:eastAsia="黑体"/>
          <w:color w:val="auto"/>
          <w:highlight w:val="none"/>
        </w:rPr>
      </w:pPr>
      <w:bookmarkStart w:id="55" w:name="_Toc20566"/>
      <w:bookmarkStart w:id="56" w:name="_Toc23351"/>
      <w:r>
        <w:rPr>
          <w:rFonts w:hint="eastAsia" w:ascii="Times New Roman" w:hAnsi="Times New Roman" w:eastAsia="黑体"/>
          <w:color w:val="auto"/>
          <w:sz w:val="32"/>
          <w:szCs w:val="32"/>
          <w:highlight w:val="none"/>
        </w:rPr>
        <w:t>八、</w:t>
      </w:r>
      <w:r>
        <w:rPr>
          <w:rStyle w:val="52"/>
          <w:rFonts w:hint="eastAsia" w:ascii="Times New Roman" w:hAnsi="Times New Roman" w:eastAsia="黑体"/>
          <w:b w:val="0"/>
          <w:color w:val="auto"/>
          <w:highlight w:val="none"/>
        </w:rPr>
        <w:t>政府性基金预算支出决算情况说明</w:t>
      </w:r>
      <w:bookmarkEnd w:id="53"/>
      <w:bookmarkEnd w:id="54"/>
      <w:bookmarkEnd w:id="55"/>
      <w:bookmarkEnd w:id="56"/>
    </w:p>
    <w:p w14:paraId="1960AE41">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74266D58">
      <w:pPr>
        <w:pageBreakBefore w:val="0"/>
        <w:numPr>
          <w:ilvl w:val="0"/>
          <w:numId w:val="0"/>
        </w:numPr>
        <w:kinsoku/>
        <w:wordWrap/>
        <w:overflowPunct/>
        <w:topLinePunct w:val="0"/>
        <w:autoSpaceDE/>
        <w:autoSpaceDN/>
        <w:bidi w:val="0"/>
        <w:spacing w:line="560" w:lineRule="exact"/>
        <w:ind w:left="630" w:leftChars="0"/>
        <w:textAlignment w:val="auto"/>
        <w:outlineLvl w:val="1"/>
        <w:rPr>
          <w:rStyle w:val="52"/>
          <w:rFonts w:ascii="Times New Roman" w:hAnsi="Times New Roman" w:eastAsia="黑体"/>
          <w:b w:val="0"/>
          <w:color w:val="auto"/>
          <w:highlight w:val="none"/>
        </w:rPr>
      </w:pPr>
      <w:bookmarkStart w:id="57" w:name="_Toc15377219"/>
      <w:bookmarkStart w:id="58" w:name="_Toc15396611"/>
      <w:bookmarkStart w:id="59" w:name="_Toc2933"/>
      <w:bookmarkStart w:id="60" w:name="_Toc14756"/>
      <w:r>
        <w:rPr>
          <w:rStyle w:val="52"/>
          <w:rFonts w:hint="eastAsia" w:ascii="Times New Roman" w:hAnsi="Times New Roman" w:eastAsia="黑体"/>
          <w:b w:val="0"/>
          <w:color w:val="auto"/>
          <w:highlight w:val="none"/>
          <w:lang w:eastAsia="zh-CN"/>
        </w:rPr>
        <w:t>九、</w:t>
      </w:r>
      <w:r>
        <w:rPr>
          <w:rStyle w:val="52"/>
          <w:rFonts w:hint="eastAsia" w:ascii="Times New Roman" w:hAnsi="Times New Roman" w:eastAsia="黑体"/>
          <w:b w:val="0"/>
          <w:color w:val="auto"/>
          <w:highlight w:val="none"/>
        </w:rPr>
        <w:t>国有资本经营预算支出决算情况说明</w:t>
      </w:r>
      <w:bookmarkEnd w:id="57"/>
      <w:bookmarkEnd w:id="58"/>
      <w:bookmarkEnd w:id="59"/>
      <w:bookmarkEnd w:id="60"/>
    </w:p>
    <w:p w14:paraId="377C0A21">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2025年度国有资本经营预算财政拨款支出0万元，占本年支出合计的0%。与上年度相比，国有资本经营预算财政拨款支出增加/减少**万元，增长/下降**%。主要变动原因是……（注：支出数与上年持平可以不写原因）</w:t>
      </w:r>
    </w:p>
    <w:p w14:paraId="49E969AE">
      <w:pPr>
        <w:pageBreakBefore w:val="0"/>
        <w:numPr>
          <w:ilvl w:val="0"/>
          <w:numId w:val="0"/>
        </w:numPr>
        <w:kinsoku/>
        <w:wordWrap/>
        <w:overflowPunct/>
        <w:topLinePunct w:val="0"/>
        <w:autoSpaceDE/>
        <w:autoSpaceDN/>
        <w:bidi w:val="0"/>
        <w:spacing w:line="560" w:lineRule="exact"/>
        <w:ind w:left="630" w:leftChars="0"/>
        <w:textAlignment w:val="auto"/>
        <w:outlineLvl w:val="1"/>
        <w:rPr>
          <w:rStyle w:val="52"/>
          <w:rFonts w:hint="eastAsia" w:ascii="Times New Roman" w:hAnsi="Times New Roman" w:eastAsia="黑体"/>
          <w:b w:val="0"/>
          <w:color w:val="auto"/>
          <w:highlight w:val="none"/>
        </w:rPr>
      </w:pPr>
      <w:bookmarkStart w:id="61" w:name="_Toc15377221"/>
      <w:bookmarkStart w:id="62" w:name="_Toc15396612"/>
      <w:bookmarkStart w:id="63" w:name="_Toc3601"/>
      <w:bookmarkStart w:id="64" w:name="_Toc9599"/>
      <w:r>
        <w:rPr>
          <w:rStyle w:val="52"/>
          <w:rFonts w:hint="eastAsia" w:ascii="Times New Roman" w:hAnsi="Times New Roman" w:eastAsia="黑体"/>
          <w:b w:val="0"/>
          <w:color w:val="auto"/>
          <w:highlight w:val="none"/>
          <w:lang w:eastAsia="zh-CN"/>
        </w:rPr>
        <w:t>十、</w:t>
      </w:r>
      <w:r>
        <w:rPr>
          <w:rStyle w:val="52"/>
          <w:rFonts w:hint="eastAsia" w:ascii="Times New Roman" w:hAnsi="Times New Roman" w:eastAsia="黑体"/>
          <w:b w:val="0"/>
          <w:color w:val="auto"/>
          <w:highlight w:val="none"/>
        </w:rPr>
        <w:t>其他重要事项的情况说明</w:t>
      </w:r>
      <w:bookmarkEnd w:id="61"/>
      <w:bookmarkEnd w:id="62"/>
      <w:bookmarkEnd w:id="63"/>
      <w:bookmarkEnd w:id="64"/>
    </w:p>
    <w:p w14:paraId="0C004985">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en-US" w:eastAsia="zh-CN" w:bidi="ar-SA"/>
        </w:rPr>
      </w:pPr>
      <w:bookmarkStart w:id="65" w:name="_Toc15377222"/>
      <w:bookmarkStart w:id="66" w:name="_Toc25012"/>
      <w:r>
        <w:rPr>
          <w:rFonts w:hint="eastAsia" w:ascii="Times New Roman" w:hAnsi="Times New Roman" w:eastAsia="仿宋_GB2312" w:cs="仿宋_GB2312"/>
          <w:b/>
          <w:bCs/>
          <w:color w:val="auto"/>
          <w:kern w:val="2"/>
          <w:sz w:val="32"/>
          <w:szCs w:val="32"/>
          <w:highlight w:val="none"/>
          <w:lang w:val="en-US" w:eastAsia="zh-CN" w:bidi="ar-SA"/>
        </w:rPr>
        <w:t>（一）机关运行经费支出情况</w:t>
      </w:r>
      <w:bookmarkEnd w:id="65"/>
      <w:bookmarkEnd w:id="66"/>
    </w:p>
    <w:p w14:paraId="199758B3">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2025年度，红原县阿木乡卫生院机关运行经费支出0万元，比上年度增加/减少**万元，增长/下降**%（或与上年度决算数持平）。主要原因是……（注：支出数与上年持平可以不写原因）</w:t>
      </w:r>
    </w:p>
    <w:p w14:paraId="4FB552E8">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42564A69">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en-US" w:eastAsia="zh-CN" w:bidi="ar-SA"/>
        </w:rPr>
      </w:pPr>
      <w:bookmarkStart w:id="67" w:name="_Toc15377223"/>
      <w:bookmarkStart w:id="68" w:name="_Toc11831"/>
      <w:r>
        <w:rPr>
          <w:rFonts w:hint="eastAsia" w:ascii="Times New Roman" w:hAnsi="Times New Roman" w:eastAsia="仿宋_GB2312" w:cs="仿宋_GB2312"/>
          <w:b/>
          <w:bCs/>
          <w:color w:val="auto"/>
          <w:kern w:val="2"/>
          <w:sz w:val="32"/>
          <w:szCs w:val="32"/>
          <w:highlight w:val="none"/>
          <w:lang w:val="en-US" w:eastAsia="zh-CN" w:bidi="ar-SA"/>
        </w:rPr>
        <w:t>（二）政府采购支出情况</w:t>
      </w:r>
      <w:bookmarkEnd w:id="67"/>
      <w:bookmarkEnd w:id="68"/>
    </w:p>
    <w:p w14:paraId="52977E15">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度，红原县阿木乡卫生院政府采购支出总额0万元，其中：政府采购货物支出0万元、政府采购工程支出0万元、政府采购服务支出0万元。主要用于……（具体工作）。授予中小企业合同金额0万元，占政府采购支出总额的0%，其中：授予小微企业合同金额0万元，占政府采购支出总额的0%。</w:t>
      </w:r>
    </w:p>
    <w:p w14:paraId="38A40B2C">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1684746F">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en-US" w:eastAsia="zh-CN" w:bidi="ar-SA"/>
        </w:rPr>
      </w:pPr>
      <w:bookmarkStart w:id="69" w:name="_Toc15377224"/>
      <w:bookmarkStart w:id="70" w:name="_Toc1020"/>
      <w:r>
        <w:rPr>
          <w:rFonts w:hint="eastAsia" w:ascii="Times New Roman" w:hAnsi="Times New Roman" w:eastAsia="仿宋_GB2312" w:cs="仿宋_GB2312"/>
          <w:b/>
          <w:bCs/>
          <w:color w:val="auto"/>
          <w:kern w:val="2"/>
          <w:sz w:val="32"/>
          <w:szCs w:val="32"/>
          <w:highlight w:val="none"/>
          <w:lang w:val="en-US" w:eastAsia="zh-CN" w:bidi="ar-SA"/>
        </w:rPr>
        <w:t>（三）国有资产占有使用情况</w:t>
      </w:r>
      <w:bookmarkEnd w:id="69"/>
      <w:bookmarkEnd w:id="70"/>
    </w:p>
    <w:p w14:paraId="0EAA4E52">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2025年12月31日，红原县阿木乡卫生院共有车辆2辆，其中：副部（省）级及以上领导用车0辆、主要负责人用车0辆、机要通信用车0辆、应急保障用车0辆、执法执勤用车0辆、特种专业技术用车0辆、离退休干部服务用车0辆、其他用车2辆，其他用车主要是用于巡诊义诊及转运急救病人。单价100万元（含）以上设备（不含车辆）0台（套）。</w:t>
      </w:r>
    </w:p>
    <w:p w14:paraId="4C6CC3B9">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62952C14">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en-US" w:eastAsia="zh-CN" w:bidi="ar-SA"/>
        </w:rPr>
      </w:pPr>
      <w:bookmarkStart w:id="71" w:name="_Toc21677"/>
      <w:r>
        <w:rPr>
          <w:rFonts w:hint="eastAsia" w:ascii="Times New Roman" w:hAnsi="Times New Roman" w:eastAsia="仿宋_GB2312" w:cs="仿宋_GB2312"/>
          <w:b/>
          <w:bCs/>
          <w:color w:val="auto"/>
          <w:kern w:val="2"/>
          <w:sz w:val="32"/>
          <w:szCs w:val="32"/>
          <w:highlight w:val="none"/>
          <w:lang w:val="en-US" w:eastAsia="zh-CN" w:bidi="ar-SA"/>
        </w:rPr>
        <w:t>（四）预算绩效管理情况</w:t>
      </w:r>
      <w:bookmarkEnd w:id="71"/>
    </w:p>
    <w:p w14:paraId="1E4905C5">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本单位在年初预算编制阶段，组织对1个项目（项目：基本公共卫生）开展了预算事前绩效评估，对1个项目编制了绩效目标，预算执行过程中，选取1个项目开展绩效监控，年终执行完毕后，对1个项目开展了绩效目标完成情况自评。</w:t>
      </w:r>
    </w:p>
    <w:p w14:paraId="3AE877EA">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本部门按要求对2025年单位整体支出开展绩效自评，从评价情况来看该项目完成情况良好。本部门还自行组织了1个项目支出绩效评价:协助开展突发公共卫生事件应急调查和处置工作，承担区域内公共卫生相关信息的收集和报告）。</w:t>
      </w:r>
    </w:p>
    <w:p w14:paraId="3402F12B">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项目绩效目标完成情况。</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xml:space="preserve">    本部门在2025年度单位决算中反映基本公共卫生1个项目绩效目标实际完成情况。）。基本公共卫生项目绩效目标完成情况综述。项目全年预算数1.98万元，执行数为1.98万元，完成预算的100%。通过项目实施，保障辖区内居民基本公共卫生服务。</w:t>
      </w:r>
    </w:p>
    <w:tbl>
      <w:tblPr>
        <w:tblStyle w:val="32"/>
        <w:tblW w:w="8345" w:type="dxa"/>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1"/>
        <w:gridCol w:w="854"/>
        <w:gridCol w:w="1113"/>
        <w:gridCol w:w="1701"/>
        <w:gridCol w:w="1978"/>
        <w:gridCol w:w="1978"/>
      </w:tblGrid>
      <w:tr w14:paraId="1409C8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8345" w:type="dxa"/>
            <w:gridSpan w:val="6"/>
            <w:vAlign w:val="center"/>
          </w:tcPr>
          <w:p w14:paraId="685AAD02">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Style w:val="34"/>
                <w:rFonts w:hint="eastAsia" w:ascii="仿宋" w:hAnsi="仿宋" w:eastAsia="仿宋" w:cs="仿宋"/>
                <w:sz w:val="32"/>
                <w:szCs w:val="32"/>
              </w:rPr>
              <w:t xml:space="preserve">项目绩效目标完成情况表 </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年度)</w:t>
            </w:r>
          </w:p>
        </w:tc>
      </w:tr>
      <w:tr w14:paraId="493D9C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2688" w:type="dxa"/>
            <w:gridSpan w:val="3"/>
            <w:vAlign w:val="center"/>
          </w:tcPr>
          <w:p w14:paraId="51ED1E1F">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项目名称</w:t>
            </w:r>
          </w:p>
        </w:tc>
        <w:tc>
          <w:tcPr>
            <w:tcW w:w="5657" w:type="dxa"/>
            <w:gridSpan w:val="3"/>
            <w:vAlign w:val="center"/>
          </w:tcPr>
          <w:p w14:paraId="628F9C5D">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基本公共卫生服务</w:t>
            </w:r>
          </w:p>
        </w:tc>
      </w:tr>
      <w:tr w14:paraId="079724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2688" w:type="dxa"/>
            <w:gridSpan w:val="3"/>
            <w:vAlign w:val="center"/>
          </w:tcPr>
          <w:p w14:paraId="1D1C5307">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预算单位</w:t>
            </w:r>
          </w:p>
        </w:tc>
        <w:tc>
          <w:tcPr>
            <w:tcW w:w="5657" w:type="dxa"/>
            <w:gridSpan w:val="3"/>
            <w:vAlign w:val="center"/>
          </w:tcPr>
          <w:p w14:paraId="49377E9C">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红原县</w:t>
            </w:r>
            <w:r>
              <w:rPr>
                <w:rFonts w:hint="eastAsia" w:ascii="仿宋_GB2312" w:hAnsi="仿宋_GB2312" w:eastAsia="仿宋_GB2312" w:cs="仿宋_GB2312"/>
                <w:sz w:val="32"/>
                <w:szCs w:val="32"/>
                <w:lang w:eastAsia="zh-CN"/>
              </w:rPr>
              <w:t>阿木乡</w:t>
            </w:r>
            <w:r>
              <w:rPr>
                <w:rFonts w:hint="eastAsia" w:ascii="仿宋" w:hAnsi="仿宋" w:eastAsia="仿宋" w:cs="仿宋"/>
                <w:color w:val="000000"/>
                <w:sz w:val="32"/>
                <w:szCs w:val="32"/>
                <w:lang w:val="en-US" w:eastAsia="zh-CN"/>
              </w:rPr>
              <w:t>卫生院</w:t>
            </w:r>
          </w:p>
        </w:tc>
      </w:tr>
      <w:tr w14:paraId="77DBB4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0CCF3DD6">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预算执行情况(万元)</w:t>
            </w:r>
          </w:p>
        </w:tc>
        <w:tc>
          <w:tcPr>
            <w:tcW w:w="1967" w:type="dxa"/>
            <w:gridSpan w:val="2"/>
            <w:vAlign w:val="center"/>
          </w:tcPr>
          <w:p w14:paraId="5E7412FF">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预算数:</w:t>
            </w:r>
          </w:p>
        </w:tc>
        <w:tc>
          <w:tcPr>
            <w:tcW w:w="1701" w:type="dxa"/>
            <w:vAlign w:val="center"/>
          </w:tcPr>
          <w:p w14:paraId="7E422B34">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1.98</w:t>
            </w:r>
          </w:p>
        </w:tc>
        <w:tc>
          <w:tcPr>
            <w:tcW w:w="1978" w:type="dxa"/>
            <w:vAlign w:val="center"/>
          </w:tcPr>
          <w:p w14:paraId="53EC7CF0">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执行数:</w:t>
            </w:r>
          </w:p>
        </w:tc>
        <w:tc>
          <w:tcPr>
            <w:tcW w:w="1978" w:type="dxa"/>
            <w:vAlign w:val="center"/>
          </w:tcPr>
          <w:p w14:paraId="44BD30E4">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1.98</w:t>
            </w:r>
          </w:p>
        </w:tc>
      </w:tr>
      <w:tr w14:paraId="557E0D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5EBAEE6">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14:paraId="27E9842D">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其中-财政拨款:</w:t>
            </w:r>
          </w:p>
        </w:tc>
        <w:tc>
          <w:tcPr>
            <w:tcW w:w="1701" w:type="dxa"/>
            <w:vAlign w:val="center"/>
          </w:tcPr>
          <w:p w14:paraId="1D9B4A5B">
            <w:pPr>
              <w:keepNext w:val="0"/>
              <w:keepLines w:val="0"/>
              <w:pageBreakBefore w:val="0"/>
              <w:widowControl/>
              <w:suppressLineNumbers w:val="0"/>
              <w:tabs>
                <w:tab w:val="center" w:pos="835"/>
              </w:tabs>
              <w:kinsoku/>
              <w:wordWrap/>
              <w:overflowPunct/>
              <w:topLinePunct w:val="0"/>
              <w:autoSpaceDE/>
              <w:autoSpaceDN/>
              <w:bidi w:val="0"/>
              <w:spacing w:line="560" w:lineRule="exact"/>
              <w:jc w:val="left"/>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1.98</w:t>
            </w:r>
          </w:p>
        </w:tc>
        <w:tc>
          <w:tcPr>
            <w:tcW w:w="1978" w:type="dxa"/>
            <w:vAlign w:val="center"/>
          </w:tcPr>
          <w:p w14:paraId="50FF8FD7">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其中-财政拨款:</w:t>
            </w:r>
          </w:p>
        </w:tc>
        <w:tc>
          <w:tcPr>
            <w:tcW w:w="1978" w:type="dxa"/>
            <w:vAlign w:val="center"/>
          </w:tcPr>
          <w:p w14:paraId="60CFD6F5">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1.98</w:t>
            </w:r>
          </w:p>
        </w:tc>
      </w:tr>
      <w:tr w14:paraId="205506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28708AA4">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14:paraId="543438AA">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其它资金:</w:t>
            </w:r>
          </w:p>
        </w:tc>
        <w:tc>
          <w:tcPr>
            <w:tcW w:w="1701" w:type="dxa"/>
            <w:vAlign w:val="center"/>
          </w:tcPr>
          <w:p w14:paraId="4F5BA97F">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c>
          <w:tcPr>
            <w:tcW w:w="1978" w:type="dxa"/>
            <w:vAlign w:val="center"/>
          </w:tcPr>
          <w:p w14:paraId="4FD0DC3E">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其它资金:</w:t>
            </w:r>
          </w:p>
        </w:tc>
        <w:tc>
          <w:tcPr>
            <w:tcW w:w="1978" w:type="dxa"/>
            <w:vAlign w:val="center"/>
          </w:tcPr>
          <w:p w14:paraId="560111FD">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r>
      <w:tr w14:paraId="0FA52A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30753D55">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年度目标完成情况</w:t>
            </w:r>
          </w:p>
        </w:tc>
        <w:tc>
          <w:tcPr>
            <w:tcW w:w="3668" w:type="dxa"/>
            <w:gridSpan w:val="3"/>
            <w:vAlign w:val="center"/>
          </w:tcPr>
          <w:p w14:paraId="58D3D501">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预期目标</w:t>
            </w:r>
          </w:p>
        </w:tc>
        <w:tc>
          <w:tcPr>
            <w:tcW w:w="3956" w:type="dxa"/>
            <w:gridSpan w:val="2"/>
            <w:vAlign w:val="center"/>
          </w:tcPr>
          <w:p w14:paraId="12B4F4F8">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实际完成目标</w:t>
            </w:r>
          </w:p>
        </w:tc>
      </w:tr>
      <w:tr w14:paraId="4B3107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638966DA">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3668" w:type="dxa"/>
            <w:gridSpan w:val="3"/>
            <w:vAlign w:val="center"/>
          </w:tcPr>
          <w:p w14:paraId="37DE2E28">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3956" w:type="dxa"/>
            <w:gridSpan w:val="2"/>
            <w:vAlign w:val="center"/>
          </w:tcPr>
          <w:p w14:paraId="3BDD71A9">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eastAsia="zh-CN"/>
              </w:rPr>
              <w:t>开展辖区内的基本公卫服务项目（年老患者、慢性病防治、妇幼等公卫项目）</w:t>
            </w:r>
          </w:p>
        </w:tc>
      </w:tr>
      <w:tr w14:paraId="411C7E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5" w:hRule="atLeast"/>
          <w:tblCellSpacing w:w="0" w:type="dxa"/>
          <w:jc w:val="center"/>
        </w:trPr>
        <w:tc>
          <w:tcPr>
            <w:tcW w:w="721" w:type="dxa"/>
            <w:vAlign w:val="center"/>
          </w:tcPr>
          <w:p w14:paraId="62341BD5">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绩效指标完成情况</w:t>
            </w:r>
          </w:p>
        </w:tc>
        <w:tc>
          <w:tcPr>
            <w:tcW w:w="854" w:type="dxa"/>
            <w:vAlign w:val="center"/>
          </w:tcPr>
          <w:p w14:paraId="146393B7">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一级指标</w:t>
            </w:r>
          </w:p>
        </w:tc>
        <w:tc>
          <w:tcPr>
            <w:tcW w:w="1113" w:type="dxa"/>
            <w:vAlign w:val="center"/>
          </w:tcPr>
          <w:p w14:paraId="2075DFD5">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二级指标</w:t>
            </w:r>
          </w:p>
        </w:tc>
        <w:tc>
          <w:tcPr>
            <w:tcW w:w="1701" w:type="dxa"/>
            <w:vAlign w:val="center"/>
          </w:tcPr>
          <w:p w14:paraId="56F1DD7E">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三级指标</w:t>
            </w:r>
          </w:p>
        </w:tc>
        <w:tc>
          <w:tcPr>
            <w:tcW w:w="1978" w:type="dxa"/>
            <w:vAlign w:val="center"/>
          </w:tcPr>
          <w:p w14:paraId="2511BB66">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预期指标值(包含数字及文字描述)</w:t>
            </w:r>
          </w:p>
        </w:tc>
        <w:tc>
          <w:tcPr>
            <w:tcW w:w="1978" w:type="dxa"/>
            <w:vAlign w:val="center"/>
          </w:tcPr>
          <w:p w14:paraId="00069FDA">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实际完成指标值(包含数字及文字描述)</w:t>
            </w:r>
          </w:p>
        </w:tc>
      </w:tr>
      <w:tr w14:paraId="6D738FE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B62EC8F">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106853D3">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4AB6D048">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绩效目标</w:t>
            </w:r>
          </w:p>
        </w:tc>
        <w:tc>
          <w:tcPr>
            <w:tcW w:w="1701" w:type="dxa"/>
            <w:vAlign w:val="center"/>
          </w:tcPr>
          <w:p w14:paraId="77BD4954">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目标内容</w:t>
            </w:r>
          </w:p>
        </w:tc>
        <w:tc>
          <w:tcPr>
            <w:tcW w:w="1978" w:type="dxa"/>
            <w:vAlign w:val="center"/>
          </w:tcPr>
          <w:p w14:paraId="02537198">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2A85FBB2">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tc>
      </w:tr>
      <w:tr w14:paraId="26A155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38DF330E">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7DE23BDC">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32886608">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进度计划</w:t>
            </w:r>
          </w:p>
        </w:tc>
        <w:tc>
          <w:tcPr>
            <w:tcW w:w="1701" w:type="dxa"/>
            <w:vAlign w:val="center"/>
          </w:tcPr>
          <w:p w14:paraId="372F1E6C">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项目计划实施进度明确</w:t>
            </w:r>
          </w:p>
        </w:tc>
        <w:tc>
          <w:tcPr>
            <w:tcW w:w="1978" w:type="dxa"/>
            <w:vAlign w:val="center"/>
          </w:tcPr>
          <w:p w14:paraId="101CA569">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0A99FDBA">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明确</w:t>
            </w:r>
          </w:p>
        </w:tc>
      </w:tr>
      <w:tr w14:paraId="718BD9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22D2AE5">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377032B1">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05195373">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目标匹配</w:t>
            </w:r>
          </w:p>
        </w:tc>
        <w:tc>
          <w:tcPr>
            <w:tcW w:w="1701" w:type="dxa"/>
            <w:vAlign w:val="center"/>
          </w:tcPr>
          <w:p w14:paraId="4B545AD7">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351A66E">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2C6CAF5">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w:t>
            </w:r>
          </w:p>
        </w:tc>
      </w:tr>
      <w:tr w14:paraId="676527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132F6204">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26CF2D17">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4ECA3566">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政策依据</w:t>
            </w:r>
          </w:p>
        </w:tc>
        <w:tc>
          <w:tcPr>
            <w:tcW w:w="1701" w:type="dxa"/>
            <w:vAlign w:val="center"/>
          </w:tcPr>
          <w:p w14:paraId="1A40A7C1">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3F1324E">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E630642">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符合</w:t>
            </w:r>
          </w:p>
        </w:tc>
      </w:tr>
      <w:tr w14:paraId="4AEE7D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2EC82A37">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3351FE0E">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4E35AD40">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6C793C74">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307C9E3E">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3B8DCE2E">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r>
      <w:tr w14:paraId="30B6E6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7A28F852">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2C8E0CFB">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14:paraId="4E8C5B19">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38D3FD79">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5CB275A7">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413E9D6B">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r>
      <w:tr w14:paraId="5333CD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6CEF90C5">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44954105">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14:paraId="5A656721">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完成数量</w:t>
            </w:r>
          </w:p>
        </w:tc>
        <w:tc>
          <w:tcPr>
            <w:tcW w:w="1701" w:type="dxa"/>
            <w:vAlign w:val="center"/>
          </w:tcPr>
          <w:p w14:paraId="6D7E08CA">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实际完成任务量/绩效目标设定任务量×100%</w:t>
            </w:r>
          </w:p>
        </w:tc>
        <w:tc>
          <w:tcPr>
            <w:tcW w:w="1978" w:type="dxa"/>
            <w:vAlign w:val="center"/>
          </w:tcPr>
          <w:p w14:paraId="4D3ADEAF">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c>
          <w:tcPr>
            <w:tcW w:w="1978" w:type="dxa"/>
            <w:vAlign w:val="center"/>
          </w:tcPr>
          <w:p w14:paraId="75470904">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r>
      <w:tr w14:paraId="08A0CA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1C3C302">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2ACEFCFC">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14:paraId="746C936E">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完成质量</w:t>
            </w:r>
          </w:p>
        </w:tc>
        <w:tc>
          <w:tcPr>
            <w:tcW w:w="1701" w:type="dxa"/>
            <w:vAlign w:val="center"/>
          </w:tcPr>
          <w:p w14:paraId="0C27BA8A">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符合绩效目标设定的验收标准，达到行业基准水平</w:t>
            </w:r>
          </w:p>
        </w:tc>
        <w:tc>
          <w:tcPr>
            <w:tcW w:w="1978" w:type="dxa"/>
            <w:vAlign w:val="center"/>
          </w:tcPr>
          <w:p w14:paraId="2FFEDFDE">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c>
          <w:tcPr>
            <w:tcW w:w="1978" w:type="dxa"/>
            <w:vAlign w:val="center"/>
          </w:tcPr>
          <w:p w14:paraId="2D376C15">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r>
      <w:tr w14:paraId="79D3A5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60B0296C">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3AB28F15">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14:paraId="4A4F15E0">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0CFF1C6F">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58067E93">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5A3D0AF">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r>
      <w:tr w14:paraId="0D8833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1CEE25D1">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1691DACB">
            <w:pPr>
              <w:pStyle w:val="28"/>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满意度指标</w:t>
            </w:r>
          </w:p>
        </w:tc>
        <w:tc>
          <w:tcPr>
            <w:tcW w:w="1113" w:type="dxa"/>
            <w:vAlign w:val="center"/>
          </w:tcPr>
          <w:p w14:paraId="7DEA030A">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服务对象满意度</w:t>
            </w:r>
          </w:p>
        </w:tc>
        <w:tc>
          <w:tcPr>
            <w:tcW w:w="1701" w:type="dxa"/>
            <w:vAlign w:val="center"/>
          </w:tcPr>
          <w:p w14:paraId="5F50EE2C">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反映服务对象或项目受益人对相关产出及其影响的认可程度，根据项目实际细化具体指标。</w:t>
            </w:r>
          </w:p>
        </w:tc>
        <w:tc>
          <w:tcPr>
            <w:tcW w:w="1978" w:type="dxa"/>
            <w:vAlign w:val="center"/>
          </w:tcPr>
          <w:p w14:paraId="65FFDA68">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c>
          <w:tcPr>
            <w:tcW w:w="1978" w:type="dxa"/>
            <w:vAlign w:val="center"/>
          </w:tcPr>
          <w:p w14:paraId="6EE733BD">
            <w:pPr>
              <w:keepNext w:val="0"/>
              <w:keepLines w:val="0"/>
              <w:pageBreakBefore w:val="0"/>
              <w:widowControl/>
              <w:suppressLineNumbers w:val="0"/>
              <w:kinsoku/>
              <w:wordWrap/>
              <w:overflowPunct/>
              <w:topLinePunct w:val="0"/>
              <w:autoSpaceDE/>
              <w:autoSpaceDN/>
              <w:bidi w:val="0"/>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r>
    </w:tbl>
    <w:p w14:paraId="4CF5111F">
      <w:pPr>
        <w:pageBreakBefore w:val="0"/>
        <w:kinsoku/>
        <w:wordWrap/>
        <w:overflowPunct/>
        <w:topLinePunct w:val="0"/>
        <w:autoSpaceDE/>
        <w:autoSpaceDN/>
        <w:bidi w:val="0"/>
        <w:spacing w:line="560" w:lineRule="exact"/>
        <w:ind w:firstLine="640"/>
        <w:textAlignment w:val="auto"/>
        <w:rPr>
          <w:rFonts w:hint="eastAsia" w:ascii="仿宋" w:hAnsi="仿宋" w:eastAsia="仿宋" w:cs="仿宋"/>
          <w:color w:val="auto"/>
          <w:kern w:val="2"/>
          <w:sz w:val="32"/>
          <w:szCs w:val="32"/>
          <w:highlight w:val="none"/>
          <w:lang w:val="en-US" w:eastAsia="zh-CN" w:bidi="ar-SA"/>
        </w:rPr>
      </w:pPr>
    </w:p>
    <w:p w14:paraId="7177ECEF">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0554D293">
      <w:pPr>
        <w:pStyle w:val="2"/>
        <w:keepNext/>
        <w:keepLines/>
        <w:pageBreakBefore w:val="0"/>
        <w:widowControl w:val="0"/>
        <w:kinsoku/>
        <w:wordWrap/>
        <w:overflowPunct/>
        <w:topLinePunct w:val="0"/>
        <w:autoSpaceDE/>
        <w:autoSpaceDN/>
        <w:bidi w:val="0"/>
        <w:adjustRightInd w:val="0"/>
        <w:snapToGrid w:val="0"/>
        <w:spacing w:line="560" w:lineRule="exact"/>
        <w:jc w:val="both"/>
        <w:textAlignment w:val="auto"/>
        <w:rPr>
          <w:rFonts w:hint="eastAsia" w:ascii="Times New Roman" w:hAnsi="Times New Roman" w:eastAsia="方正小标宋简体" w:cs="方正小标宋简体"/>
          <w:b w:val="0"/>
          <w:color w:val="auto"/>
          <w:highlight w:val="none"/>
        </w:rPr>
      </w:pPr>
      <w:bookmarkStart w:id="72" w:name="_Toc15396613"/>
      <w:bookmarkStart w:id="73" w:name="_Toc15377225"/>
    </w:p>
    <w:p w14:paraId="72E11E88">
      <w:pPr>
        <w:pStyle w:val="2"/>
        <w:keepNext/>
        <w:keepLines/>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Times New Roman" w:hAnsi="Times New Roman" w:eastAsia="方正小标宋简体" w:cs="方正小标宋简体"/>
          <w:b w:val="0"/>
          <w:color w:val="auto"/>
          <w:highlight w:val="none"/>
        </w:rPr>
      </w:pPr>
    </w:p>
    <w:p w14:paraId="64073B30">
      <w:pPr>
        <w:pStyle w:val="2"/>
        <w:keepNext/>
        <w:keepLines/>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Times New Roman" w:hAnsi="Times New Roman" w:eastAsia="方正小标宋简体" w:cs="方正小标宋简体"/>
          <w:b w:val="0"/>
          <w:color w:val="auto"/>
          <w:highlight w:val="none"/>
        </w:rPr>
      </w:pPr>
      <w:bookmarkStart w:id="74" w:name="_Toc8398"/>
      <w:bookmarkStart w:id="75" w:name="_Toc31047"/>
      <w:r>
        <w:rPr>
          <w:rFonts w:hint="eastAsia" w:ascii="Times New Roman" w:hAnsi="Times New Roman" w:eastAsia="方正小标宋简体" w:cs="方正小标宋简体"/>
          <w:b w:val="0"/>
          <w:color w:val="auto"/>
          <w:highlight w:val="none"/>
        </w:rPr>
        <w:t>第</w:t>
      </w:r>
      <w:r>
        <w:rPr>
          <w:rFonts w:hint="eastAsia" w:ascii="Times New Roman" w:hAnsi="Times New Roman" w:eastAsia="方正小标宋简体" w:cs="方正小标宋简体"/>
          <w:b w:val="0"/>
          <w:color w:val="auto"/>
          <w:highlight w:val="none"/>
          <w:lang w:eastAsia="zh-CN"/>
        </w:rPr>
        <w:t>三</w:t>
      </w:r>
      <w:r>
        <w:rPr>
          <w:rFonts w:hint="eastAsia" w:ascii="Times New Roman" w:hAnsi="Times New Roman" w:eastAsia="方正小标宋简体" w:cs="方正小标宋简体"/>
          <w:b w:val="0"/>
          <w:color w:val="auto"/>
          <w:highlight w:val="none"/>
        </w:rPr>
        <w:t>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名词解释</w:t>
      </w:r>
      <w:bookmarkEnd w:id="72"/>
      <w:bookmarkEnd w:id="73"/>
      <w:bookmarkEnd w:id="74"/>
      <w:bookmarkEnd w:id="75"/>
    </w:p>
    <w:p w14:paraId="5B603633">
      <w:pPr>
        <w:pageBreakBefore w:val="0"/>
        <w:kinsoku/>
        <w:wordWrap/>
        <w:overflowPunct/>
        <w:topLinePunct w:val="0"/>
        <w:autoSpaceDE/>
        <w:autoSpaceDN/>
        <w:bidi w:val="0"/>
        <w:spacing w:line="560" w:lineRule="exact"/>
        <w:jc w:val="left"/>
        <w:textAlignment w:val="auto"/>
        <w:rPr>
          <w:rFonts w:ascii="Times New Roman" w:hAnsi="Times New Roman"/>
          <w:b/>
          <w:color w:val="auto"/>
          <w:sz w:val="44"/>
          <w:szCs w:val="44"/>
          <w:highlight w:val="none"/>
        </w:rPr>
      </w:pPr>
    </w:p>
    <w:p w14:paraId="4B390B1C">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0693ADCD">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2.事业收入：指事业单位开展专业业务活动及辅助活动取得的收入。如医疗门诊治疗活动等。</w:t>
      </w:r>
    </w:p>
    <w:p w14:paraId="2952B075">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3.其他收入：指单位取得的除上述收入以外的各项收入。主要是包虫病筛查收入等。 </w:t>
      </w:r>
    </w:p>
    <w:p w14:paraId="0B4AF4AB">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bookmarkStart w:id="76" w:name="_Toc15377226"/>
      <w:r>
        <w:rPr>
          <w:rFonts w:hint="eastAsia" w:ascii="Times New Roman" w:hAnsi="Times New Roman" w:eastAsia="仿宋_GB2312" w:cs="仿宋_GB2312"/>
          <w:color w:val="auto"/>
          <w:kern w:val="2"/>
          <w:sz w:val="32"/>
          <w:szCs w:val="32"/>
          <w:highlight w:val="none"/>
          <w:lang w:val="en-US" w:eastAsia="zh-CN" w:bidi="ar-SA"/>
        </w:rPr>
        <w:t>社会保障和就业：指机关事业单位职业年金缴费及本养老保险缴费支出。</w:t>
      </w:r>
    </w:p>
    <w:p w14:paraId="3CAD6313">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4.卫生健康：指基层医疗卫生健康支出。</w:t>
      </w:r>
    </w:p>
    <w:p w14:paraId="0B7C217F">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5.住房保障（类）指机关事业单位住房保障支出。</w:t>
      </w:r>
    </w:p>
    <w:p w14:paraId="5B218237">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6.基本支出：指为保障机构正常运转、完成日常工作任务而发生的人员支出和公用支出。</w:t>
      </w:r>
    </w:p>
    <w:p w14:paraId="374D3406">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7.项目支出：指在基本支出之外为完成特定行政任务和事业发展目标所发生的支出。 </w:t>
      </w:r>
    </w:p>
    <w:p w14:paraId="33A65BB5">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8.“三公”经费：指部门用财政拨款安排的因公出国（境）费、公务用车购置及运行费和公务接待费。其中，公务用车运行费支出、燃料费、维修费、过路过桥费、保险费等支出。</w:t>
      </w:r>
    </w:p>
    <w:p w14:paraId="67CBEF0A">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p>
    <w:p w14:paraId="34AF06EF">
      <w:pPr>
        <w:pStyle w:val="2"/>
        <w:keepNext/>
        <w:keepLines/>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Times New Roman" w:hAnsi="Times New Roman" w:eastAsia="方正小标宋简体" w:cs="方正小标宋简体"/>
          <w:b w:val="0"/>
          <w:color w:val="auto"/>
          <w:sz w:val="44"/>
          <w:szCs w:val="44"/>
          <w:highlight w:val="none"/>
          <w:lang w:eastAsia="zh-CN"/>
        </w:rPr>
      </w:pPr>
      <w:bookmarkStart w:id="77" w:name="_Toc15396614"/>
      <w:bookmarkStart w:id="78" w:name="_Toc29108"/>
      <w:bookmarkStart w:id="79" w:name="_Toc9540"/>
      <w:r>
        <w:rPr>
          <w:rFonts w:hint="eastAsia" w:ascii="Times New Roman" w:hAnsi="Times New Roman" w:eastAsia="方正小标宋简体" w:cs="方正小标宋简体"/>
          <w:b w:val="0"/>
          <w:color w:val="auto"/>
          <w:sz w:val="44"/>
          <w:szCs w:val="44"/>
          <w:highlight w:val="none"/>
        </w:rPr>
        <w:t>第四部分</w:t>
      </w:r>
      <w:r>
        <w:rPr>
          <w:rFonts w:hint="eastAsia" w:ascii="Times New Roman" w:hAnsi="Times New Roman" w:eastAsia="方正小标宋简体" w:cs="方正小标宋简体"/>
          <w:b w:val="0"/>
          <w:color w:val="auto"/>
          <w:sz w:val="44"/>
          <w:szCs w:val="44"/>
          <w:highlight w:val="none"/>
          <w:lang w:val="en-US" w:eastAsia="zh-CN"/>
        </w:rPr>
        <w:t xml:space="preserve"> </w:t>
      </w:r>
      <w:r>
        <w:rPr>
          <w:rFonts w:hint="eastAsia" w:ascii="Times New Roman" w:hAnsi="Times New Roman" w:eastAsia="方正小标宋简体" w:cs="方正小标宋简体"/>
          <w:b w:val="0"/>
          <w:color w:val="auto"/>
          <w:sz w:val="44"/>
          <w:szCs w:val="44"/>
          <w:highlight w:val="none"/>
        </w:rPr>
        <w:t xml:space="preserve"> 附件</w:t>
      </w:r>
      <w:bookmarkEnd w:id="77"/>
      <w:bookmarkEnd w:id="78"/>
      <w:bookmarkEnd w:id="79"/>
    </w:p>
    <w:p w14:paraId="19533733">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0"/>
        <w:rPr>
          <w:rFonts w:hint="default" w:ascii="Times New Roman" w:hAnsi="Times New Roman" w:eastAsia="方正小标宋简体" w:cs="Times New Roman"/>
          <w:b w:val="0"/>
          <w:bCs/>
          <w:sz w:val="44"/>
          <w:szCs w:val="44"/>
          <w:highlight w:val="none"/>
          <w:shd w:val="clear" w:color="auto" w:fill="FFFFFF"/>
        </w:rPr>
      </w:pPr>
      <w:bookmarkStart w:id="80" w:name="_Toc24754"/>
      <w:bookmarkStart w:id="81" w:name="_Toc13061"/>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bookmarkEnd w:id="80"/>
      <w:bookmarkEnd w:id="81"/>
    </w:p>
    <w:p w14:paraId="6A45CFC9">
      <w:pPr>
        <w:keepNext w:val="0"/>
        <w:keepLines w:val="0"/>
        <w:pageBreakBefore w:val="0"/>
        <w:widowControl w:val="0"/>
        <w:kinsoku/>
        <w:wordWrap/>
        <w:overflowPunct/>
        <w:topLinePunct w:val="0"/>
        <w:autoSpaceDE/>
        <w:autoSpaceDN/>
        <w:bidi w:val="0"/>
        <w:adjustRightInd w:val="0"/>
        <w:snapToGrid w:val="0"/>
        <w:spacing w:line="560" w:lineRule="exact"/>
        <w:ind w:firstLine="641"/>
        <w:jc w:val="center"/>
        <w:textAlignment w:val="auto"/>
        <w:outlineLvl w:val="9"/>
        <w:rPr>
          <w:rFonts w:hint="eastAsia" w:ascii="方正公文小标宋" w:hAnsi="方正公文小标宋" w:eastAsia="方正公文小标宋" w:cs="方正公文小标宋"/>
          <w:color w:val="auto"/>
          <w:kern w:val="2"/>
          <w:sz w:val="44"/>
          <w:szCs w:val="44"/>
          <w:highlight w:val="none"/>
          <w:lang w:val="en-US" w:eastAsia="zh-CN" w:bidi="ar-SA"/>
        </w:rPr>
      </w:pPr>
      <w:r>
        <w:rPr>
          <w:rFonts w:hint="eastAsia" w:ascii="方正公文小标宋" w:hAnsi="方正公文小标宋" w:eastAsia="方正公文小标宋" w:cs="方正公文小标宋"/>
          <w:color w:val="auto"/>
          <w:kern w:val="2"/>
          <w:sz w:val="44"/>
          <w:szCs w:val="44"/>
          <w:highlight w:val="none"/>
          <w:lang w:val="en-US" w:eastAsia="zh-CN" w:bidi="ar-SA"/>
        </w:rPr>
        <w:t>红原县阿木乡卫生院2025年单位整体</w:t>
      </w:r>
    </w:p>
    <w:p w14:paraId="23B905B4">
      <w:pPr>
        <w:keepNext w:val="0"/>
        <w:keepLines w:val="0"/>
        <w:pageBreakBefore w:val="0"/>
        <w:widowControl w:val="0"/>
        <w:kinsoku/>
        <w:wordWrap/>
        <w:overflowPunct/>
        <w:topLinePunct w:val="0"/>
        <w:autoSpaceDE/>
        <w:autoSpaceDN/>
        <w:bidi w:val="0"/>
        <w:adjustRightInd w:val="0"/>
        <w:snapToGrid w:val="0"/>
        <w:spacing w:line="560" w:lineRule="exact"/>
        <w:ind w:firstLine="641"/>
        <w:jc w:val="center"/>
        <w:textAlignment w:val="auto"/>
        <w:outlineLvl w:val="9"/>
        <w:rPr>
          <w:rFonts w:hint="eastAsia" w:ascii="方正公文小标宋" w:hAnsi="方正公文小标宋" w:eastAsia="方正公文小标宋" w:cs="方正公文小标宋"/>
          <w:color w:val="auto"/>
          <w:kern w:val="2"/>
          <w:sz w:val="44"/>
          <w:szCs w:val="44"/>
          <w:highlight w:val="none"/>
          <w:lang w:val="en-US" w:eastAsia="zh-CN" w:bidi="ar-SA"/>
        </w:rPr>
      </w:pPr>
      <w:r>
        <w:rPr>
          <w:rFonts w:hint="eastAsia" w:ascii="方正公文小标宋" w:hAnsi="方正公文小标宋" w:eastAsia="方正公文小标宋" w:cs="方正公文小标宋"/>
          <w:color w:val="auto"/>
          <w:kern w:val="2"/>
          <w:sz w:val="44"/>
          <w:szCs w:val="44"/>
          <w:highlight w:val="none"/>
          <w:lang w:val="en-US" w:eastAsia="zh-CN" w:bidi="ar-SA"/>
        </w:rPr>
        <w:t>支出绩效评价报告</w:t>
      </w:r>
    </w:p>
    <w:p w14:paraId="258DC145">
      <w:pPr>
        <w:pStyle w:val="31"/>
        <w:pageBreakBefore w:val="0"/>
        <w:kinsoku/>
        <w:wordWrap/>
        <w:overflowPunct/>
        <w:topLinePunct w:val="0"/>
        <w:autoSpaceDE/>
        <w:autoSpaceDN/>
        <w:bidi w:val="0"/>
        <w:spacing w:line="560" w:lineRule="exact"/>
        <w:textAlignment w:val="auto"/>
        <w:rPr>
          <w:rFonts w:hint="eastAsia"/>
          <w:lang w:val="en-US" w:eastAsia="zh-CN"/>
        </w:rPr>
      </w:pPr>
    </w:p>
    <w:p w14:paraId="30F1CC69">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60" w:lineRule="exact"/>
        <w:ind w:right="0" w:rightChars="0" w:firstLine="640" w:firstLineChars="200"/>
        <w:jc w:val="left"/>
        <w:textAlignment w:val="auto"/>
        <w:outlineLvl w:val="1"/>
        <w:rPr>
          <w:rFonts w:hint="eastAsia" w:ascii="黑体" w:hAnsi="黑体" w:eastAsia="黑体" w:cs="黑体"/>
          <w:color w:val="000000"/>
          <w:kern w:val="0"/>
          <w:sz w:val="32"/>
          <w:szCs w:val="32"/>
          <w:lang w:val="zh-CN" w:eastAsia="zh-CN" w:bidi="ar"/>
        </w:rPr>
      </w:pPr>
      <w:bookmarkStart w:id="82" w:name="_Toc14238"/>
      <w:bookmarkStart w:id="83" w:name="_Toc30537"/>
      <w:r>
        <w:rPr>
          <w:rFonts w:hint="eastAsia" w:ascii="黑体" w:hAnsi="黑体" w:eastAsia="黑体" w:cs="黑体"/>
          <w:color w:val="000000"/>
          <w:kern w:val="0"/>
          <w:sz w:val="32"/>
          <w:szCs w:val="32"/>
          <w:lang w:val="zh-CN" w:eastAsia="zh-CN" w:bidi="ar"/>
        </w:rPr>
        <w:t>一、部门（单位）概况</w:t>
      </w:r>
      <w:bookmarkEnd w:id="82"/>
      <w:bookmarkEnd w:id="83"/>
    </w:p>
    <w:p w14:paraId="49B22BC0">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84" w:name="_Toc25878"/>
      <w:r>
        <w:rPr>
          <w:rFonts w:hint="eastAsia" w:ascii="Times New Roman" w:hAnsi="Times New Roman" w:eastAsia="仿宋_GB2312" w:cs="仿宋_GB2312"/>
          <w:b/>
          <w:bCs/>
          <w:color w:val="auto"/>
          <w:kern w:val="2"/>
          <w:sz w:val="32"/>
          <w:szCs w:val="32"/>
          <w:highlight w:val="none"/>
          <w:lang w:val="zh-CN" w:eastAsia="zh-CN" w:bidi="ar-SA"/>
        </w:rPr>
        <w:t>（一）机构组成。</w:t>
      </w:r>
      <w:bookmarkEnd w:id="84"/>
    </w:p>
    <w:p w14:paraId="6B59D877">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zh-CN" w:eastAsia="zh-CN" w:bidi="ar-SA"/>
        </w:rPr>
        <w:t>我单位为独立核算全额拨款事业单位，下设</w:t>
      </w:r>
      <w:r>
        <w:rPr>
          <w:rFonts w:hint="eastAsia" w:ascii="Times New Roman" w:hAnsi="Times New Roman" w:eastAsia="仿宋_GB2312" w:cs="仿宋_GB2312"/>
          <w:color w:val="auto"/>
          <w:kern w:val="2"/>
          <w:sz w:val="32"/>
          <w:szCs w:val="32"/>
          <w:highlight w:val="none"/>
          <w:lang w:val="en-US" w:eastAsia="zh-CN" w:bidi="ar-SA"/>
        </w:rPr>
        <w:t>1机构。</w:t>
      </w:r>
    </w:p>
    <w:p w14:paraId="4F84830B">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85" w:name="_Toc8784"/>
      <w:r>
        <w:rPr>
          <w:rFonts w:hint="eastAsia" w:ascii="Times New Roman" w:hAnsi="Times New Roman" w:eastAsia="仿宋_GB2312" w:cs="仿宋_GB2312"/>
          <w:b/>
          <w:bCs/>
          <w:color w:val="auto"/>
          <w:kern w:val="2"/>
          <w:sz w:val="32"/>
          <w:szCs w:val="32"/>
          <w:highlight w:val="none"/>
          <w:lang w:val="zh-CN" w:eastAsia="zh-CN" w:bidi="ar-SA"/>
        </w:rPr>
        <w:t>（二）机构职能。</w:t>
      </w:r>
      <w:bookmarkEnd w:id="85"/>
    </w:p>
    <w:p w14:paraId="5A84872F">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3FAA031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60" w:lineRule="exact"/>
        <w:ind w:right="0" w:rightChars="0" w:firstLine="640" w:firstLineChars="200"/>
        <w:jc w:val="left"/>
        <w:textAlignment w:val="auto"/>
        <w:outlineLvl w:val="1"/>
        <w:rPr>
          <w:rFonts w:hint="eastAsia" w:ascii="黑体" w:hAnsi="黑体" w:eastAsia="黑体" w:cs="黑体"/>
          <w:color w:val="000000"/>
          <w:kern w:val="0"/>
          <w:sz w:val="32"/>
          <w:szCs w:val="32"/>
          <w:lang w:val="zh-CN" w:eastAsia="zh-CN" w:bidi="ar"/>
        </w:rPr>
      </w:pPr>
      <w:bookmarkStart w:id="86" w:name="_Toc280"/>
      <w:bookmarkStart w:id="87" w:name="_Toc29555"/>
      <w:r>
        <w:rPr>
          <w:rFonts w:hint="eastAsia" w:ascii="黑体" w:hAnsi="黑体" w:eastAsia="黑体" w:cs="黑体"/>
          <w:color w:val="000000"/>
          <w:kern w:val="0"/>
          <w:sz w:val="32"/>
          <w:szCs w:val="32"/>
          <w:lang w:val="en-US" w:eastAsia="zh-CN" w:bidi="ar"/>
        </w:rPr>
        <w:t>二、</w:t>
      </w:r>
      <w:r>
        <w:rPr>
          <w:rFonts w:hint="eastAsia" w:ascii="黑体" w:hAnsi="黑体" w:eastAsia="黑体" w:cs="黑体"/>
          <w:color w:val="000000"/>
          <w:kern w:val="0"/>
          <w:sz w:val="32"/>
          <w:szCs w:val="32"/>
          <w:lang w:val="zh-CN" w:eastAsia="zh-CN" w:bidi="ar"/>
        </w:rPr>
        <w:t>人员概况。</w:t>
      </w:r>
      <w:bookmarkEnd w:id="86"/>
      <w:bookmarkEnd w:id="87"/>
    </w:p>
    <w:p w14:paraId="36AA03F2">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2025年我院共有编制9个，其中事业编9个，在职9人,事业编制9人。二、部门财政资金收支情况</w:t>
      </w:r>
    </w:p>
    <w:p w14:paraId="42140A2C">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88" w:name="_Toc20356"/>
      <w:r>
        <w:rPr>
          <w:rFonts w:hint="eastAsia" w:ascii="Times New Roman" w:hAnsi="Times New Roman" w:eastAsia="仿宋_GB2312" w:cs="仿宋_GB2312"/>
          <w:b/>
          <w:bCs/>
          <w:color w:val="auto"/>
          <w:kern w:val="2"/>
          <w:sz w:val="32"/>
          <w:szCs w:val="32"/>
          <w:highlight w:val="none"/>
          <w:lang w:val="zh-CN" w:eastAsia="zh-CN" w:bidi="ar-SA"/>
        </w:rPr>
        <w:t>（一）</w:t>
      </w:r>
      <w:r>
        <w:rPr>
          <w:rFonts w:hint="eastAsia" w:ascii="Times New Roman" w:hAnsi="Times New Roman" w:eastAsia="仿宋_GB2312" w:cs="仿宋_GB2312"/>
          <w:b/>
          <w:bCs/>
          <w:color w:val="auto"/>
          <w:kern w:val="2"/>
          <w:sz w:val="32"/>
          <w:szCs w:val="32"/>
          <w:highlight w:val="none"/>
          <w:lang w:val="en-US" w:eastAsia="zh-CN" w:bidi="ar-SA"/>
        </w:rPr>
        <w:t>单位</w:t>
      </w:r>
      <w:r>
        <w:rPr>
          <w:rFonts w:hint="eastAsia" w:ascii="Times New Roman" w:hAnsi="Times New Roman" w:eastAsia="仿宋_GB2312" w:cs="仿宋_GB2312"/>
          <w:b/>
          <w:bCs/>
          <w:color w:val="auto"/>
          <w:kern w:val="2"/>
          <w:sz w:val="32"/>
          <w:szCs w:val="32"/>
          <w:highlight w:val="none"/>
          <w:lang w:val="zh-CN" w:eastAsia="zh-CN" w:bidi="ar-SA"/>
        </w:rPr>
        <w:t>财政资金收入情况。</w:t>
      </w:r>
      <w:bookmarkEnd w:id="88"/>
    </w:p>
    <w:p w14:paraId="2EC08AE8">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2025年阿木乡卫生院收入合计261.55万元，其中：一般公共预算财政拨款收入255.56万元。</w:t>
      </w:r>
    </w:p>
    <w:p w14:paraId="5B985146">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89" w:name="_Toc20240"/>
      <w:r>
        <w:rPr>
          <w:rFonts w:hint="eastAsia" w:ascii="Times New Roman" w:hAnsi="Times New Roman" w:eastAsia="仿宋_GB2312" w:cs="仿宋_GB2312"/>
          <w:b/>
          <w:bCs/>
          <w:color w:val="auto"/>
          <w:kern w:val="2"/>
          <w:sz w:val="32"/>
          <w:szCs w:val="32"/>
          <w:highlight w:val="none"/>
          <w:lang w:val="zh-CN" w:eastAsia="zh-CN" w:bidi="ar-SA"/>
        </w:rPr>
        <w:t>（</w:t>
      </w:r>
      <w:r>
        <w:rPr>
          <w:rFonts w:hint="eastAsia" w:ascii="Times New Roman" w:hAnsi="Times New Roman" w:eastAsia="仿宋_GB2312" w:cs="仿宋_GB2312"/>
          <w:b/>
          <w:bCs/>
          <w:color w:val="auto"/>
          <w:kern w:val="2"/>
          <w:sz w:val="32"/>
          <w:szCs w:val="32"/>
          <w:highlight w:val="none"/>
          <w:lang w:val="en-US" w:eastAsia="zh-CN" w:bidi="ar-SA"/>
        </w:rPr>
        <w:t>二</w:t>
      </w:r>
      <w:r>
        <w:rPr>
          <w:rFonts w:hint="eastAsia" w:ascii="Times New Roman" w:hAnsi="Times New Roman" w:eastAsia="仿宋_GB2312" w:cs="仿宋_GB2312"/>
          <w:b/>
          <w:bCs/>
          <w:color w:val="auto"/>
          <w:kern w:val="2"/>
          <w:sz w:val="32"/>
          <w:szCs w:val="32"/>
          <w:highlight w:val="none"/>
          <w:lang w:val="zh-CN" w:eastAsia="zh-CN" w:bidi="ar-SA"/>
        </w:rPr>
        <w:t>）</w:t>
      </w:r>
      <w:r>
        <w:rPr>
          <w:rFonts w:hint="eastAsia" w:ascii="Times New Roman" w:hAnsi="Times New Roman" w:eastAsia="仿宋_GB2312" w:cs="仿宋_GB2312"/>
          <w:b/>
          <w:bCs/>
          <w:color w:val="auto"/>
          <w:kern w:val="2"/>
          <w:sz w:val="32"/>
          <w:szCs w:val="32"/>
          <w:highlight w:val="none"/>
          <w:lang w:val="en-US" w:eastAsia="zh-CN" w:bidi="ar-SA"/>
        </w:rPr>
        <w:t>单位</w:t>
      </w:r>
      <w:r>
        <w:rPr>
          <w:rFonts w:hint="eastAsia" w:ascii="Times New Roman" w:hAnsi="Times New Roman" w:eastAsia="仿宋_GB2312" w:cs="仿宋_GB2312"/>
          <w:b/>
          <w:bCs/>
          <w:color w:val="auto"/>
          <w:kern w:val="2"/>
          <w:sz w:val="32"/>
          <w:szCs w:val="32"/>
          <w:highlight w:val="none"/>
          <w:lang w:val="zh-CN" w:eastAsia="zh-CN" w:bidi="ar-SA"/>
        </w:rPr>
        <w:t>财政资金支出情况。</w:t>
      </w:r>
      <w:bookmarkEnd w:id="89"/>
    </w:p>
    <w:p w14:paraId="627728CD">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2025年阿木乡卫生院支出合计261.55万元，其中：基本支出248.17万元,项目支出13.38元。</w:t>
      </w:r>
    </w:p>
    <w:p w14:paraId="032A09A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60" w:lineRule="exact"/>
        <w:ind w:right="0" w:rightChars="0" w:firstLine="640" w:firstLineChars="200"/>
        <w:jc w:val="left"/>
        <w:textAlignment w:val="auto"/>
        <w:outlineLvl w:val="1"/>
        <w:rPr>
          <w:rFonts w:hint="eastAsia" w:ascii="黑体" w:hAnsi="黑体" w:eastAsia="黑体" w:cs="黑体"/>
          <w:color w:val="000000"/>
          <w:kern w:val="0"/>
          <w:sz w:val="32"/>
          <w:szCs w:val="32"/>
          <w:lang w:val="en-US" w:eastAsia="zh-CN" w:bidi="ar"/>
        </w:rPr>
      </w:pPr>
      <w:bookmarkStart w:id="90" w:name="_Toc19484"/>
      <w:bookmarkStart w:id="91" w:name="_Toc20126"/>
      <w:r>
        <w:rPr>
          <w:rFonts w:hint="eastAsia" w:ascii="黑体" w:hAnsi="黑体" w:eastAsia="黑体" w:cs="黑体"/>
          <w:color w:val="000000"/>
          <w:kern w:val="0"/>
          <w:sz w:val="32"/>
          <w:szCs w:val="32"/>
          <w:lang w:val="en-US" w:eastAsia="zh-CN" w:bidi="ar"/>
        </w:rPr>
        <w:t>三、</w:t>
      </w:r>
      <w:r>
        <w:rPr>
          <w:rFonts w:hint="eastAsia" w:ascii="黑体" w:hAnsi="黑体" w:eastAsia="黑体" w:cs="黑体"/>
          <w:color w:val="000000"/>
          <w:kern w:val="0"/>
          <w:sz w:val="32"/>
          <w:szCs w:val="32"/>
          <w:lang w:val="zh-CN" w:eastAsia="zh-CN" w:bidi="ar"/>
        </w:rPr>
        <w:t>单位</w:t>
      </w:r>
      <w:r>
        <w:rPr>
          <w:rFonts w:hint="eastAsia" w:ascii="黑体" w:hAnsi="黑体" w:eastAsia="黑体" w:cs="黑体"/>
          <w:color w:val="000000"/>
          <w:kern w:val="0"/>
          <w:sz w:val="32"/>
          <w:szCs w:val="32"/>
          <w:lang w:val="en-US" w:eastAsia="zh-CN" w:bidi="ar"/>
        </w:rPr>
        <w:t>整体预算绩效管理情况</w:t>
      </w:r>
      <w:bookmarkEnd w:id="90"/>
      <w:bookmarkEnd w:id="91"/>
    </w:p>
    <w:p w14:paraId="62AE0805">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92" w:name="_Toc26896"/>
      <w:r>
        <w:rPr>
          <w:rFonts w:hint="eastAsia" w:ascii="Times New Roman" w:hAnsi="Times New Roman" w:eastAsia="仿宋_GB2312" w:cs="仿宋_GB2312"/>
          <w:b/>
          <w:bCs/>
          <w:color w:val="auto"/>
          <w:kern w:val="2"/>
          <w:sz w:val="32"/>
          <w:szCs w:val="32"/>
          <w:highlight w:val="none"/>
          <w:lang w:val="zh-CN" w:eastAsia="zh-CN" w:bidi="ar-SA"/>
        </w:rPr>
        <w:t>（一）单位预算</w:t>
      </w:r>
      <w:r>
        <w:rPr>
          <w:rFonts w:hint="eastAsia" w:ascii="Times New Roman" w:hAnsi="Times New Roman" w:eastAsia="仿宋_GB2312" w:cs="仿宋_GB2312"/>
          <w:b/>
          <w:bCs/>
          <w:color w:val="auto"/>
          <w:kern w:val="2"/>
          <w:sz w:val="32"/>
          <w:szCs w:val="32"/>
          <w:highlight w:val="none"/>
          <w:lang w:val="en-US" w:eastAsia="zh-CN" w:bidi="ar-SA"/>
        </w:rPr>
        <w:t>管理</w:t>
      </w:r>
      <w:r>
        <w:rPr>
          <w:rFonts w:hint="eastAsia" w:ascii="Times New Roman" w:hAnsi="Times New Roman" w:eastAsia="仿宋_GB2312" w:cs="仿宋_GB2312"/>
          <w:b/>
          <w:bCs/>
          <w:color w:val="auto"/>
          <w:kern w:val="2"/>
          <w:sz w:val="32"/>
          <w:szCs w:val="32"/>
          <w:highlight w:val="none"/>
          <w:lang w:val="zh-CN" w:eastAsia="zh-CN" w:bidi="ar-SA"/>
        </w:rPr>
        <w:t>。</w:t>
      </w:r>
      <w:bookmarkEnd w:id="92"/>
    </w:p>
    <w:p w14:paraId="11862EEA">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中华人民共和国预算法》及红原县财政局印发的《关于下达2025年部门预算的通知》要求，结合本单位实际，按照增收节支、厉行节约、绩效优化的原则，从严从紧编制预算。细化支出预算编制，推进预算信息公开，深化预算绩效管理，提高资金使用效益。</w:t>
      </w:r>
    </w:p>
    <w:p w14:paraId="15F348E1">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2025年预算人员支出对照2024年12月份人员及工资信息编制，日常公用支出按照“经费包干、明细编报”的原则进行编制，重点做好培训费等预算编制。</w:t>
      </w:r>
    </w:p>
    <w:p w14:paraId="647DC25C">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对照年初的预算，通过编制部门决算报表，全面、真实、准确的反映了2025年度财政资金的使用情况。</w:t>
      </w:r>
    </w:p>
    <w:p w14:paraId="7FF96483">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）执行管理情况。</w:t>
      </w:r>
      <w:r>
        <w:rPr>
          <w:rFonts w:hint="eastAsia" w:ascii="Times New Roman" w:hAnsi="Times New Roman" w:eastAsia="仿宋_GB2312" w:cs="仿宋_GB2312"/>
          <w:color w:val="auto"/>
          <w:kern w:val="2"/>
          <w:sz w:val="32"/>
          <w:szCs w:val="32"/>
          <w:highlight w:val="none"/>
          <w:lang w:val="zh-CN" w:eastAsia="zh-CN" w:bidi="ar-SA"/>
        </w:rPr>
        <w:tab/>
      </w:r>
    </w:p>
    <w:p w14:paraId="7D2B16B4">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本着少花钱、多办事、办好事、遵循有预算才支出的原则，2025年财政预算支出全面落实到位，均按规定的用途支付</w:t>
      </w:r>
    </w:p>
    <w:p w14:paraId="676F2AAF">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基本支出，是用于保障本单位正常运转的日常支出，包括基本工资、津贴补贴等人员经费以及办公费、印刷费、水电费、办公设备购置等日常公用经费。</w:t>
      </w:r>
    </w:p>
    <w:p w14:paraId="3ED16A66">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项目支出，是用于保障本单位为完成特定的项上工作任务，用于专项业务工作的经费支出。</w:t>
      </w:r>
    </w:p>
    <w:p w14:paraId="26A236EC">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我单位2025年未发生公务出国（境）费用，本着厉行节约的原则，公务用车实行定点加油和维修，使用及维修前报分管领导和主要负责人同意。</w:t>
      </w:r>
    </w:p>
    <w:p w14:paraId="2A7CCB1E">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w:t>
      </w:r>
      <w:r>
        <w:rPr>
          <w:rFonts w:hint="eastAsia" w:ascii="Times New Roman" w:hAnsi="Times New Roman"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zh-CN" w:eastAsia="zh-CN" w:bidi="ar-SA"/>
        </w:rPr>
        <w:t>）综合管理情况。</w:t>
      </w:r>
    </w:p>
    <w:p w14:paraId="3503DB2A">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建立建全内部控制制度：我单位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14:paraId="27724805">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资金使用合规性：资金支出符合国家财经法规和财务管理制度规定以及有关专项资金管理办法的规定；资金拨付有完整的审批程序和手续；符合部门预算批复的用途；资金使用无截留、挤占、挪用、虚列支出等情况。 </w:t>
      </w:r>
    </w:p>
    <w:p w14:paraId="711FA100">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3.预算信息公开：我单位按规定内容公开预决算信息；按规定时限公开预决算信息；基础数据信息和会计信息资料真实；基础数据信息和会计信息资料完整；基础数据信息和汇集信息资料准确。 </w:t>
      </w:r>
    </w:p>
    <w:p w14:paraId="1B653EE4">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4.财务信息完善性：经核对我单位2025年度总账、明细账、决算报表，其结果账账、账表相符；财务信息资料真实、完整、准确。</w:t>
      </w:r>
    </w:p>
    <w:p w14:paraId="293E350B">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（3）执行预算制度到位</w:t>
      </w:r>
    </w:p>
    <w:p w14:paraId="70D83B98">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能够严格执行《预算法》和各项财经纪律，财务管理规范，预算编制合理;二是资金监管到位。经费开支按用途使用合理，做到专帐专管,专款专用；三是人员配备和帐务核算到位。财务人员帐务核算及时规范。我单位在财务上进行合理安排和运用，以“认真、严谨、细致”的精神，做好一切财务工作。</w:t>
      </w:r>
    </w:p>
    <w:p w14:paraId="12FD1B7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60" w:lineRule="exact"/>
        <w:ind w:right="0" w:rightChars="0" w:firstLine="640" w:firstLineChars="200"/>
        <w:jc w:val="left"/>
        <w:textAlignment w:val="auto"/>
        <w:outlineLvl w:val="1"/>
        <w:rPr>
          <w:rFonts w:hint="eastAsia" w:ascii="黑体" w:hAnsi="黑体" w:eastAsia="黑体" w:cs="黑体"/>
          <w:color w:val="000000"/>
          <w:kern w:val="0"/>
          <w:sz w:val="32"/>
          <w:szCs w:val="32"/>
          <w:lang w:val="zh-CN" w:eastAsia="zh-CN" w:bidi="ar"/>
        </w:rPr>
      </w:pPr>
      <w:bookmarkStart w:id="93" w:name="_Toc32294"/>
      <w:bookmarkStart w:id="94" w:name="_Toc21334"/>
      <w:r>
        <w:rPr>
          <w:rFonts w:hint="eastAsia" w:ascii="黑体" w:hAnsi="黑体" w:eastAsia="黑体" w:cs="黑体"/>
          <w:color w:val="000000"/>
          <w:kern w:val="0"/>
          <w:sz w:val="32"/>
          <w:szCs w:val="32"/>
          <w:lang w:val="en-US" w:eastAsia="zh-CN" w:bidi="ar"/>
        </w:rPr>
        <w:t>四、</w:t>
      </w:r>
      <w:r>
        <w:rPr>
          <w:rFonts w:hint="eastAsia" w:ascii="黑体" w:hAnsi="黑体" w:eastAsia="黑体" w:cs="黑体"/>
          <w:color w:val="000000"/>
          <w:kern w:val="0"/>
          <w:sz w:val="32"/>
          <w:szCs w:val="32"/>
          <w:lang w:val="zh-CN" w:eastAsia="zh-CN" w:bidi="ar"/>
        </w:rPr>
        <w:t>评价结论及建议</w:t>
      </w:r>
      <w:bookmarkEnd w:id="93"/>
      <w:bookmarkEnd w:id="94"/>
    </w:p>
    <w:p w14:paraId="3BEC97AE">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color w:val="auto"/>
          <w:kern w:val="2"/>
          <w:sz w:val="32"/>
          <w:szCs w:val="32"/>
          <w:highlight w:val="none"/>
          <w:lang w:val="zh-CN" w:eastAsia="zh-CN" w:bidi="ar-SA"/>
        </w:rPr>
      </w:pPr>
      <w:bookmarkStart w:id="95" w:name="_Toc6373"/>
      <w:r>
        <w:rPr>
          <w:rFonts w:hint="eastAsia"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一</w:t>
      </w:r>
      <w:r>
        <w:rPr>
          <w:rFonts w:hint="eastAsia" w:ascii="Times New Roman" w:hAnsi="Times New Roman" w:eastAsia="仿宋_GB2312" w:cs="仿宋_GB2312"/>
          <w:color w:val="auto"/>
          <w:kern w:val="2"/>
          <w:sz w:val="32"/>
          <w:szCs w:val="32"/>
          <w:highlight w:val="none"/>
          <w:lang w:val="zh-CN" w:eastAsia="zh-CN" w:bidi="ar-SA"/>
        </w:rPr>
        <w:t>）评价结论。</w:t>
      </w:r>
      <w:r>
        <w:rPr>
          <w:rFonts w:hint="eastAsia" w:ascii="Times New Roman" w:hAnsi="Times New Roman" w:eastAsia="仿宋_GB2312" w:cs="仿宋_GB2312"/>
          <w:color w:val="auto"/>
          <w:kern w:val="2"/>
          <w:sz w:val="32"/>
          <w:szCs w:val="32"/>
          <w:highlight w:val="none"/>
          <w:lang w:val="en-US" w:eastAsia="zh-CN" w:bidi="ar-SA"/>
        </w:rPr>
        <w:t>经自评2025年度本单位整体支出绩效评价为优秀。</w:t>
      </w:r>
      <w:bookmarkEnd w:id="95"/>
    </w:p>
    <w:p w14:paraId="4C0DB883">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color w:val="auto"/>
          <w:kern w:val="2"/>
          <w:sz w:val="32"/>
          <w:szCs w:val="32"/>
          <w:highlight w:val="none"/>
          <w:lang w:val="zh-CN" w:eastAsia="zh-CN" w:bidi="ar-SA"/>
        </w:rPr>
      </w:pPr>
      <w:bookmarkStart w:id="96" w:name="_Toc26501"/>
      <w:r>
        <w:rPr>
          <w:rFonts w:hint="eastAsia"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二</w:t>
      </w:r>
      <w:r>
        <w:rPr>
          <w:rFonts w:hint="eastAsia" w:ascii="Times New Roman" w:hAnsi="Times New Roman" w:eastAsia="仿宋_GB2312" w:cs="仿宋_GB2312"/>
          <w:color w:val="auto"/>
          <w:kern w:val="2"/>
          <w:sz w:val="32"/>
          <w:szCs w:val="32"/>
          <w:highlight w:val="none"/>
          <w:lang w:val="zh-CN" w:eastAsia="zh-CN" w:bidi="ar-SA"/>
        </w:rPr>
        <w:t>）存在问题。</w:t>
      </w:r>
      <w:bookmarkEnd w:id="96"/>
    </w:p>
    <w:p w14:paraId="68ED29BD">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内部控制制度缺乏完善，需要完善机制，财务人员缺乏指导。</w:t>
      </w:r>
    </w:p>
    <w:p w14:paraId="5FCAD9D6">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color w:val="auto"/>
          <w:kern w:val="2"/>
          <w:sz w:val="32"/>
          <w:szCs w:val="32"/>
          <w:highlight w:val="none"/>
          <w:lang w:val="zh-CN" w:eastAsia="zh-CN" w:bidi="ar-SA"/>
        </w:rPr>
      </w:pPr>
      <w:bookmarkStart w:id="97" w:name="_Toc22634"/>
      <w:r>
        <w:rPr>
          <w:rFonts w:hint="eastAsia"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三</w:t>
      </w:r>
      <w:r>
        <w:rPr>
          <w:rFonts w:hint="eastAsia" w:ascii="Times New Roman" w:hAnsi="Times New Roman" w:eastAsia="仿宋_GB2312" w:cs="仿宋_GB2312"/>
          <w:color w:val="auto"/>
          <w:kern w:val="2"/>
          <w:sz w:val="32"/>
          <w:szCs w:val="32"/>
          <w:highlight w:val="none"/>
          <w:lang w:val="zh-CN" w:eastAsia="zh-CN" w:bidi="ar-SA"/>
        </w:rPr>
        <w:t>）改进建议。</w:t>
      </w:r>
      <w:bookmarkEnd w:id="97"/>
    </w:p>
    <w:p w14:paraId="7384FE21">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建立长效机制，严格财务管理，加强财务监督，坚持厉行节约，严格杜绝现金支出。加强事业单位会计制度的学习，准且完整的核算部门全年收入支出，确保不漏记多记支。</w:t>
      </w:r>
    </w:p>
    <w:p w14:paraId="12FB69DD">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附表：</w:t>
      </w:r>
      <w:r>
        <w:rPr>
          <w:rFonts w:hint="eastAsia" w:ascii="Times New Roman" w:hAnsi="Times New Roman" w:eastAsia="仿宋_GB2312" w:cs="仿宋_GB2312"/>
          <w:color w:val="auto"/>
          <w:kern w:val="2"/>
          <w:sz w:val="32"/>
          <w:szCs w:val="32"/>
          <w:highlight w:val="none"/>
          <w:lang w:val="en-US" w:eastAsia="zh-CN" w:bidi="ar-SA"/>
        </w:rPr>
        <w:t>部门预算项目支出绩效自评表（2025年度）</w:t>
      </w:r>
    </w:p>
    <w:p w14:paraId="7999821B">
      <w:pPr>
        <w:pStyle w:val="31"/>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eastAsia="仿宋_GB2312" w:cs="Times New Roman"/>
          <w:kern w:val="2"/>
          <w:sz w:val="32"/>
          <w:szCs w:val="32"/>
          <w:u w:val="none"/>
          <w:lang w:val="zh-CN" w:eastAsia="zh-CN" w:bidi="ar"/>
        </w:rPr>
      </w:pPr>
    </w:p>
    <w:p w14:paraId="6B357603">
      <w:pPr>
        <w:pStyle w:val="7"/>
        <w:keepNext w:val="0"/>
        <w:keepLines w:val="0"/>
        <w:pageBreakBefore w:val="0"/>
        <w:widowControl w:val="0"/>
        <w:kinsoku/>
        <w:wordWrap/>
        <w:overflowPunct/>
        <w:topLinePunct w:val="0"/>
        <w:autoSpaceDE/>
        <w:autoSpaceDN/>
        <w:bidi w:val="0"/>
        <w:spacing w:line="560" w:lineRule="exact"/>
        <w:textAlignment w:val="auto"/>
        <w:outlineLvl w:val="1"/>
        <w:rPr>
          <w:rFonts w:hint="eastAsia" w:ascii="Times New Roman" w:hAnsi="Times New Roman" w:eastAsia="黑体" w:cs="黑体"/>
          <w:color w:val="auto"/>
          <w:sz w:val="32"/>
          <w:szCs w:val="32"/>
          <w:highlight w:val="none"/>
          <w:lang w:val="en-US" w:eastAsia="zh-CN"/>
        </w:rPr>
      </w:pPr>
      <w:bookmarkStart w:id="98" w:name="_Toc32610"/>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bookmarkEnd w:id="98"/>
    </w:p>
    <w:bookmarkEnd w:id="76"/>
    <w:p w14:paraId="714C7496">
      <w:pPr>
        <w:keepNext w:val="0"/>
        <w:keepLines w:val="0"/>
        <w:pageBreakBefore w:val="0"/>
        <w:widowControl w:val="0"/>
        <w:kinsoku/>
        <w:wordWrap/>
        <w:overflowPunct/>
        <w:topLinePunct w:val="0"/>
        <w:autoSpaceDE/>
        <w:autoSpaceDN/>
        <w:bidi w:val="0"/>
        <w:spacing w:line="560" w:lineRule="exact"/>
        <w:textAlignment w:val="auto"/>
        <w:outlineLvl w:val="9"/>
        <w:rPr>
          <w:rFonts w:hint="eastAsia" w:ascii="方正公文小标宋" w:hAnsi="方正公文小标宋" w:eastAsia="方正公文小标宋" w:cs="方正公文小标宋"/>
          <w:color w:val="auto"/>
          <w:sz w:val="44"/>
          <w:szCs w:val="44"/>
          <w:highlight w:val="none"/>
          <w:lang w:val="en-US" w:eastAsia="zh-CN"/>
        </w:rPr>
      </w:pPr>
      <w:bookmarkStart w:id="99" w:name="_Toc15396618"/>
      <w:r>
        <w:rPr>
          <w:rFonts w:hint="eastAsia"/>
          <w:sz w:val="24"/>
          <w:szCs w:val="24"/>
          <w:shd w:val="clear" w:color="auto" w:fill="FFFFFF"/>
          <w:lang w:val="en-US" w:eastAsia="zh-CN"/>
        </w:rPr>
        <w:t xml:space="preserve">                       </w:t>
      </w:r>
      <w:r>
        <w:rPr>
          <w:rFonts w:hint="eastAsia" w:ascii="方正公文小标宋" w:hAnsi="方正公文小标宋" w:eastAsia="方正公文小标宋" w:cs="方正公文小标宋"/>
          <w:color w:val="auto"/>
          <w:sz w:val="44"/>
          <w:szCs w:val="44"/>
          <w:highlight w:val="none"/>
          <w:lang w:val="en-US" w:eastAsia="zh-CN"/>
        </w:rPr>
        <w:t>红原县</w:t>
      </w:r>
      <w:r>
        <w:rPr>
          <w:rFonts w:hint="eastAsia" w:ascii="方正公文小标宋" w:hAnsi="方正公文小标宋" w:eastAsia="方正公文小标宋" w:cs="方正公文小标宋"/>
          <w:sz w:val="44"/>
          <w:szCs w:val="44"/>
          <w:lang w:eastAsia="zh-CN"/>
        </w:rPr>
        <w:t>阿木乡</w:t>
      </w:r>
      <w:r>
        <w:rPr>
          <w:rFonts w:hint="eastAsia" w:ascii="方正公文小标宋" w:hAnsi="方正公文小标宋" w:eastAsia="方正公文小标宋" w:cs="方正公文小标宋"/>
          <w:color w:val="auto"/>
          <w:sz w:val="44"/>
          <w:szCs w:val="44"/>
          <w:highlight w:val="none"/>
          <w:lang w:val="en-US" w:eastAsia="zh-CN"/>
        </w:rPr>
        <w:t>卫生院</w:t>
      </w:r>
    </w:p>
    <w:p w14:paraId="27EE8D15">
      <w:pPr>
        <w:pStyle w:val="57"/>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outlineLvl w:val="9"/>
        <w:rPr>
          <w:rFonts w:hint="eastAsia" w:ascii="方正公文小标宋" w:hAnsi="方正公文小标宋" w:eastAsia="方正公文小标宋" w:cs="方正公文小标宋"/>
          <w:color w:val="auto"/>
          <w:sz w:val="44"/>
          <w:szCs w:val="44"/>
          <w:highlight w:val="none"/>
        </w:rPr>
      </w:pPr>
      <w:r>
        <w:rPr>
          <w:rFonts w:hint="eastAsia" w:ascii="方正公文小标宋" w:hAnsi="方正公文小标宋" w:eastAsia="方正公文小标宋" w:cs="方正公文小标宋"/>
          <w:color w:val="auto"/>
          <w:sz w:val="44"/>
          <w:szCs w:val="44"/>
          <w:highlight w:val="none"/>
          <w:lang w:eastAsia="zh-CN"/>
        </w:rPr>
        <w:t>关于</w:t>
      </w:r>
      <w:r>
        <w:rPr>
          <w:rFonts w:hint="eastAsia" w:ascii="方正公文小标宋" w:hAnsi="方正公文小标宋" w:eastAsia="方正公文小标宋" w:cs="方正公文小标宋"/>
          <w:color w:val="auto"/>
          <w:sz w:val="44"/>
          <w:szCs w:val="44"/>
          <w:highlight w:val="none"/>
          <w:lang w:val="en-US" w:eastAsia="zh-CN"/>
        </w:rPr>
        <w:t>2025年基本公卫</w:t>
      </w:r>
      <w:r>
        <w:rPr>
          <w:rFonts w:hint="eastAsia" w:ascii="方正公文小标宋" w:hAnsi="方正公文小标宋" w:eastAsia="方正公文小标宋" w:cs="方正公文小标宋"/>
          <w:color w:val="auto"/>
          <w:sz w:val="44"/>
          <w:szCs w:val="44"/>
          <w:highlight w:val="none"/>
        </w:rPr>
        <w:t>项目绩效自评</w:t>
      </w:r>
    </w:p>
    <w:p w14:paraId="647A5FE0">
      <w:pPr>
        <w:pStyle w:val="57"/>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outlineLvl w:val="9"/>
        <w:rPr>
          <w:rFonts w:hint="eastAsia" w:ascii="方正公文小标宋" w:hAnsi="方正公文小标宋" w:eastAsia="方正公文小标宋" w:cs="方正公文小标宋"/>
          <w:color w:val="auto"/>
          <w:sz w:val="44"/>
          <w:szCs w:val="44"/>
          <w:highlight w:val="none"/>
        </w:rPr>
      </w:pPr>
      <w:r>
        <w:rPr>
          <w:rFonts w:hint="eastAsia" w:ascii="方正公文小标宋" w:hAnsi="方正公文小标宋" w:eastAsia="方正公文小标宋" w:cs="方正公文小标宋"/>
          <w:color w:val="auto"/>
          <w:sz w:val="44"/>
          <w:szCs w:val="44"/>
          <w:highlight w:val="none"/>
        </w:rPr>
        <w:t>报告</w:t>
      </w:r>
    </w:p>
    <w:p w14:paraId="09EA1F60">
      <w:pPr>
        <w:pStyle w:val="57"/>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1"/>
        <w:rPr>
          <w:rFonts w:hint="eastAsia" w:ascii="黑体" w:hAnsi="黑体" w:eastAsia="黑体" w:cs="黑体"/>
          <w:sz w:val="32"/>
          <w:szCs w:val="32"/>
          <w:lang w:val="zh-CN"/>
        </w:rPr>
      </w:pPr>
      <w:bookmarkStart w:id="100" w:name="_Toc21111"/>
      <w:bookmarkStart w:id="101" w:name="_Toc11703"/>
      <w:r>
        <w:rPr>
          <w:rFonts w:hint="eastAsia" w:ascii="黑体" w:hAnsi="黑体" w:eastAsia="黑体" w:cs="黑体"/>
          <w:sz w:val="32"/>
          <w:szCs w:val="32"/>
        </w:rPr>
        <w:t>一、</w:t>
      </w:r>
      <w:r>
        <w:rPr>
          <w:rFonts w:hint="eastAsia" w:ascii="黑体" w:hAnsi="黑体" w:eastAsia="黑体" w:cs="黑体"/>
          <w:sz w:val="32"/>
          <w:szCs w:val="32"/>
          <w:lang w:val="zh-CN"/>
        </w:rPr>
        <w:t>项目概况</w:t>
      </w:r>
      <w:bookmarkEnd w:id="100"/>
      <w:bookmarkEnd w:id="101"/>
    </w:p>
    <w:p w14:paraId="3D211A0E">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02" w:name="_Toc18545"/>
      <w:r>
        <w:rPr>
          <w:rFonts w:hint="eastAsia" w:ascii="Times New Roman" w:hAnsi="Times New Roman" w:eastAsia="仿宋_GB2312" w:cs="仿宋_GB2312"/>
          <w:b/>
          <w:bCs/>
          <w:color w:val="auto"/>
          <w:kern w:val="2"/>
          <w:sz w:val="32"/>
          <w:szCs w:val="32"/>
          <w:highlight w:val="none"/>
          <w:lang w:val="zh-CN" w:eastAsia="zh-CN" w:bidi="ar-SA"/>
        </w:rPr>
        <w:t>（一）项目基本情况。</w:t>
      </w:r>
      <w:bookmarkEnd w:id="102"/>
    </w:p>
    <w:p w14:paraId="72604DAC">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1．说明项目单位在该项目管理中的职能：负责辖区内</w:t>
      </w:r>
      <w:r>
        <w:rPr>
          <w:rFonts w:hint="eastAsia" w:ascii="Times New Roman" w:hAnsi="Times New Roman" w:eastAsia="仿宋_GB2312" w:cs="仿宋_GB2312"/>
          <w:color w:val="auto"/>
          <w:kern w:val="2"/>
          <w:sz w:val="32"/>
          <w:szCs w:val="32"/>
          <w:highlight w:val="none"/>
          <w:lang w:val="en-US" w:eastAsia="zh-CN" w:bidi="ar-SA"/>
        </w:rPr>
        <w:t>2024年开展辖区内的基本公卫服务项目（年老患者、慢性病防治、妇幼等公卫项目</w:t>
      </w:r>
      <w:r>
        <w:rPr>
          <w:rFonts w:hint="eastAsia" w:ascii="Times New Roman" w:hAnsi="Times New Roman" w:eastAsia="仿宋_GB2312" w:cs="仿宋_GB2312"/>
          <w:color w:val="auto"/>
          <w:kern w:val="2"/>
          <w:sz w:val="32"/>
          <w:szCs w:val="32"/>
          <w:highlight w:val="none"/>
          <w:lang w:val="zh-CN" w:eastAsia="zh-CN" w:bidi="ar-SA"/>
        </w:rPr>
        <w:t>。</w:t>
      </w:r>
    </w:p>
    <w:p w14:paraId="1ADEA5C8">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zh-CN" w:eastAsia="zh-CN" w:bidi="ar-SA"/>
        </w:rPr>
        <w:t>2．项目立项、资金申报的依据</w:t>
      </w:r>
      <w:r>
        <w:rPr>
          <w:rFonts w:hint="eastAsia" w:ascii="Times New Roman" w:hAnsi="Times New Roman" w:eastAsia="仿宋_GB2312" w:cs="仿宋_GB2312"/>
          <w:color w:val="auto"/>
          <w:kern w:val="2"/>
          <w:sz w:val="32"/>
          <w:szCs w:val="32"/>
          <w:highlight w:val="none"/>
          <w:lang w:val="en-US" w:eastAsia="zh-CN" w:bidi="ar-SA"/>
        </w:rPr>
        <w:t>:根据该单位开展基本公卫服务项目数量，简报及随访人数等进行资金申报，申报程序严格执行转账，杜绝现金交易。</w:t>
      </w:r>
    </w:p>
    <w:p w14:paraId="2EB58056">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3．资金管理办法制定情况，资金支持具体项目的条件、范围与支持方式概况。</w:t>
      </w:r>
      <w:r>
        <w:rPr>
          <w:rFonts w:hint="eastAsia" w:ascii="Times New Roman" w:hAnsi="Times New Roman" w:eastAsia="仿宋_GB2312" w:cs="仿宋_GB2312"/>
          <w:color w:val="auto"/>
          <w:kern w:val="2"/>
          <w:sz w:val="32"/>
          <w:szCs w:val="32"/>
          <w:highlight w:val="none"/>
          <w:lang w:val="en-US" w:eastAsia="zh-CN" w:bidi="ar-SA"/>
        </w:rPr>
        <w:t>经自查，该项目我院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4F2F6941">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zh-CN" w:eastAsia="zh-CN" w:bidi="ar-SA"/>
        </w:rPr>
        <w:t>4．资金分配的原则及考虑因素：公卫考核情况进行分配并结合常住人口。</w:t>
      </w:r>
    </w:p>
    <w:p w14:paraId="7CCAB979">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03" w:name="_Toc6344"/>
      <w:r>
        <w:rPr>
          <w:rFonts w:hint="eastAsia" w:ascii="Times New Roman" w:hAnsi="Times New Roman" w:eastAsia="仿宋_GB2312" w:cs="仿宋_GB2312"/>
          <w:b/>
          <w:bCs/>
          <w:color w:val="auto"/>
          <w:kern w:val="2"/>
          <w:sz w:val="32"/>
          <w:szCs w:val="32"/>
          <w:highlight w:val="none"/>
          <w:lang w:val="zh-CN" w:eastAsia="zh-CN" w:bidi="ar-SA"/>
        </w:rPr>
        <w:t>（二）项目绩效目标。</w:t>
      </w:r>
      <w:bookmarkEnd w:id="103"/>
    </w:p>
    <w:p w14:paraId="0577035D">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zh-CN" w:eastAsia="zh-CN" w:bidi="ar-SA"/>
        </w:rPr>
        <w:t>1．项目主要内容：</w:t>
      </w:r>
      <w:r>
        <w:rPr>
          <w:rFonts w:hint="eastAsia" w:ascii="Times New Roman" w:hAnsi="Times New Roman" w:eastAsia="仿宋_GB2312" w:cs="仿宋_GB2312"/>
          <w:color w:val="auto"/>
          <w:kern w:val="2"/>
          <w:sz w:val="32"/>
          <w:szCs w:val="32"/>
          <w:highlight w:val="none"/>
          <w:lang w:val="en-US" w:eastAsia="zh-CN" w:bidi="ar-SA"/>
        </w:rPr>
        <w:t>2025年开展辖区内的基本公卫服务项目（年老患者、慢性病防治、妇幼等公卫项目）。</w:t>
      </w:r>
    </w:p>
    <w:p w14:paraId="64015D58">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2．项目覆盖辖区的所有常住人口。</w:t>
      </w:r>
    </w:p>
    <w:p w14:paraId="0C2D68E0">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3．评价指标与实际相符。</w:t>
      </w:r>
    </w:p>
    <w:p w14:paraId="5B9652DF">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04" w:name="_Toc20767"/>
      <w:r>
        <w:rPr>
          <w:rFonts w:hint="eastAsia" w:ascii="Times New Roman" w:hAnsi="Times New Roman" w:eastAsia="仿宋_GB2312" w:cs="仿宋_GB2312"/>
          <w:b/>
          <w:bCs/>
          <w:color w:val="auto"/>
          <w:kern w:val="2"/>
          <w:sz w:val="32"/>
          <w:szCs w:val="32"/>
          <w:highlight w:val="none"/>
          <w:lang w:val="zh-CN" w:eastAsia="zh-CN" w:bidi="ar-SA"/>
        </w:rPr>
        <w:t>（三）项目自评步骤及方法。</w:t>
      </w:r>
      <w:bookmarkEnd w:id="104"/>
    </w:p>
    <w:p w14:paraId="2EDB5F97">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说明项目绩效自评采用老年人随访登记册，妇幼登记情况表等的组织实施步骤及方法。</w:t>
      </w:r>
    </w:p>
    <w:p w14:paraId="56D1D987">
      <w:pPr>
        <w:pStyle w:val="5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eastAsia" w:ascii="黑体" w:hAnsi="黑体" w:eastAsia="黑体" w:cs="黑体"/>
          <w:sz w:val="32"/>
          <w:szCs w:val="32"/>
          <w:lang w:val="zh-CN"/>
        </w:rPr>
      </w:pPr>
      <w:bookmarkStart w:id="105" w:name="_Toc27427"/>
      <w:bookmarkStart w:id="106" w:name="_Toc19249"/>
      <w:r>
        <w:rPr>
          <w:rFonts w:hint="eastAsia" w:ascii="黑体" w:hAnsi="黑体" w:eastAsia="黑体" w:cs="黑体"/>
          <w:sz w:val="32"/>
          <w:szCs w:val="32"/>
          <w:lang w:val="zh-CN"/>
        </w:rPr>
        <w:t>二、项目资金申报及使用情况</w:t>
      </w:r>
      <w:bookmarkEnd w:id="105"/>
      <w:bookmarkEnd w:id="106"/>
    </w:p>
    <w:p w14:paraId="7A7379A1">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07" w:name="_Toc22058"/>
      <w:r>
        <w:rPr>
          <w:rFonts w:hint="eastAsia" w:ascii="Times New Roman" w:hAnsi="Times New Roman" w:eastAsia="仿宋_GB2312" w:cs="仿宋_GB2312"/>
          <w:b/>
          <w:bCs/>
          <w:color w:val="auto"/>
          <w:kern w:val="2"/>
          <w:sz w:val="32"/>
          <w:szCs w:val="32"/>
          <w:highlight w:val="none"/>
          <w:lang w:val="zh-CN" w:eastAsia="zh-CN" w:bidi="ar-SA"/>
        </w:rPr>
        <w:t>（一）项目资金申报及批复情况。</w:t>
      </w:r>
      <w:bookmarkEnd w:id="107"/>
    </w:p>
    <w:p w14:paraId="001EFDD8">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该项目由卫生院自行提供相关附件由乡镇会计核算中心审核，并由局领导同意报县级财政及相关领导签字后，实行转账支付。</w:t>
      </w:r>
    </w:p>
    <w:p w14:paraId="2FDA6912">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08" w:name="_Toc25187"/>
      <w:r>
        <w:rPr>
          <w:rFonts w:hint="eastAsia" w:ascii="Times New Roman" w:hAnsi="Times New Roman" w:eastAsia="仿宋_GB2312" w:cs="仿宋_GB2312"/>
          <w:b/>
          <w:bCs/>
          <w:color w:val="auto"/>
          <w:kern w:val="2"/>
          <w:sz w:val="32"/>
          <w:szCs w:val="32"/>
          <w:highlight w:val="none"/>
          <w:lang w:val="zh-CN" w:eastAsia="zh-CN" w:bidi="ar-SA"/>
        </w:rPr>
        <w:t>（二）资金计划、到位及使用情况（可用表格形式反映）。</w:t>
      </w:r>
      <w:bookmarkEnd w:id="108"/>
    </w:p>
    <w:p w14:paraId="702F3BDA">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1．该项目资金为中央，省州公卫资金。</w:t>
      </w:r>
    </w:p>
    <w:p w14:paraId="2CE6A5CC">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2．资金到位。截止评价时点该项目资金已全部到位。</w:t>
      </w:r>
    </w:p>
    <w:p w14:paraId="2397EAEB">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3．资金使用。该资金已按文件要求合理进行使用。</w:t>
      </w:r>
    </w:p>
    <w:p w14:paraId="4385F803">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09" w:name="_Toc11321"/>
      <w:r>
        <w:rPr>
          <w:rFonts w:hint="eastAsia" w:ascii="Times New Roman" w:hAnsi="Times New Roman" w:eastAsia="仿宋_GB2312" w:cs="仿宋_GB2312"/>
          <w:b/>
          <w:bCs/>
          <w:color w:val="auto"/>
          <w:kern w:val="2"/>
          <w:sz w:val="32"/>
          <w:szCs w:val="32"/>
          <w:highlight w:val="none"/>
          <w:lang w:val="zh-CN" w:eastAsia="zh-CN" w:bidi="ar-SA"/>
        </w:rPr>
        <w:t>（三）项目财务管理情况。</w:t>
      </w:r>
      <w:bookmarkEnd w:id="109"/>
    </w:p>
    <w:p w14:paraId="399C945A">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项目实施过程中严格按照项目财务管理制度进行财务管理，专款专用，专人负责，严格对照资金管理办法，不拆借资金，规范会计核算程序</w:t>
      </w:r>
      <w:r>
        <w:rPr>
          <w:rFonts w:hint="eastAsia" w:ascii="Times New Roman" w:hAnsi="Times New Roman" w:eastAsia="仿宋_GB2312" w:cs="仿宋_GB2312"/>
          <w:color w:val="auto"/>
          <w:kern w:val="2"/>
          <w:sz w:val="32"/>
          <w:szCs w:val="32"/>
          <w:highlight w:val="none"/>
          <w:lang w:val="zh-CN" w:eastAsia="zh-CN" w:bidi="ar-SA"/>
        </w:rPr>
        <w:t>。</w:t>
      </w:r>
    </w:p>
    <w:p w14:paraId="0CE29868">
      <w:pPr>
        <w:pStyle w:val="57"/>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eastAsia" w:ascii="黑体" w:hAnsi="黑体" w:eastAsia="黑体" w:cs="黑体"/>
          <w:sz w:val="32"/>
          <w:szCs w:val="32"/>
          <w:lang w:val="zh-CN"/>
        </w:rPr>
      </w:pPr>
      <w:bookmarkStart w:id="110" w:name="_Toc8564"/>
      <w:bookmarkStart w:id="111" w:name="_Toc24930"/>
      <w:r>
        <w:rPr>
          <w:rFonts w:hint="eastAsia" w:ascii="黑体" w:hAnsi="黑体" w:eastAsia="黑体" w:cs="黑体"/>
          <w:sz w:val="32"/>
          <w:szCs w:val="32"/>
          <w:lang w:val="zh-CN"/>
        </w:rPr>
        <w:t>三、项目实施及管理情况</w:t>
      </w:r>
      <w:bookmarkEnd w:id="110"/>
      <w:bookmarkEnd w:id="111"/>
    </w:p>
    <w:p w14:paraId="7235C0FB">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项目实施过程中均无现金交易，都是采用直接申请支付方式付款。</w:t>
      </w:r>
    </w:p>
    <w:p w14:paraId="6B81CCC5">
      <w:pPr>
        <w:pageBreakBefore w:val="0"/>
        <w:kinsoku/>
        <w:wordWrap/>
        <w:overflowPunct/>
        <w:topLinePunct w:val="0"/>
        <w:autoSpaceDE/>
        <w:autoSpaceDN/>
        <w:bidi w:val="0"/>
        <w:adjustRightInd w:val="0"/>
        <w:snapToGrid w:val="0"/>
        <w:spacing w:line="560" w:lineRule="exact"/>
        <w:ind w:firstLine="720"/>
        <w:textAlignment w:val="auto"/>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59033DFA">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12" w:name="_Toc12121"/>
      <w:r>
        <w:rPr>
          <w:rFonts w:hint="eastAsia" w:ascii="Times New Roman" w:hAnsi="Times New Roman" w:eastAsia="仿宋_GB2312" w:cs="仿宋_GB2312"/>
          <w:b/>
          <w:bCs/>
          <w:color w:val="auto"/>
          <w:kern w:val="2"/>
          <w:sz w:val="32"/>
          <w:szCs w:val="32"/>
          <w:highlight w:val="none"/>
          <w:lang w:val="zh-CN" w:eastAsia="zh-CN" w:bidi="ar-SA"/>
        </w:rPr>
        <w:t>（一）项目完成情况。</w:t>
      </w:r>
      <w:bookmarkEnd w:id="112"/>
    </w:p>
    <w:p w14:paraId="62B0BC6D">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该项目完成了全年的慢病随访，妇幼随访，及婴幼儿预防接种，情况良好。</w:t>
      </w:r>
    </w:p>
    <w:p w14:paraId="7A883321">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13" w:name="_Toc19667"/>
      <w:r>
        <w:rPr>
          <w:rFonts w:hint="eastAsia" w:ascii="Times New Roman" w:hAnsi="Times New Roman" w:eastAsia="仿宋_GB2312" w:cs="仿宋_GB2312"/>
          <w:b/>
          <w:bCs/>
          <w:color w:val="auto"/>
          <w:kern w:val="2"/>
          <w:sz w:val="32"/>
          <w:szCs w:val="32"/>
          <w:highlight w:val="none"/>
          <w:lang w:val="zh-CN" w:eastAsia="zh-CN" w:bidi="ar-SA"/>
        </w:rPr>
        <w:t>（二）项目效益情况。</w:t>
      </w:r>
      <w:bookmarkEnd w:id="113"/>
    </w:p>
    <w:p w14:paraId="358CA799">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该项目是名声工程，群众满意度良好。</w:t>
      </w:r>
    </w:p>
    <w:p w14:paraId="466CECB1">
      <w:pPr>
        <w:pageBreakBefore w:val="0"/>
        <w:kinsoku/>
        <w:wordWrap/>
        <w:overflowPunct/>
        <w:topLinePunct w:val="0"/>
        <w:autoSpaceDE/>
        <w:autoSpaceDN/>
        <w:bidi w:val="0"/>
        <w:adjustRightInd w:val="0"/>
        <w:snapToGrid w:val="0"/>
        <w:spacing w:line="560" w:lineRule="exact"/>
        <w:ind w:firstLine="720"/>
        <w:textAlignment w:val="auto"/>
        <w:rPr>
          <w:rFonts w:hint="eastAsia" w:ascii="仿宋" w:hAnsi="仿宋" w:eastAsia="仿宋" w:cs="仿宋"/>
          <w:sz w:val="32"/>
          <w:szCs w:val="32"/>
        </w:rPr>
      </w:pPr>
      <w:r>
        <w:rPr>
          <w:rFonts w:hint="eastAsia" w:ascii="仿宋" w:hAnsi="仿宋" w:eastAsia="仿宋" w:cs="仿宋"/>
          <w:sz w:val="32"/>
          <w:szCs w:val="32"/>
        </w:rPr>
        <w:t>五、评价结论及建议</w:t>
      </w:r>
    </w:p>
    <w:p w14:paraId="255D128F">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14" w:name="_Toc12085"/>
      <w:r>
        <w:rPr>
          <w:rFonts w:hint="eastAsia" w:ascii="Times New Roman" w:hAnsi="Times New Roman" w:eastAsia="仿宋_GB2312" w:cs="仿宋_GB2312"/>
          <w:b/>
          <w:bCs/>
          <w:color w:val="auto"/>
          <w:kern w:val="2"/>
          <w:sz w:val="32"/>
          <w:szCs w:val="32"/>
          <w:highlight w:val="none"/>
          <w:lang w:val="zh-CN" w:eastAsia="zh-CN" w:bidi="ar-SA"/>
        </w:rPr>
        <w:t>（一）评价结论。</w:t>
      </w:r>
      <w:bookmarkEnd w:id="114"/>
    </w:p>
    <w:p w14:paraId="014D8E04">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该项目是当前重点工作，完成情况比较良好。</w:t>
      </w:r>
    </w:p>
    <w:p w14:paraId="083ABD2D">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15" w:name="_Toc9419"/>
      <w:r>
        <w:rPr>
          <w:rFonts w:hint="eastAsia" w:ascii="Times New Roman" w:hAnsi="Times New Roman" w:eastAsia="仿宋_GB2312" w:cs="仿宋_GB2312"/>
          <w:b/>
          <w:bCs/>
          <w:color w:val="auto"/>
          <w:kern w:val="2"/>
          <w:sz w:val="32"/>
          <w:szCs w:val="32"/>
          <w:highlight w:val="none"/>
          <w:lang w:val="zh-CN" w:eastAsia="zh-CN" w:bidi="ar-SA"/>
        </w:rPr>
        <w:t>（二）存在的问题。</w:t>
      </w:r>
      <w:bookmarkEnd w:id="115"/>
    </w:p>
    <w:p w14:paraId="59B16A9F">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zh-CN" w:eastAsia="zh-CN" w:bidi="ar-SA"/>
        </w:rPr>
        <w:t>资金拨付速度较慢。</w:t>
      </w:r>
      <w:r>
        <w:rPr>
          <w:rFonts w:hint="eastAsia" w:ascii="Times New Roman" w:hAnsi="Times New Roman" w:eastAsia="仿宋_GB2312" w:cs="仿宋_GB2312"/>
          <w:color w:val="auto"/>
          <w:kern w:val="2"/>
          <w:sz w:val="32"/>
          <w:szCs w:val="32"/>
          <w:highlight w:val="none"/>
          <w:lang w:val="zh-CN" w:eastAsia="zh-CN" w:bidi="ar-SA"/>
        </w:rPr>
        <w:tab/>
      </w:r>
    </w:p>
    <w:p w14:paraId="31F91EFD">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outlineLvl w:val="2"/>
        <w:rPr>
          <w:rFonts w:hint="eastAsia" w:ascii="Times New Roman" w:hAnsi="Times New Roman" w:eastAsia="仿宋_GB2312" w:cs="仿宋_GB2312"/>
          <w:b/>
          <w:bCs/>
          <w:color w:val="auto"/>
          <w:kern w:val="2"/>
          <w:sz w:val="32"/>
          <w:szCs w:val="32"/>
          <w:highlight w:val="none"/>
          <w:lang w:val="zh-CN" w:eastAsia="zh-CN" w:bidi="ar-SA"/>
        </w:rPr>
      </w:pPr>
      <w:bookmarkStart w:id="116" w:name="_Toc17992"/>
      <w:r>
        <w:rPr>
          <w:rFonts w:hint="eastAsia" w:ascii="Times New Roman" w:hAnsi="Times New Roman" w:eastAsia="仿宋_GB2312" w:cs="仿宋_GB2312"/>
          <w:b/>
          <w:bCs/>
          <w:color w:val="auto"/>
          <w:kern w:val="2"/>
          <w:sz w:val="32"/>
          <w:szCs w:val="32"/>
          <w:highlight w:val="none"/>
          <w:lang w:val="zh-CN" w:eastAsia="zh-CN" w:bidi="ar-SA"/>
        </w:rPr>
        <w:t>（三）相关建议。</w:t>
      </w:r>
      <w:bookmarkEnd w:id="116"/>
    </w:p>
    <w:p w14:paraId="1384341D">
      <w:pPr>
        <w:pageBreakBefore w:val="0"/>
        <w:kinsoku/>
        <w:wordWrap/>
        <w:overflowPunct/>
        <w:topLinePunct w:val="0"/>
        <w:autoSpaceDE/>
        <w:autoSpaceDN/>
        <w:bidi w:val="0"/>
        <w:spacing w:line="560" w:lineRule="exact"/>
        <w:ind w:firstLine="640"/>
        <w:textAlignment w:val="auto"/>
        <w:rPr>
          <w:rFonts w:hint="eastAsia" w:ascii="Times New Roman" w:hAnsi="Times New Roman" w:eastAsia="方正小标宋简体" w:cs="方正小标宋简体"/>
          <w:b w:val="0"/>
          <w:color w:val="auto"/>
          <w:highlight w:val="none"/>
        </w:rPr>
      </w:pPr>
      <w:r>
        <w:rPr>
          <w:rFonts w:hint="eastAsia" w:ascii="Times New Roman" w:hAnsi="Times New Roman" w:eastAsia="仿宋_GB2312" w:cs="仿宋_GB2312"/>
          <w:color w:val="auto"/>
          <w:kern w:val="2"/>
          <w:sz w:val="32"/>
          <w:szCs w:val="32"/>
          <w:highlight w:val="none"/>
          <w:lang w:val="en-US" w:eastAsia="zh-CN" w:bidi="ar-SA"/>
        </w:rPr>
        <w:t>一是</w:t>
      </w:r>
      <w:r>
        <w:rPr>
          <w:rFonts w:hint="eastAsia" w:ascii="Times New Roman" w:hAnsi="Times New Roman" w:eastAsia="仿宋_GB2312" w:cs="仿宋_GB2312"/>
          <w:color w:val="auto"/>
          <w:kern w:val="2"/>
          <w:sz w:val="32"/>
          <w:szCs w:val="32"/>
          <w:highlight w:val="none"/>
          <w:lang w:val="zh-CN" w:eastAsia="zh-CN" w:bidi="ar-SA"/>
        </w:rPr>
        <w:t>加强宣传培训。</w:t>
      </w:r>
      <w:r>
        <w:rPr>
          <w:rFonts w:hint="eastAsia" w:ascii="Times New Roman" w:hAnsi="Times New Roman" w:eastAsia="仿宋_GB2312" w:cs="仿宋_GB2312"/>
          <w:color w:val="auto"/>
          <w:kern w:val="2"/>
          <w:sz w:val="32"/>
          <w:szCs w:val="32"/>
          <w:highlight w:val="none"/>
          <w:lang w:val="en-US" w:eastAsia="zh-CN" w:bidi="ar-SA"/>
        </w:rPr>
        <w:t>二是</w:t>
      </w:r>
      <w:r>
        <w:rPr>
          <w:rFonts w:hint="eastAsia" w:ascii="Times New Roman" w:hAnsi="Times New Roman" w:eastAsia="仿宋_GB2312" w:cs="仿宋_GB2312"/>
          <w:color w:val="auto"/>
          <w:kern w:val="2"/>
          <w:sz w:val="32"/>
          <w:szCs w:val="32"/>
          <w:highlight w:val="none"/>
          <w:lang w:val="zh-CN" w:eastAsia="zh-CN" w:bidi="ar-SA"/>
        </w:rPr>
        <w:t>积极申报资金，做好各类相关工作。</w:t>
      </w:r>
    </w:p>
    <w:p w14:paraId="0255C16A">
      <w:pPr>
        <w:pStyle w:val="2"/>
        <w:keepNext/>
        <w:keepLines/>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Times New Roman" w:hAnsi="Times New Roman" w:eastAsia="方正小标宋简体" w:cs="方正小标宋简体"/>
          <w:b w:val="0"/>
          <w:color w:val="auto"/>
          <w:highlight w:val="none"/>
        </w:rPr>
      </w:pPr>
    </w:p>
    <w:p w14:paraId="1FDFC3EF">
      <w:pPr>
        <w:pStyle w:val="2"/>
        <w:keepNext/>
        <w:keepLines/>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Times New Roman" w:hAnsi="Times New Roman" w:eastAsia="方正小标宋简体" w:cs="方正小标宋简体"/>
          <w:b w:val="0"/>
          <w:color w:val="auto"/>
          <w:highlight w:val="none"/>
        </w:rPr>
      </w:pPr>
      <w:bookmarkStart w:id="117" w:name="_Toc31221"/>
      <w:bookmarkStart w:id="118" w:name="_Toc4552"/>
      <w:r>
        <w:rPr>
          <w:rFonts w:hint="eastAsia" w:ascii="Times New Roman" w:hAnsi="Times New Roman" w:eastAsia="方正小标宋简体" w:cs="方正小标宋简体"/>
          <w:b w:val="0"/>
          <w:color w:val="auto"/>
          <w:highlight w:val="none"/>
        </w:rPr>
        <w:t>第五部分 附表</w:t>
      </w:r>
      <w:bookmarkEnd w:id="99"/>
      <w:bookmarkEnd w:id="117"/>
      <w:bookmarkEnd w:id="118"/>
      <w:bookmarkStart w:id="119" w:name="_Toc15396619"/>
    </w:p>
    <w:p w14:paraId="0208B996">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119"/>
    </w:p>
    <w:p w14:paraId="22A2341E">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0" w:name="_Toc15396620"/>
      <w:r>
        <w:rPr>
          <w:rFonts w:hint="eastAsia" w:ascii="Times New Roman" w:hAnsi="Times New Roman" w:eastAsia="仿宋_GB2312" w:cs="仿宋_GB2312"/>
          <w:color w:val="auto"/>
          <w:sz w:val="32"/>
          <w:szCs w:val="32"/>
          <w:highlight w:val="none"/>
        </w:rPr>
        <w:t>二、收入决算表</w:t>
      </w:r>
      <w:bookmarkEnd w:id="120"/>
    </w:p>
    <w:p w14:paraId="5357DDA1">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1" w:name="_Toc15396621"/>
      <w:r>
        <w:rPr>
          <w:rFonts w:hint="eastAsia" w:ascii="Times New Roman" w:hAnsi="Times New Roman" w:eastAsia="仿宋_GB2312" w:cs="仿宋_GB2312"/>
          <w:color w:val="auto"/>
          <w:sz w:val="32"/>
          <w:szCs w:val="32"/>
          <w:highlight w:val="none"/>
        </w:rPr>
        <w:t>三、支出决算表</w:t>
      </w:r>
      <w:bookmarkEnd w:id="121"/>
    </w:p>
    <w:p w14:paraId="44A4EEF5">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2" w:name="_Toc15396622"/>
      <w:r>
        <w:rPr>
          <w:rFonts w:hint="eastAsia" w:ascii="Times New Roman" w:hAnsi="Times New Roman" w:eastAsia="仿宋_GB2312" w:cs="仿宋_GB2312"/>
          <w:color w:val="auto"/>
          <w:sz w:val="32"/>
          <w:szCs w:val="32"/>
          <w:highlight w:val="none"/>
        </w:rPr>
        <w:t>四、财政拨款收入支出决算总表</w:t>
      </w:r>
      <w:bookmarkEnd w:id="122"/>
    </w:p>
    <w:p w14:paraId="6784296F">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3" w:name="_Toc15396623"/>
      <w:r>
        <w:rPr>
          <w:rFonts w:hint="eastAsia" w:ascii="Times New Roman" w:hAnsi="Times New Roman" w:eastAsia="仿宋_GB2312" w:cs="仿宋_GB2312"/>
          <w:color w:val="auto"/>
          <w:sz w:val="32"/>
          <w:szCs w:val="32"/>
          <w:highlight w:val="none"/>
        </w:rPr>
        <w:t>五、财政拨款支出决算明细表</w:t>
      </w:r>
      <w:bookmarkEnd w:id="123"/>
      <w:bookmarkStart w:id="124" w:name="_Toc15396624"/>
    </w:p>
    <w:p w14:paraId="78939798">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124"/>
    </w:p>
    <w:p w14:paraId="460ACB2F">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5" w:name="_Toc15396625"/>
      <w:r>
        <w:rPr>
          <w:rFonts w:hint="eastAsia" w:ascii="Times New Roman" w:hAnsi="Times New Roman" w:eastAsia="仿宋_GB2312" w:cs="仿宋_GB2312"/>
          <w:color w:val="auto"/>
          <w:sz w:val="32"/>
          <w:szCs w:val="32"/>
          <w:highlight w:val="none"/>
        </w:rPr>
        <w:t>七、一般公共预算财政拨款支出决算明细表</w:t>
      </w:r>
      <w:bookmarkEnd w:id="125"/>
    </w:p>
    <w:p w14:paraId="40E3098F">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6" w:name="_Toc15396626"/>
      <w:r>
        <w:rPr>
          <w:rFonts w:hint="eastAsia" w:ascii="Times New Roman" w:hAnsi="Times New Roman" w:eastAsia="仿宋_GB2312" w:cs="仿宋_GB2312"/>
          <w:color w:val="auto"/>
          <w:sz w:val="32"/>
          <w:szCs w:val="32"/>
          <w:highlight w:val="none"/>
        </w:rPr>
        <w:t>八、一般公共预算财政拨款基本支出决算表</w:t>
      </w:r>
      <w:bookmarkEnd w:id="126"/>
    </w:p>
    <w:p w14:paraId="0DDF51C6">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7" w:name="_Toc15396627"/>
      <w:r>
        <w:rPr>
          <w:rFonts w:hint="eastAsia" w:ascii="Times New Roman" w:hAnsi="Times New Roman" w:eastAsia="仿宋_GB2312" w:cs="仿宋_GB2312"/>
          <w:color w:val="auto"/>
          <w:sz w:val="32"/>
          <w:szCs w:val="32"/>
          <w:highlight w:val="none"/>
        </w:rPr>
        <w:t>九、一般公共预算财政拨款项目支出决算表</w:t>
      </w:r>
      <w:bookmarkEnd w:id="127"/>
    </w:p>
    <w:p w14:paraId="7B0C95FB">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8" w:name="_Toc15396628"/>
      <w:r>
        <w:rPr>
          <w:rFonts w:hint="eastAsia" w:ascii="Times New Roman" w:hAnsi="Times New Roman" w:eastAsia="仿宋_GB2312" w:cs="仿宋_GB2312"/>
          <w:color w:val="auto"/>
          <w:sz w:val="32"/>
          <w:szCs w:val="32"/>
          <w:highlight w:val="none"/>
        </w:rPr>
        <w:t>十、</w:t>
      </w:r>
      <w:bookmarkEnd w:id="128"/>
      <w:r>
        <w:rPr>
          <w:rFonts w:hint="eastAsia" w:ascii="Times New Roman" w:hAnsi="Times New Roman" w:eastAsia="仿宋_GB2312" w:cs="仿宋_GB2312"/>
          <w:color w:val="auto"/>
          <w:sz w:val="32"/>
          <w:szCs w:val="32"/>
          <w:highlight w:val="none"/>
        </w:rPr>
        <w:t>政府性基金预算财政拨款收入支出决算表</w:t>
      </w:r>
    </w:p>
    <w:p w14:paraId="4A9FC4E1">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29" w:name="_Toc15396629"/>
      <w:r>
        <w:rPr>
          <w:rFonts w:hint="eastAsia" w:ascii="Times New Roman" w:hAnsi="Times New Roman" w:eastAsia="仿宋_GB2312" w:cs="仿宋_GB2312"/>
          <w:color w:val="auto"/>
          <w:sz w:val="32"/>
          <w:szCs w:val="32"/>
          <w:highlight w:val="none"/>
        </w:rPr>
        <w:t>十一、</w:t>
      </w:r>
      <w:bookmarkEnd w:id="12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0368B432">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130" w:name="_Toc15396630"/>
      <w:r>
        <w:rPr>
          <w:rFonts w:hint="eastAsia" w:ascii="Times New Roman" w:hAnsi="Times New Roman" w:eastAsia="仿宋_GB2312" w:cs="仿宋_GB2312"/>
          <w:color w:val="auto"/>
          <w:sz w:val="32"/>
          <w:szCs w:val="32"/>
          <w:highlight w:val="none"/>
        </w:rPr>
        <w:t>十二、</w:t>
      </w:r>
      <w:bookmarkEnd w:id="130"/>
      <w:r>
        <w:rPr>
          <w:rFonts w:hint="eastAsia" w:ascii="Times New Roman" w:hAnsi="Times New Roman" w:eastAsia="仿宋_GB2312" w:cs="仿宋_GB2312"/>
          <w:color w:val="auto"/>
          <w:sz w:val="32"/>
          <w:szCs w:val="32"/>
          <w:highlight w:val="none"/>
          <w:lang w:eastAsia="zh-CN"/>
        </w:rPr>
        <w:t>国有资本经营预算财政拨款支出决算表</w:t>
      </w:r>
    </w:p>
    <w:p w14:paraId="65B919C4">
      <w:pPr>
        <w:pStyle w:val="26"/>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131" w:name="_Toc15396631"/>
      <w:r>
        <w:rPr>
          <w:rFonts w:hint="eastAsia" w:ascii="Times New Roman" w:hAnsi="Times New Roman" w:eastAsia="仿宋_GB2312" w:cs="仿宋_GB2312"/>
          <w:color w:val="auto"/>
          <w:sz w:val="32"/>
          <w:szCs w:val="32"/>
          <w:highlight w:val="none"/>
        </w:rPr>
        <w:t>十三、</w:t>
      </w:r>
      <w:bookmarkEnd w:id="131"/>
      <w:r>
        <w:rPr>
          <w:rFonts w:hint="eastAsia" w:ascii="Times New Roman" w:hAnsi="Times New Roman" w:eastAsia="仿宋_GB2312" w:cs="仿宋_GB2312"/>
          <w:color w:val="auto"/>
          <w:sz w:val="32"/>
          <w:szCs w:val="32"/>
          <w:highlight w:val="none"/>
          <w:lang w:eastAsia="zh-CN"/>
        </w:rPr>
        <w:t>财政拨款“三公”经费支出决算表</w:t>
      </w:r>
    </w:p>
    <w:p w14:paraId="5EAAF9F2">
      <w:pPr>
        <w:pageBreakBefore w:val="0"/>
        <w:kinsoku/>
        <w:wordWrap/>
        <w:overflowPunct/>
        <w:topLinePunct w:val="0"/>
        <w:autoSpaceDE/>
        <w:autoSpaceDN/>
        <w:bidi w:val="0"/>
        <w:spacing w:line="560" w:lineRule="exact"/>
        <w:textAlignment w:val="auto"/>
        <w:rPr>
          <w:rFonts w:hint="eastAsia" w:ascii="Times New Roman" w:hAnsi="Times New Roman"/>
          <w:lang w:eastAsia="zh-CN"/>
        </w:rPr>
      </w:pPr>
    </w:p>
    <w:p w14:paraId="24C73F62">
      <w:pPr>
        <w:pageBreakBefore w:val="0"/>
        <w:kinsoku/>
        <w:wordWrap/>
        <w:overflowPunct/>
        <w:topLinePunct w:val="0"/>
        <w:autoSpaceDE/>
        <w:autoSpaceDN/>
        <w:bidi w:val="0"/>
        <w:spacing w:line="560" w:lineRule="exact"/>
        <w:textAlignment w:val="auto"/>
        <w:rPr>
          <w:rFonts w:hint="eastAsia" w:ascii="Times New Roman" w:hAnsi="Times New Roman"/>
          <w:lang w:eastAsia="zh-CN"/>
        </w:rPr>
      </w:pPr>
    </w:p>
    <w:sectPr>
      <w:footerReference r:id="rId7" w:type="first"/>
      <w:headerReference r:id="rId5" w:type="default"/>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882C8F7-0AAF-44B0-8116-CA7FB9A2ECB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6C4EBCD9-E080-40D4-9BA1-8F30CBADCC75}"/>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embedRegular r:id="rId3" w:fontKey="{64382F79-B5AD-4C53-B3AE-C8807C93F24B}"/>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00000001" w:usb1="08000000" w:usb2="00000000" w:usb3="00000000" w:csb0="00040000" w:csb1="00000000"/>
    <w:embedRegular r:id="rId4" w:fontKey="{75DA99C2-0CFC-481C-8834-03DB77065BFD}"/>
  </w:font>
  <w:font w:name="方正公文小标宋">
    <w:panose1 w:val="02000500000000000000"/>
    <w:charset w:val="86"/>
    <w:family w:val="auto"/>
    <w:pitch w:val="default"/>
    <w:sig w:usb0="A00002BF" w:usb1="38CF7CFA" w:usb2="00000016" w:usb3="00000000" w:csb0="00040001" w:csb1="00000000"/>
    <w:embedRegular r:id="rId5" w:fontKey="{6101C2FB-7D4B-4CB1-BCAD-A80B4824D657}"/>
  </w:font>
  <w:font w:name="方正仿宋_GB2312">
    <w:panose1 w:val="02000000000000000000"/>
    <w:charset w:val="86"/>
    <w:family w:val="auto"/>
    <w:pitch w:val="default"/>
    <w:sig w:usb0="A00002BF" w:usb1="184F6CFA" w:usb2="00000012" w:usb3="00000000" w:csb0="00040001" w:csb1="00000000"/>
    <w:embedRegular r:id="rId6" w:fontKey="{042A0BA5-53A6-4E9C-A7EF-37F98EEAF983}"/>
  </w:font>
  <w:font w:name="仿宋_GB2312">
    <w:altName w:val="仿宋"/>
    <w:panose1 w:val="02010609030101010101"/>
    <w:charset w:val="86"/>
    <w:family w:val="modern"/>
    <w:pitch w:val="default"/>
    <w:sig w:usb0="00000000" w:usb1="00000000" w:usb2="00000000" w:usb3="00000000" w:csb0="00040000" w:csb1="00000000"/>
    <w:embedRegular r:id="rId7" w:fontKey="{C07E64C7-E622-442C-923C-9116D9CF1030}"/>
  </w:font>
  <w:font w:name="WPSEMBED3">
    <w:panose1 w:val="02000500000000000000"/>
    <w:charset w:val="86"/>
    <w:family w:val="auto"/>
    <w:pitch w:val="default"/>
    <w:sig w:usb0="A00002BF" w:usb1="38CF7CFA" w:usb2="00000016" w:usb3="00000000" w:csb0="00040001" w:csb1="00000000"/>
  </w:font>
  <w:font w:name="WPSEMBED1">
    <w:panose1 w:val="02000000000000000000"/>
    <w:charset w:val="86"/>
    <w:family w:val="auto"/>
    <w:pitch w:val="default"/>
    <w:sig w:usb0="00000001" w:usb1="08000000" w:usb2="00000000" w:usb3="00000000" w:csb0="00040000" w:csb1="00000000"/>
  </w:font>
  <w:font w:name="WPSEMBED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DA5CC">
    <w:pPr>
      <w:pStyle w:val="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5C204B">
                          <w:pPr>
                            <w:pStyle w:val="20"/>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45C204B">
                    <w:pPr>
                      <w:pStyle w:val="20"/>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576B30CD">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7BCA6">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2E864C">
                          <w:pPr>
                            <w:pStyle w:val="2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92E864C">
                    <w:pPr>
                      <w:pStyle w:val="2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106DB">
    <w:pPr>
      <w:pStyle w:val="2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61E35DE"/>
    <w:rsid w:val="066E0107"/>
    <w:rsid w:val="07996F6E"/>
    <w:rsid w:val="07DFD8BA"/>
    <w:rsid w:val="08AB1FFC"/>
    <w:rsid w:val="08DB07E4"/>
    <w:rsid w:val="09867E8F"/>
    <w:rsid w:val="0A2032A3"/>
    <w:rsid w:val="0C6C4794"/>
    <w:rsid w:val="0CA8290A"/>
    <w:rsid w:val="0D35B1ED"/>
    <w:rsid w:val="0DE07E2B"/>
    <w:rsid w:val="0E8C7969"/>
    <w:rsid w:val="0F566DED"/>
    <w:rsid w:val="0F98263C"/>
    <w:rsid w:val="0FCA7C78"/>
    <w:rsid w:val="101860EC"/>
    <w:rsid w:val="10C055FF"/>
    <w:rsid w:val="11750207"/>
    <w:rsid w:val="11772AA4"/>
    <w:rsid w:val="118107EC"/>
    <w:rsid w:val="13957196"/>
    <w:rsid w:val="13D50BC4"/>
    <w:rsid w:val="13EE2FF2"/>
    <w:rsid w:val="14022904"/>
    <w:rsid w:val="152F2A07"/>
    <w:rsid w:val="155F1B34"/>
    <w:rsid w:val="165E0673"/>
    <w:rsid w:val="16BB723D"/>
    <w:rsid w:val="16F13FCB"/>
    <w:rsid w:val="186504BB"/>
    <w:rsid w:val="1938089F"/>
    <w:rsid w:val="19A445FC"/>
    <w:rsid w:val="1A3728E3"/>
    <w:rsid w:val="1B7D550C"/>
    <w:rsid w:val="1BE8440E"/>
    <w:rsid w:val="1D155CEE"/>
    <w:rsid w:val="1DE178F3"/>
    <w:rsid w:val="1E740ACF"/>
    <w:rsid w:val="1F184675"/>
    <w:rsid w:val="1FF35744"/>
    <w:rsid w:val="1FF6BC77"/>
    <w:rsid w:val="21962A9E"/>
    <w:rsid w:val="21AE7C77"/>
    <w:rsid w:val="22BC3C41"/>
    <w:rsid w:val="23860B96"/>
    <w:rsid w:val="240371BF"/>
    <w:rsid w:val="25B54415"/>
    <w:rsid w:val="260F557C"/>
    <w:rsid w:val="26EC0887"/>
    <w:rsid w:val="27D33C76"/>
    <w:rsid w:val="281408E2"/>
    <w:rsid w:val="29FD04D3"/>
    <w:rsid w:val="2BFF7BC6"/>
    <w:rsid w:val="2C8A61B5"/>
    <w:rsid w:val="2D2E01CF"/>
    <w:rsid w:val="2DF04E50"/>
    <w:rsid w:val="2E9545B0"/>
    <w:rsid w:val="2F040D46"/>
    <w:rsid w:val="2FAE5751"/>
    <w:rsid w:val="2FB1A395"/>
    <w:rsid w:val="2FD9A7D8"/>
    <w:rsid w:val="30766E97"/>
    <w:rsid w:val="30C15C81"/>
    <w:rsid w:val="319F7F4E"/>
    <w:rsid w:val="321B2544"/>
    <w:rsid w:val="3304709D"/>
    <w:rsid w:val="34281836"/>
    <w:rsid w:val="349D6851"/>
    <w:rsid w:val="35001034"/>
    <w:rsid w:val="35BA6CAF"/>
    <w:rsid w:val="35D37231"/>
    <w:rsid w:val="363969F1"/>
    <w:rsid w:val="364D14C1"/>
    <w:rsid w:val="36AA5135"/>
    <w:rsid w:val="36BE0DA7"/>
    <w:rsid w:val="376B6AA6"/>
    <w:rsid w:val="376C67FD"/>
    <w:rsid w:val="376D39B2"/>
    <w:rsid w:val="37E16F03"/>
    <w:rsid w:val="37F53A3B"/>
    <w:rsid w:val="389B6C89"/>
    <w:rsid w:val="38D469F0"/>
    <w:rsid w:val="39627CCD"/>
    <w:rsid w:val="397BAF1F"/>
    <w:rsid w:val="3A8B7FF3"/>
    <w:rsid w:val="3AB79AF3"/>
    <w:rsid w:val="3B7EF35A"/>
    <w:rsid w:val="3B9FDB6C"/>
    <w:rsid w:val="3BF5BC2F"/>
    <w:rsid w:val="3C9D0689"/>
    <w:rsid w:val="3CEBA265"/>
    <w:rsid w:val="3D98207C"/>
    <w:rsid w:val="3D9B0D99"/>
    <w:rsid w:val="3DEE7CF3"/>
    <w:rsid w:val="3DF02244"/>
    <w:rsid w:val="3E78745D"/>
    <w:rsid w:val="3FF4CAE0"/>
    <w:rsid w:val="3FF7B227"/>
    <w:rsid w:val="40AD5F9F"/>
    <w:rsid w:val="40E54C45"/>
    <w:rsid w:val="41313393"/>
    <w:rsid w:val="43A407DF"/>
    <w:rsid w:val="44515BEA"/>
    <w:rsid w:val="44E12B11"/>
    <w:rsid w:val="44E268DA"/>
    <w:rsid w:val="453F7E5B"/>
    <w:rsid w:val="486A6C7A"/>
    <w:rsid w:val="48CC36A0"/>
    <w:rsid w:val="49176D9B"/>
    <w:rsid w:val="491C5154"/>
    <w:rsid w:val="494006BD"/>
    <w:rsid w:val="4A627F82"/>
    <w:rsid w:val="4B0E749A"/>
    <w:rsid w:val="4B4F25DA"/>
    <w:rsid w:val="4BDA0CFB"/>
    <w:rsid w:val="4BE068DB"/>
    <w:rsid w:val="4C5A7E88"/>
    <w:rsid w:val="4D367665"/>
    <w:rsid w:val="4D3C0CCC"/>
    <w:rsid w:val="4D577224"/>
    <w:rsid w:val="4DBF1CEB"/>
    <w:rsid w:val="4EAB630A"/>
    <w:rsid w:val="4ECE2238"/>
    <w:rsid w:val="4F833267"/>
    <w:rsid w:val="4FE9BD67"/>
    <w:rsid w:val="4FFB052F"/>
    <w:rsid w:val="51E97071"/>
    <w:rsid w:val="53083A92"/>
    <w:rsid w:val="537E6D0A"/>
    <w:rsid w:val="53AF27A2"/>
    <w:rsid w:val="53E44FDE"/>
    <w:rsid w:val="53F74C96"/>
    <w:rsid w:val="56307FF0"/>
    <w:rsid w:val="56E47B74"/>
    <w:rsid w:val="57BD3DD4"/>
    <w:rsid w:val="5A6A0B49"/>
    <w:rsid w:val="5AF92295"/>
    <w:rsid w:val="5BDD79E6"/>
    <w:rsid w:val="5BF561CA"/>
    <w:rsid w:val="5BFF5DFC"/>
    <w:rsid w:val="5C381321"/>
    <w:rsid w:val="5CD71FC4"/>
    <w:rsid w:val="5D1F11B5"/>
    <w:rsid w:val="5DAE1B18"/>
    <w:rsid w:val="5DD40BD5"/>
    <w:rsid w:val="5DE7D9E5"/>
    <w:rsid w:val="5EC24ED2"/>
    <w:rsid w:val="5ECEC941"/>
    <w:rsid w:val="5F493CB7"/>
    <w:rsid w:val="5FBF9FF3"/>
    <w:rsid w:val="5FCD4E2C"/>
    <w:rsid w:val="5FD15F49"/>
    <w:rsid w:val="5FEF394A"/>
    <w:rsid w:val="5FF67715"/>
    <w:rsid w:val="62BF3928"/>
    <w:rsid w:val="647F5392"/>
    <w:rsid w:val="664B1D71"/>
    <w:rsid w:val="66C71C60"/>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90033C"/>
    <w:rsid w:val="6ED6A62E"/>
    <w:rsid w:val="6EE00B15"/>
    <w:rsid w:val="6F544B20"/>
    <w:rsid w:val="6F6FB3EB"/>
    <w:rsid w:val="6F784160"/>
    <w:rsid w:val="6F8731EA"/>
    <w:rsid w:val="6FCE6052"/>
    <w:rsid w:val="6FD57C00"/>
    <w:rsid w:val="6FEFFFD8"/>
    <w:rsid w:val="6FF5CC65"/>
    <w:rsid w:val="6FFB47EC"/>
    <w:rsid w:val="6FFF034A"/>
    <w:rsid w:val="70496804"/>
    <w:rsid w:val="70934CAA"/>
    <w:rsid w:val="712A28F1"/>
    <w:rsid w:val="715C0E4B"/>
    <w:rsid w:val="72233669"/>
    <w:rsid w:val="72734D90"/>
    <w:rsid w:val="7332FE48"/>
    <w:rsid w:val="739F35DC"/>
    <w:rsid w:val="73AB61DA"/>
    <w:rsid w:val="73AD73D5"/>
    <w:rsid w:val="73B6EB34"/>
    <w:rsid w:val="73FA497D"/>
    <w:rsid w:val="744731E5"/>
    <w:rsid w:val="74527205"/>
    <w:rsid w:val="746A5998"/>
    <w:rsid w:val="74BBD01D"/>
    <w:rsid w:val="74ED5379"/>
    <w:rsid w:val="74FC2395"/>
    <w:rsid w:val="75722D56"/>
    <w:rsid w:val="75DEEEC2"/>
    <w:rsid w:val="76543AD1"/>
    <w:rsid w:val="76E3355F"/>
    <w:rsid w:val="76FF5125"/>
    <w:rsid w:val="776F6FFA"/>
    <w:rsid w:val="778769C8"/>
    <w:rsid w:val="77DC22F5"/>
    <w:rsid w:val="77FE6D75"/>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926217"/>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after="20" w:afterLines="20" w:line="288" w:lineRule="auto"/>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link w:val="51"/>
    <w:qFormat/>
    <w:uiPriority w:val="0"/>
    <w:pPr>
      <w:keepNext/>
      <w:keepLines/>
      <w:adjustRightInd w:val="0"/>
      <w:snapToGrid w:val="0"/>
      <w:spacing w:beforeLines="0" w:beforeAutospacing="0" w:after="80" w:afterLines="80" w:afterAutospacing="0" w:line="288" w:lineRule="auto"/>
      <w:outlineLvl w:val="0"/>
    </w:pPr>
    <w:rPr>
      <w:b/>
      <w:bCs/>
      <w:kern w:val="44"/>
      <w:sz w:val="36"/>
      <w:szCs w:val="36"/>
    </w:rPr>
  </w:style>
  <w:style w:type="paragraph" w:styleId="3">
    <w:name w:val="heading 2"/>
    <w:basedOn w:val="1"/>
    <w:next w:val="1"/>
    <w:link w:val="52"/>
    <w:unhideWhenUsed/>
    <w:qFormat/>
    <w:uiPriority w:val="0"/>
    <w:pPr>
      <w:keepNext/>
      <w:keepLines/>
      <w:spacing w:before="120" w:beforeLines="120" w:beforeAutospacing="0" w:after="80" w:afterLines="80" w:afterAutospacing="0" w:line="288" w:lineRule="auto"/>
      <w:outlineLvl w:val="1"/>
    </w:pPr>
    <w:rPr>
      <w:b/>
      <w:bCs/>
      <w:sz w:val="32"/>
      <w:szCs w:val="32"/>
    </w:rPr>
  </w:style>
  <w:style w:type="paragraph" w:styleId="4">
    <w:name w:val="heading 3"/>
    <w:basedOn w:val="1"/>
    <w:next w:val="1"/>
    <w:link w:val="55"/>
    <w:unhideWhenUsed/>
    <w:qFormat/>
    <w:uiPriority w:val="0"/>
    <w:pPr>
      <w:keepNext/>
      <w:keepLines/>
      <w:spacing w:before="120" w:beforeLines="120" w:beforeAutospacing="0" w:after="80" w:afterLines="80" w:afterAutospacing="0" w:line="288" w:lineRule="auto"/>
      <w:outlineLvl w:val="2"/>
    </w:pPr>
    <w:rPr>
      <w:b/>
      <w:bCs/>
      <w:sz w:val="30"/>
      <w:szCs w:val="30"/>
    </w:rPr>
  </w:style>
  <w:style w:type="paragraph" w:styleId="5">
    <w:name w:val="heading 4"/>
    <w:basedOn w:val="1"/>
    <w:next w:val="1"/>
    <w:unhideWhenUsed/>
    <w:qFormat/>
    <w:uiPriority w:val="0"/>
    <w:pPr>
      <w:keepNext/>
      <w:keepLines/>
      <w:spacing w:before="120" w:beforeLines="120" w:beforeAutospacing="0" w:after="80" w:afterLines="80" w:afterAutospacing="0" w:line="288" w:lineRule="auto"/>
      <w:outlineLvl w:val="3"/>
    </w:pPr>
    <w:rPr>
      <w:b/>
      <w:bCs/>
      <w:sz w:val="28"/>
      <w:szCs w:val="28"/>
    </w:rPr>
  </w:style>
  <w:style w:type="paragraph" w:styleId="6">
    <w:name w:val="heading 5"/>
    <w:basedOn w:val="1"/>
    <w:next w:val="7"/>
    <w:unhideWhenUsed/>
    <w:qFormat/>
    <w:uiPriority w:val="0"/>
    <w:pPr>
      <w:keepNext/>
      <w:keepLines/>
      <w:spacing w:before="120" w:beforeLines="120" w:beforeAutospacing="0" w:after="80" w:afterLines="80" w:afterAutospacing="0" w:line="288" w:lineRule="auto"/>
      <w:outlineLvl w:val="4"/>
    </w:pPr>
    <w:rPr>
      <w:b/>
      <w:bCs/>
    </w:rPr>
  </w:style>
  <w:style w:type="paragraph" w:styleId="8">
    <w:name w:val="heading 6"/>
    <w:basedOn w:val="1"/>
    <w:next w:val="7"/>
    <w:unhideWhenUsed/>
    <w:qFormat/>
    <w:uiPriority w:val="0"/>
    <w:pPr>
      <w:keepNext/>
      <w:keepLines/>
      <w:spacing w:before="120" w:beforeLines="120" w:beforeAutospacing="0" w:after="80" w:afterLines="80" w:afterAutospacing="0" w:line="288" w:lineRule="auto"/>
      <w:outlineLvl w:val="5"/>
    </w:pPr>
    <w:rPr>
      <w:rFonts w:asciiTheme="minorAscii" w:hAnsiTheme="minorAscii" w:eastAsiaTheme="minorEastAsia"/>
      <w:b/>
      <w:bCs/>
    </w:rPr>
  </w:style>
  <w:style w:type="paragraph" w:styleId="9">
    <w:name w:val="heading 7"/>
    <w:basedOn w:val="1"/>
    <w:next w:val="7"/>
    <w:unhideWhenUsed/>
    <w:qFormat/>
    <w:uiPriority w:val="0"/>
    <w:pPr>
      <w:keepNext/>
      <w:keepLines/>
      <w:spacing w:before="120" w:beforeLines="120" w:beforeAutospacing="0" w:after="80" w:afterLines="80" w:afterAutospacing="0" w:line="288" w:lineRule="auto"/>
      <w:outlineLvl w:val="6"/>
    </w:pPr>
    <w:rPr>
      <w:rFonts w:asciiTheme="minorAscii" w:hAnsiTheme="minorAscii" w:eastAsiaTheme="minorEastAsia"/>
      <w:b/>
      <w:bCs/>
    </w:rPr>
  </w:style>
  <w:style w:type="paragraph" w:styleId="10">
    <w:name w:val="heading 8"/>
    <w:basedOn w:val="1"/>
    <w:next w:val="7"/>
    <w:unhideWhenUsed/>
    <w:qFormat/>
    <w:uiPriority w:val="0"/>
    <w:pPr>
      <w:keepNext/>
      <w:keepLines/>
      <w:spacing w:before="120" w:beforeLines="120" w:beforeAutospacing="0" w:after="80" w:afterLines="80" w:afterAutospacing="0" w:line="288" w:lineRule="auto"/>
      <w:outlineLvl w:val="7"/>
    </w:pPr>
    <w:rPr>
      <w:rFonts w:asciiTheme="minorAscii" w:hAnsiTheme="minorAscii" w:eastAsiaTheme="minorEastAsia"/>
      <w:b/>
      <w:bCs/>
    </w:rPr>
  </w:style>
  <w:style w:type="paragraph" w:styleId="11">
    <w:name w:val="heading 9"/>
    <w:basedOn w:val="1"/>
    <w:next w:val="7"/>
    <w:unhideWhenUsed/>
    <w:qFormat/>
    <w:uiPriority w:val="0"/>
    <w:pPr>
      <w:keepNext/>
      <w:keepLines/>
      <w:spacing w:before="120" w:beforeLines="120" w:beforeAutospacing="0" w:after="80" w:afterLines="80" w:afterAutospacing="0" w:line="288" w:lineRule="auto"/>
      <w:outlineLvl w:val="8"/>
    </w:pPr>
    <w:rPr>
      <w:rFonts w:asciiTheme="minorAscii" w:hAnsiTheme="minorAscii" w:eastAsiaTheme="minorEastAsia"/>
      <w:b/>
      <w:bCs/>
      <w:sz w:val="24"/>
    </w:rPr>
  </w:style>
  <w:style w:type="character" w:default="1" w:styleId="33">
    <w:name w:val="Default Paragraph Font"/>
    <w:semiHidden/>
    <w:qFormat/>
    <w:uiPriority w:val="0"/>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48"/>
    <w:qFormat/>
    <w:uiPriority w:val="0"/>
    <w:pPr>
      <w:spacing w:after="120" w:afterLines="0" w:afterAutospacing="0"/>
    </w:pPr>
  </w:style>
  <w:style w:type="paragraph" w:styleId="12">
    <w:name w:val="caption"/>
    <w:basedOn w:val="1"/>
    <w:next w:val="1"/>
    <w:unhideWhenUsed/>
    <w:qFormat/>
    <w:uiPriority w:val="0"/>
    <w:pPr>
      <w:ind w:firstLine="0" w:firstLineChars="0"/>
    </w:pPr>
    <w:rPr>
      <w:rFonts w:cs="Times New Roman" w:asciiTheme="minorAscii" w:hAnsiTheme="minorAscii" w:eastAsiaTheme="minorEastAsia"/>
      <w:sz w:val="24"/>
    </w:rPr>
  </w:style>
  <w:style w:type="paragraph" w:styleId="13">
    <w:name w:val="annotation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14">
    <w:name w:val="Salutation"/>
    <w:basedOn w:val="1"/>
    <w:next w:val="1"/>
    <w:qFormat/>
    <w:uiPriority w:val="0"/>
  </w:style>
  <w:style w:type="paragraph" w:styleId="15">
    <w:name w:val="Body Text Indent"/>
    <w:basedOn w:val="1"/>
    <w:qFormat/>
    <w:uiPriority w:val="0"/>
    <w:pPr>
      <w:spacing w:after="120" w:afterLines="0" w:afterAutospacing="0"/>
      <w:ind w:left="420" w:leftChars="200"/>
    </w:pPr>
  </w:style>
  <w:style w:type="paragraph" w:styleId="16">
    <w:name w:val="toc 3"/>
    <w:basedOn w:val="1"/>
    <w:next w:val="1"/>
    <w:qFormat/>
    <w:uiPriority w:val="0"/>
    <w:pPr>
      <w:ind w:left="840" w:leftChars="400"/>
    </w:pPr>
  </w:style>
  <w:style w:type="paragraph" w:styleId="17">
    <w:name w:val="Date"/>
    <w:basedOn w:val="1"/>
    <w:next w:val="1"/>
    <w:qFormat/>
    <w:uiPriority w:val="0"/>
    <w:pPr>
      <w:ind w:firstLine="0" w:firstLineChars="0"/>
      <w:jc w:val="right"/>
    </w:pPr>
    <w:rPr>
      <w:color w:val="262626" w:themeColor="text1" w:themeTint="D9"/>
      <w14:textFill>
        <w14:solidFill>
          <w14:schemeClr w14:val="tx1">
            <w14:lumMod w14:val="85000"/>
            <w14:lumOff w14:val="15000"/>
          </w14:schemeClr>
        </w14:solidFill>
      </w14:textFill>
    </w:rPr>
  </w:style>
  <w:style w:type="paragraph" w:styleId="18">
    <w:name w:val="endnote text"/>
    <w:basedOn w:val="1"/>
    <w:qFormat/>
    <w:uiPriority w:val="0"/>
    <w:pPr>
      <w:jc w:val="left"/>
    </w:pPr>
    <w:rPr>
      <w:color w:val="262626" w:themeColor="text1" w:themeTint="D9"/>
      <w14:textFill>
        <w14:solidFill>
          <w14:schemeClr w14:val="tx1">
            <w14:lumMod w14:val="85000"/>
            <w14:lumOff w14:val="15000"/>
          </w14:schemeClr>
        </w14:solidFill>
      </w14:textFill>
    </w:rPr>
  </w:style>
  <w:style w:type="paragraph" w:styleId="19">
    <w:name w:val="Balloon Text"/>
    <w:basedOn w:val="1"/>
    <w:link w:val="54"/>
    <w:qFormat/>
    <w:uiPriority w:val="0"/>
    <w:rPr>
      <w:sz w:val="18"/>
      <w:szCs w:val="18"/>
    </w:rPr>
  </w:style>
  <w:style w:type="paragraph" w:styleId="20">
    <w:name w:val="footer"/>
    <w:basedOn w:val="1"/>
    <w:link w:val="46"/>
    <w:qFormat/>
    <w:uiPriority w:val="0"/>
    <w:pPr>
      <w:tabs>
        <w:tab w:val="center" w:pos="4153"/>
        <w:tab w:val="right" w:pos="8306"/>
      </w:tabs>
      <w:ind w:firstLine="0" w:firstLineChars="0"/>
      <w:jc w:val="left"/>
    </w:pPr>
    <w:rPr>
      <w:sz w:val="18"/>
      <w:szCs w:val="18"/>
    </w:rPr>
  </w:style>
  <w:style w:type="paragraph" w:styleId="21">
    <w:name w:val="header"/>
    <w:basedOn w:val="1"/>
    <w:link w:val="44"/>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sz w:val="18"/>
      <w:szCs w:val="18"/>
    </w:rPr>
  </w:style>
  <w:style w:type="paragraph" w:styleId="22">
    <w:name w:val="Signature"/>
    <w:basedOn w:val="1"/>
    <w:qFormat/>
    <w:uiPriority w:val="0"/>
    <w:pPr>
      <w:ind w:firstLine="0" w:firstLineChars="0"/>
      <w:jc w:val="right"/>
    </w:pPr>
    <w:rPr>
      <w:color w:val="262626" w:themeColor="text1" w:themeTint="D9"/>
      <w14:textFill>
        <w14:solidFill>
          <w14:schemeClr w14:val="tx1">
            <w14:lumMod w14:val="85000"/>
            <w14:lumOff w14:val="15000"/>
          </w14:schemeClr>
        </w14:solidFill>
      </w14:textFill>
    </w:rPr>
  </w:style>
  <w:style w:type="paragraph" w:styleId="23">
    <w:name w:val="toc 1"/>
    <w:basedOn w:val="1"/>
    <w:next w:val="1"/>
    <w:qFormat/>
    <w:uiPriority w:val="0"/>
  </w:style>
  <w:style w:type="paragraph" w:styleId="24">
    <w:name w:val="Subtitle"/>
    <w:basedOn w:val="1"/>
    <w:next w:val="7"/>
    <w:qFormat/>
    <w:uiPriority w:val="0"/>
    <w:pPr>
      <w:spacing w:before="240" w:beforeLines="0" w:beforeAutospacing="0" w:after="60" w:afterLines="0" w:afterAutospacing="0" w:line="312" w:lineRule="auto"/>
      <w:jc w:val="center"/>
      <w:outlineLvl w:val="1"/>
    </w:pPr>
    <w:rPr>
      <w:rFonts w:asciiTheme="majorAscii" w:hAnsiTheme="majorAscii" w:eastAsiaTheme="majorEastAsia"/>
      <w:b/>
      <w:kern w:val="28"/>
      <w:sz w:val="32"/>
      <w:szCs w:val="32"/>
    </w:rPr>
  </w:style>
  <w:style w:type="paragraph" w:styleId="25">
    <w:name w:val="footnote text"/>
    <w:basedOn w:val="1"/>
    <w:qFormat/>
    <w:uiPriority w:val="0"/>
    <w:pPr>
      <w:jc w:val="left"/>
    </w:pPr>
    <w:rPr>
      <w:rFonts w:asciiTheme="minorAscii" w:hAnsiTheme="minorAscii" w:eastAsiaTheme="minorEastAsia"/>
      <w:sz w:val="24"/>
      <w:szCs w:val="24"/>
    </w:rPr>
  </w:style>
  <w:style w:type="paragraph" w:styleId="26">
    <w:name w:val="toc 2"/>
    <w:basedOn w:val="1"/>
    <w:next w:val="1"/>
    <w:qFormat/>
    <w:uiPriority w:val="0"/>
    <w:pPr>
      <w:ind w:left="420" w:leftChars="200"/>
    </w:pPr>
  </w:style>
  <w:style w:type="paragraph" w:styleId="27">
    <w:name w:val="HTML Preformatted"/>
    <w:basedOn w:val="1"/>
    <w:qFormat/>
    <w:uiPriority w:val="0"/>
    <w:rPr>
      <w:rFonts w:ascii="Courier New" w:hAnsi="Courier New"/>
      <w:sz w:val="20"/>
    </w:rPr>
  </w:style>
  <w:style w:type="paragraph" w:styleId="28">
    <w:name w:val="Normal (Web)"/>
    <w:basedOn w:val="1"/>
    <w:qFormat/>
    <w:uiPriority w:val="0"/>
    <w:rPr>
      <w:sz w:val="24"/>
    </w:rPr>
  </w:style>
  <w:style w:type="paragraph" w:styleId="29">
    <w:name w:val="Title"/>
    <w:basedOn w:val="1"/>
    <w:qFormat/>
    <w:uiPriority w:val="0"/>
    <w:pPr>
      <w:adjustRightInd w:val="0"/>
      <w:snapToGrid w:val="0"/>
      <w:spacing w:beforeLines="0" w:beforeAutospacing="0" w:after="100" w:afterLines="100" w:afterAutospacing="0"/>
      <w:jc w:val="center"/>
      <w:outlineLvl w:val="0"/>
    </w:pPr>
    <w:rPr>
      <w:rFonts w:asciiTheme="majorAscii" w:hAnsiTheme="majorAscii" w:eastAsiaTheme="majorEastAsia"/>
      <w:b/>
      <w:bCs/>
      <w:sz w:val="44"/>
      <w:szCs w:val="44"/>
    </w:rPr>
  </w:style>
  <w:style w:type="paragraph" w:styleId="30">
    <w:name w:val="annotation subject"/>
    <w:basedOn w:val="13"/>
    <w:next w:val="13"/>
    <w:qFormat/>
    <w:uiPriority w:val="0"/>
    <w:rPr>
      <w:b/>
      <w:color w:val="262626" w:themeColor="text1" w:themeTint="D9"/>
      <w14:textFill>
        <w14:solidFill>
          <w14:schemeClr w14:val="tx1">
            <w14:lumMod w14:val="85000"/>
            <w14:lumOff w14:val="15000"/>
          </w14:schemeClr>
        </w14:solidFill>
      </w14:textFill>
    </w:rPr>
  </w:style>
  <w:style w:type="paragraph" w:styleId="31">
    <w:name w:val="Body Text First Indent 2"/>
    <w:basedOn w:val="15"/>
    <w:qFormat/>
    <w:uiPriority w:val="0"/>
    <w:pPr>
      <w:ind w:firstLine="420" w:firstLineChars="200"/>
    </w:pPr>
  </w:style>
  <w:style w:type="character" w:styleId="34">
    <w:name w:val="Strong"/>
    <w:basedOn w:val="33"/>
    <w:qFormat/>
    <w:uiPriority w:val="0"/>
    <w:rPr>
      <w:rFonts w:asciiTheme="minorAscii" w:hAnsiTheme="minorAscii" w:eastAsiaTheme="minorEastAsia"/>
      <w:b/>
    </w:rPr>
  </w:style>
  <w:style w:type="character" w:styleId="35">
    <w:name w:val="endnote reference"/>
    <w:basedOn w:val="33"/>
    <w:qFormat/>
    <w:uiPriority w:val="0"/>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36">
    <w:name w:val="page number"/>
    <w:qFormat/>
    <w:uiPriority w:val="0"/>
    <w:rPr>
      <w:rFonts w:cs="Times New Roman" w:asciiTheme="minorAscii" w:hAnsiTheme="minorAscii" w:eastAsiaTheme="minorEastAsia"/>
      <w:color w:val="262626" w:themeColor="text1" w:themeTint="D9"/>
      <w:spacing w:val="-6"/>
      <w:kern w:val="2"/>
      <w:sz w:val="28"/>
      <w:szCs w:val="28"/>
      <w:lang w:val="en-US" w:eastAsia="zh-CN" w:bidi="ar-SA"/>
      <w14:textFill>
        <w14:solidFill>
          <w14:schemeClr w14:val="tx1">
            <w14:lumMod w14:val="85000"/>
            <w14:lumOff w14:val="15000"/>
          </w14:schemeClr>
        </w14:solidFill>
      </w14:textFill>
    </w:rPr>
  </w:style>
  <w:style w:type="character" w:styleId="37">
    <w:name w:val="FollowedHyperlink"/>
    <w:basedOn w:val="33"/>
    <w:qFormat/>
    <w:uiPriority w:val="0"/>
    <w:rPr>
      <w:rFonts w:cs="Times New Roman" w:asciiTheme="minorAscii" w:hAnsiTheme="minorAscii" w:eastAsiaTheme="minorEastAsia"/>
      <w:color w:val="800080"/>
      <w:spacing w:val="-6"/>
      <w:kern w:val="2"/>
      <w:sz w:val="24"/>
      <w:szCs w:val="24"/>
      <w:u w:val="single"/>
      <w:lang w:val="en-US" w:eastAsia="zh-CN" w:bidi="ar-SA"/>
    </w:rPr>
  </w:style>
  <w:style w:type="character" w:styleId="38">
    <w:name w:val="Emphasis"/>
    <w:basedOn w:val="33"/>
    <w:qFormat/>
    <w:uiPriority w:val="0"/>
    <w:rPr>
      <w:i/>
    </w:rPr>
  </w:style>
  <w:style w:type="character" w:styleId="39">
    <w:name w:val="Hyperlink"/>
    <w:basedOn w:val="33"/>
    <w:qFormat/>
    <w:uiPriority w:val="0"/>
    <w:rPr>
      <w:rFonts w:cs="Times New Roman" w:asciiTheme="minorAscii" w:hAnsiTheme="minorAscii" w:eastAsiaTheme="minorEastAsia"/>
      <w:caps/>
      <w:color w:val="0000FF"/>
      <w:spacing w:val="-6"/>
      <w:kern w:val="2"/>
      <w:sz w:val="24"/>
      <w:szCs w:val="24"/>
      <w:u w:val="single"/>
      <w:lang w:val="en-US" w:eastAsia="zh-CN" w:bidi="ar-SA"/>
    </w:rPr>
  </w:style>
  <w:style w:type="character" w:styleId="40">
    <w:name w:val="annotation reference"/>
    <w:basedOn w:val="33"/>
    <w:qFormat/>
    <w:uiPriority w:val="0"/>
    <w:rPr>
      <w:rFonts w:asciiTheme="minorAscii" w:hAnsiTheme="minorAscii" w:eastAsiaTheme="minorEastAsia"/>
      <w:color w:val="262626" w:themeColor="text1" w:themeTint="D9"/>
      <w:sz w:val="21"/>
      <w:szCs w:val="21"/>
      <w14:textFill>
        <w14:solidFill>
          <w14:schemeClr w14:val="tx1">
            <w14:lumMod w14:val="85000"/>
            <w14:lumOff w14:val="15000"/>
          </w14:schemeClr>
        </w14:solidFill>
      </w14:textFill>
    </w:rPr>
  </w:style>
  <w:style w:type="character" w:styleId="41">
    <w:name w:val="footnote reference"/>
    <w:basedOn w:val="33"/>
    <w:qFormat/>
    <w:uiPriority w:val="0"/>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paragraph" w:customStyle="1" w:styleId="42">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43">
    <w:name w:val="Header Char"/>
    <w:basedOn w:val="33"/>
    <w:semiHidden/>
    <w:qFormat/>
    <w:uiPriority w:val="99"/>
    <w:rPr>
      <w:rFonts w:ascii="Times New Roman" w:hAnsi="Times New Roman"/>
      <w:sz w:val="18"/>
      <w:szCs w:val="18"/>
    </w:rPr>
  </w:style>
  <w:style w:type="character" w:customStyle="1" w:styleId="44">
    <w:name w:val="页眉 Char"/>
    <w:link w:val="21"/>
    <w:semiHidden/>
    <w:qFormat/>
    <w:locked/>
    <w:uiPriority w:val="99"/>
    <w:rPr>
      <w:sz w:val="18"/>
      <w:szCs w:val="18"/>
    </w:rPr>
  </w:style>
  <w:style w:type="character" w:customStyle="1" w:styleId="45">
    <w:name w:val="Footer Char"/>
    <w:basedOn w:val="33"/>
    <w:semiHidden/>
    <w:qFormat/>
    <w:uiPriority w:val="99"/>
    <w:rPr>
      <w:rFonts w:ascii="Times New Roman" w:hAnsi="Times New Roman"/>
      <w:sz w:val="18"/>
      <w:szCs w:val="18"/>
    </w:rPr>
  </w:style>
  <w:style w:type="character" w:customStyle="1" w:styleId="46">
    <w:name w:val="页脚 Char"/>
    <w:link w:val="20"/>
    <w:qFormat/>
    <w:locked/>
    <w:uiPriority w:val="99"/>
    <w:rPr>
      <w:sz w:val="18"/>
      <w:szCs w:val="18"/>
    </w:rPr>
  </w:style>
  <w:style w:type="character" w:customStyle="1" w:styleId="47">
    <w:name w:val="Body Text Char"/>
    <w:basedOn w:val="33"/>
    <w:semiHidden/>
    <w:qFormat/>
    <w:uiPriority w:val="99"/>
    <w:rPr>
      <w:rFonts w:ascii="Times New Roman" w:hAnsi="Times New Roman"/>
      <w:szCs w:val="24"/>
    </w:rPr>
  </w:style>
  <w:style w:type="character" w:customStyle="1" w:styleId="48">
    <w:name w:val="正文文本 Char"/>
    <w:link w:val="7"/>
    <w:qFormat/>
    <w:locked/>
    <w:uiPriority w:val="99"/>
  </w:style>
  <w:style w:type="paragraph" w:customStyle="1" w:styleId="4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50">
    <w:name w:val="List Paragraph"/>
    <w:basedOn w:val="1"/>
    <w:qFormat/>
    <w:uiPriority w:val="34"/>
    <w:pPr>
      <w:ind w:firstLine="420" w:firstLineChars="200"/>
    </w:pPr>
  </w:style>
  <w:style w:type="character" w:customStyle="1" w:styleId="51">
    <w:name w:val="标题 1 Char"/>
    <w:link w:val="2"/>
    <w:qFormat/>
    <w:uiPriority w:val="9"/>
    <w:rPr>
      <w:b/>
      <w:bCs/>
      <w:kern w:val="44"/>
      <w:sz w:val="36"/>
      <w:szCs w:val="36"/>
    </w:rPr>
  </w:style>
  <w:style w:type="character" w:customStyle="1" w:styleId="52">
    <w:name w:val="标题 2 Char"/>
    <w:link w:val="3"/>
    <w:qFormat/>
    <w:uiPriority w:val="9"/>
    <w:rPr>
      <w:b/>
      <w:bCs/>
      <w:sz w:val="32"/>
      <w:szCs w:val="32"/>
    </w:rPr>
  </w:style>
  <w:style w:type="paragraph" w:customStyle="1" w:styleId="53">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4">
    <w:name w:val="批注框文本 Char"/>
    <w:link w:val="19"/>
    <w:semiHidden/>
    <w:qFormat/>
    <w:uiPriority w:val="99"/>
    <w:rPr>
      <w:sz w:val="18"/>
      <w:szCs w:val="18"/>
    </w:rPr>
  </w:style>
  <w:style w:type="character" w:customStyle="1" w:styleId="55">
    <w:name w:val="标题 3 Char"/>
    <w:link w:val="4"/>
    <w:qFormat/>
    <w:uiPriority w:val="9"/>
    <w:rPr>
      <w:b/>
      <w:bCs/>
      <w:sz w:val="30"/>
      <w:szCs w:val="30"/>
    </w:rPr>
  </w:style>
  <w:style w:type="paragraph" w:customStyle="1" w:styleId="56">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57">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24年收入</c:v>
                </c:pt>
                <c:pt idx="1">
                  <c:v>25年收入</c:v>
                </c:pt>
              </c:strCache>
            </c:strRef>
          </c:cat>
          <c:val>
            <c:numRef>
              <c:f>Sheet1!$B$2:$B$4</c:f>
              <c:numCache>
                <c:formatCode>General</c:formatCode>
                <c:ptCount val="3"/>
                <c:pt idx="0">
                  <c:v>214.78</c:v>
                </c:pt>
                <c:pt idx="1">
                  <c:v>261.55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2bd125c-c82b-4a6c-8164-6dab0501a75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财政拨款收入</c:v>
                </c:pt>
                <c:pt idx="1">
                  <c:v>事业收入</c:v>
                </c:pt>
                <c:pt idx="2">
                  <c:v>其他收入</c:v>
                </c:pt>
              </c:strCache>
            </c:strRef>
          </c:cat>
          <c:val>
            <c:numRef>
              <c:f>Sheet1!$B$2:$B$4</c:f>
              <c:numCache>
                <c:formatCode>General</c:formatCode>
                <c:ptCount val="3"/>
                <c:pt idx="0">
                  <c:v>255.56</c:v>
                </c:pt>
                <c:pt idx="1">
                  <c:v>5.55</c:v>
                </c:pt>
                <c:pt idx="2">
                  <c:v>0.45</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财政拨款收入</c:v>
                </c:pt>
                <c:pt idx="1">
                  <c:v>事业收入</c:v>
                </c:pt>
                <c:pt idx="2">
                  <c:v>其他收入</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c595f63-c2ee-48c8-862e-563b5bc43f8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248.17</c:v>
                </c:pt>
                <c:pt idx="1">
                  <c:v>13.38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1f86296-9f79-4fdc-90d3-ba8fff1b84b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59"/>
          <c:y val="0.288157061431286"/>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25年财政收入</c:v>
                </c:pt>
              </c:strCache>
            </c:strRef>
          </c:cat>
          <c:val>
            <c:numRef>
              <c:f>Sheet1!$B$2:$B$4</c:f>
              <c:numCache>
                <c:formatCode>General</c:formatCode>
                <c:ptCount val="3"/>
                <c:pt idx="0">
                  <c:v>214.78</c:v>
                </c:pt>
                <c:pt idx="1">
                  <c:v>255.56</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9e31204-87aa-4311-a65b-22b482d7b35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34452985888836"/>
          <c:y val="0.0659591762564293"/>
        </c:manualLayout>
      </c:layout>
      <c:overlay val="0"/>
      <c:spPr>
        <a:noFill/>
        <a:ln>
          <a:noFill/>
        </a:ln>
        <a:effectLst/>
      </c:spPr>
    </c:title>
    <c:autoTitleDeleted val="0"/>
    <c:plotArea>
      <c:layout>
        <c:manualLayout>
          <c:layoutTarget val="inner"/>
          <c:xMode val="edge"/>
          <c:yMode val="edge"/>
          <c:x val="0.0646466323102647"/>
          <c:y val="0.202095808383234"/>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25年财政支出</c:v>
                </c:pt>
                <c:pt idx="1">
                  <c:v>24年财政支出</c:v>
                </c:pt>
              </c:strCache>
            </c:strRef>
          </c:cat>
          <c:val>
            <c:numRef>
              <c:f>Sheet1!$B$2:$B$3</c:f>
              <c:numCache>
                <c:formatCode>General</c:formatCode>
                <c:ptCount val="2"/>
                <c:pt idx="0">
                  <c:v>255.56</c:v>
                </c:pt>
                <c:pt idx="1">
                  <c:v>214.78</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5b09966-3587-4022-8cc6-00740963b95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34.7</c:v>
                </c:pt>
                <c:pt idx="1">
                  <c:v>201.96</c:v>
                </c:pt>
                <c:pt idx="2">
                  <c:v>18.9</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8089a3b-848d-4f0d-a223-9bac1d0a65a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25</Pages>
  <Words>736</Words>
  <Characters>779</Characters>
  <Lines>61</Lines>
  <Paragraphs>17</Paragraphs>
  <TotalTime>1</TotalTime>
  <ScaleCrop>false</ScaleCrop>
  <LinksUpToDate>false</LinksUpToDate>
  <CharactersWithSpaces>950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WPS_1606891043</cp:lastModifiedBy>
  <cp:lastPrinted>2026-08-03T09:27:00Z</cp:lastPrinted>
  <dcterms:modified xsi:type="dcterms:W3CDTF">2026-10-20T07:58:54Z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400D301575C74348A5277D00A7902E06</vt:lpwstr>
  </property>
  <property fmtid="{D5CDD505-2E9C-101B-9397-08002B2CF9AE}" pid="4" name="KSOTemplateDocerSaveRecord">
    <vt:lpwstr>eyJoZGlkIjoiMjg5OWZiMjc2MDJiNDc4NzFjMWM1OGEwN2FmZjdiN2QiLCJ1c2VySWQiOiIxMTQ4NzIyNDAwIn0=</vt:lpwstr>
  </property>
</Properties>
</file>