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0C58D7">
      <w:pPr>
        <w:pStyle w:val="5"/>
        <w:rPr>
          <w:rFonts w:hint="eastAsia" w:ascii="黑体" w:hAnsi="黑体" w:eastAsia="黑体" w:cs="黑体"/>
          <w:color w:val="auto"/>
          <w:kern w:val="2"/>
          <w:sz w:val="32"/>
          <w:szCs w:val="32"/>
          <w:highlight w:val="none"/>
          <w:lang w:val="en-US" w:eastAsia="zh-CN" w:bidi="ar-SA"/>
        </w:rPr>
      </w:pPr>
      <w:bookmarkStart w:id="0" w:name="_Toc15306267"/>
      <w:bookmarkStart w:id="1" w:name="_Toc15377193"/>
      <w:bookmarkStart w:id="2" w:name="_Toc15396597"/>
      <w:bookmarkStart w:id="3" w:name="_Toc15396475"/>
      <w:bookmarkStart w:id="4" w:name="_Toc15377425"/>
      <w:bookmarkStart w:id="5" w:name="_Toc15378441"/>
      <w:r>
        <w:rPr>
          <w:rFonts w:hint="eastAsia" w:ascii="黑体" w:hAnsi="黑体" w:eastAsia="黑体" w:cs="黑体"/>
          <w:color w:val="auto"/>
          <w:kern w:val="2"/>
          <w:sz w:val="32"/>
          <w:szCs w:val="32"/>
          <w:highlight w:val="none"/>
          <w:lang w:val="en-US" w:eastAsia="zh-CN" w:bidi="ar-SA"/>
        </w:rPr>
        <w:t>附件4</w:t>
      </w:r>
    </w:p>
    <w:p w14:paraId="4A322809">
      <w:pPr>
        <w:pStyle w:val="5"/>
        <w:rPr>
          <w:rFonts w:hint="eastAsia" w:ascii="Times New Roman" w:hAnsi="Times New Roman" w:eastAsia="方正小标宋简体" w:cs="Times New Roman"/>
          <w:color w:val="auto"/>
          <w:kern w:val="2"/>
          <w:sz w:val="72"/>
          <w:szCs w:val="72"/>
          <w:highlight w:val="none"/>
          <w:lang w:val="en-US" w:eastAsia="zh-CN" w:bidi="ar-SA"/>
        </w:rPr>
      </w:pPr>
    </w:p>
    <w:p w14:paraId="51309FCF">
      <w:pPr>
        <w:pStyle w:val="5"/>
        <w:rPr>
          <w:rFonts w:hint="eastAsia" w:ascii="Times New Roman" w:hAnsi="Times New Roman" w:eastAsia="方正小标宋简体" w:cs="Times New Roman"/>
          <w:color w:val="auto"/>
          <w:kern w:val="2"/>
          <w:sz w:val="72"/>
          <w:szCs w:val="72"/>
          <w:highlight w:val="none"/>
          <w:lang w:val="en-US" w:eastAsia="zh-CN" w:bidi="ar-SA"/>
        </w:rPr>
      </w:pPr>
    </w:p>
    <w:p w14:paraId="2DA4733E">
      <w:pPr>
        <w:pStyle w:val="5"/>
        <w:rPr>
          <w:rFonts w:hint="eastAsia" w:ascii="Times New Roman" w:hAnsi="Times New Roman" w:eastAsia="方正小标宋简体" w:cs="Times New Roman"/>
          <w:color w:val="auto"/>
          <w:kern w:val="2"/>
          <w:sz w:val="72"/>
          <w:szCs w:val="72"/>
          <w:highlight w:val="none"/>
          <w:lang w:val="en-US" w:eastAsia="zh-CN" w:bidi="ar-SA"/>
        </w:rPr>
      </w:pPr>
    </w:p>
    <w:p w14:paraId="10E7E236">
      <w:pPr>
        <w:pStyle w:val="5"/>
        <w:rPr>
          <w:rFonts w:hint="eastAsia" w:ascii="Times New Roman" w:hAnsi="Times New Roman" w:eastAsia="方正小标宋简体" w:cs="Times New Roman"/>
          <w:color w:val="auto"/>
          <w:kern w:val="2"/>
          <w:sz w:val="72"/>
          <w:szCs w:val="72"/>
          <w:highlight w:val="none"/>
          <w:lang w:val="en-US" w:eastAsia="zh-CN" w:bidi="ar-SA"/>
        </w:rPr>
      </w:pPr>
    </w:p>
    <w:p w14:paraId="55DFD62A">
      <w:pPr>
        <w:pStyle w:val="15"/>
        <w:keepNext w:val="0"/>
        <w:keepLines w:val="0"/>
        <w:widowControl/>
        <w:suppressLineNumbers w:val="0"/>
        <w:spacing w:before="0" w:beforeAutospacing="0"/>
        <w:ind w:left="0"/>
        <w:jc w:val="center"/>
        <w:rPr>
          <w:sz w:val="30"/>
          <w:szCs w:val="30"/>
        </w:rPr>
      </w:pPr>
      <w:r>
        <w:rPr>
          <w:rStyle w:val="18"/>
          <w:sz w:val="30"/>
          <w:szCs w:val="30"/>
          <w:shd w:val="clear" w:color="auto" w:fill="FFFFFF"/>
        </w:rPr>
        <w:t>202</w:t>
      </w:r>
      <w:r>
        <w:rPr>
          <w:rStyle w:val="18"/>
          <w:rFonts w:hint="eastAsia"/>
          <w:sz w:val="30"/>
          <w:szCs w:val="30"/>
          <w:shd w:val="clear" w:color="auto" w:fill="FFFFFF"/>
          <w:lang w:val="en-US" w:eastAsia="zh-CN"/>
        </w:rPr>
        <w:t>5</w:t>
      </w:r>
      <w:r>
        <w:rPr>
          <w:rStyle w:val="18"/>
          <w:sz w:val="30"/>
          <w:szCs w:val="30"/>
          <w:shd w:val="clear" w:color="auto" w:fill="FFFFFF"/>
        </w:rPr>
        <w:t>年度</w:t>
      </w:r>
    </w:p>
    <w:p w14:paraId="1BAF6BA4">
      <w:pPr>
        <w:pStyle w:val="15"/>
        <w:keepNext w:val="0"/>
        <w:keepLines w:val="0"/>
        <w:widowControl/>
        <w:suppressLineNumbers w:val="0"/>
        <w:spacing w:before="0" w:beforeAutospacing="0"/>
        <w:ind w:left="0"/>
        <w:jc w:val="center"/>
      </w:pPr>
      <w:r>
        <w:rPr>
          <w:rStyle w:val="18"/>
          <w:sz w:val="30"/>
          <w:szCs w:val="30"/>
          <w:shd w:val="clear" w:color="auto" w:fill="FFFFFF"/>
        </w:rPr>
        <w:t>阿坝州红原县</w:t>
      </w:r>
      <w:r>
        <w:rPr>
          <w:rStyle w:val="18"/>
          <w:rFonts w:hint="eastAsia"/>
          <w:sz w:val="30"/>
          <w:szCs w:val="30"/>
          <w:shd w:val="clear" w:color="auto" w:fill="FFFFFF"/>
          <w:lang w:eastAsia="zh-CN"/>
        </w:rPr>
        <w:t>安曲</w:t>
      </w:r>
      <w:r>
        <w:rPr>
          <w:rStyle w:val="18"/>
          <w:sz w:val="30"/>
          <w:szCs w:val="30"/>
          <w:shd w:val="clear" w:color="auto" w:fill="FFFFFF"/>
        </w:rPr>
        <w:t>镇卫生院</w:t>
      </w:r>
      <w:r>
        <w:rPr>
          <w:rStyle w:val="18"/>
          <w:rFonts w:hint="eastAsia"/>
          <w:sz w:val="30"/>
          <w:szCs w:val="30"/>
          <w:shd w:val="clear" w:color="auto" w:fill="FFFFFF"/>
          <w:lang w:eastAsia="zh-CN"/>
        </w:rPr>
        <w:t>单位</w:t>
      </w:r>
      <w:r>
        <w:rPr>
          <w:rStyle w:val="18"/>
          <w:sz w:val="30"/>
          <w:szCs w:val="30"/>
          <w:shd w:val="clear" w:color="auto" w:fill="FFFFFF"/>
        </w:rPr>
        <w:t>决算</w:t>
      </w:r>
      <w:r>
        <w:rPr>
          <w:rStyle w:val="18"/>
          <w:rFonts w:hint="eastAsia"/>
          <w:sz w:val="30"/>
          <w:szCs w:val="30"/>
          <w:shd w:val="clear" w:color="auto" w:fill="FFFFFF"/>
          <w:lang w:eastAsia="zh-CN"/>
        </w:rPr>
        <w:t>公开</w:t>
      </w:r>
    </w:p>
    <w:p w14:paraId="786EB513">
      <w:pPr>
        <w:rPr>
          <w:rFonts w:ascii="Times New Roman" w:hAnsi="Times New Roman"/>
        </w:rPr>
      </w:pPr>
    </w:p>
    <w:p w14:paraId="5AEE5D97">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54B9CB7E">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29EA6EEC">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46F3092E">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5B46C251">
      <w:pPr>
        <w:widowControl/>
        <w:jc w:val="center"/>
        <w:rPr>
          <w:rFonts w:hint="eastAsia" w:ascii="Times New Roman" w:hAnsi="Times New Roman" w:eastAsia="黑体"/>
          <w:color w:val="auto"/>
          <w:sz w:val="48"/>
          <w:szCs w:val="48"/>
          <w:highlight w:val="none"/>
        </w:rPr>
      </w:pPr>
    </w:p>
    <w:p w14:paraId="05BD8F0C">
      <w:pPr>
        <w:widowControl/>
        <w:jc w:val="center"/>
        <w:rPr>
          <w:rFonts w:hint="eastAsia" w:ascii="Times New Roman" w:hAnsi="Times New Roman" w:eastAsia="黑体"/>
          <w:color w:val="auto"/>
          <w:sz w:val="48"/>
          <w:szCs w:val="48"/>
          <w:highlight w:val="none"/>
        </w:rPr>
      </w:pPr>
    </w:p>
    <w:p w14:paraId="7996E0BB">
      <w:pPr>
        <w:widowControl/>
        <w:jc w:val="center"/>
        <w:rPr>
          <w:rFonts w:hint="eastAsia" w:ascii="Times New Roman" w:hAnsi="Times New Roman" w:eastAsia="黑体"/>
          <w:color w:val="auto"/>
          <w:sz w:val="48"/>
          <w:szCs w:val="48"/>
          <w:highlight w:val="none"/>
        </w:rPr>
      </w:pPr>
    </w:p>
    <w:p w14:paraId="5781E73A">
      <w:pPr>
        <w:widowControl/>
        <w:jc w:val="center"/>
        <w:rPr>
          <w:rFonts w:hint="eastAsia" w:ascii="Times New Roman" w:hAnsi="Times New Roman" w:eastAsia="黑体"/>
          <w:color w:val="auto"/>
          <w:sz w:val="48"/>
          <w:szCs w:val="48"/>
          <w:highlight w:val="none"/>
        </w:rPr>
      </w:pPr>
    </w:p>
    <w:p w14:paraId="714EA627">
      <w:pPr>
        <w:widowControl/>
        <w:jc w:val="center"/>
        <w:rPr>
          <w:rFonts w:hint="eastAsia" w:ascii="Times New Roman" w:hAnsi="Times New Roman" w:eastAsia="黑体"/>
          <w:color w:val="auto"/>
          <w:sz w:val="48"/>
          <w:szCs w:val="48"/>
          <w:highlight w:val="none"/>
        </w:rPr>
      </w:pPr>
    </w:p>
    <w:p w14:paraId="05159172">
      <w:pPr>
        <w:widowControl/>
        <w:jc w:val="center"/>
        <w:rPr>
          <w:rFonts w:hint="eastAsia" w:ascii="Times New Roman" w:hAnsi="Times New Roman" w:eastAsia="黑体"/>
          <w:color w:val="auto"/>
          <w:sz w:val="48"/>
          <w:szCs w:val="48"/>
          <w:highlight w:val="none"/>
        </w:rPr>
      </w:pPr>
    </w:p>
    <w:p w14:paraId="58343F9E">
      <w:pPr>
        <w:pStyle w:val="12"/>
        <w:pageBreakBefore w:val="0"/>
        <w:tabs>
          <w:tab w:val="right" w:leader="dot" w:pos="8306"/>
          <w:tab w:val="clear" w:pos="8296"/>
        </w:tabs>
        <w:kinsoku/>
        <w:wordWrap/>
        <w:overflowPunct/>
        <w:topLinePunct w:val="0"/>
        <w:autoSpaceDE/>
        <w:autoSpaceDN/>
        <w:bidi w:val="0"/>
        <w:adjustRightInd w:val="0"/>
        <w:snapToGrid w:val="0"/>
        <w:spacing w:before="0" w:after="20" w:afterLines="20" w:line="560" w:lineRule="exact"/>
        <w:jc w:val="both"/>
        <w:textAlignment w:val="auto"/>
        <w:rPr>
          <w:rFonts w:hint="eastAsia" w:ascii="Times New Roman" w:hAnsi="Times New Roman" w:eastAsia="黑体"/>
          <w:color w:val="auto"/>
          <w:sz w:val="48"/>
          <w:szCs w:val="48"/>
          <w:highlight w:val="none"/>
        </w:rPr>
      </w:pPr>
    </w:p>
    <w:p w14:paraId="59CFC7AF">
      <w:pPr>
        <w:pStyle w:val="15"/>
        <w:keepNext w:val="0"/>
        <w:keepLines w:val="0"/>
        <w:widowControl/>
        <w:suppressLineNumbers w:val="0"/>
        <w:spacing w:before="0" w:beforeAutospacing="0"/>
        <w:ind w:left="0"/>
        <w:jc w:val="left"/>
        <w:rPr>
          <w:rFonts w:hint="eastAsia" w:ascii="方正公文小标宋" w:hAnsi="方正公文小标宋" w:eastAsia="方正公文小标宋" w:cs="方正公文小标宋"/>
          <w:kern w:val="2"/>
          <w:sz w:val="44"/>
          <w:szCs w:val="44"/>
          <w:lang w:val="en-US" w:eastAsia="zh-CN" w:bidi="ar-SA"/>
        </w:rPr>
      </w:pPr>
      <w:bookmarkStart w:id="6" w:name="_Toc15396599"/>
      <w:bookmarkStart w:id="7" w:name="_Toc15377196"/>
      <w:r>
        <w:rPr>
          <w:rFonts w:hint="eastAsia"/>
          <w:sz w:val="24"/>
          <w:szCs w:val="24"/>
          <w:shd w:val="clear" w:color="auto" w:fill="FFFFFF"/>
          <w:lang w:val="en-US" w:eastAsia="zh-CN"/>
        </w:rPr>
        <w:t xml:space="preserve">                     </w:t>
      </w:r>
      <w:r>
        <w:rPr>
          <w:rFonts w:hint="eastAsia" w:ascii="方正公文小标宋" w:hAnsi="方正公文小标宋" w:eastAsia="方正公文小标宋" w:cs="方正公文小标宋"/>
          <w:kern w:val="2"/>
          <w:sz w:val="44"/>
          <w:szCs w:val="44"/>
          <w:lang w:val="en-US" w:eastAsia="zh-CN" w:bidi="ar-SA"/>
        </w:rPr>
        <w:t xml:space="preserve">      目录</w:t>
      </w:r>
    </w:p>
    <w:p w14:paraId="077EEC2F">
      <w:pPr>
        <w:pStyle w:val="15"/>
        <w:keepNext w:val="0"/>
        <w:keepLines w:val="0"/>
        <w:widowControl/>
        <w:suppressLineNumbers w:val="0"/>
        <w:spacing w:before="0" w:beforeAutospacing="0"/>
        <w:ind w:left="0"/>
        <w:jc w:val="center"/>
      </w:pPr>
      <w:r>
        <w:rPr>
          <w:sz w:val="24"/>
          <w:szCs w:val="24"/>
          <w:shd w:val="clear" w:color="auto" w:fill="FFFFFF"/>
        </w:rPr>
        <w:t>公开时间：202</w:t>
      </w:r>
      <w:r>
        <w:rPr>
          <w:rFonts w:hint="eastAsia"/>
          <w:sz w:val="24"/>
          <w:szCs w:val="24"/>
          <w:shd w:val="clear" w:color="auto" w:fill="FFFFFF"/>
          <w:lang w:val="en-US" w:eastAsia="zh-CN"/>
        </w:rPr>
        <w:t>6</w:t>
      </w:r>
      <w:r>
        <w:rPr>
          <w:sz w:val="24"/>
          <w:szCs w:val="24"/>
          <w:shd w:val="clear" w:color="auto" w:fill="FFFFFF"/>
        </w:rPr>
        <w:t xml:space="preserve">年 </w:t>
      </w:r>
      <w:r>
        <w:rPr>
          <w:rFonts w:hint="eastAsia"/>
          <w:sz w:val="24"/>
          <w:szCs w:val="24"/>
          <w:shd w:val="clear" w:color="auto" w:fill="FFFFFF"/>
          <w:lang w:val="en-US" w:eastAsia="zh-CN"/>
        </w:rPr>
        <w:t>10</w:t>
      </w:r>
      <w:r>
        <w:rPr>
          <w:sz w:val="24"/>
          <w:szCs w:val="24"/>
          <w:shd w:val="clear" w:color="auto" w:fill="FFFFFF"/>
        </w:rPr>
        <w:t>月</w:t>
      </w:r>
      <w:r>
        <w:rPr>
          <w:rFonts w:hint="eastAsia"/>
          <w:sz w:val="24"/>
          <w:szCs w:val="24"/>
          <w:shd w:val="clear" w:color="auto" w:fill="FFFFFF"/>
          <w:lang w:val="en-US" w:eastAsia="zh-CN"/>
        </w:rPr>
        <w:t>13</w:t>
      </w:r>
      <w:r>
        <w:rPr>
          <w:sz w:val="24"/>
          <w:szCs w:val="24"/>
          <w:shd w:val="clear" w:color="auto" w:fill="FFFFFF"/>
        </w:rPr>
        <w:t>日</w:t>
      </w:r>
    </w:p>
    <w:p w14:paraId="61C6EBA6">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第一部分 部门概况</w:t>
      </w:r>
    </w:p>
    <w:p w14:paraId="5AF25AD6">
      <w:pPr>
        <w:pStyle w:val="8"/>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14:paraId="13CC8C3E">
      <w:pPr>
        <w:pStyle w:val="8"/>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14:paraId="1C0C3797">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14:paraId="33CE35DA">
      <w:pPr>
        <w:pStyle w:val="8"/>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14:paraId="23666B64">
      <w:pPr>
        <w:pStyle w:val="8"/>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14:paraId="7864B42C">
      <w:pPr>
        <w:pStyle w:val="8"/>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14:paraId="6D37D3AA">
      <w:pPr>
        <w:pStyle w:val="8"/>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14:paraId="17E13CCE">
      <w:pPr>
        <w:pStyle w:val="8"/>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14:paraId="2FE04D5B">
      <w:pPr>
        <w:pStyle w:val="8"/>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14:paraId="47024AD1">
      <w:pPr>
        <w:pStyle w:val="8"/>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14:paraId="582A78B8">
      <w:pPr>
        <w:pStyle w:val="8"/>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14:paraId="5DC7C458">
      <w:pPr>
        <w:pStyle w:val="8"/>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14:paraId="2EB863C8">
      <w:pPr>
        <w:pStyle w:val="8"/>
        <w:bidi w:val="0"/>
        <w:ind w:left="0" w:leftChars="0" w:firstLine="480" w:firstLineChars="200"/>
        <w:rPr>
          <w:rFonts w:hint="default" w:eastAsia="宋体"/>
          <w:lang w:val="en-US" w:eastAsia="zh-CN"/>
        </w:rPr>
      </w:pPr>
      <w:r>
        <w:rPr>
          <w:rStyle w:val="19"/>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rPr>
          <w:rFonts w:hint="eastAsia"/>
          <w:sz w:val="24"/>
          <w:lang w:eastAsia="zh-CN"/>
        </w:rPr>
        <w:t>明</w:t>
      </w:r>
      <w:bookmarkStart w:id="61" w:name="_GoBack"/>
      <w:bookmarkEnd w:id="61"/>
      <w:r>
        <w:tab/>
      </w:r>
      <w:r>
        <w:rPr>
          <w:rFonts w:hint="eastAsia"/>
          <w:lang w:val="en-US" w:eastAsia="zh-CN"/>
        </w:rPr>
        <w:t>10</w:t>
      </w:r>
    </w:p>
    <w:p w14:paraId="5732CE65">
      <w:pPr>
        <w:pStyle w:val="8"/>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14:paraId="4AF9F0E1">
      <w:pPr>
        <w:pStyle w:val="12"/>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14:paraId="59A4A8D9">
      <w:pPr>
        <w:pStyle w:val="8"/>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14:paraId="0D847900">
      <w:pPr>
        <w:pStyle w:val="8"/>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14:paraId="319E346E">
      <w:pPr>
        <w:pStyle w:val="8"/>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14:paraId="4564636A">
      <w:pPr>
        <w:pStyle w:val="8"/>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14:paraId="77B6B35F">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14:paraId="69DBCF71">
      <w:pPr>
        <w:pStyle w:val="8"/>
        <w:bidi w:val="0"/>
        <w:ind w:left="0" w:leftChars="0" w:firstLine="480" w:firstLineChars="200"/>
        <w:rPr>
          <w:rFonts w:hint="eastAsia"/>
          <w:sz w:val="24"/>
        </w:rPr>
      </w:pPr>
      <w:r>
        <w:rPr>
          <w:rFonts w:hint="eastAsia" w:ascii="宋体" w:hAnsi="宋体" w:eastAsia="宋体" w:cs="宋体"/>
          <w:sz w:val="24"/>
        </w:rPr>
        <w:t>三、支出决算表</w:t>
      </w:r>
    </w:p>
    <w:p w14:paraId="1532648D">
      <w:pPr>
        <w:pStyle w:val="8"/>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14:paraId="14DC1876">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14:paraId="25374447">
      <w:pPr>
        <w:pStyle w:val="8"/>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14:paraId="165FC775">
      <w:pPr>
        <w:pStyle w:val="8"/>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14:paraId="66CFEBAE">
      <w:pPr>
        <w:pStyle w:val="8"/>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14:paraId="22666A29">
      <w:pPr>
        <w:pStyle w:val="8"/>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14:paraId="1E3A5228">
      <w:pPr>
        <w:pStyle w:val="8"/>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14:paraId="68BD44D5">
      <w:pPr>
        <w:pStyle w:val="8"/>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14:paraId="6EB31945">
      <w:pPr>
        <w:pStyle w:val="8"/>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14:paraId="51819CDB">
      <w:pPr>
        <w:widowControl/>
        <w:adjustRightInd w:val="0"/>
        <w:snapToGrid w:val="0"/>
        <w:spacing w:line="440" w:lineRule="exact"/>
        <w:ind w:firstLine="480" w:firstLineChars="200"/>
        <w:jc w:val="left"/>
        <w:rPr>
          <w:rFonts w:hint="eastAsia" w:ascii="黑体" w:hAnsi="黑体" w:eastAsia="黑体"/>
          <w:b w:val="0"/>
        </w:rPr>
        <w:sectPr>
          <w:footerReference r:id="rId5" w:type="first"/>
          <w:headerReference r:id="rId3" w:type="default"/>
          <w:footerReference r:id="rId4" w:type="default"/>
          <w:pgSz w:w="11906" w:h="16838"/>
          <w:pgMar w:top="1440" w:right="1800" w:bottom="1440" w:left="1800" w:header="851" w:footer="992" w:gutter="0"/>
          <w:pgNumType w:start="1"/>
          <w:cols w:space="425" w:num="1"/>
          <w:docGrid w:type="lines" w:linePitch="312" w:charSpace="0"/>
        </w:sectPr>
      </w:pPr>
      <w:r>
        <w:rPr>
          <w:rFonts w:hint="eastAsia" w:ascii="仿宋" w:hAnsi="仿宋" w:eastAsia="仿宋"/>
          <w:sz w:val="24"/>
        </w:rPr>
        <w:t>十三、</w:t>
      </w:r>
      <w:r>
        <w:rPr>
          <w:rFonts w:hint="eastAsia"/>
          <w:sz w:val="24"/>
        </w:rPr>
        <w:t>国有资本经营预算支出决算表</w:t>
      </w:r>
    </w:p>
    <w:p w14:paraId="25E136AC">
      <w:pPr>
        <w:pStyle w:val="2"/>
        <w:jc w:val="center"/>
        <w:rPr>
          <w:rStyle w:val="29"/>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9"/>
          <w:rFonts w:hint="eastAsia" w:ascii="Times New Roman" w:hAnsi="Times New Roman" w:eastAsia="方正小标宋简体" w:cs="方正小标宋简体"/>
          <w:b w:val="0"/>
          <w:bCs w:val="0"/>
          <w:color w:val="auto"/>
          <w:highlight w:val="none"/>
        </w:rPr>
        <w:t>部门概况</w:t>
      </w:r>
      <w:bookmarkEnd w:id="6"/>
      <w:bookmarkEnd w:id="7"/>
    </w:p>
    <w:p w14:paraId="309DDAB6">
      <w:pPr>
        <w:widowControl/>
        <w:jc w:val="left"/>
        <w:rPr>
          <w:rFonts w:ascii="Times New Roman" w:hAnsi="Times New Roman" w:eastAsia="黑体"/>
          <w:color w:val="auto"/>
          <w:sz w:val="32"/>
          <w:szCs w:val="32"/>
          <w:highlight w:val="none"/>
        </w:rPr>
      </w:pPr>
    </w:p>
    <w:p w14:paraId="35A946DB">
      <w:pPr>
        <w:pStyle w:val="3"/>
        <w:numPr>
          <w:ilvl w:val="0"/>
          <w:numId w:val="1"/>
        </w:numPr>
        <w:rPr>
          <w:rFonts w:hint="eastAsia" w:ascii="Times New Roman" w:hAnsi="Times New Roman" w:eastAsia="黑体"/>
          <w:b w:val="0"/>
          <w:color w:val="auto"/>
          <w:highlight w:val="none"/>
          <w:lang w:eastAsia="zh-CN"/>
        </w:rPr>
      </w:pPr>
      <w:bookmarkStart w:id="8" w:name="_Toc15377204"/>
      <w:bookmarkStart w:id="9" w:name="_Toc15396602"/>
      <w:r>
        <w:rPr>
          <w:rFonts w:hint="eastAsia" w:ascii="Times New Roman" w:hAnsi="Times New Roman" w:eastAsia="黑体"/>
          <w:b w:val="0"/>
          <w:color w:val="auto"/>
          <w:highlight w:val="none"/>
          <w:lang w:eastAsia="zh-CN"/>
        </w:rPr>
        <w:t>部门职责</w:t>
      </w:r>
    </w:p>
    <w:p w14:paraId="03450E33">
      <w:pPr>
        <w:keepNext w:val="0"/>
        <w:keepLines w:val="0"/>
        <w:pageBreakBefore w:val="0"/>
        <w:numPr>
          <w:ilvl w:val="0"/>
          <w:numId w:val="0"/>
        </w:numPr>
        <w:kinsoku/>
        <w:wordWrap/>
        <w:overflowPunct/>
        <w:topLinePunct w:val="0"/>
        <w:bidi w:val="0"/>
        <w:spacing w:line="580" w:lineRule="exact"/>
        <w:ind w:firstLine="420" w:firstLineChars="200"/>
        <w:textAlignment w:val="auto"/>
        <w:outlineLvl w:val="9"/>
        <w:rPr>
          <w:rFonts w:hint="eastAsia" w:ascii="仿宋" w:hAnsi="仿宋" w:eastAsia="仿宋" w:cs="仿宋"/>
          <w:sz w:val="32"/>
          <w:szCs w:val="32"/>
          <w:lang w:eastAsia="zh-CN"/>
        </w:rPr>
      </w:pPr>
      <w:r>
        <w:rPr>
          <w:rFonts w:hint="eastAsia"/>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42AFF717">
      <w:pPr>
        <w:pStyle w:val="3"/>
        <w:numPr>
          <w:ilvl w:val="0"/>
          <w:numId w:val="1"/>
        </w:numPr>
        <w:rPr>
          <w:rStyle w:val="30"/>
          <w:rFonts w:hint="eastAsia" w:ascii="Times New Roman" w:hAnsi="Times New Roman" w:eastAsia="黑体"/>
          <w:b w:val="0"/>
          <w:bCs w:val="0"/>
          <w:color w:val="auto"/>
          <w:highlight w:val="none"/>
        </w:rPr>
      </w:pPr>
      <w:bookmarkStart w:id="10" w:name="_Toc15377200"/>
      <w:bookmarkStart w:id="11" w:name="_Toc15396601"/>
      <w:r>
        <w:rPr>
          <w:rFonts w:hint="eastAsia" w:ascii="Times New Roman" w:hAnsi="Times New Roman" w:eastAsia="黑体"/>
          <w:b w:val="0"/>
          <w:color w:val="auto"/>
          <w:highlight w:val="none"/>
        </w:rPr>
        <w:t>机</w:t>
      </w:r>
      <w:r>
        <w:rPr>
          <w:rStyle w:val="30"/>
          <w:rFonts w:hint="eastAsia" w:ascii="Times New Roman" w:hAnsi="Times New Roman" w:eastAsia="黑体"/>
          <w:b w:val="0"/>
          <w:bCs w:val="0"/>
          <w:color w:val="auto"/>
          <w:highlight w:val="none"/>
        </w:rPr>
        <w:t>构设置</w:t>
      </w:r>
      <w:bookmarkEnd w:id="10"/>
      <w:bookmarkEnd w:id="11"/>
    </w:p>
    <w:p w14:paraId="1A4CD72F">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sz w:val="32"/>
          <w:szCs w:val="32"/>
          <w:lang w:val="en-US" w:eastAsia="zh-CN"/>
        </w:rPr>
        <w:t xml:space="preserve">    </w:t>
      </w:r>
      <w:r>
        <w:rPr>
          <w:rFonts w:hint="eastAsia" w:ascii="仿宋" w:hAnsi="仿宋" w:eastAsia="仿宋" w:cs="仿宋"/>
          <w:color w:val="auto"/>
          <w:sz w:val="32"/>
          <w:szCs w:val="32"/>
          <w:highlight w:val="none"/>
        </w:rPr>
        <w:t>红原县</w:t>
      </w:r>
      <w:r>
        <w:rPr>
          <w:rFonts w:hint="eastAsia" w:ascii="仿宋" w:hAnsi="仿宋" w:eastAsia="仿宋" w:cs="仿宋"/>
          <w:color w:val="auto"/>
          <w:sz w:val="32"/>
          <w:szCs w:val="32"/>
          <w:highlight w:val="none"/>
          <w:lang w:eastAsia="zh-CN"/>
        </w:rPr>
        <w:t>安曲镇</w:t>
      </w:r>
      <w:r>
        <w:rPr>
          <w:rFonts w:hint="eastAsia" w:ascii="仿宋" w:hAnsi="仿宋" w:eastAsia="仿宋" w:cs="仿宋"/>
          <w:color w:val="auto"/>
          <w:sz w:val="32"/>
          <w:szCs w:val="32"/>
          <w:highlight w:val="none"/>
        </w:rPr>
        <w:t>卫生院下属二级</w:t>
      </w:r>
      <w:r>
        <w:rPr>
          <w:rFonts w:hint="eastAsia" w:ascii="仿宋" w:hAnsi="仿宋" w:eastAsia="仿宋" w:cs="仿宋"/>
          <w:color w:val="auto"/>
          <w:sz w:val="32"/>
          <w:szCs w:val="32"/>
          <w:highlight w:val="none"/>
          <w:lang w:eastAsia="zh-CN"/>
        </w:rPr>
        <w:t>预算</w:t>
      </w:r>
      <w:r>
        <w:rPr>
          <w:rFonts w:hint="eastAsia" w:ascii="仿宋" w:hAnsi="仿宋" w:eastAsia="仿宋" w:cs="仿宋"/>
          <w:color w:val="auto"/>
          <w:sz w:val="32"/>
          <w:szCs w:val="32"/>
          <w:highlight w:val="none"/>
        </w:rPr>
        <w:t>单位</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eastAsia="zh-CN"/>
        </w:rPr>
        <w:t>，</w:t>
      </w:r>
      <w:r>
        <w:rPr>
          <w:rFonts w:hint="eastAsia" w:ascii="仿宋" w:hAnsi="仿宋" w:eastAsia="仿宋" w:cs="仿宋"/>
          <w:bCs/>
          <w:sz w:val="32"/>
          <w:szCs w:val="32"/>
        </w:rPr>
        <w:t>我单位为独立核算全额拨款事业单位，</w:t>
      </w:r>
      <w:r>
        <w:rPr>
          <w:rFonts w:hint="eastAsia" w:ascii="仿宋" w:hAnsi="仿宋" w:eastAsia="仿宋" w:cs="仿宋"/>
          <w:bCs/>
          <w:sz w:val="32"/>
          <w:szCs w:val="32"/>
          <w:lang w:eastAsia="zh-CN"/>
        </w:rPr>
        <w:t>下设</w:t>
      </w:r>
      <w:r>
        <w:rPr>
          <w:rFonts w:hint="eastAsia" w:ascii="仿宋" w:hAnsi="仿宋" w:eastAsia="仿宋" w:cs="仿宋"/>
          <w:bCs/>
          <w:sz w:val="32"/>
          <w:szCs w:val="32"/>
          <w:lang w:val="en-US" w:eastAsia="zh-CN"/>
        </w:rPr>
        <w:t>1机构。</w:t>
      </w: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共有编制9个，其中事业编9个，在职9人,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9</w:t>
      </w:r>
      <w:r>
        <w:rPr>
          <w:rFonts w:hint="eastAsia" w:ascii="仿宋" w:hAnsi="仿宋" w:eastAsia="仿宋" w:cs="仿宋"/>
          <w:bCs/>
          <w:sz w:val="32"/>
          <w:szCs w:val="32"/>
        </w:rPr>
        <w:t>人。</w:t>
      </w:r>
    </w:p>
    <w:p w14:paraId="21C20114">
      <w:pPr>
        <w:pStyle w:val="2"/>
        <w:jc w:val="center"/>
        <w:rPr>
          <w:rFonts w:hint="eastAsia" w:ascii="Times New Roman" w:hAnsi="Times New Roman" w:eastAsia="方正小标宋简体" w:cs="方正小标宋简体"/>
          <w:b w:val="0"/>
          <w:color w:val="auto"/>
          <w:highlight w:val="none"/>
        </w:rPr>
      </w:pPr>
    </w:p>
    <w:p w14:paraId="017D780E">
      <w:pPr>
        <w:pStyle w:val="2"/>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8"/>
      <w:bookmarkEnd w:id="9"/>
    </w:p>
    <w:p w14:paraId="4E69FB70">
      <w:pPr>
        <w:rPr>
          <w:rFonts w:ascii="Times New Roman" w:hAnsi="Times New Roman"/>
          <w:color w:val="auto"/>
          <w:highlight w:val="none"/>
        </w:rPr>
      </w:pPr>
    </w:p>
    <w:p w14:paraId="5DD8C3FE">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2" w:name="_Toc15396603"/>
      <w:bookmarkStart w:id="1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12"/>
      <w:bookmarkEnd w:id="13"/>
    </w:p>
    <w:p w14:paraId="23875E9E">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val="en-US"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-626745</wp:posOffset>
            </wp:positionH>
            <wp:positionV relativeFrom="paragraph">
              <wp:posOffset>2192655</wp:posOffset>
            </wp:positionV>
            <wp:extent cx="6482080" cy="2067560"/>
            <wp:effectExtent l="4445" t="4445" r="952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263.41</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30.32</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11.51</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事业</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lang w:val="en-US" w:eastAsia="zh-CN"/>
        </w:rPr>
        <w:t>纳入决算编报。</w:t>
      </w:r>
    </w:p>
    <w:p w14:paraId="0CB41D21">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0F55185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63845E10">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77206"/>
      <w:bookmarkStart w:id="15" w:name="_Toc15396604"/>
      <w:r>
        <w:rPr>
          <w:rFonts w:hint="eastAsia" w:ascii="Times New Roman" w:hAnsi="Times New Roman" w:eastAsia="黑体"/>
          <w:color w:val="auto"/>
          <w:sz w:val="32"/>
          <w:szCs w:val="32"/>
          <w:highlight w:val="none"/>
          <w:lang w:eastAsia="zh-CN"/>
        </w:rPr>
        <w:t>二、收入决算情况说明</w:t>
      </w:r>
      <w:bookmarkEnd w:id="14"/>
      <w:bookmarkEnd w:id="15"/>
    </w:p>
    <w:p w14:paraId="7B0FD94A">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263.41</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250.99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95.28</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11.49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4.36</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0.92</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0.35</w:t>
      </w:r>
      <w:r>
        <w:rPr>
          <w:rFonts w:hint="eastAsia" w:ascii="Times New Roman" w:hAnsi="Times New Roman" w:eastAsia="仿宋_GB2312" w:cs="仿宋_GB2312"/>
          <w:color w:val="auto"/>
          <w:sz w:val="32"/>
          <w:szCs w:val="32"/>
          <w:highlight w:val="none"/>
          <w:lang w:eastAsia="zh-CN"/>
        </w:rPr>
        <w:t>%。</w:t>
      </w:r>
    </w:p>
    <w:p w14:paraId="5AC896B1">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0288" behindDoc="0" locked="0" layoutInCell="1" allowOverlap="1">
            <wp:simplePos x="0" y="0"/>
            <wp:positionH relativeFrom="column">
              <wp:posOffset>-786130</wp:posOffset>
            </wp:positionH>
            <wp:positionV relativeFrom="paragraph">
              <wp:posOffset>566420</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ascii="Times New Roman" w:hAnsi="Times New Roman" w:eastAsia="仿宋_GB2312" w:cs="仿宋_GB2312"/>
          <w:color w:val="auto"/>
          <w:sz w:val="32"/>
          <w:szCs w:val="32"/>
          <w:highlight w:val="none"/>
          <w:lang w:eastAsia="zh-CN"/>
        </w:rPr>
        <w:t>（图2：收入决算结构图）（饼状图）</w:t>
      </w:r>
    </w:p>
    <w:p w14:paraId="235A5E03">
      <w:pPr>
        <w:ind w:firstLine="800" w:firstLineChars="250"/>
        <w:rPr>
          <w:rFonts w:hint="eastAsia" w:ascii="Times New Roman" w:hAnsi="Times New Roman" w:eastAsia="仿宋_GB2312" w:cs="仿宋_GB2312"/>
          <w:color w:val="auto"/>
          <w:sz w:val="32"/>
          <w:szCs w:val="32"/>
          <w:highlight w:val="none"/>
          <w:lang w:eastAsia="zh-CN"/>
        </w:rPr>
      </w:pPr>
    </w:p>
    <w:p w14:paraId="50C4434B">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6" w:name="_Toc15377207"/>
      <w:bookmarkStart w:id="17" w:name="_Toc15396605"/>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16"/>
      <w:bookmarkEnd w:id="17"/>
    </w:p>
    <w:p w14:paraId="12251F12">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263.41</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240.2</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91.18</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23.21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8.81</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lang w:eastAsia="zh-CN"/>
        </w:rPr>
        <w:t>（图3：支出决算结构图）（饼状图）</w:t>
      </w:r>
    </w:p>
    <w:p w14:paraId="381E08BF">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-386080</wp:posOffset>
            </wp:positionH>
            <wp:positionV relativeFrom="paragraph">
              <wp:posOffset>217170</wp:posOffset>
            </wp:positionV>
            <wp:extent cx="6346190" cy="1502410"/>
            <wp:effectExtent l="4445" t="4445" r="1206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6E57B377">
      <w:pPr>
        <w:spacing w:line="600" w:lineRule="exact"/>
        <w:ind w:firstLine="640" w:firstLineChars="200"/>
        <w:outlineLvl w:val="1"/>
        <w:rPr>
          <w:rStyle w:val="30"/>
          <w:rFonts w:ascii="Times New Roman" w:hAnsi="Times New Roman" w:eastAsia="黑体"/>
          <w:b w:val="0"/>
          <w:color w:val="auto"/>
          <w:highlight w:val="none"/>
        </w:rPr>
      </w:pPr>
      <w:bookmarkStart w:id="18" w:name="_Toc15377208"/>
      <w:bookmarkStart w:id="19" w:name="_Toc15396606"/>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18"/>
      <w:bookmarkEnd w:id="19"/>
    </w:p>
    <w:p w14:paraId="7E431D41">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250.99</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w:t>
      </w:r>
      <w:r>
        <w:rPr>
          <w:rFonts w:hint="eastAsia" w:eastAsia="仿宋_GB2312" w:cs="仿宋_GB2312"/>
          <w:color w:val="auto"/>
          <w:kern w:val="2"/>
          <w:sz w:val="32"/>
          <w:szCs w:val="32"/>
          <w:highlight w:val="none"/>
          <w:lang w:val="en-US" w:eastAsia="zh-CN" w:bidi="ar-SA"/>
        </w:rPr>
        <w:t>17.9</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7.13</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卫生健康类</w:t>
      </w:r>
      <w:r>
        <w:rPr>
          <w:rFonts w:hint="eastAsia" w:ascii="Times New Roman" w:hAnsi="Times New Roman" w:eastAsia="仿宋_GB2312" w:cs="仿宋_GB2312"/>
          <w:color w:val="auto"/>
          <w:kern w:val="2"/>
          <w:sz w:val="32"/>
          <w:szCs w:val="32"/>
          <w:highlight w:val="none"/>
          <w:lang w:val="en-US" w:eastAsia="zh-CN" w:bidi="ar-SA"/>
        </w:rPr>
        <w:t>收入、支出增加。</w:t>
      </w:r>
    </w:p>
    <w:p w14:paraId="028A06B9">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0572F0C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771C2BB">
      <w:pPr>
        <w:spacing w:line="600" w:lineRule="exact"/>
        <w:ind w:firstLine="640" w:firstLineChars="200"/>
        <w:outlineLvl w:val="1"/>
        <w:rPr>
          <w:rStyle w:val="30"/>
          <w:rFonts w:ascii="Times New Roman" w:hAnsi="Times New Roman" w:eastAsia="黑体"/>
          <w:b w:val="0"/>
          <w:color w:val="auto"/>
          <w:highlight w:val="none"/>
        </w:rPr>
      </w:pPr>
      <w:bookmarkStart w:id="20" w:name="_Toc15396607"/>
      <w:bookmarkStart w:id="21"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20"/>
      <w:bookmarkEnd w:id="21"/>
    </w:p>
    <w:p w14:paraId="01B4874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14:paraId="4EC18FE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250.99</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95.28</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w:t>
      </w:r>
      <w:r>
        <w:rPr>
          <w:rFonts w:hint="eastAsia" w:eastAsia="仿宋_GB2312" w:cs="仿宋_GB2312"/>
          <w:color w:val="auto"/>
          <w:kern w:val="2"/>
          <w:sz w:val="32"/>
          <w:szCs w:val="32"/>
          <w:highlight w:val="none"/>
          <w:lang w:val="en-US" w:eastAsia="zh-CN" w:bidi="ar-SA"/>
        </w:rPr>
        <w:t>17.9</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7.13</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卫生健康类</w:t>
      </w:r>
      <w:r>
        <w:rPr>
          <w:rFonts w:hint="eastAsia" w:ascii="Times New Roman" w:hAnsi="Times New Roman" w:eastAsia="仿宋_GB2312" w:cs="仿宋_GB2312"/>
          <w:color w:val="auto"/>
          <w:kern w:val="2"/>
          <w:sz w:val="32"/>
          <w:szCs w:val="32"/>
          <w:highlight w:val="none"/>
          <w:lang w:val="en-US" w:eastAsia="zh-CN" w:bidi="ar-SA"/>
        </w:rPr>
        <w:t>收入、支出增加。</w:t>
      </w:r>
    </w:p>
    <w:p w14:paraId="0F4688A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3360" behindDoc="0" locked="0" layoutInCell="1" allowOverlap="1">
            <wp:simplePos x="0" y="0"/>
            <wp:positionH relativeFrom="column">
              <wp:posOffset>-843280</wp:posOffset>
            </wp:positionH>
            <wp:positionV relativeFrom="paragraph">
              <wp:posOffset>2147570</wp:posOffset>
            </wp:positionV>
            <wp:extent cx="6783070" cy="2120900"/>
            <wp:effectExtent l="4445" t="4445" r="13335" b="825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2336" behindDoc="0" locked="0" layoutInCell="1" allowOverlap="1">
            <wp:simplePos x="0" y="0"/>
            <wp:positionH relativeFrom="column">
              <wp:posOffset>-1143000</wp:posOffset>
            </wp:positionH>
            <wp:positionV relativeFrom="paragraph">
              <wp:posOffset>-3200400</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7A33CD2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D49512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14:paraId="50BFD49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250.99</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31.59</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12.58</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200.53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79.89</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18.86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7.51</w:t>
      </w:r>
      <w:r>
        <w:rPr>
          <w:rFonts w:hint="eastAsia" w:ascii="Times New Roman" w:hAnsi="Times New Roman" w:eastAsia="仿宋_GB2312" w:cs="仿宋_GB2312"/>
          <w:color w:val="auto"/>
          <w:kern w:val="2"/>
          <w:sz w:val="32"/>
          <w:szCs w:val="32"/>
          <w:highlight w:val="none"/>
          <w:lang w:val="en-US" w:eastAsia="zh-CN" w:bidi="ar-SA"/>
        </w:rPr>
        <w:t>%；</w:t>
      </w:r>
    </w:p>
    <w:p w14:paraId="7A0287A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4384" behindDoc="0" locked="0" layoutInCell="1" allowOverlap="1">
            <wp:simplePos x="0" y="0"/>
            <wp:positionH relativeFrom="column">
              <wp:posOffset>-528955</wp:posOffset>
            </wp:positionH>
            <wp:positionV relativeFrom="paragraph">
              <wp:posOffset>795655</wp:posOffset>
            </wp:positionV>
            <wp:extent cx="6584950" cy="1755140"/>
            <wp:effectExtent l="4445" t="5080" r="20955" b="1143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0D2105E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28A7E6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14:paraId="41F0CC8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8460"/>
      <w:bookmarkStart w:id="26" w:name="_Toc15377444"/>
      <w:bookmarkStart w:id="27" w:name="_Toc1537721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250.99</w:t>
      </w:r>
      <w:r>
        <w:rPr>
          <w:rFonts w:hint="eastAsia" w:ascii="Times New Roman" w:hAnsi="Times New Roman" w:eastAsia="仿宋_GB2312" w:cs="仿宋_GB2312"/>
          <w:color w:val="auto"/>
          <w:kern w:val="2"/>
          <w:sz w:val="32"/>
          <w:szCs w:val="32"/>
          <w:highlight w:val="none"/>
          <w:lang w:val="en-US" w:eastAsia="zh-CN" w:bidi="ar-SA"/>
        </w:rPr>
        <w:t>，完成预算**%。其中：</w:t>
      </w:r>
      <w:bookmarkEnd w:id="25"/>
      <w:bookmarkEnd w:id="26"/>
      <w:bookmarkEnd w:id="27"/>
    </w:p>
    <w:p w14:paraId="621A273F">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住房保障服务</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18.86</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14:paraId="3AF00251">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2.社会保障和就业（类）</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06</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31.59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14:paraId="5318D10B">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3.卫生健康（类）</w:t>
      </w:r>
      <w:r>
        <w:rPr>
          <w:rFonts w:hint="eastAsia" w:eastAsia="仿宋_GB2312" w:cs="仿宋_GB2312"/>
          <w:color w:val="auto"/>
          <w:kern w:val="2"/>
          <w:sz w:val="32"/>
          <w:szCs w:val="32"/>
          <w:highlight w:val="none"/>
          <w:lang w:val="en-US" w:eastAsia="zh-CN" w:bidi="ar-SA"/>
        </w:rPr>
        <w:t>03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200.54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%，决算数小于预算数的主要原因是</w:t>
      </w:r>
      <w:r>
        <w:rPr>
          <w:rFonts w:hint="eastAsia" w:eastAsia="仿宋_GB2312" w:cs="仿宋_GB2312"/>
          <w:color w:val="auto"/>
          <w:kern w:val="2"/>
          <w:sz w:val="32"/>
          <w:szCs w:val="32"/>
          <w:highlight w:val="none"/>
          <w:lang w:val="en-US" w:eastAsia="zh-CN" w:bidi="ar-SA"/>
        </w:rPr>
        <w:t>基层医疗卫生经费支出的减少。</w:t>
      </w:r>
    </w:p>
    <w:p w14:paraId="57AE1C91">
      <w:pPr>
        <w:tabs>
          <w:tab w:val="right" w:pos="8306"/>
        </w:tabs>
        <w:spacing w:line="600" w:lineRule="exact"/>
        <w:ind w:firstLine="640"/>
        <w:outlineLvl w:val="1"/>
        <w:rPr>
          <w:rStyle w:val="30"/>
          <w:rFonts w:ascii="Times New Roman" w:hAnsi="Times New Roman"/>
          <w:color w:val="auto"/>
          <w:highlight w:val="none"/>
        </w:rPr>
      </w:pPr>
      <w:bookmarkStart w:id="28" w:name="_Toc15396608"/>
      <w:bookmarkStart w:id="29"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28"/>
      <w:bookmarkEnd w:id="29"/>
      <w:r>
        <w:rPr>
          <w:rStyle w:val="30"/>
          <w:rFonts w:ascii="Times New Roman" w:hAnsi="Times New Roman" w:eastAsia="黑体"/>
          <w:b w:val="0"/>
          <w:color w:val="auto"/>
          <w:highlight w:val="none"/>
        </w:rPr>
        <w:tab/>
      </w:r>
    </w:p>
    <w:p w14:paraId="034BB38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240.2</w:t>
      </w:r>
      <w:r>
        <w:rPr>
          <w:rFonts w:hint="eastAsia" w:ascii="Times New Roman" w:hAnsi="Times New Roman" w:eastAsia="仿宋_GB2312" w:cs="仿宋_GB2312"/>
          <w:color w:val="auto"/>
          <w:kern w:val="2"/>
          <w:sz w:val="32"/>
          <w:szCs w:val="32"/>
          <w:highlight w:val="none"/>
          <w:lang w:val="en-US" w:eastAsia="zh-CN" w:bidi="ar-SA"/>
        </w:rPr>
        <w:t>万元，其中：</w:t>
      </w:r>
    </w:p>
    <w:p w14:paraId="02FFC46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232.05</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万元，主要包括：基本工资、津贴补贴、绩效工资、机关事业单位基本养老保险缴费、职业年金缴费、其他社会保障缴费、生活补助、医疗费补助、奖励金、住房公积金。</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8.15</w:t>
      </w:r>
      <w:r>
        <w:rPr>
          <w:rFonts w:hint="eastAsia" w:ascii="Times New Roman" w:hAnsi="Times New Roman" w:eastAsia="仿宋_GB2312" w:cs="仿宋_GB2312"/>
          <w:color w:val="auto"/>
          <w:kern w:val="2"/>
          <w:sz w:val="32"/>
          <w:szCs w:val="32"/>
          <w:highlight w:val="none"/>
          <w:lang w:val="en-US" w:eastAsia="zh-CN" w:bidi="ar-SA"/>
        </w:rPr>
        <w:t>万元，主要包括：工会经费、福利费、。</w:t>
      </w:r>
    </w:p>
    <w:p w14:paraId="365EF32A">
      <w:pPr>
        <w:spacing w:line="600" w:lineRule="exact"/>
        <w:ind w:firstLine="640"/>
        <w:outlineLvl w:val="1"/>
        <w:rPr>
          <w:rStyle w:val="30"/>
          <w:rFonts w:ascii="Times New Roman" w:hAnsi="Times New Roman" w:eastAsia="黑体"/>
          <w:b w:val="0"/>
          <w:color w:val="auto"/>
          <w:highlight w:val="none"/>
        </w:rPr>
      </w:pPr>
      <w:bookmarkStart w:id="30" w:name="_Toc15396609"/>
      <w:bookmarkStart w:id="31" w:name="_Toc15377215"/>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30"/>
      <w:bookmarkEnd w:id="31"/>
    </w:p>
    <w:p w14:paraId="56408EE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14:paraId="011F2CB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14:paraId="36BD82B9">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14:paraId="05BF418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14:paraId="1849CE2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1C69CD2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47D54DD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11BAC56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549B129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1FAB27F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4ADFA01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3663C77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4A04274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4925D54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743259D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77218"/>
      <w:bookmarkStart w:id="35" w:name="_Toc15396610"/>
    </w:p>
    <w:p w14:paraId="6D3623AD">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34"/>
      <w:bookmarkEnd w:id="35"/>
    </w:p>
    <w:p w14:paraId="0C930B74">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2F10F04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5654F7E">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36" w:name="_Toc15396611"/>
      <w:bookmarkStart w:id="37" w:name="_Toc15377219"/>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36"/>
      <w:bookmarkEnd w:id="37"/>
    </w:p>
    <w:p w14:paraId="13DAC9E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0516C94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94622AB">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38" w:name="_Toc15377221"/>
      <w:bookmarkStart w:id="39" w:name="_Toc15396612"/>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38"/>
      <w:bookmarkEnd w:id="39"/>
    </w:p>
    <w:p w14:paraId="05241FF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14:paraId="18B6B97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红原县安曲镇卫生院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4BEC736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3E2B01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14:paraId="31304CD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红原县安曲镇卫生院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1CA22A3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6F672B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14:paraId="0F6A0A5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红原县安曲镇卫生院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巡诊义诊及转运急救病人。</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374458F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03FD9AE">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0E2E058A">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根据预算绩效管理要求，本单位在年初预算编制阶段，组织对</w:t>
      </w:r>
      <w:r>
        <w:rPr>
          <w:rFonts w:hint="eastAsia" w:ascii="仿宋" w:hAnsi="仿宋" w:eastAsia="仿宋" w:cs="仿宋"/>
          <w:sz w:val="32"/>
          <w:szCs w:val="32"/>
          <w:lang w:val="en-US" w:eastAsia="zh-CN"/>
        </w:rPr>
        <w:t>1个</w:t>
      </w:r>
      <w:r>
        <w:rPr>
          <w:rFonts w:hint="eastAsia" w:ascii="仿宋" w:hAnsi="仿宋" w:eastAsia="仿宋" w:cs="仿宋"/>
          <w:sz w:val="32"/>
          <w:szCs w:val="32"/>
        </w:rPr>
        <w:t>项目（项目</w:t>
      </w:r>
      <w:r>
        <w:rPr>
          <w:rFonts w:hint="eastAsia" w:ascii="仿宋" w:hAnsi="仿宋" w:eastAsia="仿宋" w:cs="仿宋"/>
          <w:sz w:val="32"/>
          <w:szCs w:val="32"/>
          <w:lang w:eastAsia="zh-CN"/>
        </w:rPr>
        <w:t>：基本公共卫生</w:t>
      </w:r>
      <w:r>
        <w:rPr>
          <w:rFonts w:hint="eastAsia" w:ascii="仿宋" w:hAnsi="仿宋" w:eastAsia="仿宋" w:cs="仿宋"/>
          <w:sz w:val="32"/>
          <w:szCs w:val="32"/>
        </w:rPr>
        <w:t>）开展了预算事前绩效评估，对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个项目编制了绩效目标，预算执行过程中，选取</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个项目开展绩效监控，年终执行完毕后，对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个项目开展了绩效目标完成情况自评。</w:t>
      </w:r>
    </w:p>
    <w:p w14:paraId="5E6E5FD4">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本部门按要求对20</w:t>
      </w:r>
      <w:r>
        <w:rPr>
          <w:rFonts w:hint="eastAsia" w:ascii="仿宋" w:hAnsi="仿宋" w:eastAsia="仿宋" w:cs="仿宋"/>
          <w:sz w:val="32"/>
          <w:szCs w:val="32"/>
          <w:lang w:val="en-US" w:eastAsia="zh-CN"/>
        </w:rPr>
        <w:t>25</w:t>
      </w:r>
      <w:r>
        <w:rPr>
          <w:rFonts w:hint="eastAsia" w:ascii="仿宋" w:hAnsi="仿宋" w:eastAsia="仿宋" w:cs="仿宋"/>
          <w:sz w:val="32"/>
          <w:szCs w:val="32"/>
        </w:rPr>
        <w:t>年</w:t>
      </w:r>
      <w:r>
        <w:rPr>
          <w:rFonts w:hint="eastAsia" w:ascii="仿宋" w:hAnsi="仿宋" w:eastAsia="仿宋" w:cs="仿宋"/>
          <w:sz w:val="32"/>
          <w:szCs w:val="32"/>
          <w:lang w:eastAsia="zh-CN"/>
        </w:rPr>
        <w:t>单位</w:t>
      </w:r>
      <w:r>
        <w:rPr>
          <w:rFonts w:hint="eastAsia" w:ascii="仿宋" w:hAnsi="仿宋" w:eastAsia="仿宋" w:cs="仿宋"/>
          <w:sz w:val="32"/>
          <w:szCs w:val="32"/>
        </w:rPr>
        <w:t>整体支出开展绩效自评，从评价情况来看</w:t>
      </w:r>
      <w:r>
        <w:rPr>
          <w:rFonts w:hint="eastAsia" w:ascii="仿宋" w:hAnsi="仿宋" w:eastAsia="仿宋" w:cs="仿宋"/>
          <w:sz w:val="32"/>
          <w:szCs w:val="32"/>
          <w:lang w:eastAsia="zh-CN"/>
        </w:rPr>
        <w:t>该项目完成情况良好</w:t>
      </w:r>
      <w:r>
        <w:rPr>
          <w:rFonts w:hint="eastAsia" w:ascii="仿宋" w:hAnsi="仿宋" w:eastAsia="仿宋" w:cs="仿宋"/>
          <w:sz w:val="32"/>
          <w:szCs w:val="32"/>
        </w:rPr>
        <w:t>。本部门还自行组织了</w:t>
      </w:r>
      <w:r>
        <w:rPr>
          <w:rFonts w:hint="eastAsia" w:ascii="仿宋" w:hAnsi="仿宋" w:eastAsia="仿宋" w:cs="仿宋"/>
          <w:sz w:val="32"/>
          <w:szCs w:val="32"/>
          <w:lang w:val="en-US" w:eastAsia="zh-CN"/>
        </w:rPr>
        <w:t>1</w:t>
      </w:r>
      <w:r>
        <w:rPr>
          <w:rFonts w:hint="eastAsia" w:ascii="仿宋" w:hAnsi="仿宋" w:eastAsia="仿宋" w:cs="仿宋"/>
          <w:sz w:val="32"/>
          <w:szCs w:val="32"/>
        </w:rPr>
        <w:t>个项目支出绩效评价</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协助开展突发公共卫生事件应急调查和处置工作，承担区域内公共卫生相关信息的收集和报告</w:t>
      </w:r>
      <w:r>
        <w:rPr>
          <w:rFonts w:hint="eastAsia" w:ascii="仿宋" w:hAnsi="仿宋" w:eastAsia="仿宋" w:cs="仿宋"/>
          <w:sz w:val="32"/>
          <w:szCs w:val="32"/>
        </w:rPr>
        <w:t>）。</w:t>
      </w:r>
    </w:p>
    <w:p w14:paraId="27AB8FB2">
      <w:pPr>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rPr>
        <w:t>项目绩效目标完成情况。</w:t>
      </w:r>
      <w:r>
        <w:rPr>
          <w:rFonts w:hint="eastAsia" w:ascii="仿宋" w:hAnsi="仿宋" w:eastAsia="仿宋" w:cs="仿宋"/>
          <w:sz w:val="32"/>
          <w:szCs w:val="32"/>
        </w:rPr>
        <w:br w:type="textWrapping"/>
      </w:r>
      <w:r>
        <w:rPr>
          <w:rFonts w:hint="eastAsia" w:ascii="仿宋" w:hAnsi="仿宋" w:eastAsia="仿宋" w:cs="仿宋"/>
          <w:sz w:val="32"/>
          <w:szCs w:val="32"/>
        </w:rPr>
        <w:t xml:space="preserve">    本部门在20</w:t>
      </w:r>
      <w:r>
        <w:rPr>
          <w:rFonts w:hint="eastAsia" w:ascii="仿宋" w:hAnsi="仿宋" w:eastAsia="仿宋" w:cs="仿宋"/>
          <w:sz w:val="32"/>
          <w:szCs w:val="32"/>
          <w:lang w:val="en-US" w:eastAsia="zh-CN"/>
        </w:rPr>
        <w:t>25</w:t>
      </w:r>
      <w:r>
        <w:rPr>
          <w:rFonts w:hint="eastAsia" w:ascii="仿宋" w:hAnsi="仿宋" w:eastAsia="仿宋" w:cs="仿宋"/>
          <w:sz w:val="32"/>
          <w:szCs w:val="32"/>
        </w:rPr>
        <w:t>年度</w:t>
      </w:r>
      <w:r>
        <w:rPr>
          <w:rFonts w:hint="eastAsia" w:ascii="仿宋" w:hAnsi="仿宋" w:eastAsia="仿宋" w:cs="仿宋"/>
          <w:sz w:val="32"/>
          <w:szCs w:val="32"/>
          <w:lang w:eastAsia="zh-CN"/>
        </w:rPr>
        <w:t>单位</w:t>
      </w:r>
      <w:r>
        <w:rPr>
          <w:rFonts w:hint="eastAsia" w:ascii="仿宋" w:hAnsi="仿宋" w:eastAsia="仿宋" w:cs="仿宋"/>
          <w:sz w:val="32"/>
          <w:szCs w:val="32"/>
        </w:rPr>
        <w:t>决算中反映</w:t>
      </w:r>
      <w:r>
        <w:rPr>
          <w:rFonts w:hint="eastAsia" w:ascii="仿宋" w:hAnsi="仿宋" w:eastAsia="仿宋" w:cs="仿宋"/>
          <w:sz w:val="32"/>
          <w:szCs w:val="32"/>
          <w:lang w:eastAsia="zh-CN"/>
        </w:rPr>
        <w:t>基本公共卫生</w:t>
      </w:r>
      <w:r>
        <w:rPr>
          <w:rFonts w:hint="eastAsia" w:ascii="仿宋" w:hAnsi="仿宋" w:eastAsia="仿宋" w:cs="仿宋"/>
          <w:sz w:val="32"/>
          <w:szCs w:val="32"/>
          <w:lang w:val="en-US" w:eastAsia="zh-CN"/>
        </w:rPr>
        <w:t>1</w:t>
      </w:r>
      <w:r>
        <w:rPr>
          <w:rFonts w:hint="eastAsia" w:ascii="仿宋" w:hAnsi="仿宋" w:eastAsia="仿宋" w:cs="仿宋"/>
          <w:sz w:val="32"/>
          <w:szCs w:val="32"/>
        </w:rPr>
        <w:t>个项目绩效目标实际完成情况。）。</w:t>
      </w:r>
      <w:r>
        <w:rPr>
          <w:rFonts w:hint="eastAsia" w:ascii="仿宋" w:hAnsi="仿宋" w:eastAsia="仿宋" w:cs="仿宋"/>
          <w:sz w:val="32"/>
          <w:szCs w:val="32"/>
          <w:lang w:eastAsia="zh-CN"/>
        </w:rPr>
        <w:t>基本公共卫生</w:t>
      </w:r>
      <w:r>
        <w:rPr>
          <w:rFonts w:hint="eastAsia" w:ascii="仿宋" w:hAnsi="仿宋" w:eastAsia="仿宋" w:cs="仿宋"/>
          <w:sz w:val="32"/>
          <w:szCs w:val="32"/>
        </w:rPr>
        <w:t>项目绩效目标完成情况综述。项目全年预算数</w:t>
      </w:r>
      <w:r>
        <w:rPr>
          <w:rFonts w:hint="eastAsia" w:ascii="仿宋" w:hAnsi="仿宋" w:eastAsia="仿宋" w:cs="仿宋"/>
          <w:sz w:val="32"/>
          <w:szCs w:val="32"/>
          <w:lang w:val="en-US" w:eastAsia="zh-CN"/>
        </w:rPr>
        <w:t>1.76</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1.76</w:t>
      </w:r>
      <w:r>
        <w:rPr>
          <w:rFonts w:hint="eastAsia" w:ascii="仿宋" w:hAnsi="仿宋" w:eastAsia="仿宋" w:cs="仿宋"/>
          <w:sz w:val="32"/>
          <w:szCs w:val="32"/>
        </w:rPr>
        <w:t>万元，完成预算的</w:t>
      </w:r>
      <w:r>
        <w:rPr>
          <w:rFonts w:hint="eastAsia" w:ascii="仿宋" w:hAnsi="仿宋" w:eastAsia="仿宋" w:cs="仿宋"/>
          <w:color w:val="auto"/>
          <w:sz w:val="32"/>
          <w:szCs w:val="32"/>
          <w:highlight w:val="none"/>
          <w:lang w:val="en-US" w:eastAsia="zh-CN"/>
        </w:rPr>
        <w:t>100</w:t>
      </w:r>
      <w:r>
        <w:rPr>
          <w:rFonts w:hint="eastAsia" w:ascii="仿宋" w:hAnsi="仿宋" w:eastAsia="仿宋" w:cs="仿宋"/>
          <w:color w:val="auto"/>
          <w:sz w:val="32"/>
          <w:szCs w:val="32"/>
          <w:highlight w:val="none"/>
        </w:rPr>
        <w:t>%</w:t>
      </w:r>
      <w:r>
        <w:rPr>
          <w:rFonts w:hint="eastAsia" w:ascii="仿宋" w:hAnsi="仿宋" w:eastAsia="仿宋" w:cs="仿宋"/>
          <w:sz w:val="32"/>
          <w:szCs w:val="32"/>
        </w:rPr>
        <w:t>。通过项目实施，保障</w:t>
      </w:r>
      <w:r>
        <w:rPr>
          <w:rFonts w:hint="eastAsia" w:ascii="仿宋" w:hAnsi="仿宋" w:eastAsia="仿宋" w:cs="仿宋"/>
          <w:sz w:val="32"/>
          <w:szCs w:val="32"/>
          <w:lang w:eastAsia="zh-CN"/>
        </w:rPr>
        <w:t>辖区内居民基本公共卫生服务。</w:t>
      </w:r>
    </w:p>
    <w:tbl>
      <w:tblPr>
        <w:tblStyle w:val="16"/>
        <w:tblW w:w="8345" w:type="dxa"/>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1"/>
        <w:gridCol w:w="854"/>
        <w:gridCol w:w="1113"/>
        <w:gridCol w:w="1701"/>
        <w:gridCol w:w="1978"/>
        <w:gridCol w:w="1978"/>
      </w:tblGrid>
      <w:tr w14:paraId="7A1AD18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8345" w:type="dxa"/>
            <w:gridSpan w:val="6"/>
            <w:vAlign w:val="center"/>
          </w:tcPr>
          <w:p w14:paraId="52BAFA8C">
            <w:pPr>
              <w:pStyle w:val="15"/>
              <w:keepNext w:val="0"/>
              <w:keepLines w:val="0"/>
              <w:widowControl/>
              <w:suppressLineNumbers w:val="0"/>
              <w:jc w:val="left"/>
              <w:rPr>
                <w:rFonts w:hint="eastAsia" w:ascii="仿宋" w:hAnsi="仿宋" w:eastAsia="仿宋" w:cs="仿宋"/>
                <w:sz w:val="32"/>
                <w:szCs w:val="32"/>
              </w:rPr>
            </w:pPr>
            <w:r>
              <w:rPr>
                <w:rStyle w:val="18"/>
                <w:rFonts w:hint="eastAsia" w:ascii="仿宋" w:hAnsi="仿宋" w:eastAsia="仿宋" w:cs="仿宋"/>
                <w:sz w:val="32"/>
                <w:szCs w:val="32"/>
              </w:rPr>
              <w:t xml:space="preserve">项目绩效目标完成情况表 </w:t>
            </w: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年度)</w:t>
            </w:r>
          </w:p>
        </w:tc>
      </w:tr>
      <w:tr w14:paraId="06490E2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2688" w:type="dxa"/>
            <w:gridSpan w:val="3"/>
            <w:vAlign w:val="center"/>
          </w:tcPr>
          <w:p w14:paraId="685B22F0">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项目名称</w:t>
            </w:r>
          </w:p>
        </w:tc>
        <w:tc>
          <w:tcPr>
            <w:tcW w:w="5657" w:type="dxa"/>
            <w:gridSpan w:val="3"/>
            <w:vAlign w:val="center"/>
          </w:tcPr>
          <w:p w14:paraId="597E161B">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基本公共卫生服务</w:t>
            </w:r>
          </w:p>
        </w:tc>
      </w:tr>
      <w:tr w14:paraId="6F24CFD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2688" w:type="dxa"/>
            <w:gridSpan w:val="3"/>
            <w:vAlign w:val="center"/>
          </w:tcPr>
          <w:p w14:paraId="68C2AE68">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预算单位</w:t>
            </w:r>
          </w:p>
        </w:tc>
        <w:tc>
          <w:tcPr>
            <w:tcW w:w="5657" w:type="dxa"/>
            <w:gridSpan w:val="3"/>
            <w:vAlign w:val="center"/>
          </w:tcPr>
          <w:p w14:paraId="5ED14621">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红原县</w:t>
            </w:r>
            <w:r>
              <w:rPr>
                <w:rFonts w:hint="eastAsia" w:ascii="仿宋_GB2312" w:hAnsi="仿宋_GB2312" w:eastAsia="仿宋_GB2312" w:cs="仿宋_GB2312"/>
                <w:sz w:val="32"/>
                <w:szCs w:val="32"/>
                <w:lang w:eastAsia="zh-CN"/>
              </w:rPr>
              <w:t>安曲镇</w:t>
            </w:r>
            <w:r>
              <w:rPr>
                <w:rFonts w:hint="eastAsia" w:ascii="仿宋" w:hAnsi="仿宋" w:eastAsia="仿宋" w:cs="仿宋"/>
                <w:color w:val="000000"/>
                <w:sz w:val="32"/>
                <w:szCs w:val="32"/>
                <w:lang w:val="en-US" w:eastAsia="zh-CN"/>
              </w:rPr>
              <w:t>卫生院</w:t>
            </w:r>
          </w:p>
        </w:tc>
      </w:tr>
      <w:tr w14:paraId="001738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581D9466">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预算执行情况(万元)</w:t>
            </w:r>
          </w:p>
        </w:tc>
        <w:tc>
          <w:tcPr>
            <w:tcW w:w="1967" w:type="dxa"/>
            <w:gridSpan w:val="2"/>
            <w:vAlign w:val="center"/>
          </w:tcPr>
          <w:p w14:paraId="76D54ECF">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预算数:</w:t>
            </w:r>
          </w:p>
        </w:tc>
        <w:tc>
          <w:tcPr>
            <w:tcW w:w="1701" w:type="dxa"/>
            <w:vAlign w:val="center"/>
          </w:tcPr>
          <w:p w14:paraId="49333549">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1.76</w:t>
            </w:r>
          </w:p>
        </w:tc>
        <w:tc>
          <w:tcPr>
            <w:tcW w:w="1978" w:type="dxa"/>
            <w:vAlign w:val="center"/>
          </w:tcPr>
          <w:p w14:paraId="24245AE3">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执行数:</w:t>
            </w:r>
          </w:p>
        </w:tc>
        <w:tc>
          <w:tcPr>
            <w:tcW w:w="1978" w:type="dxa"/>
            <w:vAlign w:val="center"/>
          </w:tcPr>
          <w:p w14:paraId="33494FC8">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1.76</w:t>
            </w:r>
          </w:p>
        </w:tc>
      </w:tr>
      <w:tr w14:paraId="5F3881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670601B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14:paraId="6195B975">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701" w:type="dxa"/>
            <w:vAlign w:val="center"/>
          </w:tcPr>
          <w:p w14:paraId="345C4ECC">
            <w:pPr>
              <w:keepNext w:val="0"/>
              <w:keepLines w:val="0"/>
              <w:widowControl/>
              <w:suppressLineNumbers w:val="0"/>
              <w:tabs>
                <w:tab w:val="center" w:pos="835"/>
              </w:tabs>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1.76</w:t>
            </w:r>
          </w:p>
        </w:tc>
        <w:tc>
          <w:tcPr>
            <w:tcW w:w="1978" w:type="dxa"/>
            <w:vAlign w:val="center"/>
          </w:tcPr>
          <w:p w14:paraId="0FE40B88">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978" w:type="dxa"/>
            <w:vAlign w:val="center"/>
          </w:tcPr>
          <w:p w14:paraId="4F80AFA5">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1.76</w:t>
            </w:r>
          </w:p>
        </w:tc>
      </w:tr>
      <w:tr w14:paraId="08DC5A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5411F3A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14:paraId="590CBCCD">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701" w:type="dxa"/>
            <w:vAlign w:val="center"/>
          </w:tcPr>
          <w:p w14:paraId="40518AE6">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c>
          <w:tcPr>
            <w:tcW w:w="1978" w:type="dxa"/>
            <w:vAlign w:val="center"/>
          </w:tcPr>
          <w:p w14:paraId="0D5F8080">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978" w:type="dxa"/>
            <w:vAlign w:val="center"/>
          </w:tcPr>
          <w:p w14:paraId="5AD5C4DA">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r>
      <w:tr w14:paraId="0EA6D4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4C4EC406">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年度目标完成情况</w:t>
            </w:r>
          </w:p>
        </w:tc>
        <w:tc>
          <w:tcPr>
            <w:tcW w:w="3668" w:type="dxa"/>
            <w:gridSpan w:val="3"/>
            <w:vAlign w:val="center"/>
          </w:tcPr>
          <w:p w14:paraId="408CFDD6">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预期目标</w:t>
            </w:r>
          </w:p>
        </w:tc>
        <w:tc>
          <w:tcPr>
            <w:tcW w:w="3956" w:type="dxa"/>
            <w:gridSpan w:val="2"/>
            <w:vAlign w:val="center"/>
          </w:tcPr>
          <w:p w14:paraId="2E50B261">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实际完成目标</w:t>
            </w:r>
          </w:p>
        </w:tc>
      </w:tr>
      <w:tr w14:paraId="58E3AA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3904B2A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668" w:type="dxa"/>
            <w:gridSpan w:val="3"/>
            <w:vAlign w:val="center"/>
          </w:tcPr>
          <w:p w14:paraId="76DD18C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956" w:type="dxa"/>
            <w:gridSpan w:val="2"/>
            <w:vAlign w:val="center"/>
          </w:tcPr>
          <w:p w14:paraId="6A2DE40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eastAsia="zh-CN"/>
              </w:rPr>
              <w:t>开展辖区内的基本公卫服务项目（年老患者、慢性病防治、妇幼等公卫项目）</w:t>
            </w:r>
          </w:p>
        </w:tc>
      </w:tr>
      <w:tr w14:paraId="39E105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5" w:hRule="atLeast"/>
          <w:tblCellSpacing w:w="0" w:type="dxa"/>
          <w:jc w:val="center"/>
        </w:trPr>
        <w:tc>
          <w:tcPr>
            <w:tcW w:w="721" w:type="dxa"/>
            <w:vAlign w:val="center"/>
          </w:tcPr>
          <w:p w14:paraId="28D774FB">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绩效指标完成情况</w:t>
            </w:r>
          </w:p>
        </w:tc>
        <w:tc>
          <w:tcPr>
            <w:tcW w:w="854" w:type="dxa"/>
            <w:vAlign w:val="center"/>
          </w:tcPr>
          <w:p w14:paraId="742D66F7">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一级指标</w:t>
            </w:r>
          </w:p>
        </w:tc>
        <w:tc>
          <w:tcPr>
            <w:tcW w:w="1113" w:type="dxa"/>
            <w:vAlign w:val="center"/>
          </w:tcPr>
          <w:p w14:paraId="04F44CDB">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二级指标</w:t>
            </w:r>
          </w:p>
        </w:tc>
        <w:tc>
          <w:tcPr>
            <w:tcW w:w="1701" w:type="dxa"/>
            <w:vAlign w:val="center"/>
          </w:tcPr>
          <w:p w14:paraId="302DE316">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三级指标</w:t>
            </w:r>
          </w:p>
        </w:tc>
        <w:tc>
          <w:tcPr>
            <w:tcW w:w="1978" w:type="dxa"/>
            <w:vAlign w:val="center"/>
          </w:tcPr>
          <w:p w14:paraId="1483C2FA">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预期指标值(包含数字及文字描述)</w:t>
            </w:r>
          </w:p>
        </w:tc>
        <w:tc>
          <w:tcPr>
            <w:tcW w:w="1978" w:type="dxa"/>
            <w:vAlign w:val="center"/>
          </w:tcPr>
          <w:p w14:paraId="121D67AF">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实际完成指标值(包含数字及文字描述)</w:t>
            </w:r>
          </w:p>
        </w:tc>
      </w:tr>
      <w:tr w14:paraId="0F0DC21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5807C7B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648FD41C">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5551B49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绩效目标</w:t>
            </w:r>
          </w:p>
        </w:tc>
        <w:tc>
          <w:tcPr>
            <w:tcW w:w="1701" w:type="dxa"/>
            <w:vAlign w:val="center"/>
          </w:tcPr>
          <w:p w14:paraId="07ACD020">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目标内容</w:t>
            </w:r>
          </w:p>
        </w:tc>
        <w:tc>
          <w:tcPr>
            <w:tcW w:w="1978" w:type="dxa"/>
            <w:vAlign w:val="center"/>
          </w:tcPr>
          <w:p w14:paraId="5C2E3497">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2A9AF3F7">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tc>
      </w:tr>
      <w:tr w14:paraId="1E0D0D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29B727D5">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1829AD10">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148E427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进度计划</w:t>
            </w:r>
          </w:p>
        </w:tc>
        <w:tc>
          <w:tcPr>
            <w:tcW w:w="1701" w:type="dxa"/>
            <w:vAlign w:val="center"/>
          </w:tcPr>
          <w:p w14:paraId="27C1D92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项目计划实施进度明确</w:t>
            </w:r>
          </w:p>
        </w:tc>
        <w:tc>
          <w:tcPr>
            <w:tcW w:w="1978" w:type="dxa"/>
            <w:vAlign w:val="center"/>
          </w:tcPr>
          <w:p w14:paraId="0F414064">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4DA129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明确</w:t>
            </w:r>
          </w:p>
        </w:tc>
      </w:tr>
      <w:tr w14:paraId="772847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42BDED9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6F1FF65A">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47042F6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目标匹配</w:t>
            </w:r>
          </w:p>
        </w:tc>
        <w:tc>
          <w:tcPr>
            <w:tcW w:w="1701" w:type="dxa"/>
            <w:vAlign w:val="center"/>
          </w:tcPr>
          <w:p w14:paraId="7536732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2621D72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05811AD3">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w:t>
            </w:r>
          </w:p>
        </w:tc>
      </w:tr>
      <w:tr w14:paraId="75C317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1295ECF9">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6DC91C42">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45C3CC9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政策依据</w:t>
            </w:r>
          </w:p>
        </w:tc>
        <w:tc>
          <w:tcPr>
            <w:tcW w:w="1701" w:type="dxa"/>
            <w:vAlign w:val="center"/>
          </w:tcPr>
          <w:p w14:paraId="7B2D159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2BC0CE3">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5A019951">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符合</w:t>
            </w:r>
          </w:p>
        </w:tc>
      </w:tr>
      <w:tr w14:paraId="2D53B4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66893242">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402F52D4">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4C1E53D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14:paraId="155E765B">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5291E693">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6ECA5C25">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14:paraId="15DA04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24F6F223">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193C9860">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14:paraId="77A10344">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14:paraId="31347D2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330BBD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41046093">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14:paraId="0E7EFD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7C7482B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3C399A9E">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14:paraId="22A26FA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完成数量</w:t>
            </w:r>
          </w:p>
        </w:tc>
        <w:tc>
          <w:tcPr>
            <w:tcW w:w="1701" w:type="dxa"/>
            <w:vAlign w:val="center"/>
          </w:tcPr>
          <w:p w14:paraId="19DEFD4B">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实际完成任务量/绩效目标设定任务量×100%</w:t>
            </w:r>
          </w:p>
        </w:tc>
        <w:tc>
          <w:tcPr>
            <w:tcW w:w="1978" w:type="dxa"/>
            <w:vAlign w:val="center"/>
          </w:tcPr>
          <w:p w14:paraId="108C9659">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c>
          <w:tcPr>
            <w:tcW w:w="1978" w:type="dxa"/>
            <w:vAlign w:val="center"/>
          </w:tcPr>
          <w:p w14:paraId="16A195F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r>
      <w:tr w14:paraId="5357E9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33767142">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0A2FB9AA">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14:paraId="63D2A9B3">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完成质量</w:t>
            </w:r>
          </w:p>
        </w:tc>
        <w:tc>
          <w:tcPr>
            <w:tcW w:w="1701" w:type="dxa"/>
            <w:vAlign w:val="center"/>
          </w:tcPr>
          <w:p w14:paraId="31DF2A04">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符合绩效目标设定的验收标准，达到行业基准水平</w:t>
            </w:r>
          </w:p>
        </w:tc>
        <w:tc>
          <w:tcPr>
            <w:tcW w:w="1978" w:type="dxa"/>
            <w:vAlign w:val="center"/>
          </w:tcPr>
          <w:p w14:paraId="3919CF6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c>
          <w:tcPr>
            <w:tcW w:w="1978" w:type="dxa"/>
            <w:vAlign w:val="center"/>
          </w:tcPr>
          <w:p w14:paraId="5F1A004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r>
      <w:tr w14:paraId="728F23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43C76612">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180D657E">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14:paraId="4A355041">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14:paraId="784D8A16">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1083A2E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1FCA0F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14:paraId="4E67CA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03158271">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4874F3CF">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满意度指标</w:t>
            </w:r>
          </w:p>
        </w:tc>
        <w:tc>
          <w:tcPr>
            <w:tcW w:w="1113" w:type="dxa"/>
            <w:vAlign w:val="center"/>
          </w:tcPr>
          <w:p w14:paraId="5108290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服务对象满意度</w:t>
            </w:r>
          </w:p>
        </w:tc>
        <w:tc>
          <w:tcPr>
            <w:tcW w:w="1701" w:type="dxa"/>
            <w:vAlign w:val="center"/>
          </w:tcPr>
          <w:p w14:paraId="112CD8B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反映服务对象或项目受益人对相关产出及其影响的认可程度，根据项目实际细化具体指标。</w:t>
            </w:r>
          </w:p>
        </w:tc>
        <w:tc>
          <w:tcPr>
            <w:tcW w:w="1978" w:type="dxa"/>
            <w:vAlign w:val="center"/>
          </w:tcPr>
          <w:p w14:paraId="40352845">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c>
          <w:tcPr>
            <w:tcW w:w="1978" w:type="dxa"/>
            <w:vAlign w:val="center"/>
          </w:tcPr>
          <w:p w14:paraId="7DCD9BC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r>
    </w:tbl>
    <w:p w14:paraId="3339628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F527117">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96613"/>
      <w:bookmarkStart w:id="4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14:paraId="2ECD4936">
      <w:pPr>
        <w:spacing w:line="600" w:lineRule="exact"/>
        <w:jc w:val="left"/>
        <w:rPr>
          <w:rFonts w:ascii="Times New Roman" w:hAnsi="Times New Roman"/>
          <w:b/>
          <w:color w:val="auto"/>
          <w:sz w:val="44"/>
          <w:szCs w:val="44"/>
          <w:highlight w:val="none"/>
        </w:rPr>
      </w:pPr>
    </w:p>
    <w:p w14:paraId="1185CA6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40FC111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w:t>
      </w:r>
      <w:r>
        <w:rPr>
          <w:rFonts w:hint="eastAsia" w:eastAsia="仿宋_GB2312" w:cs="仿宋_GB2312"/>
          <w:color w:val="auto"/>
          <w:kern w:val="2"/>
          <w:sz w:val="32"/>
          <w:szCs w:val="32"/>
          <w:highlight w:val="none"/>
          <w:lang w:val="en-US" w:eastAsia="zh-CN" w:bidi="ar-SA"/>
        </w:rPr>
        <w:t>医疗门诊治疗活动</w:t>
      </w:r>
      <w:r>
        <w:rPr>
          <w:rFonts w:hint="eastAsia" w:ascii="Times New Roman" w:hAnsi="Times New Roman" w:eastAsia="仿宋_GB2312" w:cs="仿宋_GB2312"/>
          <w:color w:val="auto"/>
          <w:kern w:val="2"/>
          <w:sz w:val="32"/>
          <w:szCs w:val="32"/>
          <w:highlight w:val="none"/>
          <w:lang w:val="en-US" w:eastAsia="zh-CN" w:bidi="ar-SA"/>
        </w:rPr>
        <w:t>等。</w:t>
      </w:r>
    </w:p>
    <w:p w14:paraId="6FCA791B">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3社会保障和就业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14:paraId="5F6DAA6F">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14:paraId="6C3B2A63">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14:paraId="609C90E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14:paraId="3DC2FE5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14:paraId="4DF94C97">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p>
    <w:p w14:paraId="6C13223D">
      <w:pPr>
        <w:spacing w:line="600" w:lineRule="exact"/>
        <w:jc w:val="center"/>
        <w:rPr>
          <w:rStyle w:val="29"/>
          <w:rFonts w:hint="eastAsia" w:ascii="Times New Roman" w:hAnsi="Times New Roman" w:eastAsia="黑体"/>
          <w:b w:val="0"/>
          <w:color w:val="auto"/>
          <w:highlight w:val="none"/>
          <w:lang w:eastAsia="zh-CN"/>
        </w:rPr>
      </w:pPr>
      <w:bookmarkStart w:id="45"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46"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6"/>
    </w:p>
    <w:p w14:paraId="2582ED55">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5DCA7AF1">
      <w:pPr>
        <w:pStyle w:val="15"/>
        <w:keepNext w:val="0"/>
        <w:keepLines w:val="0"/>
        <w:widowControl/>
        <w:suppressLineNumbers w:val="0"/>
        <w:spacing w:before="0" w:beforeAutospacing="0"/>
        <w:ind w:left="0"/>
        <w:jc w:val="center"/>
        <w:rPr>
          <w:rFonts w:hint="eastAsia" w:ascii="仿宋" w:hAnsi="仿宋" w:eastAsia="仿宋" w:cs="仿宋"/>
          <w:sz w:val="32"/>
          <w:szCs w:val="32"/>
        </w:rPr>
      </w:pPr>
      <w:r>
        <w:rPr>
          <w:rFonts w:hint="eastAsia" w:ascii="仿宋" w:hAnsi="仿宋" w:eastAsia="仿宋" w:cs="仿宋"/>
          <w:sz w:val="32"/>
          <w:szCs w:val="32"/>
          <w:shd w:val="clear" w:color="auto" w:fill="FFFFFF"/>
        </w:rPr>
        <w:t> </w:t>
      </w:r>
      <w:r>
        <w:rPr>
          <w:rFonts w:hint="eastAsia" w:ascii="仿宋" w:hAnsi="仿宋" w:eastAsia="仿宋" w:cs="仿宋"/>
          <w:sz w:val="32"/>
          <w:szCs w:val="32"/>
          <w:shd w:val="clear" w:color="auto" w:fill="FFFFFF"/>
          <w:lang w:val="en-US" w:eastAsia="zh-CN"/>
        </w:rPr>
        <w:t>红原县</w:t>
      </w:r>
      <w:r>
        <w:rPr>
          <w:rFonts w:hint="eastAsia" w:ascii="仿宋_GB2312" w:hAnsi="仿宋_GB2312" w:eastAsia="仿宋_GB2312" w:cs="仿宋_GB2312"/>
          <w:sz w:val="32"/>
          <w:szCs w:val="32"/>
          <w:lang w:eastAsia="zh-CN"/>
        </w:rPr>
        <w:t>安曲镇</w:t>
      </w:r>
      <w:r>
        <w:rPr>
          <w:rFonts w:hint="eastAsia" w:ascii="仿宋" w:hAnsi="仿宋" w:eastAsia="仿宋" w:cs="仿宋"/>
          <w:sz w:val="32"/>
          <w:szCs w:val="32"/>
          <w:shd w:val="clear" w:color="auto" w:fill="FFFFFF"/>
          <w:lang w:val="en-US" w:eastAsia="zh-CN"/>
        </w:rPr>
        <w:t>卫生院</w:t>
      </w:r>
      <w:r>
        <w:rPr>
          <w:rFonts w:hint="eastAsia" w:ascii="仿宋" w:hAnsi="仿宋" w:eastAsia="仿宋" w:cs="仿宋"/>
          <w:sz w:val="32"/>
          <w:szCs w:val="32"/>
          <w:shd w:val="clear" w:color="auto" w:fill="FFFFFF"/>
        </w:rPr>
        <w:t>202</w:t>
      </w:r>
      <w:r>
        <w:rPr>
          <w:rFonts w:hint="eastAsia" w:ascii="仿宋" w:hAnsi="仿宋" w:eastAsia="仿宋" w:cs="仿宋"/>
          <w:sz w:val="32"/>
          <w:szCs w:val="32"/>
          <w:shd w:val="clear" w:color="auto" w:fill="FFFFFF"/>
          <w:lang w:val="en-US" w:eastAsia="zh-CN"/>
        </w:rPr>
        <w:t>5</w:t>
      </w:r>
      <w:r>
        <w:rPr>
          <w:rFonts w:hint="eastAsia" w:ascii="仿宋" w:hAnsi="仿宋" w:eastAsia="仿宋" w:cs="仿宋"/>
          <w:sz w:val="32"/>
          <w:szCs w:val="32"/>
          <w:shd w:val="clear" w:color="auto" w:fill="FFFFFF"/>
        </w:rPr>
        <w:t>年</w:t>
      </w:r>
      <w:r>
        <w:rPr>
          <w:rFonts w:hint="eastAsia" w:ascii="仿宋" w:hAnsi="仿宋" w:eastAsia="仿宋" w:cs="仿宋"/>
          <w:sz w:val="32"/>
          <w:szCs w:val="32"/>
          <w:lang w:eastAsia="zh-CN"/>
        </w:rPr>
        <w:t>单位</w:t>
      </w:r>
      <w:r>
        <w:rPr>
          <w:rFonts w:hint="eastAsia" w:ascii="仿宋" w:hAnsi="仿宋" w:eastAsia="仿宋" w:cs="仿宋"/>
          <w:sz w:val="32"/>
          <w:szCs w:val="32"/>
          <w:shd w:val="clear" w:color="auto" w:fill="FFFFFF"/>
        </w:rPr>
        <w:t>整体支出绩效评价报告</w:t>
      </w:r>
    </w:p>
    <w:p w14:paraId="096314FB">
      <w:pPr>
        <w:pStyle w:val="15"/>
        <w:keepNext w:val="0"/>
        <w:keepLines w:val="0"/>
        <w:widowControl/>
        <w:numPr>
          <w:ilvl w:val="0"/>
          <w:numId w:val="4"/>
        </w:numPr>
        <w:suppressLineNumbers w:val="0"/>
        <w:spacing w:before="0" w:beforeAutospacing="0"/>
        <w:ind w:left="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部门（单位）概况</w:t>
      </w:r>
    </w:p>
    <w:p w14:paraId="0B648E1E">
      <w:pPr>
        <w:pStyle w:val="15"/>
        <w:keepNext w:val="0"/>
        <w:keepLines w:val="0"/>
        <w:widowControl/>
        <w:numPr>
          <w:ilvl w:val="0"/>
          <w:numId w:val="5"/>
        </w:numPr>
        <w:suppressLineNumbers w:val="0"/>
        <w:spacing w:before="0" w:beforeAutospacing="0"/>
        <w:ind w:right="0" w:right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机构组成。</w:t>
      </w:r>
    </w:p>
    <w:p w14:paraId="1A5F49B7">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zh-CN" w:eastAsia="zh-CN" w:bidi="ar"/>
        </w:rPr>
        <w:t>我单位为独立核算全额拨款事业单位，下设</w:t>
      </w:r>
      <w:r>
        <w:rPr>
          <w:rFonts w:hint="eastAsia" w:ascii="仿宋" w:hAnsi="仿宋" w:eastAsia="仿宋" w:cs="仿宋"/>
          <w:color w:val="000000"/>
          <w:kern w:val="0"/>
          <w:sz w:val="32"/>
          <w:szCs w:val="32"/>
          <w:lang w:val="en-US" w:eastAsia="zh-CN" w:bidi="ar"/>
        </w:rPr>
        <w:t>1机构。</w:t>
      </w:r>
    </w:p>
    <w:p w14:paraId="2E024258">
      <w:pPr>
        <w:pStyle w:val="15"/>
        <w:keepNext w:val="0"/>
        <w:keepLines w:val="0"/>
        <w:widowControl/>
        <w:numPr>
          <w:ilvl w:val="0"/>
          <w:numId w:val="5"/>
        </w:numPr>
        <w:suppressLineNumbers w:val="0"/>
        <w:spacing w:before="0" w:beforeAutospacing="0"/>
        <w:ind w:left="0" w:leftChars="0" w:right="0" w:rightChars="0" w:firstLine="0" w:firstLine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机构职能。</w:t>
      </w:r>
    </w:p>
    <w:p w14:paraId="3194A1F0">
      <w:pPr>
        <w:pStyle w:val="15"/>
        <w:keepNext w:val="0"/>
        <w:keepLines w:val="0"/>
        <w:widowControl/>
        <w:numPr>
          <w:ilvl w:val="0"/>
          <w:numId w:val="0"/>
        </w:numPr>
        <w:suppressLineNumbers w:val="0"/>
        <w:spacing w:before="0" w:beforeAutospacing="0"/>
        <w:ind w:leftChars="0" w:right="0" w:rightChars="0" w:firstLine="640" w:firstLineChars="200"/>
        <w:jc w:val="left"/>
        <w:rPr>
          <w:rFonts w:hint="eastAsia" w:ascii="仿宋" w:hAnsi="仿宋" w:eastAsia="仿宋" w:cs="仿宋"/>
          <w:sz w:val="32"/>
          <w:szCs w:val="32"/>
          <w:lang w:eastAsia="zh-CN"/>
        </w:rPr>
      </w:pP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0994E1F2">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二</w:t>
      </w:r>
      <w:r>
        <w:rPr>
          <w:rFonts w:hint="eastAsia" w:ascii="仿宋" w:hAnsi="仿宋" w:eastAsia="仿宋" w:cs="仿宋"/>
          <w:color w:val="000000"/>
          <w:kern w:val="0"/>
          <w:sz w:val="32"/>
          <w:szCs w:val="32"/>
          <w:lang w:val="zh-CN" w:eastAsia="zh-CN" w:bidi="ar"/>
        </w:rPr>
        <w:t>）人员概况。</w:t>
      </w:r>
    </w:p>
    <w:p w14:paraId="6F300ABC">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color w:val="000000"/>
          <w:kern w:val="0"/>
          <w:sz w:val="32"/>
          <w:szCs w:val="32"/>
          <w:lang w:val="en-US"/>
        </w:rPr>
      </w:pPr>
      <w:r>
        <w:rPr>
          <w:rFonts w:hint="eastAsia" w:ascii="仿宋" w:hAnsi="仿宋" w:eastAsia="仿宋" w:cs="仿宋"/>
          <w:color w:val="000000"/>
          <w:kern w:val="0"/>
          <w:sz w:val="32"/>
          <w:szCs w:val="32"/>
          <w:lang w:val="en-US" w:eastAsia="zh-CN" w:bidi="ar"/>
        </w:rPr>
        <w:t>2025年我院共有编制9个，其中事业编9个，在职9人,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9</w:t>
      </w:r>
      <w:r>
        <w:rPr>
          <w:rFonts w:hint="eastAsia" w:ascii="仿宋" w:hAnsi="仿宋" w:eastAsia="仿宋" w:cs="仿宋"/>
          <w:bCs/>
          <w:sz w:val="32"/>
          <w:szCs w:val="32"/>
        </w:rPr>
        <w:t>人。</w:t>
      </w:r>
      <w:r>
        <w:rPr>
          <w:rFonts w:hint="eastAsia" w:ascii="仿宋" w:hAnsi="仿宋" w:eastAsia="仿宋" w:cs="仿宋"/>
          <w:color w:val="000000"/>
          <w:kern w:val="0"/>
          <w:sz w:val="32"/>
          <w:szCs w:val="32"/>
          <w:lang w:val="en-US" w:eastAsia="zh-CN" w:bidi="ar"/>
        </w:rPr>
        <w:t>二、部门财政资金收支情况</w:t>
      </w:r>
    </w:p>
    <w:p w14:paraId="79A27815">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财政资金收入情况。</w:t>
      </w:r>
    </w:p>
    <w:p w14:paraId="2E800579">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_GB2312" w:hAnsi="仿宋_GB2312" w:eastAsia="仿宋_GB2312" w:cs="仿宋_GB2312"/>
          <w:sz w:val="32"/>
          <w:szCs w:val="32"/>
          <w:lang w:eastAsia="zh-CN"/>
        </w:rPr>
        <w:t>安曲镇</w:t>
      </w:r>
      <w:r>
        <w:rPr>
          <w:rFonts w:hint="eastAsia" w:ascii="仿宋" w:hAnsi="仿宋" w:eastAsia="仿宋" w:cs="仿宋"/>
          <w:b w:val="0"/>
          <w:color w:val="000000"/>
          <w:sz w:val="32"/>
          <w:szCs w:val="32"/>
          <w:lang w:eastAsia="zh-CN"/>
        </w:rPr>
        <w:t>卫生院</w:t>
      </w:r>
      <w:r>
        <w:rPr>
          <w:rFonts w:hint="eastAsia" w:ascii="仿宋" w:hAnsi="仿宋" w:eastAsia="仿宋" w:cs="仿宋"/>
          <w:b w:val="0"/>
          <w:color w:val="000000"/>
          <w:sz w:val="32"/>
          <w:szCs w:val="32"/>
        </w:rPr>
        <w:t>收入合计</w:t>
      </w:r>
      <w:r>
        <w:rPr>
          <w:rFonts w:hint="eastAsia" w:ascii="仿宋" w:hAnsi="仿宋" w:eastAsia="仿宋" w:cs="仿宋"/>
          <w:b w:val="0"/>
          <w:color w:val="000000"/>
          <w:sz w:val="32"/>
          <w:szCs w:val="32"/>
          <w:lang w:val="en-US" w:eastAsia="zh-CN"/>
        </w:rPr>
        <w:t>263.40万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，其中：一般公共预算财政拨款收入</w:t>
      </w:r>
      <w:r>
        <w:rPr>
          <w:rFonts w:hint="eastAsia" w:ascii="仿宋" w:hAnsi="仿宋" w:eastAsia="仿宋" w:cs="仿宋"/>
          <w:b w:val="0"/>
          <w:color w:val="000000"/>
          <w:sz w:val="32"/>
          <w:szCs w:val="32"/>
          <w:lang w:val="en-US" w:eastAsia="zh-CN"/>
        </w:rPr>
        <w:t>250.99万</w:t>
      </w:r>
      <w:r>
        <w:rPr>
          <w:rFonts w:hint="eastAsia" w:ascii="仿宋" w:hAnsi="仿宋" w:eastAsia="仿宋" w:cs="仿宋"/>
          <w:b w:val="0"/>
          <w:color w:val="000000"/>
          <w:sz w:val="32"/>
          <w:szCs w:val="32"/>
          <w:lang w:eastAsia="zh-CN"/>
        </w:rPr>
        <w:t>元。</w:t>
      </w:r>
    </w:p>
    <w:p w14:paraId="00828E68">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二</w:t>
      </w:r>
      <w:r>
        <w:rPr>
          <w:rFonts w:hint="eastAsia" w:ascii="仿宋" w:hAnsi="仿宋" w:eastAsia="仿宋" w:cs="仿宋"/>
          <w:color w:val="000000"/>
          <w:kern w:val="0"/>
          <w:sz w:val="32"/>
          <w:szCs w:val="32"/>
          <w:lang w:val="zh-CN" w:eastAsia="zh-CN" w:bidi="ar"/>
        </w:rPr>
        <w:t>）</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财政资金支出情况。</w:t>
      </w:r>
    </w:p>
    <w:p w14:paraId="7A228716">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_GB2312" w:hAnsi="仿宋_GB2312" w:eastAsia="仿宋_GB2312" w:cs="仿宋_GB2312"/>
          <w:sz w:val="32"/>
          <w:szCs w:val="32"/>
          <w:lang w:eastAsia="zh-CN"/>
        </w:rPr>
        <w:t>安曲镇</w:t>
      </w:r>
      <w:r>
        <w:rPr>
          <w:rFonts w:hint="eastAsia" w:ascii="仿宋" w:hAnsi="仿宋" w:eastAsia="仿宋" w:cs="仿宋"/>
          <w:b w:val="0"/>
          <w:color w:val="000000"/>
          <w:sz w:val="32"/>
          <w:szCs w:val="32"/>
          <w:lang w:eastAsia="zh-CN"/>
        </w:rPr>
        <w:t>卫生院</w:t>
      </w:r>
      <w:r>
        <w:rPr>
          <w:rFonts w:hint="eastAsia" w:ascii="仿宋" w:hAnsi="仿宋" w:eastAsia="仿宋" w:cs="仿宋"/>
          <w:b w:val="0"/>
          <w:color w:val="000000"/>
          <w:sz w:val="32"/>
          <w:szCs w:val="32"/>
        </w:rPr>
        <w:t>支出合计</w:t>
      </w:r>
      <w:r>
        <w:rPr>
          <w:rFonts w:hint="eastAsia" w:ascii="仿宋" w:hAnsi="仿宋" w:eastAsia="仿宋" w:cs="仿宋"/>
          <w:b w:val="0"/>
          <w:color w:val="000000"/>
          <w:sz w:val="32"/>
          <w:szCs w:val="32"/>
          <w:lang w:val="en-US" w:eastAsia="zh-CN"/>
        </w:rPr>
        <w:t>263.40万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，其中：基本支出</w:t>
      </w:r>
      <w:r>
        <w:rPr>
          <w:rFonts w:hint="eastAsia" w:ascii="仿宋" w:hAnsi="仿宋" w:eastAsia="仿宋" w:cs="仿宋"/>
          <w:b w:val="0"/>
          <w:color w:val="000000"/>
          <w:sz w:val="32"/>
          <w:szCs w:val="32"/>
          <w:lang w:val="en-US" w:eastAsia="zh-CN"/>
        </w:rPr>
        <w:t>240.19万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lang w:val="en-US" w:eastAsia="zh-CN"/>
        </w:rPr>
        <w:t>,</w:t>
      </w:r>
      <w:r>
        <w:rPr>
          <w:rFonts w:hint="eastAsia" w:ascii="仿宋" w:hAnsi="仿宋" w:eastAsia="仿宋" w:cs="仿宋"/>
          <w:b w:val="0"/>
          <w:color w:val="000000"/>
          <w:sz w:val="32"/>
          <w:szCs w:val="32"/>
        </w:rPr>
        <w:t>项目支出</w:t>
      </w:r>
      <w:r>
        <w:rPr>
          <w:rFonts w:hint="eastAsia" w:ascii="仿宋" w:hAnsi="仿宋" w:eastAsia="仿宋" w:cs="仿宋"/>
          <w:b w:val="0"/>
          <w:color w:val="000000"/>
          <w:sz w:val="32"/>
          <w:szCs w:val="32"/>
          <w:lang w:val="en-US" w:eastAsia="zh-CN"/>
        </w:rPr>
        <w:t>23.21元。</w:t>
      </w:r>
    </w:p>
    <w:p w14:paraId="2836E4C2">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color w:val="000000"/>
          <w:kern w:val="0"/>
          <w:sz w:val="32"/>
          <w:szCs w:val="32"/>
          <w:lang w:val="en-US"/>
        </w:rPr>
      </w:pPr>
      <w:r>
        <w:rPr>
          <w:rFonts w:hint="eastAsia" w:ascii="仿宋" w:hAnsi="仿宋" w:eastAsia="仿宋" w:cs="仿宋"/>
          <w:color w:val="000000"/>
          <w:kern w:val="0"/>
          <w:sz w:val="32"/>
          <w:szCs w:val="32"/>
          <w:lang w:val="en-US" w:eastAsia="zh-CN" w:bidi="ar"/>
        </w:rPr>
        <w:t>三、</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en-US" w:eastAsia="zh-CN" w:bidi="ar"/>
        </w:rPr>
        <w:t>整体预算绩效管理情况</w:t>
      </w:r>
    </w:p>
    <w:p w14:paraId="4B665E8C">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预算</w:t>
      </w:r>
      <w:r>
        <w:rPr>
          <w:rFonts w:hint="eastAsia" w:ascii="仿宋" w:hAnsi="仿宋" w:eastAsia="仿宋" w:cs="仿宋"/>
          <w:color w:val="000000"/>
          <w:kern w:val="0"/>
          <w:sz w:val="32"/>
          <w:szCs w:val="32"/>
          <w:lang w:val="en-US" w:eastAsia="zh-CN" w:bidi="ar"/>
        </w:rPr>
        <w:t>管理</w:t>
      </w:r>
      <w:r>
        <w:rPr>
          <w:rFonts w:hint="eastAsia" w:ascii="仿宋" w:hAnsi="仿宋" w:eastAsia="仿宋" w:cs="仿宋"/>
          <w:color w:val="000000"/>
          <w:kern w:val="0"/>
          <w:sz w:val="32"/>
          <w:szCs w:val="32"/>
          <w:lang w:val="zh-CN" w:eastAsia="zh-CN" w:bidi="ar"/>
        </w:rPr>
        <w:t>。</w:t>
      </w:r>
    </w:p>
    <w:p w14:paraId="5A9DB76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根据《中华人民共和国预算法》及</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红原县</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财政局印发的《关于</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下达</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2025年</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部门预算的通知》要求，结合本单位实际，按照增收节支、厉行节约、绩效优化的原则，从严从紧编制预算。细化支出预算编制，推进预算信息公开，深化预算绩效管理，提高资金使用效益。</w:t>
      </w:r>
    </w:p>
    <w:p w14:paraId="1D45B75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年预算人员支出对照20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24</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年12月份人员及工资信息编制，日常公用支出按照“经费包干、明细编报”的原则进行编制，重点做好培训费等预算编制。</w:t>
      </w:r>
    </w:p>
    <w:p w14:paraId="3D048CF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对照年初的预算，通过编制部门决算报表，全面、真实、准确的反映了20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年度财政资金的使用情况。</w:t>
      </w:r>
    </w:p>
    <w:p w14:paraId="0D908B07">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1</w:t>
      </w:r>
      <w:r>
        <w:rPr>
          <w:rFonts w:hint="eastAsia" w:ascii="仿宋" w:hAnsi="仿宋" w:eastAsia="仿宋" w:cs="仿宋"/>
          <w:color w:val="000000"/>
          <w:kern w:val="0"/>
          <w:sz w:val="32"/>
          <w:szCs w:val="32"/>
          <w:lang w:val="zh-CN" w:eastAsia="zh-CN" w:bidi="ar"/>
        </w:rPr>
        <w:t>）执行管理情况。</w:t>
      </w:r>
      <w:r>
        <w:rPr>
          <w:rFonts w:hint="eastAsia" w:ascii="仿宋" w:hAnsi="仿宋" w:eastAsia="仿宋" w:cs="仿宋"/>
          <w:color w:val="000000"/>
          <w:kern w:val="0"/>
          <w:sz w:val="32"/>
          <w:szCs w:val="32"/>
          <w:lang w:val="zh-CN" w:eastAsia="zh-CN" w:bidi="ar"/>
        </w:rPr>
        <w:tab/>
      </w:r>
    </w:p>
    <w:p w14:paraId="1325EE2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本着少花钱、多办事、办好事、遵循有预算才支出的原则，20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年财政预算支出全面落实到位，均按规定的用途支付</w:t>
      </w:r>
    </w:p>
    <w:p w14:paraId="7805125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基本支出，是用于保障本单位正常运转的日常支出，包括基本工资、津贴补贴等人员经费以及办公费、印刷费、水电费、办公设备购置等日常公用经费。</w:t>
      </w:r>
    </w:p>
    <w:p w14:paraId="1A8D22B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项目支出，是用于保障本单位为完成特定的</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项上</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工作任务</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用于专项业务工作的经费支出。</w:t>
      </w:r>
    </w:p>
    <w:p w14:paraId="3B00A89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我单位</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年未发生公务出国（境）费用，本着厉行节约的原则，公务用车实行定点加油和维修，使用及维修前报分管领导和主要负责人同意。</w:t>
      </w:r>
    </w:p>
    <w:p w14:paraId="74FE8FFB">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2</w:t>
      </w:r>
      <w:r>
        <w:rPr>
          <w:rFonts w:hint="eastAsia" w:ascii="仿宋" w:hAnsi="仿宋" w:eastAsia="仿宋" w:cs="仿宋"/>
          <w:color w:val="000000"/>
          <w:kern w:val="0"/>
          <w:sz w:val="32"/>
          <w:szCs w:val="32"/>
          <w:lang w:val="zh-CN" w:eastAsia="zh-CN" w:bidi="ar"/>
        </w:rPr>
        <w:t>）综合管理情况。</w:t>
      </w:r>
    </w:p>
    <w:p w14:paraId="56F38825">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lang w:eastAsia="zh-CN"/>
          <w14:textFill>
            <w14:solidFill>
              <w14:schemeClr w14:val="tx1"/>
            </w14:solidFill>
          </w14:textFill>
        </w:rPr>
        <w:t>建立建全内部控制</w:t>
      </w:r>
      <w:r>
        <w:rPr>
          <w:rFonts w:hint="eastAsia" w:ascii="仿宋" w:hAnsi="仿宋" w:eastAsia="仿宋" w:cs="仿宋"/>
          <w:color w:val="000000" w:themeColor="text1"/>
          <w:sz w:val="32"/>
          <w:szCs w:val="32"/>
          <w14:textFill>
            <w14:solidFill>
              <w14:schemeClr w14:val="tx1"/>
            </w14:solidFill>
          </w14:textFill>
        </w:rPr>
        <w:t>制度：我</w:t>
      </w:r>
      <w:r>
        <w:rPr>
          <w:rFonts w:hint="eastAsia" w:ascii="仿宋" w:hAnsi="仿宋" w:eastAsia="仿宋" w:cs="仿宋"/>
          <w:color w:val="000000" w:themeColor="text1"/>
          <w:sz w:val="32"/>
          <w:szCs w:val="32"/>
          <w:lang w:eastAsia="zh-CN"/>
          <w14:textFill>
            <w14:solidFill>
              <w14:schemeClr w14:val="tx1"/>
            </w14:solidFill>
          </w14:textFill>
        </w:rPr>
        <w:t>单位</w:t>
      </w:r>
      <w:r>
        <w:rPr>
          <w:rFonts w:hint="eastAsia" w:ascii="仿宋" w:hAnsi="仿宋" w:eastAsia="仿宋" w:cs="仿宋"/>
          <w:color w:val="000000" w:themeColor="text1"/>
          <w:sz w:val="32"/>
          <w:szCs w:val="32"/>
          <w14:textFill>
            <w14:solidFill>
              <w14:schemeClr w14:val="tx1"/>
            </w14:solidFill>
          </w14:textFill>
        </w:rPr>
        <w:t>加强和规范内部控制，提高内部管理水平和风险防范能力，杜绝违法违纪行为，推进廉政建设，维护社会公众利益，根据《中华人民共和国会计法》、《中华人民共和国预算法》、《行政事业单位内部控制规范》(试行)和其他有关法律法规。</w:t>
      </w:r>
    </w:p>
    <w:p w14:paraId="6D7743FD">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 xml:space="preserve">资金使用合规性：资金支出符合国家财经法规和财务管理制度规定以及有关专项资金管理办法的规定；资金拨付有完整的审批程序和手续；符合部门预算批复的用途；资金使用无截留、挤占、挪用、虚列支出等情况。 </w:t>
      </w:r>
    </w:p>
    <w:p w14:paraId="43CE45CB">
      <w:pPr>
        <w:pStyle w:val="15"/>
        <w:keepNext w:val="0"/>
        <w:keepLines w:val="0"/>
        <w:pageBreakBefore w:val="0"/>
        <w:widowControl/>
        <w:suppressLineNumbers w:val="0"/>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3</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预算信息公开：</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 xml:space="preserve">按规定内容公开预决算信息；按规定时限公开预决算信息；基础数据信息和会计信息资料真实；基础数据信息和会计信息资料完整；基础数据信息和汇集信息资料准确。 </w:t>
      </w:r>
    </w:p>
    <w:p w14:paraId="5BA0DE0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财务信息完善性：经核对</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20</w:t>
      </w:r>
      <w:r>
        <w:rPr>
          <w:rFonts w:hint="eastAsia" w:ascii="仿宋" w:hAnsi="仿宋" w:eastAsia="仿宋" w:cs="仿宋"/>
          <w:color w:val="000000" w:themeColor="text1"/>
          <w:sz w:val="32"/>
          <w:szCs w:val="32"/>
          <w:lang w:val="en-US" w:eastAsia="zh-CN"/>
          <w14:textFill>
            <w14:solidFill>
              <w14:schemeClr w14:val="tx1"/>
            </w14:solidFill>
          </w14:textFill>
        </w:rPr>
        <w:t>25</w:t>
      </w:r>
      <w:r>
        <w:rPr>
          <w:rFonts w:hint="eastAsia" w:ascii="仿宋" w:hAnsi="仿宋" w:eastAsia="仿宋" w:cs="仿宋"/>
          <w:color w:val="000000" w:themeColor="text1"/>
          <w:sz w:val="32"/>
          <w:szCs w:val="32"/>
          <w14:textFill>
            <w14:solidFill>
              <w14:schemeClr w14:val="tx1"/>
            </w14:solidFill>
          </w14:textFill>
        </w:rPr>
        <w:t>年度总账、明细账、决算报表，其结果账账、账表相符；财务信息资料真实、完整、准确</w:t>
      </w:r>
      <w:r>
        <w:rPr>
          <w:rFonts w:hint="eastAsia" w:ascii="仿宋" w:hAnsi="仿宋" w:eastAsia="仿宋" w:cs="仿宋"/>
          <w:color w:val="000000" w:themeColor="text1"/>
          <w:sz w:val="32"/>
          <w:szCs w:val="32"/>
          <w:lang w:eastAsia="zh-CN"/>
          <w14:textFill>
            <w14:solidFill>
              <w14:schemeClr w14:val="tx1"/>
            </w14:solidFill>
          </w14:textFill>
        </w:rPr>
        <w:t>。</w:t>
      </w:r>
    </w:p>
    <w:p w14:paraId="30AF4D0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pP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lang w:val="en-US" w:eastAsia="zh-CN"/>
          <w14:textFill>
            <w14:solidFill>
              <w14:schemeClr w14:val="tx1"/>
            </w14:solidFill>
          </w14:textFill>
        </w:rPr>
        <w:t>3</w:t>
      </w: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t>执行预算制度到位</w:t>
      </w:r>
    </w:p>
    <w:p w14:paraId="046BA48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能够严格执行《预算法》和各项财经纪律，财务管理规范，预算编制合理;二是资金监管到位。经费开支按用途使用合理，做到专帐专管,专款专用；三是人员配备和帐务核算到位。财务人员帐务核算及时规范。</w:t>
      </w:r>
      <w:r>
        <w:rPr>
          <w:rFonts w:hint="eastAsia" w:ascii="仿宋" w:hAnsi="仿宋" w:eastAsia="仿宋" w:cs="仿宋"/>
          <w:color w:val="000000" w:themeColor="text1"/>
          <w:sz w:val="32"/>
          <w:szCs w:val="32"/>
          <w14:textFill>
            <w14:solidFill>
              <w14:schemeClr w14:val="tx1"/>
            </w14:solidFill>
          </w14:textFill>
        </w:rPr>
        <w:t>我单位在财务上进行合理安排和运用，以“认真、严谨、细致”</w:t>
      </w:r>
      <w:r>
        <w:rPr>
          <w:rFonts w:hint="eastAsia" w:ascii="仿宋" w:hAnsi="仿宋" w:eastAsia="仿宋" w:cs="仿宋"/>
          <w:color w:val="000000" w:themeColor="text1"/>
          <w:sz w:val="32"/>
          <w:szCs w:val="32"/>
          <w:lang w:eastAsia="zh-CN"/>
          <w14:textFill>
            <w14:solidFill>
              <w14:schemeClr w14:val="tx1"/>
            </w14:solidFill>
          </w14:textFill>
        </w:rPr>
        <w:t>的</w:t>
      </w:r>
      <w:r>
        <w:rPr>
          <w:rFonts w:hint="eastAsia" w:ascii="仿宋" w:hAnsi="仿宋" w:eastAsia="仿宋" w:cs="仿宋"/>
          <w:color w:val="000000" w:themeColor="text1"/>
          <w:sz w:val="32"/>
          <w:szCs w:val="32"/>
          <w14:textFill>
            <w14:solidFill>
              <w14:schemeClr w14:val="tx1"/>
            </w14:solidFill>
          </w14:textFill>
        </w:rPr>
        <w:t>精神，做好一切财务工作</w:t>
      </w:r>
      <w:r>
        <w:rPr>
          <w:rFonts w:hint="eastAsia" w:ascii="仿宋" w:hAnsi="仿宋" w:eastAsia="仿宋" w:cs="仿宋"/>
          <w:color w:val="000000" w:themeColor="text1"/>
          <w:sz w:val="32"/>
          <w:szCs w:val="32"/>
          <w:lang w:eastAsia="zh-CN"/>
          <w14:textFill>
            <w14:solidFill>
              <w14:schemeClr w14:val="tx1"/>
            </w14:solidFill>
          </w14:textFill>
        </w:rPr>
        <w:t>。</w:t>
      </w:r>
    </w:p>
    <w:p w14:paraId="2450AFD3">
      <w:pPr>
        <w:keepNext w:val="0"/>
        <w:keepLines w:val="0"/>
        <w:pageBreakBefore w:val="0"/>
        <w:kinsoku/>
        <w:wordWrap/>
        <w:overflowPunct/>
        <w:topLinePunct w:val="0"/>
        <w:autoSpaceDE/>
        <w:autoSpaceDN/>
        <w:bidi w:val="0"/>
        <w:adjustRightInd/>
        <w:spacing w:beforeAutospacing="0" w:afterAutospacing="0" w:line="540" w:lineRule="exact"/>
        <w:textAlignment w:val="auto"/>
        <w:rPr>
          <w:rFonts w:hint="eastAsia" w:ascii="仿宋" w:hAnsi="仿宋" w:eastAsia="仿宋" w:cs="仿宋"/>
          <w:b/>
          <w:bCs w:val="0"/>
          <w:color w:val="000000" w:themeColor="text1"/>
          <w:sz w:val="32"/>
          <w:szCs w:val="32"/>
          <w:lang w:eastAsia="zh-CN"/>
          <w14:textFill>
            <w14:solidFill>
              <w14:schemeClr w14:val="tx1"/>
            </w14:solidFill>
          </w14:textFill>
        </w:rPr>
      </w:pPr>
      <w:r>
        <w:rPr>
          <w:rFonts w:hint="eastAsia" w:ascii="仿宋" w:hAnsi="仿宋" w:eastAsia="仿宋" w:cs="仿宋"/>
          <w:color w:val="000000"/>
          <w:kern w:val="0"/>
          <w:sz w:val="32"/>
          <w:szCs w:val="32"/>
          <w:lang w:val="en-US" w:eastAsia="zh-CN" w:bidi="ar"/>
        </w:rPr>
        <w:t xml:space="preserve"> 四、</w:t>
      </w:r>
      <w:r>
        <w:rPr>
          <w:rFonts w:hint="eastAsia" w:ascii="仿宋" w:hAnsi="仿宋" w:eastAsia="仿宋" w:cs="仿宋"/>
          <w:b/>
          <w:bCs w:val="0"/>
          <w:color w:val="000000" w:themeColor="text1"/>
          <w:sz w:val="32"/>
          <w:szCs w:val="32"/>
          <w:lang w:eastAsia="zh-CN"/>
          <w14:textFill>
            <w14:solidFill>
              <w14:schemeClr w14:val="tx1"/>
            </w14:solidFill>
          </w14:textFill>
        </w:rPr>
        <w:t>评价结论及建议</w:t>
      </w:r>
    </w:p>
    <w:p w14:paraId="37EDC718">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b w:val="0"/>
          <w:bCs/>
          <w:color w:val="000000"/>
          <w:kern w:val="0"/>
          <w:sz w:val="32"/>
          <w:szCs w:val="32"/>
          <w:lang w:val="zh-CN" w:eastAsia="zh-CN"/>
        </w:rPr>
      </w:pPr>
      <w:r>
        <w:rPr>
          <w:rFonts w:hint="eastAsia" w:ascii="仿宋" w:hAnsi="仿宋" w:eastAsia="仿宋" w:cs="仿宋"/>
          <w:color w:val="000000"/>
          <w:kern w:val="0"/>
          <w:sz w:val="32"/>
          <w:szCs w:val="32"/>
          <w:lang w:val="zh-CN" w:eastAsia="zh-CN" w:bidi="ar"/>
        </w:rPr>
        <w:t>（二）评价结论。</w:t>
      </w:r>
      <w:r>
        <w:rPr>
          <w:rStyle w:val="18"/>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经自评20</w:t>
      </w:r>
      <w:r>
        <w:rPr>
          <w:rStyle w:val="18"/>
          <w:rFonts w:hint="eastAsia" w:ascii="仿宋" w:hAnsi="仿宋" w:eastAsia="仿宋" w:cs="仿宋"/>
          <w:b w:val="0"/>
          <w:bCs/>
          <w:i w:val="0"/>
          <w:caps w:val="0"/>
          <w:color w:val="000000" w:themeColor="text1"/>
          <w:spacing w:val="0"/>
          <w:sz w:val="32"/>
          <w:szCs w:val="32"/>
          <w:shd w:val="clear" w:fill="FFFFFF"/>
          <w:lang w:val="en-US" w:eastAsia="zh-CN"/>
          <w14:textFill>
            <w14:solidFill>
              <w14:schemeClr w14:val="tx1"/>
            </w14:solidFill>
          </w14:textFill>
        </w:rPr>
        <w:t>25</w:t>
      </w:r>
      <w:r>
        <w:rPr>
          <w:rStyle w:val="18"/>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年度</w:t>
      </w:r>
      <w:r>
        <w:rPr>
          <w:rStyle w:val="18"/>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本单位整体</w:t>
      </w:r>
      <w:r>
        <w:rPr>
          <w:rStyle w:val="18"/>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支出绩效</w:t>
      </w:r>
      <w:r>
        <w:rPr>
          <w:rStyle w:val="18"/>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评价为优秀</w:t>
      </w:r>
      <w:r>
        <w:rPr>
          <w:rStyle w:val="18"/>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w:t>
      </w:r>
    </w:p>
    <w:p w14:paraId="1832653E">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（三）存在问题。</w:t>
      </w:r>
    </w:p>
    <w:p w14:paraId="4B6745E0">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内部控制制度缺乏完善，需要完善机制，财务人员</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需要加强培训</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指导。</w:t>
      </w:r>
    </w:p>
    <w:p w14:paraId="75B1DA81">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（四）改进建议。</w:t>
      </w:r>
    </w:p>
    <w:p w14:paraId="4AADEAC2">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建立长效机制，严格财务管理，加强财务监督，坚持厉行节约，严格</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杜绝</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现金支出。加强事业单位会计制度的学习，准且完整的核算部门全年收入支出，确保不漏记多记支。     </w:t>
      </w:r>
    </w:p>
    <w:p w14:paraId="4671F3EF">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7E26C9E1">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079DFC23">
      <w:pPr>
        <w:pStyle w:val="5"/>
        <w:rPr>
          <w:rFonts w:hint="eastAsia" w:ascii="Times New Roman" w:hAnsi="Times New Roman" w:cs="宋体"/>
          <w:color w:val="FF0000"/>
          <w:kern w:val="0"/>
          <w:sz w:val="32"/>
          <w:szCs w:val="32"/>
          <w:highlight w:val="yellow"/>
          <w:shd w:val="clear" w:color="auto" w:fill="FFFFFF"/>
          <w:lang w:val="zh-CN"/>
        </w:rPr>
      </w:pPr>
    </w:p>
    <w:p w14:paraId="715A4232">
      <w:pPr>
        <w:rPr>
          <w:rFonts w:hint="eastAsia" w:ascii="Times New Roman" w:hAnsi="Times New Roman" w:eastAsia="黑体" w:cs="黑体"/>
          <w:color w:val="auto"/>
          <w:kern w:val="0"/>
          <w:sz w:val="32"/>
          <w:szCs w:val="32"/>
          <w:highlight w:val="none"/>
          <w:shd w:val="clear" w:color="auto" w:fill="FFFFFF"/>
          <w:lang w:val="zh-CN"/>
        </w:rPr>
      </w:pPr>
    </w:p>
    <w:p w14:paraId="6D7C7331">
      <w:pPr>
        <w:rPr>
          <w:rFonts w:hint="eastAsia" w:ascii="Times New Roman" w:hAnsi="Times New Roman" w:eastAsia="黑体" w:cs="黑体"/>
          <w:color w:val="auto"/>
          <w:kern w:val="0"/>
          <w:sz w:val="32"/>
          <w:szCs w:val="32"/>
          <w:highlight w:val="none"/>
          <w:shd w:val="clear" w:color="auto" w:fill="FFFFFF"/>
          <w:lang w:val="zh-CN"/>
        </w:rPr>
      </w:pPr>
    </w:p>
    <w:p w14:paraId="05CBC4D3">
      <w:pPr>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4B0714ED">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bookmarkEnd w:id="45"/>
    <w:p w14:paraId="49D5A0C6">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4F31D28D">
      <w:pPr>
        <w:spacing w:line="580" w:lineRule="exact"/>
        <w:rPr>
          <w:rFonts w:hint="eastAsia" w:ascii="仿宋" w:hAnsi="仿宋" w:eastAsia="仿宋" w:cs="仿宋"/>
          <w:color w:val="auto"/>
          <w:sz w:val="32"/>
          <w:szCs w:val="32"/>
          <w:highlight w:val="none"/>
          <w:lang w:val="en-US" w:eastAsia="zh-CN"/>
        </w:rPr>
      </w:pPr>
      <w:bookmarkStart w:id="47" w:name="_Toc15396618"/>
      <w:r>
        <w:rPr>
          <w:rFonts w:hint="eastAsia"/>
          <w:sz w:val="24"/>
          <w:szCs w:val="24"/>
          <w:shd w:val="clear" w:color="auto" w:fill="FFFFFF"/>
          <w:lang w:val="en-US" w:eastAsia="zh-CN"/>
        </w:rPr>
        <w:t xml:space="preserve">                       </w:t>
      </w:r>
      <w:r>
        <w:rPr>
          <w:rFonts w:hint="eastAsia" w:ascii="仿宋" w:hAnsi="仿宋" w:eastAsia="仿宋" w:cs="仿宋"/>
          <w:color w:val="auto"/>
          <w:sz w:val="32"/>
          <w:szCs w:val="32"/>
          <w:highlight w:val="none"/>
          <w:lang w:val="en-US" w:eastAsia="zh-CN"/>
        </w:rPr>
        <w:t>红原县</w:t>
      </w:r>
      <w:r>
        <w:rPr>
          <w:rFonts w:hint="eastAsia" w:ascii="仿宋_GB2312" w:hAnsi="仿宋_GB2312" w:eastAsia="仿宋_GB2312" w:cs="仿宋_GB2312"/>
          <w:sz w:val="32"/>
          <w:szCs w:val="32"/>
          <w:lang w:eastAsia="zh-CN"/>
        </w:rPr>
        <w:t>安曲镇</w:t>
      </w:r>
      <w:r>
        <w:rPr>
          <w:rFonts w:hint="eastAsia" w:ascii="仿宋" w:hAnsi="仿宋" w:eastAsia="仿宋" w:cs="仿宋"/>
          <w:color w:val="auto"/>
          <w:sz w:val="32"/>
          <w:szCs w:val="32"/>
          <w:highlight w:val="none"/>
          <w:lang w:val="en-US" w:eastAsia="zh-CN"/>
        </w:rPr>
        <w:t>卫生院</w:t>
      </w:r>
    </w:p>
    <w:p w14:paraId="6D7E8576">
      <w:pPr>
        <w:pStyle w:val="35"/>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14:paraId="1EFDADD8">
      <w:pPr>
        <w:pStyle w:val="35"/>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zh-CN"/>
        </w:rPr>
      </w:pPr>
      <w:r>
        <w:rPr>
          <w:rFonts w:hint="eastAsia" w:ascii="仿宋" w:hAnsi="仿宋" w:eastAsia="仿宋" w:cs="仿宋"/>
          <w:sz w:val="32"/>
          <w:szCs w:val="32"/>
        </w:rPr>
        <w:t>一、</w:t>
      </w:r>
      <w:r>
        <w:rPr>
          <w:rFonts w:hint="eastAsia" w:ascii="仿宋" w:hAnsi="仿宋" w:eastAsia="仿宋" w:cs="仿宋"/>
          <w:sz w:val="32"/>
          <w:szCs w:val="32"/>
          <w:lang w:val="zh-CN"/>
        </w:rPr>
        <w:t>项目概况</w:t>
      </w:r>
    </w:p>
    <w:p w14:paraId="0B7A5883">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14:paraId="06A634EC">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14:paraId="6C2ECF12">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14:paraId="3D46A56D">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14:paraId="74944E24">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14:paraId="10696A91">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14:paraId="4AC5B29A">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14:paraId="1E7D1D6A">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14:paraId="67A20A43">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14:paraId="7E60E455">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14:paraId="2AAD187E">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14:paraId="5278437D">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14:paraId="4C369D30">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14:paraId="4D271D7D">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14:paraId="4AEA67DC">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（二）资金计划、到位及使用情况（可用表格形式反映）。</w:t>
      </w:r>
    </w:p>
    <w:p w14:paraId="01A5C283">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14:paraId="1D46B163">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14:paraId="12BC8E3D">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14:paraId="625BC2FB">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14:paraId="69CB0025">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14:paraId="6A0E3B6F">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14:paraId="3115770C">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14:paraId="75491E03">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14:paraId="25A70E2A">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14:paraId="3803265F">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14:paraId="725E6C85">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14:paraId="14E24AC6">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14:paraId="79D136B5">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14:paraId="39D3C3B6">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14:paraId="147CD14C">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14:paraId="56D1CCC8">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14:paraId="0048C764">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14:paraId="32810E8F">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（三）相关建议。</w:t>
      </w:r>
    </w:p>
    <w:p w14:paraId="3536EDC5">
      <w:pPr>
        <w:pStyle w:val="15"/>
        <w:keepNext w:val="0"/>
        <w:keepLines w:val="0"/>
        <w:widowControl/>
        <w:suppressLineNumbers w:val="0"/>
        <w:spacing w:before="0" w:beforeAutospacing="0"/>
        <w:ind w:left="0" w:firstLine="643" w:firstLineChars="200"/>
        <w:jc w:val="left"/>
        <w:rPr>
          <w:rFonts w:hint="eastAsia" w:ascii="仿宋" w:hAnsi="仿宋" w:eastAsia="仿宋" w:cs="仿宋"/>
          <w:sz w:val="32"/>
          <w:szCs w:val="32"/>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14:paraId="0B37672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b w:val="0"/>
          <w:bCs w:val="0"/>
          <w:kern w:val="0"/>
          <w:position w:val="0"/>
          <w:sz w:val="32"/>
          <w:szCs w:val="32"/>
          <w:highlight w:val="none"/>
          <w:lang w:val="en-US" w:eastAsia="zh-CN" w:bidi="ar-SA"/>
        </w:rPr>
      </w:pPr>
      <w:r>
        <w:rPr>
          <w:rFonts w:hint="eastAsia" w:ascii="仿宋" w:hAnsi="仿宋" w:eastAsia="仿宋" w:cs="仿宋"/>
          <w:b w:val="0"/>
          <w:bCs w:val="0"/>
          <w:kern w:val="0"/>
          <w:position w:val="0"/>
          <w:sz w:val="32"/>
          <w:szCs w:val="32"/>
          <w:highlight w:val="none"/>
          <w:lang w:val="en-US" w:eastAsia="zh-CN" w:bidi="ar-SA"/>
        </w:rPr>
        <w:br w:type="page"/>
      </w:r>
    </w:p>
    <w:p w14:paraId="74B29F8E">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End w:id="47"/>
      <w:bookmarkStart w:id="48" w:name="_Toc15396619"/>
    </w:p>
    <w:p w14:paraId="1C703AA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7DD15AB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8"/>
    </w:p>
    <w:p w14:paraId="3628E40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0"/>
      <w:r>
        <w:rPr>
          <w:rFonts w:hint="eastAsia" w:ascii="Times New Roman" w:hAnsi="Times New Roman" w:eastAsia="仿宋_GB2312" w:cs="仿宋_GB2312"/>
          <w:color w:val="auto"/>
          <w:sz w:val="32"/>
          <w:szCs w:val="32"/>
          <w:highlight w:val="none"/>
        </w:rPr>
        <w:t>二、收入决算表</w:t>
      </w:r>
      <w:bookmarkEnd w:id="49"/>
    </w:p>
    <w:p w14:paraId="0687EDE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1"/>
      <w:r>
        <w:rPr>
          <w:rFonts w:hint="eastAsia" w:ascii="Times New Roman" w:hAnsi="Times New Roman" w:eastAsia="仿宋_GB2312" w:cs="仿宋_GB2312"/>
          <w:color w:val="auto"/>
          <w:sz w:val="32"/>
          <w:szCs w:val="32"/>
          <w:highlight w:val="none"/>
        </w:rPr>
        <w:t>三、支出决算表</w:t>
      </w:r>
      <w:bookmarkEnd w:id="50"/>
    </w:p>
    <w:p w14:paraId="54ED5A44">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2"/>
      <w:r>
        <w:rPr>
          <w:rFonts w:hint="eastAsia" w:ascii="Times New Roman" w:hAnsi="Times New Roman" w:eastAsia="仿宋_GB2312" w:cs="仿宋_GB2312"/>
          <w:color w:val="auto"/>
          <w:sz w:val="32"/>
          <w:szCs w:val="32"/>
          <w:highlight w:val="none"/>
        </w:rPr>
        <w:t>四、财政拨款收入支出决算总表</w:t>
      </w:r>
      <w:bookmarkEnd w:id="51"/>
    </w:p>
    <w:p w14:paraId="5E1B31E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3"/>
      <w:r>
        <w:rPr>
          <w:rFonts w:hint="eastAsia" w:ascii="Times New Roman" w:hAnsi="Times New Roman" w:eastAsia="仿宋_GB2312" w:cs="仿宋_GB2312"/>
          <w:color w:val="auto"/>
          <w:sz w:val="32"/>
          <w:szCs w:val="32"/>
          <w:highlight w:val="none"/>
        </w:rPr>
        <w:t>五、财政拨款支出决算明细表</w:t>
      </w:r>
      <w:bookmarkEnd w:id="52"/>
      <w:bookmarkStart w:id="53" w:name="_Toc15396624"/>
    </w:p>
    <w:p w14:paraId="7611DE1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3"/>
    </w:p>
    <w:p w14:paraId="4AE2356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5"/>
      <w:r>
        <w:rPr>
          <w:rFonts w:hint="eastAsia" w:ascii="Times New Roman" w:hAnsi="Times New Roman" w:eastAsia="仿宋_GB2312" w:cs="仿宋_GB2312"/>
          <w:color w:val="auto"/>
          <w:sz w:val="32"/>
          <w:szCs w:val="32"/>
          <w:highlight w:val="none"/>
        </w:rPr>
        <w:t>七、一般公共预算财政拨款支出决算明细表</w:t>
      </w:r>
      <w:bookmarkEnd w:id="54"/>
    </w:p>
    <w:p w14:paraId="16BFD0D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6"/>
      <w:r>
        <w:rPr>
          <w:rFonts w:hint="eastAsia" w:ascii="Times New Roman" w:hAnsi="Times New Roman" w:eastAsia="仿宋_GB2312" w:cs="仿宋_GB2312"/>
          <w:color w:val="auto"/>
          <w:sz w:val="32"/>
          <w:szCs w:val="32"/>
          <w:highlight w:val="none"/>
        </w:rPr>
        <w:t>八、一般公共预算财政拨款基本支出决算表</w:t>
      </w:r>
      <w:bookmarkEnd w:id="55"/>
    </w:p>
    <w:p w14:paraId="16DE393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7"/>
      <w:r>
        <w:rPr>
          <w:rFonts w:hint="eastAsia" w:ascii="Times New Roman" w:hAnsi="Times New Roman" w:eastAsia="仿宋_GB2312" w:cs="仿宋_GB2312"/>
          <w:color w:val="auto"/>
          <w:sz w:val="32"/>
          <w:szCs w:val="32"/>
          <w:highlight w:val="none"/>
        </w:rPr>
        <w:t>九、一般公共预算财政拨款项目支出决算表</w:t>
      </w:r>
      <w:bookmarkEnd w:id="56"/>
    </w:p>
    <w:p w14:paraId="7AB5005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8"/>
      <w:r>
        <w:rPr>
          <w:rFonts w:hint="eastAsia" w:ascii="Times New Roman" w:hAnsi="Times New Roman" w:eastAsia="仿宋_GB2312" w:cs="仿宋_GB2312"/>
          <w:color w:val="auto"/>
          <w:sz w:val="32"/>
          <w:szCs w:val="32"/>
          <w:highlight w:val="none"/>
        </w:rPr>
        <w:t>十、</w:t>
      </w:r>
      <w:bookmarkEnd w:id="57"/>
      <w:r>
        <w:rPr>
          <w:rFonts w:hint="eastAsia" w:ascii="Times New Roman" w:hAnsi="Times New Roman" w:eastAsia="仿宋_GB2312" w:cs="仿宋_GB2312"/>
          <w:color w:val="auto"/>
          <w:sz w:val="32"/>
          <w:szCs w:val="32"/>
          <w:highlight w:val="none"/>
        </w:rPr>
        <w:t>政府性基金预算财政拨款收入支出决算表</w:t>
      </w:r>
    </w:p>
    <w:p w14:paraId="4818785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9"/>
      <w:r>
        <w:rPr>
          <w:rFonts w:hint="eastAsia" w:ascii="Times New Roman" w:hAnsi="Times New Roman" w:eastAsia="仿宋_GB2312" w:cs="仿宋_GB2312"/>
          <w:color w:val="auto"/>
          <w:sz w:val="32"/>
          <w:szCs w:val="32"/>
          <w:highlight w:val="none"/>
        </w:rPr>
        <w:t>十一、</w:t>
      </w:r>
      <w:bookmarkEnd w:id="58"/>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7AB139D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30"/>
      <w:r>
        <w:rPr>
          <w:rFonts w:hint="eastAsia" w:ascii="Times New Roman" w:hAnsi="Times New Roman" w:eastAsia="仿宋_GB2312" w:cs="仿宋_GB2312"/>
          <w:color w:val="auto"/>
          <w:sz w:val="32"/>
          <w:szCs w:val="32"/>
          <w:highlight w:val="none"/>
        </w:rPr>
        <w:t>十二、</w:t>
      </w:r>
      <w:bookmarkEnd w:id="59"/>
      <w:r>
        <w:rPr>
          <w:rFonts w:hint="eastAsia" w:ascii="Times New Roman" w:hAnsi="Times New Roman" w:eastAsia="仿宋_GB2312" w:cs="仿宋_GB2312"/>
          <w:color w:val="auto"/>
          <w:sz w:val="32"/>
          <w:szCs w:val="32"/>
          <w:highlight w:val="none"/>
          <w:lang w:eastAsia="zh-CN"/>
        </w:rPr>
        <w:t>国有资本经营预算财政拨款支出决算表</w:t>
      </w:r>
    </w:p>
    <w:p w14:paraId="30099ED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0" w:name="_Toc15396631"/>
      <w:r>
        <w:rPr>
          <w:rFonts w:hint="eastAsia" w:ascii="Times New Roman" w:hAnsi="Times New Roman" w:eastAsia="仿宋_GB2312" w:cs="仿宋_GB2312"/>
          <w:color w:val="auto"/>
          <w:sz w:val="32"/>
          <w:szCs w:val="32"/>
          <w:highlight w:val="none"/>
        </w:rPr>
        <w:t>十三、</w:t>
      </w:r>
      <w:bookmarkEnd w:id="60"/>
      <w:r>
        <w:rPr>
          <w:rFonts w:hint="eastAsia" w:ascii="Times New Roman" w:hAnsi="Times New Roman" w:eastAsia="仿宋_GB2312" w:cs="仿宋_GB2312"/>
          <w:color w:val="auto"/>
          <w:sz w:val="32"/>
          <w:szCs w:val="32"/>
          <w:highlight w:val="none"/>
          <w:lang w:eastAsia="zh-CN"/>
        </w:rPr>
        <w:t>财政拨款“三公”经费支出决算表</w:t>
      </w:r>
    </w:p>
    <w:p w14:paraId="2D5D3A44">
      <w:pPr>
        <w:rPr>
          <w:rFonts w:hint="eastAsia" w:ascii="Times New Roman" w:hAnsi="Times New Roman"/>
          <w:lang w:eastAsia="zh-CN"/>
        </w:rPr>
      </w:pPr>
    </w:p>
    <w:p w14:paraId="4F3D06A7">
      <w:pPr>
        <w:rPr>
          <w:rFonts w:hint="eastAsia" w:ascii="Times New Roman" w:hAnsi="Times New Roman"/>
          <w:lang w:eastAsia="zh-CN"/>
        </w:rPr>
      </w:pPr>
    </w:p>
    <w:sectPr>
      <w:footerReference r:id="rId8" w:type="first"/>
      <w:headerReference r:id="rId6" w:type="default"/>
      <w:footerReference r:id="rId7"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方正公文小标宋">
    <w:altName w:val="宋体"/>
    <w:panose1 w:val="02000500000000000000"/>
    <w:charset w:val="86"/>
    <w:family w:val="auto"/>
    <w:pitch w:val="default"/>
    <w:sig w:usb0="00000000" w:usb1="00000000"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B0E7E">
    <w:pPr>
      <w:pStyle w:val="10"/>
      <w:jc w:val="center"/>
    </w:pPr>
  </w:p>
  <w:p w14:paraId="0093E510">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578B5">
    <w:pPr>
      <w:pStyle w:val="10"/>
      <w:rPr>
        <w:rFonts w:hint="eastAsia" w:eastAsia="宋体"/>
        <w:lang w:val="en-US" w:eastAsia="zh-CN"/>
      </w:rPr>
    </w:pPr>
    <w:r>
      <w:rPr>
        <w:rFonts w:hint="eastAsia"/>
        <w:lang w:val="en-US" w:eastAsia="zh-CN"/>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92C94">
    <w:pPr>
      <w:pStyle w:val="10"/>
      <w:jc w:val="center"/>
    </w:pPr>
  </w:p>
  <w:p w14:paraId="220ACC5D">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92AB6">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90AC9">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2490AC9">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FE24">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77A32">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8EC286"/>
    <w:multiLevelType w:val="singleLevel"/>
    <w:tmpl w:val="068EC286"/>
    <w:lvl w:ilvl="0" w:tentative="0">
      <w:start w:val="1"/>
      <w:numFmt w:val="decimal"/>
      <w:lvlText w:val="%1."/>
      <w:lvlJc w:val="left"/>
      <w:pPr>
        <w:tabs>
          <w:tab w:val="left" w:pos="312"/>
        </w:tabs>
      </w:pPr>
    </w:lvl>
  </w:abstractNum>
  <w:abstractNum w:abstractNumId="1">
    <w:nsid w:val="520A3CC7"/>
    <w:multiLevelType w:val="singleLevel"/>
    <w:tmpl w:val="520A3CC7"/>
    <w:lvl w:ilvl="0" w:tentative="0">
      <w:start w:val="1"/>
      <w:numFmt w:val="chineseCounting"/>
      <w:suff w:val="nothing"/>
      <w:lvlText w:val="%1、"/>
      <w:lvlJc w:val="left"/>
      <w:rPr>
        <w:rFonts w:hint="eastAsia"/>
      </w:rPr>
    </w:lvl>
  </w:abstractNum>
  <w:abstractNum w:abstractNumId="2">
    <w:nsid w:val="6100AD16"/>
    <w:multiLevelType w:val="singleLevel"/>
    <w:tmpl w:val="6100AD16"/>
    <w:lvl w:ilvl="0" w:tentative="0">
      <w:start w:val="1"/>
      <w:numFmt w:val="chineseCounting"/>
      <w:suff w:val="nothing"/>
      <w:lvlText w:val="（%1）"/>
      <w:lvlJc w:val="left"/>
      <w:rPr>
        <w:rFonts w:hint="eastAsia"/>
      </w:rPr>
    </w:lvl>
  </w:abstractNum>
  <w:abstractNum w:abstractNumId="3">
    <w:nsid w:val="68C8D586"/>
    <w:multiLevelType w:val="singleLevel"/>
    <w:tmpl w:val="68C8D586"/>
    <w:lvl w:ilvl="0" w:tentative="0">
      <w:start w:val="1"/>
      <w:numFmt w:val="chineseCounting"/>
      <w:suff w:val="nothing"/>
      <w:lvlText w:val="%1、"/>
      <w:lvlJc w:val="left"/>
    </w:lvl>
  </w:abstractNum>
  <w:abstractNum w:abstractNumId="4">
    <w:nsid w:val="68C911E6"/>
    <w:multiLevelType w:val="singleLevel"/>
    <w:tmpl w:val="68C911E6"/>
    <w:lvl w:ilvl="0" w:tentative="0">
      <w:start w:val="1"/>
      <w:numFmt w:val="decimal"/>
      <w:suff w:val="nothing"/>
      <w:lvlText w:val="%1."/>
      <w:lvlJc w:val="left"/>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0E4515"/>
    <w:rsid w:val="02317B1B"/>
    <w:rsid w:val="02FEBE30"/>
    <w:rsid w:val="061E35DE"/>
    <w:rsid w:val="066E0107"/>
    <w:rsid w:val="07996F6E"/>
    <w:rsid w:val="07DFD8BA"/>
    <w:rsid w:val="0879626F"/>
    <w:rsid w:val="08DB07E4"/>
    <w:rsid w:val="09867E8F"/>
    <w:rsid w:val="0A2032A3"/>
    <w:rsid w:val="0C6C4794"/>
    <w:rsid w:val="0CA8290A"/>
    <w:rsid w:val="0D35B1ED"/>
    <w:rsid w:val="0DE07E2B"/>
    <w:rsid w:val="0F98263C"/>
    <w:rsid w:val="101860EC"/>
    <w:rsid w:val="10C055FF"/>
    <w:rsid w:val="11772AA4"/>
    <w:rsid w:val="118107EC"/>
    <w:rsid w:val="13957196"/>
    <w:rsid w:val="13D50BC4"/>
    <w:rsid w:val="14022904"/>
    <w:rsid w:val="152F2A07"/>
    <w:rsid w:val="165E0673"/>
    <w:rsid w:val="16BB723D"/>
    <w:rsid w:val="16F13FCB"/>
    <w:rsid w:val="186504BB"/>
    <w:rsid w:val="1938089F"/>
    <w:rsid w:val="19A445FC"/>
    <w:rsid w:val="1A680B5C"/>
    <w:rsid w:val="1B7D550C"/>
    <w:rsid w:val="1BE8440E"/>
    <w:rsid w:val="1D155CEE"/>
    <w:rsid w:val="1DE178F3"/>
    <w:rsid w:val="1E740ACF"/>
    <w:rsid w:val="1FF35744"/>
    <w:rsid w:val="1FF6BC77"/>
    <w:rsid w:val="21962A9E"/>
    <w:rsid w:val="21AE7C77"/>
    <w:rsid w:val="22BC3C41"/>
    <w:rsid w:val="232460F2"/>
    <w:rsid w:val="23860B96"/>
    <w:rsid w:val="240371BF"/>
    <w:rsid w:val="260F557C"/>
    <w:rsid w:val="281408E2"/>
    <w:rsid w:val="289162A2"/>
    <w:rsid w:val="29FD04D3"/>
    <w:rsid w:val="2BFF7BC6"/>
    <w:rsid w:val="2C8A61B5"/>
    <w:rsid w:val="2D2E01CF"/>
    <w:rsid w:val="2DF04E50"/>
    <w:rsid w:val="2E9545B0"/>
    <w:rsid w:val="2F040D46"/>
    <w:rsid w:val="2F842A18"/>
    <w:rsid w:val="2FAE5751"/>
    <w:rsid w:val="2FB1A395"/>
    <w:rsid w:val="2FD9A7D8"/>
    <w:rsid w:val="319F7F4E"/>
    <w:rsid w:val="321B2544"/>
    <w:rsid w:val="32E82423"/>
    <w:rsid w:val="3304709D"/>
    <w:rsid w:val="34281836"/>
    <w:rsid w:val="343D7FBD"/>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405224"/>
    <w:rsid w:val="40E54C45"/>
    <w:rsid w:val="41313393"/>
    <w:rsid w:val="43A407DF"/>
    <w:rsid w:val="44515BEA"/>
    <w:rsid w:val="44E268DA"/>
    <w:rsid w:val="450653C5"/>
    <w:rsid w:val="453F7E5B"/>
    <w:rsid w:val="465E4395"/>
    <w:rsid w:val="486A6C7A"/>
    <w:rsid w:val="49176D9B"/>
    <w:rsid w:val="494006BD"/>
    <w:rsid w:val="4A627F82"/>
    <w:rsid w:val="4B0E749A"/>
    <w:rsid w:val="4B4F25DA"/>
    <w:rsid w:val="4BDA0CFB"/>
    <w:rsid w:val="4BE068DB"/>
    <w:rsid w:val="4C1C7129"/>
    <w:rsid w:val="4D3C0CCC"/>
    <w:rsid w:val="4D577224"/>
    <w:rsid w:val="4DBF1CEB"/>
    <w:rsid w:val="4EAB630A"/>
    <w:rsid w:val="4ECE2238"/>
    <w:rsid w:val="4F833267"/>
    <w:rsid w:val="4FE9BD67"/>
    <w:rsid w:val="4FFB052F"/>
    <w:rsid w:val="504C0B64"/>
    <w:rsid w:val="52CA1ED9"/>
    <w:rsid w:val="53083A92"/>
    <w:rsid w:val="537E6D0A"/>
    <w:rsid w:val="53AF27A2"/>
    <w:rsid w:val="53F74C96"/>
    <w:rsid w:val="56E47B74"/>
    <w:rsid w:val="57BD3DD4"/>
    <w:rsid w:val="58992481"/>
    <w:rsid w:val="594226B0"/>
    <w:rsid w:val="59803238"/>
    <w:rsid w:val="5AF92295"/>
    <w:rsid w:val="5BDD79E6"/>
    <w:rsid w:val="5BF561CA"/>
    <w:rsid w:val="5BFF5DFC"/>
    <w:rsid w:val="5CD71FC4"/>
    <w:rsid w:val="5D00683F"/>
    <w:rsid w:val="5D1F11B5"/>
    <w:rsid w:val="5DAE1B18"/>
    <w:rsid w:val="5DE7D9E5"/>
    <w:rsid w:val="5ECEC941"/>
    <w:rsid w:val="5F493CB7"/>
    <w:rsid w:val="5FBF9FF3"/>
    <w:rsid w:val="5FCD4E2C"/>
    <w:rsid w:val="5FD15F49"/>
    <w:rsid w:val="5FEF394A"/>
    <w:rsid w:val="5FF67715"/>
    <w:rsid w:val="60E03845"/>
    <w:rsid w:val="62BF3928"/>
    <w:rsid w:val="62DF0D9C"/>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114781"/>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2E7395E"/>
    <w:rsid w:val="7332FE48"/>
    <w:rsid w:val="73AB61DA"/>
    <w:rsid w:val="73AD73D5"/>
    <w:rsid w:val="73B6EB34"/>
    <w:rsid w:val="73FA497D"/>
    <w:rsid w:val="744731E5"/>
    <w:rsid w:val="74527205"/>
    <w:rsid w:val="74BBD01D"/>
    <w:rsid w:val="74ED5379"/>
    <w:rsid w:val="74FC2395"/>
    <w:rsid w:val="75DEEEC2"/>
    <w:rsid w:val="76E3355F"/>
    <w:rsid w:val="76FF5125"/>
    <w:rsid w:val="775C4CCF"/>
    <w:rsid w:val="776F6FFA"/>
    <w:rsid w:val="778769C8"/>
    <w:rsid w:val="77DC22F5"/>
    <w:rsid w:val="7816339F"/>
    <w:rsid w:val="788F612A"/>
    <w:rsid w:val="79086DAD"/>
    <w:rsid w:val="79974F09"/>
    <w:rsid w:val="79D7FD79"/>
    <w:rsid w:val="79EE5BA4"/>
    <w:rsid w:val="7A894339"/>
    <w:rsid w:val="7AFF7572"/>
    <w:rsid w:val="7B6C7DFB"/>
    <w:rsid w:val="7BBFBED0"/>
    <w:rsid w:val="7BC3E394"/>
    <w:rsid w:val="7C1F3737"/>
    <w:rsid w:val="7CBFC87B"/>
    <w:rsid w:val="7CFE0F48"/>
    <w:rsid w:val="7D7EC23E"/>
    <w:rsid w:val="7D916348"/>
    <w:rsid w:val="7E8ADEBF"/>
    <w:rsid w:val="7EEF11D3"/>
    <w:rsid w:val="7F0971A6"/>
    <w:rsid w:val="7F12191A"/>
    <w:rsid w:val="7F3F679B"/>
    <w:rsid w:val="7F4FC4EF"/>
    <w:rsid w:val="7F5E4D54"/>
    <w:rsid w:val="7F6E0135"/>
    <w:rsid w:val="7FA30C79"/>
    <w:rsid w:val="7FAF8ABF"/>
    <w:rsid w:val="7FB7269E"/>
    <w:rsid w:val="7FBA6073"/>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6"/>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next w:val="1"/>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unhideWhenUsed/>
    <w:uiPriority w:val="99"/>
    <w:pPr>
      <w:spacing w:before="100" w:beforeAutospacing="1" w:after="100" w:afterAutospacing="1"/>
      <w:ind w:left="0" w:right="0"/>
      <w:jc w:val="left"/>
    </w:pPr>
    <w:rPr>
      <w:kern w:val="0"/>
      <w:sz w:val="24"/>
      <w:lang w:val="en-US" w:eastAsia="zh-CN" w:bidi="ar"/>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Char"/>
    <w:link w:val="5"/>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7"/>
    <w:link w:val="2"/>
    <w:qFormat/>
    <w:uiPriority w:val="9"/>
    <w:rPr>
      <w:rFonts w:ascii="Times New Roman" w:hAnsi="Times New Roman"/>
      <w:b/>
      <w:bCs/>
      <w:kern w:val="44"/>
      <w:sz w:val="44"/>
      <w:szCs w:val="44"/>
    </w:rPr>
  </w:style>
  <w:style w:type="character" w:customStyle="1" w:styleId="30">
    <w:name w:val="标题 2 Char"/>
    <w:basedOn w:val="17"/>
    <w:link w:val="3"/>
    <w:qFormat/>
    <w:uiPriority w:val="9"/>
    <w:rPr>
      <w:rFonts w:asciiTheme="majorHAnsi" w:hAnsiTheme="majorHAnsi" w:eastAsiaTheme="majorEastAsia" w:cstheme="majorBidi"/>
      <w:b/>
      <w:bCs/>
      <w:kern w:val="2"/>
      <w:sz w:val="32"/>
      <w:szCs w:val="32"/>
    </w:rPr>
  </w:style>
  <w:style w:type="paragraph" w:customStyle="1" w:styleId="31">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7"/>
    <w:link w:val="9"/>
    <w:semiHidden/>
    <w:qFormat/>
    <w:uiPriority w:val="99"/>
    <w:rPr>
      <w:rFonts w:ascii="Times New Roman" w:hAnsi="Times New Roman"/>
      <w:kern w:val="2"/>
      <w:sz w:val="18"/>
      <w:szCs w:val="18"/>
    </w:rPr>
  </w:style>
  <w:style w:type="character" w:customStyle="1" w:styleId="33">
    <w:name w:val="标题 3 Char"/>
    <w:basedOn w:val="17"/>
    <w:link w:val="4"/>
    <w:qFormat/>
    <w:uiPriority w:val="9"/>
    <w:rPr>
      <w:rFonts w:ascii="Times New Roman" w:hAnsi="Times New Roman"/>
      <w:b/>
      <w:bCs/>
      <w:kern w:val="2"/>
      <w:sz w:val="32"/>
      <w:szCs w:val="32"/>
    </w:rPr>
  </w:style>
  <w:style w:type="paragraph" w:customStyle="1" w:styleId="34">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15773521982315"/>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24年收入</c:v>
                </c:pt>
                <c:pt idx="1">
                  <c:v>25年收入</c:v>
                </c:pt>
              </c:strCache>
            </c:strRef>
          </c:cat>
          <c:val>
            <c:numRef>
              <c:f>Sheet1!$B$2:$B$4</c:f>
              <c:numCache>
                <c:formatCode>General</c:formatCode>
                <c:ptCount val="3"/>
                <c:pt idx="0">
                  <c:v>233.09</c:v>
                </c:pt>
                <c:pt idx="1">
                  <c:v>263.41</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a1cc94d-ff2a-48ae-8692-49f21db2f63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2024年本年收入结构图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财政拨款收入</c:v>
                </c:pt>
                <c:pt idx="1">
                  <c:v>事业收入</c:v>
                </c:pt>
                <c:pt idx="2">
                  <c:v>其他收入</c:v>
                </c:pt>
              </c:strCache>
            </c:strRef>
          </c:cat>
          <c:val>
            <c:numRef>
              <c:f>Sheet1!$B$2:$B$4</c:f>
              <c:numCache>
                <c:formatCode>General</c:formatCode>
                <c:ptCount val="3"/>
                <c:pt idx="0">
                  <c:v>250.99</c:v>
                </c:pt>
                <c:pt idx="1">
                  <c:v>11.49</c:v>
                </c:pt>
                <c:pt idx="2">
                  <c:v>0.92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1298310-6803-4fc2-963f-bc7f79cbf75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2025年本年支出结构图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240.2</c:v>
                </c:pt>
                <c:pt idx="1">
                  <c:v>23.21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a9a5124-3f00-4a74-ad14-7f6a4842002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34452985888836"/>
          <c:y val="0.0659591762564293"/>
        </c:manualLayout>
      </c:layout>
      <c:overlay val="0"/>
      <c:spPr>
        <a:noFill/>
        <a:ln>
          <a:noFill/>
        </a:ln>
        <a:effectLst/>
      </c:spPr>
    </c:title>
    <c:autoTitleDeleted val="0"/>
    <c:plotArea>
      <c:layout>
        <c:manualLayout>
          <c:layoutTarget val="inner"/>
          <c:xMode val="edge"/>
          <c:yMode val="edge"/>
          <c:x val="0.0448692868575494"/>
          <c:y val="0.16676646706586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25年财政支出</c:v>
                </c:pt>
                <c:pt idx="1">
                  <c:v>24年财政支出</c:v>
                </c:pt>
              </c:strCache>
            </c:strRef>
          </c:cat>
          <c:val>
            <c:numRef>
              <c:f>Sheet1!$B$2:$B$3</c:f>
              <c:numCache>
                <c:formatCode>General</c:formatCode>
                <c:ptCount val="2"/>
                <c:pt idx="0">
                  <c:v>250.99</c:v>
                </c:pt>
                <c:pt idx="1">
                  <c:v>233.09</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4d1d34a-5c11-4727-9dc3-c4b2469d279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25年财政收入</c:v>
                </c:pt>
              </c:strCache>
            </c:strRef>
          </c:cat>
          <c:val>
            <c:numRef>
              <c:f>Sheet1!$B$2:$B$4</c:f>
              <c:numCache>
                <c:formatCode>General</c:formatCode>
                <c:ptCount val="3"/>
                <c:pt idx="0">
                  <c:v>233.09</c:v>
                </c:pt>
                <c:pt idx="1">
                  <c:v>250.99</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e3d16e6-319e-49fe-8120-e3f9215d4b1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31.59</c:v>
                </c:pt>
                <c:pt idx="1">
                  <c:v>200.53</c:v>
                </c:pt>
                <c:pt idx="2">
                  <c:v>18.86</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95eb3ad-54ed-4cf1-9699-abafeb363ef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24</Pages>
  <Words>26</Words>
  <Characters>29</Characters>
  <Lines>61</Lines>
  <Paragraphs>17</Paragraphs>
  <TotalTime>3</TotalTime>
  <ScaleCrop>false</ScaleCrop>
  <LinksUpToDate>false</LinksUpToDate>
  <CharactersWithSpaces>56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WPS_1606891043</cp:lastModifiedBy>
  <cp:lastPrinted>2026-08-03T09:27:00Z</cp:lastPrinted>
  <dcterms:modified xsi:type="dcterms:W3CDTF">2026-10-22T02:22:15Z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400D301575C74348A5277D00A7902E06</vt:lpwstr>
  </property>
  <property fmtid="{D5CDD505-2E9C-101B-9397-08002B2CF9AE}" pid="4" name="KSOTemplateDocerSaveRecord">
    <vt:lpwstr>eyJoZGlkIjoiMjg5OWZiMjc2MDJiNDc4NzFjMWM1OGEwN2FmZjdiN2QiLCJ1c2VySWQiOiIxMTQ4NzIyNDAwIn0=</vt:lpwstr>
  </property>
</Properties>
</file>