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rPr>
          <w:rFonts w:hint="eastAsia" w:ascii="黑体" w:hAnsi="黑体" w:eastAsia="黑体" w:cs="黑体"/>
          <w:color w:val="auto"/>
          <w:kern w:val="2"/>
          <w:sz w:val="32"/>
          <w:szCs w:val="32"/>
          <w:highlight w:val="none"/>
          <w:lang w:val="en-US" w:eastAsia="zh-CN" w:bidi="ar-SA"/>
        </w:rPr>
      </w:pPr>
      <w:bookmarkStart w:id="0" w:name="_Toc15396597"/>
      <w:bookmarkStart w:id="1" w:name="_Toc15377193"/>
      <w:bookmarkStart w:id="2" w:name="_Toc15306267"/>
      <w:bookmarkStart w:id="3" w:name="_Toc15396475"/>
      <w:bookmarkStart w:id="4" w:name="_Toc15378441"/>
      <w:bookmarkStart w:id="5" w:name="_Toc15377425"/>
      <w:r>
        <w:rPr>
          <w:rFonts w:hint="eastAsia" w:ascii="黑体" w:hAnsi="黑体" w:eastAsia="黑体" w:cs="黑体"/>
          <w:color w:val="auto"/>
          <w:kern w:val="2"/>
          <w:sz w:val="32"/>
          <w:szCs w:val="32"/>
          <w:highlight w:val="none"/>
          <w:lang w:val="en-US" w:eastAsia="zh-CN" w:bidi="ar-SA"/>
        </w:rPr>
        <w:t>附件4</w:t>
      </w: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7"/>
        <w:rPr>
          <w:rFonts w:hint="eastAsia" w:ascii="Times New Roman" w:hAnsi="Times New Roman" w:eastAsia="方正小标宋简体" w:cs="Times New Roman"/>
          <w:color w:val="auto"/>
          <w:kern w:val="2"/>
          <w:sz w:val="72"/>
          <w:szCs w:val="72"/>
          <w:highlight w:val="none"/>
          <w:lang w:val="en-US" w:eastAsia="zh-CN" w:bidi="ar-SA"/>
        </w:rPr>
      </w:pPr>
    </w:p>
    <w:p>
      <w:pPr>
        <w:pStyle w:val="15"/>
        <w:keepNext w:val="0"/>
        <w:keepLines w:val="0"/>
        <w:widowControl/>
        <w:suppressLineNumbers w:val="0"/>
        <w:spacing w:before="0" w:beforeAutospacing="0"/>
        <w:ind w:left="0"/>
        <w:jc w:val="center"/>
        <w:rPr>
          <w:sz w:val="30"/>
          <w:szCs w:val="30"/>
        </w:rPr>
      </w:pPr>
      <w:r>
        <w:rPr>
          <w:rStyle w:val="17"/>
          <w:sz w:val="30"/>
          <w:szCs w:val="30"/>
          <w:shd w:val="clear" w:color="auto" w:fill="FFFFFF"/>
        </w:rPr>
        <w:t>202</w:t>
      </w:r>
      <w:r>
        <w:rPr>
          <w:rStyle w:val="17"/>
          <w:rFonts w:hint="eastAsia"/>
          <w:sz w:val="30"/>
          <w:szCs w:val="30"/>
          <w:shd w:val="clear" w:color="auto" w:fill="FFFFFF"/>
          <w:lang w:val="en-US" w:eastAsia="zh-CN"/>
        </w:rPr>
        <w:t>5</w:t>
      </w:r>
      <w:r>
        <w:rPr>
          <w:rStyle w:val="17"/>
          <w:sz w:val="30"/>
          <w:szCs w:val="30"/>
          <w:shd w:val="clear" w:color="auto" w:fill="FFFFFF"/>
        </w:rPr>
        <w:t>年度</w:t>
      </w:r>
    </w:p>
    <w:p>
      <w:pPr>
        <w:pStyle w:val="15"/>
        <w:keepNext w:val="0"/>
        <w:keepLines w:val="0"/>
        <w:widowControl/>
        <w:suppressLineNumbers w:val="0"/>
        <w:spacing w:before="0" w:beforeAutospacing="0"/>
        <w:ind w:left="0"/>
        <w:jc w:val="center"/>
      </w:pPr>
      <w:r>
        <w:rPr>
          <w:rStyle w:val="17"/>
          <w:sz w:val="30"/>
          <w:szCs w:val="30"/>
          <w:shd w:val="clear" w:color="auto" w:fill="FFFFFF"/>
        </w:rPr>
        <w:t>阿坝州红原县</w:t>
      </w:r>
      <w:r>
        <w:rPr>
          <w:rStyle w:val="17"/>
          <w:rFonts w:hint="eastAsia"/>
          <w:sz w:val="30"/>
          <w:szCs w:val="30"/>
          <w:shd w:val="clear" w:color="auto" w:fill="FFFFFF"/>
          <w:lang w:eastAsia="zh-CN"/>
        </w:rPr>
        <w:t>瓦切镇中心</w:t>
      </w:r>
      <w:r>
        <w:rPr>
          <w:rStyle w:val="17"/>
          <w:sz w:val="30"/>
          <w:szCs w:val="30"/>
          <w:shd w:val="clear" w:color="auto" w:fill="FFFFFF"/>
        </w:rPr>
        <w:t>卫生院</w:t>
      </w:r>
      <w:r>
        <w:rPr>
          <w:rStyle w:val="17"/>
          <w:rFonts w:hint="eastAsia"/>
          <w:sz w:val="30"/>
          <w:szCs w:val="30"/>
          <w:shd w:val="clear" w:color="auto" w:fill="FFFFFF"/>
          <w:lang w:eastAsia="zh-CN"/>
        </w:rPr>
        <w:t>单位</w:t>
      </w:r>
      <w:r>
        <w:rPr>
          <w:rStyle w:val="17"/>
          <w:sz w:val="30"/>
          <w:szCs w:val="30"/>
          <w:shd w:val="clear" w:color="auto" w:fill="FFFFFF"/>
        </w:rPr>
        <w:t>决算</w:t>
      </w:r>
      <w:r>
        <w:rPr>
          <w:rStyle w:val="17"/>
          <w:rFonts w:hint="eastAsia"/>
          <w:sz w:val="30"/>
          <w:szCs w:val="30"/>
          <w:shd w:val="clear" w:color="auto" w:fill="FFFFFF"/>
          <w:lang w:eastAsia="zh-CN"/>
        </w:rPr>
        <w:t>公开</w:t>
      </w:r>
    </w:p>
    <w:p>
      <w:pPr>
        <w:rPr>
          <w:rFonts w:ascii="Times New Roman" w:hAnsi="Times New Roman"/>
        </w:rPr>
      </w:pPr>
    </w:p>
    <w:p>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pPr>
        <w:widowControl/>
        <w:jc w:val="center"/>
        <w:rPr>
          <w:rFonts w:hint="eastAsia" w:ascii="Times New Roman" w:hAnsi="Times New Roman" w:eastAsia="黑体"/>
          <w:color w:val="auto"/>
          <w:sz w:val="48"/>
          <w:szCs w:val="48"/>
          <w:highlight w:val="none"/>
        </w:rPr>
      </w:pPr>
    </w:p>
    <w:p>
      <w:pPr>
        <w:widowControl/>
        <w:jc w:val="center"/>
        <w:rPr>
          <w:rFonts w:hint="eastAsia" w:ascii="Times New Roman" w:hAnsi="Times New Roman" w:eastAsia="黑体"/>
          <w:color w:val="auto"/>
          <w:sz w:val="48"/>
          <w:szCs w:val="48"/>
          <w:highlight w:val="none"/>
        </w:rPr>
      </w:pPr>
    </w:p>
    <w:p>
      <w:pPr>
        <w:widowControl/>
        <w:jc w:val="center"/>
        <w:rPr>
          <w:rFonts w:hint="eastAsia" w:ascii="Times New Roman" w:hAnsi="Times New Roman" w:eastAsia="黑体"/>
          <w:color w:val="auto"/>
          <w:sz w:val="48"/>
          <w:szCs w:val="48"/>
          <w:highlight w:val="none"/>
        </w:rPr>
      </w:pPr>
    </w:p>
    <w:p>
      <w:pPr>
        <w:widowControl/>
        <w:jc w:val="center"/>
        <w:rPr>
          <w:rFonts w:hint="eastAsia" w:ascii="Times New Roman" w:hAnsi="Times New Roman" w:eastAsia="黑体"/>
          <w:color w:val="auto"/>
          <w:sz w:val="48"/>
          <w:szCs w:val="48"/>
          <w:highlight w:val="none"/>
        </w:rPr>
      </w:pPr>
    </w:p>
    <w:p>
      <w:pPr>
        <w:widowControl/>
        <w:jc w:val="center"/>
        <w:rPr>
          <w:rFonts w:hint="eastAsia" w:ascii="Times New Roman" w:hAnsi="Times New Roman" w:eastAsia="黑体"/>
          <w:color w:val="auto"/>
          <w:sz w:val="48"/>
          <w:szCs w:val="48"/>
          <w:highlight w:val="none"/>
        </w:rPr>
      </w:pPr>
    </w:p>
    <w:p>
      <w:pPr>
        <w:widowControl/>
        <w:jc w:val="center"/>
        <w:rPr>
          <w:rFonts w:hint="eastAsia" w:ascii="Times New Roman" w:hAnsi="Times New Roman" w:eastAsia="黑体"/>
          <w:color w:val="auto"/>
          <w:sz w:val="48"/>
          <w:szCs w:val="48"/>
          <w:highlight w:val="none"/>
        </w:rPr>
      </w:pPr>
    </w:p>
    <w:p>
      <w:pPr>
        <w:pStyle w:val="15"/>
        <w:keepNext w:val="0"/>
        <w:keepLines w:val="0"/>
        <w:widowControl/>
        <w:suppressLineNumbers w:val="0"/>
        <w:spacing w:before="0" w:beforeAutospacing="0"/>
        <w:ind w:left="0"/>
        <w:jc w:val="left"/>
        <w:rPr>
          <w:rFonts w:hint="eastAsia"/>
          <w:sz w:val="24"/>
          <w:szCs w:val="24"/>
          <w:shd w:val="clear" w:color="auto" w:fill="FFFFFF"/>
          <w:lang w:val="en-US" w:eastAsia="zh-CN"/>
        </w:rPr>
      </w:pPr>
      <w:bookmarkStart w:id="6" w:name="_Toc15377196"/>
      <w:bookmarkStart w:id="7" w:name="_Toc15396599"/>
      <w:r>
        <w:rPr>
          <w:rFonts w:hint="eastAsia"/>
          <w:sz w:val="24"/>
          <w:szCs w:val="24"/>
          <w:shd w:val="clear" w:color="auto" w:fill="FFFFFF"/>
          <w:lang w:val="en-US" w:eastAsia="zh-CN"/>
        </w:rPr>
        <w:t xml:space="preserve">              </w:t>
      </w:r>
    </w:p>
    <w:p>
      <w:pPr>
        <w:pStyle w:val="15"/>
        <w:keepNext w:val="0"/>
        <w:keepLines w:val="0"/>
        <w:widowControl/>
        <w:suppressLineNumbers w:val="0"/>
        <w:spacing w:before="0" w:beforeAutospacing="0"/>
        <w:ind w:left="0"/>
        <w:jc w:val="left"/>
        <w:rPr>
          <w:rFonts w:hint="eastAsia"/>
          <w:sz w:val="24"/>
          <w:szCs w:val="24"/>
          <w:shd w:val="clear" w:color="auto" w:fill="FFFFFF"/>
          <w:lang w:val="en-US" w:eastAsia="zh-CN"/>
        </w:rPr>
      </w:pPr>
    </w:p>
    <w:p>
      <w:pPr>
        <w:pStyle w:val="15"/>
        <w:keepNext w:val="0"/>
        <w:keepLines w:val="0"/>
        <w:widowControl/>
        <w:suppressLineNumbers w:val="0"/>
        <w:spacing w:before="0" w:beforeAutospacing="0"/>
        <w:ind w:left="0" w:firstLine="3600" w:firstLineChars="1500"/>
        <w:jc w:val="left"/>
        <w:rPr>
          <w:rFonts w:hint="eastAsia" w:ascii="Times New Roman" w:hAnsi="Times New Roman" w:eastAsia="黑体"/>
          <w:color w:val="auto"/>
          <w:sz w:val="48"/>
          <w:szCs w:val="48"/>
          <w:highlight w:val="none"/>
        </w:rPr>
      </w:pPr>
      <w:r>
        <w:rPr>
          <w:rFonts w:hint="eastAsia"/>
          <w:sz w:val="24"/>
          <w:szCs w:val="24"/>
          <w:shd w:val="clear" w:color="auto" w:fill="FFFFFF"/>
          <w:lang w:val="en-US" w:eastAsia="zh-CN"/>
        </w:rPr>
        <w:t xml:space="preserve"> </w:t>
      </w:r>
      <w:r>
        <w:rPr>
          <w:rFonts w:hint="eastAsia"/>
          <w:sz w:val="24"/>
          <w:szCs w:val="24"/>
          <w:shd w:val="clear" w:color="auto" w:fill="FFFFFF"/>
          <w:lang w:eastAsia="zh-CN"/>
        </w:rPr>
        <w:t>目录</w:t>
      </w:r>
    </w:p>
    <w:p>
      <w:pPr>
        <w:pStyle w:val="15"/>
        <w:keepNext w:val="0"/>
        <w:keepLines w:val="0"/>
        <w:widowControl/>
        <w:suppressLineNumbers w:val="0"/>
        <w:spacing w:before="0" w:beforeAutospacing="0"/>
        <w:ind w:left="0"/>
        <w:jc w:val="center"/>
      </w:pPr>
      <w:r>
        <w:rPr>
          <w:sz w:val="24"/>
          <w:szCs w:val="24"/>
          <w:shd w:val="clear" w:color="auto" w:fill="FFFFFF"/>
        </w:rPr>
        <w:t>公开时间：202</w:t>
      </w:r>
      <w:r>
        <w:rPr>
          <w:rFonts w:hint="eastAsia"/>
          <w:sz w:val="24"/>
          <w:szCs w:val="24"/>
          <w:shd w:val="clear" w:color="auto" w:fill="FFFFFF"/>
          <w:lang w:val="en-US" w:eastAsia="zh-CN"/>
        </w:rPr>
        <w:t>5</w:t>
      </w:r>
      <w:r>
        <w:rPr>
          <w:sz w:val="24"/>
          <w:szCs w:val="24"/>
          <w:shd w:val="clear" w:color="auto" w:fill="FFFFFF"/>
        </w:rPr>
        <w:t>年</w:t>
      </w:r>
      <w:r>
        <w:rPr>
          <w:rFonts w:hint="eastAsia"/>
          <w:sz w:val="24"/>
          <w:szCs w:val="24"/>
          <w:shd w:val="clear" w:color="auto" w:fill="FFFFFF"/>
          <w:lang w:val="en-US" w:eastAsia="zh-CN"/>
        </w:rPr>
        <w:t>10</w:t>
      </w:r>
      <w:r>
        <w:rPr>
          <w:sz w:val="24"/>
          <w:szCs w:val="24"/>
          <w:shd w:val="clear" w:color="auto" w:fill="FFFFFF"/>
        </w:rPr>
        <w:t>月</w:t>
      </w:r>
      <w:r>
        <w:rPr>
          <w:rFonts w:hint="eastAsia"/>
          <w:sz w:val="24"/>
          <w:szCs w:val="24"/>
          <w:shd w:val="clear" w:color="auto" w:fill="FFFFFF"/>
          <w:lang w:val="en-US" w:eastAsia="zh-CN"/>
        </w:rPr>
        <w:t>12</w:t>
      </w:r>
      <w:r>
        <w:rPr>
          <w:sz w:val="24"/>
          <w:szCs w:val="24"/>
          <w:shd w:val="clear" w:color="auto" w:fill="FFFFFF"/>
        </w:rPr>
        <w:t>日</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第一部分 部门概况</w:t>
      </w:r>
    </w:p>
    <w:p>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pPr>
        <w:pStyle w:val="8"/>
        <w:bidi w:val="0"/>
        <w:ind w:left="0" w:leftChars="0" w:firstLine="480" w:firstLineChars="200"/>
        <w:rPr>
          <w:rFonts w:hint="default" w:eastAsia="宋体"/>
          <w:lang w:val="en-US" w:eastAsia="zh-CN"/>
        </w:rPr>
      </w:pPr>
      <w:r>
        <w:rPr>
          <w:rStyle w:val="18"/>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pPr>
        <w:pStyle w:val="8"/>
        <w:bidi w:val="0"/>
        <w:ind w:left="0" w:leftChars="0" w:firstLine="480" w:firstLineChars="200"/>
        <w:rPr>
          <w:rFonts w:hint="eastAsia"/>
          <w:sz w:val="24"/>
        </w:rPr>
      </w:pPr>
      <w:r>
        <w:rPr>
          <w:rFonts w:hint="eastAsia" w:ascii="宋体" w:hAnsi="宋体" w:eastAsia="宋体" w:cs="宋体"/>
          <w:sz w:val="24"/>
        </w:rPr>
        <w:t>三、支出决算表</w:t>
      </w:r>
    </w:p>
    <w:p>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pPr>
        <w:widowControl/>
        <w:adjustRightInd w:val="0"/>
        <w:snapToGrid w:val="0"/>
        <w:spacing w:line="440" w:lineRule="exact"/>
        <w:ind w:firstLine="480" w:firstLineChars="200"/>
        <w:jc w:val="left"/>
        <w:rPr>
          <w:rFonts w:hint="eastAsia" w:ascii="黑体" w:hAnsi="黑体" w:eastAsia="黑体"/>
          <w:b w:val="0"/>
        </w:rPr>
        <w:sectPr>
          <w:footerReference r:id="rId5" w:type="first"/>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国有资本经营预算支出决算表</w:t>
      </w:r>
    </w:p>
    <w:bookmarkEnd w:id="6"/>
    <w:bookmarkEnd w:id="7"/>
    <w:p>
      <w:pPr>
        <w:keepNext w:val="0"/>
        <w:keepLines w:val="0"/>
        <w:pageBreakBefore w:val="0"/>
        <w:widowControl/>
        <w:kinsoku/>
        <w:wordWrap/>
        <w:overflowPunct/>
        <w:topLinePunct w:val="0"/>
        <w:autoSpaceDE/>
        <w:autoSpaceDN/>
        <w:bidi w:val="0"/>
        <w:spacing w:line="560" w:lineRule="exact"/>
        <w:jc w:val="left"/>
        <w:textAlignment w:val="auto"/>
        <w:rPr>
          <w:rStyle w:val="29"/>
          <w:rFonts w:hint="eastAsia" w:ascii="黑体" w:hAnsi="黑体" w:eastAsia="黑体" w:cs="黑体"/>
          <w:b/>
          <w:bCs w:val="0"/>
          <w:color w:val="auto"/>
          <w:sz w:val="32"/>
          <w:szCs w:val="32"/>
          <w:highlight w:val="none"/>
        </w:rPr>
      </w:pPr>
      <w:bookmarkStart w:id="8" w:name="_Toc15377204"/>
      <w:bookmarkStart w:id="9" w:name="_Toc15396602"/>
      <w:r>
        <w:rPr>
          <w:rFonts w:hint="eastAsia" w:ascii="黑体" w:hAnsi="黑体" w:eastAsia="黑体" w:cs="黑体"/>
          <w:b w:val="0"/>
          <w:color w:val="auto"/>
          <w:sz w:val="32"/>
          <w:szCs w:val="32"/>
          <w:highlight w:val="none"/>
          <w:lang w:val="en-US" w:eastAsia="zh-CN"/>
        </w:rPr>
        <w:t xml:space="preserve"> </w:t>
      </w:r>
      <w:r>
        <w:rPr>
          <w:rFonts w:hint="eastAsia" w:ascii="黑体" w:hAnsi="黑体" w:eastAsia="黑体" w:cs="黑体"/>
          <w:b w:val="0"/>
          <w:color w:val="auto"/>
          <w:sz w:val="32"/>
          <w:szCs w:val="32"/>
          <w:highlight w:val="none"/>
        </w:rPr>
        <w:t xml:space="preserve"> </w:t>
      </w:r>
      <w:r>
        <w:rPr>
          <w:rFonts w:hint="eastAsia" w:ascii="黑体" w:hAnsi="黑体" w:eastAsia="黑体" w:cs="黑体"/>
          <w:b w:val="0"/>
          <w:color w:val="auto"/>
          <w:sz w:val="32"/>
          <w:szCs w:val="32"/>
          <w:highlight w:val="none"/>
          <w:lang w:val="en-US" w:eastAsia="zh-CN"/>
        </w:rPr>
        <w:t xml:space="preserve">第一部分 </w:t>
      </w:r>
      <w:r>
        <w:rPr>
          <w:rStyle w:val="29"/>
          <w:rFonts w:hint="eastAsia" w:ascii="黑体" w:hAnsi="黑体" w:eastAsia="黑体" w:cs="黑体"/>
          <w:b w:val="0"/>
          <w:bCs w:val="0"/>
          <w:color w:val="auto"/>
          <w:sz w:val="32"/>
          <w:szCs w:val="32"/>
          <w:highlight w:val="none"/>
        </w:rPr>
        <w:t>部门概况</w:t>
      </w:r>
    </w:p>
    <w:p>
      <w:pPr>
        <w:widowControl/>
        <w:jc w:val="left"/>
        <w:rPr>
          <w:rFonts w:ascii="Times New Roman" w:hAnsi="Times New Roman" w:eastAsia="黑体"/>
          <w:color w:val="auto"/>
          <w:sz w:val="32"/>
          <w:szCs w:val="32"/>
          <w:highlight w:val="none"/>
        </w:rPr>
      </w:pPr>
    </w:p>
    <w:p>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keepNext w:val="0"/>
        <w:keepLines w:val="0"/>
        <w:pageBreakBefore w:val="0"/>
        <w:numPr>
          <w:ilvl w:val="0"/>
          <w:numId w:val="0"/>
        </w:numPr>
        <w:kinsoku/>
        <w:wordWrap/>
        <w:overflowPunct/>
        <w:topLinePunct w:val="0"/>
        <w:bidi w:val="0"/>
        <w:spacing w:line="580" w:lineRule="exact"/>
        <w:ind w:firstLine="420" w:firstLineChars="200"/>
        <w:textAlignment w:val="auto"/>
        <w:outlineLvl w:val="9"/>
        <w:rPr>
          <w:rFonts w:hint="eastAsia" w:ascii="仿宋" w:hAnsi="仿宋" w:eastAsia="仿宋" w:cs="仿宋"/>
          <w:sz w:val="32"/>
          <w:szCs w:val="32"/>
          <w:lang w:eastAsia="zh-CN"/>
        </w:rPr>
      </w:pPr>
      <w:r>
        <w:rPr>
          <w:rFonts w:hint="eastAsia"/>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管理、重性精神疾病管理、儿童保健、孕产妇保健、老年人保健等；协助处置突发公共卫生事件。</w:t>
      </w:r>
    </w:p>
    <w:p>
      <w:pPr>
        <w:pStyle w:val="5"/>
        <w:numPr>
          <w:ilvl w:val="0"/>
          <w:numId w:val="1"/>
        </w:numPr>
        <w:rPr>
          <w:rStyle w:val="30"/>
          <w:rFonts w:hint="eastAsia" w:ascii="Times New Roman" w:hAnsi="Times New Roman" w:eastAsia="黑体"/>
          <w:b w:val="0"/>
          <w:bCs w:val="0"/>
          <w:color w:val="auto"/>
          <w:highlight w:val="none"/>
        </w:rPr>
      </w:pPr>
      <w:bookmarkStart w:id="10" w:name="_Toc15396601"/>
      <w:bookmarkStart w:id="11" w:name="_Toc15377200"/>
      <w:r>
        <w:rPr>
          <w:rFonts w:hint="eastAsia" w:ascii="Times New Roman" w:hAnsi="Times New Roman" w:eastAsia="黑体"/>
          <w:b w:val="0"/>
          <w:color w:val="auto"/>
          <w:highlight w:val="none"/>
        </w:rPr>
        <w:t>机</w:t>
      </w:r>
      <w:r>
        <w:rPr>
          <w:rStyle w:val="30"/>
          <w:rFonts w:hint="eastAsia" w:ascii="Times New Roman" w:hAnsi="Times New Roman" w:eastAsia="黑体"/>
          <w:b w:val="0"/>
          <w:bCs w:val="0"/>
          <w:color w:val="auto"/>
          <w:highlight w:val="none"/>
        </w:rPr>
        <w:t>构设置</w:t>
      </w:r>
      <w:bookmarkEnd w:id="10"/>
      <w:bookmarkEnd w:id="11"/>
    </w:p>
    <w:p>
      <w:pPr>
        <w:keepNext w:val="0"/>
        <w:keepLines w:val="0"/>
        <w:widowControl/>
        <w:numPr>
          <w:ilvl w:val="0"/>
          <w:numId w:val="0"/>
        </w:numPr>
        <w:suppressLineNumbers w:val="0"/>
        <w:adjustRightInd w:val="0"/>
        <w:snapToGrid w:val="0"/>
        <w:spacing w:before="0" w:beforeAutospacing="0" w:after="0" w:afterAutospacing="0" w:line="480" w:lineRule="exact"/>
        <w:ind w:left="319" w:leftChars="152" w:right="0" w:rightChars="0" w:firstLine="320" w:firstLineChars="100"/>
        <w:jc w:val="left"/>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瓦切镇中心</w:t>
      </w:r>
      <w:r>
        <w:rPr>
          <w:rFonts w:hint="eastAsia" w:ascii="仿宋" w:hAnsi="仿宋" w:eastAsia="仿宋" w:cs="仿宋"/>
          <w:color w:val="auto"/>
          <w:sz w:val="32"/>
          <w:szCs w:val="32"/>
          <w:highlight w:val="none"/>
        </w:rPr>
        <w:t>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w:t>
      </w:r>
      <w:r>
        <w:rPr>
          <w:rFonts w:hint="eastAsia" w:ascii="仿宋" w:hAnsi="仿宋" w:eastAsia="仿宋" w:cs="仿宋"/>
          <w:bCs/>
          <w:sz w:val="32"/>
          <w:szCs w:val="32"/>
          <w:lang w:val="en-US" w:eastAsia="zh-CN"/>
        </w:rPr>
        <w:t>N</w:t>
      </w:r>
      <w:r>
        <w:rPr>
          <w:rFonts w:hint="eastAsia" w:ascii="仿宋" w:hAnsi="仿宋" w:eastAsia="仿宋" w:cs="仿宋"/>
          <w:bCs/>
          <w:sz w:val="32"/>
          <w:szCs w:val="32"/>
        </w:rPr>
        <w:t>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共有编制13个，其中事业编13个，在职10人,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10</w:t>
      </w:r>
      <w:r>
        <w:rPr>
          <w:rFonts w:hint="eastAsia" w:ascii="仿宋" w:hAnsi="仿宋" w:eastAsia="仿宋" w:cs="仿宋"/>
          <w:bCs/>
          <w:sz w:val="32"/>
          <w:szCs w:val="32"/>
        </w:rPr>
        <w:t>人。</w:t>
      </w:r>
    </w:p>
    <w:p>
      <w:pPr>
        <w:pStyle w:val="4"/>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8"/>
      <w:bookmarkEnd w:id="9"/>
    </w:p>
    <w:p>
      <w:pPr>
        <w:rPr>
          <w:rFonts w:ascii="Times New Roman" w:hAnsi="Times New Roman"/>
          <w:color w:val="auto"/>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77205"/>
      <w:bookmarkStart w:id="1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eastAsia="仿宋_GB2312" w:cs="仿宋_GB2312"/>
          <w:color w:val="auto"/>
          <w:sz w:val="32"/>
          <w:szCs w:val="32"/>
          <w:highlight w:val="none"/>
          <w:lang w:val="en-US"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366.1</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103.35</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28.22</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业务收入</w:t>
      </w:r>
      <w:r>
        <w:rPr>
          <w:rFonts w:hint="eastAsia" w:ascii="Times New Roman" w:hAnsi="Times New Roman" w:eastAsia="仿宋_GB2312" w:cs="仿宋_GB2312"/>
          <w:color w:val="auto"/>
          <w:sz w:val="32"/>
          <w:szCs w:val="32"/>
          <w:highlight w:val="none"/>
        </w:rPr>
        <w:t>、</w:t>
      </w:r>
      <w:r>
        <w:rPr>
          <w:rFonts w:hint="eastAsia" w:eastAsia="仿宋_GB2312" w:cs="仿宋_GB2312"/>
          <w:color w:val="auto"/>
          <w:sz w:val="32"/>
          <w:szCs w:val="32"/>
          <w:highlight w:val="none"/>
          <w:lang w:val="en-US" w:eastAsia="zh-CN"/>
        </w:rPr>
        <w:t>支出纳入决算编报。</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-671830</wp:posOffset>
            </wp:positionH>
            <wp:positionV relativeFrom="paragraph">
              <wp:posOffset>548640</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366.1</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304.5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83.17</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61.6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16.82</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eastAsia="zh-CN"/>
        </w:rPr>
        <w:t>。</w:t>
      </w: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70528" behindDoc="0" locked="0" layoutInCell="1" allowOverlap="1">
            <wp:simplePos x="0" y="0"/>
            <wp:positionH relativeFrom="column">
              <wp:posOffset>-538480</wp:posOffset>
            </wp:positionH>
            <wp:positionV relativeFrom="paragraph">
              <wp:posOffset>410845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Times New Roman" w:hAnsi="Times New Roman" w:eastAsia="仿宋_GB2312" w:cs="仿宋_GB2312"/>
          <w:color w:val="auto"/>
          <w:sz w:val="32"/>
          <w:szCs w:val="32"/>
          <w:highlight w:val="none"/>
          <w:lang w:eastAsia="zh-CN"/>
        </w:rPr>
        <w:t>（图2：收入决算结构图）（饼状图）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77207"/>
      <w:bookmarkStart w:id="17"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710464" behindDoc="0" locked="0" layoutInCell="1" allowOverlap="1">
            <wp:simplePos x="0" y="0"/>
            <wp:positionH relativeFrom="column">
              <wp:posOffset>-128905</wp:posOffset>
            </wp:positionH>
            <wp:positionV relativeFrom="paragraph">
              <wp:posOffset>1741805</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366.1</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280.98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76.74</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85.12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23.25</w:t>
      </w: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30"/>
          <w:rFonts w:ascii="Times New Roman" w:hAnsi="Times New Roman" w:eastAsia="黑体"/>
          <w:b w:val="0"/>
          <w:color w:val="auto"/>
          <w:highlight w:val="none"/>
        </w:rPr>
      </w:pPr>
      <w:bookmarkStart w:id="18" w:name="_Toc15396606"/>
      <w:bookmarkStart w:id="19" w:name="_Toc15377208"/>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304.5</w:t>
      </w:r>
      <w:r>
        <w:rPr>
          <w:rFonts w:hint="eastAsia" w:ascii="Times New Roman" w:hAnsi="Times New Roman" w:eastAsia="仿宋_GB2312" w:cs="仿宋_GB2312"/>
          <w:color w:val="auto"/>
          <w:kern w:val="2"/>
          <w:sz w:val="32"/>
          <w:szCs w:val="32"/>
          <w:highlight w:val="none"/>
          <w:lang w:val="en-US" w:eastAsia="zh-CN" w:bidi="ar-SA"/>
        </w:rPr>
        <w:t>万元。与</w:t>
      </w:r>
      <w:bookmarkStart w:id="60" w:name="_GoBack"/>
      <w:bookmarkEnd w:id="60"/>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41.75</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13.71</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卫生健康类经费增加。</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30"/>
          <w:rFonts w:ascii="Times New Roman" w:hAnsi="Times New Roman" w:eastAsia="黑体"/>
          <w:b w:val="0"/>
          <w:color w:val="auto"/>
          <w:highlight w:val="none"/>
        </w:rPr>
      </w:pPr>
      <w:bookmarkStart w:id="20" w:name="_Toc15377209"/>
      <w:bookmarkStart w:id="21" w:name="_Toc15396607"/>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835392" behindDoc="0" locked="0" layoutInCell="1" allowOverlap="1">
            <wp:simplePos x="0" y="0"/>
            <wp:positionH relativeFrom="column">
              <wp:posOffset>-938530</wp:posOffset>
            </wp:positionH>
            <wp:positionV relativeFrom="paragraph">
              <wp:posOffset>108585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163072" behindDoc="0" locked="0" layoutInCell="1" allowOverlap="1">
            <wp:simplePos x="0" y="0"/>
            <wp:positionH relativeFrom="column">
              <wp:posOffset>-681355</wp:posOffset>
            </wp:positionH>
            <wp:positionV relativeFrom="paragraph">
              <wp:posOffset>2023745</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304.5</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83.17</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41.75</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13.71</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卫生健康类经费增加。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w:t>
      </w:r>
    </w:p>
    <w:p>
      <w:pPr>
        <w:pStyle w:val="2"/>
        <w:rPr>
          <w:rFonts w:hint="eastAsia"/>
          <w:lang w:val="en-US" w:eastAsia="zh-CN"/>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2911616" behindDoc="0" locked="0" layoutInCell="1" allowOverlap="1">
            <wp:simplePos x="0" y="0"/>
            <wp:positionH relativeFrom="column">
              <wp:posOffset>-509905</wp:posOffset>
            </wp:positionH>
            <wp:positionV relativeFrom="paragraph">
              <wp:posOffset>2514600</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304.5</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37.17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12.20</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246.51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80.96</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20.81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6.83</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w:t>
      </w:r>
    </w:p>
    <w:p>
      <w:pPr>
        <w:pStyle w:val="2"/>
        <w:rPr>
          <w:rFonts w:hint="eastAsia"/>
          <w:lang w:val="en-US" w:eastAsia="zh-CN"/>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213"/>
      <w:bookmarkStart w:id="26" w:name="_Toc15378460"/>
      <w:bookmarkStart w:id="27"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304.5</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住房保障支出</w:t>
      </w:r>
      <w:r>
        <w:rPr>
          <w:rFonts w:hint="eastAsia" w:ascii="Times New Roman" w:hAnsi="Times New Roman" w:eastAsia="仿宋_GB2312" w:cs="仿宋_GB2312"/>
          <w:color w:val="auto"/>
          <w:kern w:val="2"/>
          <w:sz w:val="32"/>
          <w:szCs w:val="32"/>
          <w:highlight w:val="none"/>
          <w:lang w:val="en-US" w:eastAsia="zh-CN" w:bidi="ar-SA"/>
        </w:rPr>
        <w:t>服务（类）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20.81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37.17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246.51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%，决算数小于预算数;主要原因是</w:t>
      </w:r>
      <w:r>
        <w:rPr>
          <w:rFonts w:hint="eastAsia" w:eastAsia="仿宋_GB2312" w:cs="仿宋_GB2312"/>
          <w:color w:val="auto"/>
          <w:kern w:val="2"/>
          <w:sz w:val="32"/>
          <w:szCs w:val="32"/>
          <w:highlight w:val="none"/>
          <w:lang w:val="en-US" w:eastAsia="zh-CN" w:bidi="ar-SA"/>
        </w:rPr>
        <w:t>基层医疗卫生经费支出的减少。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tabs>
          <w:tab w:val="right" w:pos="8306"/>
        </w:tabs>
        <w:spacing w:line="600" w:lineRule="exact"/>
        <w:ind w:firstLine="640"/>
        <w:outlineLvl w:val="1"/>
        <w:rPr>
          <w:rStyle w:val="30"/>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280.98</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270.62</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万元，主要包括：基本工资、津贴补贴、绩效工资、机关事业单位基本养老保险缴费、职业年金缴费、其他社会保障缴费、离休费、退休费、抚恤金、生活补助、医疗费补助、奖励金、住房公积金。</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10.36</w:t>
      </w:r>
      <w:r>
        <w:rPr>
          <w:rFonts w:hint="eastAsia" w:ascii="Times New Roman" w:hAnsi="Times New Roman" w:eastAsia="仿宋_GB2312" w:cs="仿宋_GB2312"/>
          <w:color w:val="auto"/>
          <w:kern w:val="2"/>
          <w:sz w:val="32"/>
          <w:szCs w:val="32"/>
          <w:highlight w:val="none"/>
          <w:lang w:val="en-US" w:eastAsia="zh-CN" w:bidi="ar-SA"/>
        </w:rPr>
        <w:t>万元，主要包括：工会经费、福利费、</w:t>
      </w:r>
      <w:r>
        <w:rPr>
          <w:rFonts w:hint="eastAsia" w:eastAsia="仿宋_GB2312" w:cs="仿宋_GB2312"/>
          <w:color w:val="auto"/>
          <w:kern w:val="2"/>
          <w:sz w:val="32"/>
          <w:szCs w:val="32"/>
          <w:highlight w:val="none"/>
          <w:lang w:val="en-US" w:eastAsia="zh-CN" w:bidi="ar-SA"/>
        </w:rPr>
        <w:t>办公费。</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outlineLvl w:val="1"/>
        <w:rPr>
          <w:rStyle w:val="30"/>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77219"/>
      <w:bookmarkStart w:id="37"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红原县瓦切镇卫生院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红原县瓦切镇卫生院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红原县瓦切镇卫生院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3</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巡诊义诊及出诊急救等。</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根据预算绩效管理要求，本单位在年初预算编制阶段，组织对</w:t>
      </w:r>
      <w:r>
        <w:rPr>
          <w:rFonts w:hint="eastAsia" w:ascii="仿宋" w:hAnsi="仿宋" w:eastAsia="仿宋" w:cs="仿宋"/>
          <w:sz w:val="32"/>
          <w:szCs w:val="32"/>
          <w:lang w:val="en-US" w:eastAsia="zh-CN"/>
        </w:rPr>
        <w:t>1个</w:t>
      </w:r>
      <w:r>
        <w:rPr>
          <w:rFonts w:hint="eastAsia" w:ascii="仿宋" w:hAnsi="仿宋" w:eastAsia="仿宋" w:cs="仿宋"/>
          <w:sz w:val="32"/>
          <w:szCs w:val="32"/>
        </w:rPr>
        <w:t>项目（项目</w:t>
      </w:r>
      <w:r>
        <w:rPr>
          <w:rFonts w:hint="eastAsia" w:ascii="仿宋" w:hAnsi="仿宋" w:eastAsia="仿宋" w:cs="仿宋"/>
          <w:sz w:val="32"/>
          <w:szCs w:val="32"/>
          <w:lang w:eastAsia="zh-CN"/>
        </w:rPr>
        <w:t>：基本公共卫生</w:t>
      </w:r>
      <w:r>
        <w:rPr>
          <w:rFonts w:hint="eastAsia" w:ascii="仿宋" w:hAnsi="仿宋" w:eastAsia="仿宋" w:cs="仿宋"/>
          <w:sz w:val="32"/>
          <w:szCs w:val="32"/>
        </w:rPr>
        <w:t>）开展了预算事前绩效评估，对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个项目编制了绩效目标，预算执行过程中，选取</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个项目开展绩效监控，年终执行完毕后，对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个项目开展了绩效目标完成情况自评。</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本部门按要求对20</w:t>
      </w:r>
      <w:r>
        <w:rPr>
          <w:rFonts w:hint="eastAsia" w:ascii="仿宋" w:hAnsi="仿宋" w:eastAsia="仿宋" w:cs="仿宋"/>
          <w:sz w:val="32"/>
          <w:szCs w:val="32"/>
          <w:lang w:val="en-US" w:eastAsia="zh-CN"/>
        </w:rPr>
        <w:t>25</w:t>
      </w:r>
      <w:r>
        <w:rPr>
          <w:rFonts w:hint="eastAsia" w:ascii="仿宋" w:hAnsi="仿宋" w:eastAsia="仿宋" w:cs="仿宋"/>
          <w:sz w:val="32"/>
          <w:szCs w:val="32"/>
        </w:rPr>
        <w:t>年</w:t>
      </w:r>
      <w:r>
        <w:rPr>
          <w:rFonts w:hint="eastAsia" w:ascii="仿宋" w:hAnsi="仿宋" w:eastAsia="仿宋" w:cs="仿宋"/>
          <w:sz w:val="32"/>
          <w:szCs w:val="32"/>
          <w:lang w:eastAsia="zh-CN"/>
        </w:rPr>
        <w:t>单位</w:t>
      </w:r>
      <w:r>
        <w:rPr>
          <w:rFonts w:hint="eastAsia" w:ascii="仿宋" w:hAnsi="仿宋" w:eastAsia="仿宋" w:cs="仿宋"/>
          <w:sz w:val="32"/>
          <w:szCs w:val="32"/>
        </w:rPr>
        <w:t>整体支出开展绩效自评，从评价情况来看</w:t>
      </w:r>
      <w:r>
        <w:rPr>
          <w:rFonts w:hint="eastAsia" w:ascii="仿宋" w:hAnsi="仿宋" w:eastAsia="仿宋" w:cs="仿宋"/>
          <w:sz w:val="32"/>
          <w:szCs w:val="32"/>
          <w:lang w:eastAsia="zh-CN"/>
        </w:rPr>
        <w:t>该项目完成情况良好</w:t>
      </w:r>
      <w:r>
        <w:rPr>
          <w:rFonts w:hint="eastAsia" w:ascii="仿宋" w:hAnsi="仿宋" w:eastAsia="仿宋" w:cs="仿宋"/>
          <w:sz w:val="32"/>
          <w:szCs w:val="32"/>
        </w:rPr>
        <w:t>。本部门还自行组织了</w:t>
      </w:r>
      <w:r>
        <w:rPr>
          <w:rFonts w:hint="eastAsia" w:ascii="仿宋" w:hAnsi="仿宋" w:eastAsia="仿宋" w:cs="仿宋"/>
          <w:sz w:val="32"/>
          <w:szCs w:val="32"/>
          <w:lang w:val="en-US" w:eastAsia="zh-CN"/>
        </w:rPr>
        <w:t>1</w:t>
      </w:r>
      <w:r>
        <w:rPr>
          <w:rFonts w:hint="eastAsia" w:ascii="仿宋" w:hAnsi="仿宋" w:eastAsia="仿宋" w:cs="仿宋"/>
          <w:sz w:val="32"/>
          <w:szCs w:val="32"/>
        </w:rPr>
        <w:t>个项目支出绩效评价</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协助开展突发公共卫生事件应急调查和处置工作，承担区域内公共卫生相关信息的收集和报告</w:t>
      </w:r>
      <w:r>
        <w:rPr>
          <w:rFonts w:hint="eastAsia" w:ascii="仿宋" w:hAnsi="仿宋" w:eastAsia="仿宋" w:cs="仿宋"/>
          <w:sz w:val="32"/>
          <w:szCs w:val="32"/>
        </w:rPr>
        <w:t>）。</w:t>
      </w:r>
    </w:p>
    <w:p>
      <w:pPr>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rPr>
        <w:t>项目绩效目标完成情况。</w:t>
      </w:r>
      <w:r>
        <w:rPr>
          <w:rFonts w:hint="eastAsia" w:ascii="仿宋" w:hAnsi="仿宋" w:eastAsia="仿宋" w:cs="仿宋"/>
          <w:sz w:val="32"/>
          <w:szCs w:val="32"/>
        </w:rPr>
        <w:br w:type="textWrapping"/>
      </w:r>
      <w:r>
        <w:rPr>
          <w:rFonts w:hint="eastAsia" w:ascii="仿宋" w:hAnsi="仿宋" w:eastAsia="仿宋" w:cs="仿宋"/>
          <w:sz w:val="32"/>
          <w:szCs w:val="32"/>
        </w:rPr>
        <w:t xml:space="preserve">    本部门在20</w:t>
      </w:r>
      <w:r>
        <w:rPr>
          <w:rFonts w:hint="eastAsia" w:ascii="仿宋" w:hAnsi="仿宋" w:eastAsia="仿宋" w:cs="仿宋"/>
          <w:sz w:val="32"/>
          <w:szCs w:val="32"/>
          <w:lang w:val="en-US" w:eastAsia="zh-CN"/>
        </w:rPr>
        <w:t>25</w:t>
      </w:r>
      <w:r>
        <w:rPr>
          <w:rFonts w:hint="eastAsia" w:ascii="仿宋" w:hAnsi="仿宋" w:eastAsia="仿宋" w:cs="仿宋"/>
          <w:sz w:val="32"/>
          <w:szCs w:val="32"/>
        </w:rPr>
        <w:t>年度</w:t>
      </w:r>
      <w:r>
        <w:rPr>
          <w:rFonts w:hint="eastAsia" w:ascii="仿宋" w:hAnsi="仿宋" w:eastAsia="仿宋" w:cs="仿宋"/>
          <w:sz w:val="32"/>
          <w:szCs w:val="32"/>
          <w:lang w:eastAsia="zh-CN"/>
        </w:rPr>
        <w:t>单位</w:t>
      </w:r>
      <w:r>
        <w:rPr>
          <w:rFonts w:hint="eastAsia" w:ascii="仿宋" w:hAnsi="仿宋" w:eastAsia="仿宋" w:cs="仿宋"/>
          <w:sz w:val="32"/>
          <w:szCs w:val="32"/>
        </w:rPr>
        <w:t>决算中反映</w:t>
      </w:r>
      <w:r>
        <w:rPr>
          <w:rFonts w:hint="eastAsia" w:ascii="仿宋" w:hAnsi="仿宋" w:eastAsia="仿宋" w:cs="仿宋"/>
          <w:sz w:val="32"/>
          <w:szCs w:val="32"/>
          <w:lang w:eastAsia="zh-CN"/>
        </w:rPr>
        <w:t>基本公共卫生</w:t>
      </w:r>
      <w:r>
        <w:rPr>
          <w:rFonts w:hint="eastAsia" w:ascii="仿宋" w:hAnsi="仿宋" w:eastAsia="仿宋" w:cs="仿宋"/>
          <w:sz w:val="32"/>
          <w:szCs w:val="32"/>
          <w:lang w:val="en-US" w:eastAsia="zh-CN"/>
        </w:rPr>
        <w:t>1</w:t>
      </w:r>
      <w:r>
        <w:rPr>
          <w:rFonts w:hint="eastAsia" w:ascii="仿宋" w:hAnsi="仿宋" w:eastAsia="仿宋" w:cs="仿宋"/>
          <w:sz w:val="32"/>
          <w:szCs w:val="32"/>
        </w:rPr>
        <w:t>个项目绩效目标实际完成情况。）。</w:t>
      </w:r>
      <w:r>
        <w:rPr>
          <w:rFonts w:hint="eastAsia" w:ascii="仿宋" w:hAnsi="仿宋" w:eastAsia="仿宋" w:cs="仿宋"/>
          <w:sz w:val="32"/>
          <w:szCs w:val="32"/>
          <w:lang w:eastAsia="zh-CN"/>
        </w:rPr>
        <w:t>基本公共卫生</w:t>
      </w:r>
      <w:r>
        <w:rPr>
          <w:rFonts w:hint="eastAsia" w:ascii="仿宋" w:hAnsi="仿宋" w:eastAsia="仿宋" w:cs="仿宋"/>
          <w:sz w:val="32"/>
          <w:szCs w:val="32"/>
        </w:rPr>
        <w:t>项目绩效目标完成情况综述。项目全年预算数</w:t>
      </w:r>
      <w:r>
        <w:rPr>
          <w:rFonts w:hint="eastAsia" w:ascii="仿宋" w:hAnsi="仿宋" w:eastAsia="仿宋" w:cs="仿宋"/>
          <w:sz w:val="32"/>
          <w:szCs w:val="32"/>
          <w:lang w:val="en-US" w:eastAsia="zh-CN"/>
        </w:rPr>
        <w:t>5.87</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5.87</w:t>
      </w:r>
      <w:r>
        <w:rPr>
          <w:rFonts w:hint="eastAsia" w:ascii="仿宋" w:hAnsi="仿宋" w:eastAsia="仿宋" w:cs="仿宋"/>
          <w:sz w:val="32"/>
          <w:szCs w:val="32"/>
        </w:rPr>
        <w:t>万元，完成预算的</w:t>
      </w:r>
      <w:r>
        <w:rPr>
          <w:rFonts w:hint="eastAsia" w:ascii="仿宋" w:hAnsi="仿宋" w:eastAsia="仿宋" w:cs="仿宋"/>
          <w:color w:val="auto"/>
          <w:sz w:val="32"/>
          <w:szCs w:val="32"/>
          <w:highlight w:val="none"/>
          <w:lang w:val="en-US" w:eastAsia="zh-CN"/>
        </w:rPr>
        <w:t>100</w:t>
      </w:r>
      <w:r>
        <w:rPr>
          <w:rFonts w:hint="eastAsia" w:ascii="仿宋" w:hAnsi="仿宋" w:eastAsia="仿宋" w:cs="仿宋"/>
          <w:color w:val="auto"/>
          <w:sz w:val="32"/>
          <w:szCs w:val="32"/>
          <w:highlight w:val="none"/>
        </w:rPr>
        <w:t>%</w:t>
      </w:r>
      <w:r>
        <w:rPr>
          <w:rFonts w:hint="eastAsia" w:ascii="仿宋" w:hAnsi="仿宋" w:eastAsia="仿宋" w:cs="仿宋"/>
          <w:sz w:val="32"/>
          <w:szCs w:val="32"/>
        </w:rPr>
        <w:t>。通过项目实施，保障</w:t>
      </w:r>
      <w:r>
        <w:rPr>
          <w:rFonts w:hint="eastAsia" w:ascii="仿宋" w:hAnsi="仿宋" w:eastAsia="仿宋" w:cs="仿宋"/>
          <w:sz w:val="32"/>
          <w:szCs w:val="32"/>
          <w:lang w:eastAsia="zh-CN"/>
        </w:rPr>
        <w:t>辖区内居民基本公共卫生服务。</w:t>
      </w:r>
    </w:p>
    <w:tbl>
      <w:tblPr>
        <w:tblStyle w:val="19"/>
        <w:tblW w:w="8345" w:type="dxa"/>
        <w:jc w:val="center"/>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1"/>
        <w:gridCol w:w="854"/>
        <w:gridCol w:w="1113"/>
        <w:gridCol w:w="1701"/>
        <w:gridCol w:w="1978"/>
        <w:gridCol w:w="19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8345" w:type="dxa"/>
            <w:gridSpan w:val="6"/>
            <w:vAlign w:val="center"/>
          </w:tcPr>
          <w:p>
            <w:pPr>
              <w:pStyle w:val="15"/>
              <w:keepNext w:val="0"/>
              <w:keepLines w:val="0"/>
              <w:widowControl/>
              <w:suppressLineNumbers w:val="0"/>
              <w:jc w:val="left"/>
              <w:rPr>
                <w:rFonts w:hint="eastAsia" w:ascii="仿宋" w:hAnsi="仿宋" w:eastAsia="仿宋" w:cs="仿宋"/>
                <w:sz w:val="32"/>
                <w:szCs w:val="32"/>
              </w:rPr>
            </w:pPr>
            <w:r>
              <w:rPr>
                <w:rStyle w:val="17"/>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68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w:t>
            </w:r>
            <w:r>
              <w:rPr>
                <w:rFonts w:hint="eastAsia" w:ascii="仿宋_GB2312" w:hAnsi="仿宋_GB2312" w:eastAsia="仿宋_GB2312" w:cs="仿宋_GB2312"/>
                <w:sz w:val="32"/>
                <w:szCs w:val="32"/>
                <w:lang w:eastAsia="zh-CN"/>
              </w:rPr>
              <w:t>瓦切镇</w:t>
            </w:r>
            <w:r>
              <w:rPr>
                <w:rFonts w:hint="eastAsia" w:ascii="仿宋" w:hAnsi="仿宋" w:eastAsia="仿宋" w:cs="仿宋"/>
                <w:color w:val="000000"/>
                <w:sz w:val="32"/>
                <w:szCs w:val="32"/>
                <w:lang w:val="en-US" w:eastAsia="zh-CN"/>
              </w:rPr>
              <w:t>中心卫生院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预算数:</w:t>
            </w:r>
          </w:p>
        </w:tc>
        <w:tc>
          <w:tcPr>
            <w:tcW w:w="1701"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5.87</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执行数:</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5.87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pPr>
              <w:keepNext w:val="0"/>
              <w:keepLines w:val="0"/>
              <w:widowControl/>
              <w:suppressLineNumbers w:val="0"/>
              <w:tabs>
                <w:tab w:val="center" w:pos="835"/>
              </w:tabs>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5.87</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5.87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668" w:type="dxa"/>
            <w:gridSpan w:val="3"/>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实际完成目标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668" w:type="dxa"/>
            <w:gridSpan w:val="3"/>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815" w:hRule="atLeast"/>
          <w:tblCellSpacing w:w="0" w:type="dxa"/>
          <w:jc w:val="center"/>
        </w:trPr>
        <w:tc>
          <w:tcPr>
            <w:tcW w:w="72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72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pPr>
        <w:spacing w:line="600" w:lineRule="exact"/>
        <w:ind w:firstLine="640"/>
        <w:rPr>
          <w:rFonts w:hint="eastAsia" w:ascii="仿宋" w:hAnsi="仿宋" w:eastAsia="仿宋" w:cs="仿宋"/>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77225"/>
      <w:bookmarkStart w:id="44"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pPr>
        <w:spacing w:line="600" w:lineRule="exact"/>
        <w:jc w:val="left"/>
        <w:rPr>
          <w:rFonts w:ascii="Times New Roman" w:hAnsi="Times New Roman"/>
          <w:b/>
          <w:color w:val="auto"/>
          <w:sz w:val="44"/>
          <w:szCs w:val="44"/>
          <w:highlight w:val="none"/>
        </w:rPr>
      </w:pPr>
    </w:p>
    <w:p>
      <w:pPr>
        <w:numPr>
          <w:ilvl w:val="0"/>
          <w:numId w:val="4"/>
        </w:num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5" w:name="_Toc15396614"/>
      <w:bookmarkStart w:id="46" w:name="_Toc15377226"/>
      <w:r>
        <w:rPr>
          <w:rFonts w:hint="eastAsia" w:ascii="Times New Roman" w:hAnsi="Times New Roman" w:eastAsia="仿宋_GB2312" w:cs="仿宋_GB2312"/>
          <w:color w:val="auto"/>
          <w:kern w:val="2"/>
          <w:sz w:val="32"/>
          <w:szCs w:val="32"/>
          <w:highlight w:val="none"/>
          <w:lang w:val="en-US" w:eastAsia="zh-CN" w:bidi="ar-SA"/>
        </w:rPr>
        <w:t>财政拨款收入：指单位从同级财政部门取得的财政预算资金。</w:t>
      </w:r>
    </w:p>
    <w:p>
      <w:pPr>
        <w:numPr>
          <w:ilvl w:val="0"/>
          <w:numId w:val="4"/>
        </w:numPr>
        <w:ind w:left="0" w:leftChars="0" w:firstLine="640" w:firstLineChars="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事业收入</w:t>
      </w:r>
      <w:r>
        <w:rPr>
          <w:rFonts w:hint="eastAsia" w:eastAsia="仿宋_GB2312" w:cs="仿宋_GB2312"/>
          <w:color w:val="auto"/>
          <w:kern w:val="2"/>
          <w:sz w:val="32"/>
          <w:szCs w:val="32"/>
          <w:highlight w:val="none"/>
          <w:lang w:val="en-US" w:eastAsia="zh-CN" w:bidi="ar-SA"/>
        </w:rPr>
        <w:t>：指单位从事医疗卫生活动所取得的收入</w:t>
      </w:r>
      <w:r>
        <w:rPr>
          <w:rFonts w:hint="eastAsia" w:ascii="仿宋" w:hAnsi="仿宋" w:eastAsia="仿宋" w:cs="仿宋"/>
          <w:color w:val="000000"/>
          <w:sz w:val="32"/>
          <w:szCs w:val="32"/>
        </w:rPr>
        <w:t>。</w:t>
      </w:r>
    </w:p>
    <w:p>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3.社会保障和就业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Fonts w:hint="eastAsia" w:ascii="Times New Roman" w:hAnsi="Times New Roman" w:eastAsia="黑体"/>
          <w:color w:val="auto"/>
          <w:sz w:val="44"/>
          <w:szCs w:val="44"/>
          <w:highlight w:val="none"/>
        </w:rPr>
      </w:pPr>
    </w:p>
    <w:p>
      <w:pPr>
        <w:spacing w:line="600" w:lineRule="exact"/>
        <w:jc w:val="center"/>
        <w:rPr>
          <w:rStyle w:val="29"/>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eastAsia" w:ascii="仿宋" w:hAnsi="仿宋" w:eastAsia="仿宋" w:cs="仿宋"/>
          <w:b w:val="0"/>
          <w:bCs/>
          <w:sz w:val="32"/>
          <w:szCs w:val="32"/>
          <w:highlight w:val="none"/>
          <w:shd w:val="clear" w:color="auto" w:fill="FFFFFF"/>
        </w:rPr>
      </w:pPr>
    </w:p>
    <w:p>
      <w:pPr>
        <w:pStyle w:val="15"/>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rPr>
        <w:t> </w:t>
      </w:r>
      <w:r>
        <w:rPr>
          <w:rFonts w:hint="eastAsia" w:ascii="仿宋" w:hAnsi="仿宋" w:eastAsia="仿宋" w:cs="仿宋"/>
          <w:sz w:val="32"/>
          <w:szCs w:val="32"/>
          <w:shd w:val="clear" w:color="auto" w:fill="FFFFFF"/>
          <w:lang w:val="en-US" w:eastAsia="zh-CN"/>
        </w:rPr>
        <w:t xml:space="preserve">     红原县</w:t>
      </w:r>
      <w:r>
        <w:rPr>
          <w:rFonts w:hint="eastAsia" w:ascii="仿宋_GB2312" w:hAnsi="仿宋_GB2312" w:eastAsia="仿宋_GB2312" w:cs="仿宋_GB2312"/>
          <w:sz w:val="32"/>
          <w:szCs w:val="32"/>
          <w:lang w:eastAsia="zh-CN"/>
        </w:rPr>
        <w:t>瓦切镇</w:t>
      </w:r>
      <w:r>
        <w:rPr>
          <w:rFonts w:hint="eastAsia" w:ascii="仿宋" w:hAnsi="仿宋" w:eastAsia="仿宋" w:cs="仿宋"/>
          <w:sz w:val="32"/>
          <w:szCs w:val="32"/>
          <w:shd w:val="clear" w:color="auto" w:fill="FFFFFF"/>
          <w:lang w:val="en-US" w:eastAsia="zh-CN"/>
        </w:rPr>
        <w:t>中心卫生院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pPr>
        <w:pStyle w:val="15"/>
        <w:keepNext w:val="0"/>
        <w:keepLines w:val="0"/>
        <w:widowControl/>
        <w:numPr>
          <w:ilvl w:val="0"/>
          <w:numId w:val="5"/>
        </w:numPr>
        <w:suppressLineNumbers w:val="0"/>
        <w:spacing w:before="0" w:beforeAutospacing="0"/>
        <w:ind w:left="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部门（单位）概况</w:t>
      </w:r>
    </w:p>
    <w:p>
      <w:pPr>
        <w:pStyle w:val="15"/>
        <w:keepNext w:val="0"/>
        <w:keepLines w:val="0"/>
        <w:widowControl/>
        <w:numPr>
          <w:ilvl w:val="0"/>
          <w:numId w:val="6"/>
        </w:numPr>
        <w:suppressLineNumbers w:val="0"/>
        <w:spacing w:before="0" w:beforeAutospacing="0"/>
        <w:ind w:right="0" w:right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机构组成。</w:t>
      </w:r>
    </w:p>
    <w:p>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zh-CN" w:eastAsia="zh-CN" w:bidi="ar"/>
        </w:rPr>
        <w:t>我单位为独立核算全额拨款事业单位，下设</w:t>
      </w:r>
      <w:r>
        <w:rPr>
          <w:rFonts w:hint="eastAsia" w:ascii="仿宋" w:hAnsi="仿宋" w:eastAsia="仿宋" w:cs="仿宋"/>
          <w:color w:val="000000"/>
          <w:kern w:val="0"/>
          <w:sz w:val="32"/>
          <w:szCs w:val="32"/>
          <w:lang w:val="en-US" w:eastAsia="zh-CN" w:bidi="ar"/>
        </w:rPr>
        <w:t>1机构。</w:t>
      </w:r>
    </w:p>
    <w:p>
      <w:pPr>
        <w:pStyle w:val="15"/>
        <w:keepNext w:val="0"/>
        <w:keepLines w:val="0"/>
        <w:widowControl/>
        <w:numPr>
          <w:ilvl w:val="0"/>
          <w:numId w:val="6"/>
        </w:numPr>
        <w:suppressLineNumbers w:val="0"/>
        <w:spacing w:before="0" w:beforeAutospacing="0"/>
        <w:ind w:left="0" w:leftChars="0" w:right="0" w:rightChars="0" w:firstLine="0" w:firstLine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机构职能。</w:t>
      </w:r>
    </w:p>
    <w:p>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）人员概况。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Cs/>
          <w:sz w:val="32"/>
          <w:szCs w:val="32"/>
        </w:rPr>
      </w:pPr>
      <w:r>
        <w:rPr>
          <w:rFonts w:hint="eastAsia" w:ascii="仿宋" w:hAnsi="仿宋" w:eastAsia="仿宋" w:cs="仿宋"/>
          <w:color w:val="000000"/>
          <w:kern w:val="0"/>
          <w:sz w:val="32"/>
          <w:szCs w:val="32"/>
          <w:lang w:val="en-US" w:eastAsia="zh-CN" w:bidi="ar"/>
        </w:rPr>
        <w:t>2025年我院共有编制13个，其中事业编13个，在职10人,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10</w:t>
      </w:r>
      <w:r>
        <w:rPr>
          <w:rFonts w:hint="eastAsia" w:ascii="仿宋" w:hAnsi="仿宋" w:eastAsia="仿宋" w:cs="仿宋"/>
          <w:bCs/>
          <w:sz w:val="32"/>
          <w:szCs w:val="32"/>
        </w:rPr>
        <w:t>人。</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二、部门财政资金收支情况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财政资金收入情况。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_GB2312" w:hAnsi="仿宋_GB2312" w:eastAsia="仿宋_GB2312" w:cs="仿宋_GB2312"/>
          <w:sz w:val="32"/>
          <w:szCs w:val="32"/>
          <w:lang w:eastAsia="zh-CN"/>
        </w:rPr>
        <w:t>瓦切镇</w:t>
      </w:r>
      <w:r>
        <w:rPr>
          <w:rFonts w:hint="eastAsia" w:ascii="仿宋" w:hAnsi="仿宋" w:eastAsia="仿宋" w:cs="仿宋"/>
          <w:b w:val="0"/>
          <w:color w:val="000000"/>
          <w:sz w:val="32"/>
          <w:szCs w:val="32"/>
          <w:lang w:eastAsia="zh-CN"/>
        </w:rPr>
        <w:t>中心卫生院</w:t>
      </w:r>
      <w:r>
        <w:rPr>
          <w:rFonts w:hint="eastAsia" w:ascii="仿宋" w:hAnsi="仿宋" w:eastAsia="仿宋" w:cs="仿宋"/>
          <w:b w:val="0"/>
          <w:color w:val="000000"/>
          <w:sz w:val="32"/>
          <w:szCs w:val="32"/>
        </w:rPr>
        <w:t>收入合计</w:t>
      </w:r>
      <w:r>
        <w:rPr>
          <w:rFonts w:hint="eastAsia" w:ascii="仿宋" w:hAnsi="仿宋" w:eastAsia="仿宋" w:cs="仿宋"/>
          <w:b w:val="0"/>
          <w:color w:val="000000"/>
          <w:sz w:val="32"/>
          <w:szCs w:val="32"/>
          <w:lang w:val="en-US" w:eastAsia="zh-CN"/>
        </w:rPr>
        <w:t>366.10万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，其中：一般公共预算财政拨款收入</w:t>
      </w:r>
      <w:r>
        <w:rPr>
          <w:rFonts w:hint="eastAsia" w:ascii="仿宋" w:hAnsi="仿宋" w:eastAsia="仿宋" w:cs="仿宋"/>
          <w:b w:val="0"/>
          <w:color w:val="000000"/>
          <w:sz w:val="32"/>
          <w:szCs w:val="32"/>
          <w:lang w:val="en-US" w:eastAsia="zh-CN"/>
        </w:rPr>
        <w:t>304.5万</w:t>
      </w:r>
      <w:r>
        <w:rPr>
          <w:rFonts w:hint="eastAsia" w:ascii="仿宋" w:hAnsi="仿宋" w:eastAsia="仿宋" w:cs="仿宋"/>
          <w:b w:val="0"/>
          <w:color w:val="000000"/>
          <w:sz w:val="32"/>
          <w:szCs w:val="32"/>
          <w:lang w:eastAsia="zh-CN"/>
        </w:rPr>
        <w:t>元。</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财政资金支出情况。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_GB2312" w:hAnsi="仿宋_GB2312" w:eastAsia="仿宋_GB2312" w:cs="仿宋_GB2312"/>
          <w:sz w:val="32"/>
          <w:szCs w:val="32"/>
          <w:lang w:eastAsia="zh-CN"/>
        </w:rPr>
        <w:t>瓦切镇</w:t>
      </w:r>
      <w:r>
        <w:rPr>
          <w:rFonts w:hint="eastAsia" w:ascii="仿宋" w:hAnsi="仿宋" w:eastAsia="仿宋" w:cs="仿宋"/>
          <w:b w:val="0"/>
          <w:color w:val="000000"/>
          <w:sz w:val="32"/>
          <w:szCs w:val="32"/>
          <w:lang w:eastAsia="zh-CN"/>
        </w:rPr>
        <w:t>中心卫生院</w:t>
      </w:r>
      <w:r>
        <w:rPr>
          <w:rFonts w:hint="eastAsia" w:ascii="仿宋" w:hAnsi="仿宋" w:eastAsia="仿宋" w:cs="仿宋"/>
          <w:b w:val="0"/>
          <w:color w:val="000000"/>
          <w:sz w:val="32"/>
          <w:szCs w:val="32"/>
        </w:rPr>
        <w:t>支出合计</w:t>
      </w:r>
      <w:r>
        <w:rPr>
          <w:rFonts w:hint="eastAsia" w:ascii="仿宋" w:hAnsi="仿宋" w:eastAsia="仿宋" w:cs="仿宋"/>
          <w:b w:val="0"/>
          <w:color w:val="000000"/>
          <w:sz w:val="32"/>
          <w:szCs w:val="32"/>
          <w:lang w:val="en-US" w:eastAsia="zh-CN"/>
        </w:rPr>
        <w:t>366.10万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，其中：基本支出</w:t>
      </w:r>
      <w:r>
        <w:rPr>
          <w:rFonts w:hint="eastAsia" w:ascii="仿宋" w:hAnsi="仿宋" w:eastAsia="仿宋" w:cs="仿宋"/>
          <w:b w:val="0"/>
          <w:color w:val="000000"/>
          <w:sz w:val="32"/>
          <w:szCs w:val="32"/>
          <w:lang w:val="en-US" w:eastAsia="zh-CN"/>
        </w:rPr>
        <w:t>280.98万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lang w:val="en-US" w:eastAsia="zh-CN"/>
        </w:rPr>
        <w:t>,</w:t>
      </w:r>
      <w:r>
        <w:rPr>
          <w:rFonts w:hint="eastAsia" w:ascii="仿宋" w:hAnsi="仿宋" w:eastAsia="仿宋" w:cs="仿宋"/>
          <w:b w:val="0"/>
          <w:color w:val="000000"/>
          <w:sz w:val="32"/>
          <w:szCs w:val="32"/>
        </w:rPr>
        <w:t>项目支出</w:t>
      </w:r>
      <w:r>
        <w:rPr>
          <w:rFonts w:hint="eastAsia" w:ascii="仿宋" w:hAnsi="仿宋" w:eastAsia="仿宋" w:cs="仿宋"/>
          <w:b w:val="0"/>
          <w:color w:val="000000"/>
          <w:sz w:val="32"/>
          <w:szCs w:val="32"/>
          <w:lang w:val="en-US" w:eastAsia="zh-CN"/>
        </w:rPr>
        <w:t>85.12元。</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三、</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en-US" w:eastAsia="zh-CN" w:bidi="ar"/>
        </w:rPr>
        <w:t>整体预算绩效管理情况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预算</w:t>
      </w:r>
      <w:r>
        <w:rPr>
          <w:rFonts w:hint="eastAsia" w:ascii="仿宋" w:hAnsi="仿宋" w:eastAsia="仿宋" w:cs="仿宋"/>
          <w:color w:val="000000"/>
          <w:kern w:val="0"/>
          <w:sz w:val="32"/>
          <w:szCs w:val="32"/>
          <w:lang w:val="en-US" w:eastAsia="zh-CN" w:bidi="ar"/>
        </w:rPr>
        <w:t>管理</w:t>
      </w:r>
      <w:r>
        <w:rPr>
          <w:rFonts w:hint="eastAsia" w:ascii="仿宋" w:hAnsi="仿宋" w:eastAsia="仿宋" w:cs="仿宋"/>
          <w:color w:val="000000"/>
          <w:kern w:val="0"/>
          <w:sz w:val="32"/>
          <w:szCs w:val="32"/>
          <w:lang w:val="zh-CN" w:eastAsia="zh-CN" w:bidi="ar"/>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根据《中华人民共和国预算法》及</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红原县</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财政局印发的《关于</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下达</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2025年</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年预算人员支出对照20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24</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年12月份人员及工资信息编制，日常公用支出按照“经费包干、明细编报”的原则进行编制，重点做好培训费等预算编制。</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对照年初的预算，通过编制部门决算报表，全面、真实、准确的反映了20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年度财政资金的使用情况。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1</w:t>
      </w:r>
      <w:r>
        <w:rPr>
          <w:rFonts w:hint="eastAsia" w:ascii="仿宋" w:hAnsi="仿宋" w:eastAsia="仿宋" w:cs="仿宋"/>
          <w:color w:val="000000"/>
          <w:kern w:val="0"/>
          <w:sz w:val="32"/>
          <w:szCs w:val="32"/>
          <w:lang w:val="zh-CN" w:eastAsia="zh-CN" w:bidi="ar"/>
        </w:rPr>
        <w:t>）执行管理情况。</w:t>
      </w:r>
      <w:r>
        <w:rPr>
          <w:rFonts w:hint="eastAsia" w:ascii="仿宋" w:hAnsi="仿宋" w:eastAsia="仿宋" w:cs="仿宋"/>
          <w:color w:val="000000"/>
          <w:kern w:val="0"/>
          <w:sz w:val="32"/>
          <w:szCs w:val="32"/>
          <w:lang w:val="zh-CN" w:eastAsia="zh-CN" w:bidi="ar"/>
        </w:rPr>
        <w:tab/>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本着少花钱、多办事、办好事、遵循有预算才支出的原则，20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年财政预算支出全面落实到位，均按规定的用途支付</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项目支出，是用于保障本单位为完成特定的</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项上</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工作任务</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用于专项业务工作的经费支出。</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我单位</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年未发生公务出国（境）费用，本着厉行节约的原则，公务用车实行定点加油和维修，使用及维修前报分管领导和主要负责人同意。</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2</w:t>
      </w:r>
      <w:r>
        <w:rPr>
          <w:rFonts w:hint="eastAsia" w:ascii="仿宋" w:hAnsi="仿宋" w:eastAsia="仿宋" w:cs="仿宋"/>
          <w:color w:val="000000"/>
          <w:kern w:val="0"/>
          <w:sz w:val="32"/>
          <w:szCs w:val="32"/>
          <w:lang w:val="zh-CN" w:eastAsia="zh-CN" w:bidi="ar"/>
        </w:rPr>
        <w:t>）综合管理情况。</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建立建全内部控制</w:t>
      </w:r>
      <w:r>
        <w:rPr>
          <w:rFonts w:hint="eastAsia" w:ascii="仿宋" w:hAnsi="仿宋" w:eastAsia="仿宋" w:cs="仿宋"/>
          <w:color w:val="000000" w:themeColor="text1"/>
          <w:sz w:val="32"/>
          <w:szCs w:val="32"/>
          <w14:textFill>
            <w14:solidFill>
              <w14:schemeClr w14:val="tx1"/>
            </w14:solidFill>
          </w14:textFill>
        </w:rPr>
        <w:t>制度：我</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预算信息公开：</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财务信息完善性：经核对</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25</w:t>
      </w:r>
      <w:r>
        <w:rPr>
          <w:rFonts w:hint="eastAsia" w:ascii="仿宋" w:hAnsi="仿宋" w:eastAsia="仿宋" w:cs="仿宋"/>
          <w:color w:val="000000" w:themeColor="text1"/>
          <w:sz w:val="32"/>
          <w:szCs w:val="32"/>
          <w14:textFill>
            <w14:solidFill>
              <w14:schemeClr w14:val="tx1"/>
            </w14:solidFill>
          </w14:textFill>
        </w:rPr>
        <w:t>年度总账、明细账、决算报表，其结果账账、账表相符；财务信息资料真实、完整、准确</w:t>
      </w:r>
      <w:r>
        <w:rPr>
          <w:rFonts w:hint="eastAsia" w:ascii="仿宋" w:hAnsi="仿宋" w:eastAsia="仿宋" w:cs="仿宋"/>
          <w:color w:val="000000" w:themeColor="text1"/>
          <w:sz w:val="32"/>
          <w:szCs w:val="32"/>
          <w:lang w:eastAsia="zh-CN"/>
          <w14:textFill>
            <w14:solidFill>
              <w14:schemeClr w14:val="tx1"/>
            </w14:solidFill>
          </w14:textFill>
        </w:rPr>
        <w:t>。</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lang w:val="en-US" w:eastAsia="zh-CN"/>
          <w14:textFill>
            <w14:solidFill>
              <w14:schemeClr w14:val="tx1"/>
            </w14:solidFill>
          </w14:textFill>
        </w:rPr>
        <w:t>3</w:t>
      </w: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t>执行预算制度到位</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能够严格执行《预算法》和各项财经纪律，财务管理规范，预算编制合理;二是资金监管到位。经费开支按用途使用合理，做到专帐专管,专款专用；三是人员配备和帐务核算到位。财务人员帐务核算及时规范。</w:t>
      </w:r>
      <w:r>
        <w:rPr>
          <w:rFonts w:hint="eastAsia" w:ascii="仿宋" w:hAnsi="仿宋" w:eastAsia="仿宋" w:cs="仿宋"/>
          <w:color w:val="000000" w:themeColor="text1"/>
          <w:sz w:val="32"/>
          <w:szCs w:val="32"/>
          <w14:textFill>
            <w14:solidFill>
              <w14:schemeClr w14:val="tx1"/>
            </w14:solidFill>
          </w14:textFill>
        </w:rPr>
        <w:t>我单位在财务上进行合理安排和运用，以“认真、严谨、细致”</w:t>
      </w:r>
      <w:r>
        <w:rPr>
          <w:rFonts w:hint="eastAsia" w:ascii="仿宋" w:hAnsi="仿宋" w:eastAsia="仿宋" w:cs="仿宋"/>
          <w:color w:val="000000" w:themeColor="text1"/>
          <w:sz w:val="32"/>
          <w:szCs w:val="32"/>
          <w:lang w:eastAsia="zh-CN"/>
          <w14:textFill>
            <w14:solidFill>
              <w14:schemeClr w14:val="tx1"/>
            </w14:solidFill>
          </w14:textFill>
        </w:rPr>
        <w:t>的</w:t>
      </w:r>
      <w:r>
        <w:rPr>
          <w:rFonts w:hint="eastAsia" w:ascii="仿宋" w:hAnsi="仿宋" w:eastAsia="仿宋" w:cs="仿宋"/>
          <w:color w:val="000000" w:themeColor="text1"/>
          <w:sz w:val="32"/>
          <w:szCs w:val="32"/>
          <w14:textFill>
            <w14:solidFill>
              <w14:schemeClr w14:val="tx1"/>
            </w14:solidFill>
          </w14:textFill>
        </w:rPr>
        <w:t>精神，做好一切财务工作</w:t>
      </w:r>
      <w:r>
        <w:rPr>
          <w:rFonts w:hint="eastAsia" w:ascii="仿宋" w:hAnsi="仿宋" w:eastAsia="仿宋" w:cs="仿宋"/>
          <w:color w:val="000000" w:themeColor="text1"/>
          <w:sz w:val="32"/>
          <w:szCs w:val="32"/>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 w:hAnsi="仿宋" w:eastAsia="仿宋" w:cs="仿宋"/>
          <w:b/>
          <w:bCs w:val="0"/>
          <w:color w:val="000000" w:themeColor="text1"/>
          <w:sz w:val="32"/>
          <w:szCs w:val="32"/>
          <w:lang w:eastAsia="zh-CN"/>
          <w14:textFill>
            <w14:solidFill>
              <w14:schemeClr w14:val="tx1"/>
            </w14:solidFill>
          </w14:textFill>
        </w:rPr>
      </w:pPr>
      <w:r>
        <w:rPr>
          <w:rFonts w:hint="eastAsia" w:ascii="仿宋" w:hAnsi="仿宋" w:eastAsia="仿宋" w:cs="仿宋"/>
          <w:color w:val="000000"/>
          <w:kern w:val="0"/>
          <w:sz w:val="32"/>
          <w:szCs w:val="32"/>
          <w:lang w:val="en-US" w:eastAsia="zh-CN" w:bidi="ar"/>
        </w:rPr>
        <w:t xml:space="preserve"> 四、</w:t>
      </w:r>
      <w:r>
        <w:rPr>
          <w:rFonts w:hint="eastAsia" w:ascii="仿宋" w:hAnsi="仿宋" w:eastAsia="仿宋" w:cs="仿宋"/>
          <w:b/>
          <w:bCs w:val="0"/>
          <w:color w:val="000000" w:themeColor="text1"/>
          <w:sz w:val="32"/>
          <w:szCs w:val="32"/>
          <w:lang w:eastAsia="zh-CN"/>
          <w14:textFill>
            <w14:solidFill>
              <w14:schemeClr w14:val="tx1"/>
            </w14:solidFill>
          </w14:textFill>
        </w:rPr>
        <w:t>评价结论及建议</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b w:val="0"/>
          <w:bCs/>
          <w:color w:val="000000"/>
          <w:kern w:val="0"/>
          <w:sz w:val="32"/>
          <w:szCs w:val="32"/>
          <w:lang w:val="zh-CN" w:eastAsia="zh-CN"/>
        </w:rPr>
      </w:pPr>
      <w:r>
        <w:rPr>
          <w:rFonts w:hint="eastAsia" w:ascii="仿宋" w:hAnsi="仿宋" w:eastAsia="仿宋" w:cs="仿宋"/>
          <w:color w:val="000000"/>
          <w:kern w:val="0"/>
          <w:sz w:val="32"/>
          <w:szCs w:val="32"/>
          <w:lang w:val="zh-CN" w:eastAsia="zh-CN" w:bidi="ar"/>
        </w:rPr>
        <w:t>（二）评价结论。</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经自评20</w:t>
      </w:r>
      <w:r>
        <w:rPr>
          <w:rStyle w:val="17"/>
          <w:rFonts w:hint="eastAsia" w:ascii="仿宋" w:hAnsi="仿宋" w:eastAsia="仿宋" w:cs="仿宋"/>
          <w:b w:val="0"/>
          <w:bCs/>
          <w:i w:val="0"/>
          <w:caps w:val="0"/>
          <w:color w:val="000000" w:themeColor="text1"/>
          <w:spacing w:val="0"/>
          <w:sz w:val="32"/>
          <w:szCs w:val="32"/>
          <w:shd w:val="clear" w:fill="FFFFFF"/>
          <w:lang w:val="en-US" w:eastAsia="zh-CN"/>
          <w14:textFill>
            <w14:solidFill>
              <w14:schemeClr w14:val="tx1"/>
            </w14:solidFill>
          </w14:textFill>
        </w:rPr>
        <w:t>25</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年度</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本单位整体</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支出绩效</w:t>
      </w:r>
      <w:r>
        <w:rPr>
          <w:rStyle w:val="17"/>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评价为优秀</w:t>
      </w:r>
      <w:r>
        <w:rPr>
          <w:rStyle w:val="17"/>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（三）存在问题。</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内部控制制度缺乏完善，需要完善机制，财务人员缺乏指导。</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（四）改进建议。</w:t>
      </w:r>
    </w:p>
    <w:p>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现金支出。加强事业单位会计制度的学习，准且完整的核算部门全年收入支出，确保不漏记多记支。     </w:t>
      </w: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部门预算项目支出绩效自评表（2025年度）</w:t>
      </w: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bookmarkEnd w:id="46"/>
    <w:p>
      <w:pPr>
        <w:spacing w:line="580" w:lineRule="exact"/>
        <w:rPr>
          <w:rFonts w:hint="eastAsia" w:ascii="仿宋" w:hAnsi="仿宋" w:eastAsia="仿宋" w:cs="仿宋"/>
          <w:color w:val="auto"/>
          <w:sz w:val="32"/>
          <w:szCs w:val="32"/>
          <w:highlight w:val="none"/>
          <w:lang w:val="en-US" w:eastAsia="zh-CN"/>
        </w:rPr>
      </w:pPr>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w:t>
      </w:r>
      <w:r>
        <w:rPr>
          <w:rFonts w:hint="eastAsia" w:ascii="仿宋_GB2312" w:hAnsi="仿宋_GB2312" w:eastAsia="仿宋_GB2312" w:cs="仿宋_GB2312"/>
          <w:sz w:val="32"/>
          <w:szCs w:val="32"/>
          <w:lang w:eastAsia="zh-CN"/>
        </w:rPr>
        <w:t>瓦切镇</w:t>
      </w:r>
      <w:r>
        <w:rPr>
          <w:rFonts w:hint="eastAsia" w:ascii="仿宋" w:hAnsi="仿宋" w:eastAsia="仿宋" w:cs="仿宋"/>
          <w:color w:val="auto"/>
          <w:sz w:val="32"/>
          <w:szCs w:val="32"/>
          <w:highlight w:val="none"/>
          <w:lang w:val="en-US" w:eastAsia="zh-CN"/>
        </w:rPr>
        <w:t>中心卫生院</w:t>
      </w:r>
    </w:p>
    <w:p>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br w:type="page"/>
      </w: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Start w:id="47"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8" w:name="_Toc15396620"/>
      <w:r>
        <w:rPr>
          <w:rFonts w:hint="eastAsia" w:ascii="Times New Roman" w:hAnsi="Times New Roman" w:eastAsia="仿宋_GB2312" w:cs="仿宋_GB2312"/>
          <w:color w:val="auto"/>
          <w:sz w:val="32"/>
          <w:szCs w:val="32"/>
          <w:highlight w:val="none"/>
        </w:rPr>
        <w:t>二、收入决算表</w:t>
      </w:r>
      <w:bookmarkEnd w:id="4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1"/>
      <w:r>
        <w:rPr>
          <w:rFonts w:hint="eastAsia" w:ascii="Times New Roman" w:hAnsi="Times New Roman" w:eastAsia="仿宋_GB2312" w:cs="仿宋_GB2312"/>
          <w:color w:val="auto"/>
          <w:sz w:val="32"/>
          <w:szCs w:val="32"/>
          <w:highlight w:val="none"/>
        </w:rPr>
        <w:t>三、支出决算表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2"/>
      <w:r>
        <w:rPr>
          <w:rFonts w:hint="eastAsia" w:ascii="Times New Roman" w:hAnsi="Times New Roman" w:eastAsia="仿宋_GB2312" w:cs="仿宋_GB2312"/>
          <w:color w:val="auto"/>
          <w:sz w:val="32"/>
          <w:szCs w:val="32"/>
          <w:highlight w:val="none"/>
        </w:rPr>
        <w:t>四、财政拨款收入支出决算总表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3"/>
      <w:r>
        <w:rPr>
          <w:rFonts w:hint="eastAsia" w:ascii="Times New Roman" w:hAnsi="Times New Roman" w:eastAsia="仿宋_GB2312" w:cs="仿宋_GB2312"/>
          <w:color w:val="auto"/>
          <w:sz w:val="32"/>
          <w:szCs w:val="32"/>
          <w:highlight w:val="none"/>
        </w:rPr>
        <w:t>五、财政拨款支出决算明细表</w:t>
      </w:r>
      <w:bookmarkEnd w:id="51"/>
      <w:bookmarkStart w:id="52"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5"/>
      <w:r>
        <w:rPr>
          <w:rFonts w:hint="eastAsia" w:ascii="Times New Roman" w:hAnsi="Times New Roman" w:eastAsia="仿宋_GB2312" w:cs="仿宋_GB2312"/>
          <w:color w:val="auto"/>
          <w:sz w:val="32"/>
          <w:szCs w:val="32"/>
          <w:highlight w:val="none"/>
        </w:rPr>
        <w:t>七、一般公共预算财政拨款支出决算明细表</w:t>
      </w:r>
      <w:bookmarkEnd w:id="5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6"/>
      <w:r>
        <w:rPr>
          <w:rFonts w:hint="eastAsia" w:ascii="Times New Roman" w:hAnsi="Times New Roman" w:eastAsia="仿宋_GB2312" w:cs="仿宋_GB2312"/>
          <w:color w:val="auto"/>
          <w:sz w:val="32"/>
          <w:szCs w:val="32"/>
          <w:highlight w:val="none"/>
        </w:rPr>
        <w:t>八、一般公共预算财政拨款基本支出决算表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7"/>
      <w:r>
        <w:rPr>
          <w:rFonts w:hint="eastAsia" w:ascii="Times New Roman" w:hAnsi="Times New Roman" w:eastAsia="仿宋_GB2312" w:cs="仿宋_GB2312"/>
          <w:color w:val="auto"/>
          <w:sz w:val="32"/>
          <w:szCs w:val="32"/>
          <w:highlight w:val="none"/>
        </w:rPr>
        <w:t>九、一般公共预算财政拨款项目支出决算表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8"/>
      <w:r>
        <w:rPr>
          <w:rFonts w:hint="eastAsia" w:ascii="Times New Roman" w:hAnsi="Times New Roman" w:eastAsia="仿宋_GB2312" w:cs="仿宋_GB2312"/>
          <w:color w:val="auto"/>
          <w:sz w:val="32"/>
          <w:szCs w:val="32"/>
          <w:highlight w:val="none"/>
        </w:rPr>
        <w:t>十、</w:t>
      </w:r>
      <w:bookmarkEnd w:id="56"/>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9"/>
      <w:r>
        <w:rPr>
          <w:rFonts w:hint="eastAsia" w:ascii="Times New Roman" w:hAnsi="Times New Roman" w:eastAsia="仿宋_GB2312" w:cs="仿宋_GB2312"/>
          <w:color w:val="auto"/>
          <w:sz w:val="32"/>
          <w:szCs w:val="32"/>
          <w:highlight w:val="none"/>
        </w:rPr>
        <w:t>十一、</w:t>
      </w:r>
      <w:bookmarkEnd w:id="5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30"/>
      <w:r>
        <w:rPr>
          <w:rFonts w:hint="eastAsia" w:ascii="Times New Roman" w:hAnsi="Times New Roman" w:eastAsia="仿宋_GB2312" w:cs="仿宋_GB2312"/>
          <w:color w:val="auto"/>
          <w:sz w:val="32"/>
          <w:szCs w:val="32"/>
          <w:highlight w:val="none"/>
        </w:rPr>
        <w:t>十二、</w:t>
      </w:r>
      <w:bookmarkEnd w:id="58"/>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59" w:name="_Toc15396631"/>
      <w:r>
        <w:rPr>
          <w:rFonts w:hint="eastAsia" w:ascii="Times New Roman" w:hAnsi="Times New Roman" w:eastAsia="仿宋_GB2312" w:cs="仿宋_GB2312"/>
          <w:color w:val="auto"/>
          <w:sz w:val="32"/>
          <w:szCs w:val="32"/>
          <w:highlight w:val="none"/>
        </w:rPr>
        <w:t>十三、</w:t>
      </w:r>
      <w:bookmarkEnd w:id="59"/>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p>
      <w:pPr>
        <w:rPr>
          <w:rFonts w:hint="eastAsia" w:ascii="Times New Roman" w:hAnsi="Times New Roman"/>
          <w:lang w:eastAsia="zh-CN"/>
        </w:rPr>
      </w:pPr>
    </w:p>
    <w:sectPr>
      <w:footerReference r:id="rId8" w:type="first"/>
      <w:headerReference r:id="rId6" w:type="defaul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E78653"/>
    <w:multiLevelType w:val="singleLevel"/>
    <w:tmpl w:val="F1E78653"/>
    <w:lvl w:ilvl="0" w:tentative="0">
      <w:start w:val="1"/>
      <w:numFmt w:val="decimal"/>
      <w:lvlText w:val="%1."/>
      <w:lvlJc w:val="left"/>
      <w:pPr>
        <w:tabs>
          <w:tab w:val="left" w:pos="312"/>
        </w:tabs>
      </w:pPr>
    </w:lvl>
  </w:abstractNum>
  <w:abstractNum w:abstractNumId="1">
    <w:nsid w:val="068EC286"/>
    <w:multiLevelType w:val="singleLevel"/>
    <w:tmpl w:val="068EC286"/>
    <w:lvl w:ilvl="0" w:tentative="0">
      <w:start w:val="1"/>
      <w:numFmt w:val="decimal"/>
      <w:lvlText w:val="%1."/>
      <w:lvlJc w:val="left"/>
      <w:pPr>
        <w:tabs>
          <w:tab w:val="left" w:pos="312"/>
        </w:tabs>
      </w:pPr>
    </w:lvl>
  </w:abstractNum>
  <w:abstractNum w:abstractNumId="2">
    <w:nsid w:val="520A3CC7"/>
    <w:multiLevelType w:val="singleLevel"/>
    <w:tmpl w:val="520A3CC7"/>
    <w:lvl w:ilvl="0" w:tentative="0">
      <w:start w:val="1"/>
      <w:numFmt w:val="chineseCounting"/>
      <w:suff w:val="nothing"/>
      <w:lvlText w:val="%1、"/>
      <w:lvlJc w:val="left"/>
      <w:rPr>
        <w:rFonts w:hint="eastAsia"/>
      </w:rPr>
    </w:lvl>
  </w:abstractNum>
  <w:abstractNum w:abstractNumId="3">
    <w:nsid w:val="6100AD16"/>
    <w:multiLevelType w:val="singleLevel"/>
    <w:tmpl w:val="6100AD16"/>
    <w:lvl w:ilvl="0" w:tentative="0">
      <w:start w:val="1"/>
      <w:numFmt w:val="chineseCounting"/>
      <w:suff w:val="nothing"/>
      <w:lvlText w:val="（%1）"/>
      <w:lvlJc w:val="left"/>
      <w:rPr>
        <w:rFonts w:hint="eastAsia"/>
      </w:rPr>
    </w:lvl>
  </w:abstractNum>
  <w:abstractNum w:abstractNumId="4">
    <w:nsid w:val="68C8D586"/>
    <w:multiLevelType w:val="singleLevel"/>
    <w:tmpl w:val="68C8D586"/>
    <w:lvl w:ilvl="0" w:tentative="0">
      <w:start w:val="1"/>
      <w:numFmt w:val="chineseCounting"/>
      <w:suff w:val="nothing"/>
      <w:lvlText w:val="%1、"/>
      <w:lvlJc w:val="left"/>
    </w:lvl>
  </w:abstractNum>
  <w:abstractNum w:abstractNumId="5">
    <w:nsid w:val="68C911E6"/>
    <w:multiLevelType w:val="singleLevel"/>
    <w:tmpl w:val="68C911E6"/>
    <w:lvl w:ilvl="0" w:tentative="0">
      <w:start w:val="1"/>
      <w:numFmt w:val="decimal"/>
      <w:suff w:val="nothing"/>
      <w:lvlText w:val="%1."/>
      <w:lvlJc w:val="left"/>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1AC6EDE"/>
    <w:rsid w:val="02317B1B"/>
    <w:rsid w:val="02FEBE30"/>
    <w:rsid w:val="061E35DE"/>
    <w:rsid w:val="066E0107"/>
    <w:rsid w:val="07996F6E"/>
    <w:rsid w:val="07DFD8BA"/>
    <w:rsid w:val="08DB07E4"/>
    <w:rsid w:val="09867E8F"/>
    <w:rsid w:val="0A2032A3"/>
    <w:rsid w:val="0BDD0B2E"/>
    <w:rsid w:val="0C6C4794"/>
    <w:rsid w:val="0CA8290A"/>
    <w:rsid w:val="0D35B1ED"/>
    <w:rsid w:val="0DE07E2B"/>
    <w:rsid w:val="0EAC2A3E"/>
    <w:rsid w:val="0F98263C"/>
    <w:rsid w:val="101860EC"/>
    <w:rsid w:val="10C055FF"/>
    <w:rsid w:val="11772AA4"/>
    <w:rsid w:val="118107EC"/>
    <w:rsid w:val="12BF3475"/>
    <w:rsid w:val="13957196"/>
    <w:rsid w:val="13D50BC4"/>
    <w:rsid w:val="14022904"/>
    <w:rsid w:val="152F2A07"/>
    <w:rsid w:val="15790BF9"/>
    <w:rsid w:val="165E0673"/>
    <w:rsid w:val="16BB723D"/>
    <w:rsid w:val="16F13FCB"/>
    <w:rsid w:val="186504BB"/>
    <w:rsid w:val="1938089F"/>
    <w:rsid w:val="19A445FC"/>
    <w:rsid w:val="1B7D550C"/>
    <w:rsid w:val="1BE8440E"/>
    <w:rsid w:val="1C855C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D31ADF"/>
    <w:rsid w:val="3DEE7CF3"/>
    <w:rsid w:val="3DF02244"/>
    <w:rsid w:val="3E78745D"/>
    <w:rsid w:val="3FF4CAE0"/>
    <w:rsid w:val="3FF7B227"/>
    <w:rsid w:val="40E54C45"/>
    <w:rsid w:val="41313393"/>
    <w:rsid w:val="43A407DF"/>
    <w:rsid w:val="44515BEA"/>
    <w:rsid w:val="44E268DA"/>
    <w:rsid w:val="453F7E5B"/>
    <w:rsid w:val="486A6C7A"/>
    <w:rsid w:val="486E51EE"/>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04510DA"/>
    <w:rsid w:val="512A3DAD"/>
    <w:rsid w:val="53083A92"/>
    <w:rsid w:val="537E6D0A"/>
    <w:rsid w:val="53AF27A2"/>
    <w:rsid w:val="53F74C96"/>
    <w:rsid w:val="56E47B74"/>
    <w:rsid w:val="57BD3DD4"/>
    <w:rsid w:val="58E669C9"/>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B5A1E"/>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CB7A23"/>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6"/>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6"/>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6"/>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6"/>
    <w:link w:val="4"/>
    <w:qFormat/>
    <w:uiPriority w:val="9"/>
    <w:rPr>
      <w:rFonts w:ascii="Times New Roman" w:hAnsi="Times New Roman"/>
      <w:b/>
      <w:bCs/>
      <w:kern w:val="44"/>
      <w:sz w:val="44"/>
      <w:szCs w:val="44"/>
    </w:rPr>
  </w:style>
  <w:style w:type="character" w:customStyle="1" w:styleId="30">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6"/>
    <w:link w:val="9"/>
    <w:semiHidden/>
    <w:qFormat/>
    <w:uiPriority w:val="99"/>
    <w:rPr>
      <w:rFonts w:ascii="Times New Roman" w:hAnsi="Times New Roman"/>
      <w:kern w:val="2"/>
      <w:sz w:val="18"/>
      <w:szCs w:val="18"/>
    </w:rPr>
  </w:style>
  <w:style w:type="character" w:customStyle="1" w:styleId="33">
    <w:name w:val="标题 3 Char"/>
    <w:basedOn w:val="16"/>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5162236715858"/>
          <c:y val="0.27862665332725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262.75</c:v>
                </c:pt>
                <c:pt idx="1">
                  <c:v>366.1</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2024年本年收入结构图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304.5</c:v>
                </c:pt>
                <c:pt idx="1">
                  <c:v>61.6</c:v>
                </c:pt>
              </c:numCache>
            </c:numRef>
          </c:val>
        </c:ser>
        <c:ser>
          <c:idx val="1"/>
          <c:order val="1"/>
          <c:tx>
            <c:strRef>
              <c:f>Sheet1!#REF!</c:f>
              <c:strCache>
                <c:ptCount val="1"/>
                <c:pt idx="0">
                  <c:v/>
                </c:pt>
              </c:strCache>
            </c:strRef>
          </c:tx>
          <c:spPr/>
          <c:explosion val="0"/>
          <c:dPt>
            <c:idx val="0"/>
            <c:bubble3D val="0"/>
            <c:spPr>
              <a:solidFill>
                <a:schemeClr val="accent1"/>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Sheet1!#REF!</c:f>
              <c:numCache>
                <c:formatCode>General</c:formatCode>
                <c:ptCount val="1"/>
                <c:pt idx="0">
                  <c:v>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280.98</c:v>
                </c:pt>
                <c:pt idx="1">
                  <c:v>85.12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262.75</c:v>
                </c:pt>
                <c:pt idx="1">
                  <c:v>304.5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34452985888836"/>
          <c:y val="0.0659591762564293"/>
        </c:manualLayout>
      </c:layout>
      <c:overlay val="0"/>
      <c:spPr>
        <a:noFill/>
        <a:ln>
          <a:noFill/>
        </a:ln>
        <a:effectLst/>
      </c:spPr>
    </c:title>
    <c:autoTitleDeleted val="0"/>
    <c:plotArea>
      <c:layout>
        <c:manualLayout>
          <c:layoutTarget val="inner"/>
          <c:xMode val="edge"/>
          <c:yMode val="edge"/>
          <c:x val="0.0448692868575494"/>
          <c:y val="0.16676646706586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304.5</c:v>
                </c:pt>
                <c:pt idx="1">
                  <c:v>262.75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37.17</c:v>
                </c:pt>
                <c:pt idx="1">
                  <c:v>246.51</c:v>
                </c:pt>
                <c:pt idx="2">
                  <c:v>20.81</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2</TotalTime>
  <ScaleCrop>false</ScaleCrop>
  <LinksUpToDate>false</LinksUpToDate>
  <CharactersWithSpaces>8692</CharactersWithSpaces>
  <Application>WPS Office_10.8.2.6949_F1E327BC-269C-435d-A152-05C5408002CA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2026-10-19T16:10:51Z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2052-10.8.2.6949</vt:lpwstr>
  </property>
  <property fmtid="{D5CDD505-2E9C-101B-9397-08002B2CF9AE}" pid="3" name="ICV">
    <vt:lpwstr>400D301575C74348A5277D00A7902E06</vt:lpwstr>
  </property>
</Properties>
</file>