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B3C33E">
      <w:pPr>
        <w:pStyle w:val="3"/>
        <w:rPr>
          <w:rFonts w:hint="eastAsia" w:ascii="Times New Roman" w:hAnsi="Times New Roman" w:eastAsia="方正小标宋简体" w:cs="Times New Roman"/>
          <w:color w:val="auto"/>
          <w:kern w:val="2"/>
          <w:sz w:val="72"/>
          <w:szCs w:val="72"/>
          <w:highlight w:val="none"/>
          <w:lang w:val="en-US" w:eastAsia="zh-CN" w:bidi="ar-SA"/>
        </w:rPr>
      </w:pPr>
      <w:bookmarkStart w:id="0" w:name="_Toc15377425"/>
      <w:bookmarkStart w:id="1" w:name="_Toc15396475"/>
      <w:bookmarkStart w:id="2" w:name="_Toc15377193"/>
      <w:bookmarkStart w:id="3" w:name="_Toc15306267"/>
      <w:bookmarkStart w:id="4" w:name="_Toc15396597"/>
      <w:bookmarkStart w:id="5" w:name="_Toc15378441"/>
    </w:p>
    <w:p w14:paraId="0A7211BD">
      <w:pPr>
        <w:pStyle w:val="3"/>
        <w:rPr>
          <w:rFonts w:hint="eastAsia" w:ascii="Times New Roman" w:hAnsi="Times New Roman" w:eastAsia="方正小标宋简体" w:cs="Times New Roman"/>
          <w:color w:val="auto"/>
          <w:kern w:val="2"/>
          <w:sz w:val="72"/>
          <w:szCs w:val="72"/>
          <w:highlight w:val="none"/>
          <w:lang w:val="en-US" w:eastAsia="zh-CN" w:bidi="ar-SA"/>
        </w:rPr>
      </w:pPr>
    </w:p>
    <w:p w14:paraId="2A1F5FC3">
      <w:pPr>
        <w:pStyle w:val="3"/>
        <w:rPr>
          <w:rFonts w:hint="eastAsia" w:ascii="Times New Roman" w:hAnsi="Times New Roman" w:eastAsia="方正小标宋简体" w:cs="Times New Roman"/>
          <w:color w:val="auto"/>
          <w:kern w:val="2"/>
          <w:sz w:val="72"/>
          <w:szCs w:val="72"/>
          <w:highlight w:val="none"/>
          <w:lang w:val="en-US" w:eastAsia="zh-CN" w:bidi="ar-SA"/>
        </w:rPr>
      </w:pPr>
    </w:p>
    <w:p w14:paraId="6A349EAE">
      <w:pPr>
        <w:pStyle w:val="16"/>
        <w:keepNext w:val="0"/>
        <w:keepLines w:val="0"/>
        <w:widowControl/>
        <w:suppressLineNumbers w:val="0"/>
        <w:spacing w:before="0" w:beforeAutospacing="0"/>
        <w:ind w:left="0"/>
        <w:jc w:val="center"/>
        <w:rPr>
          <w:rFonts w:hint="eastAsia" w:ascii="仿宋" w:hAnsi="仿宋" w:eastAsia="仿宋" w:cs="仿宋"/>
          <w:sz w:val="36"/>
          <w:szCs w:val="36"/>
        </w:rPr>
      </w:pPr>
      <w:r>
        <w:rPr>
          <w:rStyle w:val="19"/>
          <w:rFonts w:hint="eastAsia" w:ascii="仿宋" w:hAnsi="仿宋" w:eastAsia="仿宋" w:cs="仿宋"/>
          <w:sz w:val="36"/>
          <w:szCs w:val="36"/>
          <w:shd w:val="clear" w:color="auto" w:fill="FFFFFF"/>
        </w:rPr>
        <w:t>202</w:t>
      </w:r>
      <w:r>
        <w:rPr>
          <w:rStyle w:val="19"/>
          <w:rFonts w:hint="eastAsia" w:ascii="仿宋" w:hAnsi="仿宋" w:eastAsia="仿宋" w:cs="仿宋"/>
          <w:sz w:val="36"/>
          <w:szCs w:val="36"/>
          <w:shd w:val="clear" w:color="auto" w:fill="FFFFFF"/>
          <w:lang w:val="en-US" w:eastAsia="zh-CN"/>
        </w:rPr>
        <w:t>5</w:t>
      </w:r>
      <w:r>
        <w:rPr>
          <w:rStyle w:val="19"/>
          <w:rFonts w:hint="eastAsia" w:ascii="仿宋" w:hAnsi="仿宋" w:eastAsia="仿宋" w:cs="仿宋"/>
          <w:sz w:val="36"/>
          <w:szCs w:val="36"/>
          <w:shd w:val="clear" w:color="auto" w:fill="FFFFFF"/>
        </w:rPr>
        <w:t>年度</w:t>
      </w:r>
    </w:p>
    <w:p w14:paraId="6DE35DFC">
      <w:pPr>
        <w:spacing w:line="600" w:lineRule="exact"/>
        <w:jc w:val="center"/>
        <w:outlineLvl w:val="0"/>
        <w:rPr>
          <w:rFonts w:ascii="Times New Roman" w:hAnsi="Times New Roman" w:eastAsia="方正小标宋简体"/>
          <w:color w:val="auto"/>
          <w:sz w:val="72"/>
          <w:szCs w:val="72"/>
          <w:highlight w:val="none"/>
        </w:rPr>
      </w:pPr>
      <w:r>
        <w:rPr>
          <w:rStyle w:val="19"/>
          <w:rFonts w:hint="eastAsia" w:ascii="仿宋" w:hAnsi="仿宋" w:eastAsia="仿宋" w:cs="仿宋"/>
          <w:sz w:val="36"/>
          <w:szCs w:val="36"/>
          <w:shd w:val="clear" w:color="auto" w:fill="FFFFFF"/>
        </w:rPr>
        <w:t>阿坝州红原县</w:t>
      </w:r>
      <w:r>
        <w:rPr>
          <w:rStyle w:val="19"/>
          <w:rFonts w:hint="eastAsia" w:ascii="仿宋" w:hAnsi="仿宋" w:eastAsia="仿宋" w:cs="仿宋"/>
          <w:sz w:val="36"/>
          <w:szCs w:val="36"/>
          <w:shd w:val="clear" w:color="auto" w:fill="FFFFFF"/>
          <w:lang w:val="en-US" w:eastAsia="zh-CN"/>
        </w:rPr>
        <w:t>江茸</w:t>
      </w:r>
      <w:r>
        <w:rPr>
          <w:rStyle w:val="19"/>
          <w:rFonts w:hint="eastAsia" w:ascii="仿宋" w:hAnsi="仿宋" w:eastAsia="仿宋" w:cs="仿宋"/>
          <w:sz w:val="36"/>
          <w:szCs w:val="36"/>
          <w:shd w:val="clear" w:color="auto" w:fill="FFFFFF"/>
          <w:lang w:eastAsia="zh-CN"/>
        </w:rPr>
        <w:t>乡</w:t>
      </w:r>
      <w:r>
        <w:rPr>
          <w:rStyle w:val="19"/>
          <w:rFonts w:hint="eastAsia" w:ascii="仿宋" w:hAnsi="仿宋" w:eastAsia="仿宋" w:cs="仿宋"/>
          <w:sz w:val="36"/>
          <w:szCs w:val="36"/>
          <w:shd w:val="clear" w:color="auto" w:fill="FFFFFF"/>
        </w:rPr>
        <w:t>卫生院</w:t>
      </w:r>
      <w:r>
        <w:rPr>
          <w:rStyle w:val="19"/>
          <w:rFonts w:hint="eastAsia" w:ascii="仿宋" w:hAnsi="仿宋" w:eastAsia="仿宋" w:cs="仿宋"/>
          <w:sz w:val="36"/>
          <w:szCs w:val="36"/>
          <w:shd w:val="clear" w:color="auto" w:fill="FFFFFF"/>
          <w:lang w:eastAsia="zh-CN"/>
        </w:rPr>
        <w:t>单位</w:t>
      </w:r>
      <w:r>
        <w:rPr>
          <w:rStyle w:val="19"/>
          <w:rFonts w:hint="eastAsia" w:ascii="仿宋" w:hAnsi="仿宋" w:eastAsia="仿宋" w:cs="仿宋"/>
          <w:sz w:val="36"/>
          <w:szCs w:val="36"/>
          <w:shd w:val="clear" w:color="auto" w:fill="FFFFFF"/>
        </w:rPr>
        <w:t>决算</w:t>
      </w:r>
      <w:r>
        <w:rPr>
          <w:rStyle w:val="19"/>
          <w:rFonts w:hint="eastAsia" w:ascii="仿宋" w:hAnsi="仿宋" w:eastAsia="仿宋" w:cs="仿宋"/>
          <w:sz w:val="36"/>
          <w:szCs w:val="36"/>
          <w:shd w:val="clear" w:color="auto" w:fill="FFFFFF"/>
          <w:lang w:eastAsia="zh-CN"/>
        </w:rPr>
        <w:t>公开说明</w:t>
      </w:r>
    </w:p>
    <w:p w14:paraId="71F3C779">
      <w:pPr>
        <w:pStyle w:val="21"/>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14:paraId="043BE7A8">
      <w:pPr>
        <w:rPr>
          <w:rFonts w:ascii="Times New Roman" w:hAnsi="Times New Roman"/>
        </w:rPr>
      </w:pPr>
    </w:p>
    <w:p w14:paraId="0D38F685">
      <w:pPr>
        <w:pStyle w:val="3"/>
        <w:jc w:val="center"/>
        <w:rPr>
          <w:rFonts w:hint="eastAsia" w:ascii="Times New Roman" w:hAnsi="Times New Roman" w:eastAsia="方正小标宋简体" w:cs="Times New Roman"/>
          <w:color w:val="auto"/>
          <w:kern w:val="2"/>
          <w:sz w:val="44"/>
          <w:szCs w:val="44"/>
          <w:highlight w:val="none"/>
          <w:lang w:val="en-US" w:eastAsia="zh-CN" w:bidi="ar-SA"/>
        </w:rPr>
      </w:pPr>
    </w:p>
    <w:p w14:paraId="5E5070C7">
      <w:pPr>
        <w:pStyle w:val="3"/>
        <w:jc w:val="center"/>
        <w:rPr>
          <w:rFonts w:hint="eastAsia" w:ascii="Times New Roman" w:hAnsi="Times New Roman" w:eastAsia="方正小标宋简体" w:cs="Times New Roman"/>
          <w:color w:val="auto"/>
          <w:kern w:val="2"/>
          <w:sz w:val="44"/>
          <w:szCs w:val="44"/>
          <w:highlight w:val="none"/>
          <w:lang w:val="en-US" w:eastAsia="zh-CN" w:bidi="ar-SA"/>
        </w:rPr>
      </w:pPr>
    </w:p>
    <w:p w14:paraId="3EF685B6">
      <w:pPr>
        <w:pStyle w:val="3"/>
        <w:jc w:val="center"/>
        <w:rPr>
          <w:rFonts w:hint="eastAsia" w:ascii="Times New Roman" w:hAnsi="Times New Roman" w:eastAsia="方正小标宋简体" w:cs="Times New Roman"/>
          <w:color w:val="auto"/>
          <w:kern w:val="2"/>
          <w:sz w:val="44"/>
          <w:szCs w:val="44"/>
          <w:highlight w:val="none"/>
          <w:lang w:val="en-US" w:eastAsia="zh-CN" w:bidi="ar-SA"/>
        </w:rPr>
      </w:pPr>
    </w:p>
    <w:p w14:paraId="27EE02B4">
      <w:pPr>
        <w:pStyle w:val="3"/>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58D242AC">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38D78EE6">
      <w:pPr>
        <w:widowControl/>
        <w:jc w:val="center"/>
        <w:rPr>
          <w:rFonts w:ascii="Times New Roman" w:hAnsi="Times New Roman" w:eastAsia="黑体" w:cstheme="minorBidi"/>
          <w:color w:val="auto"/>
          <w:sz w:val="28"/>
          <w:szCs w:val="28"/>
          <w:highlight w:val="none"/>
        </w:rPr>
      </w:pPr>
    </w:p>
    <w:p w14:paraId="44C63794">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15</w:t>
      </w:r>
      <w:r>
        <w:rPr>
          <w:rFonts w:hint="eastAsia" w:ascii="Times New Roman" w:hAnsi="Times New Roman" w:eastAsia="仿宋_GB2312" w:cs="仿宋_GB2312"/>
          <w:color w:val="auto"/>
          <w:sz w:val="32"/>
          <w:szCs w:val="32"/>
          <w:highlight w:val="none"/>
        </w:rPr>
        <w:t>日</w:t>
      </w:r>
    </w:p>
    <w:p w14:paraId="464C95FD">
      <w:pPr>
        <w:rPr>
          <w:rFonts w:ascii="Times New Roman" w:hAnsi="Times New Roman"/>
          <w:color w:val="auto"/>
          <w:highlight w:val="none"/>
        </w:rPr>
      </w:pPr>
    </w:p>
    <w:p w14:paraId="48250263">
      <w:pPr>
        <w:pStyle w:val="13"/>
        <w:adjustRightInd w:val="0"/>
        <w:snapToGrid w:val="0"/>
        <w:spacing w:before="0" w:line="440" w:lineRule="exact"/>
        <w:jc w:val="left"/>
        <w:rPr>
          <w:rFonts w:hint="eastAsia" w:ascii="宋体" w:hAnsi="宋体" w:eastAsia="宋体" w:cs="宋体"/>
          <w:sz w:val="24"/>
          <w:szCs w:val="24"/>
        </w:rPr>
      </w:pPr>
      <w:bookmarkStart w:id="6" w:name="_Toc15396599"/>
      <w:bookmarkStart w:id="7" w:name="_Toc15377196"/>
      <w:r>
        <w:rPr>
          <w:rFonts w:hint="eastAsia" w:ascii="宋体" w:hAnsi="宋体" w:eastAsia="宋体" w:cs="宋体"/>
          <w:sz w:val="24"/>
        </w:rPr>
        <w:t>第一部分 部门概况</w:t>
      </w:r>
    </w:p>
    <w:p w14:paraId="1F8B7E54">
      <w:pPr>
        <w:pStyle w:val="9"/>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14:paraId="56D98A10">
      <w:pPr>
        <w:pStyle w:val="9"/>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14:paraId="0B12986C">
      <w:pPr>
        <w:pStyle w:val="13"/>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14:paraId="6F7E7E8A">
      <w:pPr>
        <w:pStyle w:val="9"/>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14:paraId="33FFFE27">
      <w:pPr>
        <w:pStyle w:val="9"/>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14:paraId="7A6C7610">
      <w:pPr>
        <w:pStyle w:val="9"/>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14:paraId="27C2E73F">
      <w:pPr>
        <w:pStyle w:val="9"/>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14:paraId="63BED48D">
      <w:pPr>
        <w:pStyle w:val="9"/>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14:paraId="532895ED">
      <w:pPr>
        <w:pStyle w:val="9"/>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14:paraId="4C5AA5E3">
      <w:pPr>
        <w:pStyle w:val="9"/>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14:paraId="50101AC4">
      <w:pPr>
        <w:pStyle w:val="9"/>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14:paraId="718F90BC">
      <w:pPr>
        <w:pStyle w:val="9"/>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14:paraId="3C9C685C">
      <w:pPr>
        <w:pStyle w:val="9"/>
        <w:bidi w:val="0"/>
        <w:ind w:left="0" w:leftChars="0" w:firstLine="480" w:firstLineChars="200"/>
        <w:rPr>
          <w:rFonts w:hint="default" w:eastAsia="宋体"/>
          <w:lang w:val="en-US" w:eastAsia="zh-CN"/>
        </w:rPr>
      </w:pPr>
      <w:r>
        <w:rPr>
          <w:rStyle w:val="20"/>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tab/>
      </w:r>
      <w:r>
        <w:rPr>
          <w:rFonts w:hint="eastAsia"/>
          <w:lang w:val="en-US" w:eastAsia="zh-CN"/>
        </w:rPr>
        <w:t>10</w:t>
      </w:r>
    </w:p>
    <w:p w14:paraId="6546FA13">
      <w:pPr>
        <w:pStyle w:val="9"/>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14:paraId="16CC9AB4">
      <w:pPr>
        <w:pStyle w:val="13"/>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14:paraId="12923E60">
      <w:pPr>
        <w:pStyle w:val="9"/>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bookmarkStart w:id="62" w:name="_GoBack"/>
      <w:bookmarkEnd w:id="62"/>
    </w:p>
    <w:p w14:paraId="42E2FAD4">
      <w:pPr>
        <w:pStyle w:val="9"/>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14:paraId="3EC88F00">
      <w:pPr>
        <w:pStyle w:val="9"/>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14:paraId="11C6BA5D">
      <w:pPr>
        <w:pStyle w:val="9"/>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14:paraId="1F6E34AD">
      <w:pPr>
        <w:pStyle w:val="9"/>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14:paraId="2775F6B5">
      <w:pPr>
        <w:pStyle w:val="9"/>
        <w:bidi w:val="0"/>
        <w:ind w:left="0" w:leftChars="0" w:firstLine="480" w:firstLineChars="200"/>
        <w:rPr>
          <w:rFonts w:hint="eastAsia"/>
          <w:sz w:val="24"/>
        </w:rPr>
      </w:pPr>
      <w:r>
        <w:rPr>
          <w:rFonts w:hint="eastAsia" w:ascii="宋体" w:hAnsi="宋体" w:eastAsia="宋体" w:cs="宋体"/>
          <w:sz w:val="24"/>
        </w:rPr>
        <w:t>三、支出决算表</w:t>
      </w:r>
    </w:p>
    <w:p w14:paraId="3FCE6CFA">
      <w:pPr>
        <w:pStyle w:val="9"/>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14:paraId="79AD7FF5">
      <w:pPr>
        <w:pStyle w:val="9"/>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14:paraId="28EBD749">
      <w:pPr>
        <w:pStyle w:val="9"/>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14:paraId="33D6F622">
      <w:pPr>
        <w:pStyle w:val="9"/>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14:paraId="3D11A48E">
      <w:pPr>
        <w:pStyle w:val="9"/>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14:paraId="7D282624">
      <w:pPr>
        <w:pStyle w:val="9"/>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14:paraId="13B33685">
      <w:pPr>
        <w:pStyle w:val="9"/>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14:paraId="16080411">
      <w:pPr>
        <w:pStyle w:val="9"/>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14:paraId="7C5FA84B">
      <w:pPr>
        <w:pStyle w:val="9"/>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14:paraId="1ECCB8B2">
      <w:pPr>
        <w:pStyle w:val="9"/>
        <w:bidi w:val="0"/>
        <w:ind w:left="0" w:leftChars="0" w:firstLine="480" w:firstLineChars="200"/>
        <w:rPr>
          <w:rFonts w:hint="eastAsia"/>
          <w:sz w:val="24"/>
        </w:rPr>
      </w:pPr>
      <w:r>
        <w:rPr>
          <w:rFonts w:hint="eastAsia" w:ascii="仿宋" w:hAnsi="仿宋" w:eastAsia="仿宋"/>
          <w:sz w:val="24"/>
        </w:rPr>
        <w:t>十三、</w:t>
      </w:r>
      <w:r>
        <w:rPr>
          <w:rFonts w:hint="eastAsia"/>
          <w:sz w:val="24"/>
        </w:rPr>
        <w:t>国有资本经营预算支出决算表</w:t>
      </w:r>
    </w:p>
    <w:p w14:paraId="54362A5B">
      <w:pPr>
        <w:pStyle w:val="4"/>
        <w:jc w:val="both"/>
        <w:rPr>
          <w:rStyle w:val="30"/>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0"/>
          <w:rFonts w:hint="eastAsia" w:ascii="Times New Roman" w:hAnsi="Times New Roman" w:eastAsia="方正小标宋简体" w:cs="方正小标宋简体"/>
          <w:b w:val="0"/>
          <w:bCs w:val="0"/>
          <w:color w:val="auto"/>
          <w:highlight w:val="none"/>
        </w:rPr>
        <w:t>部门概况</w:t>
      </w:r>
      <w:bookmarkEnd w:id="6"/>
      <w:bookmarkEnd w:id="7"/>
    </w:p>
    <w:p w14:paraId="74176BA4">
      <w:pPr>
        <w:widowControl/>
        <w:jc w:val="left"/>
        <w:rPr>
          <w:rFonts w:ascii="Times New Roman" w:hAnsi="Times New Roman" w:eastAsia="黑体"/>
          <w:color w:val="auto"/>
          <w:sz w:val="32"/>
          <w:szCs w:val="32"/>
          <w:highlight w:val="none"/>
        </w:rPr>
      </w:pPr>
    </w:p>
    <w:p w14:paraId="151CACFE">
      <w:pPr>
        <w:pStyle w:val="5"/>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14:paraId="539CE9B5">
      <w:pPr>
        <w:numPr>
          <w:ilvl w:val="0"/>
          <w:numId w:val="0"/>
        </w:numPr>
        <w:ind w:firstLine="960" w:firstLineChars="300"/>
        <w:rPr>
          <w:rFonts w:hint="default"/>
          <w:lang w:val="en-US" w:eastAsia="zh-CN"/>
        </w:rPr>
      </w:pP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378299C9">
      <w:pPr>
        <w:pStyle w:val="5"/>
        <w:rPr>
          <w:rStyle w:val="31"/>
          <w:rFonts w:ascii="Times New Roman" w:hAnsi="Times New Roman"/>
          <w:b w:val="0"/>
          <w:bCs w:val="0"/>
          <w:color w:val="auto"/>
          <w:highlight w:val="none"/>
        </w:rPr>
      </w:pPr>
      <w:bookmarkStart w:id="8" w:name="_Toc15377200"/>
      <w:bookmarkStart w:id="9" w:name="_Toc15396601"/>
      <w:r>
        <w:rPr>
          <w:rFonts w:hint="eastAsia" w:ascii="Times New Roman" w:hAnsi="Times New Roman" w:eastAsia="黑体"/>
          <w:b w:val="0"/>
          <w:color w:val="auto"/>
          <w:highlight w:val="none"/>
        </w:rPr>
        <w:t>二、机</w:t>
      </w:r>
      <w:r>
        <w:rPr>
          <w:rStyle w:val="31"/>
          <w:rFonts w:hint="eastAsia" w:ascii="Times New Roman" w:hAnsi="Times New Roman" w:eastAsia="黑体"/>
          <w:b w:val="0"/>
          <w:bCs w:val="0"/>
          <w:color w:val="auto"/>
          <w:highlight w:val="none"/>
        </w:rPr>
        <w:t>构设置</w:t>
      </w:r>
      <w:bookmarkEnd w:id="8"/>
      <w:bookmarkEnd w:id="9"/>
    </w:p>
    <w:p w14:paraId="69140A05">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Times New Roman" w:hAnsi="Times New Roman" w:eastAsia="仿宋_GB2312" w:cs="仿宋_GB2312"/>
          <w:color w:val="auto"/>
          <w:sz w:val="32"/>
          <w:szCs w:val="32"/>
          <w:highlight w:val="none"/>
        </w:rPr>
      </w:pPr>
      <w:r>
        <w:rPr>
          <w:rFonts w:hint="eastAsia" w:ascii="仿宋" w:hAnsi="仿宋" w:eastAsia="仿宋" w:cs="仿宋"/>
          <w:color w:val="auto"/>
          <w:sz w:val="32"/>
          <w:szCs w:val="32"/>
          <w:highlight w:val="none"/>
        </w:rPr>
        <w:t>红原县</w:t>
      </w:r>
      <w:r>
        <w:rPr>
          <w:rFonts w:hint="eastAsia" w:ascii="仿宋" w:hAnsi="仿宋" w:eastAsia="仿宋" w:cs="仿宋"/>
          <w:color w:val="auto"/>
          <w:sz w:val="32"/>
          <w:szCs w:val="32"/>
          <w:highlight w:val="none"/>
          <w:lang w:eastAsia="zh-CN"/>
        </w:rPr>
        <w:t>江茸</w:t>
      </w:r>
      <w:r>
        <w:rPr>
          <w:rFonts w:hint="eastAsia" w:ascii="仿宋" w:hAnsi="仿宋" w:eastAsia="仿宋" w:cs="仿宋"/>
          <w:color w:val="auto"/>
          <w:sz w:val="32"/>
          <w:szCs w:val="32"/>
          <w:highlight w:val="none"/>
        </w:rPr>
        <w:t>乡卫生院下属二级</w:t>
      </w:r>
      <w:r>
        <w:rPr>
          <w:rFonts w:hint="eastAsia" w:ascii="仿宋" w:hAnsi="仿宋" w:eastAsia="仿宋" w:cs="仿宋"/>
          <w:color w:val="auto"/>
          <w:sz w:val="32"/>
          <w:szCs w:val="32"/>
          <w:highlight w:val="none"/>
          <w:lang w:eastAsia="zh-CN"/>
        </w:rPr>
        <w:t>预算</w:t>
      </w:r>
      <w:r>
        <w:rPr>
          <w:rFonts w:hint="eastAsia" w:ascii="仿宋" w:hAnsi="仿宋" w:eastAsia="仿宋" w:cs="仿宋"/>
          <w:color w:val="auto"/>
          <w:sz w:val="32"/>
          <w:szCs w:val="32"/>
          <w:highlight w:val="none"/>
        </w:rPr>
        <w:t>单位</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eastAsia="zh-CN"/>
        </w:rPr>
        <w:t>，</w:t>
      </w:r>
      <w:r>
        <w:rPr>
          <w:rFonts w:hint="eastAsia" w:ascii="仿宋" w:hAnsi="仿宋" w:eastAsia="仿宋" w:cs="仿宋"/>
          <w:bCs/>
          <w:sz w:val="32"/>
          <w:szCs w:val="32"/>
        </w:rPr>
        <w:t>我单位为独立核算全额拨款事业单位，</w:t>
      </w:r>
      <w:r>
        <w:rPr>
          <w:rFonts w:hint="eastAsia" w:ascii="仿宋" w:hAnsi="仿宋" w:eastAsia="仿宋" w:cs="仿宋"/>
          <w:bCs/>
          <w:sz w:val="32"/>
          <w:szCs w:val="32"/>
          <w:lang w:eastAsia="zh-CN"/>
        </w:rPr>
        <w:t>下设</w:t>
      </w:r>
      <w:r>
        <w:rPr>
          <w:rFonts w:hint="eastAsia" w:ascii="仿宋" w:hAnsi="仿宋" w:eastAsia="仿宋" w:cs="仿宋"/>
          <w:bCs/>
          <w:sz w:val="32"/>
          <w:szCs w:val="32"/>
          <w:lang w:val="en-US" w:eastAsia="zh-CN"/>
        </w:rPr>
        <w:t>1机构。</w:t>
      </w: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共有编制8个，其中事业编8个，在职7人,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7</w:t>
      </w:r>
      <w:r>
        <w:rPr>
          <w:rFonts w:hint="eastAsia" w:ascii="仿宋" w:hAnsi="仿宋" w:eastAsia="仿宋" w:cs="仿宋"/>
          <w:bCs/>
          <w:sz w:val="32"/>
          <w:szCs w:val="32"/>
        </w:rPr>
        <w:t>人。</w:t>
      </w:r>
    </w:p>
    <w:p w14:paraId="2932B781">
      <w:pPr>
        <w:pStyle w:val="3"/>
        <w:adjustRightInd w:val="0"/>
        <w:snapToGrid w:val="0"/>
        <w:spacing w:before="93" w:line="600" w:lineRule="exact"/>
        <w:ind w:firstLine="672" w:firstLineChars="21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rPr>
        <w:t>纳入</w:t>
      </w:r>
      <w:r>
        <w:rPr>
          <w:rFonts w:hint="eastAsia" w:ascii="仿宋_GB2312" w:hAnsi="仿宋_GB2312" w:eastAsia="仿宋_GB2312" w:cs="仿宋_GB2312"/>
          <w:color w:val="auto"/>
          <w:sz w:val="32"/>
          <w:szCs w:val="32"/>
          <w:highlight w:val="none"/>
        </w:rPr>
        <w:t>红原县江茸乡卫生院</w:t>
      </w:r>
      <w:r>
        <w:rPr>
          <w:rFonts w:hint="eastAsia" w:ascii="Times New Roman"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rPr>
        <w:t>部门决算编制范围的二级预算单位</w:t>
      </w:r>
      <w:r>
        <w:rPr>
          <w:rFonts w:hint="eastAsia" w:ascii="Times New Roman" w:cs="仿宋_GB2312"/>
          <w:color w:val="auto"/>
          <w:sz w:val="32"/>
          <w:szCs w:val="32"/>
          <w:highlight w:val="none"/>
          <w:lang w:val="en-US" w:eastAsia="zh-CN"/>
        </w:rPr>
        <w:t>无。</w:t>
      </w:r>
    </w:p>
    <w:p w14:paraId="17B2218A">
      <w:pPr>
        <w:pStyle w:val="4"/>
        <w:jc w:val="center"/>
        <w:rPr>
          <w:rFonts w:hint="eastAsia" w:ascii="Times New Roman" w:hAnsi="Times New Roman" w:eastAsia="方正小标宋简体" w:cs="方正小标宋简体"/>
          <w:b w:val="0"/>
          <w:color w:val="auto"/>
          <w:highlight w:val="none"/>
        </w:rPr>
      </w:pPr>
      <w:bookmarkStart w:id="10" w:name="_Toc15396602"/>
      <w:bookmarkStart w:id="11"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0"/>
      <w:bookmarkEnd w:id="11"/>
    </w:p>
    <w:p w14:paraId="59C5779D">
      <w:pPr>
        <w:rPr>
          <w:rFonts w:ascii="Times New Roman" w:hAnsi="Times New Roman"/>
          <w:color w:val="auto"/>
          <w:highlight w:val="none"/>
        </w:rPr>
      </w:pPr>
    </w:p>
    <w:p w14:paraId="1A42C833">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2" w:name="_Toc15396603"/>
      <w:bookmarkStart w:id="1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1"/>
          <w:rFonts w:hint="eastAsia" w:ascii="Times New Roman" w:hAnsi="Times New Roman" w:eastAsia="黑体"/>
          <w:b w:val="0"/>
          <w:color w:val="auto"/>
          <w:highlight w:val="none"/>
        </w:rPr>
        <w:t>入支出决算总体情况说明</w:t>
      </w:r>
      <w:bookmarkEnd w:id="12"/>
      <w:bookmarkEnd w:id="13"/>
    </w:p>
    <w:p w14:paraId="5ADA3AF2">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sz w:val="32"/>
          <w:szCs w:val="32"/>
          <w:highlight w:val="none"/>
          <w:lang w:val="en-US"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-1186180</wp:posOffset>
            </wp:positionH>
            <wp:positionV relativeFrom="paragraph">
              <wp:posOffset>1326515</wp:posOffset>
            </wp:positionV>
            <wp:extent cx="6760210" cy="2067560"/>
            <wp:effectExtent l="4445" t="4445" r="1714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235</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val="en-US" w:eastAsia="zh-CN"/>
        </w:rPr>
        <w:t>2024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仿宋_GB2312" w:hAnsi="仿宋_GB2312" w:eastAsia="仿宋_GB2312" w:cs="仿宋_GB2312"/>
          <w:sz w:val="32"/>
          <w:szCs w:val="32"/>
        </w:rPr>
        <w:t>203.87</w:t>
      </w:r>
      <w:r>
        <w:rPr>
          <w:rFonts w:hint="eastAsia" w:ascii="Times New Roman" w:hAnsi="Times New Roman" w:eastAsia="仿宋_GB2312" w:cs="仿宋_GB2312"/>
          <w:color w:val="auto"/>
          <w:sz w:val="32"/>
          <w:szCs w:val="32"/>
          <w:highlight w:val="none"/>
        </w:rPr>
        <w:t>万元相比，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增加</w:t>
      </w:r>
      <w:r>
        <w:rPr>
          <w:rFonts w:hint="eastAsia" w:eastAsia="仿宋_GB2312" w:cs="仿宋_GB2312"/>
          <w:color w:val="auto"/>
          <w:sz w:val="32"/>
          <w:szCs w:val="32"/>
          <w:highlight w:val="none"/>
          <w:lang w:eastAsia="zh-CN"/>
        </w:rPr>
        <w:t>了</w:t>
      </w:r>
      <w:r>
        <w:rPr>
          <w:rFonts w:hint="eastAsia" w:eastAsia="仿宋_GB2312" w:cs="仿宋_GB2312"/>
          <w:color w:val="auto"/>
          <w:sz w:val="32"/>
          <w:szCs w:val="32"/>
          <w:highlight w:val="none"/>
          <w:lang w:val="en-US" w:eastAsia="zh-CN"/>
        </w:rPr>
        <w:t>31.13</w:t>
      </w:r>
      <w:r>
        <w:rPr>
          <w:rFonts w:hint="eastAsia" w:ascii="Times New Roman" w:hAnsi="Times New Roman" w:eastAsia="仿宋_GB2312" w:cs="仿宋_GB2312"/>
          <w:color w:val="auto"/>
          <w:sz w:val="32"/>
          <w:szCs w:val="32"/>
          <w:highlight w:val="none"/>
        </w:rPr>
        <w:t>，增长</w:t>
      </w:r>
      <w:r>
        <w:rPr>
          <w:rFonts w:hint="eastAsia" w:eastAsia="仿宋_GB2312" w:cs="仿宋_GB2312"/>
          <w:color w:val="auto"/>
          <w:sz w:val="32"/>
          <w:szCs w:val="32"/>
          <w:highlight w:val="none"/>
          <w:lang w:val="en-US" w:eastAsia="zh-CN"/>
        </w:rPr>
        <w:t>13.25</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工资调整。</w:t>
      </w:r>
    </w:p>
    <w:p w14:paraId="06B16E1E">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2106408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47AE9965">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77206"/>
      <w:bookmarkStart w:id="15" w:name="_Toc15396604"/>
      <w:r>
        <w:rPr>
          <w:rFonts w:hint="eastAsia" w:ascii="Times New Roman" w:hAnsi="Times New Roman" w:eastAsia="黑体"/>
          <w:color w:val="auto"/>
          <w:sz w:val="32"/>
          <w:szCs w:val="32"/>
          <w:highlight w:val="none"/>
          <w:lang w:eastAsia="zh-CN"/>
        </w:rPr>
        <w:t>二、收入决算情况说明</w:t>
      </w:r>
      <w:bookmarkEnd w:id="14"/>
      <w:bookmarkEnd w:id="15"/>
    </w:p>
    <w:p w14:paraId="29DADBDA">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235</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201.96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85.93</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w:t>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0288" behindDoc="0" locked="0" layoutInCell="1" allowOverlap="1">
            <wp:simplePos x="0" y="0"/>
            <wp:positionH relativeFrom="column">
              <wp:posOffset>-1033780</wp:posOffset>
            </wp:positionH>
            <wp:positionV relativeFrom="paragraph">
              <wp:posOffset>1795145</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Times New Roman" w:hAnsi="Times New Roman" w:eastAsia="仿宋_GB2312" w:cs="仿宋_GB2312"/>
          <w:color w:val="auto"/>
          <w:sz w:val="32"/>
          <w:szCs w:val="32"/>
          <w:highlight w:val="none"/>
          <w:lang w:eastAsia="zh-CN"/>
        </w:rPr>
        <w:t>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13.47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5.73</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19.57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8.32</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252378FB">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4B0E1228">
      <w:pPr>
        <w:ind w:firstLine="800" w:firstLineChars="250"/>
        <w:rPr>
          <w:rFonts w:hint="eastAsia" w:ascii="Times New Roman" w:hAnsi="Times New Roman" w:eastAsia="仿宋_GB2312" w:cs="仿宋_GB2312"/>
          <w:color w:val="auto"/>
          <w:sz w:val="32"/>
          <w:szCs w:val="32"/>
          <w:highlight w:val="none"/>
          <w:lang w:eastAsia="zh-CN"/>
        </w:rPr>
      </w:pPr>
    </w:p>
    <w:p w14:paraId="4E6B40D6">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6" w:name="_Toc15377207"/>
      <w:bookmarkStart w:id="17" w:name="_Toc15396605"/>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1"/>
          <w:rFonts w:hint="eastAsia" w:ascii="Times New Roman" w:hAnsi="Times New Roman" w:eastAsia="黑体"/>
          <w:b w:val="0"/>
          <w:color w:val="auto"/>
          <w:highlight w:val="none"/>
        </w:rPr>
        <w:t>出决算情况说明</w:t>
      </w:r>
      <w:bookmarkEnd w:id="16"/>
      <w:bookmarkEnd w:id="17"/>
    </w:p>
    <w:p w14:paraId="498CD9D0">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235</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191.96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81.68</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43.05</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18.31</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428045C2">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-890905</wp:posOffset>
            </wp:positionH>
            <wp:positionV relativeFrom="paragraph">
              <wp:posOffset>36195</wp:posOffset>
            </wp:positionV>
            <wp:extent cx="6346190" cy="1502410"/>
            <wp:effectExtent l="4445" t="4445" r="1206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Times New Roman" w:hAnsi="Times New Roman" w:eastAsia="仿宋_GB2312" w:cs="仿宋_GB2312"/>
          <w:color w:val="auto"/>
          <w:sz w:val="32"/>
          <w:szCs w:val="32"/>
          <w:highlight w:val="none"/>
          <w:lang w:eastAsia="zh-CN"/>
        </w:rPr>
        <w:t>（图3：支出决算结构图）（饼状图）</w:t>
      </w:r>
    </w:p>
    <w:p w14:paraId="55683F88">
      <w:pPr>
        <w:ind w:firstLine="800" w:firstLineChars="250"/>
        <w:rPr>
          <w:rFonts w:hint="eastAsia" w:ascii="Times New Roman" w:hAnsi="Times New Roman" w:eastAsia="仿宋_GB2312" w:cs="仿宋_GB2312"/>
          <w:color w:val="auto"/>
          <w:sz w:val="32"/>
          <w:szCs w:val="32"/>
          <w:highlight w:val="none"/>
          <w:lang w:eastAsia="zh-CN"/>
        </w:rPr>
      </w:pPr>
    </w:p>
    <w:p w14:paraId="5D9D0BF5">
      <w:pPr>
        <w:spacing w:line="600" w:lineRule="exact"/>
        <w:ind w:firstLine="640" w:firstLineChars="200"/>
        <w:outlineLvl w:val="1"/>
        <w:rPr>
          <w:rStyle w:val="31"/>
          <w:rFonts w:ascii="Times New Roman" w:hAnsi="Times New Roman" w:eastAsia="黑体"/>
          <w:b w:val="0"/>
          <w:color w:val="auto"/>
          <w:highlight w:val="none"/>
        </w:rPr>
      </w:pPr>
      <w:bookmarkStart w:id="18" w:name="_Toc15396606"/>
      <w:bookmarkStart w:id="19" w:name="_Toc15377208"/>
      <w:r>
        <w:rPr>
          <w:rFonts w:hint="eastAsia" w:ascii="Times New Roman" w:hAnsi="Times New Roman" w:eastAsia="黑体"/>
          <w:color w:val="auto"/>
          <w:sz w:val="32"/>
          <w:szCs w:val="32"/>
          <w:highlight w:val="none"/>
        </w:rPr>
        <w:t>四、财</w:t>
      </w:r>
      <w:r>
        <w:rPr>
          <w:rStyle w:val="31"/>
          <w:rFonts w:hint="eastAsia" w:ascii="Times New Roman" w:hAnsi="Times New Roman" w:eastAsia="黑体"/>
          <w:b w:val="0"/>
          <w:color w:val="auto"/>
          <w:highlight w:val="none"/>
        </w:rPr>
        <w:t>政拨款收入支出决算总体情况说明</w:t>
      </w:r>
      <w:bookmarkEnd w:id="18"/>
      <w:bookmarkEnd w:id="19"/>
    </w:p>
    <w:p w14:paraId="68C5A266">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2336" behindDoc="0" locked="0" layoutInCell="1" allowOverlap="1">
            <wp:simplePos x="0" y="0"/>
            <wp:positionH relativeFrom="column">
              <wp:posOffset>-1100455</wp:posOffset>
            </wp:positionH>
            <wp:positionV relativeFrom="paragraph">
              <wp:posOffset>1322705</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201.96</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eastAsia="仿宋_GB2312" w:cs="仿宋_GB2312"/>
          <w:color w:val="auto"/>
          <w:kern w:val="2"/>
          <w:sz w:val="32"/>
          <w:szCs w:val="32"/>
          <w:highlight w:val="none"/>
          <w:lang w:val="en-US" w:eastAsia="zh-CN" w:bidi="ar-SA"/>
        </w:rPr>
        <w:t>203.87</w:t>
      </w:r>
      <w:r>
        <w:rPr>
          <w:rFonts w:hint="eastAsia" w:ascii="Times New Roman" w:hAnsi="Times New Roman" w:eastAsia="仿宋_GB2312" w:cs="仿宋_GB2312"/>
          <w:color w:val="auto"/>
          <w:kern w:val="2"/>
          <w:sz w:val="32"/>
          <w:szCs w:val="32"/>
          <w:highlight w:val="none"/>
          <w:lang w:val="en-US" w:eastAsia="zh-CN" w:bidi="ar-SA"/>
        </w:rPr>
        <w:t>相比，财政拨款收入、支出总计各减少</w:t>
      </w:r>
      <w:r>
        <w:rPr>
          <w:rFonts w:hint="eastAsia" w:eastAsia="仿宋_GB2312" w:cs="仿宋_GB2312"/>
          <w:color w:val="auto"/>
          <w:kern w:val="2"/>
          <w:sz w:val="32"/>
          <w:szCs w:val="32"/>
          <w:highlight w:val="none"/>
          <w:lang w:val="en-US" w:eastAsia="zh-CN" w:bidi="ar-SA"/>
        </w:rPr>
        <w:t>1.91</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0.95</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人员经费减少。</w:t>
      </w:r>
    </w:p>
    <w:p w14:paraId="60436937">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43D8701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3E2EDD9">
      <w:pPr>
        <w:spacing w:line="600" w:lineRule="exact"/>
        <w:ind w:firstLine="640" w:firstLineChars="200"/>
        <w:outlineLvl w:val="1"/>
        <w:rPr>
          <w:rStyle w:val="31"/>
          <w:rFonts w:ascii="Times New Roman" w:hAnsi="Times New Roman" w:eastAsia="黑体"/>
          <w:b w:val="0"/>
          <w:color w:val="auto"/>
          <w:highlight w:val="none"/>
        </w:rPr>
      </w:pPr>
      <w:bookmarkStart w:id="20" w:name="_Toc15377209"/>
      <w:bookmarkStart w:id="2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般公共预算财政拨款支出决算情况说明</w:t>
      </w:r>
      <w:bookmarkEnd w:id="20"/>
      <w:bookmarkEnd w:id="21"/>
    </w:p>
    <w:p w14:paraId="72C32D9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14:paraId="30CC1382">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201.96</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85.93</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eastAsia="仿宋_GB2312" w:cs="仿宋_GB2312"/>
          <w:color w:val="auto"/>
          <w:kern w:val="2"/>
          <w:sz w:val="32"/>
          <w:szCs w:val="32"/>
          <w:highlight w:val="none"/>
          <w:lang w:val="en-US" w:eastAsia="zh-CN" w:bidi="ar-SA"/>
        </w:rPr>
        <w:t>203.87万元</w:t>
      </w:r>
      <w:r>
        <w:rPr>
          <w:rFonts w:hint="eastAsia" w:ascii="Times New Roman" w:hAnsi="Times New Roman" w:eastAsia="仿宋_GB2312" w:cs="仿宋_GB2312"/>
          <w:color w:val="auto"/>
          <w:kern w:val="2"/>
          <w:sz w:val="32"/>
          <w:szCs w:val="32"/>
          <w:highlight w:val="none"/>
          <w:lang w:val="en-US" w:eastAsia="zh-CN" w:bidi="ar-SA"/>
        </w:rPr>
        <w:t>相比，一般公共预算财政拨款支出减少</w:t>
      </w:r>
      <w:r>
        <w:rPr>
          <w:rFonts w:hint="eastAsia" w:eastAsia="仿宋_GB2312" w:cs="仿宋_GB2312"/>
          <w:color w:val="auto"/>
          <w:kern w:val="2"/>
          <w:sz w:val="32"/>
          <w:szCs w:val="32"/>
          <w:highlight w:val="none"/>
          <w:lang w:val="en-US" w:eastAsia="zh-CN" w:bidi="ar-SA"/>
        </w:rPr>
        <w:t>1.91</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0.94</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人员经费减少。</w:t>
      </w:r>
    </w:p>
    <w:p w14:paraId="34AEB7D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3360" behindDoc="0" locked="0" layoutInCell="1" allowOverlap="1">
            <wp:simplePos x="0" y="0"/>
            <wp:positionH relativeFrom="column">
              <wp:posOffset>-995680</wp:posOffset>
            </wp:positionH>
            <wp:positionV relativeFrom="paragraph">
              <wp:posOffset>199390</wp:posOffset>
            </wp:positionV>
            <wp:extent cx="6783070" cy="2120900"/>
            <wp:effectExtent l="4445" t="4445" r="13335" b="825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7548BAC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4C650D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14:paraId="53A1CBF1">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4384" behindDoc="0" locked="0" layoutInCell="1" allowOverlap="1">
            <wp:simplePos x="0" y="0"/>
            <wp:positionH relativeFrom="column">
              <wp:posOffset>-776605</wp:posOffset>
            </wp:positionH>
            <wp:positionV relativeFrom="paragraph">
              <wp:posOffset>2752725</wp:posOffset>
            </wp:positionV>
            <wp:extent cx="6584950" cy="1755140"/>
            <wp:effectExtent l="4445" t="5080" r="20955" b="1143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201.96</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一般公共服务支出**万元，占**%；教育支出**万元，占**%；科学技术支出**万元，占**%；文化旅游体育与传媒支出**万元，占**%；社会保障和就业支出</w:t>
      </w:r>
      <w:r>
        <w:rPr>
          <w:rFonts w:hint="eastAsia" w:eastAsia="仿宋_GB2312" w:cs="仿宋_GB2312"/>
          <w:color w:val="auto"/>
          <w:kern w:val="2"/>
          <w:sz w:val="32"/>
          <w:szCs w:val="32"/>
          <w:highlight w:val="none"/>
          <w:lang w:val="en-US" w:eastAsia="zh-CN" w:bidi="ar-SA"/>
        </w:rPr>
        <w:t>24.74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12.25</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162.64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80.53</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14.58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7.22</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49923C8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6BD81E5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6BED21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14:paraId="4A86090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7213"/>
      <w:bookmarkStart w:id="26" w:name="_Toc15378460"/>
      <w:bookmarkStart w:id="27" w:name="_Toc15377444"/>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201.96</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5"/>
      <w:bookmarkEnd w:id="26"/>
      <w:bookmarkEnd w:id="27"/>
    </w:p>
    <w:p w14:paraId="2A422E9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s="仿宋"/>
          <w:color w:val="000000"/>
          <w:sz w:val="32"/>
          <w:szCs w:val="32"/>
        </w:rPr>
        <w:t>1.社会保障和就业支出（208）行政事业单位养老支出（05）机关事业单位基本养老保险缴费支出（05）:支出决算</w:t>
      </w:r>
      <w:r>
        <w:rPr>
          <w:rFonts w:hint="eastAsia" w:ascii="仿宋" w:hAnsi="仿宋" w:eastAsia="仿宋" w:cs="仿宋"/>
          <w:color w:val="000000"/>
          <w:sz w:val="32"/>
          <w:szCs w:val="32"/>
          <w:lang w:val="en-US" w:eastAsia="zh-CN"/>
        </w:rPr>
        <w:t>16.57</w:t>
      </w:r>
      <w:r>
        <w:rPr>
          <w:rFonts w:hint="eastAsia" w:ascii="仿宋" w:hAnsi="仿宋" w:eastAsia="仿宋" w:cs="仿宋"/>
          <w:color w:val="000000"/>
          <w:sz w:val="32"/>
          <w:szCs w:val="32"/>
        </w:rPr>
        <w:t>万元，完成预算100%。</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 xml:space="preserve">    2.社会保障和就业支出（208）行政事业单位养老支出（05）机关事业单位职业年金缴费支出（06）:支出决算</w:t>
      </w:r>
      <w:r>
        <w:rPr>
          <w:rFonts w:hint="eastAsia" w:ascii="仿宋" w:hAnsi="仿宋" w:eastAsia="仿宋" w:cs="仿宋"/>
          <w:color w:val="000000"/>
          <w:sz w:val="32"/>
          <w:szCs w:val="32"/>
          <w:lang w:val="en-US" w:eastAsia="zh-CN"/>
        </w:rPr>
        <w:t>8.18</w:t>
      </w:r>
      <w:r>
        <w:rPr>
          <w:rFonts w:hint="eastAsia" w:ascii="仿宋" w:hAnsi="仿宋" w:eastAsia="仿宋" w:cs="仿宋"/>
          <w:color w:val="000000"/>
          <w:sz w:val="32"/>
          <w:szCs w:val="32"/>
        </w:rPr>
        <w:t>万元，完成预算100%。</w:t>
      </w:r>
    </w:p>
    <w:p w14:paraId="5CDA3AB9">
      <w:pPr>
        <w:spacing w:line="600" w:lineRule="exact"/>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仿宋" w:hAnsi="仿宋" w:eastAsia="仿宋" w:cs="仿宋"/>
          <w:color w:val="000000"/>
          <w:sz w:val="32"/>
          <w:szCs w:val="32"/>
        </w:rPr>
        <w:t>卫生健康支出（210）公共卫生（0</w:t>
      </w:r>
      <w:r>
        <w:rPr>
          <w:rFonts w:hint="eastAsia" w:ascii="仿宋" w:hAnsi="仿宋" w:eastAsia="仿宋" w:cs="仿宋"/>
          <w:color w:val="000000"/>
          <w:sz w:val="32"/>
          <w:szCs w:val="32"/>
          <w:lang w:val="en-US" w:eastAsia="zh-CN"/>
        </w:rPr>
        <w:t>3</w:t>
      </w: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基层医疗机构卫生</w:t>
      </w:r>
      <w:r>
        <w:rPr>
          <w:rFonts w:hint="eastAsia" w:ascii="仿宋" w:hAnsi="仿宋" w:eastAsia="仿宋" w:cs="仿宋"/>
          <w:color w:val="000000"/>
          <w:sz w:val="32"/>
          <w:szCs w:val="32"/>
        </w:rPr>
        <w:t>（0</w:t>
      </w:r>
      <w:r>
        <w:rPr>
          <w:rFonts w:hint="eastAsia" w:ascii="仿宋" w:hAnsi="仿宋" w:eastAsia="仿宋" w:cs="仿宋"/>
          <w:color w:val="000000"/>
          <w:sz w:val="32"/>
          <w:szCs w:val="32"/>
          <w:lang w:val="en-US" w:eastAsia="zh-CN"/>
        </w:rPr>
        <w:t>2</w:t>
      </w:r>
      <w:r>
        <w:rPr>
          <w:rFonts w:hint="eastAsia" w:ascii="仿宋" w:hAnsi="仿宋" w:eastAsia="仿宋" w:cs="仿宋"/>
          <w:color w:val="000000"/>
          <w:sz w:val="32"/>
          <w:szCs w:val="32"/>
        </w:rPr>
        <w:t>）:支出决算</w:t>
      </w:r>
      <w:r>
        <w:rPr>
          <w:rFonts w:hint="eastAsia" w:ascii="仿宋" w:hAnsi="仿宋" w:eastAsia="仿宋" w:cs="仿宋"/>
          <w:color w:val="000000"/>
          <w:sz w:val="32"/>
          <w:szCs w:val="32"/>
          <w:lang w:val="en-US" w:eastAsia="zh-CN"/>
        </w:rPr>
        <w:t>142.84</w:t>
      </w:r>
      <w:r>
        <w:rPr>
          <w:rFonts w:hint="eastAsia" w:ascii="仿宋" w:hAnsi="仿宋" w:eastAsia="仿宋" w:cs="仿宋"/>
          <w:color w:val="000000"/>
          <w:sz w:val="32"/>
          <w:szCs w:val="32"/>
        </w:rPr>
        <w:t>万元，完成预算100%。</w:t>
      </w:r>
    </w:p>
    <w:p w14:paraId="1490A252">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4.</w:t>
      </w:r>
      <w:r>
        <w:rPr>
          <w:rFonts w:hint="eastAsia" w:ascii="仿宋" w:hAnsi="仿宋" w:eastAsia="仿宋" w:cs="仿宋"/>
          <w:color w:val="000000"/>
          <w:sz w:val="32"/>
          <w:szCs w:val="32"/>
        </w:rPr>
        <w:t>卫生健康支出（210）其他卫生健康支出（</w:t>
      </w:r>
      <w:r>
        <w:rPr>
          <w:rFonts w:hint="eastAsia" w:ascii="仿宋" w:hAnsi="仿宋" w:eastAsia="仿宋" w:cs="仿宋"/>
          <w:color w:val="000000"/>
          <w:sz w:val="32"/>
          <w:szCs w:val="32"/>
          <w:lang w:val="en-US" w:eastAsia="zh-CN"/>
        </w:rPr>
        <w:t>03</w:t>
      </w:r>
      <w:r>
        <w:rPr>
          <w:rFonts w:hint="eastAsia" w:ascii="仿宋" w:hAnsi="仿宋" w:eastAsia="仿宋" w:cs="仿宋"/>
          <w:color w:val="000000"/>
          <w:sz w:val="32"/>
          <w:szCs w:val="32"/>
        </w:rPr>
        <w:t>）其他卫生健康支出（99）:支出决算</w:t>
      </w:r>
      <w:r>
        <w:rPr>
          <w:rFonts w:hint="eastAsia" w:ascii="仿宋" w:hAnsi="仿宋" w:eastAsia="仿宋" w:cs="仿宋"/>
          <w:color w:val="000000"/>
          <w:sz w:val="32"/>
          <w:szCs w:val="32"/>
          <w:lang w:val="en-US" w:eastAsia="zh-CN"/>
        </w:rPr>
        <w:t>8.38</w:t>
      </w:r>
      <w:r>
        <w:rPr>
          <w:rFonts w:hint="eastAsia" w:ascii="仿宋" w:hAnsi="仿宋" w:eastAsia="仿宋" w:cs="仿宋"/>
          <w:color w:val="000000"/>
          <w:sz w:val="32"/>
          <w:szCs w:val="32"/>
        </w:rPr>
        <w:t>万元，完成预算100%。</w:t>
      </w:r>
    </w:p>
    <w:p w14:paraId="2AC434FC">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5.</w:t>
      </w:r>
      <w:r>
        <w:rPr>
          <w:rFonts w:hint="eastAsia" w:ascii="仿宋" w:hAnsi="仿宋" w:eastAsia="仿宋" w:cs="仿宋"/>
          <w:color w:val="000000"/>
          <w:sz w:val="32"/>
          <w:szCs w:val="32"/>
        </w:rPr>
        <w:t>卫生健康支出（210）公共卫生（0</w:t>
      </w:r>
      <w:r>
        <w:rPr>
          <w:rFonts w:hint="eastAsia" w:ascii="仿宋" w:hAnsi="仿宋" w:eastAsia="仿宋" w:cs="仿宋"/>
          <w:color w:val="000000"/>
          <w:sz w:val="32"/>
          <w:szCs w:val="32"/>
          <w:lang w:val="en-US" w:eastAsia="zh-CN"/>
        </w:rPr>
        <w:t>4</w:t>
      </w:r>
      <w:r>
        <w:rPr>
          <w:rFonts w:hint="eastAsia" w:ascii="仿宋" w:hAnsi="仿宋" w:eastAsia="仿宋" w:cs="仿宋"/>
          <w:color w:val="000000"/>
          <w:sz w:val="32"/>
          <w:szCs w:val="32"/>
        </w:rPr>
        <w:t>）基本公共卫生服务（0</w:t>
      </w: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）:支出决算</w:t>
      </w:r>
      <w:r>
        <w:rPr>
          <w:rFonts w:hint="eastAsia" w:ascii="仿宋" w:hAnsi="仿宋" w:eastAsia="仿宋" w:cs="仿宋"/>
          <w:color w:val="000000"/>
          <w:sz w:val="32"/>
          <w:szCs w:val="32"/>
          <w:lang w:val="en-US" w:eastAsia="zh-CN"/>
        </w:rPr>
        <w:t>1</w:t>
      </w:r>
      <w:r>
        <w:rPr>
          <w:rFonts w:hint="eastAsia" w:ascii="仿宋" w:hAnsi="仿宋" w:eastAsia="仿宋" w:cs="仿宋"/>
          <w:color w:val="000000"/>
          <w:sz w:val="32"/>
          <w:szCs w:val="32"/>
        </w:rPr>
        <w:t>万元，完成预算100%。</w:t>
      </w:r>
    </w:p>
    <w:p w14:paraId="20BF6DA8">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6.</w:t>
      </w:r>
      <w:r>
        <w:rPr>
          <w:rFonts w:hint="eastAsia" w:ascii="仿宋" w:hAnsi="仿宋" w:eastAsia="仿宋" w:cs="仿宋"/>
          <w:color w:val="000000"/>
          <w:sz w:val="32"/>
          <w:szCs w:val="32"/>
        </w:rPr>
        <w:t>卫生健康支出（210）行政事业单位医疗（11）事业单位医疗（02）:支出决算</w:t>
      </w:r>
      <w:r>
        <w:rPr>
          <w:rFonts w:hint="eastAsia" w:ascii="仿宋" w:hAnsi="仿宋" w:eastAsia="仿宋" w:cs="仿宋"/>
          <w:color w:val="000000"/>
          <w:sz w:val="32"/>
          <w:szCs w:val="32"/>
          <w:lang w:val="en-US" w:eastAsia="zh-CN"/>
        </w:rPr>
        <w:t>8.74</w:t>
      </w:r>
      <w:r>
        <w:rPr>
          <w:rFonts w:hint="eastAsia" w:ascii="仿宋" w:hAnsi="仿宋" w:eastAsia="仿宋" w:cs="仿宋"/>
          <w:color w:val="000000"/>
          <w:sz w:val="32"/>
          <w:szCs w:val="32"/>
        </w:rPr>
        <w:t>万元，完成预算100%。</w:t>
      </w:r>
    </w:p>
    <w:p w14:paraId="78BCD50C">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7.卫生健康支出（210）其他卫生健康支出（</w:t>
      </w:r>
      <w:r>
        <w:rPr>
          <w:rFonts w:hint="eastAsia" w:ascii="仿宋" w:hAnsi="仿宋" w:eastAsia="仿宋" w:cs="仿宋"/>
          <w:color w:val="000000"/>
          <w:sz w:val="32"/>
          <w:szCs w:val="32"/>
          <w:lang w:val="en-US" w:eastAsia="zh-CN"/>
        </w:rPr>
        <w:t>11</w:t>
      </w:r>
      <w:r>
        <w:rPr>
          <w:rFonts w:hint="eastAsia" w:ascii="仿宋" w:hAnsi="仿宋" w:eastAsia="仿宋" w:cs="仿宋"/>
          <w:color w:val="000000"/>
          <w:sz w:val="32"/>
          <w:szCs w:val="32"/>
        </w:rPr>
        <w:t>）其他卫生健康支出（99）:支出决算</w:t>
      </w:r>
      <w:r>
        <w:rPr>
          <w:rFonts w:hint="eastAsia" w:ascii="仿宋" w:hAnsi="仿宋" w:eastAsia="仿宋" w:cs="仿宋"/>
          <w:color w:val="000000"/>
          <w:sz w:val="32"/>
          <w:szCs w:val="32"/>
          <w:lang w:val="en-US" w:eastAsia="zh-CN"/>
        </w:rPr>
        <w:t>1.49</w:t>
      </w:r>
      <w:r>
        <w:rPr>
          <w:rFonts w:hint="eastAsia" w:ascii="仿宋" w:hAnsi="仿宋" w:eastAsia="仿宋" w:cs="仿宋"/>
          <w:color w:val="000000"/>
          <w:sz w:val="32"/>
          <w:szCs w:val="32"/>
        </w:rPr>
        <w:t>万元，完成预算100%。</w:t>
      </w:r>
    </w:p>
    <w:p w14:paraId="7D180DB7">
      <w:pPr>
        <w:pStyle w:val="8"/>
        <w:ind w:left="0" w:leftChars="0" w:firstLine="320" w:firstLineChars="10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住房保障支出（221）住房改革支出（02）住房公积金（01）:支出决算</w:t>
      </w:r>
      <w:r>
        <w:rPr>
          <w:rFonts w:hint="eastAsia" w:ascii="仿宋" w:hAnsi="仿宋" w:eastAsia="仿宋" w:cs="仿宋"/>
          <w:color w:val="000000"/>
          <w:sz w:val="32"/>
          <w:szCs w:val="32"/>
          <w:lang w:val="en-US" w:eastAsia="zh-CN"/>
        </w:rPr>
        <w:t>14.58</w:t>
      </w:r>
      <w:r>
        <w:rPr>
          <w:rFonts w:hint="eastAsia" w:ascii="仿宋" w:hAnsi="仿宋" w:eastAsia="仿宋" w:cs="仿宋"/>
          <w:color w:val="000000"/>
          <w:sz w:val="32"/>
          <w:szCs w:val="32"/>
        </w:rPr>
        <w:t>万元，完成预算100%。</w:t>
      </w:r>
    </w:p>
    <w:p w14:paraId="7CA2FC51">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14:paraId="1DF0E88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3BFB464">
      <w:pPr>
        <w:tabs>
          <w:tab w:val="right" w:pos="8306"/>
        </w:tabs>
        <w:spacing w:line="600" w:lineRule="exact"/>
        <w:ind w:firstLine="640"/>
        <w:outlineLvl w:val="1"/>
        <w:rPr>
          <w:rStyle w:val="31"/>
          <w:rFonts w:ascii="Times New Roman" w:hAnsi="Times New Roman"/>
          <w:color w:val="auto"/>
          <w:highlight w:val="none"/>
        </w:rPr>
      </w:pPr>
      <w:bookmarkStart w:id="28" w:name="_Toc15377214"/>
      <w:bookmarkStart w:id="29"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般公共预算财政拨款基本支出决算情况说明</w:t>
      </w:r>
      <w:bookmarkEnd w:id="28"/>
      <w:bookmarkEnd w:id="29"/>
      <w:r>
        <w:rPr>
          <w:rStyle w:val="31"/>
          <w:rFonts w:ascii="Times New Roman" w:hAnsi="Times New Roman" w:eastAsia="黑体"/>
          <w:b w:val="0"/>
          <w:color w:val="auto"/>
          <w:highlight w:val="none"/>
        </w:rPr>
        <w:tab/>
      </w:r>
    </w:p>
    <w:p w14:paraId="0D68507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191.96</w:t>
      </w:r>
      <w:r>
        <w:rPr>
          <w:rFonts w:hint="eastAsia" w:ascii="Times New Roman" w:hAnsi="Times New Roman" w:eastAsia="仿宋_GB2312" w:cs="仿宋_GB2312"/>
          <w:color w:val="auto"/>
          <w:kern w:val="2"/>
          <w:sz w:val="32"/>
          <w:szCs w:val="32"/>
          <w:highlight w:val="none"/>
          <w:lang w:val="en-US" w:eastAsia="zh-CN" w:bidi="ar-SA"/>
        </w:rPr>
        <w:t>万元，其中：</w:t>
      </w:r>
    </w:p>
    <w:p w14:paraId="7FB4A21E">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185.72</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6.24</w:t>
      </w:r>
      <w:r>
        <w:rPr>
          <w:rFonts w:hint="eastAsia" w:ascii="Times New Roman" w:hAnsi="Times New Roman" w:eastAsia="仿宋_GB2312" w:cs="仿宋_GB2312"/>
          <w:color w:val="auto"/>
          <w:kern w:val="2"/>
          <w:sz w:val="32"/>
          <w:szCs w:val="32"/>
          <w:highlight w:val="none"/>
          <w:lang w:val="en-US" w:eastAsia="zh-CN" w:bidi="ar-SA"/>
        </w:rPr>
        <w:t>万元，主要包括：工会经费</w:t>
      </w:r>
      <w:r>
        <w:rPr>
          <w:rFonts w:hint="eastAsia" w:eastAsia="仿宋_GB2312" w:cs="仿宋_GB2312"/>
          <w:color w:val="auto"/>
          <w:kern w:val="2"/>
          <w:sz w:val="32"/>
          <w:szCs w:val="32"/>
          <w:highlight w:val="none"/>
          <w:lang w:val="en-US" w:eastAsia="zh-CN" w:bidi="ar-SA"/>
        </w:rPr>
        <w:t>1.46万元</w:t>
      </w:r>
      <w:r>
        <w:rPr>
          <w:rFonts w:hint="eastAsia" w:ascii="Times New Roman" w:hAnsi="Times New Roman" w:eastAsia="仿宋_GB2312" w:cs="仿宋_GB2312"/>
          <w:color w:val="auto"/>
          <w:kern w:val="2"/>
          <w:sz w:val="32"/>
          <w:szCs w:val="32"/>
          <w:highlight w:val="none"/>
          <w:lang w:val="en-US" w:eastAsia="zh-CN" w:bidi="ar-SA"/>
        </w:rPr>
        <w:t>、福利费</w:t>
      </w:r>
      <w:r>
        <w:rPr>
          <w:rFonts w:hint="eastAsia" w:eastAsia="仿宋_GB2312" w:cs="仿宋_GB2312"/>
          <w:color w:val="auto"/>
          <w:kern w:val="2"/>
          <w:sz w:val="32"/>
          <w:szCs w:val="32"/>
          <w:highlight w:val="none"/>
          <w:lang w:val="en-US" w:eastAsia="zh-CN" w:bidi="ar-SA"/>
        </w:rPr>
        <w:t>3.05万元</w:t>
      </w:r>
      <w:r>
        <w:rPr>
          <w:rFonts w:hint="eastAsia" w:ascii="Times New Roman" w:hAnsi="Times New Roman" w:eastAsia="仿宋_GB2312" w:cs="仿宋_GB2312"/>
          <w:color w:val="auto"/>
          <w:kern w:val="2"/>
          <w:sz w:val="32"/>
          <w:szCs w:val="32"/>
          <w:highlight w:val="none"/>
          <w:lang w:val="en-US" w:eastAsia="zh-CN" w:bidi="ar-SA"/>
        </w:rPr>
        <w:t>、其他商品和服务支出</w:t>
      </w:r>
      <w:r>
        <w:rPr>
          <w:rFonts w:hint="eastAsia" w:eastAsia="仿宋_GB2312" w:cs="仿宋_GB2312"/>
          <w:color w:val="auto"/>
          <w:kern w:val="2"/>
          <w:sz w:val="32"/>
          <w:szCs w:val="32"/>
          <w:highlight w:val="none"/>
          <w:lang w:val="en-US" w:eastAsia="zh-CN" w:bidi="ar-SA"/>
        </w:rPr>
        <w:t>1.72万元。</w:t>
      </w:r>
    </w:p>
    <w:p w14:paraId="02261FDA">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76EFB24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FF9AA09">
      <w:pPr>
        <w:spacing w:line="600" w:lineRule="exact"/>
        <w:ind w:firstLine="640"/>
        <w:outlineLvl w:val="1"/>
        <w:rPr>
          <w:rStyle w:val="31"/>
          <w:rFonts w:ascii="Times New Roman" w:hAnsi="Times New Roman" w:eastAsia="黑体"/>
          <w:b w:val="0"/>
          <w:color w:val="auto"/>
          <w:highlight w:val="none"/>
        </w:rPr>
      </w:pPr>
      <w:bookmarkStart w:id="30" w:name="_Toc15396609"/>
      <w:bookmarkStart w:id="31" w:name="_Toc15377215"/>
      <w:r>
        <w:rPr>
          <w:rFonts w:hint="eastAsia" w:ascii="Times New Roman" w:hAnsi="Times New Roman" w:eastAsia="黑体"/>
          <w:color w:val="auto"/>
          <w:sz w:val="32"/>
          <w:szCs w:val="32"/>
          <w:highlight w:val="none"/>
        </w:rPr>
        <w:t>七、</w:t>
      </w:r>
      <w:r>
        <w:rPr>
          <w:rStyle w:val="31"/>
          <w:rFonts w:hint="eastAsia" w:ascii="Times New Roman" w:hAnsi="Times New Roman" w:eastAsia="黑体"/>
          <w:b w:val="0"/>
          <w:color w:val="auto"/>
          <w:highlight w:val="none"/>
        </w:rPr>
        <w:t>财政拨款</w:t>
      </w:r>
      <w:r>
        <w:rPr>
          <w:rStyle w:val="31"/>
          <w:rFonts w:hint="eastAsia" w:ascii="Times New Roman" w:hAnsi="Times New Roman" w:eastAsia="黑体"/>
          <w:color w:val="auto"/>
          <w:highlight w:val="none"/>
        </w:rPr>
        <w:t>“</w:t>
      </w:r>
      <w:r>
        <w:rPr>
          <w:rStyle w:val="31"/>
          <w:rFonts w:hint="eastAsia" w:ascii="Times New Roman" w:hAnsi="Times New Roman" w:eastAsia="黑体"/>
          <w:b w:val="0"/>
          <w:color w:val="auto"/>
          <w:highlight w:val="none"/>
        </w:rPr>
        <w:t>三公”经费支出决算情况说明</w:t>
      </w:r>
      <w:bookmarkEnd w:id="30"/>
      <w:bookmarkEnd w:id="31"/>
    </w:p>
    <w:p w14:paraId="3B23FFB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14:paraId="30974CA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14:paraId="5704281C">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14:paraId="5D183B1A">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14:paraId="589988F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0F42C82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54C2337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13EED5A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1E9FD12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2188402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3E8CDC2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658AEAE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3970A3B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5FE42BC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721D5FE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77218"/>
      <w:bookmarkStart w:id="35" w:name="_Toc15396610"/>
    </w:p>
    <w:p w14:paraId="3A848D14">
      <w:pPr>
        <w:spacing w:line="600" w:lineRule="exact"/>
        <w:ind w:firstLine="640"/>
        <w:outlineLvl w:val="1"/>
        <w:rPr>
          <w:rStyle w:val="31"/>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1"/>
          <w:rFonts w:hint="eastAsia" w:ascii="Times New Roman" w:hAnsi="Times New Roman" w:eastAsia="黑体"/>
          <w:b w:val="0"/>
          <w:color w:val="auto"/>
          <w:highlight w:val="none"/>
        </w:rPr>
        <w:t>政府性基金预算支出决算情况说明</w:t>
      </w:r>
      <w:bookmarkEnd w:id="34"/>
      <w:bookmarkEnd w:id="35"/>
    </w:p>
    <w:p w14:paraId="340A7ED8">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09CF4F7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D334D51">
      <w:pPr>
        <w:numPr>
          <w:ilvl w:val="0"/>
          <w:numId w:val="0"/>
        </w:numPr>
        <w:spacing w:line="600" w:lineRule="exact"/>
        <w:ind w:left="630" w:leftChars="0"/>
        <w:outlineLvl w:val="1"/>
        <w:rPr>
          <w:rStyle w:val="31"/>
          <w:rFonts w:ascii="Times New Roman" w:hAnsi="Times New Roman" w:eastAsia="黑体"/>
          <w:b w:val="0"/>
          <w:color w:val="auto"/>
          <w:highlight w:val="none"/>
        </w:rPr>
      </w:pPr>
      <w:bookmarkStart w:id="36" w:name="_Toc15377219"/>
      <w:bookmarkStart w:id="37" w:name="_Toc15396611"/>
      <w:r>
        <w:rPr>
          <w:rStyle w:val="31"/>
          <w:rFonts w:hint="eastAsia" w:ascii="Times New Roman" w:hAnsi="Times New Roman" w:eastAsia="黑体"/>
          <w:b w:val="0"/>
          <w:color w:val="auto"/>
          <w:highlight w:val="none"/>
          <w:lang w:eastAsia="zh-CN"/>
        </w:rPr>
        <w:t>九、</w:t>
      </w:r>
      <w:r>
        <w:rPr>
          <w:rStyle w:val="31"/>
          <w:rFonts w:hint="eastAsia" w:ascii="Times New Roman" w:hAnsi="Times New Roman" w:eastAsia="黑体"/>
          <w:b w:val="0"/>
          <w:color w:val="auto"/>
          <w:highlight w:val="none"/>
        </w:rPr>
        <w:t>国有资本经营预算支出决算情况说明</w:t>
      </w:r>
      <w:bookmarkEnd w:id="36"/>
      <w:bookmarkEnd w:id="37"/>
    </w:p>
    <w:p w14:paraId="4D38549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15B2F68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08EAF18">
      <w:pPr>
        <w:numPr>
          <w:ilvl w:val="0"/>
          <w:numId w:val="0"/>
        </w:numPr>
        <w:spacing w:line="600" w:lineRule="exact"/>
        <w:ind w:left="630" w:leftChars="0"/>
        <w:outlineLvl w:val="1"/>
        <w:rPr>
          <w:rStyle w:val="31"/>
          <w:rFonts w:hint="eastAsia" w:ascii="Times New Roman" w:hAnsi="Times New Roman" w:eastAsia="黑体"/>
          <w:b w:val="0"/>
          <w:color w:val="auto"/>
          <w:highlight w:val="none"/>
        </w:rPr>
      </w:pPr>
      <w:bookmarkStart w:id="38" w:name="_Toc15396612"/>
      <w:bookmarkStart w:id="39" w:name="_Toc15377221"/>
      <w:r>
        <w:rPr>
          <w:rStyle w:val="31"/>
          <w:rFonts w:hint="eastAsia" w:ascii="Times New Roman" w:hAnsi="Times New Roman" w:eastAsia="黑体"/>
          <w:b w:val="0"/>
          <w:color w:val="auto"/>
          <w:highlight w:val="none"/>
          <w:lang w:eastAsia="zh-CN"/>
        </w:rPr>
        <w:t>十、</w:t>
      </w:r>
      <w:r>
        <w:rPr>
          <w:rStyle w:val="31"/>
          <w:rFonts w:hint="eastAsia" w:ascii="Times New Roman" w:hAnsi="Times New Roman" w:eastAsia="黑体"/>
          <w:b w:val="0"/>
          <w:color w:val="auto"/>
          <w:highlight w:val="none"/>
        </w:rPr>
        <w:t>其他重要事项的情况说明</w:t>
      </w:r>
      <w:bookmarkEnd w:id="38"/>
      <w:bookmarkEnd w:id="39"/>
    </w:p>
    <w:p w14:paraId="2F29F7C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14:paraId="0669295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红原县江茸乡卫生院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2291A1F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ED028E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14:paraId="12ED4B1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红原县江茸乡卫生院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2DDAFCE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23153C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14:paraId="6CD3AED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红原县江茸乡卫生院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ascii="仿宋_GB2312" w:hAnsi="仿宋_GB2312" w:eastAsia="仿宋_GB2312" w:cs="仿宋_GB2312"/>
          <w:color w:val="auto"/>
          <w:kern w:val="2"/>
          <w:sz w:val="32"/>
          <w:szCs w:val="32"/>
          <w:highlight w:val="none"/>
          <w:lang w:val="en-US" w:eastAsia="zh-CN" w:bidi="ar-SA"/>
        </w:rPr>
        <w:t>卫生医疗、急救等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061E98F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2AAE38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3B8A1424">
      <w:pPr>
        <w:spacing w:line="600" w:lineRule="exact"/>
        <w:ind w:firstLine="640"/>
        <w:rPr>
          <w:rFonts w:hint="eastAsia" w:asciiTheme="minorEastAsia" w:hAnsiTheme="minorEastAsia" w:eastAsiaTheme="minorEastAsia" w:cstheme="minorEastAsia"/>
          <w:sz w:val="32"/>
          <w:szCs w:val="32"/>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eastAsia="仿宋_GB2312" w:cs="仿宋_GB2312"/>
          <w:color w:val="auto"/>
          <w:kern w:val="2"/>
          <w:sz w:val="32"/>
          <w:szCs w:val="32"/>
          <w:highlight w:val="none"/>
          <w:lang w:val="en-US" w:eastAsia="zh-CN" w:bidi="ar-SA"/>
        </w:rPr>
        <w:t>本单位</w:t>
      </w:r>
      <w:r>
        <w:rPr>
          <w:rFonts w:hint="eastAsia" w:ascii="Times New Roman" w:hAnsi="Times New Roman" w:eastAsia="仿宋_GB2312" w:cs="仿宋_GB2312"/>
          <w:color w:val="auto"/>
          <w:kern w:val="2"/>
          <w:sz w:val="32"/>
          <w:szCs w:val="32"/>
          <w:highlight w:val="none"/>
          <w:lang w:val="en-US" w:eastAsia="zh-CN" w:bidi="ar-SA"/>
        </w:rPr>
        <w:t>在</w:t>
      </w:r>
      <w:r>
        <w:rPr>
          <w:rFonts w:hint="eastAsia" w:eastAsia="仿宋_GB2312" w:cs="仿宋_GB2312"/>
          <w:color w:val="auto"/>
          <w:kern w:val="2"/>
          <w:sz w:val="32"/>
          <w:szCs w:val="32"/>
          <w:highlight w:val="none"/>
          <w:lang w:val="en-US" w:eastAsia="zh-CN" w:bidi="ar-SA"/>
        </w:rPr>
        <w:t>年初预算编制阶段</w:t>
      </w:r>
      <w:r>
        <w:rPr>
          <w:rFonts w:hint="eastAsia" w:ascii="Times New Roman" w:hAnsi="Times New Roman" w:eastAsia="仿宋_GB2312" w:cs="仿宋_GB2312"/>
          <w:color w:val="auto"/>
          <w:kern w:val="2"/>
          <w:sz w:val="32"/>
          <w:szCs w:val="32"/>
          <w:highlight w:val="none"/>
          <w:lang w:val="en-US" w:eastAsia="zh-CN" w:bidi="ar-SA"/>
        </w:rPr>
        <w:t>，组织对*</w:t>
      </w:r>
      <w:r>
        <w:rPr>
          <w:rFonts w:hint="eastAsia" w:asciiTheme="minorEastAsia" w:hAnsiTheme="minorEastAsia" w:eastAsiaTheme="minorEastAsia" w:cstheme="minorEastAsia"/>
          <w:sz w:val="32"/>
          <w:szCs w:val="32"/>
          <w:lang w:val="en-US" w:eastAsia="zh-CN"/>
        </w:rPr>
        <w:t>2个</w:t>
      </w:r>
      <w:r>
        <w:rPr>
          <w:rFonts w:hint="eastAsia" w:asciiTheme="minorEastAsia" w:hAnsiTheme="minorEastAsia" w:eastAsiaTheme="minorEastAsia" w:cstheme="minorEastAsia"/>
          <w:sz w:val="32"/>
          <w:szCs w:val="32"/>
        </w:rPr>
        <w:t>项目（项目</w:t>
      </w:r>
      <w:r>
        <w:rPr>
          <w:rFonts w:hint="eastAsia" w:asciiTheme="minorEastAsia" w:hAnsiTheme="minorEastAsia" w:eastAsiaTheme="minorEastAsia" w:cstheme="minorEastAsia"/>
          <w:sz w:val="32"/>
          <w:szCs w:val="32"/>
          <w:lang w:eastAsia="zh-CN"/>
        </w:rPr>
        <w:t>：基本公共卫生及基本药物补助</w:t>
      </w:r>
      <w:r>
        <w:rPr>
          <w:rFonts w:hint="eastAsia" w:asciiTheme="minorEastAsia" w:hAnsiTheme="minorEastAsia" w:eastAsiaTheme="minorEastAsia" w:cstheme="minorEastAsia"/>
          <w:sz w:val="32"/>
          <w:szCs w:val="32"/>
        </w:rPr>
        <w:t>）开展了预算事前绩效评估，对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个项目编制了绩效目标，预算执行过程中，选取</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个项目开展绩效监控，年终执行完毕后，对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个项目开展了绩效目标完成情况自评。</w:t>
      </w:r>
    </w:p>
    <w:tbl>
      <w:tblPr>
        <w:tblStyle w:val="17"/>
        <w:tblW w:w="1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876"/>
        <w:gridCol w:w="1397"/>
        <w:gridCol w:w="1195"/>
        <w:gridCol w:w="1863"/>
        <w:gridCol w:w="772"/>
        <w:gridCol w:w="784"/>
        <w:gridCol w:w="928"/>
        <w:gridCol w:w="784"/>
        <w:gridCol w:w="750"/>
        <w:gridCol w:w="772"/>
        <w:gridCol w:w="437"/>
        <w:gridCol w:w="635"/>
      </w:tblGrid>
      <w:tr w14:paraId="56B07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2193" w:type="dxa"/>
            <w:gridSpan w:val="12"/>
            <w:tcBorders>
              <w:top w:val="single" w:color="FFFFFF" w:sz="4" w:space="0"/>
              <w:left w:val="single" w:color="FFFFFF" w:sz="4" w:space="0"/>
              <w:bottom w:val="single" w:color="FFFFFF" w:sz="4" w:space="0"/>
              <w:right w:val="single" w:color="FFFFFF" w:sz="4" w:space="0"/>
            </w:tcBorders>
            <w:shd w:val="clear" w:color="auto" w:fill="auto"/>
            <w:vAlign w:val="center"/>
          </w:tcPr>
          <w:p w14:paraId="4828C81C">
            <w:pPr>
              <w:keepNext w:val="0"/>
              <w:keepLines w:val="0"/>
              <w:widowControl/>
              <w:suppressLineNumbers w:val="0"/>
              <w:jc w:val="center"/>
              <w:textAlignment w:val="center"/>
              <w:rPr>
                <w:rFonts w:hint="eastAsia" w:ascii="宋体" w:hAnsi="宋体" w:eastAsia="宋体" w:cs="宋体"/>
                <w:b/>
                <w:i w:val="0"/>
                <w:color w:val="000000"/>
                <w:sz w:val="30"/>
                <w:szCs w:val="30"/>
                <w:u w:val="none"/>
              </w:rPr>
            </w:pPr>
            <w:r>
              <w:rPr>
                <w:rFonts w:hint="eastAsia" w:ascii="宋体" w:hAnsi="宋体" w:eastAsia="宋体" w:cs="宋体"/>
                <w:b/>
                <w:i w:val="0"/>
                <w:color w:val="000000"/>
                <w:kern w:val="0"/>
                <w:sz w:val="30"/>
                <w:szCs w:val="30"/>
                <w:u w:val="none"/>
                <w:lang w:val="en-US" w:eastAsia="zh-CN" w:bidi="ar"/>
              </w:rPr>
              <w:t>部门预算项目绩效目标表（2025年度）</w:t>
            </w:r>
          </w:p>
        </w:tc>
      </w:tr>
      <w:tr w14:paraId="3B1FC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6" w:hRule="atLeast"/>
        </w:trPr>
        <w:tc>
          <w:tcPr>
            <w:tcW w:w="6331" w:type="dxa"/>
            <w:gridSpan w:val="4"/>
            <w:tcBorders>
              <w:top w:val="single" w:color="FFFFFF" w:sz="4" w:space="0"/>
              <w:left w:val="single" w:color="FFFFFF" w:sz="4" w:space="0"/>
              <w:right w:val="single" w:color="FFFFFF" w:sz="4" w:space="0"/>
            </w:tcBorders>
            <w:shd w:val="clear" w:color="auto" w:fill="auto"/>
            <w:vAlign w:val="center"/>
          </w:tcPr>
          <w:p w14:paraId="4F4647E9">
            <w:pPr>
              <w:rPr>
                <w:rFonts w:hint="eastAsia" w:ascii="宋体" w:hAnsi="宋体" w:eastAsia="宋体" w:cs="宋体"/>
                <w:i w:val="0"/>
                <w:color w:val="000000"/>
                <w:sz w:val="22"/>
                <w:szCs w:val="22"/>
                <w:u w:val="none"/>
              </w:rPr>
            </w:pPr>
          </w:p>
        </w:tc>
        <w:tc>
          <w:tcPr>
            <w:tcW w:w="772" w:type="dxa"/>
            <w:tcBorders>
              <w:top w:val="single" w:color="FFFFFF" w:sz="4" w:space="0"/>
              <w:left w:val="single" w:color="FFFFFF" w:sz="4" w:space="0"/>
              <w:right w:val="single" w:color="FFFFFF" w:sz="4" w:space="0"/>
            </w:tcBorders>
            <w:shd w:val="clear" w:color="auto" w:fill="auto"/>
            <w:vAlign w:val="center"/>
          </w:tcPr>
          <w:p w14:paraId="4F6903A3">
            <w:pPr>
              <w:rPr>
                <w:rFonts w:hint="eastAsia" w:ascii="宋体" w:hAnsi="宋体" w:eastAsia="宋体" w:cs="宋体"/>
                <w:i w:val="0"/>
                <w:color w:val="000000"/>
                <w:sz w:val="22"/>
                <w:szCs w:val="22"/>
                <w:u w:val="none"/>
              </w:rPr>
            </w:pPr>
          </w:p>
        </w:tc>
        <w:tc>
          <w:tcPr>
            <w:tcW w:w="784" w:type="dxa"/>
            <w:tcBorders>
              <w:top w:val="single" w:color="FFFFFF" w:sz="4" w:space="0"/>
              <w:left w:val="single" w:color="FFFFFF" w:sz="4" w:space="0"/>
              <w:right w:val="single" w:color="FFFFFF" w:sz="4" w:space="0"/>
            </w:tcBorders>
            <w:shd w:val="clear" w:color="auto" w:fill="auto"/>
            <w:vAlign w:val="center"/>
          </w:tcPr>
          <w:p w14:paraId="15E0A584">
            <w:pPr>
              <w:rPr>
                <w:rFonts w:hint="eastAsia" w:ascii="宋体" w:hAnsi="宋体" w:eastAsia="宋体" w:cs="宋体"/>
                <w:i w:val="0"/>
                <w:color w:val="000000"/>
                <w:sz w:val="22"/>
                <w:szCs w:val="22"/>
                <w:u w:val="none"/>
              </w:rPr>
            </w:pPr>
          </w:p>
        </w:tc>
        <w:tc>
          <w:tcPr>
            <w:tcW w:w="928" w:type="dxa"/>
            <w:tcBorders>
              <w:top w:val="single" w:color="FFFFFF" w:sz="4" w:space="0"/>
              <w:left w:val="single" w:color="FFFFFF" w:sz="4" w:space="0"/>
              <w:right w:val="single" w:color="FFFFFF" w:sz="4" w:space="0"/>
            </w:tcBorders>
            <w:shd w:val="clear" w:color="auto" w:fill="auto"/>
            <w:vAlign w:val="center"/>
          </w:tcPr>
          <w:p w14:paraId="7C57BF07">
            <w:pPr>
              <w:rPr>
                <w:rFonts w:hint="eastAsia" w:ascii="宋体" w:hAnsi="宋体" w:eastAsia="宋体" w:cs="宋体"/>
                <w:i w:val="0"/>
                <w:color w:val="000000"/>
                <w:sz w:val="22"/>
                <w:szCs w:val="22"/>
                <w:u w:val="none"/>
              </w:rPr>
            </w:pPr>
          </w:p>
        </w:tc>
        <w:tc>
          <w:tcPr>
            <w:tcW w:w="784" w:type="dxa"/>
            <w:tcBorders>
              <w:top w:val="single" w:color="FFFFFF" w:sz="4" w:space="0"/>
              <w:left w:val="single" w:color="FFFFFF" w:sz="4" w:space="0"/>
              <w:right w:val="single" w:color="FFFFFF" w:sz="4" w:space="0"/>
            </w:tcBorders>
            <w:shd w:val="clear" w:color="auto" w:fill="auto"/>
            <w:vAlign w:val="center"/>
          </w:tcPr>
          <w:p w14:paraId="4A65BBF7">
            <w:pPr>
              <w:rPr>
                <w:rFonts w:hint="eastAsia" w:ascii="宋体" w:hAnsi="宋体" w:eastAsia="宋体" w:cs="宋体"/>
                <w:i w:val="0"/>
                <w:color w:val="000000"/>
                <w:sz w:val="22"/>
                <w:szCs w:val="22"/>
                <w:u w:val="none"/>
              </w:rPr>
            </w:pPr>
          </w:p>
        </w:tc>
        <w:tc>
          <w:tcPr>
            <w:tcW w:w="750" w:type="dxa"/>
            <w:tcBorders>
              <w:top w:val="single" w:color="FFFFFF" w:sz="4" w:space="0"/>
              <w:left w:val="single" w:color="FFFFFF" w:sz="4" w:space="0"/>
              <w:right w:val="single" w:color="FFFFFF" w:sz="4" w:space="0"/>
            </w:tcBorders>
            <w:shd w:val="clear" w:color="auto" w:fill="auto"/>
            <w:vAlign w:val="center"/>
          </w:tcPr>
          <w:p w14:paraId="004E5D05">
            <w:pPr>
              <w:rPr>
                <w:rFonts w:hint="eastAsia" w:ascii="宋体" w:hAnsi="宋体" w:eastAsia="宋体" w:cs="宋体"/>
                <w:i w:val="0"/>
                <w:color w:val="000000"/>
                <w:sz w:val="22"/>
                <w:szCs w:val="22"/>
                <w:u w:val="none"/>
              </w:rPr>
            </w:pPr>
          </w:p>
        </w:tc>
        <w:tc>
          <w:tcPr>
            <w:tcW w:w="1844" w:type="dxa"/>
            <w:gridSpan w:val="3"/>
            <w:tcBorders>
              <w:top w:val="single" w:color="FFFFFF" w:sz="4" w:space="0"/>
              <w:left w:val="single" w:color="FFFFFF" w:sz="4" w:space="0"/>
              <w:right w:val="single" w:color="FFFFFF" w:sz="4" w:space="0"/>
            </w:tcBorders>
            <w:shd w:val="clear" w:color="auto" w:fill="auto"/>
            <w:vAlign w:val="center"/>
          </w:tcPr>
          <w:p w14:paraId="5230B134">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14:paraId="37D6D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20" w:hRule="atLeast"/>
        </w:trPr>
        <w:tc>
          <w:tcPr>
            <w:tcW w:w="187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9E266E7">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单位名称</w:t>
            </w:r>
          </w:p>
        </w:tc>
        <w:tc>
          <w:tcPr>
            <w:tcW w:w="139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B5F011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项目名称</w:t>
            </w:r>
          </w:p>
        </w:tc>
        <w:tc>
          <w:tcPr>
            <w:tcW w:w="1195"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48AEC5F">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预算数</w:t>
            </w:r>
          </w:p>
        </w:tc>
        <w:tc>
          <w:tcPr>
            <w:tcW w:w="1863"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896B32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年度目标</w:t>
            </w:r>
          </w:p>
        </w:tc>
        <w:tc>
          <w:tcPr>
            <w:tcW w:w="77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08FFD4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一级指标</w:t>
            </w:r>
          </w:p>
        </w:tc>
        <w:tc>
          <w:tcPr>
            <w:tcW w:w="78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426797C">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二级指标</w:t>
            </w:r>
          </w:p>
        </w:tc>
        <w:tc>
          <w:tcPr>
            <w:tcW w:w="928"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34FF86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三级指标</w:t>
            </w:r>
          </w:p>
        </w:tc>
        <w:tc>
          <w:tcPr>
            <w:tcW w:w="78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9260D8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指标性质</w:t>
            </w:r>
          </w:p>
        </w:tc>
        <w:tc>
          <w:tcPr>
            <w:tcW w:w="75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5D99A21">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指标值</w:t>
            </w:r>
          </w:p>
        </w:tc>
        <w:tc>
          <w:tcPr>
            <w:tcW w:w="77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9EE46CD">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度量单位</w:t>
            </w:r>
          </w:p>
        </w:tc>
        <w:tc>
          <w:tcPr>
            <w:tcW w:w="43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591E629">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权重</w:t>
            </w:r>
          </w:p>
        </w:tc>
        <w:tc>
          <w:tcPr>
            <w:tcW w:w="635"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AAFC866">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指标方向性</w:t>
            </w:r>
          </w:p>
        </w:tc>
      </w:tr>
      <w:tr w14:paraId="51CBB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7E7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122-红原县卫生健康局</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D5AF">
            <w:pPr>
              <w:rPr>
                <w:rFonts w:hint="eastAsia" w:ascii="宋体" w:hAnsi="宋体" w:eastAsia="宋体" w:cs="宋体"/>
                <w:i w:val="0"/>
                <w:color w:val="000000"/>
                <w:sz w:val="18"/>
                <w:szCs w:val="18"/>
                <w:u w:val="none"/>
              </w:rPr>
            </w:pP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22F2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1.44</w:t>
            </w:r>
          </w:p>
        </w:tc>
        <w:tc>
          <w:tcPr>
            <w:tcW w:w="1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EFFC6">
            <w:pPr>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D5A3E">
            <w:pPr>
              <w:rPr>
                <w:rFonts w:hint="eastAsia" w:ascii="宋体" w:hAnsi="宋体" w:eastAsia="宋体" w:cs="宋体"/>
                <w:i w:val="0"/>
                <w:color w:val="000000"/>
                <w:sz w:val="18"/>
                <w:szCs w:val="18"/>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53A1">
            <w:pPr>
              <w:rPr>
                <w:rFonts w:hint="eastAsia" w:ascii="宋体" w:hAnsi="宋体" w:eastAsia="宋体" w:cs="宋体"/>
                <w:i w:val="0"/>
                <w:color w:val="000000"/>
                <w:sz w:val="18"/>
                <w:szCs w:val="18"/>
                <w:u w:val="none"/>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611A5">
            <w:pPr>
              <w:rPr>
                <w:rFonts w:hint="eastAsia" w:ascii="宋体" w:hAnsi="宋体" w:eastAsia="宋体" w:cs="宋体"/>
                <w:i w:val="0"/>
                <w:color w:val="000000"/>
                <w:sz w:val="18"/>
                <w:szCs w:val="18"/>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2FE2C">
            <w:pPr>
              <w:rPr>
                <w:rFonts w:hint="eastAsia" w:ascii="宋体" w:hAnsi="宋体" w:eastAsia="宋体" w:cs="宋体"/>
                <w:i w:val="0"/>
                <w:color w:val="000000"/>
                <w:sz w:val="18"/>
                <w:szCs w:val="1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FF3B">
            <w:pPr>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8CC6">
            <w:pPr>
              <w:rPr>
                <w:rFonts w:hint="eastAsia" w:ascii="宋体" w:hAnsi="宋体" w:eastAsia="宋体" w:cs="宋体"/>
                <w:i w:val="0"/>
                <w:color w:val="000000"/>
                <w:sz w:val="18"/>
                <w:szCs w:val="18"/>
                <w:u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6EE19">
            <w:pPr>
              <w:rPr>
                <w:rFonts w:hint="eastAsia" w:ascii="宋体" w:hAnsi="宋体" w:eastAsia="宋体" w:cs="宋体"/>
                <w:i w:val="0"/>
                <w:color w:val="000000"/>
                <w:sz w:val="18"/>
                <w:szCs w:val="18"/>
                <w:u w:val="none"/>
              </w:rPr>
            </w:pP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FA4B2">
            <w:pPr>
              <w:rPr>
                <w:rFonts w:hint="eastAsia" w:ascii="宋体" w:hAnsi="宋体" w:eastAsia="宋体" w:cs="宋体"/>
                <w:i w:val="0"/>
                <w:color w:val="000000"/>
                <w:sz w:val="18"/>
                <w:szCs w:val="18"/>
                <w:u w:val="none"/>
              </w:rPr>
            </w:pPr>
          </w:p>
        </w:tc>
      </w:tr>
      <w:tr w14:paraId="70F77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C5E4E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122010-红原县江茸乡卫生院</w:t>
            </w:r>
          </w:p>
        </w:tc>
        <w:tc>
          <w:tcPr>
            <w:tcW w:w="13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39F24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县级配套基本公共卫生</w:t>
            </w:r>
          </w:p>
        </w:tc>
        <w:tc>
          <w:tcPr>
            <w:tcW w:w="11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75A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8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1A4F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1359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DE7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8FA2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基层群众满意度</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3DF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29B7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81E6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9128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BDBC">
            <w:pPr>
              <w:jc w:val="left"/>
              <w:rPr>
                <w:rFonts w:hint="eastAsia" w:ascii="宋体" w:hAnsi="宋体" w:eastAsia="宋体" w:cs="宋体"/>
                <w:i w:val="0"/>
                <w:color w:val="000000"/>
                <w:sz w:val="18"/>
                <w:szCs w:val="18"/>
                <w:u w:val="none"/>
              </w:rPr>
            </w:pPr>
          </w:p>
        </w:tc>
      </w:tr>
      <w:tr w14:paraId="6A593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57252">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1B9A6">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8653A">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8EB154">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F19F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C07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F8B2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居民电子健康档案管理人数</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901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1AB9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1449</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8E73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47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9216">
            <w:pPr>
              <w:jc w:val="left"/>
              <w:rPr>
                <w:rFonts w:hint="eastAsia" w:ascii="宋体" w:hAnsi="宋体" w:eastAsia="宋体" w:cs="宋体"/>
                <w:i w:val="0"/>
                <w:color w:val="000000"/>
                <w:sz w:val="18"/>
                <w:szCs w:val="18"/>
                <w:u w:val="none"/>
              </w:rPr>
            </w:pPr>
          </w:p>
        </w:tc>
      </w:tr>
      <w:tr w14:paraId="23CE8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A3533">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ED121">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BD13B">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C5587">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CF1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C0E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E7E0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65岁及以上居民健康管理人数</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4DB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B038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00CD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A28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F9647">
            <w:pPr>
              <w:jc w:val="left"/>
              <w:rPr>
                <w:rFonts w:hint="eastAsia" w:ascii="宋体" w:hAnsi="宋体" w:eastAsia="宋体" w:cs="宋体"/>
                <w:i w:val="0"/>
                <w:color w:val="000000"/>
                <w:sz w:val="18"/>
                <w:szCs w:val="18"/>
                <w:u w:val="none"/>
              </w:rPr>
            </w:pPr>
          </w:p>
        </w:tc>
      </w:tr>
      <w:tr w14:paraId="51D01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CADDD">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0A588">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9816D">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163D0">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72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897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7F94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老年人中医药健康管理率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75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5782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7351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01C4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44547">
            <w:pPr>
              <w:jc w:val="left"/>
              <w:rPr>
                <w:rFonts w:hint="eastAsia" w:ascii="宋体" w:hAnsi="宋体" w:eastAsia="宋体" w:cs="宋体"/>
                <w:i w:val="0"/>
                <w:color w:val="000000"/>
                <w:sz w:val="18"/>
                <w:szCs w:val="18"/>
                <w:u w:val="none"/>
              </w:rPr>
            </w:pPr>
          </w:p>
        </w:tc>
      </w:tr>
      <w:tr w14:paraId="52F58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38E60">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F552F">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AC2BB">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CA4BA">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63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6A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经济成本指标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D33A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基本公共卫生服务县级配套项目成本</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F30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3A3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1.004157</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701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C75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71580">
            <w:pPr>
              <w:jc w:val="left"/>
              <w:rPr>
                <w:rFonts w:hint="eastAsia" w:ascii="宋体" w:hAnsi="宋体" w:eastAsia="宋体" w:cs="宋体"/>
                <w:i w:val="0"/>
                <w:color w:val="000000"/>
                <w:sz w:val="18"/>
                <w:szCs w:val="18"/>
                <w:u w:val="none"/>
              </w:rPr>
            </w:pPr>
          </w:p>
        </w:tc>
      </w:tr>
      <w:tr w14:paraId="778C9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A7B9A">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8C071">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95903">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57035">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7D85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BC6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269F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提高公共卫生服务均等化水平</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582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259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44A5">
            <w:pPr>
              <w:jc w:val="left"/>
              <w:rPr>
                <w:rFonts w:hint="eastAsia" w:ascii="宋体" w:hAnsi="宋体" w:eastAsia="宋体" w:cs="宋体"/>
                <w:i w:val="0"/>
                <w:color w:val="000000"/>
                <w:sz w:val="18"/>
                <w:szCs w:val="18"/>
                <w:u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C4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533C">
            <w:pPr>
              <w:jc w:val="left"/>
              <w:rPr>
                <w:rFonts w:hint="eastAsia" w:ascii="宋体" w:hAnsi="宋体" w:eastAsia="宋体" w:cs="宋体"/>
                <w:i w:val="0"/>
                <w:color w:val="000000"/>
                <w:sz w:val="18"/>
                <w:szCs w:val="18"/>
                <w:u w:val="none"/>
              </w:rPr>
            </w:pPr>
          </w:p>
        </w:tc>
      </w:tr>
      <w:tr w14:paraId="1D483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15BDD">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A61BA">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93FFD">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26CAE">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B361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1D9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573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2型糖尿病患者管理人数</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E9F5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088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4527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9FF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0A00">
            <w:pPr>
              <w:jc w:val="left"/>
              <w:rPr>
                <w:rFonts w:hint="eastAsia" w:ascii="宋体" w:hAnsi="宋体" w:eastAsia="宋体" w:cs="宋体"/>
                <w:i w:val="0"/>
                <w:color w:val="000000"/>
                <w:sz w:val="18"/>
                <w:szCs w:val="18"/>
                <w:u w:val="none"/>
              </w:rPr>
            </w:pPr>
          </w:p>
        </w:tc>
      </w:tr>
      <w:tr w14:paraId="1FEA5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8"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4348C">
            <w:pPr>
              <w:jc w:val="left"/>
              <w:rPr>
                <w:rFonts w:hint="eastAsia" w:ascii="宋体" w:hAnsi="宋体" w:eastAsia="宋体" w:cs="宋体"/>
                <w:i w:val="0"/>
                <w:color w:val="000000"/>
                <w:sz w:val="18"/>
                <w:szCs w:val="18"/>
                <w:u w:val="none"/>
              </w:rPr>
            </w:pPr>
          </w:p>
        </w:tc>
        <w:tc>
          <w:tcPr>
            <w:tcW w:w="13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5B1A3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w:t>
            </w:r>
          </w:p>
        </w:tc>
        <w:tc>
          <w:tcPr>
            <w:tcW w:w="11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F63CC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0.43</w:t>
            </w:r>
          </w:p>
        </w:tc>
        <w:tc>
          <w:tcPr>
            <w:tcW w:w="18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3F3D8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县级配套基本药物用于卫生院日常开支，包含办公费、邮电费、电费等</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7CD8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6FE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849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实行基本药物补助县级配套的基层医疗机构个数</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A76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66F6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254D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2FA2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A818">
            <w:pPr>
              <w:jc w:val="left"/>
              <w:rPr>
                <w:rFonts w:hint="eastAsia" w:ascii="宋体" w:hAnsi="宋体" w:eastAsia="宋体" w:cs="宋体"/>
                <w:i w:val="0"/>
                <w:color w:val="000000"/>
                <w:sz w:val="18"/>
                <w:szCs w:val="18"/>
                <w:u w:val="none"/>
              </w:rPr>
            </w:pPr>
          </w:p>
        </w:tc>
      </w:tr>
      <w:tr w14:paraId="72416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D962D">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28554">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936FA">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D7BE9">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80A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1358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69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基层医疗机构药品零差率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148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1D0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等于100</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3FA4">
            <w:pPr>
              <w:jc w:val="left"/>
              <w:rPr>
                <w:rFonts w:hint="eastAsia" w:ascii="宋体" w:hAnsi="宋体" w:eastAsia="宋体" w:cs="宋体"/>
                <w:i w:val="0"/>
                <w:color w:val="000000"/>
                <w:sz w:val="18"/>
                <w:szCs w:val="18"/>
                <w:u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AE1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760FF">
            <w:pPr>
              <w:jc w:val="left"/>
              <w:rPr>
                <w:rFonts w:hint="eastAsia" w:ascii="宋体" w:hAnsi="宋体" w:eastAsia="宋体" w:cs="宋体"/>
                <w:i w:val="0"/>
                <w:color w:val="000000"/>
                <w:sz w:val="18"/>
                <w:szCs w:val="18"/>
                <w:u w:val="none"/>
              </w:rPr>
            </w:pPr>
          </w:p>
        </w:tc>
      </w:tr>
      <w:tr w14:paraId="531D4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CDC51">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DFA76">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ED801">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545C7">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5A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02A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29F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基本药物补助县级配套资金支付准确率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2197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B7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760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C99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A39AE">
            <w:pPr>
              <w:jc w:val="left"/>
              <w:rPr>
                <w:rFonts w:hint="eastAsia" w:ascii="宋体" w:hAnsi="宋体" w:eastAsia="宋体" w:cs="宋体"/>
                <w:i w:val="0"/>
                <w:color w:val="000000"/>
                <w:sz w:val="18"/>
                <w:szCs w:val="18"/>
                <w:u w:val="none"/>
              </w:rPr>
            </w:pPr>
          </w:p>
        </w:tc>
      </w:tr>
      <w:tr w14:paraId="3DA14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06AFC">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4E532">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859C7">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7E03A">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D3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AB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7796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基层医疗机构工作人员满意度</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54A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C316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A56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F37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91774">
            <w:pPr>
              <w:jc w:val="left"/>
              <w:rPr>
                <w:rFonts w:hint="eastAsia" w:ascii="宋体" w:hAnsi="宋体" w:eastAsia="宋体" w:cs="宋体"/>
                <w:i w:val="0"/>
                <w:color w:val="000000"/>
                <w:sz w:val="18"/>
                <w:szCs w:val="18"/>
                <w:u w:val="none"/>
              </w:rPr>
            </w:pPr>
          </w:p>
        </w:tc>
      </w:tr>
      <w:tr w14:paraId="67DF2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B4C68">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2F382">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36DD2">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0AE84">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2F2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9921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013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确保药品采购公平、公正、公开</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1CDF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4E96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优良中低差</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AAD9">
            <w:pPr>
              <w:jc w:val="left"/>
              <w:rPr>
                <w:rFonts w:hint="eastAsia" w:ascii="宋体" w:hAnsi="宋体" w:eastAsia="宋体" w:cs="宋体"/>
                <w:i w:val="0"/>
                <w:color w:val="000000"/>
                <w:sz w:val="18"/>
                <w:szCs w:val="18"/>
                <w:u w:val="none"/>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ABCB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C21AA">
            <w:pPr>
              <w:jc w:val="left"/>
              <w:rPr>
                <w:rFonts w:hint="eastAsia" w:ascii="宋体" w:hAnsi="宋体" w:eastAsia="宋体" w:cs="宋体"/>
                <w:i w:val="0"/>
                <w:color w:val="000000"/>
                <w:sz w:val="18"/>
                <w:szCs w:val="18"/>
                <w:u w:val="none"/>
              </w:rPr>
            </w:pPr>
          </w:p>
        </w:tc>
      </w:tr>
      <w:tr w14:paraId="37DE9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16889">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F1E37">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27B94">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E7C8B">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43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932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5743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基层医疗机构基本药物网购置次数</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19C5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0B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487A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891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5812">
            <w:pPr>
              <w:jc w:val="left"/>
              <w:rPr>
                <w:rFonts w:hint="eastAsia" w:ascii="宋体" w:hAnsi="宋体" w:eastAsia="宋体" w:cs="宋体"/>
                <w:i w:val="0"/>
                <w:color w:val="000000"/>
                <w:sz w:val="18"/>
                <w:szCs w:val="18"/>
                <w:u w:val="none"/>
              </w:rPr>
            </w:pPr>
          </w:p>
        </w:tc>
      </w:tr>
      <w:tr w14:paraId="377C8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00B49">
            <w:pPr>
              <w:jc w:val="left"/>
              <w:rPr>
                <w:rFonts w:hint="eastAsia" w:ascii="宋体" w:hAnsi="宋体" w:eastAsia="宋体" w:cs="宋体"/>
                <w:i w:val="0"/>
                <w:color w:val="000000"/>
                <w:sz w:val="18"/>
                <w:szCs w:val="18"/>
                <w:u w:val="none"/>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24CAD">
            <w:pPr>
              <w:jc w:val="left"/>
              <w:rPr>
                <w:rFonts w:hint="eastAsia" w:ascii="宋体" w:hAnsi="宋体" w:eastAsia="宋体" w:cs="宋体"/>
                <w:i w:val="0"/>
                <w:color w:val="000000"/>
                <w:sz w:val="18"/>
                <w:szCs w:val="18"/>
                <w:u w:val="none"/>
              </w:rPr>
            </w:pPr>
          </w:p>
        </w:tc>
        <w:tc>
          <w:tcPr>
            <w:tcW w:w="11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AEA7E">
            <w:pPr>
              <w:jc w:val="right"/>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D59C6">
            <w:pPr>
              <w:jc w:val="left"/>
              <w:rPr>
                <w:rFonts w:hint="eastAsia" w:ascii="宋体" w:hAnsi="宋体" w:eastAsia="宋体" w:cs="宋体"/>
                <w:i w:val="0"/>
                <w:color w:val="000000"/>
                <w:sz w:val="18"/>
                <w:szCs w:val="18"/>
                <w:u w:val="none"/>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0E9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EE4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352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基本药物补助县级配套资金支付及时率</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75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69BB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EDD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7D00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BCE9A">
            <w:pPr>
              <w:jc w:val="left"/>
              <w:rPr>
                <w:rFonts w:hint="eastAsia" w:ascii="宋体" w:hAnsi="宋体" w:eastAsia="宋体" w:cs="宋体"/>
                <w:i w:val="0"/>
                <w:color w:val="000000"/>
                <w:sz w:val="18"/>
                <w:szCs w:val="18"/>
                <w:u w:val="none"/>
              </w:rPr>
            </w:pPr>
          </w:p>
        </w:tc>
      </w:tr>
    </w:tbl>
    <w:p w14:paraId="6819A703">
      <w:pPr>
        <w:numPr>
          <w:ilvl w:val="0"/>
          <w:numId w:val="2"/>
        </w:numPr>
        <w:rPr>
          <w:rFonts w:hint="eastAsia" w:asciiTheme="minorEastAsia" w:hAnsiTheme="minorEastAsia" w:eastAsiaTheme="minorEastAsia" w:cstheme="minorEastAsia"/>
          <w:sz w:val="24"/>
          <w:szCs w:val="24"/>
          <w:lang w:eastAsia="zh-CN"/>
        </w:rPr>
      </w:pPr>
      <w:r>
        <w:rPr>
          <w:rFonts w:hint="eastAsia" w:eastAsia="仿宋_GB2312" w:cs="仿宋_GB2312"/>
          <w:color w:val="auto"/>
          <w:kern w:val="2"/>
          <w:sz w:val="32"/>
          <w:szCs w:val="32"/>
          <w:highlight w:val="none"/>
          <w:lang w:val="en-US" w:eastAsia="zh-CN" w:bidi="ar-SA"/>
        </w:rPr>
        <w:t>本单位在</w:t>
      </w:r>
      <w:r>
        <w:rPr>
          <w:rFonts w:hint="eastAsia" w:ascii="Times New Roman" w:hAnsi="Times New Roman" w:eastAsia="仿宋_GB2312" w:cs="仿宋_GB2312"/>
          <w:color w:val="auto"/>
          <w:kern w:val="2"/>
          <w:sz w:val="32"/>
          <w:szCs w:val="32"/>
          <w:highlight w:val="none"/>
          <w:lang w:val="en-US" w:eastAsia="zh-CN" w:bidi="ar-SA"/>
        </w:rPr>
        <w:t>2025年度部门</w:t>
      </w:r>
      <w:r>
        <w:rPr>
          <w:rFonts w:hint="eastAsia" w:asciiTheme="minorEastAsia" w:hAnsiTheme="minorEastAsia" w:eastAsiaTheme="minorEastAsia" w:cstheme="minorEastAsia"/>
          <w:sz w:val="32"/>
          <w:szCs w:val="32"/>
        </w:rPr>
        <w:t>决算中反映</w:t>
      </w:r>
      <w:r>
        <w:rPr>
          <w:rFonts w:hint="eastAsia" w:asciiTheme="minorEastAsia" w:hAnsiTheme="minorEastAsia" w:eastAsiaTheme="minorEastAsia" w:cstheme="minorEastAsia"/>
          <w:sz w:val="32"/>
          <w:szCs w:val="32"/>
          <w:lang w:eastAsia="zh-CN"/>
        </w:rPr>
        <w:t>基本公共卫生及基本药物补助</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个项目绩效目标实际完成情况。）。</w:t>
      </w:r>
      <w:r>
        <w:rPr>
          <w:rFonts w:hint="eastAsia" w:asciiTheme="minorEastAsia" w:hAnsiTheme="minorEastAsia" w:eastAsiaTheme="minorEastAsia" w:cstheme="minorEastAsia"/>
          <w:sz w:val="32"/>
          <w:szCs w:val="32"/>
          <w:lang w:eastAsia="zh-CN"/>
        </w:rPr>
        <w:t>基本公共卫生</w:t>
      </w:r>
      <w:r>
        <w:rPr>
          <w:rFonts w:hint="eastAsia" w:asciiTheme="minorEastAsia" w:hAnsiTheme="minorEastAsia" w:eastAsiaTheme="minorEastAsia" w:cstheme="minorEastAsia"/>
          <w:sz w:val="32"/>
          <w:szCs w:val="32"/>
        </w:rPr>
        <w:t>项目绩效目标完成情况综述。项目全年预算数</w:t>
      </w:r>
      <w:r>
        <w:rPr>
          <w:rFonts w:hint="eastAsia" w:asciiTheme="minorEastAsia" w:hAnsiTheme="minorEastAsia" w:eastAsiaTheme="minorEastAsia" w:cstheme="minorEastAsia"/>
          <w:sz w:val="32"/>
          <w:szCs w:val="32"/>
          <w:lang w:val="en-US" w:eastAsia="zh-CN"/>
        </w:rPr>
        <w:t>1.44</w:t>
      </w:r>
      <w:r>
        <w:rPr>
          <w:rFonts w:hint="eastAsia" w:asciiTheme="minorEastAsia" w:hAnsiTheme="minorEastAsia" w:eastAsiaTheme="minorEastAsia" w:cstheme="minorEastAsia"/>
          <w:sz w:val="32"/>
          <w:szCs w:val="32"/>
        </w:rPr>
        <w:t>万元，执行数为</w:t>
      </w:r>
      <w:r>
        <w:rPr>
          <w:rFonts w:hint="eastAsia" w:asciiTheme="minorEastAsia" w:hAnsiTheme="minorEastAsia" w:eastAsiaTheme="minorEastAsia" w:cstheme="minorEastAsia"/>
          <w:sz w:val="32"/>
          <w:szCs w:val="32"/>
          <w:lang w:val="en-US" w:eastAsia="zh-CN"/>
        </w:rPr>
        <w:t>1.44</w:t>
      </w:r>
      <w:r>
        <w:rPr>
          <w:rFonts w:hint="eastAsia" w:asciiTheme="minorEastAsia" w:hAnsiTheme="minorEastAsia" w:eastAsiaTheme="minorEastAsia" w:cstheme="minorEastAsia"/>
          <w:sz w:val="32"/>
          <w:szCs w:val="32"/>
        </w:rPr>
        <w:t>万元，完成预算的</w:t>
      </w:r>
      <w:r>
        <w:rPr>
          <w:rFonts w:hint="eastAsia" w:asciiTheme="minorEastAsia" w:hAnsiTheme="minorEastAsia" w:eastAsiaTheme="minorEastAsia" w:cstheme="minorEastAsia"/>
          <w:color w:val="auto"/>
          <w:sz w:val="32"/>
          <w:szCs w:val="32"/>
          <w:highlight w:val="none"/>
          <w:lang w:val="en-US" w:eastAsia="zh-CN"/>
        </w:rPr>
        <w:t>100</w:t>
      </w:r>
      <w:r>
        <w:rPr>
          <w:rFonts w:hint="eastAsia" w:asciiTheme="minorEastAsia" w:hAnsiTheme="minorEastAsia" w:eastAsiaTheme="minorEastAsia" w:cstheme="minorEastAsia"/>
          <w:color w:val="auto"/>
          <w:sz w:val="32"/>
          <w:szCs w:val="32"/>
          <w:highlight w:val="none"/>
        </w:rPr>
        <w:t>%</w:t>
      </w:r>
      <w:r>
        <w:rPr>
          <w:rFonts w:hint="eastAsia" w:asciiTheme="minorEastAsia" w:hAnsiTheme="minorEastAsia" w:eastAsiaTheme="minorEastAsia" w:cstheme="minorEastAsia"/>
          <w:sz w:val="32"/>
          <w:szCs w:val="32"/>
        </w:rPr>
        <w:t>。通过项目实施，保障</w:t>
      </w:r>
      <w:r>
        <w:rPr>
          <w:rFonts w:hint="eastAsia" w:asciiTheme="minorEastAsia" w:hAnsiTheme="minorEastAsia" w:eastAsiaTheme="minorEastAsia" w:cstheme="minorEastAsia"/>
          <w:sz w:val="32"/>
          <w:szCs w:val="32"/>
          <w:lang w:eastAsia="zh-CN"/>
        </w:rPr>
        <w:t>辖区内居民基本公共卫生服务及医疗服务。</w:t>
      </w:r>
    </w:p>
    <w:p w14:paraId="58D6417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绩效自评报告详见附件。（注：如不涉及，可根据实际修改表述。）</w:t>
      </w:r>
    </w:p>
    <w:p w14:paraId="50CD409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5835C44">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96613"/>
      <w:bookmarkStart w:id="4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14:paraId="6C35DE69">
      <w:pPr>
        <w:spacing w:line="600" w:lineRule="exact"/>
        <w:jc w:val="left"/>
        <w:rPr>
          <w:rFonts w:ascii="Times New Roman" w:hAnsi="Times New Roman"/>
          <w:b/>
          <w:color w:val="auto"/>
          <w:sz w:val="44"/>
          <w:szCs w:val="44"/>
          <w:highlight w:val="none"/>
        </w:rPr>
      </w:pPr>
    </w:p>
    <w:p w14:paraId="2DCB6F7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79C6423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w:t>
      </w:r>
      <w:r>
        <w:rPr>
          <w:rFonts w:hint="eastAsia" w:eastAsia="仿宋_GB2312" w:cs="仿宋_GB2312"/>
          <w:color w:val="auto"/>
          <w:kern w:val="2"/>
          <w:sz w:val="32"/>
          <w:szCs w:val="32"/>
          <w:highlight w:val="none"/>
          <w:lang w:val="en-US" w:eastAsia="zh-CN" w:bidi="ar-SA"/>
        </w:rPr>
        <w:t>医疗门诊治疗活动</w:t>
      </w:r>
      <w:r>
        <w:rPr>
          <w:rFonts w:hint="eastAsia" w:ascii="Times New Roman" w:hAnsi="Times New Roman" w:eastAsia="仿宋_GB2312" w:cs="仿宋_GB2312"/>
          <w:color w:val="auto"/>
          <w:kern w:val="2"/>
          <w:sz w:val="32"/>
          <w:szCs w:val="32"/>
          <w:highlight w:val="none"/>
          <w:lang w:val="en-US" w:eastAsia="zh-CN" w:bidi="ar-SA"/>
        </w:rPr>
        <w:t>等。</w:t>
      </w:r>
    </w:p>
    <w:p w14:paraId="78E25A0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3.其他收入：指单位取得的除上述收入以外的各项收入。主要是</w:t>
      </w:r>
      <w:r>
        <w:rPr>
          <w:rFonts w:hint="eastAsia" w:eastAsia="仿宋_GB2312" w:cs="仿宋_GB2312"/>
          <w:color w:val="auto"/>
          <w:kern w:val="2"/>
          <w:sz w:val="32"/>
          <w:szCs w:val="32"/>
          <w:highlight w:val="none"/>
          <w:lang w:val="en-US" w:eastAsia="zh-CN" w:bidi="ar-SA"/>
        </w:rPr>
        <w:t>包虫病筛查收入</w:t>
      </w:r>
      <w:r>
        <w:rPr>
          <w:rFonts w:hint="eastAsia" w:ascii="Times New Roman" w:hAnsi="Times New Roman" w:eastAsia="仿宋_GB2312" w:cs="仿宋_GB2312"/>
          <w:color w:val="auto"/>
          <w:kern w:val="2"/>
          <w:sz w:val="32"/>
          <w:szCs w:val="32"/>
          <w:highlight w:val="none"/>
          <w:lang w:val="en-US" w:eastAsia="zh-CN" w:bidi="ar-SA"/>
        </w:rPr>
        <w:t xml:space="preserve">等。 </w:t>
      </w:r>
    </w:p>
    <w:p w14:paraId="54F05F0A">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14:paraId="50FAF2A4">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14:paraId="6A588097">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14:paraId="7857EB3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14:paraId="62EE38C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14:paraId="40228EB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p>
    <w:p w14:paraId="00245D27">
      <w:pPr>
        <w:spacing w:line="600" w:lineRule="exact"/>
        <w:jc w:val="center"/>
        <w:rPr>
          <w:rFonts w:hint="eastAsia" w:ascii="Times New Roman" w:hAnsi="Times New Roman" w:eastAsia="黑体"/>
          <w:color w:val="auto"/>
          <w:sz w:val="44"/>
          <w:szCs w:val="44"/>
          <w:highlight w:val="none"/>
        </w:rPr>
      </w:pPr>
    </w:p>
    <w:p w14:paraId="0CDAFF0E">
      <w:pPr>
        <w:spacing w:line="600" w:lineRule="exact"/>
        <w:rPr>
          <w:rFonts w:hint="eastAsia" w:ascii="Times New Roman" w:hAnsi="Times New Roman" w:eastAsia="仿宋_GB2312" w:cs="仿宋_GB2312"/>
          <w:color w:val="auto"/>
          <w:kern w:val="2"/>
          <w:sz w:val="32"/>
          <w:szCs w:val="32"/>
          <w:highlight w:val="none"/>
          <w:lang w:val="en-US" w:eastAsia="zh-CN" w:bidi="ar-SA"/>
        </w:rPr>
      </w:pPr>
    </w:p>
    <w:p w14:paraId="42D215E4">
      <w:pPr>
        <w:spacing w:line="600" w:lineRule="exact"/>
        <w:jc w:val="center"/>
        <w:rPr>
          <w:rStyle w:val="30"/>
          <w:rFonts w:hint="eastAsia" w:ascii="Times New Roman" w:hAnsi="Times New Roman" w:eastAsia="黑体"/>
          <w:b w:val="0"/>
          <w:color w:val="auto"/>
          <w:highlight w:val="none"/>
          <w:lang w:eastAsia="zh-CN"/>
        </w:rPr>
      </w:pPr>
      <w:bookmarkStart w:id="45" w:name="_Toc15396614"/>
      <w:bookmarkStart w:id="46" w:name="_Toc15377226"/>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5"/>
    </w:p>
    <w:p w14:paraId="77FEDB11">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170E301F">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23ADC050">
      <w:pPr>
        <w:keepNext w:val="0"/>
        <w:keepLines w:val="0"/>
        <w:pageBreakBefore w:val="0"/>
        <w:widowControl/>
        <w:kinsoku/>
        <w:wordWrap/>
        <w:overflowPunct/>
        <w:topLinePunct w:val="0"/>
        <w:autoSpaceDE/>
        <w:autoSpaceDN/>
        <w:bidi w:val="0"/>
        <w:adjustRightInd w:val="0"/>
        <w:snapToGrid w:val="0"/>
        <w:spacing w:line="578" w:lineRule="exact"/>
        <w:ind w:firstLine="320" w:firstLineChars="100"/>
        <w:contextualSpacing/>
        <w:jc w:val="left"/>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eastAsia" w:eastAsia="仿宋_GB2312" w:cs="Times New Roman"/>
          <w:sz w:val="32"/>
          <w:szCs w:val="32"/>
          <w:highlight w:val="none"/>
          <w:shd w:val="clear" w:color="auto" w:fill="FFFFFF"/>
          <w:lang w:val="en-US" w:eastAsia="zh-CN"/>
        </w:rPr>
        <w:t>红原县江茸乡卫生院2025年单位整体支出绩效评价报告</w:t>
      </w:r>
    </w:p>
    <w:p w14:paraId="5240EA73">
      <w:pPr>
        <w:keepNext w:val="0"/>
        <w:keepLines w:val="0"/>
        <w:pageBreakBefore w:val="0"/>
        <w:widowControl/>
        <w:kinsoku/>
        <w:wordWrap/>
        <w:overflowPunct/>
        <w:topLinePunct w:val="0"/>
        <w:autoSpaceDE/>
        <w:autoSpaceDN/>
        <w:bidi w:val="0"/>
        <w:spacing w:line="578" w:lineRule="exact"/>
        <w:contextualSpacing/>
        <w:jc w:val="both"/>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41A1EFAC">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报告范本</w:t>
      </w:r>
    </w:p>
    <w:p w14:paraId="63192E89">
      <w:pPr>
        <w:keepNext w:val="0"/>
        <w:keepLines w:val="0"/>
        <w:pageBreakBefore w:val="0"/>
        <w:widowControl/>
        <w:kinsoku/>
        <w:wordWrap/>
        <w:overflowPunct/>
        <w:topLinePunct w:val="0"/>
        <w:autoSpaceDE/>
        <w:autoSpaceDN/>
        <w:bidi w:val="0"/>
        <w:adjustRightInd w:val="0"/>
        <w:snapToGrid w:val="0"/>
        <w:spacing w:line="578" w:lineRule="exact"/>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14:paraId="054FC90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1DC64B3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楷体_GB2312"/>
          <w:b/>
          <w:color w:val="auto"/>
          <w:sz w:val="32"/>
          <w:szCs w:val="32"/>
          <w:highlight w:val="none"/>
          <w:lang w:val="zh-CN"/>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p>
    <w:p w14:paraId="12F91A64">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cs="Times New Roman"/>
          <w:szCs w:val="32"/>
        </w:rPr>
      </w:pPr>
      <w:r>
        <w:rPr>
          <w:rFonts w:hint="eastAsia" w:ascii="宋体" w:hAnsi="宋体" w:eastAsia="宋体" w:cs="宋体"/>
          <w:color w:val="000000"/>
          <w:kern w:val="0"/>
          <w:sz w:val="32"/>
          <w:szCs w:val="32"/>
          <w:lang w:val="zh-CN" w:eastAsia="zh-CN" w:bidi="ar"/>
        </w:rPr>
        <w:t>我单位为独立核算全额拨款事业单位，下设</w:t>
      </w:r>
      <w:r>
        <w:rPr>
          <w:rFonts w:hint="eastAsia" w:ascii="宋体" w:hAnsi="宋体" w:eastAsia="宋体" w:cs="宋体"/>
          <w:color w:val="000000"/>
          <w:kern w:val="0"/>
          <w:sz w:val="32"/>
          <w:szCs w:val="32"/>
          <w:lang w:val="en-US" w:eastAsia="zh-CN" w:bidi="ar"/>
        </w:rPr>
        <w:t>1机构。</w:t>
      </w:r>
    </w:p>
    <w:p w14:paraId="4B2B4C0E">
      <w:pPr>
        <w:keepNext w:val="0"/>
        <w:keepLines w:val="0"/>
        <w:pageBreakBefore w:val="0"/>
        <w:widowControl/>
        <w:numPr>
          <w:ilvl w:val="0"/>
          <w:numId w:val="3"/>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楷体_GB2312" w:cs="楷体_GB2312"/>
          <w:b/>
          <w:color w:val="auto"/>
          <w:sz w:val="32"/>
          <w:szCs w:val="32"/>
          <w:highlight w:val="none"/>
          <w:lang w:val="zh-CN"/>
        </w:rPr>
      </w:pPr>
      <w:r>
        <w:rPr>
          <w:rFonts w:hint="default" w:ascii="Times New Roman" w:hAnsi="Times New Roman" w:eastAsia="楷体_GB2312" w:cs="楷体_GB2312"/>
          <w:b/>
          <w:color w:val="auto"/>
          <w:sz w:val="32"/>
          <w:szCs w:val="32"/>
          <w:highlight w:val="none"/>
          <w:lang w:val="zh-CN"/>
        </w:rPr>
        <w:t>机构职能</w:t>
      </w:r>
      <w:r>
        <w:rPr>
          <w:rFonts w:hint="eastAsia" w:ascii="Times New Roman" w:hAnsi="Times New Roman" w:eastAsia="楷体_GB2312" w:cs="楷体_GB2312"/>
          <w:b/>
          <w:color w:val="auto"/>
          <w:sz w:val="32"/>
          <w:szCs w:val="32"/>
          <w:highlight w:val="none"/>
          <w:lang w:val="zh-CN"/>
        </w:rPr>
        <w:t>。</w:t>
      </w:r>
    </w:p>
    <w:p w14:paraId="491B4A1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960" w:firstLineChars="3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ascii="宋体" w:hAnsi="宋体" w:eastAsia="宋体" w:cs="宋体"/>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597508BC">
      <w:pPr>
        <w:keepNext w:val="0"/>
        <w:keepLines w:val="0"/>
        <w:widowControl/>
        <w:numPr>
          <w:ilvl w:val="0"/>
          <w:numId w:val="3"/>
        </w:numPr>
        <w:suppressLineNumbers w:val="0"/>
        <w:adjustRightInd w:val="0"/>
        <w:snapToGrid w:val="0"/>
        <w:spacing w:before="0" w:beforeAutospacing="0" w:after="0" w:afterAutospacing="0" w:line="480" w:lineRule="exact"/>
        <w:ind w:left="0" w:leftChars="0" w:right="0" w:rightChars="0" w:firstLine="643" w:firstLineChars="200"/>
        <w:jc w:val="left"/>
        <w:rPr>
          <w:rFonts w:hint="eastAsia"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p>
    <w:p w14:paraId="6008A6B8">
      <w:pPr>
        <w:keepNext w:val="0"/>
        <w:keepLines w:val="0"/>
        <w:widowControl/>
        <w:numPr>
          <w:ilvl w:val="0"/>
          <w:numId w:val="0"/>
        </w:numPr>
        <w:suppressLineNumbers w:val="0"/>
        <w:adjustRightInd w:val="0"/>
        <w:snapToGrid w:val="0"/>
        <w:spacing w:before="0" w:beforeAutospacing="0" w:after="0" w:afterAutospacing="0" w:line="480" w:lineRule="exact"/>
        <w:ind w:leftChars="200" w:right="0" w:rightChars="0" w:firstLine="960" w:firstLineChars="300"/>
        <w:jc w:val="left"/>
        <w:rPr>
          <w:rFonts w:hint="eastAsia" w:ascii="Times New Roman" w:hAnsi="Times New Roman" w:eastAsia="仿宋_GB2312" w:cs="仿宋_GB2312"/>
          <w:color w:val="auto"/>
          <w:sz w:val="32"/>
          <w:szCs w:val="32"/>
          <w:highlight w:val="none"/>
        </w:rPr>
      </w:pPr>
      <w:r>
        <w:rPr>
          <w:rFonts w:hint="default" w:ascii="Times New Roman" w:hAnsi="Times New Roman" w:eastAsia="仿宋_GB2312" w:cs="Times New Roman"/>
          <w:sz w:val="32"/>
          <w:szCs w:val="32"/>
          <w:lang w:val="en-US" w:eastAsia="zh-CN"/>
        </w:rPr>
        <w:t>截至</w:t>
      </w:r>
      <w:r>
        <w:rPr>
          <w:rFonts w:hint="eastAsia" w:ascii="仿宋" w:hAnsi="仿宋" w:eastAsia="仿宋" w:cs="仿宋"/>
          <w:bCs/>
          <w:sz w:val="32"/>
          <w:szCs w:val="32"/>
        </w:rPr>
        <w:t>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共有编制8个，其中事业编8个，在职7人,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7</w:t>
      </w:r>
      <w:r>
        <w:rPr>
          <w:rFonts w:hint="eastAsia" w:ascii="仿宋" w:hAnsi="仿宋" w:eastAsia="仿宋" w:cs="仿宋"/>
          <w:bCs/>
          <w:sz w:val="32"/>
          <w:szCs w:val="32"/>
        </w:rPr>
        <w:t>人。</w:t>
      </w:r>
    </w:p>
    <w:p w14:paraId="397EB089">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default" w:ascii="Times New Roman" w:hAnsi="Times New Roman" w:cs="Times New Roman"/>
          <w:szCs w:val="32"/>
        </w:rPr>
      </w:pPr>
    </w:p>
    <w:p w14:paraId="50ECD989">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00FD9354">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楷体_GB2312" w:cs="Times New Roman"/>
          <w:b/>
          <w:bCs/>
          <w:color w:val="000000"/>
          <w:kern w:val="0"/>
          <w:sz w:val="32"/>
          <w:szCs w:val="32"/>
          <w:highlight w:val="none"/>
          <w:shd w:val="clear" w:color="auto" w:fill="FFFFFF"/>
          <w:lang w:val="zh-CN"/>
        </w:rPr>
        <w:t>江茸乡卫生院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年年初预算收入</w:t>
      </w:r>
      <w:r>
        <w:rPr>
          <w:rFonts w:hint="eastAsia" w:eastAsia="仿宋_GB2312" w:cs="Times New Roman"/>
          <w:sz w:val="32"/>
          <w:szCs w:val="32"/>
          <w:lang w:val="en-US" w:eastAsia="zh-CN"/>
        </w:rPr>
        <w:t>为207.52万元</w:t>
      </w:r>
      <w:r>
        <w:rPr>
          <w:rFonts w:hint="eastAsia" w:ascii="Times New Roman" w:hAnsi="Times New Roman" w:eastAsia="仿宋_GB2312" w:cs="Times New Roman"/>
          <w:sz w:val="32"/>
          <w:szCs w:val="32"/>
          <w:lang w:val="en-US" w:eastAsia="zh-CN"/>
        </w:rPr>
        <w:t>情况、决算报表收入</w:t>
      </w:r>
      <w:r>
        <w:rPr>
          <w:rFonts w:hint="eastAsia" w:eastAsia="仿宋_GB2312" w:cs="Times New Roman"/>
          <w:sz w:val="32"/>
          <w:szCs w:val="32"/>
          <w:lang w:val="en-US" w:eastAsia="zh-CN"/>
        </w:rPr>
        <w:t>为235万元</w:t>
      </w:r>
      <w:r>
        <w:rPr>
          <w:rFonts w:hint="eastAsia" w:ascii="Times New Roman" w:hAnsi="Times New Roman" w:eastAsia="仿宋_GB2312" w:cs="Times New Roman"/>
          <w:sz w:val="32"/>
          <w:szCs w:val="32"/>
          <w:lang w:val="en-US" w:eastAsia="zh-CN"/>
        </w:rPr>
        <w:t>。</w:t>
      </w:r>
    </w:p>
    <w:p w14:paraId="33411134">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楷体_GB2312" w:cs="Times New Roman"/>
          <w:b/>
          <w:bCs/>
          <w:color w:val="000000"/>
          <w:kern w:val="0"/>
          <w:sz w:val="32"/>
          <w:szCs w:val="32"/>
          <w:highlight w:val="none"/>
          <w:shd w:val="clear" w:color="auto" w:fill="FFFFFF"/>
          <w:lang w:val="zh-CN"/>
        </w:rPr>
        <w:t>江茸乡卫生院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年年初预算收入</w:t>
      </w:r>
      <w:r>
        <w:rPr>
          <w:rFonts w:hint="eastAsia" w:eastAsia="仿宋_GB2312" w:cs="Times New Roman"/>
          <w:sz w:val="32"/>
          <w:szCs w:val="32"/>
          <w:lang w:val="en-US" w:eastAsia="zh-CN"/>
        </w:rPr>
        <w:t>为207.52万元</w:t>
      </w:r>
      <w:r>
        <w:rPr>
          <w:rFonts w:hint="eastAsia" w:ascii="Times New Roman" w:hAnsi="Times New Roman" w:eastAsia="仿宋_GB2312" w:cs="Times New Roman"/>
          <w:sz w:val="32"/>
          <w:szCs w:val="32"/>
          <w:lang w:val="en-US" w:eastAsia="zh-CN"/>
        </w:rPr>
        <w:t>情况、决算报表收入</w:t>
      </w:r>
      <w:r>
        <w:rPr>
          <w:rFonts w:hint="eastAsia" w:eastAsia="仿宋_GB2312" w:cs="Times New Roman"/>
          <w:sz w:val="32"/>
          <w:szCs w:val="32"/>
          <w:lang w:val="en-US" w:eastAsia="zh-CN"/>
        </w:rPr>
        <w:t>为235万元</w:t>
      </w:r>
      <w:r>
        <w:rPr>
          <w:rFonts w:hint="eastAsia" w:ascii="Times New Roman" w:hAnsi="Times New Roman" w:eastAsia="仿宋_GB2312" w:cs="Times New Roman"/>
          <w:sz w:val="32"/>
          <w:szCs w:val="32"/>
          <w:lang w:val="en-US" w:eastAsia="zh-CN"/>
        </w:rPr>
        <w:t>。</w:t>
      </w:r>
    </w:p>
    <w:p w14:paraId="1525B30E">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楷体_GB2312" w:cs="Times New Roman"/>
          <w:b/>
          <w:bCs/>
          <w:color w:val="000000"/>
          <w:kern w:val="0"/>
          <w:sz w:val="32"/>
          <w:szCs w:val="32"/>
          <w:highlight w:val="none"/>
          <w:shd w:val="clear" w:color="auto" w:fill="FFFFFF"/>
          <w:lang w:val="zh-CN"/>
        </w:rPr>
        <w:t>江茸乡卫生院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年决算报表</w:t>
      </w:r>
      <w:r>
        <w:rPr>
          <w:rFonts w:hint="default" w:ascii="Times New Roman" w:hAnsi="Times New Roman" w:eastAsia="仿宋_GB2312" w:cs="Times New Roman"/>
          <w:sz w:val="32"/>
          <w:szCs w:val="32"/>
          <w:lang w:val="en-US" w:eastAsia="zh-CN"/>
        </w:rPr>
        <w:t>结转结余</w:t>
      </w:r>
      <w:r>
        <w:rPr>
          <w:rFonts w:hint="eastAsia" w:eastAsia="仿宋_GB2312" w:cs="Times New Roman"/>
          <w:sz w:val="32"/>
          <w:szCs w:val="32"/>
          <w:lang w:val="en-US" w:eastAsia="zh-CN"/>
        </w:rPr>
        <w:t>无。</w:t>
      </w:r>
    </w:p>
    <w:p w14:paraId="749F5F2D">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1B76A5D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12387A8C">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Calibri" w:eastAsia="仿宋_GB2312" w:cs="Times New Roman"/>
          <w:sz w:val="32"/>
          <w:szCs w:val="32"/>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w:t>
      </w:r>
      <w:r>
        <w:rPr>
          <w:rFonts w:hint="eastAsia" w:ascii="仿宋_GB2312" w:hAnsi="Calibri" w:eastAsia="仿宋_GB2312" w:cs="Times New Roman"/>
          <w:sz w:val="32"/>
          <w:szCs w:val="32"/>
        </w:rPr>
        <w:t>本年度</w:t>
      </w:r>
      <w:r>
        <w:rPr>
          <w:rFonts w:hint="eastAsia" w:ascii="仿宋_GB2312" w:hAnsi="Calibri" w:eastAsia="仿宋_GB2312" w:cs="Times New Roman"/>
          <w:sz w:val="32"/>
          <w:szCs w:val="32"/>
          <w:lang w:val="en-US" w:eastAsia="zh-CN"/>
        </w:rPr>
        <w:t>卫生院</w:t>
      </w:r>
      <w:r>
        <w:rPr>
          <w:rFonts w:hint="eastAsia" w:ascii="仿宋_GB2312" w:hAnsi="Calibri" w:eastAsia="仿宋_GB2312" w:cs="Times New Roman"/>
          <w:sz w:val="32"/>
          <w:szCs w:val="32"/>
        </w:rPr>
        <w:t>严格按照《政府会计制度》《事业单位财务规则》及相关财政管理要求，扎实推进年度财务决算工作。各部门协同配合，数据填报及时准确，报表体系完整规范，财务分析深入细致，顺利完成了年终决算编制、审核、上报及信息公开等各项任务，实现了账实相符、账账相符、账表一致的目标，为医院战略决策和运营管理提供了有力支撑。</w:t>
      </w:r>
    </w:p>
    <w:p w14:paraId="2F466389">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仿宋" w:hAnsi="仿宋" w:eastAsia="仿宋" w:cs="仿宋"/>
          <w:color w:val="000000"/>
          <w:kern w:val="2"/>
          <w:sz w:val="32"/>
          <w:szCs w:val="32"/>
          <w:lang w:val="en-US" w:eastAsia="zh-CN" w:bidi="ar-SA"/>
        </w:rPr>
        <w:t>我单位加强和规范内部控制，提高内部管理水平和风险防范能力，杜绝违法违纪行为，推进廉政建设，维护社会公众利益，根据《中华人民共和国会计法》、《中华人民共和国预算法》、《行政事业单位内部控制规范》(试行)和其他有关法律法规。</w:t>
      </w:r>
    </w:p>
    <w:p w14:paraId="1BDA988B">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仿宋" w:hAnsi="仿宋" w:eastAsia="仿宋" w:cs="仿宋"/>
          <w:color w:val="000000"/>
          <w:kern w:val="2"/>
          <w:sz w:val="32"/>
          <w:szCs w:val="32"/>
          <w:lang w:val="en-US" w:eastAsia="zh-CN" w:bidi="ar-SA"/>
        </w:rPr>
        <w:t>经核对我单位2025年度总账、明细账、决算报表，其结果账账、账表相符；财务信息资料真实、完整、准确。</w:t>
      </w:r>
    </w:p>
    <w:p w14:paraId="7F027CC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p>
    <w:p w14:paraId="2193BAD1">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仿宋_GB2312" w:hAnsi="Calibri" w:eastAsia="仿宋_GB2312" w:cs="Times New Roman"/>
          <w:sz w:val="32"/>
          <w:szCs w:val="32"/>
        </w:rPr>
        <w:t>组织开展全院资产盘点，覆盖率达100%，账实相符率提升至100%；完善资产卡片信息登记</w:t>
      </w:r>
      <w:r>
        <w:rPr>
          <w:rFonts w:hint="eastAsia" w:ascii="仿宋_GB2312" w:hAnsi="Calibri" w:eastAsia="仿宋_GB2312" w:cs="Times New Roman"/>
          <w:sz w:val="32"/>
          <w:szCs w:val="32"/>
          <w:lang w:eastAsia="zh-CN"/>
        </w:rPr>
        <w:t>。</w:t>
      </w:r>
    </w:p>
    <w:p w14:paraId="58E3D3A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无</w:t>
      </w:r>
    </w:p>
    <w:p w14:paraId="6BF77B65">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14:paraId="1E85A06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eastAsia="仿宋_GB2312" w:cs="仿宋_GB2312"/>
          <w:color w:val="auto"/>
          <w:kern w:val="2"/>
          <w:sz w:val="32"/>
          <w:szCs w:val="32"/>
          <w:highlight w:val="none"/>
          <w:lang w:val="en-US" w:eastAsia="zh-CN" w:bidi="ar-SA"/>
        </w:rPr>
        <w:t>1.44</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eastAsia="仿宋_GB2312" w:cs="仿宋_GB2312"/>
          <w:color w:val="auto"/>
          <w:kern w:val="2"/>
          <w:sz w:val="32"/>
          <w:szCs w:val="32"/>
          <w:highlight w:val="none"/>
          <w:lang w:val="en-US" w:eastAsia="zh-CN" w:bidi="ar-SA"/>
        </w:rPr>
        <w:t>100</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个。</w:t>
      </w:r>
    </w:p>
    <w:p w14:paraId="2CD5807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7C28714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1FCFBD2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1755E8DC">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tbl>
      <w:tblPr>
        <w:tblStyle w:val="17"/>
        <w:tblW w:w="1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793"/>
        <w:gridCol w:w="1316"/>
        <w:gridCol w:w="1140"/>
        <w:gridCol w:w="1762"/>
        <w:gridCol w:w="734"/>
        <w:gridCol w:w="744"/>
        <w:gridCol w:w="891"/>
        <w:gridCol w:w="744"/>
        <w:gridCol w:w="750"/>
        <w:gridCol w:w="734"/>
        <w:gridCol w:w="421"/>
        <w:gridCol w:w="1164"/>
      </w:tblGrid>
      <w:tr w14:paraId="413E5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6" w:hRule="atLeast"/>
        </w:trPr>
        <w:tc>
          <w:tcPr>
            <w:tcW w:w="12193" w:type="dxa"/>
            <w:gridSpan w:val="12"/>
            <w:tcBorders>
              <w:top w:val="single" w:color="FFFFFF" w:sz="4" w:space="0"/>
              <w:left w:val="single" w:color="FFFFFF" w:sz="4" w:space="0"/>
              <w:bottom w:val="single" w:color="FFFFFF" w:sz="4" w:space="0"/>
              <w:right w:val="single" w:color="FFFFFF" w:sz="4" w:space="0"/>
            </w:tcBorders>
            <w:shd w:val="clear" w:color="auto" w:fill="auto"/>
            <w:vAlign w:val="center"/>
          </w:tcPr>
          <w:p w14:paraId="335B1A65">
            <w:pPr>
              <w:keepNext w:val="0"/>
              <w:keepLines w:val="0"/>
              <w:widowControl/>
              <w:suppressLineNumbers w:val="0"/>
              <w:jc w:val="center"/>
              <w:textAlignment w:val="center"/>
              <w:rPr>
                <w:rFonts w:hint="eastAsia" w:ascii="宋体" w:hAnsi="宋体" w:eastAsia="宋体" w:cs="宋体"/>
                <w:b/>
                <w:i w:val="0"/>
                <w:color w:val="000000"/>
                <w:sz w:val="30"/>
                <w:szCs w:val="30"/>
                <w:u w:val="none"/>
              </w:rPr>
            </w:pPr>
            <w:r>
              <w:rPr>
                <w:rFonts w:hint="eastAsia" w:ascii="宋体" w:hAnsi="宋体" w:eastAsia="宋体" w:cs="宋体"/>
                <w:b/>
                <w:i w:val="0"/>
                <w:color w:val="000000"/>
                <w:kern w:val="0"/>
                <w:sz w:val="30"/>
                <w:szCs w:val="30"/>
                <w:u w:val="none"/>
                <w:lang w:val="en-US" w:eastAsia="zh-CN" w:bidi="ar"/>
              </w:rPr>
              <w:t>部门预算项目绩效目标表（2025年度）</w:t>
            </w:r>
          </w:p>
        </w:tc>
      </w:tr>
      <w:tr w14:paraId="7D8BA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6" w:hRule="atLeast"/>
        </w:trPr>
        <w:tc>
          <w:tcPr>
            <w:tcW w:w="6011" w:type="dxa"/>
            <w:gridSpan w:val="4"/>
            <w:tcBorders>
              <w:top w:val="single" w:color="FFFFFF" w:sz="4" w:space="0"/>
              <w:left w:val="single" w:color="FFFFFF" w:sz="4" w:space="0"/>
              <w:right w:val="single" w:color="FFFFFF" w:sz="4" w:space="0"/>
            </w:tcBorders>
            <w:shd w:val="clear" w:color="auto" w:fill="auto"/>
            <w:vAlign w:val="center"/>
          </w:tcPr>
          <w:p w14:paraId="29BFDE6D">
            <w:pPr>
              <w:rPr>
                <w:rFonts w:hint="eastAsia" w:ascii="宋体" w:hAnsi="宋体" w:eastAsia="宋体" w:cs="宋体"/>
                <w:i w:val="0"/>
                <w:color w:val="000000"/>
                <w:sz w:val="22"/>
                <w:szCs w:val="22"/>
                <w:u w:val="none"/>
              </w:rPr>
            </w:pPr>
          </w:p>
        </w:tc>
        <w:tc>
          <w:tcPr>
            <w:tcW w:w="734" w:type="dxa"/>
            <w:tcBorders>
              <w:top w:val="single" w:color="FFFFFF" w:sz="4" w:space="0"/>
              <w:left w:val="single" w:color="FFFFFF" w:sz="4" w:space="0"/>
              <w:right w:val="single" w:color="FFFFFF" w:sz="4" w:space="0"/>
            </w:tcBorders>
            <w:shd w:val="clear" w:color="auto" w:fill="auto"/>
            <w:vAlign w:val="center"/>
          </w:tcPr>
          <w:p w14:paraId="6C045ED0">
            <w:pPr>
              <w:rPr>
                <w:rFonts w:hint="eastAsia" w:ascii="宋体" w:hAnsi="宋体" w:eastAsia="宋体" w:cs="宋体"/>
                <w:i w:val="0"/>
                <w:color w:val="000000"/>
                <w:sz w:val="22"/>
                <w:szCs w:val="22"/>
                <w:u w:val="none"/>
              </w:rPr>
            </w:pPr>
          </w:p>
        </w:tc>
        <w:tc>
          <w:tcPr>
            <w:tcW w:w="744" w:type="dxa"/>
            <w:tcBorders>
              <w:top w:val="single" w:color="FFFFFF" w:sz="4" w:space="0"/>
              <w:left w:val="single" w:color="FFFFFF" w:sz="4" w:space="0"/>
              <w:right w:val="single" w:color="FFFFFF" w:sz="4" w:space="0"/>
            </w:tcBorders>
            <w:shd w:val="clear" w:color="auto" w:fill="auto"/>
            <w:vAlign w:val="center"/>
          </w:tcPr>
          <w:p w14:paraId="16A20A5A">
            <w:pPr>
              <w:rPr>
                <w:rFonts w:hint="eastAsia" w:ascii="宋体" w:hAnsi="宋体" w:eastAsia="宋体" w:cs="宋体"/>
                <w:i w:val="0"/>
                <w:color w:val="000000"/>
                <w:sz w:val="22"/>
                <w:szCs w:val="22"/>
                <w:u w:val="none"/>
              </w:rPr>
            </w:pPr>
          </w:p>
        </w:tc>
        <w:tc>
          <w:tcPr>
            <w:tcW w:w="891" w:type="dxa"/>
            <w:tcBorders>
              <w:top w:val="single" w:color="FFFFFF" w:sz="4" w:space="0"/>
              <w:left w:val="single" w:color="FFFFFF" w:sz="4" w:space="0"/>
              <w:right w:val="single" w:color="FFFFFF" w:sz="4" w:space="0"/>
            </w:tcBorders>
            <w:shd w:val="clear" w:color="auto" w:fill="auto"/>
            <w:vAlign w:val="center"/>
          </w:tcPr>
          <w:p w14:paraId="2F758B98">
            <w:pPr>
              <w:rPr>
                <w:rFonts w:hint="eastAsia" w:ascii="宋体" w:hAnsi="宋体" w:eastAsia="宋体" w:cs="宋体"/>
                <w:i w:val="0"/>
                <w:color w:val="000000"/>
                <w:sz w:val="22"/>
                <w:szCs w:val="22"/>
                <w:u w:val="none"/>
              </w:rPr>
            </w:pPr>
          </w:p>
        </w:tc>
        <w:tc>
          <w:tcPr>
            <w:tcW w:w="744" w:type="dxa"/>
            <w:tcBorders>
              <w:top w:val="single" w:color="FFFFFF" w:sz="4" w:space="0"/>
              <w:left w:val="single" w:color="FFFFFF" w:sz="4" w:space="0"/>
              <w:right w:val="single" w:color="FFFFFF" w:sz="4" w:space="0"/>
            </w:tcBorders>
            <w:shd w:val="clear" w:color="auto" w:fill="auto"/>
            <w:vAlign w:val="center"/>
          </w:tcPr>
          <w:p w14:paraId="21CBE2D5">
            <w:pPr>
              <w:rPr>
                <w:rFonts w:hint="eastAsia" w:ascii="宋体" w:hAnsi="宋体" w:eastAsia="宋体" w:cs="宋体"/>
                <w:i w:val="0"/>
                <w:color w:val="000000"/>
                <w:sz w:val="22"/>
                <w:szCs w:val="22"/>
                <w:u w:val="none"/>
              </w:rPr>
            </w:pPr>
          </w:p>
        </w:tc>
        <w:tc>
          <w:tcPr>
            <w:tcW w:w="750" w:type="dxa"/>
            <w:tcBorders>
              <w:top w:val="single" w:color="FFFFFF" w:sz="4" w:space="0"/>
              <w:left w:val="single" w:color="FFFFFF" w:sz="4" w:space="0"/>
              <w:right w:val="single" w:color="FFFFFF" w:sz="4" w:space="0"/>
            </w:tcBorders>
            <w:shd w:val="clear" w:color="auto" w:fill="auto"/>
            <w:vAlign w:val="center"/>
          </w:tcPr>
          <w:p w14:paraId="7C5EC4BE">
            <w:pPr>
              <w:rPr>
                <w:rFonts w:hint="eastAsia" w:ascii="宋体" w:hAnsi="宋体" w:eastAsia="宋体" w:cs="宋体"/>
                <w:i w:val="0"/>
                <w:color w:val="000000"/>
                <w:sz w:val="22"/>
                <w:szCs w:val="22"/>
                <w:u w:val="none"/>
              </w:rPr>
            </w:pPr>
          </w:p>
        </w:tc>
        <w:tc>
          <w:tcPr>
            <w:tcW w:w="2319" w:type="dxa"/>
            <w:gridSpan w:val="3"/>
            <w:tcBorders>
              <w:top w:val="single" w:color="FFFFFF" w:sz="4" w:space="0"/>
              <w:left w:val="single" w:color="FFFFFF" w:sz="4" w:space="0"/>
              <w:right w:val="single" w:color="FFFFFF" w:sz="4" w:space="0"/>
            </w:tcBorders>
            <w:shd w:val="clear" w:color="auto" w:fill="auto"/>
            <w:vAlign w:val="center"/>
          </w:tcPr>
          <w:p w14:paraId="4725FF64">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14:paraId="253DD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20" w:hRule="atLeast"/>
        </w:trPr>
        <w:tc>
          <w:tcPr>
            <w:tcW w:w="1793"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5BA50F1">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单位名称</w:t>
            </w:r>
          </w:p>
        </w:tc>
        <w:tc>
          <w:tcPr>
            <w:tcW w:w="131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3EB6917">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项目名称</w:t>
            </w:r>
          </w:p>
        </w:tc>
        <w:tc>
          <w:tcPr>
            <w:tcW w:w="114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DBC406C">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预算数</w:t>
            </w:r>
          </w:p>
        </w:tc>
        <w:tc>
          <w:tcPr>
            <w:tcW w:w="176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870F059">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年度目标</w:t>
            </w:r>
          </w:p>
        </w:tc>
        <w:tc>
          <w:tcPr>
            <w:tcW w:w="73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7E78489">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一级指标</w:t>
            </w:r>
          </w:p>
        </w:tc>
        <w:tc>
          <w:tcPr>
            <w:tcW w:w="74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03EE0F7C">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二级指标</w:t>
            </w:r>
          </w:p>
        </w:tc>
        <w:tc>
          <w:tcPr>
            <w:tcW w:w="89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227C29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三级指标</w:t>
            </w:r>
          </w:p>
        </w:tc>
        <w:tc>
          <w:tcPr>
            <w:tcW w:w="74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188C3C2">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指标性质</w:t>
            </w:r>
          </w:p>
        </w:tc>
        <w:tc>
          <w:tcPr>
            <w:tcW w:w="75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27276B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指标值</w:t>
            </w:r>
          </w:p>
        </w:tc>
        <w:tc>
          <w:tcPr>
            <w:tcW w:w="73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582A7EE">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度量单位</w:t>
            </w:r>
          </w:p>
        </w:tc>
        <w:tc>
          <w:tcPr>
            <w:tcW w:w="42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6F923E4">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权重</w:t>
            </w:r>
          </w:p>
        </w:tc>
        <w:tc>
          <w:tcPr>
            <w:tcW w:w="116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FBBCA1E">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指标方向性</w:t>
            </w:r>
          </w:p>
        </w:tc>
      </w:tr>
      <w:tr w14:paraId="091DE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6" w:hRule="atLeast"/>
        </w:trPr>
        <w:tc>
          <w:tcPr>
            <w:tcW w:w="1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077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122-红原县卫生健康局</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E1A90">
            <w:pPr>
              <w:rPr>
                <w:rFonts w:hint="eastAsia" w:ascii="宋体" w:hAnsi="宋体" w:eastAsia="宋体" w:cs="宋体"/>
                <w:i w:val="0"/>
                <w:color w:val="000000"/>
                <w:sz w:val="18"/>
                <w:szCs w:val="18"/>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F01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1.44</w:t>
            </w:r>
          </w:p>
        </w:tc>
        <w:tc>
          <w:tcPr>
            <w:tcW w:w="1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EEFFA">
            <w:pPr>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DB24">
            <w:pPr>
              <w:rPr>
                <w:rFonts w:hint="eastAsia" w:ascii="宋体" w:hAnsi="宋体" w:eastAsia="宋体" w:cs="宋体"/>
                <w:i w:val="0"/>
                <w:color w:val="000000"/>
                <w:sz w:val="18"/>
                <w:szCs w:val="1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D212">
            <w:pPr>
              <w:rPr>
                <w:rFonts w:hint="eastAsia" w:ascii="宋体" w:hAnsi="宋体" w:eastAsia="宋体" w:cs="宋体"/>
                <w:i w:val="0"/>
                <w:color w:val="000000"/>
                <w:sz w:val="18"/>
                <w:szCs w:val="18"/>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7F391">
            <w:pPr>
              <w:rPr>
                <w:rFonts w:hint="eastAsia" w:ascii="宋体" w:hAnsi="宋体" w:eastAsia="宋体" w:cs="宋体"/>
                <w:i w:val="0"/>
                <w:color w:val="000000"/>
                <w:sz w:val="18"/>
                <w:szCs w:val="18"/>
                <w:u w:val="none"/>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E757D">
            <w:pPr>
              <w:rPr>
                <w:rFonts w:hint="eastAsia" w:ascii="宋体" w:hAnsi="宋体" w:eastAsia="宋体" w:cs="宋体"/>
                <w:i w:val="0"/>
                <w:color w:val="000000"/>
                <w:sz w:val="18"/>
                <w:szCs w:val="1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CACB0">
            <w:pPr>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6D325">
            <w:pPr>
              <w:rPr>
                <w:rFonts w:hint="eastAsia" w:ascii="宋体" w:hAnsi="宋体" w:eastAsia="宋体" w:cs="宋体"/>
                <w:i w:val="0"/>
                <w:color w:val="000000"/>
                <w:sz w:val="18"/>
                <w:szCs w:val="18"/>
                <w:u w:val="none"/>
              </w:rPr>
            </w:pP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A32CA">
            <w:pPr>
              <w:rPr>
                <w:rFonts w:hint="eastAsia" w:ascii="宋体" w:hAnsi="宋体" w:eastAsia="宋体" w:cs="宋体"/>
                <w:i w:val="0"/>
                <w:color w:val="000000"/>
                <w:sz w:val="18"/>
                <w:szCs w:val="18"/>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ABC3">
            <w:pPr>
              <w:rPr>
                <w:rFonts w:hint="eastAsia" w:ascii="宋体" w:hAnsi="宋体" w:eastAsia="宋体" w:cs="宋体"/>
                <w:i w:val="0"/>
                <w:color w:val="000000"/>
                <w:sz w:val="18"/>
                <w:szCs w:val="18"/>
                <w:u w:val="none"/>
              </w:rPr>
            </w:pPr>
          </w:p>
        </w:tc>
      </w:tr>
      <w:tr w14:paraId="43D47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FD7BB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122010-红原县江茸乡卫生院</w:t>
            </w:r>
          </w:p>
        </w:tc>
        <w:tc>
          <w:tcPr>
            <w:tcW w:w="1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9E6D6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县级配套基本公共卫生</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0B91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1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D507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5CC5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874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3F7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基层群众满意度</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AAB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6956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FF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9D1F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E4D7">
            <w:pPr>
              <w:jc w:val="left"/>
              <w:rPr>
                <w:rFonts w:hint="eastAsia" w:ascii="宋体" w:hAnsi="宋体" w:eastAsia="宋体" w:cs="宋体"/>
                <w:i w:val="0"/>
                <w:color w:val="000000"/>
                <w:sz w:val="18"/>
                <w:szCs w:val="18"/>
                <w:u w:val="none"/>
              </w:rPr>
            </w:pPr>
          </w:p>
        </w:tc>
      </w:tr>
      <w:tr w14:paraId="6A285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1AF00">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CE876">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BEE88">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F6932">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DC0E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B3B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4E44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居民电子健康档案管理人数</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7D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40CD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1449</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71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3BAC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58E5">
            <w:pPr>
              <w:jc w:val="left"/>
              <w:rPr>
                <w:rFonts w:hint="eastAsia" w:ascii="宋体" w:hAnsi="宋体" w:eastAsia="宋体" w:cs="宋体"/>
                <w:i w:val="0"/>
                <w:color w:val="000000"/>
                <w:sz w:val="18"/>
                <w:szCs w:val="18"/>
                <w:u w:val="none"/>
              </w:rPr>
            </w:pPr>
          </w:p>
        </w:tc>
      </w:tr>
      <w:tr w14:paraId="6D1E0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BE7CE">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CFA19">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A60BD">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1ECD6">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D11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C6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0788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65岁及以上居民健康管理人数</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4D4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44C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4B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55B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6FD13">
            <w:pPr>
              <w:jc w:val="left"/>
              <w:rPr>
                <w:rFonts w:hint="eastAsia" w:ascii="宋体" w:hAnsi="宋体" w:eastAsia="宋体" w:cs="宋体"/>
                <w:i w:val="0"/>
                <w:color w:val="000000"/>
                <w:sz w:val="18"/>
                <w:szCs w:val="18"/>
                <w:u w:val="none"/>
              </w:rPr>
            </w:pPr>
          </w:p>
        </w:tc>
      </w:tr>
      <w:tr w14:paraId="101D1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0DB14">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C32AE">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81B62">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4D6CB">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AA2F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639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1F2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老年人中医药健康管理率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9AEB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F5B8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E2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41AF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6CF27">
            <w:pPr>
              <w:jc w:val="left"/>
              <w:rPr>
                <w:rFonts w:hint="eastAsia" w:ascii="宋体" w:hAnsi="宋体" w:eastAsia="宋体" w:cs="宋体"/>
                <w:i w:val="0"/>
                <w:color w:val="000000"/>
                <w:sz w:val="18"/>
                <w:szCs w:val="18"/>
                <w:u w:val="none"/>
              </w:rPr>
            </w:pPr>
          </w:p>
        </w:tc>
      </w:tr>
      <w:tr w14:paraId="0F917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8DC57">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D1CBA">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C8716">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F0F6E">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FB6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85F1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经济成本指标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B00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基本公共卫生服务县级配套项目成本</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D3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04E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1.004157</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78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EEFB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C4862">
            <w:pPr>
              <w:jc w:val="left"/>
              <w:rPr>
                <w:rFonts w:hint="eastAsia" w:ascii="宋体" w:hAnsi="宋体" w:eastAsia="宋体" w:cs="宋体"/>
                <w:i w:val="0"/>
                <w:color w:val="000000"/>
                <w:sz w:val="18"/>
                <w:szCs w:val="18"/>
                <w:u w:val="none"/>
              </w:rPr>
            </w:pPr>
          </w:p>
        </w:tc>
      </w:tr>
      <w:tr w14:paraId="79DD2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0D449">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3BEB6">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B05E7">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94670">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514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EC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08C7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提高公共卫生服务均等化水平</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BB32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2CC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2411">
            <w:pPr>
              <w:jc w:val="left"/>
              <w:rPr>
                <w:rFonts w:hint="eastAsia" w:ascii="宋体" w:hAnsi="宋体" w:eastAsia="宋体" w:cs="宋体"/>
                <w:i w:val="0"/>
                <w:color w:val="000000"/>
                <w:sz w:val="18"/>
                <w:szCs w:val="18"/>
                <w:u w:val="none"/>
              </w:rPr>
            </w:pP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63F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C830">
            <w:pPr>
              <w:jc w:val="left"/>
              <w:rPr>
                <w:rFonts w:hint="eastAsia" w:ascii="宋体" w:hAnsi="宋体" w:eastAsia="宋体" w:cs="宋体"/>
                <w:i w:val="0"/>
                <w:color w:val="000000"/>
                <w:sz w:val="18"/>
                <w:szCs w:val="18"/>
                <w:u w:val="none"/>
              </w:rPr>
            </w:pPr>
          </w:p>
        </w:tc>
      </w:tr>
      <w:tr w14:paraId="5C68B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578E5">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904C1">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2DA1A">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F6D56">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C7A8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E2E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5CFC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2型糖尿病患者管理人数</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3340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E2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8F3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E9AE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27D77">
            <w:pPr>
              <w:jc w:val="left"/>
              <w:rPr>
                <w:rFonts w:hint="eastAsia" w:ascii="宋体" w:hAnsi="宋体" w:eastAsia="宋体" w:cs="宋体"/>
                <w:i w:val="0"/>
                <w:color w:val="000000"/>
                <w:sz w:val="18"/>
                <w:szCs w:val="18"/>
                <w:u w:val="none"/>
              </w:rPr>
            </w:pPr>
          </w:p>
        </w:tc>
      </w:tr>
      <w:tr w14:paraId="11465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8"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7A6A4">
            <w:pPr>
              <w:jc w:val="left"/>
              <w:rPr>
                <w:rFonts w:hint="eastAsia" w:ascii="宋体" w:hAnsi="宋体" w:eastAsia="宋体" w:cs="宋体"/>
                <w:i w:val="0"/>
                <w:color w:val="000000"/>
                <w:sz w:val="18"/>
                <w:szCs w:val="18"/>
                <w:u w:val="none"/>
              </w:rPr>
            </w:pPr>
          </w:p>
        </w:tc>
        <w:tc>
          <w:tcPr>
            <w:tcW w:w="1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959A4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C954F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0.43</w:t>
            </w:r>
          </w:p>
        </w:tc>
        <w:tc>
          <w:tcPr>
            <w:tcW w:w="17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237B4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县级配套基本药物用于卫生院日常开支，包含办公费、邮电费、电费等</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EB3D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29B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372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实行基本药物补助县级配套的基层医疗机构个数</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95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EEBF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B54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46F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A798">
            <w:pPr>
              <w:jc w:val="left"/>
              <w:rPr>
                <w:rFonts w:hint="eastAsia" w:ascii="宋体" w:hAnsi="宋体" w:eastAsia="宋体" w:cs="宋体"/>
                <w:i w:val="0"/>
                <w:color w:val="000000"/>
                <w:sz w:val="18"/>
                <w:szCs w:val="18"/>
                <w:u w:val="none"/>
              </w:rPr>
            </w:pPr>
          </w:p>
        </w:tc>
      </w:tr>
      <w:tr w14:paraId="3C111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104D0">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4A3AB">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978B1">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A052F">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01A5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624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5C4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基层医疗机构药品零差率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64D5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FDF3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等于100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03E9">
            <w:pPr>
              <w:jc w:val="left"/>
              <w:rPr>
                <w:rFonts w:hint="eastAsia" w:ascii="宋体" w:hAnsi="宋体" w:eastAsia="宋体" w:cs="宋体"/>
                <w:i w:val="0"/>
                <w:color w:val="000000"/>
                <w:sz w:val="18"/>
                <w:szCs w:val="18"/>
                <w:u w:val="none"/>
              </w:rPr>
            </w:pP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780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8407">
            <w:pPr>
              <w:jc w:val="left"/>
              <w:rPr>
                <w:rFonts w:hint="eastAsia" w:ascii="宋体" w:hAnsi="宋体" w:eastAsia="宋体" w:cs="宋体"/>
                <w:i w:val="0"/>
                <w:color w:val="000000"/>
                <w:sz w:val="18"/>
                <w:szCs w:val="18"/>
                <w:u w:val="none"/>
              </w:rPr>
            </w:pPr>
          </w:p>
        </w:tc>
      </w:tr>
      <w:tr w14:paraId="136FD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AF9D3">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33A34">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F5042">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246B1">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F90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4670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07F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基本药物补助县级配套资金支付准确率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9EC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850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C6F8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8D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96007">
            <w:pPr>
              <w:jc w:val="left"/>
              <w:rPr>
                <w:rFonts w:hint="eastAsia" w:ascii="宋体" w:hAnsi="宋体" w:eastAsia="宋体" w:cs="宋体"/>
                <w:i w:val="0"/>
                <w:color w:val="000000"/>
                <w:sz w:val="18"/>
                <w:szCs w:val="18"/>
                <w:u w:val="none"/>
              </w:rPr>
            </w:pPr>
          </w:p>
        </w:tc>
      </w:tr>
      <w:tr w14:paraId="2147B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CEF62">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48F37">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B973A">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32FA0">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829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CD7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FB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基层医疗机构工作人员满意度</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A708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478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DE2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642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A28F4">
            <w:pPr>
              <w:jc w:val="left"/>
              <w:rPr>
                <w:rFonts w:hint="eastAsia" w:ascii="宋体" w:hAnsi="宋体" w:eastAsia="宋体" w:cs="宋体"/>
                <w:i w:val="0"/>
                <w:color w:val="000000"/>
                <w:sz w:val="18"/>
                <w:szCs w:val="18"/>
                <w:u w:val="none"/>
              </w:rPr>
            </w:pPr>
          </w:p>
        </w:tc>
      </w:tr>
      <w:tr w14:paraId="37C5C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8B0B4">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02EC7">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09EADB">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B08D3">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330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8630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55D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确保药品采购公平、公正、公开</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B5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0BEF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优良中低差</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BEEAE">
            <w:pPr>
              <w:jc w:val="left"/>
              <w:rPr>
                <w:rFonts w:hint="eastAsia" w:ascii="宋体" w:hAnsi="宋体" w:eastAsia="宋体" w:cs="宋体"/>
                <w:i w:val="0"/>
                <w:color w:val="000000"/>
                <w:sz w:val="18"/>
                <w:szCs w:val="18"/>
                <w:u w:val="none"/>
              </w:rPr>
            </w:pP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3DF2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A16F8">
            <w:pPr>
              <w:jc w:val="left"/>
              <w:rPr>
                <w:rFonts w:hint="eastAsia" w:ascii="宋体" w:hAnsi="宋体" w:eastAsia="宋体" w:cs="宋体"/>
                <w:i w:val="0"/>
                <w:color w:val="000000"/>
                <w:sz w:val="18"/>
                <w:szCs w:val="18"/>
                <w:u w:val="none"/>
              </w:rPr>
            </w:pPr>
          </w:p>
        </w:tc>
      </w:tr>
      <w:tr w14:paraId="4F815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A96CF">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05D6B">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E4E0A">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9A8DA">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664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23F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6BA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基层医疗机构基本药物网购置次数</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7351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29D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38C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25B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28177">
            <w:pPr>
              <w:jc w:val="left"/>
              <w:rPr>
                <w:rFonts w:hint="eastAsia" w:ascii="宋体" w:hAnsi="宋体" w:eastAsia="宋体" w:cs="宋体"/>
                <w:i w:val="0"/>
                <w:color w:val="000000"/>
                <w:sz w:val="18"/>
                <w:szCs w:val="18"/>
                <w:u w:val="none"/>
              </w:rPr>
            </w:pPr>
          </w:p>
        </w:tc>
      </w:tr>
      <w:tr w14:paraId="521C4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FF595">
            <w:pPr>
              <w:jc w:val="left"/>
              <w:rPr>
                <w:rFonts w:hint="eastAsia" w:ascii="宋体" w:hAnsi="宋体" w:eastAsia="宋体" w:cs="宋体"/>
                <w:i w:val="0"/>
                <w:color w:val="000000"/>
                <w:sz w:val="18"/>
                <w:szCs w:val="18"/>
                <w:u w:val="none"/>
              </w:rPr>
            </w:pP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1AC0F">
            <w:pPr>
              <w:jc w:val="left"/>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8DF15">
            <w:pPr>
              <w:jc w:val="right"/>
              <w:rPr>
                <w:rFonts w:hint="eastAsia" w:ascii="宋体" w:hAnsi="宋体" w:eastAsia="宋体" w:cs="宋体"/>
                <w:i w:val="0"/>
                <w:color w:val="000000"/>
                <w:sz w:val="18"/>
                <w:szCs w:val="18"/>
                <w:u w:val="none"/>
              </w:rPr>
            </w:pPr>
          </w:p>
        </w:tc>
        <w:tc>
          <w:tcPr>
            <w:tcW w:w="17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8F965">
            <w:pPr>
              <w:jc w:val="left"/>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C89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54AF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49C7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基本药物补助县级配套资金支付及时率</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500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9BEF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2EC5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3E93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3278">
            <w:pPr>
              <w:jc w:val="left"/>
              <w:rPr>
                <w:rFonts w:hint="eastAsia" w:ascii="宋体" w:hAnsi="宋体" w:eastAsia="宋体" w:cs="宋体"/>
                <w:i w:val="0"/>
                <w:color w:val="000000"/>
                <w:sz w:val="18"/>
                <w:szCs w:val="18"/>
                <w:u w:val="none"/>
              </w:rPr>
            </w:pPr>
          </w:p>
        </w:tc>
      </w:tr>
    </w:tbl>
    <w:p w14:paraId="592BDFB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省级部门对</w:t>
      </w:r>
      <w:r>
        <w:rPr>
          <w:rFonts w:hint="eastAsia" w:eastAsia="仿宋_GB2312" w:cs="仿宋_GB2312"/>
          <w:color w:val="auto"/>
          <w:kern w:val="2"/>
          <w:sz w:val="32"/>
          <w:szCs w:val="32"/>
          <w:highlight w:val="none"/>
          <w:lang w:val="en-US" w:eastAsia="zh-CN" w:bidi="ar-SA"/>
        </w:rPr>
        <w:t>2025年度</w:t>
      </w:r>
      <w:r>
        <w:rPr>
          <w:rFonts w:hint="default" w:ascii="Times New Roman" w:hAnsi="Times New Roman" w:eastAsia="仿宋_GB2312" w:cs="仿宋_GB2312"/>
          <w:color w:val="auto"/>
          <w:kern w:val="2"/>
          <w:sz w:val="32"/>
          <w:szCs w:val="32"/>
          <w:highlight w:val="none"/>
          <w:lang w:val="en-US" w:eastAsia="zh-CN" w:bidi="ar-SA"/>
        </w:rPr>
        <w:t>一般公共预算、政府性基金预算、国有资本经营预算安排的常年项目、阶段项目绩效目标完成情况，以及债券资金、政府购买服务有关情况进行梳理阐述</w:t>
      </w:r>
      <w:r>
        <w:rPr>
          <w:rFonts w:hint="eastAsia" w:eastAsia="仿宋_GB2312" w:cs="仿宋_GB2312"/>
          <w:color w:val="auto"/>
          <w:kern w:val="2"/>
          <w:sz w:val="32"/>
          <w:szCs w:val="32"/>
          <w:highlight w:val="none"/>
          <w:lang w:val="en-US" w:eastAsia="zh-CN" w:bidi="ar-SA"/>
        </w:rPr>
        <w:t>。</w:t>
      </w:r>
    </w:p>
    <w:p w14:paraId="29E5A053">
      <w:pPr>
        <w:keepNext w:val="0"/>
        <w:keepLines w:val="0"/>
        <w:pageBreakBefore w:val="0"/>
        <w:widowControl w:val="0"/>
        <w:numPr>
          <w:ilvl w:val="0"/>
          <w:numId w:val="3"/>
        </w:numPr>
        <w:kinsoku/>
        <w:wordWrap/>
        <w:overflowPunct/>
        <w:topLinePunct w:val="0"/>
        <w:autoSpaceDE/>
        <w:autoSpaceDN/>
        <w:bidi w:val="0"/>
        <w:adjustRightInd w:val="0"/>
        <w:snapToGrid w:val="0"/>
        <w:spacing w:line="578" w:lineRule="exact"/>
        <w:ind w:left="0" w:leftChars="0" w:firstLine="643"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zh-CN" w:eastAsia="zh-CN" w:bidi="ar-SA"/>
        </w:rPr>
        <w:t>围绕内部应用情况、</w:t>
      </w:r>
      <w:r>
        <w:rPr>
          <w:rFonts w:hint="default" w:ascii="Times New Roman" w:hAnsi="Times New Roman" w:eastAsia="仿宋_GB2312" w:cs="仿宋_GB2312"/>
          <w:color w:val="auto"/>
          <w:kern w:val="2"/>
          <w:sz w:val="32"/>
          <w:szCs w:val="32"/>
          <w:highlight w:val="none"/>
          <w:lang w:val="zh-CN" w:eastAsia="zh-CN" w:bidi="ar-SA"/>
        </w:rPr>
        <w:t>信息公开情况</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整改反馈情况</w:t>
      </w:r>
      <w:r>
        <w:rPr>
          <w:rFonts w:hint="eastAsia" w:ascii="Times New Roman" w:hAnsi="Times New Roman" w:eastAsia="仿宋_GB2312" w:cs="仿宋_GB2312"/>
          <w:color w:val="auto"/>
          <w:kern w:val="2"/>
          <w:sz w:val="32"/>
          <w:szCs w:val="32"/>
          <w:highlight w:val="none"/>
          <w:lang w:val="zh-CN" w:eastAsia="zh-CN" w:bidi="ar-SA"/>
        </w:rPr>
        <w:t>进行分析。</w:t>
      </w:r>
    </w:p>
    <w:p w14:paraId="41F81EAA">
      <w:pPr>
        <w:pStyle w:val="2"/>
        <w:widowControl w:val="0"/>
        <w:numPr>
          <w:ilvl w:val="0"/>
          <w:numId w:val="0"/>
        </w:numPr>
        <w:spacing w:beforeLines="30"/>
        <w:jc w:val="both"/>
        <w:rPr>
          <w:rFonts w:hint="default"/>
          <w:lang w:val="en-US" w:eastAsia="zh-CN"/>
        </w:rPr>
      </w:pPr>
    </w:p>
    <w:p w14:paraId="5830D3D2">
      <w:pPr>
        <w:pStyle w:val="2"/>
        <w:widowControl w:val="0"/>
        <w:numPr>
          <w:ilvl w:val="0"/>
          <w:numId w:val="0"/>
        </w:numPr>
        <w:spacing w:beforeLines="30"/>
        <w:jc w:val="both"/>
        <w:rPr>
          <w:rFonts w:hint="default"/>
          <w:lang w:val="en-US" w:eastAsia="zh-CN"/>
        </w:rPr>
      </w:pPr>
    </w:p>
    <w:p w14:paraId="3DF1FFFA">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1FAFCAE3">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p>
    <w:p w14:paraId="4B6F3AA5">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default" w:ascii="Times New Roman" w:hAnsi="Times New Roman" w:eastAsia="仿宋_GB2312" w:cs="Times New Roman"/>
          <w:sz w:val="32"/>
          <w:szCs w:val="32"/>
          <w:u w:val="none"/>
          <w:lang w:val="en-US" w:eastAsia="zh-CN" w:bidi="ar"/>
        </w:rPr>
      </w:pPr>
      <w:r>
        <w:rPr>
          <w:rFonts w:hint="eastAsia" w:ascii="仿宋" w:hAnsi="仿宋" w:eastAsia="仿宋" w:cs="仿宋"/>
          <w:color w:val="000000"/>
          <w:kern w:val="2"/>
          <w:sz w:val="32"/>
          <w:szCs w:val="32"/>
          <w:lang w:val="en-US" w:eastAsia="zh-CN" w:bidi="ar-SA"/>
        </w:rPr>
        <w:t>2025年部门预算编制基础数据真实可靠，按照年度</w:t>
      </w:r>
      <w:r>
        <w:rPr>
          <w:rFonts w:hint="eastAsia" w:ascii="仿宋" w:hAnsi="仿宋" w:eastAsia="仿宋" w:cs="仿宋"/>
          <w:color w:val="000000"/>
          <w:kern w:val="2"/>
          <w:sz w:val="32"/>
          <w:szCs w:val="32"/>
          <w:lang w:val="en-US" w:eastAsia="zh-CN" w:bidi="ar-SA"/>
        </w:rPr>
        <w:fldChar w:fldCharType="begin"/>
      </w:r>
      <w:r>
        <w:rPr>
          <w:rFonts w:hint="eastAsia" w:ascii="仿宋" w:hAnsi="仿宋" w:eastAsia="仿宋" w:cs="仿宋"/>
          <w:color w:val="000000"/>
          <w:kern w:val="2"/>
          <w:sz w:val="32"/>
          <w:szCs w:val="32"/>
          <w:lang w:val="en-US" w:eastAsia="zh-CN" w:bidi="ar-SA"/>
        </w:rPr>
        <w:instrText xml:space="preserve"> HYPERLINK "http://www.91wenmi.com/wenmi/zongjie/gongzuojihua/" \t "_blank" </w:instrText>
      </w:r>
      <w:r>
        <w:rPr>
          <w:rFonts w:hint="eastAsia" w:ascii="仿宋" w:hAnsi="仿宋" w:eastAsia="仿宋" w:cs="仿宋"/>
          <w:color w:val="000000"/>
          <w:kern w:val="2"/>
          <w:sz w:val="32"/>
          <w:szCs w:val="32"/>
          <w:lang w:val="en-US" w:eastAsia="zh-CN" w:bidi="ar-SA"/>
        </w:rPr>
        <w:fldChar w:fldCharType="separate"/>
      </w:r>
      <w:r>
        <w:rPr>
          <w:rFonts w:hint="eastAsia" w:ascii="仿宋" w:hAnsi="仿宋" w:eastAsia="仿宋" w:cs="仿宋"/>
          <w:color w:val="000000"/>
          <w:kern w:val="2"/>
          <w:sz w:val="32"/>
          <w:szCs w:val="32"/>
          <w:lang w:val="en-US" w:eastAsia="zh-CN" w:bidi="ar-SA"/>
        </w:rPr>
        <w:t>工作计划</w:t>
      </w:r>
      <w:r>
        <w:rPr>
          <w:rFonts w:hint="eastAsia" w:ascii="仿宋" w:hAnsi="仿宋" w:eastAsia="仿宋" w:cs="仿宋"/>
          <w:color w:val="000000"/>
          <w:kern w:val="2"/>
          <w:sz w:val="32"/>
          <w:szCs w:val="32"/>
          <w:lang w:val="en-US" w:eastAsia="zh-CN" w:bidi="ar-SA"/>
        </w:rPr>
        <w:fldChar w:fldCharType="end"/>
      </w:r>
      <w:r>
        <w:rPr>
          <w:rFonts w:hint="eastAsia" w:ascii="仿宋" w:hAnsi="仿宋" w:eastAsia="仿宋" w:cs="仿宋"/>
          <w:color w:val="000000"/>
          <w:kern w:val="2"/>
          <w:sz w:val="32"/>
          <w:szCs w:val="32"/>
          <w:lang w:val="en-US" w:eastAsia="zh-CN" w:bidi="ar-SA"/>
        </w:rPr>
        <w:t>和支出标准合理编制预算方案，预算数据按要求及时报送。基本支出按时间进度支付，达到执行进度，年终无结余。严格执行“三公经费”预算，严格审批，无超预算、无预算执行的情况。</w:t>
      </w:r>
    </w:p>
    <w:p w14:paraId="01AFF84F">
      <w:pPr>
        <w:keepNext w:val="0"/>
        <w:keepLines w:val="0"/>
        <w:pageBreakBefore w:val="0"/>
        <w:widowControl/>
        <w:numPr>
          <w:ilvl w:val="0"/>
          <w:numId w:val="4"/>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仿宋" w:hAnsi="仿宋" w:eastAsia="仿宋" w:cs="仿宋"/>
          <w:color w:val="000000"/>
          <w:kern w:val="2"/>
          <w:sz w:val="32"/>
          <w:szCs w:val="32"/>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存在问题。</w:t>
      </w:r>
    </w:p>
    <w:p w14:paraId="3488232A">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专项资金执行进度有待进一步加快，固定资产管理继续加强中。账务处理有待于提高。</w:t>
      </w:r>
    </w:p>
    <w:p w14:paraId="4D10609A">
      <w:pPr>
        <w:pStyle w:val="16"/>
        <w:keepNext w:val="0"/>
        <w:keepLines w:val="0"/>
        <w:pageBreakBefore w:val="0"/>
        <w:widowControl/>
        <w:numPr>
          <w:ilvl w:val="0"/>
          <w:numId w:val="4"/>
        </w:numPr>
        <w:suppressLineNumbers w:val="0"/>
        <w:kinsoku/>
        <w:wordWrap/>
        <w:overflowPunct/>
        <w:topLinePunct w:val="0"/>
        <w:autoSpaceDE/>
        <w:autoSpaceDN/>
        <w:bidi w:val="0"/>
        <w:adjustRightInd/>
        <w:spacing w:before="0" w:beforeAutospacing="0" w:after="0" w:afterAutospacing="0" w:line="540" w:lineRule="exact"/>
        <w:ind w:left="0" w:leftChars="0" w:right="0" w:righ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改进建议。</w:t>
      </w:r>
      <w:bookmarkStart w:id="47" w:name="_Hlk110546638"/>
    </w:p>
    <w:p w14:paraId="122912FC">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leftChars="200" w:right="0" w:rightChars="0" w:firstLine="320" w:firstLineChars="100"/>
        <w:textAlignment w:val="auto"/>
        <w:rPr>
          <w:rFonts w:hint="eastAsia" w:ascii="仿宋" w:hAnsi="仿宋" w:eastAsia="仿宋" w:cs="仿宋"/>
          <w:color w:val="000000"/>
          <w:kern w:val="2"/>
          <w:sz w:val="32"/>
          <w:szCs w:val="32"/>
          <w:lang w:val="zh-CN" w:eastAsia="zh-CN" w:bidi="ar-SA"/>
        </w:rPr>
      </w:pPr>
      <w:r>
        <w:rPr>
          <w:rFonts w:hint="eastAsia" w:ascii="仿宋" w:hAnsi="仿宋" w:eastAsia="仿宋" w:cs="仿宋"/>
          <w:color w:val="000000"/>
          <w:kern w:val="2"/>
          <w:sz w:val="32"/>
          <w:szCs w:val="32"/>
          <w:lang w:val="en-US" w:eastAsia="zh-CN" w:bidi="ar-SA"/>
        </w:rPr>
        <w:t>深入学习贯彻《预算法》等相关法律、法规，进一步增强预算意识，始终坚持先有预算、后有支出，没有预算不得支出的原则。科学合理编制部门预算，推进预算编制科学化、准确化。年度预算编制后，根据实际情况，定期做好预算执行分析，适时掌握预算执行进度，及时找出预算实际执行情况与预算目标之间存在的差距，进一步加快预算执行。加强与业务部门工作对接，做好提前准备工作，资金下达后及时开展项目工作，加快执行进度，充分发挥项目资金效益。</w:t>
      </w:r>
    </w:p>
    <w:p w14:paraId="7C521A9E">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p>
    <w:p w14:paraId="1335B16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960" w:firstLineChars="300"/>
        <w:contextualSpacing/>
        <w:jc w:val="left"/>
        <w:textAlignment w:val="auto"/>
        <w:outlineLvl w:val="9"/>
        <w:rPr>
          <w:rFonts w:hint="eastAsia" w:ascii="Times New Roman" w:hAnsi="Times New Roman" w:eastAsia="仿宋_GB2312" w:cs="Times New Roman"/>
          <w:sz w:val="32"/>
          <w:szCs w:val="32"/>
          <w:u w:val="none"/>
          <w:lang w:val="en" w:eastAsia="zh-CN" w:bidi="ar"/>
        </w:rPr>
      </w:pPr>
    </w:p>
    <w:bookmarkEnd w:id="47"/>
    <w:p w14:paraId="689C0CBD">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04A42B7A">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169673DD">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w:t>
      </w:r>
      <w:r>
        <w:rPr>
          <w:rFonts w:hint="eastAsia" w:ascii="Times New Roman" w:eastAsia="仿宋_GB2312" w:cs="仿宋_GB2312"/>
          <w:b w:val="0"/>
          <w:bCs w:val="0"/>
          <w:kern w:val="0"/>
          <w:position w:val="0"/>
          <w:sz w:val="32"/>
          <w:szCs w:val="32"/>
          <w:highlight w:val="none"/>
          <w:lang w:val="en-US" w:eastAsia="zh-CN" w:bidi="ar-SA"/>
        </w:rPr>
        <w:t>部门需公开部门预算绩效自评报告和部门预算项目支出绩效自评表（2025年度），各下属单位需公开部门预算项目支出绩效自评表（2025年度）。</w:t>
      </w:r>
    </w:p>
    <w:p w14:paraId="6CF7EEC8">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部门预算项目支出绩效自评表（2025年度）</w:t>
      </w:r>
      <w:r>
        <w:rPr>
          <w:rFonts w:hint="eastAsia" w:ascii="Times New Roman" w:eastAsia="仿宋_GB2312" w:cs="仿宋_GB2312"/>
          <w:b w:val="0"/>
          <w:bCs w:val="0"/>
          <w:kern w:val="0"/>
          <w:position w:val="0"/>
          <w:sz w:val="32"/>
          <w:szCs w:val="32"/>
          <w:highlight w:val="none"/>
          <w:lang w:val="en-US" w:eastAsia="zh-CN" w:bidi="ar-SA"/>
        </w:rPr>
        <w:t>为各部门在预算管理一体化系统绩效自评模块上传的表格，</w:t>
      </w:r>
      <w:r>
        <w:rPr>
          <w:rFonts w:hint="eastAsia" w:ascii="Times New Roman" w:hAnsi="Times New Roman" w:eastAsia="仿宋_GB2312" w:cs="仿宋_GB2312"/>
          <w:b w:val="0"/>
          <w:bCs w:val="0"/>
          <w:kern w:val="0"/>
          <w:position w:val="0"/>
          <w:sz w:val="32"/>
          <w:szCs w:val="32"/>
          <w:highlight w:val="none"/>
          <w:lang w:val="en-US" w:eastAsia="zh-CN" w:bidi="ar-SA"/>
        </w:rPr>
        <w:t>该表格应作为附表予以公开）</w:t>
      </w:r>
    </w:p>
    <w:p w14:paraId="3DFD80ED">
      <w:pPr>
        <w:pStyle w:val="8"/>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14:paraId="010B4400">
      <w:pPr>
        <w:pStyle w:val="3"/>
        <w:rPr>
          <w:rFonts w:hint="eastAsia" w:ascii="Times New Roman" w:hAnsi="Times New Roman" w:cs="宋体"/>
          <w:color w:val="FF0000"/>
          <w:kern w:val="0"/>
          <w:sz w:val="32"/>
          <w:szCs w:val="32"/>
          <w:highlight w:val="yellow"/>
          <w:shd w:val="clear" w:color="auto" w:fill="FFFFFF"/>
          <w:lang w:val="zh-CN"/>
        </w:rPr>
      </w:pPr>
    </w:p>
    <w:p w14:paraId="197B100A">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26753BB0">
      <w:pPr>
        <w:pStyle w:val="3"/>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72DC1F7F">
      <w:pPr>
        <w:pStyle w:val="3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48A3EE17">
      <w:pPr>
        <w:spacing w:line="580" w:lineRule="exact"/>
        <w:ind w:firstLine="2640" w:firstLineChars="1100"/>
        <w:rPr>
          <w:rFonts w:hint="eastAsia" w:ascii="仿宋" w:hAnsi="仿宋" w:eastAsia="仿宋" w:cs="仿宋"/>
          <w:color w:val="auto"/>
          <w:sz w:val="32"/>
          <w:szCs w:val="32"/>
          <w:highlight w:val="none"/>
          <w:lang w:val="en-US" w:eastAsia="zh-CN"/>
        </w:rPr>
      </w:pPr>
      <w:bookmarkStart w:id="48" w:name="_Toc15396618"/>
      <w:r>
        <w:rPr>
          <w:rFonts w:hint="eastAsia"/>
          <w:sz w:val="24"/>
          <w:szCs w:val="24"/>
          <w:shd w:val="clear" w:color="auto" w:fill="FFFFFF"/>
          <w:lang w:val="en-US" w:eastAsia="zh-CN"/>
        </w:rPr>
        <w:t xml:space="preserve">  </w:t>
      </w:r>
      <w:r>
        <w:rPr>
          <w:rFonts w:hint="eastAsia" w:ascii="仿宋" w:hAnsi="仿宋" w:eastAsia="仿宋" w:cs="仿宋"/>
          <w:color w:val="auto"/>
          <w:sz w:val="32"/>
          <w:szCs w:val="32"/>
          <w:highlight w:val="none"/>
          <w:lang w:val="en-US" w:eastAsia="zh-CN"/>
        </w:rPr>
        <w:t>红原县</w:t>
      </w:r>
      <w:r>
        <w:rPr>
          <w:rFonts w:hint="eastAsia" w:ascii="仿宋_GB2312" w:hAnsi="仿宋_GB2312" w:eastAsia="仿宋_GB2312" w:cs="仿宋_GB2312"/>
          <w:sz w:val="32"/>
          <w:szCs w:val="32"/>
          <w:lang w:val="en-US" w:eastAsia="zh-CN"/>
        </w:rPr>
        <w:t>江茸</w:t>
      </w:r>
      <w:r>
        <w:rPr>
          <w:rFonts w:hint="eastAsia" w:ascii="仿宋_GB2312" w:hAnsi="仿宋_GB2312" w:eastAsia="仿宋_GB2312" w:cs="仿宋_GB2312"/>
          <w:sz w:val="32"/>
          <w:szCs w:val="32"/>
          <w:lang w:eastAsia="zh-CN"/>
        </w:rPr>
        <w:t>乡</w:t>
      </w:r>
      <w:r>
        <w:rPr>
          <w:rFonts w:hint="eastAsia" w:ascii="仿宋" w:hAnsi="仿宋" w:eastAsia="仿宋" w:cs="仿宋"/>
          <w:color w:val="auto"/>
          <w:sz w:val="32"/>
          <w:szCs w:val="32"/>
          <w:highlight w:val="none"/>
          <w:lang w:val="en-US" w:eastAsia="zh-CN"/>
        </w:rPr>
        <w:t>卫生院</w:t>
      </w:r>
    </w:p>
    <w:p w14:paraId="00E97888">
      <w:pPr>
        <w:pStyle w:val="36"/>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14:paraId="079D6350">
      <w:pPr>
        <w:pStyle w:val="36"/>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zh-CN"/>
        </w:rPr>
      </w:pPr>
      <w:r>
        <w:rPr>
          <w:rFonts w:hint="eastAsia" w:ascii="仿宋" w:hAnsi="仿宋" w:eastAsia="仿宋" w:cs="仿宋"/>
          <w:sz w:val="32"/>
          <w:szCs w:val="32"/>
        </w:rPr>
        <w:t>一、</w:t>
      </w:r>
      <w:r>
        <w:rPr>
          <w:rFonts w:hint="eastAsia" w:ascii="仿宋" w:hAnsi="仿宋" w:eastAsia="仿宋" w:cs="仿宋"/>
          <w:sz w:val="32"/>
          <w:szCs w:val="32"/>
          <w:lang w:val="zh-CN"/>
        </w:rPr>
        <w:t>项目概况</w:t>
      </w:r>
    </w:p>
    <w:p w14:paraId="5C15B53C">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14:paraId="45DD0F1A">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14:paraId="20C8F33D">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14:paraId="4A6D46C9">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14:paraId="0F2D1E25">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14:paraId="0C5CE883">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14:paraId="42ABE6B3">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14:paraId="4E2D523F">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14:paraId="3D156E6D">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14:paraId="621A08A8">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14:paraId="36A77844">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14:paraId="69FF3E8D">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14:paraId="6CD87FD1">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14:paraId="7B0F0F7A">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14:paraId="60082A3B">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（二）资金计划、到位及使用情况（可用表格形式反映）。</w:t>
      </w:r>
    </w:p>
    <w:p w14:paraId="308499E7">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14:paraId="66AFF1DE">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14:paraId="0913E3C1">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14:paraId="320B490B">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14:paraId="71779B0D">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14:paraId="75EC5FD1">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14:paraId="157FB197">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14:paraId="73668A95">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14:paraId="522D24EA">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14:paraId="3E5AF3C5">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14:paraId="016DD30B">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14:paraId="77C73F2C">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14:paraId="15848BBD">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14:paraId="7D933742">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14:paraId="53D96263">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14:paraId="16D63860">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14:paraId="20CA719E">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14:paraId="3DFEF432">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（三）相关建议。</w:t>
      </w:r>
    </w:p>
    <w:p w14:paraId="4D4DE274">
      <w:pPr>
        <w:pStyle w:val="16"/>
        <w:keepNext w:val="0"/>
        <w:keepLines w:val="0"/>
        <w:widowControl/>
        <w:suppressLineNumbers w:val="0"/>
        <w:spacing w:before="0" w:beforeAutospacing="0"/>
        <w:ind w:left="0" w:firstLine="643" w:firstLineChars="200"/>
        <w:jc w:val="left"/>
        <w:rPr>
          <w:rFonts w:hint="eastAsia" w:ascii="仿宋" w:hAnsi="仿宋" w:eastAsia="仿宋" w:cs="仿宋"/>
          <w:sz w:val="32"/>
          <w:szCs w:val="32"/>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14:paraId="6224A2D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6742C470">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30"/>
          <w:rFonts w:hint="eastAsia" w:ascii="Times New Roman" w:hAnsi="Times New Roman" w:eastAsia="黑体"/>
          <w:b w:val="0"/>
          <w:color w:val="auto"/>
          <w:highlight w:val="none"/>
        </w:rPr>
        <w:t>五部分 附表</w:t>
      </w:r>
      <w:bookmarkEnd w:id="46"/>
      <w:bookmarkEnd w:id="48"/>
      <w:bookmarkStart w:id="49" w:name="_Toc15396619"/>
    </w:p>
    <w:p w14:paraId="01716E67">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32880ADD">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9"/>
    </w:p>
    <w:p w14:paraId="2A8B26C5">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0"/>
      <w:r>
        <w:rPr>
          <w:rFonts w:hint="eastAsia" w:ascii="Times New Roman" w:hAnsi="Times New Roman" w:eastAsia="仿宋_GB2312" w:cs="仿宋_GB2312"/>
          <w:color w:val="auto"/>
          <w:sz w:val="32"/>
          <w:szCs w:val="32"/>
          <w:highlight w:val="none"/>
        </w:rPr>
        <w:t>二、收入决算表</w:t>
      </w:r>
      <w:bookmarkEnd w:id="50"/>
    </w:p>
    <w:p w14:paraId="57A31826">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1"/>
      <w:r>
        <w:rPr>
          <w:rFonts w:hint="eastAsia" w:ascii="Times New Roman" w:hAnsi="Times New Roman" w:eastAsia="仿宋_GB2312" w:cs="仿宋_GB2312"/>
          <w:color w:val="auto"/>
          <w:sz w:val="32"/>
          <w:szCs w:val="32"/>
          <w:highlight w:val="none"/>
        </w:rPr>
        <w:t>三、支出决算表</w:t>
      </w:r>
      <w:bookmarkEnd w:id="51"/>
    </w:p>
    <w:p w14:paraId="72CDBCBC">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2"/>
      <w:r>
        <w:rPr>
          <w:rFonts w:hint="eastAsia" w:ascii="Times New Roman" w:hAnsi="Times New Roman" w:eastAsia="仿宋_GB2312" w:cs="仿宋_GB2312"/>
          <w:color w:val="auto"/>
          <w:sz w:val="32"/>
          <w:szCs w:val="32"/>
          <w:highlight w:val="none"/>
        </w:rPr>
        <w:t>四、财政拨款收入支出决算总表</w:t>
      </w:r>
      <w:bookmarkEnd w:id="52"/>
    </w:p>
    <w:p w14:paraId="419066BB">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3"/>
      <w:r>
        <w:rPr>
          <w:rFonts w:hint="eastAsia" w:ascii="Times New Roman" w:hAnsi="Times New Roman" w:eastAsia="仿宋_GB2312" w:cs="仿宋_GB2312"/>
          <w:color w:val="auto"/>
          <w:sz w:val="32"/>
          <w:szCs w:val="32"/>
          <w:highlight w:val="none"/>
        </w:rPr>
        <w:t>五、财政拨款支出决算明细表</w:t>
      </w:r>
      <w:bookmarkEnd w:id="53"/>
      <w:bookmarkStart w:id="54" w:name="_Toc15396624"/>
    </w:p>
    <w:p w14:paraId="02123927">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4"/>
    </w:p>
    <w:p w14:paraId="4CDB5E15">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5"/>
      <w:r>
        <w:rPr>
          <w:rFonts w:hint="eastAsia" w:ascii="Times New Roman" w:hAnsi="Times New Roman" w:eastAsia="仿宋_GB2312" w:cs="仿宋_GB2312"/>
          <w:color w:val="auto"/>
          <w:sz w:val="32"/>
          <w:szCs w:val="32"/>
          <w:highlight w:val="none"/>
        </w:rPr>
        <w:t>七、一般公共预算财政拨款支出决算明细表</w:t>
      </w:r>
      <w:bookmarkEnd w:id="55"/>
    </w:p>
    <w:p w14:paraId="4CAA45DA">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6"/>
      <w:r>
        <w:rPr>
          <w:rFonts w:hint="eastAsia" w:ascii="Times New Roman" w:hAnsi="Times New Roman" w:eastAsia="仿宋_GB2312" w:cs="仿宋_GB2312"/>
          <w:color w:val="auto"/>
          <w:sz w:val="32"/>
          <w:szCs w:val="32"/>
          <w:highlight w:val="none"/>
        </w:rPr>
        <w:t>八、一般公共预算财政拨款基本支出决算表</w:t>
      </w:r>
      <w:bookmarkEnd w:id="56"/>
    </w:p>
    <w:p w14:paraId="707F74D8">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7"/>
      <w:r>
        <w:rPr>
          <w:rFonts w:hint="eastAsia" w:ascii="Times New Roman" w:hAnsi="Times New Roman" w:eastAsia="仿宋_GB2312" w:cs="仿宋_GB2312"/>
          <w:color w:val="auto"/>
          <w:sz w:val="32"/>
          <w:szCs w:val="32"/>
          <w:highlight w:val="none"/>
        </w:rPr>
        <w:t>九、一般公共预算财政拨款项目支出决算表</w:t>
      </w:r>
      <w:bookmarkEnd w:id="57"/>
    </w:p>
    <w:p w14:paraId="1D57DBFA">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8"/>
      <w:r>
        <w:rPr>
          <w:rFonts w:hint="eastAsia" w:ascii="Times New Roman" w:hAnsi="Times New Roman" w:eastAsia="仿宋_GB2312" w:cs="仿宋_GB2312"/>
          <w:color w:val="auto"/>
          <w:sz w:val="32"/>
          <w:szCs w:val="32"/>
          <w:highlight w:val="none"/>
        </w:rPr>
        <w:t>十、</w:t>
      </w:r>
      <w:bookmarkEnd w:id="58"/>
      <w:r>
        <w:rPr>
          <w:rFonts w:hint="eastAsia" w:ascii="Times New Roman" w:hAnsi="Times New Roman" w:eastAsia="仿宋_GB2312" w:cs="仿宋_GB2312"/>
          <w:color w:val="auto"/>
          <w:sz w:val="32"/>
          <w:szCs w:val="32"/>
          <w:highlight w:val="none"/>
        </w:rPr>
        <w:t>政府性基金预算财政拨款收入支出决算表</w:t>
      </w:r>
    </w:p>
    <w:p w14:paraId="5F79B84D">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9"/>
      <w:r>
        <w:rPr>
          <w:rFonts w:hint="eastAsia" w:ascii="Times New Roman" w:hAnsi="Times New Roman" w:eastAsia="仿宋_GB2312" w:cs="仿宋_GB2312"/>
          <w:color w:val="auto"/>
          <w:sz w:val="32"/>
          <w:szCs w:val="32"/>
          <w:highlight w:val="none"/>
        </w:rPr>
        <w:t>十一、</w:t>
      </w:r>
      <w:bookmarkEnd w:id="5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5E4AAE80">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30"/>
      <w:r>
        <w:rPr>
          <w:rFonts w:hint="eastAsia" w:ascii="Times New Roman" w:hAnsi="Times New Roman" w:eastAsia="仿宋_GB2312" w:cs="仿宋_GB2312"/>
          <w:color w:val="auto"/>
          <w:sz w:val="32"/>
          <w:szCs w:val="32"/>
          <w:highlight w:val="none"/>
        </w:rPr>
        <w:t>十二、</w:t>
      </w:r>
      <w:bookmarkEnd w:id="60"/>
      <w:r>
        <w:rPr>
          <w:rFonts w:hint="eastAsia" w:ascii="Times New Roman" w:hAnsi="Times New Roman" w:eastAsia="仿宋_GB2312" w:cs="仿宋_GB2312"/>
          <w:color w:val="auto"/>
          <w:sz w:val="32"/>
          <w:szCs w:val="32"/>
          <w:highlight w:val="none"/>
          <w:lang w:eastAsia="zh-CN"/>
        </w:rPr>
        <w:t>国有资本经营预算财政拨款支出决算表</w:t>
      </w:r>
    </w:p>
    <w:p w14:paraId="6B2B27CE">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1" w:name="_Toc15396631"/>
      <w:r>
        <w:rPr>
          <w:rFonts w:hint="eastAsia" w:ascii="Times New Roman" w:hAnsi="Times New Roman" w:eastAsia="仿宋_GB2312" w:cs="仿宋_GB2312"/>
          <w:color w:val="auto"/>
          <w:sz w:val="32"/>
          <w:szCs w:val="32"/>
          <w:highlight w:val="none"/>
        </w:rPr>
        <w:t>十三、</w:t>
      </w:r>
      <w:bookmarkEnd w:id="61"/>
      <w:r>
        <w:rPr>
          <w:rFonts w:hint="eastAsia" w:ascii="Times New Roman" w:hAnsi="Times New Roman" w:eastAsia="仿宋_GB2312" w:cs="仿宋_GB2312"/>
          <w:color w:val="auto"/>
          <w:sz w:val="32"/>
          <w:szCs w:val="32"/>
          <w:highlight w:val="none"/>
          <w:lang w:eastAsia="zh-CN"/>
        </w:rPr>
        <w:t>财政拨款“三公”经费支出决算表</w:t>
      </w:r>
    </w:p>
    <w:p w14:paraId="7D6E6A7B">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E2B8C">
    <w:pPr>
      <w:pStyle w:val="11"/>
      <w:jc w:val="center"/>
    </w:pPr>
  </w:p>
  <w:p w14:paraId="5D323515">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28360">
    <w:pPr>
      <w:pStyle w:val="11"/>
      <w:jc w:val="center"/>
    </w:pPr>
  </w:p>
  <w:p w14:paraId="28F4511D">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195C">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730DF2">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6730DF2">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3145F">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812BC9"/>
    <w:multiLevelType w:val="singleLevel"/>
    <w:tmpl w:val="AE812BC9"/>
    <w:lvl w:ilvl="0" w:tentative="0">
      <w:start w:val="2"/>
      <w:numFmt w:val="chineseCounting"/>
      <w:suff w:val="nothing"/>
      <w:lvlText w:val="（%1）"/>
      <w:lvlJc w:val="left"/>
      <w:rPr>
        <w:rFonts w:hint="eastAsia"/>
      </w:rPr>
    </w:lvl>
  </w:abstractNum>
  <w:abstractNum w:abstractNumId="1">
    <w:nsid w:val="068EC286"/>
    <w:multiLevelType w:val="singleLevel"/>
    <w:tmpl w:val="068EC286"/>
    <w:lvl w:ilvl="0" w:tentative="0">
      <w:start w:val="1"/>
      <w:numFmt w:val="decimal"/>
      <w:lvlText w:val="%1."/>
      <w:lvlJc w:val="left"/>
      <w:pPr>
        <w:tabs>
          <w:tab w:val="left" w:pos="312"/>
        </w:tabs>
      </w:pPr>
    </w:lvl>
  </w:abstractNum>
  <w:abstractNum w:abstractNumId="2">
    <w:nsid w:val="06FDD04C"/>
    <w:multiLevelType w:val="singleLevel"/>
    <w:tmpl w:val="06FDD04C"/>
    <w:lvl w:ilvl="0" w:tentative="0">
      <w:start w:val="2"/>
      <w:numFmt w:val="chineseCounting"/>
      <w:suff w:val="nothing"/>
      <w:lvlText w:val="（%1）"/>
      <w:lvlJc w:val="left"/>
      <w:rPr>
        <w:rFonts w:hint="eastAsia"/>
      </w:rPr>
    </w:lvl>
  </w:abstractNum>
  <w:abstractNum w:abstractNumId="3">
    <w:nsid w:val="45C2F0F7"/>
    <w:multiLevelType w:val="singleLevel"/>
    <w:tmpl w:val="45C2F0F7"/>
    <w:lvl w:ilvl="0" w:tentative="0">
      <w:start w:val="1"/>
      <w:numFmt w:val="chineseCounting"/>
      <w:suff w:val="nothing"/>
      <w:lvlText w:val="%1、"/>
      <w:lvlJc w:val="left"/>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61E35DE"/>
    <w:rsid w:val="065733D4"/>
    <w:rsid w:val="066E0107"/>
    <w:rsid w:val="07996F6E"/>
    <w:rsid w:val="07DFD8BA"/>
    <w:rsid w:val="08DB07E4"/>
    <w:rsid w:val="09867E8F"/>
    <w:rsid w:val="0A2032A3"/>
    <w:rsid w:val="0C6C4794"/>
    <w:rsid w:val="0CA8290A"/>
    <w:rsid w:val="0D35B1ED"/>
    <w:rsid w:val="0DE07E2B"/>
    <w:rsid w:val="0F98263C"/>
    <w:rsid w:val="101860EC"/>
    <w:rsid w:val="10C055FF"/>
    <w:rsid w:val="11772AA4"/>
    <w:rsid w:val="118107EC"/>
    <w:rsid w:val="12B66520"/>
    <w:rsid w:val="13957196"/>
    <w:rsid w:val="13D50BC4"/>
    <w:rsid w:val="14022904"/>
    <w:rsid w:val="146362F1"/>
    <w:rsid w:val="148F7029"/>
    <w:rsid w:val="14DE726E"/>
    <w:rsid w:val="15284D87"/>
    <w:rsid w:val="152F2A07"/>
    <w:rsid w:val="165E0673"/>
    <w:rsid w:val="16BB723D"/>
    <w:rsid w:val="16F13FCB"/>
    <w:rsid w:val="186504BB"/>
    <w:rsid w:val="1938089F"/>
    <w:rsid w:val="19A445FC"/>
    <w:rsid w:val="1A133F6C"/>
    <w:rsid w:val="1B684130"/>
    <w:rsid w:val="1B7D550C"/>
    <w:rsid w:val="1BE8440E"/>
    <w:rsid w:val="1D155CEE"/>
    <w:rsid w:val="1DE178F3"/>
    <w:rsid w:val="1E41772A"/>
    <w:rsid w:val="1E740ACF"/>
    <w:rsid w:val="1FF35744"/>
    <w:rsid w:val="1FF6BC77"/>
    <w:rsid w:val="21827DE7"/>
    <w:rsid w:val="21962A9E"/>
    <w:rsid w:val="21AE7C77"/>
    <w:rsid w:val="22BC3C41"/>
    <w:rsid w:val="22BF0DEA"/>
    <w:rsid w:val="23860B96"/>
    <w:rsid w:val="240371BF"/>
    <w:rsid w:val="24F633AC"/>
    <w:rsid w:val="260F557C"/>
    <w:rsid w:val="273540E7"/>
    <w:rsid w:val="281408E2"/>
    <w:rsid w:val="29FD04D3"/>
    <w:rsid w:val="2BFF7BC6"/>
    <w:rsid w:val="2C8A61B5"/>
    <w:rsid w:val="2D2E01CF"/>
    <w:rsid w:val="2DF04E50"/>
    <w:rsid w:val="2E9545B0"/>
    <w:rsid w:val="2F040D46"/>
    <w:rsid w:val="2FAE5751"/>
    <w:rsid w:val="2FB1A395"/>
    <w:rsid w:val="2FD9A7D8"/>
    <w:rsid w:val="319F7F4E"/>
    <w:rsid w:val="321B2544"/>
    <w:rsid w:val="3304709D"/>
    <w:rsid w:val="34281836"/>
    <w:rsid w:val="349D6851"/>
    <w:rsid w:val="35AC794F"/>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86A6C7A"/>
    <w:rsid w:val="49176D9B"/>
    <w:rsid w:val="494006BD"/>
    <w:rsid w:val="4A572534"/>
    <w:rsid w:val="4A627F82"/>
    <w:rsid w:val="4B0E749A"/>
    <w:rsid w:val="4B4F25DA"/>
    <w:rsid w:val="4BDA0CFB"/>
    <w:rsid w:val="4BE068DB"/>
    <w:rsid w:val="4CB04F9D"/>
    <w:rsid w:val="4D3C0CCC"/>
    <w:rsid w:val="4D577224"/>
    <w:rsid w:val="4DBF1CEB"/>
    <w:rsid w:val="4EAB630A"/>
    <w:rsid w:val="4ECE2238"/>
    <w:rsid w:val="4F833267"/>
    <w:rsid w:val="4FE9BD67"/>
    <w:rsid w:val="4FFB052F"/>
    <w:rsid w:val="53083A92"/>
    <w:rsid w:val="537E6D0A"/>
    <w:rsid w:val="53AF27A2"/>
    <w:rsid w:val="53F74C96"/>
    <w:rsid w:val="55A537B1"/>
    <w:rsid w:val="55A91D97"/>
    <w:rsid w:val="56E47B74"/>
    <w:rsid w:val="57BD3DD4"/>
    <w:rsid w:val="5AF92295"/>
    <w:rsid w:val="5B735230"/>
    <w:rsid w:val="5BDD79E6"/>
    <w:rsid w:val="5BDE77D0"/>
    <w:rsid w:val="5BF561CA"/>
    <w:rsid w:val="5BFF5DFC"/>
    <w:rsid w:val="5CD71FC4"/>
    <w:rsid w:val="5D1F11B5"/>
    <w:rsid w:val="5DAE1B18"/>
    <w:rsid w:val="5DE7D9E5"/>
    <w:rsid w:val="5ECEC941"/>
    <w:rsid w:val="5F493CB7"/>
    <w:rsid w:val="5FBF9FF3"/>
    <w:rsid w:val="5FCD4E2C"/>
    <w:rsid w:val="5FD15F49"/>
    <w:rsid w:val="5FEF394A"/>
    <w:rsid w:val="5FF67715"/>
    <w:rsid w:val="604911DA"/>
    <w:rsid w:val="62BF3928"/>
    <w:rsid w:val="647F5392"/>
    <w:rsid w:val="64BA34CC"/>
    <w:rsid w:val="64D87CB3"/>
    <w:rsid w:val="65CC4419"/>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1B74D4A"/>
    <w:rsid w:val="72233669"/>
    <w:rsid w:val="72734D90"/>
    <w:rsid w:val="7332FE48"/>
    <w:rsid w:val="73AB61DA"/>
    <w:rsid w:val="73AD73D5"/>
    <w:rsid w:val="73B6EB34"/>
    <w:rsid w:val="73BE3A62"/>
    <w:rsid w:val="73FA497D"/>
    <w:rsid w:val="744731E5"/>
    <w:rsid w:val="74527205"/>
    <w:rsid w:val="74BBD01D"/>
    <w:rsid w:val="74ED5379"/>
    <w:rsid w:val="74FC2395"/>
    <w:rsid w:val="75DEEEC2"/>
    <w:rsid w:val="76E3355F"/>
    <w:rsid w:val="76FF5125"/>
    <w:rsid w:val="776F6FFA"/>
    <w:rsid w:val="778769C8"/>
    <w:rsid w:val="77DC22F5"/>
    <w:rsid w:val="78F8498F"/>
    <w:rsid w:val="79086DAD"/>
    <w:rsid w:val="79974F09"/>
    <w:rsid w:val="79D7FD79"/>
    <w:rsid w:val="79EE5BA4"/>
    <w:rsid w:val="7A894339"/>
    <w:rsid w:val="7AFF7572"/>
    <w:rsid w:val="7B6C7DFB"/>
    <w:rsid w:val="7BBFBED0"/>
    <w:rsid w:val="7BC3E394"/>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tabs>
        <w:tab w:val="left" w:pos="2160"/>
      </w:tabs>
      <w:ind w:firstLineChars="100"/>
    </w:pPr>
  </w:style>
  <w:style w:type="paragraph" w:styleId="3">
    <w:name w:val="Body Text"/>
    <w:basedOn w:val="1"/>
    <w:next w:val="1"/>
    <w:link w:val="27"/>
    <w:qFormat/>
    <w:uiPriority w:val="99"/>
    <w:pPr>
      <w:spacing w:beforeLines="30"/>
    </w:pPr>
    <w:rPr>
      <w:rFonts w:ascii="仿宋_GB2312" w:eastAsia="仿宋_GB2312"/>
      <w:kern w:val="0"/>
      <w:sz w:val="30"/>
    </w:rPr>
  </w:style>
  <w:style w:type="paragraph" w:styleId="7">
    <w:name w:val="Body Text Indent"/>
    <w:basedOn w:val="1"/>
    <w:next w:val="8"/>
    <w:qFormat/>
    <w:uiPriority w:val="0"/>
    <w:pPr>
      <w:spacing w:after="120"/>
      <w:ind w:leftChars="200"/>
    </w:pPr>
    <w:rPr>
      <w:rFonts w:ascii="仿宋_GB2312"/>
      <w:szCs w:val="32"/>
    </w:rPr>
  </w:style>
  <w:style w:type="paragraph" w:styleId="8">
    <w:name w:val="Body Text First Indent 2"/>
    <w:basedOn w:val="7"/>
    <w:unhideWhenUsed/>
    <w:qFormat/>
    <w:uiPriority w:val="99"/>
    <w:pPr>
      <w:ind w:firstLine="420" w:firstLineChars="200"/>
    </w:p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3"/>
    <w:semiHidden/>
    <w:unhideWhenUsed/>
    <w:qFormat/>
    <w:uiPriority w:val="99"/>
    <w:rPr>
      <w:sz w:val="18"/>
      <w:szCs w:val="18"/>
    </w:rPr>
  </w:style>
  <w:style w:type="paragraph" w:styleId="11">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footnote text"/>
    <w:basedOn w:val="1"/>
    <w:next w:val="8"/>
    <w:semiHidden/>
    <w:qFormat/>
    <w:uiPriority w:val="0"/>
    <w:pPr>
      <w:snapToGrid w:val="0"/>
      <w:jc w:val="left"/>
    </w:pPr>
    <w:rPr>
      <w:sz w:val="18"/>
      <w:szCs w:val="18"/>
    </w:rPr>
  </w:style>
  <w:style w:type="paragraph" w:styleId="15">
    <w:name w:val="toc 2"/>
    <w:basedOn w:val="1"/>
    <w:next w:val="1"/>
    <w:unhideWhenUsed/>
    <w:qFormat/>
    <w:uiPriority w:val="39"/>
    <w:pPr>
      <w:tabs>
        <w:tab w:val="right" w:leader="dot" w:pos="8296"/>
      </w:tabs>
      <w:ind w:left="420" w:leftChars="200"/>
    </w:pPr>
  </w:style>
  <w:style w:type="paragraph" w:styleId="16">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9">
    <w:name w:val="Strong"/>
    <w:basedOn w:val="18"/>
    <w:qFormat/>
    <w:uiPriority w:val="99"/>
    <w:rPr>
      <w:b/>
    </w:rPr>
  </w:style>
  <w:style w:type="character" w:styleId="20">
    <w:name w:val="Hyperlink"/>
    <w:basedOn w:val="18"/>
    <w:unhideWhenUsed/>
    <w:qFormat/>
    <w:uiPriority w:val="99"/>
    <w:rPr>
      <w:color w:val="0000FF" w:themeColor="hyperlink"/>
      <w:u w:val="single"/>
      <w14:textFill>
        <w14:solidFill>
          <w14:schemeClr w14:val="hlink"/>
        </w14:solidFill>
      </w14:textFill>
    </w:rPr>
  </w:style>
  <w:style w:type="paragraph" w:customStyle="1" w:styleId="21">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2">
    <w:name w:val="Header Char"/>
    <w:basedOn w:val="18"/>
    <w:semiHidden/>
    <w:qFormat/>
    <w:uiPriority w:val="99"/>
    <w:rPr>
      <w:rFonts w:ascii="Times New Roman" w:hAnsi="Times New Roman"/>
      <w:sz w:val="18"/>
      <w:szCs w:val="18"/>
    </w:rPr>
  </w:style>
  <w:style w:type="character" w:customStyle="1" w:styleId="23">
    <w:name w:val="页眉 Char"/>
    <w:link w:val="12"/>
    <w:semiHidden/>
    <w:qFormat/>
    <w:locked/>
    <w:uiPriority w:val="99"/>
    <w:rPr>
      <w:sz w:val="18"/>
    </w:rPr>
  </w:style>
  <w:style w:type="character" w:customStyle="1" w:styleId="24">
    <w:name w:val="Footer Char"/>
    <w:basedOn w:val="18"/>
    <w:semiHidden/>
    <w:qFormat/>
    <w:uiPriority w:val="99"/>
    <w:rPr>
      <w:rFonts w:ascii="Times New Roman" w:hAnsi="Times New Roman"/>
      <w:sz w:val="18"/>
      <w:szCs w:val="18"/>
    </w:rPr>
  </w:style>
  <w:style w:type="character" w:customStyle="1" w:styleId="25">
    <w:name w:val="页脚 Char"/>
    <w:link w:val="11"/>
    <w:qFormat/>
    <w:locked/>
    <w:uiPriority w:val="99"/>
    <w:rPr>
      <w:sz w:val="18"/>
    </w:rPr>
  </w:style>
  <w:style w:type="character" w:customStyle="1" w:styleId="26">
    <w:name w:val="Body Text Char"/>
    <w:basedOn w:val="18"/>
    <w:semiHidden/>
    <w:qFormat/>
    <w:uiPriority w:val="99"/>
    <w:rPr>
      <w:rFonts w:ascii="Times New Roman" w:hAnsi="Times New Roman"/>
      <w:szCs w:val="24"/>
    </w:rPr>
  </w:style>
  <w:style w:type="character" w:customStyle="1" w:styleId="27">
    <w:name w:val="正文文本 Char"/>
    <w:link w:val="3"/>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Char"/>
    <w:basedOn w:val="18"/>
    <w:link w:val="4"/>
    <w:qFormat/>
    <w:uiPriority w:val="9"/>
    <w:rPr>
      <w:rFonts w:ascii="Times New Roman" w:hAnsi="Times New Roman"/>
      <w:b/>
      <w:bCs/>
      <w:kern w:val="44"/>
      <w:sz w:val="44"/>
      <w:szCs w:val="44"/>
    </w:rPr>
  </w:style>
  <w:style w:type="character" w:customStyle="1" w:styleId="31">
    <w:name w:val="标题 2 Char"/>
    <w:basedOn w:val="18"/>
    <w:link w:val="5"/>
    <w:qFormat/>
    <w:uiPriority w:val="9"/>
    <w:rPr>
      <w:rFonts w:asciiTheme="majorHAnsi" w:hAnsiTheme="majorHAnsi" w:eastAsiaTheme="majorEastAsia" w:cstheme="majorBidi"/>
      <w:b/>
      <w:bCs/>
      <w:kern w:val="2"/>
      <w:sz w:val="32"/>
      <w:szCs w:val="32"/>
    </w:rPr>
  </w:style>
  <w:style w:type="paragraph" w:customStyle="1" w:styleId="32">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Char"/>
    <w:basedOn w:val="18"/>
    <w:link w:val="10"/>
    <w:semiHidden/>
    <w:qFormat/>
    <w:uiPriority w:val="99"/>
    <w:rPr>
      <w:rFonts w:ascii="Times New Roman" w:hAnsi="Times New Roman"/>
      <w:kern w:val="2"/>
      <w:sz w:val="18"/>
      <w:szCs w:val="18"/>
    </w:rPr>
  </w:style>
  <w:style w:type="character" w:customStyle="1" w:styleId="34">
    <w:name w:val="标题 3 Char"/>
    <w:basedOn w:val="18"/>
    <w:link w:val="6"/>
    <w:qFormat/>
    <w:uiPriority w:val="9"/>
    <w:rPr>
      <w:rFonts w:ascii="Times New Roman" w:hAnsi="Times New Roman"/>
      <w:b/>
      <w:bCs/>
      <w:kern w:val="2"/>
      <w:sz w:val="32"/>
      <w:szCs w:val="32"/>
    </w:rPr>
  </w:style>
  <w:style w:type="paragraph" w:customStyle="1" w:styleId="35">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24年收入</c:v>
                </c:pt>
                <c:pt idx="1">
                  <c:v>25年收入</c:v>
                </c:pt>
              </c:strCache>
            </c:strRef>
          </c:cat>
          <c:val>
            <c:numRef>
              <c:f>Sheet1!$B$2:$B$3</c:f>
              <c:numCache>
                <c:formatCode>General</c:formatCode>
                <c:ptCount val="2"/>
                <c:pt idx="0">
                  <c:v>203.87</c:v>
                </c:pt>
                <c:pt idx="1">
                  <c:v>235</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1b2513c-d5aa-4d46-a584-6c7ee3c23d4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2025年本年收入结构图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财政拨款收入</c:v>
                </c:pt>
                <c:pt idx="1">
                  <c:v>事业收入</c:v>
                </c:pt>
              </c:strCache>
            </c:strRef>
          </c:cat>
          <c:val>
            <c:numRef>
              <c:f>Sheet1!$B$2:$B$3</c:f>
              <c:numCache>
                <c:formatCode>General</c:formatCode>
                <c:ptCount val="2"/>
                <c:pt idx="0">
                  <c:v>201.96</c:v>
                </c:pt>
                <c:pt idx="1">
                  <c:v>13.47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301269c-90dc-4cb7-80ec-b9e6f1785b9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2025年本年支出结构图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191.96</c:v>
                </c:pt>
                <c:pt idx="1">
                  <c:v>43.05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28ebcd1-aca0-4f62-9e74-cfef8af7b57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416681486750845"/>
          <c:y val="0.40690310322989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25年财政收入</c:v>
                </c:pt>
                <c:pt idx="1">
                  <c:v>24年财政收入</c:v>
                </c:pt>
              </c:strCache>
            </c:strRef>
          </c:cat>
          <c:val>
            <c:numRef>
              <c:f>Sheet1!$B$2:$B$4</c:f>
              <c:numCache>
                <c:formatCode>General</c:formatCode>
                <c:ptCount val="3"/>
                <c:pt idx="0">
                  <c:v>201.96</c:v>
                </c:pt>
                <c:pt idx="1">
                  <c:v>203.87</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plotVisOnly val="1"/>
    <c:dispBlanksAs val="gap"/>
    <c:showDLblsOverMax val="0"/>
    <c:extLst>
      <c:ext uri="{0b15fc19-7d7d-44ad-8c2d-2c3a37ce22c3}">
        <chartProps xmlns="https://web.wps.cn/et/2018/main" chartId="{622fe4d8-af49-4036-b783-a1315952e5c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163758467763102"/>
          <c:y val="0.00898203592814371"/>
        </c:manualLayout>
      </c:layout>
      <c:overlay val="0"/>
      <c:spPr>
        <a:noFill/>
        <a:ln>
          <a:noFill/>
        </a:ln>
        <a:effectLst/>
      </c:spPr>
    </c:title>
    <c:autoTitleDeleted val="0"/>
    <c:plotArea>
      <c:layout>
        <c:manualLayout>
          <c:layoutTarget val="inner"/>
          <c:xMode val="edge"/>
          <c:yMode val="edge"/>
          <c:x val="0.0646466323102647"/>
          <c:y val="0.3862275449101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24年财政支出</c:v>
                </c:pt>
                <c:pt idx="1">
                  <c:v>25年财政支出</c:v>
                </c:pt>
              </c:strCache>
            </c:strRef>
          </c:cat>
          <c:val>
            <c:numRef>
              <c:f>Sheet1!$B$2:$B$3</c:f>
              <c:numCache>
                <c:formatCode>General</c:formatCode>
                <c:ptCount val="2"/>
                <c:pt idx="0">
                  <c:v>203.87</c:v>
                </c:pt>
                <c:pt idx="1">
                  <c:v>201.96</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manualLayout>
          <c:xMode val="edge"/>
          <c:yMode val="edge"/>
          <c:x val="0.344692005242464"/>
          <c:y val="0.20658682634730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bb97baa-1d81-4bb3-86cf-9c1c94cb6fd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212926388811133"/>
          <c:y val="0.0611432706222865"/>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24.74</c:v>
                </c:pt>
                <c:pt idx="1">
                  <c:v>162.64</c:v>
                </c:pt>
                <c:pt idx="2">
                  <c:v>14.58</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5dd7d5f-a36b-4ee5-981e-da1d8f106c4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26</Pages>
  <Words>4657</Words>
  <Characters>5115</Characters>
  <Lines>61</Lines>
  <Paragraphs>17</Paragraphs>
  <TotalTime>1</TotalTime>
  <ScaleCrop>false</ScaleCrop>
  <LinksUpToDate>false</LinksUpToDate>
  <CharactersWithSpaces>5135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2026-10-20T02:31:19Z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08358322D8B749DCA4C9308B4F4ECD50_13</vt:lpwstr>
  </property>
  <property fmtid="{D5CDD505-2E9C-101B-9397-08002B2CF9AE}" pid="4" name="KSOTemplateDocerSaveRecord">
    <vt:lpwstr>eyJoZGlkIjoiNDNkMDU4ZTk0OTE4ZTI4YzBiNTQ0YzBiNjMxM2RlMjgifQ==</vt:lpwstr>
  </property>
</Properties>
</file>