
<file path=[Content_Types].xml><?xml version="1.0" encoding="utf-8"?>
<Types xmlns="http://schemas.openxmlformats.org/package/2006/content-types">
  <Default Extension="xml" ContentType="application/xml"/>
  <Default Extension="xlsx" ContentType="application/vnd.openxmlformats-officedocument.spreadsheetml.sheet"/>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CA575">
      <w:pPr>
        <w:keepNext w:val="0"/>
        <w:keepLines w:val="0"/>
        <w:pageBreakBefore w:val="0"/>
        <w:widowControl w:val="0"/>
        <w:kinsoku/>
        <w:wordWrap w:val="0"/>
        <w:overflowPunct/>
        <w:topLinePunct w:val="0"/>
        <w:autoSpaceDE/>
        <w:autoSpaceDN/>
        <w:bidi w:val="0"/>
        <w:adjustRightInd w:val="0"/>
        <w:snapToGrid w:val="0"/>
        <w:spacing w:line="360" w:lineRule="auto"/>
        <w:jc w:val="center"/>
        <w:outlineLvl w:val="0"/>
        <w:rPr>
          <w:rFonts w:hint="eastAsia" w:asciiTheme="minorEastAsia" w:hAnsiTheme="minorEastAsia" w:eastAsiaTheme="minorEastAsia" w:cstheme="minorEastAsia"/>
          <w:color w:val="000000" w:themeColor="text1"/>
          <w:sz w:val="44"/>
          <w:szCs w:val="44"/>
          <w:lang w:eastAsia="zh-CN"/>
          <w14:textFill>
            <w14:solidFill>
              <w14:schemeClr w14:val="tx1"/>
            </w14:solidFill>
          </w14:textFill>
        </w:rPr>
      </w:pPr>
      <w:bookmarkStart w:id="0" w:name="_Toc3375"/>
    </w:p>
    <w:p w14:paraId="6E6FD53E">
      <w:pPr>
        <w:keepNext w:val="0"/>
        <w:keepLines w:val="0"/>
        <w:pageBreakBefore w:val="0"/>
        <w:widowControl w:val="0"/>
        <w:kinsoku/>
        <w:wordWrap w:val="0"/>
        <w:overflowPunct/>
        <w:topLinePunct w:val="0"/>
        <w:autoSpaceDE/>
        <w:autoSpaceDN/>
        <w:bidi w:val="0"/>
        <w:adjustRightInd w:val="0"/>
        <w:snapToGrid w:val="0"/>
        <w:spacing w:line="360" w:lineRule="auto"/>
        <w:jc w:val="center"/>
        <w:outlineLvl w:val="0"/>
        <w:rPr>
          <w:rFonts w:hint="eastAsia" w:asciiTheme="minorEastAsia" w:hAnsiTheme="minorEastAsia" w:eastAsiaTheme="minorEastAsia" w:cstheme="minorEastAsia"/>
          <w:color w:val="000000" w:themeColor="text1"/>
          <w:sz w:val="44"/>
          <w:szCs w:val="44"/>
          <w:lang w:eastAsia="zh-CN"/>
          <w14:textFill>
            <w14:solidFill>
              <w14:schemeClr w14:val="tx1"/>
            </w14:solidFill>
          </w14:textFill>
        </w:rPr>
      </w:pPr>
    </w:p>
    <w:p w14:paraId="0DC7246C">
      <w:pPr>
        <w:keepNext w:val="0"/>
        <w:keepLines w:val="0"/>
        <w:pageBreakBefore w:val="0"/>
        <w:widowControl w:val="0"/>
        <w:kinsoku/>
        <w:wordWrap w:val="0"/>
        <w:overflowPunct/>
        <w:topLinePunct w:val="0"/>
        <w:autoSpaceDE/>
        <w:autoSpaceDN/>
        <w:bidi w:val="0"/>
        <w:adjustRightInd w:val="0"/>
        <w:snapToGrid w:val="0"/>
        <w:spacing w:line="360" w:lineRule="auto"/>
        <w:jc w:val="center"/>
        <w:outlineLvl w:val="0"/>
        <w:rPr>
          <w:rFonts w:hint="eastAsia" w:asciiTheme="minorEastAsia" w:hAnsiTheme="minorEastAsia" w:eastAsiaTheme="minorEastAsia" w:cstheme="minorEastAsia"/>
          <w:color w:val="000000" w:themeColor="text1"/>
          <w:sz w:val="44"/>
          <w:szCs w:val="44"/>
          <w:lang w:eastAsia="zh-CN"/>
          <w14:textFill>
            <w14:solidFill>
              <w14:schemeClr w14:val="tx1"/>
            </w14:solidFill>
          </w14:textFill>
        </w:rPr>
      </w:pPr>
    </w:p>
    <w:p w14:paraId="37324FC8">
      <w:pPr>
        <w:keepNext w:val="0"/>
        <w:keepLines w:val="0"/>
        <w:pageBreakBefore w:val="0"/>
        <w:widowControl w:val="0"/>
        <w:kinsoku/>
        <w:wordWrap w:val="0"/>
        <w:overflowPunct/>
        <w:topLinePunct w:val="0"/>
        <w:autoSpaceDE/>
        <w:autoSpaceDN/>
        <w:bidi w:val="0"/>
        <w:adjustRightInd w:val="0"/>
        <w:snapToGrid w:val="0"/>
        <w:spacing w:line="360" w:lineRule="auto"/>
        <w:jc w:val="center"/>
        <w:outlineLvl w:val="0"/>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202</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5</w:t>
      </w: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年</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度</w:t>
      </w:r>
      <w:bookmarkEnd w:id="0"/>
    </w:p>
    <w:p w14:paraId="35D2F788">
      <w:pPr>
        <w:keepNext w:val="0"/>
        <w:keepLines w:val="0"/>
        <w:pageBreakBefore w:val="0"/>
        <w:widowControl w:val="0"/>
        <w:kinsoku/>
        <w:wordWrap w:val="0"/>
        <w:overflowPunct/>
        <w:topLinePunct w:val="0"/>
        <w:autoSpaceDE/>
        <w:autoSpaceDN/>
        <w:bidi w:val="0"/>
        <w:adjustRightInd w:val="0"/>
        <w:snapToGrid w:val="0"/>
        <w:spacing w:line="360" w:lineRule="auto"/>
        <w:jc w:val="center"/>
        <w:outlineLvl w:val="0"/>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pPr>
      <w:bookmarkStart w:id="1" w:name="_Toc15377426"/>
      <w:bookmarkStart w:id="2" w:name="_Toc15378442"/>
      <w:bookmarkStart w:id="3" w:name="_Toc15377194"/>
      <w:bookmarkStart w:id="4" w:name="_Toc15396476"/>
      <w:bookmarkStart w:id="5" w:name="_Toc15396598"/>
      <w:bookmarkStart w:id="6" w:name="_Toc15306268"/>
      <w:bookmarkStart w:id="7" w:name="_Toc13907"/>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红原县水务局</w:t>
      </w:r>
    </w:p>
    <w:p w14:paraId="04283503">
      <w:pPr>
        <w:keepNext w:val="0"/>
        <w:keepLines w:val="0"/>
        <w:pageBreakBefore w:val="0"/>
        <w:widowControl w:val="0"/>
        <w:kinsoku/>
        <w:wordWrap w:val="0"/>
        <w:overflowPunct/>
        <w:topLinePunct w:val="0"/>
        <w:autoSpaceDE/>
        <w:autoSpaceDN/>
        <w:bidi w:val="0"/>
        <w:adjustRightInd w:val="0"/>
        <w:snapToGrid w:val="0"/>
        <w:spacing w:line="360" w:lineRule="auto"/>
        <w:jc w:val="center"/>
        <w:outlineLvl w:val="0"/>
        <w:rPr>
          <w:rFonts w:hint="eastAsia" w:ascii="方正小标宋简体" w:hAnsi="方正小标宋简体" w:eastAsia="方正小标宋简体" w:cs="方正小标宋简体"/>
          <w:color w:val="000000" w:themeColor="text1"/>
          <w:sz w:val="72"/>
          <w:szCs w:val="72"/>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部门决算</w:t>
      </w:r>
      <w:bookmarkEnd w:id="1"/>
      <w:bookmarkEnd w:id="2"/>
      <w:bookmarkEnd w:id="3"/>
      <w:bookmarkEnd w:id="4"/>
      <w:bookmarkEnd w:id="5"/>
      <w:bookmarkEnd w:id="6"/>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公开编制说明</w:t>
      </w:r>
      <w:bookmarkEnd w:id="7"/>
    </w:p>
    <w:p w14:paraId="6EBC2567">
      <w:pPr>
        <w:keepNext w:val="0"/>
        <w:keepLines w:val="0"/>
        <w:pageBreakBefore w:val="0"/>
        <w:widowControl w:val="0"/>
        <w:kinsoku/>
        <w:wordWrap w:val="0"/>
        <w:overflowPunct/>
        <w:topLinePunct w:val="0"/>
        <w:autoSpaceDE/>
        <w:autoSpaceDN/>
        <w:bidi w:val="0"/>
        <w:adjustRightInd w:val="0"/>
        <w:snapToGrid w:val="0"/>
        <w:spacing w:line="360" w:lineRule="auto"/>
        <w:jc w:val="center"/>
        <w:rPr>
          <w:rFonts w:hint="eastAsia" w:asciiTheme="minorEastAsia" w:hAnsiTheme="minorEastAsia" w:eastAsiaTheme="minorEastAsia" w:cstheme="minorEastAsia"/>
          <w:color w:val="000000" w:themeColor="text1"/>
          <w:sz w:val="52"/>
          <w:szCs w:val="52"/>
          <w14:textFill>
            <w14:solidFill>
              <w14:schemeClr w14:val="tx1"/>
            </w14:solidFill>
          </w14:textFill>
        </w:rPr>
      </w:pPr>
    </w:p>
    <w:p w14:paraId="6A01303F">
      <w:pPr>
        <w:keepNext w:val="0"/>
        <w:keepLines w:val="0"/>
        <w:pageBreakBefore w:val="0"/>
        <w:widowControl w:val="0"/>
        <w:kinsoku/>
        <w:wordWrap w:val="0"/>
        <w:overflowPunct/>
        <w:topLinePunct w:val="0"/>
        <w:autoSpaceDE/>
        <w:autoSpaceDN/>
        <w:bidi w:val="0"/>
        <w:jc w:val="center"/>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4585EC5B">
      <w:pPr>
        <w:keepNext w:val="0"/>
        <w:keepLines w:val="0"/>
        <w:pageBreakBefore w:val="0"/>
        <w:widowControl w:val="0"/>
        <w:kinsoku/>
        <w:wordWrap w:val="0"/>
        <w:overflowPunct/>
        <w:topLinePunct w:val="0"/>
        <w:autoSpaceDE/>
        <w:autoSpaceDN/>
        <w:bidi w:val="0"/>
        <w:jc w:val="center"/>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36815F3E">
      <w:pPr>
        <w:keepNext w:val="0"/>
        <w:keepLines w:val="0"/>
        <w:pageBreakBefore w:val="0"/>
        <w:widowControl w:val="0"/>
        <w:kinsoku/>
        <w:wordWrap w:val="0"/>
        <w:overflowPunct/>
        <w:topLinePunct w:val="0"/>
        <w:autoSpaceDE/>
        <w:autoSpaceDN/>
        <w:bidi w:val="0"/>
        <w:jc w:val="center"/>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73B32F08">
      <w:pPr>
        <w:keepNext w:val="0"/>
        <w:keepLines w:val="0"/>
        <w:pageBreakBefore w:val="0"/>
        <w:widowControl w:val="0"/>
        <w:kinsoku/>
        <w:wordWrap w:val="0"/>
        <w:overflowPunct/>
        <w:topLinePunct w:val="0"/>
        <w:autoSpaceDE/>
        <w:autoSpaceDN/>
        <w:bidi w:val="0"/>
        <w:jc w:val="center"/>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00F6047A">
      <w:pPr>
        <w:keepNext w:val="0"/>
        <w:keepLines w:val="0"/>
        <w:pageBreakBefore w:val="0"/>
        <w:widowControl w:val="0"/>
        <w:kinsoku/>
        <w:wordWrap w:val="0"/>
        <w:overflowPunct/>
        <w:topLinePunct w:val="0"/>
        <w:autoSpaceDE/>
        <w:autoSpaceDN/>
        <w:bidi w:val="0"/>
        <w:jc w:val="center"/>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33A623AC">
      <w:pPr>
        <w:keepNext w:val="0"/>
        <w:keepLines w:val="0"/>
        <w:pageBreakBefore w:val="0"/>
        <w:widowControl w:val="0"/>
        <w:kinsoku/>
        <w:wordWrap w:val="0"/>
        <w:overflowPunct/>
        <w:topLinePunct w:val="0"/>
        <w:autoSpaceDE/>
        <w:autoSpaceDN/>
        <w:bidi w:val="0"/>
        <w:jc w:val="center"/>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53F71ABB">
      <w:pPr>
        <w:keepNext w:val="0"/>
        <w:keepLines w:val="0"/>
        <w:pageBreakBefore w:val="0"/>
        <w:widowControl w:val="0"/>
        <w:kinsoku/>
        <w:wordWrap w:val="0"/>
        <w:overflowPunct/>
        <w:topLinePunct w:val="0"/>
        <w:autoSpaceDE/>
        <w:autoSpaceDN/>
        <w:bidi w:val="0"/>
        <w:jc w:val="both"/>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7067B073">
      <w:pPr>
        <w:keepNext w:val="0"/>
        <w:keepLines w:val="0"/>
        <w:pageBreakBefore w:val="0"/>
        <w:widowControl w:val="0"/>
        <w:kinsoku/>
        <w:wordWrap w:val="0"/>
        <w:overflowPunct/>
        <w:topLinePunct w:val="0"/>
        <w:autoSpaceDE/>
        <w:autoSpaceDN/>
        <w:bidi w:val="0"/>
        <w:jc w:val="both"/>
        <w:rPr>
          <w:rFonts w:hint="eastAsia" w:asciiTheme="minorEastAsia" w:hAnsiTheme="minorEastAsia" w:eastAsiaTheme="minorEastAsia" w:cstheme="minorEastAsia"/>
          <w:color w:val="000000" w:themeColor="text1"/>
          <w:sz w:val="36"/>
          <w:szCs w:val="36"/>
          <w14:textFill>
            <w14:solidFill>
              <w14:schemeClr w14:val="tx1"/>
            </w14:solidFill>
          </w14:textFill>
        </w:rPr>
      </w:pPr>
    </w:p>
    <w:p w14:paraId="7C0DCE02">
      <w:pPr>
        <w:pStyle w:val="12"/>
        <w:keepNext w:val="0"/>
        <w:keepLines w:val="0"/>
        <w:pageBreakBefore w:val="0"/>
        <w:widowControl w:val="0"/>
        <w:kinsoku/>
        <w:wordWrap w:val="0"/>
        <w:overflowPunct/>
        <w:topLinePunct w:val="0"/>
        <w:autoSpaceDE/>
        <w:autoSpaceDN/>
        <w:bidi w:val="0"/>
        <w:ind w:right="75" w:firstLine="1440" w:firstLineChars="6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保密审查情况：已审查，内容审定</w:t>
      </w:r>
    </w:p>
    <w:p w14:paraId="34E20B94">
      <w:pPr>
        <w:pStyle w:val="12"/>
        <w:keepNext w:val="0"/>
        <w:keepLines w:val="0"/>
        <w:pageBreakBefore w:val="0"/>
        <w:widowControl w:val="0"/>
        <w:kinsoku/>
        <w:wordWrap w:val="0"/>
        <w:overflowPunct/>
        <w:topLinePunct w:val="0"/>
        <w:autoSpaceDE/>
        <w:autoSpaceDN/>
        <w:bidi w:val="0"/>
        <w:ind w:right="75" w:firstLine="1440" w:firstLineChars="600"/>
        <w:rPr>
          <w:rFonts w:hint="eastAsia"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hd w:val="clear" w:color="auto" w:fill="FFFFFF"/>
          <w14:textFill>
            <w14:solidFill>
              <w14:schemeClr w14:val="tx1"/>
            </w14:solidFill>
          </w14:textFill>
        </w:rPr>
        <w:t>部门主要负责人审签情况：已审签，同意对外公开</w:t>
      </w:r>
    </w:p>
    <w:p w14:paraId="7C72F5EC">
      <w:pPr>
        <w:keepNext w:val="0"/>
        <w:keepLines w:val="0"/>
        <w:pageBreakBefore w:val="0"/>
        <w:widowControl w:val="0"/>
        <w:kinsoku/>
        <w:wordWrap w:val="0"/>
        <w:overflowPunct/>
        <w:topLinePunct w:val="0"/>
        <w:autoSpaceDE/>
        <w:autoSpaceDN/>
        <w:bidi w:val="0"/>
        <w:rPr>
          <w:color w:val="000000" w:themeColor="text1"/>
          <w14:textFill>
            <w14:solidFill>
              <w14:schemeClr w14:val="tx1"/>
            </w14:solidFill>
          </w14:textFill>
        </w:rPr>
      </w:pPr>
    </w:p>
    <w:p w14:paraId="1B3C6715">
      <w:pPr>
        <w:pStyle w:val="5"/>
        <w:keepNext w:val="0"/>
        <w:keepLines w:val="0"/>
        <w:pageBreakBefore w:val="0"/>
        <w:widowControl w:val="0"/>
        <w:kinsoku/>
        <w:wordWrap w:val="0"/>
        <w:overflowPunct/>
        <w:topLinePunct w:val="0"/>
        <w:autoSpaceDE/>
        <w:autoSpaceDN/>
        <w:bidi w:val="0"/>
        <w:rPr>
          <w:color w:val="000000" w:themeColor="text1"/>
          <w14:textFill>
            <w14:solidFill>
              <w14:schemeClr w14:val="tx1"/>
            </w14:solidFill>
          </w14:textFill>
        </w:rPr>
      </w:pPr>
    </w:p>
    <w:p w14:paraId="7EAEC3A9">
      <w:pPr>
        <w:keepNext w:val="0"/>
        <w:keepLines w:val="0"/>
        <w:pageBreakBefore w:val="0"/>
        <w:widowControl w:val="0"/>
        <w:kinsoku/>
        <w:wordWrap w:val="0"/>
        <w:overflowPunct/>
        <w:topLinePunct w:val="0"/>
        <w:autoSpaceDE/>
        <w:autoSpaceDN/>
        <w:bidi w:val="0"/>
        <w:rPr>
          <w:color w:val="000000" w:themeColor="text1"/>
          <w14:textFill>
            <w14:solidFill>
              <w14:schemeClr w14:val="tx1"/>
            </w14:solidFill>
          </w14:textFill>
        </w:rPr>
      </w:pPr>
    </w:p>
    <w:p w14:paraId="01B79A41">
      <w:pPr>
        <w:pStyle w:val="3"/>
        <w:keepNext w:val="0"/>
        <w:keepLines w:val="0"/>
        <w:pageBreakBefore w:val="0"/>
        <w:widowControl w:val="0"/>
        <w:kinsoku/>
        <w:wordWrap w:val="0"/>
        <w:overflowPunct/>
        <w:topLinePunct w:val="0"/>
        <w:autoSpaceDE/>
        <w:autoSpaceDN/>
        <w:bidi w:val="0"/>
        <w:spacing w:before="153" w:line="211" w:lineRule="auto"/>
        <w:jc w:val="center"/>
        <w:outlineLvl w:val="0"/>
        <w:rPr>
          <w:color w:val="000000" w:themeColor="text1"/>
          <w:spacing w:val="-17"/>
          <w:sz w:val="47"/>
          <w:szCs w:val="47"/>
          <w14:textFill>
            <w14:solidFill>
              <w14:schemeClr w14:val="tx1"/>
            </w14:solidFill>
          </w14:textFill>
        </w:rPr>
        <w:sectPr>
          <w:footerReference r:id="rId5" w:type="default"/>
          <w:pgSz w:w="11900" w:h="16839"/>
          <w:pgMar w:top="2098" w:right="1474" w:bottom="1984" w:left="1587" w:header="0" w:footer="271" w:gutter="0"/>
          <w:pgNumType w:fmt="decimal"/>
          <w:cols w:space="720" w:num="1"/>
        </w:sectPr>
      </w:pPr>
    </w:p>
    <w:p w14:paraId="3C6EB083">
      <w:pPr>
        <w:pStyle w:val="3"/>
        <w:keepNext w:val="0"/>
        <w:keepLines w:val="0"/>
        <w:pageBreakBefore w:val="0"/>
        <w:widowControl w:val="0"/>
        <w:kinsoku/>
        <w:wordWrap w:val="0"/>
        <w:overflowPunct/>
        <w:topLinePunct w:val="0"/>
        <w:autoSpaceDE/>
        <w:autoSpaceDN/>
        <w:bidi w:val="0"/>
        <w:spacing w:before="153" w:line="211" w:lineRule="auto"/>
        <w:jc w:val="center"/>
        <w:outlineLvl w:val="0"/>
        <w:rPr>
          <w:color w:val="000000" w:themeColor="text1"/>
          <w:sz w:val="47"/>
          <w:szCs w:val="47"/>
          <w14:textFill>
            <w14:solidFill>
              <w14:schemeClr w14:val="tx1"/>
            </w14:solidFill>
          </w14:textFill>
        </w:rPr>
      </w:pPr>
      <w:r>
        <w:rPr>
          <w:color w:val="000000" w:themeColor="text1"/>
          <w:spacing w:val="-17"/>
          <w:sz w:val="47"/>
          <w:szCs w:val="47"/>
          <w14:textFill>
            <w14:solidFill>
              <w14:schemeClr w14:val="tx1"/>
            </w14:solidFill>
          </w14:textFill>
        </w:rPr>
        <w:t>目</w:t>
      </w:r>
      <w:r>
        <w:rPr>
          <w:rFonts w:hint="eastAsia"/>
          <w:color w:val="000000" w:themeColor="text1"/>
          <w:spacing w:val="-17"/>
          <w:sz w:val="47"/>
          <w:szCs w:val="47"/>
          <w:lang w:val="en-US" w:eastAsia="zh-CN"/>
          <w14:textFill>
            <w14:solidFill>
              <w14:schemeClr w14:val="tx1"/>
            </w14:solidFill>
          </w14:textFill>
        </w:rPr>
        <w:t xml:space="preserve">  </w:t>
      </w:r>
      <w:r>
        <w:rPr>
          <w:color w:val="000000" w:themeColor="text1"/>
          <w:spacing w:val="-17"/>
          <w:sz w:val="47"/>
          <w:szCs w:val="47"/>
          <w14:textFill>
            <w14:solidFill>
              <w14:schemeClr w14:val="tx1"/>
            </w14:solidFill>
          </w14:textFill>
        </w:rPr>
        <w:t>录</w:t>
      </w:r>
    </w:p>
    <w:p w14:paraId="03375517">
      <w:pPr>
        <w:pStyle w:val="3"/>
        <w:keepNext w:val="0"/>
        <w:keepLines w:val="0"/>
        <w:pageBreakBefore w:val="0"/>
        <w:widowControl w:val="0"/>
        <w:kinsoku/>
        <w:wordWrap w:val="0"/>
        <w:overflowPunct/>
        <w:topLinePunct w:val="0"/>
        <w:autoSpaceDE/>
        <w:autoSpaceDN/>
        <w:bidi w:val="0"/>
        <w:spacing w:line="227" w:lineRule="auto"/>
        <w:ind w:left="4474"/>
        <w:rPr>
          <w:color w:val="000000" w:themeColor="text1"/>
          <w:spacing w:val="6"/>
          <w14:textFill>
            <w14:solidFill>
              <w14:schemeClr w14:val="tx1"/>
            </w14:solidFill>
          </w14:textFill>
        </w:rPr>
      </w:pPr>
    </w:p>
    <w:p w14:paraId="1B5E354D">
      <w:pPr>
        <w:pStyle w:val="3"/>
        <w:keepNext w:val="0"/>
        <w:keepLines w:val="0"/>
        <w:pageBreakBefore w:val="0"/>
        <w:widowControl w:val="0"/>
        <w:kinsoku/>
        <w:wordWrap w:val="0"/>
        <w:overflowPunct/>
        <w:topLinePunct w:val="0"/>
        <w:autoSpaceDE/>
        <w:autoSpaceDN/>
        <w:bidi w:val="0"/>
        <w:adjustRightInd w:val="0"/>
        <w:snapToGrid w:val="0"/>
        <w:spacing w:line="400" w:lineRule="exact"/>
        <w:jc w:val="center"/>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第一部分部门概况</w:t>
      </w:r>
    </w:p>
    <w:p w14:paraId="181A3F5C">
      <w:pPr>
        <w:pStyle w:val="3"/>
        <w:keepNext w:val="0"/>
        <w:keepLines w:val="0"/>
        <w:pageBreakBefore w:val="0"/>
        <w:widowControl w:val="0"/>
        <w:kinsoku/>
        <w:wordWrap w:val="0"/>
        <w:overflowPunct/>
        <w:topLinePunct w:val="0"/>
        <w:autoSpaceDE/>
        <w:autoSpaceDN/>
        <w:bidi w:val="0"/>
        <w:adjustRightInd w:val="0"/>
        <w:snapToGrid w:val="0"/>
        <w:spacing w:line="400" w:lineRule="exact"/>
        <w:ind w:left="514"/>
        <w:textAlignment w:val="baseline"/>
        <w:rPr>
          <w:color w:val="000000" w:themeColor="text1"/>
          <w14:textFill>
            <w14:solidFill>
              <w14:schemeClr w14:val="tx1"/>
            </w14:solidFill>
          </w14:textFill>
        </w:rPr>
      </w:pPr>
      <w:r>
        <w:rPr>
          <w:color w:val="000000" w:themeColor="text1"/>
          <w:spacing w:val="2"/>
          <w14:textFill>
            <w14:solidFill>
              <w14:schemeClr w14:val="tx1"/>
            </w14:solidFill>
          </w14:textFill>
        </w:rPr>
        <w:t>一、部门职责</w:t>
      </w:r>
    </w:p>
    <w:p w14:paraId="5AD15363">
      <w:pPr>
        <w:pStyle w:val="3"/>
        <w:keepNext w:val="0"/>
        <w:keepLines w:val="0"/>
        <w:pageBreakBefore w:val="0"/>
        <w:widowControl w:val="0"/>
        <w:kinsoku/>
        <w:wordWrap w:val="0"/>
        <w:overflowPunct/>
        <w:topLinePunct w:val="0"/>
        <w:autoSpaceDE/>
        <w:autoSpaceDN/>
        <w:bidi w:val="0"/>
        <w:adjustRightInd w:val="0"/>
        <w:snapToGrid w:val="0"/>
        <w:spacing w:line="400" w:lineRule="exact"/>
        <w:ind w:left="514"/>
        <w:textAlignment w:val="baseline"/>
        <w:rPr>
          <w:color w:val="000000" w:themeColor="text1"/>
          <w14:textFill>
            <w14:solidFill>
              <w14:schemeClr w14:val="tx1"/>
            </w14:solidFill>
          </w14:textFill>
        </w:rPr>
      </w:pPr>
      <w:r>
        <w:rPr>
          <w:color w:val="000000" w:themeColor="text1"/>
          <w:spacing w:val="5"/>
          <w14:textFill>
            <w14:solidFill>
              <w14:schemeClr w14:val="tx1"/>
            </w14:solidFill>
          </w14:textFill>
        </w:rPr>
        <w:t>二、机构设置</w:t>
      </w:r>
    </w:p>
    <w:p w14:paraId="45533FE5">
      <w:pPr>
        <w:pStyle w:val="3"/>
        <w:keepNext w:val="0"/>
        <w:keepLines w:val="0"/>
        <w:pageBreakBefore w:val="0"/>
        <w:widowControl w:val="0"/>
        <w:kinsoku/>
        <w:wordWrap w:val="0"/>
        <w:overflowPunct/>
        <w:topLinePunct w:val="0"/>
        <w:autoSpaceDE/>
        <w:autoSpaceDN/>
        <w:bidi w:val="0"/>
        <w:adjustRightInd w:val="0"/>
        <w:snapToGrid w:val="0"/>
        <w:spacing w:line="400" w:lineRule="exact"/>
        <w:jc w:val="center"/>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第二部分</w:t>
      </w:r>
      <w:r>
        <w:rPr>
          <w:rFonts w:hint="eastAsia" w:ascii="Times New Roman" w:hAnsi="Times New Roman" w:eastAsia="宋体" w:cs="Times New Roman"/>
          <w:color w:val="000000" w:themeColor="text1"/>
          <w:spacing w:val="6"/>
          <w:lang w:eastAsia="zh-CN"/>
          <w14:textFill>
            <w14:solidFill>
              <w14:schemeClr w14:val="tx1"/>
            </w14:solidFill>
          </w14:textFill>
        </w:rPr>
        <w:t>20</w:t>
      </w:r>
      <w:r>
        <w:rPr>
          <w:rFonts w:hint="eastAsia" w:ascii="Times New Roman" w:hAnsi="Times New Roman" w:eastAsia="宋体" w:cs="Times New Roman"/>
          <w:color w:val="000000" w:themeColor="text1"/>
          <w:spacing w:val="6"/>
          <w:lang w:val="en-US" w:eastAsia="zh-CN"/>
          <w14:textFill>
            <w14:solidFill>
              <w14:schemeClr w14:val="tx1"/>
            </w14:solidFill>
          </w14:textFill>
        </w:rPr>
        <w:t>25</w:t>
      </w:r>
      <w:r>
        <w:rPr>
          <w:rFonts w:hint="eastAsia" w:ascii="Times New Roman" w:hAnsi="Times New Roman" w:eastAsia="宋体" w:cs="Times New Roman"/>
          <w:color w:val="000000" w:themeColor="text1"/>
          <w:spacing w:val="6"/>
          <w:lang w:eastAsia="zh-CN"/>
          <w14:textFill>
            <w14:solidFill>
              <w14:schemeClr w14:val="tx1"/>
            </w14:solidFill>
          </w14:textFill>
        </w:rPr>
        <w:t>年</w:t>
      </w:r>
      <w:r>
        <w:rPr>
          <w:color w:val="000000" w:themeColor="text1"/>
          <w:spacing w:val="6"/>
          <w14:textFill>
            <w14:solidFill>
              <w14:schemeClr w14:val="tx1"/>
            </w14:solidFill>
          </w14:textFill>
        </w:rPr>
        <w:t>度部门决算情况说明</w:t>
      </w:r>
    </w:p>
    <w:p w14:paraId="7AD3A3D9">
      <w:pPr>
        <w:pStyle w:val="3"/>
        <w:keepNext w:val="0"/>
        <w:keepLines w:val="0"/>
        <w:pageBreakBefore w:val="0"/>
        <w:widowControl w:val="0"/>
        <w:kinsoku/>
        <w:wordWrap w:val="0"/>
        <w:overflowPunct/>
        <w:topLinePunct w:val="0"/>
        <w:autoSpaceDE/>
        <w:autoSpaceDN/>
        <w:bidi w:val="0"/>
        <w:adjustRightInd w:val="0"/>
        <w:snapToGrid w:val="0"/>
        <w:spacing w:line="400" w:lineRule="exact"/>
        <w:ind w:left="514"/>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一、收入支出决算总体情况说明</w:t>
      </w:r>
    </w:p>
    <w:p w14:paraId="060BED2B">
      <w:pPr>
        <w:pStyle w:val="3"/>
        <w:keepNext w:val="0"/>
        <w:keepLines w:val="0"/>
        <w:pageBreakBefore w:val="0"/>
        <w:widowControl w:val="0"/>
        <w:kinsoku/>
        <w:wordWrap w:val="0"/>
        <w:overflowPunct/>
        <w:topLinePunct w:val="0"/>
        <w:autoSpaceDE/>
        <w:autoSpaceDN/>
        <w:bidi w:val="0"/>
        <w:adjustRightInd w:val="0"/>
        <w:snapToGrid w:val="0"/>
        <w:spacing w:line="400" w:lineRule="exact"/>
        <w:ind w:left="514"/>
        <w:textAlignment w:val="baseline"/>
        <w:rPr>
          <w:color w:val="000000" w:themeColor="text1"/>
          <w14:textFill>
            <w14:solidFill>
              <w14:schemeClr w14:val="tx1"/>
            </w14:solidFill>
          </w14:textFill>
        </w:rPr>
      </w:pPr>
      <w:r>
        <w:rPr>
          <w:color w:val="000000" w:themeColor="text1"/>
          <w:spacing w:val="5"/>
          <w14:textFill>
            <w14:solidFill>
              <w14:schemeClr w14:val="tx1"/>
            </w14:solidFill>
          </w14:textFill>
        </w:rPr>
        <w:t>二、收入决算情况说明</w:t>
      </w:r>
    </w:p>
    <w:p w14:paraId="554D407B">
      <w:pPr>
        <w:pStyle w:val="3"/>
        <w:keepNext w:val="0"/>
        <w:keepLines w:val="0"/>
        <w:pageBreakBefore w:val="0"/>
        <w:widowControl w:val="0"/>
        <w:kinsoku/>
        <w:wordWrap w:val="0"/>
        <w:overflowPunct/>
        <w:topLinePunct w:val="0"/>
        <w:autoSpaceDE/>
        <w:autoSpaceDN/>
        <w:bidi w:val="0"/>
        <w:adjustRightInd w:val="0"/>
        <w:snapToGrid w:val="0"/>
        <w:spacing w:line="400" w:lineRule="exact"/>
        <w:ind w:left="515"/>
        <w:textAlignment w:val="baseline"/>
        <w:rPr>
          <w:color w:val="000000" w:themeColor="text1"/>
          <w14:textFill>
            <w14:solidFill>
              <w14:schemeClr w14:val="tx1"/>
            </w14:solidFill>
          </w14:textFill>
        </w:rPr>
      </w:pPr>
      <w:r>
        <w:rPr>
          <w:color w:val="000000" w:themeColor="text1"/>
          <w:spacing w:val="4"/>
          <w14:textFill>
            <w14:solidFill>
              <w14:schemeClr w14:val="tx1"/>
            </w14:solidFill>
          </w14:textFill>
        </w:rPr>
        <w:t>三、支出决算情况说明</w:t>
      </w:r>
    </w:p>
    <w:p w14:paraId="54B10FE5">
      <w:pPr>
        <w:pStyle w:val="3"/>
        <w:keepNext w:val="0"/>
        <w:keepLines w:val="0"/>
        <w:pageBreakBefore w:val="0"/>
        <w:widowControl w:val="0"/>
        <w:kinsoku/>
        <w:wordWrap w:val="0"/>
        <w:overflowPunct/>
        <w:topLinePunct w:val="0"/>
        <w:autoSpaceDE/>
        <w:autoSpaceDN/>
        <w:bidi w:val="0"/>
        <w:adjustRightInd w:val="0"/>
        <w:snapToGrid w:val="0"/>
        <w:spacing w:line="400" w:lineRule="exact"/>
        <w:ind w:left="525"/>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四、财政拨款收入支出决算总体情况说明</w:t>
      </w:r>
    </w:p>
    <w:p w14:paraId="35A09DB9">
      <w:pPr>
        <w:pStyle w:val="3"/>
        <w:keepNext w:val="0"/>
        <w:keepLines w:val="0"/>
        <w:pageBreakBefore w:val="0"/>
        <w:widowControl w:val="0"/>
        <w:kinsoku/>
        <w:wordWrap w:val="0"/>
        <w:overflowPunct/>
        <w:topLinePunct w:val="0"/>
        <w:autoSpaceDE/>
        <w:autoSpaceDN/>
        <w:bidi w:val="0"/>
        <w:adjustRightInd w:val="0"/>
        <w:snapToGrid w:val="0"/>
        <w:spacing w:line="400" w:lineRule="exact"/>
        <w:ind w:left="517"/>
        <w:textAlignment w:val="baseline"/>
        <w:rPr>
          <w:color w:val="000000" w:themeColor="text1"/>
          <w14:textFill>
            <w14:solidFill>
              <w14:schemeClr w14:val="tx1"/>
            </w14:solidFill>
          </w14:textFill>
        </w:rPr>
      </w:pPr>
      <w:r>
        <w:rPr>
          <w:color w:val="000000" w:themeColor="text1"/>
          <w:spacing w:val="7"/>
          <w14:textFill>
            <w14:solidFill>
              <w14:schemeClr w14:val="tx1"/>
            </w14:solidFill>
          </w14:textFill>
        </w:rPr>
        <w:t>五、一般公共预算财政拨款支出决算情况说明</w:t>
      </w:r>
    </w:p>
    <w:p w14:paraId="6D090708">
      <w:pPr>
        <w:pStyle w:val="3"/>
        <w:keepNext w:val="0"/>
        <w:keepLines w:val="0"/>
        <w:pageBreakBefore w:val="0"/>
        <w:widowControl w:val="0"/>
        <w:kinsoku/>
        <w:wordWrap w:val="0"/>
        <w:overflowPunct/>
        <w:topLinePunct w:val="0"/>
        <w:autoSpaceDE/>
        <w:autoSpaceDN/>
        <w:bidi w:val="0"/>
        <w:adjustRightInd w:val="0"/>
        <w:snapToGrid w:val="0"/>
        <w:spacing w:line="400" w:lineRule="exact"/>
        <w:ind w:left="518"/>
        <w:textAlignment w:val="baseline"/>
        <w:rPr>
          <w:color w:val="000000" w:themeColor="text1"/>
          <w14:textFill>
            <w14:solidFill>
              <w14:schemeClr w14:val="tx1"/>
            </w14:solidFill>
          </w14:textFill>
        </w:rPr>
      </w:pPr>
      <w:r>
        <w:rPr>
          <w:color w:val="000000" w:themeColor="text1"/>
          <w:spacing w:val="7"/>
          <w14:textFill>
            <w14:solidFill>
              <w14:schemeClr w14:val="tx1"/>
            </w14:solidFill>
          </w14:textFill>
        </w:rPr>
        <w:t>六、一般公共预算财政拨款基本支出决算情况说明</w:t>
      </w:r>
    </w:p>
    <w:p w14:paraId="6CFAA4B1">
      <w:pPr>
        <w:pStyle w:val="3"/>
        <w:keepNext w:val="0"/>
        <w:keepLines w:val="0"/>
        <w:pageBreakBefore w:val="0"/>
        <w:widowControl w:val="0"/>
        <w:kinsoku/>
        <w:wordWrap w:val="0"/>
        <w:overflowPunct/>
        <w:topLinePunct w:val="0"/>
        <w:autoSpaceDE/>
        <w:autoSpaceDN/>
        <w:bidi w:val="0"/>
        <w:adjustRightInd w:val="0"/>
        <w:snapToGrid w:val="0"/>
        <w:spacing w:line="400" w:lineRule="exact"/>
        <w:ind w:left="510"/>
        <w:textAlignment w:val="baseline"/>
        <w:rPr>
          <w:color w:val="000000" w:themeColor="text1"/>
          <w14:textFill>
            <w14:solidFill>
              <w14:schemeClr w14:val="tx1"/>
            </w14:solidFill>
          </w14:textFill>
        </w:rPr>
      </w:pPr>
      <w:r>
        <w:rPr>
          <w:color w:val="000000" w:themeColor="text1"/>
          <w:spacing w:val="1"/>
          <w14:textFill>
            <w14:solidFill>
              <w14:schemeClr w14:val="tx1"/>
            </w14:solidFill>
          </w14:textFill>
        </w:rPr>
        <w:t>七、财政拨款“三公”经费支出决算情况说明</w:t>
      </w:r>
    </w:p>
    <w:p w14:paraId="4FC52022">
      <w:pPr>
        <w:pStyle w:val="3"/>
        <w:keepNext w:val="0"/>
        <w:keepLines w:val="0"/>
        <w:pageBreakBefore w:val="0"/>
        <w:widowControl w:val="0"/>
        <w:kinsoku/>
        <w:wordWrap w:val="0"/>
        <w:overflowPunct/>
        <w:topLinePunct w:val="0"/>
        <w:autoSpaceDE/>
        <w:autoSpaceDN/>
        <w:bidi w:val="0"/>
        <w:adjustRightInd w:val="0"/>
        <w:snapToGrid w:val="0"/>
        <w:spacing w:line="400" w:lineRule="exact"/>
        <w:ind w:left="511"/>
        <w:textAlignment w:val="baseline"/>
        <w:rPr>
          <w:color w:val="000000" w:themeColor="text1"/>
          <w14:textFill>
            <w14:solidFill>
              <w14:schemeClr w14:val="tx1"/>
            </w14:solidFill>
          </w14:textFill>
        </w:rPr>
      </w:pPr>
      <w:r>
        <w:rPr>
          <w:color w:val="000000" w:themeColor="text1"/>
          <w:spacing w:val="7"/>
          <w14:textFill>
            <w14:solidFill>
              <w14:schemeClr w14:val="tx1"/>
            </w14:solidFill>
          </w14:textFill>
        </w:rPr>
        <w:t>八、政府性基金预算支出决算情况说明</w:t>
      </w:r>
    </w:p>
    <w:p w14:paraId="225D418F">
      <w:pPr>
        <w:pStyle w:val="3"/>
        <w:keepNext w:val="0"/>
        <w:keepLines w:val="0"/>
        <w:pageBreakBefore w:val="0"/>
        <w:widowControl w:val="0"/>
        <w:kinsoku/>
        <w:wordWrap w:val="0"/>
        <w:overflowPunct/>
        <w:topLinePunct w:val="0"/>
        <w:autoSpaceDE/>
        <w:autoSpaceDN/>
        <w:bidi w:val="0"/>
        <w:adjustRightInd w:val="0"/>
        <w:snapToGrid w:val="0"/>
        <w:spacing w:line="400" w:lineRule="exact"/>
        <w:ind w:left="516"/>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九、国有资本经营预算支出决算情况说明</w:t>
      </w:r>
    </w:p>
    <w:p w14:paraId="1E5A856D">
      <w:pPr>
        <w:pStyle w:val="3"/>
        <w:keepNext w:val="0"/>
        <w:keepLines w:val="0"/>
        <w:pageBreakBefore w:val="0"/>
        <w:widowControl w:val="0"/>
        <w:kinsoku/>
        <w:wordWrap w:val="0"/>
        <w:overflowPunct/>
        <w:topLinePunct w:val="0"/>
        <w:autoSpaceDE/>
        <w:autoSpaceDN/>
        <w:bidi w:val="0"/>
        <w:adjustRightInd w:val="0"/>
        <w:snapToGrid w:val="0"/>
        <w:spacing w:line="400" w:lineRule="exact"/>
        <w:ind w:left="513"/>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十、其他重要事项的情况说明</w:t>
      </w:r>
    </w:p>
    <w:p w14:paraId="0BACA6CB">
      <w:pPr>
        <w:pStyle w:val="3"/>
        <w:keepNext w:val="0"/>
        <w:keepLines w:val="0"/>
        <w:pageBreakBefore w:val="0"/>
        <w:widowControl w:val="0"/>
        <w:kinsoku/>
        <w:wordWrap w:val="0"/>
        <w:overflowPunct/>
        <w:topLinePunct w:val="0"/>
        <w:autoSpaceDE/>
        <w:autoSpaceDN/>
        <w:bidi w:val="0"/>
        <w:adjustRightInd w:val="0"/>
        <w:snapToGrid w:val="0"/>
        <w:spacing w:line="400" w:lineRule="exact"/>
        <w:jc w:val="center"/>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第三部分名词解释</w:t>
      </w:r>
    </w:p>
    <w:p w14:paraId="47018EFA">
      <w:pPr>
        <w:pStyle w:val="3"/>
        <w:keepNext w:val="0"/>
        <w:keepLines w:val="0"/>
        <w:pageBreakBefore w:val="0"/>
        <w:widowControl w:val="0"/>
        <w:kinsoku/>
        <w:wordWrap w:val="0"/>
        <w:overflowPunct/>
        <w:topLinePunct w:val="0"/>
        <w:autoSpaceDE/>
        <w:autoSpaceDN/>
        <w:bidi w:val="0"/>
        <w:adjustRightInd w:val="0"/>
        <w:snapToGrid w:val="0"/>
        <w:spacing w:line="400" w:lineRule="exact"/>
        <w:jc w:val="center"/>
        <w:textAlignment w:val="baseline"/>
        <w:rPr>
          <w:color w:val="000000" w:themeColor="text1"/>
          <w14:textFill>
            <w14:solidFill>
              <w14:schemeClr w14:val="tx1"/>
            </w14:solidFill>
          </w14:textFill>
        </w:rPr>
      </w:pPr>
      <w:r>
        <w:rPr>
          <w:color w:val="000000" w:themeColor="text1"/>
          <w:spacing w:val="3"/>
          <w14:textFill>
            <w14:solidFill>
              <w14:schemeClr w14:val="tx1"/>
            </w14:solidFill>
          </w14:textFill>
        </w:rPr>
        <w:t>第四部分附件</w:t>
      </w:r>
    </w:p>
    <w:p w14:paraId="715EC0C5">
      <w:pPr>
        <w:pStyle w:val="3"/>
        <w:keepNext w:val="0"/>
        <w:keepLines w:val="0"/>
        <w:pageBreakBefore w:val="0"/>
        <w:widowControl w:val="0"/>
        <w:kinsoku/>
        <w:wordWrap w:val="0"/>
        <w:overflowPunct/>
        <w:topLinePunct w:val="0"/>
        <w:autoSpaceDE/>
        <w:autoSpaceDN/>
        <w:bidi w:val="0"/>
        <w:adjustRightInd w:val="0"/>
        <w:snapToGrid w:val="0"/>
        <w:spacing w:line="400" w:lineRule="exact"/>
        <w:ind w:left="524"/>
        <w:textAlignment w:val="baseline"/>
        <w:rPr>
          <w:rFonts w:ascii="Times New Roman" w:hAnsi="Times New Roman" w:eastAsia="Times New Roman" w:cs="Times New Roman"/>
          <w:color w:val="000000" w:themeColor="text1"/>
          <w14:textFill>
            <w14:solidFill>
              <w14:schemeClr w14:val="tx1"/>
            </w14:solidFill>
          </w14:textFill>
        </w:rPr>
      </w:pPr>
      <w:r>
        <w:rPr>
          <w:color w:val="000000" w:themeColor="text1"/>
          <w:spacing w:val="-1"/>
          <w14:textFill>
            <w14:solidFill>
              <w14:schemeClr w14:val="tx1"/>
            </w14:solidFill>
          </w14:textFill>
        </w:rPr>
        <w:t>附件</w:t>
      </w:r>
      <w:r>
        <w:rPr>
          <w:rFonts w:ascii="Times New Roman" w:hAnsi="Times New Roman" w:eastAsia="Times New Roman" w:cs="Times New Roman"/>
          <w:color w:val="000000" w:themeColor="text1"/>
          <w:spacing w:val="-1"/>
          <w14:textFill>
            <w14:solidFill>
              <w14:schemeClr w14:val="tx1"/>
            </w14:solidFill>
          </w14:textFill>
        </w:rPr>
        <w:t>1</w:t>
      </w:r>
    </w:p>
    <w:p w14:paraId="100F194A">
      <w:pPr>
        <w:pStyle w:val="3"/>
        <w:keepNext w:val="0"/>
        <w:keepLines w:val="0"/>
        <w:pageBreakBefore w:val="0"/>
        <w:widowControl w:val="0"/>
        <w:numPr>
          <w:ilvl w:val="0"/>
          <w:numId w:val="1"/>
        </w:numPr>
        <w:kinsoku/>
        <w:wordWrap w:val="0"/>
        <w:overflowPunct/>
        <w:topLinePunct w:val="0"/>
        <w:autoSpaceDE/>
        <w:autoSpaceDN/>
        <w:bidi w:val="0"/>
        <w:adjustRightInd w:val="0"/>
        <w:snapToGrid w:val="0"/>
        <w:spacing w:line="400" w:lineRule="exact"/>
        <w:ind w:left="514"/>
        <w:textAlignment w:val="baseline"/>
        <w:rPr>
          <w:color w:val="000000" w:themeColor="text1"/>
          <w:spacing w:val="6"/>
          <w14:textFill>
            <w14:solidFill>
              <w14:schemeClr w14:val="tx1"/>
            </w14:solidFill>
          </w14:textFill>
        </w:rPr>
      </w:pPr>
      <w:r>
        <w:rPr>
          <w:color w:val="000000" w:themeColor="text1"/>
          <w:spacing w:val="6"/>
          <w14:textFill>
            <w14:solidFill>
              <w14:schemeClr w14:val="tx1"/>
            </w14:solidFill>
          </w14:textFill>
        </w:rPr>
        <w:t>部门（单位）基本</w:t>
      </w:r>
      <w:r>
        <w:rPr>
          <w:rFonts w:hint="eastAsia"/>
          <w:color w:val="000000" w:themeColor="text1"/>
          <w:spacing w:val="6"/>
          <w:lang w:eastAsia="zh-CN"/>
          <w14:textFill>
            <w14:solidFill>
              <w14:schemeClr w14:val="tx1"/>
            </w14:solidFill>
          </w14:textFill>
        </w:rPr>
        <w:t>情况</w:t>
      </w:r>
    </w:p>
    <w:p w14:paraId="06036B31">
      <w:pPr>
        <w:pStyle w:val="3"/>
        <w:keepNext w:val="0"/>
        <w:keepLines w:val="0"/>
        <w:pageBreakBefore w:val="0"/>
        <w:widowControl w:val="0"/>
        <w:kinsoku/>
        <w:wordWrap w:val="0"/>
        <w:overflowPunct/>
        <w:topLinePunct w:val="0"/>
        <w:autoSpaceDE/>
        <w:autoSpaceDN/>
        <w:bidi w:val="0"/>
        <w:adjustRightInd w:val="0"/>
        <w:snapToGrid w:val="0"/>
        <w:spacing w:line="400" w:lineRule="exact"/>
        <w:ind w:firstLine="484" w:firstLineChars="200"/>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二、部门资金收支情况</w:t>
      </w:r>
    </w:p>
    <w:p w14:paraId="1641F74A">
      <w:pPr>
        <w:pStyle w:val="3"/>
        <w:keepNext w:val="0"/>
        <w:keepLines w:val="0"/>
        <w:pageBreakBefore w:val="0"/>
        <w:widowControl w:val="0"/>
        <w:kinsoku/>
        <w:wordWrap w:val="0"/>
        <w:overflowPunct/>
        <w:topLinePunct w:val="0"/>
        <w:autoSpaceDE/>
        <w:autoSpaceDN/>
        <w:bidi w:val="0"/>
        <w:adjustRightInd w:val="0"/>
        <w:snapToGrid w:val="0"/>
        <w:spacing w:line="400" w:lineRule="exact"/>
        <w:ind w:left="515"/>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三、部门预算绩效分析</w:t>
      </w:r>
    </w:p>
    <w:p w14:paraId="37EAB086">
      <w:pPr>
        <w:pStyle w:val="3"/>
        <w:keepNext w:val="0"/>
        <w:keepLines w:val="0"/>
        <w:pageBreakBefore w:val="0"/>
        <w:widowControl w:val="0"/>
        <w:kinsoku/>
        <w:wordWrap w:val="0"/>
        <w:overflowPunct/>
        <w:topLinePunct w:val="0"/>
        <w:autoSpaceDE/>
        <w:autoSpaceDN/>
        <w:bidi w:val="0"/>
        <w:adjustRightInd w:val="0"/>
        <w:snapToGrid w:val="0"/>
        <w:spacing w:line="400" w:lineRule="exact"/>
        <w:ind w:left="525"/>
        <w:textAlignment w:val="baseline"/>
        <w:rPr>
          <w:color w:val="000000" w:themeColor="text1"/>
          <w14:textFill>
            <w14:solidFill>
              <w14:schemeClr w14:val="tx1"/>
            </w14:solidFill>
          </w14:textFill>
        </w:rPr>
      </w:pPr>
      <w:r>
        <w:rPr>
          <w:color w:val="000000" w:themeColor="text1"/>
          <w:spacing w:val="5"/>
          <w14:textFill>
            <w14:solidFill>
              <w14:schemeClr w14:val="tx1"/>
            </w14:solidFill>
          </w14:textFill>
        </w:rPr>
        <w:t>四、评价结论及建议</w:t>
      </w:r>
    </w:p>
    <w:p w14:paraId="4BED696D">
      <w:pPr>
        <w:pStyle w:val="3"/>
        <w:keepNext w:val="0"/>
        <w:keepLines w:val="0"/>
        <w:pageBreakBefore w:val="0"/>
        <w:widowControl w:val="0"/>
        <w:kinsoku/>
        <w:wordWrap w:val="0"/>
        <w:overflowPunct/>
        <w:topLinePunct w:val="0"/>
        <w:autoSpaceDE/>
        <w:autoSpaceDN/>
        <w:bidi w:val="0"/>
        <w:adjustRightInd w:val="0"/>
        <w:snapToGrid w:val="0"/>
        <w:spacing w:line="400" w:lineRule="exact"/>
        <w:ind w:left="524"/>
        <w:textAlignment w:val="baseline"/>
        <w:rPr>
          <w:rFonts w:ascii="Times New Roman" w:hAnsi="Times New Roman" w:eastAsia="Times New Roman" w:cs="Times New Roman"/>
          <w:color w:val="000000" w:themeColor="text1"/>
          <w14:textFill>
            <w14:solidFill>
              <w14:schemeClr w14:val="tx1"/>
            </w14:solidFill>
          </w14:textFill>
        </w:rPr>
      </w:pPr>
      <w:r>
        <w:rPr>
          <w:color w:val="000000" w:themeColor="text1"/>
          <w:spacing w:val="-1"/>
          <w14:textFill>
            <w14:solidFill>
              <w14:schemeClr w14:val="tx1"/>
            </w14:solidFill>
          </w14:textFill>
        </w:rPr>
        <w:t>附件</w:t>
      </w:r>
      <w:r>
        <w:rPr>
          <w:rFonts w:ascii="Times New Roman" w:hAnsi="Times New Roman" w:eastAsia="Times New Roman" w:cs="Times New Roman"/>
          <w:color w:val="000000" w:themeColor="text1"/>
          <w:spacing w:val="-1"/>
          <w14:textFill>
            <w14:solidFill>
              <w14:schemeClr w14:val="tx1"/>
            </w14:solidFill>
          </w14:textFill>
        </w:rPr>
        <w:t>2</w:t>
      </w:r>
    </w:p>
    <w:p w14:paraId="556ECA5C">
      <w:pPr>
        <w:pStyle w:val="3"/>
        <w:keepNext w:val="0"/>
        <w:keepLines w:val="0"/>
        <w:pageBreakBefore w:val="0"/>
        <w:widowControl w:val="0"/>
        <w:kinsoku/>
        <w:wordWrap w:val="0"/>
        <w:overflowPunct/>
        <w:topLinePunct w:val="0"/>
        <w:autoSpaceDE/>
        <w:autoSpaceDN/>
        <w:bidi w:val="0"/>
        <w:adjustRightInd w:val="0"/>
        <w:snapToGrid w:val="0"/>
        <w:spacing w:line="400" w:lineRule="exact"/>
        <w:ind w:left="514"/>
        <w:textAlignment w:val="baseline"/>
        <w:rPr>
          <w:color w:val="000000" w:themeColor="text1"/>
          <w14:textFill>
            <w14:solidFill>
              <w14:schemeClr w14:val="tx1"/>
            </w14:solidFill>
          </w14:textFill>
        </w:rPr>
      </w:pPr>
      <w:r>
        <w:rPr>
          <w:color w:val="000000" w:themeColor="text1"/>
          <w:spacing w:val="5"/>
          <w14:textFill>
            <w14:solidFill>
              <w14:schemeClr w14:val="tx1"/>
            </w14:solidFill>
          </w14:textFill>
        </w:rPr>
        <w:t>一、项目概况</w:t>
      </w:r>
    </w:p>
    <w:p w14:paraId="726B1E24">
      <w:pPr>
        <w:pStyle w:val="3"/>
        <w:keepNext w:val="0"/>
        <w:keepLines w:val="0"/>
        <w:pageBreakBefore w:val="0"/>
        <w:widowControl w:val="0"/>
        <w:kinsoku/>
        <w:wordWrap w:val="0"/>
        <w:overflowPunct/>
        <w:topLinePunct w:val="0"/>
        <w:autoSpaceDE/>
        <w:autoSpaceDN/>
        <w:bidi w:val="0"/>
        <w:adjustRightInd w:val="0"/>
        <w:snapToGrid w:val="0"/>
        <w:spacing w:line="400" w:lineRule="exact"/>
        <w:ind w:left="514"/>
        <w:textAlignment w:val="baseline"/>
        <w:rPr>
          <w:color w:val="000000" w:themeColor="text1"/>
          <w14:textFill>
            <w14:solidFill>
              <w14:schemeClr w14:val="tx1"/>
            </w14:solidFill>
          </w14:textFill>
        </w:rPr>
      </w:pPr>
      <w:r>
        <w:rPr>
          <w:color w:val="000000" w:themeColor="text1"/>
          <w:spacing w:val="6"/>
          <w14:textFill>
            <w14:solidFill>
              <w14:schemeClr w14:val="tx1"/>
            </w14:solidFill>
          </w14:textFill>
        </w:rPr>
        <w:t>二、项目资金申报及使用情况</w:t>
      </w:r>
    </w:p>
    <w:p w14:paraId="11D1C0A6">
      <w:pPr>
        <w:pStyle w:val="3"/>
        <w:keepNext w:val="0"/>
        <w:keepLines w:val="0"/>
        <w:pageBreakBefore w:val="0"/>
        <w:widowControl w:val="0"/>
        <w:kinsoku/>
        <w:wordWrap w:val="0"/>
        <w:overflowPunct/>
        <w:topLinePunct w:val="0"/>
        <w:autoSpaceDE/>
        <w:autoSpaceDN/>
        <w:bidi w:val="0"/>
        <w:adjustRightInd w:val="0"/>
        <w:snapToGrid w:val="0"/>
        <w:spacing w:line="400" w:lineRule="exact"/>
        <w:ind w:left="511"/>
        <w:textAlignment w:val="baseline"/>
        <w:rPr>
          <w:color w:val="000000" w:themeColor="text1"/>
          <w14:textFill>
            <w14:solidFill>
              <w14:schemeClr w14:val="tx1"/>
            </w14:solidFill>
          </w14:textFill>
        </w:rPr>
      </w:pPr>
      <w:r>
        <w:rPr>
          <w:rFonts w:ascii="宋体" w:hAnsi="宋体" w:eastAsia="宋体" w:cs="宋体"/>
          <w:color w:val="000000" w:themeColor="text1"/>
          <w:spacing w:val="5"/>
          <w14:textFill>
            <w14:solidFill>
              <w14:schemeClr w14:val="tx1"/>
            </w14:solidFill>
          </w14:textFill>
        </w:rPr>
        <w:t>三</w:t>
      </w:r>
      <w:r>
        <w:rPr>
          <w:color w:val="000000" w:themeColor="text1"/>
          <w:spacing w:val="5"/>
          <w14:textFill>
            <w14:solidFill>
              <w14:schemeClr w14:val="tx1"/>
            </w14:solidFill>
          </w14:textFill>
        </w:rPr>
        <w:t>、项目绩效情况</w:t>
      </w:r>
    </w:p>
    <w:p w14:paraId="64EEC65F">
      <w:pPr>
        <w:pStyle w:val="3"/>
        <w:keepNext w:val="0"/>
        <w:keepLines w:val="0"/>
        <w:pageBreakBefore w:val="0"/>
        <w:widowControl w:val="0"/>
        <w:kinsoku/>
        <w:wordWrap w:val="0"/>
        <w:overflowPunct/>
        <w:topLinePunct w:val="0"/>
        <w:autoSpaceDE/>
        <w:autoSpaceDN/>
        <w:bidi w:val="0"/>
        <w:adjustRightInd w:val="0"/>
        <w:snapToGrid w:val="0"/>
        <w:spacing w:line="400" w:lineRule="exact"/>
        <w:ind w:left="533"/>
        <w:textAlignment w:val="baseline"/>
        <w:rPr>
          <w:color w:val="000000" w:themeColor="text1"/>
          <w14:textFill>
            <w14:solidFill>
              <w14:schemeClr w14:val="tx1"/>
            </w14:solidFill>
          </w14:textFill>
        </w:rPr>
      </w:pPr>
      <w:r>
        <w:rPr>
          <w:rFonts w:ascii="宋体" w:hAnsi="宋体" w:eastAsia="宋体" w:cs="宋体"/>
          <w:color w:val="000000" w:themeColor="text1"/>
          <w:spacing w:val="3"/>
          <w14:textFill>
            <w14:solidFill>
              <w14:schemeClr w14:val="tx1"/>
            </w14:solidFill>
          </w14:textFill>
        </w:rPr>
        <w:t>四</w:t>
      </w:r>
      <w:r>
        <w:rPr>
          <w:color w:val="000000" w:themeColor="text1"/>
          <w:spacing w:val="3"/>
          <w14:textFill>
            <w14:solidFill>
              <w14:schemeClr w14:val="tx1"/>
            </w14:solidFill>
          </w14:textFill>
        </w:rPr>
        <w:t>、评价结论及建议</w:t>
      </w:r>
    </w:p>
    <w:p w14:paraId="65452B32">
      <w:pPr>
        <w:pStyle w:val="3"/>
        <w:keepNext w:val="0"/>
        <w:keepLines w:val="0"/>
        <w:pageBreakBefore w:val="0"/>
        <w:widowControl w:val="0"/>
        <w:kinsoku/>
        <w:wordWrap w:val="0"/>
        <w:overflowPunct/>
        <w:topLinePunct w:val="0"/>
        <w:autoSpaceDE/>
        <w:autoSpaceDN/>
        <w:bidi w:val="0"/>
        <w:adjustRightInd w:val="0"/>
        <w:snapToGrid w:val="0"/>
        <w:spacing w:line="400" w:lineRule="exact"/>
        <w:jc w:val="center"/>
        <w:textAlignment w:val="baseline"/>
        <w:sectPr>
          <w:footerReference r:id="rId6" w:type="default"/>
          <w:pgSz w:w="11900" w:h="16839"/>
          <w:pgMar w:top="2098" w:right="1474" w:bottom="1984" w:left="1587" w:header="0" w:footer="271" w:gutter="0"/>
          <w:pgNumType w:fmt="decimal" w:start="1"/>
          <w:cols w:space="720" w:num="1"/>
        </w:sectPr>
      </w:pPr>
      <w:r>
        <w:rPr>
          <w:color w:val="000000" w:themeColor="text1"/>
          <w:spacing w:val="3"/>
          <w14:textFill>
            <w14:solidFill>
              <w14:schemeClr w14:val="tx1"/>
            </w14:solidFill>
          </w14:textFill>
        </w:rPr>
        <w:t>第五部分附表</w:t>
      </w:r>
    </w:p>
    <w:p w14:paraId="45998857">
      <w:pPr>
        <w:pStyle w:val="3"/>
        <w:keepNext w:val="0"/>
        <w:keepLines w:val="0"/>
        <w:pageBreakBefore w:val="0"/>
        <w:widowControl w:val="0"/>
        <w:kinsoku/>
        <w:wordWrap w:val="0"/>
        <w:overflowPunct/>
        <w:topLinePunct w:val="0"/>
        <w:autoSpaceDE/>
        <w:autoSpaceDN/>
        <w:bidi w:val="0"/>
        <w:spacing w:line="560" w:lineRule="exact"/>
        <w:jc w:val="center"/>
        <w:outlineLvl w:val="0"/>
        <w:rPr>
          <w:rFonts w:hint="eastAsia" w:ascii="黑体" w:hAnsi="黑体" w:eastAsia="黑体" w:cs="黑体"/>
          <w:snapToGrid w:val="0"/>
          <w:color w:val="000000" w:themeColor="text1"/>
          <w:spacing w:val="-1"/>
          <w:kern w:val="0"/>
          <w:sz w:val="43"/>
          <w:szCs w:val="43"/>
          <w:lang w:val="en-US" w:eastAsia="zh-CN" w:bidi="ar-SA"/>
          <w14:textFill>
            <w14:solidFill>
              <w14:schemeClr w14:val="tx1"/>
            </w14:solidFill>
          </w14:textFill>
        </w:rPr>
      </w:pPr>
      <w:r>
        <w:rPr>
          <w:rFonts w:hint="eastAsia" w:ascii="黑体" w:hAnsi="黑体" w:eastAsia="黑体" w:cs="黑体"/>
          <w:snapToGrid w:val="0"/>
          <w:color w:val="000000" w:themeColor="text1"/>
          <w:spacing w:val="-1"/>
          <w:kern w:val="0"/>
          <w:sz w:val="43"/>
          <w:szCs w:val="43"/>
          <w:lang w:val="en-US" w:eastAsia="zh-CN" w:bidi="ar-SA"/>
          <w14:textFill>
            <w14:solidFill>
              <w14:schemeClr w14:val="tx1"/>
            </w14:solidFill>
          </w14:textFill>
        </w:rPr>
        <w:t>第一部分</w:t>
      </w:r>
      <w:r>
        <w:rPr>
          <w:rFonts w:hint="eastAsia" w:cs="黑体"/>
          <w:snapToGrid w:val="0"/>
          <w:color w:val="000000" w:themeColor="text1"/>
          <w:spacing w:val="-1"/>
          <w:kern w:val="0"/>
          <w:sz w:val="43"/>
          <w:szCs w:val="43"/>
          <w:lang w:val="en-US" w:eastAsia="zh-CN" w:bidi="ar-SA"/>
          <w14:textFill>
            <w14:solidFill>
              <w14:schemeClr w14:val="tx1"/>
            </w14:solidFill>
          </w14:textFill>
        </w:rPr>
        <w:t xml:space="preserve">  </w:t>
      </w:r>
      <w:r>
        <w:rPr>
          <w:rFonts w:hint="eastAsia" w:ascii="黑体" w:hAnsi="黑体" w:eastAsia="黑体" w:cs="黑体"/>
          <w:snapToGrid w:val="0"/>
          <w:color w:val="000000" w:themeColor="text1"/>
          <w:spacing w:val="-1"/>
          <w:kern w:val="0"/>
          <w:sz w:val="43"/>
          <w:szCs w:val="43"/>
          <w:lang w:val="en-US" w:eastAsia="zh-CN" w:bidi="ar-SA"/>
          <w14:textFill>
            <w14:solidFill>
              <w14:schemeClr w14:val="tx1"/>
            </w14:solidFill>
          </w14:textFill>
        </w:rPr>
        <w:t>部门概况</w:t>
      </w:r>
    </w:p>
    <w:p w14:paraId="3C538518">
      <w:pPr>
        <w:keepNext w:val="0"/>
        <w:keepLines w:val="0"/>
        <w:pageBreakBefore w:val="0"/>
        <w:widowControl w:val="0"/>
        <w:kinsoku/>
        <w:wordWrap w:val="0"/>
        <w:overflowPunct/>
        <w:topLinePunct w:val="0"/>
        <w:autoSpaceDE/>
        <w:autoSpaceDN/>
        <w:bidi w:val="0"/>
        <w:adjustRightInd w:val="0"/>
        <w:snapToGrid w:val="0"/>
        <w:spacing w:line="560" w:lineRule="exact"/>
        <w:ind w:left="97" w:firstLine="640" w:firstLineChars="200"/>
        <w:jc w:val="both"/>
        <w:textAlignment w:val="baseline"/>
        <w:rPr>
          <w:rFonts w:hint="eastAsia" w:ascii="黑体" w:hAnsi="黑体" w:eastAsia="黑体" w:cs="黑体"/>
          <w:snapToGrid w:val="0"/>
          <w:color w:val="000000" w:themeColor="text1"/>
          <w:spacing w:val="5"/>
          <w:kern w:val="0"/>
          <w:sz w:val="31"/>
          <w:szCs w:val="31"/>
          <w:lang w:val="en-US" w:eastAsia="zh-CN" w:bidi="ar-SA"/>
          <w14:textFill>
            <w14:solidFill>
              <w14:schemeClr w14:val="tx1"/>
            </w14:solidFill>
          </w14:textFill>
        </w:rPr>
      </w:pPr>
      <w:r>
        <w:rPr>
          <w:rFonts w:hint="eastAsia" w:ascii="黑体" w:hAnsi="黑体" w:eastAsia="黑体" w:cs="黑体"/>
          <w:snapToGrid w:val="0"/>
          <w:color w:val="000000" w:themeColor="text1"/>
          <w:spacing w:val="5"/>
          <w:kern w:val="0"/>
          <w:sz w:val="31"/>
          <w:szCs w:val="31"/>
          <w:lang w:val="en-US" w:eastAsia="zh-CN" w:bidi="ar-SA"/>
          <w14:textFill>
            <w14:solidFill>
              <w14:schemeClr w14:val="tx1"/>
            </w14:solidFill>
          </w14:textFill>
        </w:rPr>
        <w:t>一、部门职责</w:t>
      </w:r>
    </w:p>
    <w:p w14:paraId="4886374B">
      <w:pPr>
        <w:keepNext w:val="0"/>
        <w:keepLines w:val="0"/>
        <w:pageBreakBefore w:val="0"/>
        <w:widowControl w:val="0"/>
        <w:kinsoku/>
        <w:wordWrap w:val="0"/>
        <w:overflowPunct/>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（一）主要职能</w:t>
      </w:r>
    </w:p>
    <w:p w14:paraId="417F1362">
      <w:pPr>
        <w:keepNext w:val="0"/>
        <w:keepLines w:val="0"/>
        <w:pageBreakBefore w:val="0"/>
        <w:widowControl w:val="0"/>
        <w:kinsoku/>
        <w:wordWrap w:val="0"/>
        <w:overflowPunct/>
        <w:topLinePunct w:val="0"/>
        <w:autoSpaceDE/>
        <w:autoSpaceDN/>
        <w:bidi w:val="0"/>
        <w:adjustRightInd w:val="0"/>
        <w:snapToGrid w:val="0"/>
        <w:spacing w:line="560" w:lineRule="exact"/>
        <w:ind w:left="0" w:right="0" w:firstLine="700" w:firstLineChars="200"/>
        <w:jc w:val="both"/>
        <w:textAlignment w:val="baseline"/>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pacing w:val="15"/>
          <w:sz w:val="32"/>
          <w:szCs w:val="32"/>
          <w14:textFill>
            <w14:solidFill>
              <w14:schemeClr w14:val="tx1"/>
            </w14:solidFill>
          </w14:textFill>
        </w:rPr>
        <w:t>负责管理全县水资源（含地表水、地下水）开发、利用、保护工作；负</w:t>
      </w:r>
      <w:r>
        <w:rPr>
          <w:rFonts w:hint="eastAsia" w:ascii="仿宋_GB2312" w:hAnsi="仿宋_GB2312" w:eastAsia="仿宋_GB2312" w:cs="仿宋_GB2312"/>
          <w:color w:val="000000" w:themeColor="text1"/>
          <w:spacing w:val="16"/>
          <w:sz w:val="32"/>
          <w:szCs w:val="32"/>
          <w14:textFill>
            <w14:solidFill>
              <w14:schemeClr w14:val="tx1"/>
            </w14:solidFill>
          </w14:textFill>
        </w:rPr>
        <w:t>责全县水利基本建设项目工作；组织制定全县</w:t>
      </w:r>
      <w:r>
        <w:rPr>
          <w:rFonts w:hint="eastAsia" w:ascii="仿宋_GB2312" w:hAnsi="仿宋_GB2312" w:eastAsia="仿宋_GB2312" w:cs="仿宋_GB2312"/>
          <w:color w:val="000000" w:themeColor="text1"/>
          <w:spacing w:val="15"/>
          <w:sz w:val="32"/>
          <w:szCs w:val="32"/>
          <w14:textFill>
            <w14:solidFill>
              <w14:schemeClr w14:val="tx1"/>
            </w14:solidFill>
          </w14:textFill>
        </w:rPr>
        <w:t>水资源总体规划、流域规划和</w:t>
      </w:r>
      <w:r>
        <w:rPr>
          <w:rFonts w:hint="eastAsia" w:ascii="仿宋_GB2312" w:hAnsi="仿宋_GB2312" w:eastAsia="仿宋_GB2312" w:cs="仿宋_GB2312"/>
          <w:color w:val="000000" w:themeColor="text1"/>
          <w:spacing w:val="16"/>
          <w:sz w:val="32"/>
          <w:szCs w:val="32"/>
          <w14:textFill>
            <w14:solidFill>
              <w14:schemeClr w14:val="tx1"/>
            </w14:solidFill>
          </w14:textFill>
        </w:rPr>
        <w:t>专业规划；拟定全县中长期和年度供水计划、水量</w:t>
      </w:r>
      <w:r>
        <w:rPr>
          <w:rFonts w:hint="eastAsia" w:ascii="仿宋_GB2312" w:hAnsi="仿宋_GB2312" w:eastAsia="仿宋_GB2312" w:cs="仿宋_GB2312"/>
          <w:color w:val="000000" w:themeColor="text1"/>
          <w:spacing w:val="15"/>
          <w:sz w:val="32"/>
          <w:szCs w:val="32"/>
          <w14:textFill>
            <w14:solidFill>
              <w14:schemeClr w14:val="tx1"/>
            </w14:solidFill>
          </w14:textFill>
        </w:rPr>
        <w:t>分配方案和旱情紧急情况下水量调度预案；负责全县水行政执法工作；负责有</w:t>
      </w:r>
      <w:r>
        <w:rPr>
          <w:rFonts w:hint="eastAsia" w:ascii="仿宋_GB2312" w:hAnsi="仿宋_GB2312" w:eastAsia="仿宋_GB2312" w:cs="仿宋_GB2312"/>
          <w:color w:val="000000" w:themeColor="text1"/>
          <w:spacing w:val="14"/>
          <w:sz w:val="32"/>
          <w:szCs w:val="32"/>
          <w14:textFill>
            <w14:solidFill>
              <w14:schemeClr w14:val="tx1"/>
            </w14:solidFill>
          </w14:textFill>
        </w:rPr>
        <w:t>关行政复议受理和行政</w:t>
      </w:r>
      <w:r>
        <w:rPr>
          <w:rFonts w:hint="eastAsia" w:ascii="仿宋_GB2312" w:hAnsi="仿宋_GB2312" w:eastAsia="仿宋_GB2312" w:cs="仿宋_GB2312"/>
          <w:color w:val="000000" w:themeColor="text1"/>
          <w:spacing w:val="20"/>
          <w:sz w:val="32"/>
          <w:szCs w:val="32"/>
          <w14:textFill>
            <w14:solidFill>
              <w14:schemeClr w14:val="tx1"/>
            </w14:solidFill>
          </w14:textFill>
        </w:rPr>
        <w:t>诉讼应诉工作,组织实施地方农村水利管理工作；负责全县河道砂石管理</w:t>
      </w:r>
      <w:r>
        <w:rPr>
          <w:rFonts w:hint="eastAsia" w:ascii="仿宋_GB2312" w:hAnsi="仿宋_GB2312" w:eastAsia="仿宋_GB2312" w:cs="仿宋_GB2312"/>
          <w:color w:val="000000" w:themeColor="text1"/>
          <w:spacing w:val="20"/>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16"/>
          <w:sz w:val="32"/>
          <w:szCs w:val="32"/>
          <w14:textFill>
            <w14:solidFill>
              <w14:schemeClr w14:val="tx1"/>
            </w14:solidFill>
          </w14:textFill>
        </w:rPr>
        <w:t>河、湖管理工作</w:t>
      </w:r>
      <w:r>
        <w:rPr>
          <w:rFonts w:hint="eastAsia" w:ascii="仿宋_GB2312" w:hAnsi="仿宋_GB2312" w:eastAsia="仿宋_GB2312" w:cs="仿宋_GB2312"/>
          <w:color w:val="000000" w:themeColor="text1"/>
          <w:spacing w:val="16"/>
          <w:sz w:val="32"/>
          <w:szCs w:val="32"/>
          <w:lang w:eastAsia="zh-CN"/>
          <w14:textFill>
            <w14:solidFill>
              <w14:schemeClr w14:val="tx1"/>
            </w14:solidFill>
          </w14:textFill>
        </w:rPr>
        <w:t>；</w:t>
      </w:r>
      <w:r>
        <w:rPr>
          <w:rFonts w:hint="eastAsia" w:ascii="仿宋_GB2312" w:hAnsi="仿宋_GB2312" w:eastAsia="仿宋_GB2312" w:cs="仿宋_GB2312"/>
          <w:color w:val="000000" w:themeColor="text1"/>
          <w:spacing w:val="16"/>
          <w:sz w:val="32"/>
          <w:szCs w:val="32"/>
          <w14:textFill>
            <w14:solidFill>
              <w14:schemeClr w14:val="tx1"/>
            </w14:solidFill>
          </w14:textFill>
        </w:rPr>
        <w:t>负责全县水土保持预防监督、水</w:t>
      </w:r>
      <w:r>
        <w:rPr>
          <w:rFonts w:hint="eastAsia" w:ascii="仿宋_GB2312" w:hAnsi="仿宋_GB2312" w:eastAsia="仿宋_GB2312" w:cs="仿宋_GB2312"/>
          <w:color w:val="000000" w:themeColor="text1"/>
          <w:spacing w:val="15"/>
          <w:sz w:val="32"/>
          <w:szCs w:val="32"/>
          <w14:textFill>
            <w14:solidFill>
              <w14:schemeClr w14:val="tx1"/>
            </w14:solidFill>
          </w14:textFill>
        </w:rPr>
        <w:t>土流失监测、水土流失综</w:t>
      </w:r>
      <w:r>
        <w:rPr>
          <w:rFonts w:hint="eastAsia" w:ascii="仿宋_GB2312" w:hAnsi="仿宋_GB2312" w:eastAsia="仿宋_GB2312" w:cs="仿宋_GB2312"/>
          <w:color w:val="000000" w:themeColor="text1"/>
          <w:spacing w:val="13"/>
          <w:sz w:val="32"/>
          <w:szCs w:val="32"/>
          <w14:textFill>
            <w14:solidFill>
              <w14:schemeClr w14:val="tx1"/>
            </w14:solidFill>
          </w14:textFill>
        </w:rPr>
        <w:t>合治理工作；指导重点水土保持建设项目的实施;承办县委、县政</w:t>
      </w:r>
      <w:r>
        <w:rPr>
          <w:rFonts w:hint="eastAsia" w:ascii="仿宋_GB2312" w:hAnsi="仿宋_GB2312" w:eastAsia="仿宋_GB2312" w:cs="仿宋_GB2312"/>
          <w:color w:val="000000" w:themeColor="text1"/>
          <w:spacing w:val="12"/>
          <w:sz w:val="32"/>
          <w:szCs w:val="32"/>
          <w14:textFill>
            <w14:solidFill>
              <w14:schemeClr w14:val="tx1"/>
            </w14:solidFill>
          </w14:textFill>
        </w:rPr>
        <w:t>府交办的其</w:t>
      </w:r>
      <w:r>
        <w:rPr>
          <w:rFonts w:hint="eastAsia" w:ascii="仿宋_GB2312" w:hAnsi="仿宋_GB2312" w:eastAsia="仿宋_GB2312" w:cs="仿宋_GB2312"/>
          <w:color w:val="000000" w:themeColor="text1"/>
          <w:spacing w:val="4"/>
          <w:sz w:val="32"/>
          <w:szCs w:val="32"/>
          <w14:textFill>
            <w14:solidFill>
              <w14:schemeClr w14:val="tx1"/>
            </w14:solidFill>
          </w14:textFill>
        </w:rPr>
        <w:t>他事项。</w:t>
      </w:r>
    </w:p>
    <w:p w14:paraId="527332C7">
      <w:pPr>
        <w:keepNext w:val="0"/>
        <w:keepLines w:val="0"/>
        <w:pageBreakBefore w:val="0"/>
        <w:widowControl w:val="0"/>
        <w:kinsoku/>
        <w:wordWrap w:val="0"/>
        <w:overflowPunct/>
        <w:topLinePunct w:val="0"/>
        <w:autoSpaceDE/>
        <w:autoSpaceDN/>
        <w:bidi w:val="0"/>
        <w:spacing w:line="560" w:lineRule="exact"/>
        <w:ind w:firstLine="616" w:firstLineChars="200"/>
        <w:jc w:val="both"/>
        <w:outlineLvl w:val="3"/>
        <w:rPr>
          <w:rFonts w:ascii="微软雅黑" w:hAnsi="微软雅黑" w:eastAsia="微软雅黑" w:cs="微软雅黑"/>
          <w:color w:val="000000" w:themeColor="text1"/>
          <w:sz w:val="31"/>
          <w:szCs w:val="31"/>
          <w14:textFill>
            <w14:solidFill>
              <w14:schemeClr w14:val="tx1"/>
            </w14:solidFill>
          </w14:textFill>
        </w:rPr>
      </w:pPr>
      <w:r>
        <w:rPr>
          <w:rFonts w:ascii="微软雅黑" w:hAnsi="微软雅黑" w:eastAsia="微软雅黑" w:cs="微软雅黑"/>
          <w:b/>
          <w:bCs/>
          <w:color w:val="000000" w:themeColor="text1"/>
          <w:spacing w:val="-1"/>
          <w:sz w:val="31"/>
          <w:szCs w:val="31"/>
          <w14:textFill>
            <w14:solidFill>
              <w14:schemeClr w14:val="tx1"/>
            </w14:solidFill>
          </w14:textFill>
        </w:rPr>
        <w:t>（二）当年重点工作</w:t>
      </w:r>
    </w:p>
    <w:p w14:paraId="1FB8E977">
      <w:pPr>
        <w:keepNext w:val="0"/>
        <w:keepLines w:val="0"/>
        <w:pageBreakBefore w:val="0"/>
        <w:widowControl w:val="0"/>
        <w:kinsoku/>
        <w:wordWrap w:val="0"/>
        <w:overflowPunct/>
        <w:topLinePunct w:val="0"/>
        <w:autoSpaceDE/>
        <w:autoSpaceDN/>
        <w:bidi w:val="0"/>
        <w:snapToGrid/>
        <w:spacing w:line="560" w:lineRule="exact"/>
        <w:ind w:firstLine="643" w:firstLineChars="200"/>
        <w:jc w:val="both"/>
        <w:textAlignment w:val="auto"/>
        <w:rPr>
          <w:rFonts w:hint="eastAsia" w:ascii="仿宋_GB2312" w:hAnsi="仿宋_GB2312" w:eastAsia="仿宋_GB2312" w:cs="仿宋_GB2312"/>
          <w:b/>
          <w:bCs/>
          <w:snapToGrid w:val="0"/>
          <w:color w:val="000000"/>
          <w:kern w:val="2"/>
          <w:sz w:val="32"/>
          <w:szCs w:val="32"/>
          <w:lang w:val="en-US" w:eastAsia="zh-CN" w:bidi="ar-SA"/>
        </w:rPr>
      </w:pPr>
      <w:r>
        <w:rPr>
          <w:rFonts w:hint="eastAsia" w:ascii="仿宋_GB2312" w:hAnsi="仿宋_GB2312" w:eastAsia="仿宋_GB2312" w:cs="仿宋_GB2312"/>
          <w:b/>
          <w:bCs/>
          <w:snapToGrid w:val="0"/>
          <w:color w:val="000000"/>
          <w:kern w:val="2"/>
          <w:sz w:val="32"/>
          <w:szCs w:val="32"/>
          <w:lang w:val="en-US" w:eastAsia="zh-CN" w:bidi="ar-SA"/>
        </w:rPr>
        <w:t>1.河湖长制工作</w:t>
      </w:r>
    </w:p>
    <w:p w14:paraId="2266BFE4">
      <w:pPr>
        <w:pStyle w:val="5"/>
        <w:keepNext w:val="0"/>
        <w:keepLines w:val="0"/>
        <w:pageBreakBefore w:val="0"/>
        <w:numPr>
          <w:ilvl w:val="0"/>
          <w:numId w:val="0"/>
        </w:numPr>
        <w:kinsoku/>
        <w:wordWrap/>
        <w:overflowPunct/>
        <w:topLinePunct w:val="0"/>
        <w:autoSpaceDE/>
        <w:autoSpaceDN/>
        <w:bidi w:val="0"/>
        <w:adjustRightInd/>
        <w:snapToGrid/>
        <w:spacing w:after="0" w:line="560" w:lineRule="exact"/>
        <w:ind w:firstLine="643"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1</w:t>
      </w:r>
      <w:r>
        <w:rPr>
          <w:rFonts w:hint="eastAsia"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.制定“任务书”，把好巡河导向。</w:t>
      </w:r>
      <w:r>
        <w:rPr>
          <w:rFonts w:hint="eastAsia" w:ascii="仿宋_GB2312" w:hAnsi="仿宋_GB2312" w:eastAsia="仿宋_GB2312" w:cs="仿宋_GB2312"/>
          <w:kern w:val="2"/>
          <w:sz w:val="32"/>
          <w:szCs w:val="32"/>
          <w:lang w:val="en-US" w:eastAsia="zh-CN" w:bidi="ar-SA"/>
        </w:rPr>
        <w:t>成立领导小组，健全巡河制度，明确15名县级、72名乡镇级河长作为包干河道第一责任人，履行管、治、保“三位一体”职责，并将工作纳入年底目标考核，按月通报进展。目前已对县域内河道共计巡护2362次。</w:t>
      </w:r>
    </w:p>
    <w:p w14:paraId="6422E82E">
      <w:pPr>
        <w:pStyle w:val="5"/>
        <w:keepNext w:val="0"/>
        <w:keepLines w:val="0"/>
        <w:pageBreakBefore w:val="0"/>
        <w:numPr>
          <w:ilvl w:val="0"/>
          <w:numId w:val="0"/>
        </w:numPr>
        <w:kinsoku/>
        <w:wordWrap/>
        <w:overflowPunct/>
        <w:topLinePunct w:val="0"/>
        <w:autoSpaceDE/>
        <w:autoSpaceDN/>
        <w:bidi w:val="0"/>
        <w:adjustRightInd/>
        <w:snapToGrid/>
        <w:spacing w:after="0" w:line="560" w:lineRule="exact"/>
        <w:ind w:firstLine="643"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2</w:t>
      </w:r>
      <w:r>
        <w:rPr>
          <w:rFonts w:hint="eastAsia"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.布设“高压线”，强化依法治理。一是</w:t>
      </w:r>
      <w:r>
        <w:rPr>
          <w:rFonts w:hint="eastAsia" w:ascii="仿宋_GB2312" w:hAnsi="仿宋_GB2312" w:eastAsia="仿宋_GB2312" w:cs="仿宋_GB2312"/>
          <w:kern w:val="2"/>
          <w:sz w:val="32"/>
          <w:szCs w:val="32"/>
          <w:lang w:val="en-US" w:eastAsia="zh-CN" w:bidi="ar-SA"/>
        </w:rPr>
        <w:t>常态化开展河湖“清四乱”工作。目前拟开展完成卫星遥感图斑整改复核问题153个，预计在年底前完成全部问题的复核。</w:t>
      </w:r>
      <w:r>
        <w:rPr>
          <w:rFonts w:hint="eastAsia" w:ascii="仿宋_GB2312" w:hAnsi="仿宋_GB2312" w:eastAsia="仿宋_GB2312" w:cs="仿宋_GB2312"/>
          <w:b/>
          <w:bCs/>
          <w:kern w:val="2"/>
          <w:sz w:val="32"/>
          <w:szCs w:val="32"/>
          <w:lang w:val="en-US" w:eastAsia="zh-CN" w:bidi="ar-SA"/>
        </w:rPr>
        <w:t>二是</w:t>
      </w:r>
      <w:r>
        <w:rPr>
          <w:rFonts w:hint="eastAsia" w:ascii="仿宋_GB2312" w:hAnsi="仿宋_GB2312" w:eastAsia="仿宋_GB2312" w:cs="仿宋_GB2312"/>
          <w:kern w:val="2"/>
          <w:sz w:val="32"/>
          <w:szCs w:val="32"/>
          <w:lang w:val="en-US" w:eastAsia="zh-CN" w:bidi="ar-SA"/>
        </w:rPr>
        <w:t>切实加大涉水生态环境监管力度，制止纠正水事违法行为，依法查处无证采砂等行为，查处工程质量类案件1起、行政处罚15万元，并督促其整改。</w:t>
      </w:r>
    </w:p>
    <w:p w14:paraId="0E0C64EF">
      <w:pPr>
        <w:pStyle w:val="5"/>
        <w:keepNext w:val="0"/>
        <w:keepLines w:val="0"/>
        <w:pageBreakBefore w:val="0"/>
        <w:numPr>
          <w:ilvl w:val="0"/>
          <w:numId w:val="0"/>
        </w:numPr>
        <w:kinsoku/>
        <w:wordWrap/>
        <w:overflowPunct/>
        <w:topLinePunct w:val="0"/>
        <w:autoSpaceDE/>
        <w:autoSpaceDN/>
        <w:bidi w:val="0"/>
        <w:adjustRightInd/>
        <w:snapToGrid/>
        <w:spacing w:after="0" w:line="560" w:lineRule="exact"/>
        <w:ind w:firstLine="643"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3</w:t>
      </w:r>
      <w:r>
        <w:rPr>
          <w:rFonts w:hint="eastAsia" w:hAnsi="仿宋_GB2312" w:eastAsia="仿宋_GB2312" w:cs="仿宋_GB2312"/>
          <w:b/>
          <w:bCs/>
          <w:kern w:val="2"/>
          <w:sz w:val="32"/>
          <w:szCs w:val="32"/>
          <w:lang w:val="en-US" w:eastAsia="zh-CN" w:bidi="ar-SA"/>
        </w:rPr>
        <w:t>）</w:t>
      </w:r>
      <w:r>
        <w:rPr>
          <w:rFonts w:hint="eastAsia" w:ascii="仿宋_GB2312" w:hAnsi="仿宋_GB2312" w:eastAsia="仿宋_GB2312" w:cs="仿宋_GB2312"/>
          <w:b/>
          <w:bCs/>
          <w:kern w:val="2"/>
          <w:sz w:val="32"/>
          <w:szCs w:val="32"/>
          <w:lang w:val="en-US" w:eastAsia="zh-CN" w:bidi="ar-SA"/>
        </w:rPr>
        <w:t>.打造“强磁场”，丰富活动载体。</w:t>
      </w:r>
      <w:r>
        <w:rPr>
          <w:rFonts w:hint="eastAsia" w:ascii="仿宋_GB2312" w:hAnsi="仿宋_GB2312" w:eastAsia="仿宋_GB2312" w:cs="仿宋_GB2312"/>
          <w:kern w:val="2"/>
          <w:sz w:val="32"/>
          <w:szCs w:val="32"/>
          <w:lang w:val="en-US" w:eastAsia="zh-CN" w:bidi="ar-SA"/>
        </w:rPr>
        <w:t>全县充分发挥党员先锋作用，结合黄河上游“全域全员全天”生态环境综合治理——“守护母亲河，我们在行动”、“党员活动日”、“爱国卫生月”等活动，组织党员干部、群众、妇女志愿者集中开展环境整治活动2次，共出动干部群众1000余人次参与参与河道清淤、垃圾清除等，清理垃圾10余吨，有效美化水域环境，推动河湖面貌持续改善。</w:t>
      </w:r>
    </w:p>
    <w:p w14:paraId="79858C3C">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2.农村安全饮水</w:t>
      </w:r>
    </w:p>
    <w:p w14:paraId="01B189C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1</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.做好农村供水高质量发展项目入库。</w:t>
      </w:r>
      <w:r>
        <w:rPr>
          <w:rFonts w:hint="eastAsia" w:ascii="仿宋_GB2312" w:hAnsi="仿宋_GB2312" w:eastAsia="仿宋_GB2312" w:cs="仿宋_GB2312"/>
          <w:sz w:val="32"/>
          <w:szCs w:val="32"/>
        </w:rPr>
        <w:t>编制《红原县农村供水高质量发展三年提升实施方案（2025年-2027年）》，</w:t>
      </w:r>
      <w:r>
        <w:rPr>
          <w:rFonts w:hint="eastAsia" w:ascii="仿宋_GB2312" w:hAnsi="仿宋_GB2312" w:eastAsia="仿宋_GB2312" w:cs="仿宋_GB2312"/>
          <w:sz w:val="32"/>
          <w:szCs w:val="32"/>
          <w:lang w:eastAsia="zh-CN"/>
        </w:rPr>
        <w:t>已</w:t>
      </w:r>
      <w:r>
        <w:rPr>
          <w:rFonts w:hint="eastAsia" w:ascii="仿宋_GB2312" w:hAnsi="仿宋_GB2312" w:eastAsia="仿宋_GB2312" w:cs="仿宋_GB2312"/>
          <w:sz w:val="32"/>
          <w:szCs w:val="32"/>
        </w:rPr>
        <w:t>通过省、州分级审查，</w:t>
      </w:r>
      <w:r>
        <w:rPr>
          <w:rFonts w:hint="eastAsia" w:ascii="仿宋_GB2312" w:hAnsi="仿宋_GB2312" w:eastAsia="仿宋_GB2312" w:cs="仿宋_GB2312"/>
          <w:sz w:val="32"/>
          <w:szCs w:val="32"/>
          <w:lang w:eastAsia="zh-CN"/>
        </w:rPr>
        <w:t>其中</w:t>
      </w:r>
      <w:r>
        <w:rPr>
          <w:rFonts w:hint="eastAsia" w:ascii="仿宋_GB2312" w:hAnsi="仿宋_GB2312" w:eastAsia="仿宋_GB2312" w:cs="仿宋_GB2312"/>
          <w:sz w:val="32"/>
          <w:szCs w:val="32"/>
        </w:rPr>
        <w:t>28个项目均纳入四川省农村供水高质量发展三年提升项目清单，为争取资金提供</w:t>
      </w:r>
      <w:r>
        <w:rPr>
          <w:rFonts w:hint="eastAsia" w:ascii="仿宋_GB2312" w:hAnsi="仿宋_GB2312" w:eastAsia="仿宋_GB2312" w:cs="仿宋_GB2312"/>
          <w:sz w:val="32"/>
          <w:szCs w:val="32"/>
          <w:lang w:eastAsia="zh-CN"/>
        </w:rPr>
        <w:t>规划</w:t>
      </w:r>
      <w:r>
        <w:rPr>
          <w:rFonts w:hint="eastAsia" w:ascii="仿宋_GB2312" w:hAnsi="仿宋_GB2312" w:eastAsia="仿宋_GB2312" w:cs="仿宋_GB2312"/>
          <w:sz w:val="32"/>
          <w:szCs w:val="32"/>
        </w:rPr>
        <w:t>依据。</w:t>
      </w:r>
    </w:p>
    <w:p w14:paraId="7649710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抓好项目补短工程。</w:t>
      </w:r>
      <w:r>
        <w:rPr>
          <w:rFonts w:hint="eastAsia" w:ascii="仿宋_GB2312" w:hAnsi="仿宋_GB2312" w:eastAsia="仿宋_GB2312" w:cs="仿宋_GB2312"/>
          <w:sz w:val="32"/>
          <w:szCs w:val="32"/>
          <w:lang w:eastAsia="zh-CN"/>
        </w:rPr>
        <w:t>以</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rPr>
        <w:t>牵引，多渠道争取资金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乡村振兴衔接资金983.26万元、其他资金150万元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实施红原县色地镇安全饮水补短板建设4</w:t>
      </w:r>
      <w:r>
        <w:rPr>
          <w:rFonts w:hint="eastAsia" w:ascii="仿宋_GB2312" w:hAnsi="仿宋_GB2312" w:eastAsia="仿宋_GB2312" w:cs="仿宋_GB2312"/>
          <w:sz w:val="32"/>
          <w:szCs w:val="32"/>
          <w:lang w:eastAsia="zh-CN"/>
        </w:rPr>
        <w:t>项，</w:t>
      </w:r>
      <w:r>
        <w:rPr>
          <w:rFonts w:hint="eastAsia" w:ascii="仿宋_GB2312" w:hAnsi="仿宋_GB2312" w:eastAsia="仿宋_GB2312" w:cs="仿宋_GB2312"/>
          <w:sz w:val="32"/>
          <w:szCs w:val="32"/>
        </w:rPr>
        <w:t>按照主体工程完成10月全县水厂、水源地清淤等运维，</w:t>
      </w:r>
      <w:r>
        <w:rPr>
          <w:rFonts w:hint="eastAsia" w:ascii="仿宋_GB2312" w:hAnsi="仿宋_GB2312" w:eastAsia="仿宋_GB2312" w:cs="仿宋_GB2312"/>
          <w:sz w:val="32"/>
          <w:szCs w:val="32"/>
          <w:lang w:eastAsia="zh-CN"/>
        </w:rPr>
        <w:t>落实</w:t>
      </w:r>
      <w:r>
        <w:rPr>
          <w:rFonts w:hint="eastAsia" w:ascii="仿宋_GB2312" w:hAnsi="仿宋_GB2312" w:eastAsia="仿宋_GB2312" w:cs="仿宋_GB2312"/>
          <w:sz w:val="32"/>
          <w:szCs w:val="32"/>
        </w:rPr>
        <w:t>2025-2027年农村饮水运维项目。</w:t>
      </w:r>
    </w:p>
    <w:p w14:paraId="38ECCFB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3</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b/>
          <w:bCs/>
          <w:sz w:val="32"/>
          <w:szCs w:val="32"/>
        </w:rPr>
        <w:t>.重点解决突出问题。一是</w:t>
      </w:r>
      <w:r>
        <w:rPr>
          <w:rFonts w:hint="eastAsia" w:ascii="仿宋_GB2312" w:hAnsi="仿宋_GB2312" w:eastAsia="仿宋_GB2312" w:cs="仿宋_GB2312"/>
          <w:sz w:val="32"/>
          <w:szCs w:val="32"/>
        </w:rPr>
        <w:t>依托“1+1+10+10”农村供水管护机制，持续开展农村饮水安全常态动态排查整改。</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签订县域统管2025年运行管护合同，协同生态环境局、属地乡村、第三方服务公司再次开展摸底，加快标准化服务点建设。</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严格按照全州农村供水水质及运行管护“双提升”专题会议要求，协同县卫生健康局、县疾控中心</w:t>
      </w:r>
      <w:r>
        <w:rPr>
          <w:rFonts w:hint="eastAsia" w:ascii="仿宋_GB2312" w:hAnsi="仿宋_GB2312" w:eastAsia="仿宋_GB2312" w:cs="仿宋_GB2312"/>
          <w:sz w:val="32"/>
          <w:szCs w:val="32"/>
          <w:lang w:eastAsia="zh-CN"/>
        </w:rPr>
        <w:t>使用</w:t>
      </w:r>
      <w:r>
        <w:rPr>
          <w:rFonts w:hint="eastAsia" w:ascii="仿宋_GB2312" w:hAnsi="仿宋_GB2312" w:eastAsia="仿宋_GB2312" w:cs="仿宋_GB2312"/>
          <w:sz w:val="32"/>
          <w:szCs w:val="32"/>
        </w:rPr>
        <w:t>“两步法”做好2025年水质监测工作。</w:t>
      </w:r>
      <w:r>
        <w:rPr>
          <w:rFonts w:hint="eastAsia" w:ascii="仿宋_GB2312" w:hAnsi="仿宋_GB2312" w:eastAsia="仿宋_GB2312" w:cs="仿宋_GB2312"/>
          <w:b/>
          <w:bCs/>
          <w:sz w:val="32"/>
          <w:szCs w:val="32"/>
        </w:rPr>
        <w:t>四是</w:t>
      </w:r>
      <w:r>
        <w:rPr>
          <w:rFonts w:hint="eastAsia" w:ascii="仿宋_GB2312" w:hAnsi="仿宋_GB2312" w:eastAsia="仿宋_GB2312" w:cs="仿宋_GB2312"/>
          <w:sz w:val="32"/>
          <w:szCs w:val="32"/>
        </w:rPr>
        <w:t>开展通水检测，</w:t>
      </w:r>
      <w:r>
        <w:rPr>
          <w:rFonts w:hint="eastAsia" w:ascii="仿宋_GB2312" w:hAnsi="仿宋_GB2312" w:eastAsia="仿宋_GB2312" w:cs="仿宋_GB2312"/>
          <w:sz w:val="32"/>
          <w:szCs w:val="32"/>
          <w:lang w:eastAsia="zh-CN"/>
        </w:rPr>
        <w:t>做</w:t>
      </w:r>
      <w:r>
        <w:rPr>
          <w:rFonts w:hint="eastAsia" w:ascii="仿宋_GB2312" w:hAnsi="仿宋_GB2312" w:eastAsia="仿宋_GB2312" w:cs="仿宋_GB2312"/>
          <w:sz w:val="32"/>
          <w:szCs w:val="32"/>
        </w:rPr>
        <w:t>好龙日坝配水管网项目收尾工作，实现龙日坝村和安曲机场分散供水。</w:t>
      </w:r>
    </w:p>
    <w:p w14:paraId="7DAF2535">
      <w:pPr>
        <w:pStyle w:val="3"/>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color w:val="000000"/>
          <w:kern w:val="2"/>
          <w:sz w:val="32"/>
          <w:szCs w:val="32"/>
          <w:lang w:val="en-US" w:eastAsia="zh-CN" w:bidi="ar-SA"/>
        </w:rPr>
        <w:t>（4）.持续抓好水美新村建设工作。</w:t>
      </w:r>
      <w:r>
        <w:rPr>
          <w:rFonts w:hint="eastAsia" w:ascii="仿宋_GB2312" w:hAnsi="仿宋_GB2312" w:eastAsia="仿宋_GB2312" w:cs="仿宋_GB2312"/>
          <w:color w:val="000000"/>
          <w:kern w:val="2"/>
          <w:sz w:val="32"/>
          <w:szCs w:val="32"/>
          <w:lang w:val="en-US" w:eastAsia="zh-CN" w:bidi="ar-SA"/>
        </w:rPr>
        <w:t>因地制宜推进邛溪镇玛萨村“水清、岸绿、景美、村兴”水美新村建设。目前，邛溪镇防灾减灾防洪治理项目完成工程量80%，玛萨达格龙饮水巩固提升项目2个取水口构筑物和水厂清水池完成，完成工程量70%。</w:t>
      </w:r>
    </w:p>
    <w:p w14:paraId="390B7FF7">
      <w:pPr>
        <w:pStyle w:val="3"/>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b/>
          <w:bCs/>
          <w:color w:val="000000"/>
          <w:kern w:val="2"/>
          <w:sz w:val="32"/>
          <w:szCs w:val="32"/>
          <w:lang w:val="en-US" w:eastAsia="zh-CN" w:bidi="ar-SA"/>
        </w:rPr>
        <w:t>（5）.做好乡村水务建设申报工作。</w:t>
      </w:r>
      <w:r>
        <w:rPr>
          <w:rFonts w:hint="eastAsia" w:ascii="仿宋_GB2312" w:hAnsi="仿宋_GB2312" w:eastAsia="仿宋_GB2312" w:cs="仿宋_GB2312"/>
          <w:kern w:val="0"/>
          <w:sz w:val="32"/>
          <w:szCs w:val="32"/>
          <w:lang w:val="en-US" w:eastAsia="zh-CN" w:bidi="ar"/>
        </w:rPr>
        <w:t>紧扣供水入户、水量保障、水质达标、管理规范等目标，积极申报乡村水务百县、百乡百村建设。经过初审初评、终审终评和远程答辩，红原县成功申报乡村水务建设镇2个，乡村水务建设村1个。</w:t>
      </w:r>
    </w:p>
    <w:p w14:paraId="10171714">
      <w:pPr>
        <w:keepNext w:val="0"/>
        <w:keepLines w:val="0"/>
        <w:pageBreakBefore w:val="0"/>
        <w:widowControl w:val="0"/>
        <w:kinsoku/>
        <w:wordWrap w:val="0"/>
        <w:overflowPunct/>
        <w:topLinePunct w:val="0"/>
        <w:autoSpaceDE/>
        <w:autoSpaceDN/>
        <w:bidi w:val="0"/>
        <w:snapToGrid/>
        <w:spacing w:line="560" w:lineRule="exact"/>
        <w:ind w:firstLine="643" w:firstLineChars="200"/>
        <w:jc w:val="both"/>
        <w:textAlignment w:val="auto"/>
        <w:rPr>
          <w:rFonts w:hint="default" w:ascii="仿宋_GB2312" w:hAnsi="仿宋_GB2312" w:eastAsia="仿宋_GB2312" w:cs="仿宋_GB2312"/>
          <w:b/>
          <w:bCs/>
          <w:snapToGrid w:val="0"/>
          <w:color w:val="000000"/>
          <w:kern w:val="2"/>
          <w:sz w:val="32"/>
          <w:szCs w:val="32"/>
          <w:lang w:val="en-US" w:eastAsia="zh-CN" w:bidi="ar-SA"/>
        </w:rPr>
      </w:pPr>
      <w:r>
        <w:rPr>
          <w:rFonts w:hint="eastAsia" w:ascii="仿宋_GB2312" w:hAnsi="仿宋_GB2312" w:eastAsia="仿宋_GB2312" w:cs="仿宋_GB2312"/>
          <w:b/>
          <w:bCs/>
          <w:snapToGrid w:val="0"/>
          <w:color w:val="000000"/>
          <w:kern w:val="2"/>
          <w:sz w:val="32"/>
          <w:szCs w:val="32"/>
          <w:lang w:val="en-US" w:eastAsia="zh-CN" w:bidi="ar-SA"/>
        </w:rPr>
        <w:t>3.水土保持工作</w:t>
      </w:r>
    </w:p>
    <w:p w14:paraId="52A410AE">
      <w:pPr>
        <w:pStyle w:val="5"/>
        <w:keepNext w:val="0"/>
        <w:keepLines w:val="0"/>
        <w:pageBreakBefore w:val="0"/>
        <w:numPr>
          <w:ilvl w:val="0"/>
          <w:numId w:val="0"/>
        </w:numPr>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加强与县域内涉及重点建设项目的业主单位沟通，进一步加强水土流失防治工作及相关政策的宣传，加快推进水土保持方案的编制审批工作。积极开展阿坝州黄河流域生产建设项目水土保持专项执法行动，开展川红高速水土保持现场踏勘。</w:t>
      </w:r>
    </w:p>
    <w:p w14:paraId="70CCAC0D">
      <w:pPr>
        <w:pStyle w:val="11"/>
        <w:keepNext w:val="0"/>
        <w:keepLines w:val="0"/>
        <w:pageBreakBefore w:val="0"/>
        <w:widowControl w:val="0"/>
        <w:kinsoku/>
        <w:wordWrap w:val="0"/>
        <w:overflowPunct/>
        <w:topLinePunct w:val="0"/>
        <w:autoSpaceDE/>
        <w:autoSpaceDN/>
        <w:bidi w:val="0"/>
        <w:adjustRightInd w:val="0"/>
        <w:snapToGrid/>
        <w:spacing w:line="560" w:lineRule="exact"/>
        <w:ind w:firstLine="643" w:firstLineChars="200"/>
        <w:jc w:val="both"/>
        <w:textAlignment w:val="auto"/>
        <w:rPr>
          <w:rFonts w:hint="default"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4.水资源工作</w:t>
      </w:r>
    </w:p>
    <w:p w14:paraId="5B626953">
      <w:pPr>
        <w:pStyle w:val="5"/>
        <w:keepNext w:val="0"/>
        <w:keepLines w:val="0"/>
        <w:pageBreakBefore w:val="0"/>
        <w:numPr>
          <w:ilvl w:val="0"/>
          <w:numId w:val="0"/>
        </w:numPr>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我县通过健全水行政执法与司法衔接机制，强化监管协作，严厉打击水土保持领域“未批先建”、“未批先改”、“未验先投”、“未批先弃”及非法取水、非法采砂等行为。开展水事纠纷集中排查化解工作，对辖区内水域进行了拉网式排查，重点排查了水资源开发利用、水工程建设与管理、河道采砂、水域岸线保护等可能引发水事纠纷的隐患和问题。完成我县黄河流域超许可取水、超计划取水、无证取水、非法取水的排查,重点排查清理管网覆盖范围内的违规取用水行为。全面摸排辖区内在运行1座电站生态流量泄放到位情况,抽查生态流量台账记录。结合日常管理及生态流量一站-策相关要求,核查生态流量泄放工程措施落实、监测监控设备运行状况,杜绝数据被人为破坏和造假等问题。</w:t>
      </w:r>
    </w:p>
    <w:p w14:paraId="51A1D284">
      <w:pPr>
        <w:keepNext w:val="0"/>
        <w:keepLines w:val="0"/>
        <w:pageBreakBefore w:val="0"/>
        <w:widowControl w:val="0"/>
        <w:numPr>
          <w:ilvl w:val="0"/>
          <w:numId w:val="0"/>
        </w:numPr>
        <w:kinsoku/>
        <w:wordWrap w:val="0"/>
        <w:overflowPunct/>
        <w:topLinePunct w:val="0"/>
        <w:autoSpaceDE/>
        <w:autoSpaceDN/>
        <w:bidi w:val="0"/>
        <w:snapToGrid/>
        <w:spacing w:line="560" w:lineRule="exact"/>
        <w:ind w:firstLine="643" w:firstLineChars="200"/>
        <w:jc w:val="both"/>
        <w:textAlignment w:val="auto"/>
        <w:rPr>
          <w:rFonts w:hint="eastAsia" w:ascii="楷体_GB2312" w:hAnsi="楷体_GB2312" w:eastAsia="楷体_GB2312" w:cs="楷体_GB2312"/>
          <w:b/>
          <w:bCs/>
          <w:color w:val="auto"/>
          <w:sz w:val="32"/>
          <w:szCs w:val="32"/>
          <w:lang w:eastAsia="zh-CN"/>
        </w:rPr>
      </w:pPr>
      <w:r>
        <w:rPr>
          <w:rFonts w:hint="eastAsia" w:ascii="楷体_GB2312" w:hAnsi="楷体_GB2312" w:eastAsia="楷体_GB2312" w:cs="楷体_GB2312"/>
          <w:b/>
          <w:bCs/>
          <w:color w:val="auto"/>
          <w:sz w:val="32"/>
          <w:szCs w:val="32"/>
          <w:lang w:val="en-US" w:eastAsia="zh-CN"/>
        </w:rPr>
        <w:t>5.</w:t>
      </w:r>
      <w:r>
        <w:rPr>
          <w:rFonts w:hint="eastAsia" w:ascii="楷体_GB2312" w:hAnsi="楷体_GB2312" w:eastAsia="楷体_GB2312" w:cs="楷体_GB2312"/>
          <w:b/>
          <w:bCs/>
          <w:color w:val="auto"/>
          <w:sz w:val="32"/>
          <w:szCs w:val="32"/>
          <w:lang w:eastAsia="zh-CN"/>
        </w:rPr>
        <w:t>防汛减灾工作</w:t>
      </w:r>
    </w:p>
    <w:p w14:paraId="6EC985E3">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lang w:eastAsia="zh-CN"/>
        </w:rPr>
        <w:t>加强监测预警，强化精准研判。一是</w:t>
      </w:r>
      <w:r>
        <w:rPr>
          <w:rFonts w:hint="eastAsia" w:ascii="仿宋_GB2312" w:hAnsi="仿宋_GB2312" w:eastAsia="仿宋_GB2312" w:cs="仿宋_GB2312"/>
          <w:sz w:val="32"/>
          <w:szCs w:val="32"/>
          <w:lang w:eastAsia="zh-CN"/>
        </w:rPr>
        <w:t>厉行每日会商研判制度，联合气象、自然资源等部门滚动会商，及时部署防范措施。</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sz w:val="32"/>
          <w:szCs w:val="32"/>
          <w:lang w:eastAsia="zh-CN"/>
        </w:rPr>
        <w:t>“人防、物防、技防”融合，以野外监测设备与群防群测体系实时监测雨情水情，重点加密远端隐患点、深沟山谷等关键区域。</w:t>
      </w:r>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sz w:val="32"/>
          <w:szCs w:val="32"/>
          <w:lang w:eastAsia="zh-CN"/>
        </w:rPr>
        <w:t>广播、短信、微信等多渠道结合“微网实格”机制，用汉藏双语精准推送暴雨、山洪等预警，领导带班、24小时值班，做到“喊醒叫应”。共发布预警4456条，有效避免伤亡损失。</w:t>
      </w:r>
    </w:p>
    <w:p w14:paraId="6E0AB361">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深化隐患排查，实现动态清零。一是</w:t>
      </w:r>
      <w:r>
        <w:rPr>
          <w:rFonts w:hint="eastAsia" w:ascii="仿宋_GB2312" w:hAnsi="仿宋_GB2312" w:eastAsia="仿宋_GB2312" w:cs="仿宋_GB2312"/>
          <w:sz w:val="32"/>
          <w:szCs w:val="32"/>
          <w:lang w:eastAsia="zh-CN"/>
        </w:rPr>
        <w:t>按照</w:t>
      </w:r>
      <w:r>
        <w:rPr>
          <w:rFonts w:hint="eastAsia" w:ascii="仿宋_GB2312" w:hAnsi="仿宋_GB2312" w:eastAsia="仿宋_GB2312" w:cs="仿宋_GB2312"/>
          <w:sz w:val="32"/>
          <w:szCs w:val="32"/>
        </w:rPr>
        <w:t>“汛期不过、排查不止”和“三查”要求，对在建涉水工程、堤防、低洼易涝区、山洪灾害危险区开展拉网式排查。</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建立台账，明确隐患整改责任与时限，实行动态销号；短期无法根治的，提前制定预案并落实专人盯守。</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及时排涝清淤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消杀防疫，严防衍生风险。</w:t>
      </w:r>
    </w:p>
    <w:p w14:paraId="0717195D">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rPr>
        <w:t>完善应急预案，提升应急能力。一是</w:t>
      </w:r>
      <w:r>
        <w:rPr>
          <w:rFonts w:hint="eastAsia" w:ascii="仿宋_GB2312" w:hAnsi="仿宋_GB2312" w:eastAsia="仿宋_GB2312" w:cs="仿宋_GB2312"/>
          <w:sz w:val="32"/>
          <w:szCs w:val="32"/>
        </w:rPr>
        <w:t>结合实际全面修订防汛总体预案、山洪灾害防御预案等，增强其科学性和针对性。</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开展演练，6月完成山洪危险区点对点演练，7月在刷经寺镇组织全县演练，检验预案可行性，提升部门协同和群众避险能力。</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强化无人机等现代化</w:t>
      </w:r>
      <w:r>
        <w:rPr>
          <w:rFonts w:hint="eastAsia" w:ascii="仿宋_GB2312" w:hAnsi="仿宋_GB2312" w:eastAsia="仿宋_GB2312" w:cs="仿宋_GB2312"/>
          <w:sz w:val="32"/>
          <w:szCs w:val="32"/>
          <w:lang w:eastAsia="zh-CN"/>
        </w:rPr>
        <w:t>设备</w:t>
      </w:r>
      <w:r>
        <w:rPr>
          <w:rFonts w:hint="eastAsia" w:ascii="仿宋_GB2312" w:hAnsi="仿宋_GB2312" w:eastAsia="仿宋_GB2312" w:cs="仿宋_GB2312"/>
          <w:sz w:val="32"/>
          <w:szCs w:val="32"/>
        </w:rPr>
        <w:t>应用，提高监测、识别和处置效率。</w:t>
      </w:r>
      <w:r>
        <w:rPr>
          <w:rFonts w:hint="eastAsia" w:ascii="仿宋_GB2312" w:hAnsi="仿宋_GB2312" w:eastAsia="仿宋_GB2312" w:cs="仿宋_GB2312"/>
          <w:b/>
          <w:bCs/>
          <w:sz w:val="32"/>
          <w:szCs w:val="32"/>
          <w:lang w:eastAsia="zh-CN"/>
        </w:rPr>
        <w:t>四是</w:t>
      </w:r>
      <w:r>
        <w:rPr>
          <w:rFonts w:hint="eastAsia" w:ascii="仿宋_GB2312" w:hAnsi="仿宋_GB2312" w:eastAsia="仿宋_GB2312" w:cs="仿宋_GB2312"/>
          <w:sz w:val="32"/>
          <w:szCs w:val="32"/>
        </w:rPr>
        <w:t>严格执行“三避让”“三个紧急撤离”刚性要求，细化人员转移方案，确保险情发生时“应转早转、应转尽转”。</w:t>
      </w:r>
    </w:p>
    <w:p w14:paraId="2C2E6E0C">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rPr>
        <w:t>压实责任链条，严明工作纪律。一是</w:t>
      </w:r>
      <w:r>
        <w:rPr>
          <w:rFonts w:hint="eastAsia" w:ascii="仿宋_GB2312" w:hAnsi="仿宋_GB2312" w:eastAsia="仿宋_GB2312" w:cs="仿宋_GB2312"/>
          <w:sz w:val="32"/>
          <w:szCs w:val="32"/>
        </w:rPr>
        <w:t>健全党政共管、逐级包保的责任体系，压实乡镇主体和行业监管责任，明确水库、山洪沟等关键点位责任人。</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严格执行24小时值班和领导AB岗带班制度。</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组建督导组对隐患整改、物资储备等工作开展常态化检查，</w:t>
      </w:r>
      <w:r>
        <w:rPr>
          <w:rFonts w:hint="eastAsia" w:ascii="仿宋_GB2312" w:hAnsi="仿宋_GB2312" w:eastAsia="仿宋_GB2312" w:cs="仿宋_GB2312"/>
          <w:sz w:val="32"/>
          <w:szCs w:val="32"/>
          <w:lang w:eastAsia="zh-CN"/>
        </w:rPr>
        <w:t>坚决</w:t>
      </w:r>
      <w:r>
        <w:rPr>
          <w:rFonts w:hint="eastAsia" w:ascii="仿宋_GB2312" w:hAnsi="仿宋_GB2312" w:eastAsia="仿宋_GB2312" w:cs="仿宋_GB2312"/>
          <w:sz w:val="32"/>
          <w:szCs w:val="32"/>
        </w:rPr>
        <w:t>推动措施落地。</w:t>
      </w:r>
    </w:p>
    <w:p w14:paraId="6E73688D">
      <w:pPr>
        <w:keepNext w:val="0"/>
        <w:keepLines w:val="0"/>
        <w:pageBreakBefore w:val="0"/>
        <w:widowControl w:val="0"/>
        <w:kinsoku/>
        <w:wordWrap w:val="0"/>
        <w:overflowPunct/>
        <w:topLinePunct w:val="0"/>
        <w:autoSpaceDE/>
        <w:autoSpaceDN/>
        <w:bidi w:val="0"/>
        <w:snapToGrid/>
        <w:spacing w:line="560" w:lineRule="exact"/>
        <w:ind w:firstLine="643" w:firstLineChars="200"/>
        <w:jc w:val="both"/>
        <w:textAlignment w:val="auto"/>
        <w:rPr>
          <w:rFonts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lang w:val="en-US" w:eastAsia="zh-CN"/>
        </w:rPr>
        <w:t>6.</w:t>
      </w:r>
      <w:r>
        <w:rPr>
          <w:rFonts w:hint="eastAsia" w:ascii="楷体_GB2312" w:hAnsi="楷体_GB2312" w:eastAsia="楷体_GB2312" w:cs="楷体_GB2312"/>
          <w:b/>
          <w:bCs/>
          <w:color w:val="auto"/>
          <w:sz w:val="32"/>
          <w:szCs w:val="32"/>
        </w:rPr>
        <w:t>重点项目工作</w:t>
      </w:r>
    </w:p>
    <w:p w14:paraId="1B8445FD">
      <w:pPr>
        <w:keepNext w:val="0"/>
        <w:keepLines w:val="0"/>
        <w:pageBreakBefore w:val="0"/>
        <w:widowControl w:val="0"/>
        <w:kinsoku/>
        <w:wordWrap w:val="0"/>
        <w:overflowPunct/>
        <w:topLinePunct w:val="0"/>
        <w:autoSpaceDE/>
        <w:autoSpaceDN/>
        <w:bidi w:val="0"/>
        <w:snapToGrid/>
        <w:spacing w:line="560" w:lineRule="exact"/>
        <w:ind w:firstLine="640" w:firstLineChars="200"/>
        <w:jc w:val="both"/>
        <w:textAlignment w:val="auto"/>
        <w:rPr>
          <w:rFonts w:hint="eastAsia" w:ascii="仿宋_GB2312" w:hAnsi="仿宋" w:eastAsia="仿宋_GB2312" w:cs="仿宋"/>
          <w:b w:val="0"/>
          <w:bCs/>
          <w:color w:val="C00000"/>
          <w:sz w:val="32"/>
          <w:szCs w:val="32"/>
          <w:lang w:val="en-US" w:eastAsia="zh-CN"/>
        </w:rPr>
      </w:pPr>
      <w:r>
        <w:rPr>
          <w:rFonts w:hint="eastAsia" w:ascii="仿宋_GB2312" w:hAnsi="仿宋" w:eastAsia="仿宋_GB2312" w:cs="仿宋"/>
          <w:b w:val="0"/>
          <w:bCs/>
          <w:color w:val="auto"/>
          <w:sz w:val="32"/>
          <w:szCs w:val="32"/>
          <w:lang w:val="en-US" w:eastAsia="zh-CN"/>
        </w:rPr>
        <w:t>我单位2025年重点项目共计4个，总投资3220.85万元。其中续建项目2个，争取项目2个。</w:t>
      </w:r>
    </w:p>
    <w:p w14:paraId="39D1AA93">
      <w:pPr>
        <w:pStyle w:val="3"/>
        <w:keepNext w:val="0"/>
        <w:keepLines w:val="0"/>
        <w:pageBreakBefore w:val="0"/>
        <w:widowControl w:val="0"/>
        <w:kinsoku/>
        <w:wordWrap w:val="0"/>
        <w:overflowPunct/>
        <w:topLinePunct w:val="0"/>
        <w:autoSpaceDE/>
        <w:autoSpaceDN/>
        <w:bidi w:val="0"/>
        <w:spacing w:line="560" w:lineRule="exact"/>
        <w:ind w:left="0" w:firstLine="612" w:firstLineChars="200"/>
        <w:jc w:val="both"/>
        <w:outlineLvl w:val="2"/>
        <w:rPr>
          <w:color w:val="auto"/>
          <w:sz w:val="31"/>
          <w:szCs w:val="31"/>
        </w:rPr>
      </w:pPr>
      <w:r>
        <w:rPr>
          <w:rFonts w:ascii="微软雅黑" w:hAnsi="微软雅黑" w:eastAsia="微软雅黑" w:cs="微软雅黑"/>
          <w:color w:val="auto"/>
          <w:spacing w:val="-2"/>
          <w:sz w:val="31"/>
          <w:szCs w:val="31"/>
        </w:rPr>
        <w:t>二、机</w:t>
      </w:r>
      <w:r>
        <w:rPr>
          <w:color w:val="auto"/>
          <w:spacing w:val="-2"/>
          <w:sz w:val="31"/>
          <w:szCs w:val="31"/>
        </w:rPr>
        <w:t>构设置</w:t>
      </w:r>
    </w:p>
    <w:p w14:paraId="0B344D1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红原县水务局下属二级预算单位2个，其中行政单位1个，参照公务员法管理的事业单位1个，其他事业单位0个。</w:t>
      </w:r>
    </w:p>
    <w:p w14:paraId="452B7FE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320" w:firstLineChars="1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纳入红原县水务局2025年度部门决算编制范围的二级预算单位包括：</w:t>
      </w:r>
    </w:p>
    <w:p w14:paraId="12EF04F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1. 红原县水务局机关</w:t>
      </w:r>
    </w:p>
    <w:p w14:paraId="36A3576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2. 红原县水务局事业</w:t>
      </w:r>
    </w:p>
    <w:p w14:paraId="0602399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人员情况，包括当年变动情况及原因。本单位本年度年末实有人数为23人，比上年增加4人；年末实有离退休人数为0人，比上年减少2人。年末实有其他人数为0人，比上年增加0人。</w:t>
      </w:r>
    </w:p>
    <w:p w14:paraId="25134D28">
      <w:pPr>
        <w:keepNext w:val="0"/>
        <w:keepLines w:val="0"/>
        <w:pageBreakBefore w:val="0"/>
        <w:widowControl w:val="0"/>
        <w:kinsoku/>
        <w:wordWrap w:val="0"/>
        <w:overflowPunct/>
        <w:topLinePunct w:val="0"/>
        <w:autoSpaceDE/>
        <w:autoSpaceDN/>
        <w:bidi w:val="0"/>
        <w:spacing w:line="560" w:lineRule="exact"/>
        <w:jc w:val="both"/>
        <w:rPr>
          <w:rFonts w:ascii="Arial"/>
          <w:color w:val="0000FF"/>
          <w:sz w:val="21"/>
        </w:rPr>
      </w:pPr>
    </w:p>
    <w:p w14:paraId="0A7BA550">
      <w:pPr>
        <w:keepNext w:val="0"/>
        <w:keepLines w:val="0"/>
        <w:pageBreakBefore w:val="0"/>
        <w:widowControl w:val="0"/>
        <w:kinsoku/>
        <w:wordWrap w:val="0"/>
        <w:overflowPunct/>
        <w:topLinePunct w:val="0"/>
        <w:autoSpaceDE/>
        <w:autoSpaceDN/>
        <w:bidi w:val="0"/>
        <w:spacing w:line="560" w:lineRule="exact"/>
        <w:jc w:val="both"/>
        <w:rPr>
          <w:rFonts w:ascii="Arial"/>
          <w:color w:val="000000" w:themeColor="text1"/>
          <w:sz w:val="21"/>
          <w14:textFill>
            <w14:solidFill>
              <w14:schemeClr w14:val="tx1"/>
            </w14:solidFill>
          </w14:textFill>
        </w:rPr>
      </w:pPr>
    </w:p>
    <w:p w14:paraId="41B5F957">
      <w:pPr>
        <w:keepNext w:val="0"/>
        <w:keepLines w:val="0"/>
        <w:pageBreakBefore w:val="0"/>
        <w:widowControl w:val="0"/>
        <w:kinsoku/>
        <w:wordWrap w:val="0"/>
        <w:overflowPunct/>
        <w:topLinePunct w:val="0"/>
        <w:autoSpaceDE/>
        <w:autoSpaceDN/>
        <w:bidi w:val="0"/>
        <w:spacing w:line="560" w:lineRule="exact"/>
        <w:jc w:val="center"/>
        <w:outlineLvl w:val="1"/>
        <w:rPr>
          <w:rFonts w:hint="eastAsia" w:ascii="黑体" w:hAnsi="黑体" w:eastAsia="黑体" w:cs="黑体"/>
          <w:color w:val="000000" w:themeColor="text1"/>
          <w:sz w:val="43"/>
          <w:szCs w:val="43"/>
          <w14:textFill>
            <w14:solidFill>
              <w14:schemeClr w14:val="tx1"/>
            </w14:solidFill>
          </w14:textFill>
        </w:rPr>
      </w:pPr>
      <w:r>
        <w:rPr>
          <w:rFonts w:hint="eastAsia" w:ascii="黑体" w:hAnsi="黑体" w:eastAsia="黑体" w:cs="黑体"/>
          <w:color w:val="000000" w:themeColor="text1"/>
          <w:spacing w:val="-1"/>
          <w:sz w:val="43"/>
          <w:szCs w:val="43"/>
          <w14:textFill>
            <w14:solidFill>
              <w14:schemeClr w14:val="tx1"/>
            </w14:solidFill>
          </w14:textFill>
        </w:rPr>
        <w:t>第二部分</w:t>
      </w:r>
      <w:r>
        <w:rPr>
          <w:rFonts w:hint="eastAsia" w:ascii="黑体" w:hAnsi="黑体" w:eastAsia="黑体" w:cs="黑体"/>
          <w:color w:val="000000" w:themeColor="text1"/>
          <w:spacing w:val="-1"/>
          <w:sz w:val="43"/>
          <w:szCs w:val="43"/>
          <w:lang w:val="en-US" w:eastAsia="zh-CN"/>
          <w14:textFill>
            <w14:solidFill>
              <w14:schemeClr w14:val="tx1"/>
            </w14:solidFill>
          </w14:textFill>
        </w:rPr>
        <w:t xml:space="preserve"> </w:t>
      </w:r>
      <w:r>
        <w:rPr>
          <w:rFonts w:hint="eastAsia" w:ascii="黑体" w:hAnsi="黑体" w:eastAsia="黑体" w:cs="黑体"/>
          <w:color w:val="000000" w:themeColor="text1"/>
          <w:spacing w:val="-1"/>
          <w:sz w:val="43"/>
          <w:szCs w:val="43"/>
          <w14:textFill>
            <w14:solidFill>
              <w14:schemeClr w14:val="tx1"/>
            </w14:solidFill>
          </w14:textFill>
        </w:rPr>
        <w:t>202</w:t>
      </w:r>
      <w:r>
        <w:rPr>
          <w:rFonts w:hint="eastAsia" w:ascii="黑体" w:hAnsi="黑体" w:eastAsia="黑体" w:cs="黑体"/>
          <w:color w:val="000000" w:themeColor="text1"/>
          <w:spacing w:val="-1"/>
          <w:sz w:val="43"/>
          <w:szCs w:val="43"/>
          <w:lang w:val="en-US" w:eastAsia="zh-CN"/>
          <w14:textFill>
            <w14:solidFill>
              <w14:schemeClr w14:val="tx1"/>
            </w14:solidFill>
          </w14:textFill>
        </w:rPr>
        <w:t>5</w:t>
      </w:r>
      <w:r>
        <w:rPr>
          <w:rFonts w:hint="eastAsia" w:ascii="黑体" w:hAnsi="黑体" w:eastAsia="黑体" w:cs="黑体"/>
          <w:color w:val="000000" w:themeColor="text1"/>
          <w:spacing w:val="-1"/>
          <w:sz w:val="43"/>
          <w:szCs w:val="43"/>
          <w14:textFill>
            <w14:solidFill>
              <w14:schemeClr w14:val="tx1"/>
            </w14:solidFill>
          </w14:textFill>
        </w:rPr>
        <w:t>年度部门决算情况说明</w:t>
      </w:r>
    </w:p>
    <w:p w14:paraId="0139EBFE">
      <w:pPr>
        <w:pStyle w:val="3"/>
        <w:keepNext w:val="0"/>
        <w:keepLines w:val="0"/>
        <w:pageBreakBefore w:val="0"/>
        <w:widowControl w:val="0"/>
        <w:kinsoku/>
        <w:wordWrap w:val="0"/>
        <w:overflowPunct/>
        <w:topLinePunct w:val="0"/>
        <w:autoSpaceDE/>
        <w:autoSpaceDN/>
        <w:bidi w:val="0"/>
        <w:adjustRightInd w:val="0"/>
        <w:snapToGrid w:val="0"/>
        <w:spacing w:line="560" w:lineRule="exact"/>
        <w:ind w:firstLine="640" w:firstLineChars="200"/>
        <w:jc w:val="both"/>
        <w:textAlignment w:val="baseline"/>
        <w:outlineLvl w:val="2"/>
        <w:rPr>
          <w:rFonts w:hint="eastAsia"/>
          <w:color w:val="000000" w:themeColor="text1"/>
          <w:spacing w:val="5"/>
          <w:sz w:val="31"/>
          <w:szCs w:val="31"/>
          <w:lang w:val="en-US" w:eastAsia="zh-CN"/>
          <w14:textFill>
            <w14:solidFill>
              <w14:schemeClr w14:val="tx1"/>
            </w14:solidFill>
          </w14:textFill>
        </w:rPr>
      </w:pPr>
      <w:r>
        <w:rPr>
          <w:rFonts w:hint="eastAsia"/>
          <w:color w:val="000000" w:themeColor="text1"/>
          <w:spacing w:val="5"/>
          <w:sz w:val="31"/>
          <w:szCs w:val="31"/>
          <w:lang w:val="en-US" w:eastAsia="zh-CN"/>
          <w14:textFill>
            <w14:solidFill>
              <w14:schemeClr w14:val="tx1"/>
            </w14:solidFill>
          </w14:textFill>
        </w:rPr>
        <w:t>一、收入支出决算总体情况说明</w:t>
      </w:r>
    </w:p>
    <w:p w14:paraId="105C91E7">
      <w:pPr>
        <w:keepNext w:val="0"/>
        <w:keepLines w:val="0"/>
        <w:pageBreakBefore w:val="0"/>
        <w:widowControl w:val="0"/>
        <w:kinsoku/>
        <w:wordWrap w:val="0"/>
        <w:overflowPunct/>
        <w:topLinePunct w:val="0"/>
        <w:autoSpaceDE/>
        <w:autoSpaceDN/>
        <w:bidi w:val="0"/>
        <w:adjustRightInd w:val="0"/>
        <w:snapToGrid w:val="0"/>
        <w:spacing w:line="560" w:lineRule="exact"/>
        <w:ind w:right="71" w:firstLine="640" w:firstLineChars="200"/>
        <w:jc w:val="both"/>
        <w:textAlignment w:val="baseline"/>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2025年度收、支总计均为4106.36万元。与2024年度相比，收、支总计各减少5040.12万元，下降55.10%。主要变动原因是项目减少。</w:t>
      </w:r>
    </w:p>
    <w:p w14:paraId="64F67C1A">
      <w:pPr>
        <w:keepNext w:val="0"/>
        <w:keepLines w:val="0"/>
        <w:pageBreakBefore w:val="0"/>
        <w:widowControl w:val="0"/>
        <w:kinsoku/>
        <w:wordWrap w:val="0"/>
        <w:overflowPunct/>
        <w:topLinePunct w:val="0"/>
        <w:autoSpaceDE/>
        <w:autoSpaceDN/>
        <w:bidi w:val="0"/>
        <w:spacing w:line="4551" w:lineRule="exact"/>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object>
          <v:shape id="_x0000_i1034" o:spt="75" alt="olechartimg_1791878417367740_384329984" type="#_x0000_t75" style="height:182.35pt;width:303.35pt;" o:ole="t" filled="f" o:preferrelative="t" stroked="f" coordsize="21600,21600">
            <v:path/>
            <v:fill on="f" focussize="0,0"/>
            <v:stroke on="f"/>
            <v:imagedata r:id="rId17" o:title="olechartimg_1791878417367740_384329984"/>
            <o:lock v:ext="edit" aspectratio="t"/>
            <w10:wrap type="none"/>
            <w10:anchorlock/>
          </v:shape>
          <o:OLEObject Type="Embed" ProgID="Excel.Chart.8" ShapeID="_x0000_i1034" DrawAspect="Content" ObjectID="_1468075725" r:id="rId16">
            <o:LockedField>false</o:LockedField>
          </o:OLEObject>
        </w:object>
      </w:r>
    </w:p>
    <w:p w14:paraId="3188BEEC">
      <w:pPr>
        <w:keepNext w:val="0"/>
        <w:keepLines w:val="0"/>
        <w:pageBreakBefore w:val="0"/>
        <w:widowControl w:val="0"/>
        <w:kinsoku/>
        <w:wordWrap w:val="0"/>
        <w:overflowPunct/>
        <w:topLinePunct w:val="0"/>
        <w:autoSpaceDE/>
        <w:autoSpaceDN/>
        <w:bidi w:val="0"/>
        <w:spacing w:before="10" w:line="226" w:lineRule="auto"/>
        <w:jc w:val="center"/>
        <w:rPr>
          <w:rFonts w:ascii="仿宋" w:hAnsi="仿宋" w:eastAsia="仿宋" w:cs="仿宋"/>
          <w:color w:val="000000" w:themeColor="text1"/>
          <w:sz w:val="31"/>
          <w:szCs w:val="31"/>
          <w14:textFill>
            <w14:solidFill>
              <w14:schemeClr w14:val="tx1"/>
            </w14:solidFill>
          </w14:textFill>
        </w:rPr>
      </w:pPr>
      <w:r>
        <w:rPr>
          <w:rFonts w:ascii="仿宋" w:hAnsi="仿宋" w:eastAsia="仿宋" w:cs="仿宋"/>
          <w:color w:val="000000" w:themeColor="text1"/>
          <w:spacing w:val="7"/>
          <w:sz w:val="31"/>
          <w:szCs w:val="31"/>
          <w14:textFill>
            <w14:solidFill>
              <w14:schemeClr w14:val="tx1"/>
            </w14:solidFill>
          </w14:textFill>
        </w:rPr>
        <w:t>（图1：收、支决算总计变动情况图</w:t>
      </w:r>
      <w:r>
        <w:rPr>
          <w:rFonts w:ascii="仿宋" w:hAnsi="仿宋" w:eastAsia="仿宋" w:cs="仿宋"/>
          <w:color w:val="000000" w:themeColor="text1"/>
          <w:spacing w:val="-9"/>
          <w:sz w:val="31"/>
          <w:szCs w:val="31"/>
          <w14:textFill>
            <w14:solidFill>
              <w14:schemeClr w14:val="tx1"/>
            </w14:solidFill>
          </w14:textFill>
        </w:rPr>
        <w:t>）（</w:t>
      </w:r>
      <w:r>
        <w:rPr>
          <w:rFonts w:ascii="仿宋" w:hAnsi="仿宋" w:eastAsia="仿宋" w:cs="仿宋"/>
          <w:color w:val="000000" w:themeColor="text1"/>
          <w:spacing w:val="7"/>
          <w:sz w:val="31"/>
          <w:szCs w:val="31"/>
          <w14:textFill>
            <w14:solidFill>
              <w14:schemeClr w14:val="tx1"/>
            </w14:solidFill>
          </w14:textFill>
        </w:rPr>
        <w:t>柱状图）</w:t>
      </w:r>
    </w:p>
    <w:p w14:paraId="10569E97">
      <w:pPr>
        <w:pStyle w:val="3"/>
        <w:keepNext w:val="0"/>
        <w:keepLines w:val="0"/>
        <w:pageBreakBefore w:val="0"/>
        <w:widowControl w:val="0"/>
        <w:kinsoku/>
        <w:wordWrap w:val="0"/>
        <w:overflowPunct/>
        <w:topLinePunct w:val="0"/>
        <w:autoSpaceDE/>
        <w:autoSpaceDN/>
        <w:bidi w:val="0"/>
        <w:adjustRightInd w:val="0"/>
        <w:snapToGrid w:val="0"/>
        <w:spacing w:before="97" w:line="560" w:lineRule="exact"/>
        <w:ind w:firstLine="640" w:firstLineChars="200"/>
        <w:jc w:val="both"/>
        <w:textAlignment w:val="baseline"/>
        <w:outlineLvl w:val="2"/>
        <w:rPr>
          <w:rFonts w:ascii="微软雅黑" w:hAnsi="微软雅黑" w:eastAsia="微软雅黑" w:cs="微软雅黑"/>
          <w:color w:val="000000" w:themeColor="text1"/>
          <w:sz w:val="31"/>
          <w:szCs w:val="31"/>
          <w14:textFill>
            <w14:solidFill>
              <w14:schemeClr w14:val="tx1"/>
            </w14:solidFill>
          </w14:textFill>
        </w:rPr>
      </w:pPr>
      <w:r>
        <w:rPr>
          <w:color w:val="000000" w:themeColor="text1"/>
          <w:spacing w:val="5"/>
          <w:sz w:val="31"/>
          <w:szCs w:val="31"/>
          <w14:textFill>
            <w14:solidFill>
              <w14:schemeClr w14:val="tx1"/>
            </w14:solidFill>
          </w14:textFill>
        </w:rPr>
        <w:t>二、收</w:t>
      </w:r>
      <w:r>
        <w:rPr>
          <w:rFonts w:ascii="微软雅黑" w:hAnsi="微软雅黑" w:eastAsia="微软雅黑" w:cs="微软雅黑"/>
          <w:color w:val="000000" w:themeColor="text1"/>
          <w:spacing w:val="5"/>
          <w:sz w:val="31"/>
          <w:szCs w:val="31"/>
          <w14:textFill>
            <w14:solidFill>
              <w14:schemeClr w14:val="tx1"/>
            </w14:solidFill>
          </w14:textFill>
        </w:rPr>
        <w:t>入决算情况说明</w:t>
      </w:r>
    </w:p>
    <w:p w14:paraId="581A2AF1">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2025年度本年收入合计</w:t>
      </w:r>
      <w:r>
        <w:rPr>
          <w:rFonts w:hint="eastAsia" w:ascii="仿宋_GB2312" w:hAnsi="仿宋_GB2312" w:eastAsia="仿宋_GB2312" w:cs="仿宋_GB2312"/>
          <w:snapToGrid w:val="0"/>
          <w:color w:val="auto"/>
          <w:kern w:val="0"/>
          <w:sz w:val="32"/>
          <w:szCs w:val="32"/>
          <w:lang w:val="en-US" w:eastAsia="zh-CN" w:bidi="ar-SA"/>
        </w:rPr>
        <w:t>4106.36</w:t>
      </w:r>
      <w:r>
        <w:rPr>
          <w:rFonts w:hint="eastAsia" w:ascii="仿宋_GB2312" w:hAnsi="仿宋_GB2312" w:eastAsia="仿宋_GB2312" w:cs="仿宋_GB2312"/>
          <w:color w:val="auto"/>
          <w:sz w:val="32"/>
          <w:szCs w:val="32"/>
          <w:lang w:val="en-US" w:eastAsia="zh-CN"/>
        </w:rPr>
        <w:t>万元，其中：一般公共预算财政拨款收入3899.51万元，占94.96%；政府性基金预算财政拨款收入206.86万元，占5.04%；国有资本经营预算财政拨款收入0万元，占0%；上级补助收入0万元，占0%；事业收入0万元，占0%；经营收入0万元，占0%；附属单位上缴收入0万元，占0%；其他收入0万元，占0%。</w:t>
      </w:r>
    </w:p>
    <w:p w14:paraId="4B5CFAE3">
      <w:pPr>
        <w:keepNext w:val="0"/>
        <w:keepLines w:val="0"/>
        <w:pageBreakBefore w:val="0"/>
        <w:widowControl w:val="0"/>
        <w:kinsoku/>
        <w:wordWrap w:val="0"/>
        <w:overflowPunct/>
        <w:topLinePunct w:val="0"/>
        <w:autoSpaceDE/>
        <w:autoSpaceDN/>
        <w:bidi w:val="0"/>
        <w:adjustRightInd w:val="0"/>
        <w:snapToGrid w:val="0"/>
        <w:spacing w:line="560" w:lineRule="exact"/>
        <w:ind w:firstLine="697"/>
        <w:textAlignment w:val="baseline"/>
        <w:rPr>
          <w:rFonts w:hint="eastAsia" w:eastAsia="宋体"/>
          <w:color w:val="000000" w:themeColor="text1"/>
          <w:lang w:eastAsia="zh-CN"/>
          <w14:textFill>
            <w14:solidFill>
              <w14:schemeClr w14:val="tx1"/>
            </w14:solidFill>
          </w14:textFill>
        </w:rPr>
      </w:pPr>
      <w:r>
        <w:rPr>
          <w:rFonts w:hint="default" w:ascii="仿宋_GB2312" w:hAnsi="仿宋_GB2312" w:eastAsia="仿宋_GB2312" w:cs="仿宋_GB2312"/>
          <w:color w:val="auto"/>
          <w:sz w:val="32"/>
          <w:szCs w:val="32"/>
          <w:lang w:val="en-US" w:eastAsia="zh-CN"/>
        </w:rPr>
        <w:drawing>
          <wp:anchor distT="0" distB="0" distL="114300" distR="114300" simplePos="0" relativeHeight="251660288" behindDoc="0" locked="0" layoutInCell="1" allowOverlap="1">
            <wp:simplePos x="0" y="0"/>
            <wp:positionH relativeFrom="column">
              <wp:posOffset>531495</wp:posOffset>
            </wp:positionH>
            <wp:positionV relativeFrom="paragraph">
              <wp:posOffset>208280</wp:posOffset>
            </wp:positionV>
            <wp:extent cx="4257040" cy="2338070"/>
            <wp:effectExtent l="4445" t="4445" r="5715" b="19685"/>
            <wp:wrapNone/>
            <wp:docPr id="1" name="图表 1"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7EB8B413">
      <w:pPr>
        <w:keepNext w:val="0"/>
        <w:keepLines w:val="0"/>
        <w:pageBreakBefore w:val="0"/>
        <w:widowControl w:val="0"/>
        <w:kinsoku/>
        <w:wordWrap w:val="0"/>
        <w:overflowPunct/>
        <w:topLinePunct w:val="0"/>
        <w:autoSpaceDE/>
        <w:autoSpaceDN/>
        <w:bidi w:val="0"/>
        <w:spacing w:before="129" w:line="226" w:lineRule="auto"/>
        <w:rPr>
          <w:rFonts w:ascii="仿宋" w:hAnsi="仿宋" w:eastAsia="仿宋" w:cs="仿宋"/>
          <w:color w:val="000000" w:themeColor="text1"/>
          <w:spacing w:val="7"/>
          <w:sz w:val="31"/>
          <w:szCs w:val="31"/>
          <w14:textFill>
            <w14:solidFill>
              <w14:schemeClr w14:val="tx1"/>
            </w14:solidFill>
          </w14:textFill>
        </w:rPr>
      </w:pPr>
    </w:p>
    <w:p w14:paraId="53048F4F">
      <w:pPr>
        <w:keepNext w:val="0"/>
        <w:keepLines w:val="0"/>
        <w:pageBreakBefore w:val="0"/>
        <w:widowControl w:val="0"/>
        <w:kinsoku/>
        <w:wordWrap w:val="0"/>
        <w:overflowPunct/>
        <w:topLinePunct w:val="0"/>
        <w:autoSpaceDE/>
        <w:autoSpaceDN/>
        <w:bidi w:val="0"/>
        <w:spacing w:before="129" w:line="226" w:lineRule="auto"/>
        <w:rPr>
          <w:rFonts w:ascii="仿宋" w:hAnsi="仿宋" w:eastAsia="仿宋" w:cs="仿宋"/>
          <w:color w:val="000000" w:themeColor="text1"/>
          <w:spacing w:val="7"/>
          <w:sz w:val="31"/>
          <w:szCs w:val="31"/>
          <w14:textFill>
            <w14:solidFill>
              <w14:schemeClr w14:val="tx1"/>
            </w14:solidFill>
          </w14:textFill>
        </w:rPr>
      </w:pPr>
    </w:p>
    <w:p w14:paraId="3F92BA9E">
      <w:pPr>
        <w:keepNext w:val="0"/>
        <w:keepLines w:val="0"/>
        <w:pageBreakBefore w:val="0"/>
        <w:widowControl w:val="0"/>
        <w:kinsoku/>
        <w:wordWrap w:val="0"/>
        <w:overflowPunct/>
        <w:topLinePunct w:val="0"/>
        <w:autoSpaceDE/>
        <w:autoSpaceDN/>
        <w:bidi w:val="0"/>
        <w:spacing w:before="129" w:line="226" w:lineRule="auto"/>
        <w:rPr>
          <w:rFonts w:ascii="仿宋" w:hAnsi="仿宋" w:eastAsia="仿宋" w:cs="仿宋"/>
          <w:color w:val="000000" w:themeColor="text1"/>
          <w:spacing w:val="7"/>
          <w:sz w:val="31"/>
          <w:szCs w:val="31"/>
          <w14:textFill>
            <w14:solidFill>
              <w14:schemeClr w14:val="tx1"/>
            </w14:solidFill>
          </w14:textFill>
        </w:rPr>
      </w:pPr>
    </w:p>
    <w:p w14:paraId="27B66737">
      <w:pPr>
        <w:keepNext w:val="0"/>
        <w:keepLines w:val="0"/>
        <w:pageBreakBefore w:val="0"/>
        <w:widowControl w:val="0"/>
        <w:kinsoku/>
        <w:wordWrap w:val="0"/>
        <w:overflowPunct/>
        <w:topLinePunct w:val="0"/>
        <w:autoSpaceDE/>
        <w:autoSpaceDN/>
        <w:bidi w:val="0"/>
        <w:spacing w:before="129" w:line="226" w:lineRule="auto"/>
        <w:rPr>
          <w:rFonts w:ascii="仿宋" w:hAnsi="仿宋" w:eastAsia="仿宋" w:cs="仿宋"/>
          <w:color w:val="000000" w:themeColor="text1"/>
          <w:spacing w:val="7"/>
          <w:sz w:val="31"/>
          <w:szCs w:val="31"/>
          <w14:textFill>
            <w14:solidFill>
              <w14:schemeClr w14:val="tx1"/>
            </w14:solidFill>
          </w14:textFill>
        </w:rPr>
      </w:pPr>
    </w:p>
    <w:p w14:paraId="56FDD335">
      <w:pPr>
        <w:keepNext w:val="0"/>
        <w:keepLines w:val="0"/>
        <w:pageBreakBefore w:val="0"/>
        <w:widowControl w:val="0"/>
        <w:kinsoku/>
        <w:wordWrap w:val="0"/>
        <w:overflowPunct/>
        <w:topLinePunct w:val="0"/>
        <w:autoSpaceDE/>
        <w:autoSpaceDN/>
        <w:bidi w:val="0"/>
        <w:spacing w:before="129" w:line="226" w:lineRule="auto"/>
        <w:rPr>
          <w:rFonts w:ascii="仿宋" w:hAnsi="仿宋" w:eastAsia="仿宋" w:cs="仿宋"/>
          <w:color w:val="000000" w:themeColor="text1"/>
          <w:spacing w:val="7"/>
          <w:sz w:val="31"/>
          <w:szCs w:val="31"/>
          <w14:textFill>
            <w14:solidFill>
              <w14:schemeClr w14:val="tx1"/>
            </w14:solidFill>
          </w14:textFill>
        </w:rPr>
      </w:pPr>
    </w:p>
    <w:p w14:paraId="5EE3C415">
      <w:pPr>
        <w:keepNext w:val="0"/>
        <w:keepLines w:val="0"/>
        <w:pageBreakBefore w:val="0"/>
        <w:widowControl w:val="0"/>
        <w:kinsoku/>
        <w:wordWrap w:val="0"/>
        <w:overflowPunct/>
        <w:topLinePunct w:val="0"/>
        <w:autoSpaceDE/>
        <w:autoSpaceDN/>
        <w:bidi w:val="0"/>
        <w:spacing w:before="129" w:line="226" w:lineRule="auto"/>
        <w:rPr>
          <w:rFonts w:ascii="仿宋" w:hAnsi="仿宋" w:eastAsia="仿宋" w:cs="仿宋"/>
          <w:color w:val="000000" w:themeColor="text1"/>
          <w:spacing w:val="7"/>
          <w:sz w:val="31"/>
          <w:szCs w:val="31"/>
          <w14:textFill>
            <w14:solidFill>
              <w14:schemeClr w14:val="tx1"/>
            </w14:solidFill>
          </w14:textFill>
        </w:rPr>
      </w:pPr>
    </w:p>
    <w:p w14:paraId="663B0BCC">
      <w:pPr>
        <w:keepNext w:val="0"/>
        <w:keepLines w:val="0"/>
        <w:pageBreakBefore w:val="0"/>
        <w:widowControl w:val="0"/>
        <w:kinsoku/>
        <w:wordWrap w:val="0"/>
        <w:overflowPunct/>
        <w:topLinePunct w:val="0"/>
        <w:autoSpaceDE/>
        <w:autoSpaceDN/>
        <w:bidi w:val="0"/>
        <w:spacing w:before="129" w:line="226" w:lineRule="auto"/>
        <w:jc w:val="center"/>
        <w:rPr>
          <w:rFonts w:ascii="仿宋" w:hAnsi="仿宋" w:eastAsia="仿宋" w:cs="仿宋"/>
          <w:color w:val="000000" w:themeColor="text1"/>
          <w:spacing w:val="7"/>
          <w:sz w:val="31"/>
          <w:szCs w:val="31"/>
          <w14:textFill>
            <w14:solidFill>
              <w14:schemeClr w14:val="tx1"/>
            </w14:solidFill>
          </w14:textFill>
        </w:rPr>
      </w:pPr>
      <w:r>
        <w:rPr>
          <w:rFonts w:ascii="仿宋" w:hAnsi="仿宋" w:eastAsia="仿宋" w:cs="仿宋"/>
          <w:color w:val="000000" w:themeColor="text1"/>
          <w:spacing w:val="7"/>
          <w:sz w:val="31"/>
          <w:szCs w:val="31"/>
          <w14:textFill>
            <w14:solidFill>
              <w14:schemeClr w14:val="tx1"/>
            </w14:solidFill>
          </w14:textFill>
        </w:rPr>
        <w:t>（图2：收入决算结构图</w:t>
      </w:r>
      <w:r>
        <w:rPr>
          <w:rFonts w:ascii="仿宋" w:hAnsi="仿宋" w:eastAsia="仿宋" w:cs="仿宋"/>
          <w:color w:val="000000" w:themeColor="text1"/>
          <w:spacing w:val="-10"/>
          <w:sz w:val="31"/>
          <w:szCs w:val="31"/>
          <w14:textFill>
            <w14:solidFill>
              <w14:schemeClr w14:val="tx1"/>
            </w14:solidFill>
          </w14:textFill>
        </w:rPr>
        <w:t>）（</w:t>
      </w:r>
      <w:r>
        <w:rPr>
          <w:rFonts w:ascii="仿宋" w:hAnsi="仿宋" w:eastAsia="仿宋" w:cs="仿宋"/>
          <w:color w:val="000000" w:themeColor="text1"/>
          <w:spacing w:val="7"/>
          <w:sz w:val="31"/>
          <w:szCs w:val="31"/>
          <w14:textFill>
            <w14:solidFill>
              <w14:schemeClr w14:val="tx1"/>
            </w14:solidFill>
          </w14:textFill>
        </w:rPr>
        <w:t>饼状图）</w:t>
      </w:r>
    </w:p>
    <w:p w14:paraId="289D143E">
      <w:pPr>
        <w:keepNext w:val="0"/>
        <w:keepLines w:val="0"/>
        <w:pageBreakBefore w:val="0"/>
        <w:widowControl w:val="0"/>
        <w:kinsoku/>
        <w:wordWrap w:val="0"/>
        <w:overflowPunct/>
        <w:topLinePunct w:val="0"/>
        <w:autoSpaceDE/>
        <w:autoSpaceDN/>
        <w:bidi w:val="0"/>
        <w:spacing w:before="129" w:line="226" w:lineRule="auto"/>
        <w:jc w:val="both"/>
        <w:rPr>
          <w:color w:val="000000" w:themeColor="text1"/>
          <w:spacing w:val="2"/>
          <w:sz w:val="31"/>
          <w:szCs w:val="31"/>
          <w14:textFill>
            <w14:solidFill>
              <w14:schemeClr w14:val="tx1"/>
            </w14:solidFill>
          </w14:textFill>
        </w:rPr>
      </w:pPr>
    </w:p>
    <w:p w14:paraId="3280608F">
      <w:pPr>
        <w:keepNext w:val="0"/>
        <w:keepLines w:val="0"/>
        <w:pageBreakBefore w:val="0"/>
        <w:widowControl w:val="0"/>
        <w:kinsoku/>
        <w:wordWrap w:val="0"/>
        <w:overflowPunct/>
        <w:topLinePunct w:val="0"/>
        <w:autoSpaceDE/>
        <w:autoSpaceDN/>
        <w:bidi w:val="0"/>
        <w:spacing w:before="129" w:line="226" w:lineRule="auto"/>
        <w:ind w:firstLine="628" w:firstLineChars="200"/>
        <w:jc w:val="both"/>
        <w:rPr>
          <w:rFonts w:ascii="微软雅黑" w:hAnsi="微软雅黑" w:eastAsia="微软雅黑" w:cs="微软雅黑"/>
          <w:color w:val="000000" w:themeColor="text1"/>
          <w:sz w:val="31"/>
          <w:szCs w:val="31"/>
          <w14:textFill>
            <w14:solidFill>
              <w14:schemeClr w14:val="tx1"/>
            </w14:solidFill>
          </w14:textFill>
        </w:rPr>
      </w:pPr>
      <w:r>
        <w:rPr>
          <w:rFonts w:ascii="微软雅黑" w:hAnsi="微软雅黑" w:eastAsia="微软雅黑" w:cs="微软雅黑"/>
          <w:color w:val="000000" w:themeColor="text1"/>
          <w:spacing w:val="2"/>
          <w:sz w:val="31"/>
          <w:szCs w:val="31"/>
          <w14:textFill>
            <w14:solidFill>
              <w14:schemeClr w14:val="tx1"/>
            </w14:solidFill>
          </w14:textFill>
        </w:rPr>
        <w:t>三、支出决算情况说明</w:t>
      </w:r>
    </w:p>
    <w:p w14:paraId="2A93862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2025年度本年支出合计</w:t>
      </w:r>
      <w:r>
        <w:rPr>
          <w:rFonts w:hint="eastAsia" w:ascii="仿宋_GB2312" w:hAnsi="仿宋_GB2312" w:eastAsia="仿宋_GB2312" w:cs="仿宋_GB2312"/>
          <w:snapToGrid w:val="0"/>
          <w:color w:val="auto"/>
          <w:kern w:val="0"/>
          <w:sz w:val="32"/>
          <w:szCs w:val="32"/>
          <w:lang w:val="en-US" w:eastAsia="zh-CN" w:bidi="ar-SA"/>
        </w:rPr>
        <w:t>4106.36</w:t>
      </w:r>
      <w:r>
        <w:rPr>
          <w:rFonts w:hint="eastAsia" w:ascii="仿宋_GB2312" w:hAnsi="仿宋_GB2312" w:eastAsia="仿宋_GB2312" w:cs="仿宋_GB2312"/>
          <w:color w:val="auto"/>
          <w:sz w:val="32"/>
          <w:szCs w:val="32"/>
          <w:lang w:val="en-US" w:eastAsia="zh-CN"/>
        </w:rPr>
        <w:t>万元，其中：基本支出593.66万元，占14.46%；项目支出3512.7万元，占85.54%；上缴上级支出0万元，占0%；经营支出0万元，占0%；对附属单位补助支出0万元，占0%。</w:t>
      </w:r>
    </w:p>
    <w:p w14:paraId="144776E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jc w:val="both"/>
        <w:textAlignment w:val="auto"/>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drawing>
          <wp:anchor distT="0" distB="0" distL="114300" distR="114300" simplePos="0" relativeHeight="251666432" behindDoc="0" locked="0" layoutInCell="1" allowOverlap="1">
            <wp:simplePos x="0" y="0"/>
            <wp:positionH relativeFrom="column">
              <wp:posOffset>802005</wp:posOffset>
            </wp:positionH>
            <wp:positionV relativeFrom="paragraph">
              <wp:posOffset>215900</wp:posOffset>
            </wp:positionV>
            <wp:extent cx="3905885" cy="2092960"/>
            <wp:effectExtent l="4445" t="5080" r="13970" b="16510"/>
            <wp:wrapNone/>
            <wp:docPr id="2" name="图表 2"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3BF644B1">
      <w:pPr>
        <w:bidi w:val="0"/>
        <w:rPr>
          <w:rFonts w:hint="eastAsia" w:ascii="Arial" w:hAnsi="Arial" w:eastAsia="Arial" w:cs="Arial"/>
          <w:snapToGrid w:val="0"/>
          <w:color w:val="000000"/>
          <w:kern w:val="0"/>
          <w:sz w:val="21"/>
          <w:szCs w:val="21"/>
          <w:lang w:val="en-US" w:eastAsia="zh-CN" w:bidi="ar-SA"/>
        </w:rPr>
      </w:pPr>
    </w:p>
    <w:p w14:paraId="03D2E921">
      <w:pPr>
        <w:bidi w:val="0"/>
        <w:rPr>
          <w:rFonts w:hint="eastAsia"/>
          <w:lang w:val="en-US" w:eastAsia="zh-CN"/>
        </w:rPr>
      </w:pPr>
    </w:p>
    <w:p w14:paraId="648C266E">
      <w:pPr>
        <w:bidi w:val="0"/>
        <w:rPr>
          <w:rFonts w:hint="eastAsia"/>
          <w:lang w:val="en-US" w:eastAsia="zh-CN"/>
        </w:rPr>
      </w:pPr>
    </w:p>
    <w:p w14:paraId="4AF1144D">
      <w:pPr>
        <w:bidi w:val="0"/>
        <w:rPr>
          <w:rFonts w:hint="eastAsia"/>
          <w:lang w:val="en-US" w:eastAsia="zh-CN"/>
        </w:rPr>
      </w:pPr>
    </w:p>
    <w:p w14:paraId="1AB22991">
      <w:pPr>
        <w:bidi w:val="0"/>
        <w:rPr>
          <w:rFonts w:hint="eastAsia"/>
          <w:lang w:val="en-US" w:eastAsia="zh-CN"/>
        </w:rPr>
      </w:pPr>
    </w:p>
    <w:p w14:paraId="653B513C">
      <w:pPr>
        <w:bidi w:val="0"/>
        <w:rPr>
          <w:rFonts w:hint="eastAsia"/>
          <w:lang w:val="en-US" w:eastAsia="zh-CN"/>
        </w:rPr>
      </w:pPr>
    </w:p>
    <w:p w14:paraId="0CD2CBF7">
      <w:pPr>
        <w:bidi w:val="0"/>
        <w:rPr>
          <w:rFonts w:hint="eastAsia"/>
          <w:lang w:val="en-US" w:eastAsia="zh-CN"/>
        </w:rPr>
      </w:pPr>
    </w:p>
    <w:p w14:paraId="68301D2B">
      <w:pPr>
        <w:bidi w:val="0"/>
        <w:rPr>
          <w:rFonts w:hint="eastAsia"/>
          <w:lang w:val="en-US" w:eastAsia="zh-CN"/>
        </w:rPr>
      </w:pPr>
    </w:p>
    <w:p w14:paraId="54E115FD">
      <w:pPr>
        <w:bidi w:val="0"/>
        <w:rPr>
          <w:rFonts w:hint="eastAsia"/>
          <w:lang w:val="en-US" w:eastAsia="zh-CN"/>
        </w:rPr>
      </w:pPr>
    </w:p>
    <w:p w14:paraId="06345E19">
      <w:pPr>
        <w:bidi w:val="0"/>
        <w:rPr>
          <w:rFonts w:hint="eastAsia"/>
          <w:lang w:val="en-US" w:eastAsia="zh-CN"/>
        </w:rPr>
      </w:pPr>
    </w:p>
    <w:p w14:paraId="20112E24">
      <w:pPr>
        <w:bidi w:val="0"/>
        <w:rPr>
          <w:rFonts w:hint="eastAsia"/>
          <w:lang w:val="en-US" w:eastAsia="zh-CN"/>
        </w:rPr>
      </w:pPr>
    </w:p>
    <w:p w14:paraId="0833A57D">
      <w:pPr>
        <w:bidi w:val="0"/>
        <w:rPr>
          <w:rFonts w:hint="eastAsia"/>
          <w:lang w:val="en-US" w:eastAsia="zh-CN"/>
        </w:rPr>
      </w:pPr>
    </w:p>
    <w:p w14:paraId="6E0C2524">
      <w:pPr>
        <w:tabs>
          <w:tab w:val="left" w:pos="9231"/>
        </w:tabs>
        <w:bidi w:val="0"/>
        <w:jc w:val="left"/>
        <w:rPr>
          <w:rFonts w:ascii="仿宋" w:hAnsi="仿宋" w:eastAsia="仿宋" w:cs="仿宋"/>
          <w:color w:val="000000" w:themeColor="text1"/>
          <w:spacing w:val="7"/>
          <w:sz w:val="31"/>
          <w:szCs w:val="31"/>
          <w14:textFill>
            <w14:solidFill>
              <w14:schemeClr w14:val="tx1"/>
            </w14:solidFill>
          </w14:textFill>
        </w:rPr>
      </w:pPr>
    </w:p>
    <w:p w14:paraId="5372847B">
      <w:pPr>
        <w:tabs>
          <w:tab w:val="left" w:pos="9231"/>
        </w:tabs>
        <w:bidi w:val="0"/>
        <w:jc w:val="center"/>
        <w:rPr>
          <w:rFonts w:hint="eastAsia"/>
          <w:lang w:val="en-US" w:eastAsia="zh-CN"/>
        </w:rPr>
      </w:pPr>
      <w:r>
        <w:rPr>
          <w:rFonts w:ascii="仿宋" w:hAnsi="仿宋" w:eastAsia="仿宋" w:cs="仿宋"/>
          <w:color w:val="000000" w:themeColor="text1"/>
          <w:spacing w:val="7"/>
          <w:sz w:val="31"/>
          <w:szCs w:val="31"/>
          <w14:textFill>
            <w14:solidFill>
              <w14:schemeClr w14:val="tx1"/>
            </w14:solidFill>
          </w14:textFill>
        </w:rPr>
        <w:t>（图3：支出决算结构图</w:t>
      </w:r>
      <w:r>
        <w:rPr>
          <w:rFonts w:ascii="仿宋" w:hAnsi="仿宋" w:eastAsia="仿宋" w:cs="仿宋"/>
          <w:color w:val="000000" w:themeColor="text1"/>
          <w:spacing w:val="-10"/>
          <w:sz w:val="31"/>
          <w:szCs w:val="31"/>
          <w14:textFill>
            <w14:solidFill>
              <w14:schemeClr w14:val="tx1"/>
            </w14:solidFill>
          </w14:textFill>
        </w:rPr>
        <w:t>）（</w:t>
      </w:r>
      <w:r>
        <w:rPr>
          <w:rFonts w:ascii="仿宋" w:hAnsi="仿宋" w:eastAsia="仿宋" w:cs="仿宋"/>
          <w:color w:val="000000" w:themeColor="text1"/>
          <w:spacing w:val="7"/>
          <w:sz w:val="31"/>
          <w:szCs w:val="31"/>
          <w14:textFill>
            <w14:solidFill>
              <w14:schemeClr w14:val="tx1"/>
            </w14:solidFill>
          </w14:textFill>
        </w:rPr>
        <w:t>饼状图）</w:t>
      </w:r>
    </w:p>
    <w:p w14:paraId="44C93DFF">
      <w:pPr>
        <w:pStyle w:val="3"/>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firstLine="640" w:firstLineChars="200"/>
        <w:jc w:val="both"/>
        <w:textAlignment w:val="baseline"/>
        <w:rPr>
          <w:rFonts w:hint="eastAsia" w:ascii="微软雅黑" w:hAnsi="微软雅黑" w:eastAsia="微软雅黑" w:cs="微软雅黑"/>
          <w:color w:val="000000" w:themeColor="text1"/>
          <w:spacing w:val="5"/>
          <w:sz w:val="31"/>
          <w:szCs w:val="31"/>
          <w:lang w:val="en-US" w:eastAsia="zh-CN"/>
          <w14:textFill>
            <w14:solidFill>
              <w14:schemeClr w14:val="tx1"/>
            </w14:solidFill>
          </w14:textFill>
        </w:rPr>
      </w:pPr>
      <w:r>
        <w:rPr>
          <w:rFonts w:hint="eastAsia"/>
          <w:color w:val="000000" w:themeColor="text1"/>
          <w:spacing w:val="5"/>
          <w:sz w:val="31"/>
          <w:szCs w:val="31"/>
          <w:lang w:eastAsia="zh-CN"/>
          <w14:textFill>
            <w14:solidFill>
              <w14:schemeClr w14:val="tx1"/>
            </w14:solidFill>
          </w14:textFill>
        </w:rPr>
        <w:t>四、</w:t>
      </w:r>
      <w:r>
        <w:rPr>
          <w:color w:val="000000" w:themeColor="text1"/>
          <w:spacing w:val="5"/>
          <w:sz w:val="31"/>
          <w:szCs w:val="31"/>
          <w14:textFill>
            <w14:solidFill>
              <w14:schemeClr w14:val="tx1"/>
            </w14:solidFill>
          </w14:textFill>
        </w:rPr>
        <w:t>财</w:t>
      </w:r>
      <w:r>
        <w:rPr>
          <w:rFonts w:ascii="微软雅黑" w:hAnsi="微软雅黑" w:eastAsia="微软雅黑" w:cs="微软雅黑"/>
          <w:color w:val="000000" w:themeColor="text1"/>
          <w:spacing w:val="5"/>
          <w:sz w:val="31"/>
          <w:szCs w:val="31"/>
          <w14:textFill>
            <w14:solidFill>
              <w14:schemeClr w14:val="tx1"/>
            </w14:solidFill>
          </w14:textFill>
        </w:rPr>
        <w:t>政拨款收入支出决算总体情况说</w:t>
      </w:r>
      <w:r>
        <w:rPr>
          <w:rFonts w:hint="eastAsia" w:ascii="微软雅黑" w:hAnsi="微软雅黑" w:eastAsia="微软雅黑" w:cs="微软雅黑"/>
          <w:color w:val="000000" w:themeColor="text1"/>
          <w:spacing w:val="5"/>
          <w:sz w:val="31"/>
          <w:szCs w:val="31"/>
          <w:lang w:val="en-US" w:eastAsia="zh-CN"/>
          <w14:textFill>
            <w14:solidFill>
              <w14:schemeClr w14:val="tx1"/>
            </w14:solidFill>
          </w14:textFill>
        </w:rPr>
        <w:t>明</w:t>
      </w:r>
    </w:p>
    <w:p w14:paraId="591570E9">
      <w:pPr>
        <w:pStyle w:val="3"/>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firstLine="640" w:firstLineChars="200"/>
        <w:jc w:val="both"/>
        <w:textAlignment w:val="baseline"/>
        <w:rPr>
          <w:rFonts w:hint="eastAsia" w:ascii="仿宋" w:hAnsi="仿宋" w:eastAsia="仿宋" w:cs="仿宋"/>
          <w:color w:val="auto"/>
          <w:spacing w:val="14"/>
          <w:sz w:val="31"/>
          <w:szCs w:val="31"/>
          <w:lang w:val="en-US" w:eastAsia="zh-CN"/>
        </w:rPr>
      </w:pPr>
      <w:r>
        <w:rPr>
          <w:rFonts w:hint="eastAsia" w:ascii="仿宋_GB2312" w:hAnsi="仿宋_GB2312" w:eastAsia="仿宋_GB2312" w:cs="仿宋_GB2312"/>
          <w:snapToGrid w:val="0"/>
          <w:color w:val="auto"/>
          <w:kern w:val="0"/>
          <w:sz w:val="32"/>
          <w:szCs w:val="32"/>
          <w:lang w:val="en-US" w:eastAsia="zh-CN" w:bidi="ar-SA"/>
        </w:rPr>
        <w:t>2025年度财政拨款收、支总计均为4106.36万元。与2024年度相比，财政拨款收、支总计各减少5040.12万元，下降55.10%。主要变动原因是项目减少。</w:t>
      </w:r>
    </w:p>
    <w:p w14:paraId="6882B08C">
      <w:pPr>
        <w:keepNext w:val="0"/>
        <w:keepLines w:val="0"/>
        <w:pageBreakBefore w:val="0"/>
        <w:widowControl w:val="0"/>
        <w:kinsoku/>
        <w:wordWrap w:val="0"/>
        <w:overflowPunct/>
        <w:topLinePunct w:val="0"/>
        <w:autoSpaceDE/>
        <w:autoSpaceDN/>
        <w:bidi w:val="0"/>
        <w:spacing w:line="182" w:lineRule="auto"/>
        <w:rPr>
          <w:rFonts w:ascii="微软雅黑" w:hAnsi="微软雅黑" w:eastAsia="微软雅黑" w:cs="微软雅黑"/>
          <w:color w:val="000000" w:themeColor="text1"/>
          <w:sz w:val="31"/>
          <w:szCs w:val="31"/>
          <w14:textFill>
            <w14:solidFill>
              <w14:schemeClr w14:val="tx1"/>
            </w14:solidFill>
          </w14:textFill>
        </w:rPr>
      </w:pPr>
    </w:p>
    <w:p w14:paraId="573324B9">
      <w:pPr>
        <w:keepNext w:val="0"/>
        <w:keepLines w:val="0"/>
        <w:pageBreakBefore w:val="0"/>
        <w:widowControl w:val="0"/>
        <w:kinsoku/>
        <w:wordWrap w:val="0"/>
        <w:overflowPunct/>
        <w:topLinePunct w:val="0"/>
        <w:autoSpaceDE/>
        <w:autoSpaceDN/>
        <w:bidi w:val="0"/>
        <w:spacing w:before="104" w:line="3837" w:lineRule="exact"/>
        <w:ind w:firstLine="85"/>
        <w:jc w:val="center"/>
        <w:rPr>
          <w:rFonts w:hint="eastAsia" w:eastAsia="宋体"/>
          <w:color w:val="000000" w:themeColor="text1"/>
          <w:lang w:eastAsia="zh-CN"/>
          <w14:textFill>
            <w14:solidFill>
              <w14:schemeClr w14:val="tx1"/>
            </w14:solidFill>
          </w14:textFill>
        </w:rPr>
      </w:pPr>
      <w:r>
        <w:rPr>
          <w:rFonts w:hint="eastAsia" w:eastAsia="宋体"/>
          <w:color w:val="000000" w:themeColor="text1"/>
          <w:lang w:eastAsia="zh-CN"/>
          <w14:textFill>
            <w14:solidFill>
              <w14:schemeClr w14:val="tx1"/>
            </w14:solidFill>
          </w14:textFill>
        </w:rPr>
        <w:drawing>
          <wp:anchor distT="0" distB="0" distL="114300" distR="114300" simplePos="0" relativeHeight="251667456" behindDoc="0" locked="0" layoutInCell="1" allowOverlap="1">
            <wp:simplePos x="0" y="0"/>
            <wp:positionH relativeFrom="column">
              <wp:posOffset>58420</wp:posOffset>
            </wp:positionH>
            <wp:positionV relativeFrom="paragraph">
              <wp:posOffset>-160655</wp:posOffset>
            </wp:positionV>
            <wp:extent cx="5562600" cy="2099310"/>
            <wp:effectExtent l="4445" t="4445" r="14605" b="10795"/>
            <wp:wrapNone/>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14:paraId="5066DF99">
      <w:pPr>
        <w:keepNext w:val="0"/>
        <w:keepLines w:val="0"/>
        <w:pageBreakBefore w:val="0"/>
        <w:widowControl w:val="0"/>
        <w:kinsoku/>
        <w:wordWrap w:val="0"/>
        <w:overflowPunct/>
        <w:topLinePunct w:val="0"/>
        <w:autoSpaceDE/>
        <w:autoSpaceDN/>
        <w:bidi w:val="0"/>
        <w:spacing w:before="10" w:line="226" w:lineRule="auto"/>
        <w:ind w:left="109"/>
        <w:jc w:val="center"/>
        <w:rPr>
          <w:rFonts w:ascii="仿宋" w:hAnsi="仿宋" w:eastAsia="仿宋" w:cs="仿宋"/>
          <w:color w:val="000000" w:themeColor="text1"/>
          <w:spacing w:val="7"/>
          <w:sz w:val="31"/>
          <w:szCs w:val="31"/>
          <w14:textFill>
            <w14:solidFill>
              <w14:schemeClr w14:val="tx1"/>
            </w14:solidFill>
          </w14:textFill>
        </w:rPr>
      </w:pPr>
      <w:r>
        <w:rPr>
          <w:rFonts w:ascii="仿宋" w:hAnsi="仿宋" w:eastAsia="仿宋" w:cs="仿宋"/>
          <w:color w:val="000000" w:themeColor="text1"/>
          <w:spacing w:val="7"/>
          <w:sz w:val="31"/>
          <w:szCs w:val="31"/>
          <w14:textFill>
            <w14:solidFill>
              <w14:schemeClr w14:val="tx1"/>
            </w14:solidFill>
          </w14:textFill>
        </w:rPr>
        <w:t>（图4：财政拨款收、支决算总计变动情况</w:t>
      </w:r>
      <w:r>
        <w:rPr>
          <w:rFonts w:ascii="仿宋" w:hAnsi="仿宋" w:eastAsia="仿宋" w:cs="仿宋"/>
          <w:color w:val="000000" w:themeColor="text1"/>
          <w:spacing w:val="-9"/>
          <w:sz w:val="31"/>
          <w:szCs w:val="31"/>
          <w14:textFill>
            <w14:solidFill>
              <w14:schemeClr w14:val="tx1"/>
            </w14:solidFill>
          </w14:textFill>
        </w:rPr>
        <w:t>）（</w:t>
      </w:r>
      <w:r>
        <w:rPr>
          <w:rFonts w:ascii="仿宋" w:hAnsi="仿宋" w:eastAsia="仿宋" w:cs="仿宋"/>
          <w:color w:val="000000" w:themeColor="text1"/>
          <w:spacing w:val="7"/>
          <w:sz w:val="31"/>
          <w:szCs w:val="31"/>
          <w14:textFill>
            <w14:solidFill>
              <w14:schemeClr w14:val="tx1"/>
            </w14:solidFill>
          </w14:textFill>
        </w:rPr>
        <w:t>柱状图）</w:t>
      </w:r>
    </w:p>
    <w:p w14:paraId="52E6A584">
      <w:pPr>
        <w:keepNext w:val="0"/>
        <w:keepLines w:val="0"/>
        <w:pageBreakBefore w:val="0"/>
        <w:widowControl w:val="0"/>
        <w:kinsoku/>
        <w:wordWrap w:val="0"/>
        <w:overflowPunct/>
        <w:topLinePunct w:val="0"/>
        <w:autoSpaceDE/>
        <w:autoSpaceDN/>
        <w:bidi w:val="0"/>
        <w:spacing w:before="10" w:line="226" w:lineRule="auto"/>
        <w:ind w:left="109"/>
        <w:jc w:val="center"/>
        <w:rPr>
          <w:rFonts w:ascii="仿宋" w:hAnsi="仿宋" w:eastAsia="仿宋" w:cs="仿宋"/>
          <w:color w:val="000000" w:themeColor="text1"/>
          <w:spacing w:val="7"/>
          <w:sz w:val="31"/>
          <w:szCs w:val="31"/>
          <w14:textFill>
            <w14:solidFill>
              <w14:schemeClr w14:val="tx1"/>
            </w14:solidFill>
          </w14:textFill>
        </w:rPr>
      </w:pPr>
    </w:p>
    <w:p w14:paraId="6EC11F91">
      <w:pPr>
        <w:pStyle w:val="3"/>
        <w:keepNext w:val="0"/>
        <w:keepLines w:val="0"/>
        <w:pageBreakBefore w:val="0"/>
        <w:widowControl w:val="0"/>
        <w:numPr>
          <w:ilvl w:val="0"/>
          <w:numId w:val="2"/>
        </w:numPr>
        <w:kinsoku/>
        <w:wordWrap w:val="0"/>
        <w:overflowPunct/>
        <w:topLinePunct w:val="0"/>
        <w:autoSpaceDE/>
        <w:autoSpaceDN/>
        <w:bidi w:val="0"/>
        <w:adjustRightInd w:val="0"/>
        <w:snapToGrid w:val="0"/>
        <w:spacing w:line="560" w:lineRule="exact"/>
        <w:ind w:firstLine="644" w:firstLineChars="200"/>
        <w:jc w:val="both"/>
        <w:textAlignment w:val="baseline"/>
        <w:outlineLvl w:val="2"/>
        <w:rPr>
          <w:rFonts w:ascii="微软雅黑" w:hAnsi="微软雅黑" w:eastAsia="微软雅黑" w:cs="微软雅黑"/>
          <w:color w:val="000000" w:themeColor="text1"/>
          <w:spacing w:val="6"/>
          <w:sz w:val="31"/>
          <w:szCs w:val="31"/>
          <w14:textFill>
            <w14:solidFill>
              <w14:schemeClr w14:val="tx1"/>
            </w14:solidFill>
          </w14:textFill>
        </w:rPr>
      </w:pPr>
      <w:r>
        <w:rPr>
          <w:rFonts w:ascii="微软雅黑" w:hAnsi="微软雅黑" w:eastAsia="微软雅黑" w:cs="微软雅黑"/>
          <w:color w:val="000000" w:themeColor="text1"/>
          <w:spacing w:val="6"/>
          <w:sz w:val="31"/>
          <w:szCs w:val="31"/>
          <w14:textFill>
            <w14:solidFill>
              <w14:schemeClr w14:val="tx1"/>
            </w14:solidFill>
          </w14:textFill>
        </w:rPr>
        <w:t>一般公共预算财政拨款支出决算情况说明</w:t>
      </w:r>
    </w:p>
    <w:p w14:paraId="3C4B1B2B">
      <w:pPr>
        <w:pStyle w:val="3"/>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firstLine="644" w:firstLineChars="200"/>
        <w:jc w:val="both"/>
        <w:textAlignment w:val="baseline"/>
        <w:outlineLvl w:val="2"/>
        <w:rPr>
          <w:rFonts w:ascii="微软雅黑" w:hAnsi="微软雅黑" w:eastAsia="微软雅黑" w:cs="微软雅黑"/>
          <w:color w:val="000000" w:themeColor="text1"/>
          <w:sz w:val="31"/>
          <w:szCs w:val="31"/>
          <w14:textFill>
            <w14:solidFill>
              <w14:schemeClr w14:val="tx1"/>
            </w14:solidFill>
          </w14:textFill>
        </w:rPr>
      </w:pPr>
      <w:r>
        <w:rPr>
          <w:rFonts w:ascii="微软雅黑" w:hAnsi="微软雅黑" w:eastAsia="微软雅黑" w:cs="微软雅黑"/>
          <w:color w:val="000000" w:themeColor="text1"/>
          <w:spacing w:val="6"/>
          <w:sz w:val="31"/>
          <w:szCs w:val="31"/>
          <w14:textFill>
            <w14:solidFill>
              <w14:schemeClr w14:val="tx1"/>
            </w14:solidFill>
          </w14:textFill>
        </w:rPr>
        <w:t>（一）一般公共预算财政拨款支出决算总体情况</w:t>
      </w:r>
    </w:p>
    <w:p w14:paraId="7E1D1ED6">
      <w:pPr>
        <w:keepNext w:val="0"/>
        <w:keepLines w:val="0"/>
        <w:pageBreakBefore w:val="0"/>
        <w:widowControl w:val="0"/>
        <w:kinsoku/>
        <w:wordWrap w:val="0"/>
        <w:overflowPunct/>
        <w:topLinePunct w:val="0"/>
        <w:autoSpaceDE/>
        <w:autoSpaceDN/>
        <w:bidi w:val="0"/>
        <w:adjustRightInd w:val="0"/>
        <w:snapToGrid w:val="0"/>
        <w:spacing w:line="382" w:lineRule="auto"/>
        <w:ind w:right="0" w:firstLine="640" w:firstLineChars="200"/>
        <w:jc w:val="both"/>
        <w:textAlignment w:val="baseline"/>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2025年度一般公共预算财政拨款支出3899.51万元，占本年支出合计的94.96%。与2024年度相比，一般公共预算财政拨款支出减少5195.8万元，下降57.13%。主要变动原因是项目减少。</w:t>
      </w:r>
    </w:p>
    <w:p w14:paraId="65579683">
      <w:pPr>
        <w:keepNext w:val="0"/>
        <w:keepLines w:val="0"/>
        <w:pageBreakBefore w:val="0"/>
        <w:widowControl w:val="0"/>
        <w:kinsoku/>
        <w:wordWrap w:val="0"/>
        <w:overflowPunct/>
        <w:topLinePunct w:val="0"/>
        <w:autoSpaceDE/>
        <w:autoSpaceDN/>
        <w:bidi w:val="0"/>
        <w:adjustRightInd w:val="0"/>
        <w:snapToGrid w:val="0"/>
        <w:spacing w:line="382" w:lineRule="auto"/>
        <w:ind w:right="0" w:firstLine="676" w:firstLineChars="200"/>
        <w:jc w:val="center"/>
        <w:textAlignment w:val="baseline"/>
        <w:rPr>
          <w:rFonts w:ascii="仿宋" w:hAnsi="仿宋" w:eastAsia="仿宋" w:cs="仿宋"/>
          <w:color w:val="000000" w:themeColor="text1"/>
          <w:spacing w:val="15"/>
          <w:sz w:val="31"/>
          <w:szCs w:val="31"/>
          <w14:textFill>
            <w14:solidFill>
              <w14:schemeClr w14:val="tx1"/>
            </w14:solidFill>
          </w14:textFill>
        </w:rPr>
      </w:pPr>
      <w:r>
        <w:rPr>
          <w:rFonts w:hint="eastAsia" w:ascii="仿宋" w:hAnsi="仿宋" w:eastAsia="仿宋" w:cs="仿宋"/>
          <w:color w:val="000000" w:themeColor="text1"/>
          <w:spacing w:val="14"/>
          <w:sz w:val="31"/>
          <w:szCs w:val="31"/>
          <w:lang w:val="en-US" w:eastAsia="zh-CN"/>
          <w14:textFill>
            <w14:solidFill>
              <w14:schemeClr w14:val="tx1"/>
            </w14:solidFill>
          </w14:textFill>
        </w:rPr>
        <w:object>
          <v:shape id="_x0000_i1026" o:spt="75" type="#_x0000_t75" style="height:168.85pt;width:279.25pt;" o:ole="t" filled="f" o:preferrelative="t" stroked="f" coordsize="21600,21600">
            <v:path/>
            <v:fill on="f" focussize="0,0"/>
            <v:stroke on="f"/>
            <v:imagedata r:id="rId22" o:title="olechartimg_1791879935153143_767109376"/>
            <o:lock v:ext="edit" aspectratio="t"/>
            <w10:wrap type="none"/>
            <w10:anchorlock/>
          </v:shape>
          <o:OLEObject Type="Embed" ProgID="Excel.Chart.8" ShapeID="_x0000_i1026" DrawAspect="Content" ObjectID="_1468075726" r:id="rId21">
            <o:LockedField>false</o:LockedField>
          </o:OLEObject>
        </w:object>
      </w:r>
    </w:p>
    <w:p w14:paraId="42BD6D93">
      <w:pPr>
        <w:keepNext w:val="0"/>
        <w:keepLines w:val="0"/>
        <w:pageBreakBefore w:val="0"/>
        <w:widowControl w:val="0"/>
        <w:kinsoku/>
        <w:wordWrap w:val="0"/>
        <w:overflowPunct/>
        <w:topLinePunct w:val="0"/>
        <w:autoSpaceDE/>
        <w:autoSpaceDN/>
        <w:bidi w:val="0"/>
        <w:spacing w:before="2" w:line="216" w:lineRule="auto"/>
        <w:ind w:right="71"/>
        <w:jc w:val="center"/>
        <w:rPr>
          <w:rFonts w:ascii="仿宋" w:hAnsi="仿宋" w:eastAsia="仿宋" w:cs="仿宋"/>
          <w:color w:val="000000" w:themeColor="text1"/>
          <w:spacing w:val="-20"/>
          <w:sz w:val="31"/>
          <w:szCs w:val="31"/>
          <w14:textFill>
            <w14:solidFill>
              <w14:schemeClr w14:val="tx1"/>
            </w14:solidFill>
          </w14:textFill>
        </w:rPr>
      </w:pPr>
      <w:r>
        <w:rPr>
          <w:rFonts w:ascii="仿宋" w:hAnsi="仿宋" w:eastAsia="仿宋" w:cs="仿宋"/>
          <w:color w:val="000000" w:themeColor="text1"/>
          <w:spacing w:val="15"/>
          <w:sz w:val="31"/>
          <w:szCs w:val="31"/>
          <w14:textFill>
            <w14:solidFill>
              <w14:schemeClr w14:val="tx1"/>
            </w14:solidFill>
          </w14:textFill>
        </w:rPr>
        <w:t>（图5：一般公共预</w:t>
      </w:r>
      <w:r>
        <w:rPr>
          <w:rFonts w:ascii="仿宋" w:hAnsi="仿宋" w:eastAsia="仿宋" w:cs="仿宋"/>
          <w:color w:val="000000" w:themeColor="text1"/>
          <w:spacing w:val="38"/>
          <w:sz w:val="31"/>
          <w:szCs w:val="31"/>
          <w14:textFill>
            <w14:solidFill>
              <w14:schemeClr w14:val="tx1"/>
            </w14:solidFill>
          </w14:textFill>
        </w:rPr>
        <w:t>算财政拨款支出决</w:t>
      </w:r>
      <w:r>
        <w:rPr>
          <w:rFonts w:ascii="仿宋" w:hAnsi="仿宋" w:eastAsia="仿宋" w:cs="仿宋"/>
          <w:color w:val="000000" w:themeColor="text1"/>
          <w:spacing w:val="43"/>
          <w:sz w:val="31"/>
          <w:szCs w:val="31"/>
          <w14:textFill>
            <w14:solidFill>
              <w14:schemeClr w14:val="tx1"/>
            </w14:solidFill>
          </w14:textFill>
        </w:rPr>
        <w:t>算变动情况</w:t>
      </w:r>
      <w:r>
        <w:rPr>
          <w:rFonts w:ascii="仿宋" w:hAnsi="仿宋" w:eastAsia="仿宋" w:cs="仿宋"/>
          <w:color w:val="000000" w:themeColor="text1"/>
          <w:spacing w:val="-20"/>
          <w:sz w:val="31"/>
          <w:szCs w:val="31"/>
          <w14:textFill>
            <w14:solidFill>
              <w14:schemeClr w14:val="tx1"/>
            </w14:solidFill>
          </w14:textFill>
        </w:rPr>
        <w:t>）</w:t>
      </w:r>
    </w:p>
    <w:p w14:paraId="7A0F60AF">
      <w:pPr>
        <w:keepNext w:val="0"/>
        <w:keepLines w:val="0"/>
        <w:pageBreakBefore w:val="0"/>
        <w:widowControl w:val="0"/>
        <w:kinsoku/>
        <w:wordWrap w:val="0"/>
        <w:overflowPunct/>
        <w:topLinePunct w:val="0"/>
        <w:autoSpaceDE/>
        <w:autoSpaceDN/>
        <w:bidi w:val="0"/>
        <w:spacing w:before="2" w:line="216" w:lineRule="auto"/>
        <w:ind w:right="71"/>
        <w:jc w:val="center"/>
        <w:rPr>
          <w:rFonts w:ascii="仿宋" w:hAnsi="仿宋" w:eastAsia="仿宋" w:cs="仿宋"/>
          <w:color w:val="000000" w:themeColor="text1"/>
          <w:spacing w:val="-3"/>
          <w:sz w:val="31"/>
          <w:szCs w:val="31"/>
          <w14:textFill>
            <w14:solidFill>
              <w14:schemeClr w14:val="tx1"/>
            </w14:solidFill>
          </w14:textFill>
        </w:rPr>
      </w:pPr>
      <w:r>
        <w:rPr>
          <w:rFonts w:ascii="仿宋" w:hAnsi="仿宋" w:eastAsia="仿宋" w:cs="仿宋"/>
          <w:color w:val="000000" w:themeColor="text1"/>
          <w:spacing w:val="-20"/>
          <w:sz w:val="31"/>
          <w:szCs w:val="31"/>
          <w14:textFill>
            <w14:solidFill>
              <w14:schemeClr w14:val="tx1"/>
            </w14:solidFill>
          </w14:textFill>
        </w:rPr>
        <w:t>（</w:t>
      </w:r>
      <w:r>
        <w:rPr>
          <w:rFonts w:ascii="仿宋" w:hAnsi="仿宋" w:eastAsia="仿宋" w:cs="仿宋"/>
          <w:color w:val="000000" w:themeColor="text1"/>
          <w:spacing w:val="43"/>
          <w:sz w:val="31"/>
          <w:szCs w:val="31"/>
          <w14:textFill>
            <w14:solidFill>
              <w14:schemeClr w14:val="tx1"/>
            </w14:solidFill>
          </w14:textFill>
        </w:rPr>
        <w:t>柱</w:t>
      </w:r>
      <w:r>
        <w:rPr>
          <w:rFonts w:ascii="仿宋" w:hAnsi="仿宋" w:eastAsia="仿宋" w:cs="仿宋"/>
          <w:color w:val="000000" w:themeColor="text1"/>
          <w:spacing w:val="-3"/>
          <w:sz w:val="31"/>
          <w:szCs w:val="31"/>
          <w14:textFill>
            <w14:solidFill>
              <w14:schemeClr w14:val="tx1"/>
            </w14:solidFill>
          </w14:textFill>
        </w:rPr>
        <w:t>状图）</w:t>
      </w:r>
    </w:p>
    <w:p w14:paraId="6B0BD667">
      <w:pPr>
        <w:keepNext w:val="0"/>
        <w:keepLines w:val="0"/>
        <w:pageBreakBefore w:val="0"/>
        <w:widowControl w:val="0"/>
        <w:kinsoku/>
        <w:wordWrap w:val="0"/>
        <w:overflowPunct/>
        <w:topLinePunct w:val="0"/>
        <w:autoSpaceDE/>
        <w:autoSpaceDN/>
        <w:bidi w:val="0"/>
        <w:spacing w:before="100" w:line="254" w:lineRule="auto"/>
        <w:ind w:right="71" w:firstLine="656" w:firstLineChars="200"/>
        <w:jc w:val="both"/>
        <w:outlineLvl w:val="3"/>
        <w:rPr>
          <w:rFonts w:ascii="微软雅黑" w:hAnsi="微软雅黑" w:eastAsia="微软雅黑" w:cs="微软雅黑"/>
          <w:color w:val="000000" w:themeColor="text1"/>
          <w:sz w:val="31"/>
          <w:szCs w:val="31"/>
          <w14:textFill>
            <w14:solidFill>
              <w14:schemeClr w14:val="tx1"/>
            </w14:solidFill>
          </w14:textFill>
        </w:rPr>
      </w:pPr>
      <w:r>
        <w:rPr>
          <w:rFonts w:ascii="微软雅黑" w:hAnsi="微软雅黑" w:eastAsia="微软雅黑" w:cs="微软雅黑"/>
          <w:color w:val="000000" w:themeColor="text1"/>
          <w:spacing w:val="9"/>
          <w:sz w:val="31"/>
          <w:szCs w:val="31"/>
          <w14:textFill>
            <w14:solidFill>
              <w14:schemeClr w14:val="tx1"/>
            </w14:solidFill>
          </w14:textFill>
        </w:rPr>
        <w:t>（二）一般公</w:t>
      </w:r>
      <w:r>
        <w:rPr>
          <w:rFonts w:ascii="微软雅黑" w:hAnsi="微软雅黑" w:eastAsia="微软雅黑" w:cs="微软雅黑"/>
          <w:color w:val="000000" w:themeColor="text1"/>
          <w:spacing w:val="39"/>
          <w:sz w:val="31"/>
          <w:szCs w:val="31"/>
          <w14:textFill>
            <w14:solidFill>
              <w14:schemeClr w14:val="tx1"/>
            </w14:solidFill>
          </w14:textFill>
        </w:rPr>
        <w:t>共预算财政拨款支</w:t>
      </w:r>
      <w:r>
        <w:rPr>
          <w:rFonts w:ascii="微软雅黑" w:hAnsi="微软雅黑" w:eastAsia="微软雅黑" w:cs="微软雅黑"/>
          <w:color w:val="000000" w:themeColor="text1"/>
          <w:spacing w:val="4"/>
          <w:sz w:val="31"/>
          <w:szCs w:val="31"/>
          <w14:textFill>
            <w14:solidFill>
              <w14:schemeClr w14:val="tx1"/>
            </w14:solidFill>
          </w14:textFill>
        </w:rPr>
        <w:t>出决算结构情况</w:t>
      </w:r>
    </w:p>
    <w:p w14:paraId="6DEBE572">
      <w:pPr>
        <w:keepNext w:val="0"/>
        <w:keepLines w:val="0"/>
        <w:pageBreakBefore w:val="0"/>
        <w:widowControl w:val="0"/>
        <w:kinsoku/>
        <w:wordWrap w:val="0"/>
        <w:overflowPunct/>
        <w:topLinePunct w:val="0"/>
        <w:autoSpaceDE/>
        <w:autoSpaceDN/>
        <w:bidi w:val="0"/>
        <w:adjustRightInd w:val="0"/>
        <w:snapToGrid w:val="0"/>
        <w:spacing w:line="560" w:lineRule="exact"/>
        <w:ind w:right="0" w:firstLine="640" w:firstLineChars="200"/>
        <w:jc w:val="both"/>
        <w:textAlignment w:val="baseline"/>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2025年度一般公共预算财政拨款支出3899.51万元，主要用于以下方面:节能环保支出234.16万元，占6%；农林水支出2403.73万元，占61.64%；自然资源海洋气象等支出1018.51万元，占26.12%；社会保障和就业支出168.59万元，占4.32%；卫生健康支出31.36万元，占0.8</w:t>
      </w:r>
      <w:r>
        <w:rPr>
          <w:rFonts w:hint="default" w:ascii="仿宋_GB2312" w:hAnsi="仿宋_GB2312" w:eastAsia="仿宋_GB2312" w:cs="仿宋_GB2312"/>
          <w:snapToGrid w:val="0"/>
          <w:color w:val="auto"/>
          <w:kern w:val="0"/>
          <w:sz w:val="32"/>
          <w:szCs w:val="32"/>
          <w:lang w:val="en-US" w:eastAsia="zh-CN" w:bidi="ar-SA"/>
        </w:rPr>
        <w:t>1</w:t>
      </w:r>
      <w:r>
        <w:rPr>
          <w:rFonts w:hint="eastAsia" w:ascii="仿宋_GB2312" w:hAnsi="仿宋_GB2312" w:eastAsia="仿宋_GB2312" w:cs="仿宋_GB2312"/>
          <w:snapToGrid w:val="0"/>
          <w:color w:val="auto"/>
          <w:kern w:val="0"/>
          <w:sz w:val="32"/>
          <w:szCs w:val="32"/>
          <w:lang w:val="en-US" w:eastAsia="zh-CN" w:bidi="ar-SA"/>
        </w:rPr>
        <w:t>%；住房保障支出43.16万元，占1.11%。</w:t>
      </w:r>
    </w:p>
    <w:p w14:paraId="30326DAD">
      <w:pPr>
        <w:ind w:firstLine="420" w:firstLineChars="200"/>
        <w:rPr>
          <w:rFonts w:hint="eastAsia"/>
          <w:color w:val="000000" w:themeColor="text1"/>
          <w14:textFill>
            <w14:solidFill>
              <w14:schemeClr w14:val="tx1"/>
            </w14:solidFill>
          </w14:textFill>
        </w:rPr>
      </w:pPr>
    </w:p>
    <w:p w14:paraId="0D52D145">
      <w:pPr>
        <w:ind w:firstLine="420" w:firstLineChars="200"/>
        <w:rPr>
          <w:rFonts w:hint="eastAsia"/>
          <w:color w:val="000000" w:themeColor="text1"/>
          <w14:textFill>
            <w14:solidFill>
              <w14:schemeClr w14:val="tx1"/>
            </w14:solidFill>
          </w14:textFill>
        </w:rPr>
      </w:pPr>
    </w:p>
    <w:p w14:paraId="144C0956">
      <w:pPr>
        <w:keepNext w:val="0"/>
        <w:keepLines w:val="0"/>
        <w:pageBreakBefore w:val="0"/>
        <w:widowControl w:val="0"/>
        <w:kinsoku/>
        <w:wordWrap w:val="0"/>
        <w:overflowPunct/>
        <w:topLinePunct w:val="0"/>
        <w:autoSpaceDE/>
        <w:autoSpaceDN/>
        <w:bidi w:val="0"/>
        <w:spacing w:line="257" w:lineRule="auto"/>
        <w:jc w:val="center"/>
        <w:rPr>
          <w:rFonts w:ascii="仿宋" w:hAnsi="仿宋" w:eastAsia="仿宋" w:cs="仿宋"/>
          <w:color w:val="000000" w:themeColor="text1"/>
          <w:spacing w:val="4"/>
          <w:sz w:val="31"/>
          <w:szCs w:val="31"/>
          <w14:textFill>
            <w14:solidFill>
              <w14:schemeClr w14:val="tx1"/>
            </w14:solidFill>
          </w14:textFill>
        </w:rPr>
      </w:pPr>
      <w:r>
        <w:rPr>
          <w:color w:val="000000" w:themeColor="text1"/>
          <w14:textFill>
            <w14:solidFill>
              <w14:schemeClr w14:val="tx1"/>
            </w14:solidFill>
          </w14:textFill>
        </w:rPr>
        <w:drawing>
          <wp:inline distT="0" distB="0" distL="114300" distR="114300">
            <wp:extent cx="4701540" cy="1846580"/>
            <wp:effectExtent l="4445" t="4445" r="18415" b="15875"/>
            <wp:docPr id="5" name="图表 5" descr="7b0a202020202263686172745265734964223a202232303437323139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84DA980">
      <w:pPr>
        <w:keepNext w:val="0"/>
        <w:keepLines w:val="0"/>
        <w:pageBreakBefore w:val="0"/>
        <w:widowControl w:val="0"/>
        <w:kinsoku/>
        <w:wordWrap w:val="0"/>
        <w:overflowPunct/>
        <w:topLinePunct w:val="0"/>
        <w:autoSpaceDE/>
        <w:autoSpaceDN/>
        <w:bidi w:val="0"/>
        <w:spacing w:before="100" w:line="381" w:lineRule="auto"/>
        <w:ind w:right="71"/>
        <w:jc w:val="center"/>
        <w:rPr>
          <w:rFonts w:ascii="仿宋" w:hAnsi="仿宋" w:eastAsia="仿宋" w:cs="仿宋"/>
          <w:color w:val="000000" w:themeColor="text1"/>
          <w:sz w:val="31"/>
          <w:szCs w:val="31"/>
          <w14:textFill>
            <w14:solidFill>
              <w14:schemeClr w14:val="tx1"/>
            </w14:solidFill>
          </w14:textFill>
        </w:rPr>
      </w:pPr>
      <w:r>
        <w:rPr>
          <w:rFonts w:ascii="仿宋" w:hAnsi="仿宋" w:eastAsia="仿宋" w:cs="仿宋"/>
          <w:color w:val="000000" w:themeColor="text1"/>
          <w:spacing w:val="4"/>
          <w:sz w:val="31"/>
          <w:szCs w:val="31"/>
          <w14:textFill>
            <w14:solidFill>
              <w14:schemeClr w14:val="tx1"/>
            </w14:solidFill>
          </w14:textFill>
        </w:rPr>
        <w:t>（图6：一般公共</w:t>
      </w:r>
      <w:r>
        <w:rPr>
          <w:rFonts w:ascii="仿宋" w:hAnsi="仿宋" w:eastAsia="仿宋" w:cs="仿宋"/>
          <w:color w:val="000000" w:themeColor="text1"/>
          <w:spacing w:val="7"/>
          <w:sz w:val="31"/>
          <w:szCs w:val="31"/>
          <w14:textFill>
            <w14:solidFill>
              <w14:schemeClr w14:val="tx1"/>
            </w14:solidFill>
          </w14:textFill>
        </w:rPr>
        <w:t>预算财政拨款支出决算</w:t>
      </w:r>
      <w:r>
        <w:rPr>
          <w:rFonts w:ascii="仿宋" w:hAnsi="仿宋" w:eastAsia="仿宋" w:cs="仿宋"/>
          <w:color w:val="000000" w:themeColor="text1"/>
          <w:spacing w:val="9"/>
          <w:sz w:val="31"/>
          <w:szCs w:val="31"/>
          <w14:textFill>
            <w14:solidFill>
              <w14:schemeClr w14:val="tx1"/>
            </w14:solidFill>
          </w14:textFill>
        </w:rPr>
        <w:t>结构</w:t>
      </w:r>
      <w:r>
        <w:rPr>
          <w:rFonts w:ascii="仿宋" w:hAnsi="仿宋" w:eastAsia="仿宋" w:cs="仿宋"/>
          <w:color w:val="000000" w:themeColor="text1"/>
          <w:spacing w:val="-14"/>
          <w:sz w:val="31"/>
          <w:szCs w:val="31"/>
          <w14:textFill>
            <w14:solidFill>
              <w14:schemeClr w14:val="tx1"/>
            </w14:solidFill>
          </w14:textFill>
        </w:rPr>
        <w:t>）（</w:t>
      </w:r>
      <w:r>
        <w:rPr>
          <w:rFonts w:ascii="仿宋" w:hAnsi="仿宋" w:eastAsia="仿宋" w:cs="仿宋"/>
          <w:color w:val="000000" w:themeColor="text1"/>
          <w:spacing w:val="9"/>
          <w:sz w:val="31"/>
          <w:szCs w:val="31"/>
          <w14:textFill>
            <w14:solidFill>
              <w14:schemeClr w14:val="tx1"/>
            </w14:solidFill>
          </w14:textFill>
        </w:rPr>
        <w:t>饼状图）</w:t>
      </w:r>
    </w:p>
    <w:p w14:paraId="7F159152">
      <w:pPr>
        <w:keepNext w:val="0"/>
        <w:keepLines w:val="0"/>
        <w:pageBreakBefore w:val="0"/>
        <w:widowControl w:val="0"/>
        <w:kinsoku/>
        <w:wordWrap w:val="0"/>
        <w:overflowPunct/>
        <w:topLinePunct w:val="0"/>
        <w:autoSpaceDE/>
        <w:autoSpaceDN/>
        <w:bidi w:val="0"/>
        <w:adjustRightInd w:val="0"/>
        <w:snapToGrid w:val="0"/>
        <w:spacing w:line="560" w:lineRule="exact"/>
        <w:ind w:left="0" w:right="0" w:firstLine="648" w:firstLineChars="200"/>
        <w:jc w:val="both"/>
        <w:textAlignment w:val="baseline"/>
        <w:rPr>
          <w:rFonts w:ascii="微软雅黑" w:hAnsi="微软雅黑" w:eastAsia="微软雅黑" w:cs="微软雅黑"/>
          <w:color w:val="000000" w:themeColor="text1"/>
          <w:sz w:val="31"/>
          <w:szCs w:val="31"/>
          <w14:textFill>
            <w14:solidFill>
              <w14:schemeClr w14:val="tx1"/>
            </w14:solidFill>
          </w14:textFill>
        </w:rPr>
      </w:pPr>
      <w:r>
        <w:rPr>
          <w:rFonts w:ascii="微软雅黑" w:hAnsi="微软雅黑" w:eastAsia="微软雅黑" w:cs="微软雅黑"/>
          <w:color w:val="000000" w:themeColor="text1"/>
          <w:spacing w:val="7"/>
          <w:sz w:val="31"/>
          <w:szCs w:val="31"/>
          <w14:textFill>
            <w14:solidFill>
              <w14:schemeClr w14:val="tx1"/>
            </w14:solidFill>
          </w14:textFill>
        </w:rPr>
        <w:t>（三）一般公共预</w:t>
      </w:r>
      <w:r>
        <w:rPr>
          <w:rFonts w:ascii="微软雅黑" w:hAnsi="微软雅黑" w:eastAsia="微软雅黑" w:cs="微软雅黑"/>
          <w:color w:val="000000" w:themeColor="text1"/>
          <w:spacing w:val="9"/>
          <w:sz w:val="31"/>
          <w:szCs w:val="31"/>
          <w14:textFill>
            <w14:solidFill>
              <w14:schemeClr w14:val="tx1"/>
            </w14:solidFill>
          </w14:textFill>
        </w:rPr>
        <w:t>算财政拨款支出决算具</w:t>
      </w:r>
      <w:r>
        <w:rPr>
          <w:rFonts w:ascii="微软雅黑" w:hAnsi="微软雅黑" w:eastAsia="微软雅黑" w:cs="微软雅黑"/>
          <w:color w:val="000000" w:themeColor="text1"/>
          <w:spacing w:val="5"/>
          <w:sz w:val="31"/>
          <w:szCs w:val="31"/>
          <w14:textFill>
            <w14:solidFill>
              <w14:schemeClr w14:val="tx1"/>
            </w14:solidFill>
          </w14:textFill>
        </w:rPr>
        <w:t>体情况</w:t>
      </w:r>
    </w:p>
    <w:p w14:paraId="18A4637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2025年度一般公共预算支出决算数为</w:t>
      </w:r>
      <w:r>
        <w:rPr>
          <w:rFonts w:hint="eastAsia" w:ascii="仿宋_GB2312" w:hAnsi="仿宋_GB2312" w:eastAsia="仿宋_GB2312" w:cs="仿宋_GB2312"/>
          <w:snapToGrid w:val="0"/>
          <w:color w:val="auto"/>
          <w:kern w:val="0"/>
          <w:sz w:val="32"/>
          <w:szCs w:val="32"/>
          <w:lang w:val="en-US" w:eastAsia="zh-CN" w:bidi="ar-SA"/>
        </w:rPr>
        <w:t>3899.51</w:t>
      </w:r>
      <w:r>
        <w:rPr>
          <w:rFonts w:hint="eastAsia" w:ascii="仿宋_GB2312" w:hAnsi="仿宋_GB2312" w:eastAsia="仿宋_GB2312" w:cs="仿宋_GB2312"/>
          <w:color w:val="auto"/>
          <w:sz w:val="32"/>
          <w:szCs w:val="32"/>
          <w:lang w:val="en-US" w:eastAsia="zh-CN"/>
        </w:rPr>
        <w:t>，完成预算100%。其中：</w:t>
      </w:r>
    </w:p>
    <w:p w14:paraId="68D3DF3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1.农林水支出213（类）巩固脱贫攻坚成果衔接乡村振兴农村基础设施建设04（项）:支出决算为410.14万元，完成预算100%，与预算数持平。</w:t>
      </w:r>
    </w:p>
    <w:p w14:paraId="04AD342C">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lang w:val="en-US" w:eastAsia="zh-CN"/>
        </w:rPr>
        <w:t>2.农林水支出213（类）巩固脱贫攻坚成果衔接乡村振兴其他巩固脱贫攻坚成果衔接乡村振兴支出0599（项）:支出决算为689.62万元，完成预算100%，与预算数持平。</w:t>
      </w:r>
    </w:p>
    <w:p w14:paraId="715601DC">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3.农林水支出213（类）巩固脱贫攻坚成果衔接乡村振兴其他农林水支出99（项）:支出决算为9万元，完成预算100%，与预算数持平。</w:t>
      </w:r>
    </w:p>
    <w:p w14:paraId="6D1292F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4.农林水支出213（类）水利03（款）行政运行01（项）:支出决算为404.53万元，完成预算100%，与预算数持平。</w:t>
      </w:r>
    </w:p>
    <w:p w14:paraId="6342CEA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5.农林水支出213（类）水利03（款）一般行政管理事务02（项）:支出决算为46.19万元，完成预算100%，与预算数持平。</w:t>
      </w:r>
    </w:p>
    <w:p w14:paraId="411A077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6.农林水支出213（类）水利03（款）机关服务03（项）:支出决算为33.03万元，完成预算100%，与预算数持平。</w:t>
      </w:r>
    </w:p>
    <w:p w14:paraId="4FF237C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7.农林水支出213（类）水利03（款）水利工程建设05（项）:支出决算为32.5万元，完成预算100%，与预算数持平。</w:t>
      </w:r>
    </w:p>
    <w:p w14:paraId="6B23F8F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8.农林水支出213（类）水利03（款）长江黄河等流域管理07（项）:支出决算为26.1万元，完成预算100%，与预算数持平。</w:t>
      </w:r>
    </w:p>
    <w:p w14:paraId="34637741">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9.农林水支出213（类）水利03（款）防汛14（项）:支出决算为58.45万元，完成预算100%，与预算数持平。</w:t>
      </w:r>
    </w:p>
    <w:p w14:paraId="4E97B62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10.农林水支出213（类）水利03（款）农村水利16（项）:支出决算为159.59万元，完成预算100%，与预算数持平。</w:t>
      </w:r>
    </w:p>
    <w:p w14:paraId="6B160FA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11.农林水支出213（类）水利03（款）农村供水35（项）:支出决算为252.35万元，完成预算100%，与预算数持平。</w:t>
      </w:r>
    </w:p>
    <w:p w14:paraId="7045F06C">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12.农林水支出213（类）水利03（款）其他水利支出99（项）:支出决算为282.23万元，完成预算100%，与预算数持平。</w:t>
      </w:r>
    </w:p>
    <w:p w14:paraId="45E0FCBC">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lang w:val="en-US" w:eastAsia="zh-CN"/>
        </w:rPr>
        <w:t>13.节能环保支出211（类）污染防治03（款）水体02（项）:支出决算为234.16万元，完成预算100%，与预算数持平。</w:t>
      </w:r>
    </w:p>
    <w:p w14:paraId="258DC4C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14.卫生健康210（类）行政事业单位医疗11（款）行政单位医疗01（项）:支出决算为21.74万元，完成预算100%，与预算数持平。</w:t>
      </w:r>
    </w:p>
    <w:p w14:paraId="517B112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15.卫生健康210（类）行政事业单位医疗11（款）事业单位医疗02（项）:支出决算为1.79万元，完成预算100%，与预算数持平。</w:t>
      </w:r>
    </w:p>
    <w:p w14:paraId="7FCFF20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16.卫生健康210（类）行政事业单位医疗11（款）公务员医疗补助03（项）:支出决算为7.47万元，完成预算100%，与预算数持平。</w:t>
      </w:r>
    </w:p>
    <w:p w14:paraId="1F4F1144">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17.卫生健康210（类）行政事业单位医疗11（款）其他行政事业单位医疗支出99（项）:支出决算为0.36万元，完成预算100%，与预算数持平。</w:t>
      </w:r>
    </w:p>
    <w:p w14:paraId="2FE9CF5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18.自然资源海洋气象等支出220（类）自然资源事务01（款）自然资源利用与保护06（项）:支出决算为1018.51万元，完成预算100%，与预算数持平。</w:t>
      </w:r>
    </w:p>
    <w:p w14:paraId="4C3D813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19.社会保障和就业208（类）行政事业单位养老支出05（款）机关事业单位基本养老保险缴费支出05（项）:支出决算为54.36万元，完成预算100%，与预算数持平。</w:t>
      </w:r>
    </w:p>
    <w:p w14:paraId="21EBF6A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20.社会保障和就业208（类）行政事业单位养老支出05（款）机关事业单位职业年金缴费支出06（项）:支出决算为27.22万元，完成预算100%，与预算数持平。</w:t>
      </w:r>
    </w:p>
    <w:p w14:paraId="7722E7C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yellow"/>
          <w:lang w:val="en-US" w:eastAsia="zh-CN"/>
        </w:rPr>
      </w:pPr>
      <w:r>
        <w:rPr>
          <w:rFonts w:hint="eastAsia" w:ascii="仿宋_GB2312" w:hAnsi="仿宋_GB2312" w:eastAsia="仿宋_GB2312" w:cs="仿宋_GB2312"/>
          <w:color w:val="auto"/>
          <w:sz w:val="32"/>
          <w:szCs w:val="32"/>
          <w:highlight w:val="none"/>
          <w:lang w:val="en-US" w:eastAsia="zh-CN"/>
        </w:rPr>
        <w:t>21.社会保障和就业208（类）就业补助07（款）公益性岗位补贴05（项）:支出决算为87万元，完成预算100%，与预算数持平。</w:t>
      </w:r>
    </w:p>
    <w:p w14:paraId="03B07E5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22.住房保障支出221（类）住房改革支出02（款）住房公积金01（项）:支出决算为43.16万元，完成预算100%，与预算数持平。</w:t>
      </w:r>
    </w:p>
    <w:p w14:paraId="3BA25D14">
      <w:pPr>
        <w:pStyle w:val="3"/>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right="0" w:rightChars="0" w:firstLine="644" w:firstLineChars="200"/>
        <w:jc w:val="both"/>
        <w:textAlignment w:val="baseline"/>
        <w:outlineLvl w:val="2"/>
        <w:rPr>
          <w:rFonts w:ascii="微软雅黑" w:hAnsi="微软雅黑" w:eastAsia="微软雅黑" w:cs="微软雅黑"/>
          <w:color w:val="000000" w:themeColor="text1"/>
          <w:spacing w:val="6"/>
          <w:sz w:val="31"/>
          <w:szCs w:val="31"/>
          <w14:textFill>
            <w14:solidFill>
              <w14:schemeClr w14:val="tx1"/>
            </w14:solidFill>
          </w14:textFill>
        </w:rPr>
      </w:pPr>
      <w:r>
        <w:rPr>
          <w:rFonts w:hint="eastAsia" w:ascii="微软雅黑" w:hAnsi="微软雅黑" w:eastAsia="微软雅黑" w:cs="微软雅黑"/>
          <w:color w:val="000000" w:themeColor="text1"/>
          <w:spacing w:val="6"/>
          <w:sz w:val="31"/>
          <w:szCs w:val="31"/>
          <w:lang w:eastAsia="zh-CN"/>
          <w14:textFill>
            <w14:solidFill>
              <w14:schemeClr w14:val="tx1"/>
            </w14:solidFill>
          </w14:textFill>
        </w:rPr>
        <w:t>六、</w:t>
      </w:r>
      <w:r>
        <w:rPr>
          <w:rFonts w:ascii="微软雅黑" w:hAnsi="微软雅黑" w:eastAsia="微软雅黑" w:cs="微软雅黑"/>
          <w:color w:val="000000" w:themeColor="text1"/>
          <w:spacing w:val="6"/>
          <w:sz w:val="31"/>
          <w:szCs w:val="31"/>
          <w14:textFill>
            <w14:solidFill>
              <w14:schemeClr w14:val="tx1"/>
            </w14:solidFill>
          </w14:textFill>
        </w:rPr>
        <w:t>一般公共预算财政拨款基本支出决算情况说明</w:t>
      </w:r>
    </w:p>
    <w:p w14:paraId="2B9DC5A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一般公共预算财政拨款基本支出593.66万元，其中：人员经费556.33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p>
    <w:p w14:paraId="3D76526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公用经费37.33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3D238725">
      <w:pPr>
        <w:pStyle w:val="3"/>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right="0" w:rightChars="0" w:firstLine="644" w:firstLineChars="200"/>
        <w:jc w:val="both"/>
        <w:textAlignment w:val="baseline"/>
        <w:outlineLvl w:val="2"/>
        <w:rPr>
          <w:rFonts w:hint="eastAsia" w:ascii="微软雅黑" w:hAnsi="微软雅黑" w:eastAsia="微软雅黑" w:cs="微软雅黑"/>
          <w:color w:val="000000" w:themeColor="text1"/>
          <w:spacing w:val="6"/>
          <w:sz w:val="31"/>
          <w:szCs w:val="31"/>
          <w:lang w:val="en-US" w:eastAsia="zh-CN"/>
          <w14:textFill>
            <w14:solidFill>
              <w14:schemeClr w14:val="tx1"/>
            </w14:solidFill>
          </w14:textFill>
        </w:rPr>
      </w:pPr>
      <w:r>
        <w:rPr>
          <w:rFonts w:hint="eastAsia" w:ascii="微软雅黑" w:hAnsi="微软雅黑" w:eastAsia="微软雅黑" w:cs="微软雅黑"/>
          <w:color w:val="000000" w:themeColor="text1"/>
          <w:spacing w:val="6"/>
          <w:sz w:val="31"/>
          <w:szCs w:val="31"/>
          <w:lang w:val="en-US" w:eastAsia="zh-CN"/>
          <w14:textFill>
            <w14:solidFill>
              <w14:schemeClr w14:val="tx1"/>
            </w14:solidFill>
          </w14:textFill>
        </w:rPr>
        <w:t>七、财政拨款“三公”经费支出决算情况说明</w:t>
      </w:r>
    </w:p>
    <w:p w14:paraId="639A4E5C">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（一）“三公”经费财政拨款支出决算总体情况说明</w:t>
      </w:r>
    </w:p>
    <w:p w14:paraId="2641787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lang w:val="en-US" w:eastAsia="zh-CN"/>
        </w:rPr>
        <w:t>2025年度“三公”经费财政拨款支出决算为4.72万元，完成预算100%，较上年度减少3.08万元，下降39.79%。下降原因办公经费减少。</w:t>
      </w:r>
    </w:p>
    <w:p w14:paraId="56C026C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（二）“三公”经费财政拨款支出决算具体情况说明</w:t>
      </w:r>
    </w:p>
    <w:p w14:paraId="0A00837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2025年度“三公”经费财政拨款支出决算中，因公出国（境）费支出决算0万元，占0%；公务用车购置及运行维护费支出决算4.6万元，占97.46%；公务接待费支出决算0.12万元，占2.54%。具体情况如下：</w:t>
      </w:r>
    </w:p>
    <w:p w14:paraId="148B7EC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0000FF"/>
          <w:sz w:val="32"/>
          <w:szCs w:val="32"/>
          <w:lang w:val="en-US" w:eastAsia="zh-CN"/>
        </w:rPr>
        <w:drawing>
          <wp:anchor distT="0" distB="0" distL="114300" distR="114300" simplePos="0" relativeHeight="251661312" behindDoc="0" locked="0" layoutInCell="1" allowOverlap="1">
            <wp:simplePos x="0" y="0"/>
            <wp:positionH relativeFrom="column">
              <wp:posOffset>1309370</wp:posOffset>
            </wp:positionH>
            <wp:positionV relativeFrom="paragraph">
              <wp:posOffset>66675</wp:posOffset>
            </wp:positionV>
            <wp:extent cx="3430905" cy="1700530"/>
            <wp:effectExtent l="4445" t="4445" r="12700" b="9525"/>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14:paraId="76754737">
      <w:pPr>
        <w:keepNext w:val="0"/>
        <w:keepLines w:val="0"/>
        <w:pageBreakBefore w:val="0"/>
        <w:widowControl w:val="0"/>
        <w:kinsoku/>
        <w:wordWrap w:val="0"/>
        <w:overflowPunct/>
        <w:topLinePunct w:val="0"/>
        <w:autoSpaceDE/>
        <w:autoSpaceDN/>
        <w:bidi w:val="0"/>
        <w:spacing w:before="47" w:line="296" w:lineRule="auto"/>
        <w:ind w:left="90" w:right="71" w:firstLine="659"/>
        <w:jc w:val="both"/>
        <w:rPr>
          <w:rFonts w:ascii="Arial" w:hAnsi="Arial" w:eastAsia="Arial" w:cs="Arial"/>
          <w:color w:val="000000" w:themeColor="text1"/>
          <w:spacing w:val="21"/>
          <w:sz w:val="31"/>
          <w:szCs w:val="31"/>
          <w14:textFill>
            <w14:solidFill>
              <w14:schemeClr w14:val="tx1"/>
            </w14:solidFill>
          </w14:textFill>
        </w:rPr>
      </w:pPr>
    </w:p>
    <w:p w14:paraId="7FFD1103">
      <w:pPr>
        <w:keepNext w:val="0"/>
        <w:keepLines w:val="0"/>
        <w:pageBreakBefore w:val="0"/>
        <w:widowControl w:val="0"/>
        <w:kinsoku/>
        <w:wordWrap w:val="0"/>
        <w:overflowPunct/>
        <w:topLinePunct w:val="0"/>
        <w:autoSpaceDE/>
        <w:autoSpaceDN/>
        <w:bidi w:val="0"/>
        <w:spacing w:before="47" w:line="296" w:lineRule="auto"/>
        <w:ind w:left="90" w:right="71" w:firstLine="659"/>
        <w:jc w:val="both"/>
        <w:rPr>
          <w:rFonts w:ascii="Arial" w:hAnsi="Arial" w:eastAsia="Arial" w:cs="Arial"/>
          <w:color w:val="000000" w:themeColor="text1"/>
          <w:spacing w:val="21"/>
          <w:sz w:val="31"/>
          <w:szCs w:val="31"/>
          <w14:textFill>
            <w14:solidFill>
              <w14:schemeClr w14:val="tx1"/>
            </w14:solidFill>
          </w14:textFill>
        </w:rPr>
      </w:pPr>
    </w:p>
    <w:p w14:paraId="3D1C7046">
      <w:pPr>
        <w:keepNext w:val="0"/>
        <w:keepLines w:val="0"/>
        <w:pageBreakBefore w:val="0"/>
        <w:widowControl w:val="0"/>
        <w:kinsoku/>
        <w:wordWrap w:val="0"/>
        <w:overflowPunct/>
        <w:topLinePunct w:val="0"/>
        <w:autoSpaceDE/>
        <w:autoSpaceDN/>
        <w:bidi w:val="0"/>
        <w:spacing w:before="47" w:line="296" w:lineRule="auto"/>
        <w:ind w:left="90" w:right="71" w:firstLine="659"/>
        <w:jc w:val="both"/>
        <w:rPr>
          <w:rFonts w:ascii="Arial" w:hAnsi="Arial" w:eastAsia="Arial" w:cs="Arial"/>
          <w:color w:val="000000" w:themeColor="text1"/>
          <w:spacing w:val="21"/>
          <w:sz w:val="31"/>
          <w:szCs w:val="31"/>
          <w14:textFill>
            <w14:solidFill>
              <w14:schemeClr w14:val="tx1"/>
            </w14:solidFill>
          </w14:textFill>
        </w:rPr>
      </w:pPr>
    </w:p>
    <w:p w14:paraId="35DDFA47">
      <w:pPr>
        <w:keepNext w:val="0"/>
        <w:keepLines w:val="0"/>
        <w:pageBreakBefore w:val="0"/>
        <w:widowControl w:val="0"/>
        <w:kinsoku/>
        <w:wordWrap w:val="0"/>
        <w:overflowPunct/>
        <w:topLinePunct w:val="0"/>
        <w:autoSpaceDE/>
        <w:autoSpaceDN/>
        <w:bidi w:val="0"/>
        <w:spacing w:before="47" w:line="296" w:lineRule="auto"/>
        <w:ind w:left="90" w:right="71" w:firstLine="659"/>
        <w:jc w:val="both"/>
        <w:rPr>
          <w:rFonts w:ascii="Arial" w:hAnsi="Arial" w:eastAsia="Arial" w:cs="Arial"/>
          <w:color w:val="000000" w:themeColor="text1"/>
          <w:spacing w:val="21"/>
          <w:sz w:val="31"/>
          <w:szCs w:val="31"/>
          <w14:textFill>
            <w14:solidFill>
              <w14:schemeClr w14:val="tx1"/>
            </w14:solidFill>
          </w14:textFill>
        </w:rPr>
      </w:pPr>
    </w:p>
    <w:p w14:paraId="7AA9CEE7">
      <w:pPr>
        <w:keepNext w:val="0"/>
        <w:keepLines w:val="0"/>
        <w:pageBreakBefore w:val="0"/>
        <w:widowControl w:val="0"/>
        <w:kinsoku/>
        <w:wordWrap w:val="0"/>
        <w:overflowPunct/>
        <w:topLinePunct w:val="0"/>
        <w:autoSpaceDE/>
        <w:autoSpaceDN/>
        <w:bidi w:val="0"/>
        <w:spacing w:before="47" w:line="296" w:lineRule="auto"/>
        <w:ind w:left="90" w:right="71" w:firstLine="659"/>
        <w:jc w:val="both"/>
        <w:rPr>
          <w:rFonts w:ascii="Arial" w:hAnsi="Arial" w:eastAsia="Arial" w:cs="Arial"/>
          <w:color w:val="000000" w:themeColor="text1"/>
          <w:spacing w:val="21"/>
          <w:sz w:val="31"/>
          <w:szCs w:val="31"/>
          <w14:textFill>
            <w14:solidFill>
              <w14:schemeClr w14:val="tx1"/>
            </w14:solidFill>
          </w14:textFill>
        </w:rPr>
      </w:pPr>
    </w:p>
    <w:p w14:paraId="1F652A15">
      <w:pPr>
        <w:keepNext w:val="0"/>
        <w:keepLines w:val="0"/>
        <w:pageBreakBefore w:val="0"/>
        <w:widowControl w:val="0"/>
        <w:kinsoku/>
        <w:wordWrap w:val="0"/>
        <w:overflowPunct/>
        <w:topLinePunct w:val="0"/>
        <w:autoSpaceDE/>
        <w:autoSpaceDN/>
        <w:bidi w:val="0"/>
        <w:spacing w:before="10" w:line="227" w:lineRule="auto"/>
        <w:ind w:left="109"/>
        <w:jc w:val="center"/>
        <w:rPr>
          <w:rFonts w:ascii="仿宋" w:hAnsi="仿宋" w:eastAsia="仿宋" w:cs="仿宋"/>
          <w:color w:val="000000" w:themeColor="text1"/>
          <w:sz w:val="31"/>
          <w:szCs w:val="31"/>
          <w14:textFill>
            <w14:solidFill>
              <w14:schemeClr w14:val="tx1"/>
            </w14:solidFill>
          </w14:textFill>
        </w:rPr>
      </w:pPr>
      <w:r>
        <w:rPr>
          <w:rFonts w:ascii="仿宋" w:hAnsi="仿宋" w:eastAsia="仿宋" w:cs="仿宋"/>
          <w:color w:val="000000" w:themeColor="text1"/>
          <w:spacing w:val="5"/>
          <w:sz w:val="31"/>
          <w:szCs w:val="31"/>
          <w14:textFill>
            <w14:solidFill>
              <w14:schemeClr w14:val="tx1"/>
            </w14:solidFill>
          </w14:textFill>
        </w:rPr>
        <w:t>（图7：“三公”经费财政拨款支出结构</w:t>
      </w:r>
      <w:r>
        <w:rPr>
          <w:rFonts w:ascii="仿宋" w:hAnsi="仿宋" w:eastAsia="仿宋" w:cs="仿宋"/>
          <w:color w:val="000000" w:themeColor="text1"/>
          <w:spacing w:val="-8"/>
          <w:sz w:val="31"/>
          <w:szCs w:val="31"/>
          <w14:textFill>
            <w14:solidFill>
              <w14:schemeClr w14:val="tx1"/>
            </w14:solidFill>
          </w14:textFill>
        </w:rPr>
        <w:t>）（</w:t>
      </w:r>
      <w:r>
        <w:rPr>
          <w:rFonts w:ascii="仿宋" w:hAnsi="仿宋" w:eastAsia="仿宋" w:cs="仿宋"/>
          <w:color w:val="000000" w:themeColor="text1"/>
          <w:spacing w:val="5"/>
          <w:sz w:val="31"/>
          <w:szCs w:val="31"/>
          <w14:textFill>
            <w14:solidFill>
              <w14:schemeClr w14:val="tx1"/>
            </w14:solidFill>
          </w14:textFill>
        </w:rPr>
        <w:t>饼状图）</w:t>
      </w:r>
    </w:p>
    <w:p w14:paraId="3956274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1.因公出国（境）经费支出0万元，完成预算0%。全年安排因公出国（境）团组0次，出国（境）0人。因公出国（境）支出决算比2024年增加/减少0万元，增长/下降0%。</w:t>
      </w:r>
    </w:p>
    <w:p w14:paraId="1FB7284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lang w:val="en-US" w:eastAsia="zh-CN"/>
        </w:rPr>
        <w:t>2.公务用车购置及运行维护费支出4.6万元,完成预算100%。公务用车购置及运行维护费支出决算比2024年度减少3.00万元，下降39.47</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主要原因是公务用车购置及运行维护费支出减少。其中：公务用车购置支出0万元。全年按规定更新购置公务用车0辆，其中：轿车0辆、金额0万元，越野车0辆、金额0万元，载客汽车0辆、金额0万元。截至2025年12月31日，单位共有公务用车1辆，其中：轿车0辆、越野车1辆、载客汽车0辆。公务用车运行维护费支出4.6万元。主要用于主要用于水利基础设施建设、下乡出差、日常工作（具体工作）等所需的公务用车燃料费、维修费、过路过桥费、保险费等支出（具体工作）等所需的公务用车燃料费、维修费、过路过桥费、保险费等支出。</w:t>
      </w:r>
    </w:p>
    <w:p w14:paraId="6CD5669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3.公务接待费支出0.12万元</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完成预算100%。公务接待费支出决算比2024年度减少0.08万元</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下降40%。主要原因是接待次数减少。外事接待支出0万元，外事接待0批次，0人次（不包括陪同人员），共计支出0万元。</w:t>
      </w:r>
    </w:p>
    <w:p w14:paraId="6431ED8C">
      <w:pPr>
        <w:pStyle w:val="3"/>
        <w:keepNext w:val="0"/>
        <w:keepLines w:val="0"/>
        <w:pageBreakBefore w:val="0"/>
        <w:widowControl w:val="0"/>
        <w:numPr>
          <w:ilvl w:val="0"/>
          <w:numId w:val="0"/>
        </w:numPr>
        <w:kinsoku/>
        <w:wordWrap w:val="0"/>
        <w:overflowPunct/>
        <w:topLinePunct w:val="0"/>
        <w:autoSpaceDE/>
        <w:autoSpaceDN/>
        <w:bidi w:val="0"/>
        <w:spacing w:before="20" w:line="190" w:lineRule="auto"/>
        <w:ind w:firstLine="644" w:firstLineChars="200"/>
        <w:outlineLvl w:val="2"/>
        <w:rPr>
          <w:rFonts w:ascii="微软雅黑" w:hAnsi="微软雅黑" w:eastAsia="微软雅黑" w:cs="微软雅黑"/>
          <w:color w:val="000000" w:themeColor="text1"/>
          <w:spacing w:val="6"/>
          <w:sz w:val="31"/>
          <w:szCs w:val="31"/>
          <w14:textFill>
            <w14:solidFill>
              <w14:schemeClr w14:val="tx1"/>
            </w14:solidFill>
          </w14:textFill>
        </w:rPr>
      </w:pPr>
      <w:r>
        <w:rPr>
          <w:rFonts w:hint="eastAsia" w:ascii="微软雅黑" w:hAnsi="微软雅黑" w:eastAsia="微软雅黑" w:cs="微软雅黑"/>
          <w:color w:val="000000" w:themeColor="text1"/>
          <w:spacing w:val="6"/>
          <w:sz w:val="31"/>
          <w:szCs w:val="31"/>
          <w:lang w:val="en-US" w:eastAsia="zh-CN"/>
          <w14:textFill>
            <w14:solidFill>
              <w14:schemeClr w14:val="tx1"/>
            </w14:solidFill>
          </w14:textFill>
        </w:rPr>
        <w:t>八、</w:t>
      </w:r>
      <w:r>
        <w:rPr>
          <w:rFonts w:ascii="微软雅黑" w:hAnsi="微软雅黑" w:eastAsia="微软雅黑" w:cs="微软雅黑"/>
          <w:color w:val="000000" w:themeColor="text1"/>
          <w:spacing w:val="6"/>
          <w:sz w:val="31"/>
          <w:szCs w:val="31"/>
          <w14:textFill>
            <w14:solidFill>
              <w14:schemeClr w14:val="tx1"/>
            </w14:solidFill>
          </w14:textFill>
        </w:rPr>
        <w:t>政府性基金预算支出决算情况说明</w:t>
      </w:r>
    </w:p>
    <w:p w14:paraId="1F9BACF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2025年度政府性基金预算财政拨款支出206.86万元。</w:t>
      </w:r>
    </w:p>
    <w:p w14:paraId="345043C1">
      <w:pPr>
        <w:pStyle w:val="3"/>
        <w:keepNext w:val="0"/>
        <w:keepLines w:val="0"/>
        <w:pageBreakBefore w:val="0"/>
        <w:widowControl w:val="0"/>
        <w:numPr>
          <w:ilvl w:val="0"/>
          <w:numId w:val="3"/>
        </w:numPr>
        <w:kinsoku/>
        <w:wordWrap w:val="0"/>
        <w:overflowPunct/>
        <w:topLinePunct w:val="0"/>
        <w:autoSpaceDE/>
        <w:autoSpaceDN/>
        <w:bidi w:val="0"/>
        <w:spacing w:before="187" w:line="190" w:lineRule="auto"/>
        <w:ind w:left="739"/>
        <w:outlineLvl w:val="2"/>
        <w:rPr>
          <w:rFonts w:ascii="微软雅黑" w:hAnsi="微软雅黑" w:eastAsia="微软雅黑" w:cs="微软雅黑"/>
          <w:color w:val="000000" w:themeColor="text1"/>
          <w:spacing w:val="6"/>
          <w:sz w:val="31"/>
          <w:szCs w:val="31"/>
          <w14:textFill>
            <w14:solidFill>
              <w14:schemeClr w14:val="tx1"/>
            </w14:solidFill>
          </w14:textFill>
        </w:rPr>
      </w:pPr>
      <w:r>
        <w:rPr>
          <w:rFonts w:ascii="微软雅黑" w:hAnsi="微软雅黑" w:eastAsia="微软雅黑" w:cs="微软雅黑"/>
          <w:color w:val="000000" w:themeColor="text1"/>
          <w:spacing w:val="6"/>
          <w:sz w:val="31"/>
          <w:szCs w:val="31"/>
          <w14:textFill>
            <w14:solidFill>
              <w14:schemeClr w14:val="tx1"/>
            </w14:solidFill>
          </w14:textFill>
        </w:rPr>
        <w:t>国有资本经营预算支出决算情况说明</w:t>
      </w:r>
    </w:p>
    <w:p w14:paraId="4E94E63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2025年度国有资本经营预算财政拨款支出0万元。</w:t>
      </w:r>
    </w:p>
    <w:p w14:paraId="49F2C8AC">
      <w:pPr>
        <w:pStyle w:val="3"/>
        <w:keepNext w:val="0"/>
        <w:keepLines w:val="0"/>
        <w:pageBreakBefore w:val="0"/>
        <w:widowControl w:val="0"/>
        <w:kinsoku/>
        <w:wordWrap w:val="0"/>
        <w:overflowPunct/>
        <w:topLinePunct w:val="0"/>
        <w:autoSpaceDE/>
        <w:autoSpaceDN/>
        <w:bidi w:val="0"/>
        <w:spacing w:before="188" w:line="189" w:lineRule="auto"/>
        <w:ind w:left="735"/>
        <w:outlineLvl w:val="2"/>
        <w:rPr>
          <w:rFonts w:ascii="微软雅黑" w:hAnsi="微软雅黑" w:eastAsia="微软雅黑" w:cs="微软雅黑"/>
          <w:color w:val="000000" w:themeColor="text1"/>
          <w:sz w:val="31"/>
          <w:szCs w:val="31"/>
          <w14:textFill>
            <w14:solidFill>
              <w14:schemeClr w14:val="tx1"/>
            </w14:solidFill>
          </w14:textFill>
        </w:rPr>
      </w:pPr>
      <w:r>
        <w:rPr>
          <w:color w:val="000000" w:themeColor="text1"/>
          <w:spacing w:val="5"/>
          <w:sz w:val="31"/>
          <w:szCs w:val="31"/>
          <w14:textFill>
            <w14:solidFill>
              <w14:schemeClr w14:val="tx1"/>
            </w14:solidFill>
          </w14:textFill>
        </w:rPr>
        <w:t>十、</w:t>
      </w:r>
      <w:r>
        <w:rPr>
          <w:rFonts w:ascii="微软雅黑" w:hAnsi="微软雅黑" w:eastAsia="微软雅黑" w:cs="微软雅黑"/>
          <w:color w:val="000000" w:themeColor="text1"/>
          <w:spacing w:val="5"/>
          <w:sz w:val="31"/>
          <w:szCs w:val="31"/>
          <w14:textFill>
            <w14:solidFill>
              <w14:schemeClr w14:val="tx1"/>
            </w14:solidFill>
          </w14:textFill>
        </w:rPr>
        <w:t>其他重要事项的情况说明</w:t>
      </w:r>
    </w:p>
    <w:p w14:paraId="69F5FEA5">
      <w:pPr>
        <w:keepNext w:val="0"/>
        <w:keepLines w:val="0"/>
        <w:pageBreakBefore w:val="0"/>
        <w:widowControl w:val="0"/>
        <w:kinsoku/>
        <w:wordWrap w:val="0"/>
        <w:overflowPunct/>
        <w:topLinePunct w:val="0"/>
        <w:autoSpaceDE/>
        <w:autoSpaceDN/>
        <w:bidi w:val="0"/>
        <w:spacing w:before="223" w:line="181" w:lineRule="auto"/>
        <w:ind w:left="741"/>
        <w:rPr>
          <w:rFonts w:ascii="微软雅黑" w:hAnsi="微软雅黑" w:eastAsia="微软雅黑" w:cs="微软雅黑"/>
          <w:color w:val="000000" w:themeColor="text1"/>
          <w:sz w:val="31"/>
          <w:szCs w:val="31"/>
          <w14:textFill>
            <w14:solidFill>
              <w14:schemeClr w14:val="tx1"/>
            </w14:solidFill>
          </w14:textFill>
        </w:rPr>
      </w:pPr>
      <w:r>
        <w:rPr>
          <w:rFonts w:ascii="微软雅黑" w:hAnsi="微软雅黑" w:eastAsia="微软雅黑" w:cs="微软雅黑"/>
          <w:color w:val="000000" w:themeColor="text1"/>
          <w:spacing w:val="4"/>
          <w:sz w:val="31"/>
          <w:szCs w:val="31"/>
          <w14:textFill>
            <w14:solidFill>
              <w14:schemeClr w14:val="tx1"/>
            </w14:solidFill>
          </w14:textFill>
        </w:rPr>
        <w:t>（一）机关运行经费支出情况</w:t>
      </w:r>
    </w:p>
    <w:p w14:paraId="3F47524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2025年度，红原县水务局机关运行经费支出34.45万元，比2024年度增加1.71万元，增加5.22%。主要原因是人员增加。</w:t>
      </w:r>
    </w:p>
    <w:p w14:paraId="5B6FE724">
      <w:pPr>
        <w:keepNext w:val="0"/>
        <w:keepLines w:val="0"/>
        <w:pageBreakBefore w:val="0"/>
        <w:widowControl w:val="0"/>
        <w:kinsoku/>
        <w:wordWrap w:val="0"/>
        <w:overflowPunct/>
        <w:topLinePunct w:val="0"/>
        <w:autoSpaceDE/>
        <w:autoSpaceDN/>
        <w:bidi w:val="0"/>
        <w:spacing w:before="223" w:line="181" w:lineRule="auto"/>
        <w:ind w:left="741"/>
        <w:rPr>
          <w:rFonts w:hint="eastAsia" w:ascii="微软雅黑" w:hAnsi="微软雅黑" w:eastAsia="微软雅黑" w:cs="微软雅黑"/>
          <w:color w:val="000000" w:themeColor="text1"/>
          <w:spacing w:val="4"/>
          <w:sz w:val="31"/>
          <w:szCs w:val="31"/>
          <w:lang w:val="en-US" w:eastAsia="zh-CN"/>
          <w14:textFill>
            <w14:solidFill>
              <w14:schemeClr w14:val="tx1"/>
            </w14:solidFill>
          </w14:textFill>
        </w:rPr>
      </w:pPr>
      <w:r>
        <w:rPr>
          <w:rFonts w:hint="eastAsia" w:ascii="微软雅黑" w:hAnsi="微软雅黑" w:eastAsia="微软雅黑" w:cs="微软雅黑"/>
          <w:color w:val="000000" w:themeColor="text1"/>
          <w:spacing w:val="4"/>
          <w:sz w:val="31"/>
          <w:szCs w:val="31"/>
          <w:lang w:val="en-US" w:eastAsia="zh-CN"/>
          <w14:textFill>
            <w14:solidFill>
              <w14:schemeClr w14:val="tx1"/>
            </w14:solidFill>
          </w14:textFill>
        </w:rPr>
        <w:t>（二）政府采购支出情况</w:t>
      </w:r>
    </w:p>
    <w:p w14:paraId="7376B3F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红原县水务局政府采购支出总额728.36万元，其中：政府采购货物支出0万元、政府采购工程支出728.36万元、政府采购服务支出0万元。主要用于水利项目建设（具体工作）。授予中小企业合同金额0万元，占政府采购支出总额的0%，其中：授予小微企业合同金额0万元，占政府采购支出总额的0%。</w:t>
      </w:r>
    </w:p>
    <w:p w14:paraId="3BE50F68">
      <w:pPr>
        <w:keepNext w:val="0"/>
        <w:keepLines w:val="0"/>
        <w:pageBreakBefore w:val="0"/>
        <w:widowControl w:val="0"/>
        <w:kinsoku/>
        <w:wordWrap w:val="0"/>
        <w:overflowPunct/>
        <w:topLinePunct w:val="0"/>
        <w:autoSpaceDE/>
        <w:autoSpaceDN/>
        <w:bidi w:val="0"/>
        <w:spacing w:before="223" w:line="181" w:lineRule="auto"/>
        <w:ind w:left="741"/>
        <w:rPr>
          <w:rFonts w:hint="eastAsia" w:ascii="微软雅黑" w:hAnsi="微软雅黑" w:eastAsia="微软雅黑" w:cs="微软雅黑"/>
          <w:color w:val="000000" w:themeColor="text1"/>
          <w:spacing w:val="4"/>
          <w:sz w:val="31"/>
          <w:szCs w:val="31"/>
          <w:lang w:val="en-US" w:eastAsia="zh-CN"/>
          <w14:textFill>
            <w14:solidFill>
              <w14:schemeClr w14:val="tx1"/>
            </w14:solidFill>
          </w14:textFill>
        </w:rPr>
      </w:pPr>
      <w:r>
        <w:rPr>
          <w:rFonts w:hint="eastAsia" w:ascii="微软雅黑" w:hAnsi="微软雅黑" w:eastAsia="微软雅黑" w:cs="微软雅黑"/>
          <w:color w:val="000000" w:themeColor="text1"/>
          <w:spacing w:val="4"/>
          <w:sz w:val="31"/>
          <w:szCs w:val="31"/>
          <w:lang w:val="en-US" w:eastAsia="zh-CN"/>
          <w14:textFill>
            <w14:solidFill>
              <w14:schemeClr w14:val="tx1"/>
            </w14:solidFill>
          </w14:textFill>
        </w:rPr>
        <w:t>（三）国有资产占有使用情况</w:t>
      </w:r>
    </w:p>
    <w:p w14:paraId="48F93B6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截至2025年12月31日，红原县水务局共有车辆2辆，其中：主要领导干部用车0辆、机要通信用车0辆、应急保障用车0辆、其他用车</w:t>
      </w:r>
      <w:r>
        <w:rPr>
          <w:rFonts w:hint="default"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en-US" w:eastAsia="zh-CN"/>
        </w:rPr>
        <w:t>辆，其他用车主要是用于日常公务用车。单价100万元以上设备（不含车辆）0台（套）。</w:t>
      </w:r>
    </w:p>
    <w:p w14:paraId="48E54B5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（四）预算绩效管理情况</w:t>
      </w:r>
    </w:p>
    <w:p w14:paraId="3F618DE1">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根据预算绩效管理要求，本部门在2025年度预算编制阶段，组织对</w:t>
      </w:r>
      <w:r>
        <w:rPr>
          <w:rFonts w:hint="default"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en-US" w:eastAsia="zh-CN"/>
        </w:rPr>
        <w:t>24项目防汛办公经费、长江黄河流域管理、红原县山洪灾害县级非工程措施、农业水价综合改革等</w:t>
      </w:r>
      <w:r>
        <w:rPr>
          <w:rFonts w:hint="default"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en-US" w:eastAsia="zh-CN"/>
        </w:rPr>
        <w:t>24个项目开展了预算事前绩效评估，对</w:t>
      </w:r>
      <w:r>
        <w:rPr>
          <w:rFonts w:hint="default" w:ascii="仿宋_GB2312" w:hAnsi="仿宋_GB2312" w:eastAsia="仿宋_GB2312" w:cs="仿宋_GB2312"/>
          <w:color w:val="auto"/>
          <w:sz w:val="32"/>
          <w:szCs w:val="32"/>
          <w:lang w:val="en-US" w:eastAsia="zh-CN"/>
        </w:rPr>
        <w:t>124</w:t>
      </w:r>
      <w:r>
        <w:rPr>
          <w:rFonts w:hint="eastAsia" w:ascii="仿宋_GB2312" w:hAnsi="仿宋_GB2312" w:eastAsia="仿宋_GB2312" w:cs="仿宋_GB2312"/>
          <w:color w:val="auto"/>
          <w:sz w:val="32"/>
          <w:szCs w:val="32"/>
          <w:lang w:val="en-US" w:eastAsia="zh-CN"/>
        </w:rPr>
        <w:t>个项目编制了绩效目标，预算执行过程中，选取</w:t>
      </w:r>
      <w:r>
        <w:rPr>
          <w:rFonts w:hint="default" w:ascii="仿宋_GB2312" w:hAnsi="仿宋_GB2312" w:eastAsia="仿宋_GB2312" w:cs="仿宋_GB2312"/>
          <w:color w:val="auto"/>
          <w:sz w:val="32"/>
          <w:szCs w:val="32"/>
          <w:lang w:val="en-US" w:eastAsia="zh-CN"/>
        </w:rPr>
        <w:t>124</w:t>
      </w:r>
      <w:r>
        <w:rPr>
          <w:rFonts w:hint="eastAsia" w:ascii="仿宋_GB2312" w:hAnsi="仿宋_GB2312" w:eastAsia="仿宋_GB2312" w:cs="仿宋_GB2312"/>
          <w:color w:val="auto"/>
          <w:sz w:val="32"/>
          <w:szCs w:val="32"/>
          <w:lang w:val="en-US" w:eastAsia="zh-CN"/>
        </w:rPr>
        <w:t>个项目开展绩效监控。</w:t>
      </w:r>
    </w:p>
    <w:p w14:paraId="1B7217F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组织对2025年度一般公共预算、政府性基金预算、国有资本经营预算、社会保险基金预算以及资本资产、债券资金等全面开展绩效自评，形成红原县水务局部门整体（含部门预算项目）绩效自评报告、防汛办公经费、长江黄河流域管理、红原县山洪灾害县级非工程措施、农业水价综合改革等专项预算项目绩效自评报告，其中，红原县水务局部门整体（含部门预算项目）绩效自评得分为95分，绩效自评综述：组织开展了2025年度部门整体支出绩效评价工作，对2025年度财政预算资金进行整体绩效评价；防汛办公经费、长江黄河流域管理、红原县山洪灾害县级非工程措施、农业水价综合改革等专项预算项目绩效自评得分为90分，绩效自评综述：根据设定的绩效目标，运用合理的评价方法，对预算资金支出经济性、效率性、有效性和可持性进行客观、公正的评价。我单位对财政专项资金的分配、使用和管理按照先有办法、后分资金；专款专用、独立核算；统一支付、严格把关的原则进行管理。严格执行预算，规范了资金审批和支付程序，提高了资金的使用效率。认真开展专项资金绩效管理，在资金分配中的项目申报、评审和安排，均按规定严格执行，各项重点项目资金安排都保证及时到位，每一笔收支都做到有依据、有凭证、有程序。确保专项资金依法管理与使用。没有发生专项资金的挤占、挪用、截流等违规现象。组织开展2025年度部门整体支出绩效评价工作绩效自评报告详见附件。</w:t>
      </w:r>
    </w:p>
    <w:p w14:paraId="7F793748">
      <w:pPr>
        <w:keepNext w:val="0"/>
        <w:keepLines w:val="0"/>
        <w:pageBreakBefore w:val="0"/>
        <w:widowControl w:val="0"/>
        <w:kinsoku/>
        <w:wordWrap w:val="0"/>
        <w:overflowPunct/>
        <w:topLinePunct w:val="0"/>
        <w:autoSpaceDE/>
        <w:autoSpaceDN/>
        <w:bidi w:val="0"/>
        <w:spacing w:before="2" w:line="221" w:lineRule="auto"/>
        <w:ind w:left="3605"/>
        <w:outlineLvl w:val="1"/>
        <w:rPr>
          <w:rFonts w:ascii="宋体" w:hAnsi="宋体" w:eastAsia="宋体" w:cs="宋体"/>
          <w:color w:val="000000" w:themeColor="text1"/>
          <w:spacing w:val="10"/>
          <w:sz w:val="43"/>
          <w:szCs w:val="43"/>
          <w14:textFill>
            <w14:solidFill>
              <w14:schemeClr w14:val="tx1"/>
            </w14:solidFill>
          </w14:textFill>
        </w:rPr>
      </w:pPr>
    </w:p>
    <w:p w14:paraId="7C124B98">
      <w:pPr>
        <w:keepNext w:val="0"/>
        <w:keepLines w:val="0"/>
        <w:pageBreakBefore w:val="0"/>
        <w:widowControl w:val="0"/>
        <w:kinsoku/>
        <w:wordWrap w:val="0"/>
        <w:overflowPunct/>
        <w:topLinePunct w:val="0"/>
        <w:autoSpaceDE/>
        <w:autoSpaceDN/>
        <w:bidi w:val="0"/>
        <w:spacing w:before="2" w:line="221" w:lineRule="auto"/>
        <w:jc w:val="center"/>
        <w:outlineLvl w:val="1"/>
        <w:rPr>
          <w:rFonts w:hint="eastAsia" w:ascii="黑体" w:hAnsi="黑体" w:eastAsia="黑体" w:cs="黑体"/>
          <w:b w:val="0"/>
          <w:bCs w:val="0"/>
          <w:color w:val="000000" w:themeColor="text1"/>
          <w:sz w:val="43"/>
          <w:szCs w:val="43"/>
          <w14:textFill>
            <w14:solidFill>
              <w14:schemeClr w14:val="tx1"/>
            </w14:solidFill>
          </w14:textFill>
        </w:rPr>
      </w:pPr>
      <w:r>
        <w:rPr>
          <w:rFonts w:hint="eastAsia" w:ascii="黑体" w:hAnsi="黑体" w:eastAsia="黑体" w:cs="黑体"/>
          <w:b w:val="0"/>
          <w:bCs w:val="0"/>
          <w:color w:val="000000" w:themeColor="text1"/>
          <w:spacing w:val="10"/>
          <w:sz w:val="43"/>
          <w:szCs w:val="43"/>
          <w14:textFill>
            <w14:solidFill>
              <w14:schemeClr w14:val="tx1"/>
            </w14:solidFill>
          </w14:textFill>
        </w:rPr>
        <w:t>第三部分</w:t>
      </w:r>
      <w:r>
        <w:rPr>
          <w:rFonts w:hint="eastAsia" w:ascii="黑体" w:hAnsi="黑体" w:eastAsia="黑体" w:cs="黑体"/>
          <w:b w:val="0"/>
          <w:bCs w:val="0"/>
          <w:color w:val="000000" w:themeColor="text1"/>
          <w:spacing w:val="10"/>
          <w:sz w:val="43"/>
          <w:szCs w:val="43"/>
          <w:lang w:val="en-US" w:eastAsia="zh-CN"/>
          <w14:textFill>
            <w14:solidFill>
              <w14:schemeClr w14:val="tx1"/>
            </w14:solidFill>
          </w14:textFill>
        </w:rPr>
        <w:t xml:space="preserve"> </w:t>
      </w:r>
      <w:r>
        <w:rPr>
          <w:rFonts w:hint="eastAsia" w:ascii="黑体" w:hAnsi="黑体" w:eastAsia="黑体" w:cs="黑体"/>
          <w:b w:val="0"/>
          <w:bCs w:val="0"/>
          <w:color w:val="000000" w:themeColor="text1"/>
          <w:spacing w:val="10"/>
          <w:sz w:val="43"/>
          <w:szCs w:val="43"/>
          <w14:textFill>
            <w14:solidFill>
              <w14:schemeClr w14:val="tx1"/>
            </w14:solidFill>
          </w14:textFill>
        </w:rPr>
        <w:t>名词解释</w:t>
      </w:r>
    </w:p>
    <w:p w14:paraId="6BC3479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1.财政拨款收入：指单位从同级财政部门取得的财政预算资金。</w:t>
      </w:r>
    </w:p>
    <w:p w14:paraId="4A5B34B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2.事业收入：指事业单位开展专业业务活动及辅助活动取得的收入。如…（二级预算单位事业收入情况）等。</w:t>
      </w:r>
    </w:p>
    <w:p w14:paraId="57A336B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3.经营收入：指事业单位在专业业务活动及其辅助活动之外开展非独立核算经营活动取得的收入。如…（二级预算单位经营收入情况）等。</w:t>
      </w:r>
    </w:p>
    <w:p w14:paraId="4094BDE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4.其他收入：指单位取得的除上述收入以外的各项收入。主要是…（收入类型）等。</w:t>
      </w:r>
    </w:p>
    <w:p w14:paraId="41FB1DF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5.使用非财政拨款结余（含专用结余）：指事业单位使用以前年度积累的非财政拨款结余弥补当年收支差额的金额。</w:t>
      </w:r>
    </w:p>
    <w:p w14:paraId="607C087F">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6.年初结转和结余：指以前年度尚未完成、结转到本年按有关规定继续使用的资金。</w:t>
      </w:r>
    </w:p>
    <w:p w14:paraId="7750CA3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7.结余分配：指事业单位按照会计制度规定缴纳的所得税、提取的专用结余以及转入非财政拨款结余的金额等。</w:t>
      </w:r>
    </w:p>
    <w:p w14:paraId="0F01660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8.年末结转和结余：指单位按有关规定结转到下年或以后年度继续使用的资金。</w:t>
      </w:r>
    </w:p>
    <w:p w14:paraId="2A2DA7A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9.社会保障和就业208（类）行政事业单位养老支出05（款）机关事业单位基本养老保险缴费支出05（项）：指机关事业单位基本养老保险缴费支出。</w:t>
      </w:r>
    </w:p>
    <w:p w14:paraId="561CC3D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10.社会保障和就业208（类）行政事业单位养老支出05（款）机关事业单位职业年金缴费支出06（项）：指机关事业单位职业年金缴费支出。</w:t>
      </w:r>
    </w:p>
    <w:p w14:paraId="70E052B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11.卫生健康210（类）行政事业单位医疗11（款）行政单位医疗01（项）：指行政单位医疗支出。</w:t>
      </w:r>
    </w:p>
    <w:p w14:paraId="4E21BE9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12.卫生健康210（类）行政事业单位医疗11（款）公务员医疗补助03（项）：指公务员医疗补助。</w:t>
      </w:r>
    </w:p>
    <w:p w14:paraId="5A418C3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13.农林水213（类）巩固脱贫攻坚成果衔接乡村振兴05（款）农村基础设施建设04（项）：指农村基础设施建设支出。</w:t>
      </w:r>
    </w:p>
    <w:p w14:paraId="37EA028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14.农林水213（类）巩固脱贫攻坚成果衔接乡村振兴05（款）生产发展05（项）：指生产发展支出。</w:t>
      </w:r>
    </w:p>
    <w:p w14:paraId="71D5F1A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15.农林水213（类）巩固脱贫攻坚成果衔接乡村振兴05（款）其他巩固脱贫攻坚成果衔接乡村振兴支出99（项）：指其他巩固脱贫攻坚成果衔接乡村振兴支出。</w:t>
      </w:r>
    </w:p>
    <w:p w14:paraId="3016772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16.农林水213（类）水利03（款）行政运行01（项）：指单位行政运行支出。</w:t>
      </w:r>
    </w:p>
    <w:p w14:paraId="678F1B8F">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17.农林水213（类）水利03（款）一般行政管理事务02（项）：指一般行政管理事务支出。</w:t>
      </w:r>
    </w:p>
    <w:p w14:paraId="097527C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18.农林水213（类）水利03（款）水利工程建设05（项）：指水利工程建设支出。</w:t>
      </w:r>
    </w:p>
    <w:p w14:paraId="5DE55EF8">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19.农林水213（类）水利03（款）长江黄河等流域管理07（项）：指河长制办公经费支出。</w:t>
      </w:r>
    </w:p>
    <w:p w14:paraId="15D0CE4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20.农林水213（类）水利03（款）防汛14（项）：指防汛办公经费支出。</w:t>
      </w:r>
    </w:p>
    <w:p w14:paraId="16CD4C7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21.农林水213（类）水利03（款）农村供水35（项）：指农村供水支出。</w:t>
      </w:r>
    </w:p>
    <w:p w14:paraId="157BEF9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22.农林水213（类）水利03（款）其他水利支出99（项）：指其它水利支出。</w:t>
      </w:r>
    </w:p>
    <w:p w14:paraId="65095C91">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23.住房保障211（类）住房改革支出02（款）住房公积金01（项）：指单位住房公积金支出。</w:t>
      </w:r>
    </w:p>
    <w:p w14:paraId="2C47C7B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24.节能环保211（类）自然生态保护04（款）草原生态修复治理05（项）：指草原生态修复治理支出。</w:t>
      </w:r>
    </w:p>
    <w:p w14:paraId="74E2AC1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（解释本单位决算报表中涉及的全部功能分类科目至项级，不涉及的科目请自行删除。请参照《2024年政府收支分类科目》增减内容。）</w:t>
      </w:r>
    </w:p>
    <w:p w14:paraId="51BD3E41">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25.基本支出：指为保障机构正常运转、完成日常工作任务而发生的人员支出和公用支出。</w:t>
      </w:r>
    </w:p>
    <w:p w14:paraId="495E4AF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26.项目支出：指在基本支出之外为完成特定行政任务和事业发展目标所发生的支出。</w:t>
      </w:r>
    </w:p>
    <w:p w14:paraId="1C6C8B2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27.经营支出：指事业单位在专业业务活动及其辅助活动之外开展非独立核算经营活动发生的支出。</w:t>
      </w:r>
    </w:p>
    <w:p w14:paraId="3F7D2DF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28.“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24849108">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29.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4CD4818">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（名词解释部分请根据各部门实际列支情况罗列，并根据本部门职责职能增减名词解释内容。）</w:t>
      </w:r>
    </w:p>
    <w:p w14:paraId="52B460C7">
      <w:pPr>
        <w:keepNext w:val="0"/>
        <w:keepLines w:val="0"/>
        <w:pageBreakBefore w:val="0"/>
        <w:widowControl w:val="0"/>
        <w:kinsoku/>
        <w:wordWrap w:val="0"/>
        <w:overflowPunct/>
        <w:topLinePunct w:val="0"/>
        <w:autoSpaceDE/>
        <w:autoSpaceDN/>
        <w:bidi w:val="0"/>
        <w:spacing w:line="471" w:lineRule="exact"/>
        <w:outlineLvl w:val="1"/>
        <w:rPr>
          <w:rFonts w:ascii="微软雅黑" w:hAnsi="微软雅黑" w:eastAsia="微软雅黑" w:cs="微软雅黑"/>
          <w:color w:val="000000" w:themeColor="text1"/>
          <w:position w:val="-1"/>
          <w:sz w:val="43"/>
          <w:szCs w:val="43"/>
          <w14:textFill>
            <w14:solidFill>
              <w14:schemeClr w14:val="tx1"/>
            </w14:solidFill>
          </w14:textFill>
        </w:rPr>
      </w:pPr>
    </w:p>
    <w:p w14:paraId="02680BB6">
      <w:pPr>
        <w:keepNext w:val="0"/>
        <w:keepLines w:val="0"/>
        <w:pageBreakBefore w:val="0"/>
        <w:widowControl w:val="0"/>
        <w:kinsoku/>
        <w:wordWrap w:val="0"/>
        <w:overflowPunct/>
        <w:topLinePunct w:val="0"/>
        <w:autoSpaceDE/>
        <w:autoSpaceDN/>
        <w:bidi w:val="0"/>
        <w:spacing w:before="2" w:line="221" w:lineRule="auto"/>
        <w:jc w:val="center"/>
        <w:outlineLvl w:val="1"/>
        <w:rPr>
          <w:rFonts w:hint="eastAsia" w:ascii="黑体" w:hAnsi="黑体" w:eastAsia="黑体" w:cs="黑体"/>
          <w:b w:val="0"/>
          <w:bCs w:val="0"/>
          <w:color w:val="000000" w:themeColor="text1"/>
          <w:spacing w:val="10"/>
          <w:sz w:val="43"/>
          <w:szCs w:val="43"/>
          <w14:textFill>
            <w14:solidFill>
              <w14:schemeClr w14:val="tx1"/>
            </w14:solidFill>
          </w14:textFill>
        </w:rPr>
      </w:pPr>
      <w:r>
        <w:rPr>
          <w:rFonts w:hint="eastAsia" w:ascii="黑体" w:hAnsi="黑体" w:eastAsia="黑体" w:cs="黑体"/>
          <w:b w:val="0"/>
          <w:bCs w:val="0"/>
          <w:color w:val="000000" w:themeColor="text1"/>
          <w:spacing w:val="10"/>
          <w:sz w:val="43"/>
          <w:szCs w:val="43"/>
          <w14:textFill>
            <w14:solidFill>
              <w14:schemeClr w14:val="tx1"/>
            </w14:solidFill>
          </w14:textFill>
        </w:rPr>
        <w:t>第四部分</w:t>
      </w:r>
      <w:r>
        <w:rPr>
          <w:rFonts w:hint="eastAsia" w:ascii="黑体" w:hAnsi="黑体" w:eastAsia="黑体" w:cs="黑体"/>
          <w:b w:val="0"/>
          <w:bCs w:val="0"/>
          <w:color w:val="000000" w:themeColor="text1"/>
          <w:spacing w:val="10"/>
          <w:sz w:val="43"/>
          <w:szCs w:val="43"/>
          <w:lang w:val="en-US" w:eastAsia="zh-CN"/>
          <w14:textFill>
            <w14:solidFill>
              <w14:schemeClr w14:val="tx1"/>
            </w14:solidFill>
          </w14:textFill>
        </w:rPr>
        <w:t xml:space="preserve">  </w:t>
      </w:r>
      <w:r>
        <w:rPr>
          <w:rFonts w:hint="eastAsia" w:ascii="黑体" w:hAnsi="黑体" w:eastAsia="黑体" w:cs="黑体"/>
          <w:b w:val="0"/>
          <w:bCs w:val="0"/>
          <w:color w:val="000000" w:themeColor="text1"/>
          <w:spacing w:val="10"/>
          <w:sz w:val="43"/>
          <w:szCs w:val="43"/>
          <w14:textFill>
            <w14:solidFill>
              <w14:schemeClr w14:val="tx1"/>
            </w14:solidFill>
          </w14:textFill>
        </w:rPr>
        <w:t>附件</w:t>
      </w:r>
    </w:p>
    <w:p w14:paraId="6E83D1F7">
      <w:pPr>
        <w:pStyle w:val="3"/>
        <w:keepNext w:val="0"/>
        <w:keepLines w:val="0"/>
        <w:pageBreakBefore w:val="0"/>
        <w:widowControl w:val="0"/>
        <w:kinsoku/>
        <w:wordWrap w:val="0"/>
        <w:overflowPunct/>
        <w:topLinePunct w:val="0"/>
        <w:autoSpaceDE/>
        <w:autoSpaceDN/>
        <w:bidi w:val="0"/>
        <w:spacing w:line="212" w:lineRule="auto"/>
        <w:ind w:left="115"/>
        <w:rPr>
          <w:color w:val="000000" w:themeColor="text1"/>
          <w:sz w:val="31"/>
          <w:szCs w:val="31"/>
          <w14:textFill>
            <w14:solidFill>
              <w14:schemeClr w14:val="tx1"/>
            </w14:solidFill>
          </w14:textFill>
        </w:rPr>
      </w:pPr>
      <w:r>
        <w:rPr>
          <w:color w:val="000000" w:themeColor="text1"/>
          <w:spacing w:val="-4"/>
          <w:sz w:val="31"/>
          <w:szCs w:val="31"/>
          <w14:textFill>
            <w14:solidFill>
              <w14:schemeClr w14:val="tx1"/>
            </w14:solidFill>
          </w14:textFill>
        </w:rPr>
        <w:t>附件1</w:t>
      </w:r>
    </w:p>
    <w:p w14:paraId="47C40813">
      <w:pPr>
        <w:pStyle w:val="3"/>
        <w:keepNext w:val="0"/>
        <w:keepLines w:val="0"/>
        <w:pageBreakBefore w:val="0"/>
        <w:widowControl w:val="0"/>
        <w:kinsoku/>
        <w:wordWrap/>
        <w:overflowPunct/>
        <w:topLinePunct w:val="0"/>
        <w:autoSpaceDE/>
        <w:autoSpaceDN/>
        <w:bidi w:val="0"/>
        <w:spacing w:line="212" w:lineRule="auto"/>
        <w:ind w:left="115"/>
        <w:jc w:val="center"/>
        <w:rPr>
          <w:rFonts w:hint="eastAsia"/>
          <w:color w:val="000000" w:themeColor="text1"/>
          <w:spacing w:val="-4"/>
          <w:sz w:val="31"/>
          <w:szCs w:val="31"/>
          <w:lang w:val="en-US" w:eastAsia="zh-CN"/>
          <w14:textFill>
            <w14:solidFill>
              <w14:schemeClr w14:val="tx1"/>
            </w14:solidFill>
          </w14:textFill>
        </w:rPr>
      </w:pPr>
      <w:r>
        <w:rPr>
          <w:rFonts w:hint="eastAsia"/>
          <w:color w:val="000000" w:themeColor="text1"/>
          <w:spacing w:val="-4"/>
          <w:sz w:val="31"/>
          <w:szCs w:val="31"/>
          <w:lang w:val="en-US" w:eastAsia="zh-CN"/>
          <w14:textFill>
            <w14:solidFill>
              <w14:schemeClr w14:val="tx1"/>
            </w14:solidFill>
          </w14:textFill>
        </w:rPr>
        <w:t>红原县水务局2025年整体绩效评价</w:t>
      </w:r>
    </w:p>
    <w:p w14:paraId="780FD3E4">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一、部门（单位）基本情况</w:t>
      </w:r>
    </w:p>
    <w:p w14:paraId="79289FC1">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（一）机构组成。水务局下设单位（股室）2个，其中行政单位1个，参照公务员法管理的事业单位1个，分别是：水务局内设机构综合办公室;水务局所属事业单位水务服务中心。</w:t>
      </w:r>
    </w:p>
    <w:p w14:paraId="0850C24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机构职能。负责管理全县水资源（含地表水、地下水）开发、利用、保护工作；负责全县水利基本建设项目工作；组织制定全县水资源总体规划、流域规划和专业规划；拟定全县中长期和年度供水计划、水量分配方案和旱情紧急情况下水量调度预案；负责全县水行政执法工作；负责有关行政复议受理和行政诉讼应诉工作,组织实施地方农村水利管理工作；负责全县河道砂石管理；河、湖管理工作；负责全县水土保持预防监督、水土流失监测、水土流失综合治理工作；指导重点水土保持建设项目的实施;承办县委、县政府交办的其他事项。</w:t>
      </w:r>
    </w:p>
    <w:p w14:paraId="62325AF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人员概况。本单位编制共23人：其中行政编制4人，参公编制17人，事业编制2人；2025年年末在职实有人数为21人：其中行政人员4人，参公人员11人，事业管理人员和专业技术人员2人；机关和事业工人2人，退休人员0人。</w:t>
      </w:r>
    </w:p>
    <w:p w14:paraId="3D03C5A1">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二、部门资金收支情况</w:t>
      </w:r>
    </w:p>
    <w:p w14:paraId="42A2293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（一）收入情况。</w:t>
      </w:r>
    </w:p>
    <w:p w14:paraId="081DB6E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水务局收入预算总额为4106.36万元，其中：当年财政拨款收入4106.36万元。其中：社会保障和就业168.59万元，医疗卫生31.36万元，住房保障支出43.16万元，农林水支出2404.81万元，节能环保支出234.16万元，自然资源海洋气象等支出1018.51万元。主要用于2025年水务局在编人员经费和日常公用经费，防汛及河长制运行经费、山洪灾害防治非工程措施等项目支出，切实保证水务工作的正常运转。</w:t>
      </w:r>
    </w:p>
    <w:p w14:paraId="5754E9F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（二）支出情况。</w:t>
      </w:r>
    </w:p>
    <w:p w14:paraId="34BA679F">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水务局预算安排支出主要用于保障该部门机构正常运转、完成日常工作任务以及承担水利事业发展相关工作。</w:t>
      </w:r>
    </w:p>
    <w:p w14:paraId="4DD6EF2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基本支出593.66万元。其中人员经费支出556.33万元，日常公用经费37.33万元，其中：办公费11万元，印刷费1.04万元，差旅费7.09万元，工会经费3.88万元，公务用车运行维护费4.6万元，培训费0.27万，电费1.71万元，邮电费0.56万元，福利费0.1万元，公务接待费0.12万元，委托业务费2.15万元，其他商品和服务支出4.56万元。</w:t>
      </w:r>
    </w:p>
    <w:p w14:paraId="0BCF764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按支出功能分类主要用于以下方面:</w:t>
      </w:r>
    </w:p>
    <w:p w14:paraId="5339327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（一）社会保障和就业81.59万元，主要用于机关及下属事业单位养老保险及职业年金缴费。</w:t>
      </w:r>
    </w:p>
    <w:p w14:paraId="02807B9F">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（二）医疗卫生31.36万元，主要用于机关及下属事业单位按照规定标准为职工缴纳的基本医疗保险及公务员医疗补助等支出。</w:t>
      </w:r>
    </w:p>
    <w:p w14:paraId="0418789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（三）住房保障支出43.16万元，用于机关及下属事业单位按照规定标准为职工缴纳住房公积金等支出。</w:t>
      </w:r>
    </w:p>
    <w:p w14:paraId="5E2CE51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农林水支出437.55万元，主要用于机关及下属事业单位人员工资、日常运转以及为完成特定行政工作任务和事业发展目标而安排的年度项目支出、机关及下属事业单位按照规定标准为全县水资源开发、利用、保护工作等支出。</w:t>
      </w:r>
    </w:p>
    <w:p w14:paraId="5113031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lang w:val="en-US" w:eastAsia="zh-CN"/>
        </w:rPr>
        <w:t>（五）结余分配和结转结余情况。2025年决算报表无结转结余情况。</w:t>
      </w:r>
    </w:p>
    <w:p w14:paraId="00FC63C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三、部门预算绩效分析</w:t>
      </w:r>
    </w:p>
    <w:p w14:paraId="7ED578E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（一）部门预算总体绩效分析。根据部门预算绩效评价指标体系“总体绩效”涉及二、三级指标进行逐项绩效分析并评分，依次包括履职效能、预算管理、财务管理、资产管理、采购管理等情况。</w:t>
      </w:r>
    </w:p>
    <w:p w14:paraId="7E39CEE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1.履职效能</w:t>
      </w:r>
      <w:r>
        <w:rPr>
          <w:rFonts w:hint="default" w:ascii="仿宋_GB2312" w:hAnsi="仿宋_GB2312" w:eastAsia="仿宋_GB2312" w:cs="仿宋_GB2312"/>
          <w:color w:val="auto"/>
          <w:sz w:val="32"/>
          <w:szCs w:val="32"/>
          <w:lang w:val="en-US" w:eastAsia="zh-CN"/>
        </w:rPr>
        <w:t>2025</w:t>
      </w:r>
      <w:r>
        <w:rPr>
          <w:rFonts w:hint="eastAsia" w:ascii="仿宋_GB2312" w:hAnsi="仿宋_GB2312" w:eastAsia="仿宋_GB2312" w:cs="仿宋_GB2312"/>
          <w:color w:val="auto"/>
          <w:sz w:val="32"/>
          <w:szCs w:val="32"/>
          <w:lang w:val="en-US" w:eastAsia="zh-CN"/>
        </w:rPr>
        <w:t>年主要完成工作:一做好防汛抗旱工作（一）是压实防汛工作责任;（二）是抓实汛前准备工作;（三）是做好预警监测;（四）是抓好防汛物资储备;（五）是常态化做好值班值守。二是抓好河湖长制工作。三是做好安全饮水工作。四是水利水电后扶移民工作。五是水土保持工作。六是水行政执法工作。七是农业综合水价改革工作。八是节水型社会达标创建,九是小水电清理工作。履职效能该项指标得分15分。</w:t>
      </w:r>
    </w:p>
    <w:p w14:paraId="62502254">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预算管理。我单位严格按照县财政局“人员经费按标准，公用经费按定额”的预算原则，对单位财政预算做出规划。制定适宜单位的财务管理制度，将经费管理、经费审批、借款管理、现金及支票管理和财务管理五个方面融入进单位财务管理制度。根据中央八项规定、省委十项规定、州委和县委相关规定，对“三公经费”、会议费、公务卡强制接算目录制度等进行了完善，单位领导干部加强对财政预算资金的管理，机关干部、职工遵守财经纪律，按照财务管理制度办事，没有发生违反财经纪律、违反财务管理制度的情况。同时，在开支控制、办公用品采购、大宗印刷管理、车辆租赁等方面严格执行相关制度，该项指标得分19分。</w:t>
      </w:r>
    </w:p>
    <w:p w14:paraId="65265F3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财务管理。水务局已制定内部财务管理制度等制度机制并且财务管理制度得到落实；合理设置财务工作岗位，明确职责权限，并严格实行不相容岗位分离的；资金使用符合相关财务管理制度规定，该项指标得分10分。</w:t>
      </w:r>
    </w:p>
    <w:p w14:paraId="719C41D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0000FF"/>
          <w:sz w:val="32"/>
          <w:szCs w:val="32"/>
          <w:lang w:val="en-US" w:eastAsia="zh-CN"/>
        </w:rPr>
      </w:pPr>
      <w:r>
        <w:rPr>
          <w:rFonts w:hint="eastAsia" w:ascii="仿宋_GB2312" w:hAnsi="仿宋_GB2312" w:eastAsia="仿宋_GB2312" w:cs="仿宋_GB2312"/>
          <w:color w:val="auto"/>
          <w:sz w:val="32"/>
          <w:szCs w:val="32"/>
          <w:lang w:val="en-US" w:eastAsia="zh-CN"/>
        </w:rPr>
        <w:t>4.资产管理。水务局资产人均资产变化率在可控状态；单位资产利用率高效；近两年均无闲置资产或上年度有闲置资产评价年度无闲置资产，该项指标得分9分。</w:t>
      </w:r>
    </w:p>
    <w:p w14:paraId="7A99B58C">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5.采购管理。对适宜由中小企业提供的采购项目和采购包，预留采购份额专门面向中小企业采购，并在采购预算中单独列示，采购执行率高，该项指标得分6分。</w:t>
      </w:r>
    </w:p>
    <w:p w14:paraId="0B1E514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（二）部门预算项目绩效分析。填报以下数据，并根据部门预算绩效评价指标体系“项目绩效”涉及二、三级指标进行逐项绩效分析并评分，依次包括项目决策、项目执行、目标实现等情况。</w:t>
      </w:r>
    </w:p>
    <w:p w14:paraId="5690A7F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常年项目绩效分析。该类项目总数90个，涉及预算总6743.68万元，1</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12月预算执行总体进度为45.65%，其中：预算结余率大于10%的项目共计16个，常年项目其中：</w:t>
      </w:r>
    </w:p>
    <w:p w14:paraId="6515DD1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1.防汛经费项目：2025年预算数5万元，2025年支付4.99万元</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拨付率为99.9%，该项目绩效总体目标为保障防汛车辆运行维护、工作经费，保障我县防汛工作正常开展。</w:t>
      </w:r>
    </w:p>
    <w:p w14:paraId="021DE1F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2.河长制办公经费项目：2024年预算数5万元，2024年拨付5万元，拨付率为100%，该项目绩效总体目标为开展河道清淤、沿岸绿化，清洁干净。</w:t>
      </w:r>
    </w:p>
    <w:p w14:paraId="79D4782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3.红原县城区取水及原水输水及原输水工程的水土保持验收方案编制费：2025年预算数8万元，2025年拨付8万元，拨付率为100%。</w:t>
      </w:r>
    </w:p>
    <w:p w14:paraId="3A5EA85C">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C00000"/>
          <w:sz w:val="32"/>
          <w:szCs w:val="32"/>
          <w:lang w:val="en-US" w:eastAsia="zh-CN"/>
        </w:rPr>
      </w:pPr>
      <w:r>
        <w:rPr>
          <w:rFonts w:hint="eastAsia" w:ascii="仿宋_GB2312" w:hAnsi="仿宋_GB2312" w:eastAsia="仿宋_GB2312" w:cs="仿宋_GB2312"/>
          <w:color w:val="auto"/>
          <w:sz w:val="32"/>
          <w:szCs w:val="32"/>
          <w:lang w:val="en-US" w:eastAsia="zh-CN"/>
        </w:rPr>
        <w:t>阶段（一次性）项目绩效分析。该类项目总数34个</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涉及预算总金额445.86万元，1</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12月预算执行总体进度为97.41%，其中：预算结余率大于10%的项目共计1个。</w:t>
      </w:r>
    </w:p>
    <w:p w14:paraId="2D01734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项目决策。决策程序上部门预算项目设立按规定履行评估论证、申报程序；目标设置上部门预算项目绩效目标与计划期内的任务量、预算安排的资金量相匹配，绩效目标设置科学合理、规范完整、量化细化、预算匹配；项目入库上部门预算项目在规定时间完成项目入库</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该项指标得分12分。</w:t>
      </w:r>
    </w:p>
    <w:p w14:paraId="3D85AAF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2.项目执行。资金执行同向上部门预算项目实际列支内容与绩效目标设置方向相符；项目调整方面，部门预算项目已按实际采取对应调整措施；部门预算项目预算执行良好，该项指标得分12分。</w:t>
      </w:r>
    </w:p>
    <w:p w14:paraId="1CC7A18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3.目标实现。部门预算项目绩效目标已按数量指标完成；部门预算项目绩效目标数量指标实现程度与预期目标的偏离度在可控范围内；部门预算项目绩效目标效益指标实施效果良好</w:t>
      </w:r>
      <w:r>
        <w:rPr>
          <w:rFonts w:hint="default"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val="en-US" w:eastAsia="zh-CN"/>
        </w:rPr>
        <w:t>该项指标得分11分。</w:t>
      </w:r>
    </w:p>
    <w:p w14:paraId="7338249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（二）重点领域绩效分析。州级部门2025年度若涉及国有资本、行政事业性国有资产、债券资金、政府采购和政府购买服务等重点领域的，应在部门预算绩效自评报告中对完成情况进行梳理阐述。</w:t>
      </w:r>
    </w:p>
    <w:p w14:paraId="207BAE0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（三）我单位2025年涉及重点领域事项。</w:t>
      </w:r>
    </w:p>
    <w:p w14:paraId="706FC854">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我单位2025年涉及重点领域事项共计9个，总投资4405.36万元，其中续建项目4个，争取项目5个。</w:t>
      </w:r>
    </w:p>
    <w:p w14:paraId="0214AC8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1、续建项目</w:t>
      </w:r>
    </w:p>
    <w:p w14:paraId="1B13F16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（1）.红原县龙日镇配水管网建设项目，项目总投资：800万元，年度计划投资800万元，资金来源：SZ专项。截至目前该项目已完工验收。</w:t>
      </w:r>
    </w:p>
    <w:p w14:paraId="79EF65D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（2）.红原县邛溪镇热坤村防灾减灾防洪治理项目，项目总投资890万元，资金来源为乡村振兴衔接资金，截至目前该项目已完工验收。</w:t>
      </w:r>
    </w:p>
    <w:p w14:paraId="09AFE2F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w:t>
      </w:r>
      <w:r>
        <w:rPr>
          <w:rFonts w:hint="default" w:ascii="仿宋_GB2312" w:hAnsi="仿宋_GB2312" w:eastAsia="仿宋_GB2312" w:cs="仿宋_GB2312"/>
          <w:color w:val="auto"/>
          <w:sz w:val="32"/>
          <w:szCs w:val="32"/>
          <w:lang w:val="en-US" w:eastAsia="zh-CN"/>
        </w:rPr>
        <w:t>红原县邛溪镇玛萨村、达格龙村供水工程</w:t>
      </w:r>
      <w:r>
        <w:rPr>
          <w:rFonts w:hint="eastAsia" w:ascii="仿宋_GB2312" w:hAnsi="仿宋_GB2312" w:eastAsia="仿宋_GB2312" w:cs="仿宋_GB2312"/>
          <w:color w:val="auto"/>
          <w:sz w:val="32"/>
          <w:szCs w:val="32"/>
          <w:lang w:val="en-US" w:eastAsia="zh-CN"/>
        </w:rPr>
        <w:t>，计划总投资385万元，截至目前该项目已完工验收。</w:t>
      </w:r>
    </w:p>
    <w:p w14:paraId="77935007">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（4）.红原县邛溪镇备用水源地取水枢纽改造项目，计划总投资192万元，截至目前该项目已完工验收。</w:t>
      </w:r>
    </w:p>
    <w:p w14:paraId="4FAD85E8">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2、争取项目</w:t>
      </w:r>
    </w:p>
    <w:p w14:paraId="77F2F96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（1）.红原县2025年农村饮水饮水工程运行维护及水质提升项目，项目总投资406万元，资金来源为中央水利发展资金，截至目前该项目水质提升部分已全面完工，运行维护工作在年内常态开展。</w:t>
      </w:r>
    </w:p>
    <w:p w14:paraId="61E6BC21">
      <w:pPr>
        <w:pStyle w:val="18"/>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Times New Roman" w:hAnsi="Times New Roman" w:eastAsia="仿宋_GB2312"/>
          <w:b w:val="0"/>
          <w:color w:val="auto"/>
          <w:kern w:val="2"/>
          <w:sz w:val="32"/>
          <w:szCs w:val="32"/>
          <w:lang w:val="en-US" w:eastAsia="zh-CN" w:bidi="ar-SA"/>
        </w:rPr>
      </w:pPr>
      <w:r>
        <w:rPr>
          <w:rFonts w:hint="eastAsia" w:ascii="仿宋_GB2312" w:hAnsi="仿宋_GB2312" w:eastAsia="仿宋_GB2312" w:cs="仿宋_GB2312"/>
          <w:b w:val="0"/>
          <w:bCs/>
          <w:color w:val="auto"/>
          <w:sz w:val="32"/>
          <w:szCs w:val="32"/>
          <w:lang w:val="en-US" w:eastAsia="zh-CN"/>
        </w:rPr>
        <w:t>（2）.</w:t>
      </w:r>
      <w:r>
        <w:rPr>
          <w:rFonts w:hint="eastAsia" w:ascii="Times New Roman" w:hAnsi="Times New Roman" w:eastAsia="仿宋_GB2312"/>
          <w:b w:val="0"/>
          <w:color w:val="auto"/>
          <w:kern w:val="2"/>
          <w:sz w:val="32"/>
          <w:szCs w:val="32"/>
          <w:lang w:val="en-US" w:eastAsia="zh-CN" w:bidi="ar-SA"/>
        </w:rPr>
        <w:t>红原县玛萨村散居点水沟内涝综合治理，概算总投资92万元，到位资金92万元，资金来源为乡村振兴衔接资金，截至目前，该项目已完工验收</w:t>
      </w:r>
      <w:r>
        <w:rPr>
          <w:rFonts w:hint="eastAsia" w:hAnsi="Times New Roman" w:eastAsia="仿宋_GB2312"/>
          <w:b w:val="0"/>
          <w:color w:val="auto"/>
          <w:kern w:val="2"/>
          <w:sz w:val="32"/>
          <w:szCs w:val="32"/>
          <w:lang w:val="en-US" w:eastAsia="zh-CN" w:bidi="ar-SA"/>
        </w:rPr>
        <w:t>。</w:t>
      </w:r>
    </w:p>
    <w:p w14:paraId="74258D0D">
      <w:pPr>
        <w:pStyle w:val="18"/>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hAnsi="Times New Roman" w:eastAsia="仿宋_GB2312"/>
          <w:b w:val="0"/>
          <w:color w:val="auto"/>
          <w:kern w:val="2"/>
          <w:sz w:val="32"/>
          <w:szCs w:val="32"/>
          <w:lang w:val="en-US" w:eastAsia="zh-CN" w:bidi="ar-SA"/>
        </w:rPr>
      </w:pPr>
      <w:r>
        <w:rPr>
          <w:rFonts w:hint="eastAsia" w:hAnsi="Times New Roman" w:eastAsia="仿宋_GB2312"/>
          <w:b w:val="0"/>
          <w:color w:val="auto"/>
          <w:kern w:val="2"/>
          <w:sz w:val="32"/>
          <w:szCs w:val="32"/>
          <w:lang w:val="en-US" w:eastAsia="zh-CN" w:bidi="ar-SA"/>
        </w:rPr>
        <w:t>（3）.</w:t>
      </w:r>
      <w:r>
        <w:rPr>
          <w:rFonts w:hint="eastAsia" w:ascii="Times New Roman" w:hAnsi="Times New Roman" w:eastAsia="仿宋_GB2312"/>
          <w:b w:val="0"/>
          <w:color w:val="auto"/>
          <w:kern w:val="2"/>
          <w:sz w:val="32"/>
          <w:szCs w:val="32"/>
          <w:lang w:val="en-US" w:eastAsia="zh-CN" w:bidi="ar-SA"/>
        </w:rPr>
        <w:t>红原县刷经寺镇安全饮水补短板工程，该项目概算总投资</w:t>
      </w:r>
      <w:r>
        <w:rPr>
          <w:rFonts w:hint="eastAsia" w:hAnsi="Times New Roman" w:eastAsia="仿宋_GB2312"/>
          <w:b w:val="0"/>
          <w:color w:val="auto"/>
          <w:kern w:val="2"/>
          <w:sz w:val="32"/>
          <w:szCs w:val="32"/>
          <w:lang w:val="en-US" w:eastAsia="zh-CN" w:bidi="ar-SA"/>
        </w:rPr>
        <w:t>100</w:t>
      </w:r>
      <w:r>
        <w:rPr>
          <w:rFonts w:hint="eastAsia" w:ascii="Times New Roman" w:hAnsi="Times New Roman" w:eastAsia="仿宋_GB2312"/>
          <w:b w:val="0"/>
          <w:color w:val="auto"/>
          <w:kern w:val="2"/>
          <w:sz w:val="32"/>
          <w:szCs w:val="32"/>
          <w:lang w:val="en-US" w:eastAsia="zh-CN" w:bidi="ar-SA"/>
        </w:rPr>
        <w:t>万元，到位资金100万元，资金来源为乡村振兴衔接资金，截至目前，该项目已完工验收</w:t>
      </w:r>
      <w:r>
        <w:rPr>
          <w:rFonts w:hint="eastAsia" w:hAnsi="Times New Roman" w:eastAsia="仿宋_GB2312"/>
          <w:b w:val="0"/>
          <w:color w:val="auto"/>
          <w:kern w:val="2"/>
          <w:sz w:val="32"/>
          <w:szCs w:val="32"/>
          <w:lang w:val="en-US" w:eastAsia="zh-CN" w:bidi="ar-SA"/>
        </w:rPr>
        <w:t>。</w:t>
      </w:r>
    </w:p>
    <w:p w14:paraId="38B09A9A">
      <w:pPr>
        <w:pStyle w:val="18"/>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b w:val="0"/>
          <w:color w:val="auto"/>
          <w:kern w:val="2"/>
          <w:sz w:val="32"/>
          <w:szCs w:val="32"/>
          <w:lang w:val="en-US" w:eastAsia="zh-CN" w:bidi="ar-SA"/>
        </w:rPr>
      </w:pPr>
      <w:r>
        <w:rPr>
          <w:rFonts w:hint="eastAsia" w:hAnsi="Times New Roman" w:eastAsia="仿宋_GB2312"/>
          <w:b w:val="0"/>
          <w:color w:val="auto"/>
          <w:sz w:val="32"/>
          <w:lang w:val="en-US" w:eastAsia="zh-CN" w:bidi="ar-SA"/>
        </w:rPr>
        <w:t>（4）</w:t>
      </w:r>
      <w:r>
        <w:rPr>
          <w:rFonts w:hint="eastAsia" w:ascii="Times New Roman" w:hAnsi="Times New Roman" w:eastAsia="仿宋_GB2312"/>
          <w:b w:val="0"/>
          <w:color w:val="auto"/>
          <w:sz w:val="32"/>
          <w:lang w:val="en-US" w:eastAsia="zh-CN" w:bidi="ar-SA"/>
        </w:rPr>
        <w:t>.红原县色地镇安全饮水补短板建设项目，该项目概算总投资</w:t>
      </w:r>
      <w:r>
        <w:rPr>
          <w:rFonts w:hint="eastAsia" w:ascii="Times New Roman" w:hAnsi="Times New Roman" w:eastAsia="仿宋_GB2312"/>
          <w:b w:val="0"/>
          <w:color w:val="auto"/>
          <w:kern w:val="2"/>
          <w:sz w:val="32"/>
          <w:szCs w:val="32"/>
          <w:lang w:val="en-US" w:eastAsia="zh-CN" w:bidi="ar-SA"/>
        </w:rPr>
        <w:t>806.91万元，到位资金600万元，资金来源为乡村振兴衔接资金，截至目前，该项目已完工验收</w:t>
      </w:r>
      <w:r>
        <w:rPr>
          <w:rFonts w:hint="eastAsia" w:hAnsi="Times New Roman" w:eastAsia="仿宋_GB2312"/>
          <w:b w:val="0"/>
          <w:color w:val="auto"/>
          <w:kern w:val="2"/>
          <w:sz w:val="32"/>
          <w:szCs w:val="32"/>
          <w:lang w:val="en-US" w:eastAsia="zh-CN" w:bidi="ar-SA"/>
        </w:rPr>
        <w:t>。</w:t>
      </w:r>
    </w:p>
    <w:p w14:paraId="063FB84B">
      <w:pPr>
        <w:pStyle w:val="18"/>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hAnsi="Times New Roman" w:eastAsia="仿宋_GB2312"/>
          <w:b w:val="0"/>
          <w:color w:val="auto"/>
          <w:kern w:val="2"/>
          <w:sz w:val="32"/>
          <w:szCs w:val="32"/>
          <w:lang w:val="en-US" w:eastAsia="zh-CN" w:bidi="ar-SA"/>
        </w:rPr>
        <w:t>（5）.</w:t>
      </w:r>
      <w:r>
        <w:rPr>
          <w:rFonts w:hint="eastAsia" w:ascii="Times New Roman" w:hAnsi="Times New Roman" w:eastAsia="仿宋_GB2312"/>
          <w:b w:val="0"/>
          <w:color w:val="auto"/>
          <w:kern w:val="2"/>
          <w:sz w:val="32"/>
          <w:szCs w:val="32"/>
          <w:lang w:val="en-US" w:eastAsia="zh-CN" w:bidi="ar-SA"/>
        </w:rPr>
        <w:t>红原县阿木曲水毁河段修复项目，概算总投资723.94万元，拟争取2025年县本级黄高资金，截至目前，该项目已完工验收。</w:t>
      </w:r>
    </w:p>
    <w:p w14:paraId="46EAE49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绩效结果应用情况。我单位依据财政编审要求,在年度终了后,结合本单位当年全部预算收入、财政拨款收入及支出等,对全口径的资金收入、支出和预算管理、资产管理等工作进行的全面总结。</w:t>
      </w:r>
    </w:p>
    <w:p w14:paraId="23288CB4">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通过对部门决算报表的编制，来检查本单位全年资金的使用管理、职能履行情况等，并为单位内部控制工作的有序开展提供数据支撑。</w:t>
      </w:r>
    </w:p>
    <w:p w14:paraId="296ECF4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2025年度水务局自评质量较好、绩效目标和自评在单位公示栏公开、评价结果良好，应用结果反馈良好。</w:t>
      </w:r>
    </w:p>
    <w:p w14:paraId="3C516A0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四、评价结论及建议</w:t>
      </w:r>
    </w:p>
    <w:p w14:paraId="7B693483">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（一）评价结论。在财政资金整体支出中，我单位非常重视预算执行工作，能够按照国家的法律法规加强预算管理，不断完善内控制度，认真地完成了2025年部门预算编制工作，取得了较好的预算执行效果。</w:t>
      </w:r>
    </w:p>
    <w:p w14:paraId="584A4FCD">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（二）存在问题。</w:t>
      </w:r>
    </w:p>
    <w:p w14:paraId="1D5BEE9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部分项目目标由各科室分别填报后汇总，个别指标偏定性化、难以量化；会计核算分类还不够细等问题。</w:t>
      </w:r>
    </w:p>
    <w:p w14:paraId="613D7ACA">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（三）改进建议。</w:t>
      </w:r>
    </w:p>
    <w:p w14:paraId="458210B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按照项目支出节点倒排支出计划，分析执行差异；加强财务人员的业务知识的培训力度，特别是新时期下的会计制度、业务知识的学习；进一步加大公务卡结算工作力度；合理管理和使用每笔财政资金；财政主管部门应加强对单位财政资金的使用环节的监督力度。</w:t>
      </w:r>
    </w:p>
    <w:p w14:paraId="140A8017">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auto"/>
          <w:spacing w:val="4"/>
          <w:sz w:val="31"/>
          <w:szCs w:val="31"/>
        </w:rPr>
      </w:pPr>
    </w:p>
    <w:p w14:paraId="69124BA4">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050F7BBE">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361557A1">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0D742B33">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494EB33F">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71AEAF78">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20FC73AE">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7998CB10">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2E38E267">
      <w:pPr>
        <w:keepNext w:val="0"/>
        <w:keepLines w:val="0"/>
        <w:pageBreakBefore w:val="0"/>
        <w:widowControl w:val="0"/>
        <w:kinsoku/>
        <w:wordWrap w:val="0"/>
        <w:overflowPunct/>
        <w:topLinePunct w:val="0"/>
        <w:autoSpaceDE/>
        <w:autoSpaceDN/>
        <w:bidi w:val="0"/>
        <w:spacing w:before="101" w:line="223" w:lineRule="auto"/>
        <w:ind w:left="756"/>
        <w:rPr>
          <w:rFonts w:ascii="宋体" w:hAnsi="宋体" w:eastAsia="宋体" w:cs="宋体"/>
          <w:color w:val="000000" w:themeColor="text1"/>
          <w:spacing w:val="4"/>
          <w:sz w:val="31"/>
          <w:szCs w:val="31"/>
          <w14:textFill>
            <w14:solidFill>
              <w14:schemeClr w14:val="tx1"/>
            </w14:solidFill>
          </w14:textFill>
        </w:rPr>
      </w:pPr>
    </w:p>
    <w:p w14:paraId="199104FD">
      <w:pPr>
        <w:keepNext w:val="0"/>
        <w:keepLines w:val="0"/>
        <w:pageBreakBefore w:val="0"/>
        <w:widowControl w:val="0"/>
        <w:kinsoku/>
        <w:wordWrap w:val="0"/>
        <w:overflowPunct/>
        <w:topLinePunct w:val="0"/>
        <w:autoSpaceDE/>
        <w:autoSpaceDN/>
        <w:bidi w:val="0"/>
        <w:spacing w:before="101" w:line="223" w:lineRule="auto"/>
        <w:rPr>
          <w:rFonts w:ascii="宋体" w:hAnsi="宋体" w:eastAsia="宋体" w:cs="宋体"/>
          <w:color w:val="auto"/>
          <w:spacing w:val="4"/>
          <w:sz w:val="31"/>
          <w:szCs w:val="31"/>
        </w:rPr>
      </w:pPr>
    </w:p>
    <w:p w14:paraId="156B413F">
      <w:pPr>
        <w:keepNext w:val="0"/>
        <w:keepLines w:val="0"/>
        <w:pageBreakBefore w:val="0"/>
        <w:widowControl w:val="0"/>
        <w:kinsoku/>
        <w:wordWrap w:val="0"/>
        <w:overflowPunct/>
        <w:topLinePunct w:val="0"/>
        <w:autoSpaceDE/>
        <w:autoSpaceDN/>
        <w:bidi w:val="0"/>
        <w:spacing w:before="101" w:line="223" w:lineRule="auto"/>
        <w:rPr>
          <w:rFonts w:ascii="宋体" w:hAnsi="宋体" w:eastAsia="宋体" w:cs="宋体"/>
          <w:color w:val="auto"/>
          <w:spacing w:val="4"/>
          <w:sz w:val="31"/>
          <w:szCs w:val="31"/>
        </w:rPr>
      </w:pPr>
    </w:p>
    <w:p w14:paraId="1DE32188">
      <w:pPr>
        <w:keepNext w:val="0"/>
        <w:keepLines w:val="0"/>
        <w:pageBreakBefore w:val="0"/>
        <w:widowControl w:val="0"/>
        <w:kinsoku/>
        <w:wordWrap w:val="0"/>
        <w:overflowPunct/>
        <w:topLinePunct w:val="0"/>
        <w:autoSpaceDE/>
        <w:autoSpaceDN/>
        <w:bidi w:val="0"/>
        <w:spacing w:before="101" w:line="223" w:lineRule="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pacing w:val="4"/>
          <w:sz w:val="32"/>
          <w:szCs w:val="32"/>
        </w:rPr>
        <w:t>附表：部门预算项目支出绩效自评表（</w:t>
      </w:r>
      <w:r>
        <w:rPr>
          <w:rFonts w:hint="eastAsia" w:ascii="仿宋_GB2312" w:hAnsi="仿宋_GB2312" w:eastAsia="仿宋_GB2312" w:cs="仿宋_GB2312"/>
          <w:color w:val="auto"/>
          <w:spacing w:val="4"/>
          <w:sz w:val="32"/>
          <w:szCs w:val="32"/>
          <w:lang w:eastAsia="zh-CN"/>
        </w:rPr>
        <w:t>20</w:t>
      </w:r>
      <w:r>
        <w:rPr>
          <w:rFonts w:hint="eastAsia" w:ascii="仿宋_GB2312" w:hAnsi="仿宋_GB2312" w:eastAsia="仿宋_GB2312" w:cs="仿宋_GB2312"/>
          <w:color w:val="auto"/>
          <w:spacing w:val="4"/>
          <w:sz w:val="32"/>
          <w:szCs w:val="32"/>
          <w:lang w:val="en-US" w:eastAsia="zh-CN"/>
        </w:rPr>
        <w:t>25</w:t>
      </w:r>
      <w:r>
        <w:rPr>
          <w:rFonts w:hint="eastAsia" w:ascii="仿宋_GB2312" w:hAnsi="仿宋_GB2312" w:eastAsia="仿宋_GB2312" w:cs="仿宋_GB2312"/>
          <w:color w:val="auto"/>
          <w:spacing w:val="4"/>
          <w:sz w:val="32"/>
          <w:szCs w:val="32"/>
          <w:lang w:eastAsia="zh-CN"/>
        </w:rPr>
        <w:t>年</w:t>
      </w:r>
      <w:r>
        <w:rPr>
          <w:rFonts w:hint="eastAsia" w:ascii="仿宋_GB2312" w:hAnsi="仿宋_GB2312" w:eastAsia="仿宋_GB2312" w:cs="仿宋_GB2312"/>
          <w:color w:val="auto"/>
          <w:spacing w:val="4"/>
          <w:sz w:val="32"/>
          <w:szCs w:val="32"/>
        </w:rPr>
        <w:t>度）</w:t>
      </w:r>
    </w:p>
    <w:p w14:paraId="25D89D51">
      <w:pPr>
        <w:rPr>
          <w:color w:val="000000" w:themeColor="text1"/>
          <w14:textFill>
            <w14:solidFill>
              <w14:schemeClr w14:val="tx1"/>
            </w14:solidFill>
          </w14:textFill>
        </w:rPr>
      </w:pPr>
      <w:r>
        <w:drawing>
          <wp:anchor distT="0" distB="0" distL="114300" distR="114300" simplePos="0" relativeHeight="251662336" behindDoc="0" locked="0" layoutInCell="1" allowOverlap="1">
            <wp:simplePos x="0" y="0"/>
            <wp:positionH relativeFrom="column">
              <wp:posOffset>-333375</wp:posOffset>
            </wp:positionH>
            <wp:positionV relativeFrom="paragraph">
              <wp:posOffset>170180</wp:posOffset>
            </wp:positionV>
            <wp:extent cx="6355715" cy="4707255"/>
            <wp:effectExtent l="0" t="0" r="6985" b="17145"/>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5"/>
                    <a:stretch>
                      <a:fillRect/>
                    </a:stretch>
                  </pic:blipFill>
                  <pic:spPr>
                    <a:xfrm>
                      <a:off x="0" y="0"/>
                      <a:ext cx="6355715" cy="4707255"/>
                    </a:xfrm>
                    <a:prstGeom prst="rect">
                      <a:avLst/>
                    </a:prstGeom>
                    <a:noFill/>
                    <a:ln>
                      <a:noFill/>
                    </a:ln>
                  </pic:spPr>
                </pic:pic>
              </a:graphicData>
            </a:graphic>
          </wp:anchor>
        </w:drawing>
      </w:r>
      <w:r>
        <w:rPr>
          <w:color w:val="000000" w:themeColor="text1"/>
          <w14:textFill>
            <w14:solidFill>
              <w14:schemeClr w14:val="tx1"/>
            </w14:solidFill>
          </w14:textFill>
        </w:rPr>
        <w:br w:type="page"/>
      </w:r>
    </w:p>
    <w:p w14:paraId="77E2AF73">
      <w:pPr>
        <w:keepNext w:val="0"/>
        <w:keepLines w:val="0"/>
        <w:pageBreakBefore w:val="0"/>
        <w:widowControl w:val="0"/>
        <w:kinsoku/>
        <w:wordWrap w:val="0"/>
        <w:overflowPunct/>
        <w:topLinePunct w:val="0"/>
        <w:autoSpaceDE/>
        <w:autoSpaceDN/>
        <w:bidi w:val="0"/>
        <w:spacing w:line="38" w:lineRule="exact"/>
        <w:rPr>
          <w:color w:val="000000" w:themeColor="text1"/>
          <w14:textFill>
            <w14:solidFill>
              <w14:schemeClr w14:val="tx1"/>
            </w14:solidFill>
          </w14:textFill>
        </w:rPr>
      </w:pPr>
    </w:p>
    <w:p w14:paraId="454844AE">
      <w:pPr>
        <w:keepNext w:val="0"/>
        <w:keepLines w:val="0"/>
        <w:pageBreakBefore w:val="0"/>
        <w:widowControl w:val="0"/>
        <w:kinsoku/>
        <w:wordWrap w:val="0"/>
        <w:overflowPunct/>
        <w:topLinePunct w:val="0"/>
        <w:autoSpaceDE/>
        <w:autoSpaceDN/>
        <w:bidi w:val="0"/>
        <w:spacing w:before="26"/>
        <w:rPr>
          <w:color w:val="000000" w:themeColor="text1"/>
          <w14:textFill>
            <w14:solidFill>
              <w14:schemeClr w14:val="tx1"/>
            </w14:solidFill>
          </w14:textFill>
        </w:rPr>
      </w:pPr>
      <w:r>
        <w:drawing>
          <wp:anchor distT="0" distB="0" distL="114300" distR="114300" simplePos="0" relativeHeight="251663360" behindDoc="0" locked="0" layoutInCell="1" allowOverlap="1">
            <wp:simplePos x="0" y="0"/>
            <wp:positionH relativeFrom="column">
              <wp:posOffset>-381000</wp:posOffset>
            </wp:positionH>
            <wp:positionV relativeFrom="paragraph">
              <wp:posOffset>132080</wp:posOffset>
            </wp:positionV>
            <wp:extent cx="6558280" cy="4829810"/>
            <wp:effectExtent l="0" t="0" r="13970" b="8890"/>
            <wp:wrapNone/>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26"/>
                    <a:stretch>
                      <a:fillRect/>
                    </a:stretch>
                  </pic:blipFill>
                  <pic:spPr>
                    <a:xfrm>
                      <a:off x="0" y="0"/>
                      <a:ext cx="6558280" cy="4829810"/>
                    </a:xfrm>
                    <a:prstGeom prst="rect">
                      <a:avLst/>
                    </a:prstGeom>
                    <a:noFill/>
                    <a:ln>
                      <a:noFill/>
                    </a:ln>
                  </pic:spPr>
                </pic:pic>
              </a:graphicData>
            </a:graphic>
          </wp:anchor>
        </w:drawing>
      </w:r>
    </w:p>
    <w:p w14:paraId="0E6E2E6C">
      <w:pPr>
        <w:keepNext w:val="0"/>
        <w:keepLines w:val="0"/>
        <w:pageBreakBefore w:val="0"/>
        <w:widowControl w:val="0"/>
        <w:kinsoku/>
        <w:wordWrap w:val="0"/>
        <w:overflowPunct/>
        <w:topLinePunct w:val="0"/>
        <w:autoSpaceDE/>
        <w:autoSpaceDN/>
        <w:bidi w:val="0"/>
        <w:rPr>
          <w:rFonts w:ascii="Arial"/>
          <w:color w:val="000000" w:themeColor="text1"/>
          <w:sz w:val="21"/>
          <w14:textFill>
            <w14:solidFill>
              <w14:schemeClr w14:val="tx1"/>
            </w14:solidFill>
          </w14:textFill>
        </w:rPr>
      </w:pPr>
    </w:p>
    <w:p w14:paraId="42B3921C">
      <w:pPr>
        <w:keepNext w:val="0"/>
        <w:keepLines w:val="0"/>
        <w:pageBreakBefore w:val="0"/>
        <w:widowControl w:val="0"/>
        <w:kinsoku/>
        <w:wordWrap w:val="0"/>
        <w:overflowPunct/>
        <w:topLinePunct w:val="0"/>
        <w:autoSpaceDE/>
        <w:autoSpaceDN/>
        <w:bidi w:val="0"/>
        <w:rPr>
          <w:rFonts w:ascii="Arial" w:hAnsi="Arial" w:eastAsia="Arial" w:cs="Arial"/>
          <w:color w:val="000000" w:themeColor="text1"/>
          <w:sz w:val="21"/>
          <w:szCs w:val="21"/>
          <w14:textFill>
            <w14:solidFill>
              <w14:schemeClr w14:val="tx1"/>
            </w14:solidFill>
          </w14:textFill>
        </w:rPr>
        <w:sectPr>
          <w:headerReference r:id="rId7" w:type="default"/>
          <w:footerReference r:id="rId8" w:type="default"/>
          <w:pgSz w:w="11900" w:h="16839"/>
          <w:pgMar w:top="2098" w:right="1474" w:bottom="1984" w:left="1587" w:header="283" w:footer="271" w:gutter="0"/>
          <w:pgNumType w:fmt="decimal" w:start="1"/>
          <w:cols w:space="720" w:num="1"/>
        </w:sectPr>
      </w:pPr>
    </w:p>
    <w:p w14:paraId="5BE55BA1">
      <w:pPr>
        <w:keepNext w:val="0"/>
        <w:keepLines w:val="0"/>
        <w:pageBreakBefore w:val="0"/>
        <w:widowControl w:val="0"/>
        <w:kinsoku/>
        <w:wordWrap w:val="0"/>
        <w:overflowPunct/>
        <w:topLinePunct w:val="0"/>
        <w:autoSpaceDE/>
        <w:autoSpaceDN/>
        <w:bidi w:val="0"/>
        <w:spacing w:line="38" w:lineRule="exact"/>
        <w:rPr>
          <w:color w:val="000000" w:themeColor="text1"/>
          <w14:textFill>
            <w14:solidFill>
              <w14:schemeClr w14:val="tx1"/>
            </w14:solidFill>
          </w14:textFill>
        </w:rPr>
      </w:pPr>
      <w:r>
        <w:drawing>
          <wp:anchor distT="0" distB="0" distL="114300" distR="114300" simplePos="0" relativeHeight="251664384" behindDoc="0" locked="0" layoutInCell="1" allowOverlap="1">
            <wp:simplePos x="0" y="0"/>
            <wp:positionH relativeFrom="column">
              <wp:posOffset>-460375</wp:posOffset>
            </wp:positionH>
            <wp:positionV relativeFrom="paragraph">
              <wp:posOffset>-121920</wp:posOffset>
            </wp:positionV>
            <wp:extent cx="6391275" cy="4701540"/>
            <wp:effectExtent l="0" t="0" r="9525" b="3810"/>
            <wp:wrapNone/>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27"/>
                    <a:stretch>
                      <a:fillRect/>
                    </a:stretch>
                  </pic:blipFill>
                  <pic:spPr>
                    <a:xfrm>
                      <a:off x="0" y="0"/>
                      <a:ext cx="6391275" cy="4701540"/>
                    </a:xfrm>
                    <a:prstGeom prst="rect">
                      <a:avLst/>
                    </a:prstGeom>
                    <a:noFill/>
                    <a:ln>
                      <a:noFill/>
                    </a:ln>
                  </pic:spPr>
                </pic:pic>
              </a:graphicData>
            </a:graphic>
          </wp:anchor>
        </w:drawing>
      </w:r>
    </w:p>
    <w:p w14:paraId="177167BF">
      <w:pPr>
        <w:keepNext w:val="0"/>
        <w:keepLines w:val="0"/>
        <w:pageBreakBefore w:val="0"/>
        <w:widowControl w:val="0"/>
        <w:kinsoku/>
        <w:wordWrap w:val="0"/>
        <w:overflowPunct/>
        <w:topLinePunct w:val="0"/>
        <w:autoSpaceDE/>
        <w:autoSpaceDN/>
        <w:bidi w:val="0"/>
        <w:spacing w:before="26"/>
        <w:rPr>
          <w:color w:val="000000" w:themeColor="text1"/>
          <w14:textFill>
            <w14:solidFill>
              <w14:schemeClr w14:val="tx1"/>
            </w14:solidFill>
          </w14:textFill>
        </w:rPr>
      </w:pPr>
    </w:p>
    <w:p w14:paraId="23B97E2E">
      <w:pPr>
        <w:keepNext w:val="0"/>
        <w:keepLines w:val="0"/>
        <w:pageBreakBefore w:val="0"/>
        <w:widowControl w:val="0"/>
        <w:kinsoku/>
        <w:wordWrap w:val="0"/>
        <w:overflowPunct/>
        <w:topLinePunct w:val="0"/>
        <w:autoSpaceDE/>
        <w:autoSpaceDN/>
        <w:bidi w:val="0"/>
        <w:rPr>
          <w:rFonts w:ascii="Arial"/>
          <w:color w:val="000000" w:themeColor="text1"/>
          <w:sz w:val="21"/>
          <w14:textFill>
            <w14:solidFill>
              <w14:schemeClr w14:val="tx1"/>
            </w14:solidFill>
          </w14:textFill>
        </w:rPr>
      </w:pPr>
    </w:p>
    <w:p w14:paraId="789B04AE">
      <w:pPr>
        <w:keepNext w:val="0"/>
        <w:keepLines w:val="0"/>
        <w:pageBreakBefore w:val="0"/>
        <w:widowControl w:val="0"/>
        <w:kinsoku/>
        <w:wordWrap w:val="0"/>
        <w:overflowPunct/>
        <w:topLinePunct w:val="0"/>
        <w:autoSpaceDE/>
        <w:autoSpaceDN/>
        <w:bidi w:val="0"/>
        <w:rPr>
          <w:rFonts w:ascii="Arial" w:hAnsi="Arial" w:eastAsia="Arial" w:cs="Arial"/>
          <w:color w:val="000000" w:themeColor="text1"/>
          <w:sz w:val="21"/>
          <w:szCs w:val="21"/>
          <w14:textFill>
            <w14:solidFill>
              <w14:schemeClr w14:val="tx1"/>
            </w14:solidFill>
          </w14:textFill>
        </w:rPr>
        <w:sectPr>
          <w:footerReference r:id="rId9" w:type="default"/>
          <w:pgSz w:w="11900" w:h="16839"/>
          <w:pgMar w:top="2098" w:right="1474" w:bottom="1984" w:left="1587" w:header="283" w:footer="271" w:gutter="0"/>
          <w:pgNumType w:fmt="decimal"/>
          <w:cols w:space="720" w:num="1"/>
        </w:sectPr>
      </w:pPr>
    </w:p>
    <w:p w14:paraId="600807B9">
      <w:pPr>
        <w:keepNext w:val="0"/>
        <w:keepLines w:val="0"/>
        <w:pageBreakBefore w:val="0"/>
        <w:widowControl w:val="0"/>
        <w:kinsoku/>
        <w:wordWrap w:val="0"/>
        <w:overflowPunct/>
        <w:topLinePunct w:val="0"/>
        <w:autoSpaceDE/>
        <w:autoSpaceDN/>
        <w:bidi w:val="0"/>
        <w:spacing w:line="38" w:lineRule="exact"/>
        <w:rPr>
          <w:color w:val="000000" w:themeColor="text1"/>
          <w14:textFill>
            <w14:solidFill>
              <w14:schemeClr w14:val="tx1"/>
            </w14:solidFill>
          </w14:textFill>
        </w:rPr>
      </w:pPr>
    </w:p>
    <w:p w14:paraId="1E6982E9">
      <w:pPr>
        <w:keepNext w:val="0"/>
        <w:keepLines w:val="0"/>
        <w:pageBreakBefore w:val="0"/>
        <w:widowControl w:val="0"/>
        <w:kinsoku/>
        <w:wordWrap w:val="0"/>
        <w:overflowPunct/>
        <w:topLinePunct w:val="0"/>
        <w:autoSpaceDE/>
        <w:autoSpaceDN/>
        <w:bidi w:val="0"/>
        <w:spacing w:before="26"/>
        <w:rPr>
          <w:color w:val="000000" w:themeColor="text1"/>
          <w14:textFill>
            <w14:solidFill>
              <w14:schemeClr w14:val="tx1"/>
            </w14:solidFill>
          </w14:textFill>
        </w:rPr>
      </w:pPr>
      <w:r>
        <w:drawing>
          <wp:anchor distT="0" distB="0" distL="114300" distR="114300" simplePos="0" relativeHeight="251665408" behindDoc="0" locked="0" layoutInCell="1" allowOverlap="1">
            <wp:simplePos x="0" y="0"/>
            <wp:positionH relativeFrom="column">
              <wp:posOffset>-316230</wp:posOffset>
            </wp:positionH>
            <wp:positionV relativeFrom="paragraph">
              <wp:posOffset>48260</wp:posOffset>
            </wp:positionV>
            <wp:extent cx="6608445" cy="4707890"/>
            <wp:effectExtent l="0" t="0" r="1905" b="16510"/>
            <wp:wrapNone/>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8"/>
                    <a:stretch>
                      <a:fillRect/>
                    </a:stretch>
                  </pic:blipFill>
                  <pic:spPr>
                    <a:xfrm>
                      <a:off x="0" y="0"/>
                      <a:ext cx="6608445" cy="4707890"/>
                    </a:xfrm>
                    <a:prstGeom prst="rect">
                      <a:avLst/>
                    </a:prstGeom>
                    <a:noFill/>
                    <a:ln>
                      <a:noFill/>
                    </a:ln>
                  </pic:spPr>
                </pic:pic>
              </a:graphicData>
            </a:graphic>
          </wp:anchor>
        </w:drawing>
      </w:r>
    </w:p>
    <w:p w14:paraId="3D16BB5F">
      <w:pPr>
        <w:keepNext w:val="0"/>
        <w:keepLines w:val="0"/>
        <w:pageBreakBefore w:val="0"/>
        <w:widowControl w:val="0"/>
        <w:kinsoku/>
        <w:wordWrap w:val="0"/>
        <w:overflowPunct/>
        <w:topLinePunct w:val="0"/>
        <w:autoSpaceDE/>
        <w:autoSpaceDN/>
        <w:bidi w:val="0"/>
        <w:rPr>
          <w:rFonts w:hint="default" w:ascii="Arial"/>
          <w:color w:val="000000" w:themeColor="text1"/>
          <w:sz w:val="21"/>
          <w:lang w:val="en-US"/>
          <w14:textFill>
            <w14:solidFill>
              <w14:schemeClr w14:val="tx1"/>
            </w14:solidFill>
          </w14:textFill>
        </w:rPr>
      </w:pPr>
    </w:p>
    <w:p w14:paraId="7BEFD8A3">
      <w:pPr>
        <w:keepNext w:val="0"/>
        <w:keepLines w:val="0"/>
        <w:pageBreakBefore w:val="0"/>
        <w:widowControl w:val="0"/>
        <w:kinsoku/>
        <w:wordWrap w:val="0"/>
        <w:overflowPunct/>
        <w:topLinePunct w:val="0"/>
        <w:autoSpaceDE/>
        <w:autoSpaceDN/>
        <w:bidi w:val="0"/>
        <w:rPr>
          <w:rFonts w:ascii="Arial" w:hAnsi="Arial" w:eastAsia="Arial" w:cs="Arial"/>
          <w:color w:val="000000" w:themeColor="text1"/>
          <w:sz w:val="21"/>
          <w:szCs w:val="21"/>
          <w14:textFill>
            <w14:solidFill>
              <w14:schemeClr w14:val="tx1"/>
            </w14:solidFill>
          </w14:textFill>
        </w:rPr>
        <w:sectPr>
          <w:footerReference r:id="rId10" w:type="default"/>
          <w:pgSz w:w="11900" w:h="16839"/>
          <w:pgMar w:top="2098" w:right="1474" w:bottom="1984" w:left="1587" w:header="283" w:footer="271" w:gutter="0"/>
          <w:pgNumType w:fmt="decimal"/>
          <w:cols w:space="720" w:num="1"/>
        </w:sectPr>
      </w:pPr>
      <w:bookmarkStart w:id="8" w:name="_GoBack"/>
      <w:bookmarkEnd w:id="8"/>
    </w:p>
    <w:p w14:paraId="077919A8">
      <w:pPr>
        <w:pStyle w:val="3"/>
        <w:keepNext w:val="0"/>
        <w:keepLines w:val="0"/>
        <w:pageBreakBefore w:val="0"/>
        <w:widowControl w:val="0"/>
        <w:kinsoku/>
        <w:wordWrap w:val="0"/>
        <w:overflowPunct/>
        <w:topLinePunct w:val="0"/>
        <w:autoSpaceDE/>
        <w:autoSpaceDN/>
        <w:bidi w:val="0"/>
        <w:spacing w:before="262" w:line="203" w:lineRule="auto"/>
        <w:rPr>
          <w:color w:val="000000" w:themeColor="text1"/>
          <w:sz w:val="31"/>
          <w:szCs w:val="31"/>
          <w14:textFill>
            <w14:solidFill>
              <w14:schemeClr w14:val="tx1"/>
            </w14:solidFill>
          </w14:textFill>
        </w:rPr>
      </w:pPr>
      <w:r>
        <w:rPr>
          <w:color w:val="000000" w:themeColor="text1"/>
          <w:spacing w:val="-4"/>
          <w:sz w:val="31"/>
          <w:szCs w:val="31"/>
          <w14:textFill>
            <w14:solidFill>
              <w14:schemeClr w14:val="tx1"/>
            </w14:solidFill>
          </w14:textFill>
        </w:rPr>
        <w:t>附件2</w:t>
      </w:r>
    </w:p>
    <w:p w14:paraId="58A14E17">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color w:val="auto"/>
          <w:spacing w:val="0"/>
          <w:sz w:val="44"/>
          <w:szCs w:val="44"/>
        </w:rPr>
      </w:pPr>
      <w:r>
        <w:rPr>
          <w:rFonts w:hint="eastAsia" w:ascii="方正小标宋简体" w:hAnsi="方正小标宋简体" w:eastAsia="方正小标宋简体" w:cs="方正小标宋简体"/>
          <w:b w:val="0"/>
          <w:bCs w:val="0"/>
          <w:color w:val="auto"/>
          <w:spacing w:val="0"/>
          <w:sz w:val="44"/>
          <w:szCs w:val="44"/>
          <w:lang w:eastAsia="zh-CN"/>
        </w:rPr>
        <w:t>202</w:t>
      </w:r>
      <w:r>
        <w:rPr>
          <w:rFonts w:hint="eastAsia" w:ascii="方正小标宋简体" w:hAnsi="方正小标宋简体" w:eastAsia="方正小标宋简体" w:cs="方正小标宋简体"/>
          <w:b w:val="0"/>
          <w:bCs w:val="0"/>
          <w:color w:val="auto"/>
          <w:spacing w:val="0"/>
          <w:sz w:val="44"/>
          <w:szCs w:val="44"/>
          <w:lang w:val="en-US" w:eastAsia="zh-CN"/>
        </w:rPr>
        <w:t>5</w:t>
      </w:r>
      <w:r>
        <w:rPr>
          <w:rFonts w:hint="eastAsia" w:ascii="方正小标宋简体" w:hAnsi="方正小标宋简体" w:eastAsia="方正小标宋简体" w:cs="方正小标宋简体"/>
          <w:b w:val="0"/>
          <w:bCs w:val="0"/>
          <w:color w:val="auto"/>
          <w:spacing w:val="0"/>
          <w:sz w:val="44"/>
          <w:szCs w:val="44"/>
          <w:lang w:eastAsia="zh-CN"/>
        </w:rPr>
        <w:t>年</w:t>
      </w:r>
      <w:r>
        <w:rPr>
          <w:rFonts w:hint="eastAsia" w:ascii="方正小标宋简体" w:hAnsi="方正小标宋简体" w:eastAsia="方正小标宋简体" w:cs="方正小标宋简体"/>
          <w:b w:val="0"/>
          <w:bCs w:val="0"/>
          <w:color w:val="auto"/>
          <w:spacing w:val="0"/>
          <w:sz w:val="44"/>
          <w:szCs w:val="44"/>
        </w:rPr>
        <w:t>红原县水务局</w:t>
      </w:r>
    </w:p>
    <w:p w14:paraId="120707A2">
      <w:pPr>
        <w:keepNext w:val="0"/>
        <w:keepLines w:val="0"/>
        <w:pageBreakBefore w:val="0"/>
        <w:widowControl w:val="0"/>
        <w:kinsoku/>
        <w:wordWrap/>
        <w:overflowPunct w:val="0"/>
        <w:topLinePunct w:val="0"/>
        <w:autoSpaceDE/>
        <w:autoSpaceDN/>
        <w:bidi w:val="0"/>
        <w:adjustRightInd w:val="0"/>
        <w:snapToGrid w:val="0"/>
        <w:spacing w:line="560" w:lineRule="exact"/>
        <w:jc w:val="center"/>
        <w:textAlignment w:val="baseline"/>
        <w:rPr>
          <w:rFonts w:hint="eastAsia" w:ascii="方正小标宋简体" w:hAnsi="方正小标宋简体" w:eastAsia="方正小标宋简体" w:cs="方正小标宋简体"/>
          <w:b w:val="0"/>
          <w:bCs w:val="0"/>
          <w:color w:val="auto"/>
          <w:spacing w:val="0"/>
          <w:sz w:val="44"/>
          <w:szCs w:val="44"/>
        </w:rPr>
      </w:pPr>
      <w:r>
        <w:rPr>
          <w:rFonts w:hint="eastAsia" w:ascii="方正小标宋简体" w:hAnsi="方正小标宋简体" w:eastAsia="方正小标宋简体" w:cs="方正小标宋简体"/>
          <w:b w:val="0"/>
          <w:bCs w:val="0"/>
          <w:color w:val="auto"/>
          <w:spacing w:val="0"/>
          <w:sz w:val="44"/>
          <w:szCs w:val="44"/>
        </w:rPr>
        <w:t>山洪灾害专项资金预算项目绩效自评告</w:t>
      </w:r>
    </w:p>
    <w:p w14:paraId="3BDC67D5">
      <w:pPr>
        <w:keepNext w:val="0"/>
        <w:keepLines w:val="0"/>
        <w:pageBreakBefore w:val="0"/>
        <w:widowControl w:val="0"/>
        <w:kinsoku/>
        <w:wordWrap/>
        <w:overflowPunct w:val="0"/>
        <w:topLinePunct w:val="0"/>
        <w:autoSpaceDE/>
        <w:autoSpaceDN/>
        <w:bidi w:val="0"/>
        <w:adjustRightInd w:val="0"/>
        <w:snapToGrid w:val="0"/>
        <w:spacing w:line="560" w:lineRule="exact"/>
        <w:ind w:left="845"/>
        <w:jc w:val="both"/>
        <w:textAlignment w:val="baseline"/>
        <w:outlineLvl w:val="3"/>
        <w:rPr>
          <w:rFonts w:ascii="微软雅黑" w:hAnsi="微软雅黑" w:eastAsia="微软雅黑" w:cs="微软雅黑"/>
          <w:b/>
          <w:bCs/>
          <w:color w:val="auto"/>
          <w:spacing w:val="0"/>
          <w:sz w:val="31"/>
          <w:szCs w:val="31"/>
        </w:rPr>
      </w:pPr>
    </w:p>
    <w:p w14:paraId="151099AF">
      <w:pPr>
        <w:keepNext w:val="0"/>
        <w:keepLines w:val="0"/>
        <w:pageBreakBefore w:val="0"/>
        <w:widowControl w:val="0"/>
        <w:kinsoku/>
        <w:wordWrap/>
        <w:overflowPunct w:val="0"/>
        <w:topLinePunct w:val="0"/>
        <w:autoSpaceDE/>
        <w:autoSpaceDN/>
        <w:bidi w:val="0"/>
        <w:adjustRightInd w:val="0"/>
        <w:snapToGrid w:val="0"/>
        <w:spacing w:line="560" w:lineRule="exact"/>
        <w:ind w:firstLine="620" w:firstLineChars="200"/>
        <w:jc w:val="both"/>
        <w:textAlignment w:val="baseline"/>
        <w:outlineLvl w:val="3"/>
        <w:rPr>
          <w:rFonts w:ascii="微软雅黑" w:hAnsi="微软雅黑" w:eastAsia="微软雅黑" w:cs="微软雅黑"/>
          <w:color w:val="auto"/>
          <w:spacing w:val="0"/>
          <w:sz w:val="31"/>
          <w:szCs w:val="31"/>
        </w:rPr>
      </w:pPr>
      <w:r>
        <w:rPr>
          <w:rFonts w:ascii="微软雅黑" w:hAnsi="微软雅黑" w:eastAsia="微软雅黑" w:cs="微软雅黑"/>
          <w:b/>
          <w:bCs/>
          <w:color w:val="auto"/>
          <w:spacing w:val="0"/>
          <w:sz w:val="31"/>
          <w:szCs w:val="31"/>
        </w:rPr>
        <w:t>（一）项目基本情况</w:t>
      </w:r>
    </w:p>
    <w:p w14:paraId="31487EFE">
      <w:pPr>
        <w:keepNext w:val="0"/>
        <w:keepLines w:val="0"/>
        <w:pageBreakBefore w:val="0"/>
        <w:widowControl w:val="0"/>
        <w:kinsoku/>
        <w:wordWrap/>
        <w:overflowPunct w:val="0"/>
        <w:topLinePunct w:val="0"/>
        <w:autoSpaceDE/>
        <w:autoSpaceDN/>
        <w:bidi w:val="0"/>
        <w:adjustRightInd w:val="0"/>
        <w:snapToGrid w:val="0"/>
        <w:spacing w:line="560" w:lineRule="exact"/>
        <w:ind w:left="88" w:right="71" w:firstLine="641"/>
        <w:jc w:val="both"/>
        <w:textAlignment w:val="baseline"/>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为我县</w:t>
      </w:r>
      <w:r>
        <w:rPr>
          <w:rFonts w:hint="eastAsia" w:ascii="仿宋_GB2312" w:hAnsi="仿宋_GB2312" w:eastAsia="仿宋_GB2312" w:cs="仿宋_GB2312"/>
          <w:color w:val="auto"/>
          <w:spacing w:val="0"/>
          <w:sz w:val="32"/>
          <w:szCs w:val="32"/>
          <w:lang w:val="en-US" w:eastAsia="zh-CN"/>
        </w:rPr>
        <w:t>50</w:t>
      </w:r>
      <w:r>
        <w:rPr>
          <w:rFonts w:hint="eastAsia" w:ascii="仿宋_GB2312" w:hAnsi="仿宋_GB2312" w:eastAsia="仿宋_GB2312" w:cs="仿宋_GB2312"/>
          <w:color w:val="auto"/>
          <w:spacing w:val="0"/>
          <w:sz w:val="32"/>
          <w:szCs w:val="32"/>
        </w:rPr>
        <w:t>处山洪危险区的监测责任人按照3600/年的标准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落实监测经费</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经费的落实有助对</w:t>
      </w:r>
      <w:r>
        <w:rPr>
          <w:rFonts w:hint="eastAsia" w:ascii="仿宋_GB2312" w:hAnsi="仿宋_GB2312" w:eastAsia="仿宋_GB2312" w:cs="仿宋_GB2312"/>
          <w:color w:val="auto"/>
          <w:spacing w:val="0"/>
          <w:sz w:val="32"/>
          <w:szCs w:val="32"/>
          <w:lang w:val="en-US" w:eastAsia="zh-CN"/>
        </w:rPr>
        <w:t>50</w:t>
      </w:r>
      <w:r>
        <w:rPr>
          <w:rFonts w:hint="eastAsia" w:ascii="仿宋_GB2312" w:hAnsi="仿宋_GB2312" w:eastAsia="仿宋_GB2312" w:cs="仿宋_GB2312"/>
          <w:color w:val="auto"/>
          <w:spacing w:val="0"/>
          <w:sz w:val="32"/>
          <w:szCs w:val="32"/>
        </w:rPr>
        <w:t>处山洪灾害危险区的监测提供经费保障</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提高监测人员积极性</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确保人民群众生命财产安全。</w:t>
      </w:r>
    </w:p>
    <w:p w14:paraId="42998A2C">
      <w:pPr>
        <w:keepNext w:val="0"/>
        <w:keepLines w:val="0"/>
        <w:pageBreakBefore w:val="0"/>
        <w:widowControl w:val="0"/>
        <w:kinsoku/>
        <w:wordWrap/>
        <w:overflowPunct w:val="0"/>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（二）项目绩效目标</w:t>
      </w:r>
    </w:p>
    <w:p w14:paraId="0EDB4F03">
      <w:pPr>
        <w:keepNext w:val="0"/>
        <w:keepLines w:val="0"/>
        <w:pageBreakBefore w:val="0"/>
        <w:widowControl w:val="0"/>
        <w:kinsoku/>
        <w:wordWrap/>
        <w:overflowPunct w:val="0"/>
        <w:topLinePunct w:val="0"/>
        <w:autoSpaceDE/>
        <w:autoSpaceDN/>
        <w:bidi w:val="0"/>
        <w:adjustRightInd w:val="0"/>
        <w:snapToGrid w:val="0"/>
        <w:spacing w:line="560" w:lineRule="exact"/>
        <w:ind w:right="216"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1</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项目主要内容。为我县</w:t>
      </w:r>
      <w:r>
        <w:rPr>
          <w:rFonts w:hint="eastAsia" w:ascii="仿宋_GB2312" w:hAnsi="仿宋_GB2312" w:eastAsia="仿宋_GB2312" w:cs="仿宋_GB2312"/>
          <w:color w:val="auto"/>
          <w:spacing w:val="0"/>
          <w:sz w:val="32"/>
          <w:szCs w:val="32"/>
          <w:lang w:val="en-US" w:eastAsia="zh-CN"/>
        </w:rPr>
        <w:t>50</w:t>
      </w:r>
      <w:r>
        <w:rPr>
          <w:rFonts w:hint="eastAsia" w:ascii="仿宋_GB2312" w:hAnsi="仿宋_GB2312" w:eastAsia="仿宋_GB2312" w:cs="仿宋_GB2312"/>
          <w:color w:val="auto"/>
          <w:spacing w:val="0"/>
          <w:sz w:val="32"/>
          <w:szCs w:val="32"/>
        </w:rPr>
        <w:t>处山洪危险区的监测责任人按照3600/年的标准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落实监测经费。</w:t>
      </w:r>
    </w:p>
    <w:p w14:paraId="4E30CA9F">
      <w:pPr>
        <w:keepNext w:val="0"/>
        <w:keepLines w:val="0"/>
        <w:pageBreakBefore w:val="0"/>
        <w:widowControl w:val="0"/>
        <w:kinsoku/>
        <w:wordWrap/>
        <w:overflowPunct w:val="0"/>
        <w:topLinePunct w:val="0"/>
        <w:autoSpaceDE/>
        <w:autoSpaceDN/>
        <w:bidi w:val="0"/>
        <w:adjustRightInd w:val="0"/>
        <w:snapToGrid w:val="0"/>
        <w:spacing w:line="560" w:lineRule="exact"/>
        <w:ind w:right="71"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2．项目应实现的具体绩效目标</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包括但不限于：为我县</w:t>
      </w:r>
      <w:r>
        <w:rPr>
          <w:rFonts w:hint="eastAsia" w:ascii="仿宋_GB2312" w:hAnsi="仿宋_GB2312" w:eastAsia="仿宋_GB2312" w:cs="仿宋_GB2312"/>
          <w:color w:val="auto"/>
          <w:spacing w:val="0"/>
          <w:sz w:val="32"/>
          <w:szCs w:val="32"/>
          <w:lang w:val="en-US" w:eastAsia="zh-CN"/>
        </w:rPr>
        <w:t>50</w:t>
      </w:r>
      <w:r>
        <w:rPr>
          <w:rFonts w:hint="eastAsia" w:ascii="仿宋_GB2312" w:hAnsi="仿宋_GB2312" w:eastAsia="仿宋_GB2312" w:cs="仿宋_GB2312"/>
          <w:color w:val="auto"/>
          <w:spacing w:val="0"/>
          <w:sz w:val="32"/>
          <w:szCs w:val="32"/>
        </w:rPr>
        <w:t>处山洪危险区的监测责任人按照3600/年的标准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落实监测经费。服务对象满意度≥95%；验收合格率≥100%。绩效目标和绩效指标量化可考核</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与部门的长期规划目标、年度工作目标相一致。</w:t>
      </w:r>
    </w:p>
    <w:p w14:paraId="4C4C6F0F">
      <w:pPr>
        <w:keepNext w:val="0"/>
        <w:keepLines w:val="0"/>
        <w:pageBreakBefore w:val="0"/>
        <w:widowControl w:val="0"/>
        <w:kinsoku/>
        <w:wordWrap/>
        <w:overflowPunct w:val="0"/>
        <w:topLinePunct w:val="0"/>
        <w:autoSpaceDE/>
        <w:autoSpaceDN/>
        <w:bidi w:val="0"/>
        <w:adjustRightInd w:val="0"/>
        <w:snapToGrid w:val="0"/>
        <w:spacing w:line="560" w:lineRule="exact"/>
        <w:ind w:right="71"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3．分析评价申报内容是否与实际相符</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申报目标是否合理可行。总投资1</w:t>
      </w:r>
      <w:r>
        <w:rPr>
          <w:rFonts w:hint="eastAsia" w:ascii="仿宋_GB2312" w:hAnsi="仿宋_GB2312" w:eastAsia="仿宋_GB2312" w:cs="仿宋_GB2312"/>
          <w:color w:val="auto"/>
          <w:spacing w:val="0"/>
          <w:sz w:val="32"/>
          <w:szCs w:val="32"/>
          <w:lang w:val="en-US" w:eastAsia="zh-CN"/>
        </w:rPr>
        <w:t>8.00</w:t>
      </w:r>
      <w:r>
        <w:rPr>
          <w:rFonts w:hint="eastAsia" w:ascii="仿宋_GB2312" w:hAnsi="仿宋_GB2312" w:eastAsia="仿宋_GB2312" w:cs="仿宋_GB2312"/>
          <w:color w:val="auto"/>
          <w:spacing w:val="0"/>
          <w:sz w:val="32"/>
          <w:szCs w:val="32"/>
        </w:rPr>
        <w:t>万元，政策或项目具有公共性</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属于公共财政支持范围，筹资渠道符合法律法规规定，筹资结构合理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资金来源渠道明确，各渠道资金到位时间、条件能够落实。</w:t>
      </w:r>
    </w:p>
    <w:p w14:paraId="3BC2D640">
      <w:pPr>
        <w:keepNext w:val="0"/>
        <w:keepLines w:val="0"/>
        <w:pageBreakBefore w:val="0"/>
        <w:widowControl w:val="0"/>
        <w:kinsoku/>
        <w:wordWrap/>
        <w:overflowPunct w:val="0"/>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（三）项目自评步骤及方法</w:t>
      </w:r>
    </w:p>
    <w:p w14:paraId="2D96D23A">
      <w:pPr>
        <w:keepNext w:val="0"/>
        <w:keepLines w:val="0"/>
        <w:pageBreakBefore w:val="0"/>
        <w:widowControl w:val="0"/>
        <w:kinsoku/>
        <w:wordWrap/>
        <w:overflowPunct w:val="0"/>
        <w:topLinePunct w:val="0"/>
        <w:autoSpaceDE/>
        <w:autoSpaceDN/>
        <w:bidi w:val="0"/>
        <w:adjustRightInd w:val="0"/>
        <w:snapToGrid w:val="0"/>
        <w:spacing w:line="560" w:lineRule="exact"/>
        <w:ind w:left="724"/>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说明项目绩效自评采用的组织实施步骤及方法。</w:t>
      </w:r>
    </w:p>
    <w:p w14:paraId="5E908CA8">
      <w:pPr>
        <w:pStyle w:val="3"/>
        <w:keepNext w:val="0"/>
        <w:keepLines w:val="0"/>
        <w:pageBreakBefore w:val="0"/>
        <w:widowControl w:val="0"/>
        <w:kinsoku/>
        <w:wordWrap/>
        <w:overflowPunct w:val="0"/>
        <w:topLinePunct w:val="0"/>
        <w:autoSpaceDE/>
        <w:autoSpaceDN/>
        <w:bidi w:val="0"/>
        <w:adjustRightInd w:val="0"/>
        <w:snapToGrid w:val="0"/>
        <w:spacing w:line="560" w:lineRule="exact"/>
        <w:ind w:left="816"/>
        <w:jc w:val="both"/>
        <w:textAlignment w:val="baseline"/>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二、项目资金申报及使用情况</w:t>
      </w:r>
    </w:p>
    <w:p w14:paraId="200A6F00">
      <w:pPr>
        <w:keepNext w:val="0"/>
        <w:keepLines w:val="0"/>
        <w:pageBreakBefore w:val="0"/>
        <w:widowControl w:val="0"/>
        <w:kinsoku/>
        <w:wordWrap/>
        <w:overflowPunct w:val="0"/>
        <w:topLinePunct w:val="0"/>
        <w:autoSpaceDE/>
        <w:autoSpaceDN/>
        <w:bidi w:val="0"/>
        <w:adjustRightInd w:val="0"/>
        <w:snapToGrid w:val="0"/>
        <w:spacing w:line="560" w:lineRule="exact"/>
        <w:ind w:left="87" w:right="71" w:firstLine="716"/>
        <w:jc w:val="both"/>
        <w:textAlignment w:val="baseline"/>
        <w:rPr>
          <w:rFonts w:hint="eastAsia" w:ascii="仿宋_GB2312" w:hAnsi="仿宋_GB2312" w:eastAsia="仿宋_GB2312" w:cs="仿宋_GB2312"/>
          <w:b/>
          <w:bCs/>
          <w:color w:val="auto"/>
          <w:spacing w:val="0"/>
          <w:sz w:val="32"/>
          <w:szCs w:val="32"/>
        </w:rPr>
      </w:pPr>
      <w:r>
        <w:rPr>
          <w:rFonts w:hint="eastAsia" w:ascii="仿宋_GB2312" w:hAnsi="仿宋_GB2312" w:eastAsia="仿宋_GB2312" w:cs="仿宋_GB2312"/>
          <w:b/>
          <w:bCs/>
          <w:color w:val="auto"/>
          <w:spacing w:val="0"/>
          <w:sz w:val="32"/>
          <w:szCs w:val="32"/>
        </w:rPr>
        <w:t>（一）项目资金申报及批复情况</w:t>
      </w:r>
    </w:p>
    <w:p w14:paraId="0D5675FB">
      <w:pPr>
        <w:keepNext w:val="0"/>
        <w:keepLines w:val="0"/>
        <w:pageBreakBefore w:val="0"/>
        <w:widowControl w:val="0"/>
        <w:kinsoku/>
        <w:wordWrap/>
        <w:overflowPunct w:val="0"/>
        <w:topLinePunct w:val="0"/>
        <w:autoSpaceDE/>
        <w:autoSpaceDN/>
        <w:bidi w:val="0"/>
        <w:adjustRightInd w:val="0"/>
        <w:snapToGrid w:val="0"/>
        <w:spacing w:line="560" w:lineRule="exact"/>
        <w:ind w:left="87" w:right="71" w:firstLine="716"/>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一是</w:t>
      </w:r>
      <w:r>
        <w:rPr>
          <w:rFonts w:hint="eastAsia" w:ascii="仿宋_GB2312" w:hAnsi="仿宋_GB2312" w:eastAsia="仿宋_GB2312" w:cs="仿宋_GB2312"/>
          <w:color w:val="auto"/>
          <w:spacing w:val="0"/>
          <w:sz w:val="32"/>
          <w:szCs w:val="32"/>
        </w:rPr>
        <w:t>通过实地查看和村民大会的召开讨论</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群定好项目的具体内容；</w:t>
      </w:r>
      <w:r>
        <w:rPr>
          <w:rFonts w:hint="eastAsia" w:ascii="仿宋_GB2312" w:hAnsi="仿宋_GB2312" w:eastAsia="仿宋_GB2312" w:cs="仿宋_GB2312"/>
          <w:b/>
          <w:bCs/>
          <w:color w:val="auto"/>
          <w:spacing w:val="0"/>
          <w:sz w:val="32"/>
          <w:szCs w:val="32"/>
        </w:rPr>
        <w:t>二是</w:t>
      </w:r>
      <w:r>
        <w:rPr>
          <w:rFonts w:hint="eastAsia" w:ascii="仿宋_GB2312" w:hAnsi="仿宋_GB2312" w:eastAsia="仿宋_GB2312" w:cs="仿宋_GB2312"/>
          <w:color w:val="auto"/>
          <w:spacing w:val="0"/>
          <w:sz w:val="32"/>
          <w:szCs w:val="32"/>
        </w:rPr>
        <w:t>询问专业人员确定项目资金的预算及编制实施方案并上报相关部门。</w:t>
      </w:r>
    </w:p>
    <w:p w14:paraId="6CA14B63">
      <w:pPr>
        <w:keepNext w:val="0"/>
        <w:keepLines w:val="0"/>
        <w:pageBreakBefore w:val="0"/>
        <w:widowControl w:val="0"/>
        <w:kinsoku/>
        <w:wordWrap/>
        <w:overflowPunct w:val="0"/>
        <w:topLinePunct w:val="0"/>
        <w:autoSpaceDE/>
        <w:autoSpaceDN/>
        <w:bidi w:val="0"/>
        <w:adjustRightInd w:val="0"/>
        <w:snapToGrid w:val="0"/>
        <w:spacing w:line="560" w:lineRule="exact"/>
        <w:ind w:left="845"/>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（二）资金计划、到位及使用情况</w:t>
      </w:r>
    </w:p>
    <w:p w14:paraId="7A75036B">
      <w:pPr>
        <w:keepNext w:val="0"/>
        <w:keepLines w:val="0"/>
        <w:pageBreakBefore w:val="0"/>
        <w:widowControl w:val="0"/>
        <w:kinsoku/>
        <w:wordWrap/>
        <w:overflowPunct w:val="0"/>
        <w:topLinePunct w:val="0"/>
        <w:autoSpaceDE/>
        <w:autoSpaceDN/>
        <w:bidi w:val="0"/>
        <w:adjustRightInd w:val="0"/>
        <w:snapToGrid w:val="0"/>
        <w:spacing w:line="560" w:lineRule="exact"/>
        <w:ind w:left="86" w:right="71" w:firstLine="667"/>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总投资1</w:t>
      </w:r>
      <w:r>
        <w:rPr>
          <w:rFonts w:hint="eastAsia" w:ascii="仿宋_GB2312" w:hAnsi="仿宋_GB2312" w:eastAsia="仿宋_GB2312" w:cs="仿宋_GB2312"/>
          <w:color w:val="auto"/>
          <w:spacing w:val="0"/>
          <w:sz w:val="32"/>
          <w:szCs w:val="32"/>
          <w:lang w:val="en-US" w:eastAsia="zh-CN"/>
        </w:rPr>
        <w:t>8.00</w:t>
      </w:r>
      <w:r>
        <w:rPr>
          <w:rFonts w:hint="eastAsia" w:ascii="仿宋_GB2312" w:hAnsi="仿宋_GB2312" w:eastAsia="仿宋_GB2312" w:cs="仿宋_GB2312"/>
          <w:color w:val="auto"/>
          <w:spacing w:val="0"/>
          <w:sz w:val="32"/>
          <w:szCs w:val="32"/>
        </w:rPr>
        <w:t>万元，政策或项目具有公共性</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属于公共财政支持范围，筹资渠道符合法律法规规定</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筹资结构合理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资金来源渠道明确</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各渠道资金到位时间、条件能够落实</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为我县</w:t>
      </w:r>
      <w:r>
        <w:rPr>
          <w:rFonts w:hint="eastAsia" w:ascii="仿宋_GB2312" w:hAnsi="仿宋_GB2312" w:eastAsia="仿宋_GB2312" w:cs="仿宋_GB2312"/>
          <w:color w:val="auto"/>
          <w:spacing w:val="0"/>
          <w:sz w:val="32"/>
          <w:szCs w:val="32"/>
          <w:lang w:val="en-US" w:eastAsia="zh-CN"/>
        </w:rPr>
        <w:t>50</w:t>
      </w:r>
      <w:r>
        <w:rPr>
          <w:rFonts w:hint="eastAsia" w:ascii="仿宋_GB2312" w:hAnsi="仿宋_GB2312" w:eastAsia="仿宋_GB2312" w:cs="仿宋_GB2312"/>
          <w:color w:val="auto"/>
          <w:spacing w:val="0"/>
          <w:sz w:val="32"/>
          <w:szCs w:val="32"/>
        </w:rPr>
        <w:t>处山洪危险区的监测责任人按照3600/年的标准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落实监测经费</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有助于为山洪灾害危险区监测提供保障</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确保人民群众生命财产安全。</w:t>
      </w:r>
    </w:p>
    <w:p w14:paraId="3B56D861">
      <w:pPr>
        <w:keepNext w:val="0"/>
        <w:keepLines w:val="0"/>
        <w:pageBreakBefore w:val="0"/>
        <w:widowControl w:val="0"/>
        <w:kinsoku/>
        <w:wordWrap/>
        <w:overflowPunct w:val="0"/>
        <w:topLinePunct w:val="0"/>
        <w:autoSpaceDE/>
        <w:autoSpaceDN/>
        <w:bidi w:val="0"/>
        <w:adjustRightInd w:val="0"/>
        <w:snapToGrid w:val="0"/>
        <w:spacing w:line="560" w:lineRule="exact"/>
        <w:ind w:left="845"/>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（三）项目财务管理情况</w:t>
      </w:r>
    </w:p>
    <w:p w14:paraId="68FB10AD">
      <w:pPr>
        <w:keepNext w:val="0"/>
        <w:keepLines w:val="0"/>
        <w:pageBreakBefore w:val="0"/>
        <w:widowControl w:val="0"/>
        <w:kinsoku/>
        <w:wordWrap/>
        <w:overflowPunct w:val="0"/>
        <w:topLinePunct w:val="0"/>
        <w:autoSpaceDE/>
        <w:autoSpaceDN/>
        <w:bidi w:val="0"/>
        <w:adjustRightInd w:val="0"/>
        <w:snapToGrid w:val="0"/>
        <w:spacing w:line="560" w:lineRule="exact"/>
        <w:ind w:left="89" w:right="71" w:firstLine="715"/>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一是</w:t>
      </w:r>
      <w:r>
        <w:rPr>
          <w:rFonts w:hint="eastAsia" w:ascii="仿宋_GB2312" w:hAnsi="仿宋_GB2312" w:eastAsia="仿宋_GB2312" w:cs="仿宋_GB2312"/>
          <w:color w:val="auto"/>
          <w:spacing w:val="0"/>
          <w:sz w:val="32"/>
          <w:szCs w:val="32"/>
        </w:rPr>
        <w:t>项目资金的使用进行透明化管理，资金的来源及使用途径均已公示公告；</w:t>
      </w:r>
      <w:r>
        <w:rPr>
          <w:rFonts w:hint="eastAsia" w:ascii="仿宋_GB2312" w:hAnsi="仿宋_GB2312" w:eastAsia="仿宋_GB2312" w:cs="仿宋_GB2312"/>
          <w:b/>
          <w:bCs/>
          <w:color w:val="auto"/>
          <w:spacing w:val="0"/>
          <w:sz w:val="32"/>
          <w:szCs w:val="32"/>
        </w:rPr>
        <w:t>二是</w:t>
      </w:r>
      <w:r>
        <w:rPr>
          <w:rFonts w:hint="eastAsia" w:ascii="仿宋_GB2312" w:hAnsi="仿宋_GB2312" w:eastAsia="仿宋_GB2312" w:cs="仿宋_GB2312"/>
          <w:color w:val="auto"/>
          <w:spacing w:val="0"/>
          <w:sz w:val="32"/>
          <w:szCs w:val="32"/>
        </w:rPr>
        <w:t>严格按照合同、方案、项目进度拨付资金。</w:t>
      </w:r>
    </w:p>
    <w:p w14:paraId="3BC95058">
      <w:pPr>
        <w:keepNext w:val="0"/>
        <w:keepLines w:val="0"/>
        <w:pageBreakBefore w:val="0"/>
        <w:widowControl w:val="0"/>
        <w:kinsoku/>
        <w:wordWrap/>
        <w:overflowPunct w:val="0"/>
        <w:topLinePunct w:val="0"/>
        <w:autoSpaceDE/>
        <w:autoSpaceDN/>
        <w:bidi w:val="0"/>
        <w:adjustRightInd w:val="0"/>
        <w:snapToGrid w:val="0"/>
        <w:spacing w:line="560" w:lineRule="exact"/>
        <w:ind w:left="90" w:right="71" w:firstLine="712"/>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结合项目组织实施管理办法</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重点围绕以下内容进行分析评价</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并对自评中发现的问题分析说明。</w:t>
      </w:r>
    </w:p>
    <w:p w14:paraId="6EF0C07D">
      <w:pPr>
        <w:keepNext w:val="0"/>
        <w:keepLines w:val="0"/>
        <w:pageBreakBefore w:val="0"/>
        <w:widowControl w:val="0"/>
        <w:numPr>
          <w:ilvl w:val="0"/>
          <w:numId w:val="4"/>
        </w:numPr>
        <w:kinsoku/>
        <w:wordWrap/>
        <w:overflowPunct w:val="0"/>
        <w:topLinePunct w:val="0"/>
        <w:autoSpaceDE/>
        <w:autoSpaceDN/>
        <w:bidi w:val="0"/>
        <w:adjustRightInd w:val="0"/>
        <w:snapToGrid w:val="0"/>
        <w:spacing w:line="560" w:lineRule="exact"/>
        <w:ind w:left="836"/>
        <w:jc w:val="both"/>
        <w:textAlignment w:val="baseline"/>
        <w:outlineLvl w:val="3"/>
        <w:rPr>
          <w:rFonts w:hint="eastAsia" w:ascii="仿宋_GB2312" w:hAnsi="仿宋_GB2312" w:eastAsia="仿宋_GB2312" w:cs="仿宋_GB2312"/>
          <w:b/>
          <w:bCs/>
          <w:color w:val="auto"/>
          <w:spacing w:val="0"/>
          <w:sz w:val="32"/>
          <w:szCs w:val="32"/>
        </w:rPr>
      </w:pPr>
      <w:r>
        <w:rPr>
          <w:rFonts w:hint="eastAsia" w:ascii="仿宋_GB2312" w:hAnsi="仿宋_GB2312" w:eastAsia="仿宋_GB2312" w:cs="仿宋_GB2312"/>
          <w:b/>
          <w:bCs/>
          <w:color w:val="auto"/>
          <w:spacing w:val="0"/>
          <w:sz w:val="32"/>
          <w:szCs w:val="32"/>
        </w:rPr>
        <w:t>项目组织架构及实施流程</w:t>
      </w:r>
    </w:p>
    <w:p w14:paraId="0D760FC0">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项目成立了项目理事会</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主要负责对项目的推进和项目监管</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制定了一套切实可行的管理制度并与理事会成员的组成进行了为期7日的公示公告，公</w:t>
      </w:r>
      <w:r>
        <w:rPr>
          <w:rFonts w:hint="eastAsia" w:ascii="仿宋_GB2312" w:hAnsi="仿宋_GB2312" w:eastAsia="仿宋_GB2312" w:cs="仿宋_GB2312"/>
          <w:color w:val="auto"/>
          <w:spacing w:val="0"/>
          <w:sz w:val="32"/>
          <w:szCs w:val="32"/>
          <w:lang w:val="en-US" w:eastAsia="zh-CN"/>
        </w:rPr>
        <w:t>示</w:t>
      </w:r>
      <w:r>
        <w:rPr>
          <w:rFonts w:hint="eastAsia" w:ascii="仿宋_GB2312" w:hAnsi="仿宋_GB2312" w:eastAsia="仿宋_GB2312" w:cs="仿宋_GB2312"/>
          <w:color w:val="auto"/>
          <w:spacing w:val="0"/>
          <w:sz w:val="32"/>
          <w:szCs w:val="32"/>
        </w:rPr>
        <w:t>期内无异议。</w:t>
      </w:r>
    </w:p>
    <w:p w14:paraId="75EB0978">
      <w:pPr>
        <w:keepNext w:val="0"/>
        <w:keepLines w:val="0"/>
        <w:pageBreakBefore w:val="0"/>
        <w:widowControl w:val="0"/>
        <w:kinsoku/>
        <w:wordWrap/>
        <w:overflowPunct w:val="0"/>
        <w:topLinePunct w:val="0"/>
        <w:autoSpaceDE/>
        <w:autoSpaceDN/>
        <w:bidi w:val="0"/>
        <w:adjustRightInd w:val="0"/>
        <w:snapToGrid w:val="0"/>
        <w:spacing w:line="560" w:lineRule="exact"/>
        <w:ind w:left="836"/>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（二）</w:t>
      </w:r>
      <w:r>
        <w:rPr>
          <w:rFonts w:hint="eastAsia" w:ascii="仿宋_GB2312" w:hAnsi="仿宋_GB2312" w:eastAsia="仿宋_GB2312" w:cs="仿宋_GB2312"/>
          <w:b/>
          <w:bCs/>
          <w:color w:val="auto"/>
          <w:spacing w:val="0"/>
          <w:sz w:val="32"/>
          <w:szCs w:val="32"/>
        </w:rPr>
        <w:t>项目管理情况。</w:t>
      </w:r>
    </w:p>
    <w:p w14:paraId="4FA91E40">
      <w:pPr>
        <w:keepNext w:val="0"/>
        <w:keepLines w:val="0"/>
        <w:pageBreakBefore w:val="0"/>
        <w:widowControl w:val="0"/>
        <w:kinsoku/>
        <w:wordWrap/>
        <w:overflowPunct w:val="0"/>
        <w:topLinePunct w:val="0"/>
        <w:autoSpaceDE/>
        <w:autoSpaceDN/>
        <w:bidi w:val="0"/>
        <w:adjustRightInd w:val="0"/>
        <w:snapToGrid w:val="0"/>
        <w:spacing w:line="560" w:lineRule="exact"/>
        <w:ind w:left="89" w:right="71" w:firstLine="635"/>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一是</w:t>
      </w:r>
      <w:r>
        <w:rPr>
          <w:rFonts w:hint="eastAsia" w:ascii="仿宋_GB2312" w:hAnsi="仿宋_GB2312" w:eastAsia="仿宋_GB2312" w:cs="仿宋_GB2312"/>
          <w:color w:val="auto"/>
          <w:spacing w:val="0"/>
          <w:sz w:val="32"/>
          <w:szCs w:val="32"/>
        </w:rPr>
        <w:t>项目资金的使用进行透明化管理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资金的来源及使用途径均已公示公告</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并成立了项目资金监管小组做到项目资金用到实处</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b/>
          <w:bCs/>
          <w:color w:val="auto"/>
          <w:spacing w:val="0"/>
          <w:sz w:val="32"/>
          <w:szCs w:val="32"/>
        </w:rPr>
        <w:t>二是</w:t>
      </w:r>
      <w:r>
        <w:rPr>
          <w:rFonts w:hint="eastAsia" w:ascii="仿宋_GB2312" w:hAnsi="仿宋_GB2312" w:eastAsia="仿宋_GB2312" w:cs="仿宋_GB2312"/>
          <w:color w:val="auto"/>
          <w:spacing w:val="0"/>
          <w:sz w:val="32"/>
          <w:szCs w:val="32"/>
        </w:rPr>
        <w:t>严格按照合同、方案、项目进度拨付资金。</w:t>
      </w:r>
    </w:p>
    <w:p w14:paraId="52DA105B">
      <w:pPr>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（三）</w:t>
      </w:r>
      <w:r>
        <w:rPr>
          <w:rFonts w:hint="eastAsia" w:ascii="仿宋_GB2312" w:hAnsi="仿宋_GB2312" w:eastAsia="仿宋_GB2312" w:cs="仿宋_GB2312"/>
          <w:b/>
          <w:bCs/>
          <w:color w:val="auto"/>
          <w:spacing w:val="0"/>
          <w:sz w:val="32"/>
          <w:szCs w:val="32"/>
        </w:rPr>
        <w:t>项目监管情况。</w:t>
      </w:r>
    </w:p>
    <w:p w14:paraId="108FE809">
      <w:pPr>
        <w:pStyle w:val="3"/>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项目成立了项目理事会</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主要负责对项目的推进和项目的监管</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制定了一套切实可行的管理制度并与理事会成员的组成进行了为期7日的公示公告</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公</w:t>
      </w:r>
      <w:r>
        <w:rPr>
          <w:rFonts w:hint="eastAsia" w:ascii="仿宋_GB2312" w:hAnsi="仿宋_GB2312" w:eastAsia="仿宋_GB2312" w:cs="仿宋_GB2312"/>
          <w:color w:val="auto"/>
          <w:spacing w:val="0"/>
          <w:sz w:val="32"/>
          <w:szCs w:val="32"/>
          <w:lang w:val="en-US" w:eastAsia="zh-CN"/>
        </w:rPr>
        <w:t>示</w:t>
      </w:r>
      <w:r>
        <w:rPr>
          <w:rFonts w:hint="eastAsia" w:ascii="仿宋_GB2312" w:hAnsi="仿宋_GB2312" w:eastAsia="仿宋_GB2312" w:cs="仿宋_GB2312"/>
          <w:color w:val="auto"/>
          <w:spacing w:val="0"/>
          <w:sz w:val="32"/>
          <w:szCs w:val="32"/>
        </w:rPr>
        <w:t>期内无异议。</w:t>
      </w:r>
    </w:p>
    <w:p w14:paraId="5D3EB2AE">
      <w:pPr>
        <w:pStyle w:val="3"/>
        <w:keepNext w:val="0"/>
        <w:keepLines w:val="0"/>
        <w:pageBreakBefore w:val="0"/>
        <w:widowControl w:val="0"/>
        <w:kinsoku/>
        <w:wordWrap/>
        <w:overflowPunct w:val="0"/>
        <w:topLinePunct w:val="0"/>
        <w:autoSpaceDE/>
        <w:autoSpaceDN/>
        <w:bidi w:val="0"/>
        <w:adjustRightInd w:val="0"/>
        <w:snapToGrid w:val="0"/>
        <w:spacing w:line="560" w:lineRule="exact"/>
        <w:ind w:left="817"/>
        <w:jc w:val="both"/>
        <w:textAlignment w:val="baseline"/>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三、项目绩效情况</w:t>
      </w:r>
    </w:p>
    <w:p w14:paraId="1CD9B2AA">
      <w:pPr>
        <w:keepNext w:val="0"/>
        <w:keepLines w:val="0"/>
        <w:pageBreakBefore w:val="0"/>
        <w:widowControl w:val="0"/>
        <w:kinsoku/>
        <w:wordWrap/>
        <w:overflowPunct w:val="0"/>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（一）项目完成情况。</w:t>
      </w:r>
    </w:p>
    <w:p w14:paraId="4BFBA18A">
      <w:pPr>
        <w:keepNext w:val="0"/>
        <w:keepLines w:val="0"/>
        <w:pageBreakBefore w:val="0"/>
        <w:widowControl w:val="0"/>
        <w:kinsoku/>
        <w:wordWrap/>
        <w:overflowPunct w:val="0"/>
        <w:topLinePunct w:val="0"/>
        <w:autoSpaceDE/>
        <w:autoSpaceDN/>
        <w:bidi w:val="0"/>
        <w:adjustRightInd w:val="0"/>
        <w:snapToGrid w:val="0"/>
        <w:spacing w:line="560" w:lineRule="exact"/>
        <w:ind w:right="71"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为我县</w:t>
      </w:r>
      <w:r>
        <w:rPr>
          <w:rFonts w:hint="eastAsia" w:ascii="仿宋_GB2312" w:hAnsi="仿宋_GB2312" w:eastAsia="仿宋_GB2312" w:cs="仿宋_GB2312"/>
          <w:color w:val="auto"/>
          <w:spacing w:val="0"/>
          <w:sz w:val="32"/>
          <w:szCs w:val="32"/>
          <w:lang w:val="en-US" w:eastAsia="zh-CN"/>
        </w:rPr>
        <w:t>50</w:t>
      </w:r>
      <w:r>
        <w:rPr>
          <w:rFonts w:hint="eastAsia" w:ascii="仿宋_GB2312" w:hAnsi="仿宋_GB2312" w:eastAsia="仿宋_GB2312" w:cs="仿宋_GB2312"/>
          <w:color w:val="auto"/>
          <w:spacing w:val="0"/>
          <w:sz w:val="32"/>
          <w:szCs w:val="32"/>
        </w:rPr>
        <w:t>处山洪危险区的监测责任人按照3600/年的标准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落实监测经费</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服务对象满意度≥95%；验收合格率≥100%。绩效目标和绩效指标量化可考核</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与部门的长期规划目标、年度工作目标相一致。</w:t>
      </w:r>
    </w:p>
    <w:p w14:paraId="546167D6">
      <w:pPr>
        <w:keepNext w:val="0"/>
        <w:keepLines w:val="0"/>
        <w:pageBreakBefore w:val="0"/>
        <w:widowControl w:val="0"/>
        <w:kinsoku/>
        <w:wordWrap/>
        <w:overflowPunct w:val="0"/>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（二）项目效益情况。</w:t>
      </w:r>
    </w:p>
    <w:p w14:paraId="4089775F">
      <w:pPr>
        <w:keepNext w:val="0"/>
        <w:keepLines w:val="0"/>
        <w:pageBreakBefore w:val="0"/>
        <w:widowControl w:val="0"/>
        <w:kinsoku/>
        <w:wordWrap/>
        <w:overflowPunct w:val="0"/>
        <w:topLinePunct w:val="0"/>
        <w:autoSpaceDE/>
        <w:autoSpaceDN/>
        <w:bidi w:val="0"/>
        <w:adjustRightInd w:val="0"/>
        <w:snapToGrid w:val="0"/>
        <w:spacing w:line="560" w:lineRule="exact"/>
        <w:ind w:left="90" w:right="71" w:firstLine="635"/>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经费的落实有助对</w:t>
      </w:r>
      <w:r>
        <w:rPr>
          <w:rFonts w:hint="eastAsia" w:ascii="仿宋_GB2312" w:hAnsi="仿宋_GB2312" w:eastAsia="仿宋_GB2312" w:cs="仿宋_GB2312"/>
          <w:color w:val="auto"/>
          <w:spacing w:val="0"/>
          <w:sz w:val="32"/>
          <w:szCs w:val="32"/>
          <w:lang w:val="en-US" w:eastAsia="zh-CN"/>
        </w:rPr>
        <w:t>50</w:t>
      </w:r>
      <w:r>
        <w:rPr>
          <w:rFonts w:hint="eastAsia" w:ascii="仿宋_GB2312" w:hAnsi="仿宋_GB2312" w:eastAsia="仿宋_GB2312" w:cs="仿宋_GB2312"/>
          <w:color w:val="auto"/>
          <w:spacing w:val="0"/>
          <w:sz w:val="32"/>
          <w:szCs w:val="32"/>
        </w:rPr>
        <w:t>处山洪灾害危险区的监测提供经费保障</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提高监测人员积极性</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确保人民群众生命财产安全。</w:t>
      </w:r>
    </w:p>
    <w:p w14:paraId="63A22964">
      <w:pPr>
        <w:keepNext w:val="0"/>
        <w:keepLines w:val="0"/>
        <w:pageBreakBefore w:val="0"/>
        <w:widowControl w:val="0"/>
        <w:kinsoku/>
        <w:wordWrap/>
        <w:overflowPunct w:val="0"/>
        <w:topLinePunct w:val="0"/>
        <w:autoSpaceDE/>
        <w:autoSpaceDN/>
        <w:bidi w:val="0"/>
        <w:adjustRightInd w:val="0"/>
        <w:snapToGrid w:val="0"/>
        <w:spacing w:line="560" w:lineRule="exact"/>
        <w:ind w:left="88" w:right="71" w:firstLine="634"/>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有进一步实施的必要</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在财力支持、组织管理机构、运行机制和预期产出及效果四个方面具有可持续性，红原县</w:t>
      </w:r>
      <w:r>
        <w:rPr>
          <w:rFonts w:hint="eastAsia" w:ascii="仿宋_GB2312" w:hAnsi="仿宋_GB2312" w:eastAsia="仿宋_GB2312" w:cs="仿宋_GB2312"/>
          <w:color w:val="auto"/>
          <w:spacing w:val="0"/>
          <w:sz w:val="32"/>
          <w:szCs w:val="32"/>
          <w:lang w:eastAsia="zh-CN"/>
        </w:rPr>
        <w:t>202</w:t>
      </w:r>
      <w:r>
        <w:rPr>
          <w:rFonts w:hint="eastAsia" w:ascii="仿宋_GB2312" w:hAnsi="仿宋_GB2312" w:eastAsia="仿宋_GB2312" w:cs="仿宋_GB2312"/>
          <w:color w:val="auto"/>
          <w:spacing w:val="0"/>
          <w:sz w:val="32"/>
          <w:szCs w:val="32"/>
          <w:lang w:val="en-US" w:eastAsia="zh-CN"/>
        </w:rPr>
        <w:t>5</w:t>
      </w:r>
      <w:r>
        <w:rPr>
          <w:rFonts w:hint="eastAsia" w:ascii="仿宋_GB2312" w:hAnsi="仿宋_GB2312" w:eastAsia="仿宋_GB2312" w:cs="仿宋_GB2312"/>
          <w:color w:val="auto"/>
          <w:spacing w:val="0"/>
          <w:sz w:val="32"/>
          <w:szCs w:val="32"/>
          <w:lang w:eastAsia="zh-CN"/>
        </w:rPr>
        <w:t>年</w:t>
      </w:r>
      <w:r>
        <w:rPr>
          <w:rFonts w:hint="eastAsia" w:ascii="仿宋_GB2312" w:hAnsi="仿宋_GB2312" w:eastAsia="仿宋_GB2312" w:cs="仿宋_GB2312"/>
          <w:color w:val="auto"/>
          <w:spacing w:val="0"/>
          <w:sz w:val="32"/>
          <w:szCs w:val="32"/>
        </w:rPr>
        <w:t>山洪危险区监测补助项目不仅具有显著的综合效益</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而且具有巨大的社会效益。对于落实山洪灾害危险区监测具有积极作用</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具有重大的意义。</w:t>
      </w:r>
    </w:p>
    <w:p w14:paraId="48E79B32">
      <w:pPr>
        <w:pStyle w:val="3"/>
        <w:keepNext w:val="0"/>
        <w:keepLines w:val="0"/>
        <w:pageBreakBefore w:val="0"/>
        <w:widowControl w:val="0"/>
        <w:kinsoku/>
        <w:wordWrap/>
        <w:overflowPunct w:val="0"/>
        <w:topLinePunct w:val="0"/>
        <w:autoSpaceDE/>
        <w:autoSpaceDN/>
        <w:bidi w:val="0"/>
        <w:adjustRightInd w:val="0"/>
        <w:snapToGrid w:val="0"/>
        <w:spacing w:line="560" w:lineRule="exact"/>
        <w:ind w:firstLine="640" w:firstLineChars="200"/>
        <w:jc w:val="both"/>
        <w:textAlignment w:val="baseline"/>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四、评价结论及建议</w:t>
      </w:r>
    </w:p>
    <w:p w14:paraId="103954D7">
      <w:pPr>
        <w:keepNext w:val="0"/>
        <w:keepLines w:val="0"/>
        <w:pageBreakBefore w:val="0"/>
        <w:widowControl w:val="0"/>
        <w:kinsoku/>
        <w:wordWrap/>
        <w:overflowPunct w:val="0"/>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（一）评价结论</w:t>
      </w:r>
    </w:p>
    <w:p w14:paraId="23818895">
      <w:pPr>
        <w:keepNext w:val="0"/>
        <w:keepLines w:val="0"/>
        <w:pageBreakBefore w:val="0"/>
        <w:widowControl w:val="0"/>
        <w:kinsoku/>
        <w:wordWrap/>
        <w:overflowPunct w:val="0"/>
        <w:topLinePunct w:val="0"/>
        <w:autoSpaceDE/>
        <w:autoSpaceDN/>
        <w:bidi w:val="0"/>
        <w:adjustRightInd w:val="0"/>
        <w:snapToGrid w:val="0"/>
        <w:spacing w:line="560" w:lineRule="exact"/>
        <w:ind w:left="90" w:right="71" w:firstLine="634"/>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评估总得分大于</w:t>
      </w:r>
      <w:r>
        <w:rPr>
          <w:rFonts w:hint="eastAsia" w:ascii="仿宋_GB2312" w:hAnsi="仿宋_GB2312" w:eastAsia="仿宋_GB2312" w:cs="仿宋_GB2312"/>
          <w:color w:val="auto"/>
          <w:spacing w:val="0"/>
          <w:sz w:val="32"/>
          <w:szCs w:val="32"/>
          <w:lang w:val="en-US" w:eastAsia="zh-CN"/>
        </w:rPr>
        <w:t>90</w:t>
      </w:r>
      <w:r>
        <w:rPr>
          <w:rFonts w:hint="eastAsia" w:ascii="仿宋_GB2312" w:hAnsi="仿宋_GB2312" w:eastAsia="仿宋_GB2312" w:cs="仿宋_GB2312"/>
          <w:color w:val="auto"/>
          <w:spacing w:val="0"/>
          <w:sz w:val="32"/>
          <w:szCs w:val="32"/>
        </w:rPr>
        <w:t>分、评估等级为好、预期产出和效果能满足需求、经过广泛的民意调查讨论分析论证，红原县</w:t>
      </w:r>
      <w:r>
        <w:rPr>
          <w:rFonts w:hint="eastAsia" w:ascii="仿宋_GB2312" w:hAnsi="仿宋_GB2312" w:eastAsia="仿宋_GB2312" w:cs="仿宋_GB2312"/>
          <w:color w:val="auto"/>
          <w:spacing w:val="0"/>
          <w:sz w:val="32"/>
          <w:szCs w:val="32"/>
          <w:lang w:eastAsia="zh-CN"/>
        </w:rPr>
        <w:t>202</w:t>
      </w:r>
      <w:r>
        <w:rPr>
          <w:rFonts w:hint="eastAsia" w:ascii="仿宋_GB2312" w:hAnsi="仿宋_GB2312" w:eastAsia="仿宋_GB2312" w:cs="仿宋_GB2312"/>
          <w:color w:val="auto"/>
          <w:spacing w:val="0"/>
          <w:sz w:val="32"/>
          <w:szCs w:val="32"/>
          <w:lang w:val="en-US" w:eastAsia="zh-CN"/>
        </w:rPr>
        <w:t>5</w:t>
      </w:r>
      <w:r>
        <w:rPr>
          <w:rFonts w:hint="eastAsia" w:ascii="仿宋_GB2312" w:hAnsi="仿宋_GB2312" w:eastAsia="仿宋_GB2312" w:cs="仿宋_GB2312"/>
          <w:color w:val="auto"/>
          <w:spacing w:val="0"/>
          <w:sz w:val="32"/>
          <w:szCs w:val="32"/>
          <w:lang w:eastAsia="zh-CN"/>
        </w:rPr>
        <w:t>年</w:t>
      </w:r>
      <w:r>
        <w:rPr>
          <w:rFonts w:hint="eastAsia" w:ascii="仿宋_GB2312" w:hAnsi="仿宋_GB2312" w:eastAsia="仿宋_GB2312" w:cs="仿宋_GB2312"/>
          <w:color w:val="auto"/>
          <w:spacing w:val="0"/>
          <w:sz w:val="32"/>
          <w:szCs w:val="32"/>
        </w:rPr>
        <w:t>山洪危险区监测补助项目建设征地补偿和移民安置工作可能引起的社会稳定风险等级为“低”</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评估结论为“可以实施”。</w:t>
      </w:r>
    </w:p>
    <w:p w14:paraId="7E65C343">
      <w:pPr>
        <w:keepNext w:val="0"/>
        <w:keepLines w:val="0"/>
        <w:pageBreakBefore w:val="0"/>
        <w:widowControl w:val="0"/>
        <w:kinsoku/>
        <w:wordWrap/>
        <w:overflowPunct w:val="0"/>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（二）存在的问题</w:t>
      </w:r>
    </w:p>
    <w:p w14:paraId="3B8A445E">
      <w:pPr>
        <w:keepNext w:val="0"/>
        <w:keepLines w:val="0"/>
        <w:pageBreakBefore w:val="0"/>
        <w:widowControl w:val="0"/>
        <w:kinsoku/>
        <w:wordWrap/>
        <w:overflowPunct w:val="0"/>
        <w:topLinePunct w:val="0"/>
        <w:autoSpaceDE/>
        <w:autoSpaceDN/>
        <w:bidi w:val="0"/>
        <w:adjustRightInd w:val="0"/>
        <w:snapToGrid w:val="0"/>
        <w:spacing w:line="560" w:lineRule="exact"/>
        <w:ind w:left="725"/>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无</w:t>
      </w:r>
    </w:p>
    <w:p w14:paraId="32CF8435">
      <w:pPr>
        <w:keepNext w:val="0"/>
        <w:keepLines w:val="0"/>
        <w:pageBreakBefore w:val="0"/>
        <w:widowControl w:val="0"/>
        <w:kinsoku/>
        <w:wordWrap/>
        <w:overflowPunct w:val="0"/>
        <w:topLinePunct w:val="0"/>
        <w:autoSpaceDE/>
        <w:autoSpaceDN/>
        <w:bidi w:val="0"/>
        <w:adjustRightInd w:val="0"/>
        <w:snapToGrid w:val="0"/>
        <w:spacing w:line="560" w:lineRule="exact"/>
        <w:ind w:firstLine="643" w:firstLineChars="200"/>
        <w:jc w:val="both"/>
        <w:textAlignment w:val="baseline"/>
        <w:outlineLvl w:val="3"/>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bCs/>
          <w:color w:val="auto"/>
          <w:spacing w:val="0"/>
          <w:sz w:val="32"/>
          <w:szCs w:val="32"/>
        </w:rPr>
        <w:t>（三）相关建议</w:t>
      </w:r>
    </w:p>
    <w:p w14:paraId="4DA78265">
      <w:pPr>
        <w:keepNext w:val="0"/>
        <w:keepLines w:val="0"/>
        <w:pageBreakBefore w:val="0"/>
        <w:widowControl w:val="0"/>
        <w:kinsoku/>
        <w:wordWrap/>
        <w:overflowPunct w:val="0"/>
        <w:topLinePunct w:val="0"/>
        <w:autoSpaceDE/>
        <w:autoSpaceDN/>
        <w:bidi w:val="0"/>
        <w:adjustRightInd w:val="0"/>
        <w:snapToGrid w:val="0"/>
        <w:spacing w:line="560" w:lineRule="exact"/>
        <w:ind w:left="725"/>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无</w:t>
      </w:r>
    </w:p>
    <w:p w14:paraId="36FF9C5E">
      <w:pPr>
        <w:keepNext w:val="0"/>
        <w:keepLines w:val="0"/>
        <w:pageBreakBefore w:val="0"/>
        <w:widowControl w:val="0"/>
        <w:kinsoku/>
        <w:wordWrap w:val="0"/>
        <w:overflowPunct/>
        <w:topLinePunct w:val="0"/>
        <w:autoSpaceDE/>
        <w:autoSpaceDN/>
        <w:bidi w:val="0"/>
        <w:adjustRightInd w:val="0"/>
        <w:snapToGrid w:val="0"/>
        <w:spacing w:line="560" w:lineRule="exact"/>
        <w:textAlignment w:val="baseline"/>
        <w:rPr>
          <w:rFonts w:hint="eastAsia" w:ascii="仿宋_GB2312" w:hAnsi="仿宋_GB2312" w:eastAsia="仿宋_GB2312" w:cs="仿宋_GB2312"/>
          <w:color w:val="auto"/>
          <w:sz w:val="32"/>
          <w:szCs w:val="32"/>
        </w:rPr>
        <w:sectPr>
          <w:headerReference r:id="rId11" w:type="default"/>
          <w:footerReference r:id="rId12" w:type="default"/>
          <w:pgSz w:w="11900" w:h="16839"/>
          <w:pgMar w:top="2098" w:right="1474" w:bottom="1984" w:left="1587" w:header="283" w:footer="271" w:gutter="0"/>
          <w:pgNumType w:fmt="decimal"/>
          <w:cols w:space="720" w:num="1"/>
        </w:sectPr>
      </w:pPr>
    </w:p>
    <w:p w14:paraId="660237FF">
      <w:pPr>
        <w:keepNext w:val="0"/>
        <w:keepLines w:val="0"/>
        <w:pageBreakBefore w:val="0"/>
        <w:widowControl w:val="0"/>
        <w:kinsoku/>
        <w:wordWrap w:val="0"/>
        <w:overflowPunct/>
        <w:topLinePunct w:val="0"/>
        <w:autoSpaceDE/>
        <w:autoSpaceDN/>
        <w:bidi w:val="0"/>
        <w:spacing w:before="184" w:line="471" w:lineRule="exact"/>
        <w:jc w:val="center"/>
        <w:outlineLvl w:val="1"/>
        <w:rPr>
          <w:rFonts w:hint="eastAsia" w:ascii="黑体" w:hAnsi="黑体" w:eastAsia="黑体" w:cs="黑体"/>
          <w:b w:val="0"/>
          <w:bCs w:val="0"/>
          <w:color w:val="000000" w:themeColor="text1"/>
          <w:sz w:val="43"/>
          <w:szCs w:val="43"/>
          <w14:textFill>
            <w14:solidFill>
              <w14:schemeClr w14:val="tx1"/>
            </w14:solidFill>
          </w14:textFill>
        </w:rPr>
      </w:pPr>
      <w:r>
        <w:rPr>
          <w:rFonts w:hint="eastAsia" w:ascii="黑体" w:hAnsi="黑体" w:eastAsia="黑体" w:cs="黑体"/>
          <w:b w:val="0"/>
          <w:bCs w:val="0"/>
          <w:color w:val="000000" w:themeColor="text1"/>
          <w:position w:val="-1"/>
          <w:sz w:val="43"/>
          <w:szCs w:val="43"/>
          <w14:textFill>
            <w14:solidFill>
              <w14:schemeClr w14:val="tx1"/>
            </w14:solidFill>
          </w14:textFill>
        </w:rPr>
        <w:t>第五部分附表</w:t>
      </w:r>
    </w:p>
    <w:p w14:paraId="0E3017F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335531D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一、收入支出决算总表</w:t>
      </w:r>
    </w:p>
    <w:p w14:paraId="4C357CF0">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二、收入决算表</w:t>
      </w:r>
    </w:p>
    <w:p w14:paraId="2171BA9E">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三、支出决算表</w:t>
      </w:r>
    </w:p>
    <w:p w14:paraId="628F1E96">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四、财政拨款收入支出决算总表</w:t>
      </w:r>
    </w:p>
    <w:p w14:paraId="09D78FC9">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五、财政拨款支出决算明细表</w:t>
      </w:r>
    </w:p>
    <w:p w14:paraId="77780C04">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六、一般公共预算财政拨款支出决算表</w:t>
      </w:r>
    </w:p>
    <w:p w14:paraId="3DD281F2">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七、一般公共预算财政拨款支出决算明细表</w:t>
      </w:r>
    </w:p>
    <w:p w14:paraId="24D9DFA8">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八、一般公共预算财政拨款基本支出决算表</w:t>
      </w:r>
    </w:p>
    <w:p w14:paraId="32D3E698">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九、一般公共预算财政拨款项目支出决算表</w:t>
      </w:r>
    </w:p>
    <w:p w14:paraId="295612A8">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十、政府性基金预算财政拨款收入支出决算表</w:t>
      </w:r>
    </w:p>
    <w:p w14:paraId="11D3A8A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十一、国有资本经营预算财政拨款收入支出决算表</w:t>
      </w:r>
    </w:p>
    <w:p w14:paraId="3C9FE72B">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十二、国有资本经营预算财政拨款支出决算表</w:t>
      </w:r>
    </w:p>
    <w:p w14:paraId="4790FD65">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十三、财政拨款“三公”经费支出决算表</w:t>
      </w:r>
    </w:p>
    <w:sectPr>
      <w:headerReference r:id="rId13" w:type="default"/>
      <w:footerReference r:id="rId14" w:type="default"/>
      <w:pgSz w:w="11900" w:h="16839"/>
      <w:pgMar w:top="2098" w:right="1474" w:bottom="1984" w:left="1587" w:header="283" w:footer="271"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28D83">
    <w:pPr>
      <w:spacing w:line="207" w:lineRule="exact"/>
      <w:jc w:val="right"/>
      <w:rPr>
        <w:rFonts w:ascii="Arial" w:hAnsi="Arial" w:eastAsia="Arial" w:cs="Arial"/>
        <w:sz w:val="15"/>
        <w:szCs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8A85A">
    <w:pPr>
      <w:spacing w:line="207" w:lineRule="exact"/>
      <w:jc w:val="right"/>
      <w:rPr>
        <w:rFonts w:ascii="Arial" w:hAnsi="Arial" w:eastAsia="Arial" w:cs="Arial"/>
        <w:sz w:val="15"/>
        <w:szCs w:val="15"/>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DB43A">
    <w:pPr>
      <w:spacing w:line="207" w:lineRule="exact"/>
      <w:jc w:val="right"/>
      <w:rPr>
        <w:rFonts w:ascii="Arial" w:hAnsi="Arial" w:eastAsia="Arial" w:cs="Arial"/>
        <w:sz w:val="15"/>
        <w:szCs w:val="15"/>
      </w:rPr>
    </w:pPr>
    <w:r>
      <w:rPr>
        <w:sz w:val="15"/>
      </w:rPr>
      <mc:AlternateContent>
        <mc:Choice Requires="wps">
          <w:drawing>
            <wp:anchor distT="0" distB="0" distL="114300" distR="114300" simplePos="0" relativeHeight="251659264" behindDoc="0" locked="0" layoutInCell="1" allowOverlap="1">
              <wp:simplePos x="0" y="0"/>
              <wp:positionH relativeFrom="margin">
                <wp:posOffset>2550160</wp:posOffset>
              </wp:positionH>
              <wp:positionV relativeFrom="paragraph">
                <wp:posOffset>-970280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60D7E7E">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8pt;margin-top:-76.4pt;height:144pt;width:144pt;mso-position-horizontal-relative:margin;mso-wrap-style:none;z-index:251659264;mso-width-relative:page;mso-height-relative:page;" filled="f" stroked="f" coordsize="21600,21600" o:gfxdata="UEsDBAoAAAAAAIdO4kAAAAAAAAAAAAAAAAAEAAAAZHJzL1BLAwQUAAAACACHTuJAxOXpy9kAAAAM&#10;AQAADwAAAGRycy9kb3ducmV2LnhtbE2PwU7DMAyG70i8Q2QkblvSbqu20nQSE+WIxMqBY9Z4baFJ&#10;qiTryttjTuxo+9Pv7y/2sxnYhD70zkpIlgIY2sbp3rYSPupqsQUWorJaDc6ihB8MsC/v7wqVa3e1&#10;7zgdY8soxIZcSehiHHPOQ9OhUWHpRrR0OztvVKTRt1x7daVwM/BUiIwb1Vv60KkRDx0238eLkXCo&#10;6tpPGPzwia/V6uvteY0vs5SPD4l4AhZxjv8w/OmTOpTkdHIXqwMbJKxFkhEqYZFsUipBSLbd0epE&#10;7GqTAi8Lflui/AVQSwMEFAAAAAgAh07iQEW4023dAgAAJgYAAA4AAABkcnMvZTJvRG9jLnhtbK1U&#10;S27bMBDdF+gdCO4VSY7iyEbkwLGiooDRBHCLrmmKsohSJEHSn7Totr1BV91033PlHB1Klp2kRRGg&#10;9UIecoYz8958Li53jUAbZixXMsPxSYQRk1SVXK4y/O5tEaQYWUdkSYSSLMN3zOLLycsXF1s9ZgNV&#10;K1Eyg8CJtOOtznDtnB6HoaU1a4g9UZpJUFbKNMTB0azC0pAteG9EOIiiYbhVptRGUWYt3OadEu89&#10;muc4VFXFKcsVXTdMus6rYYI4gGRrri2etNlWFaPupqosc0hkGJC69gtBQF76bzi5IOOVIbrmdJ8C&#10;eU4KTzA1hEsIenCVE0fQ2vDfXDWcGmVV5U6oasIOSMsIoIijJ9wsaqJZiwWotvpAuv1/bumbza1B&#10;vIROiDGSpIGK33/7ev/95/2PLwjugKCttmOwW2iwdLsrtQPj/t7Cpce9q0zj/wERAj3Qe3egl+0c&#10;ov5ROkjTCFQUdP0B/IfH59pY94qpBnkhwwbq19JKNnPrOtPexEeTquBCtDUUEm0zPDw9i9oHBw04&#10;F9LbQhbgYy91tfk0ikbX6XWaBMlgeB0kUZ4H02KWBMMiPj/LT/PZLI8/e39xMq55WTLp4/V9EifP&#10;q8O+V7oKHzrFKsFL786nZM1qORMGbQj0adH+PMOQ/AOz8HEarRpQPYEUD5LoajAKimF6HiRFchaM&#10;zqM0iOLR1WgYJaMkLx5DmnPJ/h3SI/YfJE3GvmAHbEtB6Ie/QvPpHKEBA33hQt+HXb95ye2WO6DI&#10;i0tV3kFvGtWNt9W04BB0Tqy7JQbmGXoONp67gU8lFPSJ2ksY1cp8/NO9t4fyghajLeyHDEtYhxiJ&#10;1xLGDxy6XjC9sOwFuW5mCgoJEwW5tCI8ME70YmVU8x7W4NTHABWRFCJl2PXizHU7CtYoZdNpa7TW&#10;hq/q7gEsD03cXC409WHaFtLTtYN5aMfkyApQ6Q+wPlpS96vO76eH59bquN4n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DE5enL2QAAAAwBAAAPAAAAAAAAAAEAIAAAACIAAABkcnMvZG93bnJldi54&#10;bWxQSwECFAAUAAAACACHTuJARbjTbd0CAAAmBgAADgAAAAAAAAABACAAAAAoAQAAZHJzL2Uyb0Rv&#10;Yy54bWxQSwUGAAAAAAYABgBZAQAAdwYAAAAA&#10;">
              <v:fill on="f" focussize="0,0"/>
              <v:stroke on="f" weight="0.5pt"/>
              <v:imagedata o:title=""/>
              <o:lock v:ext="edit" aspectratio="f"/>
              <v:textbox inset="0mm,0mm,0mm,0mm" style="mso-fit-shape-to-text:t;">
                <w:txbxContent>
                  <w:p w14:paraId="660D7E7E">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30403">
    <w:pPr>
      <w:spacing w:line="207" w:lineRule="exact"/>
      <w:jc w:val="right"/>
      <w:rPr>
        <w:rFonts w:ascii="Arial" w:hAnsi="Arial" w:eastAsia="Arial" w:cs="Arial"/>
        <w:sz w:val="15"/>
        <w:szCs w:val="15"/>
      </w:rPr>
    </w:pPr>
    <w:r>
      <w:rPr>
        <w:sz w:val="15"/>
      </w:rPr>
      <mc:AlternateContent>
        <mc:Choice Requires="wps">
          <w:drawing>
            <wp:anchor distT="0" distB="0" distL="114300" distR="114300" simplePos="0" relativeHeight="251660288" behindDoc="0" locked="0" layoutInCell="1" allowOverlap="1">
              <wp:simplePos x="0" y="0"/>
              <wp:positionH relativeFrom="margin">
                <wp:posOffset>2423160</wp:posOffset>
              </wp:positionH>
              <wp:positionV relativeFrom="paragraph">
                <wp:posOffset>-1001395</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8F13429">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0.8pt;margin-top:-78.85pt;height:144pt;width:144p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08F13429">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34</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34DB9">
    <w:pPr>
      <w:spacing w:line="207" w:lineRule="exact"/>
      <w:jc w:val="right"/>
      <w:rPr>
        <w:rFonts w:ascii="Arial" w:hAnsi="Arial" w:eastAsia="Arial" w:cs="Arial"/>
        <w:sz w:val="15"/>
        <w:szCs w:val="15"/>
      </w:rPr>
    </w:pPr>
    <w:r>
      <w:rPr>
        <w:sz w:val="15"/>
      </w:rPr>
      <mc:AlternateContent>
        <mc:Choice Requires="wps">
          <w:drawing>
            <wp:anchor distT="0" distB="0" distL="114300" distR="114300" simplePos="0" relativeHeight="251661312" behindDoc="0" locked="0" layoutInCell="1" allowOverlap="1">
              <wp:simplePos x="0" y="0"/>
              <wp:positionH relativeFrom="margin">
                <wp:posOffset>2435225</wp:posOffset>
              </wp:positionH>
              <wp:positionV relativeFrom="paragraph">
                <wp:posOffset>-965200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F4C2D6D">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91.75pt;margin-top:-76pt;height:144pt;width:144p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jA3uLeAgAAJg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SV0wilGgrRQ&#10;8ftvX++//7z/8QXBHgi0VWYMcQsFkXZ3JXcQ3O8b2HS8d5Vu3T8wQuAHee8O8rKdRdQdSgdpGoGL&#10;gq9fAH54PK60sa+YbJEzMqyhfl5Wspkb24X2Ie42IYuGc19DLtA2w8PTs8gfOHgAnAsXC1kAxt7q&#10;avNpFI2u0+s0CZLB8DpIojwPpsUsCYZFfH6Wn+azWR5/dnhxMq6bsmTC3df3SZw8rw77XukqfOgU&#10;I3lTOjiXktGr5YxrtCHQp4X/OYUh+Qdh4eM0vBtYPaEUD5LoajAKimF6HiRFchaMzqM0iOLR1WgY&#10;JaMkLx5TmjeC/TulR+o/SJqMXcEO3Jac0A9/pebSOVIDBfrCha4Pu35zlt0tdyCRM5eyvIPe1LJ7&#10;3kbRooFL58TYW6LhPUPPwcSzN/CpuIQ+kXsLo1rqj3/ad/FQXvBitIX5kGEB4xAj/lrA8wNA2xu6&#10;N5a9IdbtTEIhY5ikinoTDmjLe7PSsn0PY3Dq7gAXERRuyrDtzZntZhSMUcqmUx+0VrpZ1d0BGB6K&#10;2LlYKOqu8S2kpmsL78E/k6MqIKVbwPjwou5HnZtPD9c+6jjeJ7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KjA3uLeAgAAJgYAAA4AAAAAAAAAAQAgAAAAHwEAAGRycy9lMm9Eb2MueG1sUEsF&#10;BgAAAAAGAAYAWQEAAG8GAAAAAA==&#10;">
              <v:fill on="f" focussize="0,0"/>
              <v:stroke on="f" weight="0.5pt"/>
              <v:imagedata o:title=""/>
              <o:lock v:ext="edit" aspectratio="f"/>
              <v:textbox inset="0mm,0mm,0mm,0mm" style="mso-fit-shape-to-text:t;">
                <w:txbxContent>
                  <w:p w14:paraId="2F4C2D6D">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35</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638AB">
    <w:pPr>
      <w:spacing w:line="207" w:lineRule="exact"/>
      <w:jc w:val="right"/>
      <w:rPr>
        <w:rFonts w:ascii="Arial" w:hAnsi="Arial" w:eastAsia="Arial" w:cs="Arial"/>
        <w:sz w:val="15"/>
        <w:szCs w:val="15"/>
      </w:rPr>
    </w:pPr>
    <w:r>
      <w:rPr>
        <w:sz w:val="15"/>
      </w:rPr>
      <mc:AlternateContent>
        <mc:Choice Requires="wps">
          <w:drawing>
            <wp:anchor distT="0" distB="0" distL="114300" distR="114300" simplePos="0" relativeHeight="251662336" behindDoc="0" locked="0" layoutInCell="1" allowOverlap="1">
              <wp:simplePos x="0" y="0"/>
              <wp:positionH relativeFrom="margin">
                <wp:posOffset>2410460</wp:posOffset>
              </wp:positionH>
              <wp:positionV relativeFrom="paragraph">
                <wp:posOffset>-950595</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FDD2F0A">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36</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9.8pt;margin-top:-74.85pt;height:144pt;width:144p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hwhgL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EowkaaDi&#10;99++3n//ef/jC4I9EGir7RjiFhoi3e5K7SC437ew6XnvKtP4f2CEwA/y3h3kZTuHqD+UDtI0AhcF&#10;X78A/PB4XBvrXjHVIG9k2ED9WlnJZm5dF9qH+NukKrgQbQ2FRNsMD0/PovbAwQPgQvpYyAIw9lZX&#10;m0+jaHSdXqdJkAyG10ES5XkwLWZJMCzi87P8NJ/N8vizx4uTcc3Lkkl/X98ncfK8Oux7pavwoVOs&#10;Erz0cD4la1bLmTBoQ6BPi/bnFYbkH4SFj9No3cDqCaV4kERXg1FQDNPzICmSs2B0HqVBFI+uRsMo&#10;GSV58ZjSnEv275Qeqf8gaTL2BTtwWwpCP/yVmk/nSA0U6AsX+j7s+s1bbrfcgUTeXKryDnrTqO55&#10;W00LDpfOiXW3xMB7hp6Diedu4FMJBX2i9hZGtTIf/7Tv46G84MVoC/MhwxLGIUbitYTnB4CuN0xv&#10;LHtDrpuZgkLGMEk1bU04YJzozcqo5j2Mwam/A1xEUrgpw643Z66bUTBGKZtO26C1NnxVdwdgeGji&#10;5nKhqb+mbSE9XTt4D+0zOaoCUvoFjI9W1P2o8/Pp4bqNOo73y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iHCGAt0CAAAmBgAADgAAAAAAAAABACAAAAAfAQAAZHJzL2Uyb0RvYy54bWxQSwUG&#10;AAAAAAYABgBZAQAAbgYAAAAA&#10;">
              <v:fill on="f" focussize="0,0"/>
              <v:stroke on="f" weight="0.5pt"/>
              <v:imagedata o:title=""/>
              <o:lock v:ext="edit" aspectratio="f"/>
              <v:textbox inset="0mm,0mm,0mm,0mm" style="mso-fit-shape-to-text:t;">
                <w:txbxContent>
                  <w:p w14:paraId="7FDD2F0A">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36</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01A97">
    <w:pPr>
      <w:spacing w:line="207" w:lineRule="exact"/>
      <w:jc w:val="right"/>
      <w:rPr>
        <w:rFonts w:ascii="Arial" w:hAnsi="Arial" w:eastAsia="Arial" w:cs="Arial"/>
        <w:sz w:val="15"/>
        <w:szCs w:val="15"/>
      </w:rPr>
    </w:pPr>
    <w:r>
      <w:rPr>
        <w:sz w:val="15"/>
      </w:rPr>
      <mc:AlternateContent>
        <mc:Choice Requires="wps">
          <w:drawing>
            <wp:anchor distT="0" distB="0" distL="114300" distR="114300" simplePos="0" relativeHeight="251663360" behindDoc="0" locked="0" layoutInCell="1" allowOverlap="1">
              <wp:simplePos x="0" y="0"/>
              <wp:positionH relativeFrom="margin">
                <wp:posOffset>2585720</wp:posOffset>
              </wp:positionH>
              <wp:positionV relativeFrom="paragraph">
                <wp:posOffset>-943610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48E418A">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40</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74.3pt;height:144pt;width:144p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5PuKjdAgAAJgYAAA4AAABkcnMvZTJvRG9jLnhtbK1US27bMBDdF+gd&#10;CO4VSY7s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krohCFGgrRQ&#10;8ftvX++//7z/8QXBHgi0VWYCcbcKIu3uUu4guN83sOl47yrdun9ghMAP8t4d5GU7i6g7lA7SNAIX&#10;BV+/APzweFxpY18x2SJnZFhD/bysZLMwtgvtQ9xtQhYN576GXKBthkenw8gfOHgAnAsXC1kAxt7q&#10;avNpHI2v0qs0CZLB6CpIojwPZsU8CUZFfDbMT/P5PI8/O7w4mdRNWTLh7uv7JE6eV4d9r3QVPnSK&#10;kbwpHZxLyejVcs412hDo08L/nMKQ/IOw8HEa3g2snlCKB0l0ORgHxSg9C5IiGQbjsygNonh8OR5F&#10;yTjJi8eUFo1g/07pkfoPkiYTV7ADtyUn9MNfqbl0jtRAgb5woevDrt+cZXfLHUjkzKUs76A3teye&#10;t1G0aODSBTH2hmh4z9BzMPHsNXwqLqFP5N7CqJb645/2XTyUF7wYbWE+ZFjAOMSIvxbw/ADQ9obu&#10;jWVviHU7l1DIGCapot6EA9ry3qy0bN/DGJy5O8BFBIWbMmx7c267GQVjlLLZzAetlW5WdXcAhoci&#10;diFuFXXX+BZSs7WF9+CfyVEVkNItYHx4Ufejzs2nh2sfdRzv0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3k+4qN0CAAAmBgAADgAAAAAAAAABACAAAAAfAQAAZHJzL2Uyb0RvYy54bWxQSwUG&#10;AAAAAAYABgBZAQAAbgYAAAAA&#10;">
              <v:fill on="f" focussize="0,0"/>
              <v:stroke on="f" weight="0.5pt"/>
              <v:imagedata o:title=""/>
              <o:lock v:ext="edit" aspectratio="f"/>
              <v:textbox inset="0mm,0mm,0mm,0mm" style="mso-fit-shape-to-text:t;">
                <w:txbxContent>
                  <w:p w14:paraId="048E418A">
                    <w:pPr>
                      <w:pStyle w:val="7"/>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40</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17389">
    <w:pPr>
      <w:spacing w:line="221" w:lineRule="auto"/>
      <w:rPr>
        <w:rFonts w:hint="eastAsia" w:ascii="微软雅黑" w:hAnsi="微软雅黑" w:eastAsia="微软雅黑" w:cs="微软雅黑"/>
        <w:sz w:val="15"/>
        <w:szCs w:val="15"/>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BCCCE">
    <w:pPr>
      <w:spacing w:line="221" w:lineRule="auto"/>
      <w:rPr>
        <w:rFonts w:ascii="微软雅黑" w:hAnsi="微软雅黑" w:eastAsia="微软雅黑" w:cs="微软雅黑"/>
        <w:sz w:val="15"/>
        <w:szCs w:val="15"/>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7BA10">
    <w:pPr>
      <w:spacing w:line="221" w:lineRule="auto"/>
      <w:rPr>
        <w:rFonts w:ascii="微软雅黑" w:hAnsi="微软雅黑" w:eastAsia="微软雅黑" w:cs="微软雅黑"/>
        <w:sz w:val="15"/>
        <w:szCs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C6C0C"/>
    <w:multiLevelType w:val="singleLevel"/>
    <w:tmpl w:val="94BC6C0C"/>
    <w:lvl w:ilvl="0" w:tentative="0">
      <w:start w:val="1"/>
      <w:numFmt w:val="chineseCounting"/>
      <w:suff w:val="nothing"/>
      <w:lvlText w:val="（%1）"/>
      <w:lvlJc w:val="left"/>
      <w:rPr>
        <w:rFonts w:hint="eastAsia"/>
      </w:rPr>
    </w:lvl>
  </w:abstractNum>
  <w:abstractNum w:abstractNumId="1">
    <w:nsid w:val="DC3B623E"/>
    <w:multiLevelType w:val="singleLevel"/>
    <w:tmpl w:val="DC3B623E"/>
    <w:lvl w:ilvl="0" w:tentative="0">
      <w:start w:val="9"/>
      <w:numFmt w:val="chineseCounting"/>
      <w:suff w:val="nothing"/>
      <w:lvlText w:val="%1、"/>
      <w:lvlJc w:val="left"/>
      <w:rPr>
        <w:rFonts w:hint="eastAsia"/>
      </w:rPr>
    </w:lvl>
  </w:abstractNum>
  <w:abstractNum w:abstractNumId="2">
    <w:nsid w:val="FFDC48DF"/>
    <w:multiLevelType w:val="singleLevel"/>
    <w:tmpl w:val="FFDC48DF"/>
    <w:lvl w:ilvl="0" w:tentative="0">
      <w:start w:val="5"/>
      <w:numFmt w:val="chineseCounting"/>
      <w:suff w:val="nothing"/>
      <w:lvlText w:val="%1、"/>
      <w:lvlJc w:val="left"/>
      <w:rPr>
        <w:rFonts w:hint="eastAsia"/>
      </w:rPr>
    </w:lvl>
  </w:abstractNum>
  <w:abstractNum w:abstractNumId="3">
    <w:nsid w:val="63479FF3"/>
    <w:multiLevelType w:val="singleLevel"/>
    <w:tmpl w:val="63479FF3"/>
    <w:lvl w:ilvl="0" w:tentative="0">
      <w:start w:val="1"/>
      <w:numFmt w:val="chineseCounting"/>
      <w:suff w:val="nothing"/>
      <w:lvlText w:val="%1、"/>
      <w:lvlJc w:val="left"/>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24261A6"/>
    <w:rsid w:val="04904FA7"/>
    <w:rsid w:val="0607573C"/>
    <w:rsid w:val="0619721E"/>
    <w:rsid w:val="07BC2556"/>
    <w:rsid w:val="07CA2AB1"/>
    <w:rsid w:val="08964B56"/>
    <w:rsid w:val="08CE42EF"/>
    <w:rsid w:val="090F55D9"/>
    <w:rsid w:val="0BBB7237"/>
    <w:rsid w:val="0CB13FF3"/>
    <w:rsid w:val="0D4C612B"/>
    <w:rsid w:val="0DB02C19"/>
    <w:rsid w:val="0E323572"/>
    <w:rsid w:val="0E9D34CC"/>
    <w:rsid w:val="0FED7687"/>
    <w:rsid w:val="0FFA1E6E"/>
    <w:rsid w:val="11061FD5"/>
    <w:rsid w:val="110E42F0"/>
    <w:rsid w:val="11FB1EC8"/>
    <w:rsid w:val="11FB4122"/>
    <w:rsid w:val="130919B6"/>
    <w:rsid w:val="137B1518"/>
    <w:rsid w:val="144468C0"/>
    <w:rsid w:val="15D62A35"/>
    <w:rsid w:val="1600454E"/>
    <w:rsid w:val="16563CB3"/>
    <w:rsid w:val="16E318AE"/>
    <w:rsid w:val="17084E70"/>
    <w:rsid w:val="171836FE"/>
    <w:rsid w:val="179B7A92"/>
    <w:rsid w:val="199926F8"/>
    <w:rsid w:val="1A253F8B"/>
    <w:rsid w:val="1A2C70C8"/>
    <w:rsid w:val="1A3A1C76"/>
    <w:rsid w:val="1B99253B"/>
    <w:rsid w:val="1BE340FE"/>
    <w:rsid w:val="1D104BFA"/>
    <w:rsid w:val="1E1E766F"/>
    <w:rsid w:val="1E4C1AE7"/>
    <w:rsid w:val="1E90231B"/>
    <w:rsid w:val="1EB27F3B"/>
    <w:rsid w:val="1EC27FFB"/>
    <w:rsid w:val="1FD78AC1"/>
    <w:rsid w:val="200666B0"/>
    <w:rsid w:val="201523AC"/>
    <w:rsid w:val="203E054F"/>
    <w:rsid w:val="222B5EB7"/>
    <w:rsid w:val="23EB7FF4"/>
    <w:rsid w:val="253F4153"/>
    <w:rsid w:val="266707CA"/>
    <w:rsid w:val="269823AA"/>
    <w:rsid w:val="26F5443A"/>
    <w:rsid w:val="27CC5A46"/>
    <w:rsid w:val="29146191"/>
    <w:rsid w:val="298712A2"/>
    <w:rsid w:val="29A90022"/>
    <w:rsid w:val="2A944F41"/>
    <w:rsid w:val="2BEE242F"/>
    <w:rsid w:val="2C0C0F54"/>
    <w:rsid w:val="2D410C84"/>
    <w:rsid w:val="2D7C2A5B"/>
    <w:rsid w:val="2D7F381A"/>
    <w:rsid w:val="2F06773C"/>
    <w:rsid w:val="2F081A5A"/>
    <w:rsid w:val="33368D82"/>
    <w:rsid w:val="33A1247D"/>
    <w:rsid w:val="33DF321B"/>
    <w:rsid w:val="33E50478"/>
    <w:rsid w:val="340053F5"/>
    <w:rsid w:val="34031DE2"/>
    <w:rsid w:val="34203B04"/>
    <w:rsid w:val="344D6161"/>
    <w:rsid w:val="34E6283D"/>
    <w:rsid w:val="358160C2"/>
    <w:rsid w:val="35847960"/>
    <w:rsid w:val="359A5975"/>
    <w:rsid w:val="363F39B2"/>
    <w:rsid w:val="37184804"/>
    <w:rsid w:val="37781747"/>
    <w:rsid w:val="37B00EE0"/>
    <w:rsid w:val="39180AEB"/>
    <w:rsid w:val="39657AA9"/>
    <w:rsid w:val="397A3AD3"/>
    <w:rsid w:val="3982065B"/>
    <w:rsid w:val="3A7377F6"/>
    <w:rsid w:val="3BC34183"/>
    <w:rsid w:val="3C467402"/>
    <w:rsid w:val="3C634773"/>
    <w:rsid w:val="3D430101"/>
    <w:rsid w:val="3DF8538F"/>
    <w:rsid w:val="3E594080"/>
    <w:rsid w:val="3FC32720"/>
    <w:rsid w:val="3FCA68B7"/>
    <w:rsid w:val="3FCB372D"/>
    <w:rsid w:val="3FE95A64"/>
    <w:rsid w:val="3FFEF879"/>
    <w:rsid w:val="40811DD4"/>
    <w:rsid w:val="40E8136B"/>
    <w:rsid w:val="41850CE8"/>
    <w:rsid w:val="41D34149"/>
    <w:rsid w:val="42DC0DDB"/>
    <w:rsid w:val="43097AB0"/>
    <w:rsid w:val="43CB2D09"/>
    <w:rsid w:val="43E268C5"/>
    <w:rsid w:val="43EA39CC"/>
    <w:rsid w:val="45554E75"/>
    <w:rsid w:val="45D1045F"/>
    <w:rsid w:val="46FF9B1E"/>
    <w:rsid w:val="47181EB6"/>
    <w:rsid w:val="47FFF563"/>
    <w:rsid w:val="4800731A"/>
    <w:rsid w:val="48A4239B"/>
    <w:rsid w:val="48AA54D8"/>
    <w:rsid w:val="49667651"/>
    <w:rsid w:val="4A9C308B"/>
    <w:rsid w:val="4BBF19D3"/>
    <w:rsid w:val="4BE60F1D"/>
    <w:rsid w:val="4C0D46FC"/>
    <w:rsid w:val="4C162FA3"/>
    <w:rsid w:val="4C9B15B0"/>
    <w:rsid w:val="4CA9103C"/>
    <w:rsid w:val="4CD36114"/>
    <w:rsid w:val="4CF3744D"/>
    <w:rsid w:val="4D4B7289"/>
    <w:rsid w:val="4D4E28D6"/>
    <w:rsid w:val="4D9B4A70"/>
    <w:rsid w:val="4F2B51B5"/>
    <w:rsid w:val="50E35A2B"/>
    <w:rsid w:val="50E53551"/>
    <w:rsid w:val="51864D34"/>
    <w:rsid w:val="53081779"/>
    <w:rsid w:val="532145E9"/>
    <w:rsid w:val="54F71AA5"/>
    <w:rsid w:val="56BD0871"/>
    <w:rsid w:val="578A30A4"/>
    <w:rsid w:val="57B45B94"/>
    <w:rsid w:val="58794C72"/>
    <w:rsid w:val="58FC3B2E"/>
    <w:rsid w:val="5A2F3A8F"/>
    <w:rsid w:val="5AE521AC"/>
    <w:rsid w:val="5B1867D0"/>
    <w:rsid w:val="5B8C73EB"/>
    <w:rsid w:val="5BD90105"/>
    <w:rsid w:val="5C1E3DBB"/>
    <w:rsid w:val="5C3E3EC1"/>
    <w:rsid w:val="5C6A3857"/>
    <w:rsid w:val="5CC42BB4"/>
    <w:rsid w:val="5CF52B97"/>
    <w:rsid w:val="5DC06925"/>
    <w:rsid w:val="5E1C12F2"/>
    <w:rsid w:val="5E5B4E53"/>
    <w:rsid w:val="5EF3E472"/>
    <w:rsid w:val="5F7CCD7E"/>
    <w:rsid w:val="5FC76F82"/>
    <w:rsid w:val="610C68D8"/>
    <w:rsid w:val="61860438"/>
    <w:rsid w:val="621E36CD"/>
    <w:rsid w:val="631C3CFB"/>
    <w:rsid w:val="635822A8"/>
    <w:rsid w:val="645E38EF"/>
    <w:rsid w:val="650608D1"/>
    <w:rsid w:val="663D12E2"/>
    <w:rsid w:val="67144738"/>
    <w:rsid w:val="6744501E"/>
    <w:rsid w:val="67EE99B4"/>
    <w:rsid w:val="683055A2"/>
    <w:rsid w:val="693D1D24"/>
    <w:rsid w:val="6AB37DC4"/>
    <w:rsid w:val="6B120F8F"/>
    <w:rsid w:val="6B4849B1"/>
    <w:rsid w:val="6B5C7399"/>
    <w:rsid w:val="6CFA0B2E"/>
    <w:rsid w:val="6D2B458A"/>
    <w:rsid w:val="6DEFEDD8"/>
    <w:rsid w:val="6EB72579"/>
    <w:rsid w:val="6F685A10"/>
    <w:rsid w:val="6FB940CF"/>
    <w:rsid w:val="6FD1C060"/>
    <w:rsid w:val="6FFF389D"/>
    <w:rsid w:val="704F058F"/>
    <w:rsid w:val="71191E4E"/>
    <w:rsid w:val="72281E85"/>
    <w:rsid w:val="72E90827"/>
    <w:rsid w:val="72FF629D"/>
    <w:rsid w:val="73592713"/>
    <w:rsid w:val="73BD8763"/>
    <w:rsid w:val="748D35A9"/>
    <w:rsid w:val="74B51309"/>
    <w:rsid w:val="7587795A"/>
    <w:rsid w:val="759251A6"/>
    <w:rsid w:val="768A40CF"/>
    <w:rsid w:val="769B008A"/>
    <w:rsid w:val="76EC08E6"/>
    <w:rsid w:val="76F72C08"/>
    <w:rsid w:val="776A7994"/>
    <w:rsid w:val="77750CD7"/>
    <w:rsid w:val="77B96DF6"/>
    <w:rsid w:val="77D777E8"/>
    <w:rsid w:val="789FD18B"/>
    <w:rsid w:val="79D27FA4"/>
    <w:rsid w:val="79EFC587"/>
    <w:rsid w:val="79F006ED"/>
    <w:rsid w:val="7A6B4218"/>
    <w:rsid w:val="7B2C7E4B"/>
    <w:rsid w:val="7B541E97"/>
    <w:rsid w:val="7B8D1F50"/>
    <w:rsid w:val="7BF7F3CC"/>
    <w:rsid w:val="7CB41EA6"/>
    <w:rsid w:val="7D6A4C5A"/>
    <w:rsid w:val="7D73C09D"/>
    <w:rsid w:val="7DE6AB17"/>
    <w:rsid w:val="7DEF0220"/>
    <w:rsid w:val="7E2E5C88"/>
    <w:rsid w:val="7EC03619"/>
    <w:rsid w:val="7EEFE446"/>
    <w:rsid w:val="7F567244"/>
    <w:rsid w:val="7FF29554"/>
    <w:rsid w:val="7FFD618C"/>
    <w:rsid w:val="86FDE8C0"/>
    <w:rsid w:val="8FFCDD44"/>
    <w:rsid w:val="AB5FA8C4"/>
    <w:rsid w:val="AE5728D4"/>
    <w:rsid w:val="B2EF5448"/>
    <w:rsid w:val="B5AE521B"/>
    <w:rsid w:val="BBDFC17A"/>
    <w:rsid w:val="BD4556EE"/>
    <w:rsid w:val="BD7F2043"/>
    <w:rsid w:val="BF7D7E85"/>
    <w:rsid w:val="BF7F8232"/>
    <w:rsid w:val="BFAEB524"/>
    <w:rsid w:val="D5FE8970"/>
    <w:rsid w:val="D5FFA0A5"/>
    <w:rsid w:val="D6F5DE98"/>
    <w:rsid w:val="D7552F30"/>
    <w:rsid w:val="DF5FC39D"/>
    <w:rsid w:val="DFFDF422"/>
    <w:rsid w:val="E6C3F096"/>
    <w:rsid w:val="EB9FE420"/>
    <w:rsid w:val="EE7F64FC"/>
    <w:rsid w:val="EEFF6C4E"/>
    <w:rsid w:val="F2FC075D"/>
    <w:rsid w:val="F7BF53DF"/>
    <w:rsid w:val="F7F71FBC"/>
    <w:rsid w:val="FAB64AC3"/>
    <w:rsid w:val="FD366B65"/>
    <w:rsid w:val="FD7F7791"/>
    <w:rsid w:val="FEFBEBF2"/>
    <w:rsid w:val="FFDEF0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index 5"/>
    <w:basedOn w:val="1"/>
    <w:next w:val="1"/>
    <w:qFormat/>
    <w:uiPriority w:val="0"/>
    <w:pPr>
      <w:ind w:left="1680"/>
    </w:pPr>
    <w:rPr>
      <w:rFonts w:ascii="黑体" w:eastAsia="黑体"/>
      <w:sz w:val="32"/>
      <w:szCs w:val="32"/>
    </w:rPr>
  </w:style>
  <w:style w:type="paragraph" w:styleId="3">
    <w:name w:val="Body Text"/>
    <w:basedOn w:val="1"/>
    <w:next w:val="1"/>
    <w:semiHidden/>
    <w:qFormat/>
    <w:uiPriority w:val="0"/>
    <w:rPr>
      <w:rFonts w:ascii="黑体" w:hAnsi="黑体" w:eastAsia="黑体" w:cs="黑体"/>
      <w:sz w:val="23"/>
      <w:szCs w:val="23"/>
      <w:lang w:val="en-US" w:eastAsia="en-US" w:bidi="ar-SA"/>
    </w:rPr>
  </w:style>
  <w:style w:type="paragraph" w:styleId="4">
    <w:name w:val="Body Text Indent"/>
    <w:basedOn w:val="1"/>
    <w:next w:val="5"/>
    <w:qFormat/>
    <w:uiPriority w:val="0"/>
    <w:pPr>
      <w:spacing w:after="120"/>
      <w:ind w:left="200" w:leftChars="200"/>
    </w:pPr>
    <w:rPr>
      <w:rFonts w:ascii="仿宋_GB2312"/>
      <w:szCs w:val="32"/>
    </w:rPr>
  </w:style>
  <w:style w:type="paragraph" w:styleId="5">
    <w:name w:val="Body Text First Indent 2"/>
    <w:basedOn w:val="4"/>
    <w:next w:val="1"/>
    <w:unhideWhenUsed/>
    <w:qFormat/>
    <w:uiPriority w:val="99"/>
    <w:pPr>
      <w:ind w:firstLine="420" w:firstLineChars="200"/>
    </w:pPr>
  </w:style>
  <w:style w:type="paragraph" w:styleId="6">
    <w:name w:val="toc 3"/>
    <w:basedOn w:val="1"/>
    <w:next w:val="1"/>
    <w:unhideWhenUsed/>
    <w:qFormat/>
    <w:uiPriority w:val="39"/>
    <w:pPr>
      <w:ind w:left="420"/>
      <w:jc w:val="left"/>
    </w:pPr>
    <w:rPr>
      <w:rFonts w:asciiTheme="minorHAnsi" w:eastAsiaTheme="minorHAnsi"/>
      <w:i/>
      <w:iCs/>
      <w:sz w:val="20"/>
      <w:szCs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0">
    <w:name w:val="toc 2"/>
    <w:basedOn w:val="1"/>
    <w:next w:val="1"/>
    <w:unhideWhenUsed/>
    <w:qFormat/>
    <w:uiPriority w:val="39"/>
    <w:pPr>
      <w:ind w:left="210"/>
      <w:jc w:val="left"/>
    </w:pPr>
    <w:rPr>
      <w:rFonts w:asciiTheme="minorHAnsi" w:eastAsiaTheme="minorHAnsi"/>
      <w:smallCaps/>
      <w:sz w:val="20"/>
      <w:szCs w:val="20"/>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rPr>
  </w:style>
  <w:style w:type="paragraph" w:styleId="12">
    <w:name w:val="Normal (Web)"/>
    <w:basedOn w:val="1"/>
    <w:qFormat/>
    <w:uiPriority w:val="0"/>
    <w:pPr>
      <w:spacing w:before="100" w:beforeAutospacing="1" w:after="100" w:afterAutospacing="1"/>
      <w:jc w:val="left"/>
    </w:pPr>
    <w:rPr>
      <w:kern w:val="0"/>
      <w:sz w:val="24"/>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微软雅黑" w:hAnsi="微软雅黑" w:eastAsia="微软雅黑" w:cs="微软雅黑"/>
      <w:sz w:val="17"/>
      <w:szCs w:val="17"/>
      <w:lang w:val="en-US" w:eastAsia="en-US" w:bidi="ar-SA"/>
    </w:rPr>
  </w:style>
  <w:style w:type="paragraph" w:customStyle="1" w:styleId="17">
    <w:name w:val="Normal"/>
    <w:qFormat/>
    <w:uiPriority w:val="0"/>
    <w:pPr>
      <w:jc w:val="both"/>
    </w:pPr>
    <w:rPr>
      <w:rFonts w:ascii="Calibri" w:hAnsi="Calibri" w:eastAsia="宋体" w:cs="宋体"/>
      <w:kern w:val="2"/>
      <w:sz w:val="21"/>
      <w:szCs w:val="21"/>
      <w:lang w:val="en-US" w:eastAsia="zh-CN" w:bidi="ar-SA"/>
    </w:rPr>
  </w:style>
  <w:style w:type="paragraph" w:customStyle="1" w:styleId="18">
    <w:name w:val="正文文本1"/>
    <w:basedOn w:val="1"/>
    <w:qFormat/>
    <w:uiPriority w:val="0"/>
    <w:pPr>
      <w:spacing w:line="640" w:lineRule="exact"/>
      <w:jc w:val="center"/>
    </w:pPr>
    <w:rPr>
      <w:rFonts w:ascii="Times New Roman"/>
      <w:b/>
      <w:kern w:val="2"/>
      <w:sz w:val="4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6.png"/><Relationship Id="rId27" Type="http://schemas.openxmlformats.org/officeDocument/2006/relationships/image" Target="media/image5.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chart" Target="charts/chart5.xml"/><Relationship Id="rId23" Type="http://schemas.openxmlformats.org/officeDocument/2006/relationships/chart" Target="charts/chart4.xml"/><Relationship Id="rId22" Type="http://schemas.openxmlformats.org/officeDocument/2006/relationships/image" Target="media/image2.png"/><Relationship Id="rId21" Type="http://schemas.openxmlformats.org/officeDocument/2006/relationships/oleObject" Target="embeddings/oleObject2.bin"/><Relationship Id="rId20" Type="http://schemas.openxmlformats.org/officeDocument/2006/relationships/chart" Target="charts/chart3.xml"/><Relationship Id="rId2" Type="http://schemas.openxmlformats.org/officeDocument/2006/relationships/settings" Target="settings.xml"/><Relationship Id="rId19" Type="http://schemas.openxmlformats.org/officeDocument/2006/relationships/chart" Target="charts/chart2.xml"/><Relationship Id="rId18" Type="http://schemas.openxmlformats.org/officeDocument/2006/relationships/chart" Target="charts/chart1.xml"/><Relationship Id="rId17" Type="http://schemas.openxmlformats.org/officeDocument/2006/relationships/image" Target="media/image1.png"/><Relationship Id="rId16" Type="http://schemas.openxmlformats.org/officeDocument/2006/relationships/oleObject" Target="embeddings/oleObject1.bin"/><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1.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4" Type="http://schemas.microsoft.com/office/2011/relationships/chartColorStyle" Target="colors5.xml"/><Relationship Id="rId3" Type="http://schemas.microsoft.com/office/2011/relationships/chartStyle" Target="style5.xml"/><Relationship Id="rId2" Type="http://schemas.openxmlformats.org/officeDocument/2006/relationships/themeOverride" Target="../theme/themeOverride3.xml"/><Relationship Id="rId1" Type="http://schemas.openxmlformats.org/officeDocument/2006/relationships/package" Target="../embeddings/Workbook5.xlsx"/></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2.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收入决算结构图</a:t>
            </a:r>
          </a:p>
        </c:rich>
      </c:tx>
      <c:layout/>
      <c:overlay val="0"/>
      <c:spPr>
        <a:noFill/>
        <a:ln>
          <a:noFill/>
        </a:ln>
        <a:effectLst/>
      </c:spPr>
    </c:title>
    <c:autoTitleDeleted val="0"/>
    <c:plotArea>
      <c:layout/>
      <c:pieChart>
        <c:varyColors val="1"/>
        <c:ser>
          <c:idx val="1"/>
          <c:order val="0"/>
          <c:tx>
            <c:strRef>
              <c:f>Sheet1!$B$1</c:f>
              <c:strCache>
                <c:ptCount val="1"/>
                <c:pt idx="0">
                  <c:v>收入决算结构图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3899.51</a:t>
                    </a:r>
                    <a:endParaRPr lang="en-US" altLang="zh-CN"/>
                  </a:p>
                </c:rich>
              </c:tx>
              <c:dLblPos val="inEnd"/>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206.86</a:t>
                    </a:r>
                    <a:endParaRPr lang="en-US" altLang="zh-CN"/>
                  </a:p>
                </c:rich>
              </c:tx>
              <c:dLblPos val="in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一般公共预算财政拨款收入</c:v>
                </c:pt>
                <c:pt idx="1">
                  <c:v>政府性基金预算财政拨款收入</c:v>
                </c:pt>
              </c:strCache>
            </c:strRef>
          </c:cat>
          <c:val>
            <c:numRef>
              <c:f>Sheet1!$B$2:$B$3</c:f>
              <c:numCache>
                <c:formatCode>General</c:formatCode>
                <c:ptCount val="2"/>
                <c:pt idx="0">
                  <c:v>9095.31</c:v>
                </c:pt>
                <c:pt idx="1">
                  <c:v>51.18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27e8fa63-293a-40b2-b2bc-7aa18a589de7}"/>
      </c:ext>
    </c:extLst>
  </c:chart>
  <c:spPr>
    <a:solidFill>
      <a:schemeClr val="bg1"/>
    </a:solidFill>
    <a:ln w="9525"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支出决算结构图</a:t>
            </a:r>
          </a:p>
        </c:rich>
      </c:tx>
      <c:layout/>
      <c:overlay val="0"/>
      <c:spPr>
        <a:noFill/>
        <a:ln>
          <a:noFill/>
        </a:ln>
        <a:effectLst/>
      </c:spPr>
    </c:title>
    <c:autoTitleDeleted val="0"/>
    <c:plotArea>
      <c:layout/>
      <c:pieChart>
        <c:varyColors val="1"/>
        <c:ser>
          <c:idx val="1"/>
          <c:order val="0"/>
          <c:tx>
            <c:strRef>
              <c:f>Sheet1!$B$1</c:f>
              <c:strCache>
                <c:ptCount val="1"/>
                <c:pt idx="0">
                  <c:v>支出决算结构图</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0446338234557253"/>
                  <c:y val="0.0847484508452647"/>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593.66</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t>3512.7</a:t>
                    </a:r>
                    <a:endParaRPr lang="en-US" altLang="zh-CN"/>
                  </a:p>
                </c:rich>
              </c:tx>
              <c:dLblPos val="inEnd"/>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568.96</c:v>
                </c:pt>
                <c:pt idx="1">
                  <c:v>8577.52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03c0150f-1067-4cb6-bfdb-8828bc566671}"/>
      </c:ext>
    </c:extLst>
  </c:chart>
  <c:spPr>
    <a:solidFill>
      <a:schemeClr val="bg1"/>
    </a:solidFill>
    <a:ln w="9525"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财政拨款收支决算总计变动情况表</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Lbl>
              <c:idx val="0"/>
              <c:layout>
                <c:manualLayout>
                  <c:x val="-0.00171232876712329"/>
                  <c:y val="0"/>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rPr lang="en-US" altLang="zh-CN"/>
                      <a:t>9</a:t>
                    </a:r>
                    <a:r>
                      <a:t>1</a:t>
                    </a:r>
                    <a:r>
                      <a:rPr lang="en-US" altLang="zh-CN"/>
                      <a:t>46.48</a:t>
                    </a:r>
                    <a:endParaRPr lang="en-US" altLang="zh-CN"/>
                  </a:p>
                </c:rich>
              </c:tx>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9146.48</c:v>
                </c:pt>
                <c:pt idx="1">
                  <c:v>4106.36</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c:v>
                </c:pt>
                <c:pt idx="1">
                  <c:v>2025年</c:v>
                </c:pt>
              </c:strCache>
            </c:strRef>
          </c:cat>
          <c:val>
            <c:numRef>
              <c:f>Sheet1!$C$2:$C$3</c:f>
              <c:numCache>
                <c:formatCode>General</c:formatCode>
                <c:ptCount val="2"/>
                <c:pt idx="0">
                  <c:v>9146.48</c:v>
                </c:pt>
                <c:pt idx="1">
                  <c:v>4106.36</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46"/>
        <c:overlap val="-28"/>
        <c:axId val="825573290"/>
        <c:axId val="495422741"/>
      </c:barChart>
      <c:catAx>
        <c:axId val="82557329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5422741"/>
        <c:crosses val="autoZero"/>
        <c:auto val="1"/>
        <c:lblAlgn val="ctr"/>
        <c:lblOffset val="100"/>
        <c:noMultiLvlLbl val="0"/>
      </c:catAx>
      <c:valAx>
        <c:axId val="495422741"/>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5573290"/>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31c4144-dc65-40ec-93a2-806d59c6584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altLang="en-US"/>
              <a:t>一般公共预算财政拨款支出决算结构</a:t>
            </a:r>
            <a:endParaRPr lang="en-US" altLang="zh-CN"/>
          </a:p>
        </c:rich>
      </c:tx>
      <c:layout>
        <c:manualLayout>
          <c:xMode val="edge"/>
          <c:yMode val="edge"/>
          <c:x val="0.154376012965964"/>
          <c:y val="0.0412654745529574"/>
        </c:manualLayout>
      </c:layout>
      <c:overlay val="0"/>
      <c:spPr>
        <a:noFill/>
        <a:ln>
          <a:noFill/>
        </a:ln>
        <a:effectLst/>
      </c:spPr>
    </c:title>
    <c:autoTitleDeleted val="0"/>
    <c:plotArea>
      <c:layout/>
      <c:pieChart>
        <c:varyColors val="1"/>
        <c:ser>
          <c:idx val="1"/>
          <c:order val="0"/>
          <c:tx>
            <c:strRef>
              <c:f>Sheet1!$B$1</c:f>
              <c:strCache>
                <c:ptCount val="1"/>
                <c:pt idx="0">
                  <c:v>列2</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00868550574827618"/>
                  <c:y val="-0.0365017487002198"/>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500" b="1"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119865740119369"/>
                  <c:y val="-0.000776148155297246"/>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180886627476961"/>
                  <c:y val="0.191008552341599"/>
                </c:manualLayout>
              </c:layout>
              <c:numFmt formatCode="General" sourceLinked="1"/>
              <c:spPr>
                <a:noFill/>
                <a:ln>
                  <a:noFill/>
                </a:ln>
                <a:effectLst/>
              </c:spPr>
              <c:txPr>
                <a:bodyPr rot="0" spcFirstLastPara="0" vertOverflow="ellipsis" vert="horz" wrap="square" lIns="38100" tIns="19050" rIns="38100" bIns="19050" anchor="ctr" anchorCtr="1" forceAA="0"/>
                <a:lstStyle/>
                <a:p>
                  <a:pPr>
                    <a:defRPr lang="zh-CN" sz="400" b="1"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extLst>
                <c:ext xmlns:c15="http://schemas.microsoft.com/office/drawing/2012/chart" uri="{CE6537A1-D6FC-4f65-9D91-7224C49458BB}">
                  <c15:layout>
                    <c:manualLayout>
                      <c:w val="0.0632090761750405"/>
                      <c:h val="0.0818431911966988"/>
                    </c:manualLayout>
                  </c15:layout>
                </c:ext>
              </c:extLst>
            </c:dLbl>
            <c:dLbl>
              <c:idx val="4"/>
              <c:layout>
                <c:manualLayout>
                  <c:x val="-0.0713225651394316"/>
                  <c:y val="0.064352564557377"/>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0671360498066538"/>
                  <c:y val="-0.0265092969178618"/>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400" b="1"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600" b="1"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社会保障和就业支出</c:v>
                </c:pt>
                <c:pt idx="1">
                  <c:v>卫生健康支出</c:v>
                </c:pt>
                <c:pt idx="2">
                  <c:v>节能环保支出</c:v>
                </c:pt>
                <c:pt idx="3">
                  <c:v>农林水支出</c:v>
                </c:pt>
                <c:pt idx="4">
                  <c:v>自然资源海洋气象等支出</c:v>
                </c:pt>
                <c:pt idx="5">
                  <c:v>住房保障支出</c:v>
                </c:pt>
              </c:strCache>
            </c:strRef>
          </c:cat>
          <c:val>
            <c:numRef>
              <c:f>Sheet1!$B$2:$B$7</c:f>
              <c:numCache>
                <c:formatCode>General</c:formatCode>
                <c:ptCount val="6"/>
                <c:pt idx="0">
                  <c:v>168.59</c:v>
                </c:pt>
                <c:pt idx="1">
                  <c:v>31.36</c:v>
                </c:pt>
                <c:pt idx="2">
                  <c:v>234.16</c:v>
                </c:pt>
                <c:pt idx="3">
                  <c:v>2403.73</c:v>
                </c:pt>
                <c:pt idx="4">
                  <c:v>1018.51</c:v>
                </c:pt>
                <c:pt idx="5">
                  <c:v>43.16</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extLst>
      <c:ext uri="{0b15fc19-7d7d-44ad-8c2d-2c3a37ce22c3}">
        <chartProps xmlns="https://web.wps.cn/et/2018/main" chartId="{c7a625c4-ce14-4035-93f6-c1e3d50579c5}"/>
      </c:ext>
    </c:extLst>
  </c:chart>
  <c:spPr>
    <a:solidFill>
      <a:schemeClr val="bg1"/>
    </a:solidFill>
    <a:ln w="9525" cap="flat" cmpd="sng" algn="ctr">
      <a:solidFill>
        <a:schemeClr val="tx1">
          <a:lumMod val="50000"/>
          <a:lumOff val="50000"/>
          <a:alpha val="25000"/>
        </a:schemeClr>
      </a:solidFill>
      <a:round/>
    </a:ln>
    <a:effectLst/>
  </c:spPr>
  <c:txPr>
    <a:bodyPr/>
    <a:lstStyle/>
    <a:p>
      <a:pPr>
        <a:defRPr lang="zh-CN">
          <a:solidFill>
            <a:schemeClr val="tx1">
              <a:lumMod val="75000"/>
              <a:lumOff val="2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32611512122895"/>
          <c:y val="0.0448095593726662"/>
        </c:manualLayout>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tx1">
                            <a:lumMod val="75000"/>
                            <a:lumOff val="25000"/>
                          </a:schemeClr>
                        </a:solidFill>
                        <a:latin typeface="+mn-lt"/>
                        <a:ea typeface="+mn-ea"/>
                        <a:cs typeface="+mn-cs"/>
                      </a:defRPr>
                    </a:pPr>
                    <a:r>
                      <a:rPr lang="en-US" altLang="zh-CN" b="1"/>
                      <a:t>4.6</a:t>
                    </a:r>
                    <a:endParaRPr lang="en-US" altLang="zh-CN" b="1"/>
                  </a:p>
                  <a:p>
                    <a:pPr defTabSz="914400">
                      <a:defRPr lang="zh-CN" sz="1000" b="1" i="0" u="none" strike="noStrike" kern="1200" baseline="0">
                        <a:solidFill>
                          <a:schemeClr val="tx1">
                            <a:lumMod val="75000"/>
                            <a:lumOff val="25000"/>
                          </a:schemeClr>
                        </a:solidFill>
                        <a:latin typeface="+mn-lt"/>
                        <a:ea typeface="+mn-ea"/>
                        <a:cs typeface="+mn-cs"/>
                      </a:defRPr>
                    </a:pPr>
                    <a:endParaRPr lang="en-US" altLang="zh-CN" b="1"/>
                  </a:p>
                </c:rich>
              </c:tx>
              <c:dLblPos val="inEnd"/>
              <c:showLegendKey val="0"/>
              <c:showVal val="0"/>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1" i="0" u="none" strike="noStrike" kern="1200" baseline="0">
                        <a:solidFill>
                          <a:schemeClr val="tx1">
                            <a:lumMod val="75000"/>
                            <a:lumOff val="25000"/>
                          </a:schemeClr>
                        </a:solidFill>
                        <a:latin typeface="+mn-lt"/>
                        <a:ea typeface="+mn-ea"/>
                        <a:cs typeface="+mn-cs"/>
                      </a:defRPr>
                    </a:pPr>
                    <a:r>
                      <a:rPr lang="en-US" altLang="zh-CN" b="1"/>
                      <a:t>0.12</a:t>
                    </a:r>
                    <a:endParaRPr lang="en-US" altLang="zh-CN" b="1"/>
                  </a:p>
                  <a:p>
                    <a:pPr defTabSz="914400">
                      <a:defRPr lang="zh-CN" sz="1000" b="1" i="0" u="none" strike="noStrike" kern="1200" baseline="0">
                        <a:solidFill>
                          <a:schemeClr val="tx1">
                            <a:lumMod val="75000"/>
                            <a:lumOff val="25000"/>
                          </a:schemeClr>
                        </a:solidFill>
                        <a:latin typeface="+mn-lt"/>
                        <a:ea typeface="+mn-ea"/>
                        <a:cs typeface="+mn-cs"/>
                      </a:defRPr>
                    </a:pPr>
                    <a:endParaRPr lang="en-US" altLang="zh-CN" b="1"/>
                  </a:p>
                </c:rich>
              </c:tx>
              <c:dLblPos val="inEnd"/>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1"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公务用车购置及运行维护支出决算</c:v>
                </c:pt>
                <c:pt idx="1">
                  <c:v>公务接待费支出决算</c:v>
                </c:pt>
              </c:strCache>
            </c:strRef>
          </c:cat>
          <c:val>
            <c:numRef>
              <c:f>Sheet1!$B$2:$B$3</c:f>
              <c:numCache>
                <c:formatCode>General</c:formatCode>
                <c:ptCount val="2"/>
                <c:pt idx="0">
                  <c:v>4.6</c:v>
                </c:pt>
                <c:pt idx="1">
                  <c:v>0.12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eba957b-477c-4fba-9dcb-5896187d3f2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3">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40</Pages>
  <Words>14203</Words>
  <Characters>15400</Characters>
  <TotalTime>4</TotalTime>
  <ScaleCrop>false</ScaleCrop>
  <LinksUpToDate>false</LinksUpToDate>
  <CharactersWithSpaces>15408</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2025-09-30T13:50:00Z</dcterms:created>
  <dc:creator>12544</dc:creator>
  <cp:lastModifiedBy>红原东芝文印</cp:lastModifiedBy>
  <cp:lastPrinted>2026-10-26T03:50:00Z</cp:lastPrinted>
  <dcterms:modified xsi:type="dcterms:W3CDTF">2026-10-26T07:06:09Z</dcterms:modified>
  <dc:title>2023年度四川省红原县水务局部门决算_预决算及“三公”经费_阿坝州信息公开目录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2025-09-27T13:50:47Z</vt:filetime>
  </property>
  <property fmtid="{D5CDD505-2E9C-101B-9397-08002B2CF9AE}" pid="4" name="KSOTemplateDocerSaveRecord">
    <vt:lpwstr>eyJoZGlkIjoiNjVhZTUwMTU0YWFjMjVlZTJlMmU3M2Q4MTYwOTYzNTYiLCJ1c2VySWQiOiIzMTg3ODA5MTkifQ==</vt:lpwstr>
  </property>
  <property fmtid="{D5CDD505-2E9C-101B-9397-08002B2CF9AE}" pid="5" name="KSOProductBuildVer">
    <vt:lpwstr>2052-12.1.0.29161</vt:lpwstr>
  </property>
  <property fmtid="{D5CDD505-2E9C-101B-9397-08002B2CF9AE}" pid="6" name="ICV">
    <vt:lpwstr>933D8A2378CE414E98B71D999C86A5B8_13</vt:lpwstr>
  </property>
</Properties>
</file>