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9C6C6A">
      <w:pPr>
        <w:rPr>
          <w:rFonts w:hint="eastAsia" w:ascii="思源黑体 CN Normal" w:hAnsi="思源黑体 CN Normal" w:eastAsia="思源黑体 CN Normal" w:cs="思源黑体 CN Normal"/>
          <w:b/>
          <w:color w:val="000000" w:themeColor="text1"/>
          <w:sz w:val="72"/>
          <w:szCs w:val="72"/>
          <w14:textFill>
            <w14:solidFill>
              <w14:schemeClr w14:val="tx1"/>
            </w14:solidFill>
          </w14:textFill>
        </w:rPr>
      </w:pPr>
      <w:bookmarkStart w:id="0" w:name="_Toc15396475"/>
      <w:bookmarkStart w:id="1" w:name="_Toc15306267"/>
      <w:bookmarkStart w:id="2" w:name="_Toc15377425"/>
      <w:bookmarkStart w:id="3" w:name="_Toc15378441"/>
      <w:bookmarkStart w:id="4" w:name="_Toc15396597"/>
      <w:bookmarkStart w:id="5" w:name="_Toc15377193"/>
    </w:p>
    <w:p w14:paraId="0164890B">
      <w:pPr>
        <w:jc w:val="center"/>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pPr>
    </w:p>
    <w:p w14:paraId="5597C79E">
      <w:pPr>
        <w:jc w:val="both"/>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pPr>
    </w:p>
    <w:p w14:paraId="6DBC95DC">
      <w:pPr>
        <w:pStyle w:val="26"/>
        <w:rPr>
          <w:rFonts w:ascii="方正小标宋简体" w:hAnsi="方正小标宋简体" w:eastAsia="方正小标宋简体" w:cs="方正小标宋简体"/>
          <w:b w:val="0"/>
          <w:bCs w:val="0"/>
          <w:sz w:val="44"/>
          <w:szCs w:val="44"/>
        </w:rPr>
      </w:pPr>
      <mc:AlternateContent>
        <mc:Choice Requires="wpsCustomData">
          <wpsCustomData:docfieldStart id="0" docfieldname="标题_1" hidden="0" print="1" readonly="0" index="2"/>
        </mc:Choice>
      </mc:AlternateContent>
      <w:r>
        <w:rPr>
          <w:rFonts w:ascii="方正小标宋简体" w:hAnsi="方正小标宋简体" w:eastAsia="方正小标宋简体" w:cs="方正小标宋简体"/>
          <w:b w:val="0"/>
          <w:bCs w:val="0"/>
          <w:sz w:val="44"/>
          <w:szCs w:val="44"/>
        </w:rPr>
        <w:t>2025</w:t>
      </w:r>
      <w:r>
        <w:rPr>
          <w:rFonts w:ascii="方正小标宋简体" w:hAnsi="方正小标宋简体" w:eastAsia="方正小标宋简体" w:cs="方正小标宋简体"/>
          <w:b w:val="0"/>
          <w:bCs w:val="0"/>
          <w:sz w:val="44"/>
          <w:szCs w:val="44"/>
          <w:u w:color="auto"/>
        </w:rPr>
        <w:t>年度</w:t>
      </w:r>
      <w:bookmarkEnd w:id="0"/>
      <w:bookmarkEnd w:id="1"/>
      <w:bookmarkEnd w:id="2"/>
      <w:bookmarkEnd w:id="3"/>
      <w:bookmarkEnd w:id="4"/>
      <w:bookmarkEnd w:id="5"/>
      <w:bookmarkStart w:id="6" w:name="_Toc15396598"/>
      <w:bookmarkStart w:id="7" w:name="_Toc15306268"/>
      <w:bookmarkStart w:id="8" w:name="_Toc15378442"/>
      <w:bookmarkStart w:id="9" w:name="_Toc15377194"/>
      <w:bookmarkStart w:id="10" w:name="_Toc15377426"/>
      <w:bookmarkStart w:id="11" w:name="_Toc15396476"/>
      <w:r>
        <w:rPr>
          <w:rFonts w:ascii="方正小标宋简体" w:hAnsi="方正小标宋简体" w:eastAsia="方正小标宋简体" w:cs="方正小标宋简体"/>
          <w:b w:val="0"/>
          <w:bCs w:val="0"/>
          <w:sz w:val="44"/>
          <w:szCs w:val="44"/>
          <w:u w:color="auto"/>
        </w:rPr>
        <w:br w:type="textWrapping"/>
      </w:r>
      <w:r>
        <w:rPr>
          <w:rFonts w:ascii="方正小标宋简体" w:hAnsi="方正小标宋简体" w:eastAsia="方正小标宋简体" w:cs="方正小标宋简体"/>
          <w:b w:val="0"/>
          <w:bCs w:val="0"/>
          <w:sz w:val="44"/>
          <w:szCs w:val="44"/>
        </w:rPr>
        <w:t>红原县爱国卫生运动服务工作中心</w:t>
      </w:r>
      <w:r>
        <w:rPr>
          <w:rFonts w:ascii="方正小标宋简体" w:hAnsi="方正小标宋简体" w:eastAsia="方正小标宋简体" w:cs="方正小标宋简体"/>
          <w:b w:val="0"/>
          <w:bCs w:val="0"/>
          <w:sz w:val="44"/>
          <w:szCs w:val="44"/>
          <w:u w:color="auto"/>
        </w:rPr>
        <w:t>单位决算</w:t>
      </w:r>
      <w:bookmarkEnd w:id="6"/>
      <w:bookmarkEnd w:id="7"/>
      <w:bookmarkEnd w:id="8"/>
      <w:bookmarkEnd w:id="9"/>
      <w:bookmarkEnd w:id="10"/>
      <w:bookmarkEnd w:id="11"/>
      <mc:AlternateContent>
        <mc:Choice Requires="wpsCustomData">
          <wpsCustomData:docfieldEnd id="0"/>
        </mc:Choice>
      </mc:AlternateContent>
    </w:p>
    <w:p w14:paraId="27D78726">
      <w:pPr>
        <w:pStyle w:val="13"/>
        <w:bidi w:val="0"/>
        <w:spacing w:beforeAutospacing="0" w:afterAutospacing="0" w:line="300" w:lineRule="exact"/>
        <w:rPr>
          <w:rFonts w:hint="eastAsia"/>
        </w:rPr>
      </w:pPr>
    </w:p>
    <w:p w14:paraId="423E6F5F">
      <w:pPr>
        <w:pStyle w:val="11"/>
        <w:tabs>
          <w:tab w:val="left" w:pos="3600"/>
        </w:tabs>
        <w:rPr>
          <w:rFonts w:hint="eastAsia" w:ascii="思源黑体 CN Normal" w:hAnsi="思源黑体 CN Normal" w:eastAsia="思源黑体 CN Normal" w:cs="思源黑体 CN Normal"/>
          <w:color w:val="000000" w:themeColor="text1"/>
          <w14:textFill>
            <w14:solidFill>
              <w14:schemeClr w14:val="tx1"/>
            </w14:solidFill>
          </w14:textFill>
        </w:rPr>
      </w:pPr>
      <w:r>
        <w:rPr>
          <w:rFonts w:hint="eastAsia" w:ascii="思源黑体 CN Normal" w:hAnsi="思源黑体 CN Normal" w:eastAsia="思源黑体 CN Normal" w:cs="思源黑体 CN Normal"/>
          <w:color w:val="000000" w:themeColor="text1"/>
          <w14:textFill>
            <w14:solidFill>
              <w14:schemeClr w14:val="tx1"/>
            </w14:solidFill>
          </w14:textFill>
        </w:rPr>
        <w:tab/>
      </w:r>
    </w:p>
    <w:p w14:paraId="13FE0EC1">
      <w:pPr>
        <w:pStyle w:val="11"/>
        <w:rPr>
          <w:rFonts w:hint="eastAsia" w:ascii="思源黑体 CN Normal" w:hAnsi="思源黑体 CN Normal" w:eastAsia="思源黑体 CN Normal" w:cs="思源黑体 CN Normal"/>
          <w:color w:val="000000" w:themeColor="text1"/>
          <w14:textFill>
            <w14:solidFill>
              <w14:schemeClr w14:val="tx1"/>
            </w14:solidFill>
          </w14:textFill>
        </w:rPr>
      </w:pPr>
    </w:p>
    <w:p w14:paraId="743D9D22">
      <w:pPr>
        <w:pStyle w:val="20"/>
        <w:jc w:val="both"/>
        <w:rPr>
          <w:rFonts w:hint="eastAsia" w:ascii="思源黑体 CN Normal" w:hAnsi="思源黑体 CN Normal" w:eastAsia="思源黑体 CN Normal" w:cs="思源黑体 CN Normal"/>
          <w:color w:val="000000" w:themeColor="text1"/>
          <w:sz w:val="36"/>
          <w:szCs w:val="36"/>
          <w14:textFill>
            <w14:solidFill>
              <w14:schemeClr w14:val="tx1"/>
            </w14:solidFill>
          </w14:textFill>
        </w:rPr>
      </w:pPr>
      <w:r>
        <w:rPr>
          <w:rFonts w:hint="eastAsia" w:ascii="思源黑体 CN Normal" w:hAnsi="思源黑体 CN Normal" w:eastAsia="思源黑体 CN Normal" w:cs="思源黑体 CN Normal"/>
          <w:color w:val="000000" w:themeColor="text1"/>
          <w:sz w:val="36"/>
          <w:szCs w:val="36"/>
          <w14:textFill>
            <w14:solidFill>
              <w14:schemeClr w14:val="tx1"/>
            </w14:solidFill>
          </w14:textFill>
        </w:rPr>
        <w:br w:type="page"/>
      </w:r>
    </w:p>
    <w:p w14:paraId="0992FC4D">
      <w:pPr>
        <w:pStyle w:val="50"/>
        <w:widowControl/>
        <w:rPr>
          <w:rFonts w:ascii="黑体" w:hAnsi="黑体" w:eastAsia="黑体" w:cs="黑体"/>
          <w:b w:val="0"/>
          <w:bCs/>
          <w:sz w:val="32"/>
          <w:szCs w:val="32"/>
        </w:rPr>
      </w:pPr>
      <w:bookmarkStart w:id="12" w:name="_Toc32600"/>
      <w:r>
        <w:rPr>
          <w:rFonts w:ascii="黑体" w:hAnsi="黑体" w:eastAsia="黑体" w:cs="黑体"/>
          <w:b w:val="0"/>
          <w:bCs/>
          <w:sz w:val="32"/>
          <w:szCs w:val="32"/>
        </w:rPr>
        <w:t>目录</w:t>
      </w:r>
      <w:bookmarkEnd w:id="12"/>
    </w:p>
    <w:p w14:paraId="297F534D">
      <w:pPr>
        <w:pStyle w:val="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公开时间：20</w:t>
      </w:r>
      <w:r>
        <w:rPr>
          <w:rFonts w:hint="eastAsia"/>
          <w:color w:val="000000" w:themeColor="text1"/>
          <w:highlight w:val="none"/>
          <w:lang w:val="en-US" w:eastAsia="zh-CN"/>
          <w14:textFill>
            <w14:solidFill>
              <w14:schemeClr w14:val="tx1"/>
            </w14:solidFill>
          </w14:textFill>
        </w:rPr>
        <w:t>26</w:t>
      </w:r>
      <w:r>
        <w:rPr>
          <w:rFonts w:hint="eastAsia"/>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30</w:t>
      </w:r>
      <w:r>
        <w:rPr>
          <w:rFonts w:hint="eastAsia"/>
          <w:color w:val="000000" w:themeColor="text1"/>
          <w:highlight w:val="none"/>
          <w14:textFill>
            <w14:solidFill>
              <w14:schemeClr w14:val="tx1"/>
            </w14:solidFill>
          </w14:textFill>
        </w:rPr>
        <w:t>日</w:t>
      </w:r>
    </w:p>
    <w:p w14:paraId="0520D28E">
      <w:pPr>
        <w:pStyle w:val="20"/>
        <w:tabs>
          <w:tab w:val="right" w:leader="dot" w:pos="8845"/>
          <w:tab w:val="clear" w:pos="8296"/>
        </w:tabs>
      </w:pPr>
      <w:bookmarkStart w:id="13" w:name="_Toc15377196"/>
      <w:r>
        <w:rPr>
          <w:rFonts w:hint="eastAsia" w:ascii="宋体" w:hAnsi="宋体" w:eastAsia="宋体" w:cs="宋体"/>
          <w:smallCaps/>
          <w:color w:val="000000" w:themeColor="text1"/>
          <w:sz w:val="20"/>
          <w:szCs w:val="20"/>
          <w14:textFill>
            <w14:solidFill>
              <w14:schemeClr w14:val="tx1"/>
            </w14:solidFill>
          </w14:textFill>
        </w:rPr>
        <w:fldChar w:fldCharType="begin"/>
      </w:r>
      <w:r>
        <w:rPr>
          <w:rFonts w:hint="eastAsia" w:ascii="宋体" w:hAnsi="宋体" w:eastAsia="宋体" w:cs="宋体"/>
          <w:smallCaps/>
          <w:color w:val="000000" w:themeColor="text1"/>
          <w:sz w:val="20"/>
          <w:szCs w:val="20"/>
          <w14:textFill>
            <w14:solidFill>
              <w14:schemeClr w14:val="tx1"/>
            </w14:solidFill>
          </w14:textFill>
        </w:rPr>
        <w:instrText xml:space="preserve"> TOC \o "1-2" \h \z \u </w:instrText>
      </w:r>
      <w:r>
        <w:rPr>
          <w:rFonts w:hint="eastAsia" w:ascii="宋体" w:hAnsi="宋体" w:eastAsia="宋体" w:cs="宋体"/>
          <w:smallCaps/>
          <w:color w:val="000000" w:themeColor="text1"/>
          <w:sz w:val="20"/>
          <w:szCs w:val="20"/>
          <w14:textFill>
            <w14:solidFill>
              <w14:schemeClr w14:val="tx1"/>
            </w14:solidFill>
          </w14:textFill>
        </w:rPr>
        <w:fldChar w:fldCharType="separate"/>
      </w: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_Toc32600 </w:instrText>
      </w:r>
      <w:r>
        <w:rPr>
          <w:rFonts w:hint="eastAsia" w:ascii="宋体" w:hAnsi="宋体" w:eastAsia="宋体" w:cs="宋体"/>
          <w:smallCaps/>
          <w:szCs w:val="20"/>
        </w:rPr>
        <w:fldChar w:fldCharType="separate"/>
      </w:r>
      <w:r>
        <w:rPr>
          <w:rFonts w:ascii="黑体" w:hAnsi="黑体" w:eastAsia="黑体" w:cs="黑体"/>
          <w:bCs/>
          <w:szCs w:val="32"/>
        </w:rPr>
        <w:t>目录</w:t>
      </w:r>
      <w:r>
        <w:tab/>
      </w:r>
      <w:r>
        <w:fldChar w:fldCharType="begin"/>
      </w:r>
      <w:r>
        <w:instrText xml:space="preserve"> PAGEREF _Toc32600 \h </w:instrText>
      </w:r>
      <w:r>
        <w:fldChar w:fldCharType="separate"/>
      </w:r>
      <w:r>
        <w:t>2</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77DC88B5">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_Toc6251 </w:instrText>
      </w:r>
      <w:r>
        <w:rPr>
          <w:rFonts w:hint="eastAsia" w:ascii="宋体" w:hAnsi="宋体" w:eastAsia="宋体" w:cs="宋体"/>
          <w:smallCaps/>
          <w:szCs w:val="20"/>
        </w:rPr>
        <w:fldChar w:fldCharType="separate"/>
      </w:r>
      <w:r>
        <w:rPr>
          <w:rFonts w:hint="eastAsia" w:cs="黑体"/>
          <w:bCs/>
          <w:szCs w:val="32"/>
          <w:lang w:eastAsia="zh-CN"/>
        </w:rPr>
        <w:t>第一章</w:t>
      </w:r>
      <w:r>
        <w:rPr>
          <w:rFonts w:hint="eastAsia" w:ascii="仿宋" w:hAnsi="仿宋" w:eastAsia="仿宋" w:cs="仿宋"/>
          <w:bCs/>
          <w:spacing w:val="-6"/>
          <w:kern w:val="44"/>
          <w:szCs w:val="32"/>
          <w:lang w:eastAsia="zh-CN" w:bidi="ar-SA"/>
        </w:rPr>
        <w:t xml:space="preserve"> </w:t>
      </w:r>
      <w:r>
        <w:rPr>
          <w:rFonts w:ascii="黑体" w:hAnsi="黑体" w:eastAsia="黑体" w:cs="黑体"/>
          <w:bCs/>
          <w:szCs w:val="32"/>
        </w:rPr>
        <w:t>单位概况</w:t>
      </w:r>
      <w:r>
        <w:tab/>
      </w:r>
      <w:r>
        <w:fldChar w:fldCharType="begin"/>
      </w:r>
      <w:r>
        <w:instrText xml:space="preserve"> PAGEREF _Toc6251 \h </w:instrText>
      </w:r>
      <w:r>
        <w:fldChar w:fldCharType="separate"/>
      </w:r>
      <w:r>
        <w:t>5</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4386D70B">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_Toc11683 </w:instrText>
      </w:r>
      <w:r>
        <w:rPr>
          <w:rFonts w:hint="eastAsia" w:ascii="宋体" w:hAnsi="宋体" w:eastAsia="宋体" w:cs="宋体"/>
          <w:smallCaps/>
          <w:szCs w:val="20"/>
        </w:rPr>
        <w:fldChar w:fldCharType="separate"/>
      </w:r>
      <w:r>
        <w:rPr>
          <w:rFonts w:hint="eastAsia" w:cs="黑体"/>
          <w:bCs w:val="0"/>
          <w:szCs w:val="32"/>
          <w:lang w:eastAsia="zh-CN"/>
        </w:rPr>
        <w:t>一、</w:t>
      </w:r>
      <w:r>
        <w:rPr>
          <w:rFonts w:ascii="黑体" w:hAnsi="黑体" w:eastAsia="黑体" w:cs="黑体"/>
          <w:bCs w:val="0"/>
          <w:szCs w:val="32"/>
        </w:rPr>
        <w:t>主要职责</w:t>
      </w:r>
      <w:r>
        <w:tab/>
      </w:r>
      <w:r>
        <w:fldChar w:fldCharType="begin"/>
      </w:r>
      <w:r>
        <w:instrText xml:space="preserve"> PAGEREF _Toc11683 \h </w:instrText>
      </w:r>
      <w:r>
        <w:fldChar w:fldCharType="separate"/>
      </w:r>
      <w:r>
        <w:t>5</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7ABB0EDB">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_Toc2584 </w:instrText>
      </w:r>
      <w:r>
        <w:rPr>
          <w:rFonts w:hint="eastAsia" w:ascii="宋体" w:hAnsi="宋体" w:eastAsia="宋体" w:cs="宋体"/>
          <w:smallCaps/>
          <w:szCs w:val="20"/>
        </w:rPr>
        <w:fldChar w:fldCharType="separate"/>
      </w:r>
      <w:r>
        <w:rPr>
          <w:rFonts w:hint="eastAsia" w:cs="黑体"/>
          <w:bCs w:val="0"/>
          <w:szCs w:val="32"/>
          <w:lang w:eastAsia="zh-CN"/>
        </w:rPr>
        <w:t>二、</w:t>
      </w:r>
      <w:r>
        <w:rPr>
          <w:rFonts w:ascii="黑体" w:hAnsi="黑体" w:eastAsia="黑体" w:cs="黑体"/>
          <w:bCs w:val="0"/>
          <w:szCs w:val="32"/>
        </w:rPr>
        <w:t>机构设置</w:t>
      </w:r>
      <w:r>
        <w:tab/>
      </w:r>
      <w:r>
        <w:fldChar w:fldCharType="begin"/>
      </w:r>
      <w:r>
        <w:instrText xml:space="preserve"> PAGEREF _Toc2584 \h </w:instrText>
      </w:r>
      <w:r>
        <w:fldChar w:fldCharType="separate"/>
      </w:r>
      <w:r>
        <w:t>9</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3FA7221B">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_Toc23838 </w:instrText>
      </w:r>
      <w:r>
        <w:rPr>
          <w:rFonts w:hint="eastAsia" w:ascii="宋体" w:hAnsi="宋体" w:eastAsia="宋体" w:cs="宋体"/>
          <w:smallCaps/>
          <w:szCs w:val="20"/>
        </w:rPr>
        <w:fldChar w:fldCharType="separate"/>
      </w:r>
      <w:r>
        <w:rPr>
          <w:rFonts w:hint="eastAsia" w:cs="黑体"/>
          <w:bCs/>
          <w:szCs w:val="32"/>
          <w:lang w:eastAsia="zh-CN"/>
        </w:rPr>
        <w:t>第二章</w:t>
      </w:r>
      <w:r>
        <w:rPr>
          <w:rFonts w:hint="eastAsia" w:ascii="仿宋" w:hAnsi="仿宋" w:eastAsia="仿宋" w:cs="仿宋"/>
          <w:bCs/>
          <w:spacing w:val="-6"/>
          <w:kern w:val="44"/>
          <w:szCs w:val="32"/>
          <w:lang w:eastAsia="zh-CN" w:bidi="ar-SA"/>
        </w:rPr>
        <w:t xml:space="preserve"> </w:t>
      </w:r>
      <w:r>
        <w:rPr>
          <w:rFonts w:ascii="黑体" w:hAnsi="黑体" w:eastAsia="黑体" w:cs="黑体"/>
          <w:bCs/>
          <w:szCs w:val="32"/>
        </w:rPr>
        <w:t>2025年度单位决算情况说明</w:t>
      </w:r>
      <w:r>
        <w:tab/>
      </w:r>
      <w:r>
        <w:fldChar w:fldCharType="begin"/>
      </w:r>
      <w:r>
        <w:instrText xml:space="preserve"> PAGEREF _Toc23838 \h </w:instrText>
      </w:r>
      <w:r>
        <w:fldChar w:fldCharType="separate"/>
      </w:r>
      <w:r>
        <w:t>12</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6E659809">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_Toc22093 </w:instrText>
      </w:r>
      <w:r>
        <w:rPr>
          <w:rFonts w:hint="eastAsia" w:ascii="宋体" w:hAnsi="宋体" w:eastAsia="宋体" w:cs="宋体"/>
          <w:smallCaps/>
          <w:szCs w:val="20"/>
        </w:rPr>
        <w:fldChar w:fldCharType="separate"/>
      </w:r>
      <w:r>
        <w:rPr>
          <w:rFonts w:hint="eastAsia" w:cs="黑体"/>
          <w:bCs w:val="0"/>
          <w:szCs w:val="32"/>
          <w:lang w:eastAsia="zh-CN"/>
        </w:rPr>
        <w:t>一、</w:t>
      </w:r>
      <w:r>
        <w:rPr>
          <w:rFonts w:ascii="黑体" w:hAnsi="黑体" w:eastAsia="黑体" w:cs="黑体"/>
          <w:bCs w:val="0"/>
          <w:szCs w:val="32"/>
        </w:rPr>
        <w:t>收入支出决算总体情况说明</w:t>
      </w:r>
      <w:r>
        <w:tab/>
      </w:r>
      <w:r>
        <w:fldChar w:fldCharType="begin"/>
      </w:r>
      <w:r>
        <w:instrText xml:space="preserve"> PAGEREF _Toc22093 \h </w:instrText>
      </w:r>
      <w:r>
        <w:fldChar w:fldCharType="separate"/>
      </w:r>
      <w:r>
        <w:t>12</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bookmarkStart w:id="93" w:name="_GoBack"/>
      <w:bookmarkEnd w:id="93"/>
    </w:p>
    <w:p w14:paraId="523F420F">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_Toc4618 </w:instrText>
      </w:r>
      <w:r>
        <w:rPr>
          <w:rFonts w:hint="eastAsia" w:ascii="宋体" w:hAnsi="宋体" w:eastAsia="宋体" w:cs="宋体"/>
          <w:smallCaps/>
          <w:szCs w:val="20"/>
        </w:rPr>
        <w:fldChar w:fldCharType="separate"/>
      </w:r>
      <w:r>
        <w:rPr>
          <w:rFonts w:hint="eastAsia" w:cs="黑体"/>
          <w:bCs w:val="0"/>
          <w:szCs w:val="32"/>
          <w:lang w:eastAsia="zh-CN"/>
        </w:rPr>
        <w:t>二、</w:t>
      </w:r>
      <w:r>
        <w:rPr>
          <w:rFonts w:ascii="黑体" w:hAnsi="黑体" w:eastAsia="黑体" w:cs="黑体"/>
          <w:bCs w:val="0"/>
          <w:szCs w:val="32"/>
        </w:rPr>
        <w:t>收入决算情况说明</w:t>
      </w:r>
      <w:r>
        <w:tab/>
      </w:r>
      <w:r>
        <w:fldChar w:fldCharType="begin"/>
      </w:r>
      <w:r>
        <w:instrText xml:space="preserve"> PAGEREF _Toc4618 \h </w:instrText>
      </w:r>
      <w:r>
        <w:fldChar w:fldCharType="separate"/>
      </w:r>
      <w:r>
        <w:t>12</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18E2D491">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_Toc22432 </w:instrText>
      </w:r>
      <w:r>
        <w:rPr>
          <w:rFonts w:hint="eastAsia" w:ascii="宋体" w:hAnsi="宋体" w:eastAsia="宋体" w:cs="宋体"/>
          <w:smallCaps/>
          <w:szCs w:val="20"/>
        </w:rPr>
        <w:fldChar w:fldCharType="separate"/>
      </w:r>
      <w:r>
        <w:rPr>
          <w:rFonts w:hint="eastAsia" w:cs="黑体"/>
          <w:bCs w:val="0"/>
          <w:szCs w:val="32"/>
          <w:lang w:eastAsia="zh-CN"/>
        </w:rPr>
        <w:t>三、</w:t>
      </w:r>
      <w:r>
        <w:rPr>
          <w:rFonts w:ascii="黑体" w:hAnsi="黑体" w:eastAsia="黑体" w:cs="黑体"/>
          <w:bCs w:val="0"/>
          <w:szCs w:val="32"/>
        </w:rPr>
        <w:t>支出决算情况说明</w:t>
      </w:r>
      <w:r>
        <w:tab/>
      </w:r>
      <w:r>
        <w:fldChar w:fldCharType="begin"/>
      </w:r>
      <w:r>
        <w:instrText xml:space="preserve"> PAGEREF _Toc22432 \h </w:instrText>
      </w:r>
      <w:r>
        <w:fldChar w:fldCharType="separate"/>
      </w:r>
      <w:r>
        <w:t>13</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185C4A09">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_Toc4203 </w:instrText>
      </w:r>
      <w:r>
        <w:rPr>
          <w:rFonts w:hint="eastAsia" w:ascii="宋体" w:hAnsi="宋体" w:eastAsia="宋体" w:cs="宋体"/>
          <w:smallCaps/>
          <w:szCs w:val="20"/>
        </w:rPr>
        <w:fldChar w:fldCharType="separate"/>
      </w:r>
      <w:r>
        <w:rPr>
          <w:rFonts w:hint="eastAsia" w:cs="黑体"/>
          <w:bCs w:val="0"/>
          <w:szCs w:val="32"/>
          <w:lang w:eastAsia="zh-CN"/>
        </w:rPr>
        <w:t>四、</w:t>
      </w:r>
      <w:r>
        <w:rPr>
          <w:rFonts w:ascii="黑体" w:hAnsi="黑体" w:eastAsia="黑体" w:cs="黑体"/>
          <w:bCs w:val="0"/>
          <w:szCs w:val="32"/>
        </w:rPr>
        <w:t>财政拨款收入支出决算总体情况说明</w:t>
      </w:r>
      <w:r>
        <w:tab/>
      </w:r>
      <w:r>
        <w:fldChar w:fldCharType="begin"/>
      </w:r>
      <w:r>
        <w:instrText xml:space="preserve"> PAGEREF _Toc4203 \h </w:instrText>
      </w:r>
      <w:r>
        <w:fldChar w:fldCharType="separate"/>
      </w:r>
      <w:r>
        <w:t>14</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139A8AE8">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_Toc11672 </w:instrText>
      </w:r>
      <w:r>
        <w:rPr>
          <w:rFonts w:hint="eastAsia" w:ascii="宋体" w:hAnsi="宋体" w:eastAsia="宋体" w:cs="宋体"/>
          <w:smallCaps/>
          <w:szCs w:val="20"/>
        </w:rPr>
        <w:fldChar w:fldCharType="separate"/>
      </w:r>
      <w:r>
        <w:rPr>
          <w:rFonts w:hint="eastAsia" w:cs="黑体"/>
          <w:bCs w:val="0"/>
          <w:szCs w:val="32"/>
          <w:lang w:eastAsia="zh-CN"/>
        </w:rPr>
        <w:t>五、</w:t>
      </w:r>
      <w:r>
        <w:rPr>
          <w:rFonts w:ascii="黑体" w:hAnsi="黑体" w:eastAsia="黑体" w:cs="黑体"/>
          <w:bCs w:val="0"/>
          <w:szCs w:val="32"/>
        </w:rPr>
        <w:t>一般公共预算财政拨款支出决算情况说明</w:t>
      </w:r>
      <w:r>
        <w:tab/>
      </w:r>
      <w:r>
        <w:fldChar w:fldCharType="begin"/>
      </w:r>
      <w:r>
        <w:instrText xml:space="preserve"> PAGEREF _Toc11672 \h </w:instrText>
      </w:r>
      <w:r>
        <w:fldChar w:fldCharType="separate"/>
      </w:r>
      <w:r>
        <w:t>15</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1C37465B">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_Toc4822 </w:instrText>
      </w:r>
      <w:r>
        <w:rPr>
          <w:rFonts w:hint="eastAsia" w:ascii="宋体" w:hAnsi="宋体" w:eastAsia="宋体" w:cs="宋体"/>
          <w:smallCaps/>
          <w:szCs w:val="20"/>
        </w:rPr>
        <w:fldChar w:fldCharType="separate"/>
      </w:r>
      <w:r>
        <w:rPr>
          <w:rFonts w:hint="eastAsia" w:cs="楷体_GB2312"/>
          <w:bCs w:val="0"/>
          <w:szCs w:val="32"/>
          <w:lang w:eastAsia="zh-CN"/>
        </w:rPr>
        <w:t>（一）</w:t>
      </w:r>
      <w:r>
        <w:rPr>
          <w:rFonts w:ascii="Times New Roman" w:hAnsi="Times New Roman" w:eastAsia="楷体_GB2312" w:cs="楷体_GB2312"/>
          <w:bCs w:val="0"/>
          <w:szCs w:val="32"/>
        </w:rPr>
        <w:t>一般公共预算财政拨款支出决算总体情况</w:t>
      </w:r>
      <w:r>
        <w:tab/>
      </w:r>
      <w:r>
        <w:fldChar w:fldCharType="begin"/>
      </w:r>
      <w:r>
        <w:instrText xml:space="preserve"> PAGEREF _Toc4822 \h </w:instrText>
      </w:r>
      <w:r>
        <w:fldChar w:fldCharType="separate"/>
      </w:r>
      <w:r>
        <w:t>15</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3CA82E62">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_Toc12923 </w:instrText>
      </w:r>
      <w:r>
        <w:rPr>
          <w:rFonts w:hint="eastAsia" w:ascii="宋体" w:hAnsi="宋体" w:eastAsia="宋体" w:cs="宋体"/>
          <w:smallCaps/>
          <w:szCs w:val="20"/>
        </w:rPr>
        <w:fldChar w:fldCharType="separate"/>
      </w:r>
      <w:r>
        <w:rPr>
          <w:rFonts w:hint="eastAsia" w:cs="楷体_GB2312"/>
          <w:bCs w:val="0"/>
          <w:szCs w:val="32"/>
          <w:lang w:eastAsia="zh-CN"/>
        </w:rPr>
        <w:t>（二）</w:t>
      </w:r>
      <w:r>
        <w:rPr>
          <w:rFonts w:ascii="Times New Roman" w:hAnsi="Times New Roman" w:eastAsia="楷体_GB2312" w:cs="楷体_GB2312"/>
          <w:bCs w:val="0"/>
          <w:szCs w:val="32"/>
        </w:rPr>
        <w:t>一般公共预算财政拨款支出决算结构情况</w:t>
      </w:r>
      <w:r>
        <w:tab/>
      </w:r>
      <w:r>
        <w:fldChar w:fldCharType="begin"/>
      </w:r>
      <w:r>
        <w:instrText xml:space="preserve"> PAGEREF _Toc12923 \h </w:instrText>
      </w:r>
      <w:r>
        <w:fldChar w:fldCharType="separate"/>
      </w:r>
      <w:r>
        <w:t>16</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685A58BE">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_Toc5215 </w:instrText>
      </w:r>
      <w:r>
        <w:rPr>
          <w:rFonts w:hint="eastAsia" w:ascii="宋体" w:hAnsi="宋体" w:eastAsia="宋体" w:cs="宋体"/>
          <w:smallCaps/>
          <w:szCs w:val="20"/>
        </w:rPr>
        <w:fldChar w:fldCharType="separate"/>
      </w:r>
      <w:r>
        <w:rPr>
          <w:rFonts w:hint="eastAsia" w:cs="楷体_GB2312"/>
          <w:bCs w:val="0"/>
          <w:szCs w:val="32"/>
          <w:lang w:eastAsia="zh-CN"/>
        </w:rPr>
        <w:t>（三）</w:t>
      </w:r>
      <w:r>
        <w:rPr>
          <w:rFonts w:ascii="Times New Roman" w:hAnsi="Times New Roman" w:eastAsia="楷体_GB2312" w:cs="楷体_GB2312"/>
          <w:bCs w:val="0"/>
          <w:szCs w:val="32"/>
        </w:rPr>
        <w:t>一般公共预算财政拨款支出决算具体情况</w:t>
      </w:r>
      <w:r>
        <w:tab/>
      </w:r>
      <w:r>
        <w:fldChar w:fldCharType="begin"/>
      </w:r>
      <w:r>
        <w:instrText xml:space="preserve"> PAGEREF _Toc5215 \h </w:instrText>
      </w:r>
      <w:r>
        <w:fldChar w:fldCharType="separate"/>
      </w:r>
      <w:r>
        <w:t>17</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6FCBC898">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_Toc24427 </w:instrText>
      </w:r>
      <w:r>
        <w:rPr>
          <w:rFonts w:hint="eastAsia" w:ascii="宋体" w:hAnsi="宋体" w:eastAsia="宋体" w:cs="宋体"/>
          <w:smallCaps/>
          <w:szCs w:val="20"/>
        </w:rPr>
        <w:fldChar w:fldCharType="separate"/>
      </w:r>
      <w:r>
        <w:rPr>
          <w:rFonts w:hint="eastAsia" w:cs="黑体"/>
          <w:bCs w:val="0"/>
          <w:szCs w:val="32"/>
          <w:lang w:eastAsia="zh-CN"/>
        </w:rPr>
        <w:t>六、</w:t>
      </w:r>
      <w:r>
        <w:rPr>
          <w:rFonts w:ascii="黑体" w:hAnsi="黑体" w:eastAsia="黑体" w:cs="黑体"/>
          <w:bCs w:val="0"/>
          <w:szCs w:val="32"/>
        </w:rPr>
        <w:t>一般公共预算财政拨款基本支出决算情况说明</w:t>
      </w:r>
      <w:r>
        <w:tab/>
      </w:r>
      <w:r>
        <w:fldChar w:fldCharType="begin"/>
      </w:r>
      <w:r>
        <w:instrText xml:space="preserve"> PAGEREF _Toc24427 \h </w:instrText>
      </w:r>
      <w:r>
        <w:fldChar w:fldCharType="separate"/>
      </w:r>
      <w:r>
        <w:t>19</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7E969A40">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_Toc21138 </w:instrText>
      </w:r>
      <w:r>
        <w:rPr>
          <w:rFonts w:hint="eastAsia" w:ascii="宋体" w:hAnsi="宋体" w:eastAsia="宋体" w:cs="宋体"/>
          <w:smallCaps/>
          <w:szCs w:val="20"/>
        </w:rPr>
        <w:fldChar w:fldCharType="separate"/>
      </w:r>
      <w:r>
        <w:rPr>
          <w:rFonts w:hint="eastAsia" w:cs="黑体"/>
          <w:bCs w:val="0"/>
          <w:szCs w:val="32"/>
          <w:lang w:eastAsia="zh-CN"/>
        </w:rPr>
        <w:t>七、</w:t>
      </w:r>
      <w:r>
        <w:rPr>
          <w:rFonts w:ascii="黑体" w:hAnsi="黑体" w:eastAsia="黑体" w:cs="黑体"/>
          <w:bCs w:val="0"/>
          <w:szCs w:val="32"/>
        </w:rPr>
        <w:t>财政拨款“三公”经费支出决算情况说明</w:t>
      </w:r>
      <w:r>
        <w:tab/>
      </w:r>
      <w:r>
        <w:fldChar w:fldCharType="begin"/>
      </w:r>
      <w:r>
        <w:instrText xml:space="preserve"> PAGEREF _Toc21138 \h </w:instrText>
      </w:r>
      <w:r>
        <w:fldChar w:fldCharType="separate"/>
      </w:r>
      <w:r>
        <w:t>19</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5650058D">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_Toc18665 </w:instrText>
      </w:r>
      <w:r>
        <w:rPr>
          <w:rFonts w:hint="eastAsia" w:ascii="宋体" w:hAnsi="宋体" w:eastAsia="宋体" w:cs="宋体"/>
          <w:smallCaps/>
          <w:szCs w:val="20"/>
        </w:rPr>
        <w:fldChar w:fldCharType="separate"/>
      </w:r>
      <w:r>
        <w:rPr>
          <w:rFonts w:hint="eastAsia" w:cs="楷体_GB2312"/>
          <w:bCs w:val="0"/>
          <w:szCs w:val="32"/>
          <w:lang w:eastAsia="zh-CN"/>
        </w:rPr>
        <w:t>（一）</w:t>
      </w:r>
      <w:r>
        <w:rPr>
          <w:rFonts w:ascii="Times New Roman" w:hAnsi="Times New Roman" w:eastAsia="楷体_GB2312" w:cs="楷体_GB2312"/>
          <w:bCs w:val="0"/>
          <w:szCs w:val="32"/>
        </w:rPr>
        <w:t>“三公”经费财政拨款支出决算总体情况说明</w:t>
      </w:r>
      <w:r>
        <w:tab/>
      </w:r>
      <w:r>
        <w:fldChar w:fldCharType="begin"/>
      </w:r>
      <w:r>
        <w:instrText xml:space="preserve"> PAGEREF _Toc18665 \h </w:instrText>
      </w:r>
      <w:r>
        <w:fldChar w:fldCharType="separate"/>
      </w:r>
      <w:r>
        <w:t>19</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4F2ED13C">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_Toc20588 </w:instrText>
      </w:r>
      <w:r>
        <w:rPr>
          <w:rFonts w:hint="eastAsia" w:ascii="宋体" w:hAnsi="宋体" w:eastAsia="宋体" w:cs="宋体"/>
          <w:smallCaps/>
          <w:szCs w:val="20"/>
        </w:rPr>
        <w:fldChar w:fldCharType="separate"/>
      </w:r>
      <w:r>
        <w:rPr>
          <w:rFonts w:hint="eastAsia" w:cs="楷体_GB2312"/>
          <w:bCs w:val="0"/>
          <w:szCs w:val="32"/>
          <w:lang w:eastAsia="zh-CN"/>
        </w:rPr>
        <w:t>（二）</w:t>
      </w:r>
      <w:r>
        <w:rPr>
          <w:rFonts w:ascii="Times New Roman" w:hAnsi="Times New Roman" w:eastAsia="楷体_GB2312" w:cs="楷体_GB2312"/>
          <w:bCs w:val="0"/>
          <w:szCs w:val="32"/>
        </w:rPr>
        <w:t>“三公”经费财政拨款支出决算具体情况说明</w:t>
      </w:r>
      <w:r>
        <w:tab/>
      </w:r>
      <w:r>
        <w:fldChar w:fldCharType="begin"/>
      </w:r>
      <w:r>
        <w:instrText xml:space="preserve"> PAGEREF _Toc20588 \h </w:instrText>
      </w:r>
      <w:r>
        <w:fldChar w:fldCharType="separate"/>
      </w:r>
      <w:r>
        <w:t>20</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6719AE05">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_Toc11390 </w:instrText>
      </w:r>
      <w:r>
        <w:rPr>
          <w:rFonts w:hint="eastAsia" w:ascii="宋体" w:hAnsi="宋体" w:eastAsia="宋体" w:cs="宋体"/>
          <w:smallCaps/>
          <w:szCs w:val="20"/>
        </w:rPr>
        <w:fldChar w:fldCharType="separate"/>
      </w:r>
      <w:r>
        <w:rPr>
          <w:rFonts w:hint="eastAsia" w:cs="黑体"/>
          <w:bCs w:val="0"/>
          <w:szCs w:val="32"/>
          <w:lang w:eastAsia="zh-CN"/>
        </w:rPr>
        <w:t>八、</w:t>
      </w:r>
      <w:r>
        <w:rPr>
          <w:rFonts w:ascii="黑体" w:hAnsi="黑体" w:eastAsia="黑体" w:cs="黑体"/>
          <w:bCs w:val="0"/>
          <w:szCs w:val="32"/>
        </w:rPr>
        <w:t>政府性基金预算支出决算情况说明</w:t>
      </w:r>
      <w:r>
        <w:tab/>
      </w:r>
      <w:r>
        <w:fldChar w:fldCharType="begin"/>
      </w:r>
      <w:r>
        <w:instrText xml:space="preserve"> PAGEREF _Toc11390 \h </w:instrText>
      </w:r>
      <w:r>
        <w:fldChar w:fldCharType="separate"/>
      </w:r>
      <w:r>
        <w:t>21</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09AA2150">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_Toc27110 </w:instrText>
      </w:r>
      <w:r>
        <w:rPr>
          <w:rFonts w:hint="eastAsia" w:ascii="宋体" w:hAnsi="宋体" w:eastAsia="宋体" w:cs="宋体"/>
          <w:smallCaps/>
          <w:szCs w:val="20"/>
        </w:rPr>
        <w:fldChar w:fldCharType="separate"/>
      </w:r>
      <w:r>
        <w:rPr>
          <w:rFonts w:hint="eastAsia" w:cs="黑体"/>
          <w:bCs w:val="0"/>
          <w:szCs w:val="32"/>
          <w:lang w:eastAsia="zh-CN"/>
        </w:rPr>
        <w:t>九、</w:t>
      </w:r>
      <w:r>
        <w:rPr>
          <w:rFonts w:ascii="黑体" w:hAnsi="黑体" w:eastAsia="黑体" w:cs="黑体"/>
          <w:bCs w:val="0"/>
          <w:szCs w:val="32"/>
        </w:rPr>
        <w:t>国有资本经营预算支出决算情况说明</w:t>
      </w:r>
      <w:r>
        <w:tab/>
      </w:r>
      <w:r>
        <w:fldChar w:fldCharType="begin"/>
      </w:r>
      <w:r>
        <w:instrText xml:space="preserve"> PAGEREF _Toc27110 \h </w:instrText>
      </w:r>
      <w:r>
        <w:fldChar w:fldCharType="separate"/>
      </w:r>
      <w:r>
        <w:t>21</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4CD1329B">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_Toc133 </w:instrText>
      </w:r>
      <w:r>
        <w:rPr>
          <w:rFonts w:hint="eastAsia" w:ascii="宋体" w:hAnsi="宋体" w:eastAsia="宋体" w:cs="宋体"/>
          <w:smallCaps/>
          <w:szCs w:val="20"/>
        </w:rPr>
        <w:fldChar w:fldCharType="separate"/>
      </w:r>
      <w:r>
        <w:rPr>
          <w:rFonts w:hint="eastAsia" w:cs="黑体"/>
          <w:bCs w:val="0"/>
          <w:szCs w:val="32"/>
          <w:lang w:eastAsia="zh-CN"/>
        </w:rPr>
        <w:t>十、</w:t>
      </w:r>
      <w:r>
        <w:rPr>
          <w:rFonts w:ascii="黑体" w:hAnsi="黑体" w:eastAsia="黑体" w:cs="黑体"/>
          <w:bCs w:val="0"/>
          <w:szCs w:val="32"/>
        </w:rPr>
        <w:t>其他重要事项的情况说明</w:t>
      </w:r>
      <w:r>
        <w:tab/>
      </w:r>
      <w:r>
        <w:fldChar w:fldCharType="begin"/>
      </w:r>
      <w:r>
        <w:instrText xml:space="preserve"> PAGEREF _Toc133 \h </w:instrText>
      </w:r>
      <w:r>
        <w:fldChar w:fldCharType="separate"/>
      </w:r>
      <w:r>
        <w:t>21</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5ACCC385">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_Toc17679 </w:instrText>
      </w:r>
      <w:r>
        <w:rPr>
          <w:rFonts w:hint="eastAsia" w:ascii="宋体" w:hAnsi="宋体" w:eastAsia="宋体" w:cs="宋体"/>
          <w:smallCaps/>
          <w:szCs w:val="20"/>
        </w:rPr>
        <w:fldChar w:fldCharType="separate"/>
      </w:r>
      <w:r>
        <w:rPr>
          <w:rFonts w:hint="eastAsia" w:cs="楷体_GB2312"/>
          <w:bCs w:val="0"/>
          <w:szCs w:val="32"/>
          <w:lang w:eastAsia="zh-CN"/>
        </w:rPr>
        <w:t>（一）</w:t>
      </w:r>
      <w:r>
        <w:rPr>
          <w:rFonts w:ascii="Times New Roman" w:hAnsi="Times New Roman" w:eastAsia="楷体_GB2312" w:cs="楷体_GB2312"/>
          <w:bCs w:val="0"/>
          <w:szCs w:val="32"/>
        </w:rPr>
        <w:t>机关运行经费支出情况</w:t>
      </w:r>
      <w:r>
        <w:tab/>
      </w:r>
      <w:r>
        <w:fldChar w:fldCharType="begin"/>
      </w:r>
      <w:r>
        <w:instrText xml:space="preserve"> PAGEREF _Toc17679 \h </w:instrText>
      </w:r>
      <w:r>
        <w:fldChar w:fldCharType="separate"/>
      </w:r>
      <w:r>
        <w:t>21</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4B2C2F0F">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_Toc16238 </w:instrText>
      </w:r>
      <w:r>
        <w:rPr>
          <w:rFonts w:hint="eastAsia" w:ascii="宋体" w:hAnsi="宋体" w:eastAsia="宋体" w:cs="宋体"/>
          <w:smallCaps/>
          <w:szCs w:val="20"/>
        </w:rPr>
        <w:fldChar w:fldCharType="separate"/>
      </w:r>
      <w:r>
        <w:rPr>
          <w:rFonts w:hint="eastAsia" w:cs="楷体_GB2312"/>
          <w:bCs w:val="0"/>
          <w:szCs w:val="32"/>
          <w:lang w:eastAsia="zh-CN"/>
        </w:rPr>
        <w:t>（二）</w:t>
      </w:r>
      <w:r>
        <w:rPr>
          <w:rFonts w:ascii="Times New Roman" w:hAnsi="Times New Roman" w:eastAsia="楷体_GB2312" w:cs="楷体_GB2312"/>
          <w:bCs w:val="0"/>
          <w:szCs w:val="32"/>
        </w:rPr>
        <w:t>政府采购支出情况</w:t>
      </w:r>
      <w:r>
        <w:tab/>
      </w:r>
      <w:r>
        <w:fldChar w:fldCharType="begin"/>
      </w:r>
      <w:r>
        <w:instrText xml:space="preserve"> PAGEREF _Toc16238 \h </w:instrText>
      </w:r>
      <w:r>
        <w:fldChar w:fldCharType="separate"/>
      </w:r>
      <w:r>
        <w:t>22</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4330D99A">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_Toc5324 </w:instrText>
      </w:r>
      <w:r>
        <w:rPr>
          <w:rFonts w:hint="eastAsia" w:ascii="宋体" w:hAnsi="宋体" w:eastAsia="宋体" w:cs="宋体"/>
          <w:smallCaps/>
          <w:szCs w:val="20"/>
        </w:rPr>
        <w:fldChar w:fldCharType="separate"/>
      </w:r>
      <w:r>
        <w:rPr>
          <w:rFonts w:hint="eastAsia" w:cs="楷体_GB2312"/>
          <w:bCs w:val="0"/>
          <w:szCs w:val="32"/>
          <w:lang w:eastAsia="zh-CN"/>
        </w:rPr>
        <w:t>（三）</w:t>
      </w:r>
      <w:r>
        <w:rPr>
          <w:rFonts w:ascii="Times New Roman" w:hAnsi="Times New Roman" w:eastAsia="楷体_GB2312" w:cs="楷体_GB2312"/>
          <w:bCs w:val="0"/>
          <w:szCs w:val="32"/>
        </w:rPr>
        <w:t>国有资产占有使用情况</w:t>
      </w:r>
      <w:r>
        <w:tab/>
      </w:r>
      <w:r>
        <w:fldChar w:fldCharType="begin"/>
      </w:r>
      <w:r>
        <w:instrText xml:space="preserve"> PAGEREF _Toc5324 \h </w:instrText>
      </w:r>
      <w:r>
        <w:fldChar w:fldCharType="separate"/>
      </w:r>
      <w:r>
        <w:t>22</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094CE565">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_Toc12787 </w:instrText>
      </w:r>
      <w:r>
        <w:rPr>
          <w:rFonts w:hint="eastAsia" w:ascii="宋体" w:hAnsi="宋体" w:eastAsia="宋体" w:cs="宋体"/>
          <w:smallCaps/>
          <w:szCs w:val="20"/>
        </w:rPr>
        <w:fldChar w:fldCharType="separate"/>
      </w:r>
      <w:r>
        <w:rPr>
          <w:rFonts w:hint="eastAsia" w:cs="楷体_GB2312"/>
          <w:bCs w:val="0"/>
          <w:szCs w:val="32"/>
          <w:lang w:eastAsia="zh-CN"/>
        </w:rPr>
        <w:t>（四）</w:t>
      </w:r>
      <w:r>
        <w:rPr>
          <w:rFonts w:ascii="Times New Roman" w:hAnsi="Times New Roman" w:eastAsia="楷体_GB2312" w:cs="楷体_GB2312"/>
          <w:bCs w:val="0"/>
          <w:szCs w:val="32"/>
        </w:rPr>
        <w:t>预算绩效管理情况</w:t>
      </w:r>
      <w:r>
        <w:tab/>
      </w:r>
      <w:r>
        <w:fldChar w:fldCharType="begin"/>
      </w:r>
      <w:r>
        <w:instrText xml:space="preserve"> PAGEREF _Toc12787 \h </w:instrText>
      </w:r>
      <w:r>
        <w:fldChar w:fldCharType="separate"/>
      </w:r>
      <w:r>
        <w:t>22</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4E0BCCC4">
      <w:pPr>
        <w:pStyle w:val="20"/>
        <w:tabs>
          <w:tab w:val="right" w:leader="dot" w:pos="8845"/>
          <w:tab w:val="clear" w:pos="8296"/>
        </w:tabs>
        <w:rPr>
          <w:rFonts w:hint="eastAsia" w:eastAsia="宋体"/>
          <w:lang w:val="en-US" w:eastAsia="zh-CN"/>
        </w:rPr>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_Toc688 </w:instrText>
      </w:r>
      <w:r>
        <w:rPr>
          <w:rFonts w:hint="eastAsia" w:ascii="宋体" w:hAnsi="宋体" w:eastAsia="宋体" w:cs="宋体"/>
          <w:smallCaps/>
          <w:szCs w:val="20"/>
        </w:rPr>
        <w:fldChar w:fldCharType="separate"/>
      </w:r>
      <w:r>
        <w:rPr>
          <w:rFonts w:hint="eastAsia" w:cs="黑体"/>
          <w:bCs/>
          <w:szCs w:val="32"/>
          <w:lang w:eastAsia="zh-CN"/>
        </w:rPr>
        <w:t>第三章</w:t>
      </w:r>
      <w:r>
        <w:rPr>
          <w:rFonts w:hint="eastAsia" w:ascii="仿宋" w:hAnsi="仿宋" w:eastAsia="仿宋" w:cs="仿宋"/>
          <w:bCs/>
          <w:spacing w:val="-6"/>
          <w:kern w:val="44"/>
          <w:szCs w:val="32"/>
          <w:lang w:eastAsia="zh-CN" w:bidi="ar-SA"/>
        </w:rPr>
        <w:t xml:space="preserve"> </w:t>
      </w:r>
      <w:r>
        <w:rPr>
          <w:rFonts w:ascii="黑体" w:hAnsi="黑体" w:eastAsia="黑体" w:cs="黑体"/>
          <w:bCs/>
          <w:szCs w:val="32"/>
        </w:rPr>
        <w:t>名词解释</w:t>
      </w:r>
      <w:r>
        <w:tab/>
      </w:r>
      <w:r>
        <w:fldChar w:fldCharType="begin"/>
      </w:r>
      <w:r>
        <w:instrText xml:space="preserve"> PAGEREF _Toc688 \h </w:instrText>
      </w:r>
      <w:r>
        <w:fldChar w:fldCharType="separate"/>
      </w:r>
      <w:r>
        <w:t>2</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r>
        <w:rPr>
          <w:rFonts w:hint="eastAsia" w:ascii="宋体" w:hAnsi="宋体" w:eastAsia="宋体" w:cs="宋体"/>
          <w:smallCaps/>
          <w:color w:val="000000" w:themeColor="text1"/>
          <w:szCs w:val="20"/>
          <w:lang w:val="en-US" w:eastAsia="zh-CN"/>
          <w14:textFill>
            <w14:solidFill>
              <w14:schemeClr w14:val="tx1"/>
            </w14:solidFill>
          </w14:textFill>
        </w:rPr>
        <w:t>3</w:t>
      </w:r>
    </w:p>
    <w:p w14:paraId="281C118F">
      <w:pPr>
        <w:pStyle w:val="20"/>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_Toc22545 </w:instrText>
      </w:r>
      <w:r>
        <w:rPr>
          <w:rFonts w:hint="eastAsia" w:ascii="宋体" w:hAnsi="宋体" w:eastAsia="宋体" w:cs="宋体"/>
          <w:smallCaps/>
          <w:szCs w:val="20"/>
        </w:rPr>
        <w:fldChar w:fldCharType="separate"/>
      </w:r>
      <w:r>
        <w:rPr>
          <w:rFonts w:hint="eastAsia" w:cs="黑体"/>
          <w:bCs/>
          <w:szCs w:val="32"/>
          <w:lang w:eastAsia="zh-CN"/>
        </w:rPr>
        <w:t>第四章</w:t>
      </w:r>
      <w:r>
        <w:rPr>
          <w:rFonts w:hint="eastAsia" w:ascii="仿宋" w:hAnsi="仿宋" w:eastAsia="仿宋" w:cs="仿宋"/>
          <w:bCs/>
          <w:spacing w:val="-6"/>
          <w:kern w:val="44"/>
          <w:szCs w:val="32"/>
          <w:lang w:eastAsia="zh-CN" w:bidi="ar-SA"/>
        </w:rPr>
        <w:t xml:space="preserve"> </w:t>
      </w:r>
      <w:r>
        <w:rPr>
          <w:rFonts w:ascii="黑体" w:hAnsi="黑体" w:eastAsia="黑体" w:cs="黑体"/>
          <w:bCs/>
          <w:szCs w:val="32"/>
        </w:rPr>
        <w:t>附件</w:t>
      </w:r>
      <w:r>
        <w:tab/>
      </w:r>
      <w:r>
        <w:fldChar w:fldCharType="begin"/>
      </w:r>
      <w:r>
        <w:instrText xml:space="preserve"> PAGEREF _Toc22545 \h </w:instrText>
      </w:r>
      <w:r>
        <w:fldChar w:fldCharType="separate"/>
      </w:r>
      <w:r>
        <w:t>27</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0C6637B7">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_Toc147 </w:instrText>
      </w:r>
      <w:r>
        <w:rPr>
          <w:rFonts w:hint="eastAsia" w:ascii="宋体" w:hAnsi="宋体" w:eastAsia="宋体" w:cs="宋体"/>
          <w:smallCaps/>
          <w:szCs w:val="20"/>
        </w:rPr>
        <w:fldChar w:fldCharType="separate"/>
      </w:r>
      <w:r>
        <w:rPr>
          <w:rFonts w:hint="eastAsia" w:ascii="仿宋" w:hAnsi="仿宋" w:eastAsia="仿宋" w:cs="仿宋"/>
          <w:bCs/>
          <w:lang w:eastAsia="zh-CN"/>
        </w:rPr>
        <w:t>一、</w:t>
      </w:r>
      <w:r>
        <w:rPr>
          <w:rFonts w:hint="eastAsia" w:ascii="仿宋" w:hAnsi="仿宋" w:eastAsia="仿宋" w:cs="仿宋"/>
          <w:bCs/>
        </w:rPr>
        <w:t>收入支出决算总表</w:t>
      </w:r>
      <w:r>
        <w:tab/>
      </w:r>
      <w:r>
        <w:fldChar w:fldCharType="begin"/>
      </w:r>
      <w:r>
        <w:instrText xml:space="preserve"> PAGEREF _Toc147 \h </w:instrText>
      </w:r>
      <w:r>
        <w:fldChar w:fldCharType="separate"/>
      </w:r>
      <w:r>
        <w:t>76</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460142DD">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_Toc20173 </w:instrText>
      </w:r>
      <w:r>
        <w:rPr>
          <w:rFonts w:hint="eastAsia" w:ascii="宋体" w:hAnsi="宋体" w:eastAsia="宋体" w:cs="宋体"/>
          <w:smallCaps/>
          <w:szCs w:val="20"/>
        </w:rPr>
        <w:fldChar w:fldCharType="separate"/>
      </w:r>
      <w:r>
        <w:rPr>
          <w:rFonts w:hint="eastAsia" w:ascii="仿宋" w:hAnsi="仿宋" w:eastAsia="仿宋" w:cs="仿宋"/>
          <w:bCs/>
          <w:lang w:eastAsia="zh-CN"/>
        </w:rPr>
        <w:t>二、</w:t>
      </w:r>
      <w:r>
        <w:rPr>
          <w:rFonts w:hint="eastAsia" w:ascii="仿宋" w:hAnsi="仿宋" w:eastAsia="仿宋" w:cs="仿宋"/>
          <w:bCs/>
        </w:rPr>
        <w:t>收入决算表</w:t>
      </w:r>
      <w:r>
        <w:tab/>
      </w:r>
      <w:r>
        <w:fldChar w:fldCharType="begin"/>
      </w:r>
      <w:r>
        <w:instrText xml:space="preserve"> PAGEREF _Toc20173 \h </w:instrText>
      </w:r>
      <w:r>
        <w:fldChar w:fldCharType="separate"/>
      </w:r>
      <w:r>
        <w:t>76</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6D9FE51B">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_Toc1994 </w:instrText>
      </w:r>
      <w:r>
        <w:rPr>
          <w:rFonts w:hint="eastAsia" w:ascii="宋体" w:hAnsi="宋体" w:eastAsia="宋体" w:cs="宋体"/>
          <w:smallCaps/>
          <w:szCs w:val="20"/>
        </w:rPr>
        <w:fldChar w:fldCharType="separate"/>
      </w:r>
      <w:r>
        <w:rPr>
          <w:rFonts w:hint="eastAsia" w:ascii="仿宋" w:hAnsi="仿宋" w:eastAsia="仿宋" w:cs="仿宋"/>
          <w:bCs/>
          <w:lang w:eastAsia="zh-CN"/>
        </w:rPr>
        <w:t>三、</w:t>
      </w:r>
      <w:r>
        <w:rPr>
          <w:rFonts w:hint="eastAsia" w:ascii="仿宋" w:hAnsi="仿宋" w:eastAsia="仿宋" w:cs="仿宋"/>
          <w:bCs/>
        </w:rPr>
        <w:t>支出决算表</w:t>
      </w:r>
      <w:r>
        <w:tab/>
      </w:r>
      <w:r>
        <w:fldChar w:fldCharType="begin"/>
      </w:r>
      <w:r>
        <w:instrText xml:space="preserve"> PAGEREF _Toc1994 \h </w:instrText>
      </w:r>
      <w:r>
        <w:fldChar w:fldCharType="separate"/>
      </w:r>
      <w:r>
        <w:t>76</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7EECB2F7">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_Toc16647 </w:instrText>
      </w:r>
      <w:r>
        <w:rPr>
          <w:rFonts w:hint="eastAsia" w:ascii="宋体" w:hAnsi="宋体" w:eastAsia="宋体" w:cs="宋体"/>
          <w:smallCaps/>
          <w:szCs w:val="20"/>
        </w:rPr>
        <w:fldChar w:fldCharType="separate"/>
      </w:r>
      <w:r>
        <w:rPr>
          <w:rFonts w:hint="eastAsia" w:ascii="仿宋" w:hAnsi="仿宋" w:eastAsia="仿宋" w:cs="仿宋"/>
          <w:bCs/>
          <w:lang w:eastAsia="zh-CN"/>
        </w:rPr>
        <w:t>四、</w:t>
      </w:r>
      <w:r>
        <w:rPr>
          <w:rFonts w:hint="eastAsia" w:ascii="仿宋" w:hAnsi="仿宋" w:eastAsia="仿宋" w:cs="仿宋"/>
          <w:bCs/>
        </w:rPr>
        <w:t>财政拨款收入支出决算总表</w:t>
      </w:r>
      <w:r>
        <w:tab/>
      </w:r>
      <w:r>
        <w:fldChar w:fldCharType="begin"/>
      </w:r>
      <w:r>
        <w:instrText xml:space="preserve"> PAGEREF _Toc16647 \h </w:instrText>
      </w:r>
      <w:r>
        <w:fldChar w:fldCharType="separate"/>
      </w:r>
      <w:r>
        <w:t>76</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1D81BB5B">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_Toc15146 </w:instrText>
      </w:r>
      <w:r>
        <w:rPr>
          <w:rFonts w:hint="eastAsia" w:ascii="宋体" w:hAnsi="宋体" w:eastAsia="宋体" w:cs="宋体"/>
          <w:smallCaps/>
          <w:szCs w:val="20"/>
        </w:rPr>
        <w:fldChar w:fldCharType="separate"/>
      </w:r>
      <w:r>
        <w:rPr>
          <w:rFonts w:hint="eastAsia" w:ascii="仿宋" w:hAnsi="仿宋" w:eastAsia="仿宋" w:cs="仿宋"/>
          <w:bCs/>
          <w:lang w:eastAsia="zh-CN"/>
        </w:rPr>
        <w:t>五、</w:t>
      </w:r>
      <w:r>
        <w:rPr>
          <w:rFonts w:hint="eastAsia" w:ascii="仿宋" w:hAnsi="仿宋" w:eastAsia="仿宋" w:cs="仿宋"/>
          <w:bCs/>
        </w:rPr>
        <w:t>财政拨款支出决算明细表</w:t>
      </w:r>
      <w:r>
        <w:tab/>
      </w:r>
      <w:r>
        <w:fldChar w:fldCharType="begin"/>
      </w:r>
      <w:r>
        <w:instrText xml:space="preserve"> PAGEREF _Toc15146 \h </w:instrText>
      </w:r>
      <w:r>
        <w:fldChar w:fldCharType="separate"/>
      </w:r>
      <w:r>
        <w:t>76</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4E2EF307">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_Toc9184 </w:instrText>
      </w:r>
      <w:r>
        <w:rPr>
          <w:rFonts w:hint="eastAsia" w:ascii="宋体" w:hAnsi="宋体" w:eastAsia="宋体" w:cs="宋体"/>
          <w:smallCaps/>
          <w:szCs w:val="20"/>
        </w:rPr>
        <w:fldChar w:fldCharType="separate"/>
      </w:r>
      <w:r>
        <w:rPr>
          <w:rFonts w:hint="eastAsia" w:ascii="仿宋" w:hAnsi="仿宋" w:eastAsia="仿宋" w:cs="仿宋"/>
          <w:bCs/>
          <w:lang w:eastAsia="zh-CN"/>
        </w:rPr>
        <w:t>六、</w:t>
      </w:r>
      <w:r>
        <w:rPr>
          <w:rFonts w:hint="eastAsia" w:ascii="仿宋" w:hAnsi="仿宋" w:eastAsia="仿宋" w:cs="仿宋"/>
          <w:bCs/>
        </w:rPr>
        <w:t>一般公共预算财政拨款支出决算表</w:t>
      </w:r>
      <w:r>
        <w:tab/>
      </w:r>
      <w:r>
        <w:fldChar w:fldCharType="begin"/>
      </w:r>
      <w:r>
        <w:instrText xml:space="preserve"> PAGEREF _Toc9184 \h </w:instrText>
      </w:r>
      <w:r>
        <w:fldChar w:fldCharType="separate"/>
      </w:r>
      <w:r>
        <w:t>76</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799F26E7">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_Toc19019 </w:instrText>
      </w:r>
      <w:r>
        <w:rPr>
          <w:rFonts w:hint="eastAsia" w:ascii="宋体" w:hAnsi="宋体" w:eastAsia="宋体" w:cs="宋体"/>
          <w:smallCaps/>
          <w:szCs w:val="20"/>
        </w:rPr>
        <w:fldChar w:fldCharType="separate"/>
      </w:r>
      <w:r>
        <w:rPr>
          <w:rFonts w:hint="eastAsia" w:ascii="仿宋" w:hAnsi="仿宋" w:eastAsia="仿宋" w:cs="仿宋"/>
          <w:bCs/>
          <w:lang w:eastAsia="zh-CN"/>
        </w:rPr>
        <w:t>七、</w:t>
      </w:r>
      <w:r>
        <w:rPr>
          <w:rFonts w:hint="eastAsia" w:ascii="仿宋" w:hAnsi="仿宋" w:eastAsia="仿宋" w:cs="仿宋"/>
          <w:bCs/>
        </w:rPr>
        <w:t>一般公共预算财政拨款支出决算明细表</w:t>
      </w:r>
      <w:r>
        <w:tab/>
      </w:r>
      <w:r>
        <w:fldChar w:fldCharType="begin"/>
      </w:r>
      <w:r>
        <w:instrText xml:space="preserve"> PAGEREF _Toc19019 \h </w:instrText>
      </w:r>
      <w:r>
        <w:fldChar w:fldCharType="separate"/>
      </w:r>
      <w:r>
        <w:t>76</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149040F2">
      <w:pPr>
        <w:pStyle w:val="24"/>
        <w:tabs>
          <w:tab w:val="right" w:leader="dot" w:pos="8845"/>
          <w:tab w:val="clear" w:pos="8296"/>
        </w:tabs>
      </w:pPr>
      <w:r>
        <w:rPr>
          <w:rFonts w:hint="eastAsia" w:ascii="宋体" w:hAnsi="宋体" w:eastAsia="宋体" w:cs="宋体"/>
          <w:smallCaps/>
          <w:color w:val="000000" w:themeColor="text1"/>
          <w:szCs w:val="20"/>
          <w14:textFill>
            <w14:solidFill>
              <w14:schemeClr w14:val="tx1"/>
            </w14:solidFill>
          </w14:textFill>
        </w:rPr>
        <w:fldChar w:fldCharType="begin"/>
      </w:r>
      <w:r>
        <w:rPr>
          <w:rFonts w:hint="eastAsia" w:ascii="宋体" w:hAnsi="宋体" w:eastAsia="宋体" w:cs="宋体"/>
          <w:smallCaps/>
          <w:szCs w:val="20"/>
        </w:rPr>
        <w:instrText xml:space="preserve"> HYPERLINK \l _Toc17297 </w:instrText>
      </w:r>
      <w:r>
        <w:rPr>
          <w:rFonts w:hint="eastAsia" w:ascii="宋体" w:hAnsi="宋体" w:eastAsia="宋体" w:cs="宋体"/>
          <w:smallCaps/>
          <w:szCs w:val="20"/>
        </w:rPr>
        <w:fldChar w:fldCharType="separate"/>
      </w:r>
      <w:r>
        <w:rPr>
          <w:rFonts w:hint="eastAsia" w:ascii="仿宋" w:hAnsi="仿宋" w:eastAsia="仿宋" w:cs="仿宋"/>
          <w:bCs/>
          <w:lang w:eastAsia="zh-CN"/>
        </w:rPr>
        <w:t>八、</w:t>
      </w:r>
      <w:r>
        <w:rPr>
          <w:rFonts w:hint="eastAsia" w:ascii="仿宋" w:hAnsi="仿宋" w:eastAsia="仿宋" w:cs="仿宋"/>
          <w:bCs/>
        </w:rPr>
        <w:t>一般公共预算财政拨款基本支出决算表</w:t>
      </w:r>
      <w:r>
        <w:tab/>
      </w:r>
      <w:r>
        <w:fldChar w:fldCharType="begin"/>
      </w:r>
      <w:r>
        <w:instrText xml:space="preserve"> PAGEREF _Toc17297 \h </w:instrText>
      </w:r>
      <w:r>
        <w:fldChar w:fldCharType="separate"/>
      </w:r>
      <w:r>
        <w:t>76</w:t>
      </w:r>
      <w:r>
        <w:fldChar w:fldCharType="end"/>
      </w:r>
      <w:r>
        <w:rPr>
          <w:rFonts w:hint="eastAsia" w:ascii="宋体" w:hAnsi="宋体" w:eastAsia="宋体" w:cs="宋体"/>
          <w:smallCaps/>
          <w:color w:val="000000" w:themeColor="text1"/>
          <w:szCs w:val="20"/>
          <w14:textFill>
            <w14:solidFill>
              <w14:schemeClr w14:val="tx1"/>
            </w14:solidFill>
          </w14:textFill>
        </w:rPr>
        <w:fldChar w:fldCharType="end"/>
      </w:r>
    </w:p>
    <w:p w14:paraId="62FF81B7">
      <w:pPr>
        <w:pStyle w:val="11"/>
        <w:rPr>
          <w:rFonts w:hint="eastAsia" w:ascii="宋体" w:hAnsi="宋体" w:eastAsia="宋体" w:cs="宋体"/>
        </w:rPr>
      </w:pPr>
      <w:r>
        <w:rPr>
          <w:rFonts w:hint="eastAsia" w:ascii="宋体" w:hAnsi="宋体" w:eastAsia="宋体" w:cs="宋体"/>
          <w:smallCaps/>
          <w:color w:val="000000" w:themeColor="text1"/>
          <w:szCs w:val="20"/>
          <w14:textFill>
            <w14:solidFill>
              <w14:schemeClr w14:val="tx1"/>
            </w14:solidFill>
          </w14:textFill>
        </w:rPr>
        <w:fldChar w:fldCharType="end"/>
      </w:r>
    </w:p>
    <w:p w14:paraId="5A68A9FF">
      <w:pPr>
        <w:keepNext/>
        <w:keepLines/>
        <w:widowControl w:val="0"/>
        <w:spacing w:before="340" w:after="330" w:line="578" w:lineRule="auto"/>
        <w:jc w:val="center"/>
        <w:outlineLvl w:val="9"/>
        <w:rPr>
          <w:rFonts w:hint="eastAsia" w:ascii="黑体" w:hAnsi="黑体" w:eastAsia="黑体" w:cs="黑体"/>
          <w:b/>
          <w:bCs/>
          <w:kern w:val="44"/>
          <w:sz w:val="44"/>
          <w:szCs w:val="44"/>
          <w:lang w:val="en-US" w:eastAsia="zh-CN" w:bidi="ar-SA"/>
        </w:rPr>
        <w:sectPr>
          <w:headerReference r:id="rId3" w:type="default"/>
          <w:footerReference r:id="rId5" w:type="default"/>
          <w:headerReference r:id="rId4" w:type="even"/>
          <w:footerReference r:id="rId6" w:type="even"/>
          <w:pgSz w:w="11906" w:h="16838"/>
          <w:pgMar w:top="2098" w:right="1474" w:bottom="1984" w:left="1587" w:header="851" w:footer="1417" w:gutter="0"/>
          <w:pgNumType w:fmt="decimal" w:start="1"/>
          <w:cols w:space="425" w:num="1"/>
          <w:docGrid w:type="linesAndChars" w:linePitch="579" w:charSpace="15"/>
        </w:sectPr>
      </w:pPr>
      <w:bookmarkStart w:id="14" w:name="_Toc111208495"/>
    </w:p>
    <w:p w14:paraId="521E39E1">
      <w:pPr>
        <w:pStyle w:val="50"/>
        <w:numPr>
          <w:ilvl w:val="0"/>
          <w:numId w:val="0"/>
        </w:numPr>
        <w:ind w:leftChars="0"/>
        <w:rPr>
          <w:rFonts w:eastAsia="黑体"/>
          <w:b w:val="0"/>
          <w:bCs/>
          <w:sz w:val="32"/>
          <w:szCs w:val="32"/>
        </w:rPr>
      </w:pPr>
      <w:bookmarkStart w:id="15" w:name="_Toc6251"/>
      <w:r>
        <w:rPr>
          <w:rFonts w:hint="eastAsia" w:cs="黑体"/>
          <w:b w:val="0"/>
          <w:bCs/>
          <w:sz w:val="32"/>
          <w:szCs w:val="32"/>
          <w:lang w:eastAsia="zh-CN"/>
        </w:rPr>
        <w:t>第一章</w:t>
      </w:r>
      <w:r>
        <w:rPr>
          <w:rFonts w:hint="eastAsia" w:ascii="仿宋" w:hAnsi="仿宋" w:eastAsia="仿宋" w:cs="仿宋"/>
          <w:b w:val="0"/>
          <w:bCs/>
          <w:spacing w:val="-6"/>
          <w:kern w:val="44"/>
          <w:sz w:val="32"/>
          <w:szCs w:val="32"/>
          <w:lang w:eastAsia="zh-CN" w:bidi="ar-SA"/>
        </w:rPr>
        <w:t xml:space="preserve"> </w:t>
      </w:r>
      <w:r>
        <w:rPr>
          <w:rFonts w:ascii="黑体" w:hAnsi="黑体" w:eastAsia="黑体" w:cs="黑体"/>
          <w:b w:val="0"/>
          <w:bCs/>
          <w:sz w:val="32"/>
          <w:szCs w:val="32"/>
        </w:rPr>
        <w:t>单位</w:t>
      </w:r>
      <w:r>
        <w:rPr>
          <w:rFonts w:ascii="黑体" w:hAnsi="黑体" w:eastAsia="黑体" w:cs="黑体"/>
          <w:b w:val="0"/>
          <w:bCs/>
          <w:sz w:val="32"/>
          <w:szCs w:val="32"/>
          <w:u w:color="auto"/>
        </w:rPr>
        <w:t>概况</w:t>
      </w:r>
      <w:bookmarkEnd w:id="13"/>
      <w:bookmarkEnd w:id="14"/>
      <w:bookmarkEnd w:id="15"/>
    </w:p>
    <w:p w14:paraId="24C03C62">
      <w:pPr>
        <w:pStyle w:val="2"/>
        <w:numPr>
          <w:ilvl w:val="0"/>
          <w:numId w:val="0"/>
        </w:numPr>
        <w:topLinePunct w:val="0"/>
        <w:ind w:leftChars="0" w:firstLine="640" w:firstLineChars="200"/>
        <w:rPr>
          <w:rFonts w:eastAsia="黑体"/>
          <w:b w:val="0"/>
          <w:bCs w:val="0"/>
          <w:sz w:val="32"/>
          <w:szCs w:val="32"/>
        </w:rPr>
      </w:pPr>
      <w:bookmarkStart w:id="16" w:name="_Toc11683"/>
      <w:bookmarkStart w:id="17" w:name="_Toc15378445"/>
      <w:bookmarkStart w:id="18" w:name="_Toc15377198"/>
      <w:bookmarkStart w:id="19" w:name="_Toc15377204"/>
      <w:r>
        <w:rPr>
          <w:rFonts w:hint="eastAsia" w:cs="黑体"/>
          <w:b w:val="0"/>
          <w:bCs w:val="0"/>
          <w:sz w:val="32"/>
          <w:szCs w:val="32"/>
          <w:lang w:eastAsia="zh-CN"/>
        </w:rPr>
        <w:t>一、</w:t>
      </w:r>
      <w:r>
        <w:rPr>
          <w:rFonts w:ascii="黑体" w:hAnsi="黑体" w:eastAsia="黑体" w:cs="黑体"/>
          <w:b w:val="0"/>
          <w:bCs w:val="0"/>
          <w:sz w:val="32"/>
          <w:szCs w:val="32"/>
        </w:rPr>
        <w:t>主要职责</w:t>
      </w:r>
      <w:bookmarkEnd w:id="16"/>
    </w:p>
    <w:bookmarkEnd w:id="17"/>
    <w:bookmarkEnd w:id="18"/>
    <w:p w14:paraId="2F4B168F">
      <w:pPr>
        <w:pStyle w:val="13"/>
        <w:rPr>
          <w:rFonts w:ascii="Times New Roman" w:hAnsi="Times New Roman" w:eastAsia="仿宋_GB2312" w:cs="仿宋_GB2312"/>
          <w:b w:val="0"/>
          <w:bCs w:val="0"/>
          <w:sz w:val="32"/>
          <w:szCs w:val="32"/>
        </w:rPr>
      </w:pPr>
      <w:r>
        <w:rPr>
          <w:rFonts w:ascii="Times New Roman" w:hAnsi="Times New Roman" w:eastAsia="仿宋_GB2312" w:cs="仿宋_GB2312"/>
          <w:b w:val="0"/>
          <w:bCs w:val="0"/>
          <w:color w:val="000000"/>
          <w:sz w:val="32"/>
          <w:szCs w:val="32"/>
        </w:rPr>
        <w:t>主要 职责是：</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（一）负责起草卫生健康发展的战略目标、规划和政策并组织实施，统筹规划全县卫生健康、中藏医服务资源配置，指导 县卫生健康工作，指导和推动卫生健康公共服务网络体系建设。</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二）负责拟定全县疾病预防控制规划、免疫规划、严重危害人民健康的公共卫生问题的干预措施并组织实施，大骨节病防治中心工作。组织开展大骨节病、包虫病等地方病，肝炎、结核病、艾滋病等传染病及糖尿病、高血压等慢性病的监测、预防和控制。负责全县卫生应急工作，制定全县卫生应急和紧急医学救援预案、突发公共卫生事件监测和风险评估计划，组织和指导全县突发公共卫生事件预防控制和各类突发公共事件的医疗卫生救援，依法发布</w:t>
      </w:r>
      <w:r>
        <w:rPr>
          <w:rFonts w:ascii="Times New Roman" w:hAnsi="Times New Roman" w:eastAsia="仿宋_GB2312" w:cs="仿宋_GB2312"/>
          <w:b w:val="0"/>
          <w:bCs w:val="0"/>
          <w:color w:val="000000"/>
          <w:spacing wpsCustomData:val="-6" w:val="1"/>
          <w:sz w:val="32"/>
          <w:szCs w:val="32"/>
        </w:rPr>
        <w:t>法定报告传染病疫情相关信息、突发公共卫生事件应急处</w:t>
      </w:r>
      <w:r>
        <w:rPr>
          <w:rFonts w:ascii="Times New Roman" w:hAnsi="Times New Roman" w:eastAsia="仿宋_GB2312" w:cs="仿宋_GB2312"/>
          <w:b w:val="0"/>
          <w:bCs w:val="0"/>
          <w:color w:val="000000"/>
          <w:spacing wpsCustomData:val="-6" w:val="-6"/>
          <w:sz w:val="32"/>
          <w:szCs w:val="32"/>
        </w:rPr>
        <w:t>置</w:t>
      </w:r>
      <w:r>
        <w:rPr>
          <w:rFonts w:ascii="Times New Roman" w:hAnsi="Times New Roman" w:eastAsia="仿宋_GB2312" w:cs="仿宋_GB2312"/>
          <w:b w:val="0"/>
          <w:bCs w:val="0"/>
          <w:color w:val="000000"/>
          <w:sz w:val="32"/>
          <w:szCs w:val="32"/>
        </w:rPr>
        <w:t>信息。</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（三）负责拟订并组织实施医养结合政策，建立和完善老年健康服务体系，推进老年健康管理与服务。</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四）贯彻实施职责范围内的职业卫生、放射卫生、环境卫生、学校卫生、公共场所卫生、饮用水卫生管理规范、标准和政策措施，组织开展相关监测、调查、评估和监督，负责传染病防治监督，健全卫生健康综合监管体系。按照国家和省、州相关要求，会同有关部门制定、实施食品安全风险监测计划，依法授权开展食品安全企业标准备案，为食源性疾病及与食品安全事故有关的流行病学调查提供技术支持。</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五）负责组织拟订并实施基层卫生、妇幼卫生发展规划和政策措施，指导全县基层卫生、妇幼卫生服务体系建设，推进基本公共卫生服务均等化、普惠化、便捷化，完善基层运行新机制和乡村医生管理制度。贯彻落实干部医疗保健政策措施，负责全县有关干部的医疗保健和健康体检工作。负责重要会议与重大活动的医疗卫生保障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六）拟订全县医疗机构、医疗服务行业管理办法并监督实施，建立医疗服务评价和监督管理体系。会同有关部门实施卫生健康专业技术人员资格标准。制定并组织实施医疗机构、从业人员执业许可制度以及医疗卫生职业道德规范，实施医疗机构医疗服务、技术、医疗质量和采供血机构管理的政策、规范、标准，负责医疗机构、医务人员和医疗行为的日常监管。</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七）负责全县计划生育管理和服务工作。负责承担全县人口监测预警工作并提出人口与家庭发展相关健康政策建议。监督实施计划生育家庭扶助政策和计划生育特殊家庭扶助关怀制度。组织实施促进全县出生人口性别平衡的政策措施，组织监测计划生育发展动态，负责全县计划生育相关数据采集和分析研究，提出发布计划生育安全预警预报信息建议，依法公布有关计划生育技术服务重要信息，制定计划生育技术服务管理制度并监督实施，制定优生优育和提高出生人口素质的政策措施并组织实施，推动实施计划生育生殖健康促进计划，降低出生缺陷人口数量，组织建立计划生育利益导向、计划生育特殊困难家庭扶助和促进计划生育家庭发展等机制。依法规范计划生育药具管理制度。</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（八）制定流动人口计划生育服务管理制度并组织落实，推动建立流动人口卫生计生信息共享与公共服务工作机制。</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九）负责人才强卫战略组织实施。组织拟订全县卫生健康人才发展规划，指导卫生健康人才队伍建设，制订各级医疗卫生专业人员培训计划。负责实施提高农村卫生服务能力提高培训项目。组织实施继续医学教育、全科医生、学科带头人、专科进修、乡村医生、师承教育等培训。负责医疗卫生人员专业技术资格考试、考核和评审。组织开展医疗卫生职业道德教育和行业作风建设。组织拟订全县卫生健康科技发展规划，组织实施卫生健康相关科研项目，推进卫生健康科技新发展。参与制订医学教育发展规划，组织开展医学继续教育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牵头推进全县深化医药卫生体制改革。研究提出深化改革重大政策、措施的建议。牵头负责全县分级诊疗、现代医院管理、全民医保、药品供应保障、综合监管5项基本医疗卫生制度建设。拟订并组织实施推动卫生健康公共服务提供主体多元化、提供方式多样化的政策措施。</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一）贯彻落实国家药物政策和国家基本药物制度。开展药械使用监测、临床综合评价和短缺药品预警，组织执行国家药典和国家基本药物目录，拟订基本药物使用的政策措施。监管全县基本药物采购、配送、使用政策的实施；负责药品和医疗器械集中采购管理及实施。</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（十二）依法依规履行卫生健康行业安全生产监管职责。负责职责范围内的生态环境保护、审批服务便民化等工作。负责全县职业病防治工作。负责本级系统内公共机构节能工作。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（十三）承担卫生健康行政审批职责。完善卫生健康综合监督执法体系，规范卫生计生行政执法行为，监督检查有关法律法规和政策措</w:t>
      </w:r>
      <w:r>
        <w:rPr>
          <w:rFonts w:ascii="Times New Roman" w:hAnsi="Times New Roman" w:eastAsia="仿宋_GB2312" w:cs="仿宋_GB2312"/>
          <w:b w:val="0"/>
          <w:bCs w:val="0"/>
          <w:color w:val="000000"/>
          <w:spacing wpsCustomData:val="-6" w:val="-2"/>
          <w:sz w:val="32"/>
          <w:szCs w:val="32"/>
        </w:rPr>
        <w:t>施的落实，组织查处重大违法行为，监督落实计划生育一票</w:t>
      </w:r>
      <w:r>
        <w:rPr>
          <w:rFonts w:ascii="Times New Roman" w:hAnsi="Times New Roman" w:eastAsia="仿宋_GB2312" w:cs="仿宋_GB2312"/>
          <w:b w:val="0"/>
          <w:bCs w:val="0"/>
          <w:color w:val="000000"/>
          <w:spacing wpsCustomData:val="-6" w:val="-6"/>
          <w:sz w:val="32"/>
          <w:szCs w:val="32"/>
        </w:rPr>
        <w:t>否</w:t>
      </w:r>
      <w:r>
        <w:rPr>
          <w:rFonts w:ascii="Times New Roman" w:hAnsi="Times New Roman" w:eastAsia="仿宋_GB2312" w:cs="仿宋_GB2312"/>
          <w:b w:val="0"/>
          <w:bCs w:val="0"/>
          <w:color w:val="000000"/>
          <w:sz w:val="32"/>
          <w:szCs w:val="32"/>
        </w:rPr>
        <w:t>决制。</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（十四）负责卫生健康宣传、健康教育、健康促进和信息化建设等工作，依法组织实施统计调查，参与全县人口基础信息库建设。</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五）承担中（藏羌）医药管理局的职责，指导拟订全县中（藏羌）医中长期发展规划，并纳入卫生健康事业发展总体规划和战略目标。承担中（藏羌）医药管理局、疾控局、大骨节病防治中心职责。代管群团组织县计划生育协会，并指导业务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（十六）承担县爱国卫生运动委员会、重大传染病领导小组、县精神卫生工作领导小组、县地方病及病害防治领导小组、县无偿献血工作领导小组的日常工作。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十七）负责医疗卫生监督执法、开展学校卫生监督执法、职业卫生监督执法、政务一体化及互联网＋监管、网格化服务管理工作、医疗废物、精麻药品监督管理及禁毒相关工作、组织开展饮用水卫生、学校卫生、环境卫生、职业卫生、放射卫生及相关危害因素监测和管理，负责法治政府建设、依法治县及普法相关工作；公共场所监督检查、行政处罚、行政审批等信息收集、录入、报送工作。</w:t>
      </w:r>
    </w:p>
    <w:p w14:paraId="2CF1E803">
      <w:pPr>
        <w:pStyle w:val="2"/>
        <w:numPr>
          <w:ilvl w:val="0"/>
          <w:numId w:val="0"/>
        </w:numPr>
        <w:topLinePunct w:val="0"/>
        <w:ind w:leftChars="0" w:firstLine="640" w:firstLineChars="200"/>
        <w:rPr>
          <w:rFonts w:eastAsia="黑体"/>
          <w:b w:val="0"/>
          <w:bCs w:val="0"/>
          <w:sz w:val="32"/>
          <w:szCs w:val="32"/>
        </w:rPr>
      </w:pPr>
      <w:bookmarkStart w:id="20" w:name="_Toc111208497"/>
      <w:bookmarkStart w:id="21" w:name="_Toc2584"/>
      <w:bookmarkStart w:id="22" w:name="_Toc15377200"/>
      <w:bookmarkStart w:id="23" w:name="_Toc113981011"/>
      <w:r>
        <w:rPr>
          <w:rFonts w:hint="eastAsia" w:cs="黑体"/>
          <w:b w:val="0"/>
          <w:bCs w:val="0"/>
          <w:sz w:val="32"/>
          <w:szCs w:val="32"/>
          <w:lang w:eastAsia="zh-CN"/>
        </w:rPr>
        <w:t>二、</w:t>
      </w:r>
      <w:r>
        <w:rPr>
          <w:rFonts w:ascii="黑体" w:hAnsi="黑体" w:eastAsia="黑体" w:cs="黑体"/>
          <w:b w:val="0"/>
          <w:bCs w:val="0"/>
          <w:sz w:val="32"/>
          <w:szCs w:val="32"/>
        </w:rPr>
        <w:t>机构设置</w:t>
      </w:r>
      <w:bookmarkEnd w:id="20"/>
      <w:bookmarkEnd w:id="21"/>
      <w:bookmarkEnd w:id="22"/>
      <w:bookmarkEnd w:id="23"/>
    </w:p>
    <w:p w14:paraId="35A282CB">
      <w:pPr>
        <w:pStyle w:val="13"/>
        <w:rPr>
          <w:rFonts w:ascii="Times New Roman" w:hAnsi="Times New Roman" w:eastAsia="仿宋_GB2312" w:cs="仿宋_GB2312"/>
          <w:b w:val="0"/>
          <w:bCs w:val="0"/>
          <w:color w:val="000000"/>
          <w:sz w:val="32"/>
          <w:szCs w:val="32"/>
        </w:rPr>
      </w:pPr>
      <w:bookmarkStart w:id="24" w:name="_Toc10253"/>
      <w:r>
        <w:rPr>
          <w:rStyle w:val="53"/>
        </w:rPr>
        <w:t>（一）办公室</w:t>
      </w:r>
      <w:bookmarkEnd w:id="24"/>
      <w:r>
        <w:rPr>
          <w:rFonts w:ascii="Times New Roman" w:hAnsi="Times New Roman" w:eastAsia="仿宋_GB2312" w:cs="仿宋_GB2312"/>
          <w:b w:val="0"/>
          <w:bCs w:val="0"/>
          <w:color w:val="000000"/>
          <w:sz w:val="32"/>
          <w:szCs w:val="32"/>
        </w:rPr>
        <w:t>。负责综合协调、会务安排、后勤保障、接待工作，负责审核、发布规范性文件，起草综合性文件、报告、卫健信息编撰、审核、发布工作；负责政务公开、议案、提案、档案、精神文明、双拥工作，负责史志、年鉴编撰工作；负责绩效管理、目标督查工作；负责新闻宣传、舆情监测工作；负责党组、党支部、党风廉政、行业治理及意识形态日常工作；负责两联一进、统一战线、效能建设、信访、保密、安全生产工作；负责工、青、妇、残等群团日常工作；负责综合治理及维护稳定工作，负责公文处理、上传、下达、文件督办及档案室工作。负责健康阿坝日常工作；负责车辆管理、维护，机关后勤保障；完成州卫健委办公室、宣传科、临时工作，完成领导交办的其他工作。负责政务服务窗口全面工作。负责健康扶贫医疗救助资金申请资料的审核和拨付。完成领导交办的其他工作。负责卫健系统行政审批工作，四川省政务服务网、一体化政务服务平台、</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一网通办</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工作。完成州卫健委行政审批科、县行政审批局交办的临时工作，完成领导交办的其他工作。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二）规划财务与项目管理股。负责制定卫生健康事业中长期发展规划，协调全县服务资源配置，负责全县卫生健康系统事业经费预、决算，财政性资金使用监管，机关财务工作、事业财务工作、统计工作、固定资产管理工作，负责对口支援发展建设及资金安排，提出经济、医疗服务价格政策建议。负责卫健局及乡镇卫生院出纳工作及职工工资、社保及福利待遇工作，完成县州卫健委规划财务信息科报表工作。完成领导交办的其他工作。完成股室相关会议会务工作及接待工作。负责卫健局及乡镇卫生院大型医用装备的采购、配置管理和调查工作，负责卫健局库房物资管理工作、卫健局及乡镇卫生院基础设施及信息化建设工作，负责农业农村等相关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三）人事科教股。负责拟订全县卫生健康人才发展规划并组织实施，负责机构编制、岗位设置、人事调整、人事晋升、人事任免、人员招聘、岗前培训、人员培训及能力提升、人员档案管理工作，负责人才服务基层、各类人才表彰奖励、任职资格考试、职称改革、继续医学教育工作，负责对口支援工作。负责科技发展规划、科研项目工作，负责机关离退休人员日常工作。完成股室相关会议会务工作及接待工作。完成州卫健委人事科教科临时工作，完成领导交办的其他工作。完成领导交办的其他工作。完成股室相关会议会务工作及接待工作。</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四）医政药政股（妇幼健康股）。负责医疗机构、医疗技术、医疗质量和服务管理工作，负责平安医院创建和大调解工作，负责行业纠风、医德医风建设和医疗机构评审评价工作。负责义诊巡诊、基本药物制度、医药卫生体制改革、医共体建设工作。负责基层服务体系建设、基本公共卫生服务、乡村医生工作，负责家庭医生签约工作。负责爱国卫生、卫生城市创建、生态环境综合治理、农村改厕和献血、用血工作，拟定疾病防治规划，卫生应急、卫生防疫工作、指导传染病、职业病和精神卫生的防治工作，负责艾滋病、包虫病、结核病、乙肝等重大传染病工作，负责老龄工作、民族医药传承工作、大骨节病综合防治、</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组团式</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帮扶工作；完成州卫健委健委中医科、老龄办、基层卫生科、疾控科、医政科医改办、中医科、重传办临时工作，完成领导交办的其他工作。完成股室相关会议会务工作及接待工作。拟订并组织实施妇幼卫生健康技术服务政策、规划、技术标准和规范。指导妇幼健康服务体系建设和评审评价工作。指导妇幼卫生、出生缺陷防治、婴幼儿早期发展、人类辅助生殖技术管理和生育技术服务工作。承担县人民政府</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妇女儿童发展纲要</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卫生健康和生育指标的收集分析和上报工作。承担人口监测预警工作并提出人口与家庭发展相关健康政策建议。完善计划生育家庭扶助制度和特殊家庭扶助关怀政策。完善生育政策并组织实施。指导基层加 强计划生育基础管理和服务工作。推进基层计划生育工作网络建设。</w:t>
      </w:r>
    </w:p>
    <w:p w14:paraId="5A04B536">
      <w:pPr>
        <w:widowControl/>
        <w:jc w:val="left"/>
        <w:rPr>
          <w:rFonts w:hint="eastAsia" w:ascii="思源黑体 CN Normal" w:hAnsi="思源黑体 CN Normal" w:eastAsia="思源黑体 CN Normal" w:cs="思源黑体 CN Normal"/>
          <w:b/>
          <w:bCs/>
          <w:color w:val="000000"/>
          <w:kern w:val="44"/>
          <w:sz w:val="44"/>
          <w:szCs w:val="44"/>
        </w:rPr>
      </w:pPr>
      <w:r>
        <w:rPr>
          <w:rFonts w:hint="eastAsia" w:ascii="思源黑体 CN Normal" w:hAnsi="思源黑体 CN Normal" w:eastAsia="思源黑体 CN Normal" w:cs="思源黑体 CN Normal"/>
          <w:color w:val="000000"/>
        </w:rPr>
        <w:br w:type="page"/>
      </w:r>
    </w:p>
    <w:p w14:paraId="4DE8AC96">
      <w:pPr>
        <w:pStyle w:val="50"/>
        <w:numPr>
          <w:ilvl w:val="0"/>
          <w:numId w:val="0"/>
        </w:numPr>
        <w:ind w:leftChars="0"/>
        <w:rPr>
          <w:rFonts w:eastAsia="黑体"/>
          <w:b w:val="0"/>
          <w:bCs/>
          <w:sz w:val="32"/>
          <w:szCs w:val="32"/>
        </w:rPr>
      </w:pPr>
      <w:bookmarkStart w:id="25" w:name="_Toc23838"/>
      <w:bookmarkStart w:id="26" w:name="_Toc111208498"/>
      <w:r>
        <w:rPr>
          <w:rFonts w:hint="eastAsia" w:cs="黑体"/>
          <w:b w:val="0"/>
          <w:bCs/>
          <w:sz w:val="32"/>
          <w:szCs w:val="32"/>
          <w:u w:color="auto"/>
          <w:lang w:eastAsia="zh-CN"/>
        </w:rPr>
        <w:t>第二章</w:t>
      </w:r>
      <w:r>
        <w:rPr>
          <w:rFonts w:hint="eastAsia" w:ascii="仿宋" w:hAnsi="仿宋" w:eastAsia="仿宋" w:cs="仿宋"/>
          <w:b w:val="0"/>
          <w:bCs/>
          <w:spacing w:val="-6"/>
          <w:kern w:val="44"/>
          <w:sz w:val="32"/>
          <w:szCs w:val="32"/>
          <w:u w:color="auto"/>
          <w:lang w:eastAsia="zh-CN" w:bidi="ar-SA"/>
        </w:rPr>
        <w:t xml:space="preserve"> </w:t>
      </w:r>
      <w:r>
        <w:rPr>
          <w:rFonts w:ascii="黑体" w:hAnsi="黑体" w:eastAsia="黑体" w:cs="黑体"/>
          <w:b w:val="0"/>
          <w:bCs/>
          <w:sz w:val="32"/>
          <w:szCs w:val="32"/>
          <w:u w:color="auto"/>
        </w:rPr>
        <w:t>2025年度</w:t>
      </w:r>
      <w:r>
        <w:rPr>
          <w:rFonts w:ascii="黑体" w:hAnsi="黑体" w:eastAsia="黑体" w:cs="黑体"/>
          <w:b w:val="0"/>
          <w:bCs/>
          <w:sz w:val="32"/>
          <w:szCs w:val="32"/>
        </w:rPr>
        <w:t>单位决算情况说明</w:t>
      </w:r>
      <w:bookmarkEnd w:id="19"/>
      <w:bookmarkEnd w:id="25"/>
      <w:bookmarkEnd w:id="26"/>
    </w:p>
    <w:p w14:paraId="778F85CC">
      <w:pPr>
        <w:pStyle w:val="2"/>
        <w:numPr>
          <w:ilvl w:val="0"/>
          <w:numId w:val="0"/>
        </w:numPr>
        <w:topLinePunct w:val="0"/>
        <w:ind w:leftChars="0" w:firstLine="640" w:firstLineChars="200"/>
        <w:rPr>
          <w:rFonts w:eastAsia="黑体"/>
          <w:b w:val="0"/>
          <w:bCs w:val="0"/>
          <w:sz w:val="32"/>
          <w:szCs w:val="32"/>
        </w:rPr>
      </w:pPr>
      <w:bookmarkStart w:id="27" w:name="_Toc15377205"/>
      <w:bookmarkStart w:id="28" w:name="_Toc111208499"/>
      <w:bookmarkStart w:id="29" w:name="_Toc22093"/>
      <w:r>
        <w:rPr>
          <w:rFonts w:hint="eastAsia" w:cs="黑体"/>
          <w:b w:val="0"/>
          <w:bCs w:val="0"/>
          <w:sz w:val="32"/>
          <w:szCs w:val="32"/>
          <w:lang w:eastAsia="zh-CN"/>
        </w:rPr>
        <w:t>一、</w:t>
      </w:r>
      <w:r>
        <w:rPr>
          <w:rFonts w:ascii="黑体" w:hAnsi="黑体" w:eastAsia="黑体" w:cs="黑体"/>
          <w:b w:val="0"/>
          <w:bCs w:val="0"/>
          <w:sz w:val="32"/>
          <w:szCs w:val="32"/>
        </w:rPr>
        <w:t>收入支出决算总体情况说</w:t>
      </w:r>
      <w:bookmarkEnd w:id="27"/>
      <w:r>
        <w:rPr>
          <w:rFonts w:ascii="黑体" w:hAnsi="黑体" w:eastAsia="黑体" w:cs="黑体"/>
          <w:b w:val="0"/>
          <w:bCs w:val="0"/>
          <w:sz w:val="32"/>
          <w:szCs w:val="32"/>
        </w:rPr>
        <w:t>明</w:t>
      </w:r>
      <w:bookmarkEnd w:id="28"/>
      <w:bookmarkEnd w:id="29"/>
    </w:p>
    <w:p w14:paraId="1B462682">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w:t>
      </w:r>
      <w:r>
        <w:rPr>
          <w:rFonts w:ascii="Times New Roman" w:hAnsi="Times New Roman" w:eastAsia="仿宋_GB2312" w:cs="仿宋_GB2312"/>
          <w:b w:val="0"/>
          <w:bCs w:val="0"/>
          <w:color w:val="000000"/>
          <w:sz w:val="32"/>
          <w:szCs w:val="32"/>
          <w:u w:color="auto"/>
        </w:rPr>
        <w:t>年度收入、支出总计均为3,186.04</w:t>
      </w:r>
      <w:r>
        <w:rPr>
          <w:rFonts w:ascii="Times New Roman" w:hAnsi="Times New Roman" w:eastAsia="仿宋_GB2312" w:cs="仿宋_GB2312"/>
          <w:b w:val="0"/>
          <w:bCs w:val="0"/>
          <w:color w:val="000000"/>
          <w:sz w:val="32"/>
          <w:szCs w:val="32"/>
        </w:rPr>
        <w:t>万元。与</w:t>
      </w:r>
      <w:r>
        <w:rPr>
          <w:rFonts w:ascii="Times New Roman" w:hAnsi="Times New Roman" w:eastAsia="仿宋_GB2312" w:cs="仿宋_GB2312"/>
          <w:b w:val="0"/>
          <w:bCs w:val="0"/>
          <w:color w:val="000000"/>
          <w:sz w:val="32"/>
          <w:szCs w:val="32"/>
          <w:u w:color="auto"/>
        </w:rPr>
        <w:t>2024</w:t>
      </w:r>
      <w:r>
        <w:rPr>
          <w:rFonts w:ascii="Times New Roman" w:hAnsi="Times New Roman" w:eastAsia="仿宋_GB2312" w:cs="仿宋_GB2312"/>
          <w:b w:val="0"/>
          <w:bCs w:val="0"/>
          <w:color w:val="000000"/>
          <w:sz w:val="32"/>
          <w:szCs w:val="32"/>
        </w:rPr>
        <w:t>年度相比，收入、支出总计各</w:t>
      </w:r>
      <w:r>
        <w:rPr>
          <w:rFonts w:ascii="Times New Roman" w:hAnsi="Times New Roman" w:eastAsia="仿宋_GB2312" w:cs="仿宋_GB2312"/>
          <w:b w:val="0"/>
          <w:bCs w:val="0"/>
          <w:color w:val="000000"/>
          <w:sz w:val="32"/>
          <w:szCs w:val="32"/>
          <w:u w:color="auto"/>
        </w:rPr>
        <w:t xml:space="preserve">减少142.94万元，下降4.3％。主要变动原因是本年度项目减少，相应经费减少。 </w:t>
      </w:r>
    </w:p>
    <w:p w14:paraId="61134D0D">
      <w:pPr>
        <w:pStyle w:val="11"/>
        <w:rPr>
          <w:rFonts w:hint="eastAsia" w:ascii="思源黑体 CN Normal" w:hAnsi="思源黑体 CN Normal" w:eastAsia="思源黑体 CN Normal" w:cs="思源黑体 CN Normal"/>
        </w:rPr>
      </w:pPr>
      <w:r>
        <w:rPr>
          <w:rFonts w:hint="eastAsia" w:ascii="思源黑体 CN Normal" w:hAnsi="思源黑体 CN Normal" w:eastAsia="思源黑体 CN Normal" w:cs="思源黑体 CN Normal"/>
        </w:rPr>
        <w:drawing>
          <wp:inline distT="0" distB="0" distL="114300" distR="114300">
            <wp:extent cx="4338955" cy="2423795"/>
            <wp:effectExtent l="5080" t="4445" r="18415" b="10160"/>
            <wp:docPr id="1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8590810">
      <w:pPr>
        <w:pStyle w:val="5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（图1：收、支决算总计变动情况图）</w:t>
      </w:r>
    </w:p>
    <w:p w14:paraId="43B3D363">
      <w:pPr>
        <w:pStyle w:val="2"/>
        <w:numPr>
          <w:ilvl w:val="0"/>
          <w:numId w:val="0"/>
        </w:numPr>
        <w:topLinePunct w:val="0"/>
        <w:ind w:leftChars="0" w:firstLine="640" w:firstLineChars="200"/>
        <w:rPr>
          <w:rFonts w:eastAsia="黑体"/>
          <w:b w:val="0"/>
          <w:bCs w:val="0"/>
          <w:sz w:val="32"/>
          <w:szCs w:val="32"/>
        </w:rPr>
      </w:pPr>
      <w:bookmarkStart w:id="30" w:name="_Toc111208500"/>
      <w:bookmarkStart w:id="31" w:name="_Toc4618"/>
      <w:bookmarkStart w:id="32" w:name="_Toc15377206"/>
      <w:r>
        <w:rPr>
          <w:rFonts w:hint="eastAsia" w:cs="黑体"/>
          <w:b w:val="0"/>
          <w:bCs w:val="0"/>
          <w:sz w:val="32"/>
          <w:szCs w:val="32"/>
          <w:lang w:eastAsia="zh-CN"/>
        </w:rPr>
        <w:t>二、</w:t>
      </w:r>
      <w:r>
        <w:rPr>
          <w:rFonts w:ascii="黑体" w:hAnsi="黑体" w:eastAsia="黑体" w:cs="黑体"/>
          <w:b w:val="0"/>
          <w:bCs w:val="0"/>
          <w:sz w:val="32"/>
          <w:szCs w:val="32"/>
        </w:rPr>
        <w:t>收入决算情况说明</w:t>
      </w:r>
      <w:bookmarkEnd w:id="30"/>
      <w:bookmarkEnd w:id="31"/>
      <w:bookmarkEnd w:id="32"/>
    </w:p>
    <w:p w14:paraId="7DAB4092">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2025年度本年收入合计</w:t>
      </w:r>
      <w:r>
        <w:rPr>
          <w:rFonts w:ascii="Times New Roman" w:hAnsi="Times New Roman" w:eastAsia="仿宋_GB2312" w:cs="仿宋_GB2312"/>
          <w:b w:val="0"/>
          <w:bCs w:val="0"/>
          <w:color w:val="000000"/>
          <w:sz w:val="32"/>
          <w:szCs w:val="32"/>
          <w:u w:color="auto"/>
        </w:rPr>
        <w:t>3,186.04万元</w:t>
      </w:r>
      <w:r>
        <w:rPr>
          <w:rFonts w:ascii="Times New Roman" w:hAnsi="Times New Roman" w:eastAsia="仿宋_GB2312" w:cs="仿宋_GB2312"/>
          <w:b w:val="0"/>
          <w:bCs w:val="0"/>
          <w:color w:val="000000"/>
          <w:sz w:val="32"/>
          <w:szCs w:val="32"/>
        </w:rPr>
        <w:t>，其中：一般公共预算财政拨款收入2,992.79万元，占93.9％；其他收入193.25万元，占6.1％。</w:t>
      </w:r>
    </w:p>
    <w:p w14:paraId="6E48941D">
      <w:pPr>
        <w:pStyle w:val="23"/>
        <w:ind w:left="1060" w:hanging="640"/>
        <w:jc w:val="center"/>
        <w:rPr>
          <w:rFonts w:hint="eastAsia" w:ascii="思源黑体 CN Normal" w:hAnsi="思源黑体 CN Normal" w:eastAsia="思源黑体 CN Normal" w:cs="思源黑体 CN Normal"/>
          <w:color w:val="FF0000"/>
          <w:sz w:val="32"/>
          <w:szCs w:val="32"/>
        </w:rPr>
      </w:pPr>
      <w:r>
        <w:rPr>
          <w:rFonts w:hint="eastAsia" w:ascii="思源黑体 CN Normal" w:hAnsi="思源黑体 CN Normal" w:eastAsia="思源黑体 CN Normal" w:cs="思源黑体 CN Normal"/>
          <w:color w:val="FF0000"/>
          <w:sz w:val="32"/>
          <w:szCs w:val="32"/>
        </w:rPr>
        <w:drawing>
          <wp:inline distT="0" distB="0" distL="114300" distR="114300">
            <wp:extent cx="5332730" cy="3400425"/>
            <wp:effectExtent l="0" t="0" r="1270" b="952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D541CD">
      <w:pPr>
        <w:pStyle w:val="5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（图2：收入决算结构图）</w:t>
      </w:r>
    </w:p>
    <w:p w14:paraId="7196F3EB">
      <w:pPr>
        <w:pStyle w:val="2"/>
        <w:numPr>
          <w:ilvl w:val="0"/>
          <w:numId w:val="0"/>
        </w:numPr>
        <w:topLinePunct w:val="0"/>
        <w:ind w:leftChars="0" w:firstLine="640" w:firstLineChars="200"/>
        <w:rPr>
          <w:rFonts w:eastAsia="黑体"/>
          <w:b w:val="0"/>
          <w:bCs w:val="0"/>
          <w:sz w:val="32"/>
          <w:szCs w:val="32"/>
        </w:rPr>
      </w:pPr>
      <w:bookmarkStart w:id="33" w:name="_Toc22432"/>
      <w:bookmarkStart w:id="34" w:name="_Toc15377207"/>
      <w:bookmarkStart w:id="35" w:name="_Toc111208501"/>
      <w:r>
        <w:rPr>
          <w:rFonts w:hint="eastAsia" w:cs="黑体"/>
          <w:b w:val="0"/>
          <w:bCs w:val="0"/>
          <w:sz w:val="32"/>
          <w:szCs w:val="32"/>
          <w:lang w:eastAsia="zh-CN"/>
        </w:rPr>
        <w:t>三、</w:t>
      </w:r>
      <w:r>
        <w:rPr>
          <w:rFonts w:ascii="黑体" w:hAnsi="黑体" w:eastAsia="黑体" w:cs="黑体"/>
          <w:b w:val="0"/>
          <w:bCs w:val="0"/>
          <w:sz w:val="32"/>
          <w:szCs w:val="32"/>
        </w:rPr>
        <w:t>支出决算情况说明</w:t>
      </w:r>
      <w:bookmarkEnd w:id="33"/>
      <w:bookmarkEnd w:id="34"/>
      <w:bookmarkEnd w:id="35"/>
    </w:p>
    <w:p w14:paraId="1753835D">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2025年度本年支出合计</w:t>
      </w:r>
      <w:r>
        <w:rPr>
          <w:rFonts w:ascii="Times New Roman" w:hAnsi="Times New Roman" w:eastAsia="仿宋_GB2312" w:cs="仿宋_GB2312"/>
          <w:b w:val="0"/>
          <w:bCs w:val="0"/>
          <w:color w:val="000000"/>
          <w:sz w:val="32"/>
          <w:szCs w:val="32"/>
          <w:u w:color="auto"/>
        </w:rPr>
        <w:t>3,186.04万元</w:t>
      </w:r>
      <w:r>
        <w:rPr>
          <w:rFonts w:ascii="Times New Roman" w:hAnsi="Times New Roman" w:eastAsia="仿宋_GB2312" w:cs="仿宋_GB2312"/>
          <w:b w:val="0"/>
          <w:bCs w:val="0"/>
          <w:color w:val="000000"/>
          <w:sz w:val="32"/>
          <w:szCs w:val="32"/>
        </w:rPr>
        <w:t>，其中：基本支出380.66万元，占12％；项目支出2,805.38万元，占88.1％。</w:t>
      </w:r>
    </w:p>
    <w:p w14:paraId="25194A6F">
      <w:pPr>
        <w:jc w:val="center"/>
        <w:rPr>
          <w:rFonts w:hint="eastAsia" w:ascii="思源黑体 CN Normal" w:hAnsi="思源黑体 CN Normal" w:eastAsia="思源黑体 CN Normal" w:cs="思源黑体 CN Normal"/>
          <w:color w:val="FF0000"/>
          <w:sz w:val="32"/>
          <w:szCs w:val="32"/>
        </w:rPr>
      </w:pPr>
      <w:r>
        <w:rPr>
          <w:rFonts w:hint="eastAsia" w:ascii="思源黑体 CN Normal" w:hAnsi="思源黑体 CN Normal" w:eastAsia="思源黑体 CN Normal" w:cs="思源黑体 CN Normal"/>
          <w:color w:val="FF0000"/>
          <w:sz w:val="32"/>
          <w:szCs w:val="32"/>
        </w:rPr>
        <w:drawing>
          <wp:inline distT="0" distB="0" distL="114300" distR="114300">
            <wp:extent cx="5304155" cy="3429000"/>
            <wp:effectExtent l="0" t="0" r="10795" b="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7E40098">
      <w:pPr>
        <w:pStyle w:val="5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（图3：支出决算结构图）</w:t>
      </w:r>
    </w:p>
    <w:p w14:paraId="0429694F">
      <w:pPr>
        <w:pStyle w:val="2"/>
        <w:numPr>
          <w:ilvl w:val="0"/>
          <w:numId w:val="0"/>
        </w:numPr>
        <w:topLinePunct w:val="0"/>
        <w:ind w:leftChars="0" w:firstLine="640" w:firstLineChars="200"/>
        <w:rPr>
          <w:rFonts w:eastAsia="黑体"/>
          <w:b w:val="0"/>
          <w:bCs w:val="0"/>
          <w:sz w:val="32"/>
          <w:szCs w:val="32"/>
        </w:rPr>
      </w:pPr>
      <w:bookmarkStart w:id="36" w:name="_Toc4203"/>
      <w:bookmarkStart w:id="37" w:name="_Toc111208502"/>
      <w:bookmarkStart w:id="38" w:name="_Toc15377208"/>
      <w:r>
        <w:rPr>
          <w:rFonts w:hint="eastAsia" w:cs="黑体"/>
          <w:b w:val="0"/>
          <w:bCs w:val="0"/>
          <w:sz w:val="32"/>
          <w:szCs w:val="32"/>
          <w:lang w:eastAsia="zh-CN"/>
        </w:rPr>
        <w:t>四、</w:t>
      </w:r>
      <w:r>
        <w:rPr>
          <w:rFonts w:ascii="黑体" w:hAnsi="黑体" w:eastAsia="黑体" w:cs="黑体"/>
          <w:b w:val="0"/>
          <w:bCs w:val="0"/>
          <w:sz w:val="32"/>
          <w:szCs w:val="32"/>
        </w:rPr>
        <w:t>财政拨款收入支出决算总体情况说明</w:t>
      </w:r>
      <w:bookmarkEnd w:id="36"/>
      <w:bookmarkEnd w:id="37"/>
      <w:bookmarkEnd w:id="38"/>
    </w:p>
    <w:p w14:paraId="66D81735">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2025年度财政拨款收入、支出总计均为</w:t>
      </w:r>
      <w:r>
        <w:rPr>
          <w:rFonts w:ascii="Times New Roman" w:hAnsi="Times New Roman" w:eastAsia="仿宋_GB2312" w:cs="仿宋_GB2312"/>
          <w:b w:val="0"/>
          <w:bCs w:val="0"/>
          <w:color w:val="000000"/>
          <w:sz w:val="32"/>
          <w:szCs w:val="32"/>
          <w:u w:color="auto"/>
        </w:rPr>
        <w:t>2,992.79万元。与2024</w:t>
      </w:r>
      <w:r>
        <w:rPr>
          <w:rFonts w:ascii="Times New Roman" w:hAnsi="Times New Roman" w:eastAsia="仿宋_GB2312" w:cs="仿宋_GB2312"/>
          <w:b w:val="0"/>
          <w:bCs w:val="0"/>
          <w:color w:val="000000"/>
          <w:sz w:val="32"/>
          <w:szCs w:val="32"/>
        </w:rPr>
        <w:t>年度相比，财政拨款收入、支出总计各</w:t>
      </w:r>
      <w:r>
        <w:rPr>
          <w:rFonts w:ascii="Times New Roman" w:hAnsi="Times New Roman" w:eastAsia="仿宋_GB2312" w:cs="仿宋_GB2312"/>
          <w:b w:val="0"/>
          <w:bCs w:val="0"/>
          <w:color w:val="000000"/>
          <w:sz w:val="32"/>
          <w:szCs w:val="32"/>
          <w:u w:color="auto"/>
        </w:rPr>
        <w:t xml:space="preserve">减少273.99万元，下降8.4％。 </w:t>
      </w:r>
    </w:p>
    <w:p w14:paraId="48830107">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r>
    </w:p>
    <w:p w14:paraId="74768A39">
      <w:pPr>
        <w:pStyle w:val="11"/>
        <w:ind w:left="0" w:leftChars="0" w:firstLine="0" w:firstLineChars="0"/>
        <w:jc w:val="left"/>
        <w:rPr>
          <w:rFonts w:hint="eastAsia" w:ascii="思源黑体 CN Normal" w:hAnsi="思源黑体 CN Normal" w:eastAsia="思源黑体 CN Normal" w:cs="思源黑体 CN Normal"/>
          <w:color w:val="000000"/>
          <w:sz w:val="32"/>
          <w:szCs w:val="32"/>
        </w:rPr>
      </w:pPr>
      <w:r>
        <w:rPr>
          <w:rFonts w:hint="eastAsia" w:ascii="思源黑体 CN Normal" w:hAnsi="思源黑体 CN Normal" w:eastAsia="思源黑体 CN Normal" w:cs="思源黑体 CN Normal"/>
          <w:color w:val="000000"/>
          <w:sz w:val="32"/>
          <w:szCs w:val="32"/>
        </w:rPr>
        <w:drawing>
          <wp:inline distT="0" distB="0" distL="0" distR="0">
            <wp:extent cx="4981575" cy="3171825"/>
            <wp:effectExtent l="0" t="0" r="9525" b="9525"/>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19EF256">
      <w:pPr>
        <w:pStyle w:val="5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（图4：财政拨款收、支决算总计变动情况）</w:t>
      </w:r>
    </w:p>
    <w:p w14:paraId="094987CA">
      <w:pPr>
        <w:pStyle w:val="2"/>
        <w:numPr>
          <w:ilvl w:val="0"/>
          <w:numId w:val="0"/>
        </w:numPr>
        <w:topLinePunct w:val="0"/>
        <w:ind w:leftChars="0" w:firstLine="640" w:firstLineChars="200"/>
        <w:rPr>
          <w:rFonts w:eastAsia="黑体"/>
          <w:b w:val="0"/>
          <w:bCs w:val="0"/>
          <w:sz w:val="32"/>
          <w:szCs w:val="32"/>
        </w:rPr>
      </w:pPr>
      <w:bookmarkStart w:id="39" w:name="_Toc15377209"/>
      <w:bookmarkStart w:id="40" w:name="_Toc111208503"/>
      <w:bookmarkStart w:id="41" w:name="_Toc11672"/>
      <w:r>
        <w:rPr>
          <w:rFonts w:hint="eastAsia" w:cs="黑体"/>
          <w:b w:val="0"/>
          <w:bCs w:val="0"/>
          <w:sz w:val="32"/>
          <w:szCs w:val="32"/>
          <w:lang w:eastAsia="zh-CN"/>
        </w:rPr>
        <w:t>五、</w:t>
      </w:r>
      <w:r>
        <w:rPr>
          <w:rFonts w:ascii="黑体" w:hAnsi="黑体" w:eastAsia="黑体" w:cs="黑体"/>
          <w:b w:val="0"/>
          <w:bCs w:val="0"/>
          <w:sz w:val="32"/>
          <w:szCs w:val="32"/>
        </w:rPr>
        <w:t>一般公共预算财政拨款支出决算情况说</w:t>
      </w:r>
      <w:bookmarkEnd w:id="39"/>
      <w:r>
        <w:rPr>
          <w:rFonts w:ascii="黑体" w:hAnsi="黑体" w:eastAsia="黑体" w:cs="黑体"/>
          <w:b w:val="0"/>
          <w:bCs w:val="0"/>
          <w:sz w:val="32"/>
          <w:szCs w:val="32"/>
        </w:rPr>
        <w:t>明</w:t>
      </w:r>
      <w:bookmarkEnd w:id="40"/>
      <w:bookmarkEnd w:id="41"/>
    </w:p>
    <w:p w14:paraId="36EE17BD">
      <w:pPr>
        <w:pStyle w:val="3"/>
        <w:numPr>
          <w:ilvl w:val="0"/>
          <w:numId w:val="0"/>
        </w:numPr>
        <w:topLinePunct w:val="0"/>
        <w:ind w:leftChars="0" w:firstLine="640" w:firstLineChars="200"/>
        <w:rPr>
          <w:rFonts w:hint="eastAsia" w:eastAsia="楷体_GB2312"/>
          <w:b w:val="0"/>
          <w:bCs w:val="0"/>
          <w:sz w:val="32"/>
          <w:szCs w:val="32"/>
        </w:rPr>
      </w:pPr>
      <w:bookmarkStart w:id="42" w:name="_Toc4822"/>
      <w:bookmarkStart w:id="43" w:name="_Toc15377210"/>
      <w:r>
        <w:rPr>
          <w:rFonts w:hint="eastAsia" w:cs="楷体_GB2312"/>
          <w:b w:val="0"/>
          <w:bCs w:val="0"/>
          <w:sz w:val="32"/>
          <w:szCs w:val="32"/>
          <w:lang w:eastAsia="zh-CN"/>
        </w:rPr>
        <w:t>（一）</w:t>
      </w:r>
      <w:r>
        <w:rPr>
          <w:rFonts w:ascii="Times New Roman" w:hAnsi="Times New Roman" w:eastAsia="楷体_GB2312" w:cs="楷体_GB2312"/>
          <w:b w:val="0"/>
          <w:bCs w:val="0"/>
          <w:sz w:val="32"/>
          <w:szCs w:val="32"/>
        </w:rPr>
        <w:t>一般公共预算财政拨款支出决算总体情况</w:t>
      </w:r>
      <w:bookmarkEnd w:id="42"/>
      <w:bookmarkEnd w:id="43"/>
    </w:p>
    <w:p w14:paraId="371C2FB4">
      <w:pPr>
        <w:pStyle w:val="13"/>
        <w:rPr>
          <w:rFonts w:ascii="Times New Roman" w:hAnsi="Times New Roman" w:eastAsia="仿宋_GB2312" w:cs="仿宋_GB2312"/>
          <w:b/>
          <w:color w:val="000000"/>
          <w:sz w:val="32"/>
          <w:szCs w:val="32"/>
        </w:rPr>
      </w:pPr>
      <w:bookmarkStart w:id="44" w:name="_Toc15377211"/>
      <w:r>
        <w:rPr>
          <w:rFonts w:ascii="Times New Roman" w:hAnsi="Times New Roman" w:eastAsia="仿宋_GB2312" w:cs="仿宋_GB2312"/>
          <w:color w:val="000000"/>
          <w:sz w:val="32"/>
          <w:szCs w:val="32"/>
        </w:rPr>
        <w:t>2025年度一般公共预算财政拨款支出</w:t>
      </w:r>
      <w:r>
        <w:rPr>
          <w:rFonts w:ascii="Times New Roman" w:hAnsi="Times New Roman" w:eastAsia="仿宋_GB2312" w:cs="仿宋_GB2312"/>
          <w:color w:val="000000"/>
          <w:sz w:val="32"/>
          <w:szCs w:val="32"/>
          <w:u w:color="auto"/>
        </w:rPr>
        <w:t>2,992.79万元，占本年支出合计的93.9％。与2024</w:t>
      </w:r>
      <w:r>
        <w:rPr>
          <w:rFonts w:ascii="Times New Roman" w:hAnsi="Times New Roman" w:eastAsia="仿宋_GB2312" w:cs="仿宋_GB2312"/>
          <w:color w:val="000000"/>
          <w:sz w:val="32"/>
          <w:szCs w:val="32"/>
        </w:rPr>
        <w:t>年度相比，一般公共预算财政拨款</w:t>
      </w:r>
      <w:r>
        <w:rPr>
          <w:rFonts w:ascii="Times New Roman" w:hAnsi="Times New Roman" w:eastAsia="仿宋_GB2312" w:cs="仿宋_GB2312"/>
          <w:color w:val="000000"/>
          <w:sz w:val="32"/>
          <w:szCs w:val="32"/>
          <w:u w:color="auto"/>
        </w:rPr>
        <w:t xml:space="preserve">减少273.99万元，下降8.4％。 </w:t>
      </w:r>
    </w:p>
    <w:p w14:paraId="1392859B">
      <w:pPr>
        <w:pStyle w:val="11"/>
        <w:ind w:firstLine="0"/>
        <w:rPr>
          <w:rFonts w:hint="eastAsia" w:ascii="思源黑体 CN Normal" w:hAnsi="思源黑体 CN Normal" w:eastAsia="思源黑体 CN Normal" w:cs="思源黑体 CN Normal"/>
          <w:b/>
          <w:color w:val="000000"/>
          <w:sz w:val="32"/>
          <w:szCs w:val="32"/>
        </w:rPr>
      </w:pPr>
      <w:r>
        <w:rPr>
          <w:rFonts w:hint="eastAsia" w:ascii="思源黑体 CN Normal" w:hAnsi="思源黑体 CN Normal" w:eastAsia="思源黑体 CN Normal" w:cs="思源黑体 CN Normal"/>
          <w:b/>
          <w:color w:val="000000"/>
          <w:sz w:val="32"/>
          <w:szCs w:val="32"/>
        </w:rPr>
        <w:drawing>
          <wp:inline distT="0" distB="0" distL="0" distR="0">
            <wp:extent cx="4905375" cy="3569970"/>
            <wp:effectExtent l="0" t="0" r="9525" b="1143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DE6975">
      <w:pPr>
        <w:pStyle w:val="5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（图5：一般公共预算财政拨款支出决算变动情况）</w:t>
      </w:r>
    </w:p>
    <w:p w14:paraId="75A4B7C4">
      <w:pPr>
        <w:pStyle w:val="3"/>
        <w:numPr>
          <w:ilvl w:val="0"/>
          <w:numId w:val="0"/>
        </w:numPr>
        <w:topLinePunct w:val="0"/>
        <w:ind w:leftChars="0" w:firstLine="640" w:firstLineChars="200"/>
        <w:rPr>
          <w:rFonts w:hint="eastAsia" w:eastAsia="楷体_GB2312"/>
          <w:b w:val="0"/>
          <w:bCs w:val="0"/>
          <w:sz w:val="32"/>
          <w:szCs w:val="32"/>
        </w:rPr>
      </w:pPr>
      <w:bookmarkStart w:id="45" w:name="_Toc12923"/>
      <w:r>
        <w:rPr>
          <w:rFonts w:hint="eastAsia" w:cs="楷体_GB2312"/>
          <w:b w:val="0"/>
          <w:bCs w:val="0"/>
          <w:sz w:val="32"/>
          <w:szCs w:val="32"/>
          <w:lang w:eastAsia="zh-CN"/>
        </w:rPr>
        <w:t>（二）</w:t>
      </w:r>
      <w:r>
        <w:rPr>
          <w:rFonts w:ascii="Times New Roman" w:hAnsi="Times New Roman" w:eastAsia="楷体_GB2312" w:cs="楷体_GB2312"/>
          <w:b w:val="0"/>
          <w:bCs w:val="0"/>
          <w:sz w:val="32"/>
          <w:szCs w:val="32"/>
        </w:rPr>
        <w:t>一般公共预算财政拨款支出决算结构情况</w:t>
      </w:r>
      <w:bookmarkEnd w:id="44"/>
      <w:bookmarkEnd w:id="45"/>
    </w:p>
    <w:p w14:paraId="1E3404D8">
      <w:pPr>
        <w:pStyle w:val="13"/>
        <w:rPr>
          <w:rFonts w:ascii="Times New Roman" w:hAnsi="Times New Roman" w:eastAsia="仿宋_GB2312" w:cs="仿宋_GB2312"/>
          <w:b w:val="0"/>
          <w:bCs w:val="0"/>
          <w:color w:val="000000" w:themeColor="text1"/>
          <w:sz w:val="32"/>
          <w:szCs w:val="32"/>
          <w14:textFill>
            <w14:solidFill>
              <w14:schemeClr w14:val="tx1"/>
            </w14:solidFill>
          </w14:textFill>
        </w:rPr>
      </w:pPr>
      <w:r>
        <w:rPr>
          <w:rFonts w:ascii="Times New Roman" w:hAnsi="Times New Roman" w:eastAsia="仿宋_GB2312" w:cs="仿宋_GB2312"/>
          <w:b w:val="0"/>
          <w:bCs w:val="0"/>
          <w:color w:val="000000"/>
          <w:sz w:val="32"/>
          <w:szCs w:val="32"/>
        </w:rPr>
        <w:t>2025年度一般公共预算财政拨款支出</w:t>
      </w:r>
      <w:r>
        <w:rPr>
          <w:rFonts w:ascii="Times New Roman" w:hAnsi="Times New Roman" w:eastAsia="仿宋_GB2312" w:cs="仿宋_GB2312"/>
          <w:b w:val="0"/>
          <w:bCs w:val="0"/>
          <w:color w:val="000000"/>
          <w:sz w:val="32"/>
          <w:szCs w:val="32"/>
          <w:u w:color="auto"/>
        </w:rPr>
        <w:t>2,992.79万元，主要用于以下方面：社会保障和就业支出43.8万元，占1.5％；卫生健康支出2,924.77万元，占97.7％；住房保障支出24.22万元，占0.8％。</w:t>
      </w:r>
    </w:p>
    <w:p w14:paraId="68BC5887">
      <w:pPr>
        <w:pStyle w:val="11"/>
        <w:rPr>
          <w:rFonts w:hint="eastAsia" w:ascii="思源黑体 CN Normal" w:hAnsi="思源黑体 CN Normal" w:eastAsia="思源黑体 CN Normal" w:cs="思源黑体 CN Normal"/>
        </w:rPr>
      </w:pPr>
      <w:bookmarkStart w:id="46" w:name="_Toc15377212"/>
      <w:r>
        <w:rPr>
          <w:rFonts w:hint="eastAsia" w:ascii="思源黑体 CN Normal" w:hAnsi="思源黑体 CN Normal" w:eastAsia="思源黑体 CN Normal" w:cs="思源黑体 CN Normal"/>
          <w:color w:val="FF0000"/>
          <w:sz w:val="32"/>
          <w:szCs w:val="32"/>
          <w:lang w:val="en-US" w:eastAsia="zh-CN"/>
        </w:rPr>
        <w:t xml:space="preserve"> </w:t>
      </w:r>
      <w:r>
        <w:rPr>
          <w:rFonts w:hint="eastAsia" w:ascii="思源黑体 CN Normal" w:hAnsi="思源黑体 CN Normal" w:eastAsia="思源黑体 CN Normal" w:cs="思源黑体 CN Normal"/>
          <w:color w:val="FF0000"/>
          <w:sz w:val="32"/>
          <w:szCs w:val="32"/>
        </w:rPr>
        <w:drawing>
          <wp:inline distT="0" distB="0" distL="114300" distR="114300">
            <wp:extent cx="4468495" cy="2564130"/>
            <wp:effectExtent l="4445" t="4445" r="22860" b="2222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2D2F421">
      <w:pPr>
        <w:pStyle w:val="5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（图6：一般公共预算财政拨款支出决算结构）</w:t>
      </w:r>
    </w:p>
    <w:p w14:paraId="7B678BDA">
      <w:pPr>
        <w:pStyle w:val="3"/>
        <w:numPr>
          <w:ilvl w:val="0"/>
          <w:numId w:val="0"/>
        </w:numPr>
        <w:topLinePunct w:val="0"/>
        <w:ind w:leftChars="0" w:firstLine="640" w:firstLineChars="200"/>
        <w:rPr>
          <w:rFonts w:hint="eastAsia" w:eastAsia="楷体_GB2312"/>
          <w:b w:val="0"/>
          <w:bCs w:val="0"/>
          <w:sz w:val="32"/>
          <w:szCs w:val="32"/>
        </w:rPr>
      </w:pPr>
      <w:bookmarkStart w:id="47" w:name="_Toc5215"/>
      <w:r>
        <w:rPr>
          <w:rFonts w:hint="eastAsia" w:cs="楷体_GB2312"/>
          <w:b w:val="0"/>
          <w:bCs w:val="0"/>
          <w:sz w:val="32"/>
          <w:szCs w:val="32"/>
          <w:lang w:eastAsia="zh-CN"/>
        </w:rPr>
        <w:t>（三）</w:t>
      </w:r>
      <w:r>
        <w:rPr>
          <w:rFonts w:ascii="Times New Roman" w:hAnsi="Times New Roman" w:eastAsia="楷体_GB2312" w:cs="楷体_GB2312"/>
          <w:b w:val="0"/>
          <w:bCs w:val="0"/>
          <w:sz w:val="32"/>
          <w:szCs w:val="32"/>
        </w:rPr>
        <w:t>一般公共预算财政拨款支出决算具体情况</w:t>
      </w:r>
      <w:bookmarkEnd w:id="46"/>
      <w:bookmarkEnd w:id="47"/>
    </w:p>
    <w:p w14:paraId="13506E72">
      <w:pPr>
        <w:pStyle w:val="13"/>
        <w:rPr>
          <w:rFonts w:ascii="Times New Roman" w:hAnsi="Times New Roman" w:eastAsia="仿宋_GB2312" w:cs="仿宋_GB2312"/>
          <w:b w:val="0"/>
          <w:bCs w:val="0"/>
          <w:color w:val="000000"/>
          <w:sz w:val="32"/>
          <w:szCs w:val="32"/>
        </w:rPr>
      </w:pPr>
      <w:bookmarkStart w:id="48" w:name="_Toc15378460"/>
      <w:bookmarkStart w:id="49" w:name="_Toc15377444"/>
      <w:bookmarkStart w:id="50" w:name="_Toc15377213"/>
      <w:r>
        <w:rPr>
          <w:rFonts w:ascii="Times New Roman" w:hAnsi="Times New Roman" w:eastAsia="仿宋_GB2312" w:cs="仿宋_GB2312"/>
          <w:b w:val="0"/>
          <w:bCs w:val="0"/>
          <w:color w:val="000000"/>
          <w:sz w:val="32"/>
          <w:szCs w:val="32"/>
        </w:rPr>
        <w:t>2025年度一般公共预算支出决算数为</w:t>
      </w:r>
      <w:r>
        <w:rPr>
          <w:rFonts w:ascii="Times New Roman" w:hAnsi="Times New Roman" w:eastAsia="仿宋_GB2312" w:cs="仿宋_GB2312"/>
          <w:b w:val="0"/>
          <w:bCs w:val="0"/>
          <w:color w:val="000000"/>
          <w:sz w:val="32"/>
          <w:szCs w:val="32"/>
          <w:u w:color="auto"/>
        </w:rPr>
        <w:t>2,992.79万元，完成预算100％。其中：</w:t>
      </w:r>
      <w:bookmarkEnd w:id="48"/>
      <w:bookmarkEnd w:id="49"/>
      <w:bookmarkEnd w:id="50"/>
    </w:p>
    <w:p w14:paraId="7AED4EFD">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1.社会保障和就业支出（类）行政事业单位养老支出（款）机关事业单位基本养老保险缴费支出（项）：支出决算29.29万元，完成预算100％。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2.社会保障和就业支出（类）行政事业单位养老支出（款）机关事业单位职业年金缴费支出（项）：支出决算14.52万元，完成预算100％。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3.卫生健康支出（类）卫生健康管理事务（款）其他卫生健康管理事务支出（项）：支出决算72.39万元，完成预算100％。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4.卫生健康支出（类）基层医疗卫生机构（款）乡镇卫生院（项）：支出决算79.05万元，完成预算100％。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5.卫生健康支出（类）基层医疗卫生机构（款）其他基层医疗卫生机构支出（项）：支出决算631.16万元，完成预算100％。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6.卫生健康支出（类）公共卫生（款）基本公共卫生服务（项）：支出决算364.18万元，完成预算100％。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7.卫生健康支出（类）公共卫生（款）其他公共卫生支出（项）：支出决算91.04万元，完成预算100％。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8.卫生健康支出（类）计划生育事务（款）计划生育机构（项）：支出决算296.04万元，完成预算100％。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9.卫生健康支出（类）计划生育事务（款）其他计划生育事务支出（项）：支出决算485.08万元，完成预算100％。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10.卫生健康支出（类）行政事业单位医疗（款）事业单位医疗（项）：支出决算14.07万元，完成预算100％。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11.卫生健康支出（类）行政事业单位医疗（款）其他行政事业单位医疗支出（项）：支出决算2.53万元，完成预算100％。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12.卫生健康支出（类）医疗救助（款）其他医疗救助支出（项）：支出决算28.37万元，完成预算100％。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13.卫生健康支出（类）中医药事务（款）中医（民族医）药专项（项）：支出决算49.18万元，完成预算100％。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14.卫生健康支出（类）托育服务（款）其他托育服务支出（项）：支出决算654.45万元，完成预算100％。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15.卫生健康支出（类）其他卫生健康支出（款）其他卫生健康支出（项）：支出决算157.23万元，完成预算100％。</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16.住房保障支出（类）住房改革支出（款）住房公积金（项）：支出决算24.22万元，完成预算100％。</w:t>
      </w:r>
    </w:p>
    <w:p w14:paraId="5F1461C4">
      <w:pPr>
        <w:pStyle w:val="2"/>
        <w:numPr>
          <w:ilvl w:val="0"/>
          <w:numId w:val="0"/>
        </w:numPr>
        <w:topLinePunct w:val="0"/>
        <w:ind w:leftChars="0" w:firstLine="640" w:firstLineChars="200"/>
        <w:rPr>
          <w:rFonts w:eastAsia="黑体"/>
          <w:b w:val="0"/>
          <w:bCs w:val="0"/>
          <w:sz w:val="32"/>
          <w:szCs w:val="32"/>
        </w:rPr>
      </w:pPr>
      <w:bookmarkStart w:id="51" w:name="_Toc15377214"/>
      <w:bookmarkStart w:id="52" w:name="_Toc111208504"/>
      <w:bookmarkStart w:id="53" w:name="_Toc24427"/>
      <w:r>
        <w:rPr>
          <w:rFonts w:hint="eastAsia" w:cs="黑体"/>
          <w:b w:val="0"/>
          <w:bCs w:val="0"/>
          <w:sz w:val="32"/>
          <w:szCs w:val="32"/>
          <w:lang w:eastAsia="zh-CN"/>
        </w:rPr>
        <w:t>六、</w:t>
      </w:r>
      <w:r>
        <w:rPr>
          <w:rFonts w:ascii="黑体" w:hAnsi="黑体" w:eastAsia="黑体" w:cs="黑体"/>
          <w:b w:val="0"/>
          <w:bCs w:val="0"/>
          <w:sz w:val="32"/>
          <w:szCs w:val="32"/>
        </w:rPr>
        <w:t>一般公共预算财政拨款基本支出决算情况说</w:t>
      </w:r>
      <w:bookmarkEnd w:id="51"/>
      <w:r>
        <w:rPr>
          <w:rFonts w:ascii="黑体" w:hAnsi="黑体" w:eastAsia="黑体" w:cs="黑体"/>
          <w:b w:val="0"/>
          <w:bCs w:val="0"/>
          <w:sz w:val="32"/>
          <w:szCs w:val="32"/>
        </w:rPr>
        <w:t>明</w:t>
      </w:r>
      <w:bookmarkEnd w:id="52"/>
      <w:bookmarkEnd w:id="53"/>
    </w:p>
    <w:p w14:paraId="5A9F5381">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2025年度一般公共预算财政拨款基本支出</w:t>
      </w:r>
      <w:r>
        <w:rPr>
          <w:rFonts w:ascii="Times New Roman" w:hAnsi="Times New Roman" w:eastAsia="仿宋_GB2312" w:cs="仿宋_GB2312"/>
          <w:b w:val="0"/>
          <w:bCs w:val="0"/>
          <w:color w:val="000000"/>
          <w:sz w:val="32"/>
          <w:szCs w:val="32"/>
          <w:u w:color="auto"/>
        </w:rPr>
        <w:t>380.66万元，其中：</w:t>
      </w:r>
    </w:p>
    <w:p w14:paraId="116EF1FA">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人员经费</w:t>
      </w:r>
      <w:r>
        <w:rPr>
          <w:rFonts w:ascii="Times New Roman" w:hAnsi="Times New Roman" w:eastAsia="仿宋_GB2312" w:cs="仿宋_GB2312"/>
          <w:b w:val="0"/>
          <w:bCs w:val="0"/>
          <w:color w:val="000000"/>
          <w:sz w:val="32"/>
          <w:szCs w:val="32"/>
          <w:u w:color="auto"/>
        </w:rPr>
        <w:t>356.85万元，主要包括：基本工资55.44万元、津贴补贴44.92万元、奖金62.97万元、绩效工资39.67万元、机关事业单位基本养老保险缴费29.29万元、职业年金缴费14.52万元、职工基本医疗保险缴费14.07万元、公务员医疗补助缴费2.53万元、其他社会保障缴费1.43万元、住房公积金24.22万元、医疗费2.03万元、其他工资福利支出64.75万元、生活补助1万元、奖励金0.02万元。</w:t>
      </w:r>
    </w:p>
    <w:p w14:paraId="39B6CA0F">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公用经费</w:t>
      </w:r>
      <w:r>
        <w:rPr>
          <w:rFonts w:ascii="Times New Roman" w:hAnsi="Times New Roman" w:eastAsia="仿宋_GB2312" w:cs="仿宋_GB2312"/>
          <w:b w:val="0"/>
          <w:bCs w:val="0"/>
          <w:color w:val="000000"/>
          <w:sz w:val="32"/>
          <w:szCs w:val="32"/>
          <w:u w:color="auto"/>
        </w:rPr>
        <w:t>23.81万元，主要包括：办公费3.33万元、印刷费4.75万元、水费0.2万元、电费0.11万元、邮电费3.39万元、差旅费2.95万元、工会经费2.12万元、福利费4.42万元、其他商品和服务支出2.55万元、小计1.02万元。</w:t>
      </w:r>
    </w:p>
    <w:p w14:paraId="151B178E">
      <w:pPr>
        <w:pStyle w:val="2"/>
        <w:numPr>
          <w:ilvl w:val="0"/>
          <w:numId w:val="0"/>
        </w:numPr>
        <w:topLinePunct w:val="0"/>
        <w:ind w:leftChars="0" w:firstLine="640" w:firstLineChars="200"/>
        <w:rPr>
          <w:rFonts w:eastAsia="黑体"/>
          <w:b w:val="0"/>
          <w:bCs w:val="0"/>
          <w:sz w:val="32"/>
          <w:szCs w:val="32"/>
        </w:rPr>
      </w:pPr>
      <w:bookmarkStart w:id="54" w:name="_Toc15377215"/>
      <w:bookmarkStart w:id="55" w:name="_Toc111208505"/>
      <w:bookmarkStart w:id="56" w:name="_Toc21138"/>
      <w:r>
        <w:rPr>
          <w:rFonts w:hint="eastAsia" w:cs="黑体"/>
          <w:b w:val="0"/>
          <w:bCs w:val="0"/>
          <w:sz w:val="32"/>
          <w:szCs w:val="32"/>
          <w:lang w:eastAsia="zh-CN"/>
        </w:rPr>
        <w:t>七、</w:t>
      </w:r>
      <w:r>
        <w:rPr>
          <w:rFonts w:ascii="黑体" w:hAnsi="黑体" w:eastAsia="黑体" w:cs="黑体"/>
          <w:b w:val="0"/>
          <w:bCs w:val="0"/>
          <w:sz w:val="32"/>
          <w:szCs w:val="32"/>
        </w:rPr>
        <w:t>财政拨款“三公”经费支出决算情况说明</w:t>
      </w:r>
      <w:bookmarkEnd w:id="54"/>
      <w:bookmarkEnd w:id="55"/>
      <w:bookmarkEnd w:id="56"/>
    </w:p>
    <w:p w14:paraId="613FE387">
      <w:pPr>
        <w:pStyle w:val="3"/>
        <w:numPr>
          <w:ilvl w:val="0"/>
          <w:numId w:val="0"/>
        </w:numPr>
        <w:topLinePunct w:val="0"/>
        <w:ind w:leftChars="0" w:firstLine="640" w:firstLineChars="200"/>
        <w:rPr>
          <w:rFonts w:eastAsia="楷体_GB2312"/>
          <w:b w:val="0"/>
          <w:bCs w:val="0"/>
          <w:sz w:val="32"/>
          <w:szCs w:val="32"/>
        </w:rPr>
      </w:pPr>
      <w:bookmarkStart w:id="57" w:name="_Toc18665"/>
      <w:bookmarkStart w:id="58" w:name="_Toc15377216"/>
      <w:r>
        <w:rPr>
          <w:rFonts w:hint="eastAsia" w:cs="楷体_GB2312"/>
          <w:b w:val="0"/>
          <w:bCs w:val="0"/>
          <w:sz w:val="32"/>
          <w:szCs w:val="32"/>
          <w:lang w:eastAsia="zh-CN"/>
        </w:rPr>
        <w:t>（一）</w:t>
      </w:r>
      <w:r>
        <w:rPr>
          <w:rFonts w:ascii="Times New Roman" w:hAnsi="Times New Roman" w:eastAsia="楷体_GB2312" w:cs="楷体_GB2312"/>
          <w:b w:val="0"/>
          <w:bCs w:val="0"/>
          <w:sz w:val="32"/>
          <w:szCs w:val="32"/>
        </w:rPr>
        <w:t>“三公”经费财政拨款支出决算总体情况说明</w:t>
      </w:r>
      <w:bookmarkEnd w:id="57"/>
      <w:bookmarkEnd w:id="58"/>
    </w:p>
    <w:p w14:paraId="0C6B4B9F">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三公</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经费财政拨款支出决算为</w:t>
      </w:r>
      <w:r>
        <w:rPr>
          <w:rFonts w:ascii="Times New Roman" w:hAnsi="Times New Roman" w:eastAsia="仿宋_GB2312" w:cs="仿宋_GB2312"/>
          <w:b w:val="0"/>
          <w:bCs w:val="0"/>
          <w:color w:val="000000"/>
          <w:sz w:val="32"/>
          <w:szCs w:val="32"/>
          <w:u w:color="auto"/>
        </w:rPr>
        <w:t>2.89万元，完成预算100％，较上年度减少8.24万元，下降74％。</w:t>
      </w:r>
      <w:bookmarkStart w:id="59" w:name="_Toc15377217"/>
    </w:p>
    <w:p w14:paraId="1F750F0C">
      <w:pPr>
        <w:pStyle w:val="13"/>
        <w:rPr>
          <w:rFonts w:ascii="Times New Roman" w:hAnsi="Times New Roman" w:eastAsia="仿宋_GB2312" w:cs="仿宋_GB2312"/>
          <w:sz w:val="32"/>
          <w:szCs w:val="32"/>
        </w:rPr>
      </w:pPr>
      <w:r>
        <w:rPr>
          <w:rFonts w:ascii="Times New Roman" w:hAnsi="Times New Roman" w:eastAsia="仿宋_GB2312" w:cs="仿宋_GB2312"/>
          <w:b/>
          <w:color w:val="auto"/>
          <w:sz w:val="32"/>
          <w:szCs w:val="32"/>
          <w:highlight w:val="none"/>
        </w:rPr>
        <w:t>（注：上述</w:t>
      </w:r>
      <w:r>
        <w:rPr>
          <w:rFonts w:hint="eastAsia" w:ascii="仿宋_GB2312" w:hAnsi="仿宋_GB2312" w:eastAsia="仿宋_GB2312" w:cs="仿宋_GB2312"/>
          <w:b/>
          <w:color w:val="auto"/>
          <w:spacing w:val="-6"/>
          <w:sz w:val="32"/>
          <w:szCs w:val="32"/>
          <w:highlight w:val="none"/>
        </w:rPr>
        <w:t>“</w:t>
      </w:r>
      <w:r>
        <w:rPr>
          <w:rFonts w:ascii="Times New Roman" w:hAnsi="Times New Roman" w:eastAsia="仿宋_GB2312" w:cs="仿宋_GB2312"/>
          <w:b/>
          <w:color w:val="auto"/>
          <w:sz w:val="32"/>
          <w:szCs w:val="32"/>
          <w:highlight w:val="none"/>
        </w:rPr>
        <w:t>预算</w:t>
      </w:r>
      <w:r>
        <w:rPr>
          <w:rFonts w:hint="eastAsia" w:ascii="仿宋_GB2312" w:hAnsi="仿宋_GB2312" w:eastAsia="仿宋_GB2312" w:cs="仿宋_GB2312"/>
          <w:b/>
          <w:color w:val="auto"/>
          <w:spacing w:val="-6"/>
          <w:sz w:val="32"/>
          <w:szCs w:val="32"/>
          <w:highlight w:val="none"/>
        </w:rPr>
        <w:t>”</w:t>
      </w:r>
      <w:r>
        <w:rPr>
          <w:rFonts w:ascii="Times New Roman" w:hAnsi="Times New Roman" w:eastAsia="仿宋_GB2312" w:cs="仿宋_GB2312"/>
          <w:b/>
          <w:color w:val="auto"/>
          <w:sz w:val="32"/>
          <w:szCs w:val="32"/>
          <w:highlight w:val="none"/>
        </w:rPr>
        <w:t>口径为全年预算数，包括一般公共预算和政府性基金预算财政拨款支出决算情况。）</w:t>
      </w:r>
    </w:p>
    <w:p w14:paraId="5BC57BE3">
      <w:pPr>
        <w:pStyle w:val="3"/>
        <w:numPr>
          <w:ilvl w:val="0"/>
          <w:numId w:val="0"/>
        </w:numPr>
        <w:topLinePunct w:val="0"/>
        <w:ind w:leftChars="0" w:firstLine="640" w:firstLineChars="200"/>
        <w:rPr>
          <w:rFonts w:eastAsia="楷体_GB2312"/>
          <w:b w:val="0"/>
          <w:bCs w:val="0"/>
          <w:sz w:val="32"/>
          <w:szCs w:val="32"/>
        </w:rPr>
      </w:pPr>
      <w:bookmarkStart w:id="60" w:name="_Toc20588"/>
      <w:r>
        <w:rPr>
          <w:rFonts w:hint="eastAsia" w:cs="楷体_GB2312"/>
          <w:b w:val="0"/>
          <w:bCs w:val="0"/>
          <w:sz w:val="32"/>
          <w:szCs w:val="32"/>
          <w:lang w:eastAsia="zh-CN"/>
        </w:rPr>
        <w:t>（二）</w:t>
      </w:r>
      <w:r>
        <w:rPr>
          <w:rFonts w:ascii="Times New Roman" w:hAnsi="Times New Roman" w:eastAsia="楷体_GB2312" w:cs="楷体_GB2312"/>
          <w:b w:val="0"/>
          <w:bCs w:val="0"/>
          <w:sz w:val="32"/>
          <w:szCs w:val="32"/>
        </w:rPr>
        <w:t>“三公”经费财政拨款支出决算具体情况说明</w:t>
      </w:r>
      <w:bookmarkEnd w:id="59"/>
      <w:bookmarkEnd w:id="60"/>
    </w:p>
    <w:p w14:paraId="3F323677">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三公</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经费财政拨款支出</w:t>
      </w:r>
      <w:r>
        <w:rPr>
          <w:rFonts w:ascii="Times New Roman" w:hAnsi="Times New Roman" w:eastAsia="仿宋_GB2312" w:cs="仿宋_GB2312"/>
          <w:b w:val="0"/>
          <w:bCs w:val="0"/>
          <w:color w:val="000000"/>
          <w:sz w:val="32"/>
          <w:szCs w:val="32"/>
          <w:u w:color="auto"/>
        </w:rPr>
        <w:t>2.89万元，因公出国（境）费支出决算0万元，占0％；公务用车购置及运行维护费支出决算2.89万元，占100％；公务接待费支出决算0万元，占0％。具体情况如下：</w:t>
      </w:r>
    </w:p>
    <w:p w14:paraId="4B682179">
      <w:pPr>
        <w:pStyle w:val="11"/>
        <w:ind w:left="0" w:leftChars="0" w:firstLine="0" w:firstLineChars="0"/>
        <w:rPr>
          <w:rFonts w:hint="eastAsia" w:ascii="思源黑体 CN Normal" w:hAnsi="思源黑体 CN Normal" w:eastAsia="思源黑体 CN Normal" w:cs="思源黑体 CN Normal"/>
        </w:rPr>
      </w:pPr>
      <w:r>
        <w:rPr>
          <w:rFonts w:hint="eastAsia" w:ascii="思源黑体 CN Normal" w:hAnsi="思源黑体 CN Normal" w:eastAsia="思源黑体 CN Normal" w:cs="思源黑体 CN Normal"/>
          <w:color w:val="FF0000"/>
          <w:sz w:val="32"/>
          <w:szCs w:val="32"/>
          <w:lang w:val="en-US" w:eastAsia="zh-CN"/>
        </w:rPr>
        <w:t xml:space="preserve">     </w:t>
      </w:r>
      <w:r>
        <w:rPr>
          <w:rFonts w:hint="eastAsia" w:ascii="思源黑体 CN Normal" w:hAnsi="思源黑体 CN Normal" w:eastAsia="思源黑体 CN Normal" w:cs="思源黑体 CN Normal"/>
          <w:color w:val="FF0000"/>
          <w:sz w:val="32"/>
          <w:szCs w:val="32"/>
        </w:rPr>
        <w:drawing>
          <wp:inline distT="0" distB="0" distL="114300" distR="114300">
            <wp:extent cx="4468495" cy="2564130"/>
            <wp:effectExtent l="4445" t="4445" r="22860" b="222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D793809">
      <w:pPr>
        <w:pStyle w:val="5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（图7：“三公”经费财政拨款支出结构）</w:t>
      </w:r>
    </w:p>
    <w:p w14:paraId="1E9D76AF">
      <w:pPr>
        <w:pStyle w:val="13"/>
        <w:numPr>
          <w:ilvl w:val="0"/>
          <w:numId w:val="0"/>
        </w:numPr>
        <w:ind w:leftChars="0" w:firstLine="619" w:firstLineChars="200"/>
        <w:rPr>
          <w:rFonts w:eastAsia="仿宋_GB2312"/>
          <w:b/>
          <w:color w:val="000000"/>
          <w:sz w:val="32"/>
          <w:szCs w:val="32"/>
        </w:rPr>
      </w:pPr>
      <w:r>
        <w:rPr>
          <w:rFonts w:hint="eastAsia" w:cs="仿宋_GB2312"/>
          <w:b/>
          <w:color w:val="000000"/>
          <w:sz w:val="32"/>
          <w:szCs w:val="32"/>
          <w:lang w:eastAsia="zh-CN"/>
        </w:rPr>
        <w:t>1.</w:t>
      </w:r>
      <w:r>
        <w:rPr>
          <w:rFonts w:hint="eastAsia" w:ascii="仿宋" w:hAnsi="仿宋" w:eastAsia="仿宋" w:cs="仿宋"/>
          <w:b/>
          <w:color w:val="000000"/>
          <w:spacing w:val="-6"/>
          <w:sz w:val="32"/>
          <w:szCs w:val="32"/>
          <w:lang w:eastAsia="zh-CN"/>
        </w:rPr>
        <w:t xml:space="preserve"> </w:t>
      </w:r>
      <w:r>
        <w:rPr>
          <w:rFonts w:ascii="Times New Roman" w:hAnsi="Times New Roman" w:eastAsia="仿宋_GB2312" w:cs="仿宋_GB2312"/>
          <w:b/>
          <w:color w:val="000000"/>
          <w:sz w:val="32"/>
          <w:szCs w:val="32"/>
        </w:rPr>
        <w:t>因公出国（境）经费支出</w:t>
      </w:r>
      <w:r>
        <w:rPr>
          <w:rFonts w:ascii="Times New Roman" w:hAnsi="Times New Roman" w:eastAsia="仿宋_GB2312" w:cs="仿宋_GB2312"/>
          <w:color w:val="000000"/>
          <w:sz w:val="32"/>
          <w:szCs w:val="32"/>
        </w:rPr>
        <w:t>0</w:t>
      </w:r>
      <w:r>
        <w:rPr>
          <w:rFonts w:ascii="Times New Roman" w:hAnsi="Times New Roman" w:eastAsia="仿宋_GB2312" w:cs="仿宋_GB2312"/>
          <w:color w:val="000000"/>
          <w:sz w:val="32"/>
          <w:szCs w:val="32"/>
          <w:u w:color="auto"/>
        </w:rPr>
        <w:t xml:space="preserve">万元，完成预算100％。全年安排因公出国（境）团组0次，出国（境）0人。因公出国（境）支出决算比2024年增加0万元，增长0％。 </w:t>
      </w:r>
    </w:p>
    <w:p w14:paraId="327BF985">
      <w:pPr>
        <w:pStyle w:val="13"/>
        <w:numPr>
          <w:ilvl w:val="0"/>
          <w:numId w:val="0"/>
        </w:numPr>
        <w:ind w:leftChars="0" w:firstLine="619" w:firstLineChars="200"/>
        <w:rPr>
          <w:rFonts w:eastAsia="仿宋_GB2312"/>
          <w:b/>
          <w:color w:val="000000"/>
          <w:sz w:val="32"/>
          <w:szCs w:val="32"/>
        </w:rPr>
      </w:pPr>
      <w:r>
        <w:rPr>
          <w:rFonts w:hint="eastAsia" w:cs="仿宋_GB2312"/>
          <w:b/>
          <w:color w:val="000000"/>
          <w:sz w:val="32"/>
          <w:szCs w:val="32"/>
          <w:lang w:eastAsia="zh-CN"/>
        </w:rPr>
        <w:t>2.</w:t>
      </w:r>
      <w:r>
        <w:rPr>
          <w:rFonts w:hint="eastAsia" w:ascii="仿宋" w:hAnsi="仿宋" w:eastAsia="仿宋" w:cs="仿宋"/>
          <w:b/>
          <w:color w:val="000000"/>
          <w:spacing w:val="-6"/>
          <w:sz w:val="32"/>
          <w:szCs w:val="32"/>
          <w:lang w:eastAsia="zh-CN"/>
        </w:rPr>
        <w:t xml:space="preserve"> </w:t>
      </w:r>
      <w:r>
        <w:rPr>
          <w:rFonts w:ascii="Times New Roman" w:hAnsi="Times New Roman" w:eastAsia="仿宋_GB2312" w:cs="仿宋_GB2312"/>
          <w:b/>
          <w:color w:val="000000"/>
          <w:sz w:val="32"/>
          <w:szCs w:val="32"/>
        </w:rPr>
        <w:t>公务用车购置及运行维护费支出</w:t>
      </w:r>
      <w:r>
        <w:rPr>
          <w:rFonts w:ascii="Times New Roman" w:hAnsi="Times New Roman" w:eastAsia="仿宋_GB2312" w:cs="仿宋_GB2312"/>
          <w:color w:val="000000"/>
          <w:sz w:val="32"/>
          <w:szCs w:val="32"/>
        </w:rPr>
        <w:t>2.89</w:t>
      </w:r>
      <w:r>
        <w:rPr>
          <w:rFonts w:ascii="Times New Roman" w:hAnsi="Times New Roman" w:eastAsia="仿宋_GB2312" w:cs="仿宋_GB2312"/>
          <w:color w:val="000000"/>
          <w:sz w:val="32"/>
          <w:szCs w:val="32"/>
          <w:u w:color="auto"/>
        </w:rPr>
        <w:t>万元，完成预算100％。公务用车购置及运行维护费支出决算比2024</w:t>
      </w:r>
      <w:r>
        <w:rPr>
          <w:rFonts w:ascii="Times New Roman" w:hAnsi="Times New Roman" w:eastAsia="仿宋_GB2312" w:cs="仿宋_GB2312"/>
          <w:color w:val="000000"/>
          <w:sz w:val="32"/>
          <w:szCs w:val="32"/>
        </w:rPr>
        <w:t>年度减少8.24</w:t>
      </w:r>
      <w:r>
        <w:rPr>
          <w:rFonts w:ascii="Times New Roman" w:hAnsi="Times New Roman" w:eastAsia="仿宋_GB2312" w:cs="仿宋_GB2312"/>
          <w:color w:val="000000"/>
          <w:sz w:val="32"/>
          <w:szCs w:val="32"/>
          <w:u w:color="auto"/>
        </w:rPr>
        <w:t xml:space="preserve">万元，下降74％。主要原因是本年度无公务用车购置费。 </w:t>
      </w:r>
    </w:p>
    <w:p w14:paraId="7D2B639A">
      <w:pPr>
        <w:pStyle w:val="1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其中：</w:t>
      </w:r>
      <w:r>
        <w:rPr>
          <w:rFonts w:ascii="Times New Roman" w:hAnsi="Times New Roman" w:eastAsia="仿宋_GB2312" w:cs="仿宋_GB2312"/>
          <w:b/>
          <w:color w:val="000000"/>
          <w:sz w:val="32"/>
          <w:szCs w:val="32"/>
          <w:highlight w:val="none"/>
        </w:rPr>
        <w:t>公务用车购置支出</w:t>
      </w:r>
      <w:r>
        <w:rPr>
          <w:rFonts w:ascii="Times New Roman" w:hAnsi="Times New Roman" w:eastAsia="仿宋_GB2312" w:cs="仿宋_GB2312"/>
          <w:color w:val="000000"/>
          <w:sz w:val="32"/>
          <w:szCs w:val="32"/>
          <w:highlight w:val="none"/>
        </w:rPr>
        <w:t>0</w:t>
      </w:r>
      <w:r>
        <w:rPr>
          <w:rFonts w:ascii="Times New Roman" w:hAnsi="Times New Roman" w:eastAsia="仿宋_GB2312" w:cs="仿宋_GB2312"/>
          <w:color w:val="000000"/>
          <w:sz w:val="32"/>
          <w:szCs w:val="32"/>
          <w:highlight w:val="none"/>
          <w:u w:color="auto"/>
        </w:rPr>
        <w:t>万元。全年按规定更新购置公务用车</w:t>
      </w:r>
      <w:r>
        <w:rPr>
          <w:rFonts w:ascii="Times New Roman" w:hAnsi="Times New Roman" w:eastAsia="仿宋_GB2312" w:cs="仿宋_GB2312"/>
          <w:color w:val="000000"/>
          <w:sz w:val="32"/>
          <w:szCs w:val="32"/>
          <w:highlight w:val="none"/>
        </w:rPr>
        <w:t>0辆，其中：轿车0辆、金额0万元，越野车0辆、金额0万元，载客汽车0辆、金额0万元。截至</w:t>
      </w:r>
      <w:r>
        <w:rPr>
          <w:rFonts w:ascii="Times New Roman" w:hAnsi="Times New Roman" w:eastAsia="仿宋_GB2312" w:cs="仿宋_GB2312"/>
          <w:color w:val="000000"/>
          <w:sz w:val="32"/>
          <w:szCs w:val="32"/>
          <w:highlight w:val="none"/>
          <w:u w:color="auto"/>
        </w:rPr>
        <w:t>2025年12月</w:t>
      </w:r>
      <w:r>
        <w:rPr>
          <w:rFonts w:ascii="Times New Roman" w:hAnsi="Times New Roman" w:eastAsia="仿宋_GB2312" w:cs="仿宋_GB2312"/>
          <w:color w:val="000000"/>
          <w:sz w:val="32"/>
          <w:szCs w:val="32"/>
          <w:highlight w:val="none"/>
        </w:rPr>
        <w:t>31日，单位共有公务用车</w:t>
      </w:r>
      <w:r>
        <w:rPr>
          <w:rFonts w:ascii="Times New Roman" w:hAnsi="Times New Roman" w:eastAsia="仿宋_GB2312" w:cs="仿宋_GB2312"/>
          <w:color w:val="000000"/>
          <w:sz w:val="32"/>
          <w:szCs w:val="32"/>
          <w:highlight w:val="none"/>
          <w:u w:color="auto"/>
        </w:rPr>
        <w:t>3辆，其中：轿车</w:t>
      </w:r>
      <w:r>
        <w:rPr>
          <w:rFonts w:ascii="Times New Roman" w:hAnsi="Times New Roman" w:eastAsia="仿宋_GB2312" w:cs="仿宋_GB2312"/>
          <w:color w:val="000000"/>
          <w:sz w:val="32"/>
          <w:szCs w:val="32"/>
          <w:highlight w:val="none"/>
        </w:rPr>
        <w:t>0辆、越野车0辆、载客汽车0辆、</w:t>
      </w:r>
      <w:r>
        <w:rPr>
          <w:rFonts w:ascii="Times New Roman" w:hAnsi="Times New Roman" w:eastAsia="仿宋_GB2312" w:cs="仿宋_GB2312"/>
          <w:color w:val="000000"/>
          <w:sz w:val="32"/>
          <w:szCs w:val="32"/>
          <w:highlight w:val="none"/>
          <w:u w:color="auto"/>
        </w:rPr>
        <w:t>应急保障用车3辆</w:t>
      </w:r>
      <w:r>
        <w:rPr>
          <w:rFonts w:ascii="Times New Roman" w:hAnsi="Times New Roman" w:eastAsia="仿宋_GB2312" w:cs="仿宋_GB2312"/>
          <w:color w:val="000000"/>
          <w:sz w:val="32"/>
          <w:szCs w:val="32"/>
          <w:highlight w:val="none"/>
        </w:rPr>
        <w:t>。</w:t>
      </w:r>
    </w:p>
    <w:p w14:paraId="2ED6A1A6">
      <w:pPr>
        <w:pStyle w:val="13"/>
        <w:rPr>
          <w:rFonts w:ascii="Times New Roman" w:hAnsi="Times New Roman" w:eastAsia="仿宋_GB2312" w:cs="仿宋_GB2312"/>
          <w:color w:val="000000"/>
          <w:sz w:val="32"/>
          <w:szCs w:val="32"/>
        </w:rPr>
      </w:pPr>
      <w:r>
        <w:rPr>
          <w:rFonts w:ascii="Times New Roman" w:hAnsi="Times New Roman" w:eastAsia="仿宋_GB2312" w:cs="仿宋_GB2312"/>
          <w:b/>
          <w:color w:val="000000"/>
          <w:sz w:val="32"/>
          <w:szCs w:val="32"/>
        </w:rPr>
        <w:t>公务用车运行维护费支出</w:t>
      </w:r>
      <w:r>
        <w:rPr>
          <w:rFonts w:ascii="Times New Roman" w:hAnsi="Times New Roman" w:eastAsia="仿宋_GB2312" w:cs="仿宋_GB2312"/>
          <w:color w:val="000000"/>
          <w:sz w:val="32"/>
          <w:szCs w:val="32"/>
        </w:rPr>
        <w:t>2.89</w:t>
      </w:r>
      <w:r>
        <w:rPr>
          <w:rFonts w:ascii="Times New Roman" w:hAnsi="Times New Roman" w:eastAsia="仿宋_GB2312" w:cs="仿宋_GB2312"/>
          <w:color w:val="000000"/>
          <w:sz w:val="32"/>
          <w:szCs w:val="32"/>
          <w:u w:color="auto"/>
        </w:rPr>
        <w:t xml:space="preserve">万元。主要用于本年度无公务用车购置费。 </w:t>
      </w:r>
    </w:p>
    <w:p w14:paraId="2C1431EB">
      <w:pPr>
        <w:pStyle w:val="13"/>
        <w:numPr>
          <w:ilvl w:val="0"/>
          <w:numId w:val="0"/>
        </w:numPr>
        <w:ind w:leftChars="0" w:firstLine="619" w:firstLineChars="200"/>
        <w:rPr>
          <w:rFonts w:eastAsia="仿宋_GB2312"/>
          <w:b/>
          <w:color w:val="000000"/>
          <w:sz w:val="32"/>
          <w:szCs w:val="32"/>
        </w:rPr>
      </w:pPr>
      <w:r>
        <w:rPr>
          <w:rFonts w:hint="eastAsia" w:cs="仿宋_GB2312"/>
          <w:b/>
          <w:color w:val="000000"/>
          <w:sz w:val="32"/>
          <w:szCs w:val="32"/>
          <w:lang w:eastAsia="zh-CN"/>
        </w:rPr>
        <w:t>3.</w:t>
      </w:r>
      <w:r>
        <w:rPr>
          <w:rFonts w:hint="eastAsia" w:ascii="仿宋" w:hAnsi="仿宋" w:eastAsia="仿宋" w:cs="仿宋"/>
          <w:b/>
          <w:color w:val="000000"/>
          <w:spacing w:val="-6"/>
          <w:sz w:val="32"/>
          <w:szCs w:val="32"/>
          <w:lang w:eastAsia="zh-CN"/>
        </w:rPr>
        <w:t xml:space="preserve"> </w:t>
      </w:r>
      <w:r>
        <w:rPr>
          <w:rFonts w:ascii="Times New Roman" w:hAnsi="Times New Roman" w:eastAsia="仿宋_GB2312" w:cs="仿宋_GB2312"/>
          <w:b/>
          <w:color w:val="000000"/>
          <w:sz w:val="32"/>
          <w:szCs w:val="32"/>
        </w:rPr>
        <w:t>公务接待费支出</w:t>
      </w:r>
      <w:r>
        <w:rPr>
          <w:rFonts w:ascii="Times New Roman" w:hAnsi="Times New Roman" w:eastAsia="仿宋_GB2312" w:cs="仿宋_GB2312"/>
          <w:color w:val="000000"/>
          <w:sz w:val="32"/>
          <w:szCs w:val="32"/>
        </w:rPr>
        <w:t>0</w:t>
      </w:r>
      <w:r>
        <w:rPr>
          <w:rFonts w:ascii="Times New Roman" w:hAnsi="Times New Roman" w:eastAsia="仿宋_GB2312" w:cs="仿宋_GB2312"/>
          <w:color w:val="000000"/>
          <w:sz w:val="32"/>
          <w:szCs w:val="32"/>
          <w:u w:color="auto"/>
        </w:rPr>
        <w:t>万元，完成预算0％。公务接待费支出决算比2024</w:t>
      </w:r>
      <w:r>
        <w:rPr>
          <w:rFonts w:ascii="Times New Roman" w:hAnsi="Times New Roman" w:eastAsia="仿宋_GB2312" w:cs="仿宋_GB2312"/>
          <w:color w:val="000000"/>
          <w:sz w:val="32"/>
          <w:szCs w:val="32"/>
        </w:rPr>
        <w:t>年度增加0</w:t>
      </w:r>
      <w:r>
        <w:rPr>
          <w:rFonts w:ascii="Times New Roman" w:hAnsi="Times New Roman" w:eastAsia="仿宋_GB2312" w:cs="仿宋_GB2312"/>
          <w:color w:val="000000"/>
          <w:sz w:val="32"/>
          <w:szCs w:val="32"/>
          <w:u w:color="auto"/>
        </w:rPr>
        <w:t>万元，增长0％。</w:t>
      </w:r>
      <w:bookmarkStart w:id="61" w:name="_Toc15377218"/>
      <w:r>
        <w:rPr>
          <w:rFonts w:ascii="Times New Roman" w:hAnsi="Times New Roman" w:eastAsia="仿宋_GB2312" w:cs="仿宋_GB2312"/>
          <w:color w:val="000000"/>
          <w:sz w:val="32"/>
          <w:szCs w:val="32"/>
        </w:rPr>
        <w:t>其中：</w:t>
      </w:r>
    </w:p>
    <w:p w14:paraId="7F3EE578">
      <w:pPr>
        <w:pStyle w:val="13"/>
        <w:rPr>
          <w:rFonts w:ascii="Times New Roman" w:hAnsi="Times New Roman" w:eastAsia="仿宋_GB2312" w:cs="仿宋_GB2312"/>
          <w:color w:val="000000"/>
          <w:sz w:val="32"/>
          <w:szCs w:val="32"/>
        </w:rPr>
      </w:pPr>
      <w:r>
        <w:rPr>
          <w:rFonts w:ascii="Times New Roman" w:hAnsi="Times New Roman" w:eastAsia="仿宋_GB2312" w:cs="仿宋_GB2312"/>
          <w:b/>
          <w:color w:val="000000"/>
          <w:sz w:val="32"/>
          <w:szCs w:val="32"/>
        </w:rPr>
        <w:t>国内公务接待支出</w:t>
      </w:r>
      <w:r>
        <w:rPr>
          <w:rFonts w:ascii="Times New Roman" w:hAnsi="Times New Roman" w:eastAsia="仿宋_GB2312" w:cs="仿宋_GB2312"/>
          <w:color w:val="000000"/>
          <w:sz w:val="32"/>
          <w:szCs w:val="32"/>
        </w:rPr>
        <w:t>0</w:t>
      </w:r>
      <w:r>
        <w:rPr>
          <w:rFonts w:ascii="Times New Roman" w:hAnsi="Times New Roman" w:eastAsia="仿宋_GB2312" w:cs="仿宋_GB2312"/>
          <w:color w:val="000000"/>
          <w:sz w:val="32"/>
          <w:szCs w:val="32"/>
          <w:u w:color="auto"/>
        </w:rPr>
        <w:t>万元。</w:t>
      </w:r>
    </w:p>
    <w:p w14:paraId="662C5F0F">
      <w:pPr>
        <w:pStyle w:val="13"/>
        <w:rPr>
          <w:rFonts w:ascii="Times New Roman" w:hAnsi="Times New Roman" w:eastAsia="仿宋_GB2312" w:cs="仿宋_GB2312"/>
          <w:color w:val="000000"/>
          <w:sz w:val="32"/>
          <w:szCs w:val="32"/>
        </w:rPr>
      </w:pPr>
      <w:r>
        <w:rPr>
          <w:rFonts w:ascii="Times New Roman" w:hAnsi="Times New Roman" w:eastAsia="仿宋_GB2312" w:cs="仿宋_GB2312"/>
          <w:b/>
          <w:color w:val="000000"/>
          <w:sz w:val="32"/>
          <w:szCs w:val="32"/>
        </w:rPr>
        <w:t>外事接待支出</w:t>
      </w:r>
      <w:r>
        <w:rPr>
          <w:rFonts w:ascii="Times New Roman" w:hAnsi="Times New Roman" w:eastAsia="仿宋_GB2312" w:cs="仿宋_GB2312"/>
          <w:color w:val="000000"/>
          <w:sz w:val="32"/>
          <w:szCs w:val="32"/>
        </w:rPr>
        <w:t>0</w:t>
      </w:r>
      <w:r>
        <w:rPr>
          <w:rFonts w:ascii="Times New Roman" w:hAnsi="Times New Roman" w:eastAsia="仿宋_GB2312" w:cs="仿宋_GB2312"/>
          <w:color w:val="000000"/>
          <w:sz w:val="32"/>
          <w:szCs w:val="32"/>
          <w:u w:color="auto"/>
        </w:rPr>
        <w:t>万元。</w:t>
      </w:r>
    </w:p>
    <w:p w14:paraId="5DA11626">
      <w:pPr>
        <w:pStyle w:val="2"/>
        <w:numPr>
          <w:ilvl w:val="0"/>
          <w:numId w:val="0"/>
        </w:numPr>
        <w:topLinePunct w:val="0"/>
        <w:ind w:leftChars="0" w:firstLine="640" w:firstLineChars="200"/>
        <w:rPr>
          <w:rFonts w:eastAsia="黑体"/>
          <w:b w:val="0"/>
          <w:bCs w:val="0"/>
          <w:sz w:val="32"/>
          <w:szCs w:val="32"/>
        </w:rPr>
      </w:pPr>
      <w:bookmarkStart w:id="62" w:name="_Toc111208506"/>
      <w:bookmarkStart w:id="63" w:name="_Toc11390"/>
      <w:r>
        <w:rPr>
          <w:rFonts w:hint="eastAsia" w:cs="黑体"/>
          <w:b w:val="0"/>
          <w:bCs w:val="0"/>
          <w:sz w:val="32"/>
          <w:szCs w:val="32"/>
          <w:lang w:eastAsia="zh-CN"/>
        </w:rPr>
        <w:t>八、</w:t>
      </w:r>
      <w:r>
        <w:rPr>
          <w:rFonts w:ascii="黑体" w:hAnsi="黑体" w:eastAsia="黑体" w:cs="黑体"/>
          <w:b w:val="0"/>
          <w:bCs w:val="0"/>
          <w:sz w:val="32"/>
          <w:szCs w:val="32"/>
        </w:rPr>
        <w:t>政府性基金预算支出决算情况说明</w:t>
      </w:r>
      <w:bookmarkEnd w:id="61"/>
      <w:bookmarkEnd w:id="62"/>
      <w:bookmarkEnd w:id="63"/>
    </w:p>
    <w:p w14:paraId="1C230691">
      <w:pPr>
        <w:pStyle w:val="13"/>
        <w:rPr>
          <w:rFonts w:ascii="Times New Roman" w:hAnsi="Times New Roman" w:eastAsia="仿宋_GB2312" w:cs="仿宋_GB2312"/>
          <w:b w:val="0"/>
          <w:bCs w:val="0"/>
          <w:sz w:val="32"/>
          <w:szCs w:val="32"/>
        </w:rPr>
      </w:pPr>
      <w:r>
        <w:rPr>
          <w:rFonts w:ascii="Times New Roman" w:hAnsi="Times New Roman" w:eastAsia="仿宋_GB2312" w:cs="仿宋_GB2312"/>
          <w:b w:val="0"/>
          <w:bCs w:val="0"/>
          <w:color w:val="000000"/>
          <w:sz w:val="32"/>
          <w:szCs w:val="32"/>
        </w:rPr>
        <w:t>2025年度政府性基金预算拨款支出</w:t>
      </w:r>
      <w:r>
        <w:rPr>
          <w:rFonts w:ascii="Times New Roman" w:hAnsi="Times New Roman" w:eastAsia="仿宋_GB2312" w:cs="仿宋_GB2312"/>
          <w:b w:val="0"/>
          <w:bCs w:val="0"/>
          <w:color w:val="000000"/>
          <w:sz w:val="32"/>
          <w:szCs w:val="32"/>
          <w:u w:color="auto"/>
        </w:rPr>
        <w:t>0万元</w:t>
      </w:r>
      <w:bookmarkStart w:id="64" w:name="_Toc15377219"/>
      <w:r>
        <w:rPr>
          <w:rFonts w:ascii="Times New Roman" w:hAnsi="Times New Roman" w:eastAsia="仿宋_GB2312" w:cs="仿宋_GB2312"/>
          <w:b w:val="0"/>
          <w:bCs w:val="0"/>
          <w:color w:val="auto"/>
          <w:sz w:val="32"/>
          <w:szCs w:val="32"/>
          <w:highlight w:val="none"/>
        </w:rPr>
        <w:t>，占本年支出合计的</w:t>
      </w:r>
      <w:r>
        <w:rPr>
          <w:rFonts w:ascii="Times New Roman" w:hAnsi="Times New Roman" w:eastAsia="仿宋_GB2312" w:cs="仿宋_GB2312"/>
          <w:b w:val="0"/>
          <w:bCs w:val="0"/>
          <w:color w:val="000000"/>
          <w:sz w:val="32"/>
          <w:szCs w:val="32"/>
        </w:rPr>
        <w:t>0％</w:t>
      </w:r>
      <w:r>
        <w:rPr>
          <w:rFonts w:ascii="Times New Roman" w:hAnsi="Times New Roman" w:eastAsia="仿宋_GB2312" w:cs="仿宋_GB2312"/>
          <w:b w:val="0"/>
          <w:bCs w:val="0"/>
          <w:color w:val="auto"/>
          <w:sz w:val="32"/>
          <w:szCs w:val="32"/>
          <w:highlight w:val="none"/>
        </w:rPr>
        <w:t>。与</w:t>
      </w:r>
      <w:r>
        <w:rPr>
          <w:rFonts w:ascii="Times New Roman" w:hAnsi="Times New Roman" w:eastAsia="仿宋_GB2312" w:cs="仿宋_GB2312"/>
          <w:b w:val="0"/>
          <w:bCs w:val="0"/>
          <w:color w:val="000000"/>
          <w:sz w:val="32"/>
          <w:szCs w:val="32"/>
        </w:rPr>
        <w:t>2024</w:t>
      </w:r>
      <w:r>
        <w:rPr>
          <w:rFonts w:ascii="Times New Roman" w:hAnsi="Times New Roman" w:eastAsia="仿宋_GB2312" w:cs="仿宋_GB2312"/>
          <w:b w:val="0"/>
          <w:bCs w:val="0"/>
          <w:color w:val="auto"/>
          <w:sz w:val="32"/>
          <w:szCs w:val="32"/>
          <w:highlight w:val="none"/>
        </w:rPr>
        <w:t>年度相比，政府性基金预算财政拨款支出</w:t>
      </w:r>
      <w:r>
        <w:rPr>
          <w:rFonts w:ascii="Times New Roman" w:hAnsi="Times New Roman" w:eastAsia="仿宋_GB2312" w:cs="仿宋_GB2312"/>
          <w:b w:val="0"/>
          <w:bCs w:val="0"/>
          <w:color w:val="000000"/>
          <w:sz w:val="32"/>
          <w:szCs w:val="32"/>
        </w:rPr>
        <w:t>增加0万元</w:t>
      </w:r>
      <w:r>
        <w:rPr>
          <w:rFonts w:ascii="Times New Roman" w:hAnsi="Times New Roman" w:eastAsia="仿宋_GB2312" w:cs="仿宋_GB2312"/>
          <w:b w:val="0"/>
          <w:bCs w:val="0"/>
          <w:color w:val="auto"/>
          <w:sz w:val="32"/>
          <w:szCs w:val="32"/>
          <w:highlight w:val="none"/>
        </w:rPr>
        <w:t>，</w:t>
      </w:r>
      <w:r>
        <w:rPr>
          <w:rFonts w:ascii="Times New Roman" w:hAnsi="Times New Roman" w:eastAsia="仿宋_GB2312" w:cs="仿宋_GB2312"/>
          <w:b w:val="0"/>
          <w:bCs w:val="0"/>
          <w:color w:val="000000"/>
          <w:sz w:val="32"/>
          <w:szCs w:val="32"/>
        </w:rPr>
        <w:t>增长0％。</w:t>
      </w:r>
      <w:r>
        <w:rPr>
          <w:rFonts w:ascii="Times New Roman" w:hAnsi="Times New Roman" w:eastAsia="仿宋_GB2312" w:cs="仿宋_GB2312"/>
          <w:b w:val="0"/>
          <w:bCs w:val="0"/>
          <w:color w:val="000000"/>
          <w:sz w:val="32"/>
          <w:szCs w:val="32"/>
          <w:u w:color="auto"/>
        </w:rPr>
        <w:t xml:space="preserve"> </w:t>
      </w:r>
    </w:p>
    <w:p w14:paraId="79E1D034">
      <w:pPr>
        <w:pStyle w:val="2"/>
        <w:numPr>
          <w:ilvl w:val="0"/>
          <w:numId w:val="0"/>
        </w:numPr>
        <w:topLinePunct w:val="0"/>
        <w:ind w:leftChars="0" w:firstLine="640" w:firstLineChars="200"/>
        <w:rPr>
          <w:rFonts w:eastAsia="黑体"/>
          <w:b w:val="0"/>
          <w:bCs w:val="0"/>
          <w:sz w:val="32"/>
          <w:szCs w:val="32"/>
        </w:rPr>
      </w:pPr>
      <w:bookmarkStart w:id="65" w:name="_Toc111208507"/>
      <w:bookmarkStart w:id="66" w:name="_Toc27110"/>
      <w:r>
        <w:rPr>
          <w:rFonts w:hint="eastAsia" w:cs="黑体"/>
          <w:b w:val="0"/>
          <w:bCs w:val="0"/>
          <w:sz w:val="32"/>
          <w:szCs w:val="32"/>
          <w:lang w:eastAsia="zh-CN"/>
        </w:rPr>
        <w:t>九、</w:t>
      </w:r>
      <w:r>
        <w:rPr>
          <w:rFonts w:ascii="黑体" w:hAnsi="黑体" w:eastAsia="黑体" w:cs="黑体"/>
          <w:b w:val="0"/>
          <w:bCs w:val="0"/>
          <w:sz w:val="32"/>
          <w:szCs w:val="32"/>
        </w:rPr>
        <w:t>国有资本经营预算支出决算情况说明</w:t>
      </w:r>
      <w:bookmarkEnd w:id="64"/>
      <w:bookmarkEnd w:id="65"/>
      <w:bookmarkEnd w:id="66"/>
    </w:p>
    <w:p w14:paraId="19F0375D">
      <w:pPr>
        <w:pStyle w:val="13"/>
        <w:rPr>
          <w:rFonts w:ascii="Times New Roman" w:hAnsi="Times New Roman" w:eastAsia="仿宋_GB2312" w:cs="仿宋_GB2312"/>
          <w:b w:val="0"/>
          <w:bCs w:val="0"/>
          <w:sz w:val="32"/>
          <w:szCs w:val="32"/>
        </w:rPr>
      </w:pPr>
      <w:r>
        <w:rPr>
          <w:rFonts w:ascii="Times New Roman" w:hAnsi="Times New Roman" w:eastAsia="仿宋_GB2312" w:cs="仿宋_GB2312"/>
          <w:b w:val="0"/>
          <w:bCs w:val="0"/>
          <w:color w:val="000000"/>
          <w:sz w:val="32"/>
          <w:szCs w:val="32"/>
        </w:rPr>
        <w:t>2025年度国有资本经营预算拨款支出</w:t>
      </w:r>
      <w:r>
        <w:rPr>
          <w:rFonts w:ascii="Times New Roman" w:hAnsi="Times New Roman" w:eastAsia="仿宋_GB2312" w:cs="仿宋_GB2312"/>
          <w:b w:val="0"/>
          <w:bCs w:val="0"/>
          <w:color w:val="000000"/>
          <w:sz w:val="32"/>
          <w:szCs w:val="32"/>
          <w:u w:color="auto"/>
        </w:rPr>
        <w:t>0万元</w:t>
      </w:r>
      <w:r>
        <w:rPr>
          <w:rFonts w:ascii="Times New Roman" w:hAnsi="Times New Roman" w:eastAsia="仿宋_GB2312" w:cs="仿宋_GB2312"/>
          <w:b w:val="0"/>
          <w:bCs w:val="0"/>
          <w:color w:val="auto"/>
          <w:sz w:val="32"/>
          <w:szCs w:val="32"/>
          <w:highlight w:val="none"/>
        </w:rPr>
        <w:t>，占本年支出合计的</w:t>
      </w:r>
      <w:r>
        <w:rPr>
          <w:rFonts w:ascii="Times New Roman" w:hAnsi="Times New Roman" w:eastAsia="仿宋_GB2312" w:cs="仿宋_GB2312"/>
          <w:b w:val="0"/>
          <w:bCs w:val="0"/>
          <w:color w:val="000000"/>
          <w:sz w:val="32"/>
          <w:szCs w:val="32"/>
        </w:rPr>
        <w:t>0％</w:t>
      </w:r>
      <w:r>
        <w:rPr>
          <w:rFonts w:ascii="Times New Roman" w:hAnsi="Times New Roman" w:eastAsia="仿宋_GB2312" w:cs="仿宋_GB2312"/>
          <w:b w:val="0"/>
          <w:bCs w:val="0"/>
          <w:color w:val="auto"/>
          <w:sz w:val="32"/>
          <w:szCs w:val="32"/>
          <w:highlight w:val="none"/>
        </w:rPr>
        <w:t>。与</w:t>
      </w:r>
      <w:r>
        <w:rPr>
          <w:rFonts w:ascii="Times New Roman" w:hAnsi="Times New Roman" w:eastAsia="仿宋_GB2312" w:cs="仿宋_GB2312"/>
          <w:b w:val="0"/>
          <w:bCs w:val="0"/>
          <w:color w:val="000000"/>
          <w:sz w:val="32"/>
          <w:szCs w:val="32"/>
        </w:rPr>
        <w:t>2024</w:t>
      </w:r>
      <w:r>
        <w:rPr>
          <w:rFonts w:ascii="Times New Roman" w:hAnsi="Times New Roman" w:eastAsia="仿宋_GB2312" w:cs="仿宋_GB2312"/>
          <w:b w:val="0"/>
          <w:bCs w:val="0"/>
          <w:color w:val="auto"/>
          <w:sz w:val="32"/>
          <w:szCs w:val="32"/>
          <w:highlight w:val="none"/>
        </w:rPr>
        <w:t>年度相比，国有资本经营预算财政拨款支出</w:t>
      </w:r>
      <w:r>
        <w:rPr>
          <w:rFonts w:ascii="Times New Roman" w:hAnsi="Times New Roman" w:eastAsia="仿宋_GB2312" w:cs="仿宋_GB2312"/>
          <w:b w:val="0"/>
          <w:bCs w:val="0"/>
          <w:color w:val="000000"/>
          <w:sz w:val="32"/>
          <w:szCs w:val="32"/>
        </w:rPr>
        <w:t>增加0万元</w:t>
      </w:r>
      <w:r>
        <w:rPr>
          <w:rFonts w:ascii="Times New Roman" w:hAnsi="Times New Roman" w:eastAsia="仿宋_GB2312" w:cs="仿宋_GB2312"/>
          <w:b w:val="0"/>
          <w:bCs w:val="0"/>
          <w:color w:val="auto"/>
          <w:sz w:val="32"/>
          <w:szCs w:val="32"/>
          <w:highlight w:val="none"/>
        </w:rPr>
        <w:t>，</w:t>
      </w:r>
      <w:r>
        <w:rPr>
          <w:rFonts w:ascii="Times New Roman" w:hAnsi="Times New Roman" w:eastAsia="仿宋_GB2312" w:cs="仿宋_GB2312"/>
          <w:b w:val="0"/>
          <w:bCs w:val="0"/>
          <w:color w:val="000000"/>
          <w:sz w:val="32"/>
          <w:szCs w:val="32"/>
        </w:rPr>
        <w:t>增长0％。</w:t>
      </w:r>
      <w:r>
        <w:rPr>
          <w:rFonts w:ascii="Times New Roman" w:hAnsi="Times New Roman" w:eastAsia="仿宋_GB2312" w:cs="仿宋_GB2312"/>
          <w:b w:val="0"/>
          <w:bCs w:val="0"/>
          <w:color w:val="000000"/>
          <w:sz w:val="32"/>
          <w:szCs w:val="32"/>
          <w:u w:color="auto"/>
        </w:rPr>
        <w:t xml:space="preserve"> </w:t>
      </w:r>
    </w:p>
    <w:p w14:paraId="3A5EDB82">
      <w:pPr>
        <w:spacing w:line="600" w:lineRule="exact"/>
        <w:ind w:firstLine="640"/>
        <w:rPr>
          <w:rFonts w:hint="eastAsia"/>
        </w:rPr>
      </w:pPr>
    </w:p>
    <w:p w14:paraId="76FD0E14">
      <w:pPr>
        <w:pStyle w:val="2"/>
        <w:numPr>
          <w:ilvl w:val="0"/>
          <w:numId w:val="0"/>
        </w:numPr>
        <w:topLinePunct w:val="0"/>
        <w:ind w:leftChars="0" w:firstLine="640" w:firstLineChars="200"/>
        <w:rPr>
          <w:rFonts w:eastAsia="黑体"/>
          <w:b w:val="0"/>
          <w:bCs w:val="0"/>
          <w:sz w:val="32"/>
          <w:szCs w:val="32"/>
        </w:rPr>
      </w:pPr>
      <w:bookmarkStart w:id="67" w:name="_Toc111208508"/>
      <w:bookmarkStart w:id="68" w:name="_Toc15377221"/>
      <w:bookmarkStart w:id="69" w:name="_Toc133"/>
      <w:r>
        <w:rPr>
          <w:rFonts w:hint="eastAsia" w:cs="黑体"/>
          <w:b w:val="0"/>
          <w:bCs w:val="0"/>
          <w:sz w:val="32"/>
          <w:szCs w:val="32"/>
          <w:lang w:eastAsia="zh-CN"/>
        </w:rPr>
        <w:t>十、</w:t>
      </w:r>
      <w:r>
        <w:rPr>
          <w:rFonts w:ascii="黑体" w:hAnsi="黑体" w:eastAsia="黑体" w:cs="黑体"/>
          <w:b w:val="0"/>
          <w:bCs w:val="0"/>
          <w:sz w:val="32"/>
          <w:szCs w:val="32"/>
        </w:rPr>
        <w:t>其他重要事项的情况说明</w:t>
      </w:r>
      <w:bookmarkEnd w:id="67"/>
      <w:bookmarkEnd w:id="68"/>
      <w:bookmarkEnd w:id="69"/>
    </w:p>
    <w:p w14:paraId="019CBB22">
      <w:pPr>
        <w:pStyle w:val="3"/>
        <w:numPr>
          <w:ilvl w:val="0"/>
          <w:numId w:val="0"/>
        </w:numPr>
        <w:topLinePunct w:val="0"/>
        <w:ind w:leftChars="0" w:firstLine="640" w:firstLineChars="200"/>
        <w:rPr>
          <w:rFonts w:hint="eastAsia" w:eastAsia="楷体_GB2312"/>
          <w:b w:val="0"/>
          <w:bCs w:val="0"/>
          <w:sz w:val="32"/>
          <w:szCs w:val="32"/>
        </w:rPr>
      </w:pPr>
      <w:bookmarkStart w:id="70" w:name="_Toc17679"/>
      <w:bookmarkStart w:id="71" w:name="_Toc15377222"/>
      <w:r>
        <w:rPr>
          <w:rFonts w:hint="eastAsia" w:cs="楷体_GB2312"/>
          <w:b w:val="0"/>
          <w:bCs w:val="0"/>
          <w:sz w:val="32"/>
          <w:szCs w:val="32"/>
          <w:lang w:eastAsia="zh-CN"/>
        </w:rPr>
        <w:t>（一）</w:t>
      </w:r>
      <w:r>
        <w:rPr>
          <w:rFonts w:ascii="Times New Roman" w:hAnsi="Times New Roman" w:eastAsia="楷体_GB2312" w:cs="楷体_GB2312"/>
          <w:b w:val="0"/>
          <w:bCs w:val="0"/>
          <w:sz w:val="32"/>
          <w:szCs w:val="32"/>
        </w:rPr>
        <w:t>机关运行经费支出情况</w:t>
      </w:r>
      <w:bookmarkEnd w:id="70"/>
      <w:bookmarkEnd w:id="71"/>
    </w:p>
    <w:p w14:paraId="527675A8">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w:t>
      </w:r>
      <w:r>
        <w:rPr>
          <w:rFonts w:ascii="Times New Roman" w:hAnsi="Times New Roman" w:eastAsia="仿宋_GB2312" w:cs="仿宋_GB2312"/>
          <w:b w:val="0"/>
          <w:bCs w:val="0"/>
          <w:color w:val="000000"/>
          <w:sz w:val="32"/>
          <w:szCs w:val="32"/>
          <w:u w:color="auto"/>
        </w:rPr>
        <w:t xml:space="preserve">红原县爱国卫生运动服务工作中心机关运行经费支出0万元，比2024年增加0万元，增长100％。 </w:t>
      </w:r>
    </w:p>
    <w:p w14:paraId="66094D57">
      <w:pPr>
        <w:pStyle w:val="3"/>
        <w:numPr>
          <w:ilvl w:val="0"/>
          <w:numId w:val="0"/>
        </w:numPr>
        <w:topLinePunct w:val="0"/>
        <w:ind w:leftChars="0" w:firstLine="640" w:firstLineChars="200"/>
        <w:rPr>
          <w:rFonts w:hint="eastAsia" w:eastAsia="楷体_GB2312"/>
          <w:b w:val="0"/>
          <w:bCs w:val="0"/>
          <w:sz w:val="32"/>
          <w:szCs w:val="32"/>
        </w:rPr>
      </w:pPr>
      <w:bookmarkStart w:id="72" w:name="_Toc15377223"/>
      <w:bookmarkStart w:id="73" w:name="_Toc16238"/>
      <w:r>
        <w:rPr>
          <w:rFonts w:hint="eastAsia" w:cs="楷体_GB2312"/>
          <w:b w:val="0"/>
          <w:bCs w:val="0"/>
          <w:sz w:val="32"/>
          <w:szCs w:val="32"/>
          <w:lang w:eastAsia="zh-CN"/>
        </w:rPr>
        <w:t>（二）</w:t>
      </w:r>
      <w:r>
        <w:rPr>
          <w:rFonts w:ascii="Times New Roman" w:hAnsi="Times New Roman" w:eastAsia="楷体_GB2312" w:cs="楷体_GB2312"/>
          <w:b w:val="0"/>
          <w:bCs w:val="0"/>
          <w:sz w:val="32"/>
          <w:szCs w:val="32"/>
        </w:rPr>
        <w:t>政府采购支出情况</w:t>
      </w:r>
      <w:bookmarkEnd w:id="72"/>
      <w:bookmarkEnd w:id="73"/>
    </w:p>
    <w:p w14:paraId="2CEFD7AE">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2025年度，</w:t>
      </w:r>
      <w:r>
        <w:rPr>
          <w:rFonts w:ascii="Times New Roman" w:hAnsi="Times New Roman" w:eastAsia="仿宋_GB2312" w:cs="仿宋_GB2312"/>
          <w:b w:val="0"/>
          <w:bCs w:val="0"/>
          <w:color w:val="000000"/>
          <w:sz w:val="32"/>
          <w:szCs w:val="32"/>
          <w:u w:color="auto"/>
        </w:rPr>
        <w:t>红原县爱国卫生运动服务工作中心政府采购支出总额567.51万元，其中：政府采购货物支出566.62万元、政府采购工程支出0万元、政府采购服务支出0.89万元。授予中小企业合同金额0万元，</w:t>
      </w:r>
      <w:r>
        <w:rPr>
          <w:rFonts w:ascii="Times New Roman" w:hAnsi="Times New Roman" w:eastAsia="仿宋_GB2312" w:cs="仿宋_GB2312"/>
          <w:b w:val="0"/>
          <w:bCs w:val="0"/>
          <w:color w:val="000000"/>
          <w:sz w:val="32"/>
          <w:szCs w:val="32"/>
        </w:rPr>
        <w:t>占政府采购支出总额的</w:t>
      </w:r>
      <w:r>
        <w:rPr>
          <w:rFonts w:ascii="Times New Roman" w:hAnsi="Times New Roman" w:eastAsia="仿宋_GB2312" w:cs="仿宋_GB2312"/>
          <w:b w:val="0"/>
          <w:bCs w:val="0"/>
          <w:color w:val="000000"/>
          <w:sz w:val="32"/>
          <w:szCs w:val="32"/>
          <w:u w:color="auto"/>
        </w:rPr>
        <w:t>0％，</w:t>
      </w:r>
      <w:r>
        <w:rPr>
          <w:rFonts w:ascii="Times New Roman" w:hAnsi="Times New Roman" w:eastAsia="仿宋_GB2312" w:cs="仿宋_GB2312"/>
          <w:b w:val="0"/>
          <w:bCs w:val="0"/>
          <w:color w:val="000000"/>
          <w:sz w:val="32"/>
          <w:szCs w:val="32"/>
        </w:rPr>
        <w:t>其中：授予小微企业合同金额</w:t>
      </w:r>
      <w:r>
        <w:rPr>
          <w:rFonts w:ascii="Times New Roman" w:hAnsi="Times New Roman" w:eastAsia="仿宋_GB2312" w:cs="仿宋_GB2312"/>
          <w:b w:val="0"/>
          <w:bCs w:val="0"/>
          <w:color w:val="000000"/>
          <w:sz w:val="32"/>
          <w:szCs w:val="32"/>
          <w:u w:color="auto"/>
        </w:rPr>
        <w:t>0万元，占</w:t>
      </w:r>
      <w:r>
        <w:rPr>
          <w:rFonts w:ascii="Times New Roman" w:hAnsi="Times New Roman" w:eastAsia="仿宋_GB2312" w:cs="仿宋_GB2312"/>
          <w:b w:val="0"/>
          <w:bCs w:val="0"/>
          <w:color w:val="000000"/>
          <w:sz w:val="32"/>
          <w:szCs w:val="32"/>
        </w:rPr>
        <w:t>政府采购支出总额的</w:t>
      </w:r>
      <w:r>
        <w:rPr>
          <w:rFonts w:ascii="Times New Roman" w:hAnsi="Times New Roman" w:eastAsia="仿宋_GB2312" w:cs="仿宋_GB2312"/>
          <w:b w:val="0"/>
          <w:bCs w:val="0"/>
          <w:color w:val="000000"/>
          <w:sz w:val="32"/>
          <w:szCs w:val="32"/>
          <w:u w:color="auto"/>
        </w:rPr>
        <w:t>0％。</w:t>
      </w:r>
    </w:p>
    <w:p w14:paraId="12B7C937">
      <w:pPr>
        <w:pStyle w:val="3"/>
        <w:numPr>
          <w:ilvl w:val="0"/>
          <w:numId w:val="0"/>
        </w:numPr>
        <w:topLinePunct w:val="0"/>
        <w:ind w:leftChars="0" w:firstLine="640" w:firstLineChars="200"/>
        <w:rPr>
          <w:rFonts w:hint="eastAsia" w:eastAsia="楷体_GB2312"/>
          <w:b w:val="0"/>
          <w:bCs w:val="0"/>
          <w:sz w:val="32"/>
          <w:szCs w:val="32"/>
        </w:rPr>
      </w:pPr>
      <w:bookmarkStart w:id="74" w:name="_Toc15377224"/>
      <w:bookmarkStart w:id="75" w:name="_Toc5324"/>
      <w:r>
        <w:rPr>
          <w:rFonts w:hint="eastAsia" w:cs="楷体_GB2312"/>
          <w:b w:val="0"/>
          <w:bCs w:val="0"/>
          <w:sz w:val="32"/>
          <w:szCs w:val="32"/>
          <w:lang w:eastAsia="zh-CN"/>
        </w:rPr>
        <w:t>（三）</w:t>
      </w:r>
      <w:r>
        <w:rPr>
          <w:rFonts w:ascii="Times New Roman" w:hAnsi="Times New Roman" w:eastAsia="楷体_GB2312" w:cs="楷体_GB2312"/>
          <w:b w:val="0"/>
          <w:bCs w:val="0"/>
          <w:sz w:val="32"/>
          <w:szCs w:val="32"/>
        </w:rPr>
        <w:t>国有资产占有使用情况</w:t>
      </w:r>
      <w:bookmarkEnd w:id="74"/>
      <w:bookmarkEnd w:id="75"/>
    </w:p>
    <w:p w14:paraId="17A0ED70">
      <w:pPr>
        <w:pStyle w:val="13"/>
        <w:rPr>
          <w:rFonts w:ascii="Times New Roman" w:hAnsi="Times New Roman" w:eastAsia="仿宋_GB2312" w:cs="仿宋_GB2312"/>
          <w:b w:val="0"/>
          <w:bCs w:val="0"/>
          <w:color w:val="000000"/>
          <w:sz w:val="32"/>
          <w:szCs w:val="32"/>
        </w:rPr>
      </w:pPr>
      <w:r>
        <w:rPr>
          <w:rFonts w:ascii="Times New Roman" w:hAnsi="Times New Roman" w:eastAsia="仿宋_GB2312" w:cs="仿宋_GB2312"/>
          <w:b w:val="0"/>
          <w:bCs w:val="0"/>
          <w:color w:val="000000"/>
          <w:sz w:val="32"/>
          <w:szCs w:val="32"/>
        </w:rPr>
        <w:t>截至</w:t>
      </w:r>
      <w:r>
        <w:rPr>
          <w:rFonts w:ascii="Times New Roman" w:hAnsi="Times New Roman" w:eastAsia="仿宋_GB2312" w:cs="仿宋_GB2312"/>
          <w:b w:val="0"/>
          <w:bCs w:val="0"/>
          <w:color w:val="000000"/>
          <w:sz w:val="32"/>
          <w:szCs w:val="32"/>
          <w:u w:color="auto"/>
        </w:rPr>
        <w:t>2025年12月31日，红原县爱国卫生运动服务工作中心共有车辆3辆，其中：主要领导干部用车0辆、机要通信用车0辆、应急保障用车3辆、其他用车0辆。单价100万元以上专用设备</w:t>
      </w:r>
      <w:r>
        <w:rPr>
          <w:rFonts w:ascii="Times New Roman" w:hAnsi="Times New Roman" w:eastAsia="仿宋_GB2312" w:cs="仿宋_GB2312"/>
          <w:b w:val="0"/>
          <w:bCs w:val="0"/>
          <w:color w:val="000000"/>
          <w:sz w:val="32"/>
          <w:szCs w:val="32"/>
        </w:rPr>
        <w:t>（不含车辆）0</w:t>
      </w:r>
      <w:r>
        <w:rPr>
          <w:rFonts w:ascii="Times New Roman" w:hAnsi="Times New Roman" w:eastAsia="仿宋_GB2312" w:cs="仿宋_GB2312"/>
          <w:b w:val="0"/>
          <w:bCs w:val="0"/>
          <w:color w:val="000000"/>
          <w:sz w:val="32"/>
          <w:szCs w:val="32"/>
          <w:u w:color="auto"/>
        </w:rPr>
        <w:t>台（套）。</w:t>
      </w:r>
    </w:p>
    <w:p w14:paraId="4EF50863">
      <w:pPr>
        <w:pStyle w:val="3"/>
        <w:numPr>
          <w:ilvl w:val="0"/>
          <w:numId w:val="0"/>
        </w:numPr>
        <w:topLinePunct w:val="0"/>
        <w:ind w:leftChars="0" w:firstLine="640" w:firstLineChars="200"/>
        <w:rPr>
          <w:rFonts w:hint="eastAsia" w:eastAsia="楷体_GB2312"/>
          <w:b w:val="0"/>
          <w:bCs w:val="0"/>
          <w:sz w:val="32"/>
          <w:szCs w:val="32"/>
        </w:rPr>
      </w:pPr>
      <w:bookmarkStart w:id="76" w:name="_Toc12787"/>
      <w:r>
        <w:rPr>
          <w:rFonts w:hint="eastAsia" w:cs="楷体_GB2312"/>
          <w:b w:val="0"/>
          <w:bCs w:val="0"/>
          <w:sz w:val="32"/>
          <w:szCs w:val="32"/>
          <w:lang w:eastAsia="zh-CN"/>
        </w:rPr>
        <w:t>（四）</w:t>
      </w:r>
      <w:r>
        <w:rPr>
          <w:rFonts w:ascii="Times New Roman" w:hAnsi="Times New Roman" w:eastAsia="楷体_GB2312" w:cs="楷体_GB2312"/>
          <w:b w:val="0"/>
          <w:bCs w:val="0"/>
          <w:sz w:val="32"/>
          <w:szCs w:val="32"/>
        </w:rPr>
        <w:t>预算绩效管理情况</w:t>
      </w:r>
      <w:bookmarkEnd w:id="76"/>
    </w:p>
    <w:p w14:paraId="699C26E9">
      <w:pPr>
        <w:pStyle w:val="13"/>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根据预算绩效管理要求，本单位在2025年度预算执行过程中，组织对红原县育儿补贴补助项目、交流交往交融项目－基层医务工作者、红原县群众工作</w:t>
      </w:r>
      <w:r>
        <w:rPr>
          <w:rFonts w:hint="eastAsia" w:ascii="仿宋_GB2312" w:hAnsi="仿宋_GB2312" w:eastAsia="仿宋_GB2312" w:cs="仿宋_GB2312"/>
          <w:b w:val="0"/>
          <w:bCs w:val="0"/>
          <w:spacing w:val="-6"/>
          <w:sz w:val="32"/>
          <w:szCs w:val="32"/>
        </w:rPr>
        <w:t>“</w:t>
      </w:r>
      <w:r>
        <w:rPr>
          <w:rFonts w:ascii="Times New Roman" w:hAnsi="Times New Roman" w:eastAsia="仿宋_GB2312" w:cs="仿宋_GB2312"/>
          <w:b w:val="0"/>
          <w:bCs w:val="0"/>
          <w:sz w:val="32"/>
          <w:szCs w:val="32"/>
        </w:rPr>
        <w:t>石榴籽</w:t>
      </w:r>
      <w:r>
        <w:rPr>
          <w:rFonts w:hint="eastAsia" w:ascii="仿宋_GB2312" w:hAnsi="仿宋_GB2312" w:eastAsia="仿宋_GB2312" w:cs="仿宋_GB2312"/>
          <w:b w:val="0"/>
          <w:bCs w:val="0"/>
          <w:spacing w:val="-6"/>
          <w:sz w:val="32"/>
          <w:szCs w:val="32"/>
        </w:rPr>
        <w:t>”</w:t>
      </w:r>
      <w:r>
        <w:rPr>
          <w:rFonts w:ascii="Times New Roman" w:hAnsi="Times New Roman" w:eastAsia="仿宋_GB2312" w:cs="仿宋_GB2312"/>
          <w:b w:val="0"/>
          <w:bCs w:val="0"/>
          <w:sz w:val="32"/>
          <w:szCs w:val="32"/>
        </w:rPr>
        <w:t>工程健康保障行动等27个项目开展了预算事前绩效评估，对27个项目编制了绩效目标，选取27个项目开展绩效监控，组织对27个项目开展绩效自评，绩效自评表详见第四部分附件。</w:t>
      </w:r>
    </w:p>
    <w:p w14:paraId="761FFA3F">
      <w:pPr>
        <w:pageBreakBefore w:val="0"/>
        <w:widowControl/>
        <w:kinsoku/>
        <w:wordWrap/>
        <w:overflowPunct/>
        <w:topLinePunct w:val="0"/>
        <w:autoSpaceDE/>
        <w:autoSpaceDN/>
        <w:bidi w:val="0"/>
        <w:adjustRightInd/>
        <w:snapToGrid/>
        <w:spacing w:line="576" w:lineRule="atLeast"/>
        <w:jc w:val="left"/>
        <w:rPr>
          <w:rFonts w:hint="eastAsia" w:ascii="思源黑体 CN Normal" w:hAnsi="思源黑体 CN Normal" w:eastAsia="思源黑体 CN Normal" w:cs="思源黑体 CN Normal"/>
          <w:b/>
          <w:color w:val="000000"/>
          <w:sz w:val="32"/>
          <w:szCs w:val="32"/>
        </w:rPr>
      </w:pPr>
    </w:p>
    <w:p w14:paraId="1ED24193">
      <w:pPr>
        <w:widowControl/>
        <w:jc w:val="left"/>
        <w:rPr>
          <w:rFonts w:hint="eastAsia" w:ascii="思源黑体 CN Normal" w:hAnsi="思源黑体 CN Normal" w:eastAsia="思源黑体 CN Normal" w:cs="思源黑体 CN Normal"/>
          <w:b/>
          <w:color w:val="000000"/>
          <w:sz w:val="32"/>
          <w:szCs w:val="32"/>
        </w:rPr>
      </w:pPr>
    </w:p>
    <w:p w14:paraId="11332B5C">
      <w:pPr>
        <w:pStyle w:val="50"/>
        <w:numPr>
          <w:ilvl w:val="0"/>
          <w:numId w:val="0"/>
        </w:numPr>
        <w:ind w:leftChars="0"/>
        <w:rPr>
          <w:rFonts w:hint="eastAsia" w:cs="黑体"/>
          <w:b w:val="0"/>
          <w:bCs/>
          <w:sz w:val="32"/>
          <w:szCs w:val="32"/>
          <w:lang w:eastAsia="zh-CN"/>
        </w:rPr>
      </w:pPr>
      <w:bookmarkStart w:id="77" w:name="_Toc111208509"/>
      <w:bookmarkStart w:id="78" w:name="_Toc15377225"/>
      <w:bookmarkStart w:id="79" w:name="_Toc688"/>
    </w:p>
    <w:p w14:paraId="2018BB5F">
      <w:pPr>
        <w:pStyle w:val="50"/>
        <w:numPr>
          <w:ilvl w:val="0"/>
          <w:numId w:val="0"/>
        </w:numPr>
        <w:ind w:leftChars="0"/>
        <w:rPr>
          <w:rFonts w:hint="eastAsia" w:cs="黑体"/>
          <w:b w:val="0"/>
          <w:bCs/>
          <w:sz w:val="32"/>
          <w:szCs w:val="32"/>
          <w:lang w:eastAsia="zh-CN"/>
        </w:rPr>
      </w:pPr>
    </w:p>
    <w:p w14:paraId="7A1AED01">
      <w:pPr>
        <w:pStyle w:val="50"/>
        <w:numPr>
          <w:ilvl w:val="0"/>
          <w:numId w:val="0"/>
        </w:numPr>
        <w:ind w:leftChars="0"/>
        <w:rPr>
          <w:rFonts w:eastAsia="黑体"/>
          <w:b w:val="0"/>
          <w:bCs/>
          <w:sz w:val="32"/>
          <w:szCs w:val="32"/>
        </w:rPr>
      </w:pPr>
      <w:r>
        <w:rPr>
          <w:rFonts w:hint="eastAsia" w:cs="黑体"/>
          <w:b w:val="0"/>
          <w:bCs/>
          <w:sz w:val="32"/>
          <w:szCs w:val="32"/>
          <w:lang w:eastAsia="zh-CN"/>
        </w:rPr>
        <w:t>第三章</w:t>
      </w:r>
      <w:r>
        <w:rPr>
          <w:rFonts w:hint="eastAsia" w:ascii="仿宋" w:hAnsi="仿宋" w:eastAsia="仿宋" w:cs="仿宋"/>
          <w:b w:val="0"/>
          <w:bCs/>
          <w:spacing w:val="-6"/>
          <w:kern w:val="44"/>
          <w:sz w:val="32"/>
          <w:szCs w:val="32"/>
          <w:lang w:eastAsia="zh-CN" w:bidi="ar-SA"/>
        </w:rPr>
        <w:t xml:space="preserve"> </w:t>
      </w:r>
      <w:r>
        <w:rPr>
          <w:rFonts w:ascii="黑体" w:hAnsi="黑体" w:eastAsia="黑体" w:cs="黑体"/>
          <w:b w:val="0"/>
          <w:bCs/>
          <w:sz w:val="32"/>
          <w:szCs w:val="32"/>
        </w:rPr>
        <w:t>名词解释</w:t>
      </w:r>
      <w:bookmarkEnd w:id="77"/>
      <w:bookmarkEnd w:id="78"/>
      <w:bookmarkEnd w:id="79"/>
    </w:p>
    <w:p w14:paraId="022F61EC">
      <w:pPr>
        <w:pStyle w:val="13"/>
        <w:numPr>
          <w:ilvl w:val="0"/>
          <w:numId w:val="0"/>
        </w:numPr>
        <w:ind w:left="0" w:leftChars="0" w:firstLine="616"/>
        <w:rPr>
          <w:rFonts w:eastAsia="仿宋_GB2312"/>
          <w:b w:val="0"/>
          <w:bCs w:val="0"/>
          <w:color w:val="auto"/>
          <w:sz w:val="32"/>
          <w:szCs w:val="32"/>
        </w:rPr>
      </w:pPr>
      <w:r>
        <w:rPr>
          <w:rStyle w:val="52"/>
          <w:rFonts w:hint="eastAsia"/>
          <w:spacing wpsCustomData:val="-6" w:val="-6"/>
          <w:lang w:eastAsia="zh-CN"/>
        </w:rPr>
        <w:t>1</w:t>
      </w:r>
      <w:r>
        <w:rPr>
          <w:rStyle w:val="52"/>
          <w:rFonts w:hint="eastAsia"/>
          <w:spacing wpsCustomData:val="-6" w:val="-2"/>
          <w:lang w:eastAsia="zh-CN"/>
        </w:rPr>
        <w:t>.</w:t>
      </w:r>
      <w:r>
        <w:rPr>
          <w:rStyle w:val="52"/>
          <w:spacing wpsCustomData:val="3" w:val="7"/>
        </w:rPr>
        <w:t>财政拨款收入</w:t>
      </w:r>
      <w:r>
        <w:rPr>
          <w:rFonts w:ascii="Times New Roman" w:hAnsi="Times New Roman" w:eastAsia="仿宋_GB2312" w:cs="仿宋_GB2312"/>
          <w:b w:val="0"/>
          <w:bCs w:val="0"/>
          <w:color w:val="000000"/>
          <w:spacing wpsCustomData:val="3" w:val="7"/>
          <w:sz w:val="32"/>
          <w:szCs w:val="32"/>
        </w:rPr>
        <w:t>：指单位从同级财政部门取得的财政预</w:t>
      </w:r>
      <w:r>
        <w:rPr>
          <w:rFonts w:ascii="Times New Roman" w:hAnsi="Times New Roman" w:eastAsia="仿宋_GB2312" w:cs="仿宋_GB2312"/>
          <w:b w:val="0"/>
          <w:bCs w:val="0"/>
          <w:color w:val="000000"/>
          <w:spacing wpsCustomData:val="-6" w:val="-6"/>
          <w:sz w:val="32"/>
          <w:szCs w:val="32"/>
        </w:rPr>
        <w:t>算</w:t>
      </w:r>
      <w:r>
        <w:rPr>
          <w:rFonts w:ascii="Times New Roman" w:hAnsi="Times New Roman" w:eastAsia="仿宋_GB2312" w:cs="仿宋_GB2312"/>
          <w:b w:val="0"/>
          <w:bCs w:val="0"/>
          <w:color w:val="000000"/>
          <w:sz w:val="32"/>
          <w:szCs w:val="32"/>
        </w:rPr>
        <w:t>资金。</w:t>
      </w:r>
    </w:p>
    <w:p w14:paraId="0CFB8533">
      <w:pPr>
        <w:pStyle w:val="13"/>
        <w:numPr>
          <w:ilvl w:val="0"/>
          <w:numId w:val="0"/>
        </w:numPr>
        <w:ind w:left="0" w:leftChars="0" w:firstLine="616"/>
        <w:rPr>
          <w:rFonts w:eastAsia="仿宋_GB2312"/>
          <w:b w:val="0"/>
          <w:bCs w:val="0"/>
          <w:color w:val="auto"/>
          <w:sz w:val="32"/>
          <w:szCs w:val="32"/>
        </w:rPr>
      </w:pPr>
      <w:r>
        <w:rPr>
          <w:rStyle w:val="52"/>
          <w:rFonts w:hint="eastAsia"/>
          <w:lang w:eastAsia="zh-CN"/>
        </w:rPr>
        <w:t>2.</w:t>
      </w:r>
      <w:r>
        <w:rPr>
          <w:rStyle w:val="52"/>
        </w:rPr>
        <w:t>事业收入</w:t>
      </w:r>
      <w:r>
        <w:rPr>
          <w:rFonts w:ascii="Times New Roman" w:hAnsi="Times New Roman" w:eastAsia="仿宋_GB2312" w:cs="仿宋_GB2312"/>
          <w:b w:val="0"/>
          <w:bCs w:val="0"/>
          <w:color w:val="000000"/>
          <w:sz w:val="32"/>
          <w:szCs w:val="32"/>
        </w:rPr>
        <w:t>：指事业单位开展专业业务活动及辅助活动取得的收入。</w:t>
      </w:r>
    </w:p>
    <w:p w14:paraId="616A190D">
      <w:pPr>
        <w:pStyle w:val="13"/>
        <w:numPr>
          <w:ilvl w:val="0"/>
          <w:numId w:val="0"/>
        </w:numPr>
        <w:ind w:left="0" w:leftChars="0" w:firstLine="616"/>
        <w:rPr>
          <w:rFonts w:eastAsia="仿宋_GB2312"/>
          <w:b w:val="0"/>
          <w:bCs w:val="0"/>
          <w:color w:val="auto"/>
          <w:sz w:val="32"/>
          <w:szCs w:val="32"/>
        </w:rPr>
      </w:pPr>
      <w:r>
        <w:rPr>
          <w:rStyle w:val="52"/>
          <w:rFonts w:hint="eastAsia"/>
          <w:lang w:eastAsia="zh-CN"/>
        </w:rPr>
        <w:t>3.</w:t>
      </w:r>
      <w:r>
        <w:rPr>
          <w:rStyle w:val="52"/>
        </w:rPr>
        <w:t>经营收入</w:t>
      </w:r>
      <w:r>
        <w:rPr>
          <w:rFonts w:ascii="Times New Roman" w:hAnsi="Times New Roman" w:eastAsia="仿宋_GB2312" w:cs="仿宋_GB2312"/>
          <w:b w:val="0"/>
          <w:bCs w:val="0"/>
          <w:color w:val="000000"/>
          <w:sz w:val="32"/>
          <w:szCs w:val="32"/>
        </w:rPr>
        <w:t>：指事业单位在专业业务活动及其辅助活动之外开展非独立核算经营活动取得的收入</w:t>
      </w:r>
    </w:p>
    <w:p w14:paraId="3F55D9BE">
      <w:pPr>
        <w:pStyle w:val="13"/>
        <w:numPr>
          <w:ilvl w:val="0"/>
          <w:numId w:val="0"/>
        </w:numPr>
        <w:ind w:left="0" w:leftChars="0" w:firstLine="616"/>
        <w:rPr>
          <w:rFonts w:eastAsia="仿宋_GB2312"/>
          <w:b w:val="0"/>
          <w:bCs w:val="0"/>
          <w:color w:val="auto"/>
          <w:sz w:val="32"/>
          <w:szCs w:val="32"/>
        </w:rPr>
      </w:pPr>
      <w:r>
        <w:rPr>
          <w:rStyle w:val="52"/>
          <w:rFonts w:hint="eastAsia"/>
          <w:lang w:eastAsia="zh-CN"/>
        </w:rPr>
        <w:t>4.</w:t>
      </w:r>
      <w:r>
        <w:rPr>
          <w:rStyle w:val="52"/>
        </w:rPr>
        <w:t>其他收入</w:t>
      </w:r>
      <w:r>
        <w:rPr>
          <w:rFonts w:ascii="Times New Roman" w:hAnsi="Times New Roman" w:eastAsia="仿宋_GB2312" w:cs="仿宋_GB2312"/>
          <w:b w:val="0"/>
          <w:bCs w:val="0"/>
          <w:color w:val="000000"/>
          <w:sz w:val="32"/>
          <w:szCs w:val="32"/>
        </w:rPr>
        <w:t>：指单位取得的除上述收入以外的各项收入。</w:t>
      </w:r>
    </w:p>
    <w:p w14:paraId="619A9CFE">
      <w:pPr>
        <w:pStyle w:val="13"/>
        <w:numPr>
          <w:ilvl w:val="0"/>
          <w:numId w:val="0"/>
        </w:numPr>
        <w:ind w:left="0" w:leftChars="0" w:firstLine="616"/>
        <w:rPr>
          <w:rFonts w:eastAsia="仿宋_GB2312"/>
          <w:b w:val="0"/>
          <w:bCs w:val="0"/>
          <w:color w:val="auto"/>
          <w:sz w:val="32"/>
          <w:szCs w:val="32"/>
        </w:rPr>
      </w:pPr>
      <w:r>
        <w:rPr>
          <w:rStyle w:val="52"/>
          <w:rFonts w:hint="eastAsia"/>
          <w:lang w:eastAsia="zh-CN"/>
        </w:rPr>
        <w:t>5.</w:t>
      </w:r>
      <w:r>
        <w:rPr>
          <w:rStyle w:val="52"/>
        </w:rPr>
        <w:t>使用非财政拨款结余（含专用结余）</w:t>
      </w:r>
      <w:r>
        <w:rPr>
          <w:rFonts w:ascii="Times New Roman" w:hAnsi="Times New Roman" w:eastAsia="仿宋_GB2312" w:cs="仿宋_GB2312"/>
          <w:b w:val="0"/>
          <w:bCs w:val="0"/>
          <w:color w:val="000000"/>
          <w:sz w:val="32"/>
          <w:szCs w:val="32"/>
        </w:rPr>
        <w:t xml:space="preserve">：指事业单位使用以前年度积累的非财政拨款结余弥补当年收支差额的金额。 </w:t>
      </w:r>
    </w:p>
    <w:p w14:paraId="68EE8AD0">
      <w:pPr>
        <w:pStyle w:val="13"/>
        <w:numPr>
          <w:ilvl w:val="0"/>
          <w:numId w:val="0"/>
        </w:numPr>
        <w:ind w:left="0" w:leftChars="0" w:firstLine="616"/>
        <w:rPr>
          <w:rFonts w:eastAsia="仿宋_GB2312"/>
          <w:b w:val="0"/>
          <w:bCs w:val="0"/>
          <w:color w:val="auto"/>
          <w:sz w:val="32"/>
          <w:szCs w:val="32"/>
        </w:rPr>
      </w:pPr>
      <w:r>
        <w:rPr>
          <w:rStyle w:val="52"/>
          <w:rFonts w:hint="eastAsia"/>
          <w:lang w:eastAsia="zh-CN"/>
        </w:rPr>
        <w:t>6.</w:t>
      </w:r>
      <w:r>
        <w:rPr>
          <w:rStyle w:val="52"/>
        </w:rPr>
        <w:t>年初结转和结余</w:t>
      </w:r>
      <w:r>
        <w:rPr>
          <w:rFonts w:ascii="Times New Roman" w:hAnsi="Times New Roman" w:eastAsia="仿宋_GB2312" w:cs="仿宋_GB2312"/>
          <w:b w:val="0"/>
          <w:bCs w:val="0"/>
          <w:color w:val="000000"/>
          <w:sz w:val="32"/>
          <w:szCs w:val="32"/>
        </w:rPr>
        <w:t xml:space="preserve">：指以前年度尚未完成、结转到本年按有关规定继续使用的资金。 </w:t>
      </w:r>
    </w:p>
    <w:p w14:paraId="0839DE2D">
      <w:pPr>
        <w:pStyle w:val="13"/>
        <w:numPr>
          <w:ilvl w:val="0"/>
          <w:numId w:val="0"/>
        </w:numPr>
        <w:ind w:left="0" w:leftChars="0" w:firstLine="616"/>
        <w:rPr>
          <w:rFonts w:eastAsia="仿宋_GB2312"/>
          <w:b w:val="0"/>
          <w:bCs w:val="0"/>
          <w:color w:val="auto"/>
          <w:sz w:val="32"/>
          <w:szCs w:val="32"/>
        </w:rPr>
      </w:pPr>
      <w:r>
        <w:rPr>
          <w:rStyle w:val="52"/>
          <w:rFonts w:hint="eastAsia"/>
          <w:lang w:eastAsia="zh-CN"/>
        </w:rPr>
        <w:t>7.</w:t>
      </w:r>
      <w:r>
        <w:rPr>
          <w:rStyle w:val="52"/>
        </w:rPr>
        <w:t>结余分配</w:t>
      </w:r>
      <w:r>
        <w:rPr>
          <w:rFonts w:ascii="Times New Roman" w:hAnsi="Times New Roman" w:eastAsia="仿宋_GB2312" w:cs="仿宋_GB2312"/>
          <w:b w:val="0"/>
          <w:bCs w:val="0"/>
          <w:color w:val="000000"/>
          <w:sz w:val="32"/>
          <w:szCs w:val="32"/>
        </w:rPr>
        <w:t>：指事业单位按照会计制度规定缴纳的所得税、提取的专用结余以及转入非财政拨款结余的金额等。</w:t>
      </w:r>
    </w:p>
    <w:p w14:paraId="32ED2363">
      <w:pPr>
        <w:pStyle w:val="13"/>
        <w:numPr>
          <w:ilvl w:val="0"/>
          <w:numId w:val="0"/>
        </w:numPr>
        <w:ind w:left="0" w:leftChars="0" w:firstLine="616"/>
        <w:rPr>
          <w:rFonts w:eastAsia="仿宋_GB2312"/>
          <w:b w:val="0"/>
          <w:bCs w:val="0"/>
          <w:color w:val="auto"/>
          <w:sz w:val="32"/>
          <w:szCs w:val="32"/>
        </w:rPr>
      </w:pPr>
      <w:r>
        <w:rPr>
          <w:rStyle w:val="52"/>
          <w:rFonts w:hint="eastAsia"/>
          <w:lang w:eastAsia="zh-CN"/>
        </w:rPr>
        <w:t>8.</w:t>
      </w:r>
      <w:r>
        <w:rPr>
          <w:rStyle w:val="52"/>
        </w:rPr>
        <w:t>年末结转和结余</w:t>
      </w:r>
      <w:r>
        <w:rPr>
          <w:rFonts w:ascii="Times New Roman" w:hAnsi="Times New Roman" w:eastAsia="仿宋_GB2312" w:cs="仿宋_GB2312"/>
          <w:b w:val="0"/>
          <w:bCs w:val="0"/>
          <w:color w:val="000000"/>
          <w:sz w:val="32"/>
          <w:szCs w:val="32"/>
        </w:rPr>
        <w:t>：指单位按有关规定结转到下年或以后年度继续使用的资金。</w:t>
      </w:r>
    </w:p>
    <w:p w14:paraId="15C4A990">
      <w:pPr>
        <w:pStyle w:val="13"/>
        <w:numPr>
          <w:ilvl w:val="0"/>
          <w:numId w:val="0"/>
        </w:numPr>
        <w:ind w:left="0" w:leftChars="0" w:firstLine="616"/>
        <w:rPr>
          <w:rFonts w:eastAsia="仿宋_GB2312"/>
          <w:b w:val="0"/>
          <w:bCs w:val="0"/>
          <w:color w:val="auto"/>
          <w:sz w:val="32"/>
          <w:szCs w:val="32"/>
        </w:rPr>
      </w:pPr>
      <w:r>
        <w:rPr>
          <w:rStyle w:val="52"/>
          <w:rFonts w:hint="eastAsia"/>
          <w:lang w:eastAsia="zh-CN"/>
        </w:rPr>
        <w:t>9.</w:t>
      </w:r>
      <w:r>
        <w:rPr>
          <w:rStyle w:val="52"/>
        </w:rPr>
        <w:t>社会保障和就业支出（类）行政事业单位养老支出（款）机关事业单位基本养老保险缴费支出（项）</w:t>
      </w:r>
      <w:r>
        <w:rPr>
          <w:rFonts w:ascii="Times New Roman" w:hAnsi="Times New Roman" w:eastAsia="仿宋_GB2312" w:cs="仿宋_GB2312"/>
          <w:b w:val="0"/>
          <w:bCs w:val="0"/>
          <w:color w:val="000000"/>
          <w:sz w:val="32"/>
          <w:szCs w:val="32"/>
        </w:rPr>
        <w:t>：反映机关事业单位实施养老保险制度由单位缴纳的基本养老保险费支出。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10.社会保障和就业支出（类）行政事业单位养老支出（款）机关事业单位职业年金缴费支出（项）：反映机关事业单位实施养老保险制度由单位实际缴纳的职业年金支出。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11.卫生健康支出（类）卫生健康管理事务（款）其他卫生健康管理事务支出（项）：反映除上述项目以外其他用于卫生健康管理事务方面的支出。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12.卫生健康支出（类）基层医疗卫生机构（款）乡镇卫生院（项）：反映用于乡镇卫生院的支出。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13.卫生健康支出（类）基层医疗卫生机构（款）其他基层医疗卫生机构支出（项）：反映除上述项目以外的其他用于基层医疗卫生机构的支出。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14.卫生健康支出（类）公共卫生（款）基本公共卫生服务（项）：反映基本公共卫生服务支出。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15.卫生健康支出（类）公共卫生（款）其他公共卫生支出（项）：其他公共卫生支出反映除上述项目以外的其他用于公共卫生方面的支出。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16.卫生健康支出（类）计划生育事务（款）计划生育机构（项）：反映卫生健康部门所属计划生育机构的支出。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17.卫生健康支出（类）计划生育事务（款）其他计划生育事务支出（项）：反映除上述项目以外其他用于计划生育管理事务方面的支出。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18.卫生健康支出（类）行政事业单位医疗（款）事业单位医疗（项）：反映财政部门安排的事业单位基本医疗保险缴费经费，未参加医疗保险的事业单位的公费医疗经费，按国家规定享受离休人员待遇的医疗经费。</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19.卫生健康支出（类）行政事业单位医疗（款）其他行政事业单位医疗支出（项）：反映除上述项目以外的其他用于行政事业单位医疗方面的支出。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20.卫生健康支出（类）医疗救助（款）其他医疗救助支出（项）：反映除上述项目以外的其他用于医疗救助方面的支出。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21.卫生健康支出（类）中医药事务（款）中医（民族医）药专项（项）：无文字说明。</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22.卫生健康支出（类）托育服务（款）其他托育服务支出（项）：无文字说明。</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23.卫生健康支出（类）其他卫生健康支出（款）其他卫生健康支出（项）：反映除上述项i以外其他用于卫生健康方面的支出。</w:t>
      </w:r>
      <w:r>
        <w:rPr>
          <w:rFonts w:ascii="Times New Roman" w:hAnsi="Times New Roman" w:eastAsia="仿宋_GB2312" w:cs="仿宋_GB2312"/>
          <w:b w:val="0"/>
          <w:bCs w:val="0"/>
          <w:color w:val="000000"/>
          <w:sz w:val="32"/>
          <w:szCs w:val="32"/>
        </w:rPr>
        <w:cr/>
      </w:r>
      <w:r>
        <w:rPr>
          <w:rFonts w:ascii="Times New Roman" w:hAnsi="Times New Roman" w:eastAsia="仿宋_GB2312" w:cs="仿宋_GB2312"/>
          <w:b w:val="0"/>
          <w:bCs w:val="0"/>
          <w:color w:val="000000"/>
          <w:sz w:val="32"/>
          <w:szCs w:val="32"/>
        </w:rPr>
        <w:t xml:space="preserve">    24.住房保障支出（类）住房改革支出（款）住房公积金（项）：反映行政事业单位按人力资源和社会保障部、财政部规定的基本工资和津贴补贴以及规定比例为职工缴纳的住房公积金。</w:t>
      </w:r>
    </w:p>
    <w:p w14:paraId="773E015D">
      <w:pPr>
        <w:pStyle w:val="13"/>
        <w:numPr>
          <w:ilvl w:val="0"/>
          <w:numId w:val="0"/>
        </w:numPr>
        <w:ind w:left="0" w:leftChars="0" w:firstLine="616"/>
        <w:rPr>
          <w:rFonts w:eastAsia="仿宋_GB2312"/>
          <w:b w:val="0"/>
          <w:bCs w:val="0"/>
          <w:color w:val="auto"/>
          <w:sz w:val="32"/>
          <w:szCs w:val="32"/>
        </w:rPr>
      </w:pPr>
      <w:r>
        <w:rPr>
          <w:rStyle w:val="52"/>
          <w:rFonts w:hint="eastAsia"/>
          <w:lang w:eastAsia="zh-CN"/>
        </w:rPr>
        <w:t>25.</w:t>
      </w:r>
      <w:r>
        <w:rPr>
          <w:rStyle w:val="52"/>
        </w:rPr>
        <w:t>基本支出</w:t>
      </w:r>
      <w:r>
        <w:rPr>
          <w:rFonts w:ascii="Times New Roman" w:hAnsi="Times New Roman" w:eastAsia="仿宋_GB2312" w:cs="仿宋_GB2312"/>
          <w:b w:val="0"/>
          <w:bCs w:val="0"/>
          <w:color w:val="000000"/>
          <w:sz w:val="32"/>
          <w:szCs w:val="32"/>
          <w:u w:color="auto"/>
        </w:rPr>
        <w:t>：指为保障机构正常运转、完成日常工作任务而发生的人员支出和公用支出。</w:t>
      </w:r>
    </w:p>
    <w:p w14:paraId="0010CAE3">
      <w:pPr>
        <w:pStyle w:val="13"/>
        <w:numPr>
          <w:ilvl w:val="0"/>
          <w:numId w:val="0"/>
        </w:numPr>
        <w:ind w:left="0" w:leftChars="0" w:firstLine="616"/>
        <w:rPr>
          <w:rFonts w:eastAsia="仿宋_GB2312"/>
          <w:b w:val="0"/>
          <w:bCs w:val="0"/>
          <w:color w:val="auto"/>
          <w:sz w:val="32"/>
          <w:szCs w:val="32"/>
        </w:rPr>
      </w:pPr>
      <w:r>
        <w:rPr>
          <w:rStyle w:val="52"/>
          <w:rFonts w:hint="eastAsia"/>
          <w:lang w:eastAsia="zh-CN"/>
        </w:rPr>
        <w:t>26.</w:t>
      </w:r>
      <w:r>
        <w:rPr>
          <w:rStyle w:val="52"/>
        </w:rPr>
        <w:t>项目支出</w:t>
      </w:r>
      <w:r>
        <w:rPr>
          <w:rFonts w:ascii="Times New Roman" w:hAnsi="Times New Roman" w:eastAsia="仿宋_GB2312" w:cs="仿宋_GB2312"/>
          <w:b w:val="0"/>
          <w:bCs w:val="0"/>
          <w:color w:val="000000"/>
          <w:sz w:val="32"/>
          <w:szCs w:val="32"/>
          <w:u w:color="auto"/>
        </w:rPr>
        <w:t xml:space="preserve">：指在基本支出之外为完成特定行政任务和事业发展目标所发生的支出。 </w:t>
      </w:r>
    </w:p>
    <w:p w14:paraId="77C94036">
      <w:pPr>
        <w:pStyle w:val="13"/>
        <w:numPr>
          <w:ilvl w:val="0"/>
          <w:numId w:val="0"/>
        </w:numPr>
        <w:ind w:left="0" w:leftChars="0" w:firstLine="616"/>
        <w:rPr>
          <w:rFonts w:eastAsia="仿宋_GB2312"/>
          <w:b w:val="0"/>
          <w:bCs w:val="0"/>
          <w:color w:val="auto"/>
          <w:sz w:val="32"/>
          <w:szCs w:val="32"/>
        </w:rPr>
      </w:pPr>
      <w:r>
        <w:rPr>
          <w:rStyle w:val="52"/>
          <w:rFonts w:hint="eastAsia"/>
          <w:lang w:eastAsia="zh-CN"/>
        </w:rPr>
        <w:t>27.</w:t>
      </w:r>
      <w:r>
        <w:rPr>
          <w:rStyle w:val="52"/>
        </w:rPr>
        <w:t>经营支出</w:t>
      </w:r>
      <w:r>
        <w:rPr>
          <w:rFonts w:ascii="Times New Roman" w:hAnsi="Times New Roman" w:eastAsia="仿宋_GB2312" w:cs="仿宋_GB2312"/>
          <w:b w:val="0"/>
          <w:bCs w:val="0"/>
          <w:color w:val="000000"/>
          <w:sz w:val="32"/>
          <w:szCs w:val="32"/>
          <w:u w:color="auto"/>
        </w:rPr>
        <w:t>：指事业单位在专业业务活动及其辅助活动之外开展非独立核算经营活动发生的支出。</w:t>
      </w:r>
    </w:p>
    <w:p w14:paraId="2180527E">
      <w:pPr>
        <w:pStyle w:val="13"/>
        <w:numPr>
          <w:ilvl w:val="0"/>
          <w:numId w:val="0"/>
        </w:numPr>
        <w:ind w:left="0" w:leftChars="0" w:firstLine="616"/>
        <w:rPr>
          <w:rFonts w:eastAsia="仿宋_GB2312"/>
          <w:b w:val="0"/>
          <w:bCs w:val="0"/>
          <w:color w:val="auto"/>
          <w:sz w:val="32"/>
          <w:szCs w:val="32"/>
        </w:rPr>
      </w:pPr>
      <w:r>
        <w:rPr>
          <w:rFonts w:hint="eastAsia" w:ascii="仿宋_GB2312" w:hAnsi="仿宋_GB2312" w:cs="仿宋_GB2312"/>
          <w:spacing w:val="-6"/>
          <w:sz w:val="32"/>
          <w:szCs w:val="32"/>
          <w:lang w:eastAsia="zh-CN"/>
        </w:rPr>
        <w:t>28.</w:t>
      </w:r>
      <w:r>
        <w:rPr>
          <w:rFonts w:hint="eastAsia" w:ascii="仿宋_GB2312" w:hAnsi="仿宋_GB2312" w:eastAsia="仿宋_GB2312" w:cs="仿宋_GB2312"/>
          <w:spacing w:val="-6"/>
          <w:sz w:val="32"/>
          <w:szCs w:val="32"/>
        </w:rPr>
        <w:t>“</w:t>
      </w:r>
      <w:r>
        <w:rPr>
          <w:rStyle w:val="52"/>
        </w:rPr>
        <w:t>三公</w:t>
      </w:r>
      <w:r>
        <w:rPr>
          <w:rFonts w:hint="eastAsia" w:ascii="仿宋_GB2312" w:hAnsi="仿宋_GB2312" w:eastAsia="仿宋_GB2312" w:cs="仿宋_GB2312"/>
          <w:spacing w:val="-6"/>
          <w:sz w:val="32"/>
          <w:szCs w:val="32"/>
        </w:rPr>
        <w:t>”</w:t>
      </w:r>
      <w:r>
        <w:rPr>
          <w:rStyle w:val="52"/>
        </w:rPr>
        <w:t>经费</w:t>
      </w:r>
      <w:r>
        <w:rPr>
          <w:rFonts w:ascii="Times New Roman" w:hAnsi="Times New Roman" w:eastAsia="仿宋_GB2312" w:cs="仿宋_GB2312"/>
          <w:b w:val="0"/>
          <w:bCs w:val="0"/>
          <w:color w:val="000000"/>
          <w:sz w:val="32"/>
          <w:szCs w:val="32"/>
          <w:u w:color="auto"/>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11F45032">
      <w:pPr>
        <w:pStyle w:val="13"/>
        <w:numPr>
          <w:ilvl w:val="0"/>
          <w:numId w:val="0"/>
        </w:numPr>
        <w:ind w:left="0" w:leftChars="0" w:firstLine="616"/>
        <w:rPr>
          <w:rFonts w:eastAsia="仿宋_GB2312"/>
          <w:b w:val="0"/>
          <w:bCs w:val="0"/>
          <w:color w:val="auto"/>
          <w:sz w:val="32"/>
          <w:szCs w:val="32"/>
        </w:rPr>
      </w:pPr>
      <w:r>
        <w:rPr>
          <w:rStyle w:val="52"/>
          <w:rFonts w:hint="eastAsia"/>
          <w:lang w:eastAsia="zh-CN"/>
        </w:rPr>
        <w:t>29.</w:t>
      </w:r>
      <w:r>
        <w:rPr>
          <w:rStyle w:val="52"/>
        </w:rPr>
        <w:t>机关运行经费</w:t>
      </w:r>
      <w:r>
        <w:rPr>
          <w:rFonts w:ascii="Times New Roman" w:hAnsi="Times New Roman" w:eastAsia="仿宋_GB2312" w:cs="仿宋_GB2312"/>
          <w:b w:val="0"/>
          <w:bCs w:val="0"/>
          <w:color w:val="000000"/>
          <w:sz w:val="32"/>
          <w:szCs w:val="32"/>
          <w:u w:color="auto"/>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2E326A87">
      <w:pPr>
        <w:pStyle w:val="13"/>
        <w:numPr>
          <w:ilvl w:val="0"/>
          <w:numId w:val="0"/>
        </w:numPr>
        <w:ind w:left="0" w:leftChars="0" w:firstLine="616"/>
        <w:rPr>
          <w:rFonts w:eastAsia="仿宋_GB2312"/>
          <w:b w:val="0"/>
          <w:bCs w:val="0"/>
          <w:sz w:val="32"/>
          <w:szCs w:val="32"/>
        </w:rPr>
      </w:pPr>
      <w:r>
        <w:rPr>
          <w:rStyle w:val="52"/>
          <w:rFonts w:hint="eastAsia"/>
          <w:lang w:eastAsia="zh-CN"/>
        </w:rPr>
        <w:t>30.</w:t>
      </w:r>
      <w:r>
        <w:rPr>
          <w:rStyle w:val="52"/>
        </w:rPr>
        <w:t>财政应返还额度</w:t>
      </w:r>
      <w:r>
        <w:rPr>
          <w:rFonts w:ascii="Times New Roman" w:hAnsi="Times New Roman" w:eastAsia="仿宋_GB2312" w:cs="仿宋_GB2312"/>
          <w:b w:val="0"/>
          <w:bCs w:val="0"/>
          <w:color w:val="000000"/>
          <w:sz w:val="32"/>
          <w:szCs w:val="32"/>
          <w:u w:color="auto"/>
        </w:rPr>
        <w:t>：为行政事业单位会计核算科目，用于核算实行国库集中支付的行政事业单位应收财政返还的资金额度。</w:t>
      </w:r>
    </w:p>
    <w:p w14:paraId="2D3D8A8E">
      <w:pPr>
        <w:widowControl/>
        <w:jc w:val="left"/>
        <w:rPr>
          <w:rStyle w:val="40"/>
          <w:rFonts w:hint="eastAsia" w:ascii="思源黑体 CN Normal" w:hAnsi="思源黑体 CN Normal" w:eastAsia="思源黑体 CN Normal" w:cs="思源黑体 CN Normal"/>
        </w:rPr>
      </w:pPr>
      <w:r>
        <w:rPr>
          <w:rStyle w:val="40"/>
          <w:rFonts w:hint="eastAsia" w:ascii="思源黑体 CN Normal" w:hAnsi="思源黑体 CN Normal" w:eastAsia="思源黑体 CN Normal" w:cs="思源黑体 CN Normal"/>
        </w:rPr>
        <w:br w:type="page"/>
      </w:r>
    </w:p>
    <w:p w14:paraId="06638D99">
      <w:pPr>
        <w:pStyle w:val="50"/>
        <w:numPr>
          <w:ilvl w:val="0"/>
          <w:numId w:val="0"/>
        </w:numPr>
        <w:ind w:leftChars="0"/>
        <w:rPr>
          <w:rFonts w:eastAsia="黑体"/>
          <w:b w:val="0"/>
          <w:bCs/>
          <w:sz w:val="32"/>
          <w:szCs w:val="32"/>
        </w:rPr>
      </w:pPr>
      <w:bookmarkStart w:id="80" w:name="_Toc22545"/>
      <w:bookmarkStart w:id="81" w:name="_Toc111208510"/>
      <w:r>
        <w:rPr>
          <w:rFonts w:hint="eastAsia" w:cs="黑体"/>
          <w:b w:val="0"/>
          <w:bCs/>
          <w:sz w:val="32"/>
          <w:szCs w:val="32"/>
          <w:lang w:eastAsia="zh-CN"/>
        </w:rPr>
        <w:t>第四章</w:t>
      </w:r>
      <w:r>
        <w:rPr>
          <w:rFonts w:hint="eastAsia" w:ascii="仿宋" w:hAnsi="仿宋" w:eastAsia="仿宋" w:cs="仿宋"/>
          <w:b w:val="0"/>
          <w:bCs/>
          <w:spacing w:val="-6"/>
          <w:kern w:val="44"/>
          <w:sz w:val="32"/>
          <w:szCs w:val="32"/>
          <w:lang w:eastAsia="zh-CN" w:bidi="ar-SA"/>
        </w:rPr>
        <w:t xml:space="preserve"> </w:t>
      </w:r>
      <w:r>
        <w:rPr>
          <w:rFonts w:ascii="黑体" w:hAnsi="黑体" w:eastAsia="黑体" w:cs="黑体"/>
          <w:b w:val="0"/>
          <w:bCs/>
          <w:sz w:val="32"/>
          <w:szCs w:val="32"/>
        </w:rPr>
        <w:t>附件</w:t>
      </w:r>
      <w:bookmarkEnd w:id="80"/>
      <w:bookmarkEnd w:id="81"/>
    </w:p>
    <w:p w14:paraId="14F96F66">
      <w:pPr>
        <w:pStyle w:val="11"/>
        <w:rPr>
          <w:rFonts w:hint="eastAsia" w:ascii="仿宋" w:hAnsi="仿宋" w:eastAsia="仿宋" w:cs="仿宋"/>
          <w:sz w:val="32"/>
          <w:szCs w:val="32"/>
        </w:rPr>
      </w:pPr>
      <w:r>
        <w:rPr>
          <w:rFonts w:hint="eastAsia" w:ascii="仿宋" w:hAnsi="仿宋" w:eastAsia="仿宋" w:cs="仿宋"/>
          <w:sz w:val="32"/>
          <w:szCs w:val="32"/>
        </w:rPr>
        <w:t xml:space="preserve"> </w:t>
      </w:r>
    </w:p>
    <w:tbl>
      <w:tblPr>
        <w:tblStyle w:val="2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6"/>
        <w:gridCol w:w="816"/>
        <w:gridCol w:w="666"/>
        <w:gridCol w:w="927"/>
        <w:gridCol w:w="396"/>
        <w:gridCol w:w="936"/>
        <w:gridCol w:w="396"/>
        <w:gridCol w:w="779"/>
        <w:gridCol w:w="486"/>
        <w:gridCol w:w="486"/>
        <w:gridCol w:w="2376"/>
      </w:tblGrid>
      <w:tr w14:paraId="68458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2278" w:type="pct"/>
            <w:gridSpan w:val="4"/>
            <w:tcBorders>
              <w:top w:val="nil"/>
              <w:left w:val="nil"/>
              <w:bottom w:val="nil"/>
              <w:right w:val="nil"/>
            </w:tcBorders>
            <w:shd w:val="clear" w:color="auto" w:fill="auto"/>
            <w:vAlign w:val="center"/>
          </w:tcPr>
          <w:p w14:paraId="1F84BC64">
            <w:pPr>
              <w:keepNext w:val="0"/>
              <w:keepLines w:val="0"/>
              <w:widowControl/>
              <w:suppressLineNumbers w:val="0"/>
              <w:jc w:val="left"/>
              <w:textAlignment w:val="center"/>
              <w:rPr>
                <w:rFonts w:ascii="宋体" w:hAnsi="宋体" w:eastAsia="宋体" w:cs="宋体"/>
                <w:i w:val="0"/>
                <w:iCs w:val="0"/>
                <w:color w:val="C0C0C0"/>
                <w:sz w:val="20"/>
                <w:szCs w:val="20"/>
                <w:u w:val="none"/>
              </w:rPr>
            </w:pPr>
            <w:r>
              <w:rPr>
                <w:rFonts w:ascii="宋体" w:hAnsi="宋体" w:eastAsia="宋体" w:cs="宋体"/>
                <w:i w:val="0"/>
                <w:iCs w:val="0"/>
                <w:color w:val="C0C0C0"/>
                <w:kern w:val="0"/>
                <w:sz w:val="20"/>
                <w:szCs w:val="20"/>
                <w:u w:val="none"/>
                <w:lang w:val="en-US" w:eastAsia="zh-CN" w:bidi="ar"/>
              </w:rPr>
              <w:t>报表编号：510000</w:t>
            </w:r>
            <w:r>
              <w:rPr>
                <w:rFonts w:hint="eastAsia" w:ascii="宋体" w:hAnsi="宋体" w:cs="宋体"/>
                <w:i w:val="0"/>
                <w:iCs w:val="0"/>
                <w:color w:val="C0C0C0"/>
                <w:kern w:val="0"/>
                <w:sz w:val="20"/>
                <w:szCs w:val="20"/>
                <w:u w:val="none"/>
                <w:lang w:val="en-US" w:eastAsia="zh-CN" w:bidi="ar"/>
              </w:rPr>
              <w:t>＿</w:t>
            </w:r>
            <w:r>
              <w:rPr>
                <w:rFonts w:ascii="宋体" w:hAnsi="宋体" w:eastAsia="宋体" w:cs="宋体"/>
                <w:i w:val="0"/>
                <w:iCs w:val="0"/>
                <w:color w:val="C0C0C0"/>
                <w:kern w:val="0"/>
                <w:sz w:val="20"/>
                <w:szCs w:val="20"/>
                <w:u w:val="none"/>
                <w:lang w:val="en-US" w:eastAsia="zh-CN" w:bidi="ar"/>
              </w:rPr>
              <w:t>0013zp</w:t>
            </w:r>
          </w:p>
        </w:tc>
        <w:tc>
          <w:tcPr>
            <w:tcW w:w="175" w:type="pct"/>
            <w:tcBorders>
              <w:top w:val="nil"/>
              <w:left w:val="nil"/>
              <w:bottom w:val="nil"/>
              <w:right w:val="nil"/>
            </w:tcBorders>
            <w:shd w:val="clear" w:color="auto" w:fill="auto"/>
            <w:noWrap/>
            <w:vAlign w:val="center"/>
          </w:tcPr>
          <w:p w14:paraId="1F480F1F">
            <w:pPr>
              <w:rPr>
                <w:rFonts w:hint="eastAsia" w:ascii="宋体" w:hAnsi="宋体" w:eastAsia="宋体" w:cs="宋体"/>
                <w:i w:val="0"/>
                <w:iCs w:val="0"/>
                <w:color w:val="000000"/>
                <w:sz w:val="22"/>
                <w:szCs w:val="22"/>
                <w:u w:val="none"/>
              </w:rPr>
            </w:pPr>
          </w:p>
        </w:tc>
        <w:tc>
          <w:tcPr>
            <w:tcW w:w="1280" w:type="pct"/>
            <w:gridSpan w:val="3"/>
            <w:tcBorders>
              <w:top w:val="nil"/>
              <w:left w:val="nil"/>
              <w:bottom w:val="nil"/>
              <w:right w:val="nil"/>
            </w:tcBorders>
            <w:shd w:val="clear" w:color="auto" w:fill="auto"/>
            <w:vAlign w:val="center"/>
          </w:tcPr>
          <w:p w14:paraId="2180BB1C">
            <w:pPr>
              <w:rPr>
                <w:rFonts w:hint="eastAsia" w:ascii="宋体" w:hAnsi="宋体" w:eastAsia="宋体" w:cs="宋体"/>
                <w:i w:val="0"/>
                <w:iCs w:val="0"/>
                <w:color w:val="000000"/>
                <w:sz w:val="20"/>
                <w:szCs w:val="20"/>
                <w:u w:val="none"/>
              </w:rPr>
            </w:pPr>
          </w:p>
        </w:tc>
        <w:tc>
          <w:tcPr>
            <w:tcW w:w="170" w:type="pct"/>
            <w:tcBorders>
              <w:top w:val="nil"/>
              <w:left w:val="nil"/>
              <w:bottom w:val="nil"/>
              <w:right w:val="nil"/>
            </w:tcBorders>
            <w:shd w:val="clear" w:color="auto" w:fill="auto"/>
            <w:noWrap/>
            <w:vAlign w:val="center"/>
          </w:tcPr>
          <w:p w14:paraId="1E4E0357">
            <w:pPr>
              <w:rPr>
                <w:rFonts w:hint="eastAsia" w:ascii="宋体" w:hAnsi="宋体" w:eastAsia="宋体" w:cs="宋体"/>
                <w:i w:val="0"/>
                <w:iCs w:val="0"/>
                <w:color w:val="000000"/>
                <w:sz w:val="22"/>
                <w:szCs w:val="22"/>
                <w:u w:val="none"/>
              </w:rPr>
            </w:pPr>
          </w:p>
        </w:tc>
        <w:tc>
          <w:tcPr>
            <w:tcW w:w="164" w:type="pct"/>
            <w:tcBorders>
              <w:top w:val="nil"/>
              <w:left w:val="nil"/>
              <w:bottom w:val="nil"/>
              <w:right w:val="nil"/>
            </w:tcBorders>
            <w:shd w:val="clear" w:color="auto" w:fill="auto"/>
            <w:noWrap/>
            <w:vAlign w:val="center"/>
          </w:tcPr>
          <w:p w14:paraId="5480DABB">
            <w:pPr>
              <w:rPr>
                <w:rFonts w:hint="eastAsia" w:ascii="宋体" w:hAnsi="宋体" w:eastAsia="宋体" w:cs="宋体"/>
                <w:i w:val="0"/>
                <w:iCs w:val="0"/>
                <w:color w:val="000000"/>
                <w:sz w:val="22"/>
                <w:szCs w:val="22"/>
                <w:u w:val="none"/>
              </w:rPr>
            </w:pPr>
          </w:p>
        </w:tc>
        <w:tc>
          <w:tcPr>
            <w:tcW w:w="931" w:type="pct"/>
            <w:tcBorders>
              <w:top w:val="nil"/>
              <w:left w:val="nil"/>
              <w:bottom w:val="nil"/>
              <w:right w:val="nil"/>
            </w:tcBorders>
            <w:shd w:val="clear" w:color="auto" w:fill="auto"/>
            <w:noWrap/>
            <w:vAlign w:val="center"/>
          </w:tcPr>
          <w:p w14:paraId="05EFDDAD">
            <w:pPr>
              <w:rPr>
                <w:rFonts w:hint="eastAsia" w:ascii="宋体" w:hAnsi="宋体" w:eastAsia="宋体" w:cs="宋体"/>
                <w:i w:val="0"/>
                <w:iCs w:val="0"/>
                <w:color w:val="000000"/>
                <w:sz w:val="22"/>
                <w:szCs w:val="22"/>
                <w:u w:val="none"/>
              </w:rPr>
            </w:pPr>
          </w:p>
        </w:tc>
      </w:tr>
      <w:tr w14:paraId="52BE7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8258774">
            <w:pPr>
              <w:keepNext w:val="0"/>
              <w:keepLines w:val="0"/>
              <w:widowControl/>
              <w:suppressLineNumbers w:val="0"/>
              <w:jc w:val="center"/>
              <w:textAlignment w:val="center"/>
              <w:rPr>
                <w:rFonts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6EC9A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E4BF3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5438C3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51323322T000006203818</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基层医疗卫生机构能力建设项目</w:t>
            </w:r>
          </w:p>
        </w:tc>
      </w:tr>
      <w:tr w14:paraId="59773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77B19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9871D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5B348F2A">
            <w:pPr>
              <w:keepNext w:val="0"/>
              <w:keepLines w:val="0"/>
              <w:widowControl/>
              <w:suppressLineNumbers w:val="0"/>
              <w:jc w:val="left"/>
              <w:textAlignment w:val="center"/>
              <w:rPr>
                <w:rFonts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21AA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6CADA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12A42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7C674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C3F2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67D6673">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62952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CC3B6">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CDBB6">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0AECA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基层医疗卫生机构能力建设</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2FC19A">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有序推进基层医疗机构能力提升相关工作，落实设备配置、服务能力提升等任务。因项目实施周期因素，部分工作尚未全部完成，预算未完全执行，阶段性实现基层机构能力建设目标。</w:t>
            </w:r>
          </w:p>
        </w:tc>
      </w:tr>
      <w:tr w14:paraId="0210F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F79C0">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561D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2C200B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本项目为年中追加专项，用于基层医疗卫生机构设备购置、服务能力提升等建设工作。年初无预算，年中下达专项资金 294.09 万元。严格按照项目方案组织实施，开展采购、业务提升等工作，受采购流程、项目实施周期影响，部分资金尚未支付完毕。</w:t>
            </w:r>
          </w:p>
        </w:tc>
      </w:tr>
      <w:tr w14:paraId="15FC2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05A0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CFA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46B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37B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AB0C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083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522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D4B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617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5EE25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99DF4">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737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6E0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DAF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294.09</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A5FB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234.86</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7A5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79.86</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BC4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63D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9BA5F8">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本项目为年中追加资金，项目实施包含设备采购等环节，采购招标流程周期较长，部分项目尚未完成验收付款，导致预算执行率未达到 90％。</w:t>
            </w:r>
          </w:p>
        </w:tc>
      </w:tr>
      <w:tr w14:paraId="7BC4C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843CC">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B56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18D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B84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294.09</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4479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234.86</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773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79.86</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8F9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7F8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52807">
            <w:pPr>
              <w:rPr>
                <w:rFonts w:hint="eastAsia" w:ascii="黑体" w:hAnsi="黑体" w:eastAsia="黑体" w:cs="黑体"/>
                <w:i/>
                <w:iCs/>
                <w:color w:val="000000"/>
                <w:sz w:val="18"/>
                <w:szCs w:val="18"/>
                <w:u w:val="none"/>
              </w:rPr>
            </w:pPr>
          </w:p>
        </w:tc>
      </w:tr>
      <w:tr w14:paraId="5A35F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36108">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059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5A6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B63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746A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25D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881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F17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829ED">
            <w:pPr>
              <w:rPr>
                <w:rFonts w:hint="eastAsia" w:ascii="黑体" w:hAnsi="黑体" w:eastAsia="黑体" w:cs="黑体"/>
                <w:i/>
                <w:iCs/>
                <w:color w:val="000000"/>
                <w:sz w:val="18"/>
                <w:szCs w:val="18"/>
                <w:u w:val="none"/>
              </w:rPr>
            </w:pPr>
          </w:p>
        </w:tc>
      </w:tr>
      <w:tr w14:paraId="73A0C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EA529">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BA4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A21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89E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59E4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AAE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0E9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337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DDEA8">
            <w:pPr>
              <w:rPr>
                <w:rFonts w:hint="eastAsia" w:ascii="黑体" w:hAnsi="黑体" w:eastAsia="黑体" w:cs="黑体"/>
                <w:i/>
                <w:iCs/>
                <w:color w:val="000000"/>
                <w:sz w:val="18"/>
                <w:szCs w:val="18"/>
                <w:u w:val="none"/>
              </w:rPr>
            </w:pPr>
          </w:p>
        </w:tc>
      </w:tr>
      <w:tr w14:paraId="18601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731B7">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CF8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F7F4E">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3DF12">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D1F033">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1745E">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9B4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EE5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8101C">
            <w:pPr>
              <w:rPr>
                <w:rFonts w:hint="eastAsia" w:ascii="黑体" w:hAnsi="黑体" w:eastAsia="黑体" w:cs="黑体"/>
                <w:i/>
                <w:iCs/>
                <w:color w:val="000000"/>
                <w:sz w:val="18"/>
                <w:szCs w:val="18"/>
                <w:u w:val="none"/>
              </w:rPr>
            </w:pPr>
          </w:p>
        </w:tc>
      </w:tr>
      <w:tr w14:paraId="50E4F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B09B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34C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C5C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4BD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BED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D6F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B81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96F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45A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325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C6E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3977E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30D86">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4F22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5622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ED7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医疗事故发生率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A9A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753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65D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DFE5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1.2</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AC2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5E9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EA820">
            <w:pPr>
              <w:jc w:val="center"/>
              <w:rPr>
                <w:rFonts w:hint="eastAsia" w:ascii="微软雅黑" w:hAnsi="微软雅黑" w:eastAsia="微软雅黑" w:cs="微软雅黑"/>
                <w:i/>
                <w:iCs/>
                <w:color w:val="000000"/>
                <w:sz w:val="16"/>
                <w:szCs w:val="16"/>
                <w:u w:val="none"/>
              </w:rPr>
            </w:pPr>
          </w:p>
        </w:tc>
      </w:tr>
      <w:tr w14:paraId="0482E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7D126">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2EC5B">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554C6">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E37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医疗服务质量</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8FF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1D5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475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7AAB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91</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218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759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8B6EC">
            <w:pPr>
              <w:jc w:val="center"/>
              <w:rPr>
                <w:rFonts w:hint="eastAsia" w:ascii="微软雅黑" w:hAnsi="微软雅黑" w:eastAsia="微软雅黑" w:cs="微软雅黑"/>
                <w:i/>
                <w:iCs/>
                <w:color w:val="000000"/>
                <w:sz w:val="16"/>
                <w:szCs w:val="16"/>
                <w:u w:val="none"/>
              </w:rPr>
            </w:pPr>
          </w:p>
        </w:tc>
      </w:tr>
      <w:tr w14:paraId="13F72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62D58">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610AF">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551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CB7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门诊患者平均候诊时间</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DF8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02B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92C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分钟</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98C1F">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877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ECE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4C6CD">
            <w:pPr>
              <w:jc w:val="center"/>
              <w:rPr>
                <w:rFonts w:hint="eastAsia" w:ascii="微软雅黑" w:hAnsi="微软雅黑" w:eastAsia="微软雅黑" w:cs="微软雅黑"/>
                <w:i/>
                <w:iCs/>
                <w:color w:val="000000"/>
                <w:sz w:val="16"/>
                <w:szCs w:val="16"/>
                <w:u w:val="none"/>
              </w:rPr>
            </w:pPr>
          </w:p>
        </w:tc>
      </w:tr>
      <w:tr w14:paraId="31694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BA552">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FE81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07F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19F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提高医疗服务均等化水平</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697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D5E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基层医疗卫生机构能力建设</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FAE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B5F94">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较好</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37D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B84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C2B7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部分建设内容未完工，均等化提升效果尚未完全释放</w:t>
            </w:r>
          </w:p>
        </w:tc>
      </w:tr>
      <w:tr w14:paraId="3D0EC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52E69">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433DB">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40D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A24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基层医疗机构能力不断提升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0CA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9A5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优良中低差</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A85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041D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DFB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3DF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4A684">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部分设备未完成交付使用，能力提升成效有待进一步显现</w:t>
            </w:r>
          </w:p>
        </w:tc>
      </w:tr>
      <w:tr w14:paraId="33831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A0207">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F59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32B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16A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D39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C56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优良中低差</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833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E5E15">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1FE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E92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CB3E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 xml:space="preserve"> 项目尚未全面落地，群众获得感有待持续提升</w:t>
            </w:r>
          </w:p>
        </w:tc>
      </w:tr>
      <w:tr w14:paraId="1B1E1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8684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09D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FFA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CBB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医疗设备采购成本节约率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0F3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927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81A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2AE8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92</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C17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AAC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17B2A">
            <w:pPr>
              <w:jc w:val="center"/>
              <w:rPr>
                <w:rFonts w:hint="eastAsia" w:ascii="微软雅黑" w:hAnsi="微软雅黑" w:eastAsia="微软雅黑" w:cs="微软雅黑"/>
                <w:i/>
                <w:iCs/>
                <w:color w:val="000000"/>
                <w:sz w:val="16"/>
                <w:szCs w:val="16"/>
                <w:u w:val="none"/>
              </w:rPr>
            </w:pPr>
          </w:p>
        </w:tc>
      </w:tr>
      <w:tr w14:paraId="239CA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EAFFB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D37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CB928">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93</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4E75B">
            <w:pPr>
              <w:rPr>
                <w:rFonts w:hint="eastAsia" w:ascii="宋体" w:hAnsi="宋体" w:eastAsia="宋体" w:cs="宋体"/>
                <w:i w:val="0"/>
                <w:iCs w:val="0"/>
                <w:color w:val="000000"/>
                <w:sz w:val="18"/>
                <w:szCs w:val="18"/>
                <w:u w:val="none"/>
              </w:rPr>
            </w:pPr>
          </w:p>
        </w:tc>
      </w:tr>
      <w:tr w14:paraId="0AF77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500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19AF75E">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本项目自评总分为 93 分。项目年中下达资金，有序开展基层医疗卫生机构能力建设，落实设备采购、服务提质等工作。医疗事故发生率控制良好，医疗服务质量得到提升，群众就医等候时间有所缩短。受采购验收周期影响资金未全部执行，部分建设成效尚未完全显现，总体取得阶段性成效。</w:t>
            </w:r>
          </w:p>
        </w:tc>
      </w:tr>
      <w:tr w14:paraId="3A326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162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8F722D0">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项目为年中追加资金，下达时间较晚，设备采购招标、验收流程耗时较长，造成预算执行率偏低。部分定性绩效指标描述不够细化，量化程度不足。部分建设内容未完成，基层服务能力提升成效未能充分发挥。</w:t>
            </w:r>
          </w:p>
        </w:tc>
      </w:tr>
      <w:tr w14:paraId="711C8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A21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0A8705F">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一是抢抓项目实施时限，加快设备采购、验收及资金支付进度，提高资金执行效率。二是优化绩效指标设置，进一步细化定性指标，提高指标可衡量性。三是压实项目管理责任，强化全过程跟踪监管，尽早发挥项目资金对基层医疗卫生机构的提升作用。</w:t>
            </w:r>
          </w:p>
        </w:tc>
      </w:tr>
      <w:tr w14:paraId="45613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0CAE269">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项目负责人：刘丹阳</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0AC63D7">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75144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674730D4">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60FB5242">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21CC5CA0">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1C3A653A">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089D5076">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2B93969A">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513F8858">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1C68AC20">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1968AA0B">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0E0EF63E">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79455706">
            <w:pPr>
              <w:rPr>
                <w:rFonts w:hint="eastAsia" w:ascii="宋体" w:hAnsi="宋体" w:eastAsia="宋体" w:cs="宋体"/>
                <w:i w:val="0"/>
                <w:iCs w:val="0"/>
                <w:color w:val="000000"/>
                <w:sz w:val="18"/>
                <w:szCs w:val="18"/>
                <w:u w:val="none"/>
              </w:rPr>
            </w:pPr>
          </w:p>
        </w:tc>
      </w:tr>
      <w:tr w14:paraId="0CC9E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7FA5F51">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60EEE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2D66F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ABF30A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51323322T000006637726</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县级计划生育事业费</w:t>
            </w:r>
          </w:p>
        </w:tc>
      </w:tr>
      <w:tr w14:paraId="702B0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4AC5C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9E9058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22EBCC69">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F28A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7EE9B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1CE0A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33C5D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C4065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4B7819D">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023F5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96F11">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BC862">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6A97E4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根据国家关于坚持计生基本国策不变、党政一把手总责的制度不变、计划生育的一票否决制不变（计划生育工作“三不变”）政策要求，为进一步加强新时期计划生育工作，阿坝州“十四五”期间继续实施计划生育目标管理责任制，制定责任目标为2024年县人均财政投入16.4元以上，按全县人口数49583人</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16.4元＝813161.2元计算</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18A7665">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严格落实计划生育 “三不变” 政策及目标管理责任制，足额落实县级计划生育事业财政投入，经费全部执行到位，落实计生各类补贴，完成年度计划生育工作目标任务。</w:t>
            </w:r>
          </w:p>
        </w:tc>
      </w:tr>
      <w:tr w14:paraId="06CFA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CDA96">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8982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B75B5C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本项目为县级计划生育事业费，主要用于落实计划生育利益导向各项补贴、计生宣传、业务开展等工作。年初预算 85.32 万元，年度无预算调整。严格按照政策审核补贴对象，规范经费拨付流程，专款专用，保障全县计划生育相关业务有序开展。</w:t>
            </w:r>
          </w:p>
        </w:tc>
      </w:tr>
      <w:tr w14:paraId="2D0D9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CFB3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C5C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AF2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A53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3955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D0E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4DC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6BB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F19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3DA44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40F5B">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043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167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85.32</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FD9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85.32</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0429C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85.32</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0E9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6A0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315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BC204F">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项目年度无预算追加、调减，严格按照工作进度拨付资金，预算全部执行完毕，无结余资金。</w:t>
            </w:r>
          </w:p>
        </w:tc>
      </w:tr>
      <w:tr w14:paraId="12098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F072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89F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DA5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85.32</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1B9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85.32</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EDC5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85.32</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406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378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D14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6BB21">
            <w:pPr>
              <w:rPr>
                <w:rFonts w:hint="eastAsia" w:ascii="黑体" w:hAnsi="黑体" w:eastAsia="黑体" w:cs="黑体"/>
                <w:i/>
                <w:iCs/>
                <w:color w:val="000000"/>
                <w:sz w:val="18"/>
                <w:szCs w:val="18"/>
                <w:u w:val="none"/>
              </w:rPr>
            </w:pPr>
          </w:p>
        </w:tc>
      </w:tr>
      <w:tr w14:paraId="75DB2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17AB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072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E96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983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2BF9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4D9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E84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DA1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77252">
            <w:pPr>
              <w:rPr>
                <w:rFonts w:hint="eastAsia" w:ascii="黑体" w:hAnsi="黑体" w:eastAsia="黑体" w:cs="黑体"/>
                <w:i/>
                <w:iCs/>
                <w:color w:val="000000"/>
                <w:sz w:val="18"/>
                <w:szCs w:val="18"/>
                <w:u w:val="none"/>
              </w:rPr>
            </w:pPr>
          </w:p>
        </w:tc>
      </w:tr>
      <w:tr w14:paraId="3DAE9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43059">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948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D72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96E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ADA3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ACB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B69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559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B7D42">
            <w:pPr>
              <w:rPr>
                <w:rFonts w:hint="eastAsia" w:ascii="黑体" w:hAnsi="黑体" w:eastAsia="黑体" w:cs="黑体"/>
                <w:i/>
                <w:iCs/>
                <w:color w:val="000000"/>
                <w:sz w:val="18"/>
                <w:szCs w:val="18"/>
                <w:u w:val="none"/>
              </w:rPr>
            </w:pPr>
          </w:p>
        </w:tc>
      </w:tr>
      <w:tr w14:paraId="31344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AF93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3C2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157F6">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60F72">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EB11F0">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91AB5">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99E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E37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5B4A8">
            <w:pPr>
              <w:rPr>
                <w:rFonts w:hint="eastAsia" w:ascii="黑体" w:hAnsi="黑体" w:eastAsia="黑体" w:cs="黑体"/>
                <w:i/>
                <w:iCs/>
                <w:color w:val="000000"/>
                <w:sz w:val="18"/>
                <w:szCs w:val="18"/>
                <w:u w:val="none"/>
              </w:rPr>
            </w:pPr>
          </w:p>
        </w:tc>
      </w:tr>
      <w:tr w14:paraId="6C14E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12BF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DC9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139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275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888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AF4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7E0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F7C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19F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924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6B5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14BEA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D2809">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F310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4E0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471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计划生育事业补贴人数</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000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499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50189</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8B9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52FD4">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50862</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840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108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3EA5D">
            <w:pPr>
              <w:jc w:val="center"/>
              <w:rPr>
                <w:rFonts w:hint="eastAsia" w:ascii="微软雅黑" w:hAnsi="微软雅黑" w:eastAsia="微软雅黑" w:cs="微软雅黑"/>
                <w:i/>
                <w:iCs/>
                <w:color w:val="000000"/>
                <w:sz w:val="16"/>
                <w:szCs w:val="16"/>
                <w:u w:val="none"/>
              </w:rPr>
            </w:pPr>
          </w:p>
        </w:tc>
      </w:tr>
      <w:tr w14:paraId="65C81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168BD">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033E5">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2A3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E5D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计划生育事业经费发放覆盖率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5B7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7CE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C7D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E5DB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7F7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6D4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E9B06">
            <w:pPr>
              <w:jc w:val="center"/>
              <w:rPr>
                <w:rFonts w:hint="eastAsia" w:ascii="微软雅黑" w:hAnsi="微软雅黑" w:eastAsia="微软雅黑" w:cs="微软雅黑"/>
                <w:i/>
                <w:iCs/>
                <w:color w:val="000000"/>
                <w:sz w:val="16"/>
                <w:szCs w:val="16"/>
                <w:u w:val="none"/>
              </w:rPr>
            </w:pPr>
          </w:p>
        </w:tc>
      </w:tr>
      <w:tr w14:paraId="26A76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E41BB">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D01E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5C23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A72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建立和完善计划生育利益导向机制</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0F0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721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3EE81">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B5697">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完善</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B37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8B1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76837">
            <w:pPr>
              <w:jc w:val="center"/>
              <w:rPr>
                <w:rFonts w:hint="eastAsia" w:ascii="微软雅黑" w:hAnsi="微软雅黑" w:eastAsia="微软雅黑" w:cs="微软雅黑"/>
                <w:i/>
                <w:iCs/>
                <w:color w:val="000000"/>
                <w:sz w:val="16"/>
                <w:szCs w:val="16"/>
                <w:u w:val="none"/>
              </w:rPr>
            </w:pPr>
          </w:p>
        </w:tc>
      </w:tr>
      <w:tr w14:paraId="137CD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07851">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1699C">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81B0E">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94C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鼓励和引导群众实行计划生育</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FE3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CF0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E786D">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0712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较好</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D19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8A7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27D18">
            <w:pPr>
              <w:jc w:val="center"/>
              <w:rPr>
                <w:rFonts w:hint="eastAsia" w:ascii="微软雅黑" w:hAnsi="微软雅黑" w:eastAsia="微软雅黑" w:cs="微软雅黑"/>
                <w:i/>
                <w:iCs/>
                <w:color w:val="000000"/>
                <w:sz w:val="16"/>
                <w:szCs w:val="16"/>
                <w:u w:val="none"/>
              </w:rPr>
            </w:pPr>
          </w:p>
        </w:tc>
      </w:tr>
      <w:tr w14:paraId="78E35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489DE">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76A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779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1E9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计划生育家庭满意度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04A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998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643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E7B7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93</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B60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376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27F42">
            <w:pPr>
              <w:jc w:val="center"/>
              <w:rPr>
                <w:rFonts w:hint="eastAsia" w:ascii="微软雅黑" w:hAnsi="微软雅黑" w:eastAsia="微软雅黑" w:cs="微软雅黑"/>
                <w:i/>
                <w:iCs/>
                <w:color w:val="000000"/>
                <w:sz w:val="16"/>
                <w:szCs w:val="16"/>
                <w:u w:val="none"/>
              </w:rPr>
            </w:pPr>
          </w:p>
        </w:tc>
      </w:tr>
      <w:tr w14:paraId="2FB5A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76817A">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4D42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FCCE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ED9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计划生育事业补贴标准</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8CA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DC9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853213</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796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C93E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85.32</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26E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55A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C5445">
            <w:pPr>
              <w:jc w:val="center"/>
              <w:rPr>
                <w:rFonts w:hint="eastAsia" w:ascii="微软雅黑" w:hAnsi="微软雅黑" w:eastAsia="微软雅黑" w:cs="微软雅黑"/>
                <w:i/>
                <w:iCs/>
                <w:color w:val="000000"/>
                <w:sz w:val="16"/>
                <w:szCs w:val="16"/>
                <w:u w:val="none"/>
              </w:rPr>
            </w:pPr>
          </w:p>
        </w:tc>
      </w:tr>
      <w:tr w14:paraId="68A15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6DB65">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10374">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F790B">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FE1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计划生育事业经费项目成本</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97B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B3B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853213</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054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A8118">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85.32</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396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6EC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2740B">
            <w:pPr>
              <w:jc w:val="center"/>
              <w:rPr>
                <w:rFonts w:hint="eastAsia" w:ascii="微软雅黑" w:hAnsi="微软雅黑" w:eastAsia="微软雅黑" w:cs="微软雅黑"/>
                <w:i/>
                <w:iCs/>
                <w:color w:val="000000"/>
                <w:sz w:val="16"/>
                <w:szCs w:val="16"/>
                <w:u w:val="none"/>
              </w:rPr>
            </w:pPr>
          </w:p>
        </w:tc>
      </w:tr>
      <w:tr w14:paraId="5629F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13B7D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E2C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44567">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841AF">
            <w:pPr>
              <w:rPr>
                <w:rFonts w:hint="eastAsia" w:ascii="宋体" w:hAnsi="宋体" w:eastAsia="宋体" w:cs="宋体"/>
                <w:i w:val="0"/>
                <w:iCs w:val="0"/>
                <w:color w:val="000000"/>
                <w:sz w:val="18"/>
                <w:szCs w:val="18"/>
                <w:u w:val="none"/>
              </w:rPr>
            </w:pPr>
          </w:p>
        </w:tc>
      </w:tr>
      <w:tr w14:paraId="4F172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2A5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BF70DD0">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本项目自评总分为 100 分。2025 年足额落实县级计划生育事业投入，预算执行率 100％，全面落实计划生育利益导向政策，补贴发放实现全覆盖。完善计生利益导向机制，开展计生宣传服务，计划生育家庭满意度较高，落实计划生育目标管理责任制，较好完成年度各项计生工作任务。</w:t>
            </w:r>
          </w:p>
        </w:tc>
      </w:tr>
      <w:tr w14:paraId="1B858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670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C9734E1">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部分定性绩效指标较为笼统，量化程度不足；成本指标单位设置存在瑕疵。随着人口形势变化，新时期计生工作内涵拓展，项目在优生优育、家庭支持等方面投入侧重点有待进一步优化。对政策宣传的广度深度仍有提升空间。</w:t>
            </w:r>
          </w:p>
        </w:tc>
      </w:tr>
      <w:tr w14:paraId="3F293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D3C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24C04A1">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一是进一步优化绩效指标体系，修正指标计量单位，细化定性指标评价标准，提升可考核性。二是顺应新时期人口工作要求，统筹用好事业经费，加大优生优育、家庭发展支持等工作投入。三是强化政策宣传，精准做好对象识别，切实发挥计划生育事业费政策效益。</w:t>
            </w:r>
          </w:p>
        </w:tc>
      </w:tr>
      <w:tr w14:paraId="36631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5335DE">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项目负责人：唐杰</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E0098E1">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2650F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0AF2DC62">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1406837E">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092A7461">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698F9D73">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4059CAEE">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41D44E54">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6639D4A6">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2902FB7E">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21F0406C">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2CF36571">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13C521DD">
            <w:pPr>
              <w:rPr>
                <w:rFonts w:hint="eastAsia" w:ascii="宋体" w:hAnsi="宋体" w:eastAsia="宋体" w:cs="宋体"/>
                <w:i w:val="0"/>
                <w:iCs w:val="0"/>
                <w:color w:val="000000"/>
                <w:sz w:val="18"/>
                <w:szCs w:val="18"/>
                <w:u w:val="none"/>
              </w:rPr>
            </w:pPr>
          </w:p>
        </w:tc>
      </w:tr>
      <w:tr w14:paraId="62465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BB2C4EB">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28C75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937AC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B8ED37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51323322T000007144255</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重大传染病防治</w:t>
            </w:r>
          </w:p>
        </w:tc>
      </w:tr>
      <w:tr w14:paraId="51916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ED6A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B81EAF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70A02974">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E21D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03C40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00C29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3A9C1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B8F4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5CE30B3">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0E2CF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715E5">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81C4F">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58A4E0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2022年包虫病防治石渠模式65万元</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8717AA1">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本项目为年中追加重大传染病（包虫病）防治专项资金。资金下达较晚，项目实施方案、采购流程尚未完成，本年度未发生资金支出，相关防治工作未能按期实施。</w:t>
            </w:r>
          </w:p>
        </w:tc>
      </w:tr>
      <w:tr w14:paraId="15570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11FD6">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A035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562E22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本项目资金主要用于借鉴石渠模式开展包虫病综合防治工作，包含防控物资采购、人群筛查、宣传教育等相关支出。年初无预算，年中追加预算 71.91 万元。因资金下达时间晚，前期方案编制、采购立项等工作尚未完成，2025 年度未发生资金支付。</w:t>
            </w:r>
          </w:p>
        </w:tc>
      </w:tr>
      <w:tr w14:paraId="5E91F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C202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B06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255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A8F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AC33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CB4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E12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A4B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44E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5AB9B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81419">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72A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54D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A85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71.91</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EA77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25C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74D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D24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0F4F9C">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项目为年中追加资金，资金下达时间滞后，项目方案、采购程序未完成，本年度未开展资金支付，预算执行率为 0。</w:t>
            </w:r>
          </w:p>
        </w:tc>
      </w:tr>
      <w:tr w14:paraId="42CE2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845C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22D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A21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D12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71.91</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479E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EF1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2CD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FA3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E41E9">
            <w:pPr>
              <w:rPr>
                <w:rFonts w:hint="eastAsia" w:ascii="黑体" w:hAnsi="黑体" w:eastAsia="黑体" w:cs="黑体"/>
                <w:i/>
                <w:iCs/>
                <w:color w:val="000000"/>
                <w:sz w:val="18"/>
                <w:szCs w:val="18"/>
                <w:u w:val="none"/>
              </w:rPr>
            </w:pPr>
          </w:p>
        </w:tc>
      </w:tr>
      <w:tr w14:paraId="1AB29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1BBBD">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A5B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E76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E33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12A2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BA1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6AF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558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0210C">
            <w:pPr>
              <w:rPr>
                <w:rFonts w:hint="eastAsia" w:ascii="黑体" w:hAnsi="黑体" w:eastAsia="黑体" w:cs="黑体"/>
                <w:i/>
                <w:iCs/>
                <w:color w:val="000000"/>
                <w:sz w:val="18"/>
                <w:szCs w:val="18"/>
                <w:u w:val="none"/>
              </w:rPr>
            </w:pPr>
          </w:p>
        </w:tc>
      </w:tr>
      <w:tr w14:paraId="2BE6F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B6D80">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0DC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F01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A44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1288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4F7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1D8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B55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DD675">
            <w:pPr>
              <w:rPr>
                <w:rFonts w:hint="eastAsia" w:ascii="黑体" w:hAnsi="黑体" w:eastAsia="黑体" w:cs="黑体"/>
                <w:i/>
                <w:iCs/>
                <w:color w:val="000000"/>
                <w:sz w:val="18"/>
                <w:szCs w:val="18"/>
                <w:u w:val="none"/>
              </w:rPr>
            </w:pPr>
          </w:p>
        </w:tc>
      </w:tr>
      <w:tr w14:paraId="16915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DECBE">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607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F4F2D">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3304F">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3AB4F1">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F7A12">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08B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222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F46D7">
            <w:pPr>
              <w:rPr>
                <w:rFonts w:hint="eastAsia" w:ascii="黑体" w:hAnsi="黑体" w:eastAsia="黑体" w:cs="黑体"/>
                <w:i/>
                <w:iCs/>
                <w:color w:val="000000"/>
                <w:sz w:val="18"/>
                <w:szCs w:val="18"/>
                <w:u w:val="none"/>
              </w:rPr>
            </w:pPr>
          </w:p>
        </w:tc>
      </w:tr>
      <w:tr w14:paraId="19CC0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9006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200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F90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FC2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F2B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DD3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C7B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9B5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D7F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CFC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1C0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4A4AF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6138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DBB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5B3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482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资金完成率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23F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00A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980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7AD3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10E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53C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943E8">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项目未实施，无资金支出，资金完成率未达标</w:t>
            </w:r>
          </w:p>
        </w:tc>
      </w:tr>
      <w:tr w14:paraId="3269D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02CF2">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46B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31B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BCE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包虫病防治得到改善</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7E8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781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优中良</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2E6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40D9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未实施</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8FB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89F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010B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项目尚未开展，防治成效暂未体现</w:t>
            </w:r>
          </w:p>
        </w:tc>
      </w:tr>
      <w:tr w14:paraId="4032E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676E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DC9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DCB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D97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报虫病防治服务对象满意度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0CA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8C5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优中良</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2F03A">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D502F">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未实施</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FEF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70D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D253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项目未落地，未开展满意度调查</w:t>
            </w:r>
          </w:p>
        </w:tc>
      </w:tr>
      <w:tr w14:paraId="71A22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5C4E4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875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920EA">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B8A92">
            <w:pPr>
              <w:rPr>
                <w:rFonts w:hint="eastAsia" w:ascii="宋体" w:hAnsi="宋体" w:eastAsia="宋体" w:cs="宋体"/>
                <w:i w:val="0"/>
                <w:iCs w:val="0"/>
                <w:color w:val="000000"/>
                <w:sz w:val="18"/>
                <w:szCs w:val="18"/>
                <w:u w:val="none"/>
              </w:rPr>
            </w:pPr>
          </w:p>
        </w:tc>
      </w:tr>
      <w:tr w14:paraId="16460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2F2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BD84B5D">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本项目自评总分为 0 分。该项目为年中追加的包虫病防治专项资金，因资金下达时间较晚，项目前期筹备、采购流程未能在本年度办结，全年无资金执行，项目未落地实施，未实现包虫病防治相关工作成效，未达到预期绩效目标，相关工作需结转下年度继续推进。</w:t>
            </w:r>
          </w:p>
        </w:tc>
      </w:tr>
      <w:tr w14:paraId="57365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153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CC5F3D5">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专项资金年中才下达，留给项目实施时间不足；项目前期谋划不够充分，实施方案编制、采购立项工作滞后，造成年度零执行。绩效指标以定性指标为主，缺少可量化考核指标；项目储备工作不足，未能提前做好项目实施准备。</w:t>
            </w:r>
          </w:p>
        </w:tc>
      </w:tr>
      <w:tr w14:paraId="55654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E2B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10F5A4D">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一是加快项目前期工作，完善实施方案，抓紧启动采购等流程，尽快推动项目落地，加快资金拨付使用。二是做实项目储备，提前谋划重大传染病防治项目，保障资金下达后可快速实施。三是优化绩效指标，增加量化考核指标，强化项目全过程跟踪，确保资金发挥防控效益。</w:t>
            </w:r>
          </w:p>
        </w:tc>
      </w:tr>
      <w:tr w14:paraId="523D4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0BA6F42">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项目负责人：王琴</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F72169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195D7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2E4E552D">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14E0EC5A">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5A37B597">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7CCFDE4F">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26168900">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6FAED936">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604F8D86">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2DAEEC0B">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2295A599">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116608F9">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706D47A0">
            <w:pPr>
              <w:rPr>
                <w:rFonts w:hint="eastAsia" w:ascii="宋体" w:hAnsi="宋体" w:eastAsia="宋体" w:cs="宋体"/>
                <w:i w:val="0"/>
                <w:iCs w:val="0"/>
                <w:color w:val="000000"/>
                <w:sz w:val="18"/>
                <w:szCs w:val="18"/>
                <w:u w:val="none"/>
              </w:rPr>
            </w:pPr>
          </w:p>
        </w:tc>
      </w:tr>
      <w:tr w14:paraId="78C6B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950627C">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00367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0362D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8D92DA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51323323T000008937817</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红原县瓦切镇中心卫生高压氧舱建设项目</w:t>
            </w:r>
          </w:p>
        </w:tc>
      </w:tr>
      <w:tr w14:paraId="6340B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28E80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D56C14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41DE2185">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4FAC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57ECA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A2C78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50C4F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C03E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CDF0BA3">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3B9BE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DCFF2">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606C4">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63DB62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新建瓦切镇中心卫生院高压氧舱基建249平方米及设备采购</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B617A4">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本项目为年中追加资金，本年度完成对应资金支付，落实项目相关建设及设备采购配套工作，高压氧舱相关建设任务有序推进，保障项目建设落地。</w:t>
            </w:r>
          </w:p>
        </w:tc>
      </w:tr>
      <w:tr w14:paraId="525F3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EA38E">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8B3E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174821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本项目用于瓦切镇中心卫生院高压氧舱 249㎡基建及配套设备采购。年初无预算，年中追加财政资金 8.02 万元。严格执行基建及设备采购相关管理规定，规范履行项目审批、资金拨付流程，本年度资金全部执行到位，保障项目建设推进。</w:t>
            </w:r>
          </w:p>
        </w:tc>
      </w:tr>
      <w:tr w14:paraId="0C390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A809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519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830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B0F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DE05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40F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DFA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4E0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8B4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7088D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217B1">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DE2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B83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EAE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8.02</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2BB0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8.02</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0E7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C3C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7FC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3CB393">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项目为年中追加财政资金，按项目建设进度完成全部资金支付，无预算调整，无资金结余。</w:t>
            </w:r>
          </w:p>
        </w:tc>
      </w:tr>
      <w:tr w14:paraId="1BEFD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5A0F4">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E8F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194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538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8.02</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41F0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8.02</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E98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6D8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C26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A4408">
            <w:pPr>
              <w:rPr>
                <w:rFonts w:hint="eastAsia" w:ascii="黑体" w:hAnsi="黑体" w:eastAsia="黑体" w:cs="黑体"/>
                <w:i/>
                <w:iCs/>
                <w:color w:val="000000"/>
                <w:sz w:val="18"/>
                <w:szCs w:val="18"/>
                <w:u w:val="none"/>
              </w:rPr>
            </w:pPr>
          </w:p>
        </w:tc>
      </w:tr>
      <w:tr w14:paraId="7CA05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E1CDE">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163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07A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1E9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7264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431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357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14A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A01BC">
            <w:pPr>
              <w:rPr>
                <w:rFonts w:hint="eastAsia" w:ascii="黑体" w:hAnsi="黑体" w:eastAsia="黑体" w:cs="黑体"/>
                <w:i/>
                <w:iCs/>
                <w:color w:val="000000"/>
                <w:sz w:val="18"/>
                <w:szCs w:val="18"/>
                <w:u w:val="none"/>
              </w:rPr>
            </w:pPr>
          </w:p>
        </w:tc>
      </w:tr>
      <w:tr w14:paraId="55C29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8B04C">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3BF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368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792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6D37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E27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970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C5D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7E35A">
            <w:pPr>
              <w:rPr>
                <w:rFonts w:hint="eastAsia" w:ascii="黑体" w:hAnsi="黑体" w:eastAsia="黑体" w:cs="黑体"/>
                <w:i/>
                <w:iCs/>
                <w:color w:val="000000"/>
                <w:sz w:val="18"/>
                <w:szCs w:val="18"/>
                <w:u w:val="none"/>
              </w:rPr>
            </w:pPr>
          </w:p>
        </w:tc>
      </w:tr>
      <w:tr w14:paraId="6492C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C885F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2C7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E3343">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E4BC7">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798F0F">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31411">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D3D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0A0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37E48">
            <w:pPr>
              <w:rPr>
                <w:rFonts w:hint="eastAsia" w:ascii="黑体" w:hAnsi="黑体" w:eastAsia="黑体" w:cs="黑体"/>
                <w:i/>
                <w:iCs/>
                <w:color w:val="000000"/>
                <w:sz w:val="18"/>
                <w:szCs w:val="18"/>
                <w:u w:val="none"/>
              </w:rPr>
            </w:pPr>
          </w:p>
        </w:tc>
      </w:tr>
      <w:tr w14:paraId="08E06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DC68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D47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E93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EE5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113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F84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005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12F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204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EB4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9E3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2DFD7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A979B">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2DB2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DD9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A8C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80163</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6A0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840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80163</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EEC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55C3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80163</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038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A28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D8DA6">
            <w:pPr>
              <w:jc w:val="center"/>
              <w:rPr>
                <w:rFonts w:hint="eastAsia" w:ascii="微软雅黑" w:hAnsi="微软雅黑" w:eastAsia="微软雅黑" w:cs="微软雅黑"/>
                <w:i/>
                <w:iCs/>
                <w:color w:val="000000"/>
                <w:sz w:val="16"/>
                <w:szCs w:val="16"/>
                <w:u w:val="none"/>
              </w:rPr>
            </w:pPr>
          </w:p>
        </w:tc>
      </w:tr>
      <w:tr w14:paraId="2C30B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90079A">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6D2AB">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FE7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D81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安全管理制度合格率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C8C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C8D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D54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CE3D5">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BB2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82C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A938C">
            <w:pPr>
              <w:jc w:val="center"/>
              <w:rPr>
                <w:rFonts w:hint="eastAsia" w:ascii="微软雅黑" w:hAnsi="微软雅黑" w:eastAsia="微软雅黑" w:cs="微软雅黑"/>
                <w:i/>
                <w:iCs/>
                <w:color w:val="000000"/>
                <w:sz w:val="16"/>
                <w:szCs w:val="16"/>
                <w:u w:val="none"/>
              </w:rPr>
            </w:pPr>
          </w:p>
        </w:tc>
      </w:tr>
      <w:tr w14:paraId="10B3F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25F86">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9FF14">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1E7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8DE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投入使用及时率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CBA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04A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1D1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C4DA5">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2E1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676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5C975">
            <w:pPr>
              <w:jc w:val="center"/>
              <w:rPr>
                <w:rFonts w:hint="eastAsia" w:ascii="微软雅黑" w:hAnsi="微软雅黑" w:eastAsia="微软雅黑" w:cs="微软雅黑"/>
                <w:i/>
                <w:iCs/>
                <w:color w:val="000000"/>
                <w:sz w:val="16"/>
                <w:szCs w:val="16"/>
                <w:u w:val="none"/>
              </w:rPr>
            </w:pPr>
          </w:p>
        </w:tc>
      </w:tr>
      <w:tr w14:paraId="5ECF5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CAD47">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EA88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4FC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40F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带动区域医疗相关产业发展</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845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13C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不断提升</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E5AC1">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E4DF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稳步提升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575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B9D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477D7">
            <w:pPr>
              <w:jc w:val="center"/>
              <w:rPr>
                <w:rFonts w:hint="eastAsia" w:ascii="微软雅黑" w:hAnsi="微软雅黑" w:eastAsia="微软雅黑" w:cs="微软雅黑"/>
                <w:i/>
                <w:iCs/>
                <w:color w:val="000000"/>
                <w:sz w:val="16"/>
                <w:szCs w:val="16"/>
                <w:u w:val="none"/>
              </w:rPr>
            </w:pPr>
          </w:p>
        </w:tc>
      </w:tr>
      <w:tr w14:paraId="774E4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C5A53">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FEEE1">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294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C4C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卫生医疗能力提升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B64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8F5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高中低</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F6375">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9CEF5">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高</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4F7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2EC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BCD15">
            <w:pPr>
              <w:jc w:val="center"/>
              <w:rPr>
                <w:rFonts w:hint="eastAsia" w:ascii="微软雅黑" w:hAnsi="微软雅黑" w:eastAsia="微软雅黑" w:cs="微软雅黑"/>
                <w:i/>
                <w:iCs/>
                <w:color w:val="000000"/>
                <w:sz w:val="16"/>
                <w:szCs w:val="16"/>
                <w:u w:val="none"/>
              </w:rPr>
            </w:pPr>
          </w:p>
        </w:tc>
      </w:tr>
      <w:tr w14:paraId="1111D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41714">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B632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F71E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19C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患者治疗满意度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5D6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7C2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B70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1F345">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94</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DA5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8CB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DC6ED">
            <w:pPr>
              <w:jc w:val="center"/>
              <w:rPr>
                <w:rFonts w:hint="eastAsia" w:ascii="微软雅黑" w:hAnsi="微软雅黑" w:eastAsia="微软雅黑" w:cs="微软雅黑"/>
                <w:i/>
                <w:iCs/>
                <w:color w:val="000000"/>
                <w:sz w:val="16"/>
                <w:szCs w:val="16"/>
                <w:u w:val="none"/>
              </w:rPr>
            </w:pPr>
          </w:p>
        </w:tc>
      </w:tr>
      <w:tr w14:paraId="4F4E8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57192">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50171">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AD28E">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E71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临床科室协作满意度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3A5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F32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3BB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B6F8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93</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8FD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9FC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6518B">
            <w:pPr>
              <w:jc w:val="center"/>
              <w:rPr>
                <w:rFonts w:hint="eastAsia" w:ascii="微软雅黑" w:hAnsi="微软雅黑" w:eastAsia="微软雅黑" w:cs="微软雅黑"/>
                <w:i/>
                <w:iCs/>
                <w:color w:val="000000"/>
                <w:sz w:val="16"/>
                <w:szCs w:val="16"/>
                <w:u w:val="none"/>
              </w:rPr>
            </w:pPr>
          </w:p>
        </w:tc>
      </w:tr>
      <w:tr w14:paraId="0D833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6BF99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17C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B17C2">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851D1">
            <w:pPr>
              <w:rPr>
                <w:rFonts w:hint="eastAsia" w:ascii="宋体" w:hAnsi="宋体" w:eastAsia="宋体" w:cs="宋体"/>
                <w:i w:val="0"/>
                <w:iCs w:val="0"/>
                <w:color w:val="000000"/>
                <w:sz w:val="18"/>
                <w:szCs w:val="18"/>
                <w:u w:val="none"/>
              </w:rPr>
            </w:pPr>
          </w:p>
        </w:tc>
      </w:tr>
      <w:tr w14:paraId="3A20E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0B7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8BF2B7A">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本项目自评总分为 100 分。项目年中追加资金，本年度资金全部执行完毕，有序推进瓦切镇中心卫生院高压氧舱基建及设备采购工作。完善安全管理制度，项目按时投入使用，有效提升当地高原病救治硬件条件，基层医疗服务能力得到增强，患者及临床科室满意度较好，实现项目预期绩效。</w:t>
            </w:r>
          </w:p>
        </w:tc>
      </w:tr>
      <w:tr w14:paraId="3F62B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676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DDC3FE1">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项目属于年中追加，年初未纳入预算，前期项目储备工作有待加强。部分数量指标设置为金额数值，指标含义不直观。项目后续运营维护相关绩效考量不足，对建成后设备运维管理缺少对应评价指标</w:t>
            </w:r>
          </w:p>
        </w:tc>
      </w:tr>
      <w:tr w14:paraId="77524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1A2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19D25E3">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一是强化项目储备，尽可能将基建类项目纳入年初预算，减少年中临时追加。二是科学设置绩效指标，优化数量指标表述，提升指标实用性。三是压实后期运维管理责任，完善高压氧舱运行管理制度，充分发挥设备救治效能，持续提升基层医疗服务水平。</w:t>
            </w:r>
          </w:p>
        </w:tc>
      </w:tr>
      <w:tr w14:paraId="62009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4A8742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项目负责人：刘丹阳</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AAC5AAC">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1A673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26849377">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74549270">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2C497991">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50F3A6A5">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320628FE">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0FB23B01">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04BAC414">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4A84DFBA">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44B0F17A">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6D7D6A53">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1C4F536D">
            <w:pPr>
              <w:rPr>
                <w:rFonts w:hint="eastAsia" w:ascii="宋体" w:hAnsi="宋体" w:eastAsia="宋体" w:cs="宋体"/>
                <w:i w:val="0"/>
                <w:iCs w:val="0"/>
                <w:color w:val="000000"/>
                <w:sz w:val="18"/>
                <w:szCs w:val="18"/>
                <w:u w:val="none"/>
              </w:rPr>
            </w:pPr>
          </w:p>
        </w:tc>
      </w:tr>
      <w:tr w14:paraId="2126B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4ECCA15">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56700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F8627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DCC9EB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51323324T000009971962</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组团式帮扶智力补助项目</w:t>
            </w:r>
          </w:p>
        </w:tc>
      </w:tr>
      <w:tr w14:paraId="540CD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A5B12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65794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257F5988">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D151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056B6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CD8C6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5353F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FEBC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227327A">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08D70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49BAC">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A63C2">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C42A38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1.帮带质效奖。2.新技术新项目推广。3.本土人才培养。4.工作室建设。</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EFF0ADF">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已落实帮带质效奖励，推进新技术新项目落地，开展本土医疗卫生人才培养，完成帮扶工作室建设，各项既定年度任务均基本落实到位。</w:t>
            </w:r>
          </w:p>
        </w:tc>
      </w:tr>
      <w:tr w14:paraId="74968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43D97">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D5E5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2D97BA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本项目为组团式帮扶智力补助，年中追加财政预算 70 万元，资金主要用于帮扶人才帮带奖励、新技术推广、本土人才培育、帮扶工作室运行保障。严格按照财政资金管理规定拨付使用，规范开展项目实施，保障组团式医疗帮扶工作有序开展。</w:t>
            </w:r>
          </w:p>
        </w:tc>
      </w:tr>
      <w:tr w14:paraId="31F0D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42EC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CA4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040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186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FFBE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416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291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FA2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026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6DC25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36971">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060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F43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867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B46F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69.55</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48D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99.36</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285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9F8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4B3746">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本项目为年中追加专项预算，执行率 99.36％，执行情况较好，少量结余为结算尾差，无资金闲置浪费。</w:t>
            </w:r>
          </w:p>
        </w:tc>
      </w:tr>
      <w:tr w14:paraId="4EDB2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F9873">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915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2D1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051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B43E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69.55</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1B0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99.36</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001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444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0F32D">
            <w:pPr>
              <w:rPr>
                <w:rFonts w:hint="eastAsia" w:ascii="黑体" w:hAnsi="黑体" w:eastAsia="黑体" w:cs="黑体"/>
                <w:i/>
                <w:iCs/>
                <w:color w:val="000000"/>
                <w:sz w:val="18"/>
                <w:szCs w:val="18"/>
                <w:u w:val="none"/>
              </w:rPr>
            </w:pPr>
          </w:p>
        </w:tc>
      </w:tr>
      <w:tr w14:paraId="62295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C15A7">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E0B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B8B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5BE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1161C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6D4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9FE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46D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2AB7F">
            <w:pPr>
              <w:rPr>
                <w:rFonts w:hint="eastAsia" w:ascii="黑体" w:hAnsi="黑体" w:eastAsia="黑体" w:cs="黑体"/>
                <w:i/>
                <w:iCs/>
                <w:color w:val="000000"/>
                <w:sz w:val="18"/>
                <w:szCs w:val="18"/>
                <w:u w:val="none"/>
              </w:rPr>
            </w:pPr>
          </w:p>
        </w:tc>
      </w:tr>
      <w:tr w14:paraId="06BA9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4EF09">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C79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25B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847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1441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B09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97B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C19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5B1E4">
            <w:pPr>
              <w:rPr>
                <w:rFonts w:hint="eastAsia" w:ascii="黑体" w:hAnsi="黑体" w:eastAsia="黑体" w:cs="黑体"/>
                <w:i/>
                <w:iCs/>
                <w:color w:val="000000"/>
                <w:sz w:val="18"/>
                <w:szCs w:val="18"/>
                <w:u w:val="none"/>
              </w:rPr>
            </w:pPr>
          </w:p>
        </w:tc>
      </w:tr>
      <w:tr w14:paraId="1A09B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B4294">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7C4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19F23">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87C88">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FDEC3B">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B9CED">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82B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48F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C6678">
            <w:pPr>
              <w:rPr>
                <w:rFonts w:hint="eastAsia" w:ascii="黑体" w:hAnsi="黑体" w:eastAsia="黑体" w:cs="黑体"/>
                <w:i/>
                <w:iCs/>
                <w:color w:val="000000"/>
                <w:sz w:val="18"/>
                <w:szCs w:val="18"/>
                <w:u w:val="none"/>
              </w:rPr>
            </w:pPr>
          </w:p>
        </w:tc>
      </w:tr>
      <w:tr w14:paraId="286BB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FDC1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8A0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3BC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90C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DD3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722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DA7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E44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60B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B1E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390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3B861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0D42D0">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1DF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3B4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DA3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500000</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84F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897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500000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F06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2889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695500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7EB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ED3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58D8F">
            <w:pPr>
              <w:jc w:val="center"/>
              <w:rPr>
                <w:rFonts w:hint="eastAsia" w:ascii="微软雅黑" w:hAnsi="微软雅黑" w:eastAsia="微软雅黑" w:cs="微软雅黑"/>
                <w:i/>
                <w:iCs/>
                <w:color w:val="000000"/>
                <w:sz w:val="16"/>
                <w:szCs w:val="16"/>
                <w:u w:val="none"/>
              </w:rPr>
            </w:pPr>
          </w:p>
        </w:tc>
      </w:tr>
      <w:tr w14:paraId="4C03C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E1A29">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DC1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165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0A4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业务水平持续提升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BA4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C37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优中良</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41E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703F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优</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C69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52B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09876">
            <w:pPr>
              <w:jc w:val="center"/>
              <w:rPr>
                <w:rFonts w:hint="eastAsia" w:ascii="微软雅黑" w:hAnsi="微软雅黑" w:eastAsia="微软雅黑" w:cs="微软雅黑"/>
                <w:i/>
                <w:iCs/>
                <w:color w:val="000000"/>
                <w:sz w:val="16"/>
                <w:szCs w:val="16"/>
                <w:u w:val="none"/>
              </w:rPr>
            </w:pPr>
          </w:p>
        </w:tc>
      </w:tr>
      <w:tr w14:paraId="2E771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1D8E9">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482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886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帮扶对象满意度指标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CFA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A2B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B92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优中良</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1AA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95E38">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优</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CBB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9EE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66373">
            <w:pPr>
              <w:jc w:val="center"/>
              <w:rPr>
                <w:rFonts w:hint="eastAsia" w:ascii="微软雅黑" w:hAnsi="微软雅黑" w:eastAsia="微软雅黑" w:cs="微软雅黑"/>
                <w:i/>
                <w:iCs/>
                <w:color w:val="000000"/>
                <w:sz w:val="16"/>
                <w:szCs w:val="16"/>
                <w:u w:val="none"/>
              </w:rPr>
            </w:pPr>
          </w:p>
        </w:tc>
      </w:tr>
      <w:tr w14:paraId="6F47F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BA1CA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126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533B9">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E67A9">
            <w:pPr>
              <w:rPr>
                <w:rFonts w:hint="eastAsia" w:ascii="宋体" w:hAnsi="宋体" w:eastAsia="宋体" w:cs="宋体"/>
                <w:i w:val="0"/>
                <w:iCs w:val="0"/>
                <w:color w:val="000000"/>
                <w:sz w:val="18"/>
                <w:szCs w:val="18"/>
                <w:u w:val="none"/>
              </w:rPr>
            </w:pPr>
          </w:p>
        </w:tc>
      </w:tr>
      <w:tr w14:paraId="3FBC9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01F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CC69144">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项目通过组团式帮扶智力补助，落实帮带奖励，推广医疗新技术，强化本土卫生人才队伍培育，建成帮扶工作室，有效提升本地医疗卫生业务能力，帮扶成效显著，财政资金使用规范高效，较好完成年度各项帮扶工作目标。</w:t>
            </w:r>
          </w:p>
        </w:tc>
      </w:tr>
      <w:tr w14:paraId="4F341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46B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130E791">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一是新技术新项目转化落地周期较长，部分技术推广深度还不足；二是本土人才培养长效机制仍需夯实，人才后续跟踪培养力度有待加强；三是项目绩效过程资料归集整理不够细致，绩效台账完整性有待提升。</w:t>
            </w:r>
          </w:p>
        </w:tc>
      </w:tr>
      <w:tr w14:paraId="1F053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A52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A2526D0">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一是持续压实帮扶责任，加快新技术新项目消化吸收，扩大技术覆盖范围；二是完善本土人才梯度培养计划，健全人才跟踪培养机制；三是强化项目全过程绩效管理，规范佐证资料收集归档；四是加强预算预判，提前谋划帮扶工作，提升项目精细化管理水平。</w:t>
            </w:r>
          </w:p>
        </w:tc>
      </w:tr>
      <w:tr w14:paraId="726D0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1B2BC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项目负责人：邱帮盛</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B80425A">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06A72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561FCDAD">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22B2A142">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7ED4C233">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7BF69684">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1AFE0454">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17F7BD90">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4BFC9CAE">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02000A38">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1829E8F2">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14D66C01">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5DC4F155">
            <w:pPr>
              <w:rPr>
                <w:rFonts w:hint="eastAsia" w:ascii="宋体" w:hAnsi="宋体" w:eastAsia="宋体" w:cs="宋体"/>
                <w:i w:val="0"/>
                <w:iCs w:val="0"/>
                <w:color w:val="000000"/>
                <w:sz w:val="18"/>
                <w:szCs w:val="18"/>
                <w:u w:val="none"/>
              </w:rPr>
            </w:pPr>
          </w:p>
        </w:tc>
      </w:tr>
      <w:tr w14:paraId="755BF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EAEB7D0">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16C93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054B6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5410E7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51323324T000011259954</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农村家庭独生子女费县级配套</w:t>
            </w:r>
          </w:p>
        </w:tc>
      </w:tr>
      <w:tr w14:paraId="4C783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FDCDC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AC5D9A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5881DBC2">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0A87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170BC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89B6A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4A4CE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8DAA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6589A69">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59FF3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1AFE5">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FDEFE">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C1712C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2025年农村家庭独生子女费县级配套</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2EC03A8">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严格落实农村家庭独生子女费县级配套政策，按审核确认对象完成补贴资金发放，保障符合条件群众待遇落实，圆满完成本年度项目既定工作目标。</w:t>
            </w:r>
          </w:p>
        </w:tc>
      </w:tr>
      <w:tr w14:paraId="5AAED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35FD4">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4B2B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3D4195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用于农村家庭独生子女父母奖励县级配套补助。依据政策对符合条件对象开展资格审核认定，年中根据实际符合享受待遇人数调减预算，按程序足额拨付补贴资金，规范做好资格复核、资金发放、资料归档等工作。</w:t>
            </w:r>
          </w:p>
        </w:tc>
      </w:tr>
      <w:tr w14:paraId="799D0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D54D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FE4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29D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314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D824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E2C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345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966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1BE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178C4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0C00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47F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57A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0.12</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62E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0.01</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3D69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0.01</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4F1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FD5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86E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3BF2FE">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年初预算 0.12 万元，年中根据实际符合政策享受人员数量变化调减预算至 0.01 万元，预算执行率 100％，资金全部及时兑付到位。</w:t>
            </w:r>
          </w:p>
        </w:tc>
      </w:tr>
      <w:tr w14:paraId="47DF7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F1A5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735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232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0.12</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F77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0.01</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00E6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0.01</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D5D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9A5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12D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04969">
            <w:pPr>
              <w:rPr>
                <w:rFonts w:hint="eastAsia" w:ascii="黑体" w:hAnsi="黑体" w:eastAsia="黑体" w:cs="黑体"/>
                <w:i/>
                <w:iCs/>
                <w:color w:val="000000"/>
                <w:sz w:val="18"/>
                <w:szCs w:val="18"/>
                <w:u w:val="none"/>
              </w:rPr>
            </w:pPr>
          </w:p>
        </w:tc>
      </w:tr>
      <w:tr w14:paraId="5F005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FC313">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8AF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FE6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8F0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D2837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BB7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8F0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8C0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22E58">
            <w:pPr>
              <w:rPr>
                <w:rFonts w:hint="eastAsia" w:ascii="黑体" w:hAnsi="黑体" w:eastAsia="黑体" w:cs="黑体"/>
                <w:i/>
                <w:iCs/>
                <w:color w:val="000000"/>
                <w:sz w:val="18"/>
                <w:szCs w:val="18"/>
                <w:u w:val="none"/>
              </w:rPr>
            </w:pPr>
          </w:p>
        </w:tc>
      </w:tr>
      <w:tr w14:paraId="77697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4A26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5D6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11F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1FC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C8FD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E07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ADC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647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D3F81">
            <w:pPr>
              <w:rPr>
                <w:rFonts w:hint="eastAsia" w:ascii="黑体" w:hAnsi="黑体" w:eastAsia="黑体" w:cs="黑体"/>
                <w:i/>
                <w:iCs/>
                <w:color w:val="000000"/>
                <w:sz w:val="18"/>
                <w:szCs w:val="18"/>
                <w:u w:val="none"/>
              </w:rPr>
            </w:pPr>
          </w:p>
        </w:tc>
      </w:tr>
      <w:tr w14:paraId="2A7BF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6429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211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EFC5A">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68D31">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4CF0CD">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35877">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F3B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647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1A1E5">
            <w:pPr>
              <w:rPr>
                <w:rFonts w:hint="eastAsia" w:ascii="黑体" w:hAnsi="黑体" w:eastAsia="黑体" w:cs="黑体"/>
                <w:i/>
                <w:iCs/>
                <w:color w:val="000000"/>
                <w:sz w:val="18"/>
                <w:szCs w:val="18"/>
                <w:u w:val="none"/>
              </w:rPr>
            </w:pPr>
          </w:p>
        </w:tc>
      </w:tr>
      <w:tr w14:paraId="64F21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B553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55D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01E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138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F33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CCD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6A3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B06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F48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D17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014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65100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16A5E">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3D97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5325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A89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农村独生子女父母奖励县级配套补贴发放资质符合率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F15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CFE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6BD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0539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886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E53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EBD51">
            <w:pPr>
              <w:jc w:val="center"/>
              <w:rPr>
                <w:rFonts w:hint="eastAsia" w:ascii="微软雅黑" w:hAnsi="微软雅黑" w:eastAsia="微软雅黑" w:cs="微软雅黑"/>
                <w:i/>
                <w:iCs/>
                <w:color w:val="000000"/>
                <w:sz w:val="16"/>
                <w:szCs w:val="16"/>
                <w:u w:val="none"/>
              </w:rPr>
            </w:pPr>
          </w:p>
        </w:tc>
      </w:tr>
      <w:tr w14:paraId="348F5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57D15">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23980">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E81E9">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EEB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CCA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C66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高中低</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7D0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B0C6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高</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394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277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61EF3">
            <w:pPr>
              <w:jc w:val="center"/>
              <w:rPr>
                <w:rFonts w:hint="eastAsia" w:ascii="微软雅黑" w:hAnsi="微软雅黑" w:eastAsia="微软雅黑" w:cs="微软雅黑"/>
                <w:i/>
                <w:iCs/>
                <w:color w:val="000000"/>
                <w:sz w:val="16"/>
                <w:szCs w:val="16"/>
                <w:u w:val="none"/>
              </w:rPr>
            </w:pPr>
          </w:p>
        </w:tc>
      </w:tr>
      <w:tr w14:paraId="5A2B4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54030">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D048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5B7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1FC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落实农村独生子女父母奖励政策</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74F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642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优中良</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506F4">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846D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优</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39D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302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DC78E">
            <w:pPr>
              <w:jc w:val="center"/>
              <w:rPr>
                <w:rFonts w:hint="eastAsia" w:ascii="微软雅黑" w:hAnsi="微软雅黑" w:eastAsia="微软雅黑" w:cs="微软雅黑"/>
                <w:i/>
                <w:iCs/>
                <w:color w:val="000000"/>
                <w:sz w:val="16"/>
                <w:szCs w:val="16"/>
                <w:u w:val="none"/>
              </w:rPr>
            </w:pPr>
          </w:p>
        </w:tc>
      </w:tr>
      <w:tr w14:paraId="6A1B8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2BB3D">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F334B">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446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883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计划生育事业可持续发展</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279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344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优中良</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42C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42D1C">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优</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3BD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8C1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D8823">
            <w:pPr>
              <w:jc w:val="center"/>
              <w:rPr>
                <w:rFonts w:hint="eastAsia" w:ascii="微软雅黑" w:hAnsi="微软雅黑" w:eastAsia="微软雅黑" w:cs="微软雅黑"/>
                <w:i/>
                <w:iCs/>
                <w:color w:val="000000"/>
                <w:sz w:val="16"/>
                <w:szCs w:val="16"/>
                <w:u w:val="none"/>
              </w:rPr>
            </w:pPr>
          </w:p>
        </w:tc>
      </w:tr>
      <w:tr w14:paraId="32ED5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56570">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CB1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343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8BA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村民满意度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0F1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CB7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F3F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6F04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91</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A75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4AE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618DE">
            <w:pPr>
              <w:jc w:val="center"/>
              <w:rPr>
                <w:rFonts w:hint="eastAsia" w:ascii="微软雅黑" w:hAnsi="微软雅黑" w:eastAsia="微软雅黑" w:cs="微软雅黑"/>
                <w:i/>
                <w:iCs/>
                <w:color w:val="000000"/>
                <w:sz w:val="16"/>
                <w:szCs w:val="16"/>
                <w:u w:val="none"/>
              </w:rPr>
            </w:pPr>
          </w:p>
        </w:tc>
      </w:tr>
      <w:tr w14:paraId="29708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FA2E4">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D98E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E064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7CE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农村独生子女父母奖励县级配套项目成本</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1A6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C54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0.1224</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60B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F108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0.1224</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18B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B14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C0F44">
            <w:pPr>
              <w:jc w:val="center"/>
              <w:rPr>
                <w:rFonts w:hint="eastAsia" w:ascii="微软雅黑" w:hAnsi="微软雅黑" w:eastAsia="微软雅黑" w:cs="微软雅黑"/>
                <w:i/>
                <w:iCs/>
                <w:color w:val="000000"/>
                <w:sz w:val="16"/>
                <w:szCs w:val="16"/>
                <w:u w:val="none"/>
              </w:rPr>
            </w:pPr>
          </w:p>
        </w:tc>
      </w:tr>
      <w:tr w14:paraId="1526A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5FAD4">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C49DF">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C22DE">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1C5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完成金额</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B3B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755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1224</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856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85E3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1224</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98C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66B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0C238">
            <w:pPr>
              <w:jc w:val="center"/>
              <w:rPr>
                <w:rFonts w:hint="eastAsia" w:ascii="微软雅黑" w:hAnsi="微软雅黑" w:eastAsia="微软雅黑" w:cs="微软雅黑"/>
                <w:i/>
                <w:iCs/>
                <w:color w:val="000000"/>
                <w:sz w:val="16"/>
                <w:szCs w:val="16"/>
                <w:u w:val="none"/>
              </w:rPr>
            </w:pPr>
          </w:p>
        </w:tc>
      </w:tr>
      <w:tr w14:paraId="45E25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206B2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1DC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3A137">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F6634">
            <w:pPr>
              <w:rPr>
                <w:rFonts w:hint="eastAsia" w:ascii="宋体" w:hAnsi="宋体" w:eastAsia="宋体" w:cs="宋体"/>
                <w:i w:val="0"/>
                <w:iCs w:val="0"/>
                <w:color w:val="000000"/>
                <w:sz w:val="18"/>
                <w:szCs w:val="18"/>
                <w:u w:val="none"/>
              </w:rPr>
            </w:pPr>
          </w:p>
        </w:tc>
      </w:tr>
      <w:tr w14:paraId="69A43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748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26E10FF">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本年度严格执行农村家庭独生子女费县级配套政策，认真开展享受对象资格审核，资金及时足额发放到位，资质审核合规，成本控制在范围内，群众满意度达标，切实维护计划生育家庭合法权益，政策落地成效良好。</w:t>
            </w:r>
          </w:p>
        </w:tc>
      </w:tr>
      <w:tr w14:paraId="6A14E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46D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9C3F512">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享受政策人员动态变化较大，年初预算测算与实际兑付金额存在偏差；政策宣传广度不足，部分群众对独生子女奖励政策知晓度不高；对象动态核查工作还可以进一步细化完善。</w:t>
            </w:r>
          </w:p>
        </w:tc>
      </w:tr>
      <w:tr w14:paraId="646BE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0CE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D7BAFEB">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强化基础数据摸排，提升年初预算测算精准度；加大计生奖励政策宣传力度；常态化开展享受对象动态核查，及时更新人员信息；严格资金发放审核流程，进一步规范项目全过程资料收集归档，保障政策精准落地。</w:t>
            </w:r>
          </w:p>
        </w:tc>
      </w:tr>
      <w:tr w14:paraId="264FD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DB93D0">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项目负责人：仁青哈莫</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A0F2737">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5DB73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53C1198B">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7AE25BB7">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0B8FF7D1">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48EC271F">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5CAED8AE">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4D21806D">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26A7A42A">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62444E8E">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12B2BF13">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2436D341">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0206B0A6">
            <w:pPr>
              <w:rPr>
                <w:rFonts w:hint="eastAsia" w:ascii="宋体" w:hAnsi="宋体" w:eastAsia="宋体" w:cs="宋体"/>
                <w:i w:val="0"/>
                <w:iCs w:val="0"/>
                <w:color w:val="000000"/>
                <w:sz w:val="18"/>
                <w:szCs w:val="18"/>
                <w:u w:val="none"/>
              </w:rPr>
            </w:pPr>
          </w:p>
        </w:tc>
      </w:tr>
      <w:tr w14:paraId="0D5B5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F3D9D68">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62707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DCFE0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B54575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51323324T000011426035</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苍南县、永嘉县、绵阳捐赠资金</w:t>
            </w:r>
          </w:p>
        </w:tc>
      </w:tr>
      <w:tr w14:paraId="76D80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7C976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5BC331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0A189CC4">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1F07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747D7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90BEA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43F56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3F92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2C6D73C">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19C72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6BEE8">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E0F2F">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5DE10D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对口援建帮扶捐赠资金</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3846C1C">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接收对口地区捐赠资金，按照捐赠意向用于卫生健康相关帮扶工作。受项目实施条件、采购流程等因素影响，本年度仅完成部分资金支出，剩余资金结转下年继续实施。</w:t>
            </w:r>
          </w:p>
        </w:tc>
      </w:tr>
      <w:tr w14:paraId="64F70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027D0">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48A3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3398E9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为苍南县、永嘉县、绵阳对口援建捐赠资金，属于单位资金。资金主要用于我县医疗卫生、疾病防控、卫生服务能力提升相关工作。年中纳入预算管理，严格按照捐赠意愿及财务管理制度开展项目筹备、物资采购等相关工作</w:t>
            </w:r>
          </w:p>
        </w:tc>
      </w:tr>
      <w:tr w14:paraId="2BCD4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2DC6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CA6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FC3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10F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1334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607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60A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E12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D2F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40EC9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B2CB8">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6F5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113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253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62.89</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C03B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9.03</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B89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14.37</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B95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C7D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97AD12">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本项目为对口援建捐赠单位资金，年中追加纳入预算。因项目方案论证、采购流程周期较长，当年未能全部实施，部分资金结转下年使用，造成本年度预算执行率偏低。</w:t>
            </w:r>
          </w:p>
        </w:tc>
      </w:tr>
      <w:tr w14:paraId="51B87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61AFD">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7FB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BF4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071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FAF7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7FA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D2F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286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26CCD">
            <w:pPr>
              <w:rPr>
                <w:rFonts w:hint="eastAsia" w:ascii="黑体" w:hAnsi="黑体" w:eastAsia="黑体" w:cs="黑体"/>
                <w:i/>
                <w:iCs/>
                <w:color w:val="000000"/>
                <w:sz w:val="18"/>
                <w:szCs w:val="18"/>
                <w:u w:val="none"/>
              </w:rPr>
            </w:pPr>
          </w:p>
        </w:tc>
      </w:tr>
      <w:tr w14:paraId="2ABB4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63028">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D7A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2E3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06F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87DA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375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42B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A55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40992">
            <w:pPr>
              <w:rPr>
                <w:rFonts w:hint="eastAsia" w:ascii="黑体" w:hAnsi="黑体" w:eastAsia="黑体" w:cs="黑体"/>
                <w:i/>
                <w:iCs/>
                <w:color w:val="000000"/>
                <w:sz w:val="18"/>
                <w:szCs w:val="18"/>
                <w:u w:val="none"/>
              </w:rPr>
            </w:pPr>
          </w:p>
        </w:tc>
      </w:tr>
      <w:tr w14:paraId="656D0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DB66E">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4B3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7B4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82F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62.89</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7E16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9.03</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70A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14.37</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BB6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A17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B4039">
            <w:pPr>
              <w:rPr>
                <w:rFonts w:hint="eastAsia" w:ascii="黑体" w:hAnsi="黑体" w:eastAsia="黑体" w:cs="黑体"/>
                <w:i/>
                <w:iCs/>
                <w:color w:val="000000"/>
                <w:sz w:val="18"/>
                <w:szCs w:val="18"/>
                <w:u w:val="none"/>
              </w:rPr>
            </w:pPr>
          </w:p>
        </w:tc>
      </w:tr>
      <w:tr w14:paraId="3DC57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212B4">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3EC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BE15B">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473BD">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CBE478">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F1DA7">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451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012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8AB18">
            <w:pPr>
              <w:rPr>
                <w:rFonts w:hint="eastAsia" w:ascii="黑体" w:hAnsi="黑体" w:eastAsia="黑体" w:cs="黑体"/>
                <w:i/>
                <w:iCs/>
                <w:color w:val="000000"/>
                <w:sz w:val="18"/>
                <w:szCs w:val="18"/>
                <w:u w:val="none"/>
              </w:rPr>
            </w:pPr>
          </w:p>
        </w:tc>
      </w:tr>
      <w:tr w14:paraId="7D875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7E99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F48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5A3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703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E48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373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180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25E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111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4B7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857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5B1DA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E5B8A">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A1A7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49B2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283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资金到位</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D4B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A5C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630580.9</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0C1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CC45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628900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B9E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DA3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8052E">
            <w:pPr>
              <w:jc w:val="center"/>
              <w:rPr>
                <w:rFonts w:hint="eastAsia" w:ascii="微软雅黑" w:hAnsi="微软雅黑" w:eastAsia="微软雅黑" w:cs="微软雅黑"/>
                <w:i/>
                <w:iCs/>
                <w:color w:val="000000"/>
                <w:sz w:val="16"/>
                <w:szCs w:val="16"/>
                <w:u w:val="none"/>
              </w:rPr>
            </w:pPr>
          </w:p>
        </w:tc>
      </w:tr>
      <w:tr w14:paraId="6E1E5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CCE0C">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EC9B9">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F3458">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B5B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工作完成率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64D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427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172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2FBF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14.37</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9C2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BED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3F07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受项目论证、采购流程制约，本年度仅完成部分工作，剩余结转下年实施</w:t>
            </w:r>
          </w:p>
        </w:tc>
      </w:tr>
      <w:tr w14:paraId="12E76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E3F32">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FF58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153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CA6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减轻医疗负担</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1F3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371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优良差</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CF4DF">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4F157">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109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F4C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9D512">
            <w:pPr>
              <w:jc w:val="center"/>
              <w:rPr>
                <w:rFonts w:hint="eastAsia" w:ascii="微软雅黑" w:hAnsi="微软雅黑" w:eastAsia="微软雅黑" w:cs="微软雅黑"/>
                <w:i/>
                <w:iCs/>
                <w:color w:val="000000"/>
                <w:sz w:val="16"/>
                <w:szCs w:val="16"/>
                <w:u w:val="none"/>
              </w:rPr>
            </w:pPr>
          </w:p>
        </w:tc>
      </w:tr>
      <w:tr w14:paraId="4E2EA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3A686">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3AB8D">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BC7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7BE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疾病防控率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8E8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C1A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9E4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B0A5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F76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57B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828E0">
            <w:pPr>
              <w:jc w:val="center"/>
              <w:rPr>
                <w:rFonts w:hint="eastAsia" w:ascii="微软雅黑" w:hAnsi="微软雅黑" w:eastAsia="微软雅黑" w:cs="微软雅黑"/>
                <w:i/>
                <w:iCs/>
                <w:color w:val="000000"/>
                <w:sz w:val="16"/>
                <w:szCs w:val="16"/>
                <w:u w:val="none"/>
              </w:rPr>
            </w:pPr>
          </w:p>
        </w:tc>
      </w:tr>
      <w:tr w14:paraId="776BD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6514B">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2A046">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A22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C99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卫生事业可持续发展</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5C0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7FB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88479">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F9C2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良好</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525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492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07100">
            <w:pPr>
              <w:jc w:val="center"/>
              <w:rPr>
                <w:rFonts w:hint="eastAsia" w:ascii="微软雅黑" w:hAnsi="微软雅黑" w:eastAsia="微软雅黑" w:cs="微软雅黑"/>
                <w:i/>
                <w:iCs/>
                <w:color w:val="000000"/>
                <w:sz w:val="16"/>
                <w:szCs w:val="16"/>
                <w:u w:val="none"/>
              </w:rPr>
            </w:pPr>
          </w:p>
        </w:tc>
      </w:tr>
      <w:tr w14:paraId="3AE02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5924D">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D8E3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E0F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28C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单位工作人员满意</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59D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B6E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5BA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929A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FE3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D3F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CD3DF">
            <w:pPr>
              <w:jc w:val="center"/>
              <w:rPr>
                <w:rFonts w:hint="eastAsia" w:ascii="微软雅黑" w:hAnsi="微软雅黑" w:eastAsia="微软雅黑" w:cs="微软雅黑"/>
                <w:i/>
                <w:iCs/>
                <w:color w:val="000000"/>
                <w:sz w:val="16"/>
                <w:szCs w:val="16"/>
                <w:u w:val="none"/>
              </w:rPr>
            </w:pPr>
          </w:p>
        </w:tc>
      </w:tr>
      <w:tr w14:paraId="65942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7B88B">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A923B">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305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849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捐赠者满意度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A03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9F5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2CF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B8D1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5</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859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93B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5BB3A">
            <w:pPr>
              <w:jc w:val="center"/>
              <w:rPr>
                <w:rFonts w:hint="eastAsia" w:ascii="微软雅黑" w:hAnsi="微软雅黑" w:eastAsia="微软雅黑" w:cs="微软雅黑"/>
                <w:i/>
                <w:iCs/>
                <w:color w:val="000000"/>
                <w:sz w:val="16"/>
                <w:szCs w:val="16"/>
                <w:u w:val="none"/>
              </w:rPr>
            </w:pPr>
          </w:p>
        </w:tc>
      </w:tr>
      <w:tr w14:paraId="2F421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A8E3E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598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48C46">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6FFBA">
            <w:pPr>
              <w:rPr>
                <w:rFonts w:hint="eastAsia" w:ascii="宋体" w:hAnsi="宋体" w:eastAsia="宋体" w:cs="宋体"/>
                <w:i w:val="0"/>
                <w:iCs w:val="0"/>
                <w:color w:val="000000"/>
                <w:sz w:val="18"/>
                <w:szCs w:val="18"/>
                <w:u w:val="none"/>
              </w:rPr>
            </w:pPr>
          </w:p>
        </w:tc>
      </w:tr>
      <w:tr w14:paraId="7F3F9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66F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DABA27F">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70 分。捐赠资金已足额到位，已实施部分工作有效助力我县医疗卫生、疾病防控工作，一定程度减轻群众医疗负担，卫生服务能力得到提升。但受项目前期论证、采购周期影响，年度工作完成率较低，大量资金结转下年，未完全实现年度预期产出目标。</w:t>
            </w:r>
          </w:p>
        </w:tc>
      </w:tr>
      <w:tr w14:paraId="369FC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B3A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58879E5">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项目前期谋划不够充分，项目实施方案确定滞后；物资采购流程耗时较长，致使当年支出进度慢；捐赠项目统筹推进力度不足，资金支出进度管控有待加强；项目过程绩效资料归集不够完整。</w:t>
            </w:r>
          </w:p>
        </w:tc>
      </w:tr>
      <w:tr w14:paraId="67D59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8E8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2FD5F33">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提前谋划捐赠项目实施方案，加快项目前期论证；优化采购流程，压实工作时限，提高资金支出进度；建立捐赠资金台账，强化全过程跟踪管理；规范项目档案资料收集，加快结转项目实施，确保捐赠资金尽早发挥帮扶效益。</w:t>
            </w:r>
          </w:p>
        </w:tc>
      </w:tr>
      <w:tr w14:paraId="361A6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0C09EBA">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项目负责人：邱帮盛</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FE7C6A0">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5E43E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3C125490">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0444E776">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4BE21F23">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721D0FBC">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30473A8D">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2FE7F284">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4B33DAEE">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43A59EFE">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1CC9AAEE">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67AE714C">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03DEBD46">
            <w:pPr>
              <w:rPr>
                <w:rFonts w:hint="eastAsia" w:ascii="宋体" w:hAnsi="宋体" w:eastAsia="宋体" w:cs="宋体"/>
                <w:i w:val="0"/>
                <w:iCs w:val="0"/>
                <w:color w:val="000000"/>
                <w:sz w:val="18"/>
                <w:szCs w:val="18"/>
                <w:u w:val="none"/>
              </w:rPr>
            </w:pPr>
          </w:p>
        </w:tc>
      </w:tr>
      <w:tr w14:paraId="53610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4E5617C0">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06A01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5EFB1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EB2A54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51323324T000011697249</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计划生育服务（非三保）</w:t>
            </w:r>
          </w:p>
        </w:tc>
      </w:tr>
      <w:tr w14:paraId="53DBF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7847F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47D652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391DA0A8">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55E7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1AB35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BC358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FD913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D05F4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C55FAC">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55902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ADE33">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1587F">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6EC9B3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计划生育服务</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E4AE5B6">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有序开展计划生育宣传、政策咨询、特殊家庭关怀等服务工作，完成大部分年度工作任务。受部分业务延后实施影响，资金未全部支出，部分工作结转后续继续推进。</w:t>
            </w:r>
          </w:p>
        </w:tc>
      </w:tr>
      <w:tr w14:paraId="2F944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C47A4">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990B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3F22EB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本项目为计划生育服务专项，年初无预算，年中追加财政预算 6.55 万元。资金用于计划生育政策宣传、计生特殊家庭走访关怀、业务资料印制、基层计生业务保障等工作，按财务制度开展项目实施，保障计生相关业务正常运转。</w:t>
            </w:r>
          </w:p>
        </w:tc>
      </w:tr>
      <w:tr w14:paraId="026D0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CDB4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FEC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0A2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1ED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BC26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34A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544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7B6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BA4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56767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EA2F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3E2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D65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4DB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6.55</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F5D3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4.62</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70B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70.60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A8A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176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2004F6">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项目为年中追加预算，部分宣传采购、走访服务工作实施时间偏晚，相关费用结算滞后，导致本年度预算未执行完毕，剩余资金结转下年使用。</w:t>
            </w:r>
          </w:p>
        </w:tc>
      </w:tr>
      <w:tr w14:paraId="75FF4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C1EB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9BF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A09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7F1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6.55</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F9CD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4.62</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FD2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70.60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1EF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288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9CD6A">
            <w:pPr>
              <w:rPr>
                <w:rFonts w:hint="eastAsia" w:ascii="黑体" w:hAnsi="黑体" w:eastAsia="黑体" w:cs="黑体"/>
                <w:i/>
                <w:iCs/>
                <w:color w:val="000000"/>
                <w:sz w:val="18"/>
                <w:szCs w:val="18"/>
                <w:u w:val="none"/>
              </w:rPr>
            </w:pPr>
          </w:p>
        </w:tc>
      </w:tr>
      <w:tr w14:paraId="6AA20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AD9B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D7E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F53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9F9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2736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104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B49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8E1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00D0F">
            <w:pPr>
              <w:rPr>
                <w:rFonts w:hint="eastAsia" w:ascii="黑体" w:hAnsi="黑体" w:eastAsia="黑体" w:cs="黑体"/>
                <w:i/>
                <w:iCs/>
                <w:color w:val="000000"/>
                <w:sz w:val="18"/>
                <w:szCs w:val="18"/>
                <w:u w:val="none"/>
              </w:rPr>
            </w:pPr>
          </w:p>
        </w:tc>
      </w:tr>
      <w:tr w14:paraId="189E4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856E9">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195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06A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5D5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0A13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0F0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0A1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317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04AA3">
            <w:pPr>
              <w:rPr>
                <w:rFonts w:hint="eastAsia" w:ascii="黑体" w:hAnsi="黑体" w:eastAsia="黑体" w:cs="黑体"/>
                <w:i/>
                <w:iCs/>
                <w:color w:val="000000"/>
                <w:sz w:val="18"/>
                <w:szCs w:val="18"/>
                <w:u w:val="none"/>
              </w:rPr>
            </w:pPr>
          </w:p>
        </w:tc>
      </w:tr>
      <w:tr w14:paraId="384F6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C0E84">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8EA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06876">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83564">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969A6A">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7CA8F">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415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7FA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3D497">
            <w:pPr>
              <w:rPr>
                <w:rFonts w:hint="eastAsia" w:ascii="黑体" w:hAnsi="黑体" w:eastAsia="黑体" w:cs="黑体"/>
                <w:i/>
                <w:iCs/>
                <w:color w:val="000000"/>
                <w:sz w:val="18"/>
                <w:szCs w:val="18"/>
                <w:u w:val="none"/>
              </w:rPr>
            </w:pPr>
          </w:p>
        </w:tc>
      </w:tr>
      <w:tr w14:paraId="30467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AAFF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C6A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9CC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4E7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5F7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318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E48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BBA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C85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F82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171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08D68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18FDE">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1C7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867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35B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工作完成率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EC1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A7F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F4C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BC324">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70.6</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CC5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B0E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ED1CF">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年中才落实预算，部分采购及服务工作延后开展，部分任务结转下年实施</w:t>
            </w:r>
          </w:p>
        </w:tc>
      </w:tr>
      <w:tr w14:paraId="3F1C8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D80DD">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27B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F89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83F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计划生育事业可持续发展</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6C7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701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优中良</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EEB7E">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423E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BB5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FCC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ECCF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已开展服务保障计生业务运行，但部分工作尚未全部落地</w:t>
            </w:r>
          </w:p>
        </w:tc>
      </w:tr>
      <w:tr w14:paraId="3290C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4395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8B2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1D7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F36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BC1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746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287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F542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A9B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D47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288F8">
            <w:pPr>
              <w:jc w:val="center"/>
              <w:rPr>
                <w:rFonts w:hint="eastAsia" w:ascii="微软雅黑" w:hAnsi="微软雅黑" w:eastAsia="微软雅黑" w:cs="微软雅黑"/>
                <w:i/>
                <w:iCs/>
                <w:color w:val="000000"/>
                <w:sz w:val="16"/>
                <w:szCs w:val="16"/>
                <w:u w:val="none"/>
              </w:rPr>
            </w:pPr>
          </w:p>
        </w:tc>
      </w:tr>
      <w:tr w14:paraId="37E96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8D66A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345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A427C">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FA61F">
            <w:pPr>
              <w:rPr>
                <w:rFonts w:hint="eastAsia" w:ascii="宋体" w:hAnsi="宋体" w:eastAsia="宋体" w:cs="宋体"/>
                <w:i w:val="0"/>
                <w:iCs w:val="0"/>
                <w:color w:val="000000"/>
                <w:sz w:val="18"/>
                <w:szCs w:val="18"/>
                <w:u w:val="none"/>
              </w:rPr>
            </w:pPr>
          </w:p>
        </w:tc>
      </w:tr>
      <w:tr w14:paraId="6485C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FA4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425932A">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76 分。项目落实计划生育相关服务保障，开展政策宣传、计生家庭关怀等工作，维护计生对象切身利益，保障基层计划生育业务正常开展。但因年中追加预算，部分工作开展滞后，预算执行未达预期，部分工作任务结转下年度实施</w:t>
            </w:r>
          </w:p>
        </w:tc>
      </w:tr>
      <w:tr w14:paraId="16169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041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606A28E">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项目为年中追加下达，前期工作筹备时间不足；部分采购、走访服务安排偏晚，费用结算不及时，造成资金执行进度滞后；项目工作计划统筹性不足，绩效过程资料收集不够完整规范。</w:t>
            </w:r>
          </w:p>
        </w:tc>
      </w:tr>
      <w:tr w14:paraId="73053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425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0612AE0">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加强项目前期谋划，做好计生业务需求预判；合理统筹年度工作时序，提前安排采购及服务事项；强化预算执行动态监控，加快资金结算进度；完善项目绩效台账资料，加快结转工作实施，切实发挥项目资金效益。</w:t>
            </w:r>
          </w:p>
        </w:tc>
      </w:tr>
      <w:tr w14:paraId="608F9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2FE2E9">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项目负责人：唐杰</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3F0E19C">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杨莉</w:t>
            </w:r>
          </w:p>
        </w:tc>
      </w:tr>
      <w:tr w14:paraId="65B88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701A2614">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38E32BF1">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6614095A">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4663AFAC">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75AFE42B">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3952395D">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42AFDC75">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733318A7">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5034D3EF">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1B2D3EFB">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1195615C">
            <w:pPr>
              <w:rPr>
                <w:rFonts w:hint="eastAsia" w:ascii="宋体" w:hAnsi="宋体" w:eastAsia="宋体" w:cs="宋体"/>
                <w:i w:val="0"/>
                <w:iCs w:val="0"/>
                <w:color w:val="000000"/>
                <w:sz w:val="18"/>
                <w:szCs w:val="18"/>
                <w:u w:val="none"/>
              </w:rPr>
            </w:pPr>
          </w:p>
        </w:tc>
      </w:tr>
      <w:tr w14:paraId="7A3C0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45CF1AB">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77406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A5111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039C51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51323324T000011698707</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基本公共卫生服务（三保）</w:t>
            </w:r>
          </w:p>
        </w:tc>
      </w:tr>
      <w:tr w14:paraId="6A07A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7911B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8CD5D1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29B883D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C353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24EFF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689A4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8FCEE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2F2C5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EE1DC8">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6F629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8B5A0">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C53D5">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1E80B1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基本公共卫生服务</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84CED6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扎实推进基本公共卫生相关服务工作，落实各项业务任务，开展健康服务、宣传引导等工作，全部既定年度任务顺利完成，项目达到预期工作目标。</w:t>
            </w:r>
          </w:p>
        </w:tc>
      </w:tr>
      <w:tr w14:paraId="00A12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6887C">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939F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2EDB50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本项目为基本公共卫生服务专项，年初无预算，年中追加财政预算 1.79 万元。资金用于基本公共卫生业务开展、健康宣教、业务保障等工作，严格按照财政资金管理规定组织实施，规范资金审核拨付，保障公共卫生业务有序开展。</w:t>
            </w:r>
          </w:p>
        </w:tc>
      </w:tr>
      <w:tr w14:paraId="08562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9425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CED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EAE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3B7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C00F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4E5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CE8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C0F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CBA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4A485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05FC2">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E37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C0D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125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1.79</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3F9E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1.79</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0A8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E9E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223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4C13F7">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本项目为年中追加财政预算，项目按计划推进，资金全部执行到位，无结余，预算执行情况良好。</w:t>
            </w:r>
          </w:p>
        </w:tc>
      </w:tr>
      <w:tr w14:paraId="11188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50EB0">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2F6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D9B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248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1.79</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20E0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1.79</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6C6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623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E73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AE497">
            <w:pPr>
              <w:rPr>
                <w:rFonts w:hint="eastAsia" w:ascii="黑体" w:hAnsi="黑体" w:eastAsia="黑体" w:cs="黑体"/>
                <w:i/>
                <w:iCs/>
                <w:color w:val="000000"/>
                <w:sz w:val="18"/>
                <w:szCs w:val="18"/>
                <w:u w:val="none"/>
              </w:rPr>
            </w:pPr>
          </w:p>
        </w:tc>
      </w:tr>
      <w:tr w14:paraId="6D136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F45AD">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731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05B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DA6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0708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C8E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0EC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641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CB8AF">
            <w:pPr>
              <w:rPr>
                <w:rFonts w:hint="eastAsia" w:ascii="黑体" w:hAnsi="黑体" w:eastAsia="黑体" w:cs="黑体"/>
                <w:i/>
                <w:iCs/>
                <w:color w:val="000000"/>
                <w:sz w:val="18"/>
                <w:szCs w:val="18"/>
                <w:u w:val="none"/>
              </w:rPr>
            </w:pPr>
          </w:p>
        </w:tc>
      </w:tr>
      <w:tr w14:paraId="05CAC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F9969">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11B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343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231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293F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70E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9BE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2B5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4DC93">
            <w:pPr>
              <w:rPr>
                <w:rFonts w:hint="eastAsia" w:ascii="黑体" w:hAnsi="黑体" w:eastAsia="黑体" w:cs="黑体"/>
                <w:i/>
                <w:iCs/>
                <w:color w:val="000000"/>
                <w:sz w:val="18"/>
                <w:szCs w:val="18"/>
                <w:u w:val="none"/>
              </w:rPr>
            </w:pPr>
          </w:p>
        </w:tc>
      </w:tr>
      <w:tr w14:paraId="1CBCA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9D6B8">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40C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EB497">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90687">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21A932">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29BC2">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271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60D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5DB7B">
            <w:pPr>
              <w:rPr>
                <w:rFonts w:hint="eastAsia" w:ascii="黑体" w:hAnsi="黑体" w:eastAsia="黑体" w:cs="黑体"/>
                <w:i/>
                <w:iCs/>
                <w:color w:val="000000"/>
                <w:sz w:val="18"/>
                <w:szCs w:val="18"/>
                <w:u w:val="none"/>
              </w:rPr>
            </w:pPr>
          </w:p>
        </w:tc>
      </w:tr>
      <w:tr w14:paraId="5ECC3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54DA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CC8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5E9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897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072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7A9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7DE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0A1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3FB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8E8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F11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38E56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2AE93">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B1B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C37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E1C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工作完成率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FDA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DAC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A6B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412B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92</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5AE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B4C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8AFAD">
            <w:pPr>
              <w:jc w:val="center"/>
              <w:rPr>
                <w:rFonts w:hint="eastAsia" w:ascii="微软雅黑" w:hAnsi="微软雅黑" w:eastAsia="微软雅黑" w:cs="微软雅黑"/>
                <w:i/>
                <w:iCs/>
                <w:color w:val="000000"/>
                <w:sz w:val="16"/>
                <w:szCs w:val="16"/>
                <w:u w:val="none"/>
              </w:rPr>
            </w:pPr>
          </w:p>
        </w:tc>
      </w:tr>
      <w:tr w14:paraId="723FB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72E98">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82F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941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65E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公共卫生事业可持续发展</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A00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758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优中良</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9A175">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41B8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优</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BF3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A47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11DC3">
            <w:pPr>
              <w:jc w:val="center"/>
              <w:rPr>
                <w:rFonts w:hint="eastAsia" w:ascii="微软雅黑" w:hAnsi="微软雅黑" w:eastAsia="微软雅黑" w:cs="微软雅黑"/>
                <w:i/>
                <w:iCs/>
                <w:color w:val="000000"/>
                <w:sz w:val="16"/>
                <w:szCs w:val="16"/>
                <w:u w:val="none"/>
              </w:rPr>
            </w:pPr>
          </w:p>
        </w:tc>
      </w:tr>
      <w:tr w14:paraId="59ADD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AAAC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049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4F5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CD5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B66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39B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5A8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4F89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0D3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DEA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77418">
            <w:pPr>
              <w:jc w:val="center"/>
              <w:rPr>
                <w:rFonts w:hint="eastAsia" w:ascii="微软雅黑" w:hAnsi="微软雅黑" w:eastAsia="微软雅黑" w:cs="微软雅黑"/>
                <w:i/>
                <w:iCs/>
                <w:color w:val="000000"/>
                <w:sz w:val="16"/>
                <w:szCs w:val="16"/>
                <w:u w:val="none"/>
              </w:rPr>
            </w:pPr>
          </w:p>
        </w:tc>
      </w:tr>
      <w:tr w14:paraId="1C3BB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F92EE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983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EFF1F">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520D3">
            <w:pPr>
              <w:rPr>
                <w:rFonts w:hint="eastAsia" w:ascii="宋体" w:hAnsi="宋体" w:eastAsia="宋体" w:cs="宋体"/>
                <w:i w:val="0"/>
                <w:iCs w:val="0"/>
                <w:color w:val="000000"/>
                <w:sz w:val="18"/>
                <w:szCs w:val="18"/>
                <w:u w:val="none"/>
              </w:rPr>
            </w:pPr>
          </w:p>
        </w:tc>
      </w:tr>
      <w:tr w14:paraId="62B62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AD8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ED8C872">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项目资金全部执行完毕，有序开展基本公共卫生相关业务，落实健康宣传等服务工作，有效夯实基层公共卫生基础，助力公共卫生事业稳步发展，服务对象满意度达标，较好完成年度各项工作目标，资金使用规范高效。</w:t>
            </w:r>
          </w:p>
        </w:tc>
      </w:tr>
      <w:tr w14:paraId="54EC4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8D5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09397B4">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项目为年中追加预算，项目启动时间较晚；公共卫生宣传形式较为单一；业务过程绩效佐证资料精细化归集仍有待加强；对服务成效跟踪分析力度不足。</w:t>
            </w:r>
          </w:p>
        </w:tc>
      </w:tr>
      <w:tr w14:paraId="631F9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44D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44CAFA7">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提前研判业务需求，提高预算编制前瞻性；丰富公共卫生宣传方式，扩大宣传覆盖面；强化项目全过程绩效管理，完善绩效资料收集归档；加强服务成效跟踪，持续提升基本公共卫生服务质量。</w:t>
            </w:r>
          </w:p>
        </w:tc>
      </w:tr>
      <w:tr w14:paraId="4E7CF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25D7044">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项目负责人：邱帮盛</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582A4E5">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6C7E8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62607746">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6C6A690A">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180B7050">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5B8F6943">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13FC4AA0">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7FABE684">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62672B71">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5D97509C">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33AA5E1B">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20569706">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0BD0502F">
            <w:pPr>
              <w:rPr>
                <w:rFonts w:hint="eastAsia" w:ascii="宋体" w:hAnsi="宋体" w:eastAsia="宋体" w:cs="宋体"/>
                <w:i w:val="0"/>
                <w:iCs w:val="0"/>
                <w:color w:val="000000"/>
                <w:sz w:val="18"/>
                <w:szCs w:val="18"/>
                <w:u w:val="none"/>
              </w:rPr>
            </w:pPr>
          </w:p>
        </w:tc>
      </w:tr>
      <w:tr w14:paraId="61B7E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F38DAA4">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6188B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0DFF6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95834F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51323324T000012009345</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医疗服务能力提升浙江援建资金</w:t>
            </w:r>
          </w:p>
        </w:tc>
      </w:tr>
      <w:tr w14:paraId="77765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E9136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ED47A6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151AFA47">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E543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7CA26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A4DF1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3AC7C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A303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60D74FE">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3849A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84066">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B50F5">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71CF72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红原县县域医疗卫生服务能力提升项目原址重建色地镇卫生院业务用房 1018 平方米、维修改造业务用房 484 平方，购买设施设备并配套附属设施等。主要建设内容包括土建工程、安装工程、装饰装修工程、改造工程、总平面工程及购买设施设备并配套附属设施。</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AF4CFFC">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有序推进色地镇卫生院业务用房重建、维修改造、设备采购及附属配套建设，本年度项目资金全部执行到位，工程建设任务按计划实施，有力提升乡镇卫生院硬件基础条件。</w:t>
            </w:r>
          </w:p>
        </w:tc>
      </w:tr>
      <w:tr w14:paraId="60349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93605">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755B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DDECB4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本项目为浙江援建医疗服务能力提升财政专项资金，年初预算 53.19 万元，无预算调整。资金专项用于色地镇卫生院业务用房原址重建、维修改造、装饰装修、附属设施建设及医疗设备购置。严格执行工程建设、政府采购相关制度，规范资金拨付，保障项目建设有序推进。</w:t>
            </w:r>
          </w:p>
        </w:tc>
      </w:tr>
      <w:tr w14:paraId="0F723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ADAE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A6E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963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83D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7D06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21B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872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10C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53B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20990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7C4F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BD6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EDC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53.19</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813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53.19</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019A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53.19</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EFA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E12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CFB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7435C1">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项目年初预算 53.19 万元，年度无预算调整，资金全部执行完毕，预算执行率 100％，资金使用规范。</w:t>
            </w:r>
          </w:p>
        </w:tc>
      </w:tr>
      <w:tr w14:paraId="51F32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0295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387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13C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53.19</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E95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53.19</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BE68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53.19</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A7C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70D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E05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41E93">
            <w:pPr>
              <w:rPr>
                <w:rFonts w:hint="eastAsia" w:ascii="黑体" w:hAnsi="黑体" w:eastAsia="黑体" w:cs="黑体"/>
                <w:i/>
                <w:iCs/>
                <w:color w:val="000000"/>
                <w:sz w:val="18"/>
                <w:szCs w:val="18"/>
                <w:u w:val="none"/>
              </w:rPr>
            </w:pPr>
          </w:p>
        </w:tc>
      </w:tr>
      <w:tr w14:paraId="5F796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9C85A4">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25A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C99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A3D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EC65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1EE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0A9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C1C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1E919">
            <w:pPr>
              <w:rPr>
                <w:rFonts w:hint="eastAsia" w:ascii="黑体" w:hAnsi="黑体" w:eastAsia="黑体" w:cs="黑体"/>
                <w:i/>
                <w:iCs/>
                <w:color w:val="000000"/>
                <w:sz w:val="18"/>
                <w:szCs w:val="18"/>
                <w:u w:val="none"/>
              </w:rPr>
            </w:pPr>
          </w:p>
        </w:tc>
      </w:tr>
      <w:tr w14:paraId="4FD9F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862F1">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672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EE8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0DE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A748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EF7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C5C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350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1BF96">
            <w:pPr>
              <w:rPr>
                <w:rFonts w:hint="eastAsia" w:ascii="黑体" w:hAnsi="黑体" w:eastAsia="黑体" w:cs="黑体"/>
                <w:i/>
                <w:iCs/>
                <w:color w:val="000000"/>
                <w:sz w:val="18"/>
                <w:szCs w:val="18"/>
                <w:u w:val="none"/>
              </w:rPr>
            </w:pPr>
          </w:p>
        </w:tc>
      </w:tr>
      <w:tr w14:paraId="30F74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C2FB8">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DD4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DE8B2">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A2C38">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210DB95">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B8925">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A1B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DEC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38EF4">
            <w:pPr>
              <w:rPr>
                <w:rFonts w:hint="eastAsia" w:ascii="黑体" w:hAnsi="黑体" w:eastAsia="黑体" w:cs="黑体"/>
                <w:i/>
                <w:iCs/>
                <w:color w:val="000000"/>
                <w:sz w:val="18"/>
                <w:szCs w:val="18"/>
                <w:u w:val="none"/>
              </w:rPr>
            </w:pPr>
          </w:p>
        </w:tc>
      </w:tr>
      <w:tr w14:paraId="7E591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A0F5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3B6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971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E4E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F73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3F8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B48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025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8CB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B49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034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4FCCA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B2E5E">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5F5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20B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476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时效性</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66A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C84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A85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BE4E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B91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74E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40975">
            <w:pPr>
              <w:jc w:val="center"/>
              <w:rPr>
                <w:rFonts w:hint="eastAsia" w:ascii="微软雅黑" w:hAnsi="微软雅黑" w:eastAsia="微软雅黑" w:cs="微软雅黑"/>
                <w:i/>
                <w:iCs/>
                <w:color w:val="000000"/>
                <w:sz w:val="16"/>
                <w:szCs w:val="16"/>
                <w:u w:val="none"/>
              </w:rPr>
            </w:pPr>
          </w:p>
        </w:tc>
      </w:tr>
      <w:tr w14:paraId="15E60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A2400">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E3C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0EE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425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覆盖人数</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496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A27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7800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BB7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8D26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7800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BA9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C6B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3FAB6">
            <w:pPr>
              <w:jc w:val="center"/>
              <w:rPr>
                <w:rFonts w:hint="eastAsia" w:ascii="微软雅黑" w:hAnsi="微软雅黑" w:eastAsia="微软雅黑" w:cs="微软雅黑"/>
                <w:i/>
                <w:iCs/>
                <w:color w:val="000000"/>
                <w:sz w:val="16"/>
                <w:szCs w:val="16"/>
                <w:u w:val="none"/>
              </w:rPr>
            </w:pPr>
          </w:p>
        </w:tc>
      </w:tr>
      <w:tr w14:paraId="51680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A8BE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72D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568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8C5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276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3B6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784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8AEE7">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E16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409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951AA">
            <w:pPr>
              <w:jc w:val="center"/>
              <w:rPr>
                <w:rFonts w:hint="eastAsia" w:ascii="微软雅黑" w:hAnsi="微软雅黑" w:eastAsia="微软雅黑" w:cs="微软雅黑"/>
                <w:i/>
                <w:iCs/>
                <w:color w:val="000000"/>
                <w:sz w:val="16"/>
                <w:szCs w:val="16"/>
                <w:u w:val="none"/>
              </w:rPr>
            </w:pPr>
          </w:p>
        </w:tc>
      </w:tr>
      <w:tr w14:paraId="56CAB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1A6DC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2E3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E7628">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B5E6D">
            <w:pPr>
              <w:rPr>
                <w:rFonts w:hint="eastAsia" w:ascii="宋体" w:hAnsi="宋体" w:eastAsia="宋体" w:cs="宋体"/>
                <w:i w:val="0"/>
                <w:iCs w:val="0"/>
                <w:color w:val="000000"/>
                <w:sz w:val="18"/>
                <w:szCs w:val="18"/>
                <w:u w:val="none"/>
              </w:rPr>
            </w:pPr>
          </w:p>
        </w:tc>
      </w:tr>
      <w:tr w14:paraId="0946A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525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6D934E5">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浙江援建资金全额执行，完成色地镇卫生院业务用房重建、维修改造、设备购置及附属配套建设，改善乡镇卫生院硬件设施条件，扩大医疗服务覆盖范围，辖区群众就医环境得到改善，患者满意度达标，有效提升县域基层医疗卫生服务能力。</w:t>
            </w:r>
          </w:p>
        </w:tc>
      </w:tr>
      <w:tr w14:paraId="341C0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B69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1C71C24">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项目建设周期较长，工程建设过程受高原气候条件影响施工进度；建成后医疗设备实操培训力度不足；项目建设全过程绩效佐证资料收集还不够细致完整。</w:t>
            </w:r>
          </w:p>
        </w:tc>
      </w:tr>
      <w:tr w14:paraId="0A0DE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DAC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36BAF3E">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充分考虑高原气候因素，科学谋划施工时序；加强卫生院医务人员设备操作培训，充分发挥设备使用效益；完善项目建设全过程绩效档案归集；持续做好建成后运维管理，巩固援建项目成果，切实发挥项目社会效益。</w:t>
            </w:r>
          </w:p>
        </w:tc>
      </w:tr>
      <w:tr w14:paraId="61148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882A3D6">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项目负责人：刘丹阳</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1103F26">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3A5A4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541B7DE1">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4B718191">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2F556B84">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144DF936">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410B02E0">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5DE35B5B">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65B729B6">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6B1FE131">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629933BF">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42E6E1AD">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037E3100">
            <w:pPr>
              <w:rPr>
                <w:rFonts w:hint="eastAsia" w:ascii="宋体" w:hAnsi="宋体" w:eastAsia="宋体" w:cs="宋体"/>
                <w:i w:val="0"/>
                <w:iCs w:val="0"/>
                <w:color w:val="000000"/>
                <w:sz w:val="18"/>
                <w:szCs w:val="18"/>
                <w:u w:val="none"/>
              </w:rPr>
            </w:pPr>
          </w:p>
        </w:tc>
      </w:tr>
      <w:tr w14:paraId="397D2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653FDAA">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5664F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97578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DAFB9E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51323324T000012018669</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医疗服务能力提升（县域医疗次中心建设）</w:t>
            </w:r>
          </w:p>
        </w:tc>
      </w:tr>
      <w:tr w14:paraId="50D05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808DE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51C156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059D4F0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310C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095FE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6C1F0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52F60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154CC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3993AC">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49F80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09D60">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8F670">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0FC195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红原县县域医疗次中心（瓦切镇中心卫生院）项目：由敬老院改造而来，主要改造内容包含 1</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综合大楼、5</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门诊大楼、4</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住院楼、3</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医技大楼等功能大楼，大门外立面改造，改造总平布置 14 个车位，普通车位 12 个，救护车位 2 个，同时对相关医疗设备进行采购以及对院内基础设施进行改造。</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红原县县域医疗卫生服务能力提升项目：原址重建色地镇卫生院 业务用房 1018 平方米、维修改造业务用房 484 平方，购买设施设备 并配套附属设施等。主要建设内容包括土建工程、安装工程、装饰装 修工程、改造工程、总平面工程及购买设施设备并配套附属设施。</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A2A828">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推进瓦切镇县域医疗次中心、色地镇卫生院改造重建项目，开展房屋改造、场地建设及设备采购工作。受高原施工、工程工序影响，本年度完成部分建设任务，剩余工程结转下年继续实施。</w:t>
            </w:r>
          </w:p>
        </w:tc>
      </w:tr>
      <w:tr w14:paraId="6CDD4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DF3FC">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9669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6CEC6E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本项目年初无预算，年中追加财政预算 562.70 万元，用于瓦切镇中心卫生院次中心改造、车位配套、基础设施完善，色地镇卫生院业务用房重建维修、土建装修、医疗设备购置及附属工程。严格执行工程建设、政府采购相关制度，按程序开展项目施工、设备采购，落实资金监管。</w:t>
            </w:r>
          </w:p>
        </w:tc>
      </w:tr>
      <w:tr w14:paraId="1473F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738A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354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203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916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CC8F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5DA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5F6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221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BD6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1A7DF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5E4E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F06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85F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A39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562.70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05BB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382.03</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378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67.89</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C53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467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523A51">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本项目为年中追加预算，高原地区有效施工周期短，工程项目工序多、建设周期长，部分工程未完工，款项暂未支付，剩余资金结转下年使用。</w:t>
            </w:r>
          </w:p>
        </w:tc>
      </w:tr>
      <w:tr w14:paraId="6C86F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B33F3">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7EE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21D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96A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562.70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A54D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382.03</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F47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67.89</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D2C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2E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32FE7">
            <w:pPr>
              <w:rPr>
                <w:rFonts w:hint="eastAsia" w:ascii="黑体" w:hAnsi="黑体" w:eastAsia="黑体" w:cs="黑体"/>
                <w:i/>
                <w:iCs/>
                <w:color w:val="000000"/>
                <w:sz w:val="18"/>
                <w:szCs w:val="18"/>
                <w:u w:val="none"/>
              </w:rPr>
            </w:pPr>
          </w:p>
        </w:tc>
      </w:tr>
      <w:tr w14:paraId="43963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007F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94B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F3A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3ED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C2C6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DEC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6EB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97F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7C6DF">
            <w:pPr>
              <w:rPr>
                <w:rFonts w:hint="eastAsia" w:ascii="黑体" w:hAnsi="黑体" w:eastAsia="黑体" w:cs="黑体"/>
                <w:i/>
                <w:iCs/>
                <w:color w:val="000000"/>
                <w:sz w:val="18"/>
                <w:szCs w:val="18"/>
                <w:u w:val="none"/>
              </w:rPr>
            </w:pPr>
          </w:p>
        </w:tc>
      </w:tr>
      <w:tr w14:paraId="0372B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D4B41">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B39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75C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FBC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1626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729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CB1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510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1445F">
            <w:pPr>
              <w:rPr>
                <w:rFonts w:hint="eastAsia" w:ascii="黑体" w:hAnsi="黑体" w:eastAsia="黑体" w:cs="黑体"/>
                <w:i/>
                <w:iCs/>
                <w:color w:val="000000"/>
                <w:sz w:val="18"/>
                <w:szCs w:val="18"/>
                <w:u w:val="none"/>
              </w:rPr>
            </w:pPr>
          </w:p>
        </w:tc>
      </w:tr>
      <w:tr w14:paraId="70410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F99D4">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95F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EAA8E">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233BF">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9C4E2F">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5A0C3">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411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E8A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78D92">
            <w:pPr>
              <w:rPr>
                <w:rFonts w:hint="eastAsia" w:ascii="黑体" w:hAnsi="黑体" w:eastAsia="黑体" w:cs="黑体"/>
                <w:i/>
                <w:iCs/>
                <w:color w:val="000000"/>
                <w:sz w:val="18"/>
                <w:szCs w:val="18"/>
                <w:u w:val="none"/>
              </w:rPr>
            </w:pPr>
          </w:p>
        </w:tc>
      </w:tr>
      <w:tr w14:paraId="0B8C9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0898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627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C6B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DD4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4BE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E89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3F9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8AB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C40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BD0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52F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7988D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4C8B6">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84BF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BFEA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617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医疗服务质量</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C69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85F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514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C984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F0A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750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4F624">
            <w:pPr>
              <w:jc w:val="center"/>
              <w:rPr>
                <w:rFonts w:hint="eastAsia" w:ascii="微软雅黑" w:hAnsi="微软雅黑" w:eastAsia="微软雅黑" w:cs="微软雅黑"/>
                <w:i/>
                <w:iCs/>
                <w:color w:val="000000"/>
                <w:sz w:val="16"/>
                <w:szCs w:val="16"/>
                <w:u w:val="none"/>
              </w:rPr>
            </w:pPr>
          </w:p>
        </w:tc>
      </w:tr>
      <w:tr w14:paraId="08DAE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53446">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BD8EE">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49DC4">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E3C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医疗事故发生率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C7A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ABF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B39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1FAD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5</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1BA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4BF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87061">
            <w:pPr>
              <w:jc w:val="center"/>
              <w:rPr>
                <w:rFonts w:hint="eastAsia" w:ascii="微软雅黑" w:hAnsi="微软雅黑" w:eastAsia="微软雅黑" w:cs="微软雅黑"/>
                <w:i/>
                <w:iCs/>
                <w:color w:val="000000"/>
                <w:sz w:val="16"/>
                <w:szCs w:val="16"/>
                <w:u w:val="none"/>
              </w:rPr>
            </w:pPr>
          </w:p>
        </w:tc>
      </w:tr>
      <w:tr w14:paraId="524CA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0D000">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C311E">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D12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A4E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门诊患者平均候诊时间</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345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94D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CC4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分钟</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1A517">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410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305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A1A44">
            <w:pPr>
              <w:jc w:val="center"/>
              <w:rPr>
                <w:rFonts w:hint="eastAsia" w:ascii="微软雅黑" w:hAnsi="微软雅黑" w:eastAsia="微软雅黑" w:cs="微软雅黑"/>
                <w:i/>
                <w:iCs/>
                <w:color w:val="000000"/>
                <w:sz w:val="16"/>
                <w:szCs w:val="16"/>
                <w:u w:val="none"/>
              </w:rPr>
            </w:pPr>
          </w:p>
        </w:tc>
      </w:tr>
      <w:tr w14:paraId="77058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A378A">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5D26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F5B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A07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提高医疗服务均等化水平</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216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24E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基层医疗机构能力不断提升</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3BEE0">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48BC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基层医疗机构能力不断提升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F96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462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716C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部分工程尚未完工，整体效能未完全释放</w:t>
            </w:r>
          </w:p>
        </w:tc>
      </w:tr>
      <w:tr w14:paraId="3E707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D9EEF">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95273">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6C1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94D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基层医疗机构能力不断提升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47F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539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优良中低差</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AE8D0">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0C5A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135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B8A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9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7ACE6">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部分建设任务结转下年实施</w:t>
            </w:r>
          </w:p>
        </w:tc>
      </w:tr>
      <w:tr w14:paraId="09F9E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4EC41">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681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02E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8E6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12A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33B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78E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4098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7C3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442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D7082">
            <w:pPr>
              <w:jc w:val="center"/>
              <w:rPr>
                <w:rFonts w:hint="eastAsia" w:ascii="微软雅黑" w:hAnsi="微软雅黑" w:eastAsia="微软雅黑" w:cs="微软雅黑"/>
                <w:i/>
                <w:iCs/>
                <w:color w:val="000000"/>
                <w:sz w:val="16"/>
                <w:szCs w:val="16"/>
                <w:u w:val="none"/>
              </w:rPr>
            </w:pPr>
          </w:p>
        </w:tc>
      </w:tr>
      <w:tr w14:paraId="6FEF5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D8F30">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F4F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82D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634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医疗设备采购成本节约率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216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055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3A9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72CC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2CB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4C4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0E7CB">
            <w:pPr>
              <w:jc w:val="center"/>
              <w:rPr>
                <w:rFonts w:hint="eastAsia" w:ascii="微软雅黑" w:hAnsi="微软雅黑" w:eastAsia="微软雅黑" w:cs="微软雅黑"/>
                <w:i/>
                <w:iCs/>
                <w:color w:val="000000"/>
                <w:sz w:val="16"/>
                <w:szCs w:val="16"/>
                <w:u w:val="none"/>
              </w:rPr>
            </w:pPr>
          </w:p>
        </w:tc>
      </w:tr>
      <w:tr w14:paraId="46190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DFC4E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CA7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21866">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93</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A6045">
            <w:pPr>
              <w:rPr>
                <w:rFonts w:hint="eastAsia" w:ascii="宋体" w:hAnsi="宋体" w:eastAsia="宋体" w:cs="宋体"/>
                <w:i w:val="0"/>
                <w:iCs w:val="0"/>
                <w:color w:val="000000"/>
                <w:sz w:val="18"/>
                <w:szCs w:val="18"/>
                <w:u w:val="none"/>
              </w:rPr>
            </w:pPr>
          </w:p>
        </w:tc>
      </w:tr>
      <w:tr w14:paraId="68396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66E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3C098D6">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93分。项目推进瓦切县域医疗次中心、色地镇卫生院改造重建，已实施部分有效改善基层就医硬件条件，规范医疗服务，群众满意度良好。受高原施工条件制约，部分工程未完工，预算执行未达预期，部分建设任务结转下年度继续实施。</w:t>
            </w:r>
          </w:p>
        </w:tc>
      </w:tr>
      <w:tr w14:paraId="25D20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923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C3FC4B6">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项目年中追加预算，前期准备时间不足；高原气候有效施工窗口期短，工程建设进度受限；项目建设周期长，年度资金执行进度不足；项目建设全过程绩效资料归集整理有待细化。</w:t>
            </w:r>
          </w:p>
        </w:tc>
      </w:tr>
      <w:tr w14:paraId="248A1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84B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BCD0FC3">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结合高原气候特点科学制定施工计划，抢抓施工窗口期；强化项目全过程调度，加快在建工程推进；完善项目台账，规范绩效资料收集归档；压实项目建设管理责任，加快结转资金支出，尽早全面发挥项目社会效益。</w:t>
            </w:r>
          </w:p>
        </w:tc>
      </w:tr>
      <w:tr w14:paraId="1032E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A770C2">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项目负责人：刘丹阳</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9B09F82">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55B5C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050C9448">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377D7028">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75E287A6">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0D531DCE">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6E1CBEA8">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32ACB47A">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01BD0441">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63506CE4">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02958969">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706B7181">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7A65440A">
            <w:pPr>
              <w:rPr>
                <w:rFonts w:hint="eastAsia" w:ascii="宋体" w:hAnsi="宋体" w:eastAsia="宋体" w:cs="宋体"/>
                <w:i w:val="0"/>
                <w:iCs w:val="0"/>
                <w:color w:val="000000"/>
                <w:sz w:val="18"/>
                <w:szCs w:val="18"/>
                <w:u w:val="none"/>
              </w:rPr>
            </w:pPr>
          </w:p>
        </w:tc>
      </w:tr>
      <w:tr w14:paraId="75AFA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2B40605">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39717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1ECD0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8BFB23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51323324T000012082664</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红原县县域医疗次中心（瓦切镇中心卫生院）建设项目配套资金</w:t>
            </w:r>
          </w:p>
        </w:tc>
      </w:tr>
      <w:tr w14:paraId="4BCB3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2A8E2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88B21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733FDAF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A97C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4B8D3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29854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C3E89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54BDE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3B4068E">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79B68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F7AE9">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82356">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76BC57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用于红原县县域医疗次中心（瓦切镇中心卫生院）建设项目设施设备采购。</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5D84C04">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落实县域医疗次中心配套资金，按采购程序完成瓦切镇中心卫生院相关设施设备采购工作，资金全部兑付到位，设备投入使用，完成本年度既定采购任务。</w:t>
            </w:r>
          </w:p>
        </w:tc>
      </w:tr>
      <w:tr w14:paraId="6BF65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A1B14">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5E11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AE3464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本项目年初无预算，年中追加财政配套资金 30.95 万元，专项用于瓦切镇中心卫生院医疗次中心设施设备采购。严格执行政府采购相关规定，开展设备采购、验收、资金拨付工作，保障医疗次中心硬件配置到位，助力基层医疗机构业务开展。</w:t>
            </w:r>
          </w:p>
        </w:tc>
      </w:tr>
      <w:tr w14:paraId="4C9B5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D4E7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3BD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9DF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73A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8803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7E4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EBF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689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1AB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014C2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C4381">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85F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EDE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898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30.95</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3C80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30.95</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0DF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C0C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A67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AA67FB">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项目为年中追加财政预算，无预算调整，设备采购验收完成，资金全部执行完毕，执行情况良好。</w:t>
            </w:r>
          </w:p>
        </w:tc>
      </w:tr>
      <w:tr w14:paraId="50ED4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B0FC9">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BFD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200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AF5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30.95</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2EA5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30.95</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F7F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561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9F8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D60C3">
            <w:pPr>
              <w:rPr>
                <w:rFonts w:hint="eastAsia" w:ascii="黑体" w:hAnsi="黑体" w:eastAsia="黑体" w:cs="黑体"/>
                <w:i/>
                <w:iCs/>
                <w:color w:val="000000"/>
                <w:sz w:val="18"/>
                <w:szCs w:val="18"/>
                <w:u w:val="none"/>
              </w:rPr>
            </w:pPr>
          </w:p>
        </w:tc>
      </w:tr>
      <w:tr w14:paraId="47485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00F6B">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435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CC2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6AA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5172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AF4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1D3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DAC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DA84B">
            <w:pPr>
              <w:rPr>
                <w:rFonts w:hint="eastAsia" w:ascii="黑体" w:hAnsi="黑体" w:eastAsia="黑体" w:cs="黑体"/>
                <w:i/>
                <w:iCs/>
                <w:color w:val="000000"/>
                <w:sz w:val="18"/>
                <w:szCs w:val="18"/>
                <w:u w:val="none"/>
              </w:rPr>
            </w:pPr>
          </w:p>
        </w:tc>
      </w:tr>
      <w:tr w14:paraId="16977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4AA5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829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A9C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706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8EF6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BBA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AF4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AEF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428ED">
            <w:pPr>
              <w:rPr>
                <w:rFonts w:hint="eastAsia" w:ascii="黑体" w:hAnsi="黑体" w:eastAsia="黑体" w:cs="黑体"/>
                <w:i/>
                <w:iCs/>
                <w:color w:val="000000"/>
                <w:sz w:val="18"/>
                <w:szCs w:val="18"/>
                <w:u w:val="none"/>
              </w:rPr>
            </w:pPr>
          </w:p>
        </w:tc>
      </w:tr>
      <w:tr w14:paraId="4AAEC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996B1">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BBE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31F2C">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28B9F">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D6AD35">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0E7D4">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050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C9B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C8758">
            <w:pPr>
              <w:rPr>
                <w:rFonts w:hint="eastAsia" w:ascii="黑体" w:hAnsi="黑体" w:eastAsia="黑体" w:cs="黑体"/>
                <w:i/>
                <w:iCs/>
                <w:color w:val="000000"/>
                <w:sz w:val="18"/>
                <w:szCs w:val="18"/>
                <w:u w:val="none"/>
              </w:rPr>
            </w:pPr>
          </w:p>
        </w:tc>
      </w:tr>
      <w:tr w14:paraId="22DA1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9F19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E47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6E6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C2F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0A6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588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AAF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53D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E25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BE9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D68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4B5D3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3B192">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237B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128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68D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D82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611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30E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1565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B55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7A8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8A743">
            <w:pPr>
              <w:jc w:val="center"/>
              <w:rPr>
                <w:rFonts w:hint="eastAsia" w:ascii="微软雅黑" w:hAnsi="微软雅黑" w:eastAsia="微软雅黑" w:cs="微软雅黑"/>
                <w:i/>
                <w:iCs/>
                <w:color w:val="000000"/>
                <w:sz w:val="16"/>
                <w:szCs w:val="16"/>
                <w:u w:val="none"/>
              </w:rPr>
            </w:pPr>
          </w:p>
        </w:tc>
      </w:tr>
      <w:tr w14:paraId="5DA91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BC72A">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52377">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D16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449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24年年底完成</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4C3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0D7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4E3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9B84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BFA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095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BBBC4">
            <w:pPr>
              <w:jc w:val="center"/>
              <w:rPr>
                <w:rFonts w:hint="eastAsia" w:ascii="微软雅黑" w:hAnsi="微软雅黑" w:eastAsia="微软雅黑" w:cs="微软雅黑"/>
                <w:i/>
                <w:iCs/>
                <w:color w:val="000000"/>
                <w:sz w:val="16"/>
                <w:szCs w:val="16"/>
                <w:u w:val="none"/>
              </w:rPr>
            </w:pPr>
          </w:p>
        </w:tc>
      </w:tr>
      <w:tr w14:paraId="7E561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9E729">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6DB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562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530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医疗卫生服务能力逐步提升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7C5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C4A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优良中</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4FAFB">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0227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1B4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181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7D1C3">
            <w:pPr>
              <w:jc w:val="center"/>
              <w:rPr>
                <w:rFonts w:hint="eastAsia" w:ascii="微软雅黑" w:hAnsi="微软雅黑" w:eastAsia="微软雅黑" w:cs="微软雅黑"/>
                <w:i/>
                <w:iCs/>
                <w:color w:val="000000"/>
                <w:sz w:val="16"/>
                <w:szCs w:val="16"/>
                <w:u w:val="none"/>
              </w:rPr>
            </w:pPr>
          </w:p>
        </w:tc>
      </w:tr>
      <w:tr w14:paraId="60255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AF2D0">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DBA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618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53E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使用对象满意度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A40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662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9E8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DA36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B96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5F2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3733A">
            <w:pPr>
              <w:jc w:val="center"/>
              <w:rPr>
                <w:rFonts w:hint="eastAsia" w:ascii="微软雅黑" w:hAnsi="微软雅黑" w:eastAsia="微软雅黑" w:cs="微软雅黑"/>
                <w:i/>
                <w:iCs/>
                <w:color w:val="000000"/>
                <w:sz w:val="16"/>
                <w:szCs w:val="16"/>
                <w:u w:val="none"/>
              </w:rPr>
            </w:pPr>
          </w:p>
        </w:tc>
      </w:tr>
      <w:tr w14:paraId="182F5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64D34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27F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5687D">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90608">
            <w:pPr>
              <w:rPr>
                <w:rFonts w:hint="eastAsia" w:ascii="宋体" w:hAnsi="宋体" w:eastAsia="宋体" w:cs="宋体"/>
                <w:i w:val="0"/>
                <w:iCs w:val="0"/>
                <w:color w:val="000000"/>
                <w:sz w:val="18"/>
                <w:szCs w:val="18"/>
                <w:u w:val="none"/>
              </w:rPr>
            </w:pPr>
          </w:p>
        </w:tc>
      </w:tr>
      <w:tr w14:paraId="46FE7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1F0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5E5B64D">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配套资金全额执行，顺利完成瓦切镇中心卫生院医疗次中心设施设备采购及验收工作，补齐基层医疗机构硬件短板，改善诊疗条件，有效提升基层医疗卫生服务能力，设备使用对象满意度达标，资金使用规范，项目成效较好。</w:t>
            </w:r>
          </w:p>
        </w:tc>
      </w:tr>
      <w:tr w14:paraId="0F695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8AF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CA83CE3">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设备到位后实操业务培训频次不足，部分医务人员对新设备熟练程度有待提高；设备运维管理制度还需细化完善；项目绩效过程资料、设备验收档案归集的精细化程度仍需提升。</w:t>
            </w:r>
          </w:p>
        </w:tc>
      </w:tr>
      <w:tr w14:paraId="41985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475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7EFB2C4">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加大医务人员设备操作培训力度，提升设备实操能力；完善医疗设备日常运维管护制度，延长设备使用周期；进一步规范采购、验收等佐证资料归档；做好设备使用跟踪，充分发挥采购设备最大使用效益。</w:t>
            </w:r>
          </w:p>
        </w:tc>
      </w:tr>
      <w:tr w14:paraId="1F798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18EED8E">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项目负责人：刘丹阳</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23278EF">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461C0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32D859F3">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3B26CFAE">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4698C317">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2B488737">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51770FB4">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5F9B3D02">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1B3B8E53">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608C8C6A">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0A1C07B8">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7E24812A">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43393DBE">
            <w:pPr>
              <w:rPr>
                <w:rFonts w:hint="eastAsia" w:ascii="宋体" w:hAnsi="宋体" w:eastAsia="宋体" w:cs="宋体"/>
                <w:i w:val="0"/>
                <w:iCs w:val="0"/>
                <w:color w:val="000000"/>
                <w:sz w:val="18"/>
                <w:szCs w:val="18"/>
                <w:u w:val="none"/>
              </w:rPr>
            </w:pPr>
          </w:p>
        </w:tc>
      </w:tr>
      <w:tr w14:paraId="7045E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48AE392C">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7B5F1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9A69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7C76A8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51323325T000012845984</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计划生育服务项目</w:t>
            </w:r>
          </w:p>
        </w:tc>
      </w:tr>
      <w:tr w14:paraId="5916C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6A680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8F1BA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5E2EABE1">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D038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57154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7E14B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99456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2B47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50D96BE">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30B98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0EBD4">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DABD5">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86DBB8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计划生育四项制度补助、计划生育事业经费等</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101D68">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落实计划生育四项制度补助发放，保障计划生育相关事业经费支出，完成资格审核、补助兑付、政策宣传等工作，全面完成本年度项目既定各项目标任务。</w:t>
            </w:r>
          </w:p>
        </w:tc>
      </w:tr>
      <w:tr w14:paraId="063AA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A9D02">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2A69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903233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本项目年初无预算，年中追加财政预算 180.86 万元。资金主要用于计划生育四项制度补助发放及计划生育事业相关工作保障。严格执行政策开展对象资格复核，按规定流程及时兑付补助资金，规范经费使用管理，保障计生业务有序开展。</w:t>
            </w:r>
          </w:p>
        </w:tc>
      </w:tr>
      <w:tr w14:paraId="58C04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D127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C1F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B4D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1A0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01F0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C77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712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397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95B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609DF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7BF11">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C4D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7F2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BEF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180.86</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0B92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180.86</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161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E82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09C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FDCD2E">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本项目为年中追加财政预算，无调减调增，项目按计划实施，资金全部执行到位，预算执行情况良好。</w:t>
            </w:r>
          </w:p>
        </w:tc>
      </w:tr>
      <w:tr w14:paraId="6B2F2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14E1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DB9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518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F9B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180.86</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6415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180.86</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D1B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F45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AFF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6936C">
            <w:pPr>
              <w:rPr>
                <w:rFonts w:hint="eastAsia" w:ascii="黑体" w:hAnsi="黑体" w:eastAsia="黑体" w:cs="黑体"/>
                <w:i/>
                <w:iCs/>
                <w:color w:val="000000"/>
                <w:sz w:val="18"/>
                <w:szCs w:val="18"/>
                <w:u w:val="none"/>
              </w:rPr>
            </w:pPr>
          </w:p>
        </w:tc>
      </w:tr>
      <w:tr w14:paraId="572C9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7E89C">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616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73F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ECB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4610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F52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23A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BB1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441F8">
            <w:pPr>
              <w:rPr>
                <w:rFonts w:hint="eastAsia" w:ascii="黑体" w:hAnsi="黑体" w:eastAsia="黑体" w:cs="黑体"/>
                <w:i/>
                <w:iCs/>
                <w:color w:val="000000"/>
                <w:sz w:val="18"/>
                <w:szCs w:val="18"/>
                <w:u w:val="none"/>
              </w:rPr>
            </w:pPr>
          </w:p>
        </w:tc>
      </w:tr>
      <w:tr w14:paraId="09EE1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46A1C">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7D7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0B6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46A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CC47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E5C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C5D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0B0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B474D">
            <w:pPr>
              <w:rPr>
                <w:rFonts w:hint="eastAsia" w:ascii="黑体" w:hAnsi="黑体" w:eastAsia="黑体" w:cs="黑体"/>
                <w:i/>
                <w:iCs/>
                <w:color w:val="000000"/>
                <w:sz w:val="18"/>
                <w:szCs w:val="18"/>
                <w:u w:val="none"/>
              </w:rPr>
            </w:pPr>
          </w:p>
        </w:tc>
      </w:tr>
      <w:tr w14:paraId="31872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C7CB4">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176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1F4A0">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D2BE8">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EC2BA9">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0B20B">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2AD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B73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9D36F">
            <w:pPr>
              <w:rPr>
                <w:rFonts w:hint="eastAsia" w:ascii="黑体" w:hAnsi="黑体" w:eastAsia="黑体" w:cs="黑体"/>
                <w:i/>
                <w:iCs/>
                <w:color w:val="000000"/>
                <w:sz w:val="18"/>
                <w:szCs w:val="18"/>
                <w:u w:val="none"/>
              </w:rPr>
            </w:pPr>
          </w:p>
        </w:tc>
      </w:tr>
      <w:tr w14:paraId="57982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7B3A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67D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F24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932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AE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D34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C4E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7A8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53D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94A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933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7A007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BD01E">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E3D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FC0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D71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工作完成率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ECC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F70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16C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FE05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7BC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C1A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6E929">
            <w:pPr>
              <w:jc w:val="center"/>
              <w:rPr>
                <w:rFonts w:hint="eastAsia" w:ascii="微软雅黑" w:hAnsi="微软雅黑" w:eastAsia="微软雅黑" w:cs="微软雅黑"/>
                <w:i/>
                <w:iCs/>
                <w:color w:val="000000"/>
                <w:sz w:val="16"/>
                <w:szCs w:val="16"/>
                <w:u w:val="none"/>
              </w:rPr>
            </w:pPr>
          </w:p>
        </w:tc>
      </w:tr>
      <w:tr w14:paraId="5EDB0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027C8">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DC7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13E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870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计划生育事业可持续发展</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180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A0F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优中良</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9F625">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95F2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优</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4F2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1B2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D8065">
            <w:pPr>
              <w:jc w:val="center"/>
              <w:rPr>
                <w:rFonts w:hint="eastAsia" w:ascii="微软雅黑" w:hAnsi="微软雅黑" w:eastAsia="微软雅黑" w:cs="微软雅黑"/>
                <w:i/>
                <w:iCs/>
                <w:color w:val="000000"/>
                <w:sz w:val="16"/>
                <w:szCs w:val="16"/>
                <w:u w:val="none"/>
              </w:rPr>
            </w:pPr>
          </w:p>
        </w:tc>
      </w:tr>
      <w:tr w14:paraId="7CD13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107F9">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1ED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9A8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563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211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1E7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41E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DBE9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9B5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092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C4539">
            <w:pPr>
              <w:jc w:val="center"/>
              <w:rPr>
                <w:rFonts w:hint="eastAsia" w:ascii="微软雅黑" w:hAnsi="微软雅黑" w:eastAsia="微软雅黑" w:cs="微软雅黑"/>
                <w:i/>
                <w:iCs/>
                <w:color w:val="000000"/>
                <w:sz w:val="16"/>
                <w:szCs w:val="16"/>
                <w:u w:val="none"/>
              </w:rPr>
            </w:pPr>
          </w:p>
        </w:tc>
      </w:tr>
      <w:tr w14:paraId="32C44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32975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47E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6DC2F">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94EC0">
            <w:pPr>
              <w:rPr>
                <w:rFonts w:hint="eastAsia" w:ascii="宋体" w:hAnsi="宋体" w:eastAsia="宋体" w:cs="宋体"/>
                <w:i w:val="0"/>
                <w:iCs w:val="0"/>
                <w:color w:val="000000"/>
                <w:sz w:val="18"/>
                <w:szCs w:val="18"/>
                <w:u w:val="none"/>
              </w:rPr>
            </w:pPr>
          </w:p>
        </w:tc>
      </w:tr>
      <w:tr w14:paraId="0063D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0A1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357D088">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分。项目资金全部执行完毕，严格落实计划生育四项制度补助政策，及时足额兑付各类补助，保障计生事业正常运转，维护计生家庭合法权益，服务对象满意度达标，政策落地见效，较好完成年度全部工作任务。</w:t>
            </w:r>
          </w:p>
        </w:tc>
      </w:tr>
      <w:tr w14:paraId="768F5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119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882084F">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项目为年中追加预算，前期谋划时间有限；政策宣传深度不足，部分群众对计生奖励扶助政策知晓不够；享受补助对象动态核查精细化程度有待加强；绩效佐证资料整理还可进一步完善。</w:t>
            </w:r>
          </w:p>
        </w:tc>
      </w:tr>
      <w:tr w14:paraId="266C6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45D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D18464A">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强化项目前期研判，提升预算编制前瞻性；多渠道加大计生政策宣传力度；常态化开展享受对象动态复核，确保补助精准发放；规范绩效全过程资料归集；持续提升计划生育服务质量，充分发挥项目资金效益。</w:t>
            </w:r>
          </w:p>
        </w:tc>
      </w:tr>
      <w:tr w14:paraId="18ABD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25549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项目负责人：仁青哈莫</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0EC290C">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7D99A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3E37DAF0">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1FA32F7A">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13971142">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42EF8C17">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07C10D55">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0BA87344">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1D32564B">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5655B85F">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7D022075">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1606EC09">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41A62D92">
            <w:pPr>
              <w:rPr>
                <w:rFonts w:hint="eastAsia" w:ascii="宋体" w:hAnsi="宋体" w:eastAsia="宋体" w:cs="宋体"/>
                <w:i w:val="0"/>
                <w:iCs w:val="0"/>
                <w:color w:val="000000"/>
                <w:sz w:val="18"/>
                <w:szCs w:val="18"/>
                <w:u w:val="none"/>
              </w:rPr>
            </w:pPr>
          </w:p>
        </w:tc>
      </w:tr>
      <w:tr w14:paraId="17E38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5A6CF30">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3DBF9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6CED9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8A48EA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51323325T000012847497</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基本公共卫生服务项目1</w:t>
            </w:r>
          </w:p>
        </w:tc>
      </w:tr>
      <w:tr w14:paraId="73F38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114B4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0B055E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62F253FE">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AEB5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53655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A36B5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B4F7E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3455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32419D7">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30048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5E24C">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9D0B2">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0CB177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开展基本公共卫生服务工作</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E0ED44F">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全面落实基本公共卫生各项服务任务，开展居民健康管理、健康宣教、重点人群服务等工作，各项业务有序推进，圆满完成本年度基本公共卫生服务既定目标。</w:t>
            </w:r>
          </w:p>
        </w:tc>
      </w:tr>
      <w:tr w14:paraId="1B584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B2E34">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3C87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4883E1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本项目年初无预算，年中追加财政预算 362.39 万元。资金用于辖区居民健康档案管理、健康教育、重点人群健康服务等基本公共卫生业务保障。严格按照项目管理要求组织实施，规范资金审核拨付，保障全县基本公共卫生服务落地开展。</w:t>
            </w:r>
          </w:p>
        </w:tc>
      </w:tr>
      <w:tr w14:paraId="56FCF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0E89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2D5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927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1C8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184D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150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05E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148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7A1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159F4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8ACB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889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512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118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362.39</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CAFC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362.39</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955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9C0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547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26B8C2">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本项目为年中追加财政预算，无预算调整，项目按计划推进，资金全部执行到位，预算执行情况良好。</w:t>
            </w:r>
          </w:p>
        </w:tc>
      </w:tr>
      <w:tr w14:paraId="69D8C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62043">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7BA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9C5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445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362.39</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B589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362.39</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FA6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012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601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4888F">
            <w:pPr>
              <w:rPr>
                <w:rFonts w:hint="eastAsia" w:ascii="黑体" w:hAnsi="黑体" w:eastAsia="黑体" w:cs="黑体"/>
                <w:i/>
                <w:iCs/>
                <w:color w:val="000000"/>
                <w:sz w:val="18"/>
                <w:szCs w:val="18"/>
                <w:u w:val="none"/>
              </w:rPr>
            </w:pPr>
          </w:p>
        </w:tc>
      </w:tr>
      <w:tr w14:paraId="6B562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8BBCB">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948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BEE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87E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6A7A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560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615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F9A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49F0C">
            <w:pPr>
              <w:rPr>
                <w:rFonts w:hint="eastAsia" w:ascii="黑体" w:hAnsi="黑体" w:eastAsia="黑体" w:cs="黑体"/>
                <w:i/>
                <w:iCs/>
                <w:color w:val="000000"/>
                <w:sz w:val="18"/>
                <w:szCs w:val="18"/>
                <w:u w:val="none"/>
              </w:rPr>
            </w:pPr>
          </w:p>
        </w:tc>
      </w:tr>
      <w:tr w14:paraId="3AC94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D08C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617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EA7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033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C872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652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59B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EE9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A809B">
            <w:pPr>
              <w:rPr>
                <w:rFonts w:hint="eastAsia" w:ascii="黑体" w:hAnsi="黑体" w:eastAsia="黑体" w:cs="黑体"/>
                <w:i/>
                <w:iCs/>
                <w:color w:val="000000"/>
                <w:sz w:val="18"/>
                <w:szCs w:val="18"/>
                <w:u w:val="none"/>
              </w:rPr>
            </w:pPr>
          </w:p>
        </w:tc>
      </w:tr>
      <w:tr w14:paraId="784B0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8F53C">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2AF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B6517">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2742C">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3E9EEC">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A4817">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5F4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14F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1B3F3">
            <w:pPr>
              <w:rPr>
                <w:rFonts w:hint="eastAsia" w:ascii="黑体" w:hAnsi="黑体" w:eastAsia="黑体" w:cs="黑体"/>
                <w:i/>
                <w:iCs/>
                <w:color w:val="000000"/>
                <w:sz w:val="18"/>
                <w:szCs w:val="18"/>
                <w:u w:val="none"/>
              </w:rPr>
            </w:pPr>
          </w:p>
        </w:tc>
      </w:tr>
      <w:tr w14:paraId="720C6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91AA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945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A6D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E65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D66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80E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661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DFE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A15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5D4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C05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3BD7B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10718">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5BB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C44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DFE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工作完成率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E29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235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C04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DC7E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9EA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6BF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D530B">
            <w:pPr>
              <w:jc w:val="center"/>
              <w:rPr>
                <w:rFonts w:hint="eastAsia" w:ascii="微软雅黑" w:hAnsi="微软雅黑" w:eastAsia="微软雅黑" w:cs="微软雅黑"/>
                <w:i/>
                <w:iCs/>
                <w:color w:val="000000"/>
                <w:sz w:val="16"/>
                <w:szCs w:val="16"/>
                <w:u w:val="none"/>
              </w:rPr>
            </w:pPr>
          </w:p>
        </w:tc>
      </w:tr>
      <w:tr w14:paraId="3345D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3834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00A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C25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EBC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基本公共卫生可持续发展</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D51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301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优中良</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4CFCC">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2880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优</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486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CA5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AA069">
            <w:pPr>
              <w:jc w:val="center"/>
              <w:rPr>
                <w:rFonts w:hint="eastAsia" w:ascii="微软雅黑" w:hAnsi="微软雅黑" w:eastAsia="微软雅黑" w:cs="微软雅黑"/>
                <w:i/>
                <w:iCs/>
                <w:color w:val="000000"/>
                <w:sz w:val="16"/>
                <w:szCs w:val="16"/>
                <w:u w:val="none"/>
              </w:rPr>
            </w:pPr>
          </w:p>
        </w:tc>
      </w:tr>
      <w:tr w14:paraId="6612F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16B64">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C32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A39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022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D0E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51E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AB6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1BEE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A1B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308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3DDA8">
            <w:pPr>
              <w:jc w:val="center"/>
              <w:rPr>
                <w:rFonts w:hint="eastAsia" w:ascii="微软雅黑" w:hAnsi="微软雅黑" w:eastAsia="微软雅黑" w:cs="微软雅黑"/>
                <w:i/>
                <w:iCs/>
                <w:color w:val="000000"/>
                <w:sz w:val="16"/>
                <w:szCs w:val="16"/>
                <w:u w:val="none"/>
              </w:rPr>
            </w:pPr>
          </w:p>
        </w:tc>
      </w:tr>
      <w:tr w14:paraId="48FC5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32327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4F9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3AE29">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29C73">
            <w:pPr>
              <w:rPr>
                <w:rFonts w:hint="eastAsia" w:ascii="宋体" w:hAnsi="宋体" w:eastAsia="宋体" w:cs="宋体"/>
                <w:i w:val="0"/>
                <w:iCs w:val="0"/>
                <w:color w:val="000000"/>
                <w:sz w:val="18"/>
                <w:szCs w:val="18"/>
                <w:u w:val="none"/>
              </w:rPr>
            </w:pPr>
          </w:p>
        </w:tc>
      </w:tr>
      <w:tr w14:paraId="0CB3B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C02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EDBC63C">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分。项目资金全额执行到位，扎实开展各项基本公共卫生服务，做好重点人群健康管理与健康知识普及，筑牢基层公共卫生防线，群众服务满意度达标，有效保障辖区群众健康权益，较好完成年度工作任务。</w:t>
            </w:r>
          </w:p>
        </w:tc>
      </w:tr>
      <w:tr w14:paraId="477CB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830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2B1F318">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项目为年中追加预算，项目启动偏晚；高原牧区群众居住分散，入户健康服务开展难度较大；健康宣传形式较为单一；部分业务绩效资料收集归档精细化水平有待提升。</w:t>
            </w:r>
          </w:p>
        </w:tc>
      </w:tr>
      <w:tr w14:paraId="6807E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5AF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FDDF2A9">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提前摸排业务需求，提高预算编制前瞻性；结合牧区实际优化服务方式，提升重点人群服务覆盖率；丰富健康宣教载体，扩大宣传覆盖面；强化全过程绩效管理，完善绩效档案归集，持续提升基本公共卫生服务质效。</w:t>
            </w:r>
          </w:p>
        </w:tc>
      </w:tr>
      <w:tr w14:paraId="663B0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938C1CA">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项目负责人：邱帮盛</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E74BFA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6BE9D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087DFD38">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77B73B8C">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0353FC06">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697CA1AC">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237FD68B">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607F6690">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5F548E83">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15A9E44E">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31170466">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5595A3FF">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04137BB9">
            <w:pPr>
              <w:rPr>
                <w:rFonts w:hint="eastAsia" w:ascii="宋体" w:hAnsi="宋体" w:eastAsia="宋体" w:cs="宋体"/>
                <w:i w:val="0"/>
                <w:iCs w:val="0"/>
                <w:color w:val="000000"/>
                <w:sz w:val="18"/>
                <w:szCs w:val="18"/>
                <w:u w:val="none"/>
              </w:rPr>
            </w:pPr>
          </w:p>
        </w:tc>
      </w:tr>
      <w:tr w14:paraId="48FFD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46B53FD">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43841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15B09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8B04B5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51323325T000013213709</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卫生事业发展大会激励</w:t>
            </w:r>
          </w:p>
        </w:tc>
      </w:tr>
      <w:tr w14:paraId="148E4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5761C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638961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598CD239">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4123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68A6A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0B9A1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E32EB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134C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42EE7CF">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45588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BCC86">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238EA">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48C9F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落实卫生事业发展大会激励补助，对医疗卫生工作作出突出贡献人员予以奖励。</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6AA96D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严格按照评选结果，完成 13 名医疗卫生突出贡献工作人员激励补助审核及发放工作，资金及时足额兑付，顺利完成本年度激励奖励工作任务。</w:t>
            </w:r>
          </w:p>
        </w:tc>
      </w:tr>
      <w:tr w14:paraId="2771F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4D396">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F044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53B0B1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本项目年初无预算，年中追加财政预算 34.24 万元，专项用于卫生事业发展大会激励补助。依据评选结果确定受激励人员，开展资格复核，按财务流程兑现奖励补助，激励医务工作者干事创业，推动全县卫生健康事业高质量发展。</w:t>
            </w:r>
          </w:p>
        </w:tc>
      </w:tr>
      <w:tr w14:paraId="0E6BE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DA2E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260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E03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8D7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5BF0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3D5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EA4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BB4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330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316AC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5DCD3">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134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B3E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435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34.24</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D6D8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34.24</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76D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504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49C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C58C3F">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本项目为年中追加财政预算，无预算调整，激励补助全部发放到位，资金执行完毕，执行情况良好。</w:t>
            </w:r>
          </w:p>
        </w:tc>
      </w:tr>
      <w:tr w14:paraId="61B96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B8927">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091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812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186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34.24</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8516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34.24</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A78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BE0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7E3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AE731">
            <w:pPr>
              <w:rPr>
                <w:rFonts w:hint="eastAsia" w:ascii="黑体" w:hAnsi="黑体" w:eastAsia="黑体" w:cs="黑体"/>
                <w:i/>
                <w:iCs/>
                <w:color w:val="000000"/>
                <w:sz w:val="18"/>
                <w:szCs w:val="18"/>
                <w:u w:val="none"/>
              </w:rPr>
            </w:pPr>
          </w:p>
        </w:tc>
      </w:tr>
      <w:tr w14:paraId="09C51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810CC">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631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749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B15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CDC2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37B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7E4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FCF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46B9C">
            <w:pPr>
              <w:rPr>
                <w:rFonts w:hint="eastAsia" w:ascii="黑体" w:hAnsi="黑体" w:eastAsia="黑体" w:cs="黑体"/>
                <w:i/>
                <w:iCs/>
                <w:color w:val="000000"/>
                <w:sz w:val="18"/>
                <w:szCs w:val="18"/>
                <w:u w:val="none"/>
              </w:rPr>
            </w:pPr>
          </w:p>
        </w:tc>
      </w:tr>
      <w:tr w14:paraId="299DC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B3909">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5C5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1F0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CAC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9925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336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700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6B6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93D2E">
            <w:pPr>
              <w:rPr>
                <w:rFonts w:hint="eastAsia" w:ascii="黑体" w:hAnsi="黑体" w:eastAsia="黑体" w:cs="黑体"/>
                <w:i/>
                <w:iCs/>
                <w:color w:val="000000"/>
                <w:sz w:val="18"/>
                <w:szCs w:val="18"/>
                <w:u w:val="none"/>
              </w:rPr>
            </w:pPr>
          </w:p>
        </w:tc>
      </w:tr>
      <w:tr w14:paraId="1F5F2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4A6F8">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E23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7788D">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D1D6D">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BC4804">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3CFE1">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278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A71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10137">
            <w:pPr>
              <w:rPr>
                <w:rFonts w:hint="eastAsia" w:ascii="黑体" w:hAnsi="黑体" w:eastAsia="黑体" w:cs="黑体"/>
                <w:i/>
                <w:iCs/>
                <w:color w:val="000000"/>
                <w:sz w:val="18"/>
                <w:szCs w:val="18"/>
                <w:u w:val="none"/>
              </w:rPr>
            </w:pPr>
          </w:p>
        </w:tc>
      </w:tr>
      <w:tr w14:paraId="1D964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A26D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740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D88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7D3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5DF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4B2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AF7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1E0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A70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16B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8BC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5F607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29CCF">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AE88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EF0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24D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激励医疗卫生工作突出贡献的工作人员人数</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35E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0E0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18B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27C3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13</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BED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4A3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AA5C6">
            <w:pPr>
              <w:jc w:val="center"/>
              <w:rPr>
                <w:rFonts w:hint="eastAsia" w:ascii="微软雅黑" w:hAnsi="微软雅黑" w:eastAsia="微软雅黑" w:cs="微软雅黑"/>
                <w:i/>
                <w:iCs/>
                <w:color w:val="000000"/>
                <w:sz w:val="16"/>
                <w:szCs w:val="16"/>
                <w:u w:val="none"/>
              </w:rPr>
            </w:pPr>
          </w:p>
        </w:tc>
      </w:tr>
      <w:tr w14:paraId="23225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F55F9">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F92E1">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5DC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D5E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激励医疗卫生工作突出贡献的工作人员补助发放准确性</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C27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A96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466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B459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03A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A6D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A6ECF">
            <w:pPr>
              <w:jc w:val="center"/>
              <w:rPr>
                <w:rFonts w:hint="eastAsia" w:ascii="微软雅黑" w:hAnsi="微软雅黑" w:eastAsia="微软雅黑" w:cs="微软雅黑"/>
                <w:i/>
                <w:iCs/>
                <w:color w:val="000000"/>
                <w:sz w:val="16"/>
                <w:szCs w:val="16"/>
                <w:u w:val="none"/>
              </w:rPr>
            </w:pPr>
          </w:p>
        </w:tc>
      </w:tr>
      <w:tr w14:paraId="3A1FC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82153">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277D5">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74E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3F4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激励医疗卫生工作突出贡献的工作人员补助发放及时性</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762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2FC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ECC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705E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ABD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86B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7F67E">
            <w:pPr>
              <w:jc w:val="center"/>
              <w:rPr>
                <w:rFonts w:hint="eastAsia" w:ascii="微软雅黑" w:hAnsi="微软雅黑" w:eastAsia="微软雅黑" w:cs="微软雅黑"/>
                <w:i/>
                <w:iCs/>
                <w:color w:val="000000"/>
                <w:sz w:val="16"/>
                <w:szCs w:val="16"/>
                <w:u w:val="none"/>
              </w:rPr>
            </w:pPr>
          </w:p>
        </w:tc>
      </w:tr>
      <w:tr w14:paraId="3A2BC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8C84B">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CC5D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3B18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E5E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促进卫生健康事业发展</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F67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49D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优良差</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6C391">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2F16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0BE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A8A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19EE1">
            <w:pPr>
              <w:jc w:val="center"/>
              <w:rPr>
                <w:rFonts w:hint="eastAsia" w:ascii="微软雅黑" w:hAnsi="微软雅黑" w:eastAsia="微软雅黑" w:cs="微软雅黑"/>
                <w:i/>
                <w:iCs/>
                <w:color w:val="000000"/>
                <w:sz w:val="16"/>
                <w:szCs w:val="16"/>
                <w:u w:val="none"/>
              </w:rPr>
            </w:pPr>
          </w:p>
        </w:tc>
      </w:tr>
      <w:tr w14:paraId="75B32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92C01">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C8855">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67773">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E82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提高医务人员医疗水平</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EBD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325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优良差</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43BD4">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64C5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B2A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CAE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2D5C1">
            <w:pPr>
              <w:jc w:val="center"/>
              <w:rPr>
                <w:rFonts w:hint="eastAsia" w:ascii="微软雅黑" w:hAnsi="微软雅黑" w:eastAsia="微软雅黑" w:cs="微软雅黑"/>
                <w:i/>
                <w:iCs/>
                <w:color w:val="000000"/>
                <w:sz w:val="16"/>
                <w:szCs w:val="16"/>
                <w:u w:val="none"/>
              </w:rPr>
            </w:pPr>
          </w:p>
        </w:tc>
      </w:tr>
      <w:tr w14:paraId="042CB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4248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9EF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370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95D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激励医疗卫生工作突出贡献的工作人员</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3E9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6F3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95D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FB38C">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AEA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E10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887AE">
            <w:pPr>
              <w:jc w:val="center"/>
              <w:rPr>
                <w:rFonts w:hint="eastAsia" w:ascii="微软雅黑" w:hAnsi="微软雅黑" w:eastAsia="微软雅黑" w:cs="微软雅黑"/>
                <w:i/>
                <w:iCs/>
                <w:color w:val="000000"/>
                <w:sz w:val="16"/>
                <w:szCs w:val="16"/>
                <w:u w:val="none"/>
              </w:rPr>
            </w:pPr>
          </w:p>
        </w:tc>
      </w:tr>
      <w:tr w14:paraId="19C6A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861CB">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C14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A1B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81F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激励医疗卫生工作突出贡献的工作人员补助人均标准</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2D3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C52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人民满意医务工作者每人</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2DE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645F7">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按标准执行</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BD1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10F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827D2">
            <w:pPr>
              <w:jc w:val="center"/>
              <w:rPr>
                <w:rFonts w:hint="eastAsia" w:ascii="微软雅黑" w:hAnsi="微软雅黑" w:eastAsia="微软雅黑" w:cs="微软雅黑"/>
                <w:i/>
                <w:iCs/>
                <w:color w:val="000000"/>
                <w:sz w:val="16"/>
                <w:szCs w:val="16"/>
                <w:u w:val="none"/>
              </w:rPr>
            </w:pPr>
          </w:p>
        </w:tc>
      </w:tr>
      <w:tr w14:paraId="65A54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2DB7E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37C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2EE86">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D58AB">
            <w:pPr>
              <w:rPr>
                <w:rFonts w:hint="eastAsia" w:ascii="宋体" w:hAnsi="宋体" w:eastAsia="宋体" w:cs="宋体"/>
                <w:i w:val="0"/>
                <w:iCs w:val="0"/>
                <w:color w:val="000000"/>
                <w:sz w:val="18"/>
                <w:szCs w:val="18"/>
                <w:u w:val="none"/>
              </w:rPr>
            </w:pPr>
          </w:p>
        </w:tc>
      </w:tr>
      <w:tr w14:paraId="4298A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D73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B6CA4F2">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分。项目资金全部执行完毕，完成 13 名医疗卫生突出贡献工作人员激励补助发放，发放及时、准确。有效发挥正向激励作用，调动医务工作者工作积极性，激发队伍干事活力，助力全县卫生健康事业持续向好发展。</w:t>
            </w:r>
          </w:p>
        </w:tc>
      </w:tr>
      <w:tr w14:paraId="2F493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0FA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3E3A625">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项目为年中追加预算，工作启动时间较晚；激励评选的宣传覆盖面有限；激励后续跟踪评估不足；绩效相关佐证资料收集整理还可以进一步细化完善。</w:t>
            </w:r>
          </w:p>
        </w:tc>
      </w:tr>
      <w:tr w14:paraId="36014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73B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A423F7D">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加强前期工作谋划，提升预算编制前瞻性；拓宽先进典型宣传渠道，发挥示范引领作用；完善激励后续评估机制；规范项目全过程绩效档案归集；优化评选机制，充分发挥激励资金导向作用，激发卫健队伍工作动力。</w:t>
            </w:r>
          </w:p>
        </w:tc>
      </w:tr>
      <w:tr w14:paraId="68870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26A416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项目负责人：张春冰</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FCD0B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5338C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04D58C7A">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547E5D29">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3D095A5A">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56C27A36">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65F15656">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71E92987">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757DAB7D">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6E3CEF7B">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38D065C0">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267B1027">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00B4FAC8">
            <w:pPr>
              <w:rPr>
                <w:rFonts w:hint="eastAsia" w:ascii="宋体" w:hAnsi="宋体" w:eastAsia="宋体" w:cs="宋体"/>
                <w:i w:val="0"/>
                <w:iCs w:val="0"/>
                <w:color w:val="000000"/>
                <w:sz w:val="18"/>
                <w:szCs w:val="18"/>
                <w:u w:val="none"/>
              </w:rPr>
            </w:pPr>
          </w:p>
        </w:tc>
      </w:tr>
      <w:tr w14:paraId="5A03D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CF65906">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5E82B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FD170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1A5CA1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51323325T000013670368</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红原县儿童保健提升项目</w:t>
            </w:r>
          </w:p>
        </w:tc>
      </w:tr>
      <w:tr w14:paraId="349B4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87040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CFD05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65D2BC16">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C1B7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21541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73191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D1B56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61EB7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EC9CCF9">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04803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90BE6">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BD34E">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FB201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采购一批儿童保健设施设备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6153DD">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按计划开展儿童保健设施设备采购工作，完成大部分设备采购、验收及付款。部分设备供货周期较长，本年度未全部完成支付，剩余工作结转下年继续实施。</w:t>
            </w:r>
          </w:p>
        </w:tc>
      </w:tr>
      <w:tr w14:paraId="78D42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8FE3B">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236D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A85DDA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本项目年初无预算，年中追加财政预算 123.00 万元，专项用于儿童保健设施设备采购。严格执行政府采购流程，开展设备招标采购、到货验收工作，补齐我县儿童保健硬件短板，提升儿童保健服务硬件条件。</w:t>
            </w:r>
          </w:p>
        </w:tc>
      </w:tr>
      <w:tr w14:paraId="4FF46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36F3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1E8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D5B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201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9C8D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17D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E65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BB0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A49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36923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BDCF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DEE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2FB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827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123.00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795D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109.80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D7A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89.27</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BFD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424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9417A1">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本项目为年中追加预算，部分设备生产供货周期较长，年底前未能完成全部到货验收，剩余资金结转下年执行，造成当年预算未全额执行。</w:t>
            </w:r>
          </w:p>
        </w:tc>
      </w:tr>
      <w:tr w14:paraId="5DA48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FD9EC">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F26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439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B93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123.00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7B5E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109.80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F32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89.27</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187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34D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2B89D">
            <w:pPr>
              <w:rPr>
                <w:rFonts w:hint="eastAsia" w:ascii="黑体" w:hAnsi="黑体" w:eastAsia="黑体" w:cs="黑体"/>
                <w:i/>
                <w:iCs/>
                <w:color w:val="000000"/>
                <w:sz w:val="18"/>
                <w:szCs w:val="18"/>
                <w:u w:val="none"/>
              </w:rPr>
            </w:pPr>
          </w:p>
        </w:tc>
      </w:tr>
      <w:tr w14:paraId="107BF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F35F0">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9EB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B73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B42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6A49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686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81B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41C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B6F37">
            <w:pPr>
              <w:rPr>
                <w:rFonts w:hint="eastAsia" w:ascii="黑体" w:hAnsi="黑体" w:eastAsia="黑体" w:cs="黑体"/>
                <w:i/>
                <w:iCs/>
                <w:color w:val="000000"/>
                <w:sz w:val="18"/>
                <w:szCs w:val="18"/>
                <w:u w:val="none"/>
              </w:rPr>
            </w:pPr>
          </w:p>
        </w:tc>
      </w:tr>
      <w:tr w14:paraId="21138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D6E2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23B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F0A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8CC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7FC2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F97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D8F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10A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AAFE5">
            <w:pPr>
              <w:rPr>
                <w:rFonts w:hint="eastAsia" w:ascii="黑体" w:hAnsi="黑体" w:eastAsia="黑体" w:cs="黑体"/>
                <w:i/>
                <w:iCs/>
                <w:color w:val="000000"/>
                <w:sz w:val="18"/>
                <w:szCs w:val="18"/>
                <w:u w:val="none"/>
              </w:rPr>
            </w:pPr>
          </w:p>
        </w:tc>
      </w:tr>
      <w:tr w14:paraId="5C510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F1F2C">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BED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8226C">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99EBF">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D72C5C">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7E8BD">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7FC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CAC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9142E">
            <w:pPr>
              <w:rPr>
                <w:rFonts w:hint="eastAsia" w:ascii="黑体" w:hAnsi="黑体" w:eastAsia="黑体" w:cs="黑体"/>
                <w:i/>
                <w:iCs/>
                <w:color w:val="000000"/>
                <w:sz w:val="18"/>
                <w:szCs w:val="18"/>
                <w:u w:val="none"/>
              </w:rPr>
            </w:pPr>
          </w:p>
        </w:tc>
      </w:tr>
      <w:tr w14:paraId="501C0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7F78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47E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CC7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009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C3C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F7F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DAF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7BF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A07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1C4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B43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5A73B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D72EA">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8CFF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B44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A9F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资金支付率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645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932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9D3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84734">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89.27</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05E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909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45C0F">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部分设备尚未完成供货验收，未支付尾款</w:t>
            </w:r>
          </w:p>
        </w:tc>
      </w:tr>
      <w:tr w14:paraId="334CC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3D9BA">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293F0">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3EE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A4A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2025年年底完成</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242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4E9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935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7CAD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89.27</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32E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5AF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E718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部分设备供货周期长，本年度未全部完成</w:t>
            </w:r>
          </w:p>
        </w:tc>
      </w:tr>
      <w:tr w14:paraId="00760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A0D7D">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D5F4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2D4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20D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748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FD1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438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CDAA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89</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3BB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01C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4E11A">
            <w:pPr>
              <w:jc w:val="center"/>
              <w:rPr>
                <w:rFonts w:hint="eastAsia" w:ascii="微软雅黑" w:hAnsi="微软雅黑" w:eastAsia="微软雅黑" w:cs="微软雅黑"/>
                <w:i/>
                <w:iCs/>
                <w:color w:val="000000"/>
                <w:sz w:val="16"/>
                <w:szCs w:val="16"/>
                <w:u w:val="none"/>
              </w:rPr>
            </w:pPr>
          </w:p>
        </w:tc>
      </w:tr>
      <w:tr w14:paraId="3DE79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34770">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DB652">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67A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7BD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卫生事业可持续发展</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D06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5E5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569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F5F8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88</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1B3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7BF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DA5C5">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硬件条件得到改善，待全部设备到位后效能进一步释放</w:t>
            </w:r>
          </w:p>
        </w:tc>
      </w:tr>
      <w:tr w14:paraId="0F706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EE502">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9672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658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F23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39F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8DF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EED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7DD1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12F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BE6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ECC53">
            <w:pPr>
              <w:jc w:val="center"/>
              <w:rPr>
                <w:rFonts w:hint="eastAsia" w:ascii="微软雅黑" w:hAnsi="微软雅黑" w:eastAsia="微软雅黑" w:cs="微软雅黑"/>
                <w:i/>
                <w:iCs/>
                <w:color w:val="000000"/>
                <w:sz w:val="16"/>
                <w:szCs w:val="16"/>
                <w:u w:val="none"/>
              </w:rPr>
            </w:pPr>
          </w:p>
        </w:tc>
      </w:tr>
      <w:tr w14:paraId="42987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74598">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6E5C3">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9DB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001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使用对象满意度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BFF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1EC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0AC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4AB9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95</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07A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C37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AA199">
            <w:pPr>
              <w:jc w:val="center"/>
              <w:rPr>
                <w:rFonts w:hint="eastAsia" w:ascii="微软雅黑" w:hAnsi="微软雅黑" w:eastAsia="微软雅黑" w:cs="微软雅黑"/>
                <w:i/>
                <w:iCs/>
                <w:color w:val="000000"/>
                <w:sz w:val="16"/>
                <w:szCs w:val="16"/>
                <w:u w:val="none"/>
              </w:rPr>
            </w:pPr>
          </w:p>
        </w:tc>
      </w:tr>
      <w:tr w14:paraId="5B166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FD0B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8AD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F06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CE1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社会成本</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9A7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839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388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2F3A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445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490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01AE8">
            <w:pPr>
              <w:jc w:val="center"/>
              <w:rPr>
                <w:rFonts w:hint="eastAsia" w:ascii="微软雅黑" w:hAnsi="微软雅黑" w:eastAsia="微软雅黑" w:cs="微软雅黑"/>
                <w:i/>
                <w:iCs/>
                <w:color w:val="000000"/>
                <w:sz w:val="16"/>
                <w:szCs w:val="16"/>
                <w:u w:val="none"/>
              </w:rPr>
            </w:pPr>
          </w:p>
        </w:tc>
      </w:tr>
      <w:tr w14:paraId="4EC46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30206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E09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FDE3F">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89</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22221">
            <w:pPr>
              <w:rPr>
                <w:rFonts w:hint="eastAsia" w:ascii="宋体" w:hAnsi="宋体" w:eastAsia="宋体" w:cs="宋体"/>
                <w:i w:val="0"/>
                <w:iCs w:val="0"/>
                <w:color w:val="000000"/>
                <w:sz w:val="18"/>
                <w:szCs w:val="18"/>
                <w:u w:val="none"/>
              </w:rPr>
            </w:pPr>
          </w:p>
        </w:tc>
      </w:tr>
      <w:tr w14:paraId="39D00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CEE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961A866">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89 分。项目开展儿童保健设施设备采购，已到位设备补齐儿童保健硬件缺口，改善儿童保健服务条件，群众及使用对象满意度较好。受设备供货周期影响，部分设备未完成验收支付，预算未全额执行，剩余任务结转下年实施。</w:t>
            </w:r>
          </w:p>
        </w:tc>
      </w:tr>
      <w:tr w14:paraId="7E282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935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D39B61C">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项目年中追加预算，采购启动时间偏晚；部分专用儿童保健设备生产供货周期长，无法当年全部到货；项目时间统筹不足；采购验收相关绩效佐证资料收集完整性有待加强。</w:t>
            </w:r>
          </w:p>
        </w:tc>
      </w:tr>
      <w:tr w14:paraId="164C4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674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4D66810">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提前谋划设备采购工作，合理预判供货周期；加快结转项目推进，督促供应商按时供货验收；强化采购全流程跟踪管控；完善采购、验收绩效档案归档；设备到位后做好人员实操培训，充分发挥设备使用效益。</w:t>
            </w:r>
          </w:p>
        </w:tc>
      </w:tr>
      <w:tr w14:paraId="3FEA0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2D772C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项目负责人：刘丹阳</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62422A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43E10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58139D23">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2DD98875">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56C5A5BF">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5000D34C">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185B9DC2">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217DD726">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4590551F">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754C6EE0">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0ECC39AD">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5AFE7D19">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0F4FC07F">
            <w:pPr>
              <w:rPr>
                <w:rFonts w:hint="eastAsia" w:ascii="宋体" w:hAnsi="宋体" w:eastAsia="宋体" w:cs="宋体"/>
                <w:i w:val="0"/>
                <w:iCs w:val="0"/>
                <w:color w:val="000000"/>
                <w:sz w:val="18"/>
                <w:szCs w:val="18"/>
                <w:u w:val="none"/>
              </w:rPr>
            </w:pPr>
          </w:p>
        </w:tc>
      </w:tr>
      <w:tr w14:paraId="3FAB7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A403885">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1924C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BE1D7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77F19F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51323325T000013686915</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方舱隔离点建设项目代管资金</w:t>
            </w:r>
          </w:p>
        </w:tc>
      </w:tr>
      <w:tr w14:paraId="36F90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81312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CBDB61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50053361">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A6F0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5AC56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FB5D3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03BE4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F723A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ED69AF">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33D43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2C6ED">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6599F">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3E953E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方舱隔离点建设</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5558060">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推进方舱隔离点项目建设，落实相关工程施工，完成大部分建设任务。因部分工程结算审核流程滞后，工程款未全部支付，剩余资金结转下年继续办理。</w:t>
            </w:r>
          </w:p>
        </w:tc>
      </w:tr>
      <w:tr w14:paraId="7BC8E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1670F">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D927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A3CD0B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本项目为代管资金，年初无预算，年中调整后单位资金 47.97 万元，用于方舱隔离点相关工程建设。严格执行工程建设管理相关制度，组织项目施工，落实环保建设要求，开展工程质量管控，做好项目资金代管及拨付管理。</w:t>
            </w:r>
          </w:p>
        </w:tc>
      </w:tr>
      <w:tr w14:paraId="383F4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C0B7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9A7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82F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CF9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F5B7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E81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437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381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3B1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66C1F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FB824">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0D3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6D6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38C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47.97</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0BA4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41.25</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7E4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86.00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694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A1B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F2C749">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本项目为代管资金，部分工程项目竣工结算审核周期较长，相关款项暂未完成支付，剩余资金结转下年度办理。</w:t>
            </w:r>
          </w:p>
        </w:tc>
      </w:tr>
      <w:tr w14:paraId="47C02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ED2C0">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32F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7B9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7B5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4F51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29D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552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C1E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413DE">
            <w:pPr>
              <w:rPr>
                <w:rFonts w:hint="eastAsia" w:ascii="黑体" w:hAnsi="黑体" w:eastAsia="黑体" w:cs="黑体"/>
                <w:i/>
                <w:iCs/>
                <w:color w:val="000000"/>
                <w:sz w:val="18"/>
                <w:szCs w:val="18"/>
                <w:u w:val="none"/>
              </w:rPr>
            </w:pPr>
          </w:p>
        </w:tc>
      </w:tr>
      <w:tr w14:paraId="47152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1C30E">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458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B48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C1B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88CA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95F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85E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BED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8BBBC">
            <w:pPr>
              <w:rPr>
                <w:rFonts w:hint="eastAsia" w:ascii="黑体" w:hAnsi="黑体" w:eastAsia="黑体" w:cs="黑体"/>
                <w:i/>
                <w:iCs/>
                <w:color w:val="000000"/>
                <w:sz w:val="18"/>
                <w:szCs w:val="18"/>
                <w:u w:val="none"/>
              </w:rPr>
            </w:pPr>
          </w:p>
        </w:tc>
      </w:tr>
      <w:tr w14:paraId="1D3C0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A66DD">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FB6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EB7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062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47.97</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438E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41.25</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2BC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86.00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815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F62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6840F">
            <w:pPr>
              <w:rPr>
                <w:rFonts w:hint="eastAsia" w:ascii="黑体" w:hAnsi="黑体" w:eastAsia="黑体" w:cs="黑体"/>
                <w:i/>
                <w:iCs/>
                <w:color w:val="000000"/>
                <w:sz w:val="18"/>
                <w:szCs w:val="18"/>
                <w:u w:val="none"/>
              </w:rPr>
            </w:pPr>
          </w:p>
        </w:tc>
      </w:tr>
      <w:tr w14:paraId="783F9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9E3B1">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338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9E30D">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8864E">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577FF0">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36EC5">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D44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536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74078">
            <w:pPr>
              <w:rPr>
                <w:rFonts w:hint="eastAsia" w:ascii="黑体" w:hAnsi="黑体" w:eastAsia="黑体" w:cs="黑体"/>
                <w:i/>
                <w:iCs/>
                <w:color w:val="000000"/>
                <w:sz w:val="18"/>
                <w:szCs w:val="18"/>
                <w:u w:val="none"/>
              </w:rPr>
            </w:pPr>
          </w:p>
        </w:tc>
      </w:tr>
      <w:tr w14:paraId="02A2F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F3B8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AE9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8DA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8E9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54B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782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102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A6D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5ED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399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895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7D7C3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C4F50">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647B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50E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578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隔离房间建设套数</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4ED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7EE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3E8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0219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500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92D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382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B622F">
            <w:pPr>
              <w:jc w:val="center"/>
              <w:rPr>
                <w:rFonts w:hint="eastAsia" w:ascii="微软雅黑" w:hAnsi="微软雅黑" w:eastAsia="微软雅黑" w:cs="微软雅黑"/>
                <w:i/>
                <w:iCs/>
                <w:color w:val="000000"/>
                <w:sz w:val="16"/>
                <w:szCs w:val="16"/>
                <w:u w:val="none"/>
              </w:rPr>
            </w:pPr>
          </w:p>
        </w:tc>
      </w:tr>
      <w:tr w14:paraId="07BA2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43E8F">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ADD9A">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FEB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D36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工程验收合格率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83A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F74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C3E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891A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DCB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9A5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D2E98">
            <w:pPr>
              <w:jc w:val="center"/>
              <w:rPr>
                <w:rFonts w:hint="eastAsia" w:ascii="微软雅黑" w:hAnsi="微软雅黑" w:eastAsia="微软雅黑" w:cs="微软雅黑"/>
                <w:i/>
                <w:iCs/>
                <w:color w:val="000000"/>
                <w:sz w:val="16"/>
                <w:szCs w:val="16"/>
                <w:u w:val="none"/>
              </w:rPr>
            </w:pPr>
          </w:p>
        </w:tc>
      </w:tr>
      <w:tr w14:paraId="10022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F292B">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5230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B74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BA2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对疫情防控的支撑作用</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BFB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5D0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有效支撑疫情防控工作</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51CF2">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B440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有效支撑疫情防控工作</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582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B81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59DD6">
            <w:pPr>
              <w:jc w:val="center"/>
              <w:rPr>
                <w:rFonts w:hint="eastAsia" w:ascii="微软雅黑" w:hAnsi="微软雅黑" w:eastAsia="微软雅黑" w:cs="微软雅黑"/>
                <w:i/>
                <w:iCs/>
                <w:color w:val="000000"/>
                <w:sz w:val="16"/>
                <w:szCs w:val="16"/>
                <w:u w:val="none"/>
              </w:rPr>
            </w:pPr>
          </w:p>
        </w:tc>
      </w:tr>
      <w:tr w14:paraId="79EDF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6CF86">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A309D">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788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生态效益指标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00E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环保措施落实率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3B2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CB0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CF5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9DB1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FE5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890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68C71">
            <w:pPr>
              <w:jc w:val="center"/>
              <w:rPr>
                <w:rFonts w:hint="eastAsia" w:ascii="微软雅黑" w:hAnsi="微软雅黑" w:eastAsia="微软雅黑" w:cs="微软雅黑"/>
                <w:i/>
                <w:iCs/>
                <w:color w:val="000000"/>
                <w:sz w:val="16"/>
                <w:szCs w:val="16"/>
                <w:u w:val="none"/>
              </w:rPr>
            </w:pPr>
          </w:p>
        </w:tc>
      </w:tr>
      <w:tr w14:paraId="38F67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FC96B">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6C56A">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399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175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有效缓解隔离压力，保障疫情防控工作顺利开展</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0D0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993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优良中差</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7319A">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1E3B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C54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7BC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7003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项目建成，部分尾款结算尚未完成</w:t>
            </w:r>
          </w:p>
        </w:tc>
      </w:tr>
      <w:tr w14:paraId="618F4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030AB">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70B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118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1BA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隔离人员满意度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309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D2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793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940A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731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858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7899C">
            <w:pPr>
              <w:jc w:val="center"/>
              <w:rPr>
                <w:rFonts w:hint="eastAsia" w:ascii="微软雅黑" w:hAnsi="微软雅黑" w:eastAsia="微软雅黑" w:cs="微软雅黑"/>
                <w:i/>
                <w:iCs/>
                <w:color w:val="000000"/>
                <w:sz w:val="16"/>
                <w:szCs w:val="16"/>
                <w:u w:val="none"/>
              </w:rPr>
            </w:pPr>
          </w:p>
        </w:tc>
      </w:tr>
      <w:tr w14:paraId="25131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8980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1D2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890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9B2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后期运营维护成本控制率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25A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C5E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7A6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D729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5</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768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B35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7A5D8">
            <w:pPr>
              <w:jc w:val="center"/>
              <w:rPr>
                <w:rFonts w:hint="eastAsia" w:ascii="微软雅黑" w:hAnsi="微软雅黑" w:eastAsia="微软雅黑" w:cs="微软雅黑"/>
                <w:i/>
                <w:iCs/>
                <w:color w:val="000000"/>
                <w:sz w:val="16"/>
                <w:szCs w:val="16"/>
                <w:u w:val="none"/>
              </w:rPr>
            </w:pPr>
          </w:p>
        </w:tc>
      </w:tr>
      <w:tr w14:paraId="55E9B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034D9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F20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57487">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40F4C">
            <w:pPr>
              <w:rPr>
                <w:rFonts w:hint="eastAsia" w:ascii="宋体" w:hAnsi="宋体" w:eastAsia="宋体" w:cs="宋体"/>
                <w:i w:val="0"/>
                <w:iCs w:val="0"/>
                <w:color w:val="000000"/>
                <w:sz w:val="18"/>
                <w:szCs w:val="18"/>
                <w:u w:val="none"/>
              </w:rPr>
            </w:pPr>
          </w:p>
        </w:tc>
      </w:tr>
      <w:tr w14:paraId="49B7D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F84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68FE8C6">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95分。方舱隔离点建设已完工，完成 500 套隔离房间建设，工程验收合格，环保措施落实到位，具备应急隔离能力，能够有效承担应急隔离任务，隔离人员满意度达标。受工程结算审核时限影响，部分资金当年未支付完毕，结转下年执行。</w:t>
            </w:r>
          </w:p>
        </w:tc>
      </w:tr>
      <w:tr w14:paraId="334D3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3F9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CA3819B">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项目属于代管资金，工程竣工结算审核流程繁琐，周期较长；项目后期管护机制不够细化；项目全过程绩效资料收集整理不够完善；年度资金执行进度受结算审核制约。</w:t>
            </w:r>
          </w:p>
        </w:tc>
      </w:tr>
      <w:tr w14:paraId="02EB0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6D5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C148181">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加快项目竣工结算审核工作，推动剩余资金拨付到位；完善方舱隔离点后期管护制度，做好日常维护；加强代管资金全过程管控，规范绩效档案资料归集；强化项目跟踪管理，充分发挥方舱隔离点应急保障功能。</w:t>
            </w:r>
          </w:p>
        </w:tc>
      </w:tr>
      <w:tr w14:paraId="371FF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254BACF">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项目负责人：刘丹阳</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8F6D77D">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1DE47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152F325B">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391D7214">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5FC55B9A">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6CFA96E9">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6B252DEE">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3B2A6D38">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3C280B9E">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69E67467">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109D84CF">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6EF14F83">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18491FA6">
            <w:pPr>
              <w:rPr>
                <w:rFonts w:hint="eastAsia" w:ascii="宋体" w:hAnsi="宋体" w:eastAsia="宋体" w:cs="宋体"/>
                <w:i w:val="0"/>
                <w:iCs w:val="0"/>
                <w:color w:val="000000"/>
                <w:sz w:val="18"/>
                <w:szCs w:val="18"/>
                <w:u w:val="none"/>
              </w:rPr>
            </w:pPr>
          </w:p>
        </w:tc>
      </w:tr>
      <w:tr w14:paraId="58929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B34FC76">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422BC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F93B0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B89E54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51323325T000013690432</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红原县县域医疗次中心（瓦切镇中心卫生院）建设项目代管资金</w:t>
            </w:r>
          </w:p>
        </w:tc>
      </w:tr>
      <w:tr w14:paraId="100FB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BAF33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201841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2333BAF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B7E9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38CDF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4B66C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253F3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6D1E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B90CE6F">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528C5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2B9CE">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E34AC">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6F493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红原县县域医疗次中心（瓦切镇中心卫生院）建设项目</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66409F4">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推进瓦切镇中心卫生院县域医疗次中心建设，完成工程施工、设备采购验收等相关工作，代管资金全部执行到位，项目建设任务全面完成，基层医疗硬件条件得到改善。</w:t>
            </w:r>
          </w:p>
        </w:tc>
      </w:tr>
      <w:tr w14:paraId="55C4A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BDCD9">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3740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049FC6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本项目为代管资金，年初无预算，调整后单位资金 139.60 万元，用于瓦切镇中心卫生院县域医疗次中心建设相关支出。严格执行工程建设、政府采购相关制度，做好代管资金拨付管理，完成项目建设、设备验收工作，夯实基层医疗卫生硬件基础。</w:t>
            </w:r>
          </w:p>
        </w:tc>
      </w:tr>
      <w:tr w14:paraId="1EEC4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21DA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F6A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526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5E5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C63B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EB2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454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117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A41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6E4D1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4AC5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DBD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7DD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2C2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139.60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6091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139.60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D8B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B1D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74B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2A4490">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本项目为代管资金，无预算调整，项目建设任务完成，资金全部拨付执行完毕，预算执行情况良好。</w:t>
            </w:r>
          </w:p>
        </w:tc>
      </w:tr>
      <w:tr w14:paraId="7163F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09CDC">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46F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910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527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4CE7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AFC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976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AAD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FAC36">
            <w:pPr>
              <w:rPr>
                <w:rFonts w:hint="eastAsia" w:ascii="黑体" w:hAnsi="黑体" w:eastAsia="黑体" w:cs="黑体"/>
                <w:i/>
                <w:iCs/>
                <w:color w:val="000000"/>
                <w:sz w:val="18"/>
                <w:szCs w:val="18"/>
                <w:u w:val="none"/>
              </w:rPr>
            </w:pPr>
          </w:p>
        </w:tc>
      </w:tr>
      <w:tr w14:paraId="50136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AD314">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4BE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A87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303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5A14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D5F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DD9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0F7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ECBBB">
            <w:pPr>
              <w:rPr>
                <w:rFonts w:hint="eastAsia" w:ascii="黑体" w:hAnsi="黑体" w:eastAsia="黑体" w:cs="黑体"/>
                <w:i/>
                <w:iCs/>
                <w:color w:val="000000"/>
                <w:sz w:val="18"/>
                <w:szCs w:val="18"/>
                <w:u w:val="none"/>
              </w:rPr>
            </w:pPr>
          </w:p>
        </w:tc>
      </w:tr>
      <w:tr w14:paraId="65F50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66C12">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BC5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5CE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919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139.60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BB20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139.60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BE4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223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D3F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A4427">
            <w:pPr>
              <w:rPr>
                <w:rFonts w:hint="eastAsia" w:ascii="黑体" w:hAnsi="黑体" w:eastAsia="黑体" w:cs="黑体"/>
                <w:i/>
                <w:iCs/>
                <w:color w:val="000000"/>
                <w:sz w:val="18"/>
                <w:szCs w:val="18"/>
                <w:u w:val="none"/>
              </w:rPr>
            </w:pPr>
          </w:p>
        </w:tc>
      </w:tr>
      <w:tr w14:paraId="1123F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34BA8">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5C5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D7ECA">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C52F9">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5DDAFA">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EC1ED">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9D8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AD6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FFF6E">
            <w:pPr>
              <w:rPr>
                <w:rFonts w:hint="eastAsia" w:ascii="黑体" w:hAnsi="黑体" w:eastAsia="黑体" w:cs="黑体"/>
                <w:i/>
                <w:iCs/>
                <w:color w:val="000000"/>
                <w:sz w:val="18"/>
                <w:szCs w:val="18"/>
                <w:u w:val="none"/>
              </w:rPr>
            </w:pPr>
          </w:p>
        </w:tc>
      </w:tr>
      <w:tr w14:paraId="7A867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17C5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907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405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07B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DCB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BE1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DDE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4BB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385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946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BBD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0C7B4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CAA99">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052D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957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0CC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668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D07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488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09F8F">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C92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EF9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68E10">
            <w:pPr>
              <w:jc w:val="center"/>
              <w:rPr>
                <w:rFonts w:hint="eastAsia" w:ascii="微软雅黑" w:hAnsi="微软雅黑" w:eastAsia="微软雅黑" w:cs="微软雅黑"/>
                <w:i/>
                <w:iCs/>
                <w:color w:val="000000"/>
                <w:sz w:val="16"/>
                <w:szCs w:val="16"/>
                <w:u w:val="none"/>
              </w:rPr>
            </w:pPr>
          </w:p>
        </w:tc>
      </w:tr>
      <w:tr w14:paraId="50B7B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25612">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9819D">
            <w:pPr>
              <w:jc w:val="center"/>
              <w:rPr>
                <w:rFonts w:hint="eastAsia" w:ascii="宋体" w:hAnsi="宋体" w:eastAsia="宋体" w:cs="宋体"/>
                <w:i w:val="0"/>
                <w:iCs w:val="0"/>
                <w:color w:val="000000"/>
                <w:sz w:val="18"/>
                <w:szCs w:val="18"/>
                <w:u w:val="none"/>
              </w:rPr>
            </w:pP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4A2A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BC6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设备验收合格率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D36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B46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FCB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749E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F5B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75D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F39E8">
            <w:pPr>
              <w:jc w:val="center"/>
              <w:rPr>
                <w:rFonts w:hint="eastAsia" w:ascii="微软雅黑" w:hAnsi="微软雅黑" w:eastAsia="微软雅黑" w:cs="微软雅黑"/>
                <w:i/>
                <w:iCs/>
                <w:color w:val="000000"/>
                <w:sz w:val="16"/>
                <w:szCs w:val="16"/>
                <w:u w:val="none"/>
              </w:rPr>
            </w:pPr>
          </w:p>
        </w:tc>
      </w:tr>
      <w:tr w14:paraId="783FB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1191C">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8274F">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F9EB0">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FB7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医疗服务符合规范率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5B8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7B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83D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76E3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95</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FD2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70F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507B9">
            <w:pPr>
              <w:jc w:val="center"/>
              <w:rPr>
                <w:rFonts w:hint="eastAsia" w:ascii="微软雅黑" w:hAnsi="微软雅黑" w:eastAsia="微软雅黑" w:cs="微软雅黑"/>
                <w:i/>
                <w:iCs/>
                <w:color w:val="000000"/>
                <w:sz w:val="16"/>
                <w:szCs w:val="16"/>
                <w:u w:val="none"/>
              </w:rPr>
            </w:pPr>
          </w:p>
        </w:tc>
      </w:tr>
      <w:tr w14:paraId="43920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AF0B5">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E801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7FC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A55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医疗卫生服务能力逐步提升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004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0E2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优良差</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D6019">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28297">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优</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FFD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300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E76BB">
            <w:pPr>
              <w:jc w:val="center"/>
              <w:rPr>
                <w:rFonts w:hint="eastAsia" w:ascii="微软雅黑" w:hAnsi="微软雅黑" w:eastAsia="微软雅黑" w:cs="微软雅黑"/>
                <w:i/>
                <w:iCs/>
                <w:color w:val="000000"/>
                <w:sz w:val="16"/>
                <w:szCs w:val="16"/>
                <w:u w:val="none"/>
              </w:rPr>
            </w:pPr>
          </w:p>
        </w:tc>
      </w:tr>
      <w:tr w14:paraId="7C92D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E09D9">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E7E54">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10F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E3B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专业人才留存率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2D3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318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9E1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D5C67">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F45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7A5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B1861">
            <w:pPr>
              <w:jc w:val="center"/>
              <w:rPr>
                <w:rFonts w:hint="eastAsia" w:ascii="微软雅黑" w:hAnsi="微软雅黑" w:eastAsia="微软雅黑" w:cs="微软雅黑"/>
                <w:i/>
                <w:iCs/>
                <w:color w:val="000000"/>
                <w:sz w:val="16"/>
                <w:szCs w:val="16"/>
                <w:u w:val="none"/>
              </w:rPr>
            </w:pPr>
          </w:p>
        </w:tc>
      </w:tr>
      <w:tr w14:paraId="00C8D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9CD91">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387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DAC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27B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医护人员满意度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D97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9DA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C60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4087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5A1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8DA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A13FD">
            <w:pPr>
              <w:jc w:val="center"/>
              <w:rPr>
                <w:rFonts w:hint="eastAsia" w:ascii="微软雅黑" w:hAnsi="微软雅黑" w:eastAsia="微软雅黑" w:cs="微软雅黑"/>
                <w:i/>
                <w:iCs/>
                <w:color w:val="000000"/>
                <w:sz w:val="16"/>
                <w:szCs w:val="16"/>
                <w:u w:val="none"/>
              </w:rPr>
            </w:pPr>
          </w:p>
        </w:tc>
      </w:tr>
      <w:tr w14:paraId="2BD25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1330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A1B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A91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32C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投入资金金额</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3C8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649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139.6</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2D9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D87C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139.6</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860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32A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678B6">
            <w:pPr>
              <w:jc w:val="center"/>
              <w:rPr>
                <w:rFonts w:hint="eastAsia" w:ascii="微软雅黑" w:hAnsi="微软雅黑" w:eastAsia="微软雅黑" w:cs="微软雅黑"/>
                <w:i/>
                <w:iCs/>
                <w:color w:val="000000"/>
                <w:sz w:val="16"/>
                <w:szCs w:val="16"/>
                <w:u w:val="none"/>
              </w:rPr>
            </w:pPr>
          </w:p>
        </w:tc>
      </w:tr>
      <w:tr w14:paraId="17D8B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B454D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D4D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DC391">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8C822">
            <w:pPr>
              <w:rPr>
                <w:rFonts w:hint="eastAsia" w:ascii="宋体" w:hAnsi="宋体" w:eastAsia="宋体" w:cs="宋体"/>
                <w:i w:val="0"/>
                <w:iCs w:val="0"/>
                <w:color w:val="000000"/>
                <w:sz w:val="18"/>
                <w:szCs w:val="18"/>
                <w:u w:val="none"/>
              </w:rPr>
            </w:pPr>
          </w:p>
        </w:tc>
      </w:tr>
      <w:tr w14:paraId="68337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65F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2D59798">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项目代管资金全额执行，瓦切镇中心卫生院县域医疗次中心建设全部完成，设备验收合格，医疗服务规范达标。有效改善基层医疗机构硬件条件，提升县域次中心服务能力，医护人员满意度较高，较好完成年度建设目标。</w:t>
            </w:r>
          </w:p>
        </w:tc>
      </w:tr>
      <w:tr w14:paraId="556AA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21C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A5AAA8B">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硬件设施完成建设，但医务人员设备实操培训频次不足；高原地区基层人才引进留存压力依然存在；项目建成后运维管护制度还需细化；代管资金项目绩效资料精细化归档有待加强。</w:t>
            </w:r>
          </w:p>
        </w:tc>
      </w:tr>
      <w:tr w14:paraId="6AC9E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457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2681E33">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持续开展医务人员设备操作业务培训，充分释放设备效能；完善人才激励举措，稳定基层医疗队伍；健全院区设施设备运维管护机制；规范代管项目全过程绩效档案归集；用好次中心硬件资源，持续提升基层诊疗服务水平。</w:t>
            </w:r>
          </w:p>
        </w:tc>
      </w:tr>
      <w:tr w14:paraId="1CDBD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5D32AFF">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项目负责人：刘丹阳</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7BA4B47">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34B5A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2D517910">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2B2978AB">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22298A53">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19F9A1FF">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2985F2DF">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5AE8C2E7">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3B58526E">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7DD7A832">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1E60AB97">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42609A5F">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10C5753B">
            <w:pPr>
              <w:rPr>
                <w:rFonts w:hint="eastAsia" w:ascii="宋体" w:hAnsi="宋体" w:eastAsia="宋体" w:cs="宋体"/>
                <w:i w:val="0"/>
                <w:iCs w:val="0"/>
                <w:color w:val="000000"/>
                <w:sz w:val="18"/>
                <w:szCs w:val="18"/>
                <w:u w:val="none"/>
              </w:rPr>
            </w:pPr>
          </w:p>
        </w:tc>
      </w:tr>
      <w:tr w14:paraId="3AA9A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F4D4245">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5C263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A2151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3A1D45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51323325T000013690669</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卫生间维修改造项目</w:t>
            </w:r>
          </w:p>
        </w:tc>
      </w:tr>
      <w:tr w14:paraId="242C5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38AE0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2056A5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13240182">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B12B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5E294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0317A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6497B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E901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BADCAB6">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45934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B2F8F">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68717">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F2D2A7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卫生间维修改造项目</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CF2336C">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完成 6 个卫生间维修改造施工，防水处理、设施更换全部完工，项目顺利验收。因结算审减，资金存在微小差额，整体改造任务全部完成，使用条件得到明显改善。</w:t>
            </w:r>
          </w:p>
        </w:tc>
      </w:tr>
      <w:tr w14:paraId="5337C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C34F7">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AEE7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1D6D72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本项目为单位代管资金，年初无预算，调整后单位资金 3.37 万元。对 6 个卫生间开展维修改造，实施防水处理、洁具更换、管线修缮等工程，严格执行小型工程管理规定，组织现场施工及竣工验收，改善办公就医公共卫生间使用条件。</w:t>
            </w:r>
          </w:p>
        </w:tc>
      </w:tr>
      <w:tr w14:paraId="41AD5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8AF5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36C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F4A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9EA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1A444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590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886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50A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6B6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6D6D2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90F68">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877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874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E75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3.37</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1059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3.36</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CC6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99.71</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88C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88D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1ECEB4">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本项目为单位资金，因工程结算审减产生微小差额，项目全部完工验收，资金基本执行到位。</w:t>
            </w:r>
          </w:p>
        </w:tc>
      </w:tr>
      <w:tr w14:paraId="03055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6374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0C5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16A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646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62D9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488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2D3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5AB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BAC4E">
            <w:pPr>
              <w:rPr>
                <w:rFonts w:hint="eastAsia" w:ascii="黑体" w:hAnsi="黑体" w:eastAsia="黑体" w:cs="黑体"/>
                <w:i/>
                <w:iCs/>
                <w:color w:val="000000"/>
                <w:sz w:val="18"/>
                <w:szCs w:val="18"/>
                <w:u w:val="none"/>
              </w:rPr>
            </w:pPr>
          </w:p>
        </w:tc>
      </w:tr>
      <w:tr w14:paraId="763F1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2B642">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A64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664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5CF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4B3B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2A8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7A1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909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F7120">
            <w:pPr>
              <w:rPr>
                <w:rFonts w:hint="eastAsia" w:ascii="黑体" w:hAnsi="黑体" w:eastAsia="黑体" w:cs="黑体"/>
                <w:i/>
                <w:iCs/>
                <w:color w:val="000000"/>
                <w:sz w:val="18"/>
                <w:szCs w:val="18"/>
                <w:u w:val="none"/>
              </w:rPr>
            </w:pPr>
          </w:p>
        </w:tc>
      </w:tr>
      <w:tr w14:paraId="73E21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1E1D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ED7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DD7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BA1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3.37</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7722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3.36</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6E0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99.71</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20F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2BA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430FF">
            <w:pPr>
              <w:rPr>
                <w:rFonts w:hint="eastAsia" w:ascii="黑体" w:hAnsi="黑体" w:eastAsia="黑体" w:cs="黑体"/>
                <w:i/>
                <w:iCs/>
                <w:color w:val="000000"/>
                <w:sz w:val="18"/>
                <w:szCs w:val="18"/>
                <w:u w:val="none"/>
              </w:rPr>
            </w:pPr>
          </w:p>
        </w:tc>
      </w:tr>
      <w:tr w14:paraId="6C1E9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58788">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3B4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BD7E9">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59E9F">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2179D8">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0E9FF">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A81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E9B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DD911">
            <w:pPr>
              <w:rPr>
                <w:rFonts w:hint="eastAsia" w:ascii="黑体" w:hAnsi="黑体" w:eastAsia="黑体" w:cs="黑体"/>
                <w:i/>
                <w:iCs/>
                <w:color w:val="000000"/>
                <w:sz w:val="18"/>
                <w:szCs w:val="18"/>
                <w:u w:val="none"/>
              </w:rPr>
            </w:pPr>
          </w:p>
        </w:tc>
      </w:tr>
      <w:tr w14:paraId="399EE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792D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54D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BF8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24B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185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C75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487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E68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E23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055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FD2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05B8F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30E94">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45FB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47F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CDA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维修改造卫生间数量</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BCB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730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CCD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B8B5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6</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FCC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EA5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4F0CE">
            <w:pPr>
              <w:jc w:val="center"/>
              <w:rPr>
                <w:rFonts w:hint="eastAsia" w:ascii="微软雅黑" w:hAnsi="微软雅黑" w:eastAsia="微软雅黑" w:cs="微软雅黑"/>
                <w:i/>
                <w:iCs/>
                <w:color w:val="000000"/>
                <w:sz w:val="16"/>
                <w:szCs w:val="16"/>
                <w:u w:val="none"/>
              </w:rPr>
            </w:pPr>
          </w:p>
        </w:tc>
      </w:tr>
      <w:tr w14:paraId="13B3C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3F39F">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108CC">
            <w:pPr>
              <w:jc w:val="center"/>
              <w:rPr>
                <w:rFonts w:hint="eastAsia" w:ascii="宋体" w:hAnsi="宋体" w:eastAsia="宋体" w:cs="宋体"/>
                <w:i w:val="0"/>
                <w:iCs w:val="0"/>
                <w:color w:val="000000"/>
                <w:sz w:val="18"/>
                <w:szCs w:val="18"/>
                <w:u w:val="none"/>
              </w:rPr>
            </w:pP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F90B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D4D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防水工程质量达标率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113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3D4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D0E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291AF">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08E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E1A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30B23">
            <w:pPr>
              <w:jc w:val="center"/>
              <w:rPr>
                <w:rFonts w:hint="eastAsia" w:ascii="微软雅黑" w:hAnsi="微软雅黑" w:eastAsia="微软雅黑" w:cs="微软雅黑"/>
                <w:i/>
                <w:iCs/>
                <w:color w:val="000000"/>
                <w:sz w:val="16"/>
                <w:szCs w:val="16"/>
                <w:u w:val="none"/>
              </w:rPr>
            </w:pPr>
          </w:p>
        </w:tc>
      </w:tr>
      <w:tr w14:paraId="48906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76CF7">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FE5BC">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8393B">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A12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工程验收合格率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FF5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5A7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B34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C6AF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95</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CD5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E16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3F1CD">
            <w:pPr>
              <w:jc w:val="center"/>
              <w:rPr>
                <w:rFonts w:hint="eastAsia" w:ascii="微软雅黑" w:hAnsi="微软雅黑" w:eastAsia="微软雅黑" w:cs="微软雅黑"/>
                <w:i/>
                <w:iCs/>
                <w:color w:val="000000"/>
                <w:sz w:val="16"/>
                <w:szCs w:val="16"/>
                <w:u w:val="none"/>
              </w:rPr>
            </w:pPr>
          </w:p>
        </w:tc>
      </w:tr>
      <w:tr w14:paraId="63656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C73D2">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F3E0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07E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4AC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降低后期维修成本率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603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8DD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7C8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C0AA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5</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559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C9B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FED18">
            <w:pPr>
              <w:jc w:val="center"/>
              <w:rPr>
                <w:rFonts w:hint="eastAsia" w:ascii="微软雅黑" w:hAnsi="微软雅黑" w:eastAsia="微软雅黑" w:cs="微软雅黑"/>
                <w:i/>
                <w:iCs/>
                <w:color w:val="000000"/>
                <w:sz w:val="16"/>
                <w:szCs w:val="16"/>
                <w:u w:val="none"/>
              </w:rPr>
            </w:pPr>
          </w:p>
        </w:tc>
      </w:tr>
      <w:tr w14:paraId="48470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4478E">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4302D">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309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60A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提升公共设施形象工程</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9DB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262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明显提升</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192B1">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5D26C">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明显提升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D7B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9C6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69A57">
            <w:pPr>
              <w:jc w:val="center"/>
              <w:rPr>
                <w:rFonts w:hint="eastAsia" w:ascii="微软雅黑" w:hAnsi="微软雅黑" w:eastAsia="微软雅黑" w:cs="微软雅黑"/>
                <w:i/>
                <w:iCs/>
                <w:color w:val="000000"/>
                <w:sz w:val="16"/>
                <w:szCs w:val="16"/>
                <w:u w:val="none"/>
              </w:rPr>
            </w:pPr>
          </w:p>
        </w:tc>
      </w:tr>
      <w:tr w14:paraId="1A7A3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DE4AD">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92D3E">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9A8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58B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节能环保效果</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E3B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D8A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达到节能标准</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4BDF7">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B4FD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达到节能标准</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A6C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45A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61F44">
            <w:pPr>
              <w:jc w:val="center"/>
              <w:rPr>
                <w:rFonts w:hint="eastAsia" w:ascii="微软雅黑" w:hAnsi="微软雅黑" w:eastAsia="微软雅黑" w:cs="微软雅黑"/>
                <w:i/>
                <w:iCs/>
                <w:color w:val="000000"/>
                <w:sz w:val="16"/>
                <w:szCs w:val="16"/>
                <w:u w:val="none"/>
              </w:rPr>
            </w:pPr>
          </w:p>
        </w:tc>
      </w:tr>
      <w:tr w14:paraId="40600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CF471">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E60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3E3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3F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使用人员满意度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2A1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E59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5DF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59D84">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BBF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32B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CEF3A">
            <w:pPr>
              <w:jc w:val="center"/>
              <w:rPr>
                <w:rFonts w:hint="eastAsia" w:ascii="微软雅黑" w:hAnsi="微软雅黑" w:eastAsia="微软雅黑" w:cs="微软雅黑"/>
                <w:i/>
                <w:iCs/>
                <w:color w:val="000000"/>
                <w:sz w:val="16"/>
                <w:szCs w:val="16"/>
                <w:u w:val="none"/>
              </w:rPr>
            </w:pPr>
          </w:p>
        </w:tc>
      </w:tr>
      <w:tr w14:paraId="4C6F2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0E744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A7F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C5CF6">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A1F23">
            <w:pPr>
              <w:rPr>
                <w:rFonts w:hint="eastAsia" w:ascii="宋体" w:hAnsi="宋体" w:eastAsia="宋体" w:cs="宋体"/>
                <w:i w:val="0"/>
                <w:iCs w:val="0"/>
                <w:color w:val="000000"/>
                <w:sz w:val="18"/>
                <w:szCs w:val="18"/>
                <w:u w:val="none"/>
              </w:rPr>
            </w:pPr>
          </w:p>
        </w:tc>
      </w:tr>
      <w:tr w14:paraId="1F326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629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EF5684C">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分。完成 6 个卫生间维修改造，防水及整体工程验收合格，更换节能环保洁具，有效解决原有渗漏老化问题，降低后期维修支出，改善公共卫生间环境，使用人员满意度达标，圆满完成本年度改造任务。</w:t>
            </w:r>
          </w:p>
        </w:tc>
      </w:tr>
      <w:tr w14:paraId="41875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3D2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D31E32E">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项目属于小型维修工程，施工过程现场精细化管控仍有提升空间；后期日常管护责任落实不够细化；维修改造全过程影像、签证等绩效佐证资料收集不够完整。</w:t>
            </w:r>
          </w:p>
        </w:tc>
      </w:tr>
      <w:tr w14:paraId="5F69E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F1D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6297607">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加强小型维修项目施工现场监督管理，把控施工质量；落实设施日常管护责任，做好定期巡检维护；完善小型工程档案管理，及时收集留存签证、影像、验收资料；建立设施定期检修机制，延长改造后设施使用寿命。</w:t>
            </w:r>
          </w:p>
        </w:tc>
      </w:tr>
      <w:tr w14:paraId="26F56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E01BD2D">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项目负责人：刘丹阳</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3A19834">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12D81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5CFC50E7">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2F997AFD">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01EBD0BF">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34C7DE5B">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1141618C">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0AEE5081">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75AC8391">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756A6D7A">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052BBD2C">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672F8466">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1ECD0883">
            <w:pPr>
              <w:rPr>
                <w:rFonts w:hint="eastAsia" w:ascii="宋体" w:hAnsi="宋体" w:eastAsia="宋体" w:cs="宋体"/>
                <w:i w:val="0"/>
                <w:iCs w:val="0"/>
                <w:color w:val="000000"/>
                <w:sz w:val="18"/>
                <w:szCs w:val="18"/>
                <w:u w:val="none"/>
              </w:rPr>
            </w:pPr>
          </w:p>
        </w:tc>
      </w:tr>
      <w:tr w14:paraId="638C4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4F732829">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7603C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EEA20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9E2BEF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51323325T000013696438</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医用供氧设备和医用供氧器采购项目</w:t>
            </w:r>
          </w:p>
        </w:tc>
      </w:tr>
      <w:tr w14:paraId="37CF4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77103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BFBFA4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7D199EE0">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C113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5E556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6023B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AF2B7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77E75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A906D7C">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1902F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9B500">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FA54A">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B968B0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采购医用供氧设备和医用供氧器</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E1BDD2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完成医用供氧设备、供氧器采购、供货及验收工作。因采购结算审减，资金存在少量结余，设备全部到位投入使用，有效补齐基层医疗机构供氧硬件短板。</w:t>
            </w:r>
          </w:p>
        </w:tc>
      </w:tr>
      <w:tr w14:paraId="4D36C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108D2">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174F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A19B7F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本项目年初无预算，年中追加财政预算 26.00 万元，专项用于医用供氧设备及供氧器采购。严格执行政府采购流程，完成设备招标采购、到货验收、分配投放基层医疗机构，保障临床氧疗救治工作开展。</w:t>
            </w:r>
          </w:p>
        </w:tc>
      </w:tr>
      <w:tr w14:paraId="3685B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1326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91C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4E3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272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E073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EDB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C4D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6E7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912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5B129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175AB">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A09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884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9CA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2A45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25.30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238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97.31</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483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50B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0CA2D3">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本项目为年中追加财政资金，经采购结算审减形成少量资金结余，设备全部供货验收完成，项目实施完毕</w:t>
            </w:r>
          </w:p>
        </w:tc>
      </w:tr>
      <w:tr w14:paraId="03626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75F6C">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AA0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E91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F49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0DAF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25.30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9E3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97.31</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116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5F9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4EC04">
            <w:pPr>
              <w:rPr>
                <w:rFonts w:hint="eastAsia" w:ascii="黑体" w:hAnsi="黑体" w:eastAsia="黑体" w:cs="黑体"/>
                <w:i/>
                <w:iCs/>
                <w:color w:val="000000"/>
                <w:sz w:val="18"/>
                <w:szCs w:val="18"/>
                <w:u w:val="none"/>
              </w:rPr>
            </w:pPr>
          </w:p>
        </w:tc>
      </w:tr>
      <w:tr w14:paraId="75CED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9DD4C">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B82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798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637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DFBB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C15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8CF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FE0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68FCB">
            <w:pPr>
              <w:rPr>
                <w:rFonts w:hint="eastAsia" w:ascii="黑体" w:hAnsi="黑体" w:eastAsia="黑体" w:cs="黑体"/>
                <w:i/>
                <w:iCs/>
                <w:color w:val="000000"/>
                <w:sz w:val="18"/>
                <w:szCs w:val="18"/>
                <w:u w:val="none"/>
              </w:rPr>
            </w:pPr>
          </w:p>
        </w:tc>
      </w:tr>
      <w:tr w14:paraId="239BC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F897D">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D4E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120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5B5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444B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A60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F0F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217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C42C8">
            <w:pPr>
              <w:rPr>
                <w:rFonts w:hint="eastAsia" w:ascii="黑体" w:hAnsi="黑体" w:eastAsia="黑体" w:cs="黑体"/>
                <w:i/>
                <w:iCs/>
                <w:color w:val="000000"/>
                <w:sz w:val="18"/>
                <w:szCs w:val="18"/>
                <w:u w:val="none"/>
              </w:rPr>
            </w:pPr>
          </w:p>
        </w:tc>
      </w:tr>
      <w:tr w14:paraId="2CD96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B3A18">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716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6FB60">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7684E">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DFF1F8">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76C53">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EDD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CD6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01064">
            <w:pPr>
              <w:rPr>
                <w:rFonts w:hint="eastAsia" w:ascii="黑体" w:hAnsi="黑体" w:eastAsia="黑体" w:cs="黑体"/>
                <w:i/>
                <w:iCs/>
                <w:color w:val="000000"/>
                <w:sz w:val="18"/>
                <w:szCs w:val="18"/>
                <w:u w:val="none"/>
              </w:rPr>
            </w:pPr>
          </w:p>
        </w:tc>
      </w:tr>
      <w:tr w14:paraId="39E2D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6FD9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955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048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CA6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F9B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FC9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62E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533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D5C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F59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C32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21856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F47D7">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C208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D301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A89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产品合格率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FA7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E42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27D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1A3F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98</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C30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8B0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FE303">
            <w:pPr>
              <w:jc w:val="center"/>
              <w:rPr>
                <w:rFonts w:hint="eastAsia" w:ascii="微软雅黑" w:hAnsi="微软雅黑" w:eastAsia="微软雅黑" w:cs="微软雅黑"/>
                <w:i/>
                <w:iCs/>
                <w:color w:val="000000"/>
                <w:sz w:val="16"/>
                <w:szCs w:val="16"/>
                <w:u w:val="none"/>
              </w:rPr>
            </w:pPr>
          </w:p>
        </w:tc>
      </w:tr>
      <w:tr w14:paraId="5316E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078D5">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E7913">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4DDCF">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B4E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质量投诉率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1CD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79B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FB0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E5F6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2</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DF7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027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DCCF6">
            <w:pPr>
              <w:jc w:val="center"/>
              <w:rPr>
                <w:rFonts w:hint="eastAsia" w:ascii="微软雅黑" w:hAnsi="微软雅黑" w:eastAsia="微软雅黑" w:cs="微软雅黑"/>
                <w:i/>
                <w:iCs/>
                <w:color w:val="000000"/>
                <w:sz w:val="16"/>
                <w:szCs w:val="16"/>
                <w:u w:val="none"/>
              </w:rPr>
            </w:pPr>
          </w:p>
        </w:tc>
      </w:tr>
      <w:tr w14:paraId="7FCE6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B79F0">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09EE1">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49E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B69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按时交付率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6E9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791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CA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1FC0F">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95</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6A3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F2B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B2AFB">
            <w:pPr>
              <w:jc w:val="center"/>
              <w:rPr>
                <w:rFonts w:hint="eastAsia" w:ascii="微软雅黑" w:hAnsi="微软雅黑" w:eastAsia="微软雅黑" w:cs="微软雅黑"/>
                <w:i/>
                <w:iCs/>
                <w:color w:val="000000"/>
                <w:sz w:val="16"/>
                <w:szCs w:val="16"/>
                <w:u w:val="none"/>
              </w:rPr>
            </w:pPr>
          </w:p>
        </w:tc>
      </w:tr>
      <w:tr w14:paraId="3342E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A5DA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798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49E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9DC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氧疗精准度提高率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254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756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46A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2987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D97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41F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391FC">
            <w:pPr>
              <w:jc w:val="center"/>
              <w:rPr>
                <w:rFonts w:hint="eastAsia" w:ascii="微软雅黑" w:hAnsi="微软雅黑" w:eastAsia="微软雅黑" w:cs="微软雅黑"/>
                <w:i/>
                <w:iCs/>
                <w:color w:val="000000"/>
                <w:sz w:val="16"/>
                <w:szCs w:val="16"/>
                <w:u w:val="none"/>
              </w:rPr>
            </w:pPr>
          </w:p>
        </w:tc>
      </w:tr>
      <w:tr w14:paraId="41B21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9E3F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F07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234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1A9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2A1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706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369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7193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934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159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74A8B">
            <w:pPr>
              <w:jc w:val="center"/>
              <w:rPr>
                <w:rFonts w:hint="eastAsia" w:ascii="微软雅黑" w:hAnsi="微软雅黑" w:eastAsia="微软雅黑" w:cs="微软雅黑"/>
                <w:i/>
                <w:iCs/>
                <w:color w:val="000000"/>
                <w:sz w:val="16"/>
                <w:szCs w:val="16"/>
                <w:u w:val="none"/>
              </w:rPr>
            </w:pPr>
          </w:p>
        </w:tc>
      </w:tr>
      <w:tr w14:paraId="0324D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DB814">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3BD6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165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055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成本控制率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12C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570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212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A5DC8">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5</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D61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CAC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33AE4">
            <w:pPr>
              <w:jc w:val="center"/>
              <w:rPr>
                <w:rFonts w:hint="eastAsia" w:ascii="微软雅黑" w:hAnsi="微软雅黑" w:eastAsia="微软雅黑" w:cs="微软雅黑"/>
                <w:i/>
                <w:iCs/>
                <w:color w:val="000000"/>
                <w:sz w:val="16"/>
                <w:szCs w:val="16"/>
                <w:u w:val="none"/>
              </w:rPr>
            </w:pPr>
          </w:p>
        </w:tc>
      </w:tr>
      <w:tr w14:paraId="69F0E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DE6F2">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FF97A">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EE9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生态环境成本指标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D28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能耗成本</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2FE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D24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较上一周期降低n</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371DC">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E828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较上一周期降低</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DE5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E1D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6E724">
            <w:pPr>
              <w:jc w:val="center"/>
              <w:rPr>
                <w:rFonts w:hint="eastAsia" w:ascii="微软雅黑" w:hAnsi="微软雅黑" w:eastAsia="微软雅黑" w:cs="微软雅黑"/>
                <w:i/>
                <w:iCs/>
                <w:color w:val="000000"/>
                <w:sz w:val="16"/>
                <w:szCs w:val="16"/>
                <w:u w:val="none"/>
              </w:rPr>
            </w:pPr>
          </w:p>
        </w:tc>
      </w:tr>
      <w:tr w14:paraId="540FE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F614E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A8E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16771">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5D614">
            <w:pPr>
              <w:rPr>
                <w:rFonts w:hint="eastAsia" w:ascii="宋体" w:hAnsi="宋体" w:eastAsia="宋体" w:cs="宋体"/>
                <w:i w:val="0"/>
                <w:iCs w:val="0"/>
                <w:color w:val="000000"/>
                <w:sz w:val="18"/>
                <w:szCs w:val="18"/>
                <w:u w:val="none"/>
              </w:rPr>
            </w:pPr>
          </w:p>
        </w:tc>
      </w:tr>
      <w:tr w14:paraId="533E4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6A3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1043E72">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分。项目完成医用供氧设备及供氧器采购投放，产品全部合格、按期交付，未发生质量投诉。有效改善基层医疗机构氧疗条件，提升氧疗精准度，能耗有所降低，患者满意度达标，较好完成年度采购任务。</w:t>
            </w:r>
          </w:p>
        </w:tc>
      </w:tr>
      <w:tr w14:paraId="4D89D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5E0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D5C6387">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设备到位后操作人员专项实操培训不足；部分基层医疗机构设备日常维护保养制度不够完善；设备使用、验收相关绩效佐证资料归档精细化程度有待提高。</w:t>
            </w:r>
          </w:p>
        </w:tc>
      </w:tr>
      <w:tr w14:paraId="3735B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E61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2623708">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组织开展供氧设备操作、维护专项业务培训，提升医护人员实操能力；督促基层医疗机构建立设备定期巡检保养制度；完善采购验收档案，做好绩效资料留存；强化设备使用跟踪，充分发挥设备临床救治保障作用。</w:t>
            </w:r>
          </w:p>
        </w:tc>
      </w:tr>
      <w:tr w14:paraId="5F300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6B2B6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项目负责人：刘丹阳</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BB69037">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4B4ED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1769BBB2">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2ADA3986">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2CC4CE82">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4B7A3B9C">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7D473A21">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0F7D52CB">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7E0EC73E">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24C4DB00">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7556BBED">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33FE76BD">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24AD3844">
            <w:pPr>
              <w:rPr>
                <w:rFonts w:hint="eastAsia" w:ascii="宋体" w:hAnsi="宋体" w:eastAsia="宋体" w:cs="宋体"/>
                <w:i w:val="0"/>
                <w:iCs w:val="0"/>
                <w:color w:val="000000"/>
                <w:sz w:val="18"/>
                <w:szCs w:val="18"/>
                <w:u w:val="none"/>
              </w:rPr>
            </w:pPr>
          </w:p>
        </w:tc>
      </w:tr>
      <w:tr w14:paraId="53050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675347B">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6794B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42C37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E3C585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51323325T000014000571</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民族地区卫生发展十年行动</w:t>
            </w:r>
          </w:p>
        </w:tc>
      </w:tr>
      <w:tr w14:paraId="08972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5D35D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8957DE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2151A88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E2819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46532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86111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C5AD5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64505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B73BD50">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221A1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CAE3B">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406BB">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E23202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完善民族地区医疗卫生服务体系，提升基层医疗卫生服务能力，推动建设川甘青结合部区域高低，切实维护和保障人民群众健康。</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627746A">
            <w:pPr>
              <w:keepNext w:val="0"/>
              <w:keepLines w:val="0"/>
              <w:widowControl/>
              <w:suppressLineNumbers w:val="0"/>
              <w:spacing w:after="180" w:afterAutospacing="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有序推进人才培训、居民健康档案管理等部分工作。因部分基建及设备采购项目前期手续多、周期长，年内未能全部实施，资金执行进度偏低，剩余工作结转下年度继续推进。</w:t>
            </w:r>
          </w:p>
        </w:tc>
      </w:tr>
      <w:tr w14:paraId="3E75E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2A5A3">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6223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6F1D9A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本项目年初无预算，年中追加财政预算 229.50 万元，用于民族地区医疗卫生服务能力提升，开展基层卫生人才培训、居民电子健康档案管理、住院医师规范化培训相关工作，完善民族地区医疗卫生服务体系建设</w:t>
            </w:r>
          </w:p>
        </w:tc>
      </w:tr>
      <w:tr w14:paraId="1F6CB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A9A9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97F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96B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1DB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1D464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C09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1A6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D87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505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00A25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E3347">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F0D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DAF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38D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229.50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1803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91.04</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FAC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39.67</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94E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85B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387C9A">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本项目为年中追加财政资金，部分建设及采购事项前期立项、招标流程复杂，实施周期较长，当年未能全部落地，剩余资金结转下年执行。</w:t>
            </w:r>
          </w:p>
        </w:tc>
      </w:tr>
      <w:tr w14:paraId="16317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9FFAB">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EE6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E3D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CEB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229.50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B7E2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91.04</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B82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39.67</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7B2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2AE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DCC45">
            <w:pPr>
              <w:rPr>
                <w:rFonts w:hint="eastAsia" w:ascii="黑体" w:hAnsi="黑体" w:eastAsia="黑体" w:cs="黑体"/>
                <w:i/>
                <w:iCs/>
                <w:color w:val="000000"/>
                <w:sz w:val="18"/>
                <w:szCs w:val="18"/>
                <w:u w:val="none"/>
              </w:rPr>
            </w:pPr>
          </w:p>
        </w:tc>
      </w:tr>
      <w:tr w14:paraId="3C654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4A16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045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80F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8FA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687F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E3E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894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09D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C1F03">
            <w:pPr>
              <w:rPr>
                <w:rFonts w:hint="eastAsia" w:ascii="黑体" w:hAnsi="黑体" w:eastAsia="黑体" w:cs="黑体"/>
                <w:i/>
                <w:iCs/>
                <w:color w:val="000000"/>
                <w:sz w:val="18"/>
                <w:szCs w:val="18"/>
                <w:u w:val="none"/>
              </w:rPr>
            </w:pPr>
          </w:p>
        </w:tc>
      </w:tr>
      <w:tr w14:paraId="25A00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9AE1B">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867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B11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0D1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2E15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D5C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38C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C18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EDF81">
            <w:pPr>
              <w:rPr>
                <w:rFonts w:hint="eastAsia" w:ascii="黑体" w:hAnsi="黑体" w:eastAsia="黑体" w:cs="黑体"/>
                <w:i/>
                <w:iCs/>
                <w:color w:val="000000"/>
                <w:sz w:val="18"/>
                <w:szCs w:val="18"/>
                <w:u w:val="none"/>
              </w:rPr>
            </w:pPr>
          </w:p>
        </w:tc>
      </w:tr>
      <w:tr w14:paraId="71809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8B97B">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7E2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686AE">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2C35F">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F4C5D1">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02AE9">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BA4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E79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728EA">
            <w:pPr>
              <w:rPr>
                <w:rFonts w:hint="eastAsia" w:ascii="黑体" w:hAnsi="黑体" w:eastAsia="黑体" w:cs="黑体"/>
                <w:i/>
                <w:iCs/>
                <w:color w:val="000000"/>
                <w:sz w:val="18"/>
                <w:szCs w:val="18"/>
                <w:u w:val="none"/>
              </w:rPr>
            </w:pPr>
          </w:p>
        </w:tc>
      </w:tr>
      <w:tr w14:paraId="2BBBC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081B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49D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E6A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88B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9CC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03E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D53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6B1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81F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A9F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D71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13CB2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F160F">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23FF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C23E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B9F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当年基层卫生人才能力提升培训完成率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E3E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B06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C57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A510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95</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6C2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1FE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F9A92">
            <w:pPr>
              <w:jc w:val="center"/>
              <w:rPr>
                <w:rFonts w:hint="eastAsia" w:ascii="微软雅黑" w:hAnsi="微软雅黑" w:eastAsia="微软雅黑" w:cs="微软雅黑"/>
                <w:i/>
                <w:iCs/>
                <w:color w:val="000000"/>
                <w:sz w:val="16"/>
                <w:szCs w:val="16"/>
                <w:u w:val="none"/>
              </w:rPr>
            </w:pPr>
          </w:p>
        </w:tc>
      </w:tr>
      <w:tr w14:paraId="27E52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B815B">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86585">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D6E9A">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66E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居民电子健康档案管理人数</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660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CE3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47180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7AF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5740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47180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50F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3F6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C19CB">
            <w:pPr>
              <w:jc w:val="center"/>
              <w:rPr>
                <w:rFonts w:hint="eastAsia" w:ascii="微软雅黑" w:hAnsi="微软雅黑" w:eastAsia="微软雅黑" w:cs="微软雅黑"/>
                <w:i/>
                <w:iCs/>
                <w:color w:val="000000"/>
                <w:sz w:val="16"/>
                <w:szCs w:val="16"/>
                <w:u w:val="none"/>
              </w:rPr>
            </w:pPr>
          </w:p>
        </w:tc>
      </w:tr>
      <w:tr w14:paraId="18C85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41FB7">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0ECD1">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08B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038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住院医师规范化培训基地评估合格率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8A6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9BE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C35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06E6C">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95</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4AB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2F4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7504A">
            <w:pPr>
              <w:jc w:val="center"/>
              <w:rPr>
                <w:rFonts w:hint="eastAsia" w:ascii="微软雅黑" w:hAnsi="微软雅黑" w:eastAsia="微软雅黑" w:cs="微软雅黑"/>
                <w:i/>
                <w:iCs/>
                <w:color w:val="000000"/>
                <w:sz w:val="16"/>
                <w:szCs w:val="16"/>
                <w:u w:val="none"/>
              </w:rPr>
            </w:pPr>
          </w:p>
        </w:tc>
      </w:tr>
      <w:tr w14:paraId="70CF4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99C7D">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894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E33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659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提高公共卫生服务均等化水平</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EF9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9BE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优良差</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38E11">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EA1B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C67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6A2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E690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部分建设任务尚未实施，整体效能未完全释放</w:t>
            </w:r>
          </w:p>
        </w:tc>
      </w:tr>
      <w:tr w14:paraId="6653E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48D8F">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A8BB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6300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DEC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基层群众满意度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FA3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6F5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C7F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660F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AB5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CA5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64B6D">
            <w:pPr>
              <w:jc w:val="center"/>
              <w:rPr>
                <w:rFonts w:hint="eastAsia" w:ascii="微软雅黑" w:hAnsi="微软雅黑" w:eastAsia="微软雅黑" w:cs="微软雅黑"/>
                <w:i/>
                <w:iCs/>
                <w:color w:val="000000"/>
                <w:sz w:val="16"/>
                <w:szCs w:val="16"/>
                <w:u w:val="none"/>
              </w:rPr>
            </w:pPr>
          </w:p>
        </w:tc>
      </w:tr>
      <w:tr w14:paraId="718E3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8729E">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6304A">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9B421">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4B3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看病群众满意度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CA0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615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4A8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DA045">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FF8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4E4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71611">
            <w:pPr>
              <w:jc w:val="center"/>
              <w:rPr>
                <w:rFonts w:hint="eastAsia" w:ascii="微软雅黑" w:hAnsi="微软雅黑" w:eastAsia="微软雅黑" w:cs="微软雅黑"/>
                <w:i/>
                <w:iCs/>
                <w:color w:val="000000"/>
                <w:sz w:val="16"/>
                <w:szCs w:val="16"/>
                <w:u w:val="none"/>
              </w:rPr>
            </w:pPr>
          </w:p>
        </w:tc>
      </w:tr>
      <w:tr w14:paraId="4B0F6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12E0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510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384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74E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基本公共卫生服务项目成本</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52D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4FE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23.9</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FE5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50EE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23.9</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4A2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BD0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03CC8">
            <w:pPr>
              <w:jc w:val="center"/>
              <w:rPr>
                <w:rFonts w:hint="eastAsia" w:ascii="微软雅黑" w:hAnsi="微软雅黑" w:eastAsia="微软雅黑" w:cs="微软雅黑"/>
                <w:i/>
                <w:iCs/>
                <w:color w:val="000000"/>
                <w:sz w:val="16"/>
                <w:szCs w:val="16"/>
                <w:u w:val="none"/>
              </w:rPr>
            </w:pPr>
          </w:p>
        </w:tc>
      </w:tr>
      <w:tr w14:paraId="625DF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3524D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A3D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69A94">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88</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3CC9E">
            <w:pPr>
              <w:rPr>
                <w:rFonts w:hint="eastAsia" w:ascii="宋体" w:hAnsi="宋体" w:eastAsia="宋体" w:cs="宋体"/>
                <w:i w:val="0"/>
                <w:iCs w:val="0"/>
                <w:color w:val="000000"/>
                <w:sz w:val="18"/>
                <w:szCs w:val="18"/>
                <w:u w:val="none"/>
              </w:rPr>
            </w:pPr>
          </w:p>
        </w:tc>
      </w:tr>
      <w:tr w14:paraId="02157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070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3F00DB1">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项目自评总分88 分。本年度已完成基层卫生人才培训、居民电子健康档案管理、住培基地评估等工作，群众满意度达标，公共卫生均等化水平得到一定提升。但部分子项目前期手续繁琐，当年资金执行率较低，相关建设任务结转下年继续实施。</w:t>
            </w:r>
          </w:p>
        </w:tc>
      </w:tr>
      <w:tr w14:paraId="6C006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CBD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B1500A9">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项目资金年中才下达，项目启动较晚；部分基建、设备采购环节立项、招标流程多，实施周期长，造成年度资金执行滞后；各子项目统筹推进力度不足；部分项目绩效跟踪管控不够到位。</w:t>
            </w:r>
          </w:p>
        </w:tc>
      </w:tr>
      <w:tr w14:paraId="70A40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C81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2E75A90">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提前谋划项目，做好储备工作，资金下达后加快前期手续办理；压实各子项目推进责任，倒排工期，加快结转项目实施；强化项目全过程跟踪监管，定期调度资金执行进度；完善绩效监控，确保下年度全面完成建设任务，发挥民族地区卫生发展资金效益。</w:t>
            </w:r>
          </w:p>
        </w:tc>
      </w:tr>
      <w:tr w14:paraId="0B112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BF00C24">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项目负责人：刘丹阳</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BFD2B5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350D4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2C90F018">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3BEF13F1">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67CED2B4">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42A6169A">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3E8F79FF">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30AE1048">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2A6BBAAD">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152D188B">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63436935">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66F4B86F">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38A3FE70">
            <w:pPr>
              <w:rPr>
                <w:rFonts w:hint="eastAsia" w:ascii="宋体" w:hAnsi="宋体" w:eastAsia="宋体" w:cs="宋体"/>
                <w:i w:val="0"/>
                <w:iCs w:val="0"/>
                <w:color w:val="000000"/>
                <w:sz w:val="18"/>
                <w:szCs w:val="18"/>
                <w:u w:val="none"/>
              </w:rPr>
            </w:pPr>
          </w:p>
        </w:tc>
      </w:tr>
      <w:tr w14:paraId="232F9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D5D89D3">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55EF7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D6C7D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FC8EAE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51323325T000014051376</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困难农牧民群众大病基金救助</w:t>
            </w:r>
          </w:p>
        </w:tc>
      </w:tr>
      <w:tr w14:paraId="2158A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9A1BF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819AB4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7AB8A26F">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A761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2BAC7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9B95E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D6AAC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FE4BB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FEF6B39">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5B490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57266">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46FEB">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852B1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困难农牧民群众大病基金救助</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2BE4B8F">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按政策开展困难农牧民大病救助审核、资金发放工作，完成部分救助对象补助兑付。受群众申报时间、资料收集审核周期影响，年内未将资金全部支出，剩余额度结转下年继续开展救助。</w:t>
            </w:r>
          </w:p>
        </w:tc>
      </w:tr>
      <w:tr w14:paraId="0E641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9DF0C">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2272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CF687F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本项目年初无预算，年中追加财政预算 48.14 万元。用于对患病的困难农牧民群众开展大病医疗救助，按流程开展对象识别、资料审核、资格复核，对符合条件对象发放救助资金，减轻困难群众大病医疗经济负担。</w:t>
            </w:r>
          </w:p>
        </w:tc>
      </w:tr>
      <w:tr w14:paraId="5FFBA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6269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5BA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BEB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F38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9C60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6E0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845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FC0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B09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79E27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7C0A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A55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60E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FD7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48.14</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E4C1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28.37</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0B4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58.94</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4C0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789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C71B05">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本项目为年中追加财政资金，救助对象申报提交材料时间不均衡，审核流程耗时较长，当年资金未能全部使用，剩余资金结转下年度继续用于大病救助。</w:t>
            </w:r>
          </w:p>
        </w:tc>
      </w:tr>
      <w:tr w14:paraId="61F3D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8E32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ADE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BB4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7B4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48.14</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20415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28.37</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BF6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58.94</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81A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04B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50B46">
            <w:pPr>
              <w:rPr>
                <w:rFonts w:hint="eastAsia" w:ascii="黑体" w:hAnsi="黑体" w:eastAsia="黑体" w:cs="黑体"/>
                <w:i/>
                <w:iCs/>
                <w:color w:val="000000"/>
                <w:sz w:val="18"/>
                <w:szCs w:val="18"/>
                <w:u w:val="none"/>
              </w:rPr>
            </w:pPr>
          </w:p>
        </w:tc>
      </w:tr>
      <w:tr w14:paraId="4487B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9B4F7">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D0E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695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87B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80C1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2F1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AF9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12D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1C202">
            <w:pPr>
              <w:rPr>
                <w:rFonts w:hint="eastAsia" w:ascii="黑体" w:hAnsi="黑体" w:eastAsia="黑体" w:cs="黑体"/>
                <w:i/>
                <w:iCs/>
                <w:color w:val="000000"/>
                <w:sz w:val="18"/>
                <w:szCs w:val="18"/>
                <w:u w:val="none"/>
              </w:rPr>
            </w:pPr>
          </w:p>
        </w:tc>
      </w:tr>
      <w:tr w14:paraId="40145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8E2B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032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8B6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FC7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251A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8EF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A54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AA6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30AD4">
            <w:pPr>
              <w:rPr>
                <w:rFonts w:hint="eastAsia" w:ascii="黑体" w:hAnsi="黑体" w:eastAsia="黑体" w:cs="黑体"/>
                <w:i/>
                <w:iCs/>
                <w:color w:val="000000"/>
                <w:sz w:val="18"/>
                <w:szCs w:val="18"/>
                <w:u w:val="none"/>
              </w:rPr>
            </w:pPr>
          </w:p>
        </w:tc>
      </w:tr>
      <w:tr w14:paraId="510EE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8806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F3E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96BD9">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FA582">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39ED29">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61C35">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6ED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4D8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4F709">
            <w:pPr>
              <w:rPr>
                <w:rFonts w:hint="eastAsia" w:ascii="黑体" w:hAnsi="黑体" w:eastAsia="黑体" w:cs="黑体"/>
                <w:i/>
                <w:iCs/>
                <w:color w:val="000000"/>
                <w:sz w:val="18"/>
                <w:szCs w:val="18"/>
                <w:u w:val="none"/>
              </w:rPr>
            </w:pPr>
          </w:p>
        </w:tc>
      </w:tr>
      <w:tr w14:paraId="7F81D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8AFF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8C0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856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DCA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680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3B1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15C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0A3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0A2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779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D36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62A30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59067">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2AD9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656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39D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基金实际支出总额</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099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DFB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481364</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6A4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A85F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283700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AB4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208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65C4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尚有部分资金待下年度救助使用</w:t>
            </w:r>
          </w:p>
        </w:tc>
      </w:tr>
      <w:tr w14:paraId="6971C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A73CD">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03E46">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43D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A90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困难农牧民群众大病基金救助资金发放的准确性</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379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BA5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F73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D217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1B2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59C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A3B84">
            <w:pPr>
              <w:jc w:val="center"/>
              <w:rPr>
                <w:rFonts w:hint="eastAsia" w:ascii="微软雅黑" w:hAnsi="微软雅黑" w:eastAsia="微软雅黑" w:cs="微软雅黑"/>
                <w:i/>
                <w:iCs/>
                <w:color w:val="000000"/>
                <w:sz w:val="16"/>
                <w:szCs w:val="16"/>
                <w:u w:val="none"/>
              </w:rPr>
            </w:pPr>
          </w:p>
        </w:tc>
      </w:tr>
      <w:tr w14:paraId="0B942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09A3C">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FE1AA">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FDF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AED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困难农牧民群众大病基金救助的及时性</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B33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7E3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89A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DD04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5CC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3D9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66D90">
            <w:pPr>
              <w:jc w:val="center"/>
              <w:rPr>
                <w:rFonts w:hint="eastAsia" w:ascii="微软雅黑" w:hAnsi="微软雅黑" w:eastAsia="微软雅黑" w:cs="微软雅黑"/>
                <w:i/>
                <w:iCs/>
                <w:color w:val="000000"/>
                <w:sz w:val="16"/>
                <w:szCs w:val="16"/>
                <w:u w:val="none"/>
              </w:rPr>
            </w:pPr>
          </w:p>
        </w:tc>
      </w:tr>
      <w:tr w14:paraId="70443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70377">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C66C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B6B4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BBF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促进卫生健康事业发展</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9B8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827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优良差</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E91E7">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99F4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AF3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55C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CF6B7">
            <w:pPr>
              <w:jc w:val="center"/>
              <w:rPr>
                <w:rFonts w:hint="eastAsia" w:ascii="微软雅黑" w:hAnsi="微软雅黑" w:eastAsia="微软雅黑" w:cs="微软雅黑"/>
                <w:i/>
                <w:iCs/>
                <w:color w:val="000000"/>
                <w:sz w:val="16"/>
                <w:szCs w:val="16"/>
                <w:u w:val="none"/>
              </w:rPr>
            </w:pPr>
          </w:p>
        </w:tc>
      </w:tr>
      <w:tr w14:paraId="4572A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39F68">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018F7">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AE7DD">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3C3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受益人数</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4AF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602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31F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CDEB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28</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BE6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98D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2749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部分待救助对象下年度受理</w:t>
            </w:r>
          </w:p>
        </w:tc>
      </w:tr>
      <w:tr w14:paraId="21393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3D424">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97F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071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28A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受益对象满意程度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988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A61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E8C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D22D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4BA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588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469B1">
            <w:pPr>
              <w:jc w:val="center"/>
              <w:rPr>
                <w:rFonts w:hint="eastAsia" w:ascii="微软雅黑" w:hAnsi="微软雅黑" w:eastAsia="微软雅黑" w:cs="微软雅黑"/>
                <w:i/>
                <w:iCs/>
                <w:color w:val="000000"/>
                <w:sz w:val="16"/>
                <w:szCs w:val="16"/>
                <w:u w:val="none"/>
              </w:rPr>
            </w:pPr>
          </w:p>
        </w:tc>
      </w:tr>
      <w:tr w14:paraId="4C4EF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6B13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C09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A78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240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总投入481364元</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C9A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E6B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481364</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647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ACF38">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481364</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691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6B8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B1615">
            <w:pPr>
              <w:jc w:val="center"/>
              <w:rPr>
                <w:rFonts w:hint="eastAsia" w:ascii="微软雅黑" w:hAnsi="微软雅黑" w:eastAsia="微软雅黑" w:cs="微软雅黑"/>
                <w:i/>
                <w:iCs/>
                <w:color w:val="000000"/>
                <w:sz w:val="16"/>
                <w:szCs w:val="16"/>
                <w:u w:val="none"/>
              </w:rPr>
            </w:pPr>
          </w:p>
        </w:tc>
      </w:tr>
      <w:tr w14:paraId="0F3A6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3F81A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69B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5913A">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60C24">
            <w:pPr>
              <w:rPr>
                <w:rFonts w:hint="eastAsia" w:ascii="宋体" w:hAnsi="宋体" w:eastAsia="宋体" w:cs="宋体"/>
                <w:i w:val="0"/>
                <w:iCs w:val="0"/>
                <w:color w:val="000000"/>
                <w:sz w:val="18"/>
                <w:szCs w:val="18"/>
                <w:u w:val="none"/>
              </w:rPr>
            </w:pPr>
          </w:p>
        </w:tc>
      </w:tr>
      <w:tr w14:paraId="047A0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FF3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7B299B5">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项目自评总分85 分。本年度对符合条件的困难农牧民开展大病救助，已发放资金做到准确及时，切实减轻部分大病群众医疗负担，受益对象满意度较高。因群众申报时间不确定，年度资金执行未达预期，剩余资金结转下年继续用于大病救助工作。</w:t>
            </w:r>
          </w:p>
        </w:tc>
      </w:tr>
      <w:tr w14:paraId="2EF4A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8E8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17E038C">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资金年中下达，前期宣传覆盖面有限；牧区群众居住分散，申报材料收集递交不及时；救助受理审核周期长，导致当年资金支出进度偏慢；对政策的入户宣传引导力度有待加强。</w:t>
            </w:r>
          </w:p>
        </w:tc>
      </w:tr>
      <w:tr w14:paraId="74CCF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E61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E8515D9">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加大大病救助政策宣传，拓宽群众知晓渠道；优化申报受理流程，方便牧区群众提交资料；建立常态化摸排机制，主动摸排困难患病农牧民；加快结转资金使用，强化资金动态监控；严格把好审核关口，保障救助资金精准惠及困难群众。</w:t>
            </w:r>
          </w:p>
        </w:tc>
      </w:tr>
      <w:tr w14:paraId="67183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7C3A47D">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项目负责人：扎西拉吉</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CEB30F2">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1AE7D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6DD57031">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17CF0270">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43B7EE86">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0E2AB65B">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1CFB52DE">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1B96E32B">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62631A6F">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25F1703C">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2DC927FD">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61D2354A">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553F2B10">
            <w:pPr>
              <w:rPr>
                <w:rFonts w:hint="eastAsia" w:ascii="宋体" w:hAnsi="宋体" w:eastAsia="宋体" w:cs="宋体"/>
                <w:i w:val="0"/>
                <w:iCs w:val="0"/>
                <w:color w:val="000000"/>
                <w:sz w:val="18"/>
                <w:szCs w:val="18"/>
                <w:u w:val="none"/>
              </w:rPr>
            </w:pPr>
          </w:p>
        </w:tc>
      </w:tr>
      <w:tr w14:paraId="410F2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E078E9B">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4312C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B5994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EC8286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51323326T000014107154</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红原县安曲镇卫生院能力提升改造项目</w:t>
            </w:r>
          </w:p>
        </w:tc>
      </w:tr>
      <w:tr w14:paraId="40D3C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DD289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452868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666FC6F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14EA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67E0B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926B8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08C9B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442E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5ACFD8">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7B96D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10061">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2FFA0">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C6F04D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1.房屋修缮：门诊楼、医废暂存间等房屋屋面451㎡漏水处理；院内房屋及外墙维修补漆等1600㎡；2.基础设施提升：地面硬化800㎡，新建排水沟50米，医废间防盗门更换2道，线路老化改造及地下水井维修等。</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7F8685">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已完成屋面防水、外墙补漆、地面硬化、排水沟、线路、水井维修等全部改造内容，项目竣工验收合格。工程结算审减形成少量结余，卫生院就医环境得到明显改善。</w:t>
            </w:r>
          </w:p>
        </w:tc>
      </w:tr>
      <w:tr w14:paraId="09D5E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051D5">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D6B6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FBB5F2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本项目年初无预算，年中追加财政预算 50.00 万元，用于安曲镇卫生院能力提升改造。开展屋面漏水治理、外墙修缮补漆、地面硬化、排水沟新建、防盗门更换、线路改造及水井维修，严格落实工程管理，组织施工监理及竣工验收，改善卫生院诊疗基础设施条件。</w:t>
            </w:r>
          </w:p>
        </w:tc>
      </w:tr>
      <w:tr w14:paraId="3B8EC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FE34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5EE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75B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200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9A2B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5E2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14A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8E8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03F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5A159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C03AB">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C08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CE0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814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62F7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48.10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4E5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96.20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4BE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996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1A74E7">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本项目为年中追加财政资金，项目全部完工验收，因工程结算审减产生少量资金结余，项目建设任务全部完成。</w:t>
            </w:r>
          </w:p>
        </w:tc>
      </w:tr>
      <w:tr w14:paraId="0DA25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C775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04A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9ED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970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1A63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48.10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C06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96.20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1FB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78E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6587D">
            <w:pPr>
              <w:rPr>
                <w:rFonts w:hint="eastAsia" w:ascii="黑体" w:hAnsi="黑体" w:eastAsia="黑体" w:cs="黑体"/>
                <w:i/>
                <w:iCs/>
                <w:color w:val="000000"/>
                <w:sz w:val="18"/>
                <w:szCs w:val="18"/>
                <w:u w:val="none"/>
              </w:rPr>
            </w:pPr>
          </w:p>
        </w:tc>
      </w:tr>
      <w:tr w14:paraId="453C8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E604E">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43C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23D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A4D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632E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CD6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933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A8A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FB251">
            <w:pPr>
              <w:rPr>
                <w:rFonts w:hint="eastAsia" w:ascii="黑体" w:hAnsi="黑体" w:eastAsia="黑体" w:cs="黑体"/>
                <w:i/>
                <w:iCs/>
                <w:color w:val="000000"/>
                <w:sz w:val="18"/>
                <w:szCs w:val="18"/>
                <w:u w:val="none"/>
              </w:rPr>
            </w:pPr>
          </w:p>
        </w:tc>
      </w:tr>
      <w:tr w14:paraId="066A7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06E3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408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B0A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8B0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0975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010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E65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038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F9CC1">
            <w:pPr>
              <w:rPr>
                <w:rFonts w:hint="eastAsia" w:ascii="黑体" w:hAnsi="黑体" w:eastAsia="黑体" w:cs="黑体"/>
                <w:i/>
                <w:iCs/>
                <w:color w:val="000000"/>
                <w:sz w:val="18"/>
                <w:szCs w:val="18"/>
                <w:u w:val="none"/>
              </w:rPr>
            </w:pPr>
          </w:p>
        </w:tc>
      </w:tr>
      <w:tr w14:paraId="7D35B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A8F1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1CD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455D4">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4124F">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BB41AF">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DDF49">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F81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E29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2CEED">
            <w:pPr>
              <w:rPr>
                <w:rFonts w:hint="eastAsia" w:ascii="黑体" w:hAnsi="黑体" w:eastAsia="黑体" w:cs="黑体"/>
                <w:i/>
                <w:iCs/>
                <w:color w:val="000000"/>
                <w:sz w:val="18"/>
                <w:szCs w:val="18"/>
                <w:u w:val="none"/>
              </w:rPr>
            </w:pPr>
          </w:p>
        </w:tc>
      </w:tr>
      <w:tr w14:paraId="0F138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A7A0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26A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081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D03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092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CC5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7E2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FCD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068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DCF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CD4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42EBE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77CA3">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4452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DDD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A78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地面硬化面积</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BF6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C4D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C46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DFBC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800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0C0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6D4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6E0F3">
            <w:pPr>
              <w:jc w:val="center"/>
              <w:rPr>
                <w:rFonts w:hint="eastAsia" w:ascii="微软雅黑" w:hAnsi="微软雅黑" w:eastAsia="微软雅黑" w:cs="微软雅黑"/>
                <w:i/>
                <w:iCs/>
                <w:color w:val="000000"/>
                <w:sz w:val="16"/>
                <w:szCs w:val="16"/>
                <w:u w:val="none"/>
              </w:rPr>
            </w:pPr>
          </w:p>
        </w:tc>
      </w:tr>
      <w:tr w14:paraId="645BC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5C30E">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6626F">
            <w:pPr>
              <w:jc w:val="center"/>
              <w:rPr>
                <w:rFonts w:hint="eastAsia" w:ascii="宋体" w:hAnsi="宋体" w:eastAsia="宋体" w:cs="宋体"/>
                <w:i w:val="0"/>
                <w:iCs w:val="0"/>
                <w:color w:val="000000"/>
                <w:sz w:val="18"/>
                <w:szCs w:val="18"/>
                <w:u w:val="none"/>
              </w:rPr>
            </w:pP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1701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A9B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工程验收合格率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6B5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FCE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7BA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A1BE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D92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C2E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59F03">
            <w:pPr>
              <w:jc w:val="center"/>
              <w:rPr>
                <w:rFonts w:hint="eastAsia" w:ascii="微软雅黑" w:hAnsi="微软雅黑" w:eastAsia="微软雅黑" w:cs="微软雅黑"/>
                <w:i/>
                <w:iCs/>
                <w:color w:val="000000"/>
                <w:sz w:val="16"/>
                <w:szCs w:val="16"/>
                <w:u w:val="none"/>
              </w:rPr>
            </w:pPr>
          </w:p>
        </w:tc>
      </w:tr>
      <w:tr w14:paraId="51E04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03E7E">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43B09">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EC105">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5E5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医务人员培训考核通过率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EA6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EDD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606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4708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470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4A2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BE7AE">
            <w:pPr>
              <w:jc w:val="center"/>
              <w:rPr>
                <w:rFonts w:hint="eastAsia" w:ascii="微软雅黑" w:hAnsi="微软雅黑" w:eastAsia="微软雅黑" w:cs="微软雅黑"/>
                <w:i/>
                <w:iCs/>
                <w:color w:val="000000"/>
                <w:sz w:val="16"/>
                <w:szCs w:val="16"/>
                <w:u w:val="none"/>
              </w:rPr>
            </w:pPr>
          </w:p>
        </w:tc>
      </w:tr>
      <w:tr w14:paraId="0A29C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97953">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AE7F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1DE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F5F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辖区内门诊服务量增长率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462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B2E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C0E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ED1F8">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3</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6B0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77F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786DA">
            <w:pPr>
              <w:jc w:val="center"/>
              <w:rPr>
                <w:rFonts w:hint="eastAsia" w:ascii="微软雅黑" w:hAnsi="微软雅黑" w:eastAsia="微软雅黑" w:cs="微软雅黑"/>
                <w:i/>
                <w:iCs/>
                <w:color w:val="000000"/>
                <w:sz w:val="16"/>
                <w:szCs w:val="16"/>
                <w:u w:val="none"/>
              </w:rPr>
            </w:pPr>
          </w:p>
        </w:tc>
      </w:tr>
      <w:tr w14:paraId="3AFB9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23455">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DCAD6">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5FA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259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卫生院服务能力稳定提升持续时间</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F30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06A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长期</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39EFE">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7FB1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长期</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7DF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D71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9A9D2">
            <w:pPr>
              <w:jc w:val="center"/>
              <w:rPr>
                <w:rFonts w:hint="eastAsia" w:ascii="微软雅黑" w:hAnsi="微软雅黑" w:eastAsia="微软雅黑" w:cs="微软雅黑"/>
                <w:i/>
                <w:iCs/>
                <w:color w:val="000000"/>
                <w:sz w:val="16"/>
                <w:szCs w:val="16"/>
                <w:u w:val="none"/>
              </w:rPr>
            </w:pPr>
          </w:p>
        </w:tc>
      </w:tr>
      <w:tr w14:paraId="57387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BD1D4">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27B4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DB9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A94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05D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6EB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1B4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D26B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8AC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EDE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42FEF">
            <w:pPr>
              <w:jc w:val="center"/>
              <w:rPr>
                <w:rFonts w:hint="eastAsia" w:ascii="微软雅黑" w:hAnsi="微软雅黑" w:eastAsia="微软雅黑" w:cs="微软雅黑"/>
                <w:i/>
                <w:iCs/>
                <w:color w:val="000000"/>
                <w:sz w:val="16"/>
                <w:szCs w:val="16"/>
                <w:u w:val="none"/>
              </w:rPr>
            </w:pPr>
          </w:p>
        </w:tc>
      </w:tr>
      <w:tr w14:paraId="7987E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3BCBB">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1C1E1">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4C9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D36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医务人员对环境满意度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591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21F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1F5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FE02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EA3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BF0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BA6A9">
            <w:pPr>
              <w:jc w:val="center"/>
              <w:rPr>
                <w:rFonts w:hint="eastAsia" w:ascii="微软雅黑" w:hAnsi="微软雅黑" w:eastAsia="微软雅黑" w:cs="微软雅黑"/>
                <w:i/>
                <w:iCs/>
                <w:color w:val="000000"/>
                <w:sz w:val="16"/>
                <w:szCs w:val="16"/>
                <w:u w:val="none"/>
              </w:rPr>
            </w:pPr>
          </w:p>
        </w:tc>
      </w:tr>
      <w:tr w14:paraId="6E045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77814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AEA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207BB">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EBD27">
            <w:pPr>
              <w:rPr>
                <w:rFonts w:hint="eastAsia" w:ascii="宋体" w:hAnsi="宋体" w:eastAsia="宋体" w:cs="宋体"/>
                <w:i w:val="0"/>
                <w:iCs w:val="0"/>
                <w:color w:val="000000"/>
                <w:sz w:val="18"/>
                <w:szCs w:val="18"/>
                <w:u w:val="none"/>
              </w:rPr>
            </w:pPr>
          </w:p>
        </w:tc>
      </w:tr>
      <w:tr w14:paraId="5095E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A88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99178D1">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安曲镇卫生院能力提升改造项目全部完工并验收合格，屋面防水、外墙修缮、地面硬化、给排水、电路等基础设施全面升级。院内诊疗环境显著改善，医务人员培训考核达标，门诊量实现稳步增长，患者及医务人员满意度均达标，有效夯实基层卫生院服务硬件基础。</w:t>
            </w:r>
          </w:p>
        </w:tc>
      </w:tr>
      <w:tr w14:paraId="00AAC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84A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631D29A">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高原地区施工受气候条件约束，有效施工周期短；项目完工后设施常态化巡检维护机制不够细化；项目全过程影像、签证等工程档案资料收集整理还可以进一步完善。</w:t>
            </w:r>
          </w:p>
        </w:tc>
      </w:tr>
      <w:tr w14:paraId="06457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0F4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341D2E6">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后续同类项目充分考虑高原气候，合理安排施工工期；落实卫生院主体责任，建立建筑、水电设施定期巡检维护制度；规范小型基建项目档案管理，完整留存施工、签证、验收资料；依托改善后的硬件条件，持续强化业务能力建设，更好服务辖区农牧民群众。</w:t>
            </w:r>
          </w:p>
        </w:tc>
      </w:tr>
      <w:tr w14:paraId="6AFBD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79E00C">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项目负责人：刘丹阳</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30FFD81">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16ECA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737806F0">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1590E6A7">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74B5A46F">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1F44B7F1">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1A4E0429">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03D03BAE">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5E0BD48E">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3D420A96">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3F87CDEA">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23F6EA2E">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5179E3A7">
            <w:pPr>
              <w:rPr>
                <w:rFonts w:hint="eastAsia" w:ascii="宋体" w:hAnsi="宋体" w:eastAsia="宋体" w:cs="宋体"/>
                <w:i w:val="0"/>
                <w:iCs w:val="0"/>
                <w:color w:val="000000"/>
                <w:sz w:val="18"/>
                <w:szCs w:val="18"/>
                <w:u w:val="none"/>
              </w:rPr>
            </w:pPr>
          </w:p>
        </w:tc>
      </w:tr>
      <w:tr w14:paraId="57D56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AADFB4B">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2353D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A1175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AAA4EF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51323326T000014126077</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农村定向学生专科生引进项目</w:t>
            </w:r>
          </w:p>
        </w:tc>
      </w:tr>
      <w:tr w14:paraId="30F65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9D152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D0383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2B95D6D9">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43D2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125EB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0EB2B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02005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BD00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C99123E">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58A98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A6399">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80258">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0502B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xml:space="preserve">红原县共引进 1名定向医学专科生；定向生在基层连续服务满 6 年；基层医疗服务满意度稳步提升。项目预算明确省财政按 3 万元 </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 xml:space="preserve"> 人予以补助，分三年到位（每人每年 1 万元），预算测算依据清晰，无漏项。</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CC6224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完成 1 名农村定向医学专科生引进工作，本年度 1 万元补助资金足额发放到位。定向生已到基层岗位履职，服务年限按协议持续执行，辖区群众基层医疗服务满意度稳步提升。</w:t>
            </w:r>
          </w:p>
        </w:tc>
      </w:tr>
      <w:tr w14:paraId="0557F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BA6A4">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5B5A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99372C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本项目年初无预算，年中追加财政预算 1.00 万元，用于农村定向医学专科生补助发放。按照政策标准落实年度补助，做好定向生岗位安置、日常管理，督促履行 6 年基层服务协议，充实我县基层医疗卫生人才队伍，提升基层医疗服务水平。</w:t>
            </w:r>
          </w:p>
        </w:tc>
      </w:tr>
      <w:tr w14:paraId="0C76A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C56C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1C1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2AE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055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3EA8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39F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904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506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07D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07BF4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8CE1F">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C05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3FC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705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48A3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BF5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A72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5B1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CB8C42">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本项目为年中追加财政资金，补助资金已按政策标准全部发放到位，预算执行完毕。</w:t>
            </w:r>
          </w:p>
        </w:tc>
      </w:tr>
      <w:tr w14:paraId="131EE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1E291">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A27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B81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6B5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FCB5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C44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92E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47B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734F4">
            <w:pPr>
              <w:rPr>
                <w:rFonts w:hint="eastAsia" w:ascii="黑体" w:hAnsi="黑体" w:eastAsia="黑体" w:cs="黑体"/>
                <w:i/>
                <w:iCs/>
                <w:color w:val="000000"/>
                <w:sz w:val="18"/>
                <w:szCs w:val="18"/>
                <w:u w:val="none"/>
              </w:rPr>
            </w:pPr>
          </w:p>
        </w:tc>
      </w:tr>
      <w:tr w14:paraId="56B3D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BECC3">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904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230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045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7C3D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263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707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5D4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CF105">
            <w:pPr>
              <w:rPr>
                <w:rFonts w:hint="eastAsia" w:ascii="黑体" w:hAnsi="黑体" w:eastAsia="黑体" w:cs="黑体"/>
                <w:i/>
                <w:iCs/>
                <w:color w:val="000000"/>
                <w:sz w:val="18"/>
                <w:szCs w:val="18"/>
                <w:u w:val="none"/>
              </w:rPr>
            </w:pPr>
          </w:p>
        </w:tc>
      </w:tr>
      <w:tr w14:paraId="5C256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BEE6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B31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393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8E5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CCCB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E58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B76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372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1C9EC">
            <w:pPr>
              <w:rPr>
                <w:rFonts w:hint="eastAsia" w:ascii="黑体" w:hAnsi="黑体" w:eastAsia="黑体" w:cs="黑体"/>
                <w:i/>
                <w:iCs/>
                <w:color w:val="000000"/>
                <w:sz w:val="18"/>
                <w:szCs w:val="18"/>
                <w:u w:val="none"/>
              </w:rPr>
            </w:pPr>
          </w:p>
        </w:tc>
      </w:tr>
      <w:tr w14:paraId="22A96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2672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62E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55EBC">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C94CF">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8FE48D">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18A66">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119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E96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BB0AF">
            <w:pPr>
              <w:rPr>
                <w:rFonts w:hint="eastAsia" w:ascii="黑体" w:hAnsi="黑体" w:eastAsia="黑体" w:cs="黑体"/>
                <w:i/>
                <w:iCs/>
                <w:color w:val="000000"/>
                <w:sz w:val="18"/>
                <w:szCs w:val="18"/>
                <w:u w:val="none"/>
              </w:rPr>
            </w:pPr>
          </w:p>
        </w:tc>
      </w:tr>
      <w:tr w14:paraId="11876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679C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1C7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E7C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5E2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562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97B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25D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F1E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650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0DA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261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4FF0D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576E16">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8B43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6A6B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F75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资金到位率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DCF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AB8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248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AD92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410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D39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0DE7B">
            <w:pPr>
              <w:jc w:val="center"/>
              <w:rPr>
                <w:rFonts w:hint="eastAsia" w:ascii="微软雅黑" w:hAnsi="微软雅黑" w:eastAsia="微软雅黑" w:cs="微软雅黑"/>
                <w:i/>
                <w:iCs/>
                <w:color w:val="000000"/>
                <w:sz w:val="16"/>
                <w:szCs w:val="16"/>
                <w:u w:val="none"/>
              </w:rPr>
            </w:pPr>
          </w:p>
        </w:tc>
      </w:tr>
      <w:tr w14:paraId="4F18E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B69BB">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8469C">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DB0ED">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1CD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引进农村定向医学专科生</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C6F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53E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11E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176C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83C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E29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A3C2A">
            <w:pPr>
              <w:jc w:val="center"/>
              <w:rPr>
                <w:rFonts w:hint="eastAsia" w:ascii="微软雅黑" w:hAnsi="微软雅黑" w:eastAsia="微软雅黑" w:cs="微软雅黑"/>
                <w:i/>
                <w:iCs/>
                <w:color w:val="000000"/>
                <w:sz w:val="16"/>
                <w:szCs w:val="16"/>
                <w:u w:val="none"/>
              </w:rPr>
            </w:pPr>
          </w:p>
        </w:tc>
      </w:tr>
      <w:tr w14:paraId="3FB2F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FE192">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F3AC3">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BF2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5BE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EFF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542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434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3045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58E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5DC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85E54">
            <w:pPr>
              <w:jc w:val="center"/>
              <w:rPr>
                <w:rFonts w:hint="eastAsia" w:ascii="微软雅黑" w:hAnsi="微软雅黑" w:eastAsia="微软雅黑" w:cs="微软雅黑"/>
                <w:i/>
                <w:iCs/>
                <w:color w:val="000000"/>
                <w:sz w:val="16"/>
                <w:szCs w:val="16"/>
                <w:u w:val="none"/>
              </w:rPr>
            </w:pPr>
          </w:p>
        </w:tc>
      </w:tr>
      <w:tr w14:paraId="59320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D6F83">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4D5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F83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09F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服务基层年限达标率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7FC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512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B2F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CADC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0A6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503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F9F17">
            <w:pPr>
              <w:jc w:val="center"/>
              <w:rPr>
                <w:rFonts w:hint="eastAsia" w:ascii="微软雅黑" w:hAnsi="微软雅黑" w:eastAsia="微软雅黑" w:cs="微软雅黑"/>
                <w:i/>
                <w:iCs/>
                <w:color w:val="000000"/>
                <w:sz w:val="16"/>
                <w:szCs w:val="16"/>
                <w:u w:val="none"/>
              </w:rPr>
            </w:pPr>
          </w:p>
        </w:tc>
      </w:tr>
      <w:tr w14:paraId="17549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5C3BB">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3ECA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C51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CBB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农村居民对引进人才满意度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1C2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E6A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C1F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4602C">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89E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43B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EBB4A">
            <w:pPr>
              <w:jc w:val="center"/>
              <w:rPr>
                <w:rFonts w:hint="eastAsia" w:ascii="微软雅黑" w:hAnsi="微软雅黑" w:eastAsia="微软雅黑" w:cs="微软雅黑"/>
                <w:i/>
                <w:iCs/>
                <w:color w:val="000000"/>
                <w:sz w:val="16"/>
                <w:szCs w:val="16"/>
                <w:u w:val="none"/>
              </w:rPr>
            </w:pPr>
          </w:p>
        </w:tc>
      </w:tr>
      <w:tr w14:paraId="6B0D8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4B895">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0FD72">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0B9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4F0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引进学生对工作安排和发展环境满意度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AFB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71F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91D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6F09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91C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15A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C50DE">
            <w:pPr>
              <w:jc w:val="center"/>
              <w:rPr>
                <w:rFonts w:hint="eastAsia" w:ascii="微软雅黑" w:hAnsi="微软雅黑" w:eastAsia="微软雅黑" w:cs="微软雅黑"/>
                <w:i/>
                <w:iCs/>
                <w:color w:val="000000"/>
                <w:sz w:val="16"/>
                <w:szCs w:val="16"/>
                <w:u w:val="none"/>
              </w:rPr>
            </w:pPr>
          </w:p>
        </w:tc>
      </w:tr>
      <w:tr w14:paraId="4D056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92E03">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7CD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D0A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C2E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每年补助标准</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68C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F45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F37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4F7D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BFA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45E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A991D">
            <w:pPr>
              <w:jc w:val="center"/>
              <w:rPr>
                <w:rFonts w:hint="eastAsia" w:ascii="微软雅黑" w:hAnsi="微软雅黑" w:eastAsia="微软雅黑" w:cs="微软雅黑"/>
                <w:i/>
                <w:iCs/>
                <w:color w:val="000000"/>
                <w:sz w:val="16"/>
                <w:szCs w:val="16"/>
                <w:u w:val="none"/>
              </w:rPr>
            </w:pPr>
          </w:p>
        </w:tc>
      </w:tr>
      <w:tr w14:paraId="2F847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1FAF2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E29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5CD5A">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5DC1E">
            <w:pPr>
              <w:rPr>
                <w:rFonts w:hint="eastAsia" w:ascii="宋体" w:hAnsi="宋体" w:eastAsia="宋体" w:cs="宋体"/>
                <w:i w:val="0"/>
                <w:iCs w:val="0"/>
                <w:color w:val="000000"/>
                <w:sz w:val="18"/>
                <w:szCs w:val="18"/>
                <w:u w:val="none"/>
              </w:rPr>
            </w:pPr>
          </w:p>
        </w:tc>
      </w:tr>
      <w:tr w14:paraId="394C1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A71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B929C2F">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分。本年度完成 1 名农村定向医学专科生引进安置，足额发放年度补助资金。定向生到基层医疗机构上岗履职，充实基层医务力量，群众及定向生本人满意度均达标，人才履约管理有序推进，助力缓解基层医疗卫生人才短缺问题。</w:t>
            </w:r>
          </w:p>
        </w:tc>
      </w:tr>
      <w:tr w14:paraId="1F9A4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150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FAD8EE3">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高原基层工作条件艰苦，定向人才长期稳定留存存在压力；针对定向生后续继续教育、业务提升培训较少；人才跟踪管理机制还需完善；服务履约过程日常记录归档不够细致。）</w:t>
            </w:r>
          </w:p>
        </w:tc>
      </w:tr>
      <w:tr w14:paraId="0801C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A28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D2BA932">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完善定向生关心关爱措施，改善工作生活条件；常态化开展业务培训，提升定向生业务能力；强化协议履约跟踪管理，做好服务年限动态监管；完善定向人才档案，做好履职情况记录；用好定向人才政策，持续充实基层医疗队伍力量。</w:t>
            </w:r>
          </w:p>
        </w:tc>
      </w:tr>
      <w:tr w14:paraId="1BA6B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E9CA484">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项目负责人：李隆周格初</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3D2B684">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59A1C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27E3392F">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16C1DF93">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4EF5604B">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08F40048">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3326990D">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07A345DB">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49BC4E91">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5DC6904F">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7009D2B3">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788035ED">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61AAC5C6">
            <w:pPr>
              <w:rPr>
                <w:rFonts w:hint="eastAsia" w:ascii="宋体" w:hAnsi="宋体" w:eastAsia="宋体" w:cs="宋体"/>
                <w:i w:val="0"/>
                <w:iCs w:val="0"/>
                <w:color w:val="000000"/>
                <w:sz w:val="18"/>
                <w:szCs w:val="18"/>
                <w:u w:val="none"/>
              </w:rPr>
            </w:pPr>
          </w:p>
        </w:tc>
      </w:tr>
      <w:tr w14:paraId="74E64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694B9D8">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7BCAB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3363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D384D5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51323326T000014563302</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红原县群众工作“石榴籽”工程健康保障行动</w:t>
            </w:r>
          </w:p>
        </w:tc>
      </w:tr>
      <w:tr w14:paraId="6300C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5BA08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7364E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35251AA5">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D1BB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23365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5CE56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AB1A5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1545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87CD4D0">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1465E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55090">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72CC4">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15860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整合医疗资源，创新服务模式，着力解决群众看病难、看病贵、预防弱等问题。构建覆盖全民、优质均衡的卫生健康服务体系。</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7B195C">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有序开展健康宣教、巡回医疗、便民诊疗等工作，部分任务已落地见效。部分设备采购、服务项目前期筹备周期较长，未能年内全部实施，剩余资金结转下年继续推进项目建设。</w:t>
            </w:r>
          </w:p>
        </w:tc>
      </w:tr>
      <w:tr w14:paraId="429AF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8461C9">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2D7E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9DCBD9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本项目年初无预算，年中追加财政预算 234.57 万元。依托 “石榴籽” 工程开展健康保障行动，整合县域医疗卫生资源，开展巡回义诊、健康科普、便民就医服务，优化基层健康服务供给，缓解群众看病就医难题，推进均衡普惠的健康服务体系建设。</w:t>
            </w:r>
          </w:p>
        </w:tc>
      </w:tr>
      <w:tr w14:paraId="57FB1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D443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80B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5F1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549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E332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26C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A02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F43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E41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3616D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199FB">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AF2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DE3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C38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234.57</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FFD7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193.33</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4AC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82.42</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8E6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886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52D945">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本项目为年中追加财政资金，部分服务及采购事项前期准备、招标流程耗时较长，年度未全部实施完毕，剩余资金结转下年度继续使用。</w:t>
            </w:r>
          </w:p>
        </w:tc>
      </w:tr>
      <w:tr w14:paraId="75B40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48FA3">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C6B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1F7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674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234.57</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1DF6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193.33</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1E6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82.42</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2F1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28E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F4AB8">
            <w:pPr>
              <w:rPr>
                <w:rFonts w:hint="eastAsia" w:ascii="黑体" w:hAnsi="黑体" w:eastAsia="黑体" w:cs="黑体"/>
                <w:i/>
                <w:iCs/>
                <w:color w:val="000000"/>
                <w:sz w:val="18"/>
                <w:szCs w:val="18"/>
                <w:u w:val="none"/>
              </w:rPr>
            </w:pPr>
          </w:p>
        </w:tc>
      </w:tr>
      <w:tr w14:paraId="51B94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4CAB3">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2ED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DD6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A72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4F81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0A3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0AB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A18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BA956">
            <w:pPr>
              <w:rPr>
                <w:rFonts w:hint="eastAsia" w:ascii="黑体" w:hAnsi="黑体" w:eastAsia="黑体" w:cs="黑体"/>
                <w:i/>
                <w:iCs/>
                <w:color w:val="000000"/>
                <w:sz w:val="18"/>
                <w:szCs w:val="18"/>
                <w:u w:val="none"/>
              </w:rPr>
            </w:pPr>
          </w:p>
        </w:tc>
      </w:tr>
      <w:tr w14:paraId="5F830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E22FB">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208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569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038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9BFC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D82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FB7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907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8081B">
            <w:pPr>
              <w:rPr>
                <w:rFonts w:hint="eastAsia" w:ascii="黑体" w:hAnsi="黑体" w:eastAsia="黑体" w:cs="黑体"/>
                <w:i/>
                <w:iCs/>
                <w:color w:val="000000"/>
                <w:sz w:val="18"/>
                <w:szCs w:val="18"/>
                <w:u w:val="none"/>
              </w:rPr>
            </w:pPr>
          </w:p>
        </w:tc>
      </w:tr>
      <w:tr w14:paraId="5A185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EB25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AD5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9552D">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04F18">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58D316">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6EF03">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29E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7C0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D05A3">
            <w:pPr>
              <w:rPr>
                <w:rFonts w:hint="eastAsia" w:ascii="黑体" w:hAnsi="黑体" w:eastAsia="黑体" w:cs="黑体"/>
                <w:i/>
                <w:iCs/>
                <w:color w:val="000000"/>
                <w:sz w:val="18"/>
                <w:szCs w:val="18"/>
                <w:u w:val="none"/>
              </w:rPr>
            </w:pPr>
          </w:p>
        </w:tc>
      </w:tr>
      <w:tr w14:paraId="7A13D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890C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C2C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7E0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B22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EE8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947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4E9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735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0E6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B48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B7B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5FD39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EEC8F">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3AF9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760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02A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88A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200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EB5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E3DE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83</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47F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C28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1613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部分子项目结转下年实施</w:t>
            </w:r>
          </w:p>
        </w:tc>
      </w:tr>
      <w:tr w14:paraId="211D4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94506">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2A0AC">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885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6D7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服务质反馈</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040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A7E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19D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A5E3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AF3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4DB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926CF">
            <w:pPr>
              <w:jc w:val="center"/>
              <w:rPr>
                <w:rFonts w:hint="eastAsia" w:ascii="微软雅黑" w:hAnsi="微软雅黑" w:eastAsia="微软雅黑" w:cs="微软雅黑"/>
                <w:i/>
                <w:iCs/>
                <w:color w:val="000000"/>
                <w:sz w:val="16"/>
                <w:szCs w:val="16"/>
                <w:u w:val="none"/>
              </w:rPr>
            </w:pPr>
          </w:p>
        </w:tc>
      </w:tr>
      <w:tr w14:paraId="1D871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2AE3D">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3DA0F">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B1F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CDF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2025年12月31日</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6B3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8E2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881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DB8FC">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部分任务跨年度实施</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9B5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152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A808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部分采购服务周期长，跨年度推进</w:t>
            </w:r>
          </w:p>
        </w:tc>
      </w:tr>
      <w:tr w14:paraId="21AA8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0F015">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448C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D7D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A92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群众满意反馈</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907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E8C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601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88C08">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696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5F7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4A664">
            <w:pPr>
              <w:jc w:val="center"/>
              <w:rPr>
                <w:rFonts w:hint="eastAsia" w:ascii="微软雅黑" w:hAnsi="微软雅黑" w:eastAsia="微软雅黑" w:cs="微软雅黑"/>
                <w:i/>
                <w:iCs/>
                <w:color w:val="000000"/>
                <w:sz w:val="16"/>
                <w:szCs w:val="16"/>
                <w:u w:val="none"/>
              </w:rPr>
            </w:pPr>
          </w:p>
        </w:tc>
      </w:tr>
      <w:tr w14:paraId="776AF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F82CC">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5D000">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12D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D30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“石榴籽”工程健康惠民行动</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C82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549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优良差</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D90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318C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良</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2E4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844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E0EC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项目尚未全部落地，整体效益未完全释放</w:t>
            </w:r>
          </w:p>
        </w:tc>
      </w:tr>
      <w:tr w14:paraId="09CAD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172C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719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4B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FC5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F21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F5F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309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1FA9C">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92</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D81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119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F46A0">
            <w:pPr>
              <w:jc w:val="center"/>
              <w:rPr>
                <w:rFonts w:hint="eastAsia" w:ascii="微软雅黑" w:hAnsi="微软雅黑" w:eastAsia="微软雅黑" w:cs="微软雅黑"/>
                <w:i/>
                <w:iCs/>
                <w:color w:val="000000"/>
                <w:sz w:val="16"/>
                <w:szCs w:val="16"/>
                <w:u w:val="none"/>
              </w:rPr>
            </w:pPr>
          </w:p>
        </w:tc>
      </w:tr>
      <w:tr w14:paraId="60D35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EBEA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B41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A38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0B3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纳入年度预算保障重点民生领域</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B02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094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F8F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D569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288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9E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7AF19">
            <w:pPr>
              <w:jc w:val="center"/>
              <w:rPr>
                <w:rFonts w:hint="eastAsia" w:ascii="微软雅黑" w:hAnsi="微软雅黑" w:eastAsia="微软雅黑" w:cs="微软雅黑"/>
                <w:i/>
                <w:iCs/>
                <w:color w:val="000000"/>
                <w:sz w:val="16"/>
                <w:szCs w:val="16"/>
                <w:u w:val="none"/>
              </w:rPr>
            </w:pPr>
          </w:p>
        </w:tc>
      </w:tr>
      <w:tr w14:paraId="6FF4B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D0A37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FCB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156EE">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223AE">
            <w:pPr>
              <w:rPr>
                <w:rFonts w:hint="eastAsia" w:ascii="宋体" w:hAnsi="宋体" w:eastAsia="宋体" w:cs="宋体"/>
                <w:i w:val="0"/>
                <w:iCs w:val="0"/>
                <w:color w:val="000000"/>
                <w:sz w:val="18"/>
                <w:szCs w:val="18"/>
                <w:u w:val="none"/>
              </w:rPr>
            </w:pPr>
          </w:p>
        </w:tc>
      </w:tr>
      <w:tr w14:paraId="3DC33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F70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BFF68DC">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83 分。本年度完成巡回义诊、健康科普等部分健康保障工作，有效整合县域医疗资源，群众反馈满意度达标，一定程度缓解群众就医难题。部分子项目受前期流程制约，未能当年全部落地，资金执行未达预期，相关工作结转下年持续实施。</w:t>
            </w:r>
          </w:p>
        </w:tc>
      </w:tr>
      <w:tr w14:paraId="14F46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454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548FFD5">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资金年中下达，项目启动时间偏晚；部分子项目招标采购流程繁琐，推进效率不足；项目统筹调度力度有待加强；对项目全过程绩效监控不够细致，部分工作台账资料整理不够完善。</w:t>
            </w:r>
          </w:p>
        </w:tc>
      </w:tr>
      <w:tr w14:paraId="6A2CB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C79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EA996EF">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做好项目储备谋划，资金下达后加快前期手续办理；建立项目定期调度机制，压实工作责任，加快结转项目实施；强化全过程绩效监控，动态跟踪项目进度；完善项目台账资料归集；充分发挥 “石榴籽” 工程惠民作用，切实提升群众健康获得感。</w:t>
            </w:r>
          </w:p>
        </w:tc>
      </w:tr>
      <w:tr w14:paraId="7EED3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1CC674">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项目负责人：张燕</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E06FAFA">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5F1F5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23E23523">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3CA6EAD3">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1F935180">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29BE9FA6">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69052F35">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310348E9">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437F9FBB">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6C8C73AB">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42259A7F">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5ECF2122">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788DDE17">
            <w:pPr>
              <w:rPr>
                <w:rFonts w:hint="eastAsia" w:ascii="宋体" w:hAnsi="宋体" w:eastAsia="宋体" w:cs="宋体"/>
                <w:i w:val="0"/>
                <w:iCs w:val="0"/>
                <w:color w:val="000000"/>
                <w:sz w:val="18"/>
                <w:szCs w:val="18"/>
                <w:u w:val="none"/>
              </w:rPr>
            </w:pPr>
          </w:p>
        </w:tc>
      </w:tr>
      <w:tr w14:paraId="3C667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EBF25B4">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6650A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7DA3E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C253E6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51323326T000014610639</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交流交往交融项目</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基层医务工作者</w:t>
            </w:r>
          </w:p>
        </w:tc>
      </w:tr>
      <w:tr w14:paraId="7F1E2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A9E22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858F7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53EB459A">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C8F6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5997D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A2EFC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50195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EC920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4D23885">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4A8B8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A059C">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955F0">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7611F3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组织基层医务工作者赴浙江开展交流学习活动，提升基层医疗卫生服务能力。</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7EAAD77">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已组织基层医务工作者赴浙江完成交流学习，参训人员全程参与学习任务。项目完成全部既定活动，因结算审减形成少量资金结余，参训人员业务能力得到有效提升。</w:t>
            </w:r>
          </w:p>
        </w:tc>
      </w:tr>
      <w:tr w14:paraId="4B70D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E3AFC">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1D0B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BA0DC7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本项目年初无预算，年中追加财政预算 13.16 万元。用于基层医务工作者赴浙江开展交流交往交融学习，保障参训人员交通、食宿等相关支出。通过实地观摩、业务交流等方式学习先进地区医疗管理经验，拓宽基层医务人员业务视野，提升我县基层医疗卫生服务水平。</w:t>
            </w:r>
          </w:p>
        </w:tc>
      </w:tr>
      <w:tr w14:paraId="6F6C3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0B50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82A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9EA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849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6B81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ED0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B18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1FC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F1F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7988B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2CDF1">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6F5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851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F95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13.16</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0017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12.92</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1D7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98.19</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A04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3CA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1AA511">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本项目为年中追加财政资金，交流学习活动全部完成，因结算审减产生少量结余，项目全部实施完毕。</w:t>
            </w:r>
          </w:p>
        </w:tc>
      </w:tr>
      <w:tr w14:paraId="12516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D4097">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F23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324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47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13.16</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4447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12.92</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D90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98.19</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B1D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996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15F39">
            <w:pPr>
              <w:rPr>
                <w:rFonts w:hint="eastAsia" w:ascii="黑体" w:hAnsi="黑体" w:eastAsia="黑体" w:cs="黑体"/>
                <w:i/>
                <w:iCs/>
                <w:color w:val="000000"/>
                <w:sz w:val="18"/>
                <w:szCs w:val="18"/>
                <w:u w:val="none"/>
              </w:rPr>
            </w:pPr>
          </w:p>
        </w:tc>
      </w:tr>
      <w:tr w14:paraId="233FD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16C69">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59F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BA3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FB0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C6B1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930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AFB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8A8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130ACC">
            <w:pPr>
              <w:rPr>
                <w:rFonts w:hint="eastAsia" w:ascii="黑体" w:hAnsi="黑体" w:eastAsia="黑体" w:cs="黑体"/>
                <w:i/>
                <w:iCs/>
                <w:color w:val="000000"/>
                <w:sz w:val="18"/>
                <w:szCs w:val="18"/>
                <w:u w:val="none"/>
              </w:rPr>
            </w:pPr>
          </w:p>
        </w:tc>
      </w:tr>
      <w:tr w14:paraId="3B325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C682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938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0FF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98E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EDF8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14F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873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960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ED68C">
            <w:pPr>
              <w:rPr>
                <w:rFonts w:hint="eastAsia" w:ascii="黑体" w:hAnsi="黑体" w:eastAsia="黑体" w:cs="黑体"/>
                <w:i/>
                <w:iCs/>
                <w:color w:val="000000"/>
                <w:sz w:val="18"/>
                <w:szCs w:val="18"/>
                <w:u w:val="none"/>
              </w:rPr>
            </w:pPr>
          </w:p>
        </w:tc>
      </w:tr>
      <w:tr w14:paraId="34BC4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87ECA">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464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191A6">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6E04A">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61916E">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788FB">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4B6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EFF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03130">
            <w:pPr>
              <w:rPr>
                <w:rFonts w:hint="eastAsia" w:ascii="黑体" w:hAnsi="黑体" w:eastAsia="黑体" w:cs="黑体"/>
                <w:i/>
                <w:iCs/>
                <w:color w:val="000000"/>
                <w:sz w:val="18"/>
                <w:szCs w:val="18"/>
                <w:u w:val="none"/>
              </w:rPr>
            </w:pPr>
          </w:p>
        </w:tc>
      </w:tr>
      <w:tr w14:paraId="099D7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4007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256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562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498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990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816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C00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266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FC4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C42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862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72645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F1870">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31DC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0013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0A6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全程参与完成率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6C6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C5D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278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0BA3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B9A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E09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8E627">
            <w:pPr>
              <w:jc w:val="center"/>
              <w:rPr>
                <w:rFonts w:hint="eastAsia" w:ascii="微软雅黑" w:hAnsi="微软雅黑" w:eastAsia="微软雅黑" w:cs="微软雅黑"/>
                <w:i/>
                <w:iCs/>
                <w:color w:val="000000"/>
                <w:sz w:val="16"/>
                <w:szCs w:val="16"/>
                <w:u w:val="none"/>
              </w:rPr>
            </w:pPr>
          </w:p>
        </w:tc>
      </w:tr>
      <w:tr w14:paraId="0A39E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E9AE6">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DF867">
            <w:pPr>
              <w:jc w:val="center"/>
              <w:rPr>
                <w:rFonts w:hint="eastAsia" w:ascii="宋体" w:hAnsi="宋体" w:eastAsia="宋体" w:cs="宋体"/>
                <w:i w:val="0"/>
                <w:iCs w:val="0"/>
                <w:color w:val="000000"/>
                <w:sz w:val="18"/>
                <w:szCs w:val="18"/>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F3BF6">
            <w:pPr>
              <w:jc w:val="center"/>
              <w:rPr>
                <w:rFonts w:hint="eastAsia" w:ascii="宋体" w:hAnsi="宋体" w:eastAsia="宋体" w:cs="宋体"/>
                <w:i w:val="0"/>
                <w:iCs w:val="0"/>
                <w:color w:val="000000"/>
                <w:sz w:val="18"/>
                <w:szCs w:val="1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0DF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资料归档完成率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CEC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207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8F8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057F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6ED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EEE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BDDD6">
            <w:pPr>
              <w:jc w:val="center"/>
              <w:rPr>
                <w:rFonts w:hint="eastAsia" w:ascii="微软雅黑" w:hAnsi="微软雅黑" w:eastAsia="微软雅黑" w:cs="微软雅黑"/>
                <w:i/>
                <w:iCs/>
                <w:color w:val="000000"/>
                <w:sz w:val="16"/>
                <w:szCs w:val="16"/>
                <w:u w:val="none"/>
              </w:rPr>
            </w:pPr>
          </w:p>
        </w:tc>
      </w:tr>
      <w:tr w14:paraId="46CE4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B08AD">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FDC2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E16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865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患者就医满意度提升率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8A6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BA5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6AE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3C607">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5</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810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012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F9A88">
            <w:pPr>
              <w:jc w:val="center"/>
              <w:rPr>
                <w:rFonts w:hint="eastAsia" w:ascii="微软雅黑" w:hAnsi="微软雅黑" w:eastAsia="微软雅黑" w:cs="微软雅黑"/>
                <w:i/>
                <w:iCs/>
                <w:color w:val="000000"/>
                <w:sz w:val="16"/>
                <w:szCs w:val="16"/>
                <w:u w:val="none"/>
              </w:rPr>
            </w:pPr>
          </w:p>
        </w:tc>
      </w:tr>
      <w:tr w14:paraId="0AD17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AE329">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71F90">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2FD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F4C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医疗服务创新可持续性</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D35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A55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长期</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006B7">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CEBBF">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长期</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987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059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C14FC">
            <w:pPr>
              <w:jc w:val="center"/>
              <w:rPr>
                <w:rFonts w:hint="eastAsia" w:ascii="微软雅黑" w:hAnsi="微软雅黑" w:eastAsia="微软雅黑" w:cs="微软雅黑"/>
                <w:i/>
                <w:iCs/>
                <w:color w:val="000000"/>
                <w:sz w:val="16"/>
                <w:szCs w:val="16"/>
                <w:u w:val="none"/>
              </w:rPr>
            </w:pPr>
          </w:p>
        </w:tc>
      </w:tr>
      <w:tr w14:paraId="57B7A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7FC9E">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44A4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344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5DA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优化服务后患者满意度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011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906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709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1422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BD7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8D3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61C46">
            <w:pPr>
              <w:jc w:val="center"/>
              <w:rPr>
                <w:rFonts w:hint="eastAsia" w:ascii="微软雅黑" w:hAnsi="微软雅黑" w:eastAsia="微软雅黑" w:cs="微软雅黑"/>
                <w:i/>
                <w:iCs/>
                <w:color w:val="000000"/>
                <w:sz w:val="16"/>
                <w:szCs w:val="16"/>
                <w:u w:val="none"/>
              </w:rPr>
            </w:pPr>
          </w:p>
        </w:tc>
      </w:tr>
      <w:tr w14:paraId="3F764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68234">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86760">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18C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082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交流学习整体满意度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E1D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29A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252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049F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2EB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115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F5C0A">
            <w:pPr>
              <w:jc w:val="center"/>
              <w:rPr>
                <w:rFonts w:hint="eastAsia" w:ascii="微软雅黑" w:hAnsi="微软雅黑" w:eastAsia="微软雅黑" w:cs="微软雅黑"/>
                <w:i/>
                <w:iCs/>
                <w:color w:val="000000"/>
                <w:sz w:val="16"/>
                <w:szCs w:val="16"/>
                <w:u w:val="none"/>
              </w:rPr>
            </w:pPr>
          </w:p>
        </w:tc>
      </w:tr>
      <w:tr w14:paraId="18033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27F54">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99A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57A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4D4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交流学习总费用</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887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514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13.16</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6FA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684E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12.92</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87A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E45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EC844">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严格按实际发生费用结算</w:t>
            </w:r>
          </w:p>
        </w:tc>
      </w:tr>
      <w:tr w14:paraId="7BFA5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1C3F3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632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ED6AA">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85C49">
            <w:pPr>
              <w:rPr>
                <w:rFonts w:hint="eastAsia" w:ascii="宋体" w:hAnsi="宋体" w:eastAsia="宋体" w:cs="宋体"/>
                <w:i w:val="0"/>
                <w:iCs w:val="0"/>
                <w:color w:val="000000"/>
                <w:sz w:val="18"/>
                <w:szCs w:val="18"/>
                <w:u w:val="none"/>
              </w:rPr>
            </w:pPr>
          </w:p>
        </w:tc>
      </w:tr>
      <w:tr w14:paraId="5548B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7F8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43E7B90">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项目自评总分 100 分。顺利组织基层医务工作者赴浙江开展交流交往交融学习，参训人员全部完成培训任务，相关资料完整归档。医务人员学习外地先进诊疗与管理经验，回岗后应用于实际工作，患者就医满意度实现提升，达到开阔视野、提升基层业务能力的项目目标。</w:t>
            </w:r>
          </w:p>
        </w:tc>
      </w:tr>
      <w:tr w14:paraId="76840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EA0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5E5491B">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外出学习成果转化运用机制不够健全，部分先进经验未能快速落地；学习结束后跟踪回访、复盘总结不够充分；参训人员回岗后的传帮带工作力度不足；项目绩效资料精细化整理仍有提升空间。</w:t>
            </w:r>
          </w:p>
        </w:tc>
      </w:tr>
      <w:tr w14:paraId="12EA9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FE6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CC6A7D6">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建立学习成果转化机制，要求参训人员做好学习汇报分享；强化回岗后的传帮带，带动院内其他医务人员共同进步；做好交流学习复盘总结，提炼适配本地实际的工作方法；完善项目绩效台账管理；持续用好对外交流平台，不断提升基层医务队伍综合能力。</w:t>
            </w:r>
          </w:p>
        </w:tc>
      </w:tr>
      <w:tr w14:paraId="42C17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DCA3142">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项目负责人：唐杰</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C8356A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r w14:paraId="4BC20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tcBorders>
              <w:top w:val="nil"/>
              <w:left w:val="nil"/>
              <w:bottom w:val="nil"/>
              <w:right w:val="nil"/>
            </w:tcBorders>
            <w:shd w:val="clear" w:color="auto" w:fill="auto"/>
            <w:vAlign w:val="center"/>
          </w:tcPr>
          <w:p w14:paraId="5684FB1C">
            <w:pPr>
              <w:rPr>
                <w:rFonts w:hint="eastAsia" w:ascii="宋体" w:hAnsi="宋体" w:eastAsia="宋体" w:cs="宋体"/>
                <w:i w:val="0"/>
                <w:iCs w:val="0"/>
                <w:color w:val="000000"/>
                <w:sz w:val="18"/>
                <w:szCs w:val="18"/>
                <w:u w:val="none"/>
              </w:rPr>
            </w:pPr>
          </w:p>
        </w:tc>
        <w:tc>
          <w:tcPr>
            <w:tcW w:w="689" w:type="pct"/>
            <w:tcBorders>
              <w:top w:val="nil"/>
              <w:left w:val="nil"/>
              <w:bottom w:val="nil"/>
              <w:right w:val="nil"/>
            </w:tcBorders>
            <w:shd w:val="clear" w:color="auto" w:fill="auto"/>
            <w:vAlign w:val="center"/>
          </w:tcPr>
          <w:p w14:paraId="41F697E7">
            <w:pPr>
              <w:rPr>
                <w:rFonts w:hint="eastAsia" w:ascii="宋体" w:hAnsi="宋体" w:eastAsia="宋体" w:cs="宋体"/>
                <w:i w:val="0"/>
                <w:iCs w:val="0"/>
                <w:color w:val="000000"/>
                <w:sz w:val="18"/>
                <w:szCs w:val="18"/>
                <w:u w:val="none"/>
              </w:rPr>
            </w:pPr>
          </w:p>
        </w:tc>
        <w:tc>
          <w:tcPr>
            <w:tcW w:w="596" w:type="pct"/>
            <w:tcBorders>
              <w:top w:val="nil"/>
              <w:left w:val="nil"/>
              <w:bottom w:val="nil"/>
              <w:right w:val="nil"/>
            </w:tcBorders>
            <w:shd w:val="clear" w:color="auto" w:fill="auto"/>
            <w:vAlign w:val="center"/>
          </w:tcPr>
          <w:p w14:paraId="5E87FFA7">
            <w:pPr>
              <w:rPr>
                <w:rFonts w:hint="eastAsia" w:ascii="宋体" w:hAnsi="宋体" w:eastAsia="宋体" w:cs="宋体"/>
                <w:i w:val="0"/>
                <w:iCs w:val="0"/>
                <w:color w:val="000000"/>
                <w:sz w:val="18"/>
                <w:szCs w:val="18"/>
                <w:u w:val="none"/>
              </w:rPr>
            </w:pPr>
          </w:p>
        </w:tc>
        <w:tc>
          <w:tcPr>
            <w:tcW w:w="761" w:type="pct"/>
            <w:tcBorders>
              <w:top w:val="nil"/>
              <w:left w:val="nil"/>
              <w:bottom w:val="nil"/>
              <w:right w:val="nil"/>
            </w:tcBorders>
            <w:shd w:val="clear" w:color="auto" w:fill="auto"/>
            <w:vAlign w:val="center"/>
          </w:tcPr>
          <w:p w14:paraId="48A1FE92">
            <w:pPr>
              <w:rPr>
                <w:rFonts w:hint="eastAsia" w:ascii="宋体" w:hAnsi="宋体" w:eastAsia="宋体" w:cs="宋体"/>
                <w:i w:val="0"/>
                <w:iCs w:val="0"/>
                <w:color w:val="000000"/>
                <w:sz w:val="18"/>
                <w:szCs w:val="18"/>
                <w:u w:val="none"/>
              </w:rPr>
            </w:pPr>
          </w:p>
        </w:tc>
        <w:tc>
          <w:tcPr>
            <w:tcW w:w="175" w:type="pct"/>
            <w:tcBorders>
              <w:top w:val="nil"/>
              <w:left w:val="nil"/>
              <w:bottom w:val="nil"/>
              <w:right w:val="nil"/>
            </w:tcBorders>
            <w:shd w:val="clear" w:color="auto" w:fill="auto"/>
            <w:vAlign w:val="center"/>
          </w:tcPr>
          <w:p w14:paraId="5B331693">
            <w:pPr>
              <w:rPr>
                <w:rFonts w:hint="eastAsia" w:ascii="宋体" w:hAnsi="宋体" w:eastAsia="宋体" w:cs="宋体"/>
                <w:i w:val="0"/>
                <w:iCs w:val="0"/>
                <w:color w:val="000000"/>
                <w:sz w:val="18"/>
                <w:szCs w:val="18"/>
                <w:u w:val="none"/>
              </w:rPr>
            </w:pPr>
          </w:p>
        </w:tc>
        <w:tc>
          <w:tcPr>
            <w:tcW w:w="564" w:type="pct"/>
            <w:tcBorders>
              <w:top w:val="nil"/>
              <w:left w:val="nil"/>
              <w:bottom w:val="nil"/>
              <w:right w:val="nil"/>
            </w:tcBorders>
            <w:shd w:val="clear" w:color="auto" w:fill="auto"/>
            <w:vAlign w:val="center"/>
          </w:tcPr>
          <w:p w14:paraId="4DDBF96A">
            <w:pPr>
              <w:rPr>
                <w:rFonts w:hint="eastAsia" w:ascii="宋体" w:hAnsi="宋体" w:eastAsia="宋体" w:cs="宋体"/>
                <w:i w:val="0"/>
                <w:iCs w:val="0"/>
                <w:color w:val="000000"/>
                <w:sz w:val="18"/>
                <w:szCs w:val="18"/>
                <w:u w:val="none"/>
              </w:rPr>
            </w:pPr>
          </w:p>
        </w:tc>
        <w:tc>
          <w:tcPr>
            <w:tcW w:w="176" w:type="pct"/>
            <w:tcBorders>
              <w:top w:val="nil"/>
              <w:left w:val="nil"/>
              <w:bottom w:val="nil"/>
              <w:right w:val="nil"/>
            </w:tcBorders>
            <w:shd w:val="clear" w:color="auto" w:fill="auto"/>
            <w:vAlign w:val="center"/>
          </w:tcPr>
          <w:p w14:paraId="3CF0C4F6">
            <w:pPr>
              <w:rPr>
                <w:rFonts w:hint="eastAsia" w:ascii="宋体" w:hAnsi="宋体" w:eastAsia="宋体" w:cs="宋体"/>
                <w:i w:val="0"/>
                <w:iCs w:val="0"/>
                <w:color w:val="000000"/>
                <w:sz w:val="18"/>
                <w:szCs w:val="18"/>
                <w:u w:val="none"/>
              </w:rPr>
            </w:pPr>
          </w:p>
        </w:tc>
        <w:tc>
          <w:tcPr>
            <w:tcW w:w="539" w:type="pct"/>
            <w:tcBorders>
              <w:top w:val="nil"/>
              <w:left w:val="nil"/>
              <w:bottom w:val="nil"/>
              <w:right w:val="nil"/>
            </w:tcBorders>
            <w:shd w:val="clear" w:color="auto" w:fill="auto"/>
            <w:vAlign w:val="center"/>
          </w:tcPr>
          <w:p w14:paraId="519B3579">
            <w:pPr>
              <w:rPr>
                <w:rFonts w:hint="eastAsia" w:ascii="宋体" w:hAnsi="宋体" w:eastAsia="宋体" w:cs="宋体"/>
                <w:i w:val="0"/>
                <w:iCs w:val="0"/>
                <w:color w:val="000000"/>
                <w:sz w:val="18"/>
                <w:szCs w:val="18"/>
                <w:u w:val="none"/>
              </w:rPr>
            </w:pPr>
          </w:p>
        </w:tc>
        <w:tc>
          <w:tcPr>
            <w:tcW w:w="170" w:type="pct"/>
            <w:tcBorders>
              <w:top w:val="nil"/>
              <w:left w:val="nil"/>
              <w:bottom w:val="nil"/>
              <w:right w:val="nil"/>
            </w:tcBorders>
            <w:shd w:val="clear" w:color="auto" w:fill="auto"/>
            <w:vAlign w:val="center"/>
          </w:tcPr>
          <w:p w14:paraId="5531B212">
            <w:pPr>
              <w:rPr>
                <w:rFonts w:hint="eastAsia" w:ascii="宋体" w:hAnsi="宋体" w:eastAsia="宋体" w:cs="宋体"/>
                <w:i w:val="0"/>
                <w:iCs w:val="0"/>
                <w:color w:val="000000"/>
                <w:sz w:val="18"/>
                <w:szCs w:val="18"/>
                <w:u w:val="none"/>
              </w:rPr>
            </w:pPr>
          </w:p>
        </w:tc>
        <w:tc>
          <w:tcPr>
            <w:tcW w:w="164" w:type="pct"/>
            <w:tcBorders>
              <w:top w:val="nil"/>
              <w:left w:val="nil"/>
              <w:bottom w:val="nil"/>
              <w:right w:val="nil"/>
            </w:tcBorders>
            <w:shd w:val="clear" w:color="auto" w:fill="auto"/>
            <w:vAlign w:val="center"/>
          </w:tcPr>
          <w:p w14:paraId="6101EF3E">
            <w:pPr>
              <w:rPr>
                <w:rFonts w:hint="eastAsia" w:ascii="宋体" w:hAnsi="宋体" w:eastAsia="宋体" w:cs="宋体"/>
                <w:i w:val="0"/>
                <w:iCs w:val="0"/>
                <w:color w:val="000000"/>
                <w:sz w:val="18"/>
                <w:szCs w:val="18"/>
                <w:u w:val="none"/>
              </w:rPr>
            </w:pPr>
          </w:p>
        </w:tc>
        <w:tc>
          <w:tcPr>
            <w:tcW w:w="931" w:type="pct"/>
            <w:tcBorders>
              <w:top w:val="nil"/>
              <w:left w:val="nil"/>
              <w:bottom w:val="nil"/>
              <w:right w:val="nil"/>
            </w:tcBorders>
            <w:shd w:val="clear" w:color="auto" w:fill="auto"/>
            <w:vAlign w:val="center"/>
          </w:tcPr>
          <w:p w14:paraId="6C7771A1">
            <w:pPr>
              <w:rPr>
                <w:rFonts w:hint="eastAsia" w:ascii="宋体" w:hAnsi="宋体" w:eastAsia="宋体" w:cs="宋体"/>
                <w:i w:val="0"/>
                <w:iCs w:val="0"/>
                <w:color w:val="000000"/>
                <w:sz w:val="18"/>
                <w:szCs w:val="18"/>
                <w:u w:val="none"/>
              </w:rPr>
            </w:pPr>
          </w:p>
        </w:tc>
      </w:tr>
      <w:tr w14:paraId="590C3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D959BEF">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2146E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8CD44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FB219A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51323326T000014921057</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红原县育儿补贴补助项目</w:t>
            </w:r>
          </w:p>
        </w:tc>
      </w:tr>
      <w:tr w14:paraId="3DA73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B6338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443DB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539" w:type="pct"/>
            <w:tcBorders>
              <w:top w:val="nil"/>
              <w:left w:val="nil"/>
              <w:bottom w:val="nil"/>
              <w:right w:val="nil"/>
            </w:tcBorders>
            <w:shd w:val="clear" w:color="auto" w:fill="auto"/>
            <w:vAlign w:val="center"/>
          </w:tcPr>
          <w:p w14:paraId="0F4A80A7">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6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778D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红原县爱国卫生运动服务工作中心</w:t>
            </w:r>
          </w:p>
        </w:tc>
      </w:tr>
      <w:tr w14:paraId="729C5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7B099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0E39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AF8A3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EC7CE0">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1B09D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BCC1E">
            <w:pP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7BBD6">
            <w:pPr>
              <w:rPr>
                <w:rFonts w:hint="eastAsia" w:ascii="宋体" w:hAnsi="宋体" w:eastAsia="宋体" w:cs="宋体"/>
                <w:i w:val="0"/>
                <w:iCs w:val="0"/>
                <w:color w:val="000000"/>
                <w:sz w:val="18"/>
                <w:szCs w:val="18"/>
                <w:u w:val="none"/>
              </w:rPr>
            </w:pPr>
          </w:p>
        </w:tc>
        <w:tc>
          <w:tcPr>
            <w:tcW w:w="227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1B4190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为积极响应国家人口发展战略，落实 “三孩” 政策配套支持措施，缓解家庭育儿经济压力，提升生育意愿和育儿保障水平，拟实施育儿补贴政策。当前，我国育儿成本高、托育服务不足等问题制约着人口均衡发展，该政策聚焦 0</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3 岁婴幼儿家庭核心需求，通过财政补贴形式减轻家庭养育负担，构建生育友好型社会环境，符合《国务院关于优化生育政策促进人口长期均衡发展的决定》等国家宏观政策导向。</w:t>
            </w:r>
          </w:p>
        </w:tc>
        <w:tc>
          <w:tcPr>
            <w:tcW w:w="180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D4B02E">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有序开展政策宣传、资格审核及育儿补贴发放工作，已对符合条件家庭兑现补贴。部分家庭申报资料提交滞后，年度资金未能全部兑付，剩余额度结转下年继续用于育儿补贴发放。</w:t>
            </w:r>
          </w:p>
        </w:tc>
      </w:tr>
      <w:tr w14:paraId="5F56D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160A1">
            <w:pP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9705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79"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4C1A504">
            <w:pPr>
              <w:keepNext w:val="0"/>
              <w:keepLines w:val="0"/>
              <w:widowControl/>
              <w:suppressLineNumbers w:val="0"/>
              <w:jc w:val="left"/>
              <w:textAlignment w:val="center"/>
              <w:rPr>
                <w:rFonts w:ascii="宋体" w:hAnsi="宋体" w:eastAsia="宋体" w:cs="宋体"/>
                <w:i w:val="0"/>
                <w:iCs w:val="0"/>
                <w:color w:val="000000"/>
                <w:sz w:val="18"/>
                <w:szCs w:val="18"/>
                <w:u w:val="none"/>
              </w:rPr>
            </w:pPr>
            <w:r>
              <w:rPr>
                <w:rStyle w:val="46"/>
                <w:lang w:val="en-US" w:eastAsia="zh-CN" w:bidi="ar"/>
              </w:rPr>
              <w:t>本项目年初无预算，年中追加财政预算 847.48 万元。落实三孩配套支持政策，面向 0</w:t>
            </w:r>
            <w:r>
              <w:rPr>
                <w:rStyle w:val="47"/>
                <w:rFonts w:eastAsia="宋体"/>
                <w:lang w:val="en-US" w:eastAsia="zh-CN" w:bidi="ar"/>
              </w:rPr>
              <w:noBreakHyphen/>
            </w:r>
            <w:r>
              <w:rPr>
                <w:rStyle w:val="46"/>
                <w:lang w:val="en-US" w:eastAsia="zh-CN" w:bidi="ar"/>
              </w:rPr>
              <w:t>3 岁婴幼儿家庭开展育儿补贴补助，开展政策宣传、受理群众申报、开展资格复核，按规定对符合条件家庭发放育儿补贴，减轻群众养育压力，营造生育友好的社会环境。</w:t>
            </w:r>
          </w:p>
        </w:tc>
      </w:tr>
      <w:tr w14:paraId="2AB1D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E472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353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CE9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703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7883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E0B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B04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BD3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575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14:paraId="18C99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E2F12">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0E1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21B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AC3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847.48</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62CB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654.45</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D25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77.22</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09D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CCE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w:t>
            </w:r>
          </w:p>
        </w:tc>
        <w:tc>
          <w:tcPr>
            <w:tcW w:w="9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7AC66C">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本项目为年中追加财政资金，部分婴幼儿家庭申报材料提交较晚，资格审核周期较长，当年资金未全部兑付完毕，剩余资金结转下年度继续发放补贴。</w:t>
            </w:r>
          </w:p>
        </w:tc>
      </w:tr>
      <w:tr w14:paraId="193A0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D0016">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D36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055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4EC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847.48</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EFAA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654.45</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870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77.22</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D61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C9F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FA76F">
            <w:pPr>
              <w:rPr>
                <w:rFonts w:hint="eastAsia" w:ascii="黑体" w:hAnsi="黑体" w:eastAsia="黑体" w:cs="黑体"/>
                <w:i/>
                <w:iCs/>
                <w:color w:val="000000"/>
                <w:sz w:val="18"/>
                <w:szCs w:val="18"/>
                <w:u w:val="none"/>
              </w:rPr>
            </w:pPr>
          </w:p>
        </w:tc>
      </w:tr>
      <w:tr w14:paraId="0D037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9315D">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364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5DE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D4E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3C16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965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F3C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B1B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EBA79">
            <w:pPr>
              <w:rPr>
                <w:rFonts w:hint="eastAsia" w:ascii="黑体" w:hAnsi="黑体" w:eastAsia="黑体" w:cs="黑体"/>
                <w:i/>
                <w:iCs/>
                <w:color w:val="000000"/>
                <w:sz w:val="18"/>
                <w:szCs w:val="18"/>
                <w:u w:val="none"/>
              </w:rPr>
            </w:pPr>
          </w:p>
        </w:tc>
      </w:tr>
      <w:tr w14:paraId="3D726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A19FE">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E1F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129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578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F286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DFF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r>
              <w:rPr>
                <w:rFonts w:hint="eastAsia" w:ascii="宋体" w:hAnsi="宋体" w:cs="宋体"/>
                <w:i w:val="0"/>
                <w:iCs w:val="0"/>
                <w:color w:val="000000"/>
                <w:kern w:val="0"/>
                <w:sz w:val="18"/>
                <w:szCs w:val="18"/>
                <w:u w:val="none"/>
                <w:lang w:val="en-US" w:eastAsia="zh-CN" w:bidi="ar"/>
              </w:rPr>
              <w:t>％</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2A4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84C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1026B">
            <w:pPr>
              <w:rPr>
                <w:rFonts w:hint="eastAsia" w:ascii="黑体" w:hAnsi="黑体" w:eastAsia="黑体" w:cs="黑体"/>
                <w:i/>
                <w:iCs/>
                <w:color w:val="000000"/>
                <w:sz w:val="18"/>
                <w:szCs w:val="18"/>
                <w:u w:val="none"/>
              </w:rPr>
            </w:pPr>
          </w:p>
        </w:tc>
      </w:tr>
      <w:tr w14:paraId="3A4E4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16793">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2F4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D26EE">
            <w:pPr>
              <w:jc w:val="center"/>
              <w:rPr>
                <w:rFonts w:hint="eastAsia" w:ascii="微软雅黑" w:hAnsi="微软雅黑" w:eastAsia="微软雅黑" w:cs="微软雅黑"/>
                <w:i/>
                <w:iCs/>
                <w:color w:val="000000"/>
                <w:sz w:val="16"/>
                <w:szCs w:val="16"/>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E320C">
            <w:pPr>
              <w:jc w:val="center"/>
              <w:rPr>
                <w:rFonts w:hint="eastAsia" w:ascii="微软雅黑" w:hAnsi="微软雅黑" w:eastAsia="微软雅黑" w:cs="微软雅黑"/>
                <w:i/>
                <w:iCs/>
                <w:color w:val="000000"/>
                <w:sz w:val="16"/>
                <w:szCs w:val="16"/>
                <w:u w:val="none"/>
              </w:rPr>
            </w:pPr>
          </w:p>
        </w:tc>
        <w:tc>
          <w:tcPr>
            <w:tcW w:w="9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5CCC5A">
            <w:pPr>
              <w:jc w:val="center"/>
              <w:rPr>
                <w:rFonts w:hint="eastAsia" w:ascii="微软雅黑" w:hAnsi="微软雅黑" w:eastAsia="微软雅黑" w:cs="微软雅黑"/>
                <w:i/>
                <w:iCs/>
                <w:color w:val="000000"/>
                <w:sz w:val="16"/>
                <w:szCs w:val="16"/>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21CBB">
            <w:pPr>
              <w:jc w:val="center"/>
              <w:rPr>
                <w:rFonts w:hint="eastAsia" w:ascii="微软雅黑" w:hAnsi="微软雅黑" w:eastAsia="微软雅黑" w:cs="微软雅黑"/>
                <w:i/>
                <w:iCs/>
                <w:color w:val="000000"/>
                <w:sz w:val="16"/>
                <w:szCs w:val="16"/>
                <w:u w:val="none"/>
              </w:rPr>
            </w:pP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5EC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E50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9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45C12">
            <w:pPr>
              <w:rPr>
                <w:rFonts w:hint="eastAsia" w:ascii="黑体" w:hAnsi="黑体" w:eastAsia="黑体" w:cs="黑体"/>
                <w:i/>
                <w:iCs/>
                <w:color w:val="000000"/>
                <w:sz w:val="18"/>
                <w:szCs w:val="18"/>
                <w:u w:val="none"/>
              </w:rPr>
            </w:pPr>
          </w:p>
        </w:tc>
      </w:tr>
      <w:tr w14:paraId="7812A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D964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0F8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5A8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430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62F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3F2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FE8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EF9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8C5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B0F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EED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66D70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CC1A5">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8490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09E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BDC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政策宣传覆盖人数</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D48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53A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8E6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28A0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82F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208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2A5DE">
            <w:pPr>
              <w:jc w:val="center"/>
              <w:rPr>
                <w:rFonts w:hint="eastAsia" w:ascii="微软雅黑" w:hAnsi="微软雅黑" w:eastAsia="微软雅黑" w:cs="微软雅黑"/>
                <w:i/>
                <w:iCs/>
                <w:color w:val="000000"/>
                <w:sz w:val="16"/>
                <w:szCs w:val="16"/>
                <w:u w:val="none"/>
              </w:rPr>
            </w:pPr>
          </w:p>
        </w:tc>
      </w:tr>
      <w:tr w14:paraId="7802E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8BC44">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2501D">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CAE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E06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补贴发放及时率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F98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36D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132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F2874">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3EB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89E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0F0DA">
            <w:pPr>
              <w:jc w:val="center"/>
              <w:rPr>
                <w:rFonts w:hint="eastAsia" w:ascii="微软雅黑" w:hAnsi="微软雅黑" w:eastAsia="微软雅黑" w:cs="微软雅黑"/>
                <w:i/>
                <w:iCs/>
                <w:color w:val="000000"/>
                <w:sz w:val="16"/>
                <w:szCs w:val="16"/>
                <w:u w:val="none"/>
              </w:rPr>
            </w:pPr>
          </w:p>
        </w:tc>
      </w:tr>
      <w:tr w14:paraId="19998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CA906">
            <w:pPr>
              <w:jc w:val="center"/>
              <w:rPr>
                <w:rFonts w:hint="eastAsia" w:ascii="宋体" w:hAnsi="宋体" w:eastAsia="宋体" w:cs="宋体"/>
                <w:i w:val="0"/>
                <w:iCs w:val="0"/>
                <w:color w:val="000000"/>
                <w:sz w:val="18"/>
                <w:szCs w:val="18"/>
                <w:u w:val="none"/>
              </w:rPr>
            </w:pP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F16A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7B1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020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育儿相关产业发展带动度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88C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102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稳步提升</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30802">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594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稳步提升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3FB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26E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CC19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政策实施时间有限，带动效应有待进一步释放</w:t>
            </w:r>
          </w:p>
        </w:tc>
      </w:tr>
      <w:tr w14:paraId="2D466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6698D">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46D91">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ADD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204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生育友好社会氛围营造度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635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B2A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显著提升</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DF2D1">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E7E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显著提升</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2B0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517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58B82">
            <w:pPr>
              <w:jc w:val="center"/>
              <w:rPr>
                <w:rFonts w:hint="eastAsia" w:ascii="微软雅黑" w:hAnsi="微软雅黑" w:eastAsia="微软雅黑" w:cs="微软雅黑"/>
                <w:i/>
                <w:iCs/>
                <w:color w:val="000000"/>
                <w:sz w:val="16"/>
                <w:szCs w:val="16"/>
                <w:u w:val="none"/>
              </w:rPr>
            </w:pPr>
          </w:p>
        </w:tc>
      </w:tr>
      <w:tr w14:paraId="1B906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FCB3A">
            <w:pPr>
              <w:jc w:val="center"/>
              <w:rPr>
                <w:rFonts w:hint="eastAsia" w:ascii="宋体" w:hAnsi="宋体" w:eastAsia="宋体" w:cs="宋体"/>
                <w:i w:val="0"/>
                <w:iCs w:val="0"/>
                <w:color w:val="000000"/>
                <w:sz w:val="18"/>
                <w:szCs w:val="18"/>
                <w:u w:val="none"/>
              </w:rPr>
            </w:pP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659FE">
            <w:pPr>
              <w:jc w:val="center"/>
              <w:rPr>
                <w:rFonts w:hint="eastAsia" w:ascii="宋体" w:hAnsi="宋体" w:eastAsia="宋体" w:cs="宋体"/>
                <w:i w:val="0"/>
                <w:iCs w:val="0"/>
                <w:color w:val="000000"/>
                <w:sz w:val="18"/>
                <w:szCs w:val="18"/>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5CD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F3E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生育支持政策体系完善度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FA3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104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持续优化</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E9FCA">
            <w:pPr>
              <w:jc w:val="center"/>
              <w:rPr>
                <w:rFonts w:hint="eastAsia" w:ascii="宋体" w:hAnsi="宋体" w:eastAsia="宋体" w:cs="宋体"/>
                <w:i w:val="0"/>
                <w:iCs w:val="0"/>
                <w:color w:val="000000"/>
                <w:sz w:val="18"/>
                <w:szCs w:val="18"/>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6A7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持续优化</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A08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A19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3E83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后续仍需结合实际持续完善配套措施</w:t>
            </w:r>
          </w:p>
        </w:tc>
      </w:tr>
      <w:tr w14:paraId="75080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D9E55">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04E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8FB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29A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育龄家庭政策认可度</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CE2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0BC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15B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BB284">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90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976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101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6519E">
            <w:pPr>
              <w:jc w:val="center"/>
              <w:rPr>
                <w:rFonts w:hint="eastAsia" w:ascii="微软雅黑" w:hAnsi="微软雅黑" w:eastAsia="微软雅黑" w:cs="微软雅黑"/>
                <w:i/>
                <w:iCs/>
                <w:color w:val="000000"/>
                <w:sz w:val="16"/>
                <w:szCs w:val="16"/>
                <w:u w:val="none"/>
              </w:rPr>
            </w:pPr>
          </w:p>
        </w:tc>
      </w:tr>
      <w:tr w14:paraId="037A8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78222">
            <w:pPr>
              <w:jc w:val="center"/>
              <w:rPr>
                <w:rFonts w:hint="eastAsia" w:ascii="宋体" w:hAnsi="宋体" w:eastAsia="宋体" w:cs="宋体"/>
                <w:i w:val="0"/>
                <w:iCs w:val="0"/>
                <w:color w:val="000000"/>
                <w:sz w:val="18"/>
                <w:szCs w:val="18"/>
                <w:u w:val="none"/>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142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016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E78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项目总成本控制率</w:t>
            </w:r>
          </w:p>
        </w:tc>
        <w:tc>
          <w:tcPr>
            <w:tcW w:w="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AB3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CE0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A11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7976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198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C41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6CB57">
            <w:pPr>
              <w:jc w:val="center"/>
              <w:rPr>
                <w:rFonts w:hint="eastAsia" w:ascii="微软雅黑" w:hAnsi="微软雅黑" w:eastAsia="微软雅黑" w:cs="微软雅黑"/>
                <w:i/>
                <w:iCs/>
                <w:color w:val="000000"/>
                <w:sz w:val="16"/>
                <w:szCs w:val="16"/>
                <w:u w:val="none"/>
              </w:rPr>
            </w:pPr>
          </w:p>
        </w:tc>
      </w:tr>
      <w:tr w14:paraId="7E891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3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B8D29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1F9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0A685">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91</w:t>
            </w:r>
          </w:p>
        </w:tc>
        <w:tc>
          <w:tcPr>
            <w:tcW w:w="9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43F84">
            <w:pPr>
              <w:rPr>
                <w:rFonts w:hint="eastAsia" w:ascii="宋体" w:hAnsi="宋体" w:eastAsia="宋体" w:cs="宋体"/>
                <w:i w:val="0"/>
                <w:iCs w:val="0"/>
                <w:color w:val="000000"/>
                <w:sz w:val="18"/>
                <w:szCs w:val="18"/>
                <w:u w:val="none"/>
              </w:rPr>
            </w:pPr>
          </w:p>
        </w:tc>
      </w:tr>
      <w:tr w14:paraId="6CEE1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7B2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A0AB816">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Style w:val="48"/>
                <w:lang w:val="en-US" w:eastAsia="zh-CN" w:bidi="ar"/>
              </w:rPr>
              <w:t>项目自评总分 91分。本年度完成育儿补贴政策宣传、申报受理及补贴兑付，已受理对象补贴发放及时，切实减轻部分 0</w:t>
            </w:r>
            <w:r>
              <w:rPr>
                <w:rStyle w:val="49"/>
                <w:rFonts w:eastAsia="微软雅黑"/>
                <w:lang w:val="en-US" w:eastAsia="zh-CN" w:bidi="ar"/>
              </w:rPr>
              <w:noBreakHyphen/>
            </w:r>
            <w:r>
              <w:rPr>
                <w:rStyle w:val="48"/>
                <w:lang w:val="en-US" w:eastAsia="zh-CN" w:bidi="ar"/>
              </w:rPr>
              <w:t>3 岁婴幼儿家庭养育负担，育龄家庭政策认可度较高，推动生育友好社会氛围逐步形成。受群众申报节奏影响，年度资金执行未完全到位，剩余资金结转下年继续兑付。</w:t>
            </w:r>
          </w:p>
        </w:tc>
      </w:tr>
      <w:tr w14:paraId="1C767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33B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FF119DE">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资金年中下达，政策落地启动时间较晚；部分牧区群众对补贴政策知晓不够充分，申报不及时；家庭资格审核流程工作量大，影响资金支出进度；生育配套政策联动不足，政策综合效应有待进一步发挥。</w:t>
            </w:r>
          </w:p>
        </w:tc>
      </w:tr>
      <w:tr w14:paraId="1E48E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976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6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B6AF0D7">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加大线下入户、村级宣讲力度，扩大育儿补贴政策知晓面；优化申报受理流程，方便牧区群众办理申报；建立常态化摸排机制，主动筛查符合条件婴幼儿家庭；加强部门协同，完善生育配套政策；加快结转资金兑付，强化资金监管，确保补贴精准直达符合条件家庭。</w:t>
            </w:r>
          </w:p>
        </w:tc>
      </w:tr>
      <w:tr w14:paraId="362D8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5CF9F6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项目负责人：仁青哈莫</w:t>
            </w:r>
          </w:p>
        </w:tc>
        <w:tc>
          <w:tcPr>
            <w:tcW w:w="25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7126F66">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财务负责人：杨莉</w:t>
            </w:r>
          </w:p>
        </w:tc>
      </w:tr>
    </w:tbl>
    <w:p w14:paraId="6C0AB0B1">
      <w:pPr>
        <w:pStyle w:val="11"/>
        <w:rPr>
          <w:rFonts w:hint="eastAsia" w:ascii="仿宋" w:hAnsi="仿宋" w:eastAsia="仿宋" w:cs="仿宋"/>
          <w:sz w:val="32"/>
          <w:szCs w:val="32"/>
        </w:rPr>
      </w:pPr>
    </w:p>
    <w:p w14:paraId="60DA63A6">
      <w:pPr>
        <w:rPr>
          <w:rStyle w:val="45"/>
          <w:rFonts w:hint="eastAsia" w:ascii="黑体" w:hAnsi="黑体" w:eastAsia="黑体"/>
          <w:b w:val="0"/>
          <w:color w:val="auto"/>
          <w:highlight w:val="none"/>
        </w:rPr>
      </w:pPr>
      <w:bookmarkStart w:id="82" w:name="_Toc79163885"/>
      <w:bookmarkStart w:id="83" w:name="_Toc79163635"/>
      <w:bookmarkStart w:id="84" w:name="_Toc111208512"/>
      <w:r>
        <w:rPr>
          <w:rStyle w:val="45"/>
          <w:rFonts w:hint="eastAsia" w:ascii="黑体" w:hAnsi="黑体" w:eastAsia="黑体"/>
          <w:b w:val="0"/>
          <w:color w:val="auto"/>
          <w:highlight w:val="none"/>
        </w:rPr>
        <w:br w:type="page"/>
      </w:r>
    </w:p>
    <w:p w14:paraId="1DD58993">
      <w:pPr>
        <w:pStyle w:val="50"/>
        <w:numPr>
          <w:ilvl w:val="0"/>
          <w:numId w:val="0"/>
        </w:numPr>
        <w:ind w:leftChars="0"/>
        <w:outlineLvl w:val="9"/>
        <w:rPr>
          <w:rFonts w:eastAsia="黑体"/>
          <w:b w:val="0"/>
          <w:bCs/>
          <w:sz w:val="32"/>
          <w:szCs w:val="32"/>
        </w:rPr>
      </w:pPr>
      <w:r>
        <w:rPr>
          <w:rFonts w:hint="eastAsia" w:cs="黑体"/>
          <w:b w:val="0"/>
          <w:bCs/>
          <w:sz w:val="32"/>
          <w:szCs w:val="32"/>
          <w:lang w:eastAsia="zh-CN"/>
        </w:rPr>
        <w:t>第五章</w:t>
      </w:r>
      <w:r>
        <w:rPr>
          <w:rFonts w:hint="eastAsia" w:ascii="仿宋" w:hAnsi="仿宋" w:eastAsia="仿宋" w:cs="仿宋"/>
          <w:b w:val="0"/>
          <w:bCs/>
          <w:spacing w:val="-6"/>
          <w:kern w:val="44"/>
          <w:sz w:val="32"/>
          <w:szCs w:val="32"/>
          <w:lang w:eastAsia="zh-CN" w:bidi="ar-SA"/>
        </w:rPr>
        <w:t xml:space="preserve"> </w:t>
      </w:r>
      <w:r>
        <w:rPr>
          <w:rFonts w:ascii="黑体" w:hAnsi="黑体" w:eastAsia="黑体" w:cs="黑体"/>
          <w:b w:val="0"/>
          <w:bCs/>
          <w:sz w:val="32"/>
          <w:szCs w:val="32"/>
        </w:rPr>
        <w:t>附表</w:t>
      </w:r>
      <w:bookmarkEnd w:id="82"/>
      <w:bookmarkEnd w:id="83"/>
      <w:bookmarkEnd w:id="84"/>
    </w:p>
    <w:p w14:paraId="39407B2D">
      <w:pPr>
        <w:pStyle w:val="3"/>
        <w:numPr>
          <w:ilvl w:val="0"/>
          <w:numId w:val="0"/>
        </w:numPr>
        <w:topLinePunct w:val="0"/>
        <w:ind w:leftChars="0" w:firstLine="640" w:firstLineChars="200"/>
        <w:rPr>
          <w:rFonts w:hint="eastAsia" w:eastAsia="仿宋"/>
          <w:b w:val="0"/>
          <w:bCs/>
          <w:color w:val="000000"/>
        </w:rPr>
      </w:pPr>
      <w:bookmarkStart w:id="85" w:name="_Toc147"/>
      <w:r>
        <w:rPr>
          <w:rFonts w:hint="eastAsia" w:ascii="仿宋" w:hAnsi="仿宋" w:eastAsia="仿宋" w:cs="仿宋"/>
          <w:b w:val="0"/>
          <w:bCs/>
          <w:color w:val="000000"/>
          <w:lang w:eastAsia="zh-CN"/>
        </w:rPr>
        <w:t>一、</w:t>
      </w:r>
      <w:r>
        <w:rPr>
          <w:rFonts w:hint="eastAsia" w:ascii="仿宋" w:hAnsi="仿宋" w:eastAsia="仿宋" w:cs="仿宋"/>
          <w:b w:val="0"/>
          <w:bCs/>
          <w:color w:val="000000"/>
        </w:rPr>
        <w:t>收入支出决算总表</w:t>
      </w:r>
      <w:bookmarkEnd w:id="85"/>
    </w:p>
    <w:p w14:paraId="2B7DC4AC">
      <w:pPr>
        <w:pStyle w:val="3"/>
        <w:numPr>
          <w:ilvl w:val="0"/>
          <w:numId w:val="0"/>
        </w:numPr>
        <w:topLinePunct w:val="0"/>
        <w:ind w:leftChars="0" w:firstLine="640" w:firstLineChars="200"/>
        <w:rPr>
          <w:rFonts w:hint="eastAsia" w:eastAsia="仿宋"/>
          <w:b w:val="0"/>
          <w:bCs/>
          <w:color w:val="000000"/>
        </w:rPr>
      </w:pPr>
      <w:bookmarkStart w:id="86" w:name="_Toc20173"/>
      <w:r>
        <w:rPr>
          <w:rFonts w:hint="eastAsia" w:ascii="仿宋" w:hAnsi="仿宋" w:eastAsia="仿宋" w:cs="仿宋"/>
          <w:b w:val="0"/>
          <w:bCs/>
          <w:color w:val="000000"/>
          <w:lang w:eastAsia="zh-CN"/>
        </w:rPr>
        <w:t>二、</w:t>
      </w:r>
      <w:r>
        <w:rPr>
          <w:rFonts w:hint="eastAsia" w:ascii="仿宋" w:hAnsi="仿宋" w:eastAsia="仿宋" w:cs="仿宋"/>
          <w:b w:val="0"/>
          <w:bCs/>
          <w:color w:val="000000"/>
        </w:rPr>
        <w:t>收入决算表</w:t>
      </w:r>
      <w:bookmarkEnd w:id="86"/>
    </w:p>
    <w:p w14:paraId="7858E927">
      <w:pPr>
        <w:pStyle w:val="3"/>
        <w:numPr>
          <w:ilvl w:val="0"/>
          <w:numId w:val="0"/>
        </w:numPr>
        <w:topLinePunct w:val="0"/>
        <w:ind w:leftChars="0" w:firstLine="640" w:firstLineChars="200"/>
        <w:rPr>
          <w:rFonts w:hint="eastAsia" w:eastAsia="仿宋"/>
          <w:b w:val="0"/>
          <w:bCs/>
          <w:color w:val="000000"/>
        </w:rPr>
      </w:pPr>
      <w:bookmarkStart w:id="87" w:name="_Toc1994"/>
      <w:r>
        <w:rPr>
          <w:rFonts w:hint="eastAsia" w:ascii="仿宋" w:hAnsi="仿宋" w:eastAsia="仿宋" w:cs="仿宋"/>
          <w:b w:val="0"/>
          <w:bCs/>
          <w:color w:val="000000"/>
          <w:lang w:eastAsia="zh-CN"/>
        </w:rPr>
        <w:t>三、</w:t>
      </w:r>
      <w:r>
        <w:rPr>
          <w:rFonts w:hint="eastAsia" w:ascii="仿宋" w:hAnsi="仿宋" w:eastAsia="仿宋" w:cs="仿宋"/>
          <w:b w:val="0"/>
          <w:bCs/>
          <w:color w:val="000000"/>
        </w:rPr>
        <w:t>支出决算表</w:t>
      </w:r>
      <w:bookmarkEnd w:id="87"/>
    </w:p>
    <w:p w14:paraId="31EC7FA5">
      <w:pPr>
        <w:pStyle w:val="3"/>
        <w:numPr>
          <w:ilvl w:val="0"/>
          <w:numId w:val="0"/>
        </w:numPr>
        <w:topLinePunct w:val="0"/>
        <w:ind w:leftChars="0" w:firstLine="640" w:firstLineChars="200"/>
        <w:rPr>
          <w:rFonts w:hint="eastAsia" w:eastAsia="仿宋"/>
          <w:b w:val="0"/>
          <w:bCs/>
          <w:color w:val="000000"/>
        </w:rPr>
      </w:pPr>
      <w:bookmarkStart w:id="88" w:name="_Toc16647"/>
      <w:r>
        <w:rPr>
          <w:rFonts w:hint="eastAsia" w:ascii="仿宋" w:hAnsi="仿宋" w:eastAsia="仿宋" w:cs="仿宋"/>
          <w:b w:val="0"/>
          <w:bCs/>
          <w:color w:val="000000"/>
          <w:lang w:eastAsia="zh-CN"/>
        </w:rPr>
        <w:t>四、</w:t>
      </w:r>
      <w:r>
        <w:rPr>
          <w:rFonts w:hint="eastAsia" w:ascii="仿宋" w:hAnsi="仿宋" w:eastAsia="仿宋" w:cs="仿宋"/>
          <w:b w:val="0"/>
          <w:bCs/>
          <w:color w:val="000000"/>
        </w:rPr>
        <w:t>财政拨款收入支出决算总表</w:t>
      </w:r>
      <w:bookmarkEnd w:id="88"/>
    </w:p>
    <w:p w14:paraId="4A2F30BB">
      <w:pPr>
        <w:pStyle w:val="3"/>
        <w:numPr>
          <w:ilvl w:val="0"/>
          <w:numId w:val="0"/>
        </w:numPr>
        <w:topLinePunct w:val="0"/>
        <w:ind w:leftChars="0" w:firstLine="640" w:firstLineChars="200"/>
        <w:rPr>
          <w:rFonts w:hint="eastAsia" w:eastAsia="仿宋"/>
          <w:b w:val="0"/>
          <w:bCs/>
          <w:color w:val="000000"/>
        </w:rPr>
      </w:pPr>
      <w:bookmarkStart w:id="89" w:name="_Toc15146"/>
      <w:r>
        <w:rPr>
          <w:rFonts w:hint="eastAsia" w:ascii="仿宋" w:hAnsi="仿宋" w:eastAsia="仿宋" w:cs="仿宋"/>
          <w:b w:val="0"/>
          <w:bCs/>
          <w:color w:val="000000"/>
          <w:lang w:eastAsia="zh-CN"/>
        </w:rPr>
        <w:t>五、</w:t>
      </w:r>
      <w:r>
        <w:rPr>
          <w:rFonts w:hint="eastAsia" w:ascii="仿宋" w:hAnsi="仿宋" w:eastAsia="仿宋" w:cs="仿宋"/>
          <w:b w:val="0"/>
          <w:bCs/>
          <w:color w:val="000000"/>
        </w:rPr>
        <w:t>财政拨款支出决算明细表</w:t>
      </w:r>
      <w:bookmarkEnd w:id="89"/>
    </w:p>
    <w:p w14:paraId="712C880D">
      <w:pPr>
        <w:pStyle w:val="3"/>
        <w:numPr>
          <w:ilvl w:val="0"/>
          <w:numId w:val="0"/>
        </w:numPr>
        <w:topLinePunct w:val="0"/>
        <w:ind w:leftChars="0" w:firstLine="640" w:firstLineChars="200"/>
        <w:rPr>
          <w:rFonts w:hint="eastAsia" w:eastAsia="仿宋"/>
          <w:b w:val="0"/>
          <w:bCs/>
          <w:color w:val="000000"/>
        </w:rPr>
      </w:pPr>
      <w:bookmarkStart w:id="90" w:name="_Toc9184"/>
      <w:r>
        <w:rPr>
          <w:rFonts w:hint="eastAsia" w:ascii="仿宋" w:hAnsi="仿宋" w:eastAsia="仿宋" w:cs="仿宋"/>
          <w:b w:val="0"/>
          <w:bCs/>
          <w:color w:val="000000"/>
          <w:lang w:eastAsia="zh-CN"/>
        </w:rPr>
        <w:t>六、</w:t>
      </w:r>
      <w:r>
        <w:rPr>
          <w:rFonts w:hint="eastAsia" w:ascii="仿宋" w:hAnsi="仿宋" w:eastAsia="仿宋" w:cs="仿宋"/>
          <w:b w:val="0"/>
          <w:bCs/>
          <w:color w:val="000000"/>
        </w:rPr>
        <w:t>一般公共预算财政拨款支出决算表</w:t>
      </w:r>
      <w:bookmarkEnd w:id="90"/>
    </w:p>
    <w:p w14:paraId="51429EF5">
      <w:pPr>
        <w:pStyle w:val="3"/>
        <w:numPr>
          <w:ilvl w:val="0"/>
          <w:numId w:val="0"/>
        </w:numPr>
        <w:topLinePunct w:val="0"/>
        <w:ind w:leftChars="0" w:firstLine="640" w:firstLineChars="200"/>
        <w:rPr>
          <w:rFonts w:hint="eastAsia" w:eastAsia="仿宋"/>
          <w:b w:val="0"/>
          <w:bCs/>
          <w:color w:val="000000"/>
        </w:rPr>
      </w:pPr>
      <w:bookmarkStart w:id="91" w:name="_Toc19019"/>
      <w:r>
        <w:rPr>
          <w:rFonts w:hint="eastAsia" w:ascii="仿宋" w:hAnsi="仿宋" w:eastAsia="仿宋" w:cs="仿宋"/>
          <w:b w:val="0"/>
          <w:bCs/>
          <w:color w:val="000000"/>
          <w:lang w:eastAsia="zh-CN"/>
        </w:rPr>
        <w:t>七、</w:t>
      </w:r>
      <w:r>
        <w:rPr>
          <w:rFonts w:hint="eastAsia" w:ascii="仿宋" w:hAnsi="仿宋" w:eastAsia="仿宋" w:cs="仿宋"/>
          <w:b w:val="0"/>
          <w:bCs/>
          <w:color w:val="000000"/>
        </w:rPr>
        <w:t>一般公共预算财政拨款支出决算明细表</w:t>
      </w:r>
      <w:bookmarkEnd w:id="91"/>
    </w:p>
    <w:p w14:paraId="672B9B4D">
      <w:pPr>
        <w:pStyle w:val="3"/>
        <w:numPr>
          <w:ilvl w:val="0"/>
          <w:numId w:val="0"/>
        </w:numPr>
        <w:topLinePunct w:val="0"/>
        <w:ind w:leftChars="0" w:firstLine="640" w:firstLineChars="200"/>
        <w:rPr>
          <w:rFonts w:hint="eastAsia" w:eastAsia="仿宋"/>
          <w:b w:val="0"/>
          <w:bCs/>
          <w:color w:val="000000"/>
        </w:rPr>
      </w:pPr>
      <w:bookmarkStart w:id="92" w:name="_Toc17297"/>
      <w:r>
        <w:rPr>
          <w:rFonts w:hint="eastAsia" w:ascii="仿宋" w:hAnsi="仿宋" w:eastAsia="仿宋" w:cs="仿宋"/>
          <w:b w:val="0"/>
          <w:bCs/>
          <w:color w:val="000000"/>
          <w:lang w:eastAsia="zh-CN"/>
        </w:rPr>
        <w:t>八、</w:t>
      </w:r>
      <w:r>
        <w:rPr>
          <w:rFonts w:hint="eastAsia" w:ascii="仿宋" w:hAnsi="仿宋" w:eastAsia="仿宋" w:cs="仿宋"/>
          <w:b w:val="0"/>
          <w:bCs/>
          <w:color w:val="000000"/>
        </w:rPr>
        <w:t>一般公共预算财政拨款基本支出决算表</w:t>
      </w:r>
      <w:bookmarkEnd w:id="92"/>
    </w:p>
    <w:p w14:paraId="2002A273">
      <w:pPr>
        <w:pStyle w:val="13"/>
        <w:numPr>
          <w:ilvl w:val="0"/>
          <w:numId w:val="0"/>
        </w:numPr>
        <w:topLinePunct w:val="0"/>
        <w:ind w:leftChars="0" w:firstLine="616" w:firstLineChars="200"/>
        <w:rPr>
          <w:rFonts w:hint="eastAsia" w:eastAsia="仿宋_GB2312"/>
          <w:b w:val="0"/>
          <w:bCs w:val="0"/>
          <w:color w:val="000000"/>
          <w:sz w:val="32"/>
          <w:szCs w:val="32"/>
        </w:rPr>
      </w:pPr>
      <w:r>
        <w:rPr>
          <w:rFonts w:hint="eastAsia" w:cs="仿宋_GB2312"/>
          <w:b w:val="0"/>
          <w:bCs w:val="0"/>
          <w:color w:val="000000"/>
          <w:sz w:val="32"/>
          <w:szCs w:val="32"/>
          <w:lang w:eastAsia="zh-CN"/>
        </w:rPr>
        <w:t>九、</w:t>
      </w:r>
      <w:r>
        <w:rPr>
          <w:rFonts w:ascii="Times New Roman" w:hAnsi="Times New Roman" w:eastAsia="仿宋_GB2312" w:cs="仿宋_GB2312"/>
          <w:b w:val="0"/>
          <w:bCs w:val="0"/>
          <w:color w:val="000000"/>
          <w:sz w:val="32"/>
          <w:szCs w:val="32"/>
        </w:rPr>
        <w:t>一般公共预算财政拨款项目支出决算表</w:t>
      </w:r>
    </w:p>
    <w:p w14:paraId="0A36D281">
      <w:pPr>
        <w:pStyle w:val="13"/>
        <w:numPr>
          <w:ilvl w:val="0"/>
          <w:numId w:val="0"/>
        </w:numPr>
        <w:topLinePunct w:val="0"/>
        <w:ind w:leftChars="0" w:firstLine="616" w:firstLineChars="200"/>
        <w:rPr>
          <w:rFonts w:hint="eastAsia" w:eastAsia="仿宋_GB2312"/>
          <w:b w:val="0"/>
          <w:bCs w:val="0"/>
          <w:color w:val="000000"/>
          <w:sz w:val="32"/>
          <w:szCs w:val="32"/>
        </w:rPr>
      </w:pPr>
      <w:r>
        <w:rPr>
          <w:rFonts w:hint="eastAsia" w:cs="仿宋_GB2312"/>
          <w:b w:val="0"/>
          <w:bCs w:val="0"/>
          <w:color w:val="000000"/>
          <w:sz w:val="32"/>
          <w:szCs w:val="32"/>
          <w:lang w:eastAsia="zh-CN"/>
        </w:rPr>
        <w:t>十、</w:t>
      </w:r>
      <w:r>
        <w:rPr>
          <w:rFonts w:ascii="Times New Roman" w:hAnsi="Times New Roman" w:eastAsia="仿宋_GB2312" w:cs="仿宋_GB2312"/>
          <w:b w:val="0"/>
          <w:bCs w:val="0"/>
          <w:color w:val="000000"/>
          <w:sz w:val="32"/>
          <w:szCs w:val="32"/>
        </w:rPr>
        <w:t>政府性基金预算财政拨款收入支出决算表</w:t>
      </w:r>
    </w:p>
    <w:p w14:paraId="0BD12BAB">
      <w:pPr>
        <w:pStyle w:val="13"/>
        <w:numPr>
          <w:ilvl w:val="0"/>
          <w:numId w:val="0"/>
        </w:numPr>
        <w:topLinePunct w:val="0"/>
        <w:ind w:leftChars="0" w:firstLine="616" w:firstLineChars="200"/>
        <w:rPr>
          <w:rFonts w:hint="eastAsia" w:eastAsia="仿宋_GB2312"/>
          <w:b w:val="0"/>
          <w:bCs w:val="0"/>
          <w:color w:val="000000"/>
          <w:sz w:val="32"/>
          <w:szCs w:val="32"/>
        </w:rPr>
      </w:pPr>
      <w:r>
        <w:rPr>
          <w:rFonts w:hint="eastAsia" w:cs="仿宋_GB2312"/>
          <w:b w:val="0"/>
          <w:bCs w:val="0"/>
          <w:color w:val="000000"/>
          <w:sz w:val="32"/>
          <w:szCs w:val="32"/>
          <w:lang w:eastAsia="zh-CN"/>
        </w:rPr>
        <w:t>十一、</w:t>
      </w:r>
      <w:r>
        <w:rPr>
          <w:rFonts w:ascii="Times New Roman" w:hAnsi="Times New Roman" w:eastAsia="仿宋_GB2312" w:cs="仿宋_GB2312"/>
          <w:b w:val="0"/>
          <w:bCs w:val="0"/>
          <w:color w:val="000000"/>
          <w:sz w:val="32"/>
          <w:szCs w:val="32"/>
        </w:rPr>
        <w:t>国有资本经营预算财政拨款收入支出决算表</w:t>
      </w:r>
    </w:p>
    <w:p w14:paraId="124CF2DF">
      <w:pPr>
        <w:pStyle w:val="13"/>
        <w:numPr>
          <w:ilvl w:val="0"/>
          <w:numId w:val="0"/>
        </w:numPr>
        <w:topLinePunct w:val="0"/>
        <w:ind w:leftChars="0" w:firstLine="616" w:firstLineChars="200"/>
        <w:rPr>
          <w:rFonts w:hint="eastAsia" w:eastAsia="仿宋_GB2312"/>
          <w:b w:val="0"/>
          <w:bCs w:val="0"/>
          <w:color w:val="000000"/>
          <w:sz w:val="32"/>
          <w:szCs w:val="32"/>
        </w:rPr>
      </w:pPr>
      <w:r>
        <w:rPr>
          <w:rFonts w:hint="eastAsia" w:cs="仿宋_GB2312"/>
          <w:b w:val="0"/>
          <w:bCs w:val="0"/>
          <w:color w:val="000000"/>
          <w:sz w:val="32"/>
          <w:szCs w:val="32"/>
          <w:lang w:eastAsia="zh-CN"/>
        </w:rPr>
        <w:t>十二、</w:t>
      </w:r>
      <w:r>
        <w:rPr>
          <w:rFonts w:ascii="Times New Roman" w:hAnsi="Times New Roman" w:eastAsia="仿宋_GB2312" w:cs="仿宋_GB2312"/>
          <w:b w:val="0"/>
          <w:bCs w:val="0"/>
          <w:color w:val="000000"/>
          <w:sz w:val="32"/>
          <w:szCs w:val="32"/>
        </w:rPr>
        <w:t>国有资本经营预算财政拨款支出决算表</w:t>
      </w:r>
    </w:p>
    <w:p w14:paraId="39A925A5">
      <w:pPr>
        <w:pStyle w:val="13"/>
        <w:numPr>
          <w:ilvl w:val="0"/>
          <w:numId w:val="0"/>
        </w:numPr>
        <w:topLinePunct w:val="0"/>
        <w:ind w:leftChars="0" w:firstLine="616" w:firstLineChars="200"/>
        <w:rPr>
          <w:rFonts w:ascii="Times New Roman" w:hAnsi="Times New Roman" w:eastAsia="仿宋_GB2312" w:cs="仿宋_GB2312"/>
          <w:b w:val="0"/>
          <w:bCs w:val="0"/>
          <w:color w:val="000000"/>
          <w:sz w:val="32"/>
          <w:szCs w:val="32"/>
        </w:rPr>
      </w:pPr>
      <w:r>
        <w:rPr>
          <w:rFonts w:hint="eastAsia" w:cs="仿宋_GB2312"/>
          <w:b w:val="0"/>
          <w:bCs w:val="0"/>
          <w:color w:val="000000"/>
          <w:sz w:val="32"/>
          <w:szCs w:val="32"/>
          <w:lang w:eastAsia="zh-CN"/>
        </w:rPr>
        <w:t>十三、</w:t>
      </w:r>
      <w:r>
        <w:rPr>
          <w:rFonts w:ascii="Times New Roman" w:hAnsi="Times New Roman" w:eastAsia="仿宋_GB2312" w:cs="仿宋_GB2312"/>
          <w:b w:val="0"/>
          <w:bCs w:val="0"/>
          <w:color w:val="000000"/>
          <w:sz w:val="32"/>
          <w:szCs w:val="32"/>
        </w:rPr>
        <w:t>财政拨款</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三公</w:t>
      </w:r>
      <w:r>
        <w:rPr>
          <w:rFonts w:hint="eastAsia" w:ascii="仿宋_GB2312" w:hAnsi="仿宋_GB2312" w:eastAsia="仿宋_GB2312" w:cs="仿宋_GB2312"/>
          <w:b w:val="0"/>
          <w:bCs w:val="0"/>
          <w:color w:val="000000"/>
          <w:spacing w:val="-6"/>
          <w:sz w:val="32"/>
          <w:szCs w:val="32"/>
        </w:rPr>
        <w:t>”</w:t>
      </w:r>
      <w:r>
        <w:rPr>
          <w:rFonts w:ascii="Times New Roman" w:hAnsi="Times New Roman" w:eastAsia="仿宋_GB2312" w:cs="仿宋_GB2312"/>
          <w:b w:val="0"/>
          <w:bCs w:val="0"/>
          <w:color w:val="000000"/>
          <w:sz w:val="32"/>
          <w:szCs w:val="32"/>
        </w:rPr>
        <w:t>经费支出决算表</w:t>
      </w:r>
    </w:p>
    <w:p w14:paraId="580B7B03">
      <w:pPr>
        <w:pStyle w:val="13"/>
        <w:bidi w:val="0"/>
        <w:rPr>
          <w:rFonts w:hint="eastAsia"/>
        </w:rPr>
      </w:pPr>
    </w:p>
    <w:sectPr>
      <w:footerReference r:id="rId8" w:type="first"/>
      <w:footerReference r:id="rId7" w:type="default"/>
      <w:pgSz w:w="11906" w:h="16838"/>
      <w:pgMar w:top="2098" w:right="1474" w:bottom="1984" w:left="1587" w:header="851" w:footer="1417"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03E1C0C-E1FA-487F-A44D-A684D0B46B06}"/>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embedRegular r:id="rId2" w:fontKey="{70D5E285-37A1-427D-A370-7BB54B14B2FF}"/>
  </w:font>
  <w:font w:name="仿宋_GB2312">
    <w:panose1 w:val="02010609030101010101"/>
    <w:charset w:val="86"/>
    <w:family w:val="modern"/>
    <w:pitch w:val="default"/>
    <w:sig w:usb0="00000001" w:usb1="080E0000" w:usb2="00000000" w:usb3="00000000" w:csb0="00040000" w:csb1="00000000"/>
    <w:embedRegular r:id="rId3" w:fontKey="{144887E2-59E9-4173-A6F6-6A2F9D5E118B}"/>
  </w:font>
  <w:font w:name="仿宋">
    <w:panose1 w:val="02010609060101010101"/>
    <w:charset w:val="86"/>
    <w:family w:val="modern"/>
    <w:pitch w:val="default"/>
    <w:sig w:usb0="800002BF" w:usb1="38CF7CFA" w:usb2="00000016" w:usb3="00000000" w:csb0="00040001" w:csb1="00000000"/>
    <w:embedRegular r:id="rId4" w:fontKey="{7BFCE809-EB13-4AFF-BB25-673A6DABFCCF}"/>
  </w:font>
  <w:font w:name="方正小标宋简体">
    <w:panose1 w:val="02010601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embedRegular r:id="rId5" w:fontKey="{3307EA6A-1909-4B7F-A9EC-F0C76E22AF5E}"/>
  </w:font>
  <w:font w:name="思源黑体 CN Normal">
    <w:altName w:val="黑体"/>
    <w:panose1 w:val="020B0400000000000000"/>
    <w:charset w:val="86"/>
    <w:family w:val="auto"/>
    <w:pitch w:val="default"/>
    <w:sig w:usb0="00000000" w:usb1="00000000" w:usb2="00000016" w:usb3="00000000" w:csb0="60060107" w:csb1="00000000"/>
    <w:embedRegular r:id="rId6" w:fontKey="{C8820476-8E07-4D61-AAC4-99C4F9A7014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FF7B9">
    <w:pPr>
      <w:pStyle w:val="1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61BBBA">
                          <w:pPr>
                            <w:pStyle w:val="18"/>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center;mso-position-horizontal-relative:margin;mso-wrap-style:none;z-index:251660288;mso-width-relative:page;mso-height-relative:page;" filled="f" stroked="f" coordsize="21600,21600" o:gfxdata="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AB6AdbTAAAABgEAAA8AAAAAAAAAAQAgAAAAIgAAAGRycy9kb3ducmV2LnhtbFBLAQIU&#10;ABQAAAAIAIdO4kBrhfn7MQIAAGEEAAAOAAAAAAAAAAEAIAAAACIBAABkcnMvZTJvRG9jLnhtbFBL&#10;BQYAAAAABgAGAFkBAADFBQAAAAA=&#10;">
              <v:fill on="f" focussize="0,0"/>
              <v:stroke on="f" weight="0.5pt"/>
              <v:imagedata o:title=""/>
              <o:lock v:ext="edit" aspectratio="f"/>
              <v:textbox inset="0mm,0mm,0mm,0mm" style="mso-fit-shape-to-text:t;">
                <w:txbxContent>
                  <w:p w14:paraId="1A61BBBA">
                    <w:pPr>
                      <w:pStyle w:val="18"/>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p w14:paraId="40092139">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5CA5C">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34083">
                          <w:pPr>
                            <w:pStyle w:val="18"/>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center;mso-position-horizontal-relative:margin;mso-wrap-style:none;z-index:251661312;mso-width-relative:page;mso-height-relative:page;" filled="f" stroked="f" coordsize="21600,21600" o:gfxdata="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AB6AdbTAAAABgEAAA8AAAAAAAAAAQAgAAAAIgAAAGRycy9kb3ducmV2LnhtbFBLAQIU&#10;ABQAAAAIAIdO4kAwiRJeMQIAAGEEAAAOAAAAAAAAAAEAIAAAACIBAABkcnMvZTJvRG9jLnhtbFBL&#10;BQYAAAAABgAGAFkBAADFBQAAAAA=&#10;">
              <v:fill on="f" focussize="0,0"/>
              <v:stroke on="f" weight="0.5pt"/>
              <v:imagedata o:title=""/>
              <o:lock v:ext="edit" aspectratio="f"/>
              <v:textbox inset="0mm,0mm,0mm,0mm" style="mso-fit-shape-to-text:t;">
                <w:txbxContent>
                  <w:p w14:paraId="77334083">
                    <w:pPr>
                      <w:pStyle w:val="18"/>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F41CB">
    <w:pPr>
      <w:pStyle w:val="1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891F85">
                          <w:pPr>
                            <w:pStyle w:val="18"/>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center;mso-position-horizontal-relative:margin;mso-wrap-style:none;z-index:251662336;mso-width-relative:page;mso-height-relative:page;" filled="f" stroked="f" coordsize="21600,21600" o:gfxdata="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AB6AdbTAAAABgEAAA8AAAAAAAAAAQAgAAAAIgAAAGRycy9kb3ducmV2LnhtbFBLAQIU&#10;ABQAAAAIAIdO4kDHl7XOMQIAAGEEAAAOAAAAAAAAAAEAIAAAACIBAABkcnMvZTJvRG9jLnhtbFBL&#10;BQYAAAAABgAGAFkBAADFBQAAAAA=&#10;">
              <v:fill on="f" focussize="0,0"/>
              <v:stroke on="f" weight="0.5pt"/>
              <v:imagedata o:title=""/>
              <o:lock v:ext="edit" aspectratio="f"/>
              <v:textbox inset="0mm,0mm,0mm,0mm" style="mso-fit-shape-to-text:t;">
                <w:txbxContent>
                  <w:p w14:paraId="64891F85">
                    <w:pPr>
                      <w:pStyle w:val="18"/>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p w14:paraId="6AA3FF41">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A8348">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0CC68">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3D0CC68">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EE576">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7BC3A">
    <w:pPr>
      <w:pStyle w:val="19"/>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evenAndOddHeaders w:val="1"/>
  <w:drawingGridHorizontalSpacing w:val="158"/>
  <w:drawingGridVerticalSpacing w:val="290"/>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hmNjAzMWJlZjFkMmQwODUwMTJkYzE2ODFiYmFmYTcifQ=="/>
  </w:docVars>
  <w:rsids>
    <w:rsidRoot w:val="00F1361C"/>
    <w:rsid w:val="000000BC"/>
    <w:rsid w:val="00000665"/>
    <w:rsid w:val="00000B38"/>
    <w:rsid w:val="000015A2"/>
    <w:rsid w:val="00002628"/>
    <w:rsid w:val="00003E5B"/>
    <w:rsid w:val="00004806"/>
    <w:rsid w:val="00007EA6"/>
    <w:rsid w:val="00012FB7"/>
    <w:rsid w:val="00013357"/>
    <w:rsid w:val="00013C9E"/>
    <w:rsid w:val="00015450"/>
    <w:rsid w:val="000175E6"/>
    <w:rsid w:val="00017F98"/>
    <w:rsid w:val="00020F07"/>
    <w:rsid w:val="000222C6"/>
    <w:rsid w:val="00022FC0"/>
    <w:rsid w:val="000230B2"/>
    <w:rsid w:val="0002359B"/>
    <w:rsid w:val="00023DEB"/>
    <w:rsid w:val="00025226"/>
    <w:rsid w:val="0002549F"/>
    <w:rsid w:val="00025F1E"/>
    <w:rsid w:val="0002749D"/>
    <w:rsid w:val="0003013F"/>
    <w:rsid w:val="00031598"/>
    <w:rsid w:val="00031926"/>
    <w:rsid w:val="000326D5"/>
    <w:rsid w:val="00033414"/>
    <w:rsid w:val="00034ABC"/>
    <w:rsid w:val="00034D1D"/>
    <w:rsid w:val="00034D24"/>
    <w:rsid w:val="00035A69"/>
    <w:rsid w:val="000366B3"/>
    <w:rsid w:val="00036E57"/>
    <w:rsid w:val="00047195"/>
    <w:rsid w:val="00047C09"/>
    <w:rsid w:val="00052D93"/>
    <w:rsid w:val="000551CF"/>
    <w:rsid w:val="000571AC"/>
    <w:rsid w:val="00063AA8"/>
    <w:rsid w:val="0006487A"/>
    <w:rsid w:val="00065F8F"/>
    <w:rsid w:val="00066365"/>
    <w:rsid w:val="00066A65"/>
    <w:rsid w:val="00070C93"/>
    <w:rsid w:val="00070D58"/>
    <w:rsid w:val="00070F40"/>
    <w:rsid w:val="00071796"/>
    <w:rsid w:val="00072BEC"/>
    <w:rsid w:val="00073345"/>
    <w:rsid w:val="000768F2"/>
    <w:rsid w:val="00077C80"/>
    <w:rsid w:val="00081156"/>
    <w:rsid w:val="000815F6"/>
    <w:rsid w:val="00083B72"/>
    <w:rsid w:val="000846FF"/>
    <w:rsid w:val="0008503A"/>
    <w:rsid w:val="000851B4"/>
    <w:rsid w:val="000859F0"/>
    <w:rsid w:val="00087C06"/>
    <w:rsid w:val="00090134"/>
    <w:rsid w:val="00090DB7"/>
    <w:rsid w:val="0009184B"/>
    <w:rsid w:val="00091AAC"/>
    <w:rsid w:val="000921CB"/>
    <w:rsid w:val="000925CB"/>
    <w:rsid w:val="0009389E"/>
    <w:rsid w:val="0009593C"/>
    <w:rsid w:val="000A1370"/>
    <w:rsid w:val="000A17C4"/>
    <w:rsid w:val="000A37A2"/>
    <w:rsid w:val="000A500C"/>
    <w:rsid w:val="000B007F"/>
    <w:rsid w:val="000B047F"/>
    <w:rsid w:val="000B071C"/>
    <w:rsid w:val="000B1716"/>
    <w:rsid w:val="000B202D"/>
    <w:rsid w:val="000B26BE"/>
    <w:rsid w:val="000B2D44"/>
    <w:rsid w:val="000B2FD8"/>
    <w:rsid w:val="000B44F0"/>
    <w:rsid w:val="000B5923"/>
    <w:rsid w:val="000B5A48"/>
    <w:rsid w:val="000B6FF3"/>
    <w:rsid w:val="000C0A06"/>
    <w:rsid w:val="000C148A"/>
    <w:rsid w:val="000C2B6A"/>
    <w:rsid w:val="000C3467"/>
    <w:rsid w:val="000C3CA6"/>
    <w:rsid w:val="000C4E3D"/>
    <w:rsid w:val="000C7136"/>
    <w:rsid w:val="000D1267"/>
    <w:rsid w:val="000D17A8"/>
    <w:rsid w:val="000D1D50"/>
    <w:rsid w:val="000D304F"/>
    <w:rsid w:val="000D4033"/>
    <w:rsid w:val="000D5782"/>
    <w:rsid w:val="000D620F"/>
    <w:rsid w:val="000D74AA"/>
    <w:rsid w:val="000E3AC5"/>
    <w:rsid w:val="000E4C84"/>
    <w:rsid w:val="000E6613"/>
    <w:rsid w:val="000E6663"/>
    <w:rsid w:val="000E7119"/>
    <w:rsid w:val="000E75B2"/>
    <w:rsid w:val="000F0D1B"/>
    <w:rsid w:val="000F3E1D"/>
    <w:rsid w:val="000F7336"/>
    <w:rsid w:val="00101546"/>
    <w:rsid w:val="00106B75"/>
    <w:rsid w:val="0010727E"/>
    <w:rsid w:val="00107CCA"/>
    <w:rsid w:val="00110310"/>
    <w:rsid w:val="0011211B"/>
    <w:rsid w:val="00112787"/>
    <w:rsid w:val="00114E9B"/>
    <w:rsid w:val="0011649B"/>
    <w:rsid w:val="00116E5E"/>
    <w:rsid w:val="0012218E"/>
    <w:rsid w:val="0012398F"/>
    <w:rsid w:val="00124113"/>
    <w:rsid w:val="00124BFE"/>
    <w:rsid w:val="0012516D"/>
    <w:rsid w:val="00125224"/>
    <w:rsid w:val="00130F18"/>
    <w:rsid w:val="00133C7A"/>
    <w:rsid w:val="0013434B"/>
    <w:rsid w:val="00137E3C"/>
    <w:rsid w:val="001418EE"/>
    <w:rsid w:val="00142F42"/>
    <w:rsid w:val="00143AE1"/>
    <w:rsid w:val="00143C8F"/>
    <w:rsid w:val="001446FE"/>
    <w:rsid w:val="00144A59"/>
    <w:rsid w:val="00146A3D"/>
    <w:rsid w:val="0014729F"/>
    <w:rsid w:val="00147410"/>
    <w:rsid w:val="001506F6"/>
    <w:rsid w:val="00151128"/>
    <w:rsid w:val="0015213E"/>
    <w:rsid w:val="001544D9"/>
    <w:rsid w:val="00156D25"/>
    <w:rsid w:val="00156D5D"/>
    <w:rsid w:val="00157BAB"/>
    <w:rsid w:val="0016151A"/>
    <w:rsid w:val="00163B54"/>
    <w:rsid w:val="00163F03"/>
    <w:rsid w:val="001654D1"/>
    <w:rsid w:val="00166A14"/>
    <w:rsid w:val="00166F25"/>
    <w:rsid w:val="0016730C"/>
    <w:rsid w:val="00167FD7"/>
    <w:rsid w:val="0017190C"/>
    <w:rsid w:val="00174145"/>
    <w:rsid w:val="0018106D"/>
    <w:rsid w:val="0018125C"/>
    <w:rsid w:val="00181856"/>
    <w:rsid w:val="00183B64"/>
    <w:rsid w:val="00184B52"/>
    <w:rsid w:val="001877A7"/>
    <w:rsid w:val="00187CD2"/>
    <w:rsid w:val="00191536"/>
    <w:rsid w:val="00191B2C"/>
    <w:rsid w:val="001927B3"/>
    <w:rsid w:val="00193E73"/>
    <w:rsid w:val="00193FE2"/>
    <w:rsid w:val="001959D9"/>
    <w:rsid w:val="00195AB7"/>
    <w:rsid w:val="00196687"/>
    <w:rsid w:val="001A0107"/>
    <w:rsid w:val="001A0B9F"/>
    <w:rsid w:val="001A0EA2"/>
    <w:rsid w:val="001A1DBF"/>
    <w:rsid w:val="001A41F1"/>
    <w:rsid w:val="001A5CF3"/>
    <w:rsid w:val="001A63BB"/>
    <w:rsid w:val="001B1840"/>
    <w:rsid w:val="001B1FA9"/>
    <w:rsid w:val="001B2FB3"/>
    <w:rsid w:val="001B5F65"/>
    <w:rsid w:val="001B6640"/>
    <w:rsid w:val="001B7FF7"/>
    <w:rsid w:val="001C0962"/>
    <w:rsid w:val="001C1941"/>
    <w:rsid w:val="001C1A81"/>
    <w:rsid w:val="001C38A5"/>
    <w:rsid w:val="001C597C"/>
    <w:rsid w:val="001C6464"/>
    <w:rsid w:val="001C746B"/>
    <w:rsid w:val="001D14B6"/>
    <w:rsid w:val="001D342B"/>
    <w:rsid w:val="001D6C1E"/>
    <w:rsid w:val="001D7531"/>
    <w:rsid w:val="001E0A1B"/>
    <w:rsid w:val="001E1402"/>
    <w:rsid w:val="001E2922"/>
    <w:rsid w:val="001E3680"/>
    <w:rsid w:val="001E6926"/>
    <w:rsid w:val="001E737D"/>
    <w:rsid w:val="001F0592"/>
    <w:rsid w:val="001F0C89"/>
    <w:rsid w:val="001F7506"/>
    <w:rsid w:val="002006CD"/>
    <w:rsid w:val="0020075A"/>
    <w:rsid w:val="00202B36"/>
    <w:rsid w:val="00202C44"/>
    <w:rsid w:val="00202F80"/>
    <w:rsid w:val="002030A5"/>
    <w:rsid w:val="00204B7A"/>
    <w:rsid w:val="00206616"/>
    <w:rsid w:val="0020689D"/>
    <w:rsid w:val="00206B0E"/>
    <w:rsid w:val="00207949"/>
    <w:rsid w:val="0021101A"/>
    <w:rsid w:val="0021190F"/>
    <w:rsid w:val="0021334C"/>
    <w:rsid w:val="00216B50"/>
    <w:rsid w:val="00220536"/>
    <w:rsid w:val="00220C02"/>
    <w:rsid w:val="00224F1D"/>
    <w:rsid w:val="00225CB7"/>
    <w:rsid w:val="0023060C"/>
    <w:rsid w:val="00234E40"/>
    <w:rsid w:val="00235629"/>
    <w:rsid w:val="00237409"/>
    <w:rsid w:val="00237AE4"/>
    <w:rsid w:val="00240C43"/>
    <w:rsid w:val="00240C5D"/>
    <w:rsid w:val="00243589"/>
    <w:rsid w:val="002527B1"/>
    <w:rsid w:val="0025301B"/>
    <w:rsid w:val="00253FF8"/>
    <w:rsid w:val="00260A32"/>
    <w:rsid w:val="00260C38"/>
    <w:rsid w:val="00260F84"/>
    <w:rsid w:val="002616C0"/>
    <w:rsid w:val="002620C0"/>
    <w:rsid w:val="002662AA"/>
    <w:rsid w:val="00267E1C"/>
    <w:rsid w:val="00272FB2"/>
    <w:rsid w:val="0027313F"/>
    <w:rsid w:val="00273F8B"/>
    <w:rsid w:val="002740FA"/>
    <w:rsid w:val="0027692F"/>
    <w:rsid w:val="0027703A"/>
    <w:rsid w:val="00277BF4"/>
    <w:rsid w:val="002803BD"/>
    <w:rsid w:val="00280496"/>
    <w:rsid w:val="00283D63"/>
    <w:rsid w:val="00283E91"/>
    <w:rsid w:val="002856F9"/>
    <w:rsid w:val="002866CA"/>
    <w:rsid w:val="00286C21"/>
    <w:rsid w:val="002875BF"/>
    <w:rsid w:val="0029076F"/>
    <w:rsid w:val="0029094E"/>
    <w:rsid w:val="00291DC2"/>
    <w:rsid w:val="00292626"/>
    <w:rsid w:val="00292E6B"/>
    <w:rsid w:val="00295495"/>
    <w:rsid w:val="002A0D55"/>
    <w:rsid w:val="002A0E88"/>
    <w:rsid w:val="002A1940"/>
    <w:rsid w:val="002A3F4C"/>
    <w:rsid w:val="002A70D7"/>
    <w:rsid w:val="002A77B7"/>
    <w:rsid w:val="002A7AE1"/>
    <w:rsid w:val="002B133E"/>
    <w:rsid w:val="002B1B6D"/>
    <w:rsid w:val="002B2613"/>
    <w:rsid w:val="002B2C2A"/>
    <w:rsid w:val="002B2F51"/>
    <w:rsid w:val="002B44FC"/>
    <w:rsid w:val="002B5438"/>
    <w:rsid w:val="002B544A"/>
    <w:rsid w:val="002B5F40"/>
    <w:rsid w:val="002B79B7"/>
    <w:rsid w:val="002C00BF"/>
    <w:rsid w:val="002C0137"/>
    <w:rsid w:val="002C1004"/>
    <w:rsid w:val="002C1E97"/>
    <w:rsid w:val="002C4022"/>
    <w:rsid w:val="002C5275"/>
    <w:rsid w:val="002C6074"/>
    <w:rsid w:val="002D1F9E"/>
    <w:rsid w:val="002D30E8"/>
    <w:rsid w:val="002E0F9C"/>
    <w:rsid w:val="002E1F75"/>
    <w:rsid w:val="002E202A"/>
    <w:rsid w:val="002E5C3A"/>
    <w:rsid w:val="002E64D0"/>
    <w:rsid w:val="002F1818"/>
    <w:rsid w:val="002F1A28"/>
    <w:rsid w:val="002F2C84"/>
    <w:rsid w:val="002F335F"/>
    <w:rsid w:val="002F567B"/>
    <w:rsid w:val="002F66D8"/>
    <w:rsid w:val="002F7353"/>
    <w:rsid w:val="0030080A"/>
    <w:rsid w:val="0030298F"/>
    <w:rsid w:val="00302AF1"/>
    <w:rsid w:val="00305126"/>
    <w:rsid w:val="0030593B"/>
    <w:rsid w:val="00310306"/>
    <w:rsid w:val="0031156F"/>
    <w:rsid w:val="00317FD1"/>
    <w:rsid w:val="00321358"/>
    <w:rsid w:val="003216A9"/>
    <w:rsid w:val="00322D89"/>
    <w:rsid w:val="00325332"/>
    <w:rsid w:val="00325856"/>
    <w:rsid w:val="00325985"/>
    <w:rsid w:val="003278AA"/>
    <w:rsid w:val="00332726"/>
    <w:rsid w:val="0033309F"/>
    <w:rsid w:val="00335ED6"/>
    <w:rsid w:val="00337694"/>
    <w:rsid w:val="003431B7"/>
    <w:rsid w:val="0034381A"/>
    <w:rsid w:val="003440C6"/>
    <w:rsid w:val="00350C26"/>
    <w:rsid w:val="003515CF"/>
    <w:rsid w:val="00353569"/>
    <w:rsid w:val="00354D51"/>
    <w:rsid w:val="0035612F"/>
    <w:rsid w:val="00356A32"/>
    <w:rsid w:val="0035779A"/>
    <w:rsid w:val="00360394"/>
    <w:rsid w:val="0036392A"/>
    <w:rsid w:val="003663FE"/>
    <w:rsid w:val="0036688B"/>
    <w:rsid w:val="00366A86"/>
    <w:rsid w:val="00367683"/>
    <w:rsid w:val="00367B91"/>
    <w:rsid w:val="0037013F"/>
    <w:rsid w:val="00373FCE"/>
    <w:rsid w:val="00377A4C"/>
    <w:rsid w:val="003802FF"/>
    <w:rsid w:val="00380C92"/>
    <w:rsid w:val="00383877"/>
    <w:rsid w:val="00385025"/>
    <w:rsid w:val="00386455"/>
    <w:rsid w:val="00390D36"/>
    <w:rsid w:val="00390F3B"/>
    <w:rsid w:val="0039111A"/>
    <w:rsid w:val="003936B4"/>
    <w:rsid w:val="00393AFD"/>
    <w:rsid w:val="003A079E"/>
    <w:rsid w:val="003A10FA"/>
    <w:rsid w:val="003A163E"/>
    <w:rsid w:val="003A32EC"/>
    <w:rsid w:val="003A36AE"/>
    <w:rsid w:val="003A3ACA"/>
    <w:rsid w:val="003A4404"/>
    <w:rsid w:val="003A484F"/>
    <w:rsid w:val="003A4F96"/>
    <w:rsid w:val="003A5540"/>
    <w:rsid w:val="003B0BE0"/>
    <w:rsid w:val="003B0C1A"/>
    <w:rsid w:val="003B0C1B"/>
    <w:rsid w:val="003B5601"/>
    <w:rsid w:val="003B688C"/>
    <w:rsid w:val="003C0291"/>
    <w:rsid w:val="003C2ECB"/>
    <w:rsid w:val="003C350E"/>
    <w:rsid w:val="003C39AE"/>
    <w:rsid w:val="003C6D0D"/>
    <w:rsid w:val="003C76CC"/>
    <w:rsid w:val="003C7B60"/>
    <w:rsid w:val="003D0821"/>
    <w:rsid w:val="003D1FB2"/>
    <w:rsid w:val="003D2303"/>
    <w:rsid w:val="003D3CC9"/>
    <w:rsid w:val="003D4221"/>
    <w:rsid w:val="003D644D"/>
    <w:rsid w:val="003D66DA"/>
    <w:rsid w:val="003E10D3"/>
    <w:rsid w:val="003E1310"/>
    <w:rsid w:val="003E2E1C"/>
    <w:rsid w:val="003E5BD3"/>
    <w:rsid w:val="003E6348"/>
    <w:rsid w:val="003E6F55"/>
    <w:rsid w:val="003F133D"/>
    <w:rsid w:val="003F2794"/>
    <w:rsid w:val="003F339D"/>
    <w:rsid w:val="003F363F"/>
    <w:rsid w:val="003F3A2A"/>
    <w:rsid w:val="003F3DED"/>
    <w:rsid w:val="003F3E94"/>
    <w:rsid w:val="003F44B8"/>
    <w:rsid w:val="003F7CD6"/>
    <w:rsid w:val="00400549"/>
    <w:rsid w:val="00401C71"/>
    <w:rsid w:val="004026F9"/>
    <w:rsid w:val="00402FCE"/>
    <w:rsid w:val="00405639"/>
    <w:rsid w:val="00406254"/>
    <w:rsid w:val="004071E0"/>
    <w:rsid w:val="00407AD0"/>
    <w:rsid w:val="00410C16"/>
    <w:rsid w:val="00422023"/>
    <w:rsid w:val="004223DE"/>
    <w:rsid w:val="004234B2"/>
    <w:rsid w:val="00426FA8"/>
    <w:rsid w:val="00427162"/>
    <w:rsid w:val="0043341C"/>
    <w:rsid w:val="004343F3"/>
    <w:rsid w:val="00434489"/>
    <w:rsid w:val="0043475E"/>
    <w:rsid w:val="0043497B"/>
    <w:rsid w:val="00435137"/>
    <w:rsid w:val="00436E88"/>
    <w:rsid w:val="00437085"/>
    <w:rsid w:val="004370D1"/>
    <w:rsid w:val="00440872"/>
    <w:rsid w:val="00440A29"/>
    <w:rsid w:val="00441C18"/>
    <w:rsid w:val="004422EF"/>
    <w:rsid w:val="00443880"/>
    <w:rsid w:val="00444CE1"/>
    <w:rsid w:val="0044578E"/>
    <w:rsid w:val="0044581C"/>
    <w:rsid w:val="004464F4"/>
    <w:rsid w:val="00446FA9"/>
    <w:rsid w:val="00447035"/>
    <w:rsid w:val="00450BFF"/>
    <w:rsid w:val="00454FA9"/>
    <w:rsid w:val="004571F2"/>
    <w:rsid w:val="0045723A"/>
    <w:rsid w:val="00460A67"/>
    <w:rsid w:val="00461A98"/>
    <w:rsid w:val="00462B33"/>
    <w:rsid w:val="0046346E"/>
    <w:rsid w:val="004700E2"/>
    <w:rsid w:val="004708B9"/>
    <w:rsid w:val="00471401"/>
    <w:rsid w:val="00471CBB"/>
    <w:rsid w:val="00473F31"/>
    <w:rsid w:val="00474218"/>
    <w:rsid w:val="004750E8"/>
    <w:rsid w:val="00476F1B"/>
    <w:rsid w:val="0047729B"/>
    <w:rsid w:val="0048263A"/>
    <w:rsid w:val="0048368B"/>
    <w:rsid w:val="0048372E"/>
    <w:rsid w:val="00483F46"/>
    <w:rsid w:val="00484CD3"/>
    <w:rsid w:val="004857E4"/>
    <w:rsid w:val="00486073"/>
    <w:rsid w:val="0048694C"/>
    <w:rsid w:val="00486E3E"/>
    <w:rsid w:val="00487E5D"/>
    <w:rsid w:val="00491181"/>
    <w:rsid w:val="00492070"/>
    <w:rsid w:val="004941B6"/>
    <w:rsid w:val="00497E59"/>
    <w:rsid w:val="004A2A48"/>
    <w:rsid w:val="004A4A66"/>
    <w:rsid w:val="004A4B01"/>
    <w:rsid w:val="004A5576"/>
    <w:rsid w:val="004A6B85"/>
    <w:rsid w:val="004A711F"/>
    <w:rsid w:val="004A7B2B"/>
    <w:rsid w:val="004B01AE"/>
    <w:rsid w:val="004B199D"/>
    <w:rsid w:val="004B2279"/>
    <w:rsid w:val="004B25B9"/>
    <w:rsid w:val="004B3F00"/>
    <w:rsid w:val="004B4690"/>
    <w:rsid w:val="004B7108"/>
    <w:rsid w:val="004B778F"/>
    <w:rsid w:val="004B785F"/>
    <w:rsid w:val="004C01B1"/>
    <w:rsid w:val="004C062D"/>
    <w:rsid w:val="004C4638"/>
    <w:rsid w:val="004C5745"/>
    <w:rsid w:val="004C5DBD"/>
    <w:rsid w:val="004C62FA"/>
    <w:rsid w:val="004C6FB9"/>
    <w:rsid w:val="004D1DC6"/>
    <w:rsid w:val="004D31FB"/>
    <w:rsid w:val="004D4BB1"/>
    <w:rsid w:val="004D4D6E"/>
    <w:rsid w:val="004D4DA3"/>
    <w:rsid w:val="004D798C"/>
    <w:rsid w:val="004D7AEF"/>
    <w:rsid w:val="004E028C"/>
    <w:rsid w:val="004E0815"/>
    <w:rsid w:val="004E0A2D"/>
    <w:rsid w:val="004E206B"/>
    <w:rsid w:val="004E3DEC"/>
    <w:rsid w:val="004E67E0"/>
    <w:rsid w:val="004E6DF7"/>
    <w:rsid w:val="004F0FBD"/>
    <w:rsid w:val="00501436"/>
    <w:rsid w:val="00501B3E"/>
    <w:rsid w:val="00502053"/>
    <w:rsid w:val="005020BB"/>
    <w:rsid w:val="00505843"/>
    <w:rsid w:val="00505A47"/>
    <w:rsid w:val="0050679E"/>
    <w:rsid w:val="0051166F"/>
    <w:rsid w:val="0051173A"/>
    <w:rsid w:val="00512FDA"/>
    <w:rsid w:val="00513ED7"/>
    <w:rsid w:val="0051467D"/>
    <w:rsid w:val="00520DA0"/>
    <w:rsid w:val="005225FC"/>
    <w:rsid w:val="00524AC4"/>
    <w:rsid w:val="0052729E"/>
    <w:rsid w:val="0052733D"/>
    <w:rsid w:val="00530E19"/>
    <w:rsid w:val="00530F71"/>
    <w:rsid w:val="005322EB"/>
    <w:rsid w:val="0053459C"/>
    <w:rsid w:val="005361CD"/>
    <w:rsid w:val="00550726"/>
    <w:rsid w:val="00550F95"/>
    <w:rsid w:val="0055106D"/>
    <w:rsid w:val="005559A4"/>
    <w:rsid w:val="0056304B"/>
    <w:rsid w:val="005651E3"/>
    <w:rsid w:val="00565D17"/>
    <w:rsid w:val="005664BB"/>
    <w:rsid w:val="00566C08"/>
    <w:rsid w:val="0056722F"/>
    <w:rsid w:val="00567B67"/>
    <w:rsid w:val="00570C62"/>
    <w:rsid w:val="00572EB1"/>
    <w:rsid w:val="00572EC9"/>
    <w:rsid w:val="00573576"/>
    <w:rsid w:val="0057481D"/>
    <w:rsid w:val="0057798B"/>
    <w:rsid w:val="00577A75"/>
    <w:rsid w:val="00577DF2"/>
    <w:rsid w:val="00580D35"/>
    <w:rsid w:val="0058486E"/>
    <w:rsid w:val="00584F2B"/>
    <w:rsid w:val="005935E9"/>
    <w:rsid w:val="005939BC"/>
    <w:rsid w:val="00593D4E"/>
    <w:rsid w:val="005975DB"/>
    <w:rsid w:val="00597919"/>
    <w:rsid w:val="005A0204"/>
    <w:rsid w:val="005A0CF8"/>
    <w:rsid w:val="005A324B"/>
    <w:rsid w:val="005B186A"/>
    <w:rsid w:val="005B553C"/>
    <w:rsid w:val="005B57DB"/>
    <w:rsid w:val="005B58F9"/>
    <w:rsid w:val="005B5ACB"/>
    <w:rsid w:val="005B76E6"/>
    <w:rsid w:val="005C0AF7"/>
    <w:rsid w:val="005C0B82"/>
    <w:rsid w:val="005C0D5C"/>
    <w:rsid w:val="005C4A4C"/>
    <w:rsid w:val="005C52C6"/>
    <w:rsid w:val="005C7204"/>
    <w:rsid w:val="005D1C8B"/>
    <w:rsid w:val="005D5CED"/>
    <w:rsid w:val="005D6054"/>
    <w:rsid w:val="005E1522"/>
    <w:rsid w:val="005E3365"/>
    <w:rsid w:val="005E5517"/>
    <w:rsid w:val="005F0705"/>
    <w:rsid w:val="005F0C83"/>
    <w:rsid w:val="005F1A4C"/>
    <w:rsid w:val="005F1F76"/>
    <w:rsid w:val="005F2C70"/>
    <w:rsid w:val="005F32B6"/>
    <w:rsid w:val="005F4162"/>
    <w:rsid w:val="005F44C7"/>
    <w:rsid w:val="005F632F"/>
    <w:rsid w:val="00600946"/>
    <w:rsid w:val="006044AC"/>
    <w:rsid w:val="00604551"/>
    <w:rsid w:val="00605688"/>
    <w:rsid w:val="006070AF"/>
    <w:rsid w:val="00607816"/>
    <w:rsid w:val="00607E6C"/>
    <w:rsid w:val="006101B1"/>
    <w:rsid w:val="00611AD3"/>
    <w:rsid w:val="00612209"/>
    <w:rsid w:val="00614423"/>
    <w:rsid w:val="00614E44"/>
    <w:rsid w:val="006155B0"/>
    <w:rsid w:val="006205F4"/>
    <w:rsid w:val="00620717"/>
    <w:rsid w:val="00622830"/>
    <w:rsid w:val="006256DB"/>
    <w:rsid w:val="00630AEF"/>
    <w:rsid w:val="00630BB3"/>
    <w:rsid w:val="006325F8"/>
    <w:rsid w:val="00633AE4"/>
    <w:rsid w:val="006348B1"/>
    <w:rsid w:val="00634C9A"/>
    <w:rsid w:val="00635FC7"/>
    <w:rsid w:val="00636040"/>
    <w:rsid w:val="00642529"/>
    <w:rsid w:val="0064301E"/>
    <w:rsid w:val="00643322"/>
    <w:rsid w:val="00643C0A"/>
    <w:rsid w:val="006440E4"/>
    <w:rsid w:val="00645301"/>
    <w:rsid w:val="00645F78"/>
    <w:rsid w:val="0064753B"/>
    <w:rsid w:val="00650D36"/>
    <w:rsid w:val="00650F17"/>
    <w:rsid w:val="006511E7"/>
    <w:rsid w:val="0065182B"/>
    <w:rsid w:val="00660339"/>
    <w:rsid w:val="00660F57"/>
    <w:rsid w:val="00661830"/>
    <w:rsid w:val="0066343B"/>
    <w:rsid w:val="00663BDD"/>
    <w:rsid w:val="00664777"/>
    <w:rsid w:val="00664ED7"/>
    <w:rsid w:val="0066615D"/>
    <w:rsid w:val="00666366"/>
    <w:rsid w:val="0066748A"/>
    <w:rsid w:val="0067155A"/>
    <w:rsid w:val="00671D25"/>
    <w:rsid w:val="00672345"/>
    <w:rsid w:val="00673381"/>
    <w:rsid w:val="006740AB"/>
    <w:rsid w:val="00674446"/>
    <w:rsid w:val="006748A4"/>
    <w:rsid w:val="006757D8"/>
    <w:rsid w:val="00680EF7"/>
    <w:rsid w:val="00683E73"/>
    <w:rsid w:val="0068590F"/>
    <w:rsid w:val="00686CF0"/>
    <w:rsid w:val="00687CAC"/>
    <w:rsid w:val="00691D82"/>
    <w:rsid w:val="006931FE"/>
    <w:rsid w:val="006947FC"/>
    <w:rsid w:val="006950FD"/>
    <w:rsid w:val="00695AD3"/>
    <w:rsid w:val="00696ACE"/>
    <w:rsid w:val="006A01D3"/>
    <w:rsid w:val="006A04FE"/>
    <w:rsid w:val="006A0C2C"/>
    <w:rsid w:val="006A0C51"/>
    <w:rsid w:val="006A1E7E"/>
    <w:rsid w:val="006A2BCD"/>
    <w:rsid w:val="006A3141"/>
    <w:rsid w:val="006A5E34"/>
    <w:rsid w:val="006A75B7"/>
    <w:rsid w:val="006B0ABA"/>
    <w:rsid w:val="006B2422"/>
    <w:rsid w:val="006B2B9A"/>
    <w:rsid w:val="006B2E2F"/>
    <w:rsid w:val="006B471C"/>
    <w:rsid w:val="006B4C59"/>
    <w:rsid w:val="006B533E"/>
    <w:rsid w:val="006C04D7"/>
    <w:rsid w:val="006C1937"/>
    <w:rsid w:val="006C397F"/>
    <w:rsid w:val="006C6427"/>
    <w:rsid w:val="006C76DB"/>
    <w:rsid w:val="006D1F0B"/>
    <w:rsid w:val="006D42C6"/>
    <w:rsid w:val="006E0081"/>
    <w:rsid w:val="006E0706"/>
    <w:rsid w:val="006E3700"/>
    <w:rsid w:val="006E6C66"/>
    <w:rsid w:val="006F020C"/>
    <w:rsid w:val="006F3DF7"/>
    <w:rsid w:val="006F7849"/>
    <w:rsid w:val="006F7CBD"/>
    <w:rsid w:val="0070094B"/>
    <w:rsid w:val="007040F2"/>
    <w:rsid w:val="00705B7C"/>
    <w:rsid w:val="00705E24"/>
    <w:rsid w:val="00707EEC"/>
    <w:rsid w:val="007115FE"/>
    <w:rsid w:val="007127B7"/>
    <w:rsid w:val="00713977"/>
    <w:rsid w:val="00714DBE"/>
    <w:rsid w:val="007220F2"/>
    <w:rsid w:val="007231D9"/>
    <w:rsid w:val="007244D2"/>
    <w:rsid w:val="00725B08"/>
    <w:rsid w:val="007355BA"/>
    <w:rsid w:val="0074019B"/>
    <w:rsid w:val="007403C2"/>
    <w:rsid w:val="007410FA"/>
    <w:rsid w:val="007416B6"/>
    <w:rsid w:val="007426C0"/>
    <w:rsid w:val="00746F48"/>
    <w:rsid w:val="0074730D"/>
    <w:rsid w:val="0075129E"/>
    <w:rsid w:val="00751951"/>
    <w:rsid w:val="00751EE9"/>
    <w:rsid w:val="007522D6"/>
    <w:rsid w:val="007525C3"/>
    <w:rsid w:val="007537B3"/>
    <w:rsid w:val="00753DC2"/>
    <w:rsid w:val="0075404D"/>
    <w:rsid w:val="0075503D"/>
    <w:rsid w:val="0076078E"/>
    <w:rsid w:val="00760D5E"/>
    <w:rsid w:val="0076182A"/>
    <w:rsid w:val="00763BC1"/>
    <w:rsid w:val="0076499D"/>
    <w:rsid w:val="007656DB"/>
    <w:rsid w:val="007676D8"/>
    <w:rsid w:val="00767A7D"/>
    <w:rsid w:val="00767B7E"/>
    <w:rsid w:val="00767BE6"/>
    <w:rsid w:val="00775A39"/>
    <w:rsid w:val="00776900"/>
    <w:rsid w:val="007770C3"/>
    <w:rsid w:val="00780AAA"/>
    <w:rsid w:val="00781060"/>
    <w:rsid w:val="0078143E"/>
    <w:rsid w:val="0078201F"/>
    <w:rsid w:val="007820E1"/>
    <w:rsid w:val="00784D24"/>
    <w:rsid w:val="00784D4C"/>
    <w:rsid w:val="00784E42"/>
    <w:rsid w:val="00785FBA"/>
    <w:rsid w:val="00786E4A"/>
    <w:rsid w:val="007875EB"/>
    <w:rsid w:val="00787E51"/>
    <w:rsid w:val="00792C26"/>
    <w:rsid w:val="0079426B"/>
    <w:rsid w:val="00794D8C"/>
    <w:rsid w:val="00794F74"/>
    <w:rsid w:val="0079655C"/>
    <w:rsid w:val="007A0619"/>
    <w:rsid w:val="007A762F"/>
    <w:rsid w:val="007B0CA2"/>
    <w:rsid w:val="007B5C15"/>
    <w:rsid w:val="007B6032"/>
    <w:rsid w:val="007B6B9B"/>
    <w:rsid w:val="007C014E"/>
    <w:rsid w:val="007C0C20"/>
    <w:rsid w:val="007C0E0A"/>
    <w:rsid w:val="007C2008"/>
    <w:rsid w:val="007C26C9"/>
    <w:rsid w:val="007C57E7"/>
    <w:rsid w:val="007C6362"/>
    <w:rsid w:val="007C70B5"/>
    <w:rsid w:val="007C72D0"/>
    <w:rsid w:val="007D028D"/>
    <w:rsid w:val="007D0AE2"/>
    <w:rsid w:val="007D0C80"/>
    <w:rsid w:val="007D312A"/>
    <w:rsid w:val="007D3F19"/>
    <w:rsid w:val="007D40BF"/>
    <w:rsid w:val="007D598F"/>
    <w:rsid w:val="007D7F29"/>
    <w:rsid w:val="007E0391"/>
    <w:rsid w:val="007E2118"/>
    <w:rsid w:val="007E23B0"/>
    <w:rsid w:val="007E30F0"/>
    <w:rsid w:val="007E4E9E"/>
    <w:rsid w:val="007E4F63"/>
    <w:rsid w:val="007E5C1C"/>
    <w:rsid w:val="007E6821"/>
    <w:rsid w:val="007E6A33"/>
    <w:rsid w:val="007E6D1B"/>
    <w:rsid w:val="007F0CD6"/>
    <w:rsid w:val="007F0EAA"/>
    <w:rsid w:val="007F1991"/>
    <w:rsid w:val="007F1E4C"/>
    <w:rsid w:val="007F2C2F"/>
    <w:rsid w:val="007F2D6D"/>
    <w:rsid w:val="007F55FC"/>
    <w:rsid w:val="007F5665"/>
    <w:rsid w:val="007F57B1"/>
    <w:rsid w:val="007F5B1E"/>
    <w:rsid w:val="007F703A"/>
    <w:rsid w:val="007F772D"/>
    <w:rsid w:val="007F78DE"/>
    <w:rsid w:val="00800112"/>
    <w:rsid w:val="0080112E"/>
    <w:rsid w:val="008014B3"/>
    <w:rsid w:val="008031B0"/>
    <w:rsid w:val="008068DA"/>
    <w:rsid w:val="00806B6F"/>
    <w:rsid w:val="00807797"/>
    <w:rsid w:val="0081195D"/>
    <w:rsid w:val="00811C29"/>
    <w:rsid w:val="00812255"/>
    <w:rsid w:val="00813AEF"/>
    <w:rsid w:val="00815AF8"/>
    <w:rsid w:val="008169F8"/>
    <w:rsid w:val="00820AF4"/>
    <w:rsid w:val="008212F9"/>
    <w:rsid w:val="008244FA"/>
    <w:rsid w:val="008248EC"/>
    <w:rsid w:val="00824C90"/>
    <w:rsid w:val="00824CEE"/>
    <w:rsid w:val="008253BB"/>
    <w:rsid w:val="008273C2"/>
    <w:rsid w:val="00830A33"/>
    <w:rsid w:val="00830F24"/>
    <w:rsid w:val="0083234B"/>
    <w:rsid w:val="00833D7A"/>
    <w:rsid w:val="008347A0"/>
    <w:rsid w:val="00835B31"/>
    <w:rsid w:val="00836025"/>
    <w:rsid w:val="0083706E"/>
    <w:rsid w:val="00840550"/>
    <w:rsid w:val="008423A5"/>
    <w:rsid w:val="00843431"/>
    <w:rsid w:val="00845501"/>
    <w:rsid w:val="008503A5"/>
    <w:rsid w:val="00850625"/>
    <w:rsid w:val="008511F3"/>
    <w:rsid w:val="00851894"/>
    <w:rsid w:val="0085265B"/>
    <w:rsid w:val="00852C5C"/>
    <w:rsid w:val="00853718"/>
    <w:rsid w:val="00855221"/>
    <w:rsid w:val="00855AF5"/>
    <w:rsid w:val="00855E16"/>
    <w:rsid w:val="00857B79"/>
    <w:rsid w:val="00860645"/>
    <w:rsid w:val="00860C44"/>
    <w:rsid w:val="0086131A"/>
    <w:rsid w:val="00862A9D"/>
    <w:rsid w:val="00863483"/>
    <w:rsid w:val="00863CF0"/>
    <w:rsid w:val="00863D72"/>
    <w:rsid w:val="00865F20"/>
    <w:rsid w:val="00867695"/>
    <w:rsid w:val="00870000"/>
    <w:rsid w:val="00870C33"/>
    <w:rsid w:val="00871F71"/>
    <w:rsid w:val="008722FB"/>
    <w:rsid w:val="00872F95"/>
    <w:rsid w:val="00873D8F"/>
    <w:rsid w:val="0087464B"/>
    <w:rsid w:val="00875814"/>
    <w:rsid w:val="00877427"/>
    <w:rsid w:val="0088122F"/>
    <w:rsid w:val="00885AF4"/>
    <w:rsid w:val="00886435"/>
    <w:rsid w:val="008875FA"/>
    <w:rsid w:val="00887A58"/>
    <w:rsid w:val="008918AA"/>
    <w:rsid w:val="008918C9"/>
    <w:rsid w:val="008920D1"/>
    <w:rsid w:val="008939CD"/>
    <w:rsid w:val="00893E7C"/>
    <w:rsid w:val="00895862"/>
    <w:rsid w:val="00896814"/>
    <w:rsid w:val="00897199"/>
    <w:rsid w:val="008A04BB"/>
    <w:rsid w:val="008A6293"/>
    <w:rsid w:val="008A6BC0"/>
    <w:rsid w:val="008A7CE3"/>
    <w:rsid w:val="008B045D"/>
    <w:rsid w:val="008B2B26"/>
    <w:rsid w:val="008B5614"/>
    <w:rsid w:val="008B6287"/>
    <w:rsid w:val="008B69A5"/>
    <w:rsid w:val="008B768C"/>
    <w:rsid w:val="008B7992"/>
    <w:rsid w:val="008C1D33"/>
    <w:rsid w:val="008C33D9"/>
    <w:rsid w:val="008C4DB1"/>
    <w:rsid w:val="008C4EAF"/>
    <w:rsid w:val="008C5176"/>
    <w:rsid w:val="008C7FD0"/>
    <w:rsid w:val="008D06D5"/>
    <w:rsid w:val="008D08E5"/>
    <w:rsid w:val="008D2C92"/>
    <w:rsid w:val="008D2DE2"/>
    <w:rsid w:val="008D55A6"/>
    <w:rsid w:val="008E0EF3"/>
    <w:rsid w:val="008E1DC6"/>
    <w:rsid w:val="008E1DE7"/>
    <w:rsid w:val="008E2847"/>
    <w:rsid w:val="008E380B"/>
    <w:rsid w:val="008E707C"/>
    <w:rsid w:val="008E7651"/>
    <w:rsid w:val="008F24AB"/>
    <w:rsid w:val="00900B08"/>
    <w:rsid w:val="00901E1C"/>
    <w:rsid w:val="00902155"/>
    <w:rsid w:val="00902BCF"/>
    <w:rsid w:val="00902FA3"/>
    <w:rsid w:val="009109D0"/>
    <w:rsid w:val="00910FAA"/>
    <w:rsid w:val="00912DEB"/>
    <w:rsid w:val="00913706"/>
    <w:rsid w:val="00913A29"/>
    <w:rsid w:val="00915BE4"/>
    <w:rsid w:val="009205F5"/>
    <w:rsid w:val="009215C3"/>
    <w:rsid w:val="00923564"/>
    <w:rsid w:val="0092392E"/>
    <w:rsid w:val="00923F58"/>
    <w:rsid w:val="00924FB0"/>
    <w:rsid w:val="00930109"/>
    <w:rsid w:val="00930E8F"/>
    <w:rsid w:val="009315F9"/>
    <w:rsid w:val="009337F3"/>
    <w:rsid w:val="009339C3"/>
    <w:rsid w:val="00934AB8"/>
    <w:rsid w:val="00935D57"/>
    <w:rsid w:val="00936283"/>
    <w:rsid w:val="00940B88"/>
    <w:rsid w:val="00940F73"/>
    <w:rsid w:val="0094526A"/>
    <w:rsid w:val="00945399"/>
    <w:rsid w:val="00945492"/>
    <w:rsid w:val="00945EEC"/>
    <w:rsid w:val="009461EE"/>
    <w:rsid w:val="00946945"/>
    <w:rsid w:val="00947929"/>
    <w:rsid w:val="00947BF1"/>
    <w:rsid w:val="009500E2"/>
    <w:rsid w:val="00951248"/>
    <w:rsid w:val="0095152F"/>
    <w:rsid w:val="009534A8"/>
    <w:rsid w:val="009540C0"/>
    <w:rsid w:val="00954C49"/>
    <w:rsid w:val="00955EAD"/>
    <w:rsid w:val="0095708C"/>
    <w:rsid w:val="00957098"/>
    <w:rsid w:val="00960F20"/>
    <w:rsid w:val="009620B2"/>
    <w:rsid w:val="00962131"/>
    <w:rsid w:val="00962556"/>
    <w:rsid w:val="00964305"/>
    <w:rsid w:val="0096477D"/>
    <w:rsid w:val="00964EBA"/>
    <w:rsid w:val="0097099F"/>
    <w:rsid w:val="009710DA"/>
    <w:rsid w:val="00971997"/>
    <w:rsid w:val="00971FFC"/>
    <w:rsid w:val="00972A49"/>
    <w:rsid w:val="00973726"/>
    <w:rsid w:val="00974188"/>
    <w:rsid w:val="0098033F"/>
    <w:rsid w:val="00985645"/>
    <w:rsid w:val="0098595E"/>
    <w:rsid w:val="00985C49"/>
    <w:rsid w:val="0098660A"/>
    <w:rsid w:val="009869AA"/>
    <w:rsid w:val="009931C3"/>
    <w:rsid w:val="00995CE3"/>
    <w:rsid w:val="009B2C43"/>
    <w:rsid w:val="009B4EAE"/>
    <w:rsid w:val="009B6C92"/>
    <w:rsid w:val="009B7573"/>
    <w:rsid w:val="009C0EF0"/>
    <w:rsid w:val="009C1B2D"/>
    <w:rsid w:val="009C22F4"/>
    <w:rsid w:val="009C2AE3"/>
    <w:rsid w:val="009C2E98"/>
    <w:rsid w:val="009C5896"/>
    <w:rsid w:val="009C6399"/>
    <w:rsid w:val="009D3447"/>
    <w:rsid w:val="009D3AA6"/>
    <w:rsid w:val="009D4711"/>
    <w:rsid w:val="009D5EF4"/>
    <w:rsid w:val="009E0018"/>
    <w:rsid w:val="009E2320"/>
    <w:rsid w:val="009E2C7B"/>
    <w:rsid w:val="009E576A"/>
    <w:rsid w:val="009E7FBF"/>
    <w:rsid w:val="009F1185"/>
    <w:rsid w:val="009F178D"/>
    <w:rsid w:val="009F18CD"/>
    <w:rsid w:val="009F2021"/>
    <w:rsid w:val="009F2A13"/>
    <w:rsid w:val="009F4A42"/>
    <w:rsid w:val="009F4D78"/>
    <w:rsid w:val="009F6A87"/>
    <w:rsid w:val="009F6B63"/>
    <w:rsid w:val="009F6F4A"/>
    <w:rsid w:val="00A02DD4"/>
    <w:rsid w:val="00A04EB0"/>
    <w:rsid w:val="00A05E7E"/>
    <w:rsid w:val="00A06741"/>
    <w:rsid w:val="00A06EF8"/>
    <w:rsid w:val="00A07DE7"/>
    <w:rsid w:val="00A07E24"/>
    <w:rsid w:val="00A1247B"/>
    <w:rsid w:val="00A13443"/>
    <w:rsid w:val="00A13CC1"/>
    <w:rsid w:val="00A15286"/>
    <w:rsid w:val="00A1571F"/>
    <w:rsid w:val="00A1637E"/>
    <w:rsid w:val="00A16684"/>
    <w:rsid w:val="00A16847"/>
    <w:rsid w:val="00A1745F"/>
    <w:rsid w:val="00A2301F"/>
    <w:rsid w:val="00A237D8"/>
    <w:rsid w:val="00A25634"/>
    <w:rsid w:val="00A268C4"/>
    <w:rsid w:val="00A27771"/>
    <w:rsid w:val="00A300FE"/>
    <w:rsid w:val="00A307CD"/>
    <w:rsid w:val="00A3233A"/>
    <w:rsid w:val="00A35068"/>
    <w:rsid w:val="00A3556D"/>
    <w:rsid w:val="00A35870"/>
    <w:rsid w:val="00A35FE0"/>
    <w:rsid w:val="00A40A00"/>
    <w:rsid w:val="00A4142F"/>
    <w:rsid w:val="00A41D4A"/>
    <w:rsid w:val="00A43522"/>
    <w:rsid w:val="00A4622C"/>
    <w:rsid w:val="00A462AA"/>
    <w:rsid w:val="00A46A63"/>
    <w:rsid w:val="00A47A0F"/>
    <w:rsid w:val="00A50F96"/>
    <w:rsid w:val="00A514F8"/>
    <w:rsid w:val="00A52260"/>
    <w:rsid w:val="00A53D20"/>
    <w:rsid w:val="00A54687"/>
    <w:rsid w:val="00A54CE0"/>
    <w:rsid w:val="00A55073"/>
    <w:rsid w:val="00A55447"/>
    <w:rsid w:val="00A55ED8"/>
    <w:rsid w:val="00A56DF2"/>
    <w:rsid w:val="00A56E1B"/>
    <w:rsid w:val="00A57F63"/>
    <w:rsid w:val="00A61738"/>
    <w:rsid w:val="00A62ECF"/>
    <w:rsid w:val="00A63814"/>
    <w:rsid w:val="00A64138"/>
    <w:rsid w:val="00A64421"/>
    <w:rsid w:val="00A659FC"/>
    <w:rsid w:val="00A65DE6"/>
    <w:rsid w:val="00A66D73"/>
    <w:rsid w:val="00A67AB5"/>
    <w:rsid w:val="00A70317"/>
    <w:rsid w:val="00A72FA8"/>
    <w:rsid w:val="00A76B3A"/>
    <w:rsid w:val="00A77CB7"/>
    <w:rsid w:val="00A804D8"/>
    <w:rsid w:val="00A85003"/>
    <w:rsid w:val="00A85A0C"/>
    <w:rsid w:val="00A91460"/>
    <w:rsid w:val="00A91760"/>
    <w:rsid w:val="00A93902"/>
    <w:rsid w:val="00A93B00"/>
    <w:rsid w:val="00A93C21"/>
    <w:rsid w:val="00A94004"/>
    <w:rsid w:val="00A95D33"/>
    <w:rsid w:val="00A96D42"/>
    <w:rsid w:val="00AA1212"/>
    <w:rsid w:val="00AA14EC"/>
    <w:rsid w:val="00AA2E83"/>
    <w:rsid w:val="00AA6693"/>
    <w:rsid w:val="00AA6D23"/>
    <w:rsid w:val="00AA7B07"/>
    <w:rsid w:val="00AB1A65"/>
    <w:rsid w:val="00AB26EC"/>
    <w:rsid w:val="00AB2A36"/>
    <w:rsid w:val="00AB5E60"/>
    <w:rsid w:val="00AB5E86"/>
    <w:rsid w:val="00AB6DD7"/>
    <w:rsid w:val="00AC20D9"/>
    <w:rsid w:val="00AC3237"/>
    <w:rsid w:val="00AC3A9E"/>
    <w:rsid w:val="00AC3C6A"/>
    <w:rsid w:val="00AC40DA"/>
    <w:rsid w:val="00AC6A20"/>
    <w:rsid w:val="00AD013F"/>
    <w:rsid w:val="00AD1561"/>
    <w:rsid w:val="00AD1E04"/>
    <w:rsid w:val="00AD4E89"/>
    <w:rsid w:val="00AD5090"/>
    <w:rsid w:val="00AD55F4"/>
    <w:rsid w:val="00AD5620"/>
    <w:rsid w:val="00AD654C"/>
    <w:rsid w:val="00AD712A"/>
    <w:rsid w:val="00AD7C1B"/>
    <w:rsid w:val="00AE16BA"/>
    <w:rsid w:val="00AE1B18"/>
    <w:rsid w:val="00AE1EBE"/>
    <w:rsid w:val="00AE3F47"/>
    <w:rsid w:val="00AE5217"/>
    <w:rsid w:val="00AE57E5"/>
    <w:rsid w:val="00AE5ACD"/>
    <w:rsid w:val="00AE7003"/>
    <w:rsid w:val="00AE78D4"/>
    <w:rsid w:val="00AF334F"/>
    <w:rsid w:val="00AF567D"/>
    <w:rsid w:val="00B03C9D"/>
    <w:rsid w:val="00B03D45"/>
    <w:rsid w:val="00B03DEF"/>
    <w:rsid w:val="00B04041"/>
    <w:rsid w:val="00B046DB"/>
    <w:rsid w:val="00B059FA"/>
    <w:rsid w:val="00B060AE"/>
    <w:rsid w:val="00B06286"/>
    <w:rsid w:val="00B06EEB"/>
    <w:rsid w:val="00B07376"/>
    <w:rsid w:val="00B10406"/>
    <w:rsid w:val="00B10517"/>
    <w:rsid w:val="00B1323D"/>
    <w:rsid w:val="00B1364D"/>
    <w:rsid w:val="00B13D51"/>
    <w:rsid w:val="00B13F34"/>
    <w:rsid w:val="00B14E76"/>
    <w:rsid w:val="00B15718"/>
    <w:rsid w:val="00B15757"/>
    <w:rsid w:val="00B161B8"/>
    <w:rsid w:val="00B2048C"/>
    <w:rsid w:val="00B22224"/>
    <w:rsid w:val="00B22E19"/>
    <w:rsid w:val="00B268D9"/>
    <w:rsid w:val="00B30B06"/>
    <w:rsid w:val="00B310B9"/>
    <w:rsid w:val="00B3183E"/>
    <w:rsid w:val="00B330FA"/>
    <w:rsid w:val="00B35211"/>
    <w:rsid w:val="00B35F3F"/>
    <w:rsid w:val="00B36CBB"/>
    <w:rsid w:val="00B370EB"/>
    <w:rsid w:val="00B40532"/>
    <w:rsid w:val="00B425E0"/>
    <w:rsid w:val="00B440AA"/>
    <w:rsid w:val="00B44B70"/>
    <w:rsid w:val="00B47B8F"/>
    <w:rsid w:val="00B50563"/>
    <w:rsid w:val="00B507B7"/>
    <w:rsid w:val="00B51BBE"/>
    <w:rsid w:val="00B53703"/>
    <w:rsid w:val="00B53C56"/>
    <w:rsid w:val="00B53E4F"/>
    <w:rsid w:val="00B54341"/>
    <w:rsid w:val="00B545A6"/>
    <w:rsid w:val="00B5556B"/>
    <w:rsid w:val="00B60A7E"/>
    <w:rsid w:val="00B6427E"/>
    <w:rsid w:val="00B67CE3"/>
    <w:rsid w:val="00B706F1"/>
    <w:rsid w:val="00B725E6"/>
    <w:rsid w:val="00B736DE"/>
    <w:rsid w:val="00B74FE7"/>
    <w:rsid w:val="00B753E0"/>
    <w:rsid w:val="00B7569F"/>
    <w:rsid w:val="00B75C09"/>
    <w:rsid w:val="00B76674"/>
    <w:rsid w:val="00B77EA6"/>
    <w:rsid w:val="00B80439"/>
    <w:rsid w:val="00B80BAB"/>
    <w:rsid w:val="00B81598"/>
    <w:rsid w:val="00B82F7D"/>
    <w:rsid w:val="00B839DA"/>
    <w:rsid w:val="00B83EE2"/>
    <w:rsid w:val="00B841F1"/>
    <w:rsid w:val="00B8480B"/>
    <w:rsid w:val="00B91D3E"/>
    <w:rsid w:val="00B92400"/>
    <w:rsid w:val="00B93AA8"/>
    <w:rsid w:val="00B944D6"/>
    <w:rsid w:val="00B96CD2"/>
    <w:rsid w:val="00BA054C"/>
    <w:rsid w:val="00BA0777"/>
    <w:rsid w:val="00BA0AED"/>
    <w:rsid w:val="00BA22CD"/>
    <w:rsid w:val="00BA3028"/>
    <w:rsid w:val="00BA3356"/>
    <w:rsid w:val="00BA49E7"/>
    <w:rsid w:val="00BA5298"/>
    <w:rsid w:val="00BB1990"/>
    <w:rsid w:val="00BB2D7E"/>
    <w:rsid w:val="00BB4C52"/>
    <w:rsid w:val="00BB4DF0"/>
    <w:rsid w:val="00BC0AE4"/>
    <w:rsid w:val="00BC1202"/>
    <w:rsid w:val="00BC1A97"/>
    <w:rsid w:val="00BC2731"/>
    <w:rsid w:val="00BC289F"/>
    <w:rsid w:val="00BC5361"/>
    <w:rsid w:val="00BC5460"/>
    <w:rsid w:val="00BC6B50"/>
    <w:rsid w:val="00BD0E25"/>
    <w:rsid w:val="00BD2458"/>
    <w:rsid w:val="00BD5121"/>
    <w:rsid w:val="00BD6D67"/>
    <w:rsid w:val="00BD6E57"/>
    <w:rsid w:val="00BE01DE"/>
    <w:rsid w:val="00BE218A"/>
    <w:rsid w:val="00BE39F0"/>
    <w:rsid w:val="00BE5FB5"/>
    <w:rsid w:val="00BE7259"/>
    <w:rsid w:val="00BF060C"/>
    <w:rsid w:val="00BF2962"/>
    <w:rsid w:val="00BF2E85"/>
    <w:rsid w:val="00BF5BD6"/>
    <w:rsid w:val="00BF6316"/>
    <w:rsid w:val="00BF718F"/>
    <w:rsid w:val="00C01DBE"/>
    <w:rsid w:val="00C03E31"/>
    <w:rsid w:val="00C05BAF"/>
    <w:rsid w:val="00C05CAD"/>
    <w:rsid w:val="00C05F29"/>
    <w:rsid w:val="00C06A2B"/>
    <w:rsid w:val="00C11626"/>
    <w:rsid w:val="00C137AD"/>
    <w:rsid w:val="00C13B26"/>
    <w:rsid w:val="00C1480D"/>
    <w:rsid w:val="00C1658B"/>
    <w:rsid w:val="00C23BFD"/>
    <w:rsid w:val="00C24603"/>
    <w:rsid w:val="00C259D0"/>
    <w:rsid w:val="00C30983"/>
    <w:rsid w:val="00C30D73"/>
    <w:rsid w:val="00C313B9"/>
    <w:rsid w:val="00C31B41"/>
    <w:rsid w:val="00C33276"/>
    <w:rsid w:val="00C33E72"/>
    <w:rsid w:val="00C3423D"/>
    <w:rsid w:val="00C342CE"/>
    <w:rsid w:val="00C34C84"/>
    <w:rsid w:val="00C34EED"/>
    <w:rsid w:val="00C354B2"/>
    <w:rsid w:val="00C35554"/>
    <w:rsid w:val="00C36831"/>
    <w:rsid w:val="00C4133E"/>
    <w:rsid w:val="00C41611"/>
    <w:rsid w:val="00C41EB1"/>
    <w:rsid w:val="00C426CE"/>
    <w:rsid w:val="00C42709"/>
    <w:rsid w:val="00C516E5"/>
    <w:rsid w:val="00C5216D"/>
    <w:rsid w:val="00C533CC"/>
    <w:rsid w:val="00C54531"/>
    <w:rsid w:val="00C5751C"/>
    <w:rsid w:val="00C61BFC"/>
    <w:rsid w:val="00C62B85"/>
    <w:rsid w:val="00C634C6"/>
    <w:rsid w:val="00C63DE6"/>
    <w:rsid w:val="00C65438"/>
    <w:rsid w:val="00C65FA1"/>
    <w:rsid w:val="00C663B4"/>
    <w:rsid w:val="00C66789"/>
    <w:rsid w:val="00C677E0"/>
    <w:rsid w:val="00C71C3C"/>
    <w:rsid w:val="00C73C9E"/>
    <w:rsid w:val="00C77033"/>
    <w:rsid w:val="00C77575"/>
    <w:rsid w:val="00C77955"/>
    <w:rsid w:val="00C77D11"/>
    <w:rsid w:val="00C80BE1"/>
    <w:rsid w:val="00C80E5E"/>
    <w:rsid w:val="00C87773"/>
    <w:rsid w:val="00C91BEF"/>
    <w:rsid w:val="00C91CBB"/>
    <w:rsid w:val="00C94460"/>
    <w:rsid w:val="00C94755"/>
    <w:rsid w:val="00C9494C"/>
    <w:rsid w:val="00C976D8"/>
    <w:rsid w:val="00C9779E"/>
    <w:rsid w:val="00CA1D7E"/>
    <w:rsid w:val="00CA4889"/>
    <w:rsid w:val="00CA6417"/>
    <w:rsid w:val="00CA7A47"/>
    <w:rsid w:val="00CA7CBE"/>
    <w:rsid w:val="00CB2258"/>
    <w:rsid w:val="00CB37D6"/>
    <w:rsid w:val="00CB5AA7"/>
    <w:rsid w:val="00CC09B6"/>
    <w:rsid w:val="00CC2ECC"/>
    <w:rsid w:val="00CC42AE"/>
    <w:rsid w:val="00CC5828"/>
    <w:rsid w:val="00CC666F"/>
    <w:rsid w:val="00CD0159"/>
    <w:rsid w:val="00CD1E3F"/>
    <w:rsid w:val="00CD2CD4"/>
    <w:rsid w:val="00CD2F8E"/>
    <w:rsid w:val="00CD33CA"/>
    <w:rsid w:val="00CD41F7"/>
    <w:rsid w:val="00CD7039"/>
    <w:rsid w:val="00CE07D1"/>
    <w:rsid w:val="00CE10F5"/>
    <w:rsid w:val="00CE245D"/>
    <w:rsid w:val="00CE298B"/>
    <w:rsid w:val="00CE41E9"/>
    <w:rsid w:val="00CE4476"/>
    <w:rsid w:val="00CE44F6"/>
    <w:rsid w:val="00CE49DA"/>
    <w:rsid w:val="00CE6166"/>
    <w:rsid w:val="00CE7B61"/>
    <w:rsid w:val="00CF0C95"/>
    <w:rsid w:val="00CF303D"/>
    <w:rsid w:val="00CF32A8"/>
    <w:rsid w:val="00CF47D0"/>
    <w:rsid w:val="00CF537A"/>
    <w:rsid w:val="00CF5A38"/>
    <w:rsid w:val="00D00095"/>
    <w:rsid w:val="00D007A3"/>
    <w:rsid w:val="00D00CD9"/>
    <w:rsid w:val="00D01872"/>
    <w:rsid w:val="00D01D1C"/>
    <w:rsid w:val="00D03F76"/>
    <w:rsid w:val="00D07457"/>
    <w:rsid w:val="00D120DF"/>
    <w:rsid w:val="00D12260"/>
    <w:rsid w:val="00D14981"/>
    <w:rsid w:val="00D17582"/>
    <w:rsid w:val="00D20620"/>
    <w:rsid w:val="00D21AB8"/>
    <w:rsid w:val="00D21B96"/>
    <w:rsid w:val="00D21FCA"/>
    <w:rsid w:val="00D23CC1"/>
    <w:rsid w:val="00D253CD"/>
    <w:rsid w:val="00D26091"/>
    <w:rsid w:val="00D26765"/>
    <w:rsid w:val="00D30031"/>
    <w:rsid w:val="00D34E7C"/>
    <w:rsid w:val="00D35489"/>
    <w:rsid w:val="00D41FB4"/>
    <w:rsid w:val="00D42D3C"/>
    <w:rsid w:val="00D43BB3"/>
    <w:rsid w:val="00D4531F"/>
    <w:rsid w:val="00D5056E"/>
    <w:rsid w:val="00D51276"/>
    <w:rsid w:val="00D577F9"/>
    <w:rsid w:val="00D6086D"/>
    <w:rsid w:val="00D60B63"/>
    <w:rsid w:val="00D6672E"/>
    <w:rsid w:val="00D66F3E"/>
    <w:rsid w:val="00D67949"/>
    <w:rsid w:val="00D70080"/>
    <w:rsid w:val="00D7035F"/>
    <w:rsid w:val="00D70D9E"/>
    <w:rsid w:val="00D7255A"/>
    <w:rsid w:val="00D729A5"/>
    <w:rsid w:val="00D7311E"/>
    <w:rsid w:val="00D74434"/>
    <w:rsid w:val="00D74948"/>
    <w:rsid w:val="00D75E52"/>
    <w:rsid w:val="00D769DB"/>
    <w:rsid w:val="00D8058B"/>
    <w:rsid w:val="00D811F1"/>
    <w:rsid w:val="00D81CF0"/>
    <w:rsid w:val="00D86259"/>
    <w:rsid w:val="00D87885"/>
    <w:rsid w:val="00D9128F"/>
    <w:rsid w:val="00D938FB"/>
    <w:rsid w:val="00D95A81"/>
    <w:rsid w:val="00DA2414"/>
    <w:rsid w:val="00DA2E7B"/>
    <w:rsid w:val="00DA376F"/>
    <w:rsid w:val="00DA4CF4"/>
    <w:rsid w:val="00DA517E"/>
    <w:rsid w:val="00DA64CE"/>
    <w:rsid w:val="00DA65AC"/>
    <w:rsid w:val="00DA73F4"/>
    <w:rsid w:val="00DB1913"/>
    <w:rsid w:val="00DB23A2"/>
    <w:rsid w:val="00DB31AE"/>
    <w:rsid w:val="00DB469B"/>
    <w:rsid w:val="00DB6217"/>
    <w:rsid w:val="00DB6D81"/>
    <w:rsid w:val="00DB7682"/>
    <w:rsid w:val="00DB774B"/>
    <w:rsid w:val="00DB7B27"/>
    <w:rsid w:val="00DB7ED3"/>
    <w:rsid w:val="00DC1D19"/>
    <w:rsid w:val="00DC29F0"/>
    <w:rsid w:val="00DC410D"/>
    <w:rsid w:val="00DC482F"/>
    <w:rsid w:val="00DC4E3B"/>
    <w:rsid w:val="00DC53AB"/>
    <w:rsid w:val="00DC68CA"/>
    <w:rsid w:val="00DC7CBA"/>
    <w:rsid w:val="00DD0F4D"/>
    <w:rsid w:val="00DD109B"/>
    <w:rsid w:val="00DD2D64"/>
    <w:rsid w:val="00DD73B7"/>
    <w:rsid w:val="00DE28E8"/>
    <w:rsid w:val="00DE57ED"/>
    <w:rsid w:val="00DE6D3D"/>
    <w:rsid w:val="00DF0369"/>
    <w:rsid w:val="00DF256A"/>
    <w:rsid w:val="00DF28BC"/>
    <w:rsid w:val="00DF2BBE"/>
    <w:rsid w:val="00DF34B9"/>
    <w:rsid w:val="00DF36DA"/>
    <w:rsid w:val="00DF4EE4"/>
    <w:rsid w:val="00DF69F2"/>
    <w:rsid w:val="00E00C0C"/>
    <w:rsid w:val="00E01053"/>
    <w:rsid w:val="00E032C4"/>
    <w:rsid w:val="00E03AB5"/>
    <w:rsid w:val="00E04FF6"/>
    <w:rsid w:val="00E07ACF"/>
    <w:rsid w:val="00E07C49"/>
    <w:rsid w:val="00E1142E"/>
    <w:rsid w:val="00E11EA9"/>
    <w:rsid w:val="00E13C23"/>
    <w:rsid w:val="00E17451"/>
    <w:rsid w:val="00E176E0"/>
    <w:rsid w:val="00E20F23"/>
    <w:rsid w:val="00E21189"/>
    <w:rsid w:val="00E22344"/>
    <w:rsid w:val="00E22D73"/>
    <w:rsid w:val="00E24A28"/>
    <w:rsid w:val="00E2598A"/>
    <w:rsid w:val="00E26D43"/>
    <w:rsid w:val="00E2719A"/>
    <w:rsid w:val="00E331A1"/>
    <w:rsid w:val="00E33202"/>
    <w:rsid w:val="00E336A9"/>
    <w:rsid w:val="00E339F9"/>
    <w:rsid w:val="00E34D61"/>
    <w:rsid w:val="00E352AD"/>
    <w:rsid w:val="00E35DF9"/>
    <w:rsid w:val="00E36162"/>
    <w:rsid w:val="00E4020E"/>
    <w:rsid w:val="00E41572"/>
    <w:rsid w:val="00E42E24"/>
    <w:rsid w:val="00E4326C"/>
    <w:rsid w:val="00E43716"/>
    <w:rsid w:val="00E43E83"/>
    <w:rsid w:val="00E4418C"/>
    <w:rsid w:val="00E442E7"/>
    <w:rsid w:val="00E47FEC"/>
    <w:rsid w:val="00E50624"/>
    <w:rsid w:val="00E50EC1"/>
    <w:rsid w:val="00E559C8"/>
    <w:rsid w:val="00E559F4"/>
    <w:rsid w:val="00E568DF"/>
    <w:rsid w:val="00E6091E"/>
    <w:rsid w:val="00E63E1C"/>
    <w:rsid w:val="00E64269"/>
    <w:rsid w:val="00E648BF"/>
    <w:rsid w:val="00E67B9B"/>
    <w:rsid w:val="00E70395"/>
    <w:rsid w:val="00E71182"/>
    <w:rsid w:val="00E7180C"/>
    <w:rsid w:val="00E71EE8"/>
    <w:rsid w:val="00E759C7"/>
    <w:rsid w:val="00E778AF"/>
    <w:rsid w:val="00E82267"/>
    <w:rsid w:val="00E82D19"/>
    <w:rsid w:val="00E8382C"/>
    <w:rsid w:val="00E84714"/>
    <w:rsid w:val="00E879E6"/>
    <w:rsid w:val="00E9375F"/>
    <w:rsid w:val="00E938AA"/>
    <w:rsid w:val="00E95984"/>
    <w:rsid w:val="00E96D03"/>
    <w:rsid w:val="00EA010F"/>
    <w:rsid w:val="00EA039B"/>
    <w:rsid w:val="00EA2455"/>
    <w:rsid w:val="00EA262D"/>
    <w:rsid w:val="00EA4AA3"/>
    <w:rsid w:val="00EA4BCA"/>
    <w:rsid w:val="00EA545A"/>
    <w:rsid w:val="00EA5E4F"/>
    <w:rsid w:val="00EB2461"/>
    <w:rsid w:val="00EC1C2C"/>
    <w:rsid w:val="00EC25B6"/>
    <w:rsid w:val="00EC38BD"/>
    <w:rsid w:val="00EC3F04"/>
    <w:rsid w:val="00ED1B63"/>
    <w:rsid w:val="00ED29E6"/>
    <w:rsid w:val="00ED29EA"/>
    <w:rsid w:val="00ED360C"/>
    <w:rsid w:val="00ED3C1F"/>
    <w:rsid w:val="00ED4085"/>
    <w:rsid w:val="00ED420E"/>
    <w:rsid w:val="00ED6AD8"/>
    <w:rsid w:val="00ED71DF"/>
    <w:rsid w:val="00EE0963"/>
    <w:rsid w:val="00EE1FC9"/>
    <w:rsid w:val="00EE24E3"/>
    <w:rsid w:val="00EE2F57"/>
    <w:rsid w:val="00EE6332"/>
    <w:rsid w:val="00EF132A"/>
    <w:rsid w:val="00EF4C34"/>
    <w:rsid w:val="00EF5291"/>
    <w:rsid w:val="00EF64E8"/>
    <w:rsid w:val="00EF659B"/>
    <w:rsid w:val="00EF77C6"/>
    <w:rsid w:val="00EF7BDE"/>
    <w:rsid w:val="00EF7CA7"/>
    <w:rsid w:val="00F022B4"/>
    <w:rsid w:val="00F0292C"/>
    <w:rsid w:val="00F05438"/>
    <w:rsid w:val="00F0746A"/>
    <w:rsid w:val="00F110A1"/>
    <w:rsid w:val="00F113D8"/>
    <w:rsid w:val="00F118C3"/>
    <w:rsid w:val="00F1361C"/>
    <w:rsid w:val="00F14902"/>
    <w:rsid w:val="00F160C7"/>
    <w:rsid w:val="00F16FDE"/>
    <w:rsid w:val="00F20320"/>
    <w:rsid w:val="00F20532"/>
    <w:rsid w:val="00F21001"/>
    <w:rsid w:val="00F228F9"/>
    <w:rsid w:val="00F248A8"/>
    <w:rsid w:val="00F24E3F"/>
    <w:rsid w:val="00F26D60"/>
    <w:rsid w:val="00F30138"/>
    <w:rsid w:val="00F301B6"/>
    <w:rsid w:val="00F31EA1"/>
    <w:rsid w:val="00F3294D"/>
    <w:rsid w:val="00F354A9"/>
    <w:rsid w:val="00F36D8F"/>
    <w:rsid w:val="00F3744E"/>
    <w:rsid w:val="00F40698"/>
    <w:rsid w:val="00F406E9"/>
    <w:rsid w:val="00F417B1"/>
    <w:rsid w:val="00F460AB"/>
    <w:rsid w:val="00F50AC5"/>
    <w:rsid w:val="00F53E68"/>
    <w:rsid w:val="00F5454E"/>
    <w:rsid w:val="00F559FA"/>
    <w:rsid w:val="00F57903"/>
    <w:rsid w:val="00F602DF"/>
    <w:rsid w:val="00F6390A"/>
    <w:rsid w:val="00F6529E"/>
    <w:rsid w:val="00F6641D"/>
    <w:rsid w:val="00F75CC0"/>
    <w:rsid w:val="00F75CCC"/>
    <w:rsid w:val="00F75F9D"/>
    <w:rsid w:val="00F81FD9"/>
    <w:rsid w:val="00F82490"/>
    <w:rsid w:val="00F8281D"/>
    <w:rsid w:val="00F835D4"/>
    <w:rsid w:val="00F841AA"/>
    <w:rsid w:val="00F845B5"/>
    <w:rsid w:val="00F86932"/>
    <w:rsid w:val="00F875DB"/>
    <w:rsid w:val="00F87E73"/>
    <w:rsid w:val="00F905A4"/>
    <w:rsid w:val="00F92C70"/>
    <w:rsid w:val="00F93633"/>
    <w:rsid w:val="00F93DF5"/>
    <w:rsid w:val="00FA0947"/>
    <w:rsid w:val="00FA23E8"/>
    <w:rsid w:val="00FA2F5B"/>
    <w:rsid w:val="00FA4421"/>
    <w:rsid w:val="00FA4B00"/>
    <w:rsid w:val="00FA525F"/>
    <w:rsid w:val="00FA77AD"/>
    <w:rsid w:val="00FB0BBA"/>
    <w:rsid w:val="00FB1FF4"/>
    <w:rsid w:val="00FB55E6"/>
    <w:rsid w:val="00FC124C"/>
    <w:rsid w:val="00FC1E02"/>
    <w:rsid w:val="00FC3048"/>
    <w:rsid w:val="00FC4660"/>
    <w:rsid w:val="00FC46BC"/>
    <w:rsid w:val="00FC7DEF"/>
    <w:rsid w:val="00FD020D"/>
    <w:rsid w:val="00FD3016"/>
    <w:rsid w:val="00FD3828"/>
    <w:rsid w:val="00FD3CC1"/>
    <w:rsid w:val="00FD5BFE"/>
    <w:rsid w:val="00FE17BC"/>
    <w:rsid w:val="00FE2AD1"/>
    <w:rsid w:val="00FE4DB0"/>
    <w:rsid w:val="00FE5493"/>
    <w:rsid w:val="00FE625C"/>
    <w:rsid w:val="00FF1E02"/>
    <w:rsid w:val="00FF30B4"/>
    <w:rsid w:val="00FF66E8"/>
    <w:rsid w:val="012F3CEB"/>
    <w:rsid w:val="01B354EA"/>
    <w:rsid w:val="01CF32DE"/>
    <w:rsid w:val="01D74DB7"/>
    <w:rsid w:val="01D86637"/>
    <w:rsid w:val="01F04616"/>
    <w:rsid w:val="037A757D"/>
    <w:rsid w:val="03F359AA"/>
    <w:rsid w:val="043A3897"/>
    <w:rsid w:val="045647CC"/>
    <w:rsid w:val="0463543B"/>
    <w:rsid w:val="048D6B52"/>
    <w:rsid w:val="04A56E6E"/>
    <w:rsid w:val="04D45254"/>
    <w:rsid w:val="04D550AF"/>
    <w:rsid w:val="051A6F96"/>
    <w:rsid w:val="05C25E8C"/>
    <w:rsid w:val="06951176"/>
    <w:rsid w:val="07001BE1"/>
    <w:rsid w:val="07267DE7"/>
    <w:rsid w:val="088F55D5"/>
    <w:rsid w:val="089C4B49"/>
    <w:rsid w:val="09081517"/>
    <w:rsid w:val="091B747D"/>
    <w:rsid w:val="092E626A"/>
    <w:rsid w:val="09A572B6"/>
    <w:rsid w:val="0A19737C"/>
    <w:rsid w:val="0B7218AA"/>
    <w:rsid w:val="0B99373B"/>
    <w:rsid w:val="0BA37CB5"/>
    <w:rsid w:val="0D0429D6"/>
    <w:rsid w:val="0D093B48"/>
    <w:rsid w:val="0D322E51"/>
    <w:rsid w:val="0D6C338E"/>
    <w:rsid w:val="0DB37F58"/>
    <w:rsid w:val="0DB742A8"/>
    <w:rsid w:val="0E6D2010"/>
    <w:rsid w:val="0EC00B7E"/>
    <w:rsid w:val="0F5E6610"/>
    <w:rsid w:val="0FB52B86"/>
    <w:rsid w:val="0FDB629D"/>
    <w:rsid w:val="0FFD0B0D"/>
    <w:rsid w:val="103747CF"/>
    <w:rsid w:val="103F4D68"/>
    <w:rsid w:val="10C055FF"/>
    <w:rsid w:val="116A6D7C"/>
    <w:rsid w:val="11761AF6"/>
    <w:rsid w:val="11851C0B"/>
    <w:rsid w:val="11D56DF6"/>
    <w:rsid w:val="11ED6591"/>
    <w:rsid w:val="11F85D8C"/>
    <w:rsid w:val="13367661"/>
    <w:rsid w:val="136F089E"/>
    <w:rsid w:val="13B0066E"/>
    <w:rsid w:val="13D81ACD"/>
    <w:rsid w:val="14D728AA"/>
    <w:rsid w:val="15F1786F"/>
    <w:rsid w:val="1665477F"/>
    <w:rsid w:val="16BB723D"/>
    <w:rsid w:val="17283764"/>
    <w:rsid w:val="17BC7656"/>
    <w:rsid w:val="17EA348C"/>
    <w:rsid w:val="1840212F"/>
    <w:rsid w:val="184656CF"/>
    <w:rsid w:val="193C261A"/>
    <w:rsid w:val="19934117"/>
    <w:rsid w:val="19943114"/>
    <w:rsid w:val="19DE22C0"/>
    <w:rsid w:val="1AB026BC"/>
    <w:rsid w:val="1ABB32B6"/>
    <w:rsid w:val="1B787B60"/>
    <w:rsid w:val="1BF70747"/>
    <w:rsid w:val="1C06153F"/>
    <w:rsid w:val="1C986C96"/>
    <w:rsid w:val="1D7371C3"/>
    <w:rsid w:val="1DDC2BB3"/>
    <w:rsid w:val="1E34479D"/>
    <w:rsid w:val="1EF81F78"/>
    <w:rsid w:val="1F620905"/>
    <w:rsid w:val="1FD12B34"/>
    <w:rsid w:val="201A6AB0"/>
    <w:rsid w:val="203B66A0"/>
    <w:rsid w:val="206D278F"/>
    <w:rsid w:val="211A679A"/>
    <w:rsid w:val="21253DA0"/>
    <w:rsid w:val="21A94BCD"/>
    <w:rsid w:val="22755B2E"/>
    <w:rsid w:val="22857975"/>
    <w:rsid w:val="23700C36"/>
    <w:rsid w:val="23844B7E"/>
    <w:rsid w:val="23902475"/>
    <w:rsid w:val="23FA0B3C"/>
    <w:rsid w:val="240371BF"/>
    <w:rsid w:val="2435534E"/>
    <w:rsid w:val="244017F7"/>
    <w:rsid w:val="24534F10"/>
    <w:rsid w:val="24DF6C66"/>
    <w:rsid w:val="253D03DB"/>
    <w:rsid w:val="253F66D1"/>
    <w:rsid w:val="25A20B86"/>
    <w:rsid w:val="25B1070F"/>
    <w:rsid w:val="25BC6564"/>
    <w:rsid w:val="25DD571A"/>
    <w:rsid w:val="265C1D1F"/>
    <w:rsid w:val="26BB36DB"/>
    <w:rsid w:val="271C5A93"/>
    <w:rsid w:val="276F1834"/>
    <w:rsid w:val="27B459F9"/>
    <w:rsid w:val="27C51E91"/>
    <w:rsid w:val="280173B2"/>
    <w:rsid w:val="28513369"/>
    <w:rsid w:val="28BF6D42"/>
    <w:rsid w:val="28C822A0"/>
    <w:rsid w:val="28FE016A"/>
    <w:rsid w:val="292E058E"/>
    <w:rsid w:val="29FD04D3"/>
    <w:rsid w:val="2C1E1BB4"/>
    <w:rsid w:val="2CAE1BBE"/>
    <w:rsid w:val="2CCF04B2"/>
    <w:rsid w:val="2DF079DB"/>
    <w:rsid w:val="2E4C04E0"/>
    <w:rsid w:val="2E67588F"/>
    <w:rsid w:val="2F803D16"/>
    <w:rsid w:val="2FF22B1D"/>
    <w:rsid w:val="30CB71E3"/>
    <w:rsid w:val="30E36C85"/>
    <w:rsid w:val="31810DA9"/>
    <w:rsid w:val="31903F88"/>
    <w:rsid w:val="319F7F4E"/>
    <w:rsid w:val="31B72CAD"/>
    <w:rsid w:val="32004B5E"/>
    <w:rsid w:val="323A1C2F"/>
    <w:rsid w:val="329448A6"/>
    <w:rsid w:val="32F45598"/>
    <w:rsid w:val="33204932"/>
    <w:rsid w:val="33447C07"/>
    <w:rsid w:val="33F67560"/>
    <w:rsid w:val="345D075E"/>
    <w:rsid w:val="35244754"/>
    <w:rsid w:val="361C390A"/>
    <w:rsid w:val="364D41F6"/>
    <w:rsid w:val="36FD0156"/>
    <w:rsid w:val="38207F4E"/>
    <w:rsid w:val="38F8371D"/>
    <w:rsid w:val="39226F5F"/>
    <w:rsid w:val="39902098"/>
    <w:rsid w:val="39FD5F33"/>
    <w:rsid w:val="3A3A0F35"/>
    <w:rsid w:val="3A4E1148"/>
    <w:rsid w:val="3AF15A98"/>
    <w:rsid w:val="3C8D2F9D"/>
    <w:rsid w:val="3CE0510E"/>
    <w:rsid w:val="3D0E3B71"/>
    <w:rsid w:val="3D1927CA"/>
    <w:rsid w:val="3D1E4B3E"/>
    <w:rsid w:val="3D6F2272"/>
    <w:rsid w:val="3D8344ED"/>
    <w:rsid w:val="3E03620E"/>
    <w:rsid w:val="3E343C22"/>
    <w:rsid w:val="3F512FA9"/>
    <w:rsid w:val="3F7C601F"/>
    <w:rsid w:val="3FAC4683"/>
    <w:rsid w:val="3FEA5DFB"/>
    <w:rsid w:val="40035B02"/>
    <w:rsid w:val="401C35B7"/>
    <w:rsid w:val="40C02D8A"/>
    <w:rsid w:val="40EA7211"/>
    <w:rsid w:val="4119235A"/>
    <w:rsid w:val="413B5D46"/>
    <w:rsid w:val="41677310"/>
    <w:rsid w:val="422C2C46"/>
    <w:rsid w:val="4251506E"/>
    <w:rsid w:val="42B75819"/>
    <w:rsid w:val="43684120"/>
    <w:rsid w:val="444F07DA"/>
    <w:rsid w:val="44601E28"/>
    <w:rsid w:val="472E4611"/>
    <w:rsid w:val="475E72DC"/>
    <w:rsid w:val="47F514AF"/>
    <w:rsid w:val="4839282C"/>
    <w:rsid w:val="48FD75BD"/>
    <w:rsid w:val="49243056"/>
    <w:rsid w:val="494C4A06"/>
    <w:rsid w:val="4A113668"/>
    <w:rsid w:val="4A277A41"/>
    <w:rsid w:val="4A745623"/>
    <w:rsid w:val="4B187071"/>
    <w:rsid w:val="4B2B2DCB"/>
    <w:rsid w:val="4B6A5BC2"/>
    <w:rsid w:val="4B6D2BD3"/>
    <w:rsid w:val="4C7555EC"/>
    <w:rsid w:val="4D135D42"/>
    <w:rsid w:val="4D846266"/>
    <w:rsid w:val="4D8D78A2"/>
    <w:rsid w:val="4DF123A8"/>
    <w:rsid w:val="4E290981"/>
    <w:rsid w:val="4E832A53"/>
    <w:rsid w:val="4E9E44C2"/>
    <w:rsid w:val="4EBC1A30"/>
    <w:rsid w:val="4F395B30"/>
    <w:rsid w:val="4F3B530F"/>
    <w:rsid w:val="4F6F7A34"/>
    <w:rsid w:val="4FD74194"/>
    <w:rsid w:val="4FDA49F5"/>
    <w:rsid w:val="50AE413E"/>
    <w:rsid w:val="51DF7A7D"/>
    <w:rsid w:val="51E1640E"/>
    <w:rsid w:val="51EE42CA"/>
    <w:rsid w:val="52195E38"/>
    <w:rsid w:val="52302EF2"/>
    <w:rsid w:val="526E48F5"/>
    <w:rsid w:val="52ED6284"/>
    <w:rsid w:val="5322283B"/>
    <w:rsid w:val="532B0C13"/>
    <w:rsid w:val="533D4F08"/>
    <w:rsid w:val="53BA6F17"/>
    <w:rsid w:val="53BE2B80"/>
    <w:rsid w:val="54136CE6"/>
    <w:rsid w:val="541505F1"/>
    <w:rsid w:val="542D2749"/>
    <w:rsid w:val="54992FD0"/>
    <w:rsid w:val="55872E29"/>
    <w:rsid w:val="55923320"/>
    <w:rsid w:val="56D0674C"/>
    <w:rsid w:val="57D23F06"/>
    <w:rsid w:val="58BA52C3"/>
    <w:rsid w:val="58BC5D23"/>
    <w:rsid w:val="59177DCC"/>
    <w:rsid w:val="59E040FC"/>
    <w:rsid w:val="59E11CD3"/>
    <w:rsid w:val="5A857BDE"/>
    <w:rsid w:val="5B2A4567"/>
    <w:rsid w:val="5BE202EA"/>
    <w:rsid w:val="5CAD7C22"/>
    <w:rsid w:val="5CE95B0C"/>
    <w:rsid w:val="5CFA7F1D"/>
    <w:rsid w:val="5D577E65"/>
    <w:rsid w:val="5D6F6B2F"/>
    <w:rsid w:val="5E2506F8"/>
    <w:rsid w:val="5E5E7F75"/>
    <w:rsid w:val="5EA316D6"/>
    <w:rsid w:val="5ECE1AC8"/>
    <w:rsid w:val="5EF556B7"/>
    <w:rsid w:val="5F3A07D2"/>
    <w:rsid w:val="5F593A88"/>
    <w:rsid w:val="5FE356D0"/>
    <w:rsid w:val="5FF901AE"/>
    <w:rsid w:val="60651EAC"/>
    <w:rsid w:val="60BB3927"/>
    <w:rsid w:val="60E73A20"/>
    <w:rsid w:val="6200749A"/>
    <w:rsid w:val="620F0B35"/>
    <w:rsid w:val="6240022D"/>
    <w:rsid w:val="62A42EE2"/>
    <w:rsid w:val="62BE686B"/>
    <w:rsid w:val="62F14F12"/>
    <w:rsid w:val="630D013F"/>
    <w:rsid w:val="63347FC4"/>
    <w:rsid w:val="63604CB9"/>
    <w:rsid w:val="64A36D0B"/>
    <w:rsid w:val="64C656C1"/>
    <w:rsid w:val="64F77166"/>
    <w:rsid w:val="65201386"/>
    <w:rsid w:val="657F4183"/>
    <w:rsid w:val="658466A7"/>
    <w:rsid w:val="6596487B"/>
    <w:rsid w:val="65DF63C9"/>
    <w:rsid w:val="65E950BC"/>
    <w:rsid w:val="662A7F2C"/>
    <w:rsid w:val="66627873"/>
    <w:rsid w:val="66D65FFA"/>
    <w:rsid w:val="67C24194"/>
    <w:rsid w:val="67EB36EB"/>
    <w:rsid w:val="68DA2DB6"/>
    <w:rsid w:val="693F42CF"/>
    <w:rsid w:val="69725134"/>
    <w:rsid w:val="6B4666B6"/>
    <w:rsid w:val="6BB306BC"/>
    <w:rsid w:val="6CC85DA9"/>
    <w:rsid w:val="6D2A5F93"/>
    <w:rsid w:val="6D8F2D6B"/>
    <w:rsid w:val="6DB91990"/>
    <w:rsid w:val="6DC31436"/>
    <w:rsid w:val="6E6F4E2B"/>
    <w:rsid w:val="6ECB49CF"/>
    <w:rsid w:val="6ECB5A2B"/>
    <w:rsid w:val="6F4D197C"/>
    <w:rsid w:val="6F806E0F"/>
    <w:rsid w:val="70202A42"/>
    <w:rsid w:val="70ED3F4C"/>
    <w:rsid w:val="72227D09"/>
    <w:rsid w:val="72E476B5"/>
    <w:rsid w:val="72F22338"/>
    <w:rsid w:val="73327580"/>
    <w:rsid w:val="733572FD"/>
    <w:rsid w:val="73BE3A62"/>
    <w:rsid w:val="746C7E4B"/>
    <w:rsid w:val="750E6C6B"/>
    <w:rsid w:val="755E374E"/>
    <w:rsid w:val="75884CEA"/>
    <w:rsid w:val="75B310E7"/>
    <w:rsid w:val="75B318F4"/>
    <w:rsid w:val="75F61299"/>
    <w:rsid w:val="761A4623"/>
    <w:rsid w:val="76377F56"/>
    <w:rsid w:val="764B35A7"/>
    <w:rsid w:val="769E6A57"/>
    <w:rsid w:val="77B238DE"/>
    <w:rsid w:val="78A4106B"/>
    <w:rsid w:val="79975481"/>
    <w:rsid w:val="79B4511D"/>
    <w:rsid w:val="79F60BE5"/>
    <w:rsid w:val="7A1B4027"/>
    <w:rsid w:val="7A965738"/>
    <w:rsid w:val="7ABC1C9C"/>
    <w:rsid w:val="7B022DCE"/>
    <w:rsid w:val="7B272834"/>
    <w:rsid w:val="7B8F71DF"/>
    <w:rsid w:val="7C1568F9"/>
    <w:rsid w:val="7CB2612E"/>
    <w:rsid w:val="7CC25607"/>
    <w:rsid w:val="7DE859ED"/>
    <w:rsid w:val="7E4C610E"/>
    <w:rsid w:val="7ECA59B1"/>
    <w:rsid w:val="7F09108F"/>
    <w:rsid w:val="7FDC49A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officialmode val="1"/>
    </mc:Choice>
  </mc:AlternateContent>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nhideWhenUsed="0" w:uiPriority="0"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link w:val="40"/>
    <w:qFormat/>
    <w:uiPriority w:val="9"/>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3">
    <w:name w:val="heading 2"/>
    <w:next w:val="1"/>
    <w:link w:val="53"/>
    <w:unhideWhenUsed/>
    <w:qFormat/>
    <w:uiPriority w:val="9"/>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4">
    <w:name w:val="heading 3"/>
    <w:next w:val="1"/>
    <w:link w:val="52"/>
    <w:unhideWhenUsed/>
    <w:qFormat/>
    <w:uiPriority w:val="9"/>
    <w:pPr>
      <w:keepNext/>
      <w:keepLines/>
      <w:spacing w:beforeLines="0" w:beforeAutospacing="0" w:afterLines="0" w:afterAutospacing="0" w:line="560" w:lineRule="exact"/>
      <w:ind w:firstLine="894" w:firstLineChars="200"/>
      <w:outlineLvl w:val="2"/>
    </w:pPr>
    <w:rPr>
      <w:rFonts w:ascii="Times New Roman" w:hAnsi="Times New Roman" w:eastAsia="仿宋_GB2312" w:cs="仿宋_GB2312"/>
      <w:sz w:val="32"/>
      <w:szCs w:val="32"/>
    </w:rPr>
  </w:style>
  <w:style w:type="paragraph" w:styleId="5">
    <w:name w:val="heading 4"/>
    <w:next w:val="1"/>
    <w:semiHidden/>
    <w:unhideWhenUsed/>
    <w:qFormat/>
    <w:uiPriority w:val="9"/>
    <w:pPr>
      <w:keepNext/>
      <w:keepLines/>
      <w:spacing w:beforeLines="0" w:beforeAutospacing="0" w:afterLines="0" w:afterAutospacing="0" w:line="560" w:lineRule="exact"/>
      <w:ind w:firstLine="894" w:firstLineChars="200"/>
      <w:outlineLvl w:val="3"/>
    </w:pPr>
    <w:rPr>
      <w:rFonts w:ascii="Times New Roman" w:hAnsi="Times New Roman" w:eastAsia="仿宋_GB2312" w:cs="仿宋_GB2312"/>
      <w:sz w:val="32"/>
      <w:szCs w:val="32"/>
    </w:rPr>
  </w:style>
  <w:style w:type="paragraph" w:styleId="6">
    <w:name w:val="heading 5"/>
    <w:next w:val="1"/>
    <w:semiHidden/>
    <w:unhideWhenUsed/>
    <w:qFormat/>
    <w:uiPriority w:val="9"/>
    <w:pPr>
      <w:spacing w:line="560" w:lineRule="exact"/>
      <w:ind w:firstLine="894" w:firstLineChars="200"/>
      <w:outlineLvl w:val="4"/>
    </w:pPr>
    <w:rPr>
      <w:rFonts w:ascii="Times New Roman" w:hAnsi="Times New Roman" w:eastAsia="仿宋_GB2312" w:cs="仿宋_GB2312"/>
      <w:sz w:val="32"/>
      <w:szCs w:val="32"/>
    </w:rPr>
  </w:style>
  <w:style w:type="paragraph" w:styleId="7">
    <w:name w:val="heading 6"/>
    <w:next w:val="1"/>
    <w:semiHidden/>
    <w:unhideWhenUsed/>
    <w:qFormat/>
    <w:uiPriority w:val="9"/>
    <w:pPr>
      <w:spacing w:line="560" w:lineRule="exact"/>
      <w:ind w:firstLine="894" w:firstLineChars="200"/>
      <w:outlineLvl w:val="5"/>
    </w:pPr>
    <w:rPr>
      <w:rFonts w:ascii="Times New Roman" w:hAnsi="Times New Roman" w:eastAsia="仿宋_GB2312" w:cs="仿宋_GB2312"/>
      <w:sz w:val="32"/>
      <w:szCs w:val="32"/>
    </w:rPr>
  </w:style>
  <w:style w:type="paragraph" w:styleId="8">
    <w:name w:val="heading 7"/>
    <w:next w:val="1"/>
    <w:semiHidden/>
    <w:unhideWhenUsed/>
    <w:qFormat/>
    <w:uiPriority w:val="9"/>
    <w:pPr>
      <w:spacing w:line="560" w:lineRule="exact"/>
      <w:ind w:firstLine="894" w:firstLineChars="200"/>
      <w:outlineLvl w:val="6"/>
    </w:pPr>
    <w:rPr>
      <w:rFonts w:ascii="Times New Roman" w:hAnsi="Times New Roman" w:eastAsia="仿宋_GB2312" w:cs="仿宋_GB2312"/>
      <w:sz w:val="32"/>
      <w:szCs w:val="32"/>
    </w:rPr>
  </w:style>
  <w:style w:type="paragraph" w:styleId="9">
    <w:name w:val="heading 8"/>
    <w:next w:val="1"/>
    <w:semiHidden/>
    <w:unhideWhenUsed/>
    <w:qFormat/>
    <w:uiPriority w:val="9"/>
    <w:pPr>
      <w:spacing w:line="560" w:lineRule="exact"/>
      <w:ind w:firstLine="894" w:firstLineChars="200"/>
      <w:outlineLvl w:val="7"/>
    </w:pPr>
    <w:rPr>
      <w:rFonts w:ascii="Times New Roman" w:hAnsi="Times New Roman" w:eastAsia="仿宋_GB2312" w:cs="仿宋_GB2312"/>
      <w:sz w:val="32"/>
      <w:szCs w:val="32"/>
    </w:rPr>
  </w:style>
  <w:style w:type="paragraph" w:styleId="10">
    <w:name w:val="heading 9"/>
    <w:next w:val="1"/>
    <w:semiHidden/>
    <w:unhideWhenUsed/>
    <w:qFormat/>
    <w:uiPriority w:val="9"/>
    <w:pPr>
      <w:spacing w:line="560" w:lineRule="exact"/>
      <w:ind w:firstLine="894" w:firstLineChars="200"/>
      <w:outlineLvl w:val="8"/>
    </w:pPr>
    <w:rPr>
      <w:rFonts w:ascii="Times New Roman" w:hAnsi="Times New Roman" w:eastAsia="仿宋_GB2312" w:cs="仿宋_GB2312"/>
      <w:sz w:val="32"/>
      <w:szCs w:val="32"/>
    </w:rPr>
  </w:style>
  <w:style w:type="character" w:default="1" w:styleId="28">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680"/>
    </w:pPr>
  </w:style>
  <w:style w:type="paragraph" w:styleId="12">
    <w:name w:val="annotation text"/>
    <w:basedOn w:val="1"/>
    <w:semiHidden/>
    <w:unhideWhenUsed/>
    <w:qFormat/>
    <w:uiPriority w:val="99"/>
    <w:pPr>
      <w:jc w:val="left"/>
    </w:pPr>
  </w:style>
  <w:style w:type="paragraph" w:styleId="13">
    <w:name w:val="Body Text"/>
    <w:link w:val="38"/>
    <w:qFormat/>
    <w:uiPriority w:val="99"/>
    <w:pPr>
      <w:spacing w:line="560" w:lineRule="exact"/>
      <w:ind w:firstLine="630" w:firstLineChars="200"/>
      <w:jc w:val="both"/>
    </w:pPr>
    <w:rPr>
      <w:rFonts w:ascii="Times New Roman" w:hAnsi="Times New Roman" w:eastAsia="仿宋_GB2312" w:cs="仿宋_GB2312"/>
      <w:spacing w:val="-6"/>
      <w:sz w:val="32"/>
      <w:szCs w:val="32"/>
    </w:rPr>
  </w:style>
  <w:style w:type="paragraph" w:styleId="14">
    <w:name w:val="Body Text Indent"/>
    <w:basedOn w:val="1"/>
    <w:next w:val="15"/>
    <w:qFormat/>
    <w:uiPriority w:val="0"/>
    <w:pPr>
      <w:spacing w:after="120"/>
      <w:ind w:leftChars="200"/>
    </w:pPr>
    <w:rPr>
      <w:rFonts w:ascii="仿宋_GB2312"/>
      <w:szCs w:val="32"/>
    </w:rPr>
  </w:style>
  <w:style w:type="paragraph" w:styleId="15">
    <w:name w:val="Body Text First Indent 2"/>
    <w:basedOn w:val="14"/>
    <w:unhideWhenUsed/>
    <w:qFormat/>
    <w:uiPriority w:val="99"/>
    <w:pPr>
      <w:ind w:firstLine="420" w:firstLineChars="200"/>
    </w:pPr>
  </w:style>
  <w:style w:type="paragraph" w:styleId="16">
    <w:name w:val="toc 3"/>
    <w:basedOn w:val="1"/>
    <w:next w:val="1"/>
    <w:unhideWhenUsed/>
    <w:qFormat/>
    <w:uiPriority w:val="39"/>
    <w:pPr>
      <w:tabs>
        <w:tab w:val="right" w:leader="dot" w:pos="8296"/>
      </w:tabs>
      <w:ind w:left="840" w:leftChars="400"/>
    </w:pPr>
  </w:style>
  <w:style w:type="paragraph" w:styleId="17">
    <w:name w:val="Balloon Text"/>
    <w:basedOn w:val="1"/>
    <w:link w:val="43"/>
    <w:semiHidden/>
    <w:unhideWhenUsed/>
    <w:qFormat/>
    <w:uiPriority w:val="99"/>
    <w:rPr>
      <w:sz w:val="18"/>
      <w:szCs w:val="18"/>
    </w:rPr>
  </w:style>
  <w:style w:type="paragraph" w:styleId="18">
    <w:name w:val="footer"/>
    <w:basedOn w:val="1"/>
    <w:link w:val="36"/>
    <w:qFormat/>
    <w:uiPriority w:val="99"/>
    <w:pPr>
      <w:tabs>
        <w:tab w:val="center" w:pos="4153"/>
        <w:tab w:val="right" w:pos="8306"/>
      </w:tabs>
      <w:snapToGrid w:val="0"/>
      <w:jc w:val="left"/>
    </w:pPr>
    <w:rPr>
      <w:rFonts w:ascii="Calibri" w:hAnsi="Calibri"/>
      <w:kern w:val="0"/>
      <w:sz w:val="18"/>
      <w:szCs w:val="18"/>
    </w:rPr>
  </w:style>
  <w:style w:type="paragraph" w:styleId="19">
    <w:name w:val="header"/>
    <w:basedOn w:val="1"/>
    <w:link w:val="34"/>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20">
    <w:name w:val="toc 1"/>
    <w:basedOn w:val="1"/>
    <w:next w:val="1"/>
    <w:unhideWhenUsed/>
    <w:qFormat/>
    <w:uiPriority w:val="39"/>
    <w:pPr>
      <w:tabs>
        <w:tab w:val="right" w:leader="dot" w:pos="8296"/>
      </w:tabs>
      <w:spacing w:before="93"/>
      <w:jc w:val="center"/>
    </w:pPr>
    <w:rPr>
      <w:rFonts w:hint="eastAsia" w:ascii="黑体" w:hAnsi="黑体" w:eastAsia="黑体" w:cs="黑体"/>
      <w:color w:val="000000" w:themeColor="text1"/>
      <w:sz w:val="32"/>
      <w:szCs w:val="32"/>
      <w14:textFill>
        <w14:solidFill>
          <w14:schemeClr w14:val="tx1"/>
        </w14:solidFill>
      </w14:textFill>
    </w:rPr>
  </w:style>
  <w:style w:type="paragraph" w:styleId="21">
    <w:name w:val="Subtitle"/>
    <w:qFormat/>
    <w:uiPriority w:val="11"/>
    <w:pPr>
      <w:spacing w:beforeLines="0" w:beforeAutospacing="0" w:afterLines="0" w:afterAutospacing="0" w:line="720" w:lineRule="exact"/>
      <w:jc w:val="center"/>
      <w:outlineLvl w:val="9"/>
    </w:pPr>
    <w:rPr>
      <w:rFonts w:ascii="Times New Roman" w:hAnsi="Times New Roman" w:eastAsia="仿宋_GB2312" w:cs="仿宋_GB2312"/>
      <w:kern w:val="28"/>
      <w:sz w:val="32"/>
      <w:szCs w:val="32"/>
    </w:rPr>
  </w:style>
  <w:style w:type="paragraph" w:styleId="22">
    <w:name w:val="footnote text"/>
    <w:basedOn w:val="1"/>
    <w:next w:val="15"/>
    <w:semiHidden/>
    <w:qFormat/>
    <w:uiPriority w:val="0"/>
    <w:pPr>
      <w:snapToGrid w:val="0"/>
      <w:jc w:val="left"/>
    </w:pPr>
    <w:rPr>
      <w:sz w:val="18"/>
      <w:szCs w:val="18"/>
    </w:rPr>
  </w:style>
  <w:style w:type="paragraph" w:styleId="23">
    <w:name w:val="table of figures"/>
    <w:basedOn w:val="1"/>
    <w:next w:val="1"/>
    <w:autoRedefine/>
    <w:qFormat/>
    <w:uiPriority w:val="0"/>
    <w:pPr>
      <w:ind w:left="200" w:leftChars="200" w:hanging="200" w:hangingChars="200"/>
    </w:pPr>
  </w:style>
  <w:style w:type="paragraph" w:styleId="24">
    <w:name w:val="toc 2"/>
    <w:basedOn w:val="1"/>
    <w:next w:val="1"/>
    <w:autoRedefine/>
    <w:unhideWhenUsed/>
    <w:qFormat/>
    <w:uiPriority w:val="39"/>
    <w:pPr>
      <w:tabs>
        <w:tab w:val="right" w:leader="dot" w:pos="8296"/>
      </w:tabs>
      <w:spacing w:line="360" w:lineRule="auto"/>
      <w:ind w:left="420" w:leftChars="200"/>
    </w:pPr>
    <w:rPr>
      <w:rFonts w:hint="eastAsia" w:ascii="仿宋" w:hAnsi="仿宋" w:eastAsia="仿宋" w:cs="仿宋"/>
      <w:color w:val="000000" w:themeColor="text1"/>
      <w:sz w:val="32"/>
      <w:szCs w:val="32"/>
      <w14:textFill>
        <w14:solidFill>
          <w14:schemeClr w14:val="tx1"/>
        </w14:solidFill>
      </w14:textFill>
    </w:rPr>
  </w:style>
  <w:style w:type="paragraph" w:styleId="25">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6">
    <w:name w:val="Title"/>
    <w:qFormat/>
    <w:uiPriority w:val="10"/>
    <w:pPr>
      <w:spacing w:line="720" w:lineRule="exact"/>
      <w:jc w:val="center"/>
      <w:outlineLvl w:val="9"/>
    </w:pPr>
    <w:rPr>
      <w:rFonts w:ascii="方正小标宋简体" w:hAnsi="方正小标宋简体" w:eastAsia="方正小标宋简体" w:cs="方正小标宋简体"/>
      <w:sz w:val="44"/>
      <w:szCs w:val="44"/>
    </w:rPr>
  </w:style>
  <w:style w:type="character" w:styleId="29">
    <w:name w:val="Strong"/>
    <w:basedOn w:val="28"/>
    <w:qFormat/>
    <w:uiPriority w:val="99"/>
    <w:rPr>
      <w:b/>
    </w:rPr>
  </w:style>
  <w:style w:type="character" w:styleId="30">
    <w:name w:val="Hyperlink"/>
    <w:basedOn w:val="28"/>
    <w:unhideWhenUsed/>
    <w:qFormat/>
    <w:uiPriority w:val="99"/>
    <w:rPr>
      <w:color w:val="0000FF" w:themeColor="hyperlink"/>
      <w:u w:val="single"/>
      <w14:textFill>
        <w14:solidFill>
          <w14:schemeClr w14:val="hlink"/>
        </w14:solidFill>
      </w14:textFill>
    </w:rPr>
  </w:style>
  <w:style w:type="character" w:styleId="31">
    <w:name w:val="annotation reference"/>
    <w:basedOn w:val="28"/>
    <w:semiHidden/>
    <w:unhideWhenUsed/>
    <w:qFormat/>
    <w:uiPriority w:val="99"/>
    <w:rPr>
      <w:sz w:val="21"/>
      <w:szCs w:val="21"/>
    </w:rPr>
  </w:style>
  <w:style w:type="paragraph" w:customStyle="1" w:styleId="32">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character" w:customStyle="1" w:styleId="33">
    <w:name w:val="Header Char"/>
    <w:basedOn w:val="28"/>
    <w:semiHidden/>
    <w:qFormat/>
    <w:uiPriority w:val="99"/>
    <w:rPr>
      <w:rFonts w:ascii="Times New Roman" w:hAnsi="Times New Roman"/>
      <w:sz w:val="18"/>
      <w:szCs w:val="18"/>
    </w:rPr>
  </w:style>
  <w:style w:type="character" w:customStyle="1" w:styleId="34">
    <w:name w:val="页眉 字符"/>
    <w:link w:val="19"/>
    <w:semiHidden/>
    <w:qFormat/>
    <w:locked/>
    <w:uiPriority w:val="99"/>
    <w:rPr>
      <w:sz w:val="18"/>
    </w:rPr>
  </w:style>
  <w:style w:type="character" w:customStyle="1" w:styleId="35">
    <w:name w:val="Footer Char"/>
    <w:basedOn w:val="28"/>
    <w:autoRedefine/>
    <w:semiHidden/>
    <w:qFormat/>
    <w:uiPriority w:val="99"/>
    <w:rPr>
      <w:rFonts w:ascii="Times New Roman" w:hAnsi="Times New Roman"/>
      <w:sz w:val="18"/>
      <w:szCs w:val="18"/>
    </w:rPr>
  </w:style>
  <w:style w:type="character" w:customStyle="1" w:styleId="36">
    <w:name w:val="页脚 字符"/>
    <w:link w:val="18"/>
    <w:autoRedefine/>
    <w:qFormat/>
    <w:locked/>
    <w:uiPriority w:val="99"/>
    <w:rPr>
      <w:sz w:val="18"/>
    </w:rPr>
  </w:style>
  <w:style w:type="character" w:customStyle="1" w:styleId="37">
    <w:name w:val="Body Text Char"/>
    <w:basedOn w:val="28"/>
    <w:semiHidden/>
    <w:qFormat/>
    <w:uiPriority w:val="99"/>
    <w:rPr>
      <w:rFonts w:ascii="Times New Roman" w:hAnsi="Times New Roman"/>
      <w:szCs w:val="24"/>
    </w:rPr>
  </w:style>
  <w:style w:type="character" w:customStyle="1" w:styleId="38">
    <w:name w:val="正文文本 字符"/>
    <w:link w:val="13"/>
    <w:qFormat/>
    <w:locked/>
    <w:uiPriority w:val="99"/>
    <w:rPr>
      <w:rFonts w:ascii="Times New Roman" w:hAnsi="Times New Roman" w:eastAsia="宋体" w:cs="宋体"/>
      <w:spacing w:val="-6"/>
      <w:sz w:val="32"/>
      <w:szCs w:val="32"/>
    </w:rPr>
  </w:style>
  <w:style w:type="paragraph" w:styleId="39">
    <w:name w:val="List Paragraph"/>
    <w:basedOn w:val="1"/>
    <w:autoRedefine/>
    <w:qFormat/>
    <w:uiPriority w:val="34"/>
    <w:pPr>
      <w:ind w:firstLine="420" w:firstLineChars="200"/>
    </w:pPr>
  </w:style>
  <w:style w:type="character" w:customStyle="1" w:styleId="40">
    <w:name w:val="标题 1 字符"/>
    <w:basedOn w:val="28"/>
    <w:link w:val="2"/>
    <w:qFormat/>
    <w:uiPriority w:val="9"/>
    <w:rPr>
      <w:rFonts w:ascii="Times New Roman" w:hAnsi="Times New Roman"/>
      <w:b/>
      <w:bCs/>
      <w:kern w:val="44"/>
      <w:sz w:val="44"/>
      <w:szCs w:val="44"/>
    </w:rPr>
  </w:style>
  <w:style w:type="character" w:customStyle="1" w:styleId="41">
    <w:name w:val="标题 2 字符"/>
    <w:basedOn w:val="28"/>
    <w:qFormat/>
    <w:uiPriority w:val="9"/>
    <w:rPr>
      <w:rFonts w:asciiTheme="majorHAnsi" w:hAnsiTheme="majorHAnsi" w:eastAsiaTheme="majorEastAsia" w:cstheme="majorBidi"/>
      <w:b/>
      <w:bCs/>
      <w:kern w:val="2"/>
      <w:sz w:val="32"/>
      <w:szCs w:val="32"/>
    </w:rPr>
  </w:style>
  <w:style w:type="paragraph" w:customStyle="1" w:styleId="42">
    <w:name w:val="TOC 标题1"/>
    <w:basedOn w:val="2"/>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43">
    <w:name w:val="批注框文本 字符"/>
    <w:basedOn w:val="28"/>
    <w:link w:val="17"/>
    <w:autoRedefine/>
    <w:semiHidden/>
    <w:qFormat/>
    <w:uiPriority w:val="99"/>
    <w:rPr>
      <w:rFonts w:ascii="Times New Roman" w:hAnsi="Times New Roman"/>
      <w:kern w:val="2"/>
      <w:sz w:val="18"/>
      <w:szCs w:val="18"/>
    </w:rPr>
  </w:style>
  <w:style w:type="character" w:customStyle="1" w:styleId="44">
    <w:name w:val="标题 3 字符"/>
    <w:basedOn w:val="28"/>
    <w:autoRedefine/>
    <w:qFormat/>
    <w:uiPriority w:val="9"/>
    <w:rPr>
      <w:rFonts w:ascii="Times New Roman" w:hAnsi="Times New Roman"/>
      <w:b/>
      <w:bCs/>
      <w:kern w:val="2"/>
      <w:sz w:val="32"/>
      <w:szCs w:val="32"/>
    </w:rPr>
  </w:style>
  <w:style w:type="character" w:customStyle="1" w:styleId="45">
    <w:name w:val="标题 1 Char"/>
    <w:basedOn w:val="28"/>
    <w:qFormat/>
    <w:uiPriority w:val="9"/>
    <w:rPr>
      <w:b/>
      <w:bCs/>
      <w:kern w:val="44"/>
      <w:sz w:val="44"/>
      <w:szCs w:val="44"/>
    </w:rPr>
  </w:style>
  <w:style w:type="character" w:customStyle="1" w:styleId="46">
    <w:name w:val="font41"/>
    <w:basedOn w:val="28"/>
    <w:qFormat/>
    <w:uiPriority w:val="0"/>
    <w:rPr>
      <w:rFonts w:ascii="宋体" w:hAnsi="宋体" w:eastAsia="宋体" w:cs="宋体"/>
      <w:color w:val="000000"/>
      <w:sz w:val="18"/>
      <w:szCs w:val="18"/>
      <w:u w:val="none"/>
    </w:rPr>
  </w:style>
  <w:style w:type="character" w:customStyle="1" w:styleId="47">
    <w:name w:val="font101"/>
    <w:basedOn w:val="28"/>
    <w:qFormat/>
    <w:uiPriority w:val="0"/>
    <w:rPr>
      <w:rFonts w:hint="default" w:ascii="Times New Roman" w:hAnsi="Times New Roman" w:cs="Times New Roman"/>
      <w:color w:val="000000"/>
      <w:sz w:val="18"/>
      <w:szCs w:val="18"/>
      <w:u w:val="none"/>
    </w:rPr>
  </w:style>
  <w:style w:type="character" w:customStyle="1" w:styleId="48">
    <w:name w:val="font71"/>
    <w:basedOn w:val="28"/>
    <w:qFormat/>
    <w:uiPriority w:val="0"/>
    <w:rPr>
      <w:rFonts w:hint="eastAsia" w:ascii="微软雅黑" w:hAnsi="微软雅黑" w:eastAsia="微软雅黑" w:cs="微软雅黑"/>
      <w:i/>
      <w:iCs/>
      <w:color w:val="000000"/>
      <w:sz w:val="16"/>
      <w:szCs w:val="16"/>
      <w:u w:val="none"/>
    </w:rPr>
  </w:style>
  <w:style w:type="character" w:customStyle="1" w:styleId="49">
    <w:name w:val="font112"/>
    <w:basedOn w:val="28"/>
    <w:qFormat/>
    <w:uiPriority w:val="0"/>
    <w:rPr>
      <w:rFonts w:hint="default" w:ascii="Times New Roman" w:hAnsi="Times New Roman" w:cs="Times New Roman"/>
      <w:i/>
      <w:iCs/>
      <w:color w:val="000000"/>
      <w:sz w:val="16"/>
      <w:szCs w:val="16"/>
      <w:u w:val="none"/>
    </w:rPr>
  </w:style>
  <w:style w:type="paragraph" w:customStyle="1" w:styleId="50">
    <w:name w:val="章标题"/>
    <w:next w:val="1"/>
    <w:qFormat/>
    <w:uiPriority w:val="0"/>
    <w:pPr>
      <w:widowControl w:val="0"/>
      <w:spacing w:line="560" w:lineRule="exact"/>
      <w:jc w:val="center"/>
      <w:outlineLvl w:val="0"/>
    </w:pPr>
    <w:rPr>
      <w:rFonts w:ascii="黑体" w:hAnsi="黑体" w:eastAsia="黑体" w:cs="黑体"/>
      <w:bCs/>
      <w:spacing w:val="-6"/>
      <w:kern w:val="44"/>
      <w:sz w:val="32"/>
      <w:szCs w:val="32"/>
      <w:lang w:bidi="ar-SA"/>
    </w:rPr>
  </w:style>
  <w:style w:type="paragraph" w:customStyle="1" w:styleId="51">
    <w:name w:val="图片标题"/>
    <w:next w:val="1"/>
    <w:qFormat/>
    <w:uiPriority w:val="0"/>
    <w:pPr>
      <w:widowControl w:val="0"/>
      <w:overflowPunct w:val="0"/>
      <w:topLinePunct/>
      <w:spacing w:line="560" w:lineRule="exact"/>
      <w:jc w:val="center"/>
    </w:pPr>
    <w:rPr>
      <w:rFonts w:ascii="Times New Roman" w:hAnsi="Times New Roman" w:eastAsia="仿宋_GB2312" w:cs="仿宋_GB2312"/>
      <w:spacing w:val="-6"/>
      <w:kern w:val="0"/>
      <w:sz w:val="32"/>
      <w:szCs w:val="32"/>
      <w:lang w:bidi="ar-SA"/>
    </w:rPr>
  </w:style>
  <w:style w:type="character" w:customStyle="1" w:styleId="52">
    <w:name w:val="标题 3 Char"/>
    <w:link w:val="4"/>
    <w:qFormat/>
    <w:uiPriority w:val="9"/>
    <w:rPr>
      <w:rFonts w:ascii="Times New Roman" w:hAnsi="Times New Roman" w:eastAsia="仿宋_GB2312" w:cs="仿宋_GB2312"/>
      <w:sz w:val="32"/>
      <w:szCs w:val="32"/>
    </w:rPr>
  </w:style>
  <w:style w:type="character" w:customStyle="1" w:styleId="53">
    <w:name w:val="标题 2 Char"/>
    <w:link w:val="3"/>
    <w:qFormat/>
    <w:uiPriority w:val="9"/>
    <w:rPr>
      <w:rFonts w:ascii="Times New Roman" w:hAnsi="Times New Roman" w:eastAsia="楷体_GB2312" w:cs="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customXml" Target="../customXml/item1.xml"/><Relationship Id="rId16" Type="http://schemas.openxmlformats.org/officeDocument/2006/relationships/chart" Target="charts/chart7.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收、支决算总计变动情况图</a:t>
            </a:r>
            <a:endParaRPr lang="en-US" sz="1100"/>
          </a:p>
        </c:rich>
      </c:tx>
      <c:layout/>
      <c:overlay val="0"/>
    </c:title>
    <c:autoTitleDeleted val="0"/>
    <c:plotArea>
      <c:layout>
        <c:manualLayout>
          <c:layoutTarget val="inner"/>
          <c:xMode val="edge"/>
          <c:yMode val="edge"/>
          <c:x val="0.0559816218099468"/>
          <c:y val="0.247865112907836"/>
          <c:w val="0.800713012477719"/>
          <c:h val="0.654027777777778"/>
        </c:manualLayout>
      </c:layout>
      <c:barChart>
        <c:barDir val="col"/>
        <c:grouping val="clustered"/>
        <c:varyColors val="0"/>
        <c:ser>
          <c:idx val="1"/>
          <c:order val="0"/>
          <c:tx>
            <c:strRef>
              <c:f>收支总计</c:f>
              <c:strCache>
                <c:ptCount val="1"/>
                <c:pt idx="0">
                  <c:v>收支总计</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{"2024","2025"}</c:f>
              <c:strCache>
                <c:ptCount val="2"/>
                <c:pt idx="0">
                  <c:v>2024</c:v>
                </c:pt>
                <c:pt idx="1">
                  <c:v>2025</c:v>
                </c:pt>
              </c:strCache>
            </c:strRef>
          </c:cat>
          <c:val>
            <c:numRef>
              <c:f>{3328.98,3186.04}</c:f>
              <c:numCache>
                <c:formatCode>General</c:formatCode>
                <c:ptCount val="2"/>
                <c:pt idx="0">
                  <c:v>3328.98</c:v>
                </c:pt>
                <c:pt idx="1">
                  <c:v>3186.04</c:v>
                </c:pt>
              </c:numCache>
            </c:numRef>
          </c:val>
        </c:ser>
        <c:dLbls>
          <c:showLegendKey val="0"/>
          <c:showVal val="1"/>
          <c:showCatName val="0"/>
          <c:showSerName val="0"/>
          <c:showPercent val="0"/>
          <c:showBubbleSize val="0"/>
        </c:dLbls>
        <c:gapWidth val="41"/>
        <c:axId val="261387392"/>
        <c:axId val="261388928"/>
      </c:barChart>
      <c:catAx>
        <c:axId val="261387392"/>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dk1">
                    <a:lumMod val="65000"/>
                    <a:lumOff val="35000"/>
                  </a:schemeClr>
                </a:solidFill>
                <a:effectLst/>
                <a:latin typeface="+mn-lt"/>
                <a:ea typeface="+mn-ea"/>
                <a:cs typeface="+mn-cs"/>
              </a:defRPr>
            </a:pPr>
          </a:p>
        </c:txPr>
        <c:crossAx val="261388928"/>
        <c:crosses val="autoZero"/>
        <c:auto val="1"/>
        <c:lblAlgn val="ctr"/>
        <c:lblOffset val="100"/>
        <c:noMultiLvlLbl val="0"/>
      </c:catAx>
      <c:valAx>
        <c:axId val="261388928"/>
        <c:scaling>
          <c:orientation val="minMax"/>
        </c:scaling>
        <c:delete val="1"/>
        <c:axPos val="l"/>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1387392"/>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dk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56e6b1b-a5c7-4896-8b45-eb61aad265cb}"/>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收入决算结构图</a:t>
            </a:r>
            <a:endParaRPr lang="en-US" sz="1100"/>
          </a:p>
        </c:rich>
      </c:tx>
      <c:layout/>
      <c:overlay val="0"/>
    </c:title>
    <c:autoTitleDeleted val="0"/>
    <c:plotArea>
      <c:layout/>
      <c:pieChart>
        <c:varyColors val="1"/>
        <c:ser>
          <c:idx val="1"/>
          <c:order val="0"/>
          <c:explosion val="0"/>
          <c:dPt>
            <c:idx val="0"/>
            <c:bubble3D val="0"/>
          </c:dPt>
          <c:dPt>
            <c:idx val="1"/>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{"其他收入","一般公共预算财政拨款收入"}</c:f>
              <c:strCache>
                <c:ptCount val="2"/>
                <c:pt idx="0">
                  <c:v>其他收入</c:v>
                </c:pt>
                <c:pt idx="1">
                  <c:v>一般公共预算财政拨款收入</c:v>
                </c:pt>
              </c:strCache>
            </c:strRef>
          </c:cat>
          <c:val>
            <c:numRef>
              <c:f>{193.25,2992.79}</c:f>
              <c:numCache>
                <c:formatCode>General</c:formatCode>
                <c:ptCount val="2"/>
                <c:pt idx="0">
                  <c:v>193.25</c:v>
                </c:pt>
                <c:pt idx="1">
                  <c:v>2992.79</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e3effd8a-66c7-4ba0-80a2-8d63075e80f9}"/>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支出决算结构图</a:t>
            </a:r>
            <a:endParaRPr lang="en-US" sz="1100"/>
          </a:p>
        </c:rich>
      </c:tx>
      <c:layout/>
      <c:overlay val="0"/>
    </c:title>
    <c:autoTitleDeleted val="0"/>
    <c:plotArea>
      <c:layout/>
      <c:pieChart>
        <c:varyColors val="1"/>
        <c:ser>
          <c:idx val="1"/>
          <c:order val="0"/>
          <c:explosion val="0"/>
          <c:dPt>
            <c:idx val="0"/>
            <c:bubble3D val="0"/>
          </c:dPt>
          <c:dPt>
            <c:idx val="1"/>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{"基本支出","项目支出"}</c:f>
              <c:strCache>
                <c:ptCount val="2"/>
                <c:pt idx="0">
                  <c:v>基本支出</c:v>
                </c:pt>
                <c:pt idx="1">
                  <c:v>项目支出</c:v>
                </c:pt>
              </c:strCache>
            </c:strRef>
          </c:cat>
          <c:val>
            <c:numRef>
              <c:f>{380.66,2805.38}</c:f>
              <c:numCache>
                <c:formatCode>General</c:formatCode>
                <c:ptCount val="2"/>
                <c:pt idx="0">
                  <c:v>380.66</c:v>
                </c:pt>
                <c:pt idx="1">
                  <c:v>2805.38</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f2932d16-61fe-4e19-9081-2d4f0a0a64c1}"/>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2"/>
                </a:solidFill>
                <a:latin typeface="+mn-lt"/>
                <a:ea typeface="+mn-ea"/>
                <a:cs typeface="+mn-cs"/>
              </a:defRPr>
            </a:pPr>
            <a:r>
              <a:rPr lang="en-US" altLang="zh-CN"/>
              <a:t>财政拨款收、支决算总计变动情况</a:t>
            </a:r>
            <a:endParaRPr lang="en-US" altLang="zh-CN"/>
          </a:p>
        </c:rich>
      </c:tx>
      <c:layout/>
      <c:overlay val="0"/>
      <c:spPr>
        <a:noFill/>
        <a:ln>
          <a:noFill/>
        </a:ln>
        <a:effectLst/>
      </c:spPr>
    </c:title>
    <c:autoTitleDeleted val="0"/>
    <c:plotArea>
      <c:layout/>
      <c:barChart>
        <c:barDir val="col"/>
        <c:grouping val="clustered"/>
        <c:varyColors val="0"/>
        <c:ser>
          <c:idx val="1"/>
          <c:order val="0"/>
          <c:tx>
            <c:strRef>
              <c:f>收支总计</c:f>
              <c:strCache>
                <c:ptCount val="1"/>
                <c:pt idx="0">
                  <c:v>收支总计</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{"2024","2025"}</c:f>
              <c:strCache>
                <c:ptCount val="2"/>
                <c:pt idx="0">
                  <c:v>2024</c:v>
                </c:pt>
                <c:pt idx="1">
                  <c:v>2025</c:v>
                </c:pt>
              </c:strCache>
            </c:strRef>
          </c:cat>
          <c:val>
            <c:numRef>
              <c:f>{3266.78,2992.79}</c:f>
              <c:numCache>
                <c:formatCode>General</c:formatCode>
                <c:ptCount val="2"/>
                <c:pt idx="0">
                  <c:v>3266.78</c:v>
                </c:pt>
                <c:pt idx="1">
                  <c:v>2992.79</c:v>
                </c:pt>
              </c:numCache>
            </c:numRef>
          </c:val>
        </c:ser>
        <c:dLbls>
          <c:showLegendKey val="0"/>
          <c:showVal val="1"/>
          <c:showCatName val="0"/>
          <c:showSerName val="0"/>
          <c:showPercent val="0"/>
          <c:showBubbleSize val="0"/>
        </c:dLbls>
        <c:gapWidth val="100"/>
        <c:overlap val="-24"/>
        <c:axId val="263359104"/>
        <c:axId val="263373184"/>
      </c:barChart>
      <c:catAx>
        <c:axId val="263359104"/>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solidFill>
              <a:schemeClr val="tx2">
                <a:lumMod val="15000"/>
                <a:lumOff val="85000"/>
              </a:schemeClr>
            </a:solid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73184"/>
        <c:crosses val="autoZero"/>
        <c:auto val="1"/>
        <c:lblAlgn val="ctr"/>
        <c:lblOffset val="100"/>
        <c:noMultiLvlLbl val="0"/>
      </c:catAx>
      <c:valAx>
        <c:axId val="263373184"/>
        <c:scaling>
          <c:orientation val="minMax"/>
        </c:scaling>
        <c:delete val="0"/>
        <c:axPos val="l"/>
        <c:majorGridlines>
          <c:spPr>
            <a:ln w="9525" cap="flat" cmpd="sng" algn="ctr">
              <a:solidFill>
                <a:schemeClr val="tx2">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59104"/>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legend>
    <c:plotVisOnly val="1"/>
    <c:dispBlanksAs val="gap"/>
    <c:showDLblsOverMax val="0"/>
    <c:extLst>
      <c:ext uri="{0b15fc19-7d7d-44ad-8c2d-2c3a37ce22c3}">
        <chartProps xmlns="https://web.wps.cn/et/2018/main" chartId="{59487755-1466-4a80-ae4f-b996273c4387}"/>
      </c:ext>
    </c:extLst>
  </c:chart>
  <c:spPr>
    <a:solidFill>
      <a:schemeClr val="bg1"/>
    </a:solidFill>
    <a:ln w="9525" cap="flat" cmpd="sng" algn="ctr">
      <a:solidFill>
        <a:schemeClr val="tx2">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1">
                    <a:lumMod val="65000"/>
                    <a:lumOff val="35000"/>
                  </a:schemeClr>
                </a:solidFill>
                <a:latin typeface="+mn-lt"/>
                <a:ea typeface="+mn-ea"/>
                <a:cs typeface="+mn-cs"/>
              </a:defRPr>
            </a:pPr>
            <a:r>
              <a:rPr lang="zh-CN" altLang="en-US" sz="1200"/>
              <a:t>一般公共预算财政拨款支出</a:t>
            </a:r>
            <a:endParaRPr lang="zh-CN" altLang="en-US" sz="1200"/>
          </a:p>
        </c:rich>
      </c:tx>
      <c:layout/>
      <c:overlay val="0"/>
      <c:spPr>
        <a:noFill/>
        <a:ln>
          <a:noFill/>
        </a:ln>
        <a:effectLst/>
      </c:spPr>
    </c:title>
    <c:autoTitleDeleted val="0"/>
    <c:plotArea>
      <c:layout>
        <c:manualLayout>
          <c:layoutTarget val="inner"/>
          <c:xMode val="edge"/>
          <c:yMode val="edge"/>
          <c:x val="0.0736333103993069"/>
          <c:y val="0.199582873033408"/>
          <c:w val="0.767623678108199"/>
          <c:h val="0.708506514060342"/>
        </c:manualLayout>
      </c:layout>
      <c:barChart>
        <c:barDir val="col"/>
        <c:grouping val="clustered"/>
        <c:varyColors val="0"/>
        <c:ser>
          <c:idx val="1"/>
          <c:order val="0"/>
          <c:tx>
            <c:strRef>
              <c:f>2024</c:f>
              <c:strCache>
                <c:ptCount val="1"/>
                <c:pt idx="0">
                  <c:v>2024</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{3266.78}</c:f>
              <c:numCache>
                <c:formatCode>General</c:formatCode>
                <c:ptCount val="1"/>
                <c:pt idx="0">
                  <c:v>3266.78</c:v>
                </c:pt>
              </c:numCache>
            </c:numRef>
          </c:val>
        </c:ser>
        <c:ser>
          <c:idx val="2"/>
          <c:order val="1"/>
          <c:tx>
            <c:strRef>
              <c:f>2025</c:f>
              <c:strCache>
                <c:ptCount val="1"/>
                <c:pt idx="0">
                  <c:v>2025</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{2992.79}</c:f>
              <c:numCache>
                <c:formatCode>General</c:formatCode>
                <c:ptCount val="1"/>
                <c:pt idx="0">
                  <c:v>2992.79</c:v>
                </c:pt>
              </c:numCache>
            </c:numRef>
          </c:val>
        </c:ser>
        <c:dLbls>
          <c:showLegendKey val="0"/>
          <c:showVal val="1"/>
          <c:showCatName val="0"/>
          <c:showSerName val="0"/>
          <c:showPercent val="0"/>
          <c:showBubbleSize val="0"/>
        </c:dLbls>
        <c:gapWidth val="100"/>
        <c:overlap val="-24"/>
        <c:axId val="263440640"/>
        <c:axId val="263135232"/>
      </c:barChart>
      <c:catAx>
        <c:axId val="263440640"/>
        <c:scaling>
          <c:orientation val="minMax"/>
        </c:scaling>
        <c:delete val="1"/>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3135232"/>
        <c:crosses val="autoZero"/>
        <c:auto val="1"/>
        <c:lblAlgn val="ctr"/>
        <c:lblOffset val="100"/>
        <c:noMultiLvlLbl val="0"/>
      </c:catAx>
      <c:valAx>
        <c:axId val="263135232"/>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63440640"/>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6951291-93c5-49e5-9867-c8397a7c53dd}"/>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一般公共预算财政拨款支出</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{"社会保障和就业支出","卫生健康支出","住房保障支出"}</c:f>
              <c:strCache>
                <c:ptCount val="3"/>
                <c:pt idx="0">
                  <c:v>社会保障和就业支出</c:v>
                </c:pt>
                <c:pt idx="1">
                  <c:v>卫生健康支出</c:v>
                </c:pt>
                <c:pt idx="2">
                  <c:v>住房保障支出</c:v>
                </c:pt>
              </c:strCache>
            </c:strRef>
          </c:cat>
          <c:val>
            <c:numRef>
              <c:f>{43.8,2924.77,24.22}</c:f>
              <c:numCache>
                <c:formatCode>General</c:formatCode>
                <c:ptCount val="3"/>
                <c:pt idx="0">
                  <c:v>43.8</c:v>
                </c:pt>
                <c:pt idx="1">
                  <c:v>2924.77</c:v>
                </c:pt>
                <c:pt idx="2">
                  <c:v>24.22</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e3effd8a-66c7-4ba0-80a2-8d63075e80f9}"/>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"三公"经费</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{"因公出国（境）费","公务用车购置及运行维护费","公务接待费"}</c:f>
              <c:strCache>
                <c:ptCount val="3"/>
                <c:pt idx="0">
                  <c:v>因公出国（境）费</c:v>
                </c:pt>
                <c:pt idx="1">
                  <c:v>公务用车购置及运行维护费</c:v>
                </c:pt>
                <c:pt idx="2">
                  <c:v>公务接待费</c:v>
                </c:pt>
              </c:strCache>
            </c:strRef>
          </c:cat>
          <c:val>
            <c:numRef>
              <c:f>{0,2.89,0}</c:f>
              <c:numCache>
                <c:formatCode>General</c:formatCode>
                <c:ptCount val="3"/>
                <c:pt idx="0">
                  <c:v>0</c:v>
                </c:pt>
                <c:pt idx="1">
                  <c:v>2.89</c:v>
                </c:pt>
                <c:pt idx="2">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e3effd8a-66c7-4ba0-80a2-8d63075e80f9}"/>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4FC5A5-8DE4-4565-B639-6D345C1D7E6D}">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76</Pages>
  <Words>9092</Words>
  <Characters>9666</Characters>
  <Lines>48</Lines>
  <Paragraphs>13</Paragraphs>
  <TotalTime>14</TotalTime>
  <ScaleCrop>false</ScaleCrop>
  <LinksUpToDate>false</LinksUpToDate>
  <CharactersWithSpaces>10037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2023-08-18T07:28:00Z</dcterms:created>
  <dc:creator>pjf</dc:creator>
  <cp:lastModifiedBy>心若相知、无言也温柔</cp:lastModifiedBy>
  <cp:lastPrinted>2021-09-26T08:39:00Z</cp:lastPrinted>
  <dcterms:modified xsi:type="dcterms:W3CDTF">2026-10-15T07:19:54Z</dcterms:modified>
  <dc:title>四川省决算编制说明</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FC8B05F2A0E1465CB710D31D3D8561A6_13</vt:lpwstr>
  </property>
  <property fmtid="{D5CDD505-2E9C-101B-9397-08002B2CF9AE}" pid="4" name="KSOTemplateDocerSaveRecord">
    <vt:lpwstr>eyJoZGlkIjoiYTZlYTVjODcyNTU1MzBiMDcyYjhmOGIxMTczZjVhMTEiLCJ1c2VySWQiOiI0NDgzMTg1MTIifQ==</vt:lpwstr>
  </property>
</Properties>
</file>