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ascii="Times New Roman" w:hAnsi="Times New Roman" w:eastAsia="方正小标宋简体" w:cs="Times New Roman"/>
          <w:color w:val="auto"/>
          <w:kern w:val="2"/>
          <w:sz w:val="44"/>
          <w:szCs w:val="44"/>
          <w:highlight w:val="none"/>
          <w:lang w:val="en-US" w:eastAsia="zh-CN" w:bidi="ar-SA"/>
        </w:rPr>
      </w:pPr>
      <w:bookmarkStart w:id="0" w:name="_Toc15396475"/>
      <w:bookmarkStart w:id="1" w:name="_Toc15377425"/>
      <w:bookmarkStart w:id="2" w:name="_Toc15396597"/>
      <w:bookmarkStart w:id="3" w:name="_Toc15377193"/>
      <w:bookmarkStart w:id="4" w:name="_Toc15378441"/>
      <w:bookmarkStart w:id="5" w:name="_Toc15306267"/>
    </w:p>
    <w:p>
      <w:pPr>
        <w:pStyle w:val="2"/>
        <w:jc w:val="center"/>
        <w:rPr>
          <w:rFonts w:hint="eastAsia" w:ascii="Times New Roman" w:hAnsi="Times New Roman" w:eastAsia="方正小标宋简体" w:cs="Times New Roman"/>
          <w:color w:val="auto"/>
          <w:kern w:val="2"/>
          <w:sz w:val="44"/>
          <w:szCs w:val="44"/>
          <w:highlight w:val="none"/>
          <w:lang w:val="en-US" w:eastAsia="zh-CN" w:bidi="ar-SA"/>
        </w:rPr>
      </w:pPr>
    </w:p>
    <w:p>
      <w:pPr>
        <w:pStyle w:val="2"/>
        <w:jc w:val="center"/>
        <w:rPr>
          <w:rFonts w:hint="eastAsia" w:ascii="Times New Roman" w:hAnsi="Times New Roman" w:eastAsia="方正小标宋简体" w:cs="Times New Roman"/>
          <w:color w:val="auto"/>
          <w:kern w:val="2"/>
          <w:sz w:val="44"/>
          <w:szCs w:val="44"/>
          <w:highlight w:val="none"/>
          <w:lang w:val="en-US" w:eastAsia="zh-CN" w:bidi="ar-SA"/>
        </w:rPr>
      </w:pPr>
    </w:p>
    <w:bookmarkEnd w:id="0"/>
    <w:bookmarkEnd w:id="1"/>
    <w:bookmarkEnd w:id="2"/>
    <w:bookmarkEnd w:id="3"/>
    <w:bookmarkEnd w:id="4"/>
    <w:p>
      <w:pPr>
        <w:pStyle w:val="2"/>
        <w:jc w:val="center"/>
        <w:rPr>
          <w:rFonts w:hint="eastAsia" w:ascii="Times New Roman" w:eastAsia="方正小标宋简体" w:cs="Times New Roman"/>
          <w:color w:val="auto"/>
          <w:kern w:val="2"/>
          <w:sz w:val="44"/>
          <w:szCs w:val="44"/>
          <w:highlight w:val="none"/>
          <w:lang w:val="en-US" w:eastAsia="zh-CN" w:bidi="ar-SA"/>
        </w:rPr>
      </w:pPr>
      <w:bookmarkStart w:id="6" w:name="_Toc15378442"/>
      <w:bookmarkStart w:id="7" w:name="_Toc15377426"/>
      <w:bookmarkStart w:id="8" w:name="_Toc15377194"/>
      <w:bookmarkStart w:id="9" w:name="_Toc15396598"/>
      <w:bookmarkStart w:id="10" w:name="_Toc15396476"/>
      <w:r>
        <w:rPr>
          <w:rFonts w:hint="eastAsia" w:ascii="Times New Roman" w:hAnsi="Times New Roman" w:eastAsia="方正小标宋简体" w:cs="Times New Roman"/>
          <w:color w:val="auto"/>
          <w:kern w:val="2"/>
          <w:sz w:val="44"/>
          <w:szCs w:val="44"/>
          <w:highlight w:val="none"/>
          <w:lang w:val="en-US" w:eastAsia="zh-CN" w:bidi="ar-SA"/>
        </w:rPr>
        <w:t>202</w:t>
      </w:r>
      <w:r>
        <w:rPr>
          <w:rFonts w:hint="eastAsia" w:ascii="Times New Roman" w:eastAsia="方正小标宋简体" w:cs="Times New Roman"/>
          <w:color w:val="auto"/>
          <w:kern w:val="2"/>
          <w:sz w:val="44"/>
          <w:szCs w:val="44"/>
          <w:highlight w:val="none"/>
          <w:lang w:val="en-US" w:eastAsia="zh-CN" w:bidi="ar-SA"/>
        </w:rPr>
        <w:t>5</w:t>
      </w:r>
      <w:r>
        <w:rPr>
          <w:rFonts w:hint="eastAsia" w:ascii="Times New Roman" w:hAnsi="Times New Roman" w:eastAsia="方正小标宋简体" w:cs="Times New Roman"/>
          <w:color w:val="auto"/>
          <w:kern w:val="2"/>
          <w:sz w:val="44"/>
          <w:szCs w:val="44"/>
          <w:highlight w:val="none"/>
          <w:lang w:val="en-US" w:eastAsia="zh-CN" w:bidi="ar-SA"/>
        </w:rPr>
        <w:t>年度四川省</w:t>
      </w:r>
      <w:bookmarkEnd w:id="5"/>
      <w:bookmarkStart w:id="11" w:name="_Toc15306268"/>
      <w:r>
        <w:rPr>
          <w:rFonts w:hint="eastAsia" w:ascii="Times New Roman" w:eastAsia="方正小标宋简体" w:cs="Times New Roman"/>
          <w:color w:val="auto"/>
          <w:kern w:val="2"/>
          <w:sz w:val="44"/>
          <w:szCs w:val="44"/>
          <w:highlight w:val="none"/>
          <w:lang w:val="en-US" w:eastAsia="zh-CN" w:bidi="ar-SA"/>
        </w:rPr>
        <w:t>红原县瓦切镇小学</w:t>
      </w:r>
    </w:p>
    <w:p>
      <w:pPr>
        <w:pStyle w:val="2"/>
        <w:jc w:val="center"/>
        <w:rPr>
          <w:rFonts w:hint="eastAsia" w:ascii="Times New Roman" w:hAnsi="Times New Roman" w:eastAsia="方正小标宋简体" w:cs="Times New Roman"/>
          <w:color w:val="auto"/>
          <w:kern w:val="2"/>
          <w:sz w:val="44"/>
          <w:szCs w:val="44"/>
          <w:highlight w:val="none"/>
          <w:lang w:val="en-US" w:eastAsia="zh-CN" w:bidi="ar-SA"/>
        </w:rPr>
      </w:pPr>
      <w:r>
        <w:rPr>
          <w:rFonts w:hint="eastAsia" w:ascii="Times New Roman" w:hAnsi="Times New Roman" w:eastAsia="方正小标宋简体" w:cs="Times New Roman"/>
          <w:color w:val="auto"/>
          <w:kern w:val="2"/>
          <w:sz w:val="44"/>
          <w:szCs w:val="44"/>
          <w:highlight w:val="none"/>
          <w:lang w:val="en-US" w:eastAsia="zh-CN" w:bidi="ar-SA"/>
        </w:rPr>
        <w:t>部门决算</w:t>
      </w:r>
      <w:bookmarkEnd w:id="6"/>
      <w:bookmarkEnd w:id="7"/>
      <w:bookmarkEnd w:id="8"/>
      <w:bookmarkEnd w:id="9"/>
      <w:bookmarkEnd w:id="10"/>
      <w:bookmarkEnd w:id="11"/>
    </w:p>
    <w:p>
      <w:pPr>
        <w:widowControl/>
        <w:jc w:val="center"/>
        <w:rPr>
          <w:rFonts w:ascii="Times New Roman" w:hAnsi="Times New Roman" w:eastAsia="方正小标宋简体"/>
          <w:color w:val="auto"/>
          <w:sz w:val="36"/>
          <w:szCs w:val="36"/>
          <w:highlight w:val="none"/>
        </w:rPr>
      </w:pPr>
    </w:p>
    <w:p>
      <w:pPr>
        <w:bidi w:val="0"/>
        <w:rPr>
          <w:rFonts w:ascii="Times New Roman" w:hAnsi="Times New Roman" w:eastAsia="方正小标宋简体"/>
          <w:color w:val="auto"/>
          <w:sz w:val="36"/>
          <w:szCs w:val="36"/>
          <w:highlight w:val="none"/>
        </w:rPr>
      </w:pPr>
    </w:p>
    <w:p>
      <w:pPr>
        <w:bidi w:val="0"/>
        <w:rPr>
          <w:rFonts w:ascii="Times New Roman" w:hAnsi="Times New Roman" w:eastAsia="方正小标宋简体"/>
          <w:color w:val="auto"/>
          <w:sz w:val="36"/>
          <w:szCs w:val="36"/>
          <w:highlight w:val="none"/>
        </w:rPr>
      </w:pPr>
    </w:p>
    <w:p>
      <w:pPr>
        <w:bidi w:val="0"/>
        <w:rPr>
          <w:rFonts w:ascii="Times New Roman" w:hAnsi="Times New Roman" w:eastAsia="方正小标宋简体"/>
          <w:color w:val="auto"/>
          <w:sz w:val="36"/>
          <w:szCs w:val="36"/>
          <w:highlight w:val="none"/>
        </w:rPr>
      </w:pPr>
    </w:p>
    <w:p>
      <w:pPr>
        <w:bidi w:val="0"/>
        <w:rPr>
          <w:rFonts w:ascii="Times New Roman" w:hAnsi="Times New Roman" w:eastAsia="方正小标宋简体"/>
          <w:color w:val="auto"/>
          <w:sz w:val="36"/>
          <w:szCs w:val="36"/>
          <w:highlight w:val="none"/>
        </w:rPr>
      </w:pPr>
    </w:p>
    <w:p>
      <w:pPr>
        <w:bidi w:val="0"/>
        <w:rPr>
          <w:rFonts w:ascii="Times New Roman" w:hAnsi="Times New Roman" w:eastAsia="方正小标宋简体"/>
          <w:color w:val="auto"/>
          <w:sz w:val="36"/>
          <w:szCs w:val="36"/>
          <w:highlight w:val="none"/>
        </w:rPr>
      </w:pPr>
    </w:p>
    <w:p>
      <w:pPr>
        <w:bidi w:val="0"/>
        <w:rPr>
          <w:rFonts w:ascii="Times New Roman" w:hAnsi="Times New Roman" w:eastAsia="方正小标宋简体"/>
          <w:color w:val="auto"/>
          <w:sz w:val="36"/>
          <w:szCs w:val="36"/>
          <w:highlight w:val="none"/>
        </w:rPr>
      </w:pPr>
    </w:p>
    <w:p>
      <w:pPr>
        <w:bidi w:val="0"/>
        <w:rPr>
          <w:rFonts w:ascii="Times New Roman" w:hAnsi="Times New Roman" w:eastAsia="方正小标宋简体"/>
          <w:color w:val="auto"/>
          <w:sz w:val="36"/>
          <w:szCs w:val="36"/>
          <w:highlight w:val="none"/>
        </w:rPr>
      </w:pPr>
    </w:p>
    <w:p>
      <w:pPr>
        <w:bidi w:val="0"/>
        <w:rPr>
          <w:rFonts w:ascii="Times New Roman" w:hAnsi="Times New Roman" w:eastAsia="方正小标宋简体"/>
          <w:color w:val="auto"/>
          <w:sz w:val="36"/>
          <w:szCs w:val="36"/>
          <w:highlight w:val="none"/>
        </w:rPr>
      </w:pPr>
    </w:p>
    <w:p>
      <w:pPr>
        <w:bidi w:val="0"/>
        <w:rPr>
          <w:rFonts w:ascii="Times New Roman" w:hAnsi="Times New Roman" w:eastAsia="方正小标宋简体"/>
          <w:color w:val="auto"/>
          <w:sz w:val="36"/>
          <w:szCs w:val="36"/>
          <w:highlight w:val="none"/>
        </w:rPr>
      </w:pPr>
    </w:p>
    <w:p>
      <w:pPr>
        <w:autoSpaceDE w:val="0"/>
        <w:autoSpaceDN w:val="0"/>
        <w:adjustRightInd w:val="0"/>
        <w:ind w:firstLine="640" w:firstLineChars="200"/>
        <w:jc w:val="left"/>
        <w:rPr>
          <w:rFonts w:ascii="宋体" w:hAnsi="宋体"/>
          <w:sz w:val="32"/>
          <w:szCs w:val="32"/>
        </w:rPr>
      </w:pPr>
      <w:r>
        <w:rPr>
          <w:rFonts w:hint="eastAsia" w:ascii="宋体" w:hAnsi="宋体" w:cs="仿宋_GB2312"/>
          <w:sz w:val="32"/>
          <w:szCs w:val="32"/>
        </w:rPr>
        <w:t>保密审查情况：已审查，内容审定</w:t>
      </w:r>
    </w:p>
    <w:p>
      <w:pPr>
        <w:autoSpaceDE w:val="0"/>
        <w:autoSpaceDN w:val="0"/>
        <w:adjustRightInd w:val="0"/>
        <w:ind w:left="420" w:leftChars="200"/>
        <w:jc w:val="left"/>
        <w:rPr>
          <w:rFonts w:ascii="宋体" w:hAnsi="宋体"/>
          <w:sz w:val="32"/>
          <w:szCs w:val="32"/>
        </w:rPr>
      </w:pPr>
      <w:r>
        <w:rPr>
          <w:rFonts w:hint="eastAsia" w:ascii="宋体" w:hAnsi="宋体" w:cs="仿宋_GB2312"/>
          <w:sz w:val="32"/>
          <w:szCs w:val="32"/>
        </w:rPr>
        <w:t>部门主要负责人审签情况：已审签，同意对外公开</w:t>
      </w:r>
    </w:p>
    <w:p>
      <w:pPr>
        <w:bidi w:val="0"/>
        <w:jc w:val="center"/>
        <w:rPr>
          <w:rFonts w:ascii="Times New Roman" w:hAnsi="Times New Roman" w:eastAsia="黑体"/>
          <w:color w:val="auto"/>
          <w:sz w:val="48"/>
          <w:szCs w:val="48"/>
          <w:highlight w:val="none"/>
        </w:rPr>
      </w:pPr>
      <w:r>
        <w:rPr>
          <w:rFonts w:ascii="Times New Roman" w:hAnsi="Times New Roman" w:eastAsia="方正小标宋简体"/>
          <w:color w:val="auto"/>
          <w:sz w:val="36"/>
          <w:szCs w:val="36"/>
          <w:highlight w:val="none"/>
        </w:rPr>
        <w:br w:type="page"/>
      </w:r>
      <w:r>
        <w:rPr>
          <w:rFonts w:hint="eastAsia" w:ascii="Times New Roman" w:hAnsi="Times New Roman" w:eastAsia="黑体"/>
          <w:color w:val="auto"/>
          <w:sz w:val="48"/>
          <w:szCs w:val="48"/>
          <w:highlight w:val="none"/>
        </w:rPr>
        <w:t>目录</w:t>
      </w:r>
    </w:p>
    <w:p>
      <w:pPr>
        <w:widowControl/>
        <w:jc w:val="center"/>
        <w:rPr>
          <w:rFonts w:ascii="Times New Roman" w:hAnsi="Times New Roman" w:eastAsia="黑体" w:cstheme="minorBidi"/>
          <w:color w:val="auto"/>
          <w:sz w:val="28"/>
          <w:szCs w:val="28"/>
          <w:highlight w:val="none"/>
        </w:rPr>
      </w:pPr>
    </w:p>
    <w:p>
      <w:pPr>
        <w:pStyle w:val="12"/>
        <w:jc w:val="center"/>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25</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10</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20</w:t>
      </w:r>
      <w:r>
        <w:rPr>
          <w:rFonts w:hint="eastAsia" w:ascii="Times New Roman" w:hAnsi="Times New Roman" w:eastAsia="仿宋_GB2312" w:cs="仿宋_GB2312"/>
          <w:color w:val="auto"/>
          <w:sz w:val="32"/>
          <w:szCs w:val="32"/>
          <w:highlight w:val="none"/>
        </w:rPr>
        <w:t>日</w:t>
      </w:r>
    </w:p>
    <w:p>
      <w:pPr>
        <w:rPr>
          <w:rFonts w:ascii="Times New Roman" w:hAnsi="Times New Roman"/>
          <w:color w:val="auto"/>
          <w:highlight w:val="none"/>
        </w:rPr>
      </w:pP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第一部分 部门概况</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w:t>
      </w:r>
      <w:r>
        <w:rPr>
          <w:rFonts w:hint="eastAsia" w:ascii="Times New Roman" w:hAnsi="Times New Roman" w:eastAsia="仿宋_GB2312" w:cs="仿宋_GB2312"/>
          <w:color w:val="auto"/>
          <w:sz w:val="32"/>
          <w:szCs w:val="32"/>
          <w:highlight w:val="none"/>
          <w:lang w:eastAsia="zh-CN"/>
        </w:rPr>
        <w:t>部门职责</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二、机构设置</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第二部分</w:t>
      </w:r>
      <w:r>
        <w:rPr>
          <w:rFonts w:hint="eastAsia" w:ascii="Times New Roman" w:hAnsi="Times New Roman" w:eastAsia="黑体" w:cs="黑体"/>
          <w:color w:val="auto"/>
          <w:sz w:val="32"/>
          <w:szCs w:val="32"/>
          <w:highlight w:val="none"/>
          <w:lang w:val="en-US" w:eastAsia="zh-CN"/>
        </w:rPr>
        <w:t xml:space="preserve"> 2025年度</w:t>
      </w:r>
      <w:r>
        <w:rPr>
          <w:rFonts w:hint="eastAsia" w:ascii="Times New Roman" w:hAnsi="Times New Roman" w:eastAsia="黑体" w:cs="黑体"/>
          <w:color w:val="auto"/>
          <w:sz w:val="32"/>
          <w:szCs w:val="32"/>
          <w:highlight w:val="none"/>
        </w:rPr>
        <w:t>部门决算情况说明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一、收入支出决算总体情况说明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四、财政拨款收入支出决算总体情况说明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五、一般公共预算财政拨款支出决算情况说明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六、一般公共预算财政拨款基本支出决算情况说明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七、财政拨款</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color w:val="auto"/>
          <w:sz w:val="32"/>
          <w:szCs w:val="32"/>
          <w:highlight w:val="none"/>
        </w:rPr>
        <w:t>三公”经费支出决算情况说明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八、政府性基金预算支出决算情况说明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w:t>
      </w:r>
      <w:r>
        <w:rPr>
          <w:rFonts w:hint="eastAsia" w:ascii="Times New Roman" w:hAnsi="Times New Roman" w:eastAsia="仿宋_GB2312" w:cs="仿宋_GB2312"/>
          <w:color w:val="auto"/>
          <w:sz w:val="32"/>
          <w:szCs w:val="32"/>
          <w:highlight w:val="none"/>
          <w:lang w:eastAsia="zh-CN"/>
        </w:rPr>
        <w:t>国</w:t>
      </w:r>
      <w:r>
        <w:rPr>
          <w:rFonts w:hint="eastAsia" w:ascii="Times New Roman" w:hAnsi="Times New Roman" w:eastAsia="仿宋_GB2312" w:cs="仿宋_GB2312"/>
          <w:color w:val="auto"/>
          <w:sz w:val="32"/>
          <w:szCs w:val="32"/>
          <w:highlight w:val="none"/>
        </w:rPr>
        <w:t>有资本经营预算支出决算情况说明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eastAsia="zh-CN"/>
        </w:rPr>
        <w:t>十</w:t>
      </w:r>
      <w:r>
        <w:rPr>
          <w:rFonts w:hint="eastAsia" w:ascii="Times New Roman" w:hAnsi="Times New Roman" w:eastAsia="仿宋_GB2312" w:cs="仿宋_GB2312"/>
          <w:color w:val="auto"/>
          <w:sz w:val="32"/>
          <w:szCs w:val="32"/>
          <w:highlight w:val="none"/>
        </w:rPr>
        <w:t>、其他重要事项的情况说明</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第三部分 名词解释</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第四部分 附件</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第五部分 附表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五、财政拨款支出决算明细表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七、一般公共预算财政拨款支出决算明细表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八、一般公共预算财政拨款基本支出决算</w:t>
      </w:r>
      <w:r>
        <w:rPr>
          <w:rFonts w:hint="eastAsia" w:ascii="Times New Roman" w:hAnsi="Times New Roman" w:eastAsia="仿宋_GB2312" w:cs="仿宋_GB2312"/>
          <w:color w:val="auto"/>
          <w:sz w:val="32"/>
          <w:szCs w:val="32"/>
          <w:highlight w:val="none"/>
          <w:lang w:eastAsia="zh-CN"/>
        </w:rPr>
        <w:t>明细</w:t>
      </w:r>
      <w:r>
        <w:rPr>
          <w:rFonts w:hint="eastAsia" w:ascii="Times New Roman" w:hAnsi="Times New Roman" w:eastAsia="仿宋_GB2312" w:cs="仿宋_GB2312"/>
          <w:color w:val="auto"/>
          <w:sz w:val="32"/>
          <w:szCs w:val="32"/>
          <w:highlight w:val="none"/>
        </w:rPr>
        <w:t>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九、一般公共预算财政拨款项目支出决算表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十、政府性基金预算财政拨款收入支出决算表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十一、国有资本经营预算财政拨款收入支出决算表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十二、</w:t>
      </w:r>
      <w:r>
        <w:rPr>
          <w:rFonts w:hint="eastAsia" w:ascii="Times New Roman" w:hAnsi="Times New Roman" w:eastAsia="仿宋_GB2312" w:cs="仿宋_GB2312"/>
          <w:color w:val="auto"/>
          <w:sz w:val="32"/>
          <w:szCs w:val="32"/>
          <w:highlight w:val="none"/>
          <w:lang w:val="en-US" w:eastAsia="zh-CN"/>
        </w:rPr>
        <w:t>国有资本经营预算财政拨款支出决算表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十三、财政拨款“三公”经费支出决算表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3" w:firstLineChars="200"/>
        <w:jc w:val="left"/>
        <w:textAlignment w:val="auto"/>
        <w:rPr>
          <w:rFonts w:hint="eastAsia" w:ascii="Times New Roman" w:hAnsi="Times New Roman" w:eastAsia="仿宋_GB2312" w:cs="仿宋_GB2312"/>
          <w:b/>
          <w:bCs/>
          <w:color w:val="auto"/>
          <w:sz w:val="32"/>
          <w:szCs w:val="32"/>
          <w:highlight w:val="none"/>
          <w:lang w:eastAsia="zh-CN"/>
        </w:rPr>
      </w:pPr>
      <w:r>
        <w:rPr>
          <w:rFonts w:hint="eastAsia" w:ascii="Times New Roman" w:hAnsi="Times New Roman" w:eastAsia="仿宋_GB2312" w:cs="仿宋_GB2312"/>
          <w:b/>
          <w:bCs/>
          <w:color w:val="auto"/>
          <w:sz w:val="32"/>
          <w:szCs w:val="32"/>
          <w:highlight w:val="none"/>
          <w:lang w:eastAsia="zh-CN"/>
        </w:rPr>
        <w:t>（</w:t>
      </w:r>
      <w:r>
        <w:rPr>
          <w:rFonts w:hint="eastAsia" w:ascii="Times New Roman" w:hAnsi="Times New Roman" w:eastAsia="仿宋_GB2312" w:cs="仿宋_GB2312"/>
          <w:b/>
          <w:bCs/>
          <w:color w:val="auto"/>
          <w:sz w:val="32"/>
          <w:szCs w:val="32"/>
          <w:highlight w:val="none"/>
        </w:rPr>
        <w:t>注：请部门根据实际注明页码</w:t>
      </w:r>
      <w:r>
        <w:rPr>
          <w:rFonts w:hint="eastAsia" w:ascii="Times New Roman" w:hAnsi="Times New Roman" w:eastAsia="仿宋_GB2312" w:cs="仿宋_GB2312"/>
          <w:b/>
          <w:bCs/>
          <w:color w:val="auto"/>
          <w:sz w:val="32"/>
          <w:szCs w:val="32"/>
          <w:highlight w:val="none"/>
          <w:lang w:eastAsia="zh-CN"/>
        </w:rPr>
        <w:t>）</w:t>
      </w:r>
    </w:p>
    <w:p>
      <w:pPr>
        <w:keepNext w:val="0"/>
        <w:keepLines w:val="0"/>
        <w:pageBreakBefore w:val="0"/>
        <w:widowControl/>
        <w:kinsoku/>
        <w:wordWrap/>
        <w:overflowPunct/>
        <w:topLinePunct w:val="0"/>
        <w:autoSpaceDE/>
        <w:autoSpaceDN/>
        <w:bidi w:val="0"/>
        <w:spacing w:line="560" w:lineRule="exact"/>
        <w:jc w:val="left"/>
        <w:textAlignment w:val="auto"/>
        <w:rPr>
          <w:rFonts w:hint="eastAsia" w:ascii="Times New Roman" w:hAnsi="Times New Roman" w:eastAsia="仿宋_GB2312" w:cs="仿宋_GB2312"/>
          <w:bCs/>
          <w:color w:val="auto"/>
          <w:kern w:val="44"/>
          <w:sz w:val="32"/>
          <w:szCs w:val="32"/>
          <w:highlight w:val="none"/>
        </w:rPr>
      </w:pPr>
      <w:bookmarkStart w:id="12" w:name="_Toc15396599"/>
      <w:bookmarkStart w:id="13" w:name="_Toc15377196"/>
      <w:r>
        <w:rPr>
          <w:rFonts w:hint="eastAsia" w:ascii="Times New Roman" w:hAnsi="Times New Roman" w:eastAsia="仿宋_GB2312" w:cs="仿宋_GB2312"/>
          <w:b/>
          <w:color w:val="auto"/>
          <w:sz w:val="32"/>
          <w:szCs w:val="32"/>
          <w:highlight w:val="none"/>
        </w:rPr>
        <w:br w:type="page"/>
      </w:r>
    </w:p>
    <w:p>
      <w:pPr>
        <w:pStyle w:val="3"/>
        <w:jc w:val="center"/>
        <w:rPr>
          <w:rStyle w:val="28"/>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28"/>
          <w:rFonts w:hint="eastAsia" w:ascii="Times New Roman" w:hAnsi="Times New Roman" w:eastAsia="方正小标宋简体" w:cs="方正小标宋简体"/>
          <w:b w:val="0"/>
          <w:bCs w:val="0"/>
          <w:color w:val="auto"/>
          <w:highlight w:val="none"/>
        </w:rPr>
        <w:t>部门概况</w:t>
      </w:r>
      <w:bookmarkEnd w:id="12"/>
      <w:bookmarkEnd w:id="13"/>
    </w:p>
    <w:p>
      <w:pPr>
        <w:widowControl/>
        <w:jc w:val="left"/>
        <w:rPr>
          <w:rFonts w:ascii="Times New Roman" w:hAnsi="Times New Roman" w:eastAsia="黑体"/>
          <w:color w:val="auto"/>
          <w:sz w:val="32"/>
          <w:szCs w:val="32"/>
          <w:highlight w:val="none"/>
        </w:rPr>
      </w:pPr>
    </w:p>
    <w:p>
      <w:pPr>
        <w:pStyle w:val="4"/>
        <w:numPr>
          <w:ilvl w:val="0"/>
          <w:numId w:val="1"/>
        </w:numPr>
        <w:rPr>
          <w:rFonts w:hint="eastAsia" w:ascii="Times New Roman" w:hAnsi="Times New Roman" w:eastAsia="黑体"/>
          <w:b w:val="0"/>
          <w:color w:val="auto"/>
          <w:highlight w:val="none"/>
          <w:lang w:eastAsia="zh-CN"/>
        </w:rPr>
      </w:pPr>
      <w:r>
        <w:rPr>
          <w:rFonts w:hint="eastAsia" w:ascii="Times New Roman" w:hAnsi="Times New Roman" w:eastAsia="黑体"/>
          <w:b w:val="0"/>
          <w:color w:val="auto"/>
          <w:highlight w:val="none"/>
          <w:lang w:eastAsia="zh-CN"/>
        </w:rPr>
        <w:t>部门职责</w:t>
      </w:r>
    </w:p>
    <w:p>
      <w:pPr>
        <w:pStyle w:val="2"/>
        <w:pageBreakBefore w:val="0"/>
        <w:kinsoku/>
        <w:wordWrap/>
        <w:overflowPunct/>
        <w:topLinePunct w:val="0"/>
        <w:bidi w:val="0"/>
        <w:adjustRightInd w:val="0"/>
        <w:snapToGrid w:val="0"/>
        <w:spacing w:before="0" w:beforeLines="0" w:line="560" w:lineRule="exact"/>
        <w:ind w:firstLine="640" w:firstLineChars="200"/>
        <w:textAlignment w:val="auto"/>
        <w:rPr>
          <w:bCs/>
          <w:color w:val="000000"/>
          <w:sz w:val="32"/>
          <w:szCs w:val="32"/>
        </w:rPr>
      </w:pPr>
      <w:r>
        <w:rPr>
          <w:rFonts w:hint="eastAsia"/>
          <w:bCs/>
          <w:color w:val="000000"/>
          <w:sz w:val="32"/>
          <w:szCs w:val="32"/>
        </w:rPr>
        <w:t>认真贯彻执行党的路线、方针和政策，坚持教书育人，服务育人，环境育人方针，实施小学义务教育，促进基础教育发展，培养学生高尚的思想道德情操，丰富的科学文化知识，良好的身体素质，促进学生全面发展，业务范围是从事小学教育。</w:t>
      </w:r>
    </w:p>
    <w:p>
      <w:pPr>
        <w:ind w:firstLine="800" w:firstLineChars="250"/>
        <w:rPr>
          <w:rFonts w:hint="eastAsia" w:ascii="仿宋_GB2312" w:hAnsi="仿宋_GB2312" w:eastAsia="仿宋_GB2312" w:cs="仿宋_GB2312"/>
          <w:color w:val="auto"/>
          <w:sz w:val="32"/>
          <w:szCs w:val="32"/>
          <w:highlight w:val="none"/>
          <w:lang w:eastAsia="zh-CN"/>
        </w:rPr>
      </w:pPr>
    </w:p>
    <w:p>
      <w:pPr>
        <w:pStyle w:val="4"/>
        <w:rPr>
          <w:rStyle w:val="29"/>
          <w:rFonts w:ascii="Times New Roman" w:hAnsi="Times New Roman"/>
          <w:b w:val="0"/>
          <w:bCs w:val="0"/>
          <w:color w:val="auto"/>
          <w:highlight w:val="none"/>
        </w:rPr>
      </w:pPr>
      <w:bookmarkStart w:id="14" w:name="_Toc15377200"/>
      <w:bookmarkStart w:id="15" w:name="_Toc15396601"/>
      <w:r>
        <w:rPr>
          <w:rFonts w:hint="eastAsia" w:ascii="Times New Roman" w:hAnsi="Times New Roman" w:eastAsia="黑体"/>
          <w:b w:val="0"/>
          <w:color w:val="auto"/>
          <w:highlight w:val="none"/>
        </w:rPr>
        <w:t>二、机</w:t>
      </w:r>
      <w:r>
        <w:rPr>
          <w:rStyle w:val="29"/>
          <w:rFonts w:hint="eastAsia" w:ascii="Times New Roman" w:hAnsi="Times New Roman" w:eastAsia="黑体"/>
          <w:b w:val="0"/>
          <w:bCs w:val="0"/>
          <w:color w:val="auto"/>
          <w:highlight w:val="none"/>
        </w:rPr>
        <w:t>构设置</w:t>
      </w:r>
      <w:bookmarkEnd w:id="14"/>
      <w:bookmarkEnd w:id="15"/>
    </w:p>
    <w:p>
      <w:pPr>
        <w:ind w:firstLine="800" w:firstLineChars="250"/>
        <w:rPr>
          <w:rFonts w:hint="eastAsia" w:ascii="Times New Roman" w:hAnsi="Times New Roman"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我校属红原县教育局下属的二级单位，为独立核算财政全额拨款事业单位，执行的是政府会计制度，截止20</w:t>
      </w:r>
      <w:r>
        <w:rPr>
          <w:rFonts w:hint="eastAsia" w:ascii="仿宋_GB2312" w:hAnsi="仿宋_GB2312" w:eastAsia="仿宋_GB2312" w:cs="仿宋_GB2312"/>
          <w:color w:val="auto"/>
          <w:sz w:val="32"/>
          <w:szCs w:val="32"/>
          <w:highlight w:val="none"/>
          <w:lang w:val="en-US"/>
        </w:rPr>
        <w:t>2</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年末，我校编制人数</w:t>
      </w:r>
      <w:r>
        <w:rPr>
          <w:rFonts w:hint="eastAsia" w:ascii="仿宋_GB2312" w:hAnsi="仿宋_GB2312" w:eastAsia="仿宋_GB2312" w:cs="仿宋_GB2312"/>
          <w:color w:val="auto"/>
          <w:sz w:val="32"/>
          <w:szCs w:val="32"/>
          <w:highlight w:val="none"/>
          <w:lang w:val="en-US" w:eastAsia="zh-CN"/>
        </w:rPr>
        <w:t>91</w:t>
      </w:r>
      <w:r>
        <w:rPr>
          <w:rFonts w:hint="eastAsia" w:ascii="仿宋_GB2312" w:hAnsi="仿宋_GB2312" w:eastAsia="仿宋_GB2312" w:cs="仿宋_GB2312"/>
          <w:color w:val="auto"/>
          <w:sz w:val="32"/>
          <w:szCs w:val="32"/>
          <w:highlight w:val="none"/>
        </w:rPr>
        <w:t>人，在职教</w:t>
      </w:r>
      <w:r>
        <w:rPr>
          <w:rFonts w:hint="eastAsia" w:ascii="仿宋_GB2312" w:hAnsi="仿宋_GB2312" w:eastAsia="仿宋_GB2312" w:cs="仿宋_GB2312"/>
          <w:color w:val="auto"/>
          <w:sz w:val="32"/>
          <w:szCs w:val="32"/>
          <w:highlight w:val="none"/>
          <w:lang w:val="en-US" w:eastAsia="zh-CN"/>
        </w:rPr>
        <w:t>职工89</w:t>
      </w:r>
      <w:r>
        <w:rPr>
          <w:rFonts w:hint="eastAsia" w:ascii="仿宋_GB2312" w:hAnsi="仿宋_GB2312" w:eastAsia="仿宋_GB2312" w:cs="仿宋_GB2312"/>
          <w:color w:val="auto"/>
          <w:sz w:val="32"/>
          <w:szCs w:val="32"/>
          <w:highlight w:val="none"/>
        </w:rPr>
        <w:t>人，退休教师</w:t>
      </w:r>
      <w:r>
        <w:rPr>
          <w:rFonts w:hint="eastAsia" w:ascii="仿宋_GB2312" w:hAnsi="仿宋_GB2312" w:eastAsia="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人，财政供养人员共计</w:t>
      </w:r>
      <w:r>
        <w:rPr>
          <w:rFonts w:hint="eastAsia" w:ascii="仿宋_GB2312" w:hAnsi="仿宋_GB2312" w:eastAsia="仿宋_GB2312" w:cs="仿宋_GB2312"/>
          <w:color w:val="auto"/>
          <w:sz w:val="32"/>
          <w:szCs w:val="32"/>
          <w:highlight w:val="none"/>
          <w:lang w:val="en-US" w:eastAsia="zh-CN"/>
        </w:rPr>
        <w:t>89</w:t>
      </w:r>
      <w:r>
        <w:rPr>
          <w:rFonts w:hint="eastAsia" w:ascii="仿宋_GB2312" w:hAnsi="仿宋_GB2312" w:eastAsia="仿宋_GB2312" w:cs="仿宋_GB2312"/>
          <w:color w:val="auto"/>
          <w:sz w:val="32"/>
          <w:szCs w:val="32"/>
          <w:highlight w:val="none"/>
        </w:rPr>
        <w:t>人。红原县瓦切镇小学</w:t>
      </w:r>
      <w:r>
        <w:rPr>
          <w:rFonts w:hint="eastAsia" w:ascii="Times New Roman" w:hAnsi="Times New Roman" w:eastAsia="仿宋_GB2312" w:cs="仿宋_GB2312"/>
          <w:color w:val="auto"/>
          <w:sz w:val="32"/>
          <w:szCs w:val="32"/>
          <w:highlight w:val="none"/>
        </w:rPr>
        <w:t>下属二级</w:t>
      </w:r>
      <w:r>
        <w:rPr>
          <w:rFonts w:hint="eastAsia" w:ascii="Times New Roman" w:hAnsi="Times New Roman" w:eastAsia="仿宋_GB2312" w:cs="仿宋_GB2312"/>
          <w:color w:val="auto"/>
          <w:sz w:val="32"/>
          <w:szCs w:val="32"/>
          <w:highlight w:val="none"/>
          <w:lang w:eastAsia="zh-CN"/>
        </w:rPr>
        <w:t>预算</w:t>
      </w:r>
      <w:r>
        <w:rPr>
          <w:rFonts w:hint="eastAsia" w:ascii="Times New Roman" w:hAnsi="Times New Roman" w:eastAsia="仿宋_GB2312" w:cs="仿宋_GB2312"/>
          <w:color w:val="auto"/>
          <w:sz w:val="32"/>
          <w:szCs w:val="32"/>
          <w:highlight w:val="none"/>
        </w:rPr>
        <w:t>单位</w:t>
      </w:r>
      <w:r>
        <w:rPr>
          <w:rFonts w:hint="eastAsia" w:eastAsia="仿宋_GB2312" w:cs="仿宋_GB2312"/>
          <w:color w:val="auto"/>
          <w:sz w:val="32"/>
          <w:szCs w:val="32"/>
          <w:highlight w:val="none"/>
          <w:lang w:val="en-US" w:eastAsia="zh-CN"/>
        </w:rPr>
        <w:t>0</w:t>
      </w:r>
      <w:r>
        <w:rPr>
          <w:rFonts w:hint="eastAsia" w:ascii="Times New Roman" w:hAnsi="Times New Roman" w:eastAsia="仿宋_GB2312" w:cs="仿宋_GB2312"/>
          <w:color w:val="auto"/>
          <w:sz w:val="32"/>
          <w:szCs w:val="32"/>
          <w:highlight w:val="none"/>
        </w:rPr>
        <w:t>个，其中行政单位</w:t>
      </w:r>
      <w:r>
        <w:rPr>
          <w:rFonts w:hint="eastAsia" w:eastAsia="仿宋_GB2312" w:cs="仿宋_GB2312"/>
          <w:color w:val="auto"/>
          <w:sz w:val="32"/>
          <w:szCs w:val="32"/>
          <w:highlight w:val="none"/>
          <w:lang w:val="en-US" w:eastAsia="zh-CN"/>
        </w:rPr>
        <w:t>0</w:t>
      </w:r>
      <w:r>
        <w:rPr>
          <w:rFonts w:hint="eastAsia" w:ascii="Times New Roman" w:hAnsi="Times New Roman" w:eastAsia="仿宋_GB2312" w:cs="仿宋_GB2312"/>
          <w:color w:val="auto"/>
          <w:sz w:val="32"/>
          <w:szCs w:val="32"/>
          <w:highlight w:val="none"/>
        </w:rPr>
        <w:t>个，参照公务员法管理的事业单位</w:t>
      </w:r>
      <w:r>
        <w:rPr>
          <w:rFonts w:hint="eastAsia" w:eastAsia="仿宋_GB2312" w:cs="仿宋_GB2312"/>
          <w:bCs/>
          <w:color w:val="auto"/>
          <w:sz w:val="32"/>
          <w:szCs w:val="32"/>
          <w:highlight w:val="none"/>
          <w:lang w:val="en-US" w:eastAsia="zh-CN"/>
        </w:rPr>
        <w:t>0</w:t>
      </w:r>
      <w:r>
        <w:rPr>
          <w:rFonts w:hint="eastAsia" w:ascii="Times New Roman" w:hAnsi="Times New Roman" w:eastAsia="仿宋_GB2312" w:cs="仿宋_GB2312"/>
          <w:color w:val="auto"/>
          <w:sz w:val="32"/>
          <w:szCs w:val="32"/>
          <w:highlight w:val="none"/>
        </w:rPr>
        <w:t>个，其他事业单位</w:t>
      </w:r>
      <w:r>
        <w:rPr>
          <w:rFonts w:hint="eastAsia" w:eastAsia="仿宋_GB2312" w:cs="仿宋_GB2312"/>
          <w:color w:val="auto"/>
          <w:sz w:val="32"/>
          <w:szCs w:val="32"/>
          <w:highlight w:val="none"/>
          <w:lang w:val="en-US" w:eastAsia="zh-CN"/>
        </w:rPr>
        <w:t>0</w:t>
      </w:r>
      <w:r>
        <w:rPr>
          <w:rFonts w:hint="eastAsia" w:ascii="Times New Roman" w:hAnsi="Times New Roman" w:eastAsia="仿宋_GB2312" w:cs="仿宋_GB2312"/>
          <w:color w:val="auto"/>
          <w:sz w:val="32"/>
          <w:szCs w:val="32"/>
          <w:highlight w:val="none"/>
        </w:rPr>
        <w:t>个。</w:t>
      </w:r>
    </w:p>
    <w:p>
      <w:pPr>
        <w:pStyle w:val="3"/>
        <w:jc w:val="center"/>
        <w:rPr>
          <w:rFonts w:hint="eastAsia" w:ascii="Times New Roman" w:hAnsi="Times New Roman" w:eastAsia="方正小标宋简体" w:cs="方正小标宋简体"/>
          <w:b w:val="0"/>
          <w:color w:val="auto"/>
          <w:highlight w:val="none"/>
        </w:rPr>
      </w:pPr>
      <w:bookmarkStart w:id="16" w:name="_Toc15396602"/>
      <w:bookmarkStart w:id="17" w:name="_Toc15377204"/>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ascii="Times New Roman" w:hAnsi="Times New Roman" w:eastAsia="方正小标宋简体" w:cs="方正小标宋简体"/>
          <w:b w:val="0"/>
          <w:color w:val="auto"/>
          <w:highlight w:val="none"/>
          <w:lang w:val="en-US" w:eastAsia="zh-CN"/>
        </w:rPr>
        <w:t>202</w:t>
      </w:r>
      <w:r>
        <w:rPr>
          <w:rFonts w:hint="eastAsia" w:eastAsia="方正小标宋简体" w:cs="方正小标宋简体"/>
          <w:b w:val="0"/>
          <w:color w:val="auto"/>
          <w:highlight w:val="none"/>
          <w:lang w:val="en-US" w:eastAsia="zh-CN"/>
        </w:rPr>
        <w:t>5</w:t>
      </w:r>
      <w:r>
        <w:rPr>
          <w:rFonts w:hint="eastAsia" w:ascii="Times New Roman" w:hAnsi="Times New Roman" w:eastAsia="方正小标宋简体" w:cs="方正小标宋简体"/>
          <w:b w:val="0"/>
          <w:color w:val="auto"/>
          <w:highlight w:val="none"/>
          <w:lang w:val="en-US" w:eastAsia="zh-CN"/>
        </w:rPr>
        <w:t>年度</w:t>
      </w:r>
      <w:r>
        <w:rPr>
          <w:rFonts w:hint="eastAsia" w:ascii="Times New Roman" w:hAnsi="Times New Roman" w:eastAsia="方正小标宋简体" w:cs="方正小标宋简体"/>
          <w:b w:val="0"/>
          <w:color w:val="auto"/>
          <w:highlight w:val="none"/>
        </w:rPr>
        <w:t>部门决算情况说明</w:t>
      </w:r>
      <w:bookmarkEnd w:id="16"/>
      <w:bookmarkEnd w:id="17"/>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29"/>
          <w:rFonts w:hint="eastAsia" w:ascii="Times New Roman" w:hAnsi="Times New Roman" w:eastAsia="黑体"/>
          <w:b w:val="0"/>
          <w:color w:val="auto"/>
          <w:highlight w:val="none"/>
        </w:rPr>
      </w:pPr>
      <w:bookmarkStart w:id="18" w:name="_Toc15396603"/>
      <w:bookmarkStart w:id="19" w:name="_Toc15377205"/>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29"/>
          <w:rFonts w:hint="eastAsia" w:ascii="Times New Roman" w:hAnsi="Times New Roman" w:eastAsia="黑体"/>
          <w:b w:val="0"/>
          <w:color w:val="auto"/>
          <w:highlight w:val="none"/>
        </w:rPr>
        <w:t>入支出决算总体情况说明</w:t>
      </w:r>
      <w:bookmarkEnd w:id="18"/>
      <w:bookmarkEnd w:id="19"/>
    </w:p>
    <w:p>
      <w:pPr>
        <w:pageBreakBefore w:val="0"/>
        <w:kinsoku/>
        <w:wordWrap/>
        <w:overflowPunct/>
        <w:topLinePunct w:val="0"/>
        <w:bidi w:val="0"/>
        <w:spacing w:line="560" w:lineRule="exact"/>
        <w:ind w:firstLine="640" w:firstLineChars="200"/>
        <w:textAlignment w:val="auto"/>
        <w:rPr>
          <w:rFonts w:hint="eastAsia"/>
        </w:rPr>
      </w:pPr>
      <w:r>
        <w:rPr>
          <w:rFonts w:hint="eastAsia" w:ascii="仿宋" w:eastAsia="仿宋"/>
          <w:color w:val="000000"/>
          <w:sz w:val="32"/>
          <w:szCs w:val="32"/>
          <w:lang w:eastAsia="zh-CN"/>
        </w:rPr>
        <w:t>202</w:t>
      </w:r>
      <w:r>
        <w:rPr>
          <w:rFonts w:hint="eastAsia" w:ascii="仿宋" w:eastAsia="仿宋"/>
          <w:color w:val="000000"/>
          <w:sz w:val="32"/>
          <w:szCs w:val="32"/>
          <w:lang w:val="en-US" w:eastAsia="zh-CN"/>
        </w:rPr>
        <w:t>5</w:t>
      </w:r>
      <w:r>
        <w:rPr>
          <w:rFonts w:hint="eastAsia" w:ascii="仿宋" w:eastAsia="仿宋"/>
          <w:color w:val="000000"/>
          <w:sz w:val="32"/>
          <w:szCs w:val="32"/>
          <w:lang w:eastAsia="zh-CN"/>
        </w:rPr>
        <w:t>年度收入</w:t>
      </w:r>
      <w:r>
        <w:rPr>
          <w:rFonts w:hint="eastAsia" w:ascii="仿宋" w:eastAsia="仿宋"/>
          <w:color w:val="000000"/>
          <w:sz w:val="32"/>
          <w:szCs w:val="32"/>
        </w:rPr>
        <w:t>、</w:t>
      </w:r>
      <w:r>
        <w:rPr>
          <w:rFonts w:hint="eastAsia" w:ascii="仿宋" w:eastAsia="仿宋"/>
          <w:color w:val="000000"/>
          <w:sz w:val="32"/>
          <w:szCs w:val="32"/>
          <w:lang w:eastAsia="zh-CN"/>
        </w:rPr>
        <w:t>支出</w:t>
      </w:r>
      <w:r>
        <w:rPr>
          <w:rFonts w:hint="eastAsia" w:ascii="仿宋" w:eastAsia="仿宋"/>
          <w:color w:val="000000"/>
          <w:sz w:val="32"/>
          <w:szCs w:val="32"/>
        </w:rPr>
        <w:t>总计</w:t>
      </w:r>
      <w:r>
        <w:rPr>
          <w:rFonts w:hint="eastAsia" w:ascii="仿宋" w:eastAsia="仿宋"/>
          <w:color w:val="000000"/>
          <w:sz w:val="32"/>
          <w:szCs w:val="32"/>
          <w:lang w:eastAsia="zh-CN"/>
        </w:rPr>
        <w:t>均为</w:t>
      </w:r>
      <w:r>
        <w:rPr>
          <w:rFonts w:hint="eastAsia" w:ascii="仿宋" w:eastAsia="仿宋"/>
          <w:color w:val="000000"/>
          <w:sz w:val="32"/>
          <w:szCs w:val="32"/>
        </w:rPr>
        <w:t>2</w:t>
      </w:r>
      <w:r>
        <w:rPr>
          <w:rFonts w:hint="eastAsia" w:ascii="仿宋" w:eastAsia="仿宋"/>
          <w:color w:val="000000"/>
          <w:sz w:val="32"/>
          <w:szCs w:val="32"/>
          <w:lang w:val="en-US" w:eastAsia="zh-CN"/>
        </w:rPr>
        <w:t>880.83</w:t>
      </w:r>
      <w:r>
        <w:rPr>
          <w:rFonts w:hint="eastAsia" w:ascii="仿宋" w:eastAsia="仿宋"/>
          <w:color w:val="000000"/>
          <w:sz w:val="32"/>
          <w:szCs w:val="32"/>
        </w:rPr>
        <w:t>万元。与</w:t>
      </w:r>
      <w:r>
        <w:rPr>
          <w:rFonts w:hint="eastAsia" w:ascii="仿宋" w:eastAsia="仿宋"/>
          <w:color w:val="000000"/>
          <w:sz w:val="32"/>
          <w:szCs w:val="32"/>
          <w:lang w:eastAsia="zh-CN"/>
        </w:rPr>
        <w:t>202</w:t>
      </w:r>
      <w:r>
        <w:rPr>
          <w:rFonts w:hint="eastAsia" w:ascii="仿宋" w:eastAsia="仿宋"/>
          <w:color w:val="000000"/>
          <w:sz w:val="32"/>
          <w:szCs w:val="32"/>
          <w:lang w:val="en-US" w:eastAsia="zh-CN"/>
        </w:rPr>
        <w:t>4</w:t>
      </w:r>
      <w:r>
        <w:rPr>
          <w:rFonts w:hint="eastAsia" w:ascii="仿宋" w:eastAsia="仿宋"/>
          <w:color w:val="000000"/>
          <w:sz w:val="32"/>
          <w:szCs w:val="32"/>
        </w:rPr>
        <w:t>年</w:t>
      </w:r>
      <w:r>
        <w:rPr>
          <w:rFonts w:hint="eastAsia" w:ascii="仿宋" w:eastAsia="仿宋"/>
          <w:color w:val="000000"/>
          <w:sz w:val="32"/>
          <w:szCs w:val="32"/>
          <w:lang w:eastAsia="zh-CN"/>
        </w:rPr>
        <w:t>度</w:t>
      </w:r>
      <w:r>
        <w:rPr>
          <w:rFonts w:hint="eastAsia" w:ascii="仿宋" w:eastAsia="仿宋"/>
          <w:color w:val="000000"/>
          <w:sz w:val="32"/>
          <w:szCs w:val="32"/>
        </w:rPr>
        <w:t>相比，</w:t>
      </w:r>
      <w:r>
        <w:rPr>
          <w:rFonts w:hint="eastAsia" w:ascii="仿宋" w:eastAsia="仿宋"/>
          <w:color w:val="000000"/>
          <w:sz w:val="32"/>
          <w:szCs w:val="32"/>
          <w:lang w:eastAsia="zh-CN"/>
        </w:rPr>
        <w:t>收入</w:t>
      </w:r>
      <w:r>
        <w:rPr>
          <w:rFonts w:hint="eastAsia" w:ascii="仿宋" w:eastAsia="仿宋"/>
          <w:color w:val="000000"/>
          <w:sz w:val="32"/>
          <w:szCs w:val="32"/>
        </w:rPr>
        <w:t>、</w:t>
      </w:r>
      <w:r>
        <w:rPr>
          <w:rFonts w:hint="eastAsia" w:ascii="仿宋" w:eastAsia="仿宋"/>
          <w:color w:val="000000"/>
          <w:sz w:val="32"/>
          <w:szCs w:val="32"/>
          <w:lang w:eastAsia="zh-CN"/>
        </w:rPr>
        <w:t>支出</w:t>
      </w:r>
      <w:r>
        <w:rPr>
          <w:rFonts w:hint="eastAsia" w:ascii="仿宋" w:eastAsia="仿宋"/>
          <w:color w:val="000000"/>
          <w:sz w:val="32"/>
          <w:szCs w:val="32"/>
        </w:rPr>
        <w:t>总计各增加/减少</w:t>
      </w:r>
      <w:r>
        <w:rPr>
          <w:rFonts w:hint="eastAsia" w:ascii="仿宋" w:eastAsia="仿宋"/>
          <w:color w:val="000000"/>
          <w:sz w:val="32"/>
          <w:szCs w:val="32"/>
          <w:lang w:val="en-US" w:eastAsia="zh-CN"/>
        </w:rPr>
        <w:t>297.4</w:t>
      </w:r>
      <w:r>
        <w:rPr>
          <w:rFonts w:hint="eastAsia" w:ascii="仿宋" w:eastAsia="仿宋"/>
          <w:color w:val="000000"/>
          <w:sz w:val="32"/>
          <w:szCs w:val="32"/>
        </w:rPr>
        <w:t>万元，增长/下降</w:t>
      </w:r>
      <w:r>
        <w:rPr>
          <w:rFonts w:hint="eastAsia" w:ascii="仿宋" w:eastAsia="仿宋"/>
          <w:color w:val="000000"/>
          <w:sz w:val="32"/>
          <w:szCs w:val="32"/>
          <w:lang w:val="en-US" w:eastAsia="zh-CN"/>
        </w:rPr>
        <w:t>11.51</w:t>
      </w:r>
      <w:r>
        <w:rPr>
          <w:rFonts w:hint="eastAsia" w:ascii="仿宋" w:eastAsia="仿宋"/>
          <w:color w:val="000000"/>
          <w:sz w:val="32"/>
          <w:szCs w:val="32"/>
        </w:rPr>
        <w:t>%。主要变动原因</w:t>
      </w:r>
      <w:r>
        <w:rPr>
          <w:rFonts w:ascii="仿宋" w:eastAsia="仿宋"/>
          <w:color w:val="000000"/>
          <w:sz w:val="32"/>
          <w:szCs w:val="32"/>
        </w:rPr>
        <w:t>是本年教职工人数及学生人数增加，工资有所增长人员经费收支相应增加，学校生均公用经费、寄宿制学生生活费等学生人头经费收支相应增加，本年年度考核奖随工资发放，各类保险基数相应提高。</w:t>
      </w:r>
    </w:p>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仿宋_GB2312" w:cs="仿宋_GB2312"/>
          <w:color w:val="auto"/>
          <w:sz w:val="32"/>
          <w:szCs w:val="32"/>
          <w:highlight w:val="none"/>
        </w:rPr>
      </w:pPr>
      <w:r>
        <w:drawing>
          <wp:inline distT="0" distB="0" distL="114300" distR="114300">
            <wp:extent cx="5271770" cy="2054860"/>
            <wp:effectExtent l="4445" t="4445" r="6985" b="10795"/>
            <wp:docPr id="1138"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20" w:name="_Toc15396604"/>
      <w:bookmarkStart w:id="21" w:name="_Toc15377206"/>
      <w:r>
        <w:rPr>
          <w:rFonts w:hint="eastAsia" w:ascii="Times New Roman" w:hAnsi="Times New Roman" w:eastAsia="黑体"/>
          <w:color w:val="auto"/>
          <w:sz w:val="32"/>
          <w:szCs w:val="32"/>
          <w:highlight w:val="none"/>
          <w:lang w:eastAsia="zh-CN"/>
        </w:rPr>
        <w:t>二、收入决算情况说明</w:t>
      </w:r>
      <w:bookmarkEnd w:id="20"/>
      <w:bookmarkEnd w:id="21"/>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202</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lang w:eastAsia="zh-CN"/>
        </w:rPr>
        <w:t>年度本年收入合计</w:t>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880.83</w:t>
      </w:r>
      <w:r>
        <w:rPr>
          <w:rFonts w:hint="eastAsia" w:ascii="仿宋_GB2312" w:hAnsi="仿宋_GB2312" w:eastAsia="仿宋_GB2312" w:cs="仿宋_GB2312"/>
          <w:sz w:val="32"/>
          <w:szCs w:val="32"/>
        </w:rPr>
        <w:t>万元，其中：一般公共预算财政拨款收入2</w:t>
      </w:r>
      <w:r>
        <w:rPr>
          <w:rFonts w:hint="eastAsia" w:ascii="仿宋_GB2312" w:hAnsi="仿宋_GB2312" w:eastAsia="仿宋_GB2312" w:cs="仿宋_GB2312"/>
          <w:sz w:val="32"/>
          <w:szCs w:val="32"/>
          <w:lang w:val="en-US" w:eastAsia="zh-CN"/>
        </w:rPr>
        <w:t>865.29</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99.</w:t>
      </w:r>
      <w:r>
        <w:rPr>
          <w:rFonts w:hint="eastAsia" w:ascii="仿宋_GB2312" w:hAnsi="仿宋_GB2312" w:eastAsia="仿宋_GB2312" w:cs="仿宋_GB2312"/>
          <w:sz w:val="32"/>
          <w:szCs w:val="32"/>
          <w:lang w:val="en-US" w:eastAsia="zh-CN"/>
        </w:rPr>
        <w:t>46</w:t>
      </w:r>
      <w:r>
        <w:rPr>
          <w:rFonts w:hint="eastAsia" w:ascii="仿宋_GB2312" w:hAnsi="仿宋_GB2312"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color w:val="auto"/>
          <w:sz w:val="32"/>
          <w:szCs w:val="32"/>
          <w:highlight w:val="none"/>
          <w:lang w:val="en-US" w:eastAsia="zh-CN"/>
        </w:rPr>
        <w:t>4万元，占0.14%；</w:t>
      </w:r>
      <w:r>
        <w:rPr>
          <w:rFonts w:hint="eastAsia" w:ascii="仿宋_GB2312" w:hAnsi="仿宋_GB2312"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lang w:val="en-US" w:eastAsia="zh-CN"/>
        </w:rPr>
        <w:t>11.55</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lang w:val="en-US" w:eastAsia="zh-CN"/>
        </w:rPr>
        <w:t>0.4</w:t>
      </w:r>
      <w:r>
        <w:rPr>
          <w:rFonts w:hint="eastAsia" w:ascii="仿宋_GB2312" w:hAnsi="仿宋_GB2312" w:eastAsia="仿宋_GB2312" w:cs="仿宋_GB2312"/>
          <w:color w:val="auto"/>
          <w:sz w:val="32"/>
          <w:szCs w:val="32"/>
          <w:highlight w:val="none"/>
          <w:lang w:eastAsia="zh-CN"/>
        </w:rPr>
        <w:t>%。</w:t>
      </w:r>
      <w:r>
        <w:rPr>
          <w:rFonts w:hint="eastAsia" w:ascii="仿宋" w:eastAsia="仿宋"/>
          <w:b/>
          <w:sz w:val="32"/>
          <w:szCs w:val="32"/>
        </w:rPr>
        <w:t>（注：数据来源于财决</w:t>
      </w:r>
      <w:r>
        <w:rPr>
          <w:rFonts w:ascii="仿宋" w:eastAsia="仿宋"/>
          <w:b/>
          <w:sz w:val="32"/>
          <w:szCs w:val="32"/>
        </w:rPr>
        <w:t>01表</w:t>
      </w:r>
      <w:r>
        <w:rPr>
          <w:rFonts w:hint="eastAsia" w:ascii="仿宋" w:eastAsia="仿宋"/>
          <w:sz w:val="32"/>
          <w:szCs w:val="32"/>
        </w:rPr>
        <w:t>）</w:t>
      </w:r>
    </w:p>
    <w:p>
      <w:pPr>
        <w:rPr>
          <w:rFonts w:hint="eastAsia" w:ascii="Times New Roman" w:hAnsi="Times New Roman" w:eastAsia="仿宋_GB2312" w:cs="仿宋_GB2312"/>
          <w:color w:val="auto"/>
          <w:sz w:val="32"/>
          <w:szCs w:val="32"/>
          <w:highlight w:val="none"/>
          <w:lang w:eastAsia="zh-CN"/>
        </w:rPr>
      </w:pPr>
      <w:r>
        <w:drawing>
          <wp:inline distT="0" distB="0" distL="114300" distR="114300">
            <wp:extent cx="5254625" cy="1781810"/>
            <wp:effectExtent l="4445" t="4445" r="11430" b="17145"/>
            <wp:docPr id="1139"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（图2：收入决算结构图）（饼状图）</w:t>
      </w: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29"/>
          <w:rFonts w:hint="eastAsia" w:ascii="Times New Roman" w:hAnsi="Times New Roman" w:eastAsia="黑体"/>
          <w:b w:val="0"/>
          <w:color w:val="auto"/>
          <w:highlight w:val="none"/>
        </w:rPr>
      </w:pPr>
      <w:bookmarkStart w:id="22" w:name="_Toc15377207"/>
      <w:bookmarkStart w:id="23" w:name="_Toc15396605"/>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29"/>
          <w:rFonts w:hint="eastAsia" w:ascii="Times New Roman" w:hAnsi="Times New Roman" w:eastAsia="黑体"/>
          <w:b w:val="0"/>
          <w:color w:val="auto"/>
          <w:highlight w:val="none"/>
        </w:rPr>
        <w:t>出决算情况说明</w:t>
      </w:r>
      <w:bookmarkEnd w:id="22"/>
      <w:bookmarkEnd w:id="23"/>
    </w:p>
    <w:p>
      <w:pPr>
        <w:spacing w:line="600" w:lineRule="exact"/>
        <w:ind w:firstLine="640" w:firstLineChars="200"/>
        <w:outlineLvl w:val="1"/>
        <w:rPr>
          <w:rFonts w:hint="eastAsia" w:ascii="仿宋" w:eastAsia="仿宋"/>
          <w:sz w:val="32"/>
          <w:szCs w:val="32"/>
        </w:rPr>
      </w:pPr>
      <w:r>
        <w:rPr>
          <w:rFonts w:ascii="仿宋" w:eastAsia="仿宋"/>
          <w:sz w:val="32"/>
          <w:szCs w:val="32"/>
        </w:rPr>
        <w:t>20</w:t>
      </w:r>
      <w:r>
        <w:rPr>
          <w:rFonts w:hint="eastAsia" w:ascii="仿宋" w:eastAsia="仿宋"/>
          <w:sz w:val="32"/>
          <w:szCs w:val="32"/>
        </w:rPr>
        <w:t>2</w:t>
      </w:r>
      <w:r>
        <w:rPr>
          <w:rFonts w:hint="eastAsia" w:ascii="仿宋" w:eastAsia="仿宋"/>
          <w:sz w:val="32"/>
          <w:szCs w:val="32"/>
          <w:lang w:val="en-US" w:eastAsia="zh-CN"/>
        </w:rPr>
        <w:t>5</w:t>
      </w:r>
      <w:r>
        <w:rPr>
          <w:rFonts w:hint="eastAsia" w:ascii="仿宋" w:eastAsia="仿宋"/>
          <w:sz w:val="32"/>
          <w:szCs w:val="32"/>
        </w:rPr>
        <w:t>年本年支出合计</w:t>
      </w:r>
      <w:r>
        <w:rPr>
          <w:rFonts w:hint="eastAsia" w:ascii="仿宋" w:eastAsia="仿宋"/>
          <w:sz w:val="32"/>
          <w:szCs w:val="32"/>
          <w:lang w:val="en-US" w:eastAsia="zh-CN"/>
        </w:rPr>
        <w:t>2869.29</w:t>
      </w:r>
      <w:r>
        <w:rPr>
          <w:rFonts w:hint="eastAsia" w:ascii="仿宋" w:eastAsia="仿宋"/>
          <w:sz w:val="32"/>
          <w:szCs w:val="32"/>
        </w:rPr>
        <w:t>万元，其中：</w:t>
      </w:r>
      <w:r>
        <w:rPr>
          <w:rFonts w:hint="eastAsia" w:ascii="仿宋" w:eastAsia="仿宋"/>
          <w:sz w:val="32"/>
          <w:szCs w:val="32"/>
          <w:lang w:val="en-US" w:eastAsia="zh-CN"/>
        </w:rPr>
        <w:t>教育</w:t>
      </w:r>
      <w:r>
        <w:rPr>
          <w:rFonts w:hint="eastAsia" w:ascii="仿宋" w:eastAsia="仿宋"/>
          <w:sz w:val="32"/>
          <w:szCs w:val="32"/>
        </w:rPr>
        <w:t>支出</w:t>
      </w:r>
      <w:r>
        <w:rPr>
          <w:rFonts w:hint="eastAsia" w:ascii="仿宋" w:eastAsia="仿宋"/>
          <w:sz w:val="32"/>
          <w:szCs w:val="32"/>
          <w:lang w:val="en-US" w:eastAsia="zh-CN"/>
        </w:rPr>
        <w:t>2215.79</w:t>
      </w:r>
      <w:r>
        <w:rPr>
          <w:rFonts w:hint="eastAsia" w:ascii="仿宋" w:eastAsia="仿宋"/>
          <w:sz w:val="32"/>
          <w:szCs w:val="32"/>
        </w:rPr>
        <w:t>万元，占</w:t>
      </w:r>
      <w:r>
        <w:rPr>
          <w:rFonts w:hint="eastAsia" w:ascii="仿宋" w:eastAsia="仿宋"/>
          <w:sz w:val="32"/>
          <w:szCs w:val="32"/>
          <w:lang w:val="en-US" w:eastAsia="zh-CN"/>
        </w:rPr>
        <w:t>77.22</w:t>
      </w:r>
      <w:r>
        <w:rPr>
          <w:rFonts w:ascii="仿宋" w:eastAsia="仿宋"/>
          <w:sz w:val="32"/>
          <w:szCs w:val="32"/>
        </w:rPr>
        <w:t>%</w:t>
      </w:r>
      <w:r>
        <w:rPr>
          <w:rFonts w:hint="eastAsia" w:ascii="仿宋" w:eastAsia="仿宋"/>
          <w:sz w:val="32"/>
          <w:szCs w:val="32"/>
        </w:rPr>
        <w:t>；</w:t>
      </w:r>
      <w:r>
        <w:rPr>
          <w:rFonts w:hint="eastAsia" w:ascii="仿宋" w:eastAsia="仿宋"/>
          <w:sz w:val="32"/>
          <w:szCs w:val="32"/>
          <w:lang w:eastAsia="zh-CN"/>
        </w:rPr>
        <w:t>社会保障和就业</w:t>
      </w:r>
      <w:r>
        <w:rPr>
          <w:rFonts w:hint="eastAsia" w:ascii="仿宋" w:eastAsia="仿宋"/>
          <w:sz w:val="32"/>
          <w:szCs w:val="32"/>
        </w:rPr>
        <w:t>支出</w:t>
      </w:r>
      <w:r>
        <w:rPr>
          <w:rFonts w:hint="eastAsia" w:ascii="仿宋" w:eastAsia="仿宋"/>
          <w:sz w:val="32"/>
          <w:szCs w:val="32"/>
          <w:lang w:val="en-US" w:eastAsia="zh-CN"/>
        </w:rPr>
        <w:t>334.36</w:t>
      </w:r>
      <w:r>
        <w:rPr>
          <w:rFonts w:hint="eastAsia" w:ascii="仿宋" w:eastAsia="仿宋"/>
          <w:sz w:val="32"/>
          <w:szCs w:val="32"/>
        </w:rPr>
        <w:t>万元，占</w:t>
      </w:r>
      <w:r>
        <w:rPr>
          <w:rFonts w:hint="eastAsia" w:ascii="仿宋" w:eastAsia="仿宋"/>
          <w:sz w:val="32"/>
          <w:szCs w:val="32"/>
          <w:lang w:val="en-US" w:eastAsia="zh-CN"/>
        </w:rPr>
        <w:t>11.65</w:t>
      </w:r>
      <w:r>
        <w:rPr>
          <w:rFonts w:ascii="仿宋" w:eastAsia="仿宋"/>
          <w:sz w:val="32"/>
          <w:szCs w:val="32"/>
        </w:rPr>
        <w:t>%</w:t>
      </w:r>
      <w:r>
        <w:rPr>
          <w:rFonts w:hint="eastAsia" w:ascii="仿宋" w:eastAsia="仿宋"/>
          <w:sz w:val="32"/>
          <w:szCs w:val="32"/>
        </w:rPr>
        <w:t>；</w:t>
      </w:r>
      <w:r>
        <w:rPr>
          <w:rFonts w:hint="eastAsia" w:ascii="仿宋" w:eastAsia="仿宋"/>
          <w:sz w:val="32"/>
          <w:szCs w:val="32"/>
          <w:lang w:eastAsia="zh-CN"/>
        </w:rPr>
        <w:t>卫生健康</w:t>
      </w:r>
      <w:r>
        <w:rPr>
          <w:rFonts w:hint="eastAsia" w:ascii="仿宋" w:eastAsia="仿宋"/>
          <w:sz w:val="32"/>
          <w:szCs w:val="32"/>
        </w:rPr>
        <w:t>支出</w:t>
      </w:r>
      <w:r>
        <w:rPr>
          <w:rFonts w:hint="eastAsia" w:ascii="仿宋" w:eastAsia="仿宋"/>
          <w:sz w:val="32"/>
          <w:szCs w:val="32"/>
          <w:lang w:val="en-US" w:eastAsia="zh-CN"/>
        </w:rPr>
        <w:t>126.12</w:t>
      </w:r>
      <w:r>
        <w:rPr>
          <w:rFonts w:hint="eastAsia" w:ascii="仿宋" w:eastAsia="仿宋"/>
          <w:sz w:val="32"/>
          <w:szCs w:val="32"/>
        </w:rPr>
        <w:t>万元，占</w:t>
      </w:r>
      <w:r>
        <w:rPr>
          <w:rFonts w:hint="eastAsia" w:ascii="仿宋" w:eastAsia="仿宋"/>
          <w:sz w:val="32"/>
          <w:szCs w:val="32"/>
          <w:lang w:val="en-US" w:eastAsia="zh-CN"/>
        </w:rPr>
        <w:t>4.40</w:t>
      </w:r>
      <w:r>
        <w:rPr>
          <w:rFonts w:ascii="仿宋" w:eastAsia="仿宋"/>
          <w:sz w:val="32"/>
          <w:szCs w:val="32"/>
        </w:rPr>
        <w:t>%</w:t>
      </w:r>
      <w:r>
        <w:rPr>
          <w:rFonts w:hint="eastAsia" w:ascii="仿宋" w:eastAsia="仿宋"/>
          <w:sz w:val="32"/>
          <w:szCs w:val="32"/>
        </w:rPr>
        <w:t>；</w:t>
      </w:r>
      <w:r>
        <w:rPr>
          <w:rFonts w:hint="eastAsia" w:ascii="仿宋" w:eastAsia="仿宋"/>
          <w:sz w:val="32"/>
          <w:szCs w:val="32"/>
          <w:lang w:eastAsia="zh-CN"/>
        </w:rPr>
        <w:t>住房保障</w:t>
      </w:r>
      <w:r>
        <w:rPr>
          <w:rFonts w:hint="eastAsia" w:ascii="仿宋" w:eastAsia="仿宋"/>
          <w:sz w:val="32"/>
          <w:szCs w:val="32"/>
        </w:rPr>
        <w:t>支出</w:t>
      </w:r>
      <w:r>
        <w:rPr>
          <w:rFonts w:hint="eastAsia" w:ascii="仿宋" w:eastAsia="仿宋"/>
          <w:sz w:val="32"/>
          <w:szCs w:val="32"/>
          <w:lang w:val="en-US" w:eastAsia="zh-CN"/>
        </w:rPr>
        <w:t>189.01</w:t>
      </w:r>
      <w:r>
        <w:rPr>
          <w:rFonts w:hint="eastAsia" w:ascii="仿宋" w:eastAsia="仿宋"/>
          <w:sz w:val="32"/>
          <w:szCs w:val="32"/>
        </w:rPr>
        <w:t>万元，占</w:t>
      </w:r>
      <w:r>
        <w:rPr>
          <w:rFonts w:hint="eastAsia" w:ascii="仿宋" w:eastAsia="仿宋"/>
          <w:sz w:val="32"/>
          <w:szCs w:val="32"/>
          <w:lang w:val="en-US" w:eastAsia="zh-CN"/>
        </w:rPr>
        <w:t>6.59</w:t>
      </w:r>
      <w:r>
        <w:rPr>
          <w:rFonts w:ascii="仿宋" w:eastAsia="仿宋"/>
          <w:sz w:val="32"/>
          <w:szCs w:val="32"/>
        </w:rPr>
        <w:t>%</w:t>
      </w:r>
      <w:r>
        <w:rPr>
          <w:rFonts w:hint="eastAsia" w:ascii="仿宋" w:eastAsia="仿宋"/>
          <w:sz w:val="32"/>
          <w:szCs w:val="32"/>
          <w:lang w:eastAsia="zh-CN"/>
        </w:rPr>
        <w:t>；</w:t>
      </w:r>
      <w:r>
        <w:rPr>
          <w:rFonts w:hint="eastAsia" w:ascii="仿宋" w:eastAsia="仿宋"/>
          <w:sz w:val="32"/>
          <w:szCs w:val="32"/>
          <w:lang w:val="en-US" w:eastAsia="zh-CN"/>
        </w:rPr>
        <w:t>其他支出4万元，占0.14%</w:t>
      </w:r>
      <w:r>
        <w:rPr>
          <w:rFonts w:hint="eastAsia" w:ascii="仿宋" w:eastAsia="仿宋"/>
          <w:sz w:val="32"/>
          <w:szCs w:val="32"/>
        </w:rPr>
        <w:t>。</w:t>
      </w:r>
      <w:r>
        <w:rPr>
          <w:rFonts w:hint="eastAsia" w:ascii="仿宋" w:eastAsia="仿宋"/>
          <w:b/>
          <w:sz w:val="32"/>
          <w:szCs w:val="32"/>
        </w:rPr>
        <w:t>（注：数据来源于财决</w:t>
      </w:r>
      <w:r>
        <w:rPr>
          <w:rFonts w:ascii="仿宋" w:eastAsia="仿宋"/>
          <w:b/>
          <w:sz w:val="32"/>
          <w:szCs w:val="32"/>
        </w:rPr>
        <w:t>04</w:t>
      </w:r>
      <w:r>
        <w:rPr>
          <w:rFonts w:hint="eastAsia" w:ascii="仿宋" w:eastAsia="仿宋"/>
          <w:b/>
          <w:sz w:val="32"/>
          <w:szCs w:val="32"/>
        </w:rPr>
        <w:t>表，仅罗列本单位涉及的支出。）</w:t>
      </w:r>
    </w:p>
    <w:p>
      <w:pPr>
        <w:ind w:firstLine="525" w:firstLineChars="250"/>
        <w:rPr>
          <w:rFonts w:hint="eastAsia" w:ascii="Times New Roman" w:hAnsi="Times New Roman" w:eastAsia="仿宋_GB2312" w:cs="仿宋_GB2312"/>
          <w:color w:val="auto"/>
          <w:sz w:val="32"/>
          <w:szCs w:val="32"/>
          <w:highlight w:val="none"/>
          <w:lang w:eastAsia="zh-CN"/>
        </w:rPr>
      </w:pPr>
      <w:r>
        <w:drawing>
          <wp:inline distT="0" distB="0" distL="114300" distR="114300">
            <wp:extent cx="4997450" cy="1934210"/>
            <wp:effectExtent l="4445" t="4445" r="14605" b="17145"/>
            <wp:docPr id="1140"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rFonts w:hint="eastAsia" w:ascii="Times New Roman" w:hAnsi="Times New Roman" w:eastAsia="仿宋_GB2312" w:cs="仿宋_GB2312"/>
          <w:color w:val="auto"/>
          <w:sz w:val="32"/>
          <w:szCs w:val="32"/>
          <w:highlight w:val="none"/>
          <w:lang w:eastAsia="zh-CN"/>
        </w:rPr>
        <w:t>（图3：支出决算结构图）（饼状图）</w:t>
      </w:r>
    </w:p>
    <w:p>
      <w:pPr>
        <w:spacing w:line="600" w:lineRule="exact"/>
        <w:ind w:firstLine="640" w:firstLineChars="200"/>
        <w:outlineLvl w:val="1"/>
        <w:rPr>
          <w:rStyle w:val="29"/>
          <w:rFonts w:ascii="Times New Roman" w:hAnsi="Times New Roman" w:eastAsia="黑体"/>
          <w:b w:val="0"/>
          <w:color w:val="auto"/>
          <w:highlight w:val="none"/>
        </w:rPr>
      </w:pPr>
      <w:bookmarkStart w:id="24" w:name="_Toc15377208"/>
      <w:bookmarkStart w:id="25" w:name="_Toc15396606"/>
      <w:r>
        <w:rPr>
          <w:rFonts w:hint="eastAsia" w:ascii="Times New Roman" w:hAnsi="Times New Roman" w:eastAsia="黑体"/>
          <w:color w:val="auto"/>
          <w:sz w:val="32"/>
          <w:szCs w:val="32"/>
          <w:highlight w:val="none"/>
        </w:rPr>
        <w:t>四、财</w:t>
      </w:r>
      <w:r>
        <w:rPr>
          <w:rStyle w:val="29"/>
          <w:rFonts w:hint="eastAsia" w:ascii="Times New Roman" w:hAnsi="Times New Roman" w:eastAsia="黑体"/>
          <w:b w:val="0"/>
          <w:color w:val="auto"/>
          <w:highlight w:val="none"/>
        </w:rPr>
        <w:t>政拨款收入支出决算总体情况说明</w:t>
      </w:r>
      <w:bookmarkEnd w:id="24"/>
      <w:bookmarkEnd w:id="25"/>
    </w:p>
    <w:p>
      <w:pPr>
        <w:pageBreakBefore w:val="0"/>
        <w:kinsoku/>
        <w:wordWrap/>
        <w:overflowPunct/>
        <w:topLinePunct w:val="0"/>
        <w:bidi w:val="0"/>
        <w:spacing w:line="560" w:lineRule="exact"/>
        <w:ind w:firstLine="640" w:firstLineChars="200"/>
        <w:textAlignment w:val="auto"/>
        <w:rPr>
          <w:rFonts w:ascii="仿宋" w:eastAsia="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年度财政拨款收入、支出总计均为</w:t>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865.29</w:t>
      </w:r>
      <w:r>
        <w:rPr>
          <w:rFonts w:hint="eastAsia" w:ascii="Times New Roman" w:hAnsi="Times New Roman" w:eastAsia="仿宋_GB2312" w:cs="仿宋_GB2312"/>
          <w:color w:val="auto"/>
          <w:kern w:val="2"/>
          <w:sz w:val="32"/>
          <w:szCs w:val="32"/>
          <w:highlight w:val="none"/>
          <w:lang w:val="en-US" w:eastAsia="zh-CN" w:bidi="ar-SA"/>
        </w:rPr>
        <w:t>万元。与202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年度相比，</w:t>
      </w:r>
      <w:r>
        <w:rPr>
          <w:rFonts w:hint="eastAsia" w:ascii="仿宋" w:eastAsia="仿宋"/>
          <w:sz w:val="32"/>
          <w:szCs w:val="32"/>
        </w:rPr>
        <w:t>财政拨款收入增加</w:t>
      </w:r>
      <w:r>
        <w:rPr>
          <w:rFonts w:hint="eastAsia" w:ascii="仿宋" w:eastAsia="仿宋"/>
          <w:sz w:val="32"/>
          <w:szCs w:val="32"/>
          <w:lang w:val="en-US" w:eastAsia="zh-CN"/>
        </w:rPr>
        <w:t>281.87</w:t>
      </w:r>
      <w:r>
        <w:rPr>
          <w:rFonts w:hint="eastAsia" w:ascii="仿宋" w:eastAsia="仿宋"/>
          <w:sz w:val="32"/>
          <w:szCs w:val="32"/>
        </w:rPr>
        <w:t>万元，增长</w:t>
      </w:r>
      <w:r>
        <w:rPr>
          <w:rFonts w:hint="eastAsia" w:ascii="仿宋" w:eastAsia="仿宋"/>
          <w:sz w:val="32"/>
          <w:szCs w:val="32"/>
          <w:lang w:val="en-US" w:eastAsia="zh-CN"/>
        </w:rPr>
        <w:t>10.91</w:t>
      </w:r>
      <w:r>
        <w:rPr>
          <w:rFonts w:hint="eastAsia" w:ascii="仿宋" w:eastAsia="仿宋"/>
          <w:sz w:val="32"/>
          <w:szCs w:val="32"/>
        </w:rPr>
        <w:t>%，财政拨款支出增加</w:t>
      </w:r>
      <w:r>
        <w:rPr>
          <w:rFonts w:hint="eastAsia" w:ascii="仿宋" w:eastAsia="仿宋"/>
          <w:sz w:val="32"/>
          <w:szCs w:val="32"/>
          <w:lang w:val="en-US" w:eastAsia="zh-CN"/>
        </w:rPr>
        <w:t>281.87</w:t>
      </w:r>
      <w:r>
        <w:rPr>
          <w:rFonts w:hint="eastAsia" w:ascii="仿宋" w:eastAsia="仿宋"/>
          <w:sz w:val="32"/>
          <w:szCs w:val="32"/>
        </w:rPr>
        <w:t>万元，</w:t>
      </w:r>
      <w:r>
        <w:rPr>
          <w:rFonts w:hint="eastAsia" w:ascii="仿宋" w:eastAsia="仿宋"/>
          <w:color w:val="000000"/>
          <w:sz w:val="32"/>
          <w:szCs w:val="32"/>
        </w:rPr>
        <w:t>增长</w:t>
      </w:r>
      <w:r>
        <w:rPr>
          <w:rFonts w:hint="eastAsia" w:ascii="仿宋" w:eastAsia="仿宋"/>
          <w:color w:val="000000"/>
          <w:sz w:val="32"/>
          <w:szCs w:val="32"/>
          <w:lang w:val="en-US" w:eastAsia="zh-CN"/>
        </w:rPr>
        <w:t>10.91</w:t>
      </w:r>
      <w:r>
        <w:rPr>
          <w:rFonts w:ascii="仿宋" w:eastAsia="仿宋"/>
          <w:color w:val="000000"/>
          <w:sz w:val="32"/>
          <w:szCs w:val="32"/>
        </w:rPr>
        <w:t>%</w:t>
      </w:r>
      <w:r>
        <w:rPr>
          <w:rFonts w:hint="eastAsia" w:ascii="仿宋" w:eastAsia="仿宋"/>
          <w:color w:val="000000"/>
          <w:sz w:val="32"/>
          <w:szCs w:val="32"/>
        </w:rPr>
        <w:t>。主要变动原因</w:t>
      </w:r>
      <w:r>
        <w:rPr>
          <w:rFonts w:ascii="仿宋" w:eastAsia="仿宋"/>
          <w:color w:val="000000"/>
          <w:sz w:val="32"/>
          <w:szCs w:val="32"/>
        </w:rPr>
        <w:t>是本年教职工人数及学生人数增加，工资有所增长人员经费收入相应增加，学校生均公用经费、寄宿制学生生活费等学生人头经费收入相应增加，本年年度考核奖随工资发放，各类保险基数相应提高。</w:t>
      </w:r>
    </w:p>
    <w:p>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p>
    <w:p>
      <w:pPr>
        <w:pStyle w:val="2"/>
        <w:rPr>
          <w:rFonts w:hint="eastAsia" w:ascii="Times New Roman" w:hAnsi="Times New Roman" w:eastAsia="仿宋_GB2312" w:cs="仿宋_GB2312"/>
          <w:color w:val="auto"/>
          <w:kern w:val="2"/>
          <w:sz w:val="32"/>
          <w:szCs w:val="32"/>
          <w:highlight w:val="none"/>
          <w:lang w:val="en-US" w:eastAsia="zh-CN" w:bidi="ar-SA"/>
        </w:rPr>
      </w:pPr>
      <w:r>
        <w:drawing>
          <wp:inline distT="0" distB="0" distL="114300" distR="114300">
            <wp:extent cx="5115560" cy="2095500"/>
            <wp:effectExtent l="4445" t="4445" r="10795" b="8255"/>
            <wp:docPr id="1144"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pPr>
        <w:spacing w:line="600" w:lineRule="exact"/>
        <w:ind w:firstLine="640" w:firstLineChars="200"/>
        <w:outlineLvl w:val="1"/>
        <w:rPr>
          <w:rStyle w:val="29"/>
          <w:rFonts w:ascii="Times New Roman" w:hAnsi="Times New Roman" w:eastAsia="黑体"/>
          <w:b w:val="0"/>
          <w:color w:val="auto"/>
          <w:highlight w:val="none"/>
        </w:rPr>
      </w:pPr>
      <w:bookmarkStart w:id="26" w:name="_Toc15377209"/>
      <w:bookmarkStart w:id="27" w:name="_Toc15396607"/>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29"/>
          <w:rFonts w:hint="eastAsia" w:ascii="Times New Roman" w:hAnsi="Times New Roman" w:eastAsia="黑体"/>
          <w:b w:val="0"/>
          <w:color w:val="auto"/>
          <w:highlight w:val="none"/>
        </w:rPr>
        <w:t>般公共预算财政拨款支出决算情况说明</w:t>
      </w:r>
      <w:bookmarkEnd w:id="26"/>
      <w:bookmarkEnd w:id="27"/>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8"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8"/>
    </w:p>
    <w:p>
      <w:pPr>
        <w:pageBreakBefore w:val="0"/>
        <w:kinsoku/>
        <w:wordWrap/>
        <w:overflowPunct/>
        <w:topLinePunct w:val="0"/>
        <w:bidi w:val="0"/>
        <w:spacing w:line="560" w:lineRule="exact"/>
        <w:ind w:firstLine="640" w:firstLineChars="200"/>
        <w:textAlignment w:val="auto"/>
        <w:rPr>
          <w:rFonts w:hint="eastAsia" w:ascii="仿宋" w:eastAsia="仿宋"/>
          <w:color w:val="000000"/>
          <w:sz w:val="32"/>
          <w:szCs w:val="32"/>
        </w:rPr>
      </w:pPr>
      <w:r>
        <w:rPr>
          <w:rFonts w:hint="eastAsia" w:ascii="仿宋_GB2312" w:hAnsi="仿宋_GB2312" w:eastAsia="仿宋_GB2312" w:cs="仿宋_GB2312"/>
          <w:color w:val="auto"/>
          <w:kern w:val="2"/>
          <w:sz w:val="32"/>
          <w:szCs w:val="32"/>
          <w:highlight w:val="none"/>
          <w:lang w:val="en-US" w:eastAsia="zh-CN" w:bidi="ar-SA"/>
        </w:rPr>
        <w:t>2025年度一般公共预算财政拨款支出</w:t>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865.29</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99.</w:t>
      </w:r>
      <w:r>
        <w:rPr>
          <w:rFonts w:hint="eastAsia" w:ascii="仿宋_GB2312" w:hAnsi="仿宋_GB2312" w:eastAsia="仿宋_GB2312" w:cs="仿宋_GB2312"/>
          <w:sz w:val="32"/>
          <w:szCs w:val="32"/>
          <w:lang w:val="en-US" w:eastAsia="zh-CN"/>
        </w:rPr>
        <w:t>46</w:t>
      </w:r>
      <w:r>
        <w:rPr>
          <w:rFonts w:hint="eastAsia" w:ascii="仿宋_GB2312" w:hAnsi="仿宋_GB2312" w:eastAsia="仿宋_GB2312" w:cs="仿宋_GB2312"/>
          <w:color w:val="auto"/>
          <w:kern w:val="2"/>
          <w:sz w:val="32"/>
          <w:szCs w:val="32"/>
          <w:highlight w:val="none"/>
          <w:lang w:val="en-US" w:eastAsia="zh-CN" w:bidi="ar-SA"/>
        </w:rPr>
        <w:t>%。与2024年度相比，</w:t>
      </w:r>
      <w:r>
        <w:rPr>
          <w:rFonts w:hint="eastAsia" w:ascii="仿宋" w:eastAsia="仿宋"/>
          <w:sz w:val="32"/>
          <w:szCs w:val="32"/>
        </w:rPr>
        <w:t>一般公共预算财政拨款支出增加</w:t>
      </w:r>
      <w:r>
        <w:rPr>
          <w:rFonts w:hint="eastAsia" w:ascii="仿宋" w:eastAsia="仿宋"/>
          <w:sz w:val="32"/>
          <w:szCs w:val="32"/>
          <w:lang w:val="en-US" w:eastAsia="zh-CN"/>
        </w:rPr>
        <w:t>281.87</w:t>
      </w:r>
      <w:r>
        <w:rPr>
          <w:rFonts w:hint="eastAsia" w:ascii="仿宋" w:eastAsia="仿宋"/>
          <w:sz w:val="32"/>
          <w:szCs w:val="32"/>
        </w:rPr>
        <w:t>万元，增长</w:t>
      </w:r>
      <w:r>
        <w:rPr>
          <w:rFonts w:hint="eastAsia" w:ascii="仿宋" w:eastAsia="仿宋"/>
          <w:sz w:val="32"/>
          <w:szCs w:val="32"/>
          <w:lang w:val="en-US" w:eastAsia="zh-CN"/>
        </w:rPr>
        <w:t>10.91</w:t>
      </w:r>
      <w:r>
        <w:rPr>
          <w:rFonts w:ascii="仿宋" w:eastAsia="仿宋"/>
          <w:sz w:val="32"/>
          <w:szCs w:val="32"/>
        </w:rPr>
        <w:t>%</w:t>
      </w:r>
      <w:r>
        <w:rPr>
          <w:rFonts w:hint="eastAsia" w:ascii="仿宋" w:eastAsia="仿宋"/>
          <w:sz w:val="32"/>
          <w:szCs w:val="32"/>
        </w:rPr>
        <w:t>。</w:t>
      </w:r>
      <w:r>
        <w:rPr>
          <w:rFonts w:hint="eastAsia" w:ascii="仿宋" w:eastAsia="仿宋"/>
          <w:color w:val="000000"/>
          <w:sz w:val="32"/>
          <w:szCs w:val="32"/>
        </w:rPr>
        <w:t>主要变动原因</w:t>
      </w:r>
      <w:r>
        <w:rPr>
          <w:rFonts w:ascii="仿宋" w:eastAsia="仿宋"/>
          <w:color w:val="000000"/>
          <w:sz w:val="32"/>
          <w:szCs w:val="32"/>
        </w:rPr>
        <w:t>是本年教职工人数及学生人数增加，工资有所增长人员经费支出相应增加，学校生均公用经费、寄宿制学生生活费等学生人头经费支出相应增加，本年年度考核奖随工资发放，各类保险基数相应提高。</w:t>
      </w:r>
    </w:p>
    <w:p>
      <w:pPr>
        <w:spacing w:line="600" w:lineRule="exact"/>
        <w:rPr>
          <w:rFonts w:hint="eastAsia" w:ascii="Times New Roman" w:hAnsi="Times New Roman" w:eastAsia="仿宋_GB2312" w:cs="仿宋_GB2312"/>
          <w:color w:val="auto"/>
          <w:kern w:val="2"/>
          <w:sz w:val="32"/>
          <w:szCs w:val="32"/>
          <w:highlight w:val="none"/>
          <w:lang w:val="en-US" w:eastAsia="zh-CN" w:bidi="ar-SA"/>
        </w:rPr>
      </w:pPr>
      <w:r>
        <w:drawing>
          <wp:anchor distT="0" distB="0" distL="114935" distR="114935" simplePos="0" relativeHeight="251694080" behindDoc="0" locked="0" layoutInCell="1" allowOverlap="1">
            <wp:simplePos x="0" y="0"/>
            <wp:positionH relativeFrom="column">
              <wp:posOffset>-5715</wp:posOffset>
            </wp:positionH>
            <wp:positionV relativeFrom="paragraph">
              <wp:posOffset>55245</wp:posOffset>
            </wp:positionV>
            <wp:extent cx="5248910" cy="2026285"/>
            <wp:effectExtent l="4445" t="4445" r="17145" b="13970"/>
            <wp:wrapTopAndBottom/>
            <wp:docPr id="1141"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hint="eastAsia"/>
          <w:lang w:val="en-US" w:eastAsia="zh-CN"/>
        </w:rPr>
        <w:t xml:space="preserve">     </w:t>
      </w: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9"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29"/>
    </w:p>
    <w:p>
      <w:pPr>
        <w:pageBreakBefore w:val="0"/>
        <w:kinsoku/>
        <w:wordWrap/>
        <w:overflowPunct/>
        <w:topLinePunct w:val="0"/>
        <w:bidi w:val="0"/>
        <w:spacing w:line="560" w:lineRule="exact"/>
        <w:ind w:firstLine="640"/>
        <w:textAlignment w:val="auto"/>
        <w:rPr>
          <w:rFonts w:ascii="仿宋" w:eastAsia="仿宋"/>
          <w:sz w:val="32"/>
          <w:szCs w:val="32"/>
        </w:rPr>
      </w:pPr>
      <w:r>
        <w:drawing>
          <wp:anchor distT="0" distB="0" distL="114300" distR="114300" simplePos="0" relativeHeight="251695104" behindDoc="0" locked="0" layoutInCell="1" allowOverlap="1">
            <wp:simplePos x="0" y="0"/>
            <wp:positionH relativeFrom="column">
              <wp:posOffset>319405</wp:posOffset>
            </wp:positionH>
            <wp:positionV relativeFrom="paragraph">
              <wp:posOffset>1916430</wp:posOffset>
            </wp:positionV>
            <wp:extent cx="4573270" cy="2181225"/>
            <wp:effectExtent l="4445" t="4445" r="6985" b="11430"/>
            <wp:wrapTopAndBottom/>
            <wp:docPr id="1142"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年度一般公共预算财政拨款支出</w:t>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865.29</w:t>
      </w:r>
      <w:r>
        <w:rPr>
          <w:rFonts w:hint="eastAsia" w:ascii="仿宋_GB2312" w:hAnsi="仿宋_GB2312"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 w:eastAsia="仿宋"/>
          <w:sz w:val="32"/>
          <w:szCs w:val="32"/>
        </w:rPr>
        <w:t>主要用于以下方面</w:t>
      </w:r>
      <w:r>
        <w:rPr>
          <w:rFonts w:ascii="仿宋" w:eastAsia="仿宋"/>
          <w:sz w:val="32"/>
          <w:szCs w:val="32"/>
        </w:rPr>
        <w:t>:</w:t>
      </w:r>
      <w:r>
        <w:rPr>
          <w:rFonts w:hint="eastAsia" w:ascii="仿宋" w:eastAsia="仿宋"/>
          <w:b/>
          <w:sz w:val="32"/>
          <w:szCs w:val="32"/>
        </w:rPr>
        <w:t>教育支出</w:t>
      </w:r>
      <w:r>
        <w:rPr>
          <w:rFonts w:hint="eastAsia" w:ascii="仿宋" w:eastAsia="仿宋"/>
          <w:sz w:val="32"/>
          <w:szCs w:val="32"/>
          <w:lang w:val="en-US" w:eastAsia="zh-CN"/>
        </w:rPr>
        <w:t>2215.79</w:t>
      </w:r>
      <w:r>
        <w:rPr>
          <w:rFonts w:hint="eastAsia" w:ascii="仿宋" w:eastAsia="仿宋"/>
          <w:sz w:val="32"/>
          <w:szCs w:val="32"/>
        </w:rPr>
        <w:t>万元，占</w:t>
      </w:r>
      <w:r>
        <w:rPr>
          <w:rFonts w:hint="eastAsia" w:ascii="仿宋" w:eastAsia="仿宋"/>
          <w:sz w:val="32"/>
          <w:szCs w:val="32"/>
          <w:lang w:val="en-US" w:eastAsia="zh-CN"/>
        </w:rPr>
        <w:t>77.22</w:t>
      </w:r>
      <w:r>
        <w:rPr>
          <w:rFonts w:ascii="仿宋" w:eastAsia="仿宋"/>
          <w:sz w:val="32"/>
          <w:szCs w:val="32"/>
        </w:rPr>
        <w:t>%</w:t>
      </w:r>
      <w:r>
        <w:rPr>
          <w:rFonts w:hint="eastAsia" w:ascii="仿宋" w:eastAsia="仿宋"/>
          <w:sz w:val="32"/>
          <w:szCs w:val="32"/>
        </w:rPr>
        <w:t>；</w:t>
      </w:r>
      <w:r>
        <w:rPr>
          <w:rFonts w:hint="eastAsia" w:ascii="仿宋" w:eastAsia="仿宋"/>
          <w:b/>
          <w:sz w:val="32"/>
          <w:szCs w:val="32"/>
        </w:rPr>
        <w:t>社会保障和就业</w:t>
      </w:r>
      <w:r>
        <w:rPr>
          <w:rFonts w:hint="eastAsia" w:ascii="仿宋" w:eastAsia="仿宋"/>
          <w:b/>
          <w:bCs/>
          <w:sz w:val="32"/>
          <w:szCs w:val="32"/>
        </w:rPr>
        <w:t>支出</w:t>
      </w:r>
      <w:r>
        <w:rPr>
          <w:rFonts w:hint="eastAsia" w:ascii="仿宋" w:eastAsia="仿宋"/>
          <w:sz w:val="32"/>
          <w:szCs w:val="32"/>
          <w:lang w:val="en-US" w:eastAsia="zh-CN"/>
        </w:rPr>
        <w:t>334.36</w:t>
      </w:r>
      <w:r>
        <w:rPr>
          <w:rFonts w:hint="eastAsia" w:ascii="仿宋" w:eastAsia="仿宋"/>
          <w:sz w:val="32"/>
          <w:szCs w:val="32"/>
        </w:rPr>
        <w:t>万元，占</w:t>
      </w:r>
      <w:r>
        <w:rPr>
          <w:rFonts w:hint="eastAsia" w:ascii="仿宋" w:eastAsia="仿宋"/>
          <w:sz w:val="32"/>
          <w:szCs w:val="32"/>
          <w:lang w:val="en-US" w:eastAsia="zh-CN"/>
        </w:rPr>
        <w:t>11.65</w:t>
      </w:r>
      <w:r>
        <w:rPr>
          <w:rFonts w:ascii="仿宋" w:eastAsia="仿宋"/>
          <w:sz w:val="32"/>
          <w:szCs w:val="32"/>
        </w:rPr>
        <w:t>%</w:t>
      </w:r>
      <w:r>
        <w:rPr>
          <w:rFonts w:hint="eastAsia" w:ascii="仿宋" w:eastAsia="仿宋"/>
          <w:sz w:val="32"/>
          <w:szCs w:val="32"/>
        </w:rPr>
        <w:t>；</w:t>
      </w:r>
      <w:r>
        <w:rPr>
          <w:rFonts w:hint="eastAsia" w:ascii="仿宋" w:eastAsia="仿宋"/>
          <w:b/>
          <w:bCs/>
          <w:sz w:val="32"/>
          <w:szCs w:val="32"/>
        </w:rPr>
        <w:t>卫生健康支出</w:t>
      </w:r>
      <w:r>
        <w:rPr>
          <w:rFonts w:hint="eastAsia" w:ascii="仿宋" w:eastAsia="仿宋"/>
          <w:sz w:val="32"/>
          <w:szCs w:val="32"/>
          <w:lang w:val="en-US" w:eastAsia="zh-CN"/>
        </w:rPr>
        <w:t>126.12</w:t>
      </w:r>
      <w:r>
        <w:rPr>
          <w:rFonts w:hint="eastAsia" w:ascii="仿宋" w:eastAsia="仿宋"/>
          <w:sz w:val="32"/>
          <w:szCs w:val="32"/>
        </w:rPr>
        <w:t>万元，占</w:t>
      </w:r>
      <w:r>
        <w:rPr>
          <w:rFonts w:hint="eastAsia" w:ascii="仿宋" w:eastAsia="仿宋"/>
          <w:sz w:val="32"/>
          <w:szCs w:val="32"/>
          <w:lang w:val="en-US" w:eastAsia="zh-CN"/>
        </w:rPr>
        <w:t>4.40</w:t>
      </w:r>
      <w:r>
        <w:rPr>
          <w:rFonts w:ascii="仿宋" w:eastAsia="仿宋"/>
          <w:sz w:val="32"/>
          <w:szCs w:val="32"/>
        </w:rPr>
        <w:t>%</w:t>
      </w:r>
      <w:r>
        <w:rPr>
          <w:rFonts w:hint="eastAsia" w:ascii="仿宋" w:eastAsia="仿宋"/>
          <w:sz w:val="32"/>
          <w:szCs w:val="32"/>
        </w:rPr>
        <w:t>；</w:t>
      </w:r>
      <w:r>
        <w:rPr>
          <w:rFonts w:hint="eastAsia" w:ascii="仿宋" w:eastAsia="仿宋"/>
          <w:b/>
          <w:bCs/>
          <w:sz w:val="32"/>
          <w:szCs w:val="32"/>
        </w:rPr>
        <w:t>住房保障支出</w:t>
      </w:r>
      <w:r>
        <w:rPr>
          <w:rFonts w:hint="eastAsia" w:ascii="仿宋" w:eastAsia="仿宋"/>
          <w:sz w:val="32"/>
          <w:szCs w:val="32"/>
          <w:lang w:val="en-US" w:eastAsia="zh-CN"/>
        </w:rPr>
        <w:t>189.01</w:t>
      </w:r>
      <w:r>
        <w:rPr>
          <w:rFonts w:hint="eastAsia" w:ascii="仿宋" w:eastAsia="仿宋"/>
          <w:sz w:val="32"/>
          <w:szCs w:val="32"/>
        </w:rPr>
        <w:t>万元，占</w:t>
      </w:r>
      <w:r>
        <w:rPr>
          <w:rFonts w:hint="eastAsia" w:ascii="仿宋" w:eastAsia="仿宋"/>
          <w:sz w:val="32"/>
          <w:szCs w:val="32"/>
          <w:lang w:val="en-US" w:eastAsia="zh-CN"/>
        </w:rPr>
        <w:t>6.59</w:t>
      </w:r>
      <w:r>
        <w:rPr>
          <w:rFonts w:ascii="仿宋" w:eastAsia="仿宋"/>
          <w:sz w:val="32"/>
          <w:szCs w:val="32"/>
        </w:rPr>
        <w:t>%</w:t>
      </w:r>
      <w:r>
        <w:rPr>
          <w:rFonts w:hint="eastAsia" w:ascii="仿宋" w:eastAsia="仿宋"/>
          <w:sz w:val="32"/>
          <w:szCs w:val="32"/>
          <w:lang w:eastAsia="zh-CN"/>
        </w:rPr>
        <w:t>；</w:t>
      </w:r>
      <w:r>
        <w:rPr>
          <w:rFonts w:hint="eastAsia" w:ascii="仿宋" w:eastAsia="仿宋"/>
          <w:b/>
          <w:bCs/>
          <w:sz w:val="32"/>
          <w:szCs w:val="32"/>
          <w:lang w:val="en-US" w:eastAsia="zh-CN"/>
        </w:rPr>
        <w:t>其他支出</w:t>
      </w:r>
      <w:r>
        <w:rPr>
          <w:rFonts w:hint="eastAsia" w:ascii="仿宋" w:eastAsia="仿宋"/>
          <w:sz w:val="32"/>
          <w:szCs w:val="32"/>
          <w:lang w:val="en-US" w:eastAsia="zh-CN"/>
        </w:rPr>
        <w:t>4万元，占0.14%</w:t>
      </w:r>
      <w:r>
        <w:rPr>
          <w:rFonts w:hint="eastAsia" w:ascii="仿宋" w:eastAsia="仿宋"/>
          <w:sz w:val="32"/>
          <w:szCs w:val="32"/>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0"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30"/>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31" w:name="_Toc15377213"/>
      <w:bookmarkStart w:id="32" w:name="_Toc15377444"/>
      <w:bookmarkStart w:id="33" w:name="_Toc15378460"/>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年度一般公共预算财政拨款支出决算数为</w:t>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880.83</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%。其中：</w:t>
      </w:r>
      <w:bookmarkEnd w:id="31"/>
      <w:bookmarkEnd w:id="32"/>
      <w:bookmarkEnd w:id="33"/>
    </w:p>
    <w:p>
      <w:pPr>
        <w:pageBreakBefore w:val="0"/>
        <w:kinsoku/>
        <w:wordWrap/>
        <w:overflowPunct/>
        <w:topLinePunct w:val="0"/>
        <w:bidi w:val="0"/>
        <w:spacing w:line="560" w:lineRule="exact"/>
        <w:ind w:firstLine="643" w:firstLineChars="200"/>
        <w:textAlignment w:val="auto"/>
        <w:rPr>
          <w:rStyle w:val="17"/>
          <w:rFonts w:hint="eastAsia" w:ascii="仿宋" w:eastAsia="仿宋"/>
          <w:b w:val="0"/>
          <w:bCs/>
          <w:sz w:val="32"/>
          <w:szCs w:val="32"/>
        </w:rPr>
      </w:pPr>
      <w:r>
        <w:rPr>
          <w:rStyle w:val="17"/>
          <w:rFonts w:hint="eastAsia" w:ascii="仿宋" w:eastAsia="仿宋"/>
          <w:bCs/>
          <w:sz w:val="32"/>
          <w:szCs w:val="32"/>
        </w:rPr>
        <w:t>1</w:t>
      </w:r>
      <w:r>
        <w:rPr>
          <w:rStyle w:val="17"/>
          <w:rFonts w:ascii="仿宋" w:eastAsia="仿宋"/>
          <w:bCs/>
          <w:sz w:val="32"/>
          <w:szCs w:val="32"/>
        </w:rPr>
        <w:t>.</w:t>
      </w:r>
      <w:r>
        <w:rPr>
          <w:rStyle w:val="17"/>
          <w:rFonts w:hint="eastAsia" w:ascii="仿宋" w:eastAsia="仿宋"/>
          <w:bCs/>
          <w:sz w:val="32"/>
          <w:szCs w:val="32"/>
        </w:rPr>
        <w:t>教育205</w:t>
      </w:r>
      <w:r>
        <w:rPr>
          <w:rStyle w:val="17"/>
          <w:rFonts w:ascii="仿宋" w:eastAsia="仿宋"/>
          <w:bCs/>
          <w:sz w:val="32"/>
          <w:szCs w:val="32"/>
        </w:rPr>
        <w:t>:</w:t>
      </w:r>
      <w:r>
        <w:rPr>
          <w:rStyle w:val="17"/>
          <w:rFonts w:ascii="仿宋" w:eastAsia="仿宋"/>
          <w:b w:val="0"/>
          <w:bCs/>
          <w:sz w:val="32"/>
          <w:szCs w:val="32"/>
        </w:rPr>
        <w:t xml:space="preserve"> </w:t>
      </w:r>
      <w:r>
        <w:rPr>
          <w:rStyle w:val="17"/>
          <w:rFonts w:hint="eastAsia" w:ascii="仿宋" w:eastAsia="仿宋"/>
          <w:b w:val="0"/>
          <w:bCs/>
          <w:sz w:val="32"/>
          <w:szCs w:val="32"/>
          <w:lang w:val="en-US" w:eastAsia="zh-CN"/>
        </w:rPr>
        <w:t>学前教育</w:t>
      </w:r>
      <w:r>
        <w:rPr>
          <w:rStyle w:val="17"/>
          <w:rFonts w:hint="eastAsia" w:ascii="仿宋" w:eastAsia="仿宋"/>
          <w:b w:val="0"/>
          <w:bCs/>
          <w:sz w:val="32"/>
          <w:szCs w:val="32"/>
        </w:rPr>
        <w:t>2050201支出决算为</w:t>
      </w:r>
      <w:r>
        <w:rPr>
          <w:rStyle w:val="17"/>
          <w:rFonts w:hint="eastAsia" w:ascii="仿宋" w:eastAsia="仿宋"/>
          <w:b w:val="0"/>
          <w:bCs/>
          <w:sz w:val="32"/>
          <w:szCs w:val="32"/>
          <w:lang w:val="en-US" w:eastAsia="zh-CN"/>
        </w:rPr>
        <w:t>79.8</w:t>
      </w:r>
      <w:r>
        <w:rPr>
          <w:rStyle w:val="17"/>
          <w:rFonts w:hint="eastAsia" w:ascii="仿宋" w:eastAsia="仿宋"/>
          <w:b w:val="0"/>
          <w:bCs/>
          <w:sz w:val="32"/>
          <w:szCs w:val="32"/>
        </w:rPr>
        <w:t>万元，完成预算100</w:t>
      </w:r>
      <w:r>
        <w:rPr>
          <w:rStyle w:val="17"/>
          <w:rFonts w:ascii="仿宋" w:eastAsia="仿宋"/>
          <w:b w:val="0"/>
          <w:bCs/>
          <w:sz w:val="32"/>
          <w:szCs w:val="32"/>
        </w:rPr>
        <w:t>%</w:t>
      </w:r>
      <w:r>
        <w:rPr>
          <w:rStyle w:val="17"/>
          <w:rFonts w:hint="eastAsia" w:ascii="仿宋" w:eastAsia="仿宋"/>
          <w:b w:val="0"/>
          <w:bCs/>
          <w:sz w:val="32"/>
          <w:szCs w:val="32"/>
          <w:lang w:eastAsia="zh-CN"/>
        </w:rPr>
        <w:t>；</w:t>
      </w:r>
      <w:r>
        <w:rPr>
          <w:rStyle w:val="17"/>
          <w:rFonts w:hint="eastAsia" w:ascii="仿宋" w:eastAsia="仿宋"/>
          <w:b w:val="0"/>
          <w:bCs/>
          <w:sz w:val="32"/>
          <w:szCs w:val="32"/>
          <w:lang w:val="en-US" w:eastAsia="zh-CN"/>
        </w:rPr>
        <w:t>小学教育2050202支出决算为2144.85万元；其他普通教育支出2050299支出决算为2.69万元</w:t>
      </w:r>
      <w:r>
        <w:rPr>
          <w:rStyle w:val="17"/>
          <w:rFonts w:hint="eastAsia" w:ascii="仿宋" w:eastAsia="仿宋"/>
          <w:b w:val="0"/>
          <w:bCs/>
          <w:sz w:val="32"/>
          <w:szCs w:val="32"/>
        </w:rPr>
        <w:t>。</w:t>
      </w:r>
    </w:p>
    <w:p>
      <w:pPr>
        <w:pageBreakBefore w:val="0"/>
        <w:kinsoku/>
        <w:wordWrap/>
        <w:overflowPunct/>
        <w:topLinePunct w:val="0"/>
        <w:bidi w:val="0"/>
        <w:spacing w:line="560" w:lineRule="exact"/>
        <w:ind w:firstLine="643" w:firstLineChars="200"/>
        <w:textAlignment w:val="auto"/>
        <w:rPr>
          <w:rFonts w:ascii="仿宋" w:eastAsia="仿宋"/>
          <w:b/>
          <w:sz w:val="32"/>
          <w:szCs w:val="32"/>
        </w:rPr>
      </w:pPr>
      <w:r>
        <w:rPr>
          <w:rStyle w:val="17"/>
          <w:rFonts w:hint="eastAsia" w:ascii="仿宋" w:eastAsia="仿宋"/>
          <w:bCs/>
          <w:sz w:val="32"/>
          <w:szCs w:val="32"/>
        </w:rPr>
        <w:t>2</w:t>
      </w:r>
      <w:r>
        <w:rPr>
          <w:rStyle w:val="17"/>
          <w:rFonts w:ascii="仿宋" w:eastAsia="仿宋"/>
          <w:bCs/>
          <w:sz w:val="32"/>
          <w:szCs w:val="32"/>
        </w:rPr>
        <w:t>.</w:t>
      </w:r>
      <w:r>
        <w:rPr>
          <w:rStyle w:val="17"/>
          <w:rFonts w:hint="eastAsia" w:ascii="仿宋" w:eastAsia="仿宋"/>
          <w:bCs/>
          <w:sz w:val="32"/>
          <w:szCs w:val="32"/>
        </w:rPr>
        <w:t>社会保障和就业</w:t>
      </w:r>
      <w:r>
        <w:rPr>
          <w:rStyle w:val="35"/>
          <w:rFonts w:ascii="仿宋" w:eastAsia="仿宋"/>
          <w:color w:val="000000"/>
          <w:sz w:val="32"/>
          <w:szCs w:val="32"/>
        </w:rPr>
        <w:t>208</w:t>
      </w:r>
      <w:r>
        <w:rPr>
          <w:rStyle w:val="17"/>
          <w:rFonts w:ascii="仿宋" w:eastAsia="仿宋"/>
          <w:bCs/>
          <w:sz w:val="32"/>
          <w:szCs w:val="32"/>
        </w:rPr>
        <w:t>:</w:t>
      </w:r>
      <w:r>
        <w:rPr>
          <w:rStyle w:val="17"/>
          <w:rFonts w:ascii="仿宋" w:eastAsia="仿宋"/>
          <w:b w:val="0"/>
          <w:bCs/>
          <w:sz w:val="32"/>
          <w:szCs w:val="32"/>
        </w:rPr>
        <w:t xml:space="preserve"> </w:t>
      </w:r>
      <w:r>
        <w:rPr>
          <w:rStyle w:val="17"/>
          <w:rFonts w:hint="eastAsia" w:ascii="仿宋" w:eastAsia="仿宋"/>
          <w:b w:val="0"/>
          <w:bCs/>
          <w:sz w:val="32"/>
          <w:szCs w:val="32"/>
        </w:rPr>
        <w:t>机关事业单位基本养老保险缴费支出</w:t>
      </w:r>
      <w:r>
        <w:rPr>
          <w:rStyle w:val="17"/>
          <w:rFonts w:hint="eastAsia" w:ascii="仿宋" w:eastAsia="仿宋"/>
          <w:b w:val="0"/>
          <w:bCs/>
          <w:sz w:val="32"/>
          <w:szCs w:val="32"/>
          <w:lang w:val="en-US" w:eastAsia="zh-CN"/>
        </w:rPr>
        <w:t>2080505：</w:t>
      </w:r>
      <w:r>
        <w:rPr>
          <w:rStyle w:val="17"/>
          <w:rFonts w:hint="eastAsia" w:ascii="仿宋" w:eastAsia="仿宋"/>
          <w:b w:val="0"/>
          <w:bCs/>
          <w:sz w:val="32"/>
          <w:szCs w:val="32"/>
        </w:rPr>
        <w:t>支出决算为</w:t>
      </w:r>
      <w:r>
        <w:rPr>
          <w:rStyle w:val="17"/>
          <w:rFonts w:hint="eastAsia" w:ascii="仿宋" w:eastAsia="仿宋"/>
          <w:b w:val="0"/>
          <w:bCs/>
          <w:sz w:val="32"/>
          <w:szCs w:val="32"/>
          <w:lang w:val="en-US" w:eastAsia="zh-CN"/>
        </w:rPr>
        <w:t>224.63</w:t>
      </w:r>
      <w:r>
        <w:rPr>
          <w:rStyle w:val="17"/>
          <w:rFonts w:hint="eastAsia" w:ascii="仿宋" w:eastAsia="仿宋"/>
          <w:b w:val="0"/>
          <w:bCs/>
          <w:sz w:val="32"/>
          <w:szCs w:val="32"/>
        </w:rPr>
        <w:t>万元，完成预算100</w:t>
      </w:r>
      <w:r>
        <w:rPr>
          <w:rStyle w:val="17"/>
          <w:rFonts w:ascii="仿宋" w:eastAsia="仿宋"/>
          <w:b w:val="0"/>
          <w:bCs/>
          <w:sz w:val="32"/>
          <w:szCs w:val="32"/>
        </w:rPr>
        <w:t>%</w:t>
      </w:r>
      <w:r>
        <w:rPr>
          <w:rStyle w:val="17"/>
          <w:rFonts w:hint="eastAsia" w:ascii="仿宋" w:eastAsia="仿宋"/>
          <w:b w:val="0"/>
          <w:bCs/>
          <w:sz w:val="32"/>
          <w:szCs w:val="32"/>
        </w:rPr>
        <w:t>，</w:t>
      </w:r>
      <w:r>
        <w:rPr>
          <w:rStyle w:val="35"/>
          <w:rFonts w:ascii="仿宋" w:eastAsia="仿宋"/>
          <w:b w:val="0"/>
          <w:bCs w:val="0"/>
          <w:color w:val="000000"/>
          <w:sz w:val="32"/>
          <w:szCs w:val="32"/>
        </w:rPr>
        <w:t>208050</w:t>
      </w:r>
      <w:r>
        <w:rPr>
          <w:rStyle w:val="35"/>
          <w:rFonts w:hint="eastAsia" w:ascii="仿宋" w:eastAsia="仿宋"/>
          <w:b w:val="0"/>
          <w:bCs w:val="0"/>
          <w:color w:val="000000"/>
          <w:sz w:val="32"/>
          <w:szCs w:val="32"/>
        </w:rPr>
        <w:t>6：</w:t>
      </w:r>
      <w:r>
        <w:rPr>
          <w:rStyle w:val="35"/>
          <w:rFonts w:hint="eastAsia" w:ascii="仿宋" w:eastAsia="仿宋"/>
          <w:color w:val="000000"/>
          <w:sz w:val="32"/>
          <w:szCs w:val="32"/>
        </w:rPr>
        <w:t>支出</w:t>
      </w:r>
      <w:r>
        <w:rPr>
          <w:rStyle w:val="17"/>
          <w:rFonts w:hint="eastAsia" w:ascii="仿宋" w:eastAsia="仿宋"/>
          <w:b w:val="0"/>
          <w:bCs/>
          <w:sz w:val="32"/>
          <w:szCs w:val="32"/>
        </w:rPr>
        <w:t>决算数</w:t>
      </w:r>
      <w:r>
        <w:rPr>
          <w:rStyle w:val="17"/>
          <w:rFonts w:ascii="仿宋" w:eastAsia="仿宋"/>
          <w:b w:val="0"/>
          <w:bCs/>
          <w:sz w:val="32"/>
          <w:szCs w:val="32"/>
        </w:rPr>
        <w:t>为</w:t>
      </w:r>
      <w:r>
        <w:rPr>
          <w:rStyle w:val="17"/>
          <w:rFonts w:hint="eastAsia" w:ascii="仿宋" w:eastAsia="仿宋"/>
          <w:b w:val="0"/>
          <w:bCs/>
          <w:sz w:val="32"/>
          <w:szCs w:val="32"/>
          <w:lang w:val="en-US" w:eastAsia="zh-CN"/>
        </w:rPr>
        <w:t>109.74</w:t>
      </w:r>
      <w:r>
        <w:rPr>
          <w:rStyle w:val="17"/>
          <w:rFonts w:ascii="仿宋" w:eastAsia="仿宋"/>
          <w:b w:val="0"/>
          <w:bCs/>
          <w:sz w:val="32"/>
          <w:szCs w:val="32"/>
        </w:rPr>
        <w:t>万元，</w:t>
      </w:r>
      <w:r>
        <w:rPr>
          <w:rStyle w:val="17"/>
          <w:rFonts w:hint="eastAsia" w:ascii="仿宋" w:eastAsia="仿宋"/>
          <w:b w:val="0"/>
          <w:bCs/>
          <w:sz w:val="32"/>
          <w:szCs w:val="32"/>
        </w:rPr>
        <w:t>完成预算100</w:t>
      </w:r>
      <w:r>
        <w:rPr>
          <w:rStyle w:val="17"/>
          <w:rFonts w:ascii="仿宋" w:eastAsia="仿宋"/>
          <w:b w:val="0"/>
          <w:bCs/>
          <w:sz w:val="32"/>
          <w:szCs w:val="32"/>
        </w:rPr>
        <w:t>%</w:t>
      </w:r>
      <w:r>
        <w:rPr>
          <w:rStyle w:val="17"/>
          <w:rFonts w:hint="eastAsia" w:ascii="仿宋" w:eastAsia="仿宋"/>
          <w:b w:val="0"/>
          <w:bCs/>
          <w:sz w:val="32"/>
          <w:szCs w:val="32"/>
        </w:rPr>
        <w:t>。</w:t>
      </w:r>
    </w:p>
    <w:p>
      <w:pPr>
        <w:pageBreakBefore w:val="0"/>
        <w:kinsoku/>
        <w:wordWrap/>
        <w:overflowPunct/>
        <w:topLinePunct w:val="0"/>
        <w:bidi w:val="0"/>
        <w:spacing w:line="560" w:lineRule="exact"/>
        <w:ind w:firstLine="643" w:firstLineChars="200"/>
        <w:textAlignment w:val="auto"/>
        <w:rPr>
          <w:rFonts w:ascii="仿宋_GB2312" w:eastAsia="仿宋_GB2312"/>
          <w:b w:val="0"/>
          <w:bCs w:val="0"/>
          <w:color w:val="000000"/>
          <w:kern w:val="0"/>
          <w:sz w:val="32"/>
          <w:szCs w:val="32"/>
        </w:rPr>
      </w:pPr>
      <w:r>
        <w:rPr>
          <w:rStyle w:val="17"/>
          <w:rFonts w:hint="eastAsia" w:ascii="仿宋" w:eastAsia="仿宋"/>
          <w:bCs/>
          <w:sz w:val="32"/>
          <w:szCs w:val="32"/>
        </w:rPr>
        <w:t>3</w:t>
      </w:r>
      <w:r>
        <w:rPr>
          <w:rStyle w:val="17"/>
          <w:rFonts w:ascii="仿宋" w:eastAsia="仿宋"/>
          <w:bCs/>
          <w:sz w:val="32"/>
          <w:szCs w:val="32"/>
        </w:rPr>
        <w:t>.</w:t>
      </w:r>
      <w:r>
        <w:rPr>
          <w:rFonts w:hint="eastAsia" w:ascii="仿宋" w:eastAsia="仿宋"/>
          <w:b/>
          <w:bCs/>
          <w:sz w:val="32"/>
          <w:szCs w:val="32"/>
        </w:rPr>
        <w:t>卫生健康</w:t>
      </w:r>
      <w:r>
        <w:rPr>
          <w:rFonts w:hint="eastAsia" w:ascii="仿宋" w:eastAsia="仿宋"/>
          <w:b/>
          <w:bCs/>
          <w:sz w:val="32"/>
          <w:szCs w:val="32"/>
          <w:lang w:val="en-US" w:eastAsia="zh-CN"/>
        </w:rPr>
        <w:t>支出</w:t>
      </w:r>
      <w:r>
        <w:rPr>
          <w:rStyle w:val="35"/>
          <w:rFonts w:ascii="仿宋" w:eastAsia="仿宋"/>
          <w:color w:val="000000"/>
          <w:sz w:val="32"/>
          <w:szCs w:val="32"/>
        </w:rPr>
        <w:t>210:</w:t>
      </w:r>
      <w:r>
        <w:rPr>
          <w:rStyle w:val="35"/>
          <w:rFonts w:hint="eastAsia" w:ascii="仿宋" w:eastAsia="仿宋"/>
          <w:b w:val="0"/>
          <w:bCs w:val="0"/>
          <w:color w:val="000000"/>
          <w:sz w:val="32"/>
          <w:szCs w:val="32"/>
        </w:rPr>
        <w:t>事业单位医疗</w:t>
      </w:r>
      <w:r>
        <w:rPr>
          <w:rStyle w:val="35"/>
          <w:rFonts w:hint="eastAsia" w:ascii="仿宋" w:eastAsia="仿宋"/>
          <w:b w:val="0"/>
          <w:bCs w:val="0"/>
          <w:color w:val="000000"/>
          <w:sz w:val="32"/>
          <w:szCs w:val="32"/>
          <w:lang w:val="en-US" w:eastAsia="zh-CN"/>
        </w:rPr>
        <w:t>2101102</w:t>
      </w:r>
      <w:r>
        <w:rPr>
          <w:rFonts w:hint="eastAsia" w:ascii="仿宋_GB2312" w:eastAsia="仿宋_GB2312"/>
          <w:b w:val="0"/>
          <w:bCs w:val="0"/>
          <w:color w:val="000000"/>
          <w:kern w:val="0"/>
          <w:sz w:val="32"/>
          <w:szCs w:val="32"/>
        </w:rPr>
        <w:t>支出决算为</w:t>
      </w:r>
      <w:r>
        <w:rPr>
          <w:rFonts w:hint="eastAsia" w:ascii="仿宋_GB2312" w:eastAsia="仿宋_GB2312"/>
          <w:b w:val="0"/>
          <w:bCs w:val="0"/>
          <w:color w:val="000000"/>
          <w:kern w:val="0"/>
          <w:sz w:val="32"/>
          <w:szCs w:val="32"/>
          <w:lang w:val="en-US" w:eastAsia="zh-CN"/>
        </w:rPr>
        <w:t>110.14</w:t>
      </w:r>
      <w:r>
        <w:rPr>
          <w:rFonts w:hint="eastAsia" w:ascii="仿宋_GB2312" w:eastAsia="仿宋_GB2312"/>
          <w:b w:val="0"/>
          <w:bCs w:val="0"/>
          <w:color w:val="000000"/>
          <w:kern w:val="0"/>
          <w:sz w:val="32"/>
          <w:szCs w:val="32"/>
        </w:rPr>
        <w:t>万元，完成预算100%，</w:t>
      </w:r>
      <w:r>
        <w:rPr>
          <w:rStyle w:val="35"/>
          <w:rFonts w:ascii="仿宋" w:eastAsia="仿宋"/>
          <w:b w:val="0"/>
          <w:bCs w:val="0"/>
          <w:color w:val="000000"/>
          <w:sz w:val="32"/>
          <w:szCs w:val="32"/>
        </w:rPr>
        <w:t>2101199:</w:t>
      </w:r>
      <w:r>
        <w:rPr>
          <w:rFonts w:hint="eastAsia" w:ascii="仿宋_GB2312" w:eastAsia="仿宋_GB2312"/>
          <w:b w:val="0"/>
          <w:bCs w:val="0"/>
          <w:color w:val="000000"/>
          <w:kern w:val="0"/>
          <w:sz w:val="32"/>
          <w:szCs w:val="32"/>
        </w:rPr>
        <w:t>支出决算为</w:t>
      </w:r>
      <w:r>
        <w:rPr>
          <w:rFonts w:hint="eastAsia" w:ascii="仿宋_GB2312" w:eastAsia="仿宋_GB2312"/>
          <w:b w:val="0"/>
          <w:bCs w:val="0"/>
          <w:color w:val="000000"/>
          <w:kern w:val="0"/>
          <w:sz w:val="32"/>
          <w:szCs w:val="32"/>
          <w:lang w:val="en-US" w:eastAsia="zh-CN"/>
        </w:rPr>
        <w:t>15.99</w:t>
      </w:r>
      <w:r>
        <w:rPr>
          <w:rFonts w:hint="eastAsia" w:ascii="仿宋_GB2312" w:eastAsia="仿宋_GB2312"/>
          <w:b w:val="0"/>
          <w:bCs w:val="0"/>
          <w:color w:val="000000"/>
          <w:kern w:val="0"/>
          <w:sz w:val="32"/>
          <w:szCs w:val="32"/>
        </w:rPr>
        <w:t>万元，完成预算100%。</w:t>
      </w:r>
    </w:p>
    <w:p>
      <w:pPr>
        <w:pageBreakBefore w:val="0"/>
        <w:kinsoku/>
        <w:wordWrap/>
        <w:overflowPunct/>
        <w:topLinePunct w:val="0"/>
        <w:bidi w:val="0"/>
        <w:spacing w:line="560" w:lineRule="exact"/>
        <w:ind w:firstLine="643" w:firstLineChars="200"/>
        <w:textAlignment w:val="auto"/>
        <w:rPr>
          <w:rFonts w:ascii="仿宋_GB2312" w:eastAsia="仿宋_GB2312"/>
          <w:bCs/>
          <w:color w:val="000000"/>
          <w:kern w:val="0"/>
          <w:sz w:val="32"/>
          <w:szCs w:val="32"/>
        </w:rPr>
      </w:pPr>
      <w:r>
        <w:rPr>
          <w:rStyle w:val="17"/>
          <w:rFonts w:ascii="仿宋" w:eastAsia="仿宋"/>
          <w:bCs/>
          <w:sz w:val="32"/>
          <w:szCs w:val="32"/>
        </w:rPr>
        <w:t>4.住房保障221</w:t>
      </w:r>
      <w:r>
        <w:rPr>
          <w:rStyle w:val="17"/>
          <w:rFonts w:hint="eastAsia" w:ascii="仿宋" w:eastAsia="仿宋"/>
          <w:bCs/>
          <w:sz w:val="32"/>
          <w:szCs w:val="32"/>
          <w:lang w:eastAsia="zh-CN"/>
        </w:rPr>
        <w:t>：</w:t>
      </w:r>
      <w:r>
        <w:rPr>
          <w:rStyle w:val="17"/>
          <w:rFonts w:hint="eastAsia" w:ascii="仿宋" w:eastAsia="仿宋"/>
          <w:bCs/>
          <w:sz w:val="32"/>
          <w:szCs w:val="32"/>
        </w:rPr>
        <w:t>住房公积金</w:t>
      </w:r>
      <w:r>
        <w:rPr>
          <w:rStyle w:val="17"/>
          <w:rFonts w:hint="eastAsia" w:ascii="仿宋" w:eastAsia="仿宋"/>
          <w:bCs/>
          <w:sz w:val="32"/>
          <w:szCs w:val="32"/>
          <w:lang w:val="en-US" w:eastAsia="zh-CN"/>
        </w:rPr>
        <w:t>221</w:t>
      </w:r>
      <w:r>
        <w:rPr>
          <w:rStyle w:val="17"/>
          <w:rFonts w:ascii="仿宋" w:eastAsia="仿宋"/>
          <w:bCs/>
          <w:sz w:val="32"/>
          <w:szCs w:val="32"/>
        </w:rPr>
        <w:t>0201</w:t>
      </w:r>
      <w:r>
        <w:rPr>
          <w:rStyle w:val="35"/>
          <w:rFonts w:ascii="仿宋" w:eastAsia="仿宋"/>
          <w:color w:val="000000"/>
          <w:sz w:val="32"/>
          <w:szCs w:val="32"/>
        </w:rPr>
        <w:t>:</w:t>
      </w:r>
      <w:r>
        <w:rPr>
          <w:rFonts w:hint="eastAsia" w:ascii="仿宋_GB2312" w:eastAsia="仿宋_GB2312"/>
          <w:bCs/>
          <w:color w:val="000000"/>
          <w:kern w:val="0"/>
          <w:sz w:val="32"/>
          <w:szCs w:val="32"/>
        </w:rPr>
        <w:t>支出决算为</w:t>
      </w:r>
      <w:r>
        <w:rPr>
          <w:rFonts w:hint="eastAsia" w:ascii="仿宋_GB2312" w:eastAsia="仿宋_GB2312"/>
          <w:bCs/>
          <w:color w:val="000000"/>
          <w:kern w:val="0"/>
          <w:sz w:val="32"/>
          <w:szCs w:val="32"/>
          <w:lang w:val="en-US" w:eastAsia="zh-CN"/>
        </w:rPr>
        <w:t>189.01</w:t>
      </w:r>
      <w:r>
        <w:rPr>
          <w:rFonts w:hint="eastAsia" w:ascii="仿宋_GB2312" w:eastAsia="仿宋_GB2312"/>
          <w:bCs/>
          <w:color w:val="000000"/>
          <w:kern w:val="0"/>
          <w:sz w:val="32"/>
          <w:szCs w:val="32"/>
        </w:rPr>
        <w:t>万元，完成预算100%</w:t>
      </w:r>
      <w:r>
        <w:rPr>
          <w:rFonts w:ascii="仿宋_GB2312" w:eastAsia="仿宋_GB2312"/>
          <w:bCs/>
          <w:color w:val="000000"/>
          <w:kern w:val="0"/>
          <w:sz w:val="32"/>
          <w:szCs w:val="32"/>
        </w:rPr>
        <w:t>。</w:t>
      </w:r>
    </w:p>
    <w:p>
      <w:pPr>
        <w:pageBreakBefore w:val="0"/>
        <w:kinsoku/>
        <w:wordWrap/>
        <w:overflowPunct/>
        <w:topLinePunct w:val="0"/>
        <w:bidi w:val="0"/>
        <w:spacing w:line="560" w:lineRule="exact"/>
        <w:ind w:firstLine="643" w:firstLineChars="200"/>
        <w:textAlignment w:val="auto"/>
        <w:rPr>
          <w:rStyle w:val="17"/>
          <w:rFonts w:hint="default" w:ascii="仿宋" w:hAnsi="Times New Roman" w:eastAsia="仿宋" w:cs="Times New Roman"/>
          <w:b w:val="0"/>
          <w:bCs w:val="0"/>
          <w:kern w:val="2"/>
          <w:sz w:val="32"/>
          <w:szCs w:val="32"/>
          <w:lang w:val="en-US" w:eastAsia="zh-CN" w:bidi="ar-SA"/>
        </w:rPr>
      </w:pPr>
      <w:r>
        <w:rPr>
          <w:rStyle w:val="17"/>
          <w:rFonts w:hint="eastAsia" w:ascii="仿宋" w:hAnsi="Times New Roman" w:eastAsia="仿宋" w:cs="Times New Roman"/>
          <w:bCs/>
          <w:kern w:val="2"/>
          <w:sz w:val="32"/>
          <w:szCs w:val="32"/>
          <w:lang w:val="en-US" w:eastAsia="zh-CN" w:bidi="ar-SA"/>
        </w:rPr>
        <w:t>5</w:t>
      </w:r>
      <w:r>
        <w:rPr>
          <w:rStyle w:val="17"/>
          <w:rFonts w:hint="eastAsia" w:ascii="仿宋" w:eastAsia="仿宋" w:cs="Times New Roman"/>
          <w:bCs/>
          <w:kern w:val="2"/>
          <w:sz w:val="32"/>
          <w:szCs w:val="32"/>
          <w:lang w:val="en-US" w:eastAsia="zh-CN" w:bidi="ar-SA"/>
        </w:rPr>
        <w:t>.其他支出229：</w:t>
      </w:r>
      <w:r>
        <w:rPr>
          <w:rStyle w:val="17"/>
          <w:rFonts w:hint="eastAsia" w:ascii="仿宋" w:eastAsia="仿宋" w:cs="Times New Roman"/>
          <w:b w:val="0"/>
          <w:bCs w:val="0"/>
          <w:kern w:val="2"/>
          <w:sz w:val="32"/>
          <w:szCs w:val="32"/>
          <w:lang w:val="en-US" w:eastAsia="zh-CN" w:bidi="ar-SA"/>
        </w:rPr>
        <w:t>用于教育事业的彩票公益金支出2296004：</w:t>
      </w:r>
      <w:r>
        <w:rPr>
          <w:rFonts w:hint="eastAsia" w:ascii="仿宋_GB2312" w:eastAsia="仿宋_GB2312"/>
          <w:b w:val="0"/>
          <w:bCs w:val="0"/>
          <w:color w:val="000000"/>
          <w:kern w:val="0"/>
          <w:sz w:val="32"/>
          <w:szCs w:val="32"/>
        </w:rPr>
        <w:t>出决算为</w:t>
      </w:r>
      <w:r>
        <w:rPr>
          <w:rFonts w:hint="eastAsia" w:ascii="仿宋_GB2312" w:eastAsia="仿宋_GB2312"/>
          <w:b w:val="0"/>
          <w:bCs w:val="0"/>
          <w:color w:val="000000"/>
          <w:kern w:val="0"/>
          <w:sz w:val="32"/>
          <w:szCs w:val="32"/>
          <w:lang w:val="en-US" w:eastAsia="zh-CN"/>
        </w:rPr>
        <w:t>4</w:t>
      </w:r>
      <w:r>
        <w:rPr>
          <w:rFonts w:hint="eastAsia" w:ascii="仿宋_GB2312" w:eastAsia="仿宋_GB2312"/>
          <w:b w:val="0"/>
          <w:bCs w:val="0"/>
          <w:color w:val="000000"/>
          <w:kern w:val="0"/>
          <w:sz w:val="32"/>
          <w:szCs w:val="32"/>
        </w:rPr>
        <w:t>万元，完成预算100%</w:t>
      </w:r>
      <w:r>
        <w:rPr>
          <w:rFonts w:ascii="仿宋_GB2312" w:eastAsia="仿宋_GB2312"/>
          <w:b w:val="0"/>
          <w:bCs w:val="0"/>
          <w:color w:val="000000"/>
          <w:kern w:val="0"/>
          <w:sz w:val="32"/>
          <w:szCs w:val="32"/>
        </w:rPr>
        <w:t>。</w:t>
      </w:r>
    </w:p>
    <w:p>
      <w:pPr>
        <w:tabs>
          <w:tab w:val="right" w:pos="8306"/>
        </w:tabs>
        <w:spacing w:line="600" w:lineRule="exact"/>
        <w:ind w:firstLine="640"/>
        <w:outlineLvl w:val="1"/>
        <w:rPr>
          <w:rStyle w:val="29"/>
          <w:rFonts w:ascii="Times New Roman" w:hAnsi="Times New Roman"/>
          <w:color w:val="auto"/>
          <w:highlight w:val="none"/>
        </w:rPr>
      </w:pPr>
      <w:bookmarkStart w:id="34" w:name="_Toc15377214"/>
      <w:bookmarkStart w:id="35" w:name="_Toc15396608"/>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29"/>
          <w:rFonts w:hint="eastAsia" w:ascii="Times New Roman" w:hAnsi="Times New Roman" w:eastAsia="黑体"/>
          <w:b w:val="0"/>
          <w:color w:val="auto"/>
          <w:highlight w:val="none"/>
        </w:rPr>
        <w:t>般公共预算财政拨款基本支出决算情况说明</w:t>
      </w:r>
      <w:bookmarkEnd w:id="34"/>
      <w:bookmarkEnd w:id="35"/>
      <w:r>
        <w:rPr>
          <w:rStyle w:val="29"/>
          <w:rFonts w:ascii="Times New Roman" w:hAnsi="Times New Roman" w:eastAsia="黑体"/>
          <w:b w:val="0"/>
          <w:color w:val="auto"/>
          <w:highlight w:val="none"/>
        </w:rPr>
        <w:tab/>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年度一般公共预算财政拨款基本支出</w:t>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865.29</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元，其中：</w:t>
      </w:r>
    </w:p>
    <w:p>
      <w:pPr>
        <w:pageBreakBefore w:val="0"/>
        <w:kinsoku/>
        <w:wordWrap/>
        <w:overflowPunct/>
        <w:topLinePunct w:val="0"/>
        <w:bidi w:val="0"/>
        <w:spacing w:line="560" w:lineRule="exact"/>
        <w:ind w:firstLine="645"/>
        <w:textAlignment w:val="auto"/>
        <w:rPr>
          <w:rFonts w:hint="eastAsia" w:ascii="仿宋" w:eastAsia="仿宋"/>
          <w:sz w:val="32"/>
          <w:szCs w:val="32"/>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lang w:val="en-US" w:eastAsia="zh-CN"/>
        </w:rPr>
        <w:t>2415.07</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w:t>
      </w:r>
      <w:r>
        <w:rPr>
          <w:rFonts w:hint="eastAsia" w:ascii="仿宋" w:eastAsia="仿宋"/>
          <w:sz w:val="32"/>
          <w:szCs w:val="32"/>
        </w:rPr>
        <w:t>基本工资</w:t>
      </w:r>
      <w:r>
        <w:rPr>
          <w:rFonts w:hint="eastAsia" w:ascii="仿宋" w:eastAsia="仿宋"/>
          <w:sz w:val="32"/>
          <w:szCs w:val="32"/>
          <w:lang w:val="en-US" w:eastAsia="zh-CN"/>
        </w:rPr>
        <w:t>465.76</w:t>
      </w:r>
      <w:r>
        <w:rPr>
          <w:rFonts w:ascii="仿宋" w:eastAsia="仿宋"/>
          <w:sz w:val="32"/>
          <w:szCs w:val="32"/>
        </w:rPr>
        <w:t>万元</w:t>
      </w:r>
      <w:r>
        <w:rPr>
          <w:rFonts w:hint="eastAsia" w:ascii="仿宋" w:eastAsia="仿宋"/>
          <w:sz w:val="32"/>
          <w:szCs w:val="32"/>
        </w:rPr>
        <w:t>、津贴补贴</w:t>
      </w:r>
      <w:r>
        <w:rPr>
          <w:rFonts w:hint="eastAsia" w:ascii="仿宋" w:eastAsia="仿宋"/>
          <w:sz w:val="32"/>
          <w:szCs w:val="32"/>
          <w:lang w:val="en-US" w:eastAsia="zh-CN"/>
        </w:rPr>
        <w:t>489.64</w:t>
      </w:r>
      <w:r>
        <w:rPr>
          <w:rFonts w:ascii="仿宋" w:eastAsia="仿宋"/>
          <w:sz w:val="32"/>
          <w:szCs w:val="32"/>
        </w:rPr>
        <w:t>万元</w:t>
      </w:r>
      <w:r>
        <w:rPr>
          <w:rFonts w:hint="eastAsia" w:ascii="仿宋" w:eastAsia="仿宋"/>
          <w:sz w:val="32"/>
          <w:szCs w:val="32"/>
        </w:rPr>
        <w:t>、奖金</w:t>
      </w:r>
      <w:r>
        <w:rPr>
          <w:rFonts w:hint="eastAsia" w:ascii="仿宋" w:eastAsia="仿宋"/>
          <w:sz w:val="32"/>
          <w:szCs w:val="32"/>
          <w:lang w:val="en-US" w:eastAsia="zh-CN"/>
        </w:rPr>
        <w:t>488.358</w:t>
      </w:r>
      <w:r>
        <w:rPr>
          <w:rFonts w:hint="eastAsia" w:ascii="仿宋" w:eastAsia="仿宋"/>
          <w:sz w:val="32"/>
          <w:szCs w:val="32"/>
        </w:rPr>
        <w:t>万元、绩效工资</w:t>
      </w:r>
      <w:r>
        <w:rPr>
          <w:rFonts w:hint="eastAsia" w:ascii="仿宋" w:eastAsia="仿宋"/>
          <w:sz w:val="32"/>
          <w:szCs w:val="32"/>
          <w:lang w:val="en-US" w:eastAsia="zh-CN"/>
        </w:rPr>
        <w:t>300.20</w:t>
      </w:r>
      <w:r>
        <w:rPr>
          <w:rFonts w:hint="eastAsia" w:ascii="仿宋" w:eastAsia="仿宋"/>
          <w:sz w:val="32"/>
          <w:szCs w:val="32"/>
        </w:rPr>
        <w:t>万元、机关事业单位基本养老保险缴费</w:t>
      </w:r>
      <w:r>
        <w:rPr>
          <w:rFonts w:hint="eastAsia" w:ascii="仿宋" w:eastAsia="仿宋"/>
          <w:sz w:val="32"/>
          <w:szCs w:val="32"/>
          <w:lang w:val="en-US" w:eastAsia="zh-CN"/>
        </w:rPr>
        <w:t>224.63</w:t>
      </w:r>
      <w:r>
        <w:rPr>
          <w:rFonts w:hint="eastAsia" w:ascii="仿宋" w:eastAsia="仿宋"/>
          <w:sz w:val="32"/>
          <w:szCs w:val="32"/>
        </w:rPr>
        <w:t>万元、职业年金缴费</w:t>
      </w:r>
      <w:r>
        <w:rPr>
          <w:rFonts w:hint="eastAsia" w:ascii="仿宋" w:eastAsia="仿宋"/>
          <w:sz w:val="32"/>
          <w:szCs w:val="32"/>
          <w:lang w:val="en-US" w:eastAsia="zh-CN"/>
        </w:rPr>
        <w:t>109.74</w:t>
      </w:r>
      <w:r>
        <w:rPr>
          <w:rFonts w:hint="eastAsia" w:ascii="仿宋" w:eastAsia="仿宋"/>
          <w:sz w:val="32"/>
          <w:szCs w:val="32"/>
        </w:rPr>
        <w:t>万元、职工基本医疗保险费</w:t>
      </w:r>
      <w:r>
        <w:rPr>
          <w:rFonts w:hint="eastAsia" w:ascii="仿宋" w:eastAsia="仿宋"/>
          <w:sz w:val="32"/>
          <w:szCs w:val="32"/>
          <w:lang w:val="en-US" w:eastAsia="zh-CN"/>
        </w:rPr>
        <w:t>110.14</w:t>
      </w:r>
      <w:r>
        <w:rPr>
          <w:rFonts w:hint="eastAsia" w:ascii="仿宋" w:eastAsia="仿宋"/>
          <w:sz w:val="32"/>
          <w:szCs w:val="32"/>
        </w:rPr>
        <w:t>万元、公务员医疗补助费</w:t>
      </w:r>
      <w:r>
        <w:rPr>
          <w:rFonts w:hint="eastAsia" w:ascii="仿宋" w:eastAsia="仿宋"/>
          <w:sz w:val="32"/>
          <w:szCs w:val="32"/>
          <w:lang w:val="en-US" w:eastAsia="zh-CN"/>
        </w:rPr>
        <w:t>15.99</w:t>
      </w:r>
      <w:r>
        <w:rPr>
          <w:rFonts w:hint="eastAsia" w:ascii="仿宋" w:eastAsia="仿宋"/>
          <w:sz w:val="32"/>
          <w:szCs w:val="32"/>
        </w:rPr>
        <w:t>万元、其他社会保障缴费</w:t>
      </w:r>
      <w:r>
        <w:rPr>
          <w:rFonts w:hint="eastAsia" w:ascii="仿宋" w:eastAsia="仿宋"/>
          <w:sz w:val="32"/>
          <w:szCs w:val="32"/>
          <w:lang w:val="en-US" w:eastAsia="zh-CN"/>
        </w:rPr>
        <w:t>10.97</w:t>
      </w:r>
      <w:r>
        <w:rPr>
          <w:rFonts w:hint="eastAsia" w:ascii="仿宋" w:eastAsia="仿宋"/>
          <w:sz w:val="32"/>
          <w:szCs w:val="32"/>
        </w:rPr>
        <w:t>万元、住房公积金</w:t>
      </w:r>
      <w:r>
        <w:rPr>
          <w:rFonts w:hint="eastAsia" w:ascii="仿宋" w:eastAsia="仿宋"/>
          <w:sz w:val="32"/>
          <w:szCs w:val="32"/>
          <w:lang w:val="en-US" w:eastAsia="zh-CN"/>
        </w:rPr>
        <w:t>189.01</w:t>
      </w:r>
      <w:r>
        <w:rPr>
          <w:rFonts w:hint="eastAsia" w:ascii="仿宋" w:eastAsia="仿宋"/>
          <w:sz w:val="32"/>
          <w:szCs w:val="32"/>
        </w:rPr>
        <w:t>万元</w:t>
      </w:r>
      <w:r>
        <w:rPr>
          <w:rFonts w:hint="eastAsia" w:ascii="仿宋" w:eastAsia="仿宋"/>
          <w:sz w:val="32"/>
          <w:szCs w:val="32"/>
          <w:lang w:eastAsia="zh-CN"/>
        </w:rPr>
        <w:t>、</w:t>
      </w:r>
      <w:r>
        <w:rPr>
          <w:rFonts w:hint="eastAsia" w:ascii="仿宋" w:eastAsia="仿宋"/>
          <w:sz w:val="32"/>
          <w:szCs w:val="32"/>
          <w:lang w:val="en-US" w:eastAsia="zh-CN"/>
        </w:rPr>
        <w:t>医疗费10.65万元</w:t>
      </w:r>
      <w:r>
        <w:rPr>
          <w:rFonts w:hint="eastAsia" w:ascii="仿宋" w:eastAsia="仿宋"/>
          <w:sz w:val="32"/>
          <w:szCs w:val="32"/>
        </w:rPr>
        <w:t>等。</w:t>
      </w:r>
    </w:p>
    <w:p>
      <w:pPr>
        <w:pageBreakBefore w:val="0"/>
        <w:kinsoku/>
        <w:wordWrap/>
        <w:overflowPunct/>
        <w:topLinePunct w:val="0"/>
        <w:bidi w:val="0"/>
        <w:spacing w:line="560" w:lineRule="exact"/>
        <w:ind w:firstLine="645"/>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公用经费</w:t>
      </w:r>
      <w:r>
        <w:rPr>
          <w:rFonts w:hint="eastAsia" w:ascii="仿宋_GB2312" w:hAnsi="仿宋_GB2312" w:eastAsia="仿宋_GB2312" w:cs="仿宋_GB2312"/>
          <w:sz w:val="32"/>
          <w:szCs w:val="32"/>
          <w:lang w:val="en-US" w:eastAsia="zh-CN"/>
        </w:rPr>
        <w:t>61.70</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元，主要包括：主要为工会经费1</w:t>
      </w:r>
      <w:r>
        <w:rPr>
          <w:rFonts w:hint="eastAsia" w:eastAsia="仿宋_GB2312" w:cs="仿宋_GB2312"/>
          <w:color w:val="auto"/>
          <w:kern w:val="2"/>
          <w:sz w:val="32"/>
          <w:szCs w:val="32"/>
          <w:highlight w:val="none"/>
          <w:lang w:val="en-US" w:eastAsia="zh-CN" w:bidi="ar-SA"/>
        </w:rPr>
        <w:t>7</w:t>
      </w:r>
      <w:r>
        <w:rPr>
          <w:rFonts w:hint="eastAsia" w:ascii="Times New Roman" w:hAnsi="Times New Roman" w:eastAsia="仿宋_GB2312" w:cs="仿宋_GB2312"/>
          <w:color w:val="auto"/>
          <w:kern w:val="2"/>
          <w:sz w:val="32"/>
          <w:szCs w:val="32"/>
          <w:highlight w:val="none"/>
          <w:lang w:val="en-US" w:eastAsia="zh-CN" w:bidi="ar-SA"/>
        </w:rPr>
        <w:t>.9</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万元、办公费</w:t>
      </w:r>
      <w:r>
        <w:rPr>
          <w:rFonts w:hint="eastAsia" w:eastAsia="仿宋_GB2312" w:cs="仿宋_GB2312"/>
          <w:color w:val="auto"/>
          <w:kern w:val="2"/>
          <w:sz w:val="32"/>
          <w:szCs w:val="32"/>
          <w:highlight w:val="none"/>
          <w:lang w:val="en-US" w:eastAsia="zh-CN" w:bidi="ar-SA"/>
        </w:rPr>
        <w:t>0.47</w:t>
      </w:r>
      <w:r>
        <w:rPr>
          <w:rFonts w:hint="eastAsia" w:ascii="Times New Roman" w:hAnsi="Times New Roman" w:eastAsia="仿宋_GB2312" w:cs="仿宋_GB2312"/>
          <w:color w:val="auto"/>
          <w:kern w:val="2"/>
          <w:sz w:val="32"/>
          <w:szCs w:val="32"/>
          <w:highlight w:val="none"/>
          <w:lang w:val="en-US" w:eastAsia="zh-CN" w:bidi="ar-SA"/>
        </w:rPr>
        <w:t>万元、印刷费</w:t>
      </w:r>
      <w:r>
        <w:rPr>
          <w:rFonts w:hint="eastAsia" w:eastAsia="仿宋_GB2312" w:cs="仿宋_GB2312"/>
          <w:color w:val="auto"/>
          <w:kern w:val="2"/>
          <w:sz w:val="32"/>
          <w:szCs w:val="32"/>
          <w:highlight w:val="none"/>
          <w:lang w:val="en-US" w:eastAsia="zh-CN" w:bidi="ar-SA"/>
        </w:rPr>
        <w:t>8.19</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、委托业务费2.38万元、福利费9.96万元、其他商品和服务支出20.86万元、办公设备购置1.77万元、其他交通费0.13万元</w:t>
      </w:r>
      <w:r>
        <w:rPr>
          <w:rFonts w:hint="eastAsia" w:ascii="Times New Roman" w:hAnsi="Times New Roman" w:eastAsia="仿宋_GB2312" w:cs="仿宋_GB2312"/>
          <w:color w:val="auto"/>
          <w:kern w:val="2"/>
          <w:sz w:val="32"/>
          <w:szCs w:val="32"/>
          <w:highlight w:val="none"/>
          <w:lang w:val="en-US" w:eastAsia="zh-CN" w:bidi="ar-SA"/>
        </w:rPr>
        <w:t>等。</w:t>
      </w:r>
    </w:p>
    <w:p>
      <w:pPr>
        <w:spacing w:line="600" w:lineRule="exact"/>
        <w:ind w:firstLine="645"/>
        <w:rPr>
          <w:rFonts w:hint="eastAsia"/>
          <w:lang w:val="en-US" w:eastAsia="zh-CN"/>
        </w:rPr>
      </w:pPr>
      <w:r>
        <w:rPr>
          <w:rFonts w:hint="eastAsia" w:ascii="仿宋" w:eastAsia="仿宋"/>
          <w:b/>
          <w:sz w:val="32"/>
          <w:szCs w:val="32"/>
        </w:rPr>
        <w:t>（注：数据来源于财决</w:t>
      </w:r>
      <w:r>
        <w:rPr>
          <w:rFonts w:ascii="仿宋" w:eastAsia="仿宋"/>
          <w:b/>
          <w:sz w:val="32"/>
          <w:szCs w:val="32"/>
        </w:rPr>
        <w:t>0</w:t>
      </w:r>
      <w:r>
        <w:rPr>
          <w:rFonts w:hint="eastAsia" w:ascii="仿宋" w:eastAsia="仿宋"/>
          <w:b/>
          <w:sz w:val="32"/>
          <w:szCs w:val="32"/>
        </w:rPr>
        <w:t>7表和财决08-1表，仅罗列本单位实际支出涉及的经济分类科目。）</w:t>
      </w:r>
    </w:p>
    <w:p>
      <w:pPr>
        <w:spacing w:line="600" w:lineRule="exact"/>
        <w:ind w:firstLine="640"/>
        <w:outlineLvl w:val="1"/>
        <w:rPr>
          <w:rStyle w:val="29"/>
          <w:rFonts w:ascii="Times New Roman" w:hAnsi="Times New Roman" w:eastAsia="黑体"/>
          <w:b w:val="0"/>
          <w:color w:val="auto"/>
          <w:highlight w:val="none"/>
        </w:rPr>
      </w:pPr>
      <w:bookmarkStart w:id="36" w:name="_Toc15377215"/>
      <w:bookmarkStart w:id="37" w:name="_Toc15396609"/>
      <w:r>
        <w:rPr>
          <w:rFonts w:hint="eastAsia" w:ascii="Times New Roman" w:hAnsi="Times New Roman" w:eastAsia="黑体"/>
          <w:color w:val="auto"/>
          <w:sz w:val="32"/>
          <w:szCs w:val="32"/>
          <w:highlight w:val="none"/>
        </w:rPr>
        <w:t>七、</w:t>
      </w:r>
      <w:r>
        <w:rPr>
          <w:rStyle w:val="29"/>
          <w:rFonts w:hint="eastAsia" w:ascii="Times New Roman" w:hAnsi="Times New Roman" w:eastAsia="黑体"/>
          <w:b w:val="0"/>
          <w:color w:val="auto"/>
          <w:highlight w:val="none"/>
        </w:rPr>
        <w:t>财政拨款</w:t>
      </w:r>
      <w:r>
        <w:rPr>
          <w:rStyle w:val="29"/>
          <w:rFonts w:hint="eastAsia" w:ascii="Times New Roman" w:hAnsi="Times New Roman" w:eastAsia="黑体"/>
          <w:color w:val="auto"/>
          <w:highlight w:val="none"/>
        </w:rPr>
        <w:t>“</w:t>
      </w:r>
      <w:r>
        <w:rPr>
          <w:rStyle w:val="29"/>
          <w:rFonts w:hint="eastAsia" w:ascii="Times New Roman" w:hAnsi="Times New Roman" w:eastAsia="黑体"/>
          <w:b w:val="0"/>
          <w:color w:val="auto"/>
          <w:highlight w:val="none"/>
        </w:rPr>
        <w:t>三公”经费支出决算情况说明</w:t>
      </w:r>
      <w:bookmarkEnd w:id="36"/>
      <w:bookmarkEnd w:id="37"/>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8" w:name="_Toc15377216"/>
      <w:r>
        <w:rPr>
          <w:rFonts w:hint="eastAsia" w:ascii="Times New Roman" w:hAnsi="Times New Roman" w:eastAsia="楷体_GB2312" w:cs="楷体_GB2312"/>
          <w:b/>
          <w:color w:val="auto"/>
          <w:sz w:val="32"/>
          <w:szCs w:val="32"/>
          <w:highlight w:val="none"/>
        </w:rPr>
        <w:t>（一）“三公”经费财政拨款支出决算总体情况说明</w:t>
      </w:r>
      <w:bookmarkEnd w:id="38"/>
    </w:p>
    <w:p>
      <w:pPr>
        <w:spacing w:line="600" w:lineRule="exact"/>
        <w:ind w:firstLine="640"/>
        <w:rPr>
          <w:rFonts w:hint="default"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年度“三公”经费财政拨款支出决算为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较上年度增加/减少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9" w:name="_Toc15377217"/>
      <w:r>
        <w:rPr>
          <w:rFonts w:hint="eastAsia" w:ascii="Times New Roman" w:hAnsi="Times New Roman" w:eastAsia="楷体_GB2312" w:cs="楷体_GB2312"/>
          <w:b/>
          <w:color w:val="auto"/>
          <w:sz w:val="32"/>
          <w:szCs w:val="32"/>
          <w:highlight w:val="none"/>
        </w:rPr>
        <w:t>（二）“三公”经费财政拨款支出决算具体情况说明</w:t>
      </w:r>
      <w:bookmarkEnd w:id="39"/>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2025年度“三公”经费财政拨款支出决算中，因公出国（境）费支出决算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万元，占0%；公务用车购置及运行维护费支出决算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万元，占0%；公务接待费支出决算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万元，占0%。</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全年安排因公出国（境）团</w:t>
      </w:r>
      <w:r>
        <w:rPr>
          <w:rFonts w:hint="eastAsia" w:ascii="仿宋_GB2312" w:hAnsi="仿宋_GB2312" w:eastAsia="仿宋_GB2312" w:cs="仿宋_GB2312"/>
          <w:color w:val="auto"/>
          <w:kern w:val="2"/>
          <w:sz w:val="32"/>
          <w:szCs w:val="32"/>
          <w:highlight w:val="none"/>
          <w:lang w:val="en-US" w:eastAsia="zh-CN" w:bidi="ar-SA"/>
        </w:rPr>
        <w:t>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人</w:t>
      </w:r>
      <w:r>
        <w:rPr>
          <w:rFonts w:hint="eastAsia" w:ascii="Times New Roman" w:hAnsi="Times New Roman" w:eastAsia="仿宋_GB2312" w:cs="仿宋_GB2312"/>
          <w:color w:val="auto"/>
          <w:kern w:val="2"/>
          <w:sz w:val="32"/>
          <w:szCs w:val="32"/>
          <w:highlight w:val="none"/>
          <w:lang w:val="en-US" w:eastAsia="zh-CN" w:bidi="ar-SA"/>
        </w:rPr>
        <w:t>。因公出国（境）支出决算比202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0万</w:t>
      </w:r>
      <w:r>
        <w:rPr>
          <w:rFonts w:hint="eastAsia" w:ascii="Times New Roman" w:hAnsi="Times New Roman" w:eastAsia="仿宋_GB2312" w:cs="仿宋_GB2312"/>
          <w:b/>
          <w:bCs/>
          <w:color w:val="auto"/>
          <w:kern w:val="2"/>
          <w:sz w:val="32"/>
          <w:szCs w:val="32"/>
          <w:highlight w:val="none"/>
          <w:lang w:val="en-US" w:eastAsia="zh-CN" w:bidi="ar-SA"/>
        </w:rPr>
        <w:t>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公务用车购置及运行维护费支出决算比202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万元。全年按规定更新购置公务用车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辆，其中：轿车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辆、金额</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万元，越野车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辆、金额</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万元，载客汽车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辆、金额</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年12月31日，单位共有公务用车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辆，其中：轿车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辆、越野车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辆、载客汽车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w:t>
      </w:r>
    </w:p>
    <w:p>
      <w:pPr>
        <w:numPr>
          <w:ilvl w:val="0"/>
          <w:numId w:val="2"/>
        </w:num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公务接待费支出</w:t>
      </w:r>
      <w:r>
        <w:rPr>
          <w:rFonts w:hint="eastAsia" w:ascii="仿宋_GB2312" w:hAnsi="仿宋_GB2312" w:eastAsia="仿宋_GB2312" w:cs="仿宋_GB2312"/>
          <w:b/>
          <w:bCs/>
          <w:color w:val="auto"/>
          <w:kern w:val="2"/>
          <w:sz w:val="32"/>
          <w:szCs w:val="32"/>
          <w:highlight w:val="none"/>
          <w:lang w:val="en-US" w:eastAsia="zh-CN" w:bidi="ar-SA"/>
        </w:rPr>
        <w:t>0万</w:t>
      </w:r>
      <w:r>
        <w:rPr>
          <w:rFonts w:hint="eastAsia" w:ascii="Times New Roman" w:hAnsi="Times New Roman" w:eastAsia="仿宋_GB2312" w:cs="仿宋_GB2312"/>
          <w:b/>
          <w:bCs/>
          <w:color w:val="auto"/>
          <w:kern w:val="2"/>
          <w:sz w:val="32"/>
          <w:szCs w:val="32"/>
          <w:highlight w:val="none"/>
          <w:lang w:val="en-US" w:eastAsia="zh-CN" w:bidi="ar-SA"/>
        </w:rPr>
        <w:t>元，完成预算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公务接待费支出决算比202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w:t>
      </w:r>
    </w:p>
    <w:p>
      <w:pPr>
        <w:numPr>
          <w:ilvl w:val="0"/>
          <w:numId w:val="0"/>
        </w:num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国内公务接待支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元。国内公务接</w:t>
      </w:r>
      <w:r>
        <w:rPr>
          <w:rFonts w:hint="eastAsia" w:ascii="仿宋_GB2312" w:hAnsi="仿宋_GB2312" w:eastAsia="仿宋_GB2312" w:cs="仿宋_GB2312"/>
          <w:color w:val="auto"/>
          <w:kern w:val="2"/>
          <w:sz w:val="32"/>
          <w:szCs w:val="32"/>
          <w:highlight w:val="none"/>
          <w:lang w:val="en-US" w:eastAsia="zh-CN" w:bidi="ar-SA"/>
        </w:rPr>
        <w:t>待</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外事接待支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万元。外事接待</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人次（不包括陪同人员），共计支出0万</w:t>
      </w:r>
      <w:r>
        <w:rPr>
          <w:rFonts w:hint="eastAsia" w:ascii="Times New Roman" w:hAnsi="Times New Roman" w:eastAsia="仿宋_GB2312" w:cs="仿宋_GB2312"/>
          <w:color w:val="auto"/>
          <w:kern w:val="2"/>
          <w:sz w:val="32"/>
          <w:szCs w:val="32"/>
          <w:highlight w:val="none"/>
          <w:lang w:val="en-US" w:eastAsia="zh-CN" w:bidi="ar-SA"/>
        </w:rPr>
        <w:t>元。</w:t>
      </w:r>
      <w:bookmarkStart w:id="40" w:name="_Toc15396610"/>
      <w:bookmarkStart w:id="41" w:name="_Toc15377218"/>
    </w:p>
    <w:p>
      <w:pPr>
        <w:spacing w:line="600" w:lineRule="exact"/>
        <w:ind w:firstLine="640"/>
        <w:outlineLvl w:val="1"/>
        <w:rPr>
          <w:rStyle w:val="29"/>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29"/>
          <w:rFonts w:hint="eastAsia" w:ascii="Times New Roman" w:hAnsi="Times New Roman" w:eastAsia="黑体"/>
          <w:b w:val="0"/>
          <w:color w:val="auto"/>
          <w:highlight w:val="none"/>
        </w:rPr>
        <w:t>政府性基金预算支出决算情况说明</w:t>
      </w:r>
      <w:bookmarkEnd w:id="40"/>
      <w:bookmarkEnd w:id="41"/>
    </w:p>
    <w:p>
      <w:pPr>
        <w:numPr>
          <w:ilvl w:val="0"/>
          <w:numId w:val="0"/>
        </w:numPr>
        <w:spacing w:line="600" w:lineRule="exact"/>
        <w:ind w:left="630" w:leftChars="0"/>
        <w:outlineLvl w:val="1"/>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2025年度政府性基金预算财政拨款支出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。与202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年度相比，政府性基金预算财政拨款支出增加/减少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w:t>
      </w:r>
      <w:bookmarkStart w:id="42" w:name="_Toc15377219"/>
      <w:bookmarkStart w:id="43" w:name="_Toc15396611"/>
    </w:p>
    <w:p>
      <w:pPr>
        <w:numPr>
          <w:ilvl w:val="0"/>
          <w:numId w:val="0"/>
        </w:numPr>
        <w:spacing w:line="600" w:lineRule="exact"/>
        <w:ind w:left="630" w:leftChars="0"/>
        <w:outlineLvl w:val="1"/>
        <w:rPr>
          <w:rStyle w:val="29"/>
          <w:rFonts w:ascii="Times New Roman" w:hAnsi="Times New Roman" w:eastAsia="黑体"/>
          <w:b w:val="0"/>
          <w:color w:val="auto"/>
          <w:highlight w:val="none"/>
        </w:rPr>
      </w:pPr>
      <w:r>
        <w:rPr>
          <w:rStyle w:val="29"/>
          <w:rFonts w:hint="eastAsia" w:ascii="Times New Roman" w:hAnsi="Times New Roman" w:eastAsia="黑体"/>
          <w:b w:val="0"/>
          <w:color w:val="auto"/>
          <w:highlight w:val="none"/>
          <w:lang w:eastAsia="zh-CN"/>
        </w:rPr>
        <w:t>九、</w:t>
      </w:r>
      <w:r>
        <w:rPr>
          <w:rStyle w:val="29"/>
          <w:rFonts w:hint="eastAsia" w:ascii="Times New Roman" w:hAnsi="Times New Roman" w:eastAsia="黑体"/>
          <w:b w:val="0"/>
          <w:color w:val="auto"/>
          <w:highlight w:val="none"/>
        </w:rPr>
        <w:t>国有资本经营预算支出决算情况说明</w:t>
      </w:r>
      <w:bookmarkEnd w:id="42"/>
      <w:bookmarkEnd w:id="43"/>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年度国有资本经营预算财政拨款支出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。与202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年度相比，国有资本经营预算财政拨款支出增加/减少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numPr>
          <w:ilvl w:val="0"/>
          <w:numId w:val="0"/>
        </w:numPr>
        <w:spacing w:line="600" w:lineRule="exact"/>
        <w:ind w:left="630" w:leftChars="0"/>
        <w:outlineLvl w:val="1"/>
        <w:rPr>
          <w:rStyle w:val="29"/>
          <w:rFonts w:hint="eastAsia" w:ascii="Times New Roman" w:hAnsi="Times New Roman" w:eastAsia="黑体"/>
          <w:b w:val="0"/>
          <w:color w:val="auto"/>
          <w:highlight w:val="none"/>
        </w:rPr>
      </w:pPr>
      <w:bookmarkStart w:id="44" w:name="_Toc15396612"/>
      <w:bookmarkStart w:id="45" w:name="_Toc15377221"/>
      <w:r>
        <w:rPr>
          <w:rStyle w:val="29"/>
          <w:rFonts w:hint="eastAsia" w:ascii="Times New Roman" w:hAnsi="Times New Roman" w:eastAsia="黑体"/>
          <w:b w:val="0"/>
          <w:color w:val="auto"/>
          <w:highlight w:val="none"/>
          <w:lang w:eastAsia="zh-CN"/>
        </w:rPr>
        <w:t>十、</w:t>
      </w:r>
      <w:r>
        <w:rPr>
          <w:rStyle w:val="29"/>
          <w:rFonts w:hint="eastAsia" w:ascii="Times New Roman" w:hAnsi="Times New Roman" w:eastAsia="黑体"/>
          <w:b w:val="0"/>
          <w:color w:val="auto"/>
          <w:highlight w:val="none"/>
        </w:rPr>
        <w:t>其他重要事项的情况说明</w:t>
      </w:r>
      <w:bookmarkEnd w:id="44"/>
      <w:bookmarkEnd w:id="45"/>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6" w:name="_Toc15377222"/>
      <w:r>
        <w:rPr>
          <w:rFonts w:hint="eastAsia" w:ascii="Times New Roman" w:hAnsi="Times New Roman" w:eastAsia="楷体_GB2312" w:cs="楷体_GB2312"/>
          <w:b/>
          <w:color w:val="auto"/>
          <w:sz w:val="32"/>
          <w:szCs w:val="32"/>
          <w:highlight w:val="none"/>
        </w:rPr>
        <w:t>（一）机关运行经费支出情况</w:t>
      </w:r>
      <w:bookmarkEnd w:id="46"/>
    </w:p>
    <w:p>
      <w:pPr>
        <w:spacing w:line="600" w:lineRule="exact"/>
        <w:ind w:firstLine="640" w:firstLineChars="200"/>
        <w:outlineLvl w:val="2"/>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2024年度</w:t>
      </w:r>
      <w:r>
        <w:rPr>
          <w:rFonts w:hint="eastAsia" w:ascii="仿宋_GB2312" w:hAnsi="仿宋_GB2312"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红原县瓦切镇小学</w:t>
      </w:r>
      <w:r>
        <w:rPr>
          <w:rFonts w:hint="eastAsia" w:ascii="仿宋_GB2312" w:hAnsi="仿宋_GB2312"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元，比2023年度增加/减少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w:t>
      </w:r>
      <w:bookmarkStart w:id="47" w:name="_Toc15377223"/>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（二）政府采购支出情况</w:t>
      </w:r>
      <w:bookmarkEnd w:id="47"/>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w:t>
      </w:r>
      <w:r>
        <w:rPr>
          <w:rFonts w:hint="eastAsia" w:ascii="仿宋_GB2312" w:hAnsi="仿宋_GB2312" w:eastAsia="仿宋_GB2312" w:cs="仿宋_GB2312"/>
          <w:sz w:val="32"/>
          <w:szCs w:val="32"/>
        </w:rPr>
        <w:t>红原县瓦切镇小学</w:t>
      </w:r>
      <w:r>
        <w:rPr>
          <w:rFonts w:hint="eastAsia" w:ascii="仿宋_GB2312" w:hAnsi="仿宋_GB2312"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万元。授予中小企业合同金额</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%，其中：授予小微企业合同金额</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8" w:name="_Toc15377224"/>
      <w:r>
        <w:rPr>
          <w:rFonts w:hint="eastAsia" w:ascii="Times New Roman" w:hAnsi="Times New Roman" w:eastAsia="楷体_GB2312" w:cs="楷体_GB2312"/>
          <w:b/>
          <w:color w:val="auto"/>
          <w:sz w:val="32"/>
          <w:szCs w:val="32"/>
          <w:highlight w:val="none"/>
        </w:rPr>
        <w:t>（三）国有资产占有使用情况</w:t>
      </w:r>
      <w:bookmarkEnd w:id="48"/>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截至2025年12月31日，</w:t>
      </w:r>
      <w:r>
        <w:rPr>
          <w:rFonts w:hint="eastAsia" w:ascii="仿宋_GB2312" w:hAnsi="仿宋_GB2312" w:eastAsia="仿宋_GB2312" w:cs="仿宋_GB2312"/>
          <w:sz w:val="32"/>
          <w:szCs w:val="32"/>
        </w:rPr>
        <w:t>红原县瓦切镇小学</w:t>
      </w:r>
      <w:r>
        <w:rPr>
          <w:rFonts w:hint="eastAsia" w:ascii="仿宋_GB2312" w:hAnsi="仿宋_GB2312"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辆，其中：主要负责人用车</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辆，单价100万元（含）以上设备（不含车辆）</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台（套）</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预算绩效管理要求，本单位在年初预算编制阶段，由学校领导牵头召开会议，制定学校规章制度，通过会议明确各处职责，学校开展考勤制度，确保执行，强化绩效，公开透明的公开化，管好用好财政资金更好的使用绩效。绩效考核作为资金管理与分配的核心依据，根据</w:t>
      </w:r>
      <w:r>
        <w:rPr>
          <w:rFonts w:hint="eastAsia" w:ascii="仿宋_GB2312" w:hAnsi="仿宋_GB2312" w:eastAsia="仿宋_GB2312" w:cs="仿宋_GB2312"/>
          <w:sz w:val="32"/>
          <w:szCs w:val="32"/>
          <w:lang w:val="zh-CN"/>
        </w:rPr>
        <w:t>工作规划和重点工作</w:t>
      </w:r>
      <w:r>
        <w:rPr>
          <w:rFonts w:hint="eastAsia" w:ascii="仿宋_GB2312" w:hAnsi="仿宋_GB2312" w:eastAsia="仿宋_GB2312" w:cs="仿宋_GB2312"/>
          <w:sz w:val="32"/>
          <w:szCs w:val="32"/>
        </w:rPr>
        <w:t>规划</w:t>
      </w:r>
      <w:r>
        <w:rPr>
          <w:rFonts w:hint="eastAsia" w:ascii="仿宋_GB2312" w:hAnsi="仿宋_GB2312" w:eastAsia="仿宋_GB2312" w:cs="仿宋_GB2312"/>
          <w:sz w:val="32"/>
          <w:szCs w:val="32"/>
          <w:lang w:val="zh-CN"/>
        </w:rPr>
        <w:t>，积极履行职责，强化本单位预算管理，</w:t>
      </w:r>
      <w:r>
        <w:rPr>
          <w:rFonts w:hint="eastAsia" w:ascii="仿宋_GB2312" w:hAnsi="仿宋_GB2312" w:eastAsia="仿宋_GB2312" w:cs="仿宋_GB2312"/>
          <w:sz w:val="32"/>
          <w:szCs w:val="32"/>
        </w:rPr>
        <w:t>单位进一步提高预算绩效管理认识，学校建立内部绩效评价工作考核制度，年终对有关业务的绩效评价工作开展情况进行考核，作为年终工作目标量化考核内容之一。强化以“绩效为中心、对支出结果负责、对社会公众负责”的理念，在绩效目标编制方面，数量目标和质量目标量化不细，效益目标编制不完整等方面加以了改善。加强预算绩效动态监控管理，加强相关人员的业务培训，进一步提高预算绩效评价质量。</w:t>
      </w:r>
    </w:p>
    <w:p>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在绩效目标编制方面，加强预算绩效动态监控管理，加强相关人员的业务培训，进一步提高预算绩效评价质量。积极履行职责，强化本单位预算管理，较好地完成年初绩效工作。</w:t>
      </w:r>
    </w:p>
    <w:p>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绩效管理机制工作不断推进，学校绩效目标编制方面，针对绩效目标设置指向不清、预算和目标匹配不足，目标编制不完整等方面加以了改善。目前单位绩效评价结果还停留在反映情况、找问题、提建议层面，评价结果和预算安排有机结合的机制尚未真正建立，还在逐步搭建，要进一步提高预算绩效管理认识，更好的实施绩效管理工作。</w:t>
      </w: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pStyle w:val="2"/>
        <w:rPr>
          <w:rFonts w:hint="eastAsia" w:ascii="Times New Roman" w:hAnsi="Times New Roman" w:eastAsia="仿宋_GB2312" w:cs="仿宋_GB2312"/>
          <w:color w:val="auto"/>
          <w:kern w:val="2"/>
          <w:sz w:val="32"/>
          <w:szCs w:val="32"/>
          <w:highlight w:val="none"/>
          <w:lang w:val="en-US" w:eastAsia="zh-CN" w:bidi="ar-SA"/>
        </w:rPr>
      </w:pPr>
    </w:p>
    <w:p>
      <w:pPr>
        <w:pStyle w:val="2"/>
        <w:rPr>
          <w:rFonts w:hint="eastAsia" w:ascii="Times New Roman" w:hAnsi="Times New Roman" w:eastAsia="仿宋_GB2312" w:cs="仿宋_GB2312"/>
          <w:color w:val="auto"/>
          <w:kern w:val="2"/>
          <w:sz w:val="32"/>
          <w:szCs w:val="32"/>
          <w:highlight w:val="none"/>
          <w:lang w:val="en-US" w:eastAsia="zh-CN" w:bidi="ar-SA"/>
        </w:rPr>
      </w:pPr>
    </w:p>
    <w:p>
      <w:pPr>
        <w:pStyle w:val="2"/>
        <w:rPr>
          <w:rFonts w:hint="eastAsia" w:ascii="Times New Roman" w:hAnsi="Times New Roman" w:eastAsia="仿宋_GB2312" w:cs="仿宋_GB2312"/>
          <w:color w:val="auto"/>
          <w:kern w:val="2"/>
          <w:sz w:val="32"/>
          <w:szCs w:val="32"/>
          <w:highlight w:val="none"/>
          <w:lang w:val="en-US" w:eastAsia="zh-CN" w:bidi="ar-SA"/>
        </w:rPr>
      </w:pPr>
    </w:p>
    <w:p>
      <w:pPr>
        <w:pStyle w:val="2"/>
        <w:rPr>
          <w:rFonts w:hint="eastAsia" w:ascii="Times New Roman" w:hAnsi="Times New Roman" w:eastAsia="仿宋_GB2312" w:cs="仿宋_GB2312"/>
          <w:color w:val="auto"/>
          <w:kern w:val="2"/>
          <w:sz w:val="32"/>
          <w:szCs w:val="32"/>
          <w:highlight w:val="none"/>
          <w:lang w:val="en-US" w:eastAsia="zh-CN" w:bidi="ar-SA"/>
        </w:rPr>
      </w:pPr>
    </w:p>
    <w:p>
      <w:pPr>
        <w:pStyle w:val="2"/>
        <w:rPr>
          <w:rFonts w:hint="eastAsia" w:ascii="Times New Roman" w:hAnsi="Times New Roman" w:eastAsia="仿宋_GB2312" w:cs="仿宋_GB2312"/>
          <w:color w:val="auto"/>
          <w:kern w:val="2"/>
          <w:sz w:val="32"/>
          <w:szCs w:val="32"/>
          <w:highlight w:val="none"/>
          <w:lang w:val="en-US" w:eastAsia="zh-CN" w:bidi="ar-SA"/>
        </w:rPr>
      </w:pPr>
    </w:p>
    <w:p>
      <w:pPr>
        <w:pStyle w:val="2"/>
        <w:rPr>
          <w:rFonts w:hint="eastAsia" w:ascii="Times New Roman" w:hAnsi="Times New Roman" w:eastAsia="仿宋_GB2312" w:cs="仿宋_GB2312"/>
          <w:color w:val="auto"/>
          <w:kern w:val="2"/>
          <w:sz w:val="32"/>
          <w:szCs w:val="32"/>
          <w:highlight w:val="none"/>
          <w:lang w:val="en-US" w:eastAsia="zh-CN" w:bidi="ar-SA"/>
        </w:rPr>
      </w:pPr>
    </w:p>
    <w:p>
      <w:pPr>
        <w:pStyle w:val="2"/>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49" w:name="_Toc15396613"/>
      <w:bookmarkStart w:id="50" w:name="_Toc15377225"/>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9"/>
      <w:bookmarkEnd w:id="50"/>
    </w:p>
    <w:p>
      <w:pPr>
        <w:spacing w:line="600" w:lineRule="exact"/>
        <w:jc w:val="left"/>
        <w:rPr>
          <w:rFonts w:ascii="Times New Roman" w:hAnsi="Times New Roman"/>
          <w:b/>
          <w:color w:val="auto"/>
          <w:sz w:val="44"/>
          <w:szCs w:val="44"/>
          <w:highlight w:val="none"/>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2.事业收入：指事业单位开展专业业务活动及辅助活动取得的收入。</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3.经营收入：指事业单位在专业业务活动及其辅助活动之外开展非独立核算经营活动取得的收入。</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4.其他收入：指单位取得的除上述收入以外的各项收入。 </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5.使用非财政拨款结余（含专用结余）：指事业单位使用以前年度积累的非财政拨款结余弥补当年收支差额的金额。 </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6.年初结转和结余：指以前年度尚未完成、结转到本年按有关规定继续使用的资金。 </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7.结余分配：指事业单位按照会计制度规定缴纳的所得税、提取的专用结余以及转入非财政拨款结余的金额等。</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8.年末结转和结余：指单位按有关规定结转到下年或以后年度继续使用的资金。</w:t>
      </w:r>
    </w:p>
    <w:p>
      <w:pPr>
        <w:pageBreakBefore w:val="0"/>
        <w:kinsoku/>
        <w:wordWrap/>
        <w:overflowPunct/>
        <w:topLinePunct w:val="0"/>
        <w:bidi w:val="0"/>
        <w:spacing w:line="560" w:lineRule="exact"/>
        <w:ind w:firstLine="640" w:firstLineChars="200"/>
        <w:textAlignment w:val="auto"/>
        <w:rPr>
          <w:rFonts w:ascii="仿宋_GB2312" w:eastAsia="仿宋_GB2312"/>
          <w:color w:val="000000"/>
          <w:sz w:val="32"/>
          <w:szCs w:val="32"/>
        </w:rPr>
      </w:pPr>
      <w:r>
        <w:rPr>
          <w:rFonts w:hint="eastAsia" w:ascii="仿宋_GB2312" w:eastAsia="仿宋_GB2312"/>
          <w:color w:val="000000"/>
          <w:sz w:val="32"/>
          <w:szCs w:val="32"/>
        </w:rPr>
        <w:t>9.教育</w:t>
      </w:r>
      <w:r>
        <w:rPr>
          <w:rFonts w:ascii="仿宋_GB2312" w:eastAsia="仿宋_GB2312"/>
          <w:color w:val="000000"/>
          <w:sz w:val="32"/>
          <w:szCs w:val="32"/>
        </w:rPr>
        <w:t>2050201：制学前教育收入；2050202</w:t>
      </w:r>
      <w:r>
        <w:rPr>
          <w:rFonts w:hint="eastAsia" w:ascii="仿宋_GB2312" w:eastAsia="仿宋_GB2312"/>
          <w:color w:val="000000"/>
          <w:sz w:val="32"/>
          <w:szCs w:val="32"/>
        </w:rPr>
        <w:t>：指小学教育收入；</w:t>
      </w:r>
      <w:r>
        <w:rPr>
          <w:rFonts w:ascii="仿宋_GB2312" w:eastAsia="仿宋_GB2312"/>
          <w:color w:val="000000"/>
          <w:sz w:val="32"/>
          <w:szCs w:val="32"/>
        </w:rPr>
        <w:t>2050299</w:t>
      </w:r>
      <w:r>
        <w:rPr>
          <w:rFonts w:hint="eastAsia" w:ascii="仿宋_GB2312" w:eastAsia="仿宋_GB2312"/>
          <w:color w:val="000000"/>
          <w:sz w:val="32"/>
          <w:szCs w:val="32"/>
        </w:rPr>
        <w:t>：指其他普通教育支出</w:t>
      </w:r>
      <w:r>
        <w:rPr>
          <w:rFonts w:ascii="仿宋_GB2312" w:eastAsia="仿宋_GB2312"/>
          <w:color w:val="000000"/>
          <w:sz w:val="32"/>
          <w:szCs w:val="32"/>
        </w:rPr>
        <w:t>；</w:t>
      </w:r>
    </w:p>
    <w:p>
      <w:pPr>
        <w:pageBreakBefore w:val="0"/>
        <w:kinsoku/>
        <w:wordWrap/>
        <w:overflowPunct/>
        <w:topLinePunct w:val="0"/>
        <w:bidi w:val="0"/>
        <w:spacing w:line="560" w:lineRule="exact"/>
        <w:ind w:firstLine="640" w:firstLineChars="200"/>
        <w:textAlignment w:val="auto"/>
        <w:rPr>
          <w:rFonts w:ascii="仿宋_GB2312" w:eastAsia="仿宋_GB2312"/>
          <w:color w:val="000000"/>
          <w:sz w:val="32"/>
          <w:szCs w:val="32"/>
        </w:rPr>
      </w:pPr>
      <w:r>
        <w:rPr>
          <w:rFonts w:hint="eastAsia" w:ascii="仿宋_GB2312" w:eastAsia="仿宋_GB2312"/>
          <w:color w:val="000000"/>
          <w:sz w:val="32"/>
          <w:szCs w:val="32"/>
        </w:rPr>
        <w:t>10</w:t>
      </w:r>
      <w:r>
        <w:rPr>
          <w:rFonts w:ascii="仿宋_GB2312" w:eastAsia="仿宋_GB2312"/>
          <w:color w:val="000000"/>
          <w:sz w:val="32"/>
          <w:szCs w:val="32"/>
        </w:rPr>
        <w:t>.</w:t>
      </w:r>
      <w:r>
        <w:rPr>
          <w:rFonts w:hint="eastAsia" w:ascii="仿宋_GB2312" w:eastAsia="仿宋_GB2312"/>
          <w:color w:val="000000"/>
          <w:sz w:val="32"/>
          <w:szCs w:val="32"/>
        </w:rPr>
        <w:t>社会保障和就业</w:t>
      </w:r>
      <w:r>
        <w:rPr>
          <w:rFonts w:ascii="仿宋_GB2312" w:eastAsia="仿宋_GB2312"/>
          <w:color w:val="000000"/>
          <w:sz w:val="32"/>
          <w:szCs w:val="32"/>
        </w:rPr>
        <w:t>2080505</w:t>
      </w:r>
      <w:r>
        <w:rPr>
          <w:rFonts w:hint="eastAsia" w:ascii="仿宋_GB2312" w:eastAsia="仿宋_GB2312"/>
          <w:color w:val="000000"/>
          <w:sz w:val="32"/>
          <w:szCs w:val="32"/>
        </w:rPr>
        <w:t>：</w:t>
      </w:r>
      <w:r>
        <w:rPr>
          <w:rFonts w:ascii="仿宋_GB2312" w:eastAsia="仿宋_GB2312"/>
          <w:color w:val="000000"/>
          <w:sz w:val="32"/>
          <w:szCs w:val="32"/>
        </w:rPr>
        <w:t xml:space="preserve"> </w:t>
      </w:r>
      <w:r>
        <w:rPr>
          <w:rFonts w:hint="eastAsia" w:ascii="仿宋_GB2312" w:eastAsia="仿宋_GB2312"/>
          <w:color w:val="000000"/>
          <w:sz w:val="32"/>
          <w:szCs w:val="32"/>
        </w:rPr>
        <w:t>指机关事业单位基本养老保险；</w:t>
      </w:r>
      <w:r>
        <w:rPr>
          <w:rFonts w:ascii="仿宋_GB2312" w:eastAsia="仿宋_GB2312"/>
          <w:color w:val="000000"/>
          <w:sz w:val="32"/>
          <w:szCs w:val="32"/>
        </w:rPr>
        <w:t>2080506</w:t>
      </w:r>
      <w:r>
        <w:rPr>
          <w:rFonts w:hint="eastAsia" w:ascii="仿宋_GB2312" w:eastAsia="仿宋_GB2312"/>
          <w:color w:val="000000"/>
          <w:sz w:val="32"/>
          <w:szCs w:val="32"/>
        </w:rPr>
        <w:t>：指机关事业单位职业年金缴费支出。</w:t>
      </w:r>
    </w:p>
    <w:p>
      <w:pPr>
        <w:pageBreakBefore w:val="0"/>
        <w:kinsoku/>
        <w:wordWrap/>
        <w:overflowPunct/>
        <w:topLinePunct w:val="0"/>
        <w:bidi w:val="0"/>
        <w:spacing w:line="560" w:lineRule="exact"/>
        <w:ind w:firstLine="640" w:firstLineChars="200"/>
        <w:textAlignment w:val="auto"/>
        <w:rPr>
          <w:rFonts w:ascii="仿宋_GB2312" w:eastAsia="仿宋_GB2312"/>
          <w:color w:val="000000"/>
          <w:sz w:val="32"/>
          <w:szCs w:val="32"/>
        </w:rPr>
      </w:pPr>
      <w:r>
        <w:rPr>
          <w:rFonts w:hint="eastAsia" w:ascii="仿宋_GB2312" w:eastAsia="仿宋_GB2312"/>
          <w:color w:val="000000"/>
          <w:sz w:val="32"/>
          <w:szCs w:val="32"/>
        </w:rPr>
        <w:t>11</w:t>
      </w:r>
      <w:r>
        <w:rPr>
          <w:rFonts w:ascii="仿宋_GB2312" w:eastAsia="仿宋_GB2312"/>
          <w:color w:val="000000"/>
          <w:sz w:val="32"/>
          <w:szCs w:val="32"/>
        </w:rPr>
        <w:t>.</w:t>
      </w:r>
      <w:r>
        <w:rPr>
          <w:rFonts w:hint="eastAsia" w:ascii="仿宋_GB2312" w:eastAsia="仿宋_GB2312"/>
          <w:color w:val="000000"/>
          <w:sz w:val="32"/>
          <w:szCs w:val="32"/>
        </w:rPr>
        <w:t>医疗卫生与计划生育</w:t>
      </w:r>
      <w:r>
        <w:rPr>
          <w:rFonts w:ascii="仿宋_GB2312" w:eastAsia="仿宋_GB2312"/>
          <w:color w:val="000000"/>
          <w:sz w:val="32"/>
          <w:szCs w:val="32"/>
        </w:rPr>
        <w:t>2101102</w:t>
      </w:r>
      <w:r>
        <w:rPr>
          <w:rFonts w:hint="eastAsia" w:ascii="仿宋_GB2312" w:eastAsia="仿宋_GB2312"/>
          <w:color w:val="000000"/>
          <w:sz w:val="32"/>
          <w:szCs w:val="32"/>
        </w:rPr>
        <w:t>：指事业单位医疗；</w:t>
      </w:r>
      <w:r>
        <w:rPr>
          <w:rFonts w:ascii="仿宋_GB2312" w:eastAsia="仿宋_GB2312"/>
          <w:color w:val="000000"/>
          <w:sz w:val="32"/>
          <w:szCs w:val="32"/>
        </w:rPr>
        <w:t>2101199;</w:t>
      </w:r>
      <w:r>
        <w:rPr>
          <w:rFonts w:hint="eastAsia" w:ascii="仿宋_GB2312" w:eastAsia="仿宋_GB2312"/>
          <w:color w:val="000000"/>
          <w:sz w:val="32"/>
          <w:szCs w:val="32"/>
        </w:rPr>
        <w:t>指其他行政事业单位医疗支出。</w:t>
      </w:r>
    </w:p>
    <w:p>
      <w:pPr>
        <w:pageBreakBefore w:val="0"/>
        <w:kinsoku/>
        <w:wordWrap/>
        <w:overflowPunct/>
        <w:topLinePunct w:val="0"/>
        <w:bidi w:val="0"/>
        <w:spacing w:line="560" w:lineRule="exact"/>
        <w:ind w:firstLine="640" w:firstLineChars="200"/>
        <w:textAlignment w:val="auto"/>
        <w:rPr>
          <w:rFonts w:ascii="仿宋_GB2312" w:eastAsia="仿宋_GB2312"/>
          <w:color w:val="000000"/>
          <w:sz w:val="32"/>
          <w:szCs w:val="32"/>
        </w:rPr>
      </w:pPr>
      <w:r>
        <w:rPr>
          <w:rFonts w:hint="eastAsia" w:ascii="仿宋_GB2312" w:eastAsia="仿宋_GB2312"/>
          <w:color w:val="000000"/>
          <w:sz w:val="32"/>
          <w:szCs w:val="32"/>
        </w:rPr>
        <w:t>12</w:t>
      </w:r>
      <w:r>
        <w:rPr>
          <w:rFonts w:ascii="仿宋_GB2312" w:eastAsia="仿宋_GB2312"/>
          <w:color w:val="000000"/>
          <w:sz w:val="32"/>
          <w:szCs w:val="32"/>
        </w:rPr>
        <w:t>.</w:t>
      </w:r>
      <w:r>
        <w:rPr>
          <w:rFonts w:hint="eastAsia" w:ascii="仿宋_GB2312" w:eastAsia="仿宋_GB2312"/>
          <w:color w:val="000000"/>
          <w:sz w:val="32"/>
          <w:szCs w:val="32"/>
        </w:rPr>
        <w:t>住房保障</w:t>
      </w:r>
      <w:r>
        <w:rPr>
          <w:rFonts w:ascii="仿宋_GB2312" w:eastAsia="仿宋_GB2312"/>
          <w:color w:val="000000"/>
          <w:sz w:val="32"/>
          <w:szCs w:val="32"/>
        </w:rPr>
        <w:t>2210201</w:t>
      </w:r>
      <w:r>
        <w:rPr>
          <w:rFonts w:hint="eastAsia" w:ascii="仿宋_GB2312" w:eastAsia="仿宋_GB2312"/>
          <w:color w:val="000000"/>
          <w:sz w:val="32"/>
          <w:szCs w:val="32"/>
        </w:rPr>
        <w:t>：指住房公积金。</w:t>
      </w:r>
    </w:p>
    <w:p>
      <w:pPr>
        <w:pageBreakBefore w:val="0"/>
        <w:kinsoku/>
        <w:wordWrap/>
        <w:overflowPunct/>
        <w:topLinePunct w:val="0"/>
        <w:bidi w:val="0"/>
        <w:spacing w:line="560" w:lineRule="exact"/>
        <w:ind w:firstLine="640" w:firstLineChars="200"/>
        <w:textAlignment w:val="auto"/>
        <w:rPr>
          <w:rFonts w:ascii="仿宋_GB2312" w:eastAsia="仿宋_GB2312"/>
          <w:sz w:val="32"/>
          <w:szCs w:val="32"/>
        </w:rPr>
      </w:pPr>
      <w:r>
        <w:rPr>
          <w:rFonts w:ascii="仿宋_GB2312" w:eastAsia="仿宋_GB2312"/>
          <w:sz w:val="32"/>
          <w:szCs w:val="32"/>
        </w:rPr>
        <w:t>13.</w:t>
      </w:r>
      <w:r>
        <w:rPr>
          <w:rFonts w:hint="eastAsia" w:ascii="仿宋_GB2312" w:eastAsia="仿宋_GB2312"/>
          <w:sz w:val="32"/>
          <w:szCs w:val="32"/>
        </w:rPr>
        <w:t>基本支出：指为保障机构正常运转、完成日常工作任务而发生的人员支出和公用支出。</w:t>
      </w:r>
    </w:p>
    <w:p>
      <w:pPr>
        <w:pageBreakBefore w:val="0"/>
        <w:kinsoku/>
        <w:wordWrap/>
        <w:overflowPunct/>
        <w:topLinePunct w:val="0"/>
        <w:bidi w:val="0"/>
        <w:spacing w:line="560" w:lineRule="exact"/>
        <w:ind w:firstLine="640" w:firstLineChars="200"/>
        <w:textAlignment w:val="auto"/>
        <w:rPr>
          <w:rFonts w:ascii="仿宋_GB2312" w:eastAsia="仿宋_GB2312"/>
          <w:sz w:val="32"/>
          <w:szCs w:val="32"/>
        </w:rPr>
      </w:pPr>
      <w:r>
        <w:rPr>
          <w:rFonts w:ascii="仿宋_GB2312" w:eastAsia="仿宋_GB2312"/>
          <w:sz w:val="32"/>
          <w:szCs w:val="32"/>
        </w:rPr>
        <w:t>14.</w:t>
      </w:r>
      <w:r>
        <w:rPr>
          <w:rFonts w:hint="eastAsia" w:ascii="仿宋_GB2312" w:eastAsia="仿宋_GB2312"/>
          <w:sz w:val="32"/>
          <w:szCs w:val="32"/>
        </w:rPr>
        <w:t>项目支出：指在基本支出之外为完成特定行政任务和事业发展目标所发生的支出。</w:t>
      </w:r>
      <w:r>
        <w:rPr>
          <w:rFonts w:ascii="仿宋_GB2312" w:eastAsia="仿宋_GB2312"/>
          <w:sz w:val="32"/>
          <w:szCs w:val="32"/>
        </w:rPr>
        <w:t xml:space="preserve"> </w:t>
      </w:r>
    </w:p>
    <w:p>
      <w:pPr>
        <w:pageBreakBefore w:val="0"/>
        <w:kinsoku/>
        <w:wordWrap/>
        <w:overflowPunct/>
        <w:topLinePunct w:val="0"/>
        <w:bidi w:val="0"/>
        <w:spacing w:line="560" w:lineRule="exact"/>
        <w:ind w:firstLine="640" w:firstLineChars="200"/>
        <w:textAlignment w:val="auto"/>
        <w:rPr>
          <w:rFonts w:ascii="仿宋_GB2312" w:eastAsia="仿宋_GB2312"/>
          <w:sz w:val="32"/>
          <w:szCs w:val="32"/>
        </w:rPr>
      </w:pPr>
      <w:r>
        <w:rPr>
          <w:rFonts w:ascii="仿宋_GB2312" w:eastAsia="仿宋_GB2312"/>
          <w:sz w:val="32"/>
          <w:szCs w:val="32"/>
        </w:rPr>
        <w:t>15.</w:t>
      </w:r>
      <w:r>
        <w:rPr>
          <w:rFonts w:hint="eastAsia" w:ascii="仿宋_GB2312" w:eastAsia="仿宋_GB2312"/>
          <w:sz w:val="32"/>
          <w:szCs w:val="32"/>
        </w:rPr>
        <w:t>经营支出：指事业单位在专业业务活动及其辅助活动之外开展非独立核算经营活动发生的支出。</w:t>
      </w:r>
    </w:p>
    <w:p>
      <w:pPr>
        <w:pStyle w:val="26"/>
        <w:pageBreakBefore w:val="0"/>
        <w:kinsoku/>
        <w:wordWrap/>
        <w:overflowPunct/>
        <w:topLinePunct w:val="0"/>
        <w:bidi w:val="0"/>
        <w:spacing w:line="560" w:lineRule="exact"/>
        <w:ind w:firstLine="640" w:firstLineChars="200"/>
        <w:textAlignment w:val="auto"/>
        <w:rPr>
          <w:rFonts w:ascii="仿宋_GB2312" w:eastAsia="仿宋_GB2312"/>
          <w:color w:val="auto"/>
          <w:sz w:val="32"/>
          <w:szCs w:val="32"/>
        </w:rPr>
      </w:pPr>
      <w:r>
        <w:rPr>
          <w:rFonts w:ascii="仿宋_GB2312" w:eastAsia="仿宋_GB2312"/>
          <w:color w:val="auto"/>
          <w:sz w:val="32"/>
          <w:szCs w:val="32"/>
        </w:rPr>
        <w:t>16.</w:t>
      </w:r>
      <w:r>
        <w:rPr>
          <w:rFonts w:hint="eastAsia" w:ascii="仿宋_GB2312" w:eastAsia="仿宋_GB2312"/>
          <w:color w:val="auto"/>
          <w:sz w:val="32"/>
          <w:szCs w:val="32"/>
        </w:rPr>
        <w:t>“三公”经费：指单位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6"/>
        <w:pageBreakBefore w:val="0"/>
        <w:kinsoku/>
        <w:wordWrap/>
        <w:overflowPunct/>
        <w:topLinePunct w:val="0"/>
        <w:bidi w:val="0"/>
        <w:spacing w:line="560" w:lineRule="exact"/>
        <w:ind w:firstLine="640" w:firstLineChars="200"/>
        <w:textAlignment w:val="auto"/>
        <w:rPr>
          <w:rFonts w:ascii="仿宋_GB2312" w:eastAsia="仿宋_GB2312"/>
          <w:color w:val="auto"/>
          <w:sz w:val="32"/>
          <w:szCs w:val="32"/>
        </w:rPr>
      </w:pPr>
      <w:r>
        <w:rPr>
          <w:rFonts w:ascii="仿宋_GB2312" w:eastAsia="仿宋_GB2312"/>
          <w:color w:val="auto"/>
          <w:sz w:val="32"/>
          <w:szCs w:val="32"/>
        </w:rPr>
        <w:t>17.</w:t>
      </w:r>
      <w:r>
        <w:rPr>
          <w:rFonts w:hint="eastAsia" w:ascii="仿宋_GB2312" w:eastAsia="仿宋_GB2312"/>
          <w:color w:val="auto"/>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600" w:lineRule="exact"/>
        <w:jc w:val="center"/>
        <w:rPr>
          <w:rFonts w:hint="eastAsia" w:ascii="Times New Roman" w:hAnsi="Times New Roman" w:eastAsia="黑体"/>
          <w:color w:val="auto"/>
          <w:sz w:val="44"/>
          <w:szCs w:val="44"/>
          <w:highlight w:val="none"/>
        </w:rPr>
      </w:pPr>
      <w:bookmarkStart w:id="51" w:name="_Toc15396614"/>
      <w:bookmarkStart w:id="52" w:name="_Toc15377226"/>
    </w:p>
    <w:p>
      <w:pPr>
        <w:spacing w:line="600" w:lineRule="exact"/>
        <w:jc w:val="center"/>
        <w:rPr>
          <w:rFonts w:hint="eastAsia" w:ascii="Times New Roman" w:hAnsi="Times New Roman" w:eastAsia="黑体"/>
          <w:color w:val="auto"/>
          <w:sz w:val="44"/>
          <w:szCs w:val="44"/>
          <w:highlight w:val="none"/>
        </w:rPr>
      </w:pPr>
    </w:p>
    <w:p>
      <w:pPr>
        <w:spacing w:line="600" w:lineRule="exact"/>
        <w:jc w:val="center"/>
        <w:rPr>
          <w:rStyle w:val="28"/>
          <w:rFonts w:hint="eastAsia" w:ascii="Times New Roman" w:hAnsi="Times New Roman" w:eastAsia="黑体"/>
          <w:b w:val="0"/>
          <w:color w:val="auto"/>
          <w:highlight w:val="none"/>
          <w:lang w:eastAsia="zh-CN"/>
        </w:rPr>
      </w:pPr>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51"/>
    </w:p>
    <w:p>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FF0000"/>
          <w:sz w:val="32"/>
          <w:szCs w:val="32"/>
          <w:highlight w:val="none"/>
        </w:rPr>
      </w:pPr>
    </w:p>
    <w:p>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方正小标宋简体"/>
          <w:color w:val="auto"/>
          <w:sz w:val="44"/>
          <w:szCs w:val="44"/>
          <w:highlight w:val="none"/>
          <w:lang w:val="en-US" w:eastAsia="zh-CN"/>
        </w:rPr>
      </w:pPr>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p>
    <w:p>
      <w:pPr>
        <w:spacing w:line="600" w:lineRule="exact"/>
        <w:jc w:val="center"/>
        <w:rPr>
          <w:rFonts w:ascii="方正小标宋简体" w:hAnsi="宋体" w:eastAsia="方正小标宋简体"/>
          <w:color w:val="000000"/>
          <w:kern w:val="0"/>
          <w:sz w:val="40"/>
          <w:szCs w:val="44"/>
          <w:lang w:val="zh-CN"/>
        </w:rPr>
      </w:pPr>
      <w:r>
        <w:rPr>
          <w:rFonts w:hint="eastAsia" w:ascii="方正小标宋简体" w:hAnsi="宋体" w:eastAsia="方正小标宋简体"/>
          <w:color w:val="000000"/>
          <w:kern w:val="0"/>
          <w:sz w:val="40"/>
          <w:szCs w:val="44"/>
          <w:lang w:val="zh-CN"/>
        </w:rPr>
        <w:t>红原县</w:t>
      </w:r>
      <w:r>
        <w:rPr>
          <w:rFonts w:hint="eastAsia" w:ascii="方正小标宋简体" w:hAnsi="宋体" w:eastAsia="方正小标宋简体"/>
          <w:color w:val="000000"/>
          <w:kern w:val="0"/>
          <w:sz w:val="40"/>
          <w:szCs w:val="44"/>
          <w:lang w:val="en-US" w:eastAsia="zh-CN"/>
        </w:rPr>
        <w:t>瓦切镇小学2025</w:t>
      </w:r>
      <w:r>
        <w:rPr>
          <w:rFonts w:ascii="方正小标宋简体" w:hAnsi="宋体" w:eastAsia="方正小标宋简体"/>
          <w:color w:val="000000"/>
          <w:kern w:val="0"/>
          <w:sz w:val="40"/>
          <w:szCs w:val="44"/>
        </w:rPr>
        <w:t>年</w:t>
      </w:r>
      <w:r>
        <w:rPr>
          <w:rFonts w:hint="eastAsia" w:ascii="方正小标宋简体" w:hAnsi="宋体" w:eastAsia="方正小标宋简体"/>
          <w:color w:val="000000"/>
          <w:kern w:val="0"/>
          <w:sz w:val="40"/>
          <w:szCs w:val="44"/>
          <w:lang w:val="en-US" w:eastAsia="zh-CN"/>
        </w:rPr>
        <w:t>预算</w:t>
      </w:r>
      <w:r>
        <w:rPr>
          <w:rFonts w:hint="eastAsia" w:ascii="方正小标宋简体" w:hAnsi="宋体" w:eastAsia="方正小标宋简体"/>
          <w:color w:val="000000"/>
          <w:kern w:val="0"/>
          <w:sz w:val="40"/>
          <w:szCs w:val="44"/>
          <w:lang w:val="zh-CN"/>
        </w:rPr>
        <w:t>绩效评价报告</w:t>
      </w:r>
    </w:p>
    <w:p>
      <w:pPr>
        <w:keepNext w:val="0"/>
        <w:keepLines w:val="0"/>
        <w:pageBreakBefore w:val="0"/>
        <w:widowControl/>
        <w:kinsoku/>
        <w:wordWrap/>
        <w:overflowPunct/>
        <w:topLinePunct w:val="0"/>
        <w:autoSpaceDE/>
        <w:autoSpaceDN/>
        <w:bidi w:val="0"/>
        <w:adjustRightInd w:val="0"/>
        <w:snapToGrid w:val="0"/>
        <w:spacing w:line="578" w:lineRule="exact"/>
        <w:ind w:firstLine="480" w:firstLineChars="200"/>
        <w:contextualSpacing/>
        <w:jc w:val="left"/>
        <w:textAlignment w:val="auto"/>
        <w:outlineLvl w:val="9"/>
        <w:rPr>
          <w:rFonts w:hint="default" w:ascii="Times New Roman" w:hAnsi="Times New Roman" w:eastAsia="黑体" w:cs="Times New Roman"/>
          <w:color w:val="000000"/>
          <w:kern w:val="0"/>
          <w:sz w:val="24"/>
          <w:szCs w:val="32"/>
          <w:highlight w:val="none"/>
          <w:shd w:val="clear" w:color="auto" w:fill="FFFFFF"/>
        </w:rPr>
      </w:pP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eastAsia" w:ascii="Times New Roman" w:hAnsi="Times New Roman" w:eastAsia="黑体" w:cs="Times New Roman"/>
          <w:color w:val="000000"/>
          <w:kern w:val="0"/>
          <w:sz w:val="32"/>
          <w:szCs w:val="32"/>
          <w:highlight w:val="none"/>
          <w:shd w:val="clear" w:color="auto" w:fill="FFFFFF"/>
          <w:lang w:val="zh-CN"/>
        </w:rPr>
        <w:t>一、</w:t>
      </w:r>
      <w:r>
        <w:rPr>
          <w:rFonts w:hint="default" w:ascii="Times New Roman" w:hAnsi="Times New Roman" w:eastAsia="黑体" w:cs="Times New Roman"/>
          <w:color w:val="000000"/>
          <w:kern w:val="0"/>
          <w:sz w:val="32"/>
          <w:szCs w:val="32"/>
          <w:highlight w:val="none"/>
          <w:shd w:val="clear" w:color="auto" w:fill="FFFFFF"/>
          <w:lang w:val="zh-CN"/>
        </w:rPr>
        <w:t>部门（单位）基本情况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cs="Times New Roman"/>
          <w:szCs w:val="32"/>
        </w:rPr>
      </w:pPr>
      <w:r>
        <w:rPr>
          <w:rFonts w:hint="eastAsia" w:ascii="Times New Roman" w:hAnsi="Times New Roman" w:eastAsia="楷体_GB2312" w:cs="楷体_GB2312"/>
          <w:b/>
          <w:color w:val="auto"/>
          <w:sz w:val="32"/>
          <w:szCs w:val="32"/>
          <w:highlight w:val="none"/>
          <w:lang w:val="zh-CN"/>
        </w:rPr>
        <w:t>（一）</w:t>
      </w:r>
      <w:r>
        <w:rPr>
          <w:rFonts w:hint="default" w:ascii="Times New Roman" w:hAnsi="Times New Roman" w:eastAsia="楷体_GB2312" w:cs="楷体_GB2312"/>
          <w:b/>
          <w:color w:val="auto"/>
          <w:sz w:val="32"/>
          <w:szCs w:val="32"/>
          <w:highlight w:val="none"/>
          <w:lang w:val="zh-CN"/>
        </w:rPr>
        <w:t>机构组成。</w:t>
      </w:r>
      <w:r>
        <w:rPr>
          <w:rFonts w:hint="eastAsia" w:ascii="仿宋" w:hAnsi="仿宋" w:eastAsia="仿宋" w:cs="仿宋"/>
          <w:sz w:val="32"/>
          <w:szCs w:val="32"/>
        </w:rPr>
        <w:t>我校属红原县教育局下属的二级单位，为独立核算财政全额拨款事业单位，执行的是政府会计制度。</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仿宋" w:hAnsi="仿宋" w:eastAsia="仿宋" w:cs="仿宋"/>
          <w:sz w:val="32"/>
          <w:szCs w:val="32"/>
          <w:lang w:val="zh-CN"/>
        </w:rPr>
      </w:pPr>
      <w:r>
        <w:rPr>
          <w:rFonts w:hint="default" w:ascii="Times New Roman" w:hAnsi="Times New Roman" w:eastAsia="楷体_GB2312" w:cs="楷体_GB2312"/>
          <w:b/>
          <w:color w:val="auto"/>
          <w:sz w:val="32"/>
          <w:szCs w:val="32"/>
          <w:highlight w:val="none"/>
          <w:lang w:val="zh-CN"/>
        </w:rPr>
        <w:t>（二）机构职能</w:t>
      </w:r>
      <w:r>
        <w:rPr>
          <w:rFonts w:hint="eastAsia" w:ascii="Times New Roman" w:hAnsi="Times New Roman" w:eastAsia="楷体_GB2312" w:cs="楷体_GB2312"/>
          <w:b/>
          <w:color w:val="auto"/>
          <w:sz w:val="32"/>
          <w:szCs w:val="32"/>
          <w:highlight w:val="none"/>
          <w:lang w:val="zh-CN"/>
        </w:rPr>
        <w:t>。</w:t>
      </w:r>
      <w:r>
        <w:rPr>
          <w:rFonts w:hint="eastAsia" w:ascii="仿宋" w:hAnsi="仿宋" w:eastAsia="仿宋" w:cs="仿宋"/>
          <w:sz w:val="32"/>
          <w:szCs w:val="32"/>
        </w:rPr>
        <w:t>认真贯彻执行党的路线、方针和政策，坚持教书育人，服务育人，环境育人方针，实施小学义务教育，促进基础教育发展，培养学生高尚的思想道德情操，丰富的科学文化知识，良好的身体素质，促进学生全面发展，业务范围是从事小学教育。</w:t>
      </w:r>
    </w:p>
    <w:p>
      <w:pPr>
        <w:ind w:firstLine="803" w:firstLineChars="250"/>
        <w:rPr>
          <w:rFonts w:hint="eastAsia" w:ascii="Times New Roman" w:hAnsi="Times New Roman" w:eastAsia="仿宋_GB2312" w:cs="仿宋_GB2312"/>
          <w:color w:val="auto"/>
          <w:sz w:val="32"/>
          <w:szCs w:val="32"/>
          <w:highlight w:val="none"/>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）人员概况</w:t>
      </w:r>
      <w:r>
        <w:rPr>
          <w:rFonts w:hint="eastAsia" w:ascii="Times New Roman" w:hAnsi="Times New Roman" w:eastAsia="楷体_GB2312" w:cs="Times New Roman"/>
          <w:b/>
          <w:bCs/>
          <w:color w:val="000000"/>
          <w:kern w:val="0"/>
          <w:sz w:val="32"/>
          <w:szCs w:val="32"/>
          <w:highlight w:val="none"/>
          <w:shd w:val="clear" w:color="auto" w:fill="FFFFFF"/>
          <w:lang w:val="zh-CN"/>
        </w:rPr>
        <w:t>。</w:t>
      </w:r>
      <w:r>
        <w:rPr>
          <w:rFonts w:hint="eastAsia" w:ascii="仿宋_GB2312" w:hAnsi="仿宋_GB2312" w:eastAsia="仿宋_GB2312" w:cs="仿宋_GB2312"/>
          <w:color w:val="auto"/>
          <w:sz w:val="32"/>
          <w:szCs w:val="32"/>
          <w:highlight w:val="none"/>
        </w:rPr>
        <w:t>截止20</w:t>
      </w:r>
      <w:r>
        <w:rPr>
          <w:rFonts w:hint="eastAsia" w:ascii="仿宋_GB2312" w:hAnsi="仿宋_GB2312" w:eastAsia="仿宋_GB2312" w:cs="仿宋_GB2312"/>
          <w:color w:val="auto"/>
          <w:sz w:val="32"/>
          <w:szCs w:val="32"/>
          <w:highlight w:val="none"/>
          <w:lang w:val="en-US"/>
        </w:rPr>
        <w:t>2</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年末，我校编制人数</w:t>
      </w:r>
      <w:r>
        <w:rPr>
          <w:rFonts w:hint="eastAsia" w:ascii="仿宋_GB2312" w:hAnsi="仿宋_GB2312" w:eastAsia="仿宋_GB2312" w:cs="仿宋_GB2312"/>
          <w:color w:val="auto"/>
          <w:sz w:val="32"/>
          <w:szCs w:val="32"/>
          <w:highlight w:val="none"/>
          <w:lang w:val="en-US" w:eastAsia="zh-CN"/>
        </w:rPr>
        <w:t>91</w:t>
      </w:r>
      <w:r>
        <w:rPr>
          <w:rFonts w:hint="eastAsia" w:ascii="仿宋_GB2312" w:hAnsi="仿宋_GB2312" w:eastAsia="仿宋_GB2312" w:cs="仿宋_GB2312"/>
          <w:color w:val="auto"/>
          <w:sz w:val="32"/>
          <w:szCs w:val="32"/>
          <w:highlight w:val="none"/>
        </w:rPr>
        <w:t>人，在职教</w:t>
      </w:r>
      <w:r>
        <w:rPr>
          <w:rFonts w:hint="eastAsia" w:ascii="仿宋_GB2312" w:hAnsi="仿宋_GB2312" w:eastAsia="仿宋_GB2312" w:cs="仿宋_GB2312"/>
          <w:color w:val="auto"/>
          <w:sz w:val="32"/>
          <w:szCs w:val="32"/>
          <w:highlight w:val="none"/>
          <w:lang w:val="en-US" w:eastAsia="zh-CN"/>
        </w:rPr>
        <w:t>职工89</w:t>
      </w:r>
      <w:r>
        <w:rPr>
          <w:rFonts w:hint="eastAsia" w:ascii="仿宋_GB2312" w:hAnsi="仿宋_GB2312" w:eastAsia="仿宋_GB2312" w:cs="仿宋_GB2312"/>
          <w:color w:val="auto"/>
          <w:sz w:val="32"/>
          <w:szCs w:val="32"/>
          <w:highlight w:val="none"/>
        </w:rPr>
        <w:t>人，退休教师</w:t>
      </w:r>
      <w:r>
        <w:rPr>
          <w:rFonts w:hint="eastAsia" w:ascii="仿宋_GB2312" w:hAnsi="仿宋_GB2312" w:eastAsia="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人，财政供养人员共计</w:t>
      </w:r>
      <w:r>
        <w:rPr>
          <w:rFonts w:hint="eastAsia" w:ascii="仿宋_GB2312" w:hAnsi="仿宋_GB2312" w:eastAsia="仿宋_GB2312" w:cs="仿宋_GB2312"/>
          <w:color w:val="auto"/>
          <w:sz w:val="32"/>
          <w:szCs w:val="32"/>
          <w:highlight w:val="none"/>
          <w:lang w:val="en-US" w:eastAsia="zh-CN"/>
        </w:rPr>
        <w:t>89</w:t>
      </w:r>
      <w:r>
        <w:rPr>
          <w:rFonts w:hint="eastAsia" w:ascii="仿宋_GB2312" w:hAnsi="仿宋_GB2312" w:eastAsia="仿宋_GB2312" w:cs="仿宋_GB2312"/>
          <w:color w:val="auto"/>
          <w:sz w:val="32"/>
          <w:szCs w:val="32"/>
          <w:highlight w:val="none"/>
        </w:rPr>
        <w:t>人。红原县瓦切镇小学</w:t>
      </w:r>
      <w:r>
        <w:rPr>
          <w:rFonts w:hint="eastAsia" w:ascii="Times New Roman" w:hAnsi="Times New Roman" w:eastAsia="仿宋_GB2312" w:cs="仿宋_GB2312"/>
          <w:color w:val="auto"/>
          <w:sz w:val="32"/>
          <w:szCs w:val="32"/>
          <w:highlight w:val="none"/>
        </w:rPr>
        <w:t>下属二级</w:t>
      </w:r>
      <w:r>
        <w:rPr>
          <w:rFonts w:hint="eastAsia" w:ascii="Times New Roman" w:hAnsi="Times New Roman" w:eastAsia="仿宋_GB2312" w:cs="仿宋_GB2312"/>
          <w:color w:val="auto"/>
          <w:sz w:val="32"/>
          <w:szCs w:val="32"/>
          <w:highlight w:val="none"/>
          <w:lang w:eastAsia="zh-CN"/>
        </w:rPr>
        <w:t>预算</w:t>
      </w:r>
      <w:r>
        <w:rPr>
          <w:rFonts w:hint="eastAsia" w:ascii="Times New Roman" w:hAnsi="Times New Roman" w:eastAsia="仿宋_GB2312" w:cs="仿宋_GB2312"/>
          <w:color w:val="auto"/>
          <w:sz w:val="32"/>
          <w:szCs w:val="32"/>
          <w:highlight w:val="none"/>
        </w:rPr>
        <w:t>单位</w:t>
      </w:r>
      <w:r>
        <w:rPr>
          <w:rFonts w:hint="eastAsia" w:eastAsia="仿宋_GB2312" w:cs="仿宋_GB2312"/>
          <w:color w:val="auto"/>
          <w:sz w:val="32"/>
          <w:szCs w:val="32"/>
          <w:highlight w:val="none"/>
          <w:lang w:val="en-US" w:eastAsia="zh-CN"/>
        </w:rPr>
        <w:t>0</w:t>
      </w:r>
      <w:r>
        <w:rPr>
          <w:rFonts w:hint="eastAsia" w:ascii="Times New Roman" w:hAnsi="Times New Roman" w:eastAsia="仿宋_GB2312" w:cs="仿宋_GB2312"/>
          <w:color w:val="auto"/>
          <w:sz w:val="32"/>
          <w:szCs w:val="32"/>
          <w:highlight w:val="none"/>
        </w:rPr>
        <w:t>个，其中行政单位</w:t>
      </w:r>
      <w:r>
        <w:rPr>
          <w:rFonts w:hint="eastAsia" w:eastAsia="仿宋_GB2312" w:cs="仿宋_GB2312"/>
          <w:color w:val="auto"/>
          <w:sz w:val="32"/>
          <w:szCs w:val="32"/>
          <w:highlight w:val="none"/>
          <w:lang w:val="en-US" w:eastAsia="zh-CN"/>
        </w:rPr>
        <w:t>0</w:t>
      </w:r>
      <w:r>
        <w:rPr>
          <w:rFonts w:hint="eastAsia" w:ascii="Times New Roman" w:hAnsi="Times New Roman" w:eastAsia="仿宋_GB2312" w:cs="仿宋_GB2312"/>
          <w:color w:val="auto"/>
          <w:sz w:val="32"/>
          <w:szCs w:val="32"/>
          <w:highlight w:val="none"/>
        </w:rPr>
        <w:t>个，参照公务员法管理的事业单位</w:t>
      </w:r>
      <w:r>
        <w:rPr>
          <w:rFonts w:hint="eastAsia" w:eastAsia="仿宋_GB2312" w:cs="仿宋_GB2312"/>
          <w:bCs/>
          <w:color w:val="auto"/>
          <w:sz w:val="32"/>
          <w:szCs w:val="32"/>
          <w:highlight w:val="none"/>
          <w:lang w:val="en-US" w:eastAsia="zh-CN"/>
        </w:rPr>
        <w:t>0</w:t>
      </w:r>
      <w:r>
        <w:rPr>
          <w:rFonts w:hint="eastAsia" w:ascii="Times New Roman" w:hAnsi="Times New Roman" w:eastAsia="仿宋_GB2312" w:cs="仿宋_GB2312"/>
          <w:color w:val="auto"/>
          <w:sz w:val="32"/>
          <w:szCs w:val="32"/>
          <w:highlight w:val="none"/>
        </w:rPr>
        <w:t>个，其他事业单位</w:t>
      </w:r>
      <w:r>
        <w:rPr>
          <w:rFonts w:hint="eastAsia" w:eastAsia="仿宋_GB2312" w:cs="仿宋_GB2312"/>
          <w:color w:val="auto"/>
          <w:sz w:val="32"/>
          <w:szCs w:val="32"/>
          <w:highlight w:val="none"/>
          <w:lang w:val="en-US" w:eastAsia="zh-CN"/>
        </w:rPr>
        <w:t>0</w:t>
      </w:r>
      <w:r>
        <w:rPr>
          <w:rFonts w:hint="eastAsia" w:ascii="Times New Roman" w:hAnsi="Times New Roman" w:eastAsia="仿宋_GB2312" w:cs="仿宋_GB2312"/>
          <w:color w:val="auto"/>
          <w:sz w:val="32"/>
          <w:szCs w:val="32"/>
          <w:highlight w:val="none"/>
        </w:rPr>
        <w:t>个。</w:t>
      </w:r>
    </w:p>
    <w:p>
      <w:pPr>
        <w:keepNext w:val="0"/>
        <w:keepLines w:val="0"/>
        <w:pageBreakBefore w:val="0"/>
        <w:widowControl w:val="0"/>
        <w:kinsoku/>
        <w:wordWrap/>
        <w:overflowPunct/>
        <w:topLinePunct w:val="0"/>
        <w:autoSpaceDE/>
        <w:autoSpaceDN/>
        <w:bidi w:val="0"/>
        <w:adjustRightInd/>
        <w:snapToGrid/>
        <w:spacing w:line="600" w:lineRule="exact"/>
        <w:ind w:firstLine="420" w:firstLineChars="200"/>
        <w:textAlignment w:val="auto"/>
        <w:rPr>
          <w:rFonts w:hint="default" w:ascii="Times New Roman" w:hAnsi="Times New Roman" w:cs="Times New Roman"/>
          <w:szCs w:val="32"/>
        </w:rPr>
      </w:pP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二、部门资金收支情况</w:t>
      </w: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left"/>
        <w:textAlignment w:val="auto"/>
        <w:outlineLvl w:val="1"/>
        <w:rPr>
          <w:rFonts w:hint="default" w:ascii="Times New Roman" w:hAnsi="Times New Roman" w:eastAsia="楷体_GB2312" w:cs="Times New Roman"/>
          <w:b/>
          <w:bCs/>
          <w:color w:val="000000"/>
          <w:kern w:val="0"/>
          <w:szCs w:val="32"/>
          <w:highlight w:val="none"/>
          <w:shd w:val="clear" w:color="auto" w:fill="FFFFFF"/>
          <w:lang w:val="en-US"/>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收入情况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仿宋_GB2312" w:hAnsi="仿宋_GB2312" w:eastAsia="仿宋_GB2312" w:cs="仿宋_GB2312"/>
          <w:color w:val="auto"/>
          <w:sz w:val="32"/>
          <w:szCs w:val="32"/>
          <w:highlight w:val="none"/>
          <w:lang w:eastAsia="zh-CN"/>
        </w:rPr>
        <w:t>202</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lang w:eastAsia="zh-CN"/>
        </w:rPr>
        <w:t>年度本年收入合计</w:t>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880.83</w:t>
      </w:r>
      <w:r>
        <w:rPr>
          <w:rFonts w:hint="eastAsia" w:ascii="仿宋_GB2312" w:hAnsi="仿宋_GB2312" w:eastAsia="仿宋_GB2312" w:cs="仿宋_GB2312"/>
          <w:sz w:val="32"/>
          <w:szCs w:val="32"/>
        </w:rPr>
        <w:t>万元，其中：一般公共预算财政拨款收入2</w:t>
      </w:r>
      <w:r>
        <w:rPr>
          <w:rFonts w:hint="eastAsia" w:ascii="仿宋_GB2312" w:hAnsi="仿宋_GB2312" w:eastAsia="仿宋_GB2312" w:cs="仿宋_GB2312"/>
          <w:sz w:val="32"/>
          <w:szCs w:val="32"/>
          <w:lang w:val="en-US" w:eastAsia="zh-CN"/>
        </w:rPr>
        <w:t>865.29</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99.</w:t>
      </w:r>
      <w:r>
        <w:rPr>
          <w:rFonts w:hint="eastAsia" w:ascii="仿宋_GB2312" w:hAnsi="仿宋_GB2312" w:eastAsia="仿宋_GB2312" w:cs="仿宋_GB2312"/>
          <w:sz w:val="32"/>
          <w:szCs w:val="32"/>
          <w:lang w:val="en-US" w:eastAsia="zh-CN"/>
        </w:rPr>
        <w:t>46</w:t>
      </w:r>
      <w:r>
        <w:rPr>
          <w:rFonts w:hint="eastAsia" w:ascii="仿宋_GB2312" w:hAnsi="仿宋_GB2312"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lang w:val="en-US" w:eastAsia="zh-CN"/>
        </w:rPr>
        <w:t>11.55</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lang w:val="en-US" w:eastAsia="zh-CN"/>
        </w:rPr>
        <w:t>4.0</w:t>
      </w:r>
      <w:r>
        <w:rPr>
          <w:rFonts w:hint="eastAsia" w:ascii="仿宋_GB2312" w:hAnsi="仿宋_GB2312"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color w:val="auto"/>
          <w:sz w:val="32"/>
          <w:szCs w:val="32"/>
          <w:highlight w:val="none"/>
          <w:lang w:val="en-US" w:eastAsia="zh-CN"/>
        </w:rPr>
        <w:t>4万元，占1.4%</w:t>
      </w:r>
      <w:r>
        <w:rPr>
          <w:rFonts w:hint="eastAsia" w:ascii="仿宋_GB2312" w:hAnsi="仿宋_GB2312" w:eastAsia="仿宋_GB2312" w:cs="仿宋_GB2312"/>
          <w:color w:val="auto"/>
          <w:sz w:val="32"/>
          <w:szCs w:val="32"/>
          <w:highlight w:val="none"/>
          <w:lang w:eastAsia="zh-CN"/>
        </w:rPr>
        <w:t>。</w:t>
      </w:r>
    </w:p>
    <w:p>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left"/>
        <w:textAlignment w:val="auto"/>
        <w:outlineLvl w:val="1"/>
        <w:rPr>
          <w:rFonts w:hint="default" w:ascii="Times New Roman" w:hAnsi="Times New Roman" w:cs="Times New Roman"/>
          <w:szCs w:val="32"/>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二</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支出情况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ascii="仿宋" w:eastAsia="仿宋"/>
          <w:sz w:val="32"/>
          <w:szCs w:val="32"/>
        </w:rPr>
        <w:t>20</w:t>
      </w:r>
      <w:r>
        <w:rPr>
          <w:rFonts w:hint="eastAsia" w:ascii="仿宋" w:eastAsia="仿宋"/>
          <w:sz w:val="32"/>
          <w:szCs w:val="32"/>
        </w:rPr>
        <w:t>2</w:t>
      </w:r>
      <w:r>
        <w:rPr>
          <w:rFonts w:hint="eastAsia" w:ascii="仿宋" w:eastAsia="仿宋"/>
          <w:sz w:val="32"/>
          <w:szCs w:val="32"/>
          <w:lang w:val="en-US" w:eastAsia="zh-CN"/>
        </w:rPr>
        <w:t>5</w:t>
      </w:r>
      <w:r>
        <w:rPr>
          <w:rFonts w:hint="eastAsia" w:ascii="仿宋" w:eastAsia="仿宋"/>
          <w:sz w:val="32"/>
          <w:szCs w:val="32"/>
        </w:rPr>
        <w:t>年本年支出合计</w:t>
      </w:r>
      <w:r>
        <w:rPr>
          <w:rFonts w:hint="eastAsia" w:ascii="仿宋" w:eastAsia="仿宋"/>
          <w:sz w:val="32"/>
          <w:szCs w:val="32"/>
          <w:lang w:val="en-US" w:eastAsia="zh-CN"/>
        </w:rPr>
        <w:t>2869.29</w:t>
      </w:r>
      <w:r>
        <w:rPr>
          <w:rFonts w:hint="eastAsia" w:ascii="仿宋" w:eastAsia="仿宋"/>
          <w:sz w:val="32"/>
          <w:szCs w:val="32"/>
        </w:rPr>
        <w:t>万元，其中：</w:t>
      </w:r>
      <w:r>
        <w:rPr>
          <w:rFonts w:hint="eastAsia" w:ascii="仿宋" w:eastAsia="仿宋"/>
          <w:sz w:val="32"/>
          <w:szCs w:val="32"/>
          <w:lang w:val="en-US" w:eastAsia="zh-CN"/>
        </w:rPr>
        <w:t>教育</w:t>
      </w:r>
      <w:r>
        <w:rPr>
          <w:rFonts w:hint="eastAsia" w:ascii="仿宋" w:eastAsia="仿宋"/>
          <w:sz w:val="32"/>
          <w:szCs w:val="32"/>
        </w:rPr>
        <w:t>支出</w:t>
      </w:r>
      <w:r>
        <w:rPr>
          <w:rFonts w:hint="eastAsia" w:ascii="仿宋" w:eastAsia="仿宋"/>
          <w:sz w:val="32"/>
          <w:szCs w:val="32"/>
          <w:lang w:val="en-US" w:eastAsia="zh-CN"/>
        </w:rPr>
        <w:t>2215.79</w:t>
      </w:r>
      <w:r>
        <w:rPr>
          <w:rFonts w:hint="eastAsia" w:ascii="仿宋" w:eastAsia="仿宋"/>
          <w:sz w:val="32"/>
          <w:szCs w:val="32"/>
        </w:rPr>
        <w:t>万元，占</w:t>
      </w:r>
      <w:r>
        <w:rPr>
          <w:rFonts w:hint="eastAsia" w:ascii="仿宋" w:eastAsia="仿宋"/>
          <w:sz w:val="32"/>
          <w:szCs w:val="32"/>
          <w:lang w:val="en-US" w:eastAsia="zh-CN"/>
        </w:rPr>
        <w:t>77.22</w:t>
      </w:r>
      <w:r>
        <w:rPr>
          <w:rFonts w:ascii="仿宋" w:eastAsia="仿宋"/>
          <w:sz w:val="32"/>
          <w:szCs w:val="32"/>
        </w:rPr>
        <w:t>%</w:t>
      </w:r>
      <w:r>
        <w:rPr>
          <w:rFonts w:hint="eastAsia" w:ascii="仿宋" w:eastAsia="仿宋"/>
          <w:sz w:val="32"/>
          <w:szCs w:val="32"/>
        </w:rPr>
        <w:t>；</w:t>
      </w:r>
      <w:r>
        <w:rPr>
          <w:rFonts w:hint="eastAsia" w:ascii="仿宋" w:eastAsia="仿宋"/>
          <w:sz w:val="32"/>
          <w:szCs w:val="32"/>
          <w:lang w:eastAsia="zh-CN"/>
        </w:rPr>
        <w:t>社会保障和就业</w:t>
      </w:r>
      <w:r>
        <w:rPr>
          <w:rFonts w:hint="eastAsia" w:ascii="仿宋" w:eastAsia="仿宋"/>
          <w:sz w:val="32"/>
          <w:szCs w:val="32"/>
        </w:rPr>
        <w:t>支出</w:t>
      </w:r>
      <w:r>
        <w:rPr>
          <w:rFonts w:hint="eastAsia" w:ascii="仿宋" w:eastAsia="仿宋"/>
          <w:sz w:val="32"/>
          <w:szCs w:val="32"/>
          <w:lang w:val="en-US" w:eastAsia="zh-CN"/>
        </w:rPr>
        <w:t>334.36</w:t>
      </w:r>
      <w:r>
        <w:rPr>
          <w:rFonts w:hint="eastAsia" w:ascii="仿宋" w:eastAsia="仿宋"/>
          <w:sz w:val="32"/>
          <w:szCs w:val="32"/>
        </w:rPr>
        <w:t>万元，占</w:t>
      </w:r>
      <w:r>
        <w:rPr>
          <w:rFonts w:hint="eastAsia" w:ascii="仿宋" w:eastAsia="仿宋"/>
          <w:sz w:val="32"/>
          <w:szCs w:val="32"/>
          <w:lang w:val="en-US" w:eastAsia="zh-CN"/>
        </w:rPr>
        <w:t>11.65</w:t>
      </w:r>
      <w:r>
        <w:rPr>
          <w:rFonts w:ascii="仿宋" w:eastAsia="仿宋"/>
          <w:sz w:val="32"/>
          <w:szCs w:val="32"/>
        </w:rPr>
        <w:t>%</w:t>
      </w:r>
      <w:r>
        <w:rPr>
          <w:rFonts w:hint="eastAsia" w:ascii="仿宋" w:eastAsia="仿宋"/>
          <w:sz w:val="32"/>
          <w:szCs w:val="32"/>
        </w:rPr>
        <w:t>；</w:t>
      </w:r>
      <w:r>
        <w:rPr>
          <w:rFonts w:hint="eastAsia" w:ascii="仿宋" w:eastAsia="仿宋"/>
          <w:sz w:val="32"/>
          <w:szCs w:val="32"/>
          <w:lang w:eastAsia="zh-CN"/>
        </w:rPr>
        <w:t>卫生健康</w:t>
      </w:r>
      <w:r>
        <w:rPr>
          <w:rFonts w:hint="eastAsia" w:ascii="仿宋" w:eastAsia="仿宋"/>
          <w:sz w:val="32"/>
          <w:szCs w:val="32"/>
        </w:rPr>
        <w:t>支出</w:t>
      </w:r>
      <w:r>
        <w:rPr>
          <w:rFonts w:hint="eastAsia" w:ascii="仿宋" w:eastAsia="仿宋"/>
          <w:sz w:val="32"/>
          <w:szCs w:val="32"/>
          <w:lang w:val="en-US" w:eastAsia="zh-CN"/>
        </w:rPr>
        <w:t>126.12</w:t>
      </w:r>
      <w:r>
        <w:rPr>
          <w:rFonts w:hint="eastAsia" w:ascii="仿宋" w:eastAsia="仿宋"/>
          <w:sz w:val="32"/>
          <w:szCs w:val="32"/>
        </w:rPr>
        <w:t>万元，占</w:t>
      </w:r>
      <w:r>
        <w:rPr>
          <w:rFonts w:hint="eastAsia" w:ascii="仿宋" w:eastAsia="仿宋"/>
          <w:sz w:val="32"/>
          <w:szCs w:val="32"/>
          <w:lang w:val="en-US" w:eastAsia="zh-CN"/>
        </w:rPr>
        <w:t>4.40</w:t>
      </w:r>
      <w:r>
        <w:rPr>
          <w:rFonts w:ascii="仿宋" w:eastAsia="仿宋"/>
          <w:sz w:val="32"/>
          <w:szCs w:val="32"/>
        </w:rPr>
        <w:t>%</w:t>
      </w:r>
      <w:r>
        <w:rPr>
          <w:rFonts w:hint="eastAsia" w:ascii="仿宋" w:eastAsia="仿宋"/>
          <w:sz w:val="32"/>
          <w:szCs w:val="32"/>
        </w:rPr>
        <w:t>；</w:t>
      </w:r>
      <w:r>
        <w:rPr>
          <w:rFonts w:hint="eastAsia" w:ascii="仿宋" w:eastAsia="仿宋"/>
          <w:sz w:val="32"/>
          <w:szCs w:val="32"/>
          <w:lang w:eastAsia="zh-CN"/>
        </w:rPr>
        <w:t>住房保障</w:t>
      </w:r>
      <w:r>
        <w:rPr>
          <w:rFonts w:hint="eastAsia" w:ascii="仿宋" w:eastAsia="仿宋"/>
          <w:sz w:val="32"/>
          <w:szCs w:val="32"/>
        </w:rPr>
        <w:t>支出</w:t>
      </w:r>
      <w:r>
        <w:rPr>
          <w:rFonts w:hint="eastAsia" w:ascii="仿宋" w:eastAsia="仿宋"/>
          <w:sz w:val="32"/>
          <w:szCs w:val="32"/>
          <w:lang w:val="en-US" w:eastAsia="zh-CN"/>
        </w:rPr>
        <w:t>189.01</w:t>
      </w:r>
      <w:r>
        <w:rPr>
          <w:rFonts w:hint="eastAsia" w:ascii="仿宋" w:eastAsia="仿宋"/>
          <w:sz w:val="32"/>
          <w:szCs w:val="32"/>
        </w:rPr>
        <w:t>万元，占</w:t>
      </w:r>
      <w:r>
        <w:rPr>
          <w:rFonts w:hint="eastAsia" w:ascii="仿宋" w:eastAsia="仿宋"/>
          <w:sz w:val="32"/>
          <w:szCs w:val="32"/>
          <w:lang w:val="en-US" w:eastAsia="zh-CN"/>
        </w:rPr>
        <w:t>6.59</w:t>
      </w:r>
      <w:r>
        <w:rPr>
          <w:rFonts w:ascii="仿宋" w:eastAsia="仿宋"/>
          <w:sz w:val="32"/>
          <w:szCs w:val="32"/>
        </w:rPr>
        <w:t>%</w:t>
      </w:r>
      <w:r>
        <w:rPr>
          <w:rFonts w:hint="eastAsia" w:ascii="仿宋" w:eastAsia="仿宋"/>
          <w:sz w:val="32"/>
          <w:szCs w:val="32"/>
          <w:lang w:eastAsia="zh-CN"/>
        </w:rPr>
        <w:t>；</w:t>
      </w:r>
      <w:r>
        <w:rPr>
          <w:rFonts w:hint="eastAsia" w:ascii="仿宋" w:eastAsia="仿宋"/>
          <w:sz w:val="32"/>
          <w:szCs w:val="32"/>
          <w:lang w:val="en-US" w:eastAsia="zh-CN"/>
        </w:rPr>
        <w:t>其他支出4万元，占0.14%</w:t>
      </w:r>
      <w:r>
        <w:rPr>
          <w:rFonts w:hint="eastAsia" w:ascii="仿宋" w:eastAsia="仿宋"/>
          <w:sz w:val="32"/>
          <w:szCs w:val="32"/>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三、</w:t>
      </w:r>
      <w:bookmarkStart w:id="53" w:name="OLE_LINK1"/>
      <w:r>
        <w:rPr>
          <w:rFonts w:hint="default" w:ascii="Times New Roman" w:hAnsi="Times New Roman" w:eastAsia="黑体" w:cs="Times New Roman"/>
          <w:color w:val="000000"/>
          <w:kern w:val="0"/>
          <w:sz w:val="32"/>
          <w:szCs w:val="32"/>
          <w:highlight w:val="none"/>
          <w:shd w:val="clear" w:color="auto" w:fill="FFFFFF"/>
          <w:lang w:val="zh-CN" w:eastAsia="zh-CN"/>
        </w:rPr>
        <w:t>部门预算绩效分析</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部门预算</w:t>
      </w:r>
      <w:r>
        <w:rPr>
          <w:rFonts w:hint="default" w:ascii="Times New Roman" w:hAnsi="Times New Roman" w:eastAsia="楷体_GB2312" w:cs="Times New Roman"/>
          <w:b/>
          <w:bCs/>
          <w:color w:val="000000"/>
          <w:kern w:val="0"/>
          <w:sz w:val="32"/>
          <w:szCs w:val="32"/>
          <w:highlight w:val="none"/>
          <w:shd w:val="clear" w:color="auto" w:fill="FFFFFF"/>
          <w:lang w:val="zh-CN"/>
        </w:rPr>
        <w:t>总体绩效分析。</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 xml:space="preserve">履职效能。 </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全面落实“五育并举”，国家规定课程开齐开足率100%，未出现挤占思政、体育、美育课时等情况。学生综合素质合格率达100%</w:t>
      </w:r>
      <w:r>
        <w:rPr>
          <w:rFonts w:hint="eastAsia" w:eastAsia="仿宋_GB2312" w:cs="仿宋_GB2312"/>
          <w:color w:val="auto"/>
          <w:kern w:val="2"/>
          <w:sz w:val="32"/>
          <w:szCs w:val="32"/>
          <w:highlight w:val="none"/>
          <w:lang w:val="zh-CN" w:eastAsia="zh-CN" w:bidi="ar-SA"/>
        </w:rPr>
        <w:t>，</w:t>
      </w:r>
      <w:r>
        <w:rPr>
          <w:rFonts w:hint="eastAsia" w:ascii="Times New Roman" w:hAnsi="Times New Roman" w:eastAsia="仿宋_GB2312" w:cs="仿宋_GB2312"/>
          <w:color w:val="auto"/>
          <w:kern w:val="2"/>
          <w:sz w:val="32"/>
          <w:szCs w:val="32"/>
          <w:highlight w:val="none"/>
          <w:lang w:val="zh-CN" w:eastAsia="zh-CN" w:bidi="ar-SA"/>
        </w:rPr>
        <w:t>贫困学生资助等惠民政策落实率100%。</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教师队伍建设成效显著，课后服务高质量开展，每日服务时长不少于2小时，开设科普、艺术、劳动等社团活动，学生参与率达98%。</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 xml:space="preserve">教育教学质量稳步提升，家校社协同育人机制更趋完善。校园环境持续改善，全环境立德树人氛围浓厚，为教育事业可持续发展奠定坚实基础。 </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2. 预算管理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严格依据学校发展规划与年度工作任务编制预算，全年预算总额</w:t>
      </w:r>
      <w:r>
        <w:rPr>
          <w:rFonts w:hint="eastAsia" w:eastAsia="仿宋_GB2312" w:cs="仿宋_GB2312"/>
          <w:color w:val="auto"/>
          <w:kern w:val="2"/>
          <w:sz w:val="32"/>
          <w:szCs w:val="32"/>
          <w:highlight w:val="none"/>
          <w:lang w:val="en-US" w:eastAsia="zh-CN" w:bidi="ar-SA"/>
        </w:rPr>
        <w:t>2880.83</w:t>
      </w:r>
      <w:r>
        <w:rPr>
          <w:rFonts w:hint="eastAsia" w:ascii="Times New Roman" w:hAnsi="Times New Roman" w:eastAsia="仿宋_GB2312" w:cs="仿宋_GB2312"/>
          <w:color w:val="auto"/>
          <w:kern w:val="2"/>
          <w:sz w:val="32"/>
          <w:szCs w:val="32"/>
          <w:highlight w:val="none"/>
          <w:lang w:val="zh-CN" w:eastAsia="zh-CN" w:bidi="ar-SA"/>
        </w:rPr>
        <w:t>万元，其中一般公共预算</w:t>
      </w:r>
      <w:r>
        <w:rPr>
          <w:rFonts w:hint="eastAsia" w:eastAsia="仿宋_GB2312" w:cs="仿宋_GB2312"/>
          <w:color w:val="auto"/>
          <w:kern w:val="2"/>
          <w:sz w:val="32"/>
          <w:szCs w:val="32"/>
          <w:highlight w:val="none"/>
          <w:lang w:val="en-US" w:eastAsia="zh-CN" w:bidi="ar-SA"/>
        </w:rPr>
        <w:t>2865.29</w:t>
      </w:r>
      <w:r>
        <w:rPr>
          <w:rFonts w:hint="eastAsia" w:ascii="Times New Roman" w:hAnsi="Times New Roman" w:eastAsia="仿宋_GB2312" w:cs="仿宋_GB2312"/>
          <w:color w:val="auto"/>
          <w:kern w:val="2"/>
          <w:sz w:val="32"/>
          <w:szCs w:val="32"/>
          <w:highlight w:val="none"/>
          <w:lang w:val="zh-CN" w:eastAsia="zh-CN" w:bidi="ar-SA"/>
        </w:rPr>
        <w:t>万元，</w:t>
      </w:r>
      <w:r>
        <w:rPr>
          <w:rFonts w:hint="eastAsia" w:ascii="仿宋_GB2312" w:hAnsi="仿宋_GB2312"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color w:val="auto"/>
          <w:sz w:val="32"/>
          <w:szCs w:val="32"/>
          <w:highlight w:val="none"/>
          <w:lang w:val="en-US" w:eastAsia="zh-CN"/>
        </w:rPr>
        <w:t>4万元，</w:t>
      </w:r>
      <w:r>
        <w:rPr>
          <w:rFonts w:hint="eastAsia" w:ascii="Times New Roman" w:hAnsi="Times New Roman" w:eastAsia="仿宋_GB2312" w:cs="仿宋_GB2312"/>
          <w:color w:val="auto"/>
          <w:kern w:val="2"/>
          <w:sz w:val="32"/>
          <w:szCs w:val="32"/>
          <w:highlight w:val="none"/>
          <w:lang w:val="zh-CN" w:eastAsia="zh-CN" w:bidi="ar-SA"/>
        </w:rPr>
        <w:t>其他资金</w:t>
      </w:r>
      <w:r>
        <w:rPr>
          <w:rFonts w:hint="eastAsia" w:eastAsia="仿宋_GB2312" w:cs="仿宋_GB2312"/>
          <w:color w:val="auto"/>
          <w:kern w:val="2"/>
          <w:sz w:val="32"/>
          <w:szCs w:val="32"/>
          <w:highlight w:val="none"/>
          <w:lang w:val="en-US" w:eastAsia="zh-CN" w:bidi="ar-SA"/>
        </w:rPr>
        <w:t>11.55</w:t>
      </w:r>
      <w:r>
        <w:rPr>
          <w:rFonts w:hint="eastAsia" w:ascii="Times New Roman" w:hAnsi="Times New Roman" w:eastAsia="仿宋_GB2312" w:cs="仿宋_GB2312"/>
          <w:color w:val="auto"/>
          <w:kern w:val="2"/>
          <w:sz w:val="32"/>
          <w:szCs w:val="32"/>
          <w:highlight w:val="none"/>
          <w:lang w:val="zh-CN" w:eastAsia="zh-CN" w:bidi="ar-SA"/>
        </w:rPr>
        <w:t>万元，各类资金到位率100%。预算执行率达100%，基本支出与项目支出均按进度有序列支，未出现因执行滞后影响教学活动的情况。</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年度预算无结转结余资金，资金使用效率高。严格控制一般性支出，</w:t>
      </w:r>
      <w:r>
        <w:rPr>
          <w:rFonts w:hint="eastAsia" w:eastAsia="仿宋_GB2312" w:cs="仿宋_GB2312"/>
          <w:color w:val="auto"/>
          <w:kern w:val="2"/>
          <w:sz w:val="32"/>
          <w:szCs w:val="32"/>
          <w:highlight w:val="none"/>
          <w:lang w:val="en-US" w:eastAsia="zh-CN" w:bidi="ar-SA"/>
        </w:rPr>
        <w:t>无</w:t>
      </w:r>
      <w:r>
        <w:rPr>
          <w:rFonts w:hint="eastAsia" w:ascii="Times New Roman" w:hAnsi="Times New Roman" w:eastAsia="仿宋_GB2312" w:cs="仿宋_GB2312"/>
          <w:color w:val="auto"/>
          <w:kern w:val="2"/>
          <w:sz w:val="32"/>
          <w:szCs w:val="32"/>
          <w:highlight w:val="none"/>
          <w:lang w:val="zh-CN" w:eastAsia="zh-CN" w:bidi="ar-SA"/>
        </w:rPr>
        <w:t>“三公经费”支出。</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3. 财务管理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严格落实财务岗位不相容职务分离制度，设立会计、出纳、复核等岗位，职责分工明确，权限边界清晰。定期开展内控风险排查，全年未发生财务内控漏洞问题。</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所有资金支出均严格执行“先审批、后支付”流程，票据审核、报销签字等环节规范完整。</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4. 资产管理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建立固定资产管理台账，资产盘点清查常态化。教学设备、运动器材等核心资产利用率达</w:t>
      </w:r>
      <w:r>
        <w:rPr>
          <w:rFonts w:hint="eastAsia" w:eastAsia="仿宋_GB2312" w:cs="仿宋_GB2312"/>
          <w:color w:val="auto"/>
          <w:kern w:val="2"/>
          <w:sz w:val="32"/>
          <w:szCs w:val="32"/>
          <w:highlight w:val="none"/>
          <w:lang w:val="en-US" w:eastAsia="zh-CN" w:bidi="ar-SA"/>
        </w:rPr>
        <w:t>98</w:t>
      </w:r>
      <w:r>
        <w:rPr>
          <w:rFonts w:hint="eastAsia" w:ascii="Times New Roman" w:hAnsi="Times New Roman" w:eastAsia="仿宋_GB2312" w:cs="仿宋_GB2312"/>
          <w:color w:val="auto"/>
          <w:kern w:val="2"/>
          <w:sz w:val="32"/>
          <w:szCs w:val="32"/>
          <w:highlight w:val="none"/>
          <w:lang w:val="zh-CN" w:eastAsia="zh-CN" w:bidi="ar-SA"/>
        </w:rPr>
        <w:t>%，未出现闲置浪费情况。</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定期开展校舍、消防设施等维护保养，维修合格率100%，保障资产安全完整。</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5. 采购管理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严格遵循《政府采购法》及相关规定，所有采购项目均完成绩效目标备案，采购方式选择、招标流程、合同备案等环节规范合规。通过批量采购、市场询价等方式严控成本，关键物资验收合格率达99%以上。</w:t>
      </w:r>
    </w:p>
    <w:bookmarkEnd w:id="53"/>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（二）</w:t>
      </w:r>
      <w:bookmarkStart w:id="54" w:name="OLE_LINK2"/>
      <w:r>
        <w:rPr>
          <w:rFonts w:hint="default" w:ascii="Times New Roman" w:hAnsi="Times New Roman" w:eastAsia="楷体_GB2312" w:cs="Times New Roman"/>
          <w:b/>
          <w:bCs/>
          <w:color w:val="000000"/>
          <w:kern w:val="0"/>
          <w:sz w:val="32"/>
          <w:szCs w:val="32"/>
          <w:highlight w:val="none"/>
          <w:shd w:val="clear" w:color="auto" w:fill="FFFFFF"/>
          <w:lang w:val="zh-CN"/>
        </w:rPr>
        <w:t>部门预算项目绩效分析。</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项目决策。决策程序规范，严格遵循申报、论证、批复流程，符合年度工作计划与实际需求。目标设置明确量化，如教师培训人次、设备采购数量等指标清晰可衡量。项目入库经必要性、经济性等事前评估，入库资料完整，与部门职能高度匹配，决策科学性较强。</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2.项目执行</w:t>
      </w:r>
      <w:r>
        <w:rPr>
          <w:rFonts w:hint="eastAsia" w:ascii="Times New Roman" w:hAnsi="Times New Roman" w:eastAsia="仿宋_GB2312" w:cs="仿宋_GB2312"/>
          <w:color w:val="auto"/>
          <w:kern w:val="2"/>
          <w:sz w:val="32"/>
          <w:szCs w:val="32"/>
          <w:highlight w:val="none"/>
          <w:lang w:val="zh-CN" w:eastAsia="zh-CN" w:bidi="ar-SA"/>
        </w:rPr>
        <w:t>。资金执行与预算批复同向，全年预算</w:t>
      </w:r>
      <w:r>
        <w:rPr>
          <w:rFonts w:hint="eastAsia" w:eastAsia="仿宋_GB2312" w:cs="仿宋_GB2312"/>
          <w:color w:val="auto"/>
          <w:kern w:val="2"/>
          <w:sz w:val="32"/>
          <w:szCs w:val="32"/>
          <w:highlight w:val="none"/>
          <w:lang w:val="en-US" w:eastAsia="zh-CN" w:bidi="ar-SA"/>
        </w:rPr>
        <w:t>2880.83</w:t>
      </w:r>
      <w:r>
        <w:rPr>
          <w:rFonts w:hint="eastAsia" w:ascii="Times New Roman" w:hAnsi="Times New Roman" w:eastAsia="仿宋_GB2312" w:cs="仿宋_GB2312"/>
          <w:color w:val="auto"/>
          <w:kern w:val="2"/>
          <w:sz w:val="32"/>
          <w:szCs w:val="32"/>
          <w:highlight w:val="none"/>
          <w:lang w:val="zh-CN" w:eastAsia="zh-CN" w:bidi="ar-SA"/>
        </w:rPr>
        <w:t>万元，实际支出</w:t>
      </w:r>
      <w:r>
        <w:rPr>
          <w:rFonts w:hint="eastAsia" w:eastAsia="仿宋_GB2312" w:cs="仿宋_GB2312"/>
          <w:color w:val="auto"/>
          <w:kern w:val="2"/>
          <w:sz w:val="32"/>
          <w:szCs w:val="32"/>
          <w:highlight w:val="none"/>
          <w:lang w:val="en-US" w:eastAsia="zh-CN" w:bidi="ar-SA"/>
        </w:rPr>
        <w:t>2880.83</w:t>
      </w:r>
      <w:bookmarkStart w:id="70" w:name="_GoBack"/>
      <w:bookmarkEnd w:id="70"/>
      <w:r>
        <w:rPr>
          <w:rFonts w:hint="eastAsia" w:ascii="Times New Roman" w:hAnsi="Times New Roman" w:eastAsia="仿宋_GB2312" w:cs="仿宋_GB2312"/>
          <w:color w:val="auto"/>
          <w:kern w:val="2"/>
          <w:sz w:val="32"/>
          <w:szCs w:val="32"/>
          <w:highlight w:val="none"/>
          <w:lang w:val="zh-CN" w:eastAsia="zh-CN" w:bidi="ar-SA"/>
        </w:rPr>
        <w:t>万元，执行率达</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zh-CN" w:eastAsia="zh-CN" w:bidi="ar-SA"/>
        </w:rPr>
        <w:t>%，无挤占挪用情况。严格落实“计划申报—集中采购—台账管理”机制，资金使用遵循“预算—执行—监督”全流程内控，支出合规率100% 。执行过程严格按方案推进，建立动态监控机制，关键环节可溯，未出现重大执行问题</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zh-CN" w:eastAsia="zh-CN" w:bidi="ar-SA"/>
        </w:rPr>
        <w:t>目标实现。核心目标全面达成：营养改善项目</w:t>
      </w:r>
      <w:r>
        <w:rPr>
          <w:rFonts w:hint="eastAsia" w:eastAsia="仿宋_GB2312" w:cs="仿宋_GB2312"/>
          <w:color w:val="auto"/>
          <w:kern w:val="2"/>
          <w:sz w:val="32"/>
          <w:szCs w:val="32"/>
          <w:highlight w:val="none"/>
          <w:lang w:val="en-US" w:eastAsia="zh-CN" w:bidi="ar-SA"/>
        </w:rPr>
        <w:t>进一步提升了</w:t>
      </w:r>
      <w:r>
        <w:rPr>
          <w:rFonts w:hint="eastAsia" w:ascii="Times New Roman" w:hAnsi="Times New Roman" w:eastAsia="仿宋_GB2312" w:cs="仿宋_GB2312"/>
          <w:color w:val="auto"/>
          <w:kern w:val="2"/>
          <w:sz w:val="32"/>
          <w:szCs w:val="32"/>
          <w:highlight w:val="none"/>
          <w:lang w:val="zh-CN" w:eastAsia="zh-CN" w:bidi="ar-SA"/>
        </w:rPr>
        <w:t>学生体质合格率</w:t>
      </w:r>
      <w:r>
        <w:rPr>
          <w:rFonts w:hint="eastAsia" w:eastAsia="仿宋_GB2312" w:cs="仿宋_GB2312"/>
          <w:color w:val="auto"/>
          <w:kern w:val="2"/>
          <w:sz w:val="32"/>
          <w:szCs w:val="32"/>
          <w:highlight w:val="none"/>
          <w:lang w:val="en-US" w:eastAsia="zh-CN" w:bidi="ar-SA"/>
        </w:rPr>
        <w:t>和</w:t>
      </w:r>
      <w:r>
        <w:rPr>
          <w:rFonts w:hint="eastAsia" w:ascii="Times New Roman" w:hAnsi="Times New Roman" w:eastAsia="仿宋_GB2312" w:cs="仿宋_GB2312"/>
          <w:color w:val="auto"/>
          <w:kern w:val="2"/>
          <w:sz w:val="32"/>
          <w:szCs w:val="32"/>
          <w:highlight w:val="none"/>
          <w:lang w:val="zh-CN" w:eastAsia="zh-CN" w:bidi="ar-SA"/>
        </w:rPr>
        <w:t>家长满意度；教师培训实现信息化教学达标率</w:t>
      </w:r>
      <w:r>
        <w:rPr>
          <w:rFonts w:hint="eastAsia" w:eastAsia="仿宋_GB2312" w:cs="仿宋_GB2312"/>
          <w:color w:val="auto"/>
          <w:kern w:val="2"/>
          <w:sz w:val="32"/>
          <w:szCs w:val="32"/>
          <w:highlight w:val="none"/>
          <w:lang w:val="en-US" w:eastAsia="zh-CN" w:bidi="ar-SA"/>
        </w:rPr>
        <w:t>98</w:t>
      </w:r>
      <w:r>
        <w:rPr>
          <w:rFonts w:hint="eastAsia" w:ascii="Times New Roman" w:hAnsi="Times New Roman" w:eastAsia="仿宋_GB2312" w:cs="仿宋_GB2312"/>
          <w:color w:val="auto"/>
          <w:kern w:val="2"/>
          <w:sz w:val="32"/>
          <w:szCs w:val="32"/>
          <w:highlight w:val="none"/>
          <w:lang w:val="zh-CN" w:eastAsia="zh-CN" w:bidi="ar-SA"/>
        </w:rPr>
        <w:t>%；心理服务覆盖全体学生，留守学生问题</w:t>
      </w:r>
      <w:r>
        <w:rPr>
          <w:rFonts w:hint="eastAsia" w:eastAsia="仿宋_GB2312" w:cs="仿宋_GB2312"/>
          <w:color w:val="auto"/>
          <w:kern w:val="2"/>
          <w:sz w:val="32"/>
          <w:szCs w:val="32"/>
          <w:highlight w:val="none"/>
          <w:lang w:val="en-US" w:eastAsia="zh-CN" w:bidi="ar-SA"/>
        </w:rPr>
        <w:t>得到解决</w:t>
      </w:r>
      <w:r>
        <w:rPr>
          <w:rFonts w:hint="eastAsia" w:ascii="Times New Roman" w:hAnsi="Times New Roman" w:eastAsia="仿宋_GB2312" w:cs="仿宋_GB2312"/>
          <w:color w:val="auto"/>
          <w:kern w:val="2"/>
          <w:sz w:val="32"/>
          <w:szCs w:val="32"/>
          <w:highlight w:val="none"/>
          <w:lang w:val="zh-CN" w:eastAsia="zh-CN" w:bidi="ar-SA"/>
        </w:rPr>
        <w:t xml:space="preserve"> 。项目有效保障教学质量，促进家校社协同，综合效益显著，实现资金使用效益最大化。</w:t>
      </w:r>
    </w:p>
    <w:bookmarkEnd w:id="54"/>
    <w:p>
      <w:pPr>
        <w:keepNext w:val="0"/>
        <w:keepLines w:val="0"/>
        <w:pageBreakBefore w:val="0"/>
        <w:widowControl w:val="0"/>
        <w:kinsoku/>
        <w:wordWrap/>
        <w:overflowPunct/>
        <w:topLinePunct w:val="0"/>
        <w:autoSpaceDE/>
        <w:autoSpaceDN/>
        <w:bidi w:val="0"/>
        <w:snapToGrid w:val="0"/>
        <w:spacing w:line="600" w:lineRule="exact"/>
        <w:ind w:firstLine="643" w:firstLineChars="200"/>
        <w:textAlignment w:val="auto"/>
        <w:rPr>
          <w:rFonts w:hint="eastAsia" w:ascii="Times New Roman" w:hAnsi="Times New Roman" w:eastAsia="楷体_GB2312" w:cs="Times New Roman"/>
          <w:b/>
          <w:bCs/>
          <w:color w:val="000000"/>
          <w:kern w:val="0"/>
          <w:sz w:val="32"/>
          <w:szCs w:val="32"/>
          <w:highlight w:val="none"/>
          <w:shd w:val="clear" w:color="auto" w:fill="FFFFFF"/>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eastAsia="楷体_GB2312" w:cs="Times New Roman"/>
          <w:b/>
          <w:bCs/>
          <w:color w:val="000000"/>
          <w:kern w:val="0"/>
          <w:sz w:val="32"/>
          <w:szCs w:val="32"/>
          <w:highlight w:val="none"/>
          <w:shd w:val="clear" w:color="auto" w:fill="FFFFFF"/>
          <w:lang w:val="en-US" w:eastAsia="zh-CN"/>
        </w:rPr>
        <w:t>三</w:t>
      </w:r>
      <w:r>
        <w:rPr>
          <w:rFonts w:hint="default" w:ascii="Times New Roman" w:hAnsi="Times New Roman" w:eastAsia="楷体_GB2312" w:cs="Times New Roman"/>
          <w:b/>
          <w:bCs/>
          <w:color w:val="000000"/>
          <w:kern w:val="0"/>
          <w:sz w:val="32"/>
          <w:szCs w:val="32"/>
          <w:highlight w:val="none"/>
          <w:shd w:val="clear" w:color="auto" w:fill="FFFFFF"/>
          <w:lang w:val="zh-CN" w:eastAsia="zh-CN"/>
        </w:rPr>
        <w:t>）绩效结果应用情况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学校高度重视绩效评价结果的应用，将其作为改进管理、优化资源配置的核心依据。</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问题整改：针对评价中发现的问题，如部分项目预算编制不够细化、个别资产利用率偏低等，已建立整改台账，明确责任人和完成时限。</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预算优化：将绩效结果与下一年度预算挂钩。对执行率高、效益显著的教师培训项目，建议增加预算；对执行滞后的项目，将缩减规模或重新论证立项。</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信息公开：已按规定公开项目绩效评价报告，主动接受师生、家长和社会的监督，以公开促提升。</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default" w:ascii="Times New Roman" w:hAnsi="Times New Roman" w:eastAsia="黑体" w:cs="Times New Roman"/>
          <w:color w:val="000000"/>
          <w:kern w:val="0"/>
          <w:sz w:val="32"/>
          <w:szCs w:val="32"/>
          <w:highlight w:val="none"/>
          <w:shd w:val="clear" w:color="auto" w:fill="FFFFFF"/>
          <w:lang w:val="zh-CN" w:eastAsia="zh-CN"/>
        </w:rPr>
        <w:t>四、</w:t>
      </w:r>
      <w:r>
        <w:rPr>
          <w:rFonts w:hint="default" w:ascii="Times New Roman" w:hAnsi="Times New Roman" w:eastAsia="黑体" w:cs="Times New Roman"/>
          <w:color w:val="000000"/>
          <w:kern w:val="0"/>
          <w:sz w:val="32"/>
          <w:szCs w:val="32"/>
          <w:highlight w:val="none"/>
          <w:shd w:val="clear" w:color="auto" w:fill="FFFFFF"/>
          <w:lang w:val="zh-CN"/>
        </w:rPr>
        <w:t>评价结论及建议</w:t>
      </w:r>
    </w:p>
    <w:p>
      <w:pPr>
        <w:ind w:firstLine="643" w:firstLineChars="200"/>
        <w:rPr>
          <w:rFonts w:hint="default" w:ascii="Times New Roman" w:hAnsi="Times New Roman" w:eastAsia="仿宋_GB2312" w:cs="Times New Roman"/>
          <w:sz w:val="32"/>
          <w:szCs w:val="32"/>
          <w:u w:val="none"/>
          <w:lang w:val="en-US"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rPr>
        <w:t>（一）评价结论。</w:t>
      </w:r>
      <w:r>
        <w:rPr>
          <w:rFonts w:hint="eastAsia" w:ascii="仿宋_GB2312" w:eastAsia="仿宋_GB2312"/>
          <w:color w:val="000000"/>
          <w:sz w:val="32"/>
          <w:szCs w:val="32"/>
          <w:lang w:val="zh-CN"/>
        </w:rPr>
        <w:t>在上级部门的领导下，</w:t>
      </w:r>
      <w:r>
        <w:rPr>
          <w:rFonts w:hint="eastAsia" w:ascii="仿宋_GB2312" w:eastAsia="仿宋_GB2312"/>
          <w:color w:val="000000"/>
          <w:sz w:val="32"/>
          <w:szCs w:val="32"/>
        </w:rPr>
        <w:t>我单位扎实工作，全面完成了各项工作任务，按照年初预算进行部门整体支出，在支出过程中，能遵守各项规章制度基本按方案组织实施，并加强了监督，达到了节约、高效的支出目标。始终突出工作重点，积极发挥综合协调作用。</w:t>
      </w:r>
      <w:r>
        <w:rPr>
          <w:rFonts w:hint="eastAsia" w:ascii="仿宋_GB2312" w:eastAsia="仿宋_GB2312"/>
          <w:color w:val="000000"/>
          <w:sz w:val="32"/>
          <w:szCs w:val="32"/>
          <w:lang w:val="en-US" w:eastAsia="zh-CN"/>
        </w:rPr>
        <w:t>统</w:t>
      </w:r>
      <w:r>
        <w:rPr>
          <w:rFonts w:hint="eastAsia" w:ascii="仿宋_GB2312" w:eastAsia="仿宋_GB2312"/>
          <w:color w:val="000000"/>
          <w:sz w:val="32"/>
          <w:szCs w:val="32"/>
        </w:rPr>
        <w:t>筹落实各项任务，推动面上工作平衡发展。认真履行主体责任，切实加强干部队伍建设。我单位对财务管理进行规范化，同财政部门及时沟通学习，积极进行财政部门组织的决算、编报、审核等方面工作按时完成，认真如实填报。不断强化预算意识，实行部门综合预算管理，保证预算编制质量。结合单位情况，进行科学合理分配细化，部门预算经批复后，科学合理安排支出，降低预算支出的波动幅度。对预算和决算公开工作、及主管部门对所属单位按规定批复决算的各项工作按规定认真执行。</w:t>
      </w:r>
    </w:p>
    <w:p>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仿宋_GB2312" w:hAnsi="Times New Roman" w:eastAsia="仿宋_GB2312" w:cs="Times New Roman"/>
          <w:color w:val="000000"/>
          <w:kern w:val="2"/>
          <w:sz w:val="32"/>
          <w:szCs w:val="32"/>
        </w:rPr>
      </w:pPr>
      <w:r>
        <w:rPr>
          <w:rFonts w:hint="default" w:ascii="Times New Roman" w:hAnsi="Times New Roman" w:eastAsia="楷体_GB2312" w:cs="Times New Roman"/>
          <w:b/>
          <w:bCs/>
          <w:color w:val="000000"/>
          <w:kern w:val="0"/>
          <w:sz w:val="32"/>
          <w:szCs w:val="32"/>
          <w:highlight w:val="none"/>
          <w:shd w:val="clear" w:color="auto" w:fill="FFFFFF"/>
          <w:lang w:val="zh-CN"/>
        </w:rPr>
        <w:t>（二）存在问题。</w:t>
      </w:r>
      <w:r>
        <w:rPr>
          <w:rFonts w:hint="eastAsia" w:ascii="仿宋_GB2312" w:hAnsi="Times New Roman" w:eastAsia="仿宋_GB2312" w:cs="Times New Roman"/>
          <w:color w:val="000000"/>
          <w:kern w:val="2"/>
          <w:sz w:val="32"/>
          <w:szCs w:val="32"/>
          <w:lang w:val="en-US" w:eastAsia="zh-CN"/>
        </w:rPr>
        <w:t>因财务人员不专业，</w:t>
      </w:r>
      <w:r>
        <w:rPr>
          <w:rFonts w:hint="eastAsia" w:ascii="仿宋_GB2312" w:hAnsi="Times New Roman" w:eastAsia="仿宋_GB2312" w:cs="Times New Roman"/>
          <w:color w:val="000000"/>
          <w:kern w:val="2"/>
          <w:sz w:val="32"/>
          <w:szCs w:val="32"/>
        </w:rPr>
        <w:t>绩效评价指标体系还不够完善、合理，绩效资金预算有待进一步规范，绩效评价管理制度尚不健全。绩效指标的设定不准确，绩效评价开展缺乏强有力的制度保障。绩效评价指标体系还不够完善、合理，绩效资金预算有待进一步规范。</w:t>
      </w:r>
    </w:p>
    <w:p>
      <w:pPr>
        <w:ind w:firstLine="643" w:firstLineChars="200"/>
        <w:rPr>
          <w:rFonts w:ascii="仿宋_GB2312" w:eastAsia="仿宋_GB2312"/>
          <w:color w:val="000000"/>
          <w:sz w:val="32"/>
          <w:szCs w:val="32"/>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（三）改进建议。</w:t>
      </w:r>
      <w:bookmarkStart w:id="55" w:name="_Hlk110546638"/>
      <w:r>
        <w:rPr>
          <w:rFonts w:hint="eastAsia" w:ascii="仿宋_GB2312" w:eastAsia="仿宋_GB2312"/>
          <w:color w:val="000000"/>
          <w:sz w:val="32"/>
          <w:szCs w:val="32"/>
        </w:rPr>
        <w:t>加强资金管理，确保专款专用，切实提高资金使用绩效。主管部门应指导和督促各单位根据评价建议及时拟定整改方案，明确整改步骤。对绩效评价工作流程进行指导和监督，督促其改进预算和管理工作。学校应建立健全绩效评价制度，更好的确保资金的规范使用。</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Times New Roman"/>
          <w:sz w:val="32"/>
          <w:szCs w:val="32"/>
          <w:u w:val="none"/>
          <w:lang w:val="en" w:eastAsia="zh-CN" w:bidi="ar"/>
        </w:rPr>
      </w:pPr>
    </w:p>
    <w:bookmarkEnd w:id="55"/>
    <w:p>
      <w:pPr>
        <w:pStyle w:val="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p>
    <w:p>
      <w:pPr>
        <w:pStyle w:val="7"/>
        <w:keepNext w:val="0"/>
        <w:keepLines w:val="0"/>
        <w:pageBreakBefore w:val="0"/>
        <w:numPr>
          <w:ilvl w:val="0"/>
          <w:numId w:val="0"/>
        </w:numPr>
        <w:kinsoku/>
        <w:wordWrap/>
        <w:overflowPunct/>
        <w:topLinePunct w:val="0"/>
        <w:autoSpaceDE/>
        <w:autoSpaceDN/>
        <w:bidi w:val="0"/>
        <w:spacing w:line="560" w:lineRule="exact"/>
        <w:textAlignment w:val="auto"/>
        <w:rPr>
          <w:rFonts w:hint="eastAsia" w:ascii="Times New Roman" w:hAnsi="Times New Roman" w:cs="Times New Roman"/>
          <w:sz w:val="32"/>
          <w:szCs w:val="32"/>
          <w:highlight w:val="yellow"/>
          <w:lang w:val="zh-CN" w:eastAsia="zh-CN"/>
        </w:rPr>
      </w:pPr>
    </w:p>
    <w:p>
      <w:pPr>
        <w:pStyle w:val="7"/>
        <w:keepNext w:val="0"/>
        <w:keepLines w:val="0"/>
        <w:pageBreakBefore w:val="0"/>
        <w:numPr>
          <w:ilvl w:val="0"/>
          <w:numId w:val="0"/>
        </w:numPr>
        <w:kinsoku/>
        <w:wordWrap/>
        <w:overflowPunct/>
        <w:topLinePunct w:val="0"/>
        <w:autoSpaceDE/>
        <w:autoSpaceDN/>
        <w:bidi w:val="0"/>
        <w:spacing w:line="560" w:lineRule="exact"/>
        <w:textAlignment w:val="auto"/>
        <w:rPr>
          <w:rFonts w:hint="eastAsia" w:ascii="Times New Roman" w:hAnsi="Times New Roman" w:cs="Times New Roman"/>
          <w:sz w:val="32"/>
          <w:szCs w:val="32"/>
          <w:highlight w:val="yellow"/>
          <w:lang w:val="zh-CN" w:eastAsia="zh-CN"/>
        </w:rPr>
      </w:pPr>
    </w:p>
    <w:p>
      <w:pPr>
        <w:pStyle w:val="2"/>
        <w:rPr>
          <w:rFonts w:hint="eastAsia" w:ascii="Times New Roman" w:hAnsi="Times New Roman" w:cs="宋体"/>
          <w:color w:val="FF0000"/>
          <w:kern w:val="0"/>
          <w:sz w:val="32"/>
          <w:szCs w:val="32"/>
          <w:highlight w:val="yellow"/>
          <w:shd w:val="clear" w:color="auto" w:fill="FFFFFF"/>
          <w:lang w:val="zh-CN"/>
        </w:rPr>
      </w:pPr>
    </w:p>
    <w:p>
      <w:pPr>
        <w:rPr>
          <w:rFonts w:hint="eastAsia" w:ascii="Times New Roman" w:hAnsi="Times New Roman" w:eastAsia="黑体" w:cs="黑体"/>
          <w:color w:val="auto"/>
          <w:kern w:val="0"/>
          <w:sz w:val="32"/>
          <w:szCs w:val="32"/>
          <w:highlight w:val="none"/>
          <w:shd w:val="clear" w:color="auto" w:fill="FFFFFF"/>
          <w:lang w:val="zh-CN"/>
        </w:rPr>
      </w:pPr>
      <w:r>
        <w:rPr>
          <w:rFonts w:hint="eastAsia" w:ascii="Times New Roman" w:hAnsi="Times New Roman" w:eastAsia="黑体" w:cs="黑体"/>
          <w:color w:val="auto"/>
          <w:kern w:val="0"/>
          <w:sz w:val="32"/>
          <w:szCs w:val="32"/>
          <w:highlight w:val="none"/>
          <w:shd w:val="clear" w:color="auto" w:fill="FFFFFF"/>
          <w:lang w:val="zh-CN"/>
        </w:rPr>
        <w:br w:type="page"/>
      </w:r>
    </w:p>
    <w:p>
      <w:pPr>
        <w:widowControl/>
        <w:jc w:val="center"/>
        <w:rPr>
          <w:rFonts w:hint="eastAsia" w:ascii="Times New Roman" w:hAnsi="Times New Roman" w:eastAsia="仿宋"/>
          <w:b w:val="0"/>
          <w:color w:val="auto"/>
          <w:highlight w:val="none"/>
        </w:rPr>
      </w:pPr>
      <w:bookmarkStart w:id="56" w:name="_Toc15396618"/>
      <w:r>
        <w:rPr>
          <w:rFonts w:hint="eastAsia" w:ascii="Times New Roman" w:hAnsi="Times New Roman" w:eastAsia="黑体"/>
          <w:color w:val="auto"/>
          <w:sz w:val="44"/>
          <w:szCs w:val="44"/>
          <w:highlight w:val="none"/>
        </w:rPr>
        <w:t>第</w:t>
      </w:r>
      <w:r>
        <w:rPr>
          <w:rStyle w:val="28"/>
          <w:rFonts w:hint="eastAsia" w:ascii="Times New Roman" w:hAnsi="Times New Roman" w:eastAsia="黑体"/>
          <w:b w:val="0"/>
          <w:color w:val="auto"/>
          <w:highlight w:val="none"/>
        </w:rPr>
        <w:t>五部分 附表</w:t>
      </w:r>
      <w:bookmarkEnd w:id="52"/>
      <w:bookmarkEnd w:id="56"/>
      <w:bookmarkStart w:id="57" w:name="_Toc15396619"/>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57"/>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0"/>
      <w:r>
        <w:rPr>
          <w:rFonts w:hint="eastAsia" w:ascii="Times New Roman" w:hAnsi="Times New Roman" w:eastAsia="仿宋_GB2312" w:cs="仿宋_GB2312"/>
          <w:color w:val="auto"/>
          <w:sz w:val="32"/>
          <w:szCs w:val="32"/>
          <w:highlight w:val="none"/>
        </w:rPr>
        <w:t>二、收入决算表</w:t>
      </w:r>
      <w:bookmarkEnd w:id="58"/>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9" w:name="_Toc15396621"/>
      <w:r>
        <w:rPr>
          <w:rFonts w:hint="eastAsia" w:ascii="Times New Roman" w:hAnsi="Times New Roman" w:eastAsia="仿宋_GB2312" w:cs="仿宋_GB2312"/>
          <w:color w:val="auto"/>
          <w:sz w:val="32"/>
          <w:szCs w:val="32"/>
          <w:highlight w:val="none"/>
        </w:rPr>
        <w:t>三、支出决算表</w:t>
      </w:r>
      <w:bookmarkEnd w:id="59"/>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0" w:name="_Toc15396622"/>
      <w:r>
        <w:rPr>
          <w:rFonts w:hint="eastAsia" w:ascii="Times New Roman" w:hAnsi="Times New Roman" w:eastAsia="仿宋_GB2312" w:cs="仿宋_GB2312"/>
          <w:color w:val="auto"/>
          <w:sz w:val="32"/>
          <w:szCs w:val="32"/>
          <w:highlight w:val="none"/>
        </w:rPr>
        <w:t>四、财政拨款收入支出决算总表</w:t>
      </w:r>
      <w:bookmarkEnd w:id="60"/>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1" w:name="_Toc15396623"/>
      <w:r>
        <w:rPr>
          <w:rFonts w:hint="eastAsia" w:ascii="Times New Roman" w:hAnsi="Times New Roman" w:eastAsia="仿宋_GB2312" w:cs="仿宋_GB2312"/>
          <w:color w:val="auto"/>
          <w:sz w:val="32"/>
          <w:szCs w:val="32"/>
          <w:highlight w:val="none"/>
        </w:rPr>
        <w:t>五、财政拨款支出决算明细表</w:t>
      </w:r>
      <w:bookmarkEnd w:id="61"/>
      <w:bookmarkStart w:id="62" w:name="_Toc15396624"/>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62"/>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3" w:name="_Toc15396625"/>
      <w:r>
        <w:rPr>
          <w:rFonts w:hint="eastAsia" w:ascii="Times New Roman" w:hAnsi="Times New Roman" w:eastAsia="仿宋_GB2312" w:cs="仿宋_GB2312"/>
          <w:color w:val="auto"/>
          <w:sz w:val="32"/>
          <w:szCs w:val="32"/>
          <w:highlight w:val="none"/>
        </w:rPr>
        <w:t>七、一般公共预算财政拨款支出决算明细表</w:t>
      </w:r>
      <w:bookmarkEnd w:id="63"/>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4" w:name="_Toc15396626"/>
      <w:r>
        <w:rPr>
          <w:rFonts w:hint="eastAsia" w:ascii="Times New Roman" w:hAnsi="Times New Roman" w:eastAsia="仿宋_GB2312" w:cs="仿宋_GB2312"/>
          <w:color w:val="auto"/>
          <w:sz w:val="32"/>
          <w:szCs w:val="32"/>
          <w:highlight w:val="none"/>
        </w:rPr>
        <w:t>八、一般公共预算财政拨款基本支出决算表</w:t>
      </w:r>
      <w:bookmarkEnd w:id="64"/>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5" w:name="_Toc15396627"/>
      <w:r>
        <w:rPr>
          <w:rFonts w:hint="eastAsia" w:ascii="Times New Roman" w:hAnsi="Times New Roman" w:eastAsia="仿宋_GB2312" w:cs="仿宋_GB2312"/>
          <w:color w:val="auto"/>
          <w:sz w:val="32"/>
          <w:szCs w:val="32"/>
          <w:highlight w:val="none"/>
        </w:rPr>
        <w:t>九、一般公共预算财政拨款项目支出决算表</w:t>
      </w:r>
      <w:bookmarkEnd w:id="65"/>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6" w:name="_Toc15396628"/>
      <w:r>
        <w:rPr>
          <w:rFonts w:hint="eastAsia" w:ascii="Times New Roman" w:hAnsi="Times New Roman" w:eastAsia="仿宋_GB2312" w:cs="仿宋_GB2312"/>
          <w:color w:val="auto"/>
          <w:sz w:val="32"/>
          <w:szCs w:val="32"/>
          <w:highlight w:val="none"/>
        </w:rPr>
        <w:t>十、</w:t>
      </w:r>
      <w:bookmarkEnd w:id="66"/>
      <w:r>
        <w:rPr>
          <w:rFonts w:hint="eastAsia" w:ascii="Times New Roman" w:hAnsi="Times New Roman" w:eastAsia="仿宋_GB2312" w:cs="仿宋_GB2312"/>
          <w:color w:val="auto"/>
          <w:sz w:val="32"/>
          <w:szCs w:val="32"/>
          <w:highlight w:val="none"/>
        </w:rPr>
        <w:t>政府性基金预算财政拨款收入支出决算表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7" w:name="_Toc15396629"/>
      <w:r>
        <w:rPr>
          <w:rFonts w:hint="eastAsia" w:ascii="Times New Roman" w:hAnsi="Times New Roman" w:eastAsia="仿宋_GB2312" w:cs="仿宋_GB2312"/>
          <w:color w:val="auto"/>
          <w:sz w:val="32"/>
          <w:szCs w:val="32"/>
          <w:highlight w:val="none"/>
        </w:rPr>
        <w:t>十一、</w:t>
      </w:r>
      <w:bookmarkEnd w:id="67"/>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8" w:name="_Toc15396630"/>
      <w:r>
        <w:rPr>
          <w:rFonts w:hint="eastAsia" w:ascii="Times New Roman" w:hAnsi="Times New Roman" w:eastAsia="仿宋_GB2312" w:cs="仿宋_GB2312"/>
          <w:color w:val="auto"/>
          <w:sz w:val="32"/>
          <w:szCs w:val="32"/>
          <w:highlight w:val="none"/>
        </w:rPr>
        <w:t>十二、</w:t>
      </w:r>
      <w:bookmarkEnd w:id="68"/>
      <w:r>
        <w:rPr>
          <w:rFonts w:hint="eastAsia" w:ascii="Times New Roman" w:hAnsi="Times New Roman" w:eastAsia="仿宋_GB2312" w:cs="仿宋_GB2312"/>
          <w:color w:val="auto"/>
          <w:sz w:val="32"/>
          <w:szCs w:val="32"/>
          <w:highlight w:val="none"/>
          <w:lang w:eastAsia="zh-CN"/>
        </w:rPr>
        <w:t>国有资本经营预算财政拨款支出决算表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9" w:name="_Toc15396631"/>
      <w:r>
        <w:rPr>
          <w:rFonts w:hint="eastAsia" w:ascii="Times New Roman" w:hAnsi="Times New Roman" w:eastAsia="仿宋_GB2312" w:cs="仿宋_GB2312"/>
          <w:color w:val="auto"/>
          <w:sz w:val="32"/>
          <w:szCs w:val="32"/>
          <w:highlight w:val="none"/>
        </w:rPr>
        <w:t>十三、</w:t>
      </w:r>
      <w:bookmarkEnd w:id="69"/>
      <w:r>
        <w:rPr>
          <w:rFonts w:hint="eastAsia" w:ascii="Times New Roman" w:hAnsi="Times New Roman" w:eastAsia="仿宋_GB2312" w:cs="仿宋_GB2312"/>
          <w:color w:val="auto"/>
          <w:sz w:val="32"/>
          <w:szCs w:val="32"/>
          <w:highlight w:val="none"/>
          <w:lang w:eastAsia="zh-CN"/>
        </w:rPr>
        <w:t>财政拨款“三公”经费支出决算表</w:t>
      </w:r>
    </w:p>
    <w:p>
      <w:pPr>
        <w:rPr>
          <w:rFonts w:hint="eastAsia" w:ascii="Times New Roman" w:hAnsi="Times New Roman"/>
          <w:lang w:eastAsia="zh-CN"/>
        </w:rPr>
      </w:pPr>
    </w:p>
    <w:sectPr>
      <w:footerReference r:id="rId5" w:type="first"/>
      <w:headerReference r:id="rId3" w:type="default"/>
      <w:footerReference r:id="rId4" w:type="default"/>
      <w:pgSz w:w="11906" w:h="16838"/>
      <w:pgMar w:top="1440" w:right="1800" w:bottom="1440" w:left="1800" w:header="851" w:footer="992" w:gutter="0"/>
      <w:pgNumType w:fmt="numberInDash"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9AD13E1"/>
    <w:multiLevelType w:val="singleLevel"/>
    <w:tmpl w:val="E9AD13E1"/>
    <w:lvl w:ilvl="0" w:tentative="0">
      <w:start w:val="1"/>
      <w:numFmt w:val="chineseCounting"/>
      <w:suff w:val="nothing"/>
      <w:lvlText w:val="%1、"/>
      <w:lvlJc w:val="left"/>
      <w:rPr>
        <w:rFonts w:hint="eastAsia"/>
      </w:rPr>
    </w:lvl>
  </w:abstractNum>
  <w:abstractNum w:abstractNumId="1">
    <w:nsid w:val="EBA0AF6F"/>
    <w:multiLevelType w:val="singleLevel"/>
    <w:tmpl w:val="EBA0AF6F"/>
    <w:lvl w:ilvl="0" w:tentative="0">
      <w:start w:val="3"/>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1D454D"/>
    <w:rsid w:val="012A5EC2"/>
    <w:rsid w:val="015975B8"/>
    <w:rsid w:val="02FEBE30"/>
    <w:rsid w:val="04916F1E"/>
    <w:rsid w:val="061E35DE"/>
    <w:rsid w:val="066E0107"/>
    <w:rsid w:val="07996F6E"/>
    <w:rsid w:val="07DFD8BA"/>
    <w:rsid w:val="09867E8F"/>
    <w:rsid w:val="0A2032A3"/>
    <w:rsid w:val="0CA8290A"/>
    <w:rsid w:val="0D35B1ED"/>
    <w:rsid w:val="0E254B6B"/>
    <w:rsid w:val="0F0D1B89"/>
    <w:rsid w:val="0F98263C"/>
    <w:rsid w:val="101860EC"/>
    <w:rsid w:val="101F47CC"/>
    <w:rsid w:val="10C055FF"/>
    <w:rsid w:val="11694EBD"/>
    <w:rsid w:val="11772AA4"/>
    <w:rsid w:val="118107EC"/>
    <w:rsid w:val="12E24EE2"/>
    <w:rsid w:val="13D50BC4"/>
    <w:rsid w:val="140659CE"/>
    <w:rsid w:val="14B17F78"/>
    <w:rsid w:val="165E0673"/>
    <w:rsid w:val="16B831D5"/>
    <w:rsid w:val="16BB723D"/>
    <w:rsid w:val="16EB648F"/>
    <w:rsid w:val="17E50567"/>
    <w:rsid w:val="186504BB"/>
    <w:rsid w:val="19A445FC"/>
    <w:rsid w:val="1ACC5837"/>
    <w:rsid w:val="1BE8440E"/>
    <w:rsid w:val="1D155CEE"/>
    <w:rsid w:val="1D1638FE"/>
    <w:rsid w:val="1E312DEB"/>
    <w:rsid w:val="1E740ACF"/>
    <w:rsid w:val="1FF35744"/>
    <w:rsid w:val="1FF6BC77"/>
    <w:rsid w:val="2186353C"/>
    <w:rsid w:val="23860B96"/>
    <w:rsid w:val="240371BF"/>
    <w:rsid w:val="244F3473"/>
    <w:rsid w:val="24C97D99"/>
    <w:rsid w:val="25A718F0"/>
    <w:rsid w:val="25BB59F6"/>
    <w:rsid w:val="260F557C"/>
    <w:rsid w:val="26970054"/>
    <w:rsid w:val="281408E2"/>
    <w:rsid w:val="29FD04D3"/>
    <w:rsid w:val="2BFF7BC6"/>
    <w:rsid w:val="2C8A61B5"/>
    <w:rsid w:val="2DF04E50"/>
    <w:rsid w:val="2E586DFA"/>
    <w:rsid w:val="2F040D46"/>
    <w:rsid w:val="2F6B035B"/>
    <w:rsid w:val="2FAE5751"/>
    <w:rsid w:val="2FB1A395"/>
    <w:rsid w:val="2FD9A7D8"/>
    <w:rsid w:val="2FDBF714"/>
    <w:rsid w:val="30AB6865"/>
    <w:rsid w:val="319F7F4E"/>
    <w:rsid w:val="32BD1EF1"/>
    <w:rsid w:val="3304709D"/>
    <w:rsid w:val="331C2D36"/>
    <w:rsid w:val="33A773CB"/>
    <w:rsid w:val="349D6851"/>
    <w:rsid w:val="36AA5135"/>
    <w:rsid w:val="36BE0DA7"/>
    <w:rsid w:val="376B6AA6"/>
    <w:rsid w:val="376D39B2"/>
    <w:rsid w:val="37E16F03"/>
    <w:rsid w:val="37F53A3B"/>
    <w:rsid w:val="389B6C89"/>
    <w:rsid w:val="38D469F0"/>
    <w:rsid w:val="39627CCD"/>
    <w:rsid w:val="397BAF1F"/>
    <w:rsid w:val="3AB79AF3"/>
    <w:rsid w:val="3AE834C0"/>
    <w:rsid w:val="3B7EF35A"/>
    <w:rsid w:val="3B9FDB6C"/>
    <w:rsid w:val="3BF5BC2F"/>
    <w:rsid w:val="3CEBA265"/>
    <w:rsid w:val="3D98207C"/>
    <w:rsid w:val="3DEE7CF3"/>
    <w:rsid w:val="3E740A63"/>
    <w:rsid w:val="3E78745D"/>
    <w:rsid w:val="3EE17838"/>
    <w:rsid w:val="3F55381A"/>
    <w:rsid w:val="3F7F7599"/>
    <w:rsid w:val="3FF4CAE0"/>
    <w:rsid w:val="3FF7B227"/>
    <w:rsid w:val="44E268DA"/>
    <w:rsid w:val="44E56FE4"/>
    <w:rsid w:val="450D13D7"/>
    <w:rsid w:val="45506656"/>
    <w:rsid w:val="46E0357A"/>
    <w:rsid w:val="486A6C7A"/>
    <w:rsid w:val="4A627F82"/>
    <w:rsid w:val="4B0E749A"/>
    <w:rsid w:val="4B2477C4"/>
    <w:rsid w:val="4B4F25DA"/>
    <w:rsid w:val="4BE068DB"/>
    <w:rsid w:val="4D577224"/>
    <w:rsid w:val="4DBF1CEB"/>
    <w:rsid w:val="4DF0007C"/>
    <w:rsid w:val="4EAB630A"/>
    <w:rsid w:val="4ECE2238"/>
    <w:rsid w:val="4F833267"/>
    <w:rsid w:val="4FE9BD67"/>
    <w:rsid w:val="4FFB052F"/>
    <w:rsid w:val="51110CCF"/>
    <w:rsid w:val="51D90792"/>
    <w:rsid w:val="537E6D0A"/>
    <w:rsid w:val="53F74C96"/>
    <w:rsid w:val="55170BA8"/>
    <w:rsid w:val="553218C9"/>
    <w:rsid w:val="567E1AA5"/>
    <w:rsid w:val="56E47B74"/>
    <w:rsid w:val="57175D52"/>
    <w:rsid w:val="57BD3DD4"/>
    <w:rsid w:val="590B1EDB"/>
    <w:rsid w:val="5AF92295"/>
    <w:rsid w:val="5B250254"/>
    <w:rsid w:val="5BDD79E6"/>
    <w:rsid w:val="5BF561CA"/>
    <w:rsid w:val="5BFF5DFC"/>
    <w:rsid w:val="5CD71FC4"/>
    <w:rsid w:val="5D1F11B5"/>
    <w:rsid w:val="5D695134"/>
    <w:rsid w:val="5DAE1B18"/>
    <w:rsid w:val="5DE7D9E5"/>
    <w:rsid w:val="5ECEC941"/>
    <w:rsid w:val="5FBF9FF3"/>
    <w:rsid w:val="5FCD4E2C"/>
    <w:rsid w:val="5FEF394A"/>
    <w:rsid w:val="5FF67715"/>
    <w:rsid w:val="62BF3928"/>
    <w:rsid w:val="63B3701E"/>
    <w:rsid w:val="647F5392"/>
    <w:rsid w:val="65E66580"/>
    <w:rsid w:val="664B1D71"/>
    <w:rsid w:val="664B4E8E"/>
    <w:rsid w:val="67277B67"/>
    <w:rsid w:val="67AA3209"/>
    <w:rsid w:val="698D0931"/>
    <w:rsid w:val="6A7FE5F3"/>
    <w:rsid w:val="6B053271"/>
    <w:rsid w:val="6BDD78B3"/>
    <w:rsid w:val="6C4A05C8"/>
    <w:rsid w:val="6C8742B8"/>
    <w:rsid w:val="6DBF5E93"/>
    <w:rsid w:val="6DFF077E"/>
    <w:rsid w:val="6E714EF0"/>
    <w:rsid w:val="6E7E3605"/>
    <w:rsid w:val="6E7FDCC7"/>
    <w:rsid w:val="6ED6A62E"/>
    <w:rsid w:val="6EE00B15"/>
    <w:rsid w:val="6F6FB3EB"/>
    <w:rsid w:val="6F8731EA"/>
    <w:rsid w:val="6FCE6052"/>
    <w:rsid w:val="6FD57C00"/>
    <w:rsid w:val="6FEFFFD8"/>
    <w:rsid w:val="6FF5CC65"/>
    <w:rsid w:val="6FFB47EC"/>
    <w:rsid w:val="6FFF034A"/>
    <w:rsid w:val="70484440"/>
    <w:rsid w:val="712A28F1"/>
    <w:rsid w:val="715C0E4B"/>
    <w:rsid w:val="71992E7C"/>
    <w:rsid w:val="72233669"/>
    <w:rsid w:val="72734D90"/>
    <w:rsid w:val="73160E6D"/>
    <w:rsid w:val="7332FE48"/>
    <w:rsid w:val="73AB61DA"/>
    <w:rsid w:val="73AD73D5"/>
    <w:rsid w:val="73B6EB34"/>
    <w:rsid w:val="73FA497D"/>
    <w:rsid w:val="744731E5"/>
    <w:rsid w:val="74BBD01D"/>
    <w:rsid w:val="74ED5379"/>
    <w:rsid w:val="75DEEEC2"/>
    <w:rsid w:val="75E32345"/>
    <w:rsid w:val="76E3355F"/>
    <w:rsid w:val="76FF5125"/>
    <w:rsid w:val="776F6FFA"/>
    <w:rsid w:val="778769C8"/>
    <w:rsid w:val="77A75DCA"/>
    <w:rsid w:val="77DC22F5"/>
    <w:rsid w:val="781C787D"/>
    <w:rsid w:val="781F2403"/>
    <w:rsid w:val="783E271A"/>
    <w:rsid w:val="78616DE9"/>
    <w:rsid w:val="78E875D7"/>
    <w:rsid w:val="79086DAD"/>
    <w:rsid w:val="79D7FD79"/>
    <w:rsid w:val="79EE5BA4"/>
    <w:rsid w:val="7A894339"/>
    <w:rsid w:val="7AD284E8"/>
    <w:rsid w:val="7AFF7572"/>
    <w:rsid w:val="7B6C7DFB"/>
    <w:rsid w:val="7BBFBED0"/>
    <w:rsid w:val="7BC3E394"/>
    <w:rsid w:val="7C1F3737"/>
    <w:rsid w:val="7CBFC87B"/>
    <w:rsid w:val="7CFE0F48"/>
    <w:rsid w:val="7D272ABC"/>
    <w:rsid w:val="7D7EC23E"/>
    <w:rsid w:val="7E8ADEBF"/>
    <w:rsid w:val="7EEF11D3"/>
    <w:rsid w:val="7EFE4840"/>
    <w:rsid w:val="7F0971A6"/>
    <w:rsid w:val="7F1D62E7"/>
    <w:rsid w:val="7F3F679B"/>
    <w:rsid w:val="7F4FC4EF"/>
    <w:rsid w:val="7F5E4D54"/>
    <w:rsid w:val="7F6E0135"/>
    <w:rsid w:val="7F79F205"/>
    <w:rsid w:val="7FA30C79"/>
    <w:rsid w:val="7FA79C44"/>
    <w:rsid w:val="7FAF8ABF"/>
    <w:rsid w:val="7FB7269E"/>
    <w:rsid w:val="7FC96657"/>
    <w:rsid w:val="7FDA9588"/>
    <w:rsid w:val="7FDF220F"/>
    <w:rsid w:val="7FEDC5F7"/>
    <w:rsid w:val="7FEDD9DE"/>
    <w:rsid w:val="7FF5890D"/>
    <w:rsid w:val="7FF93490"/>
    <w:rsid w:val="99FF2014"/>
    <w:rsid w:val="A6DD0D7F"/>
    <w:rsid w:val="ACFF4FBB"/>
    <w:rsid w:val="ADC6F725"/>
    <w:rsid w:val="B7CF06AB"/>
    <w:rsid w:val="B7CFA926"/>
    <w:rsid w:val="B7F8786B"/>
    <w:rsid w:val="BABB6AA1"/>
    <w:rsid w:val="BB2F4199"/>
    <w:rsid w:val="BCFFB442"/>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E9BE81"/>
    <w:rsid w:val="DFFFA9E8"/>
    <w:rsid w:val="E5F4E9DC"/>
    <w:rsid w:val="E70FE695"/>
    <w:rsid w:val="EB2E368B"/>
    <w:rsid w:val="ECFED1BC"/>
    <w:rsid w:val="ED1D69BB"/>
    <w:rsid w:val="ED7FD312"/>
    <w:rsid w:val="EF2E1AC6"/>
    <w:rsid w:val="EF53993F"/>
    <w:rsid w:val="EF6FD633"/>
    <w:rsid w:val="EFBFB2F4"/>
    <w:rsid w:val="EFBFFA21"/>
    <w:rsid w:val="F2BEBCB8"/>
    <w:rsid w:val="F36FB518"/>
    <w:rsid w:val="F3DE1A04"/>
    <w:rsid w:val="F3F722E5"/>
    <w:rsid w:val="F4FBCD07"/>
    <w:rsid w:val="FA5F1E70"/>
    <w:rsid w:val="FA5FDB97"/>
    <w:rsid w:val="FB7F486A"/>
    <w:rsid w:val="FBFF5B2E"/>
    <w:rsid w:val="FD7FFE2B"/>
    <w:rsid w:val="FDEE196B"/>
    <w:rsid w:val="FDFE6575"/>
    <w:rsid w:val="FEDFDDC2"/>
    <w:rsid w:val="FEED32F6"/>
    <w:rsid w:val="FEF781DD"/>
    <w:rsid w:val="FF3F7E3F"/>
    <w:rsid w:val="FFBA12D7"/>
    <w:rsid w:val="FFCBD314"/>
    <w:rsid w:val="FFDFF91C"/>
    <w:rsid w:val="FFDFFAEE"/>
    <w:rsid w:val="FFEF6777"/>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6">
    <w:name w:val="Default Paragraph Font"/>
    <w:unhideWhenUsed/>
    <w:qFormat/>
    <w:uiPriority w:val="1"/>
  </w:style>
  <w:style w:type="table" w:default="1" w:styleId="15">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link w:val="25"/>
    <w:qFormat/>
    <w:uiPriority w:val="99"/>
    <w:pPr>
      <w:spacing w:beforeLines="30"/>
    </w:pPr>
    <w:rPr>
      <w:rFonts w:ascii="仿宋_GB2312" w:eastAsia="仿宋_GB2312"/>
      <w:kern w:val="0"/>
      <w:sz w:val="30"/>
    </w:rPr>
  </w:style>
  <w:style w:type="paragraph" w:styleId="6">
    <w:name w:val="Body Text Indent"/>
    <w:basedOn w:val="1"/>
    <w:next w:val="7"/>
    <w:qFormat/>
    <w:uiPriority w:val="0"/>
    <w:pPr>
      <w:spacing w:after="120"/>
      <w:ind w:leftChars="200"/>
    </w:pPr>
    <w:rPr>
      <w:rFonts w:ascii="仿宋_GB2312"/>
      <w:szCs w:val="32"/>
    </w:rPr>
  </w:style>
  <w:style w:type="paragraph" w:styleId="7">
    <w:name w:val="Body Text First Indent 2"/>
    <w:basedOn w:val="6"/>
    <w:unhideWhenUsed/>
    <w:qFormat/>
    <w:uiPriority w:val="99"/>
    <w:pPr>
      <w:ind w:firstLine="420" w:firstLineChars="200"/>
    </w:p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1"/>
    <w:semiHidden/>
    <w:unhideWhenUsed/>
    <w:qFormat/>
    <w:uiPriority w:val="99"/>
    <w:rPr>
      <w:sz w:val="18"/>
      <w:szCs w:val="18"/>
    </w:rPr>
  </w:style>
  <w:style w:type="paragraph" w:styleId="10">
    <w:name w:val="footer"/>
    <w:basedOn w:val="1"/>
    <w:link w:val="23"/>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1"/>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footnote text"/>
    <w:basedOn w:val="1"/>
    <w:next w:val="7"/>
    <w:semiHidden/>
    <w:qFormat/>
    <w:uiPriority w:val="0"/>
    <w:pPr>
      <w:snapToGrid w:val="0"/>
      <w:jc w:val="left"/>
    </w:pPr>
    <w:rPr>
      <w:sz w:val="18"/>
      <w:szCs w:val="18"/>
    </w:rPr>
  </w:style>
  <w:style w:type="paragraph" w:styleId="14">
    <w:name w:val="toc 2"/>
    <w:basedOn w:val="1"/>
    <w:next w:val="1"/>
    <w:unhideWhenUsed/>
    <w:qFormat/>
    <w:uiPriority w:val="39"/>
    <w:pPr>
      <w:tabs>
        <w:tab w:val="right" w:leader="dot" w:pos="8296"/>
      </w:tabs>
      <w:ind w:left="420" w:leftChars="200"/>
    </w:p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paragraph" w:customStyle="1" w:styleId="19">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0">
    <w:name w:val="Header Char"/>
    <w:basedOn w:val="16"/>
    <w:semiHidden/>
    <w:qFormat/>
    <w:uiPriority w:val="99"/>
    <w:rPr>
      <w:rFonts w:ascii="Times New Roman" w:hAnsi="Times New Roman"/>
      <w:sz w:val="18"/>
      <w:szCs w:val="18"/>
    </w:rPr>
  </w:style>
  <w:style w:type="character" w:customStyle="1" w:styleId="21">
    <w:name w:val="页眉 Char"/>
    <w:link w:val="11"/>
    <w:semiHidden/>
    <w:qFormat/>
    <w:locked/>
    <w:uiPriority w:val="99"/>
    <w:rPr>
      <w:sz w:val="18"/>
    </w:rPr>
  </w:style>
  <w:style w:type="character" w:customStyle="1" w:styleId="22">
    <w:name w:val="Footer Char"/>
    <w:basedOn w:val="16"/>
    <w:semiHidden/>
    <w:qFormat/>
    <w:uiPriority w:val="99"/>
    <w:rPr>
      <w:rFonts w:ascii="Times New Roman" w:hAnsi="Times New Roman"/>
      <w:sz w:val="18"/>
      <w:szCs w:val="18"/>
    </w:rPr>
  </w:style>
  <w:style w:type="character" w:customStyle="1" w:styleId="23">
    <w:name w:val="页脚 Char"/>
    <w:link w:val="10"/>
    <w:qFormat/>
    <w:locked/>
    <w:uiPriority w:val="99"/>
    <w:rPr>
      <w:sz w:val="18"/>
    </w:rPr>
  </w:style>
  <w:style w:type="character" w:customStyle="1" w:styleId="24">
    <w:name w:val="Body Text Char"/>
    <w:basedOn w:val="16"/>
    <w:semiHidden/>
    <w:qFormat/>
    <w:uiPriority w:val="99"/>
    <w:rPr>
      <w:rFonts w:ascii="Times New Roman" w:hAnsi="Times New Roman"/>
      <w:szCs w:val="24"/>
    </w:rPr>
  </w:style>
  <w:style w:type="character" w:customStyle="1" w:styleId="25">
    <w:name w:val="正文文本 Char"/>
    <w:link w:val="2"/>
    <w:qFormat/>
    <w:locked/>
    <w:uiPriority w:val="99"/>
    <w:rPr>
      <w:rFonts w:ascii="仿宋_GB2312" w:hAnsi="Times New Roman" w:eastAsia="仿宋_GB2312"/>
      <w:sz w:val="24"/>
    </w:rPr>
  </w:style>
  <w:style w:type="paragraph" w:customStyle="1" w:styleId="26">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7">
    <w:name w:val="List Paragraph"/>
    <w:basedOn w:val="1"/>
    <w:qFormat/>
    <w:uiPriority w:val="34"/>
    <w:pPr>
      <w:ind w:firstLine="420" w:firstLineChars="200"/>
    </w:pPr>
  </w:style>
  <w:style w:type="character" w:customStyle="1" w:styleId="28">
    <w:name w:val="标题 1 Char"/>
    <w:basedOn w:val="16"/>
    <w:link w:val="3"/>
    <w:qFormat/>
    <w:uiPriority w:val="9"/>
    <w:rPr>
      <w:rFonts w:ascii="Times New Roman" w:hAnsi="Times New Roman"/>
      <w:b/>
      <w:bCs/>
      <w:kern w:val="44"/>
      <w:sz w:val="44"/>
      <w:szCs w:val="44"/>
    </w:rPr>
  </w:style>
  <w:style w:type="character" w:customStyle="1" w:styleId="29">
    <w:name w:val="标题 2 Char"/>
    <w:basedOn w:val="16"/>
    <w:link w:val="4"/>
    <w:qFormat/>
    <w:uiPriority w:val="9"/>
    <w:rPr>
      <w:rFonts w:asciiTheme="majorHAnsi" w:hAnsiTheme="majorHAnsi" w:eastAsiaTheme="majorEastAsia" w:cstheme="majorBidi"/>
      <w:b/>
      <w:bCs/>
      <w:kern w:val="2"/>
      <w:sz w:val="32"/>
      <w:szCs w:val="32"/>
    </w:rPr>
  </w:style>
  <w:style w:type="paragraph" w:customStyle="1" w:styleId="30">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1">
    <w:name w:val="批注框文本 Char"/>
    <w:basedOn w:val="16"/>
    <w:link w:val="9"/>
    <w:semiHidden/>
    <w:qFormat/>
    <w:uiPriority w:val="99"/>
    <w:rPr>
      <w:rFonts w:ascii="Times New Roman" w:hAnsi="Times New Roman"/>
      <w:kern w:val="2"/>
      <w:sz w:val="18"/>
      <w:szCs w:val="18"/>
    </w:rPr>
  </w:style>
  <w:style w:type="character" w:customStyle="1" w:styleId="32">
    <w:name w:val="标题 3 Char"/>
    <w:basedOn w:val="16"/>
    <w:link w:val="5"/>
    <w:qFormat/>
    <w:uiPriority w:val="9"/>
    <w:rPr>
      <w:rFonts w:ascii="Times New Roman" w:hAnsi="Times New Roman"/>
      <w:b/>
      <w:bCs/>
      <w:kern w:val="2"/>
      <w:sz w:val="32"/>
      <w:szCs w:val="32"/>
    </w:rPr>
  </w:style>
  <w:style w:type="paragraph" w:customStyle="1" w:styleId="33">
    <w:name w:val="TOC Heading"/>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4">
    <w:name w:val="四号正文"/>
    <w:basedOn w:val="1"/>
    <w:qFormat/>
    <w:uiPriority w:val="0"/>
    <w:pPr>
      <w:spacing w:line="360" w:lineRule="auto"/>
    </w:pPr>
    <w:rPr>
      <w:rFonts w:ascii="??" w:hAnsi="??" w:eastAsia="宋体"/>
      <w:color w:val="000000"/>
      <w:kern w:val="0"/>
      <w:sz w:val="28"/>
      <w:szCs w:val="21"/>
      <w:lang w:val="zh-CN" w:eastAsia="zh-CN"/>
    </w:rPr>
  </w:style>
  <w:style w:type="character" w:customStyle="1" w:styleId="35">
    <w:name w:val="15"/>
    <w:basedOn w:val="16"/>
    <w:qFormat/>
    <w:uiPriority w:val="0"/>
    <w:rPr>
      <w:rFonts w:ascii="Times New Roman" w:hAnsi="Times New Roman" w:cs="Times New Roman"/>
      <w:b/>
      <w:bCs/>
    </w:rPr>
  </w:style>
</w:styles>
</file>

<file path=word/_rels/document.xml.rels><?xml version="1.0" encoding="UTF-8" standalone="yes"?>
<Relationships xmlns="http://schemas.openxmlformats.org/package/2006/relationships"><Relationship Id="rId9" Type="http://schemas.openxmlformats.org/officeDocument/2006/relationships/chart" Target="charts/chart3.xml"/><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chart" Target="charts/chart6.xml"/><Relationship Id="rId11" Type="http://schemas.openxmlformats.org/officeDocument/2006/relationships/chart" Target="charts/chart5.xml"/><Relationship Id="rId10" Type="http://schemas.openxmlformats.org/officeDocument/2006/relationships/chart" Target="charts/chart4.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G:\2026&#24180;&#36130;&#21153;\2025&#24180;&#20915;&#31639;\24&#24180;&#20915;&#31639;&#20844;&#24320;\&#22270;&#34920;.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G:\2026&#24180;&#36130;&#21153;\2025&#24180;&#20915;&#31639;\24&#24180;&#20915;&#31639;&#20844;&#24320;\&#22270;&#34920;.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G:\2026&#24180;&#36130;&#21153;\2025&#24180;&#20915;&#31639;\24&#24180;&#20915;&#31639;&#20844;&#24320;\&#22270;&#34920;.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G:\2026&#24180;&#36130;&#21153;\2025&#24180;&#20915;&#31639;\24&#24180;&#20915;&#31639;&#20844;&#24320;\&#22270;&#34920;.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G:\2026&#24180;&#36130;&#21153;\2025&#24180;&#20915;&#31639;\24&#24180;&#20915;&#31639;&#20844;&#24320;\&#22270;&#34920;.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G:\2026&#24180;&#36130;&#21153;\2025&#24180;&#20915;&#31639;\24&#24180;&#20915;&#31639;&#20844;&#24320;\&#22270;&#349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r>
              <a:t>收、支决算总计变动情况图</a:t>
            </a:r>
            <a:endParaRPr sz="1400" b="0" i="0" u="none" strike="noStrike" baseline="0">
              <a:solidFill>
                <a:srgbClr val="333333"/>
              </a:solidFill>
              <a:latin typeface="微软雅黑" panose="020B0503020204020204" charset="-122"/>
              <a:ea typeface="微软雅黑" panose="020B0503020204020204" charset="-122"/>
              <a:cs typeface="Arial" panose="020B0604020202020204" pitchFamily="2"/>
            </a:endParaRPr>
          </a:p>
        </c:rich>
      </c:tx>
      <c:layout>
        <c:manualLayout>
          <c:x val="0"/>
          <c:y val="-0.01075"/>
        </c:manualLayout>
      </c:layout>
      <c:overlay val="0"/>
    </c:title>
    <c:autoTitleDeleted val="0"/>
    <c:plotArea>
      <c:layout>
        <c:manualLayout>
          <c:layoutTarget val="inner"/>
          <c:xMode val="edge"/>
          <c:yMode val="edge"/>
          <c:x val="0.15075"/>
          <c:y val="0.199"/>
          <c:w val="0.83525"/>
          <c:h val="0.595"/>
        </c:manualLayout>
      </c:layout>
      <c:barChart>
        <c:barDir val="col"/>
        <c:grouping val="clustered"/>
        <c:varyColors val="0"/>
        <c:ser>
          <c:idx val="0"/>
          <c:order val="0"/>
          <c:tx>
            <c:strRef>
              <c:f>[图表.xls]Sheet1!$A$2</c:f>
              <c:strCache>
                <c:ptCount val="1"/>
                <c:pt idx="0">
                  <c:v>      本年收入合计</c:v>
                </c:pt>
              </c:strCache>
            </c:strRef>
          </c:tx>
          <c:spPr>
            <a:solidFill>
              <a:srgbClr val="5B9BD5">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[图表.xls]Sheet1!$B$1:$C$1</c:f>
              <c:strCache>
                <c:ptCount val="2"/>
                <c:pt idx="0">
                  <c:v>2024年</c:v>
                </c:pt>
                <c:pt idx="1">
                  <c:v>2025年</c:v>
                </c:pt>
              </c:strCache>
            </c:strRef>
          </c:cat>
          <c:val>
            <c:numRef>
              <c:f>[图表.xls]Sheet1!$B$2:$C$2</c:f>
              <c:numCache>
                <c:formatCode>#,##0.00</c:formatCode>
                <c:ptCount val="2"/>
                <c:pt idx="0">
                  <c:v>2583.43</c:v>
                </c:pt>
                <c:pt idx="1">
                  <c:v>2880.83</c:v>
                </c:pt>
              </c:numCache>
            </c:numRef>
          </c:val>
        </c:ser>
        <c:ser>
          <c:idx val="1"/>
          <c:order val="1"/>
          <c:tx>
            <c:strRef>
              <c:f>[图表.xls]Sheet1!$A$3</c:f>
              <c:strCache>
                <c:ptCount val="1"/>
                <c:pt idx="0">
                  <c:v>      本年支出合计</c:v>
                </c:pt>
              </c:strCache>
            </c:strRef>
          </c:tx>
          <c:spPr>
            <a:solidFill>
              <a:srgbClr val="ED7D31">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[图表.xls]Sheet1!$B$1:$C$1</c:f>
              <c:strCache>
                <c:ptCount val="2"/>
                <c:pt idx="0">
                  <c:v>2024年</c:v>
                </c:pt>
                <c:pt idx="1">
                  <c:v>2025年</c:v>
                </c:pt>
              </c:strCache>
            </c:strRef>
          </c:cat>
          <c:val>
            <c:numRef>
              <c:f>[图表.xls]Sheet1!$B$3:$C$3</c:f>
              <c:numCache>
                <c:formatCode>#,##0.00</c:formatCode>
                <c:ptCount val="2"/>
                <c:pt idx="0">
                  <c:v>2583.43</c:v>
                </c:pt>
                <c:pt idx="1">
                  <c:v>2880.83</c:v>
                </c:pt>
              </c:numCache>
            </c:numRef>
          </c:val>
        </c:ser>
        <c:dLbls>
          <c:showLegendKey val="0"/>
          <c:showVal val="0"/>
          <c:showCatName val="0"/>
          <c:showSerName val="0"/>
          <c:showPercent val="0"/>
          <c:showBubbleSize val="0"/>
        </c:dLbls>
        <c:gapWidth val="219"/>
        <c:overlap val="-10"/>
        <c:axId val="351290999"/>
        <c:axId val="114260053"/>
      </c:barChart>
      <c:catAx>
        <c:axId val="351290999"/>
        <c:scaling>
          <c:orientation val="minMax"/>
        </c:scaling>
        <c:delete val="0"/>
        <c:axPos val="b"/>
        <c:majorTickMark val="none"/>
        <c:minorTickMark val="none"/>
        <c:tickLblPos val="nextTo"/>
        <c:spPr>
          <a:ln w="3175" cap="flat" cmpd="sng" algn="ctr">
            <a:solidFill>
              <a:srgbClr val="F2F2F2">
                <a:alpha val="100000"/>
              </a:srgbClr>
            </a:solid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crossAx val="114260053"/>
        <c:crosses val="autoZero"/>
        <c:auto val="1"/>
        <c:lblAlgn val="ctr"/>
        <c:lblOffset val="100"/>
        <c:noMultiLvlLbl val="0"/>
      </c:catAx>
      <c:valAx>
        <c:axId val="114260053"/>
        <c:scaling>
          <c:orientation val="minMax"/>
        </c:scaling>
        <c:delete val="0"/>
        <c:axPos val="l"/>
        <c:majorGridlines>
          <c:spPr>
            <a:ln w="3175" cap="flat" cmpd="sng" algn="ctr">
              <a:solidFill>
                <a:srgbClr val="F2F2F2">
                  <a:alpha val="100000"/>
                </a:srgbClr>
              </a:solidFill>
              <a:prstDash val="solid"/>
              <a:round/>
            </a:ln>
          </c:spPr>
        </c:majorGridlines>
        <c:numFmt formatCode="#,##0.00" sourceLinked="1"/>
        <c:majorTickMark val="none"/>
        <c:minorTickMark val="none"/>
        <c:tickLblPos val="nextTo"/>
        <c:spPr>
          <a:ln w="12700" cap="flat" cmpd="sng" algn="ctr">
            <a:no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crossAx val="351290999"/>
        <c:crosses val="autoZero"/>
        <c:crossBetween val="between"/>
      </c:valAx>
      <c:spPr>
        <a:noFill/>
        <a:ln w="3175">
          <a:noFill/>
        </a:ln>
      </c:spPr>
    </c:plotArea>
    <c:legend>
      <c:legendPos val="r"/>
      <c:layout>
        <c:manualLayout>
          <c:xMode val="edge"/>
          <c:yMode val="edge"/>
          <c:x val="0.33475"/>
          <c:y val="0.8645"/>
          <c:w val="0.328"/>
          <c:h val="0.10175"/>
        </c:manualLayout>
      </c:layout>
      <c:overlay val="0"/>
      <c:spPr>
        <a:noFill/>
        <a:ln w="12700">
          <a:noFill/>
        </a:ln>
      </c:spPr>
      <c:txPr>
        <a:bodyPr rot="0" spcFirstLastPara="0" vertOverflow="ellipsis" vert="horz" wrap="square" anchor="ctr" anchorCtr="1"/>
        <a:lstStyle/>
        <a:p>
          <a:pPr>
            <a:defRPr lang="zh-CN" sz="85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legend>
    <c:plotVisOnly val="1"/>
    <c:dispBlanksAs val="gap"/>
    <c:showDLblsOverMax val="0"/>
  </c:chart>
  <c:spPr>
    <a:solidFill>
      <a:srgbClr val="FFFFFF">
        <a:alpha val="100000"/>
      </a:srgbClr>
    </a:solidFill>
    <a:ln w="3175" cap="flat" cmpd="sng" algn="ctr">
      <a:solidFill>
        <a:srgbClr val="FFFFFF">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rgbClr val="808080"/>
                </a:solidFill>
                <a:latin typeface="宋体" panose="02010600030101010101" charset="-122"/>
                <a:ea typeface="宋体" panose="02010600030101010101" charset="-122"/>
                <a:cs typeface="Arial" panose="020B0604020202020204" pitchFamily="2"/>
              </a:defRPr>
            </a:pPr>
            <a:r>
              <a:t>收入决算结构图</a:t>
            </a:r>
            <a:endParaRPr sz="1400" b="1" i="0" u="none" strike="noStrike" baseline="0">
              <a:solidFill>
                <a:srgbClr val="808080"/>
              </a:solidFill>
              <a:latin typeface="宋体" panose="02010600030101010101" charset="-122"/>
              <a:ea typeface="宋体" panose="02010600030101010101" charset="-122"/>
              <a:cs typeface="Arial" panose="020B0604020202020204" pitchFamily="2"/>
            </a:endParaRPr>
          </a:p>
        </c:rich>
      </c:tx>
      <c:layout>
        <c:manualLayout>
          <c:x val="-0.002"/>
          <c:y val="-0.01075"/>
        </c:manualLayout>
      </c:layout>
      <c:overlay val="0"/>
    </c:title>
    <c:autoTitleDeleted val="0"/>
    <c:plotArea>
      <c:layout>
        <c:manualLayout>
          <c:layoutTarget val="inner"/>
          <c:xMode val="edge"/>
          <c:yMode val="edge"/>
          <c:x val="0.11475"/>
          <c:y val="0.2055"/>
          <c:w val="0.4215"/>
          <c:h val="0.70375"/>
        </c:manualLayout>
      </c:layout>
      <c:pieChart>
        <c:varyColors val="1"/>
        <c:ser>
          <c:idx val="0"/>
          <c:order val="0"/>
          <c:spPr>
            <a:solidFill>
              <a:srgbClr val="5B9BD5">
                <a:alpha val="100000"/>
              </a:srgbClr>
            </a:solidFill>
            <a:ln w="3175">
              <a:noFill/>
            </a:ln>
          </c:spPr>
          <c:explosion val="0"/>
          <c:dPt>
            <c:idx val="0"/>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1"/>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2"/>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Lbls>
            <c:dLbl>
              <c:idx val="0"/>
              <c:layout>
                <c:manualLayout>
                  <c:x val="4.52755132451285"/>
                  <c:y val="104.45216135865"/>
                </c:manualLayout>
              </c:layout>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8.86489915566854"/>
                  <c:y val="20.6607494945566"/>
                </c:manualLayout>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399.6196131015"/>
                  <c:y val="383.740087583958"/>
                </c:manualLayout>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c:spPr>
                </c15:leaderLines>
              </c:ext>
            </c:extLst>
          </c:dLbls>
          <c:cat>
            <c:strRef>
              <c:f>[图表.xls]Sheet1!$G$1:$H$1</c:f>
              <c:strCache>
                <c:ptCount val="2"/>
                <c:pt idx="0">
                  <c:v>一般公共预算财政拨款收入</c:v>
                </c:pt>
                <c:pt idx="1">
                  <c:v>其他收入</c:v>
                </c:pt>
              </c:strCache>
            </c:strRef>
          </c:cat>
          <c:val>
            <c:numRef>
              <c:f>[图表.xls]Sheet1!$G$2:$I$2</c:f>
              <c:numCache>
                <c:formatCode>General</c:formatCode>
                <c:ptCount val="3"/>
                <c:pt idx="0">
                  <c:v>2865.29</c:v>
                </c:pt>
                <c:pt idx="1">
                  <c:v>11.25</c:v>
                </c:pt>
                <c:pt idx="2">
                  <c:v>4</c:v>
                </c:pt>
              </c:numCache>
            </c:numRef>
          </c:val>
        </c:ser>
        <c:dLbls>
          <c:showLegendKey val="0"/>
          <c:showVal val="0"/>
          <c:showCatName val="0"/>
          <c:showSerName val="0"/>
          <c:showPercent val="0"/>
          <c:showBubbleSize val="0"/>
          <c:showLeaderLines val="1"/>
        </c:dLbls>
        <c:firstSliceAng val="0"/>
      </c:pieChart>
      <c:spPr>
        <a:noFill/>
        <a:ln w="3175">
          <a:noFill/>
        </a:ln>
      </c:spPr>
    </c:plotArea>
    <c:legend>
      <c:legendPos val="r"/>
      <c:legendEntry>
        <c:idx val="2"/>
        <c:delete val="1"/>
      </c:legendEntry>
      <c:layout>
        <c:manualLayout>
          <c:xMode val="edge"/>
          <c:yMode val="edge"/>
          <c:x val="0.64975"/>
          <c:y val="0.43525"/>
          <c:w val="0.325"/>
          <c:h val="0.18975"/>
        </c:manualLayout>
      </c:layout>
      <c:overlay val="0"/>
      <c:spPr>
        <a:solidFill>
          <a:srgbClr val="FFFFFF">
            <a:alpha val="100000"/>
          </a:srgbClr>
        </a:solidFill>
        <a:ln w="12700">
          <a:noFill/>
        </a:ln>
      </c:spPr>
      <c:txPr>
        <a:bodyPr rot="0" spcFirstLastPara="0" vertOverflow="ellipsis" vert="horz" wrap="square" anchor="ctr" anchorCtr="1"/>
        <a:lstStyle/>
        <a:p>
          <a:pPr>
            <a:defRPr lang="zh-CN" sz="85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legend>
    <c:plotVisOnly val="1"/>
    <c:dispBlanksAs val="zero"/>
    <c:showDLblsOverMax val="0"/>
  </c:chart>
  <c:spPr>
    <a:pattFill prst="dkDnDiag">
      <a:fgClr>
        <a:srgbClr val="FFFFFF">
          <a:alpha val="100000"/>
        </a:srgbClr>
      </a:fgClr>
      <a:bgClr>
        <a:srgbClr val="FFFFFF">
          <a:alpha val="100000"/>
        </a:srgbClr>
      </a:bgClr>
    </a:pattFill>
    <a:ln w="3175" cap="flat" cmpd="sng" algn="ctr">
      <a:solidFill>
        <a:srgbClr val="C0C0C0">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rgbClr val="808080"/>
                </a:solidFill>
                <a:latin typeface="宋体" panose="02010600030101010101" charset="-122"/>
                <a:ea typeface="宋体" panose="02010600030101010101" charset="-122"/>
                <a:cs typeface="Arial" panose="020B0604020202020204" pitchFamily="2"/>
              </a:defRPr>
            </a:pPr>
            <a:r>
              <a:t>支出决算结构图</a:t>
            </a:r>
            <a:endParaRPr sz="1400" b="1" i="0" u="none" strike="noStrike" baseline="0">
              <a:solidFill>
                <a:srgbClr val="808080"/>
              </a:solidFill>
              <a:latin typeface="宋体" panose="02010600030101010101" charset="-122"/>
              <a:ea typeface="宋体" panose="02010600030101010101" charset="-122"/>
              <a:cs typeface="Arial" panose="020B0604020202020204" pitchFamily="2"/>
            </a:endParaRPr>
          </a:p>
        </c:rich>
      </c:tx>
      <c:layout>
        <c:manualLayout>
          <c:x val="-0.0015"/>
          <c:y val="-0.01075"/>
        </c:manualLayout>
      </c:layout>
      <c:overlay val="0"/>
    </c:title>
    <c:autoTitleDeleted val="0"/>
    <c:plotArea>
      <c:layout/>
      <c:pieChart>
        <c:varyColors val="1"/>
        <c:ser>
          <c:idx val="0"/>
          <c:order val="0"/>
          <c:spPr>
            <a:solidFill>
              <a:srgbClr val="5B9BD5">
                <a:alpha val="100000"/>
              </a:srgbClr>
            </a:solidFill>
            <a:ln w="3175">
              <a:noFill/>
            </a:ln>
          </c:spPr>
          <c:explosion val="0"/>
          <c:dPt>
            <c:idx val="0"/>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1"/>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c:spPr>
                </c15:leaderLines>
              </c:ext>
            </c:extLst>
          </c:dLbls>
          <c:cat>
            <c:strRef>
              <c:f>[图表.xls]Sheet1!$A$22:$B$22</c:f>
              <c:strCache>
                <c:ptCount val="2"/>
                <c:pt idx="0">
                  <c:v>基本支出</c:v>
                </c:pt>
                <c:pt idx="1">
                  <c:v>项目支出</c:v>
                </c:pt>
              </c:strCache>
            </c:strRef>
          </c:cat>
          <c:val>
            <c:numRef>
              <c:f>[图表.xls]Sheet1!$A$23:$B$23</c:f>
              <c:numCache>
                <c:formatCode>General</c:formatCode>
                <c:ptCount val="2"/>
                <c:pt idx="0">
                  <c:v>2215.79</c:v>
                </c:pt>
                <c:pt idx="1">
                  <c:v>653.5</c:v>
                </c:pt>
              </c:numCache>
            </c:numRef>
          </c:val>
        </c:ser>
        <c:dLbls>
          <c:showLegendKey val="0"/>
          <c:showVal val="0"/>
          <c:showCatName val="0"/>
          <c:showSerName val="0"/>
          <c:showPercent val="0"/>
          <c:showBubbleSize val="0"/>
          <c:showLeaderLines val="1"/>
        </c:dLbls>
        <c:firstSliceAng val="0"/>
      </c:pieChart>
      <c:spPr>
        <a:noFill/>
        <a:ln w="3175">
          <a:noFill/>
        </a:ln>
      </c:spPr>
    </c:plotArea>
    <c:legend>
      <c:legendPos val="r"/>
      <c:layout>
        <c:manualLayout>
          <c:xMode val="edge"/>
          <c:yMode val="edge"/>
          <c:x val="0.891"/>
          <c:y val="0.46325"/>
          <c:w val="0.0945"/>
          <c:h val="0.15725"/>
        </c:manualLayout>
      </c:layout>
      <c:overlay val="0"/>
      <c:spPr>
        <a:solidFill>
          <a:srgbClr val="FFFFFF">
            <a:alpha val="100000"/>
          </a:srgbClr>
        </a:solidFill>
        <a:ln w="12700">
          <a:noFill/>
        </a:ln>
      </c:spPr>
      <c:txPr>
        <a:bodyPr rot="0" spcFirstLastPara="0" vertOverflow="ellipsis" vert="horz" wrap="square" anchor="ctr" anchorCtr="1"/>
        <a:lstStyle/>
        <a:p>
          <a:pPr>
            <a:defRPr lang="zh-CN" sz="85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legend>
    <c:plotVisOnly val="1"/>
    <c:dispBlanksAs val="zero"/>
    <c:showDLblsOverMax val="0"/>
  </c:chart>
  <c:spPr>
    <a:pattFill prst="dkDnDiag">
      <a:fgClr>
        <a:srgbClr val="FFFFFF">
          <a:alpha val="100000"/>
        </a:srgbClr>
      </a:fgClr>
      <a:bgClr>
        <a:srgbClr val="FFFFFF">
          <a:alpha val="100000"/>
        </a:srgbClr>
      </a:bgClr>
    </a:pattFill>
    <a:ln w="3175" cap="flat" cmpd="sng" algn="ctr">
      <a:solidFill>
        <a:srgbClr val="C0C0C0">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r>
              <a:t>财政拨款收、支决算总计变动情况</a:t>
            </a:r>
            <a:endParaRPr sz="1400" b="0" i="0" u="none" strike="noStrike" baseline="0">
              <a:solidFill>
                <a:srgbClr val="333333"/>
              </a:solidFill>
              <a:latin typeface="微软雅黑" panose="020B0503020204020204" charset="-122"/>
              <a:ea typeface="微软雅黑" panose="020B0503020204020204" charset="-122"/>
              <a:cs typeface="Arial" panose="020B0604020202020204" pitchFamily="2"/>
            </a:endParaRPr>
          </a:p>
        </c:rich>
      </c:tx>
      <c:layout>
        <c:manualLayout>
          <c:x val="0"/>
          <c:y val="-0.01425"/>
        </c:manualLayout>
      </c:layout>
      <c:overlay val="0"/>
    </c:title>
    <c:autoTitleDeleted val="0"/>
    <c:plotArea>
      <c:layout/>
      <c:barChart>
        <c:barDir val="col"/>
        <c:grouping val="clustered"/>
        <c:varyColors val="0"/>
        <c:ser>
          <c:idx val="0"/>
          <c:order val="0"/>
          <c:tx>
            <c:strRef>
              <c:f>[图表.xls]Sheet1!$G$23</c:f>
              <c:strCache>
                <c:ptCount val="1"/>
                <c:pt idx="0">
                  <c:v>      本年财政拨款收入合计</c:v>
                </c:pt>
              </c:strCache>
            </c:strRef>
          </c:tx>
          <c:spPr>
            <a:solidFill>
              <a:srgbClr val="5B9BD5">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000000"/>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[图表.xls]Sheet1!$H$22:$I$22</c:f>
              <c:strCache>
                <c:ptCount val="2"/>
                <c:pt idx="0">
                  <c:v>2024年</c:v>
                </c:pt>
                <c:pt idx="1">
                  <c:v>2025年</c:v>
                </c:pt>
              </c:strCache>
            </c:strRef>
          </c:cat>
          <c:val>
            <c:numRef>
              <c:f>[图表.xls]Sheet1!$H$23:$I$23</c:f>
              <c:numCache>
                <c:formatCode>#,##0.00</c:formatCode>
                <c:ptCount val="2"/>
                <c:pt idx="0">
                  <c:v>2583.42</c:v>
                </c:pt>
                <c:pt idx="1">
                  <c:v>2865.29</c:v>
                </c:pt>
              </c:numCache>
            </c:numRef>
          </c:val>
        </c:ser>
        <c:ser>
          <c:idx val="1"/>
          <c:order val="1"/>
          <c:tx>
            <c:strRef>
              <c:f>[图表.xls]Sheet1!$G$24</c:f>
              <c:strCache>
                <c:ptCount val="1"/>
                <c:pt idx="0">
                  <c:v>      本年财政拨款支出合计</c:v>
                </c:pt>
              </c:strCache>
            </c:strRef>
          </c:tx>
          <c:spPr>
            <a:solidFill>
              <a:srgbClr val="ED7D31">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000000"/>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[图表.xls]Sheet1!$H$22:$I$22</c:f>
              <c:strCache>
                <c:ptCount val="2"/>
                <c:pt idx="0">
                  <c:v>2024年</c:v>
                </c:pt>
                <c:pt idx="1">
                  <c:v>2025年</c:v>
                </c:pt>
              </c:strCache>
            </c:strRef>
          </c:cat>
          <c:val>
            <c:numRef>
              <c:f>[图表.xls]Sheet1!$H$24:$I$24</c:f>
              <c:numCache>
                <c:formatCode>#,##0.00</c:formatCode>
                <c:ptCount val="2"/>
                <c:pt idx="0">
                  <c:v>2583.42</c:v>
                </c:pt>
                <c:pt idx="1">
                  <c:v>2865.29</c:v>
                </c:pt>
              </c:numCache>
            </c:numRef>
          </c:val>
        </c:ser>
        <c:dLbls>
          <c:showLegendKey val="0"/>
          <c:showVal val="0"/>
          <c:showCatName val="0"/>
          <c:showSerName val="0"/>
          <c:showPercent val="0"/>
          <c:showBubbleSize val="0"/>
        </c:dLbls>
        <c:gapWidth val="219"/>
        <c:overlap val="-10"/>
        <c:axId val="929071455"/>
        <c:axId val="333857495"/>
      </c:barChart>
      <c:catAx>
        <c:axId val="929071455"/>
        <c:scaling>
          <c:orientation val="minMax"/>
        </c:scaling>
        <c:delete val="0"/>
        <c:axPos val="b"/>
        <c:majorTickMark val="none"/>
        <c:minorTickMark val="none"/>
        <c:tickLblPos val="nextTo"/>
        <c:spPr>
          <a:ln w="3175" cap="flat" cmpd="sng" algn="ctr">
            <a:solidFill>
              <a:srgbClr val="000000">
                <a:alpha val="100000"/>
              </a:srgbClr>
            </a:solid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crossAx val="333857495"/>
        <c:crosses val="autoZero"/>
        <c:auto val="1"/>
        <c:lblAlgn val="ctr"/>
        <c:lblOffset val="100"/>
        <c:noMultiLvlLbl val="0"/>
      </c:catAx>
      <c:valAx>
        <c:axId val="333857495"/>
        <c:scaling>
          <c:orientation val="minMax"/>
        </c:scaling>
        <c:delete val="0"/>
        <c:axPos val="l"/>
        <c:majorGridlines>
          <c:spPr>
            <a:ln w="3175" cap="flat" cmpd="sng" algn="ctr">
              <a:solidFill>
                <a:srgbClr val="000000">
                  <a:alpha val="100000"/>
                </a:srgbClr>
              </a:solidFill>
              <a:prstDash val="solid"/>
              <a:round/>
            </a:ln>
          </c:spPr>
        </c:majorGridlines>
        <c:numFmt formatCode="#,##0.00" sourceLinked="1"/>
        <c:majorTickMark val="none"/>
        <c:minorTickMark val="none"/>
        <c:tickLblPos val="nextTo"/>
        <c:spPr>
          <a:ln w="12700" cap="flat" cmpd="sng" algn="ctr">
            <a:no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crossAx val="929071455"/>
        <c:crosses val="autoZero"/>
        <c:crossBetween val="between"/>
      </c:valAx>
      <c:spPr>
        <a:noFill/>
        <a:ln w="3175">
          <a:noFill/>
        </a:ln>
      </c:spPr>
    </c:plotArea>
    <c:legend>
      <c:legendPos val="r"/>
      <c:layout>
        <c:manualLayout>
          <c:xMode val="edge"/>
          <c:yMode val="edge"/>
          <c:x val="0.1895"/>
          <c:y val="0.8645"/>
          <c:w val="0.61925"/>
          <c:h val="0.10175"/>
        </c:manualLayout>
      </c:layout>
      <c:overlay val="0"/>
      <c:spPr>
        <a:noFill/>
        <a:ln w="12700">
          <a:noFill/>
        </a:ln>
      </c:spPr>
      <c:txPr>
        <a:bodyPr rot="0" spcFirstLastPara="0" vertOverflow="ellipsis" vert="horz" wrap="square" anchor="ctr" anchorCtr="1"/>
        <a:lstStyle/>
        <a:p>
          <a:pPr>
            <a:defRPr lang="zh-CN" sz="85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legend>
    <c:plotVisOnly val="1"/>
    <c:dispBlanksAs val="gap"/>
    <c:showDLblsOverMax val="0"/>
  </c:chart>
  <c:spPr>
    <a:solidFill>
      <a:srgbClr val="FFFFFF">
        <a:alpha val="100000"/>
      </a:srgbClr>
    </a:solidFill>
    <a:ln w="3175" cap="flat" cmpd="sng" algn="ctr">
      <a:solidFill>
        <a:srgbClr val="FFFFFF">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r>
              <a:t>一般公共预算财政拨款支出决算变动情况</a:t>
            </a:r>
            <a:endParaRPr sz="1400" b="0" i="0" u="none" strike="noStrike" baseline="0">
              <a:solidFill>
                <a:srgbClr val="333333"/>
              </a:solidFill>
              <a:latin typeface="微软雅黑" panose="020B0503020204020204" charset="-122"/>
              <a:ea typeface="微软雅黑" panose="020B0503020204020204" charset="-122"/>
              <a:cs typeface="Arial" panose="020B0604020202020204" pitchFamily="2"/>
            </a:endParaRPr>
          </a:p>
        </c:rich>
      </c:tx>
      <c:layout>
        <c:manualLayout>
          <c:x val="-0.00175"/>
          <c:y val="-0.01075"/>
        </c:manualLayout>
      </c:layout>
      <c:overlay val="0"/>
    </c:title>
    <c:autoTitleDeleted val="0"/>
    <c:plotArea>
      <c:layout>
        <c:manualLayout>
          <c:layoutTarget val="inner"/>
          <c:xMode val="edge"/>
          <c:yMode val="edge"/>
          <c:x val="0.110766997338495"/>
          <c:y val="0.260454031504375"/>
          <c:w val="0.854149528187757"/>
          <c:h val="0.621798245614035"/>
        </c:manualLayout>
      </c:layout>
      <c:barChart>
        <c:barDir val="col"/>
        <c:grouping val="clustered"/>
        <c:varyColors val="0"/>
        <c:ser>
          <c:idx val="0"/>
          <c:order val="0"/>
          <c:tx>
            <c:strRef>
              <c:f>[图表.xls]Sheet1!$A$44</c:f>
              <c:strCache>
                <c:ptCount val="1"/>
                <c:pt idx="0">
                  <c:v>一般公共预算财政拨款支出</c:v>
                </c:pt>
              </c:strCache>
            </c:strRef>
          </c:tx>
          <c:spPr>
            <a:solidFill>
              <a:srgbClr val="5B9BD5">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[图表.xls]Sheet1!$B$43:$C$43</c:f>
              <c:strCache>
                <c:ptCount val="2"/>
                <c:pt idx="0">
                  <c:v>2024年</c:v>
                </c:pt>
                <c:pt idx="1">
                  <c:v>2025年</c:v>
                </c:pt>
              </c:strCache>
            </c:strRef>
          </c:cat>
          <c:val>
            <c:numRef>
              <c:f>[图表.xls]Sheet1!$B$44:$C$44</c:f>
              <c:numCache>
                <c:formatCode>#,##0.00</c:formatCode>
                <c:ptCount val="2"/>
                <c:pt idx="0">
                  <c:v>2583.42</c:v>
                </c:pt>
                <c:pt idx="1">
                  <c:v>2869.29</c:v>
                </c:pt>
              </c:numCache>
            </c:numRef>
          </c:val>
        </c:ser>
        <c:dLbls>
          <c:showLegendKey val="0"/>
          <c:showVal val="0"/>
          <c:showCatName val="0"/>
          <c:showSerName val="0"/>
          <c:showPercent val="0"/>
          <c:showBubbleSize val="0"/>
        </c:dLbls>
        <c:gapWidth val="219"/>
        <c:overlap val="-10"/>
        <c:axId val="674305917"/>
        <c:axId val="865379794"/>
      </c:barChart>
      <c:catAx>
        <c:axId val="674305917"/>
        <c:scaling>
          <c:orientation val="minMax"/>
        </c:scaling>
        <c:delete val="0"/>
        <c:axPos val="b"/>
        <c:majorTickMark val="none"/>
        <c:minorTickMark val="none"/>
        <c:tickLblPos val="nextTo"/>
        <c:spPr>
          <a:ln w="3175" cap="flat" cmpd="sng" algn="ctr">
            <a:solidFill>
              <a:srgbClr val="000000">
                <a:alpha val="100000"/>
              </a:srgbClr>
            </a:solid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crossAx val="865379794"/>
        <c:crosses val="autoZero"/>
        <c:auto val="1"/>
        <c:lblAlgn val="ctr"/>
        <c:lblOffset val="100"/>
        <c:noMultiLvlLbl val="0"/>
      </c:catAx>
      <c:valAx>
        <c:axId val="865379794"/>
        <c:scaling>
          <c:orientation val="minMax"/>
        </c:scaling>
        <c:delete val="0"/>
        <c:axPos val="l"/>
        <c:majorGridlines>
          <c:spPr>
            <a:ln w="3175" cap="flat" cmpd="sng" algn="ctr">
              <a:solidFill>
                <a:srgbClr val="000000">
                  <a:alpha val="100000"/>
                </a:srgbClr>
              </a:solidFill>
              <a:prstDash val="solid"/>
              <a:round/>
            </a:ln>
          </c:spPr>
        </c:majorGridlines>
        <c:numFmt formatCode="#,##0.00" sourceLinked="1"/>
        <c:majorTickMark val="none"/>
        <c:minorTickMark val="none"/>
        <c:tickLblPos val="nextTo"/>
        <c:spPr>
          <a:ln w="12700" cap="flat" cmpd="sng" algn="ctr">
            <a:no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crossAx val="674305917"/>
        <c:crosses val="autoZero"/>
        <c:crossBetween val="between"/>
      </c:valAx>
      <c:spPr>
        <a:noFill/>
        <a:ln w="3175">
          <a:noFill/>
        </a:ln>
      </c:spPr>
    </c:plotArea>
    <c:legend>
      <c:legendPos val="r"/>
      <c:layout>
        <c:manualLayout>
          <c:xMode val="edge"/>
          <c:yMode val="edge"/>
          <c:x val="0.265674751996129"/>
          <c:y val="0.72421956941761"/>
          <c:w val="0.30225"/>
          <c:h val="0.2675"/>
        </c:manualLayout>
      </c:layout>
      <c:overlay val="0"/>
      <c:spPr>
        <a:noFill/>
        <a:ln w="12700">
          <a:noFill/>
        </a:ln>
      </c:spPr>
      <c:txPr>
        <a:bodyPr rot="0" spcFirstLastPara="0" vertOverflow="ellipsis" vert="horz" wrap="square" anchor="ctr" anchorCtr="1"/>
        <a:lstStyle/>
        <a:p>
          <a:pPr>
            <a:defRPr lang="zh-CN" sz="85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legend>
    <c:plotVisOnly val="1"/>
    <c:dispBlanksAs val="gap"/>
    <c:showDLblsOverMax val="0"/>
  </c:chart>
  <c:spPr>
    <a:solidFill>
      <a:srgbClr val="FFFFFF">
        <a:alpha val="100000"/>
      </a:srgbClr>
    </a:solidFill>
    <a:ln w="3175" cap="flat" cmpd="sng" algn="ctr">
      <a:solidFill>
        <a:srgbClr val="FFFFFF">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rgbClr val="808080"/>
                </a:solidFill>
                <a:latin typeface="宋体" panose="02010600030101010101" charset="-122"/>
                <a:ea typeface="宋体" panose="02010600030101010101" charset="-122"/>
                <a:cs typeface="Arial" panose="020B0604020202020204" pitchFamily="2"/>
              </a:defRPr>
            </a:pPr>
            <a:r>
              <a:t>一般公共预算财政拨款支出决算结构</a:t>
            </a:r>
            <a:endParaRPr sz="1400" b="1" i="0" u="none" strike="noStrike" baseline="0">
              <a:solidFill>
                <a:srgbClr val="808080"/>
              </a:solidFill>
              <a:latin typeface="宋体" panose="02010600030101010101" charset="-122"/>
              <a:ea typeface="宋体" panose="02010600030101010101" charset="-122"/>
              <a:cs typeface="Arial" panose="020B0604020202020204" pitchFamily="2"/>
            </a:endParaRPr>
          </a:p>
        </c:rich>
      </c:tx>
      <c:layout>
        <c:manualLayout>
          <c:x val="-0.002"/>
          <c:y val="0.889"/>
        </c:manualLayout>
      </c:layout>
      <c:overlay val="0"/>
    </c:title>
    <c:autoTitleDeleted val="0"/>
    <c:plotArea>
      <c:layout/>
      <c:pieChart>
        <c:varyColors val="1"/>
        <c:ser>
          <c:idx val="0"/>
          <c:order val="0"/>
          <c:spPr>
            <a:solidFill>
              <a:srgbClr val="5B9BD5">
                <a:alpha val="100000"/>
              </a:srgbClr>
            </a:solidFill>
            <a:ln w="3175">
              <a:noFill/>
            </a:ln>
          </c:spPr>
          <c:explosion val="0"/>
          <c:dPt>
            <c:idx val="0"/>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1"/>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2"/>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3"/>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Lbls>
            <c:dLbl>
              <c:idx val="0"/>
              <c:layout>
                <c:manualLayout>
                  <c:x val="0.0615011336293887"/>
                  <c:y val="-0.0365839190411225"/>
                </c:manualLayout>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114462107699565"/>
                  <c:y val="0.0398397182623823"/>
                </c:manualLayout>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0356837401749068"/>
                  <c:y val="-0.0281265329515699"/>
                </c:manualLayout>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c:spPr>
                </c15:leaderLines>
              </c:ext>
            </c:extLst>
          </c:dLbls>
          <c:cat>
            <c:strRef>
              <c:f>[图表.xls]Sheet1!$A$64:$D$64</c:f>
              <c:strCache>
                <c:ptCount val="4"/>
                <c:pt idx="0">
                  <c:v>教育支出</c:v>
                </c:pt>
                <c:pt idx="1">
                  <c:v>社会保障和就业支出</c:v>
                </c:pt>
                <c:pt idx="2">
                  <c:v>卫生健康支出</c:v>
                </c:pt>
                <c:pt idx="3">
                  <c:v>住房保障支出</c:v>
                </c:pt>
              </c:strCache>
            </c:strRef>
          </c:cat>
          <c:val>
            <c:numRef>
              <c:f>[图表.xls]Sheet1!$A$65:$D$65</c:f>
              <c:numCache>
                <c:formatCode>#,##0.00</c:formatCode>
                <c:ptCount val="4"/>
                <c:pt idx="0">
                  <c:v>2215.79</c:v>
                </c:pt>
                <c:pt idx="1">
                  <c:v>334.36</c:v>
                </c:pt>
                <c:pt idx="2">
                  <c:v>126.12</c:v>
                </c:pt>
                <c:pt idx="3">
                  <c:v>189.01</c:v>
                </c:pt>
              </c:numCache>
            </c:numRef>
          </c:val>
        </c:ser>
        <c:dLbls>
          <c:showLegendKey val="0"/>
          <c:showVal val="0"/>
          <c:showCatName val="0"/>
          <c:showSerName val="0"/>
          <c:showPercent val="0"/>
          <c:showBubbleSize val="0"/>
          <c:showLeaderLines val="1"/>
        </c:dLbls>
        <c:firstSliceAng val="0"/>
      </c:pieChart>
      <c:spPr>
        <a:noFill/>
        <a:ln w="3175">
          <a:noFill/>
        </a:ln>
      </c:spPr>
    </c:plotArea>
    <c:legend>
      <c:legendPos val="r"/>
      <c:layout>
        <c:manualLayout>
          <c:xMode val="edge"/>
          <c:yMode val="edge"/>
          <c:x val="0.78825"/>
          <c:y val="0.3175"/>
          <c:w val="0.197"/>
          <c:h val="0.26825"/>
        </c:manualLayout>
      </c:layout>
      <c:overlay val="0"/>
      <c:spPr>
        <a:solidFill>
          <a:srgbClr val="FFFFFF">
            <a:alpha val="100000"/>
          </a:srgbClr>
        </a:solidFill>
        <a:ln w="12700">
          <a:noFill/>
        </a:ln>
      </c:spPr>
      <c:txPr>
        <a:bodyPr rot="0" spcFirstLastPara="0" vertOverflow="ellipsis" vert="horz" wrap="square" anchor="ctr" anchorCtr="1"/>
        <a:lstStyle/>
        <a:p>
          <a:pPr>
            <a:defRPr lang="zh-CN" sz="85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legend>
    <c:plotVisOnly val="1"/>
    <c:dispBlanksAs val="zero"/>
    <c:showDLblsOverMax val="0"/>
  </c:chart>
  <c:spPr>
    <a:pattFill prst="dkDnDiag">
      <a:fgClr>
        <a:srgbClr val="FFFFFF">
          <a:alpha val="100000"/>
        </a:srgbClr>
      </a:fgClr>
      <a:bgClr>
        <a:srgbClr val="FFFFFF">
          <a:alpha val="100000"/>
        </a:srgbClr>
      </a:bgClr>
    </a:pattFill>
    <a:ln w="3175" cap="flat" cmpd="sng" algn="ctr">
      <a:solidFill>
        <a:srgbClr val="C0C0C0">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23</Pages>
  <Words>1299</Words>
  <Characters>7410</Characters>
  <Lines>61</Lines>
  <Paragraphs>17</Paragraphs>
  <TotalTime>1</TotalTime>
  <ScaleCrop>false</ScaleCrop>
  <LinksUpToDate>false</LinksUpToDate>
  <CharactersWithSpaces>8692</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2020-08-09T09:49:00Z</dcterms:created>
  <dc:creator>曹颖</dc:creator>
  <cp:lastModifiedBy>Administrator</cp:lastModifiedBy>
  <cp:lastPrinted>2025-08-06T17:34:00Z</cp:lastPrinted>
  <dcterms:modified xsi:type="dcterms:W3CDTF">2026-10-26T09:16:35Z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04787F2533EB45DC91BCDE4AB213247F</vt:lpwstr>
  </property>
</Properties>
</file>