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A458" w14:textId="77777777" w:rsidR="00062E74" w:rsidRDefault="00062E74">
      <w:pPr>
        <w:spacing w:line="600" w:lineRule="exact"/>
        <w:jc w:val="center"/>
        <w:rPr>
          <w:rFonts w:ascii="方正小标宋简体" w:eastAsia="方正小标宋简体" w:hAnsi="宋体" w:hint="eastAsia"/>
          <w:sz w:val="72"/>
          <w:szCs w:val="72"/>
        </w:rPr>
      </w:pPr>
      <w:bookmarkStart w:id="0" w:name="_Toc15377425"/>
      <w:bookmarkStart w:id="1" w:name="_Toc15378441"/>
      <w:bookmarkStart w:id="2" w:name="_Toc15396597"/>
      <w:bookmarkStart w:id="3" w:name="_Toc15377193"/>
      <w:bookmarkStart w:id="4" w:name="_Toc15396475"/>
      <w:bookmarkStart w:id="5" w:name="_Toc15306267"/>
    </w:p>
    <w:p w14:paraId="3EB870A0" w14:textId="77777777" w:rsidR="00062E74" w:rsidRDefault="00062E74">
      <w:pPr>
        <w:pStyle w:val="a4"/>
        <w:spacing w:before="93"/>
      </w:pPr>
    </w:p>
    <w:p w14:paraId="44C58DDB" w14:textId="77777777" w:rsidR="00062E74" w:rsidRDefault="00062E74">
      <w:pPr>
        <w:spacing w:line="600" w:lineRule="exact"/>
        <w:jc w:val="center"/>
        <w:rPr>
          <w:rFonts w:ascii="方正小标宋简体" w:eastAsia="方正小标宋简体" w:hAnsi="宋体" w:hint="eastAsia"/>
          <w:sz w:val="72"/>
          <w:szCs w:val="72"/>
        </w:rPr>
      </w:pPr>
    </w:p>
    <w:p w14:paraId="69DFDB54" w14:textId="77777777" w:rsidR="00062E74" w:rsidRDefault="00062E74">
      <w:pPr>
        <w:spacing w:line="600" w:lineRule="exact"/>
        <w:jc w:val="center"/>
        <w:rPr>
          <w:rFonts w:ascii="方正小标宋简体" w:eastAsia="方正小标宋简体" w:hAnsi="宋体" w:hint="eastAsia"/>
          <w:sz w:val="72"/>
          <w:szCs w:val="72"/>
        </w:rPr>
      </w:pPr>
    </w:p>
    <w:p w14:paraId="4BEE1E60" w14:textId="77777777" w:rsidR="00062E74"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6" w:name="_Toc17831"/>
      <w:bookmarkStart w:id="7" w:name="_Toc25084"/>
      <w:r>
        <w:rPr>
          <w:rFonts w:ascii="方正小标宋简体" w:eastAsia="方正小标宋简体" w:hAnsi="方正小标宋简体" w:cs="方正小标宋简体" w:hint="eastAsia"/>
          <w:sz w:val="44"/>
          <w:szCs w:val="44"/>
        </w:rPr>
        <w:t>2023年度</w:t>
      </w:r>
      <w:bookmarkEnd w:id="0"/>
      <w:bookmarkEnd w:id="1"/>
      <w:bookmarkEnd w:id="2"/>
      <w:bookmarkEnd w:id="3"/>
      <w:bookmarkEnd w:id="4"/>
      <w:bookmarkEnd w:id="6"/>
      <w:bookmarkEnd w:id="7"/>
    </w:p>
    <w:p w14:paraId="09102231" w14:textId="77777777" w:rsidR="00062E74"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8" w:name="_Toc9288"/>
      <w:bookmarkStart w:id="9" w:name="_Toc27873"/>
      <w:bookmarkStart w:id="10" w:name="_Toc15377426"/>
      <w:bookmarkStart w:id="11" w:name="_Toc15396598"/>
      <w:bookmarkStart w:id="12" w:name="_Toc15377194"/>
      <w:bookmarkStart w:id="13" w:name="_Toc15378442"/>
      <w:bookmarkStart w:id="14" w:name="_Toc15396476"/>
      <w:bookmarkStart w:id="15" w:name="_Toc15306268"/>
      <w:bookmarkEnd w:id="5"/>
      <w:r>
        <w:rPr>
          <w:rFonts w:ascii="方正小标宋简体" w:eastAsia="方正小标宋简体" w:hAnsi="方正小标宋简体" w:cs="方正小标宋简体" w:hint="eastAsia"/>
          <w:sz w:val="44"/>
          <w:szCs w:val="44"/>
        </w:rPr>
        <w:t>红原县公安局</w:t>
      </w:r>
      <w:bookmarkEnd w:id="8"/>
      <w:bookmarkEnd w:id="9"/>
    </w:p>
    <w:p w14:paraId="4AFC790F" w14:textId="77777777" w:rsidR="00062E74"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72"/>
          <w:szCs w:val="72"/>
        </w:rPr>
      </w:pPr>
      <w:bookmarkStart w:id="16" w:name="_Toc16964"/>
      <w:bookmarkStart w:id="17" w:name="_Toc32582"/>
      <w:r>
        <w:rPr>
          <w:rFonts w:ascii="方正小标宋简体" w:eastAsia="方正小标宋简体" w:hAnsi="方正小标宋简体" w:cs="方正小标宋简体" w:hint="eastAsia"/>
          <w:sz w:val="44"/>
          <w:szCs w:val="44"/>
        </w:rPr>
        <w:t>部门决算</w:t>
      </w:r>
      <w:bookmarkEnd w:id="10"/>
      <w:bookmarkEnd w:id="11"/>
      <w:bookmarkEnd w:id="12"/>
      <w:bookmarkEnd w:id="13"/>
      <w:bookmarkEnd w:id="14"/>
      <w:bookmarkEnd w:id="15"/>
      <w:r>
        <w:rPr>
          <w:rFonts w:ascii="方正小标宋简体" w:eastAsia="方正小标宋简体" w:hAnsi="方正小标宋简体" w:cs="方正小标宋简体" w:hint="eastAsia"/>
          <w:sz w:val="44"/>
          <w:szCs w:val="44"/>
        </w:rPr>
        <w:t>公开编制说明</w:t>
      </w:r>
      <w:bookmarkEnd w:id="16"/>
      <w:bookmarkEnd w:id="17"/>
    </w:p>
    <w:p w14:paraId="52BD0452" w14:textId="77777777" w:rsidR="00062E74" w:rsidRDefault="00062E74">
      <w:pPr>
        <w:widowControl/>
        <w:jc w:val="center"/>
        <w:rPr>
          <w:rFonts w:ascii="方正小标宋简体" w:eastAsia="方正小标宋简体" w:hAnsi="宋体" w:hint="eastAsia"/>
          <w:sz w:val="36"/>
          <w:szCs w:val="36"/>
        </w:rPr>
      </w:pPr>
    </w:p>
    <w:p w14:paraId="385BAFC1" w14:textId="77777777" w:rsidR="00062E74" w:rsidRDefault="00062E74">
      <w:pPr>
        <w:pStyle w:val="5"/>
        <w:outlineLvl w:val="9"/>
        <w:rPr>
          <w:rFonts w:ascii="方正小标宋简体" w:eastAsia="方正小标宋简体" w:hAnsi="宋体" w:hint="eastAsia"/>
          <w:sz w:val="36"/>
          <w:szCs w:val="36"/>
        </w:rPr>
      </w:pPr>
    </w:p>
    <w:p w14:paraId="30726385" w14:textId="77777777" w:rsidR="00062E74" w:rsidRDefault="00062E74">
      <w:pPr>
        <w:rPr>
          <w:rFonts w:ascii="方正小标宋简体" w:eastAsia="方正小标宋简体" w:hAnsi="宋体" w:hint="eastAsia"/>
          <w:sz w:val="36"/>
          <w:szCs w:val="36"/>
        </w:rPr>
      </w:pPr>
    </w:p>
    <w:p w14:paraId="2F60A814" w14:textId="77777777" w:rsidR="00062E74" w:rsidRDefault="00062E74">
      <w:pPr>
        <w:pStyle w:val="5"/>
        <w:outlineLvl w:val="9"/>
        <w:rPr>
          <w:rFonts w:ascii="方正小标宋简体" w:eastAsia="方正小标宋简体" w:hAnsi="宋体" w:hint="eastAsia"/>
          <w:sz w:val="36"/>
          <w:szCs w:val="36"/>
        </w:rPr>
      </w:pPr>
    </w:p>
    <w:p w14:paraId="2A1CDB0A" w14:textId="77777777" w:rsidR="00062E74" w:rsidRDefault="00062E74">
      <w:pPr>
        <w:rPr>
          <w:rFonts w:ascii="方正小标宋简体" w:eastAsia="方正小标宋简体" w:hAnsi="宋体" w:hint="eastAsia"/>
          <w:sz w:val="36"/>
          <w:szCs w:val="36"/>
        </w:rPr>
      </w:pPr>
    </w:p>
    <w:p w14:paraId="300BC4F5" w14:textId="77777777" w:rsidR="00062E74" w:rsidRDefault="00062E74">
      <w:pPr>
        <w:pStyle w:val="5"/>
        <w:outlineLvl w:val="9"/>
        <w:rPr>
          <w:rFonts w:ascii="方正小标宋简体" w:eastAsia="方正小标宋简体" w:hAnsi="宋体" w:hint="eastAsia"/>
          <w:sz w:val="36"/>
          <w:szCs w:val="36"/>
        </w:rPr>
      </w:pPr>
    </w:p>
    <w:p w14:paraId="4E8FB8EE" w14:textId="77777777" w:rsidR="00062E74" w:rsidRDefault="00062E74">
      <w:pPr>
        <w:rPr>
          <w:rFonts w:ascii="方正小标宋简体" w:eastAsia="方正小标宋简体" w:hAnsi="宋体" w:hint="eastAsia"/>
          <w:sz w:val="36"/>
          <w:szCs w:val="36"/>
        </w:rPr>
      </w:pPr>
    </w:p>
    <w:p w14:paraId="7AB658B3" w14:textId="77777777" w:rsidR="00062E74" w:rsidRDefault="00062E74">
      <w:pPr>
        <w:rPr>
          <w:rFonts w:ascii="方正小标宋简体" w:eastAsia="方正小标宋简体" w:hAnsi="宋体" w:hint="eastAsia"/>
          <w:sz w:val="36"/>
          <w:szCs w:val="36"/>
        </w:rPr>
      </w:pPr>
    </w:p>
    <w:p w14:paraId="4075CDDA" w14:textId="77777777" w:rsidR="00062E74" w:rsidRDefault="00000000">
      <w:pPr>
        <w:pStyle w:val="ad"/>
        <w:widowControl/>
        <w:ind w:right="75"/>
      </w:pPr>
      <w:r>
        <w:rPr>
          <w:shd w:val="clear" w:color="auto" w:fill="FFFFFF"/>
        </w:rPr>
        <w:t>保密审查情况：已审查，内容审定</w:t>
      </w:r>
    </w:p>
    <w:p w14:paraId="026703BC" w14:textId="77777777" w:rsidR="00062E74" w:rsidRDefault="00000000">
      <w:pPr>
        <w:pStyle w:val="ad"/>
        <w:widowControl/>
        <w:ind w:right="75"/>
        <w:rPr>
          <w:shd w:val="clear" w:color="auto" w:fill="FFFFFF"/>
        </w:rPr>
      </w:pPr>
      <w:r>
        <w:rPr>
          <w:shd w:val="clear" w:color="auto" w:fill="FFFFFF"/>
        </w:rPr>
        <w:t>部门主要负责人审签情况：已审签，同意对外公开</w:t>
      </w:r>
    </w:p>
    <w:p w14:paraId="34DD16A2" w14:textId="77777777" w:rsidR="00062E74" w:rsidRDefault="00000000" w:rsidP="00A25A68">
      <w:pPr>
        <w:widowControl/>
        <w:ind w:firstLineChars="1000" w:firstLine="3600"/>
        <w:rPr>
          <w:rFonts w:ascii="黑体" w:eastAsia="黑体" w:hAnsi="黑体" w:hint="eastAsia"/>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14:paraId="20BA2031" w14:textId="77777777" w:rsidR="00062E74" w:rsidRDefault="00062E74">
      <w:pPr>
        <w:widowControl/>
        <w:jc w:val="center"/>
        <w:rPr>
          <w:rFonts w:ascii="黑体" w:eastAsia="黑体" w:hAnsi="黑体" w:cstheme="minorBidi" w:hint="eastAsia"/>
          <w:sz w:val="28"/>
          <w:szCs w:val="28"/>
        </w:rPr>
      </w:pPr>
    </w:p>
    <w:p w14:paraId="1F71BB63" w14:textId="77777777" w:rsidR="00062E74" w:rsidRDefault="00000000">
      <w:pPr>
        <w:pStyle w:val="TOC1"/>
        <w:rPr>
          <w:rFonts w:hint="eastAsia"/>
        </w:rPr>
      </w:pPr>
      <w:r>
        <w:rPr>
          <w:rFonts w:hint="eastAsia"/>
        </w:rPr>
        <w:t>公开时间：2024年11月16日</w:t>
      </w:r>
    </w:p>
    <w:p w14:paraId="692E98A8" w14:textId="77777777" w:rsidR="00062E74" w:rsidRDefault="00062E74"/>
    <w:sdt>
      <w:sdtPr>
        <w:rPr>
          <w:rFonts w:ascii="宋体" w:hAnsi="宋体"/>
        </w:rPr>
        <w:id w:val="147470260"/>
        <w15:color w:val="DBDBDB"/>
        <w:docPartObj>
          <w:docPartGallery w:val="Table of Contents"/>
          <w:docPartUnique/>
        </w:docPartObj>
      </w:sdtPr>
      <w:sdtEndPr>
        <w:rPr>
          <w:b/>
        </w:rPr>
      </w:sdtEndPr>
      <w:sdtContent>
        <w:p w14:paraId="3BA3611D" w14:textId="77777777" w:rsidR="00062E74" w:rsidRDefault="00000000">
          <w:pPr>
            <w:jc w:val="center"/>
          </w:pPr>
          <w:r>
            <w:rPr>
              <w:rFonts w:ascii="宋体" w:hAnsi="宋体"/>
            </w:rPr>
            <w:t>目录</w:t>
          </w:r>
        </w:p>
        <w:p w14:paraId="05D16796" w14:textId="77777777" w:rsidR="00062E74" w:rsidRDefault="00000000">
          <w:pPr>
            <w:pStyle w:val="WPSOffice1"/>
            <w:tabs>
              <w:tab w:val="right" w:leader="dot" w:pos="8306"/>
            </w:tabs>
            <w:rPr>
              <w:b/>
            </w:rPr>
          </w:pPr>
          <w:r>
            <w:fldChar w:fldCharType="begin"/>
          </w:r>
          <w:r>
            <w:instrText xml:space="preserve">TOC \o "1-2" \h \u </w:instrText>
          </w:r>
          <w:r>
            <w:fldChar w:fldCharType="separate"/>
          </w:r>
          <w:hyperlink w:anchor="_Toc25084" w:history="1">
            <w:r w:rsidR="00062E74">
              <w:rPr>
                <w:rFonts w:ascii="方正小标宋简体" w:eastAsia="方正小标宋简体" w:hAnsi="方正小标宋简体" w:cs="方正小标宋简体" w:hint="eastAsia"/>
                <w:b/>
                <w:szCs w:val="44"/>
              </w:rPr>
              <w:t>2023年度</w:t>
            </w:r>
            <w:r w:rsidR="00062E74">
              <w:rPr>
                <w:b/>
              </w:rPr>
              <w:tab/>
            </w:r>
            <w:r w:rsidR="00062E74">
              <w:rPr>
                <w:b/>
              </w:rPr>
              <w:fldChar w:fldCharType="begin"/>
            </w:r>
            <w:r w:rsidR="00062E74">
              <w:rPr>
                <w:b/>
              </w:rPr>
              <w:instrText xml:space="preserve"> PAGEREF _Toc25084 \h </w:instrText>
            </w:r>
            <w:r w:rsidR="00062E74">
              <w:rPr>
                <w:b/>
              </w:rPr>
            </w:r>
            <w:r w:rsidR="00062E74">
              <w:rPr>
                <w:b/>
              </w:rPr>
              <w:fldChar w:fldCharType="separate"/>
            </w:r>
            <w:r w:rsidR="00062E74">
              <w:rPr>
                <w:b/>
              </w:rPr>
              <w:t>1</w:t>
            </w:r>
            <w:r w:rsidR="00062E74">
              <w:rPr>
                <w:b/>
              </w:rPr>
              <w:fldChar w:fldCharType="end"/>
            </w:r>
          </w:hyperlink>
        </w:p>
        <w:p w14:paraId="4D7F94FF" w14:textId="77777777" w:rsidR="00062E74" w:rsidRDefault="00062E74">
          <w:pPr>
            <w:pStyle w:val="WPSOffice1"/>
            <w:tabs>
              <w:tab w:val="right" w:leader="dot" w:pos="8306"/>
            </w:tabs>
            <w:rPr>
              <w:b/>
            </w:rPr>
          </w:pPr>
          <w:hyperlink w:anchor="_Toc27873" w:history="1">
            <w:r>
              <w:rPr>
                <w:rFonts w:ascii="方正小标宋简体" w:eastAsia="方正小标宋简体" w:hAnsi="方正小标宋简体" w:cs="方正小标宋简体" w:hint="eastAsia"/>
                <w:b/>
                <w:szCs w:val="44"/>
              </w:rPr>
              <w:t>红原县公安局</w:t>
            </w:r>
            <w:r>
              <w:rPr>
                <w:b/>
              </w:rPr>
              <w:tab/>
            </w:r>
            <w:r>
              <w:rPr>
                <w:b/>
              </w:rPr>
              <w:fldChar w:fldCharType="begin"/>
            </w:r>
            <w:r>
              <w:rPr>
                <w:b/>
              </w:rPr>
              <w:instrText xml:space="preserve"> PAGEREF _Toc27873 \h </w:instrText>
            </w:r>
            <w:r>
              <w:rPr>
                <w:b/>
              </w:rPr>
            </w:r>
            <w:r>
              <w:rPr>
                <w:b/>
              </w:rPr>
              <w:fldChar w:fldCharType="separate"/>
            </w:r>
            <w:r>
              <w:rPr>
                <w:b/>
              </w:rPr>
              <w:t>1</w:t>
            </w:r>
            <w:r>
              <w:rPr>
                <w:b/>
              </w:rPr>
              <w:fldChar w:fldCharType="end"/>
            </w:r>
          </w:hyperlink>
        </w:p>
        <w:p w14:paraId="3283DA9F" w14:textId="77777777" w:rsidR="00062E74" w:rsidRDefault="00062E74">
          <w:pPr>
            <w:pStyle w:val="WPSOffice1"/>
            <w:tabs>
              <w:tab w:val="right" w:leader="dot" w:pos="8306"/>
            </w:tabs>
            <w:rPr>
              <w:b/>
            </w:rPr>
          </w:pPr>
          <w:hyperlink w:anchor="_Toc32582" w:history="1">
            <w:r>
              <w:rPr>
                <w:rFonts w:ascii="方正小标宋简体" w:eastAsia="方正小标宋简体" w:hAnsi="方正小标宋简体" w:cs="方正小标宋简体" w:hint="eastAsia"/>
                <w:b/>
                <w:szCs w:val="44"/>
              </w:rPr>
              <w:t>部门决算公开编制说明</w:t>
            </w:r>
            <w:r>
              <w:rPr>
                <w:b/>
              </w:rPr>
              <w:tab/>
            </w:r>
            <w:r>
              <w:rPr>
                <w:b/>
              </w:rPr>
              <w:fldChar w:fldCharType="begin"/>
            </w:r>
            <w:r>
              <w:rPr>
                <w:b/>
              </w:rPr>
              <w:instrText xml:space="preserve"> PAGEREF _Toc32582 \h </w:instrText>
            </w:r>
            <w:r>
              <w:rPr>
                <w:b/>
              </w:rPr>
            </w:r>
            <w:r>
              <w:rPr>
                <w:b/>
              </w:rPr>
              <w:fldChar w:fldCharType="separate"/>
            </w:r>
            <w:r>
              <w:rPr>
                <w:b/>
              </w:rPr>
              <w:t>1</w:t>
            </w:r>
            <w:r>
              <w:rPr>
                <w:b/>
              </w:rPr>
              <w:fldChar w:fldCharType="end"/>
            </w:r>
          </w:hyperlink>
        </w:p>
        <w:p w14:paraId="0766D364" w14:textId="77777777" w:rsidR="00062E74" w:rsidRDefault="00062E74">
          <w:pPr>
            <w:pStyle w:val="WPSOffice1"/>
            <w:tabs>
              <w:tab w:val="right" w:leader="dot" w:pos="8306"/>
            </w:tabs>
            <w:rPr>
              <w:b/>
            </w:rPr>
          </w:pPr>
          <w:hyperlink w:anchor="_Toc7054" w:history="1">
            <w:r>
              <w:rPr>
                <w:rFonts w:ascii="黑体" w:eastAsia="黑体" w:hAnsi="黑体" w:hint="eastAsia"/>
                <w:b/>
              </w:rPr>
              <w:t>第一部分 部门概况</w:t>
            </w:r>
            <w:r>
              <w:rPr>
                <w:b/>
              </w:rPr>
              <w:tab/>
            </w:r>
            <w:r>
              <w:rPr>
                <w:b/>
              </w:rPr>
              <w:fldChar w:fldCharType="begin"/>
            </w:r>
            <w:r>
              <w:rPr>
                <w:b/>
              </w:rPr>
              <w:instrText xml:space="preserve"> PAGEREF _Toc7054 \h </w:instrText>
            </w:r>
            <w:r>
              <w:rPr>
                <w:b/>
              </w:rPr>
            </w:r>
            <w:r>
              <w:rPr>
                <w:b/>
              </w:rPr>
              <w:fldChar w:fldCharType="separate"/>
            </w:r>
            <w:r>
              <w:rPr>
                <w:b/>
              </w:rPr>
              <w:t>3</w:t>
            </w:r>
            <w:r>
              <w:rPr>
                <w:b/>
              </w:rPr>
              <w:fldChar w:fldCharType="end"/>
            </w:r>
          </w:hyperlink>
        </w:p>
        <w:p w14:paraId="0EC85DB3" w14:textId="77777777" w:rsidR="00062E74" w:rsidRDefault="00062E74">
          <w:pPr>
            <w:pStyle w:val="WPSOffice2"/>
            <w:tabs>
              <w:tab w:val="right" w:leader="dot" w:pos="8306"/>
            </w:tabs>
            <w:ind w:left="420"/>
          </w:pPr>
          <w:hyperlink w:anchor="_Toc17988" w:history="1">
            <w:r>
              <w:rPr>
                <w:rFonts w:ascii="黑体" w:eastAsia="黑体" w:hAnsi="黑体" w:hint="eastAsia"/>
              </w:rPr>
              <w:t>一、 部门职责</w:t>
            </w:r>
            <w:r>
              <w:tab/>
            </w:r>
            <w:r>
              <w:fldChar w:fldCharType="begin"/>
            </w:r>
            <w:r>
              <w:instrText xml:space="preserve"> PAGEREF _Toc17988 \h </w:instrText>
            </w:r>
            <w:r>
              <w:fldChar w:fldCharType="separate"/>
            </w:r>
            <w:r>
              <w:t>3</w:t>
            </w:r>
            <w:r>
              <w:fldChar w:fldCharType="end"/>
            </w:r>
          </w:hyperlink>
        </w:p>
        <w:p w14:paraId="37BF629C" w14:textId="77777777" w:rsidR="00062E74" w:rsidRDefault="00062E74">
          <w:pPr>
            <w:pStyle w:val="WPSOffice2"/>
            <w:tabs>
              <w:tab w:val="right" w:leader="dot" w:pos="8306"/>
            </w:tabs>
            <w:ind w:left="420"/>
          </w:pPr>
          <w:hyperlink w:anchor="_Toc6564" w:history="1">
            <w:r>
              <w:rPr>
                <w:rFonts w:ascii="黑体" w:eastAsia="黑体" w:hint="eastAsia"/>
              </w:rPr>
              <w:t>二、</w:t>
            </w:r>
            <w:r>
              <w:rPr>
                <w:rFonts w:ascii="黑体" w:eastAsia="黑体" w:hAnsi="黑体" w:hint="eastAsia"/>
              </w:rPr>
              <w:t>机构设置</w:t>
            </w:r>
            <w:r>
              <w:tab/>
            </w:r>
            <w:r>
              <w:fldChar w:fldCharType="begin"/>
            </w:r>
            <w:r>
              <w:instrText xml:space="preserve"> PAGEREF _Toc6564 \h </w:instrText>
            </w:r>
            <w:r>
              <w:fldChar w:fldCharType="separate"/>
            </w:r>
            <w:r>
              <w:t>4</w:t>
            </w:r>
            <w:r>
              <w:fldChar w:fldCharType="end"/>
            </w:r>
          </w:hyperlink>
        </w:p>
        <w:p w14:paraId="4436D88F" w14:textId="77777777" w:rsidR="00062E74" w:rsidRDefault="00062E74">
          <w:pPr>
            <w:pStyle w:val="WPSOffice1"/>
            <w:tabs>
              <w:tab w:val="right" w:leader="dot" w:pos="8306"/>
            </w:tabs>
            <w:rPr>
              <w:b/>
            </w:rPr>
          </w:pPr>
          <w:hyperlink w:anchor="_Toc28265" w:history="1">
            <w:r>
              <w:rPr>
                <w:rFonts w:ascii="黑体" w:eastAsia="黑体" w:hAnsi="黑体" w:hint="eastAsia"/>
                <w:b/>
              </w:rPr>
              <w:t>第二部分 2023年度</w:t>
            </w:r>
            <w:r>
              <w:rPr>
                <w:rFonts w:ascii="黑体" w:eastAsia="黑体" w:hAnsi="黑体" w:hint="eastAsia"/>
                <w:b/>
                <w:bCs/>
              </w:rPr>
              <w:t>部门决算情况说明</w:t>
            </w:r>
            <w:r>
              <w:rPr>
                <w:b/>
              </w:rPr>
              <w:tab/>
            </w:r>
            <w:r>
              <w:rPr>
                <w:b/>
              </w:rPr>
              <w:fldChar w:fldCharType="begin"/>
            </w:r>
            <w:r>
              <w:rPr>
                <w:b/>
              </w:rPr>
              <w:instrText xml:space="preserve"> PAGEREF _Toc28265 \h </w:instrText>
            </w:r>
            <w:r>
              <w:rPr>
                <w:b/>
              </w:rPr>
            </w:r>
            <w:r>
              <w:rPr>
                <w:b/>
              </w:rPr>
              <w:fldChar w:fldCharType="separate"/>
            </w:r>
            <w:r>
              <w:rPr>
                <w:b/>
              </w:rPr>
              <w:t>6</w:t>
            </w:r>
            <w:r>
              <w:rPr>
                <w:b/>
              </w:rPr>
              <w:fldChar w:fldCharType="end"/>
            </w:r>
          </w:hyperlink>
        </w:p>
        <w:p w14:paraId="071EB048" w14:textId="77777777" w:rsidR="00062E74" w:rsidRDefault="00062E74">
          <w:pPr>
            <w:pStyle w:val="WPSOffice2"/>
            <w:tabs>
              <w:tab w:val="right" w:leader="dot" w:pos="8306"/>
            </w:tabs>
            <w:ind w:left="420"/>
          </w:pPr>
          <w:hyperlink w:anchor="_Toc26396" w:history="1">
            <w:r>
              <w:rPr>
                <w:rFonts w:ascii="黑体" w:eastAsia="黑体" w:hAnsi="黑体"/>
              </w:rPr>
              <w:t xml:space="preserve">一、 </w:t>
            </w:r>
            <w:r>
              <w:rPr>
                <w:rFonts w:ascii="黑体" w:eastAsia="黑体" w:hAnsi="黑体" w:hint="eastAsia"/>
                <w:szCs w:val="32"/>
              </w:rPr>
              <w:t>收</w:t>
            </w:r>
            <w:r>
              <w:rPr>
                <w:rFonts w:ascii="黑体" w:eastAsia="黑体" w:hAnsi="黑体" w:hint="eastAsia"/>
              </w:rPr>
              <w:t>入支出决算总体情况说明</w:t>
            </w:r>
            <w:r>
              <w:tab/>
            </w:r>
            <w:r>
              <w:fldChar w:fldCharType="begin"/>
            </w:r>
            <w:r>
              <w:instrText xml:space="preserve"> PAGEREF _Toc26396 \h </w:instrText>
            </w:r>
            <w:r>
              <w:fldChar w:fldCharType="separate"/>
            </w:r>
            <w:r>
              <w:t>6</w:t>
            </w:r>
            <w:r>
              <w:fldChar w:fldCharType="end"/>
            </w:r>
          </w:hyperlink>
        </w:p>
        <w:p w14:paraId="3F5D74D3" w14:textId="77777777" w:rsidR="00062E74" w:rsidRDefault="00062E74">
          <w:pPr>
            <w:pStyle w:val="WPSOffice2"/>
            <w:tabs>
              <w:tab w:val="right" w:leader="dot" w:pos="8306"/>
            </w:tabs>
            <w:ind w:left="420"/>
          </w:pPr>
          <w:hyperlink w:anchor="_Toc11505" w:history="1">
            <w:r>
              <w:rPr>
                <w:rFonts w:ascii="黑体" w:eastAsia="黑体" w:hAnsi="黑体"/>
              </w:rPr>
              <w:t xml:space="preserve">二、 </w:t>
            </w:r>
            <w:r>
              <w:rPr>
                <w:rFonts w:ascii="黑体" w:eastAsia="黑体" w:hAnsi="黑体" w:hint="eastAsia"/>
                <w:szCs w:val="32"/>
              </w:rPr>
              <w:t>收</w:t>
            </w:r>
            <w:r>
              <w:rPr>
                <w:rFonts w:ascii="黑体" w:eastAsia="黑体" w:hAnsi="黑体" w:hint="eastAsia"/>
              </w:rPr>
              <w:t>入决算情况说明</w:t>
            </w:r>
            <w:r>
              <w:tab/>
            </w:r>
            <w:r>
              <w:fldChar w:fldCharType="begin"/>
            </w:r>
            <w:r>
              <w:instrText xml:space="preserve"> PAGEREF _Toc11505 \h </w:instrText>
            </w:r>
            <w:r>
              <w:fldChar w:fldCharType="separate"/>
            </w:r>
            <w:r>
              <w:t>6</w:t>
            </w:r>
            <w:r>
              <w:fldChar w:fldCharType="end"/>
            </w:r>
          </w:hyperlink>
        </w:p>
        <w:p w14:paraId="7F57A51B" w14:textId="77777777" w:rsidR="00062E74" w:rsidRDefault="00062E74">
          <w:pPr>
            <w:pStyle w:val="WPSOffice2"/>
            <w:tabs>
              <w:tab w:val="right" w:leader="dot" w:pos="8306"/>
            </w:tabs>
            <w:ind w:left="420"/>
          </w:pPr>
          <w:hyperlink w:anchor="_Toc19670" w:history="1">
            <w:r>
              <w:rPr>
                <w:rFonts w:ascii="仿宋" w:eastAsia="仿宋" w:hAnsi="仿宋" w:hint="eastAsia"/>
                <w:szCs w:val="32"/>
              </w:rPr>
              <w:t>2023年度本年收入合计</w:t>
            </w:r>
            <w:r>
              <w:rPr>
                <w:szCs w:val="32"/>
              </w:rPr>
              <w:t>8562.42</w:t>
            </w:r>
            <w:r>
              <w:rPr>
                <w:rFonts w:ascii="仿宋" w:eastAsia="仿宋" w:hAnsi="仿宋" w:hint="eastAsia"/>
                <w:szCs w:val="32"/>
              </w:rPr>
              <w:t>万元，其中：一般公共预算财政拨款收入</w:t>
            </w:r>
            <w:r>
              <w:rPr>
                <w:szCs w:val="32"/>
              </w:rPr>
              <w:t>8562.42</w:t>
            </w:r>
            <w:r>
              <w:rPr>
                <w:rFonts w:ascii="仿宋" w:eastAsia="仿宋" w:hAnsi="仿宋" w:hint="eastAsia"/>
                <w:szCs w:val="32"/>
              </w:rPr>
              <w:t>万元，占</w:t>
            </w:r>
            <w:r>
              <w:rPr>
                <w:szCs w:val="32"/>
              </w:rPr>
              <w:t>100</w:t>
            </w:r>
            <w:r>
              <w:rPr>
                <w:rFonts w:ascii="仿宋" w:eastAsia="仿宋" w:hAnsi="仿宋"/>
                <w:szCs w:val="32"/>
              </w:rPr>
              <w:t>%</w:t>
            </w:r>
            <w:r>
              <w:rPr>
                <w:rFonts w:ascii="仿宋" w:eastAsia="仿宋" w:hAnsi="仿宋" w:hint="eastAsia"/>
                <w:szCs w:val="32"/>
              </w:rPr>
              <w:t>；政府性基金预算财政拨款收入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；国有资本经营预算财政拨款收入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；上级补助收入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；事业收入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；附属单位上缴收入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；其他收入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_Toc19670 \h </w:instrText>
            </w:r>
            <w:r>
              <w:fldChar w:fldCharType="separate"/>
            </w:r>
            <w:r>
              <w:t>6</w:t>
            </w:r>
            <w:r>
              <w:fldChar w:fldCharType="end"/>
            </w:r>
          </w:hyperlink>
        </w:p>
        <w:p w14:paraId="6065F092" w14:textId="77777777" w:rsidR="00062E74" w:rsidRDefault="00062E74">
          <w:pPr>
            <w:pStyle w:val="WPSOffice2"/>
            <w:tabs>
              <w:tab w:val="right" w:leader="dot" w:pos="8306"/>
            </w:tabs>
            <w:ind w:left="420"/>
          </w:pPr>
          <w:hyperlink w:anchor="_Toc21865" w:history="1">
            <w:r>
              <w:rPr>
                <w:rFonts w:ascii="黑体" w:eastAsia="黑体" w:hAnsi="黑体"/>
              </w:rPr>
              <w:t xml:space="preserve">三、 </w:t>
            </w:r>
            <w:r>
              <w:rPr>
                <w:rFonts w:ascii="黑体" w:eastAsia="黑体" w:hAnsi="黑体" w:hint="eastAsia"/>
                <w:szCs w:val="32"/>
              </w:rPr>
              <w:t>支</w:t>
            </w:r>
            <w:r>
              <w:rPr>
                <w:rFonts w:ascii="黑体" w:eastAsia="黑体" w:hAnsi="黑体" w:hint="eastAsia"/>
              </w:rPr>
              <w:t>出决算情况说明</w:t>
            </w:r>
            <w:r>
              <w:tab/>
            </w:r>
            <w:r>
              <w:fldChar w:fldCharType="begin"/>
            </w:r>
            <w:r>
              <w:instrText xml:space="preserve"> PAGEREF _Toc21865 \h </w:instrText>
            </w:r>
            <w:r>
              <w:fldChar w:fldCharType="separate"/>
            </w:r>
            <w:r>
              <w:t>7</w:t>
            </w:r>
            <w:r>
              <w:fldChar w:fldCharType="end"/>
            </w:r>
          </w:hyperlink>
        </w:p>
        <w:p w14:paraId="41CB034E" w14:textId="77777777" w:rsidR="00062E74" w:rsidRDefault="00062E74">
          <w:pPr>
            <w:pStyle w:val="WPSOffice2"/>
            <w:tabs>
              <w:tab w:val="right" w:leader="dot" w:pos="8306"/>
            </w:tabs>
            <w:ind w:left="420"/>
          </w:pPr>
          <w:hyperlink w:anchor="_Toc3481" w:history="1">
            <w:r>
              <w:rPr>
                <w:rFonts w:ascii="仿宋" w:eastAsia="仿宋" w:hAnsi="仿宋" w:hint="eastAsia"/>
                <w:szCs w:val="32"/>
              </w:rPr>
              <w:t>2023年度本年支出合计</w:t>
            </w:r>
            <w:r>
              <w:rPr>
                <w:szCs w:val="32"/>
              </w:rPr>
              <w:t>8562.42</w:t>
            </w:r>
            <w:r>
              <w:rPr>
                <w:rFonts w:ascii="仿宋" w:eastAsia="仿宋" w:hAnsi="仿宋" w:hint="eastAsia"/>
                <w:szCs w:val="32"/>
              </w:rPr>
              <w:t>万元，其中：基本支出</w:t>
            </w:r>
            <w:r>
              <w:rPr>
                <w:szCs w:val="32"/>
              </w:rPr>
              <w:t>6308.04</w:t>
            </w:r>
            <w:r>
              <w:rPr>
                <w:rFonts w:ascii="仿宋" w:eastAsia="仿宋" w:hAnsi="仿宋" w:hint="eastAsia"/>
                <w:szCs w:val="32"/>
              </w:rPr>
              <w:t>万元，占</w:t>
            </w:r>
            <w:r>
              <w:rPr>
                <w:szCs w:val="32"/>
              </w:rPr>
              <w:t>73.67</w:t>
            </w:r>
            <w:r>
              <w:rPr>
                <w:rFonts w:ascii="仿宋" w:eastAsia="仿宋" w:hAnsi="仿宋"/>
                <w:szCs w:val="32"/>
              </w:rPr>
              <w:t>%</w:t>
            </w:r>
            <w:r>
              <w:rPr>
                <w:rFonts w:ascii="仿宋" w:eastAsia="仿宋" w:hAnsi="仿宋" w:hint="eastAsia"/>
                <w:szCs w:val="32"/>
              </w:rPr>
              <w:t>；项目支出</w:t>
            </w:r>
            <w:r>
              <w:rPr>
                <w:szCs w:val="32"/>
              </w:rPr>
              <w:t>2254.38</w:t>
            </w:r>
            <w:r>
              <w:rPr>
                <w:rFonts w:ascii="仿宋" w:eastAsia="仿宋" w:hAnsi="仿宋" w:hint="eastAsia"/>
                <w:szCs w:val="32"/>
              </w:rPr>
              <w:t>万元，占</w:t>
            </w:r>
            <w:r>
              <w:rPr>
                <w:szCs w:val="32"/>
              </w:rPr>
              <w:t>26.32</w:t>
            </w:r>
            <w:r>
              <w:rPr>
                <w:rFonts w:ascii="仿宋" w:eastAsia="仿宋" w:hAnsi="仿宋"/>
                <w:szCs w:val="32"/>
              </w:rPr>
              <w:t>%</w:t>
            </w:r>
            <w:r>
              <w:rPr>
                <w:rFonts w:ascii="仿宋" w:eastAsia="仿宋" w:hAnsi="仿宋" w:hint="eastAsia"/>
                <w:szCs w:val="32"/>
              </w:rPr>
              <w:t>；上缴上级支出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；对附属单位补助支出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_Toc3481 \h </w:instrText>
            </w:r>
            <w:r>
              <w:fldChar w:fldCharType="separate"/>
            </w:r>
            <w:r>
              <w:t>7</w:t>
            </w:r>
            <w:r>
              <w:fldChar w:fldCharType="end"/>
            </w:r>
          </w:hyperlink>
        </w:p>
        <w:p w14:paraId="244AA140" w14:textId="77777777" w:rsidR="00062E74" w:rsidRDefault="00062E74">
          <w:pPr>
            <w:pStyle w:val="WPSOffice2"/>
            <w:tabs>
              <w:tab w:val="right" w:leader="dot" w:pos="8306"/>
            </w:tabs>
            <w:ind w:left="420"/>
          </w:pPr>
          <w:hyperlink w:anchor="_Toc3908" w:history="1">
            <w:r>
              <w:rPr>
                <w:rFonts w:ascii="黑体" w:eastAsia="黑体" w:hAnsi="黑体" w:hint="eastAsia"/>
                <w:szCs w:val="32"/>
              </w:rPr>
              <w:t>四、财</w:t>
            </w:r>
            <w:r>
              <w:rPr>
                <w:rFonts w:ascii="黑体" w:eastAsia="黑体" w:hAnsi="黑体" w:hint="eastAsia"/>
              </w:rPr>
              <w:t>政拨款收入支出决算总体情况说明</w:t>
            </w:r>
            <w:r>
              <w:tab/>
            </w:r>
            <w:r>
              <w:fldChar w:fldCharType="begin"/>
            </w:r>
            <w:r>
              <w:instrText xml:space="preserve"> PAGEREF _Toc3908 \h </w:instrText>
            </w:r>
            <w:r>
              <w:fldChar w:fldCharType="separate"/>
            </w:r>
            <w:r>
              <w:t>7</w:t>
            </w:r>
            <w:r>
              <w:fldChar w:fldCharType="end"/>
            </w:r>
          </w:hyperlink>
        </w:p>
        <w:p w14:paraId="5E18ECE3" w14:textId="77777777" w:rsidR="00062E74" w:rsidRDefault="00062E74">
          <w:pPr>
            <w:pStyle w:val="WPSOffice2"/>
            <w:tabs>
              <w:tab w:val="right" w:leader="dot" w:pos="8306"/>
            </w:tabs>
            <w:ind w:left="420"/>
          </w:pPr>
          <w:hyperlink w:anchor="_Toc27588" w:history="1">
            <w:r>
              <w:rPr>
                <w:rFonts w:ascii="黑体" w:eastAsia="黑体" w:hAnsi="黑体" w:hint="eastAsia"/>
                <w:szCs w:val="32"/>
              </w:rPr>
              <w:t>五、一</w:t>
            </w:r>
            <w:r>
              <w:rPr>
                <w:rFonts w:ascii="黑体" w:eastAsia="黑体" w:hAnsi="黑体" w:hint="eastAsia"/>
              </w:rPr>
              <w:t>般公共预算财政拨款支出决算情况说明</w:t>
            </w:r>
            <w:r>
              <w:tab/>
            </w:r>
            <w:r>
              <w:fldChar w:fldCharType="begin"/>
            </w:r>
            <w:r>
              <w:instrText xml:space="preserve"> PAGEREF _Toc27588 \h </w:instrText>
            </w:r>
            <w:r>
              <w:fldChar w:fldCharType="separate"/>
            </w:r>
            <w:r>
              <w:t>8</w:t>
            </w:r>
            <w:r>
              <w:fldChar w:fldCharType="end"/>
            </w:r>
          </w:hyperlink>
        </w:p>
        <w:p w14:paraId="7D44BC18" w14:textId="77777777" w:rsidR="00062E74" w:rsidRDefault="00062E74">
          <w:pPr>
            <w:pStyle w:val="WPSOffice2"/>
            <w:tabs>
              <w:tab w:val="right" w:leader="dot" w:pos="8306"/>
            </w:tabs>
            <w:ind w:left="420"/>
          </w:pPr>
          <w:hyperlink w:anchor="_Toc20783" w:history="1">
            <w:r>
              <w:rPr>
                <w:rFonts w:ascii="黑体" w:eastAsia="黑体" w:hint="eastAsia"/>
                <w:szCs w:val="32"/>
              </w:rPr>
              <w:t>六、</w:t>
            </w:r>
            <w:r>
              <w:rPr>
                <w:rFonts w:ascii="黑体" w:eastAsia="黑体" w:hAnsi="黑体" w:hint="eastAsia"/>
                <w:szCs w:val="32"/>
              </w:rPr>
              <w:t>一</w:t>
            </w:r>
            <w:r>
              <w:rPr>
                <w:rFonts w:ascii="黑体" w:eastAsia="黑体" w:hAnsi="黑体" w:hint="eastAsia"/>
              </w:rPr>
              <w:t>般公共预算财政拨款基本支出决算情况说明</w:t>
            </w:r>
            <w:r>
              <w:tab/>
            </w:r>
            <w:r>
              <w:fldChar w:fldCharType="begin"/>
            </w:r>
            <w:r>
              <w:instrText xml:space="preserve"> PAGEREF _Toc20783 \h </w:instrText>
            </w:r>
            <w:r>
              <w:fldChar w:fldCharType="separate"/>
            </w:r>
            <w:r>
              <w:t>11</w:t>
            </w:r>
            <w:r>
              <w:fldChar w:fldCharType="end"/>
            </w:r>
          </w:hyperlink>
        </w:p>
        <w:p w14:paraId="50F0D9AE" w14:textId="77777777" w:rsidR="00062E74" w:rsidRDefault="00062E74">
          <w:pPr>
            <w:pStyle w:val="WPSOffice2"/>
            <w:tabs>
              <w:tab w:val="right" w:leader="dot" w:pos="8306"/>
            </w:tabs>
            <w:ind w:left="420"/>
          </w:pPr>
          <w:hyperlink w:anchor="_Toc4568" w:history="1">
            <w:r>
              <w:rPr>
                <w:rFonts w:ascii="黑体" w:eastAsia="黑体" w:hint="eastAsia"/>
                <w:szCs w:val="32"/>
              </w:rPr>
              <w:t>七、</w:t>
            </w:r>
            <w:r>
              <w:rPr>
                <w:rFonts w:ascii="黑体" w:eastAsia="黑体" w:hAnsi="黑体" w:hint="eastAsia"/>
              </w:rPr>
              <w:t>财政拨款“三公”经费支出决算情况说明</w:t>
            </w:r>
            <w:r>
              <w:tab/>
            </w:r>
            <w:r>
              <w:fldChar w:fldCharType="begin"/>
            </w:r>
            <w:r>
              <w:instrText xml:space="preserve"> PAGEREF _Toc4568 \h </w:instrText>
            </w:r>
            <w:r>
              <w:fldChar w:fldCharType="separate"/>
            </w:r>
            <w:r>
              <w:t>12</w:t>
            </w:r>
            <w:r>
              <w:fldChar w:fldCharType="end"/>
            </w:r>
          </w:hyperlink>
        </w:p>
        <w:p w14:paraId="42DBD6E1" w14:textId="77777777" w:rsidR="00062E74" w:rsidRDefault="00062E74">
          <w:pPr>
            <w:pStyle w:val="WPSOffice2"/>
            <w:tabs>
              <w:tab w:val="right" w:leader="dot" w:pos="8306"/>
            </w:tabs>
            <w:ind w:left="420"/>
          </w:pPr>
          <w:hyperlink w:anchor="_Toc6158" w:history="1">
            <w:r>
              <w:rPr>
                <w:rFonts w:ascii="黑体" w:eastAsia="黑体" w:hint="eastAsia"/>
                <w:szCs w:val="32"/>
              </w:rPr>
              <w:t>八、</w:t>
            </w:r>
            <w:r>
              <w:rPr>
                <w:rFonts w:ascii="黑体" w:eastAsia="黑体" w:hAnsi="黑体" w:hint="eastAsia"/>
              </w:rPr>
              <w:t>政府性基金预算支出决算情况说明</w:t>
            </w:r>
            <w:r>
              <w:tab/>
            </w:r>
            <w:r>
              <w:fldChar w:fldCharType="begin"/>
            </w:r>
            <w:r>
              <w:instrText xml:space="preserve"> PAGEREF _Toc6158 \h </w:instrText>
            </w:r>
            <w:r>
              <w:fldChar w:fldCharType="separate"/>
            </w:r>
            <w:r>
              <w:t>14</w:t>
            </w:r>
            <w:r>
              <w:fldChar w:fldCharType="end"/>
            </w:r>
          </w:hyperlink>
        </w:p>
        <w:p w14:paraId="06CF5A72" w14:textId="77777777" w:rsidR="00062E74" w:rsidRDefault="00062E74">
          <w:pPr>
            <w:pStyle w:val="WPSOffice2"/>
            <w:tabs>
              <w:tab w:val="right" w:leader="dot" w:pos="8306"/>
            </w:tabs>
            <w:ind w:left="420"/>
          </w:pPr>
          <w:hyperlink w:anchor="_Toc7175" w:history="1">
            <w:r>
              <w:rPr>
                <w:rFonts w:ascii="黑体" w:eastAsia="黑体" w:hAnsi="黑体" w:hint="eastAsia"/>
              </w:rPr>
              <w:t>九、 国有资本经营预算支出决算情况说明</w:t>
            </w:r>
            <w:r>
              <w:tab/>
            </w:r>
            <w:r>
              <w:fldChar w:fldCharType="begin"/>
            </w:r>
            <w:r>
              <w:instrText xml:space="preserve"> PAGEREF _Toc7175 \h </w:instrText>
            </w:r>
            <w:r>
              <w:fldChar w:fldCharType="separate"/>
            </w:r>
            <w:r>
              <w:t>14</w:t>
            </w:r>
            <w:r>
              <w:fldChar w:fldCharType="end"/>
            </w:r>
          </w:hyperlink>
        </w:p>
        <w:p w14:paraId="5BCD7FAF" w14:textId="77777777" w:rsidR="00062E74" w:rsidRDefault="00062E74">
          <w:pPr>
            <w:pStyle w:val="WPSOffice2"/>
            <w:tabs>
              <w:tab w:val="right" w:leader="dot" w:pos="8306"/>
            </w:tabs>
            <w:ind w:left="420"/>
          </w:pPr>
          <w:hyperlink w:anchor="_Toc16063" w:history="1">
            <w:r>
              <w:rPr>
                <w:rFonts w:ascii="黑体" w:eastAsia="黑体" w:hAnsi="黑体" w:hint="eastAsia"/>
              </w:rPr>
              <w:t>十、 其他重要事项的情况说明</w:t>
            </w:r>
            <w:r>
              <w:tab/>
            </w:r>
            <w:r>
              <w:fldChar w:fldCharType="begin"/>
            </w:r>
            <w:r>
              <w:instrText xml:space="preserve"> PAGEREF _Toc16063 \h </w:instrText>
            </w:r>
            <w:r>
              <w:fldChar w:fldCharType="separate"/>
            </w:r>
            <w:r>
              <w:t>14</w:t>
            </w:r>
            <w:r>
              <w:fldChar w:fldCharType="end"/>
            </w:r>
          </w:hyperlink>
        </w:p>
        <w:p w14:paraId="75A84638" w14:textId="77777777" w:rsidR="00062E74" w:rsidRDefault="00062E74">
          <w:pPr>
            <w:pStyle w:val="WPSOffice1"/>
            <w:tabs>
              <w:tab w:val="right" w:leader="dot" w:pos="8306"/>
            </w:tabs>
            <w:rPr>
              <w:b/>
            </w:rPr>
          </w:pPr>
          <w:hyperlink w:anchor="_Toc13150" w:history="1">
            <w:r>
              <w:rPr>
                <w:rFonts w:hint="eastAsia"/>
                <w:b/>
              </w:rPr>
              <w:t>第三部分</w:t>
            </w:r>
            <w:r>
              <w:rPr>
                <w:rFonts w:hint="eastAsia"/>
                <w:b/>
              </w:rPr>
              <w:t xml:space="preserve"> </w:t>
            </w:r>
            <w:r>
              <w:rPr>
                <w:rFonts w:hint="eastAsia"/>
                <w:b/>
              </w:rPr>
              <w:t>名词解释</w:t>
            </w:r>
            <w:r>
              <w:rPr>
                <w:b/>
              </w:rPr>
              <w:tab/>
            </w:r>
            <w:r>
              <w:rPr>
                <w:b/>
              </w:rPr>
              <w:fldChar w:fldCharType="begin"/>
            </w:r>
            <w:r>
              <w:rPr>
                <w:b/>
              </w:rPr>
              <w:instrText xml:space="preserve"> PAGEREF _Toc13150 \h </w:instrText>
            </w:r>
            <w:r>
              <w:rPr>
                <w:b/>
              </w:rPr>
            </w:r>
            <w:r>
              <w:rPr>
                <w:b/>
              </w:rPr>
              <w:fldChar w:fldCharType="separate"/>
            </w:r>
            <w:r>
              <w:rPr>
                <w:b/>
              </w:rPr>
              <w:t>16</w:t>
            </w:r>
            <w:r>
              <w:rPr>
                <w:b/>
              </w:rPr>
              <w:fldChar w:fldCharType="end"/>
            </w:r>
          </w:hyperlink>
        </w:p>
        <w:p w14:paraId="539AD6E4" w14:textId="77777777" w:rsidR="00062E74" w:rsidRDefault="00062E74">
          <w:pPr>
            <w:pStyle w:val="WPSOffice1"/>
            <w:tabs>
              <w:tab w:val="right" w:leader="dot" w:pos="8306"/>
            </w:tabs>
            <w:rPr>
              <w:b/>
            </w:rPr>
          </w:pPr>
          <w:hyperlink w:anchor="_Toc17688" w:history="1">
            <w:r>
              <w:rPr>
                <w:rFonts w:ascii="黑体" w:eastAsia="黑体" w:hAnsi="黑体" w:hint="eastAsia"/>
                <w:b/>
              </w:rPr>
              <w:t>第四部分 附件</w:t>
            </w:r>
            <w:r>
              <w:rPr>
                <w:b/>
              </w:rPr>
              <w:tab/>
            </w:r>
            <w:r>
              <w:rPr>
                <w:b/>
              </w:rPr>
              <w:fldChar w:fldCharType="begin"/>
            </w:r>
            <w:r>
              <w:rPr>
                <w:b/>
              </w:rPr>
              <w:instrText xml:space="preserve"> PAGEREF _Toc17688 \h </w:instrText>
            </w:r>
            <w:r>
              <w:rPr>
                <w:b/>
              </w:rPr>
            </w:r>
            <w:r>
              <w:rPr>
                <w:b/>
              </w:rPr>
              <w:fldChar w:fldCharType="separate"/>
            </w:r>
            <w:r>
              <w:rPr>
                <w:b/>
              </w:rPr>
              <w:t>19</w:t>
            </w:r>
            <w:r>
              <w:rPr>
                <w:b/>
              </w:rPr>
              <w:fldChar w:fldCharType="end"/>
            </w:r>
          </w:hyperlink>
        </w:p>
        <w:p w14:paraId="7632CF1A" w14:textId="77777777" w:rsidR="00062E74" w:rsidRDefault="00062E74">
          <w:pPr>
            <w:pStyle w:val="WPSOffice1"/>
            <w:tabs>
              <w:tab w:val="right" w:leader="dot" w:pos="8306"/>
            </w:tabs>
            <w:rPr>
              <w:b/>
            </w:rPr>
          </w:pPr>
          <w:hyperlink w:anchor="_Toc14275" w:history="1">
            <w:r>
              <w:rPr>
                <w:rFonts w:ascii="黑体" w:eastAsia="黑体" w:hAnsi="黑体" w:hint="eastAsia"/>
                <w:b/>
              </w:rPr>
              <w:t>第五部分 附表</w:t>
            </w:r>
            <w:r>
              <w:rPr>
                <w:b/>
              </w:rPr>
              <w:tab/>
            </w:r>
            <w:r>
              <w:rPr>
                <w:b/>
              </w:rPr>
              <w:fldChar w:fldCharType="begin"/>
            </w:r>
            <w:r>
              <w:rPr>
                <w:b/>
              </w:rPr>
              <w:instrText xml:space="preserve"> PAGEREF _Toc14275 \h </w:instrText>
            </w:r>
            <w:r>
              <w:rPr>
                <w:b/>
              </w:rPr>
            </w:r>
            <w:r>
              <w:rPr>
                <w:b/>
              </w:rPr>
              <w:fldChar w:fldCharType="separate"/>
            </w:r>
            <w:r>
              <w:rPr>
                <w:b/>
              </w:rPr>
              <w:t>39</w:t>
            </w:r>
            <w:r>
              <w:rPr>
                <w:b/>
              </w:rPr>
              <w:fldChar w:fldCharType="end"/>
            </w:r>
          </w:hyperlink>
        </w:p>
        <w:p w14:paraId="16401654" w14:textId="77777777" w:rsidR="00062E74" w:rsidRDefault="00000000">
          <w:r>
            <w:rPr>
              <w:b/>
            </w:rPr>
            <w:fldChar w:fldCharType="end"/>
          </w:r>
        </w:p>
      </w:sdtContent>
    </w:sdt>
    <w:p w14:paraId="33A54DFD" w14:textId="77777777" w:rsidR="00062E74" w:rsidRDefault="00000000">
      <w:pPr>
        <w:widowControl/>
        <w:spacing w:line="440" w:lineRule="exact"/>
        <w:jc w:val="left"/>
        <w:rPr>
          <w:rFonts w:ascii="仿宋" w:eastAsia="仿宋" w:hAnsi="仿宋" w:hint="eastAsia"/>
          <w:bCs/>
          <w:kern w:val="44"/>
          <w:sz w:val="24"/>
        </w:rPr>
      </w:pPr>
      <w:r>
        <w:rPr>
          <w:rFonts w:ascii="仿宋" w:eastAsia="仿宋" w:hAnsi="仿宋"/>
          <w:b/>
          <w:sz w:val="24"/>
        </w:rPr>
        <w:br w:type="page"/>
      </w:r>
    </w:p>
    <w:p w14:paraId="67ADA299" w14:textId="77777777" w:rsidR="00062E74" w:rsidRDefault="00000000">
      <w:pPr>
        <w:pStyle w:val="1"/>
        <w:jc w:val="center"/>
        <w:rPr>
          <w:rStyle w:val="10"/>
          <w:rFonts w:ascii="黑体" w:eastAsia="黑体" w:hAnsi="黑体" w:hint="eastAsia"/>
          <w:b/>
        </w:rPr>
      </w:pPr>
      <w:bookmarkStart w:id="18" w:name="_Toc9637"/>
      <w:bookmarkStart w:id="19" w:name="_Toc7054"/>
      <w:r>
        <w:rPr>
          <w:rFonts w:ascii="黑体" w:eastAsia="黑体" w:hAnsi="黑体" w:hint="eastAsia"/>
          <w:b w:val="0"/>
        </w:rPr>
        <w:lastRenderedPageBreak/>
        <w:t xml:space="preserve">第一部分 </w:t>
      </w:r>
      <w:r>
        <w:rPr>
          <w:rStyle w:val="10"/>
          <w:rFonts w:ascii="黑体" w:eastAsia="黑体" w:hAnsi="黑体" w:hint="eastAsia"/>
        </w:rPr>
        <w:t>部门概况</w:t>
      </w:r>
      <w:bookmarkEnd w:id="18"/>
      <w:bookmarkEnd w:id="19"/>
    </w:p>
    <w:p w14:paraId="0B43B08F" w14:textId="77777777" w:rsidR="00062E74" w:rsidRDefault="00062E74">
      <w:pPr>
        <w:widowControl/>
        <w:jc w:val="left"/>
        <w:rPr>
          <w:rFonts w:ascii="黑体" w:eastAsia="黑体"/>
          <w:sz w:val="32"/>
          <w:szCs w:val="32"/>
        </w:rPr>
      </w:pPr>
    </w:p>
    <w:p w14:paraId="3ED923C8" w14:textId="77777777" w:rsidR="00062E74" w:rsidRDefault="00000000">
      <w:pPr>
        <w:pStyle w:val="20"/>
        <w:numPr>
          <w:ilvl w:val="0"/>
          <w:numId w:val="1"/>
        </w:numPr>
        <w:rPr>
          <w:rFonts w:ascii="黑体" w:eastAsia="黑体" w:hAnsi="黑体" w:hint="eastAsia"/>
          <w:b w:val="0"/>
        </w:rPr>
      </w:pPr>
      <w:bookmarkStart w:id="20" w:name="_Toc17073"/>
      <w:bookmarkStart w:id="21" w:name="_Toc17988"/>
      <w:r>
        <w:rPr>
          <w:rFonts w:ascii="黑体" w:eastAsia="黑体" w:hAnsi="黑体" w:hint="eastAsia"/>
          <w:b w:val="0"/>
        </w:rPr>
        <w:t>部门职责</w:t>
      </w:r>
      <w:bookmarkEnd w:id="20"/>
      <w:bookmarkEnd w:id="21"/>
    </w:p>
    <w:p w14:paraId="2B3E9496"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1.贯彻执行国家的法律、法规和公安工作的方针、政策；拟订全县公安工作的规定和实施办法；对全县公安机关实施组织领导和指挥；部署、指导、监督和检查全县公安工作。</w:t>
      </w:r>
    </w:p>
    <w:p w14:paraId="1AD70BAC"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2.掌握影响社会稳定、危害国内安全和社会治安的情况，分析形势，制定对策。</w:t>
      </w:r>
    </w:p>
    <w:p w14:paraId="46E77C68"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3.组织实施并指导全县公安机关侦查工作，组织、协调处置重大案件、治安事件、治安事故和重大群体性事件、骚乱。</w:t>
      </w:r>
    </w:p>
    <w:p w14:paraId="399C8117"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4.组织实施并指导全县公安机关依法查处违反治安管理行为，依法开展治安行政管理工作；指导、监督全县公安机关治安保卫工作。</w:t>
      </w:r>
    </w:p>
    <w:p w14:paraId="44112AFE"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5.组织指导出入境和外国人在县境内居留、旅行的有关管理工作，组织指导全县公安外事工作。</w:t>
      </w:r>
    </w:p>
    <w:p w14:paraId="61AB31BB"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6.组织实施并指导全县公安机关维护道路交通安全、交通秩序以及机动车辆、驾驶人管理工作。</w:t>
      </w:r>
    </w:p>
    <w:p w14:paraId="7F9FBC81"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7.组织实施并指导、监督全县公共信息网络的安全保护工作，负责信息安全等级保护工作的监督、检查、指导。</w:t>
      </w:r>
    </w:p>
    <w:p w14:paraId="2E0F9E72"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8.指导、监督全县公安机关依法承担的执行行政、刑事强制措施工作，组织实施并指导、监督全县看守所、拘留所</w:t>
      </w:r>
      <w:r>
        <w:rPr>
          <w:rFonts w:ascii="仿宋_GB2312" w:eastAsia="仿宋_GB2312" w:hAnsi="仿宋_GB2312" w:cs="仿宋_GB2312" w:hint="eastAsia"/>
          <w:sz w:val="32"/>
          <w:szCs w:val="32"/>
        </w:rPr>
        <w:lastRenderedPageBreak/>
        <w:t>的管理工作，规划和指导全县监所建设。</w:t>
      </w:r>
    </w:p>
    <w:p w14:paraId="283E3F60"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9.组织实施并指导全县公安法制建设；指导、检查、监督全县公安机关执法活动。</w:t>
      </w:r>
    </w:p>
    <w:p w14:paraId="7712160C"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10.组织实施并指导全县公安机关开展禁毒和缉毒工作，</w:t>
      </w:r>
      <w:proofErr w:type="gramStart"/>
      <w:r>
        <w:rPr>
          <w:rFonts w:ascii="仿宋_GB2312" w:eastAsia="仿宋_GB2312" w:hAnsi="仿宋_GB2312" w:cs="仿宋_GB2312" w:hint="eastAsia"/>
          <w:sz w:val="32"/>
          <w:szCs w:val="32"/>
        </w:rPr>
        <w:t>承担县禁毒</w:t>
      </w:r>
      <w:proofErr w:type="gramEnd"/>
      <w:r>
        <w:rPr>
          <w:rFonts w:ascii="仿宋_GB2312" w:eastAsia="仿宋_GB2312" w:hAnsi="仿宋_GB2312" w:cs="仿宋_GB2312" w:hint="eastAsia"/>
          <w:sz w:val="32"/>
          <w:szCs w:val="32"/>
        </w:rPr>
        <w:t>委员会办公室的日常工作。</w:t>
      </w:r>
    </w:p>
    <w:p w14:paraId="0BE4B1D7"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11.组织、指导、协调对全县恐怖活动的防范、侦察、处置工作，</w:t>
      </w:r>
      <w:proofErr w:type="gramStart"/>
      <w:r>
        <w:rPr>
          <w:rFonts w:ascii="仿宋_GB2312" w:eastAsia="仿宋_GB2312" w:hAnsi="仿宋_GB2312" w:cs="仿宋_GB2312" w:hint="eastAsia"/>
          <w:sz w:val="32"/>
          <w:szCs w:val="32"/>
        </w:rPr>
        <w:t>承办县</w:t>
      </w:r>
      <w:proofErr w:type="gramEnd"/>
      <w:r>
        <w:rPr>
          <w:rFonts w:ascii="仿宋_GB2312" w:eastAsia="仿宋_GB2312" w:hAnsi="仿宋_GB2312" w:cs="仿宋_GB2312" w:hint="eastAsia"/>
          <w:sz w:val="32"/>
          <w:szCs w:val="32"/>
        </w:rPr>
        <w:t>反恐怖工作协调小组办公室的日常工作。</w:t>
      </w:r>
    </w:p>
    <w:p w14:paraId="5F8732BC"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12.组织实施全县公安科学技术工作，规划公安指挥系统、信息技术、刑事技术和技术侦察建设。</w:t>
      </w:r>
    </w:p>
    <w:p w14:paraId="60B247E3"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13.拟定并组织落实全县公安被装、装备、经费的配备标准和制度。</w:t>
      </w:r>
    </w:p>
    <w:p w14:paraId="327CB764"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14.指导全县公安政治工作和队伍建设；组织实施并指导、管理全县公安宣传、教育、训练工作。</w:t>
      </w:r>
    </w:p>
    <w:p w14:paraId="75944EB1"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制定全县公安队伍监督管理工作规章制度，分析队伍状况；组织实施并指导全县公安机关督察工作，按规定权限实施对干部的监督，查处或督办公安队伍重大和较大违纪案件；指导全县公安队伍思想作风、工作作风建设。</w:t>
      </w:r>
    </w:p>
    <w:p w14:paraId="559BD48F"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16.承办县委、县政府、州公安局、省公安厅交办的其他事项。</w:t>
      </w:r>
    </w:p>
    <w:p w14:paraId="56366051" w14:textId="77777777" w:rsidR="00062E74" w:rsidRDefault="00000000">
      <w:pPr>
        <w:pStyle w:val="20"/>
        <w:rPr>
          <w:rStyle w:val="21"/>
        </w:rPr>
      </w:pPr>
      <w:bookmarkStart w:id="22" w:name="_Toc15396601"/>
      <w:bookmarkStart w:id="23" w:name="_Toc15377200"/>
      <w:bookmarkStart w:id="24" w:name="_Toc22645"/>
      <w:bookmarkStart w:id="25" w:name="_Toc6564"/>
      <w:r>
        <w:rPr>
          <w:rFonts w:ascii="黑体" w:eastAsia="黑体" w:hint="eastAsia"/>
          <w:b w:val="0"/>
        </w:rPr>
        <w:t>二、</w:t>
      </w:r>
      <w:r>
        <w:rPr>
          <w:rFonts w:ascii="黑体" w:eastAsia="黑体" w:hAnsi="黑体" w:hint="eastAsia"/>
          <w:b w:val="0"/>
        </w:rPr>
        <w:t>机</w:t>
      </w:r>
      <w:r>
        <w:rPr>
          <w:rStyle w:val="21"/>
          <w:rFonts w:ascii="黑体" w:eastAsia="黑体" w:hAnsi="黑体" w:hint="eastAsia"/>
        </w:rPr>
        <w:t>构设置</w:t>
      </w:r>
      <w:bookmarkEnd w:id="22"/>
      <w:bookmarkEnd w:id="23"/>
      <w:bookmarkEnd w:id="24"/>
      <w:bookmarkEnd w:id="25"/>
    </w:p>
    <w:p w14:paraId="7F19F29E"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红原县公安局下属二级预算单位0个，其中行政单位0个，参照公务员法管理的事业单位0个，其他事业单位0个。</w:t>
      </w:r>
    </w:p>
    <w:p w14:paraId="217D8685"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2023年年末编制人数172人，在编在职人数171人，</w:t>
      </w:r>
      <w:r>
        <w:rPr>
          <w:rFonts w:ascii="仿宋_GB2312" w:eastAsia="仿宋_GB2312" w:hAnsi="仿宋_GB2312" w:cs="仿宋_GB2312" w:hint="eastAsia"/>
          <w:sz w:val="32"/>
          <w:szCs w:val="32"/>
        </w:rPr>
        <w:lastRenderedPageBreak/>
        <w:t>编制外聘用人员0人，共计0人。人员变动情况：2022年调入0人，新增退休1人。退休人员33人纳入社会保险统一管理。</w:t>
      </w:r>
    </w:p>
    <w:p w14:paraId="679E5E2D" w14:textId="77777777" w:rsidR="00062E74" w:rsidRDefault="00062E74">
      <w:pPr>
        <w:pStyle w:val="2"/>
        <w:ind w:left="420"/>
      </w:pPr>
    </w:p>
    <w:p w14:paraId="418FD796" w14:textId="77777777" w:rsidR="00062E74" w:rsidRDefault="00000000">
      <w:pPr>
        <w:widowControl/>
        <w:jc w:val="left"/>
        <w:rPr>
          <w:rFonts w:ascii="仿宋" w:eastAsia="仿宋" w:hAnsi="仿宋" w:hint="eastAsia"/>
          <w:kern w:val="0"/>
          <w:sz w:val="32"/>
          <w:szCs w:val="32"/>
        </w:rPr>
      </w:pPr>
      <w:r>
        <w:rPr>
          <w:rFonts w:ascii="仿宋" w:eastAsia="仿宋" w:hAnsi="仿宋"/>
          <w:sz w:val="32"/>
          <w:szCs w:val="32"/>
        </w:rPr>
        <w:br w:type="page"/>
      </w:r>
    </w:p>
    <w:p w14:paraId="464E7D45" w14:textId="77777777" w:rsidR="00062E74" w:rsidRDefault="00000000">
      <w:pPr>
        <w:pStyle w:val="1"/>
        <w:ind w:right="440"/>
        <w:jc w:val="center"/>
        <w:rPr>
          <w:rStyle w:val="10"/>
          <w:rFonts w:ascii="黑体" w:eastAsia="黑体" w:hAnsi="黑体" w:hint="eastAsia"/>
          <w:bCs/>
        </w:rPr>
      </w:pPr>
      <w:bookmarkStart w:id="26" w:name="_Toc15396602"/>
      <w:bookmarkStart w:id="27" w:name="_Toc15377204"/>
      <w:bookmarkStart w:id="28" w:name="_Toc18724"/>
      <w:bookmarkStart w:id="29" w:name="_Toc28265"/>
      <w:r>
        <w:rPr>
          <w:rFonts w:ascii="黑体" w:eastAsia="黑体" w:hAnsi="黑体" w:hint="eastAsia"/>
          <w:b w:val="0"/>
        </w:rPr>
        <w:lastRenderedPageBreak/>
        <w:t>第二部分 2023年度</w:t>
      </w:r>
      <w:r>
        <w:rPr>
          <w:rStyle w:val="10"/>
          <w:rFonts w:ascii="黑体" w:eastAsia="黑体" w:hAnsi="黑体" w:hint="eastAsia"/>
          <w:bCs/>
        </w:rPr>
        <w:t>部门决算情况说明</w:t>
      </w:r>
      <w:bookmarkEnd w:id="26"/>
      <w:bookmarkEnd w:id="27"/>
      <w:bookmarkEnd w:id="28"/>
      <w:bookmarkEnd w:id="29"/>
    </w:p>
    <w:p w14:paraId="4C28897F" w14:textId="77777777" w:rsidR="00062E74" w:rsidRDefault="00062E74"/>
    <w:p w14:paraId="4A2FA746" w14:textId="77777777" w:rsidR="00062E74" w:rsidRDefault="00000000">
      <w:pPr>
        <w:pStyle w:val="af0"/>
        <w:numPr>
          <w:ilvl w:val="0"/>
          <w:numId w:val="2"/>
        </w:numPr>
        <w:spacing w:line="600" w:lineRule="exact"/>
        <w:ind w:firstLineChars="0"/>
        <w:outlineLvl w:val="1"/>
        <w:rPr>
          <w:rStyle w:val="21"/>
          <w:rFonts w:ascii="黑体" w:eastAsia="黑体" w:hAnsi="黑体" w:hint="eastAsia"/>
          <w:b w:val="0"/>
        </w:rPr>
      </w:pPr>
      <w:bookmarkStart w:id="30" w:name="_Toc15377205"/>
      <w:bookmarkStart w:id="31" w:name="_Toc15396603"/>
      <w:bookmarkStart w:id="32" w:name="_Toc14096"/>
      <w:bookmarkStart w:id="33" w:name="_Toc26396"/>
      <w:r>
        <w:rPr>
          <w:rFonts w:ascii="黑体" w:eastAsia="黑体" w:hAnsi="黑体" w:hint="eastAsia"/>
          <w:sz w:val="32"/>
          <w:szCs w:val="32"/>
        </w:rPr>
        <w:t>收</w:t>
      </w:r>
      <w:r>
        <w:rPr>
          <w:rStyle w:val="21"/>
          <w:rFonts w:ascii="黑体" w:eastAsia="黑体" w:hAnsi="黑体" w:hint="eastAsia"/>
          <w:b w:val="0"/>
        </w:rPr>
        <w:t>入支出决算总体情况说明</w:t>
      </w:r>
      <w:bookmarkEnd w:id="30"/>
      <w:bookmarkEnd w:id="31"/>
      <w:bookmarkEnd w:id="32"/>
      <w:bookmarkEnd w:id="33"/>
    </w:p>
    <w:p w14:paraId="213115FA" w14:textId="77777777" w:rsidR="00062E74" w:rsidRDefault="00000000">
      <w:pPr>
        <w:spacing w:line="600" w:lineRule="exact"/>
        <w:ind w:firstLineChars="200" w:firstLine="640"/>
        <w:jc w:val="left"/>
        <w:rPr>
          <w:rFonts w:ascii="仿宋" w:eastAsia="仿宋" w:hAnsi="仿宋" w:hint="eastAsia"/>
          <w:sz w:val="32"/>
          <w:szCs w:val="32"/>
        </w:rPr>
      </w:pPr>
      <w:r>
        <w:rPr>
          <w:rFonts w:ascii="仿宋" w:eastAsia="仿宋" w:hAnsi="仿宋" w:hint="eastAsia"/>
          <w:sz w:val="32"/>
          <w:szCs w:val="32"/>
        </w:rPr>
        <w:t>2023年度收、支总计均为</w:t>
      </w:r>
      <w:r>
        <w:rPr>
          <w:rFonts w:hint="eastAsia"/>
          <w:sz w:val="32"/>
          <w:szCs w:val="32"/>
        </w:rPr>
        <w:t>8562.42</w:t>
      </w:r>
      <w:r>
        <w:rPr>
          <w:rFonts w:ascii="仿宋" w:eastAsia="仿宋" w:hAnsi="仿宋" w:hint="eastAsia"/>
          <w:sz w:val="32"/>
          <w:szCs w:val="32"/>
        </w:rPr>
        <w:t>万元</w:t>
      </w:r>
      <w:r>
        <w:rPr>
          <w:rFonts w:hint="eastAsia"/>
          <w:sz w:val="32"/>
          <w:szCs w:val="32"/>
        </w:rPr>
        <w:t>。</w:t>
      </w:r>
      <w:r>
        <w:rPr>
          <w:rFonts w:ascii="仿宋" w:eastAsia="仿宋" w:hAnsi="仿宋" w:hint="eastAsia"/>
          <w:sz w:val="32"/>
          <w:szCs w:val="32"/>
        </w:rPr>
        <w:t>与2022年度相比，收、支总计各增加159.71万元，增长1.9</w:t>
      </w:r>
      <w:r>
        <w:rPr>
          <w:rFonts w:ascii="仿宋" w:eastAsia="仿宋" w:hAnsi="仿宋"/>
          <w:sz w:val="32"/>
          <w:szCs w:val="32"/>
        </w:rPr>
        <w:t>%</w:t>
      </w:r>
      <w:r>
        <w:rPr>
          <w:rFonts w:ascii="仿宋" w:eastAsia="仿宋" w:hAnsi="仿宋" w:hint="eastAsia"/>
          <w:sz w:val="32"/>
          <w:szCs w:val="32"/>
        </w:rPr>
        <w:t>。主要变动原因是转移支付增长，工资保险等增长。</w:t>
      </w:r>
    </w:p>
    <w:p w14:paraId="7324E0B9"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：收、支决算总计变动情况图）（柱状图）</w:t>
      </w:r>
    </w:p>
    <w:p w14:paraId="68CE0F4B" w14:textId="77777777" w:rsidR="00062E74" w:rsidRDefault="00000000">
      <w:pPr>
        <w:pStyle w:val="5"/>
        <w:outlineLvl w:val="9"/>
        <w:rPr>
          <w:rFonts w:ascii="仿宋_GB2312" w:eastAsia="仿宋_GB2312"/>
          <w:sz w:val="32"/>
          <w:szCs w:val="32"/>
        </w:rPr>
      </w:pPr>
      <w:r>
        <w:rPr>
          <w:rFonts w:eastAsia="仿宋" w:hint="eastAsia"/>
          <w:noProof/>
        </w:rPr>
        <w:drawing>
          <wp:inline distT="0" distB="0" distL="114300" distR="114300" wp14:anchorId="3F40882A" wp14:editId="29B47AF7">
            <wp:extent cx="3204845" cy="2360295"/>
            <wp:effectExtent l="4445" t="4445" r="10160"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2D9447" w14:textId="77777777" w:rsidR="00062E74" w:rsidRDefault="00000000">
      <w:pPr>
        <w:pStyle w:val="af0"/>
        <w:numPr>
          <w:ilvl w:val="0"/>
          <w:numId w:val="2"/>
        </w:numPr>
        <w:spacing w:line="600" w:lineRule="exact"/>
        <w:ind w:firstLineChars="0"/>
        <w:outlineLvl w:val="1"/>
        <w:rPr>
          <w:rStyle w:val="21"/>
          <w:rFonts w:ascii="黑体" w:eastAsia="黑体" w:hAnsi="黑体" w:hint="eastAsia"/>
          <w:b w:val="0"/>
        </w:rPr>
      </w:pPr>
      <w:bookmarkStart w:id="34" w:name="_Toc15396604"/>
      <w:bookmarkStart w:id="35" w:name="_Toc15377206"/>
      <w:bookmarkStart w:id="36" w:name="_Toc27535"/>
      <w:bookmarkStart w:id="37" w:name="_Toc11505"/>
      <w:r>
        <w:rPr>
          <w:rFonts w:ascii="黑体" w:eastAsia="黑体" w:hAnsi="黑体" w:hint="eastAsia"/>
          <w:sz w:val="32"/>
          <w:szCs w:val="32"/>
        </w:rPr>
        <w:t>收</w:t>
      </w:r>
      <w:r>
        <w:rPr>
          <w:rStyle w:val="21"/>
          <w:rFonts w:ascii="黑体" w:eastAsia="黑体" w:hAnsi="黑体" w:hint="eastAsia"/>
          <w:b w:val="0"/>
        </w:rPr>
        <w:t>入决算情况说明</w:t>
      </w:r>
      <w:bookmarkEnd w:id="34"/>
      <w:bookmarkEnd w:id="35"/>
      <w:bookmarkEnd w:id="36"/>
      <w:bookmarkEnd w:id="37"/>
    </w:p>
    <w:p w14:paraId="239E2E14" w14:textId="77777777" w:rsidR="00062E74" w:rsidRDefault="00000000">
      <w:pPr>
        <w:spacing w:line="600" w:lineRule="exact"/>
        <w:ind w:firstLineChars="200" w:firstLine="640"/>
        <w:jc w:val="left"/>
        <w:outlineLvl w:val="1"/>
        <w:rPr>
          <w:rFonts w:ascii="仿宋" w:eastAsia="仿宋" w:hAnsi="仿宋" w:hint="eastAsia"/>
          <w:sz w:val="32"/>
          <w:szCs w:val="32"/>
        </w:rPr>
      </w:pPr>
      <w:bookmarkStart w:id="38" w:name="_Toc22716"/>
      <w:bookmarkStart w:id="39" w:name="_Toc19670"/>
      <w:r>
        <w:rPr>
          <w:rFonts w:ascii="仿宋" w:eastAsia="仿宋" w:hAnsi="仿宋" w:hint="eastAsia"/>
          <w:sz w:val="32"/>
          <w:szCs w:val="32"/>
        </w:rPr>
        <w:t>2023年度本年收入合计</w:t>
      </w:r>
      <w:r>
        <w:rPr>
          <w:sz w:val="32"/>
          <w:szCs w:val="32"/>
        </w:rPr>
        <w:t>8562.42</w:t>
      </w:r>
      <w:r>
        <w:rPr>
          <w:rFonts w:ascii="仿宋" w:eastAsia="仿宋" w:hAnsi="仿宋" w:hint="eastAsia"/>
          <w:sz w:val="32"/>
          <w:szCs w:val="32"/>
        </w:rPr>
        <w:t>万元，其中：一般公共预算财政拨款收入</w:t>
      </w:r>
      <w:r>
        <w:rPr>
          <w:sz w:val="32"/>
          <w:szCs w:val="32"/>
        </w:rPr>
        <w:t>8562.42</w:t>
      </w:r>
      <w:r>
        <w:rPr>
          <w:rFonts w:ascii="仿宋" w:eastAsia="仿宋" w:hAnsi="仿宋" w:hint="eastAsia"/>
          <w:sz w:val="32"/>
          <w:szCs w:val="32"/>
        </w:rPr>
        <w:t>万元，占</w:t>
      </w:r>
      <w:r>
        <w:rPr>
          <w:sz w:val="32"/>
          <w:szCs w:val="32"/>
        </w:rPr>
        <w:t>100</w:t>
      </w:r>
      <w:r>
        <w:rPr>
          <w:rFonts w:ascii="仿宋" w:eastAsia="仿宋" w:hAnsi="仿宋"/>
          <w:sz w:val="32"/>
          <w:szCs w:val="32"/>
        </w:rPr>
        <w:t>%</w:t>
      </w:r>
      <w:r>
        <w:rPr>
          <w:rFonts w:ascii="仿宋" w:eastAsia="仿宋" w:hAnsi="仿宋" w:hint="eastAsia"/>
          <w:sz w:val="32"/>
          <w:szCs w:val="32"/>
        </w:rPr>
        <w:t>；政府性基金预算财政拨款收入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；上级补助收入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；事业收入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；附属单位上缴收入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；其他收入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38"/>
      <w:bookmarkEnd w:id="39"/>
    </w:p>
    <w:p w14:paraId="065A7748"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（图2：收入决算结构图）（饼状图）</w:t>
      </w:r>
    </w:p>
    <w:p w14:paraId="579EB99B" w14:textId="77777777" w:rsidR="00062E74" w:rsidRDefault="00000000">
      <w:pPr>
        <w:pStyle w:val="5"/>
        <w:outlineLvl w:val="9"/>
        <w:rPr>
          <w:rFonts w:ascii="仿宋_GB2312" w:eastAsia="仿宋_GB2312"/>
          <w:sz w:val="32"/>
          <w:szCs w:val="32"/>
        </w:rPr>
      </w:pPr>
      <w:r>
        <w:rPr>
          <w:rFonts w:eastAsia="仿宋" w:hint="eastAsia"/>
          <w:noProof/>
        </w:rPr>
        <w:lastRenderedPageBreak/>
        <w:drawing>
          <wp:inline distT="0" distB="0" distL="114300" distR="114300" wp14:anchorId="0BDE290E" wp14:editId="64D9B0F6">
            <wp:extent cx="3219450" cy="1971040"/>
            <wp:effectExtent l="4445" t="4445" r="1460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434ED7" w14:textId="77777777" w:rsidR="00062E74" w:rsidRDefault="00000000">
      <w:pPr>
        <w:pStyle w:val="af0"/>
        <w:numPr>
          <w:ilvl w:val="0"/>
          <w:numId w:val="2"/>
        </w:numPr>
        <w:spacing w:line="600" w:lineRule="exact"/>
        <w:ind w:firstLineChars="0"/>
        <w:outlineLvl w:val="1"/>
        <w:rPr>
          <w:rStyle w:val="21"/>
          <w:rFonts w:ascii="黑体" w:eastAsia="黑体" w:hAnsi="黑体" w:hint="eastAsia"/>
          <w:b w:val="0"/>
        </w:rPr>
      </w:pPr>
      <w:bookmarkStart w:id="40" w:name="_Toc15396605"/>
      <w:bookmarkStart w:id="41" w:name="_Toc15377207"/>
      <w:bookmarkStart w:id="42" w:name="_Toc8428"/>
      <w:bookmarkStart w:id="43" w:name="_Toc21865"/>
      <w:r>
        <w:rPr>
          <w:rFonts w:ascii="黑体" w:eastAsia="黑体" w:hAnsi="黑体" w:hint="eastAsia"/>
          <w:sz w:val="32"/>
          <w:szCs w:val="32"/>
        </w:rPr>
        <w:t>支</w:t>
      </w:r>
      <w:r>
        <w:rPr>
          <w:rStyle w:val="21"/>
          <w:rFonts w:ascii="黑体" w:eastAsia="黑体" w:hAnsi="黑体" w:hint="eastAsia"/>
          <w:b w:val="0"/>
        </w:rPr>
        <w:t>出决算情况说明</w:t>
      </w:r>
      <w:bookmarkEnd w:id="40"/>
      <w:bookmarkEnd w:id="41"/>
      <w:bookmarkEnd w:id="42"/>
      <w:bookmarkEnd w:id="43"/>
    </w:p>
    <w:p w14:paraId="54347EA6" w14:textId="77777777" w:rsidR="00062E74" w:rsidRDefault="00000000">
      <w:pPr>
        <w:spacing w:line="600" w:lineRule="exact"/>
        <w:ind w:firstLineChars="200" w:firstLine="640"/>
        <w:outlineLvl w:val="1"/>
        <w:rPr>
          <w:rFonts w:ascii="仿宋" w:eastAsia="仿宋" w:hAnsi="仿宋" w:hint="eastAsia"/>
          <w:sz w:val="32"/>
          <w:szCs w:val="32"/>
        </w:rPr>
      </w:pPr>
      <w:bookmarkStart w:id="44" w:name="_Toc18982"/>
      <w:bookmarkStart w:id="45" w:name="_Toc3481"/>
      <w:r>
        <w:rPr>
          <w:rFonts w:ascii="仿宋" w:eastAsia="仿宋" w:hAnsi="仿宋" w:hint="eastAsia"/>
          <w:sz w:val="32"/>
          <w:szCs w:val="32"/>
        </w:rPr>
        <w:t>2023年度本年支出合计</w:t>
      </w:r>
      <w:r>
        <w:rPr>
          <w:sz w:val="32"/>
          <w:szCs w:val="32"/>
        </w:rPr>
        <w:t>8562.42</w:t>
      </w:r>
      <w:r>
        <w:rPr>
          <w:rFonts w:ascii="仿宋" w:eastAsia="仿宋" w:hAnsi="仿宋" w:hint="eastAsia"/>
          <w:sz w:val="32"/>
          <w:szCs w:val="32"/>
        </w:rPr>
        <w:t>万元，其中：基本支出</w:t>
      </w:r>
      <w:r>
        <w:rPr>
          <w:sz w:val="32"/>
          <w:szCs w:val="32"/>
        </w:rPr>
        <w:t>6308.04</w:t>
      </w:r>
      <w:r>
        <w:rPr>
          <w:rFonts w:ascii="仿宋" w:eastAsia="仿宋" w:hAnsi="仿宋" w:hint="eastAsia"/>
          <w:sz w:val="32"/>
          <w:szCs w:val="32"/>
        </w:rPr>
        <w:t>万元，占</w:t>
      </w:r>
      <w:r>
        <w:rPr>
          <w:sz w:val="32"/>
          <w:szCs w:val="32"/>
        </w:rPr>
        <w:t>73.67</w:t>
      </w:r>
      <w:r>
        <w:rPr>
          <w:rFonts w:ascii="仿宋" w:eastAsia="仿宋" w:hAnsi="仿宋"/>
          <w:sz w:val="32"/>
          <w:szCs w:val="32"/>
        </w:rPr>
        <w:t>%</w:t>
      </w:r>
      <w:r>
        <w:rPr>
          <w:rFonts w:ascii="仿宋" w:eastAsia="仿宋" w:hAnsi="仿宋" w:hint="eastAsia"/>
          <w:sz w:val="32"/>
          <w:szCs w:val="32"/>
        </w:rPr>
        <w:t>；项目支出</w:t>
      </w:r>
      <w:r>
        <w:rPr>
          <w:sz w:val="32"/>
          <w:szCs w:val="32"/>
        </w:rPr>
        <w:t>2254.38</w:t>
      </w:r>
      <w:r>
        <w:rPr>
          <w:rFonts w:ascii="仿宋" w:eastAsia="仿宋" w:hAnsi="仿宋" w:hint="eastAsia"/>
          <w:sz w:val="32"/>
          <w:szCs w:val="32"/>
        </w:rPr>
        <w:t>万元，占</w:t>
      </w:r>
      <w:r>
        <w:rPr>
          <w:sz w:val="32"/>
          <w:szCs w:val="32"/>
        </w:rPr>
        <w:t>26.32</w:t>
      </w:r>
      <w:r>
        <w:rPr>
          <w:rFonts w:ascii="仿宋" w:eastAsia="仿宋" w:hAnsi="仿宋"/>
          <w:sz w:val="32"/>
          <w:szCs w:val="32"/>
        </w:rPr>
        <w:t>%</w:t>
      </w:r>
      <w:r>
        <w:rPr>
          <w:rFonts w:ascii="仿宋" w:eastAsia="仿宋" w:hAnsi="仿宋" w:hint="eastAsia"/>
          <w:sz w:val="32"/>
          <w:szCs w:val="32"/>
        </w:rPr>
        <w:t>；上缴上级支出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；对附属单位补助支出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44"/>
      <w:bookmarkEnd w:id="45"/>
    </w:p>
    <w:p w14:paraId="7CEB798C"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（图3：支出决算结构图）（饼状图）</w:t>
      </w:r>
    </w:p>
    <w:p w14:paraId="70A2E87E" w14:textId="77777777" w:rsidR="00062E74" w:rsidRDefault="00000000">
      <w:pPr>
        <w:pStyle w:val="5"/>
        <w:outlineLvl w:val="9"/>
        <w:rPr>
          <w:rFonts w:eastAsia="仿宋"/>
        </w:rPr>
      </w:pPr>
      <w:r>
        <w:rPr>
          <w:rFonts w:eastAsia="仿宋" w:hint="eastAsia"/>
          <w:noProof/>
        </w:rPr>
        <w:drawing>
          <wp:inline distT="0" distB="0" distL="114300" distR="114300" wp14:anchorId="0E66B406" wp14:editId="1514F7D0">
            <wp:extent cx="3937000" cy="2132965"/>
            <wp:effectExtent l="4445" t="4445" r="20955" b="1524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BE14B2" w14:textId="77777777" w:rsidR="00062E74" w:rsidRDefault="00062E74">
      <w:pPr>
        <w:spacing w:line="600" w:lineRule="exact"/>
        <w:ind w:firstLineChars="200" w:firstLine="640"/>
        <w:rPr>
          <w:rFonts w:ascii="仿宋_GB2312" w:eastAsia="仿宋_GB2312"/>
          <w:sz w:val="32"/>
          <w:szCs w:val="32"/>
        </w:rPr>
      </w:pPr>
    </w:p>
    <w:p w14:paraId="7B2CD24B" w14:textId="77777777" w:rsidR="00062E74" w:rsidRDefault="00000000">
      <w:pPr>
        <w:spacing w:line="600" w:lineRule="exact"/>
        <w:ind w:firstLineChars="200" w:firstLine="640"/>
        <w:outlineLvl w:val="1"/>
        <w:rPr>
          <w:rStyle w:val="21"/>
          <w:rFonts w:ascii="黑体" w:eastAsia="黑体" w:hAnsi="黑体" w:hint="eastAsia"/>
          <w:b w:val="0"/>
        </w:rPr>
      </w:pPr>
      <w:bookmarkStart w:id="46" w:name="_Toc15396606"/>
      <w:bookmarkStart w:id="47" w:name="_Toc15377208"/>
      <w:bookmarkStart w:id="48" w:name="_Toc30284"/>
      <w:bookmarkStart w:id="49" w:name="_Toc3908"/>
      <w:r>
        <w:rPr>
          <w:rFonts w:ascii="黑体" w:eastAsia="黑体" w:hAnsi="黑体" w:hint="eastAsia"/>
          <w:sz w:val="32"/>
          <w:szCs w:val="32"/>
        </w:rPr>
        <w:t>四、财</w:t>
      </w:r>
      <w:r>
        <w:rPr>
          <w:rStyle w:val="21"/>
          <w:rFonts w:ascii="黑体" w:eastAsia="黑体" w:hAnsi="黑体" w:hint="eastAsia"/>
          <w:b w:val="0"/>
        </w:rPr>
        <w:t>政拨款收入支出决算总体情况说明</w:t>
      </w:r>
      <w:bookmarkEnd w:id="46"/>
      <w:bookmarkEnd w:id="47"/>
      <w:bookmarkEnd w:id="48"/>
      <w:bookmarkEnd w:id="49"/>
    </w:p>
    <w:p w14:paraId="018C7B17" w14:textId="77777777" w:rsidR="00062E74"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2023年度财政拨款收、支总计均为</w:t>
      </w:r>
      <w:r>
        <w:rPr>
          <w:sz w:val="32"/>
          <w:szCs w:val="32"/>
        </w:rPr>
        <w:t>8562.42</w:t>
      </w:r>
      <w:r>
        <w:rPr>
          <w:rFonts w:ascii="仿宋" w:eastAsia="仿宋" w:hAnsi="仿宋" w:hint="eastAsia"/>
          <w:sz w:val="32"/>
          <w:szCs w:val="32"/>
        </w:rPr>
        <w:t>万元。与2022年度相比，财政拨款收、支总计各增加206.8万元，增长2.47</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sz w:val="32"/>
          <w:szCs w:val="32"/>
        </w:rPr>
        <w:lastRenderedPageBreak/>
        <w:t>主要变动原因是转移支付增长，工资保险等增长。</w:t>
      </w:r>
    </w:p>
    <w:p w14:paraId="055ACDF1"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（图4：财政拨款收、支决算总计变动情况）（柱状图）</w:t>
      </w:r>
    </w:p>
    <w:p w14:paraId="079B4CF4" w14:textId="77777777" w:rsidR="00062E74" w:rsidRDefault="00000000">
      <w:pPr>
        <w:pStyle w:val="5"/>
        <w:outlineLvl w:val="9"/>
        <w:rPr>
          <w:rFonts w:ascii="仿宋" w:eastAsia="仿宋" w:hAnsi="仿宋" w:hint="eastAsia"/>
          <w:sz w:val="32"/>
          <w:szCs w:val="32"/>
        </w:rPr>
      </w:pPr>
      <w:r>
        <w:rPr>
          <w:rFonts w:eastAsia="仿宋" w:hint="eastAsia"/>
          <w:noProof/>
        </w:rPr>
        <w:drawing>
          <wp:inline distT="0" distB="0" distL="114300" distR="114300" wp14:anchorId="6073B1CA" wp14:editId="51787A4F">
            <wp:extent cx="3204845" cy="1861185"/>
            <wp:effectExtent l="5080" t="4445" r="9525" b="2032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E3E6AA" w14:textId="77777777" w:rsidR="00062E74" w:rsidRDefault="00000000">
      <w:pPr>
        <w:spacing w:line="600" w:lineRule="exact"/>
        <w:ind w:firstLineChars="200" w:firstLine="640"/>
        <w:outlineLvl w:val="1"/>
        <w:rPr>
          <w:rStyle w:val="21"/>
          <w:rFonts w:ascii="黑体" w:eastAsia="黑体" w:hAnsi="黑体" w:hint="eastAsia"/>
          <w:b w:val="0"/>
        </w:rPr>
      </w:pPr>
      <w:bookmarkStart w:id="50" w:name="_Toc15396607"/>
      <w:bookmarkStart w:id="51" w:name="_Toc15377209"/>
      <w:bookmarkStart w:id="52" w:name="_Toc13007"/>
      <w:bookmarkStart w:id="53" w:name="_Toc27588"/>
      <w:r>
        <w:rPr>
          <w:rFonts w:ascii="黑体" w:eastAsia="黑体" w:hAnsi="黑体" w:hint="eastAsia"/>
          <w:sz w:val="32"/>
          <w:szCs w:val="32"/>
        </w:rPr>
        <w:t>五、</w:t>
      </w:r>
      <w:r>
        <w:rPr>
          <w:rFonts w:ascii="黑体" w:eastAsia="黑体" w:hAnsi="黑体" w:hint="eastAsia"/>
          <w:b/>
          <w:sz w:val="32"/>
          <w:szCs w:val="32"/>
        </w:rPr>
        <w:t>一</w:t>
      </w:r>
      <w:r>
        <w:rPr>
          <w:rStyle w:val="21"/>
          <w:rFonts w:ascii="黑体" w:eastAsia="黑体" w:hAnsi="黑体" w:hint="eastAsia"/>
          <w:b w:val="0"/>
        </w:rPr>
        <w:t>般公共预算财政拨款支出决算情况说明</w:t>
      </w:r>
      <w:bookmarkEnd w:id="50"/>
      <w:bookmarkEnd w:id="51"/>
      <w:bookmarkEnd w:id="52"/>
      <w:bookmarkEnd w:id="53"/>
    </w:p>
    <w:p w14:paraId="21150745" w14:textId="77777777" w:rsidR="00062E74" w:rsidRDefault="00000000">
      <w:pPr>
        <w:spacing w:line="600" w:lineRule="exact"/>
        <w:ind w:firstLineChars="200" w:firstLine="643"/>
        <w:outlineLvl w:val="2"/>
        <w:rPr>
          <w:rFonts w:ascii="仿宋" w:eastAsia="仿宋" w:hAnsi="仿宋" w:hint="eastAsia"/>
          <w:b/>
          <w:sz w:val="32"/>
          <w:szCs w:val="32"/>
        </w:rPr>
      </w:pPr>
      <w:bookmarkStart w:id="54" w:name="_Toc15377210"/>
      <w:r>
        <w:rPr>
          <w:rFonts w:ascii="仿宋" w:eastAsia="仿宋" w:hAnsi="仿宋" w:hint="eastAsia"/>
          <w:b/>
          <w:sz w:val="32"/>
          <w:szCs w:val="32"/>
        </w:rPr>
        <w:t>（一）一般公共预算财政拨款支出决算总体情况</w:t>
      </w:r>
      <w:bookmarkEnd w:id="54"/>
    </w:p>
    <w:p w14:paraId="3EC4A354"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2023年度一般公共预算财政拨款支出</w:t>
      </w:r>
      <w:r>
        <w:rPr>
          <w:sz w:val="32"/>
          <w:szCs w:val="32"/>
        </w:rPr>
        <w:t>8562.42</w:t>
      </w:r>
      <w:r>
        <w:rPr>
          <w:rFonts w:ascii="仿宋" w:eastAsia="仿宋" w:hAnsi="仿宋" w:hint="eastAsia"/>
          <w:sz w:val="32"/>
          <w:szCs w:val="32"/>
        </w:rPr>
        <w:t>万元，占本年支出合计的</w:t>
      </w:r>
      <w:r>
        <w:rPr>
          <w:sz w:val="32"/>
          <w:szCs w:val="32"/>
        </w:rPr>
        <w:t>100</w:t>
      </w:r>
      <w:r>
        <w:rPr>
          <w:rFonts w:ascii="仿宋" w:eastAsia="仿宋" w:hAnsi="仿宋"/>
          <w:sz w:val="32"/>
          <w:szCs w:val="32"/>
        </w:rPr>
        <w:t>%</w:t>
      </w:r>
      <w:r>
        <w:rPr>
          <w:rFonts w:ascii="仿宋" w:eastAsia="仿宋" w:hAnsi="仿宋" w:hint="eastAsia"/>
          <w:sz w:val="32"/>
          <w:szCs w:val="32"/>
        </w:rPr>
        <w:t>。与2022年度相比，一般公共预算财政拨款支出增加206.8万元，增长2.47</w:t>
      </w:r>
      <w:r>
        <w:rPr>
          <w:rFonts w:ascii="仿宋" w:eastAsia="仿宋" w:hAnsi="仿宋"/>
          <w:sz w:val="32"/>
          <w:szCs w:val="32"/>
        </w:rPr>
        <w:t>%</w:t>
      </w:r>
      <w:r>
        <w:rPr>
          <w:rFonts w:ascii="仿宋" w:eastAsia="仿宋" w:hAnsi="仿宋" w:hint="eastAsia"/>
          <w:sz w:val="32"/>
          <w:szCs w:val="32"/>
        </w:rPr>
        <w:t>。主要变动原因是转移支付增长，工资保险增长。</w:t>
      </w:r>
    </w:p>
    <w:p w14:paraId="18BAAF60"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（图5：一般公共预算财政拨款支出决算变动情况）（柱状图）</w:t>
      </w:r>
    </w:p>
    <w:p w14:paraId="4CE6B1E4" w14:textId="77777777" w:rsidR="00062E74" w:rsidRDefault="00000000">
      <w:pPr>
        <w:pStyle w:val="5"/>
        <w:outlineLvl w:val="9"/>
        <w:rPr>
          <w:rFonts w:eastAsia="仿宋"/>
        </w:rPr>
      </w:pPr>
      <w:r>
        <w:rPr>
          <w:rFonts w:eastAsia="仿宋" w:hint="eastAsia"/>
          <w:noProof/>
        </w:rPr>
        <w:lastRenderedPageBreak/>
        <w:drawing>
          <wp:inline distT="0" distB="0" distL="114300" distR="114300" wp14:anchorId="15F90012" wp14:editId="0C845E13">
            <wp:extent cx="3138170" cy="1978660"/>
            <wp:effectExtent l="5080" t="4445" r="1905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4364A0" w14:textId="77777777" w:rsidR="00062E74" w:rsidRDefault="00062E74">
      <w:pPr>
        <w:spacing w:line="600" w:lineRule="exact"/>
        <w:ind w:firstLineChars="200" w:firstLine="640"/>
        <w:rPr>
          <w:rFonts w:ascii="仿宋" w:eastAsia="仿宋" w:hAnsi="仿宋" w:hint="eastAsia"/>
          <w:sz w:val="32"/>
          <w:szCs w:val="32"/>
        </w:rPr>
      </w:pPr>
    </w:p>
    <w:p w14:paraId="39781E13" w14:textId="77777777" w:rsidR="00062E74" w:rsidRDefault="00000000">
      <w:pPr>
        <w:spacing w:line="600" w:lineRule="exact"/>
        <w:ind w:firstLineChars="200" w:firstLine="643"/>
        <w:outlineLvl w:val="2"/>
        <w:rPr>
          <w:rFonts w:ascii="仿宋" w:eastAsia="仿宋" w:hAnsi="仿宋" w:hint="eastAsia"/>
          <w:b/>
          <w:sz w:val="32"/>
          <w:szCs w:val="32"/>
        </w:rPr>
      </w:pPr>
      <w:bookmarkStart w:id="55" w:name="_Toc15377211"/>
      <w:r>
        <w:rPr>
          <w:rFonts w:ascii="仿宋" w:eastAsia="仿宋" w:hAnsi="仿宋" w:hint="eastAsia"/>
          <w:b/>
          <w:sz w:val="32"/>
          <w:szCs w:val="32"/>
        </w:rPr>
        <w:t>（二）一般公共预算财政拨款支出决算结构情况</w:t>
      </w:r>
      <w:bookmarkEnd w:id="55"/>
    </w:p>
    <w:p w14:paraId="50269179" w14:textId="77777777" w:rsidR="00062E74"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2023年度一般公共预算财政拨款支出</w:t>
      </w:r>
      <w:r>
        <w:rPr>
          <w:sz w:val="32"/>
          <w:szCs w:val="32"/>
        </w:rPr>
        <w:t>8562.42</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一般公共服务</w:t>
      </w:r>
      <w:r>
        <w:rPr>
          <w:rFonts w:ascii="仿宋" w:eastAsia="仿宋" w:hAnsi="仿宋" w:hint="eastAsia"/>
          <w:b/>
          <w:bCs/>
          <w:sz w:val="32"/>
          <w:szCs w:val="32"/>
        </w:rPr>
        <w:t>支出0</w:t>
      </w:r>
      <w:r>
        <w:rPr>
          <w:rFonts w:ascii="仿宋" w:eastAsia="仿宋" w:hAnsi="仿宋" w:hint="eastAsia"/>
          <w:sz w:val="32"/>
          <w:szCs w:val="32"/>
        </w:rPr>
        <w:t>万元，占0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教育支出0</w:t>
      </w:r>
      <w:r>
        <w:rPr>
          <w:rFonts w:ascii="仿宋" w:eastAsia="仿宋" w:hAnsi="仿宋" w:hint="eastAsia"/>
          <w:sz w:val="32"/>
          <w:szCs w:val="32"/>
        </w:rPr>
        <w:t>万元，占0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科学技术</w:t>
      </w:r>
      <w:r>
        <w:rPr>
          <w:rFonts w:ascii="仿宋" w:eastAsia="仿宋" w:hAnsi="仿宋" w:hint="eastAsia"/>
          <w:b/>
          <w:bCs/>
          <w:sz w:val="32"/>
          <w:szCs w:val="32"/>
        </w:rPr>
        <w:t>支出0</w:t>
      </w:r>
      <w:r>
        <w:rPr>
          <w:rFonts w:ascii="仿宋" w:eastAsia="仿宋" w:hAnsi="仿宋" w:hint="eastAsia"/>
          <w:sz w:val="32"/>
          <w:szCs w:val="32"/>
        </w:rPr>
        <w:t>万元，占0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文化旅游体育与传媒支出0万元，占0</w:t>
      </w:r>
      <w:r>
        <w:rPr>
          <w:rFonts w:ascii="仿宋" w:eastAsia="仿宋" w:hAnsi="仿宋"/>
          <w:b/>
          <w:bCs/>
          <w:sz w:val="32"/>
          <w:szCs w:val="32"/>
        </w:rPr>
        <w:t>%</w:t>
      </w:r>
      <w:r>
        <w:rPr>
          <w:rFonts w:ascii="仿宋" w:eastAsia="仿宋" w:hAnsi="仿宋" w:hint="eastAsia"/>
          <w:sz w:val="32"/>
          <w:szCs w:val="32"/>
        </w:rPr>
        <w:t>；</w:t>
      </w:r>
      <w:r>
        <w:rPr>
          <w:rFonts w:ascii="仿宋" w:eastAsia="仿宋" w:hAnsi="仿宋" w:hint="eastAsia"/>
          <w:b/>
          <w:sz w:val="32"/>
          <w:szCs w:val="32"/>
        </w:rPr>
        <w:t>社会保障和就业</w:t>
      </w:r>
      <w:r>
        <w:rPr>
          <w:rFonts w:ascii="仿宋" w:eastAsia="仿宋" w:hAnsi="仿宋" w:hint="eastAsia"/>
          <w:b/>
          <w:bCs/>
          <w:sz w:val="32"/>
          <w:szCs w:val="32"/>
        </w:rPr>
        <w:t>支出637.11</w:t>
      </w:r>
      <w:r>
        <w:rPr>
          <w:rFonts w:ascii="仿宋" w:eastAsia="仿宋" w:hAnsi="仿宋" w:hint="eastAsia"/>
          <w:sz w:val="32"/>
          <w:szCs w:val="32"/>
        </w:rPr>
        <w:t>万元，占7.44</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卫生健康支出266.14</w:t>
      </w:r>
      <w:r>
        <w:rPr>
          <w:rFonts w:ascii="仿宋" w:eastAsia="仿宋" w:hAnsi="仿宋" w:hint="eastAsia"/>
          <w:sz w:val="32"/>
          <w:szCs w:val="32"/>
        </w:rPr>
        <w:t>万元，占3.11</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住房保障支出377.23</w:t>
      </w:r>
      <w:r>
        <w:rPr>
          <w:rFonts w:ascii="仿宋" w:eastAsia="仿宋" w:hAnsi="仿宋" w:hint="eastAsia"/>
          <w:sz w:val="32"/>
          <w:szCs w:val="32"/>
        </w:rPr>
        <w:t>万元，占4.41</w:t>
      </w:r>
      <w:r>
        <w:rPr>
          <w:rFonts w:ascii="仿宋" w:eastAsia="仿宋" w:hAnsi="仿宋"/>
          <w:sz w:val="32"/>
          <w:szCs w:val="32"/>
        </w:rPr>
        <w:t>%</w:t>
      </w:r>
      <w:r>
        <w:rPr>
          <w:rFonts w:ascii="仿宋" w:eastAsia="仿宋" w:hAnsi="仿宋" w:hint="eastAsia"/>
          <w:sz w:val="32"/>
          <w:szCs w:val="32"/>
        </w:rPr>
        <w:t>；公共安全支出7281.94万元，占85.05%</w:t>
      </w:r>
    </w:p>
    <w:p w14:paraId="72A7AF3D" w14:textId="77777777" w:rsidR="00062E74"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（图6：一般公共预算财政拨款支出决算结构）（饼状图）</w:t>
      </w:r>
    </w:p>
    <w:p w14:paraId="25FAA0A9" w14:textId="77777777" w:rsidR="00062E74" w:rsidRDefault="00000000">
      <w:pPr>
        <w:pStyle w:val="5"/>
        <w:outlineLvl w:val="9"/>
        <w:rPr>
          <w:rFonts w:ascii="仿宋" w:eastAsia="仿宋" w:hAnsi="仿宋" w:hint="eastAsia"/>
          <w:sz w:val="32"/>
          <w:szCs w:val="32"/>
        </w:rPr>
      </w:pPr>
      <w:r>
        <w:rPr>
          <w:rFonts w:eastAsia="仿宋" w:hint="eastAsia"/>
          <w:noProof/>
        </w:rPr>
        <w:lastRenderedPageBreak/>
        <w:drawing>
          <wp:inline distT="0" distB="0" distL="114300" distR="114300" wp14:anchorId="4D19C6D5" wp14:editId="70EDC19A">
            <wp:extent cx="3945255" cy="2667000"/>
            <wp:effectExtent l="4445" t="4445" r="12700"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F243A5" w14:textId="77777777" w:rsidR="00062E74" w:rsidRDefault="00000000">
      <w:pPr>
        <w:spacing w:line="600" w:lineRule="exact"/>
        <w:ind w:firstLineChars="200" w:firstLine="643"/>
        <w:outlineLvl w:val="2"/>
        <w:rPr>
          <w:rFonts w:ascii="仿宋" w:eastAsia="仿宋" w:hAnsi="仿宋" w:hint="eastAsia"/>
          <w:b/>
          <w:sz w:val="32"/>
          <w:szCs w:val="32"/>
        </w:rPr>
      </w:pPr>
      <w:bookmarkStart w:id="56" w:name="_Toc15377212"/>
      <w:r>
        <w:rPr>
          <w:rFonts w:ascii="仿宋" w:eastAsia="仿宋" w:hAnsi="仿宋" w:hint="eastAsia"/>
          <w:b/>
          <w:sz w:val="32"/>
          <w:szCs w:val="32"/>
        </w:rPr>
        <w:t>（三）一般公共预算财政拨款支出决算具体情况</w:t>
      </w:r>
      <w:bookmarkEnd w:id="56"/>
    </w:p>
    <w:p w14:paraId="5B19D905" w14:textId="77777777" w:rsidR="00062E74" w:rsidRDefault="00000000">
      <w:pPr>
        <w:spacing w:line="600" w:lineRule="exact"/>
        <w:ind w:firstLineChars="200" w:firstLine="643"/>
        <w:outlineLvl w:val="2"/>
        <w:rPr>
          <w:rFonts w:ascii="仿宋" w:eastAsia="仿宋" w:hAnsi="仿宋" w:hint="eastAsia"/>
          <w:sz w:val="32"/>
          <w:szCs w:val="32"/>
        </w:rPr>
      </w:pPr>
      <w:bookmarkStart w:id="57" w:name="_Toc15377213"/>
      <w:bookmarkStart w:id="58" w:name="_Toc15378460"/>
      <w:bookmarkStart w:id="59" w:name="_Toc15377444"/>
      <w:r>
        <w:rPr>
          <w:rFonts w:ascii="仿宋" w:eastAsia="仿宋" w:hAnsi="仿宋" w:hint="eastAsia"/>
          <w:b/>
          <w:sz w:val="32"/>
          <w:szCs w:val="32"/>
        </w:rPr>
        <w:t>2023年度一般公共预算支出决算数为</w:t>
      </w:r>
      <w:r>
        <w:rPr>
          <w:sz w:val="32"/>
          <w:szCs w:val="32"/>
        </w:rPr>
        <w:t>8562.42</w:t>
      </w:r>
      <w:r>
        <w:rPr>
          <w:rFonts w:ascii="仿宋" w:eastAsia="仿宋" w:hAnsi="仿宋" w:hint="eastAsia"/>
          <w:sz w:val="32"/>
          <w:szCs w:val="32"/>
        </w:rPr>
        <w:t>，</w:t>
      </w:r>
      <w:r>
        <w:rPr>
          <w:rStyle w:val="ae"/>
          <w:rFonts w:ascii="仿宋" w:eastAsia="仿宋" w:hAnsi="仿宋" w:hint="eastAsia"/>
          <w:bCs/>
          <w:sz w:val="32"/>
          <w:szCs w:val="32"/>
        </w:rPr>
        <w:t>完成预算</w:t>
      </w:r>
      <w:r>
        <w:rPr>
          <w:rStyle w:val="ae"/>
          <w:rFonts w:ascii="仿宋" w:eastAsia="仿宋" w:hAnsi="仿宋"/>
          <w:bCs/>
          <w:sz w:val="32"/>
          <w:szCs w:val="32"/>
        </w:rPr>
        <w:t>%</w:t>
      </w:r>
      <w:r>
        <w:rPr>
          <w:rStyle w:val="ae"/>
          <w:rFonts w:ascii="仿宋" w:eastAsia="仿宋" w:hAnsi="仿宋" w:hint="eastAsia"/>
          <w:bCs/>
          <w:sz w:val="32"/>
          <w:szCs w:val="32"/>
        </w:rPr>
        <w:t>。其中：</w:t>
      </w:r>
      <w:bookmarkEnd w:id="57"/>
      <w:bookmarkEnd w:id="58"/>
      <w:bookmarkEnd w:id="59"/>
    </w:p>
    <w:p w14:paraId="09A78AFB" w14:textId="77777777" w:rsidR="00062E74" w:rsidRDefault="00000000">
      <w:pPr>
        <w:numPr>
          <w:ilvl w:val="0"/>
          <w:numId w:val="3"/>
        </w:num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公共安全支出204</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支出决算为7281.94万元，完成预算85.05</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7B8B83D1" w14:textId="77777777" w:rsidR="00062E74" w:rsidRDefault="00000000">
      <w:pPr>
        <w:pStyle w:val="5"/>
        <w:ind w:firstLineChars="200" w:firstLine="640"/>
        <w:rPr>
          <w:rFonts w:ascii="仿宋" w:eastAsia="仿宋" w:hAnsi="仿宋" w:cs="仿宋" w:hint="eastAsia"/>
          <w:b w:val="0"/>
          <w:bCs/>
          <w:sz w:val="32"/>
          <w:szCs w:val="32"/>
        </w:rPr>
      </w:pPr>
      <w:r>
        <w:rPr>
          <w:rFonts w:ascii="仿宋" w:eastAsia="仿宋" w:hAnsi="仿宋" w:cs="仿宋" w:hint="eastAsia"/>
          <w:b w:val="0"/>
          <w:bCs/>
          <w:sz w:val="32"/>
          <w:szCs w:val="32"/>
        </w:rPr>
        <w:t>行政运行2040201：支出决算为5027.55万元，完成预算69.04%，决算数等于预算数。</w:t>
      </w:r>
    </w:p>
    <w:p w14:paraId="324CD174" w14:textId="00BB6E95" w:rsidR="00062E74" w:rsidRDefault="00000000">
      <w:pPr>
        <w:ind w:firstLineChars="200" w:firstLine="640"/>
        <w:rPr>
          <w:rFonts w:ascii="仿宋" w:eastAsia="仿宋" w:hAnsi="仿宋" w:cs="仿宋" w:hint="eastAsia"/>
          <w:bCs/>
          <w:sz w:val="32"/>
          <w:szCs w:val="32"/>
        </w:rPr>
      </w:pPr>
      <w:r>
        <w:rPr>
          <w:rFonts w:ascii="仿宋" w:eastAsia="仿宋" w:hAnsi="仿宋" w:cs="仿宋" w:hint="eastAsia"/>
          <w:bCs/>
          <w:sz w:val="32"/>
          <w:szCs w:val="32"/>
        </w:rPr>
        <w:t>一般行政管理事</w:t>
      </w:r>
      <w:r w:rsidR="009167F8">
        <w:rPr>
          <w:rFonts w:ascii="仿宋" w:eastAsia="仿宋" w:hAnsi="仿宋" w:cs="仿宋" w:hint="eastAsia"/>
          <w:bCs/>
          <w:sz w:val="32"/>
          <w:szCs w:val="32"/>
        </w:rPr>
        <w:t>务</w:t>
      </w:r>
      <w:r>
        <w:rPr>
          <w:rFonts w:ascii="仿宋" w:eastAsia="仿宋" w:hAnsi="仿宋" w:cs="仿宋" w:hint="eastAsia"/>
          <w:bCs/>
          <w:sz w:val="32"/>
          <w:szCs w:val="32"/>
        </w:rPr>
        <w:t>2040202：支出决算为1511.41万元，完成预算20.76%，决算数等于预算数。</w:t>
      </w:r>
    </w:p>
    <w:p w14:paraId="480C119A" w14:textId="77777777" w:rsidR="00062E74" w:rsidRDefault="00000000">
      <w:pPr>
        <w:pStyle w:val="5"/>
        <w:ind w:firstLineChars="200" w:firstLine="640"/>
        <w:rPr>
          <w:rFonts w:ascii="仿宋" w:eastAsia="仿宋" w:hAnsi="仿宋" w:cs="仿宋" w:hint="eastAsia"/>
          <w:b w:val="0"/>
          <w:bCs/>
          <w:sz w:val="32"/>
          <w:szCs w:val="32"/>
        </w:rPr>
      </w:pPr>
      <w:r>
        <w:rPr>
          <w:rFonts w:ascii="仿宋" w:eastAsia="仿宋" w:hAnsi="仿宋" w:cs="仿宋" w:hint="eastAsia"/>
          <w:b w:val="0"/>
          <w:bCs/>
          <w:sz w:val="32"/>
          <w:szCs w:val="32"/>
        </w:rPr>
        <w:t>信息化建设2040219：支出决算为491.23万元，完成预算6.75%，决算数等于预算数。</w:t>
      </w:r>
    </w:p>
    <w:p w14:paraId="120C1F35" w14:textId="77777777" w:rsidR="00062E74" w:rsidRDefault="00000000">
      <w:pPr>
        <w:ind w:firstLineChars="200" w:firstLine="640"/>
        <w:rPr>
          <w:rFonts w:ascii="仿宋" w:eastAsia="仿宋" w:hAnsi="仿宋" w:hint="eastAsia"/>
          <w:b/>
          <w:sz w:val="32"/>
          <w:szCs w:val="32"/>
        </w:rPr>
      </w:pPr>
      <w:r>
        <w:rPr>
          <w:rFonts w:ascii="仿宋" w:eastAsia="仿宋" w:hAnsi="仿宋" w:cs="仿宋" w:hint="eastAsia"/>
          <w:sz w:val="32"/>
          <w:szCs w:val="32"/>
        </w:rPr>
        <w:t>其他公安支出2040299</w:t>
      </w:r>
      <w:r>
        <w:rPr>
          <w:rFonts w:ascii="仿宋" w:eastAsia="仿宋" w:hAnsi="仿宋" w:cs="仿宋" w:hint="eastAsia"/>
          <w:bCs/>
          <w:sz w:val="32"/>
          <w:szCs w:val="32"/>
        </w:rPr>
        <w:t>：支出决算为251.74万元，完成预算3.46%，决算数等于预算数。</w:t>
      </w:r>
    </w:p>
    <w:p w14:paraId="7615FB0F" w14:textId="77777777" w:rsidR="00062E74" w:rsidRDefault="00000000">
      <w:p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lastRenderedPageBreak/>
        <w:t>2.社会保障和就业208</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支出决算为637.11万元，完成预算7.44</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444D613D" w14:textId="77777777" w:rsidR="00062E74" w:rsidRDefault="00000000">
      <w:pPr>
        <w:spacing w:line="600" w:lineRule="exact"/>
        <w:ind w:firstLineChars="200" w:firstLine="640"/>
        <w:rPr>
          <w:rStyle w:val="ae"/>
          <w:rFonts w:ascii="仿宋" w:eastAsia="仿宋" w:hAnsi="仿宋" w:hint="eastAsia"/>
          <w:b w:val="0"/>
          <w:bCs/>
          <w:sz w:val="32"/>
          <w:szCs w:val="32"/>
        </w:rPr>
      </w:pPr>
      <w:r>
        <w:rPr>
          <w:rFonts w:ascii="仿宋" w:eastAsia="仿宋" w:hAnsi="仿宋" w:cs="仿宋" w:hint="eastAsia"/>
          <w:sz w:val="32"/>
          <w:szCs w:val="32"/>
        </w:rPr>
        <w:t>机关事业单位基本养老保险缴费支出2080505</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支出决算为424.74万元，完成预算66.67</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6798457D" w14:textId="77777777" w:rsidR="00062E74" w:rsidRDefault="00000000">
      <w:pPr>
        <w:spacing w:line="600" w:lineRule="exact"/>
        <w:ind w:firstLineChars="200" w:firstLine="640"/>
        <w:rPr>
          <w:rFonts w:eastAsia="黑体"/>
        </w:rPr>
      </w:pPr>
      <w:r>
        <w:rPr>
          <w:rFonts w:ascii="仿宋" w:eastAsia="仿宋" w:hAnsi="仿宋" w:cs="仿宋" w:hint="eastAsia"/>
          <w:sz w:val="32"/>
          <w:szCs w:val="32"/>
        </w:rPr>
        <w:t>机关事业单位职业年金缴费支出2080506</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支出决算为212.37万元，完成预算33.33</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57AEAE91" w14:textId="77777777" w:rsidR="00062E74" w:rsidRDefault="00000000">
      <w:p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3.卫生健康210</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支出决算为266.14万元，完成预算3.11</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636BC891" w14:textId="77777777" w:rsidR="00062E74" w:rsidRDefault="00000000">
      <w:pPr>
        <w:spacing w:line="600" w:lineRule="exact"/>
        <w:ind w:firstLineChars="200" w:firstLine="640"/>
        <w:rPr>
          <w:rStyle w:val="ae"/>
          <w:rFonts w:ascii="仿宋" w:eastAsia="仿宋" w:hAnsi="仿宋" w:hint="eastAsia"/>
          <w:b w:val="0"/>
          <w:bCs/>
          <w:sz w:val="32"/>
          <w:szCs w:val="32"/>
        </w:rPr>
      </w:pPr>
      <w:r>
        <w:rPr>
          <w:rFonts w:ascii="仿宋" w:eastAsia="仿宋" w:hAnsi="仿宋" w:cs="仿宋" w:hint="eastAsia"/>
          <w:sz w:val="32"/>
          <w:szCs w:val="32"/>
        </w:rPr>
        <w:t>行政单位医疗2101101</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支出决算为221.35万元，完成预算83.17</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38FA3EFD" w14:textId="77777777" w:rsidR="00062E74" w:rsidRDefault="00000000">
      <w:pPr>
        <w:spacing w:line="600" w:lineRule="exact"/>
        <w:ind w:firstLineChars="200" w:firstLine="640"/>
        <w:rPr>
          <w:rStyle w:val="ae"/>
          <w:rFonts w:ascii="仿宋" w:eastAsia="仿宋" w:hAnsi="仿宋" w:hint="eastAsia"/>
          <w:b w:val="0"/>
          <w:bCs/>
          <w:sz w:val="32"/>
          <w:szCs w:val="32"/>
        </w:rPr>
      </w:pPr>
      <w:r>
        <w:rPr>
          <w:rFonts w:ascii="仿宋" w:eastAsia="仿宋" w:hAnsi="仿宋" w:cs="仿宋" w:hint="eastAsia"/>
          <w:sz w:val="32"/>
          <w:szCs w:val="32"/>
        </w:rPr>
        <w:t xml:space="preserve"> 公务员医疗补助2101103</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支出决算为44.79万元，完成预算16.83</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734F415B" w14:textId="77777777" w:rsidR="00062E74" w:rsidRDefault="00000000">
      <w:p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4.住房保障支出221</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支出决算为377.23万元，完成预算4.41</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428B2AE8" w14:textId="77777777" w:rsidR="00062E74" w:rsidRDefault="00000000">
      <w:pPr>
        <w:spacing w:line="600" w:lineRule="exact"/>
        <w:ind w:firstLineChars="200" w:firstLine="643"/>
        <w:rPr>
          <w:rFonts w:ascii="仿宋" w:eastAsia="仿宋" w:hAnsi="仿宋" w:hint="eastAsia"/>
          <w:b/>
          <w:sz w:val="32"/>
          <w:szCs w:val="32"/>
        </w:rPr>
      </w:pPr>
      <w:r>
        <w:rPr>
          <w:rStyle w:val="ae"/>
          <w:rFonts w:ascii="仿宋" w:eastAsia="仿宋" w:hAnsi="仿宋" w:hint="eastAsia"/>
          <w:bCs/>
          <w:sz w:val="32"/>
          <w:szCs w:val="32"/>
        </w:rPr>
        <w:t>5.住房公积金2210201</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支出决算为377.23万元，完成预算100</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6FF9E104" w14:textId="77777777" w:rsidR="00062E74" w:rsidRDefault="00000000">
      <w:pPr>
        <w:tabs>
          <w:tab w:val="right" w:pos="8306"/>
        </w:tabs>
        <w:spacing w:line="600" w:lineRule="exact"/>
        <w:ind w:firstLine="640"/>
        <w:outlineLvl w:val="1"/>
        <w:rPr>
          <w:rStyle w:val="21"/>
        </w:rPr>
      </w:pPr>
      <w:bookmarkStart w:id="60" w:name="_Toc15396608"/>
      <w:bookmarkStart w:id="61" w:name="_Toc15377214"/>
      <w:bookmarkStart w:id="62" w:name="_Toc20754"/>
      <w:bookmarkStart w:id="63" w:name="_Toc20783"/>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1"/>
          <w:rFonts w:ascii="黑体" w:eastAsia="黑体" w:hAnsi="黑体" w:hint="eastAsia"/>
          <w:b w:val="0"/>
        </w:rPr>
        <w:t>般公共预算财政拨款基本支出决算情况说明</w:t>
      </w:r>
      <w:bookmarkEnd w:id="60"/>
      <w:bookmarkEnd w:id="61"/>
      <w:bookmarkEnd w:id="62"/>
      <w:bookmarkEnd w:id="63"/>
      <w:r>
        <w:rPr>
          <w:rStyle w:val="21"/>
          <w:rFonts w:ascii="黑体" w:eastAsia="黑体" w:hAnsi="黑体"/>
          <w:b w:val="0"/>
        </w:rPr>
        <w:tab/>
      </w:r>
    </w:p>
    <w:p w14:paraId="603A5561" w14:textId="77777777" w:rsidR="00062E74" w:rsidRDefault="00000000">
      <w:pPr>
        <w:spacing w:line="600" w:lineRule="exact"/>
        <w:ind w:firstLine="645"/>
        <w:rPr>
          <w:rFonts w:ascii="仿宋" w:eastAsia="仿宋" w:hAnsi="仿宋" w:hint="eastAsia"/>
          <w:sz w:val="32"/>
          <w:szCs w:val="32"/>
        </w:rPr>
      </w:pPr>
      <w:r>
        <w:rPr>
          <w:rFonts w:ascii="仿宋" w:eastAsia="仿宋" w:hAnsi="仿宋" w:hint="eastAsia"/>
          <w:sz w:val="32"/>
          <w:szCs w:val="32"/>
        </w:rPr>
        <w:t>2023年度一般公共预算财政拨款基本支出</w:t>
      </w:r>
      <w:r>
        <w:rPr>
          <w:sz w:val="32"/>
          <w:szCs w:val="32"/>
        </w:rPr>
        <w:t>6308.04</w:t>
      </w:r>
      <w:r>
        <w:rPr>
          <w:rFonts w:ascii="仿宋" w:eastAsia="仿宋" w:hAnsi="仿宋" w:hint="eastAsia"/>
          <w:sz w:val="32"/>
          <w:szCs w:val="32"/>
        </w:rPr>
        <w:t>万元，其中：</w:t>
      </w:r>
    </w:p>
    <w:p w14:paraId="38EA5F0D" w14:textId="77777777" w:rsidR="00062E74" w:rsidRDefault="00000000">
      <w:pPr>
        <w:spacing w:line="600" w:lineRule="exact"/>
        <w:ind w:firstLine="645"/>
        <w:rPr>
          <w:rFonts w:ascii="仿宋" w:eastAsia="仿宋" w:hAnsi="仿宋" w:hint="eastAsia"/>
          <w:sz w:val="32"/>
          <w:szCs w:val="32"/>
        </w:rPr>
      </w:pPr>
      <w:r>
        <w:rPr>
          <w:rFonts w:ascii="仿宋" w:eastAsia="仿宋" w:hAnsi="仿宋" w:hint="eastAsia"/>
          <w:sz w:val="32"/>
          <w:szCs w:val="32"/>
        </w:rPr>
        <w:t>人员经费</w:t>
      </w:r>
      <w:r>
        <w:rPr>
          <w:sz w:val="32"/>
          <w:szCs w:val="32"/>
        </w:rPr>
        <w:t>5867.13</w:t>
      </w:r>
      <w:r>
        <w:rPr>
          <w:rFonts w:ascii="仿宋" w:eastAsia="仿宋" w:hAnsi="仿宋" w:hint="eastAsia"/>
          <w:sz w:val="32"/>
          <w:szCs w:val="32"/>
        </w:rPr>
        <w:t>万元，主要包括：基本工资732.24万元、津贴补贴2008.96万元、奖金1063.86万元、伙食补助费0万元、绩效工资0万元、机关事业单位基本养老保险缴费424.75万元、职业年金缴费212.37万元、其他社会保障</w:t>
      </w:r>
      <w:r>
        <w:rPr>
          <w:rFonts w:ascii="仿宋" w:eastAsia="仿宋" w:hAnsi="仿宋" w:hint="eastAsia"/>
          <w:sz w:val="32"/>
          <w:szCs w:val="32"/>
        </w:rPr>
        <w:lastRenderedPageBreak/>
        <w:t>缴费270.64万元、其他工资福利支出594.97万元、离休费0万元、退休费0万元、抚恤金0万元、生活补助118.10万元、医疗费补助64.01万元、奖励金0万元、住房公积金377.23万元、其他对个人和家庭的补助支出等。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Pr>
          <w:sz w:val="32"/>
          <w:szCs w:val="32"/>
        </w:rPr>
        <w:t>440.91</w:t>
      </w:r>
      <w:r>
        <w:rPr>
          <w:rFonts w:ascii="仿宋" w:eastAsia="仿宋" w:hAnsi="仿宋" w:hint="eastAsia"/>
          <w:sz w:val="32"/>
          <w:szCs w:val="32"/>
        </w:rPr>
        <w:t>万元，主要包括：办公费70.23万元、印刷费22.71万元、咨询费0万元、手续费0.04万元、水费3.99万元、电费68.86万元、邮电费12.83万元、取暖费50.50万元、物业管理费0万元、差旅费0万元、因公出国（境）费用0万元、维修（护）费21.45万元、租赁费0万元、会议费0.62万元、培训费0万元、公务接待费0.45万元、劳务费1.75万元、委托业务费0.38万元、工会经费38.85万元、福利费109.81万元、公务用车运行维护费0.65万元、其他交通费0万元、税金及附加费用0万元、其他商品和服务支出20.68万元、办公设备购置17.11万元、专用设备购置0万元、信息网络及软件购置更新0万元、其他资本性支出等。</w:t>
      </w:r>
    </w:p>
    <w:p w14:paraId="124D5662" w14:textId="77777777" w:rsidR="00062E74" w:rsidRDefault="00000000">
      <w:pPr>
        <w:spacing w:line="600" w:lineRule="exact"/>
        <w:ind w:firstLine="640"/>
        <w:outlineLvl w:val="1"/>
        <w:rPr>
          <w:rStyle w:val="21"/>
          <w:rFonts w:ascii="黑体" w:eastAsia="黑体" w:hAnsi="黑体" w:hint="eastAsia"/>
          <w:b w:val="0"/>
        </w:rPr>
      </w:pPr>
      <w:bookmarkStart w:id="64" w:name="_Toc15377215"/>
      <w:bookmarkStart w:id="65" w:name="_Toc15396609"/>
      <w:bookmarkStart w:id="66" w:name="_Toc30415"/>
      <w:bookmarkStart w:id="67" w:name="_Toc4568"/>
      <w:r>
        <w:rPr>
          <w:rFonts w:ascii="黑体" w:eastAsia="黑体" w:hint="eastAsia"/>
          <w:sz w:val="32"/>
          <w:szCs w:val="32"/>
        </w:rPr>
        <w:t>七、</w:t>
      </w:r>
      <w:r>
        <w:rPr>
          <w:rStyle w:val="21"/>
          <w:rFonts w:ascii="黑体" w:eastAsia="黑体" w:hAnsi="黑体" w:hint="eastAsia"/>
          <w:b w:val="0"/>
        </w:rPr>
        <w:t>财政拨款</w:t>
      </w:r>
      <w:r>
        <w:rPr>
          <w:rStyle w:val="21"/>
          <w:rFonts w:ascii="黑体" w:eastAsia="黑体" w:hAnsi="黑体" w:hint="eastAsia"/>
        </w:rPr>
        <w:t>“</w:t>
      </w:r>
      <w:r>
        <w:rPr>
          <w:rStyle w:val="21"/>
          <w:rFonts w:ascii="黑体" w:eastAsia="黑体" w:hAnsi="黑体" w:hint="eastAsia"/>
          <w:b w:val="0"/>
        </w:rPr>
        <w:t>三公”经费支出决算情况说明</w:t>
      </w:r>
      <w:bookmarkEnd w:id="64"/>
      <w:bookmarkEnd w:id="65"/>
      <w:bookmarkEnd w:id="66"/>
      <w:bookmarkEnd w:id="67"/>
    </w:p>
    <w:p w14:paraId="3BF7AD37" w14:textId="77777777" w:rsidR="00062E74" w:rsidRDefault="00000000">
      <w:pPr>
        <w:spacing w:line="600" w:lineRule="exact"/>
        <w:ind w:firstLine="640"/>
        <w:outlineLvl w:val="2"/>
        <w:rPr>
          <w:rFonts w:ascii="仿宋" w:eastAsia="仿宋" w:hAnsi="仿宋" w:hint="eastAsia"/>
          <w:b/>
          <w:sz w:val="32"/>
          <w:szCs w:val="32"/>
        </w:rPr>
      </w:pPr>
      <w:bookmarkStart w:id="68" w:name="_Toc15377216"/>
      <w:r>
        <w:rPr>
          <w:rFonts w:ascii="仿宋" w:eastAsia="仿宋" w:hAnsi="仿宋" w:hint="eastAsia"/>
          <w:b/>
          <w:sz w:val="32"/>
          <w:szCs w:val="32"/>
        </w:rPr>
        <w:t>（一）“三公”经费财政拨款支出决算总体情况说明</w:t>
      </w:r>
      <w:bookmarkEnd w:id="68"/>
    </w:p>
    <w:p w14:paraId="27BCF8FD" w14:textId="77777777" w:rsidR="00062E74" w:rsidRDefault="00000000">
      <w:pPr>
        <w:spacing w:line="600" w:lineRule="exact"/>
        <w:ind w:firstLine="640"/>
        <w:rPr>
          <w:rFonts w:ascii="仿宋" w:eastAsia="仿宋" w:hAnsi="仿宋" w:hint="eastAsia"/>
          <w:b/>
          <w:sz w:val="32"/>
          <w:szCs w:val="32"/>
        </w:rPr>
      </w:pPr>
      <w:r>
        <w:rPr>
          <w:rFonts w:ascii="仿宋" w:eastAsia="仿宋" w:hAnsi="仿宋" w:hint="eastAsia"/>
          <w:sz w:val="32"/>
          <w:szCs w:val="32"/>
        </w:rPr>
        <w:t>2023年度“三公”经费财政拨款支出决算为</w:t>
      </w:r>
      <w:r>
        <w:rPr>
          <w:sz w:val="32"/>
          <w:szCs w:val="32"/>
        </w:rPr>
        <w:t>191.25</w:t>
      </w:r>
      <w:r>
        <w:rPr>
          <w:rFonts w:ascii="仿宋" w:eastAsia="仿宋" w:hAnsi="仿宋" w:hint="eastAsia"/>
          <w:sz w:val="32"/>
          <w:szCs w:val="32"/>
        </w:rPr>
        <w:t>万元，完成预算</w:t>
      </w:r>
      <w:r>
        <w:rPr>
          <w:sz w:val="32"/>
          <w:szCs w:val="32"/>
        </w:rPr>
        <w:t>97.38</w:t>
      </w:r>
      <w:r>
        <w:rPr>
          <w:rFonts w:ascii="仿宋" w:eastAsia="仿宋" w:hAnsi="仿宋"/>
          <w:sz w:val="32"/>
          <w:szCs w:val="32"/>
        </w:rPr>
        <w:t>%</w:t>
      </w:r>
      <w:r>
        <w:rPr>
          <w:rFonts w:ascii="仿宋" w:eastAsia="仿宋" w:hAnsi="仿宋" w:hint="eastAsia"/>
          <w:sz w:val="32"/>
          <w:szCs w:val="32"/>
        </w:rPr>
        <w:t>，较上年度增加36.08万元，增长23.25%。决算数小于预算数（或与预算数持平）的主要原因是车辆老旧维修费用攀升，巡逻、保安等业务活动加油较多。</w:t>
      </w:r>
    </w:p>
    <w:p w14:paraId="17A8CBDE" w14:textId="77777777" w:rsidR="00062E74" w:rsidRDefault="00000000">
      <w:pPr>
        <w:spacing w:line="600" w:lineRule="exact"/>
        <w:ind w:firstLine="640"/>
        <w:outlineLvl w:val="2"/>
        <w:rPr>
          <w:rFonts w:ascii="仿宋" w:eastAsia="仿宋" w:hAnsi="仿宋" w:hint="eastAsia"/>
          <w:b/>
          <w:sz w:val="32"/>
          <w:szCs w:val="32"/>
        </w:rPr>
      </w:pPr>
      <w:bookmarkStart w:id="69" w:name="_Toc15377217"/>
      <w:r>
        <w:rPr>
          <w:rFonts w:ascii="仿宋" w:eastAsia="仿宋" w:hAnsi="仿宋" w:hint="eastAsia"/>
          <w:b/>
          <w:sz w:val="32"/>
          <w:szCs w:val="32"/>
        </w:rPr>
        <w:t>（二）“三公”经费财政拨款支出决算具体情况说明</w:t>
      </w:r>
      <w:bookmarkEnd w:id="69"/>
    </w:p>
    <w:p w14:paraId="41A1C1D7" w14:textId="77777777" w:rsidR="00062E74"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lastRenderedPageBreak/>
        <w:t>2023年度“三公”经费财政拨款支出决算中，因公出国（境）费支出决算</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；公务用车购置及运行维护费支出决算</w:t>
      </w:r>
      <w:r>
        <w:rPr>
          <w:sz w:val="32"/>
          <w:szCs w:val="32"/>
        </w:rPr>
        <w:t>190.79</w:t>
      </w:r>
      <w:r>
        <w:rPr>
          <w:rFonts w:ascii="仿宋" w:eastAsia="仿宋" w:hAnsi="仿宋" w:hint="eastAsia"/>
          <w:sz w:val="32"/>
          <w:szCs w:val="32"/>
        </w:rPr>
        <w:t>万元，占</w:t>
      </w:r>
      <w:r>
        <w:rPr>
          <w:sz w:val="32"/>
          <w:szCs w:val="32"/>
        </w:rPr>
        <w:t>99.76</w:t>
      </w:r>
      <w:r>
        <w:rPr>
          <w:rFonts w:ascii="仿宋" w:eastAsia="仿宋" w:hAnsi="仿宋"/>
          <w:sz w:val="32"/>
          <w:szCs w:val="32"/>
        </w:rPr>
        <w:t>%</w:t>
      </w:r>
      <w:r>
        <w:rPr>
          <w:rFonts w:ascii="仿宋" w:eastAsia="仿宋" w:hAnsi="仿宋" w:hint="eastAsia"/>
          <w:sz w:val="32"/>
          <w:szCs w:val="32"/>
        </w:rPr>
        <w:t>；公务接待费支出决算</w:t>
      </w:r>
      <w:r>
        <w:rPr>
          <w:sz w:val="32"/>
          <w:szCs w:val="32"/>
        </w:rPr>
        <w:t>0.45</w:t>
      </w:r>
      <w:r>
        <w:rPr>
          <w:rFonts w:ascii="仿宋" w:eastAsia="仿宋" w:hAnsi="仿宋" w:hint="eastAsia"/>
          <w:sz w:val="32"/>
          <w:szCs w:val="32"/>
        </w:rPr>
        <w:t>万元，占</w:t>
      </w:r>
      <w:r>
        <w:rPr>
          <w:sz w:val="32"/>
          <w:szCs w:val="32"/>
        </w:rPr>
        <w:t>0.23</w:t>
      </w:r>
      <w:r>
        <w:rPr>
          <w:rFonts w:ascii="仿宋" w:eastAsia="仿宋" w:hAnsi="仿宋"/>
          <w:sz w:val="32"/>
          <w:szCs w:val="32"/>
        </w:rPr>
        <w:t>%</w:t>
      </w:r>
      <w:r>
        <w:rPr>
          <w:rFonts w:ascii="仿宋" w:eastAsia="仿宋" w:hAnsi="仿宋" w:hint="eastAsia"/>
          <w:sz w:val="32"/>
          <w:szCs w:val="32"/>
        </w:rPr>
        <w:t>。具体情况如下：</w:t>
      </w:r>
    </w:p>
    <w:p w14:paraId="759625CD" w14:textId="77777777" w:rsidR="00062E74"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（图7：“三公”经费财政拨款支出结构）（饼状图）</w:t>
      </w:r>
    </w:p>
    <w:p w14:paraId="1C351B5E" w14:textId="77777777" w:rsidR="00062E74" w:rsidRDefault="00000000">
      <w:pPr>
        <w:pStyle w:val="5"/>
        <w:outlineLvl w:val="9"/>
        <w:rPr>
          <w:rFonts w:eastAsia="仿宋"/>
        </w:rPr>
      </w:pPr>
      <w:r>
        <w:rPr>
          <w:rFonts w:eastAsia="仿宋" w:hint="eastAsia"/>
          <w:noProof/>
        </w:rPr>
        <w:drawing>
          <wp:inline distT="0" distB="0" distL="114300" distR="114300" wp14:anchorId="6C29242F" wp14:editId="015E0701">
            <wp:extent cx="2346960" cy="2346325"/>
            <wp:effectExtent l="4445" t="4445" r="10795" b="1143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679C39" w14:textId="77777777" w:rsidR="00062E74" w:rsidRDefault="00000000">
      <w:pPr>
        <w:spacing w:line="600" w:lineRule="exact"/>
        <w:ind w:firstLine="640"/>
        <w:rPr>
          <w:rFonts w:ascii="仿宋_GB2312" w:eastAsia="仿宋_GB2312"/>
          <w:b/>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sz w:val="32"/>
          <w:szCs w:val="32"/>
        </w:rPr>
        <w:t>0</w:t>
      </w:r>
      <w:r>
        <w:rPr>
          <w:rFonts w:ascii="仿宋_GB2312" w:eastAsia="仿宋_GB2312" w:hint="eastAsia"/>
          <w:sz w:val="32"/>
          <w:szCs w:val="32"/>
        </w:rPr>
        <w:t>万元，</w:t>
      </w:r>
      <w:r>
        <w:rPr>
          <w:rStyle w:val="ae"/>
          <w:rFonts w:ascii="仿宋" w:eastAsia="仿宋" w:hAnsi="仿宋" w:hint="eastAsia"/>
          <w:b w:val="0"/>
          <w:bCs/>
          <w:sz w:val="32"/>
          <w:szCs w:val="32"/>
        </w:rPr>
        <w:t>完成预算</w:t>
      </w:r>
      <w:r>
        <w:rPr>
          <w:sz w:val="32"/>
          <w:szCs w:val="32"/>
        </w:rPr>
        <w:t>0</w:t>
      </w:r>
      <w:r>
        <w:rPr>
          <w:rStyle w:val="ae"/>
          <w:rFonts w:ascii="仿宋" w:eastAsia="仿宋" w:hAnsi="仿宋"/>
          <w:b w:val="0"/>
          <w:bCs/>
          <w:sz w:val="32"/>
          <w:szCs w:val="32"/>
        </w:rPr>
        <w:t>%</w:t>
      </w:r>
      <w:r>
        <w:rPr>
          <w:rStyle w:val="ae"/>
          <w:rFonts w:ascii="仿宋" w:eastAsia="仿宋" w:hAnsi="仿宋" w:hint="eastAsia"/>
          <w:b w:val="0"/>
          <w:bCs/>
          <w:sz w:val="32"/>
          <w:szCs w:val="32"/>
        </w:rPr>
        <w:t>。</w:t>
      </w:r>
      <w:r>
        <w:rPr>
          <w:rFonts w:ascii="仿宋_GB2312" w:eastAsia="仿宋_GB2312" w:hint="eastAsia"/>
          <w:sz w:val="32"/>
          <w:szCs w:val="32"/>
        </w:rPr>
        <w:t>全年安排因公出国（境）团组</w:t>
      </w:r>
      <w:r>
        <w:rPr>
          <w:sz w:val="32"/>
          <w:szCs w:val="32"/>
        </w:rPr>
        <w:t>0</w:t>
      </w:r>
      <w:r>
        <w:rPr>
          <w:rFonts w:ascii="仿宋_GB2312" w:eastAsia="仿宋_GB2312" w:hint="eastAsia"/>
          <w:sz w:val="32"/>
          <w:szCs w:val="32"/>
        </w:rPr>
        <w:t>次，出国（境）</w:t>
      </w:r>
      <w:r>
        <w:rPr>
          <w:sz w:val="32"/>
          <w:szCs w:val="32"/>
        </w:rPr>
        <w:t>0</w:t>
      </w:r>
      <w:r>
        <w:rPr>
          <w:rFonts w:ascii="仿宋_GB2312" w:eastAsia="仿宋_GB2312" w:hint="eastAsia"/>
          <w:sz w:val="32"/>
          <w:szCs w:val="32"/>
        </w:rPr>
        <w:t>人。因公出国（境）支出决算比2022年增加</w:t>
      </w:r>
      <w:r>
        <w:rPr>
          <w:rFonts w:ascii="仿宋_GB2312" w:eastAsia="仿宋_GB2312"/>
          <w:sz w:val="32"/>
          <w:szCs w:val="32"/>
        </w:rPr>
        <w:t>/</w:t>
      </w:r>
      <w:r>
        <w:rPr>
          <w:rFonts w:ascii="仿宋_GB2312" w:eastAsia="仿宋_GB2312" w:hint="eastAsia"/>
          <w:sz w:val="32"/>
          <w:szCs w:val="32"/>
        </w:rPr>
        <w:t>减少0万元，增长</w:t>
      </w:r>
      <w:r>
        <w:rPr>
          <w:rFonts w:ascii="仿宋_GB2312" w:eastAsia="仿宋_GB2312"/>
          <w:sz w:val="32"/>
          <w:szCs w:val="32"/>
        </w:rPr>
        <w:t>/</w:t>
      </w:r>
      <w:r>
        <w:rPr>
          <w:rFonts w:ascii="仿宋_GB2312" w:eastAsia="仿宋_GB2312" w:hint="eastAsia"/>
          <w:sz w:val="32"/>
          <w:szCs w:val="32"/>
        </w:rPr>
        <w:t>下降0</w:t>
      </w:r>
      <w:r>
        <w:rPr>
          <w:rFonts w:ascii="仿宋_GB2312" w:eastAsia="仿宋_GB2312"/>
          <w:sz w:val="32"/>
          <w:szCs w:val="32"/>
        </w:rPr>
        <w:t>%</w:t>
      </w:r>
      <w:r>
        <w:rPr>
          <w:rFonts w:ascii="仿宋_GB2312" w:eastAsia="仿宋_GB2312" w:hint="eastAsia"/>
          <w:sz w:val="32"/>
          <w:szCs w:val="32"/>
        </w:rPr>
        <w:t>。</w:t>
      </w:r>
    </w:p>
    <w:p w14:paraId="6DE0FD96" w14:textId="77777777" w:rsidR="00062E74" w:rsidRDefault="00000000">
      <w:pPr>
        <w:spacing w:line="60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sz w:val="32"/>
          <w:szCs w:val="32"/>
        </w:rPr>
        <w:t>190.79</w:t>
      </w:r>
      <w:r>
        <w:rPr>
          <w:rFonts w:ascii="仿宋_GB2312" w:eastAsia="仿宋_GB2312" w:hint="eastAsia"/>
          <w:sz w:val="32"/>
          <w:szCs w:val="32"/>
        </w:rPr>
        <w:t>万元,</w:t>
      </w:r>
      <w:r>
        <w:rPr>
          <w:rStyle w:val="ae"/>
          <w:rFonts w:ascii="仿宋" w:eastAsia="仿宋" w:hAnsi="仿宋" w:hint="eastAsia"/>
          <w:b w:val="0"/>
          <w:bCs/>
          <w:sz w:val="32"/>
          <w:szCs w:val="32"/>
        </w:rPr>
        <w:t>完成预算</w:t>
      </w:r>
      <w:r>
        <w:rPr>
          <w:sz w:val="32"/>
          <w:szCs w:val="32"/>
        </w:rPr>
        <w:t>97.37</w:t>
      </w:r>
      <w:r>
        <w:rPr>
          <w:rStyle w:val="ae"/>
          <w:rFonts w:ascii="仿宋" w:eastAsia="仿宋" w:hAnsi="仿宋"/>
          <w:b w:val="0"/>
          <w:bCs/>
          <w:sz w:val="32"/>
          <w:szCs w:val="32"/>
        </w:rPr>
        <w:t>%</w:t>
      </w:r>
      <w:r>
        <w:rPr>
          <w:rStyle w:val="ae"/>
          <w:rFonts w:ascii="仿宋" w:eastAsia="仿宋" w:hAnsi="仿宋" w:hint="eastAsia"/>
          <w:b w:val="0"/>
          <w:bCs/>
          <w:sz w:val="32"/>
          <w:szCs w:val="32"/>
        </w:rPr>
        <w:t>。</w:t>
      </w:r>
      <w:r>
        <w:rPr>
          <w:rFonts w:ascii="仿宋_GB2312" w:eastAsia="仿宋_GB2312" w:hint="eastAsia"/>
          <w:sz w:val="32"/>
          <w:szCs w:val="32"/>
        </w:rPr>
        <w:t>公务用车购置及运行维护费支出决算比2022年度增加35.91万元，增长23.19</w:t>
      </w:r>
      <w:r>
        <w:rPr>
          <w:rFonts w:ascii="仿宋_GB2312" w:eastAsia="仿宋_GB2312"/>
          <w:sz w:val="32"/>
          <w:szCs w:val="32"/>
        </w:rPr>
        <w:t>%</w:t>
      </w:r>
      <w:r>
        <w:rPr>
          <w:rFonts w:ascii="仿宋_GB2312" w:eastAsia="仿宋_GB2312" w:hint="eastAsia"/>
          <w:sz w:val="32"/>
          <w:szCs w:val="32"/>
        </w:rPr>
        <w:t>。主要原因是</w:t>
      </w:r>
      <w:r>
        <w:rPr>
          <w:rFonts w:ascii="仿宋" w:eastAsia="仿宋" w:hAnsi="仿宋" w:hint="eastAsia"/>
          <w:sz w:val="32"/>
          <w:szCs w:val="32"/>
        </w:rPr>
        <w:t>车辆老旧维修费用攀升，巡逻、保安等业务活动加油较多。</w:t>
      </w:r>
    </w:p>
    <w:p w14:paraId="6B6D5D40" w14:textId="77777777" w:rsidR="00062E74" w:rsidRDefault="00000000">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sz w:val="32"/>
          <w:szCs w:val="32"/>
        </w:rPr>
        <w:t>0</w:t>
      </w:r>
      <w:r>
        <w:rPr>
          <w:rFonts w:ascii="仿宋_GB2312" w:eastAsia="仿宋_GB2312" w:hint="eastAsia"/>
          <w:sz w:val="32"/>
          <w:szCs w:val="32"/>
        </w:rPr>
        <w:t>万元。全年按规定更新购置公务用车0辆，其中：轿车0辆、金额0万元，越野车0辆、金额0万元，载客汽车0辆、金额0万元。截至2023年</w:t>
      </w:r>
      <w:r>
        <w:rPr>
          <w:rFonts w:ascii="仿宋_GB2312" w:eastAsia="仿宋_GB2312"/>
          <w:sz w:val="32"/>
          <w:szCs w:val="32"/>
        </w:rPr>
        <w:t>12</w:t>
      </w:r>
      <w:r>
        <w:rPr>
          <w:rFonts w:ascii="仿宋_GB2312" w:eastAsia="仿宋_GB2312" w:hint="eastAsia"/>
          <w:sz w:val="32"/>
          <w:szCs w:val="32"/>
        </w:rPr>
        <w:t>月31日，单位共有公务用车60辆，其中：轿车36辆、越</w:t>
      </w:r>
      <w:r>
        <w:rPr>
          <w:rFonts w:ascii="仿宋_GB2312" w:eastAsia="仿宋_GB2312" w:hint="eastAsia"/>
          <w:sz w:val="32"/>
          <w:szCs w:val="32"/>
        </w:rPr>
        <w:lastRenderedPageBreak/>
        <w:t>野车17辆、小型客车5辆、中型客车和大型客车1辆、其他车型1辆。</w:t>
      </w:r>
    </w:p>
    <w:p w14:paraId="5D9F4088" w14:textId="77777777" w:rsidR="00062E74" w:rsidRDefault="00000000">
      <w:pPr>
        <w:spacing w:line="600" w:lineRule="exact"/>
        <w:ind w:firstLine="640"/>
        <w:rPr>
          <w:rFonts w:ascii="仿宋_GB2312" w:eastAsia="仿宋_GB2312"/>
          <w:sz w:val="32"/>
          <w:szCs w:val="32"/>
        </w:rPr>
      </w:pPr>
      <w:r>
        <w:rPr>
          <w:rFonts w:ascii="仿宋_GB2312" w:eastAsia="仿宋_GB2312" w:hint="eastAsia"/>
          <w:b/>
          <w:sz w:val="32"/>
          <w:szCs w:val="32"/>
        </w:rPr>
        <w:t>公务用车运行维护费支出</w:t>
      </w:r>
      <w:r>
        <w:rPr>
          <w:sz w:val="32"/>
          <w:szCs w:val="32"/>
        </w:rPr>
        <w:t>190.79</w:t>
      </w:r>
      <w:r>
        <w:rPr>
          <w:rFonts w:ascii="仿宋_GB2312" w:eastAsia="仿宋_GB2312" w:hint="eastAsia"/>
          <w:sz w:val="32"/>
          <w:szCs w:val="32"/>
        </w:rPr>
        <w:t>万元。主要用于燃料费、维修费等支出。（具体工作）等所需的公务用车燃料费、维修费、过路过桥费、保险费等支出。</w:t>
      </w:r>
    </w:p>
    <w:p w14:paraId="417B8AFB" w14:textId="77777777" w:rsidR="00062E74" w:rsidRDefault="00000000">
      <w:pPr>
        <w:spacing w:line="60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Pr>
          <w:sz w:val="32"/>
          <w:szCs w:val="32"/>
        </w:rPr>
        <w:t>0.45</w:t>
      </w:r>
      <w:r>
        <w:rPr>
          <w:rFonts w:ascii="仿宋_GB2312" w:eastAsia="仿宋_GB2312" w:hint="eastAsia"/>
          <w:sz w:val="32"/>
          <w:szCs w:val="32"/>
        </w:rPr>
        <w:t>万元，</w:t>
      </w:r>
      <w:r>
        <w:rPr>
          <w:rStyle w:val="ae"/>
          <w:rFonts w:ascii="仿宋" w:eastAsia="仿宋" w:hAnsi="仿宋" w:hint="eastAsia"/>
          <w:b w:val="0"/>
          <w:bCs/>
          <w:sz w:val="32"/>
          <w:szCs w:val="32"/>
        </w:rPr>
        <w:t>完成预算</w:t>
      </w:r>
      <w:r>
        <w:rPr>
          <w:sz w:val="32"/>
          <w:szCs w:val="32"/>
        </w:rPr>
        <w:t>100%</w:t>
      </w:r>
      <w:r>
        <w:rPr>
          <w:rStyle w:val="ae"/>
          <w:rFonts w:ascii="仿宋" w:eastAsia="仿宋" w:hAnsi="仿宋" w:hint="eastAsia"/>
          <w:b w:val="0"/>
          <w:bCs/>
          <w:sz w:val="32"/>
          <w:szCs w:val="32"/>
        </w:rPr>
        <w:t>。</w:t>
      </w:r>
      <w:r>
        <w:rPr>
          <w:rFonts w:ascii="仿宋_GB2312" w:eastAsia="仿宋_GB2312" w:hint="eastAsia"/>
          <w:sz w:val="32"/>
          <w:szCs w:val="32"/>
        </w:rPr>
        <w:t>公务接待费支出决算比2022年度增加0.17万元，增长58.62</w:t>
      </w:r>
      <w:r>
        <w:rPr>
          <w:rFonts w:ascii="仿宋_GB2312" w:eastAsia="仿宋_GB2312"/>
          <w:sz w:val="32"/>
          <w:szCs w:val="32"/>
        </w:rPr>
        <w:t>%</w:t>
      </w:r>
      <w:r>
        <w:rPr>
          <w:rFonts w:ascii="仿宋_GB2312" w:eastAsia="仿宋_GB2312" w:hint="eastAsia"/>
          <w:sz w:val="32"/>
          <w:szCs w:val="32"/>
        </w:rPr>
        <w:t>。主要原因是接待人次较多。其中：</w:t>
      </w:r>
    </w:p>
    <w:p w14:paraId="3B8F9667" w14:textId="77777777" w:rsidR="00062E74" w:rsidRDefault="00000000">
      <w:pPr>
        <w:spacing w:line="600" w:lineRule="exact"/>
        <w:ind w:firstLine="640"/>
        <w:rPr>
          <w:rFonts w:ascii="仿宋_GB2312" w:eastAsia="仿宋_GB2312"/>
          <w:sz w:val="32"/>
          <w:szCs w:val="32"/>
        </w:rPr>
      </w:pPr>
      <w:r>
        <w:rPr>
          <w:rFonts w:ascii="仿宋" w:eastAsia="仿宋" w:hAnsi="仿宋" w:hint="eastAsia"/>
          <w:b/>
          <w:sz w:val="32"/>
          <w:szCs w:val="32"/>
        </w:rPr>
        <w:t>国内公务接待支出0.45</w:t>
      </w:r>
      <w:r>
        <w:rPr>
          <w:rFonts w:ascii="仿宋_GB2312" w:eastAsia="仿宋_GB2312" w:hint="eastAsia"/>
          <w:sz w:val="32"/>
          <w:szCs w:val="32"/>
        </w:rPr>
        <w:t>万元，主要用于用餐费(执行公务、开展业务活动开支的交通费、住宿费、用餐费等)。国内公务接待1批次，7人次（不包括陪同人员），共计支出0.45万元。</w:t>
      </w:r>
    </w:p>
    <w:p w14:paraId="0E89B162" w14:textId="77777777" w:rsidR="00062E74" w:rsidRDefault="00000000">
      <w:pPr>
        <w:spacing w:line="600" w:lineRule="exact"/>
        <w:ind w:firstLineChars="200" w:firstLine="643"/>
        <w:rPr>
          <w:rFonts w:ascii="黑体" w:eastAsia="黑体"/>
          <w:sz w:val="32"/>
          <w:szCs w:val="32"/>
        </w:rPr>
      </w:pPr>
      <w:r>
        <w:rPr>
          <w:rFonts w:ascii="仿宋" w:eastAsia="仿宋" w:hAnsi="仿宋" w:hint="eastAsia"/>
          <w:b/>
          <w:sz w:val="32"/>
          <w:szCs w:val="32"/>
        </w:rPr>
        <w:t>外事接待支出0</w:t>
      </w:r>
      <w:r>
        <w:rPr>
          <w:rFonts w:ascii="仿宋_GB2312" w:eastAsia="仿宋_GB2312" w:hint="eastAsia"/>
          <w:sz w:val="32"/>
          <w:szCs w:val="32"/>
        </w:rPr>
        <w:t>万元。外事接待0批次，0人次（不包括陪同人员），共计支出0万元。</w:t>
      </w:r>
      <w:bookmarkStart w:id="70" w:name="_Toc15396610"/>
      <w:bookmarkStart w:id="71" w:name="_Toc15377218"/>
    </w:p>
    <w:p w14:paraId="5366A669" w14:textId="77777777" w:rsidR="00062E74" w:rsidRDefault="00000000">
      <w:pPr>
        <w:spacing w:line="600" w:lineRule="exact"/>
        <w:ind w:firstLine="640"/>
        <w:outlineLvl w:val="1"/>
        <w:rPr>
          <w:rStyle w:val="21"/>
          <w:rFonts w:ascii="黑体" w:eastAsia="黑体" w:hAnsi="黑体" w:hint="eastAsia"/>
        </w:rPr>
      </w:pPr>
      <w:bookmarkStart w:id="72" w:name="_Toc20537"/>
      <w:bookmarkStart w:id="73" w:name="_Toc6158"/>
      <w:r>
        <w:rPr>
          <w:rFonts w:ascii="黑体" w:eastAsia="黑体" w:hint="eastAsia"/>
          <w:sz w:val="32"/>
          <w:szCs w:val="32"/>
        </w:rPr>
        <w:t>八、</w:t>
      </w:r>
      <w:r>
        <w:rPr>
          <w:rStyle w:val="21"/>
          <w:rFonts w:ascii="黑体" w:eastAsia="黑体" w:hAnsi="黑体" w:hint="eastAsia"/>
          <w:b w:val="0"/>
        </w:rPr>
        <w:t>政府性基金预算支出决算情况说明</w:t>
      </w:r>
      <w:bookmarkEnd w:id="70"/>
      <w:bookmarkEnd w:id="71"/>
      <w:bookmarkEnd w:id="72"/>
      <w:bookmarkEnd w:id="73"/>
    </w:p>
    <w:p w14:paraId="240AF19F" w14:textId="77777777" w:rsidR="00062E74" w:rsidRDefault="00000000">
      <w:pPr>
        <w:spacing w:line="600" w:lineRule="exact"/>
        <w:ind w:firstLine="640"/>
        <w:rPr>
          <w:rFonts w:ascii="仿宋_GB2312" w:eastAsia="仿宋_GB2312"/>
          <w:sz w:val="32"/>
          <w:szCs w:val="32"/>
        </w:rPr>
      </w:pPr>
      <w:r>
        <w:rPr>
          <w:rFonts w:ascii="仿宋_GB2312" w:eastAsia="仿宋_GB2312" w:hint="eastAsia"/>
          <w:sz w:val="32"/>
          <w:szCs w:val="32"/>
        </w:rPr>
        <w:t>2023年度年初无政府性基金预算财政拨款支出。</w:t>
      </w:r>
    </w:p>
    <w:p w14:paraId="52E434AE" w14:textId="77777777" w:rsidR="00062E74" w:rsidRDefault="00000000">
      <w:pPr>
        <w:numPr>
          <w:ilvl w:val="0"/>
          <w:numId w:val="4"/>
        </w:numPr>
        <w:spacing w:line="600" w:lineRule="exact"/>
        <w:ind w:firstLine="640"/>
        <w:outlineLvl w:val="1"/>
        <w:rPr>
          <w:rStyle w:val="21"/>
          <w:rFonts w:ascii="黑体" w:eastAsia="黑体" w:hAnsi="黑体" w:hint="eastAsia"/>
          <w:b w:val="0"/>
        </w:rPr>
      </w:pPr>
      <w:bookmarkStart w:id="74" w:name="_Toc15396611"/>
      <w:bookmarkStart w:id="75" w:name="_Toc15377219"/>
      <w:bookmarkStart w:id="76" w:name="_Toc16266"/>
      <w:bookmarkStart w:id="77" w:name="_Toc7175"/>
      <w:r>
        <w:rPr>
          <w:rStyle w:val="21"/>
          <w:rFonts w:ascii="黑体" w:eastAsia="黑体" w:hAnsi="黑体" w:hint="eastAsia"/>
          <w:b w:val="0"/>
        </w:rPr>
        <w:t>国有资本经营预算支出决算情况说明</w:t>
      </w:r>
      <w:bookmarkEnd w:id="74"/>
      <w:bookmarkEnd w:id="75"/>
      <w:bookmarkEnd w:id="76"/>
      <w:bookmarkEnd w:id="77"/>
    </w:p>
    <w:p w14:paraId="17C5E1D6" w14:textId="77777777" w:rsidR="00062E74" w:rsidRDefault="00000000">
      <w:pPr>
        <w:spacing w:line="600" w:lineRule="exact"/>
        <w:ind w:firstLine="640"/>
        <w:rPr>
          <w:rFonts w:ascii="方正小标宋简体" w:eastAsia="方正小标宋简体" w:hAnsi="方正小标宋简体" w:cs="方正小标宋简体" w:hint="eastAsia"/>
          <w:sz w:val="44"/>
          <w:szCs w:val="44"/>
        </w:rPr>
      </w:pPr>
      <w:r>
        <w:rPr>
          <w:rFonts w:ascii="仿宋_GB2312" w:eastAsia="仿宋_GB2312" w:hint="eastAsia"/>
          <w:sz w:val="32"/>
          <w:szCs w:val="32"/>
        </w:rPr>
        <w:t>2023年度年初无国有资本经营预算财政拨款支出。</w:t>
      </w:r>
    </w:p>
    <w:p w14:paraId="1D75946E" w14:textId="77777777" w:rsidR="00062E74" w:rsidRDefault="00000000">
      <w:pPr>
        <w:numPr>
          <w:ilvl w:val="0"/>
          <w:numId w:val="4"/>
        </w:numPr>
        <w:spacing w:line="600" w:lineRule="exact"/>
        <w:ind w:firstLine="640"/>
        <w:outlineLvl w:val="1"/>
        <w:rPr>
          <w:rStyle w:val="21"/>
          <w:rFonts w:ascii="黑体" w:eastAsia="黑体" w:hAnsi="黑体" w:hint="eastAsia"/>
          <w:b w:val="0"/>
        </w:rPr>
      </w:pPr>
      <w:bookmarkStart w:id="78" w:name="_Toc15396612"/>
      <w:bookmarkStart w:id="79" w:name="_Toc15377221"/>
      <w:bookmarkStart w:id="80" w:name="_Toc11417"/>
      <w:bookmarkStart w:id="81" w:name="_Toc16063"/>
      <w:r>
        <w:rPr>
          <w:rStyle w:val="21"/>
          <w:rFonts w:ascii="黑体" w:eastAsia="黑体" w:hAnsi="黑体" w:hint="eastAsia"/>
          <w:b w:val="0"/>
        </w:rPr>
        <w:t>其他重要事项的情况说明</w:t>
      </w:r>
      <w:bookmarkEnd w:id="78"/>
      <w:bookmarkEnd w:id="79"/>
      <w:bookmarkEnd w:id="80"/>
      <w:bookmarkEnd w:id="81"/>
    </w:p>
    <w:p w14:paraId="42CBF097" w14:textId="77777777" w:rsidR="00062E74" w:rsidRDefault="00000000">
      <w:pPr>
        <w:spacing w:line="600" w:lineRule="exact"/>
        <w:ind w:firstLineChars="200" w:firstLine="643"/>
        <w:outlineLvl w:val="2"/>
        <w:rPr>
          <w:rFonts w:ascii="仿宋" w:eastAsia="仿宋" w:hAnsi="仿宋" w:hint="eastAsia"/>
          <w:sz w:val="32"/>
          <w:szCs w:val="32"/>
        </w:rPr>
      </w:pPr>
      <w:bookmarkStart w:id="82" w:name="_Toc15377222"/>
      <w:r>
        <w:rPr>
          <w:rFonts w:ascii="仿宋" w:eastAsia="仿宋" w:hAnsi="仿宋" w:hint="eastAsia"/>
          <w:b/>
          <w:sz w:val="32"/>
          <w:szCs w:val="32"/>
        </w:rPr>
        <w:t>（一）机关运行经费支出情况</w:t>
      </w:r>
      <w:bookmarkEnd w:id="82"/>
    </w:p>
    <w:p w14:paraId="24D9A647" w14:textId="77777777" w:rsidR="00062E74" w:rsidRDefault="00000000">
      <w:pPr>
        <w:spacing w:line="600" w:lineRule="exact"/>
        <w:ind w:firstLineChars="200" w:firstLine="640"/>
        <w:rPr>
          <w:rFonts w:ascii="仿宋_GB2312" w:eastAsia="仿宋_GB2312"/>
          <w:sz w:val="32"/>
          <w:szCs w:val="32"/>
        </w:rPr>
      </w:pPr>
      <w:r>
        <w:rPr>
          <w:rFonts w:ascii="仿宋_GB2312" w:eastAsia="仿宋_GB2312" w:hint="eastAsia"/>
          <w:sz w:val="32"/>
          <w:szCs w:val="32"/>
        </w:rPr>
        <w:t>2023年度，红原县公安局机关运行经费支出440.</w:t>
      </w:r>
      <w:r>
        <w:rPr>
          <w:sz w:val="32"/>
          <w:szCs w:val="32"/>
        </w:rPr>
        <w:t>91</w:t>
      </w:r>
      <w:r>
        <w:rPr>
          <w:rFonts w:ascii="仿宋_GB2312" w:eastAsia="仿宋_GB2312" w:hint="eastAsia"/>
          <w:sz w:val="32"/>
          <w:szCs w:val="32"/>
        </w:rPr>
        <w:t>万元，比2022年度减少24.02万元，下降5.17</w:t>
      </w:r>
      <w:r>
        <w:rPr>
          <w:rFonts w:ascii="仿宋_GB2312" w:eastAsia="仿宋_GB2312"/>
          <w:sz w:val="32"/>
          <w:szCs w:val="32"/>
        </w:rPr>
        <w:t>%</w:t>
      </w:r>
      <w:r>
        <w:rPr>
          <w:rFonts w:ascii="仿宋_GB2312" w:eastAsia="仿宋_GB2312" w:hint="eastAsia"/>
          <w:sz w:val="32"/>
          <w:szCs w:val="32"/>
        </w:rPr>
        <w:t>（或与2022年度决算数持平）。主要原因是人员减少导致公用经费减少，</w:t>
      </w:r>
      <w:r>
        <w:rPr>
          <w:rFonts w:ascii="仿宋_GB2312" w:eastAsia="仿宋_GB2312" w:hint="eastAsia"/>
          <w:sz w:val="32"/>
          <w:szCs w:val="32"/>
        </w:rPr>
        <w:lastRenderedPageBreak/>
        <w:t>将日常公用经费调剂。</w:t>
      </w:r>
    </w:p>
    <w:p w14:paraId="4CCCA7F7" w14:textId="77777777" w:rsidR="00062E74"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83" w:name="_Toc15377223"/>
      <w:r>
        <w:rPr>
          <w:rFonts w:ascii="仿宋" w:eastAsia="仿宋" w:hAnsi="仿宋" w:hint="eastAsia"/>
          <w:b/>
          <w:sz w:val="32"/>
          <w:szCs w:val="32"/>
        </w:rPr>
        <w:t>（二）政府采购支出情况</w:t>
      </w:r>
      <w:bookmarkEnd w:id="83"/>
    </w:p>
    <w:p w14:paraId="62549515" w14:textId="77777777" w:rsidR="00062E74" w:rsidRDefault="00000000">
      <w:pPr>
        <w:spacing w:line="600" w:lineRule="exact"/>
        <w:ind w:firstLineChars="200" w:firstLine="640"/>
        <w:rPr>
          <w:rFonts w:ascii="仿宋_GB2312" w:eastAsia="仿宋_GB2312"/>
          <w:sz w:val="32"/>
          <w:szCs w:val="32"/>
        </w:rPr>
      </w:pPr>
      <w:r>
        <w:rPr>
          <w:rFonts w:ascii="仿宋_GB2312" w:eastAsia="仿宋_GB2312" w:hint="eastAsia"/>
          <w:sz w:val="32"/>
          <w:szCs w:val="32"/>
        </w:rPr>
        <w:t>2023年度，</w:t>
      </w:r>
      <w:r>
        <w:rPr>
          <w:rFonts w:hint="eastAsia"/>
          <w:sz w:val="32"/>
          <w:szCs w:val="32"/>
        </w:rPr>
        <w:t>红原县公安局</w:t>
      </w:r>
      <w:r>
        <w:rPr>
          <w:rFonts w:ascii="仿宋_GB2312" w:eastAsia="仿宋_GB2312" w:hint="eastAsia"/>
          <w:sz w:val="32"/>
          <w:szCs w:val="32"/>
        </w:rPr>
        <w:t>政府采购支出总额</w:t>
      </w:r>
      <w:r>
        <w:rPr>
          <w:sz w:val="32"/>
          <w:szCs w:val="32"/>
        </w:rPr>
        <w:t>291.36</w:t>
      </w:r>
      <w:r>
        <w:rPr>
          <w:rFonts w:ascii="仿宋_GB2312" w:eastAsia="仿宋_GB2312" w:hint="eastAsia"/>
          <w:sz w:val="32"/>
          <w:szCs w:val="32"/>
        </w:rPr>
        <w:t>万元，其中：政府采购货物支出</w:t>
      </w:r>
      <w:r>
        <w:rPr>
          <w:sz w:val="32"/>
          <w:szCs w:val="32"/>
        </w:rPr>
        <w:t>87.97</w:t>
      </w:r>
      <w:r>
        <w:rPr>
          <w:rFonts w:ascii="仿宋_GB2312" w:eastAsia="仿宋_GB2312" w:hint="eastAsia"/>
          <w:sz w:val="32"/>
          <w:szCs w:val="32"/>
        </w:rPr>
        <w:t>万元、政府采购工程支出</w:t>
      </w:r>
      <w:r>
        <w:rPr>
          <w:sz w:val="32"/>
          <w:szCs w:val="32"/>
        </w:rPr>
        <w:t>0</w:t>
      </w:r>
      <w:r>
        <w:rPr>
          <w:rFonts w:ascii="仿宋_GB2312" w:eastAsia="仿宋_GB2312" w:hint="eastAsia"/>
          <w:sz w:val="32"/>
          <w:szCs w:val="32"/>
        </w:rPr>
        <w:t>万元、政府采购服务支出</w:t>
      </w:r>
      <w:r>
        <w:rPr>
          <w:sz w:val="32"/>
          <w:szCs w:val="32"/>
        </w:rPr>
        <w:t>203.39</w:t>
      </w:r>
      <w:r>
        <w:rPr>
          <w:rFonts w:ascii="仿宋_GB2312" w:eastAsia="仿宋_GB2312" w:hint="eastAsia"/>
          <w:sz w:val="32"/>
          <w:szCs w:val="32"/>
        </w:rPr>
        <w:t>万元。主要用于</w:t>
      </w:r>
      <w:r>
        <w:rPr>
          <w:rFonts w:ascii="仿宋_GB2312" w:eastAsia="仿宋_GB2312"/>
          <w:sz w:val="32"/>
          <w:szCs w:val="32"/>
        </w:rPr>
        <w:t>…</w:t>
      </w:r>
      <w:r>
        <w:rPr>
          <w:rFonts w:ascii="仿宋_GB2312" w:eastAsia="仿宋_GB2312" w:hint="eastAsia"/>
          <w:sz w:val="32"/>
          <w:szCs w:val="32"/>
        </w:rPr>
        <w:t>（具体工作）。授予中小企业合同金额</w:t>
      </w:r>
      <w:r>
        <w:rPr>
          <w:sz w:val="32"/>
          <w:szCs w:val="32"/>
        </w:rPr>
        <w:t>224.03</w:t>
      </w:r>
      <w:r>
        <w:rPr>
          <w:rFonts w:ascii="仿宋_GB2312" w:eastAsia="仿宋_GB2312" w:hint="eastAsia"/>
          <w:sz w:val="32"/>
          <w:szCs w:val="32"/>
        </w:rPr>
        <w:t>万元，占政府采购支出总额的</w:t>
      </w:r>
      <w:r>
        <w:rPr>
          <w:sz w:val="32"/>
          <w:szCs w:val="32"/>
        </w:rPr>
        <w:t>76.89</w:t>
      </w:r>
      <w:r>
        <w:rPr>
          <w:rFonts w:ascii="仿宋_GB2312" w:eastAsia="仿宋_GB2312"/>
          <w:sz w:val="32"/>
          <w:szCs w:val="32"/>
        </w:rPr>
        <w:t>%</w:t>
      </w:r>
      <w:r>
        <w:rPr>
          <w:rFonts w:ascii="仿宋_GB2312" w:eastAsia="仿宋_GB2312" w:hint="eastAsia"/>
          <w:sz w:val="32"/>
          <w:szCs w:val="32"/>
        </w:rPr>
        <w:t>，其中：授予小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合同金额</w:t>
      </w:r>
      <w:r>
        <w:rPr>
          <w:sz w:val="32"/>
          <w:szCs w:val="32"/>
        </w:rPr>
        <w:t>224.03</w:t>
      </w:r>
      <w:r>
        <w:rPr>
          <w:rFonts w:ascii="仿宋_GB2312" w:eastAsia="仿宋_GB2312" w:hint="eastAsia"/>
          <w:sz w:val="32"/>
          <w:szCs w:val="32"/>
        </w:rPr>
        <w:t>万元，占政府采购支出总额的</w:t>
      </w:r>
      <w:r>
        <w:rPr>
          <w:sz w:val="32"/>
          <w:szCs w:val="32"/>
        </w:rPr>
        <w:t>76.89</w:t>
      </w:r>
      <w:r>
        <w:rPr>
          <w:rFonts w:ascii="仿宋_GB2312" w:eastAsia="仿宋_GB2312"/>
          <w:sz w:val="32"/>
          <w:szCs w:val="32"/>
        </w:rPr>
        <w:t>%</w:t>
      </w:r>
      <w:r>
        <w:rPr>
          <w:rFonts w:ascii="仿宋_GB2312" w:eastAsia="仿宋_GB2312" w:hint="eastAsia"/>
          <w:sz w:val="32"/>
          <w:szCs w:val="32"/>
        </w:rPr>
        <w:t>。</w:t>
      </w:r>
    </w:p>
    <w:p w14:paraId="61E8251D" w14:textId="77777777" w:rsidR="00062E74"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84" w:name="_Toc15377224"/>
      <w:r>
        <w:rPr>
          <w:rFonts w:ascii="仿宋" w:eastAsia="仿宋" w:hAnsi="仿宋" w:hint="eastAsia"/>
          <w:b/>
          <w:sz w:val="32"/>
          <w:szCs w:val="32"/>
        </w:rPr>
        <w:t>（三）国有资产占有使用情况</w:t>
      </w:r>
      <w:bookmarkEnd w:id="84"/>
    </w:p>
    <w:p w14:paraId="21E4A540" w14:textId="77777777" w:rsidR="00062E74" w:rsidRDefault="00000000">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截至2023年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hint="eastAsia"/>
          <w:sz w:val="32"/>
          <w:szCs w:val="32"/>
        </w:rPr>
        <w:t>红原县公安局</w:t>
      </w:r>
      <w:r>
        <w:rPr>
          <w:rFonts w:ascii="仿宋_GB2312" w:eastAsia="仿宋_GB2312" w:hint="eastAsia"/>
          <w:sz w:val="32"/>
          <w:szCs w:val="32"/>
        </w:rPr>
        <w:t>共有车辆</w:t>
      </w:r>
      <w:r>
        <w:rPr>
          <w:rFonts w:ascii="仿宋_GB2312" w:eastAsia="仿宋_GB2312"/>
          <w:sz w:val="32"/>
          <w:szCs w:val="32"/>
        </w:rPr>
        <w:t>60</w:t>
      </w:r>
      <w:r>
        <w:rPr>
          <w:rFonts w:ascii="仿宋_GB2312" w:eastAsia="仿宋_GB2312" w:hint="eastAsia"/>
          <w:sz w:val="32"/>
          <w:szCs w:val="32"/>
        </w:rPr>
        <w:t>辆，其中：主要领导干部用车1辆、机要通信用车1辆、应急保障用车2辆、其他用车0辆，其他用车主要是用于执法执勤用车49辆、特种专业技术用车7辆。单价</w:t>
      </w:r>
      <w:r>
        <w:rPr>
          <w:rFonts w:ascii="仿宋_GB2312" w:eastAsia="仿宋_GB2312"/>
          <w:sz w:val="32"/>
          <w:szCs w:val="32"/>
        </w:rPr>
        <w:t>100</w:t>
      </w:r>
      <w:r>
        <w:rPr>
          <w:rFonts w:ascii="仿宋_GB2312" w:eastAsia="仿宋_GB2312" w:hint="eastAsia"/>
          <w:sz w:val="32"/>
          <w:szCs w:val="32"/>
        </w:rPr>
        <w:t>万元以上设备（不含车辆）</w:t>
      </w:r>
      <w:r>
        <w:rPr>
          <w:sz w:val="32"/>
          <w:szCs w:val="32"/>
        </w:rPr>
        <w:t>0</w:t>
      </w:r>
      <w:r>
        <w:rPr>
          <w:rFonts w:ascii="仿宋_GB2312" w:eastAsia="仿宋_GB2312" w:hint="eastAsia"/>
          <w:sz w:val="32"/>
          <w:szCs w:val="32"/>
        </w:rPr>
        <w:t>台（套）。</w:t>
      </w:r>
    </w:p>
    <w:p w14:paraId="5BA44850" w14:textId="77777777" w:rsidR="00062E74"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r>
        <w:rPr>
          <w:rFonts w:ascii="仿宋" w:eastAsia="仿宋" w:hAnsi="仿宋" w:hint="eastAsia"/>
          <w:b/>
          <w:sz w:val="32"/>
          <w:szCs w:val="32"/>
        </w:rPr>
        <w:t>（四）预算绩效管理情况</w:t>
      </w:r>
    </w:p>
    <w:p w14:paraId="48770A84" w14:textId="77777777" w:rsidR="00062E74" w:rsidRDefault="0000000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在2023年度预算编制阶段，组织对“2023年中央政法纪检监察转移支付资金”、“红原县安曲应急联勤基地建设项目”、“2022年政法转移支付资金长江保护工作因素”、“红原县公安局风貌改造项目工程款”、“红原县看守所犯人生活相关经费”、“武警红原县中队更换营产营具经费”等18个项目开展了预算事前绩效评估，对18个项目编制了绩效目标，预算执行过程中，选取18个项目开展绩效监控。</w:t>
      </w:r>
    </w:p>
    <w:p w14:paraId="19DB418C" w14:textId="77777777" w:rsidR="00062E74" w:rsidRDefault="00000000">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Ansi="仿宋_GB2312" w:cs="仿宋_GB2312" w:hint="eastAsia"/>
          <w:sz w:val="32"/>
          <w:szCs w:val="32"/>
        </w:rPr>
        <w:lastRenderedPageBreak/>
        <w:t>组织对2023年度一般公共预算、政府性基金预算、国有资本经营预算、社会保险基金预算以及资本资产、债券资金等全面开展绩效自评，形成部门整体（含部门预算项目）绩效自评报告，部门整体（含部门预算项目）绩效自评得分为95分，</w:t>
      </w:r>
      <w:r>
        <w:rPr>
          <w:rFonts w:ascii="仿宋_GB2312" w:eastAsia="仿宋_GB2312" w:hint="eastAsia"/>
          <w:sz w:val="32"/>
          <w:szCs w:val="32"/>
        </w:rPr>
        <w:t>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p>
    <w:p w14:paraId="0B6E584D" w14:textId="77777777" w:rsidR="00062E74" w:rsidRDefault="00062E74">
      <w:pPr>
        <w:spacing w:line="580" w:lineRule="exact"/>
        <w:ind w:firstLineChars="200" w:firstLine="640"/>
        <w:rPr>
          <w:rFonts w:ascii="仿宋_GB2312" w:eastAsia="仿宋_GB2312" w:hAnsi="仿宋_GB2312" w:cs="仿宋_GB2312"/>
          <w:sz w:val="32"/>
          <w:szCs w:val="32"/>
        </w:rPr>
      </w:pPr>
    </w:p>
    <w:p w14:paraId="233E3D8B" w14:textId="77777777" w:rsidR="00062E74" w:rsidRDefault="00062E74">
      <w:pPr>
        <w:pStyle w:val="2"/>
        <w:ind w:left="420" w:firstLine="640"/>
        <w:rPr>
          <w:rFonts w:eastAsia="仿宋_GB2312" w:hAnsi="仿宋_GB2312" w:cs="仿宋_GB2312"/>
          <w:sz w:val="32"/>
        </w:rPr>
      </w:pPr>
    </w:p>
    <w:p w14:paraId="25CBC07C" w14:textId="77777777" w:rsidR="00062E74" w:rsidRDefault="00062E74">
      <w:pPr>
        <w:pStyle w:val="a6"/>
      </w:pPr>
    </w:p>
    <w:p w14:paraId="14A4175D" w14:textId="77777777" w:rsidR="00062E74" w:rsidRDefault="00000000">
      <w:pPr>
        <w:pStyle w:val="1"/>
        <w:jc w:val="center"/>
      </w:pPr>
      <w:bookmarkStart w:id="85" w:name="_Toc27480"/>
      <w:bookmarkStart w:id="86" w:name="_Toc13150"/>
      <w:r>
        <w:rPr>
          <w:rFonts w:hint="eastAsia"/>
        </w:rPr>
        <w:t>第三部分</w:t>
      </w:r>
      <w:r>
        <w:rPr>
          <w:rFonts w:hint="eastAsia"/>
        </w:rPr>
        <w:t xml:space="preserve"> </w:t>
      </w:r>
      <w:r>
        <w:rPr>
          <w:rFonts w:hint="eastAsia"/>
        </w:rPr>
        <w:t>名词解释</w:t>
      </w:r>
      <w:bookmarkEnd w:id="85"/>
      <w:bookmarkEnd w:id="86"/>
    </w:p>
    <w:p w14:paraId="7620F4BE" w14:textId="77777777" w:rsidR="00062E74" w:rsidRDefault="00062E74"/>
    <w:p w14:paraId="695A126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14:paraId="3F821E71"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14:paraId="7DD6A106"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14:paraId="2DEC6A6D"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w:t>
      </w:r>
    </w:p>
    <w:p w14:paraId="61BBAC31"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5.使用非财政拨款结余（含专用结余）：指事业单位使</w:t>
      </w:r>
      <w:r>
        <w:rPr>
          <w:rFonts w:ascii="仿宋_GB2312" w:eastAsia="仿宋_GB2312" w:hint="eastAsia"/>
          <w:sz w:val="32"/>
          <w:szCs w:val="32"/>
        </w:rPr>
        <w:lastRenderedPageBreak/>
        <w:t xml:space="preserve">用以前年度积累的非财政拨款结余弥补当年收支差额的金额。 </w:t>
      </w:r>
    </w:p>
    <w:p w14:paraId="77C9B069"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14:paraId="0F819978"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14:paraId="79E944AA"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14:paraId="04FC372E"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9.一般公共服务（类）…（款）…（项）：指……。</w:t>
      </w:r>
    </w:p>
    <w:p w14:paraId="5ADD9848"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10.外交（类）…（款）…（项）：指……。</w:t>
      </w:r>
    </w:p>
    <w:p w14:paraId="0227E152"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11.公共安全（类）…（款）…（项）：指……。</w:t>
      </w:r>
    </w:p>
    <w:p w14:paraId="4EFBAE20"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12.教育（类）…（款）…（项）：指……。</w:t>
      </w:r>
    </w:p>
    <w:p w14:paraId="2853E954"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13.科学技术（类）…（款）…（项）：指……。</w:t>
      </w:r>
    </w:p>
    <w:p w14:paraId="362B14FB"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14.文化旅游体育与传媒（类）…（款）…（项）：指……。</w:t>
      </w:r>
    </w:p>
    <w:p w14:paraId="2DD0B661"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15.社会保障和就业（类）…（款）…（项）：指……。</w:t>
      </w:r>
    </w:p>
    <w:p w14:paraId="3AF16ED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16.卫生健康（类）…（款）…（项）：指……。</w:t>
      </w:r>
    </w:p>
    <w:p w14:paraId="5B372D5D"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17.节能环保（类）…（款）…（项）：指……。</w:t>
      </w:r>
    </w:p>
    <w:p w14:paraId="6ED42625"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18.城乡社区（类）…（款）…（项）：指……。</w:t>
      </w:r>
    </w:p>
    <w:p w14:paraId="5BC83FB8"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19.农林水（类）…（款）…（项）：指……。</w:t>
      </w:r>
    </w:p>
    <w:p w14:paraId="2C414D70"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20.交通运输（类）…（款）…（项）：指……。</w:t>
      </w:r>
    </w:p>
    <w:p w14:paraId="60448220"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21.资源勘探工业信息等（类）…（款）…（项）：指……。</w:t>
      </w:r>
    </w:p>
    <w:p w14:paraId="3F40E78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22.商业服务业（类）…（款）…（项）：指……。</w:t>
      </w:r>
    </w:p>
    <w:p w14:paraId="38001BF0"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23.金融（类）…（款）…（项）：指……。</w:t>
      </w:r>
    </w:p>
    <w:p w14:paraId="773C887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24.自然资源海洋气象等（类）…（款）…（项）：指……。</w:t>
      </w:r>
    </w:p>
    <w:p w14:paraId="684D66D2"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25.住房保障（类）…（款）…（项）：指……。</w:t>
      </w:r>
    </w:p>
    <w:p w14:paraId="7C6E7BB3"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26.粮油物资储备（类）…（款）…（项）：指……。</w:t>
      </w:r>
    </w:p>
    <w:p w14:paraId="358C7412"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27.基本支出：指为保障机构正常运转、完成日常工作任务而发生的人员支出和公用支出。</w:t>
      </w:r>
    </w:p>
    <w:p w14:paraId="684D9BB2"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 xml:space="preserve">28.项目支出：指在基本支出之外为完成特定行政任务和事业发展目标所发生的支出。 </w:t>
      </w:r>
    </w:p>
    <w:p w14:paraId="045AEE9C"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29.经营支出：指事业单位在专业业务活动及其辅助活动之外开展非独立核算经营活动发生的支出。</w:t>
      </w:r>
    </w:p>
    <w:p w14:paraId="2F807C36"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6F29FD87"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w:t>
      </w:r>
      <w:r>
        <w:rPr>
          <w:rFonts w:ascii="仿宋_GB2312" w:eastAsia="仿宋_GB2312" w:hint="eastAsia"/>
          <w:sz w:val="32"/>
          <w:szCs w:val="32"/>
        </w:rPr>
        <w:lastRenderedPageBreak/>
        <w:t>用房取暖费、办公用房物业管理费、公务用车运行维护费以及其他费用。</w:t>
      </w:r>
    </w:p>
    <w:p w14:paraId="38F0230C" w14:textId="77777777" w:rsidR="00062E74" w:rsidRDefault="00000000">
      <w:pPr>
        <w:ind w:firstLineChars="200" w:firstLine="643"/>
        <w:rPr>
          <w:rFonts w:ascii="仿宋" w:eastAsia="仿宋" w:hAnsi="仿宋" w:hint="eastAsia"/>
          <w:b/>
          <w:sz w:val="32"/>
          <w:szCs w:val="32"/>
        </w:rPr>
      </w:pPr>
      <w:r>
        <w:rPr>
          <w:rFonts w:ascii="仿宋" w:eastAsia="仿宋" w:hAnsi="仿宋"/>
          <w:b/>
          <w:sz w:val="32"/>
          <w:szCs w:val="32"/>
        </w:rPr>
        <w:br w:type="page"/>
      </w:r>
    </w:p>
    <w:p w14:paraId="6F7D58B3" w14:textId="77777777" w:rsidR="00062E74" w:rsidRDefault="00000000">
      <w:pPr>
        <w:pStyle w:val="1"/>
        <w:jc w:val="center"/>
        <w:rPr>
          <w:rFonts w:ascii="黑体" w:eastAsia="黑体" w:hAnsi="黑体" w:hint="eastAsia"/>
          <w:b w:val="0"/>
        </w:rPr>
      </w:pPr>
      <w:bookmarkStart w:id="87" w:name="_Toc14470"/>
      <w:bookmarkStart w:id="88" w:name="_Toc17688"/>
      <w:r>
        <w:rPr>
          <w:rFonts w:ascii="黑体" w:eastAsia="黑体" w:hAnsi="黑体" w:hint="eastAsia"/>
          <w:b w:val="0"/>
        </w:rPr>
        <w:lastRenderedPageBreak/>
        <w:t>第四部分 附件</w:t>
      </w:r>
      <w:bookmarkEnd w:id="87"/>
      <w:bookmarkEnd w:id="88"/>
    </w:p>
    <w:p w14:paraId="36C0C6F6" w14:textId="77777777" w:rsidR="00062E74" w:rsidRDefault="00062E74"/>
    <w:p w14:paraId="1C9D8FA1" w14:textId="77777777" w:rsidR="00062E74" w:rsidRDefault="00000000">
      <w:pPr>
        <w:rPr>
          <w:rFonts w:ascii="黑体" w:eastAsia="黑体" w:hAnsi="黑体" w:hint="eastAsia"/>
          <w:sz w:val="32"/>
          <w:szCs w:val="32"/>
        </w:rPr>
      </w:pPr>
      <w:r>
        <w:rPr>
          <w:rFonts w:ascii="黑体" w:eastAsia="黑体" w:hAnsi="黑体" w:hint="eastAsia"/>
          <w:sz w:val="32"/>
          <w:szCs w:val="32"/>
        </w:rPr>
        <w:t>附件1</w:t>
      </w:r>
    </w:p>
    <w:p w14:paraId="639BD92B" w14:textId="77777777" w:rsidR="00062E74"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部门预算绩效评价报告</w:t>
      </w:r>
    </w:p>
    <w:p w14:paraId="6CE743F9" w14:textId="77777777" w:rsidR="00062E74" w:rsidRDefault="00062E74"/>
    <w:p w14:paraId="7F27A33C" w14:textId="77777777" w:rsidR="00062E74" w:rsidRDefault="00000000">
      <w:pPr>
        <w:rPr>
          <w:rFonts w:ascii="黑体" w:eastAsia="黑体" w:hAnsi="黑体" w:hint="eastAsia"/>
          <w:sz w:val="32"/>
          <w:szCs w:val="32"/>
        </w:rPr>
      </w:pPr>
      <w:r>
        <w:rPr>
          <w:rFonts w:ascii="黑体" w:eastAsia="黑体" w:hAnsi="黑体" w:hint="eastAsia"/>
          <w:sz w:val="32"/>
          <w:szCs w:val="32"/>
        </w:rPr>
        <w:t>一、部门（单位）基本情况</w:t>
      </w:r>
    </w:p>
    <w:p w14:paraId="2EAE37B3" w14:textId="77777777" w:rsidR="00062E74" w:rsidRDefault="00000000">
      <w:pPr>
        <w:ind w:firstLineChars="200" w:firstLine="640"/>
        <w:rPr>
          <w:rFonts w:ascii="楷体_GB2312" w:eastAsia="楷体_GB2312"/>
          <w:b/>
          <w:sz w:val="32"/>
          <w:szCs w:val="32"/>
        </w:rPr>
      </w:pPr>
      <w:r>
        <w:rPr>
          <w:rFonts w:ascii="楷体_GB2312" w:eastAsia="楷体_GB2312" w:hint="eastAsia"/>
          <w:b/>
          <w:sz w:val="32"/>
          <w:szCs w:val="32"/>
        </w:rPr>
        <w:t>（一）机构组成。</w:t>
      </w:r>
    </w:p>
    <w:p w14:paraId="6C9B8E17"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局共设置25个内设机构，分别是：指挥中心、政治安全保卫大队、治安管理大队、出入境管理大队、刑事侦查大队、交通管理大队、网络大队、法制大队、纪检监察室、政工室、警务保障室、草原骑警大队、红原县看守所、红原县拘留所、红原县公安局刷经寺派出所、红原县公安局龙日派出所、红原县公安局安曲派出所、红原县公安局江茸派出所、红原县公安局查尔玛派出所、红原县公安局邛溪派出所、红原县公安局阿木派出所、红原县公安局瓦切派出所、红原县公安局麦洼寺派出所、红原县公安局色地派出所、红原县公安局麦洼派出所。</w:t>
      </w:r>
    </w:p>
    <w:p w14:paraId="26A6EDCF" w14:textId="77777777" w:rsidR="00062E74" w:rsidRDefault="00000000">
      <w:pPr>
        <w:numPr>
          <w:ilvl w:val="0"/>
          <w:numId w:val="5"/>
        </w:numPr>
        <w:spacing w:line="560" w:lineRule="exact"/>
        <w:ind w:firstLineChars="200" w:firstLine="640"/>
        <w:rPr>
          <w:rFonts w:ascii="楷体_GB2312" w:eastAsia="楷体_GB2312"/>
          <w:b/>
          <w:sz w:val="32"/>
          <w:szCs w:val="32"/>
        </w:rPr>
      </w:pPr>
      <w:r>
        <w:rPr>
          <w:rFonts w:ascii="楷体_GB2312" w:eastAsia="楷体_GB2312" w:hint="eastAsia"/>
          <w:b/>
          <w:sz w:val="32"/>
          <w:szCs w:val="32"/>
        </w:rPr>
        <w:t>机构职能。</w:t>
      </w:r>
    </w:p>
    <w:p w14:paraId="6CFDF5F0"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1.贯彻执行国家的法律、法规和公安工作的方针、政策；拟订全县公安工作的规定和实施办法；对全县公安机关实施组织领导和指挥；部署、指导、监督和检查全县公安工作。</w:t>
      </w:r>
    </w:p>
    <w:p w14:paraId="65D0ECEC"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2.掌握影响社会稳定、危害国内安全和社会治安的情况，分析形势，制定对策。</w:t>
      </w:r>
    </w:p>
    <w:p w14:paraId="1B1E19F0"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3.组织实施并指导全县公安机关侦查工作，组织、协调处置重大案件、治安事件、治安事故和重大群体性事件、骚乱。</w:t>
      </w:r>
    </w:p>
    <w:p w14:paraId="6CD5DDDB"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4.组织实施并指导全县公安机关依法查处违反治安管理行为，依法开展治安行政管理工作；指导、监督全县公安机关治安保卫工作。</w:t>
      </w:r>
    </w:p>
    <w:p w14:paraId="63AD1A4F"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5.组织指导出入境和外国人在县境内居留、旅行的有关管理工作，组织指导全县公安外事工作。</w:t>
      </w:r>
    </w:p>
    <w:p w14:paraId="02D73D5E"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6.组织实施并指导全县公安机关维护道路交通安全、交通秩序以及机动车辆、驾驶人管理工作。</w:t>
      </w:r>
    </w:p>
    <w:p w14:paraId="1659EB82"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7.组织实施并指导、监督全县公共信息网络的安全保护工作，负责信息安全等级保护工作的监督、检查、指导。</w:t>
      </w:r>
    </w:p>
    <w:p w14:paraId="12ACA217"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8.指导、监督全县公安机关依法承担的执行行政、刑事强制措施工作，组织实施并指导、监督全县看守所、拘留所的管理工作，规划和指导全县监所建设。</w:t>
      </w:r>
    </w:p>
    <w:p w14:paraId="03D2F7E5"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9.组织实施并指导全县公安法制建设；指导、检查、监督全县公安机关执法活动。</w:t>
      </w:r>
    </w:p>
    <w:p w14:paraId="4F7CADC2"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10.组织实施并指导全县公安机关开展禁毒和缉毒工作，</w:t>
      </w:r>
      <w:proofErr w:type="gramStart"/>
      <w:r>
        <w:rPr>
          <w:rFonts w:ascii="仿宋_GB2312" w:eastAsia="仿宋_GB2312" w:hAnsi="仿宋_GB2312" w:cs="仿宋_GB2312" w:hint="eastAsia"/>
          <w:sz w:val="32"/>
          <w:szCs w:val="32"/>
        </w:rPr>
        <w:t>承担县禁毒</w:t>
      </w:r>
      <w:proofErr w:type="gramEnd"/>
      <w:r>
        <w:rPr>
          <w:rFonts w:ascii="仿宋_GB2312" w:eastAsia="仿宋_GB2312" w:hAnsi="仿宋_GB2312" w:cs="仿宋_GB2312" w:hint="eastAsia"/>
          <w:sz w:val="32"/>
          <w:szCs w:val="32"/>
        </w:rPr>
        <w:t>委员会办公室的日常工作。</w:t>
      </w:r>
    </w:p>
    <w:p w14:paraId="7D22D3B3"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11.组织、指导、协调对全县恐怖活动的防范、侦察、处置工作，</w:t>
      </w:r>
      <w:proofErr w:type="gramStart"/>
      <w:r>
        <w:rPr>
          <w:rFonts w:ascii="仿宋_GB2312" w:eastAsia="仿宋_GB2312" w:hAnsi="仿宋_GB2312" w:cs="仿宋_GB2312" w:hint="eastAsia"/>
          <w:sz w:val="32"/>
          <w:szCs w:val="32"/>
        </w:rPr>
        <w:t>承办县</w:t>
      </w:r>
      <w:proofErr w:type="gramEnd"/>
      <w:r>
        <w:rPr>
          <w:rFonts w:ascii="仿宋_GB2312" w:eastAsia="仿宋_GB2312" w:hAnsi="仿宋_GB2312" w:cs="仿宋_GB2312" w:hint="eastAsia"/>
          <w:sz w:val="32"/>
          <w:szCs w:val="32"/>
        </w:rPr>
        <w:t>反恐怖工作协调小组办公室的日常工作。</w:t>
      </w:r>
    </w:p>
    <w:p w14:paraId="3C206D45"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12.组织实施全县公安科学技术工作，规划公安指挥系统、信息技术、刑事技术和技术侦察建设。</w:t>
      </w:r>
    </w:p>
    <w:p w14:paraId="430CB1A1"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13.拟定并组织落实全县公安被装、装备、经费的配备标</w:t>
      </w:r>
      <w:r>
        <w:rPr>
          <w:rFonts w:ascii="仿宋_GB2312" w:eastAsia="仿宋_GB2312" w:hAnsi="仿宋_GB2312" w:cs="仿宋_GB2312" w:hint="eastAsia"/>
          <w:sz w:val="32"/>
          <w:szCs w:val="32"/>
        </w:rPr>
        <w:lastRenderedPageBreak/>
        <w:t>准和制度。</w:t>
      </w:r>
    </w:p>
    <w:p w14:paraId="590744DA"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14.指导全县公安政治工作和队伍建设；组织实施并指导、管理全县公安宣传、教育、训练工作。</w:t>
      </w:r>
    </w:p>
    <w:p w14:paraId="06E95776"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制定全县公安队伍监督管理工作规章制度，分析队伍状况；组织实施并指导全县公安机关督察工作，按规定权限实施对干部的监督，查处或督办公安队伍重大和较大违纪案件；指导全县公安队伍思想作风、工作作风建设。</w:t>
      </w:r>
    </w:p>
    <w:p w14:paraId="40CCEB6F" w14:textId="77777777" w:rsidR="00062E74"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16.承办县委、县政府、州公安局、省公安厅交办的其他事项。</w:t>
      </w:r>
    </w:p>
    <w:p w14:paraId="1070E98D" w14:textId="77777777" w:rsidR="00062E74" w:rsidRDefault="00000000">
      <w:pPr>
        <w:ind w:firstLineChars="200" w:firstLine="640"/>
        <w:rPr>
          <w:rFonts w:ascii="楷体_GB2312" w:eastAsia="楷体_GB2312"/>
          <w:b/>
          <w:sz w:val="32"/>
          <w:szCs w:val="32"/>
        </w:rPr>
      </w:pPr>
      <w:r>
        <w:rPr>
          <w:rFonts w:ascii="楷体_GB2312" w:eastAsia="楷体_GB2312" w:hint="eastAsia"/>
          <w:b/>
          <w:sz w:val="32"/>
          <w:szCs w:val="32"/>
        </w:rPr>
        <w:t>（三）人员概况。</w:t>
      </w:r>
    </w:p>
    <w:p w14:paraId="56BC9319" w14:textId="77777777" w:rsidR="00062E74" w:rsidRDefault="00000000">
      <w:pPr>
        <w:ind w:firstLineChars="200" w:firstLine="640"/>
        <w:rPr>
          <w:rFonts w:ascii="仿宋_GB2312" w:eastAsia="仿宋_GB2312"/>
          <w:sz w:val="32"/>
          <w:szCs w:val="32"/>
        </w:rPr>
      </w:pPr>
      <w:r>
        <w:rPr>
          <w:rFonts w:ascii="仿宋_GB2312" w:eastAsia="仿宋_GB2312" w:hAnsi="仿宋_GB2312" w:cs="仿宋_GB2312" w:hint="eastAsia"/>
          <w:sz w:val="32"/>
          <w:szCs w:val="32"/>
        </w:rPr>
        <w:t>我单位为独立核算全额拨款行政单位,截止2023年底我单位共有编制181个，其中政法编制172个，行政工勤编制9个，在职171人，其中公安民警161人，行政工勤10人。</w:t>
      </w:r>
    </w:p>
    <w:p w14:paraId="1B640DDC" w14:textId="77777777" w:rsidR="00062E74" w:rsidRDefault="00000000">
      <w:pPr>
        <w:rPr>
          <w:rFonts w:ascii="黑体" w:eastAsia="黑体" w:hAnsi="黑体" w:hint="eastAsia"/>
          <w:sz w:val="32"/>
          <w:szCs w:val="32"/>
        </w:rPr>
      </w:pPr>
      <w:r>
        <w:rPr>
          <w:rFonts w:ascii="黑体" w:eastAsia="黑体" w:hAnsi="黑体" w:hint="eastAsia"/>
          <w:sz w:val="32"/>
          <w:szCs w:val="32"/>
        </w:rPr>
        <w:t>二、部门资金收支情况</w:t>
      </w:r>
    </w:p>
    <w:p w14:paraId="68747A59" w14:textId="77777777" w:rsidR="00062E74" w:rsidRDefault="00000000">
      <w:pPr>
        <w:widowControl/>
        <w:adjustRightInd w:val="0"/>
        <w:snapToGrid w:val="0"/>
        <w:spacing w:line="578" w:lineRule="exact"/>
        <w:ind w:firstLineChars="200" w:firstLine="640"/>
        <w:contextualSpacing/>
        <w:jc w:val="left"/>
        <w:rPr>
          <w:rFonts w:ascii="楷体_GB2312" w:eastAsia="楷体_GB2312"/>
          <w:b/>
          <w:sz w:val="32"/>
          <w:szCs w:val="32"/>
        </w:rPr>
      </w:pPr>
      <w:r>
        <w:rPr>
          <w:rFonts w:ascii="楷体_GB2312" w:eastAsia="楷体_GB2312" w:hint="eastAsia"/>
          <w:b/>
          <w:sz w:val="32"/>
          <w:szCs w:val="32"/>
        </w:rPr>
        <w:t>（一）收入情况。</w:t>
      </w:r>
    </w:p>
    <w:p w14:paraId="5786A8D5" w14:textId="77777777" w:rsidR="00062E74" w:rsidRDefault="00000000">
      <w:pPr>
        <w:widowControl/>
        <w:adjustRightInd w:val="0"/>
        <w:snapToGrid w:val="0"/>
        <w:spacing w:line="578" w:lineRule="exact"/>
        <w:ind w:firstLineChars="200" w:firstLine="640"/>
        <w:contextualSpacing/>
        <w:jc w:val="left"/>
        <w:rPr>
          <w:rFonts w:ascii="仿宋_GB2312" w:eastAsia="仿宋_GB2312"/>
          <w:sz w:val="32"/>
          <w:szCs w:val="32"/>
        </w:rPr>
      </w:pPr>
      <w:r>
        <w:rPr>
          <w:rFonts w:ascii="仿宋_GB2312" w:eastAsia="仿宋_GB2312" w:hAnsi="仿宋" w:hint="eastAsia"/>
          <w:sz w:val="32"/>
          <w:szCs w:val="32"/>
        </w:rPr>
        <w:t>本单位</w:t>
      </w:r>
      <w:r>
        <w:rPr>
          <w:rFonts w:ascii="仿宋_GB2312" w:hAnsi="仿宋" w:hint="eastAsia"/>
          <w:sz w:val="32"/>
          <w:szCs w:val="32"/>
        </w:rPr>
        <w:t>2023</w:t>
      </w:r>
      <w:r>
        <w:rPr>
          <w:rFonts w:ascii="仿宋_GB2312" w:hAnsi="仿宋" w:hint="eastAsia"/>
          <w:sz w:val="32"/>
          <w:szCs w:val="32"/>
        </w:rPr>
        <w:t>年</w:t>
      </w:r>
      <w:r>
        <w:rPr>
          <w:rFonts w:ascii="仿宋_GB2312" w:eastAsia="仿宋_GB2312" w:hAnsi="仿宋" w:hint="eastAsia"/>
          <w:sz w:val="32"/>
          <w:szCs w:val="32"/>
        </w:rPr>
        <w:t>收入全年预算数为</w:t>
      </w:r>
      <w:r>
        <w:rPr>
          <w:rFonts w:ascii="仿宋_GB2312" w:hAnsi="仿宋" w:hint="eastAsia"/>
          <w:sz w:val="32"/>
          <w:szCs w:val="32"/>
        </w:rPr>
        <w:t>8562.42</w:t>
      </w:r>
      <w:r>
        <w:rPr>
          <w:rFonts w:ascii="仿宋_GB2312" w:eastAsia="仿宋_GB2312" w:hAnsi="仿宋" w:hint="eastAsia"/>
          <w:sz w:val="32"/>
          <w:szCs w:val="32"/>
        </w:rPr>
        <w:t>万元，收入决算数为</w:t>
      </w:r>
      <w:r>
        <w:rPr>
          <w:rFonts w:ascii="仿宋_GB2312" w:hAnsi="仿宋" w:hint="eastAsia"/>
          <w:sz w:val="32"/>
          <w:szCs w:val="32"/>
        </w:rPr>
        <w:t>8562.42</w:t>
      </w:r>
      <w:r>
        <w:rPr>
          <w:rFonts w:ascii="仿宋_GB2312" w:eastAsia="仿宋_GB2312" w:hAnsi="仿宋" w:hint="eastAsia"/>
          <w:sz w:val="32"/>
          <w:szCs w:val="32"/>
        </w:rPr>
        <w:t>万元，预算完成度为100%</w:t>
      </w:r>
      <w:r>
        <w:rPr>
          <w:rFonts w:ascii="仿宋_GB2312" w:hAnsi="仿宋" w:hint="eastAsia"/>
          <w:sz w:val="32"/>
          <w:szCs w:val="32"/>
        </w:rPr>
        <w:t>。</w:t>
      </w:r>
      <w:r>
        <w:rPr>
          <w:rFonts w:eastAsia="仿宋_GB2312" w:hint="eastAsia"/>
          <w:sz w:val="32"/>
          <w:szCs w:val="32"/>
          <w:lang w:val="zh-CN"/>
        </w:rPr>
        <w:t>20</w:t>
      </w:r>
      <w:r>
        <w:rPr>
          <w:rFonts w:eastAsia="仿宋_GB2312" w:hint="eastAsia"/>
          <w:sz w:val="32"/>
          <w:szCs w:val="32"/>
        </w:rPr>
        <w:t>23</w:t>
      </w:r>
      <w:r>
        <w:rPr>
          <w:rFonts w:eastAsia="仿宋_GB2312" w:hint="eastAsia"/>
          <w:sz w:val="32"/>
          <w:szCs w:val="32"/>
          <w:lang w:val="zh-CN"/>
        </w:rPr>
        <w:t>年</w:t>
      </w:r>
      <w:r>
        <w:rPr>
          <w:rFonts w:hint="eastAsia"/>
          <w:sz w:val="32"/>
          <w:szCs w:val="32"/>
        </w:rPr>
        <w:t>总</w:t>
      </w:r>
      <w:r>
        <w:rPr>
          <w:rFonts w:eastAsia="仿宋_GB2312" w:hint="eastAsia"/>
          <w:sz w:val="32"/>
          <w:szCs w:val="32"/>
          <w:lang w:val="zh-CN"/>
        </w:rPr>
        <w:t>收入</w:t>
      </w:r>
      <w:r>
        <w:rPr>
          <w:rFonts w:hint="eastAsia"/>
          <w:sz w:val="32"/>
          <w:szCs w:val="32"/>
        </w:rPr>
        <w:t>8562.42</w:t>
      </w:r>
      <w:r>
        <w:rPr>
          <w:rFonts w:eastAsia="仿宋_GB2312" w:hint="eastAsia"/>
          <w:sz w:val="32"/>
          <w:szCs w:val="32"/>
          <w:lang w:val="zh-CN"/>
        </w:rPr>
        <w:t>万元，其中：财政拨款收入</w:t>
      </w:r>
      <w:r>
        <w:rPr>
          <w:rFonts w:hint="eastAsia"/>
          <w:sz w:val="32"/>
          <w:szCs w:val="32"/>
        </w:rPr>
        <w:t>8562.42</w:t>
      </w:r>
      <w:r>
        <w:rPr>
          <w:rFonts w:eastAsia="仿宋_GB2312" w:hint="eastAsia"/>
          <w:sz w:val="32"/>
          <w:szCs w:val="32"/>
          <w:lang w:val="zh-CN"/>
        </w:rPr>
        <w:t>万元，占</w:t>
      </w:r>
      <w:r>
        <w:rPr>
          <w:rFonts w:hint="eastAsia"/>
          <w:sz w:val="32"/>
          <w:szCs w:val="32"/>
        </w:rPr>
        <w:t>100</w:t>
      </w:r>
      <w:r>
        <w:rPr>
          <w:rFonts w:eastAsia="仿宋_GB2312" w:hint="eastAsia"/>
          <w:sz w:val="32"/>
          <w:szCs w:val="32"/>
          <w:lang w:val="zh-CN"/>
        </w:rPr>
        <w:t>%</w:t>
      </w:r>
      <w:r>
        <w:rPr>
          <w:rFonts w:hint="eastAsia"/>
          <w:sz w:val="32"/>
          <w:szCs w:val="32"/>
          <w:lang w:val="zh-CN"/>
        </w:rPr>
        <w:t>，</w:t>
      </w:r>
      <w:r>
        <w:rPr>
          <w:rFonts w:eastAsia="仿宋_GB2312" w:hint="eastAsia"/>
          <w:sz w:val="32"/>
          <w:szCs w:val="32"/>
        </w:rPr>
        <w:t>其他收入为</w:t>
      </w:r>
      <w:r>
        <w:rPr>
          <w:rFonts w:eastAsia="仿宋_GB2312" w:hint="eastAsia"/>
          <w:sz w:val="32"/>
          <w:szCs w:val="32"/>
        </w:rPr>
        <w:t xml:space="preserve"> </w:t>
      </w:r>
      <w:r>
        <w:rPr>
          <w:rFonts w:hint="eastAsia"/>
          <w:sz w:val="32"/>
          <w:szCs w:val="32"/>
        </w:rPr>
        <w:t>0</w:t>
      </w:r>
      <w:r>
        <w:rPr>
          <w:rFonts w:eastAsia="仿宋_GB2312" w:hint="eastAsia"/>
          <w:sz w:val="32"/>
          <w:szCs w:val="32"/>
        </w:rPr>
        <w:t>万元，占比</w:t>
      </w:r>
      <w:r>
        <w:rPr>
          <w:rFonts w:hint="eastAsia"/>
          <w:sz w:val="32"/>
          <w:szCs w:val="32"/>
        </w:rPr>
        <w:t>0</w:t>
      </w:r>
      <w:r>
        <w:rPr>
          <w:rFonts w:eastAsia="仿宋_GB2312" w:hint="eastAsia"/>
          <w:sz w:val="32"/>
          <w:szCs w:val="32"/>
        </w:rPr>
        <w:t>%</w:t>
      </w:r>
      <w:r>
        <w:rPr>
          <w:rFonts w:hint="eastAsia"/>
          <w:sz w:val="32"/>
          <w:szCs w:val="32"/>
        </w:rPr>
        <w:t>。</w:t>
      </w:r>
    </w:p>
    <w:p w14:paraId="6407E0EC" w14:textId="77777777" w:rsidR="00062E74" w:rsidRDefault="00000000">
      <w:pPr>
        <w:widowControl/>
        <w:numPr>
          <w:ilvl w:val="0"/>
          <w:numId w:val="5"/>
        </w:numPr>
        <w:adjustRightInd w:val="0"/>
        <w:snapToGrid w:val="0"/>
        <w:spacing w:line="560" w:lineRule="exact"/>
        <w:ind w:firstLineChars="200" w:firstLine="640"/>
        <w:jc w:val="left"/>
        <w:rPr>
          <w:rFonts w:ascii="楷体_GB2312" w:eastAsia="楷体_GB2312"/>
          <w:b/>
          <w:sz w:val="32"/>
          <w:szCs w:val="32"/>
        </w:rPr>
      </w:pPr>
      <w:r>
        <w:rPr>
          <w:rFonts w:ascii="楷体_GB2312" w:eastAsia="楷体_GB2312" w:hint="eastAsia"/>
          <w:b/>
          <w:sz w:val="32"/>
          <w:szCs w:val="32"/>
        </w:rPr>
        <w:t>支出情况。</w:t>
      </w:r>
    </w:p>
    <w:p w14:paraId="1D4CAD01" w14:textId="77777777" w:rsidR="00062E74" w:rsidRDefault="00000000">
      <w:pPr>
        <w:widowControl/>
        <w:adjustRightInd w:val="0"/>
        <w:snapToGrid w:val="0"/>
        <w:spacing w:line="560" w:lineRule="exact"/>
        <w:ind w:firstLineChars="200" w:firstLine="640"/>
        <w:jc w:val="left"/>
        <w:rPr>
          <w:rFonts w:ascii="仿宋_GB2312" w:eastAsia="仿宋_GB2312"/>
          <w:sz w:val="32"/>
          <w:szCs w:val="32"/>
        </w:rPr>
      </w:pPr>
      <w:r>
        <w:rPr>
          <w:rFonts w:ascii="仿宋_GB2312" w:eastAsia="仿宋_GB2312" w:hAnsi="仿宋" w:hint="eastAsia"/>
          <w:sz w:val="32"/>
          <w:szCs w:val="32"/>
        </w:rPr>
        <w:t>本单位</w:t>
      </w:r>
      <w:r>
        <w:rPr>
          <w:rFonts w:ascii="仿宋_GB2312" w:hAnsi="仿宋" w:hint="eastAsia"/>
          <w:sz w:val="32"/>
          <w:szCs w:val="32"/>
        </w:rPr>
        <w:t>2023</w:t>
      </w:r>
      <w:r>
        <w:rPr>
          <w:rFonts w:ascii="仿宋_GB2312" w:hAnsi="仿宋" w:hint="eastAsia"/>
          <w:sz w:val="32"/>
          <w:szCs w:val="32"/>
        </w:rPr>
        <w:t>年支出</w:t>
      </w:r>
      <w:r>
        <w:rPr>
          <w:rFonts w:ascii="仿宋_GB2312" w:eastAsia="仿宋_GB2312" w:hAnsi="仿宋" w:hint="eastAsia"/>
          <w:sz w:val="32"/>
          <w:szCs w:val="32"/>
        </w:rPr>
        <w:t>全年预算数为</w:t>
      </w:r>
      <w:r>
        <w:rPr>
          <w:rFonts w:ascii="仿宋_GB2312" w:hAnsi="仿宋" w:hint="eastAsia"/>
          <w:sz w:val="32"/>
          <w:szCs w:val="32"/>
        </w:rPr>
        <w:t>8562.42</w:t>
      </w:r>
      <w:r>
        <w:rPr>
          <w:rFonts w:ascii="仿宋_GB2312" w:eastAsia="仿宋_GB2312" w:hAnsi="仿宋" w:hint="eastAsia"/>
          <w:sz w:val="32"/>
          <w:szCs w:val="32"/>
        </w:rPr>
        <w:t>万元，</w:t>
      </w:r>
      <w:r>
        <w:rPr>
          <w:rFonts w:ascii="仿宋_GB2312" w:hAnsi="仿宋" w:hint="eastAsia"/>
          <w:sz w:val="32"/>
          <w:szCs w:val="32"/>
        </w:rPr>
        <w:t>支出</w:t>
      </w:r>
      <w:r>
        <w:rPr>
          <w:rFonts w:ascii="仿宋_GB2312" w:eastAsia="仿宋_GB2312" w:hAnsi="仿宋" w:hint="eastAsia"/>
          <w:sz w:val="32"/>
          <w:szCs w:val="32"/>
        </w:rPr>
        <w:t>决算数为</w:t>
      </w:r>
      <w:r>
        <w:rPr>
          <w:rFonts w:ascii="仿宋_GB2312" w:hAnsi="仿宋" w:hint="eastAsia"/>
          <w:sz w:val="32"/>
          <w:szCs w:val="32"/>
        </w:rPr>
        <w:t>8562.42</w:t>
      </w:r>
      <w:r>
        <w:rPr>
          <w:rFonts w:ascii="仿宋_GB2312" w:eastAsia="仿宋_GB2312" w:hAnsi="仿宋" w:hint="eastAsia"/>
          <w:sz w:val="32"/>
          <w:szCs w:val="32"/>
        </w:rPr>
        <w:t>万元，预算完成度为100%</w:t>
      </w:r>
      <w:r>
        <w:rPr>
          <w:rFonts w:ascii="仿宋_GB2312" w:hAnsi="仿宋" w:hint="eastAsia"/>
          <w:sz w:val="32"/>
          <w:szCs w:val="32"/>
        </w:rPr>
        <w:t>。</w:t>
      </w:r>
      <w:r>
        <w:rPr>
          <w:rFonts w:ascii="仿宋_GB2312" w:eastAsia="仿宋_GB2312" w:hAnsi="仿宋" w:cs="仿宋_GB2312" w:hint="eastAsia"/>
          <w:color w:val="000000"/>
          <w:kern w:val="0"/>
          <w:sz w:val="32"/>
          <w:szCs w:val="32"/>
          <w:lang w:val="zh-CN" w:bidi="ar"/>
        </w:rPr>
        <w:t>20</w:t>
      </w:r>
      <w:r>
        <w:rPr>
          <w:rFonts w:ascii="仿宋_GB2312" w:eastAsia="仿宋_GB2312" w:hAnsi="仿宋" w:cs="仿宋_GB2312" w:hint="eastAsia"/>
          <w:color w:val="000000"/>
          <w:kern w:val="0"/>
          <w:sz w:val="32"/>
          <w:szCs w:val="32"/>
          <w:lang w:bidi="ar"/>
        </w:rPr>
        <w:t>23</w:t>
      </w:r>
      <w:r>
        <w:rPr>
          <w:rFonts w:ascii="仿宋_GB2312" w:eastAsia="仿宋_GB2312" w:hAnsi="仿宋" w:cs="仿宋_GB2312" w:hint="eastAsia"/>
          <w:color w:val="000000"/>
          <w:kern w:val="0"/>
          <w:sz w:val="32"/>
          <w:szCs w:val="32"/>
          <w:lang w:val="zh-CN" w:bidi="ar"/>
        </w:rPr>
        <w:t>年支出合计</w:t>
      </w:r>
      <w:r>
        <w:rPr>
          <w:rFonts w:ascii="仿宋_GB2312" w:hAnsi="仿宋" w:cs="仿宋_GB2312" w:hint="eastAsia"/>
          <w:color w:val="000000"/>
          <w:kern w:val="0"/>
          <w:sz w:val="32"/>
          <w:szCs w:val="32"/>
          <w:lang w:bidi="ar"/>
        </w:rPr>
        <w:t>8562.42</w:t>
      </w:r>
      <w:r>
        <w:rPr>
          <w:rFonts w:ascii="仿宋_GB2312" w:eastAsia="仿宋_GB2312" w:hAnsi="仿宋" w:cs="仿宋_GB2312" w:hint="eastAsia"/>
          <w:color w:val="000000"/>
          <w:kern w:val="0"/>
          <w:sz w:val="32"/>
          <w:szCs w:val="32"/>
          <w:lang w:val="zh-CN" w:bidi="ar"/>
        </w:rPr>
        <w:t>万元，</w:t>
      </w:r>
      <w:r>
        <w:rPr>
          <w:rFonts w:ascii="仿宋_GB2312" w:eastAsia="仿宋_GB2312" w:hAnsi="仿宋_GB2312" w:cs="仿宋_GB2312" w:hint="eastAsia"/>
          <w:color w:val="000000"/>
          <w:kern w:val="0"/>
          <w:sz w:val="32"/>
          <w:szCs w:val="32"/>
          <w:shd w:val="clear" w:color="auto" w:fill="FFFFFF"/>
        </w:rPr>
        <w:t>其中：公共安全支出7281.94万</w:t>
      </w:r>
      <w:r>
        <w:rPr>
          <w:rFonts w:ascii="仿宋_GB2312" w:eastAsia="仿宋_GB2312" w:hAnsi="仿宋_GB2312" w:cs="仿宋_GB2312" w:hint="eastAsia"/>
          <w:color w:val="000000"/>
          <w:kern w:val="0"/>
          <w:sz w:val="32"/>
          <w:szCs w:val="32"/>
          <w:shd w:val="clear" w:color="auto" w:fill="FFFFFF"/>
        </w:rPr>
        <w:lastRenderedPageBreak/>
        <w:t>元，占比85.05%；社会保障和就业支出637.11万元，占比7.44%；卫生健康支出266.14万元，占比3.11%；住房保障支出377.24万元，占比4.41%。</w:t>
      </w:r>
    </w:p>
    <w:p w14:paraId="2195CF17" w14:textId="77777777" w:rsidR="00062E74" w:rsidRDefault="00000000">
      <w:pPr>
        <w:widowControl/>
        <w:numPr>
          <w:ilvl w:val="0"/>
          <w:numId w:val="5"/>
        </w:numPr>
        <w:adjustRightInd w:val="0"/>
        <w:snapToGrid w:val="0"/>
        <w:spacing w:line="578" w:lineRule="exact"/>
        <w:ind w:firstLineChars="200" w:firstLine="640"/>
        <w:contextualSpacing/>
        <w:jc w:val="left"/>
        <w:rPr>
          <w:rFonts w:ascii="楷体_GB2312" w:eastAsia="楷体_GB2312"/>
          <w:b/>
          <w:sz w:val="32"/>
          <w:szCs w:val="32"/>
        </w:rPr>
      </w:pPr>
      <w:r>
        <w:rPr>
          <w:rFonts w:ascii="楷体_GB2312" w:eastAsia="楷体_GB2312" w:hint="eastAsia"/>
          <w:b/>
          <w:sz w:val="32"/>
          <w:szCs w:val="32"/>
        </w:rPr>
        <w:t>结余分配和结转结余情况。</w:t>
      </w:r>
    </w:p>
    <w:p w14:paraId="0B366306" w14:textId="77777777" w:rsidR="00062E74" w:rsidRDefault="00000000">
      <w:pPr>
        <w:widowControl/>
        <w:adjustRightInd w:val="0"/>
        <w:snapToGrid w:val="0"/>
        <w:spacing w:line="578" w:lineRule="exact"/>
        <w:ind w:firstLineChars="200" w:firstLine="640"/>
        <w:contextualSpacing/>
        <w:jc w:val="left"/>
        <w:rPr>
          <w:rFonts w:ascii="仿宋_GB2312" w:eastAsia="仿宋_GB2312"/>
          <w:sz w:val="32"/>
          <w:szCs w:val="32"/>
        </w:rPr>
      </w:pPr>
      <w:r>
        <w:rPr>
          <w:rFonts w:ascii="仿宋_GB2312" w:eastAsia="仿宋_GB2312" w:hAnsi="仿宋" w:cs="仿宋_GB2312" w:hint="eastAsia"/>
          <w:color w:val="000000"/>
          <w:kern w:val="0"/>
          <w:sz w:val="32"/>
          <w:szCs w:val="32"/>
          <w:lang w:bidi="ar"/>
        </w:rPr>
        <w:t>红原县</w:t>
      </w:r>
      <w:r>
        <w:rPr>
          <w:rFonts w:ascii="仿宋_GB2312" w:hAnsi="仿宋" w:cs="仿宋_GB2312" w:hint="eastAsia"/>
          <w:color w:val="000000"/>
          <w:kern w:val="0"/>
          <w:sz w:val="32"/>
          <w:szCs w:val="32"/>
          <w:lang w:bidi="ar"/>
        </w:rPr>
        <w:t>公安局</w:t>
      </w:r>
      <w:r>
        <w:rPr>
          <w:rFonts w:ascii="仿宋_GB2312" w:eastAsia="仿宋_GB2312" w:hAnsi="仿宋" w:cs="仿宋_GB2312" w:hint="eastAsia"/>
          <w:color w:val="000000"/>
          <w:kern w:val="0"/>
          <w:sz w:val="32"/>
          <w:szCs w:val="32"/>
          <w:lang w:bidi="ar"/>
        </w:rPr>
        <w:t>2023年决算报表</w:t>
      </w:r>
      <w:r>
        <w:rPr>
          <w:rFonts w:ascii="仿宋_GB2312" w:eastAsia="仿宋_GB2312" w:hAnsi="仿宋" w:cs="仿宋_GB2312"/>
          <w:color w:val="000000"/>
          <w:kern w:val="0"/>
          <w:sz w:val="32"/>
          <w:szCs w:val="32"/>
          <w:lang w:bidi="ar"/>
        </w:rPr>
        <w:t>结转结余</w:t>
      </w:r>
      <w:r>
        <w:rPr>
          <w:rFonts w:ascii="仿宋_GB2312" w:hAnsi="仿宋" w:cs="仿宋_GB2312" w:hint="eastAsia"/>
          <w:color w:val="000000"/>
          <w:kern w:val="0"/>
          <w:sz w:val="32"/>
          <w:szCs w:val="32"/>
          <w:lang w:bidi="ar"/>
        </w:rPr>
        <w:t>为</w:t>
      </w:r>
      <w:r>
        <w:rPr>
          <w:rFonts w:ascii="仿宋_GB2312" w:hAnsi="仿宋" w:cs="仿宋_GB2312" w:hint="eastAsia"/>
          <w:color w:val="000000"/>
          <w:kern w:val="0"/>
          <w:sz w:val="32"/>
          <w:szCs w:val="32"/>
          <w:lang w:bidi="ar"/>
        </w:rPr>
        <w:t>0</w:t>
      </w:r>
      <w:r>
        <w:rPr>
          <w:rFonts w:ascii="仿宋_GB2312" w:hAnsi="仿宋" w:cs="仿宋_GB2312" w:hint="eastAsia"/>
          <w:color w:val="000000"/>
          <w:kern w:val="0"/>
          <w:sz w:val="32"/>
          <w:szCs w:val="32"/>
          <w:lang w:bidi="ar"/>
        </w:rPr>
        <w:t>元</w:t>
      </w:r>
      <w:r>
        <w:rPr>
          <w:rFonts w:ascii="仿宋_GB2312" w:eastAsia="仿宋_GB2312" w:hAnsi="仿宋" w:cs="仿宋_GB2312"/>
          <w:color w:val="000000"/>
          <w:kern w:val="0"/>
          <w:sz w:val="32"/>
          <w:szCs w:val="32"/>
          <w:lang w:bidi="ar"/>
        </w:rPr>
        <w:t>。</w:t>
      </w:r>
    </w:p>
    <w:p w14:paraId="4081A376" w14:textId="77777777" w:rsidR="00062E74" w:rsidRDefault="00000000">
      <w:pPr>
        <w:rPr>
          <w:rFonts w:ascii="黑体" w:eastAsia="黑体" w:hAnsi="黑体" w:hint="eastAsia"/>
          <w:sz w:val="32"/>
          <w:szCs w:val="32"/>
        </w:rPr>
      </w:pPr>
      <w:r>
        <w:rPr>
          <w:rFonts w:ascii="黑体" w:eastAsia="黑体" w:hAnsi="黑体" w:hint="eastAsia"/>
          <w:sz w:val="32"/>
          <w:szCs w:val="32"/>
        </w:rPr>
        <w:t>三、部门预算绩效分析</w:t>
      </w:r>
    </w:p>
    <w:p w14:paraId="4868CE3E" w14:textId="77777777" w:rsidR="00062E74" w:rsidRDefault="00000000">
      <w:pPr>
        <w:rPr>
          <w:rFonts w:ascii="仿宋_GB2312" w:eastAsia="仿宋_GB2312"/>
          <w:sz w:val="32"/>
          <w:szCs w:val="32"/>
        </w:rPr>
      </w:pPr>
      <w:r>
        <w:rPr>
          <w:rFonts w:ascii="楷体_GB2312" w:eastAsia="楷体_GB2312" w:hint="eastAsia"/>
          <w:b/>
          <w:sz w:val="32"/>
          <w:szCs w:val="32"/>
        </w:rPr>
        <w:t>（一）部门预算总体绩效分析。</w:t>
      </w:r>
      <w:r>
        <w:rPr>
          <w:rFonts w:ascii="仿宋_GB2312" w:eastAsia="仿宋_GB2312" w:hint="eastAsia"/>
          <w:sz w:val="32"/>
          <w:szCs w:val="32"/>
        </w:rPr>
        <w:t>根据部门预算绩效评价指标体系“总体绩效”涉及二、三级指标进行逐项绩效分析并评分，依次包括履职效能、预算管理、财务管理、资产管理、采购管理等情况。</w:t>
      </w:r>
    </w:p>
    <w:p w14:paraId="77BCFB55" w14:textId="77777777" w:rsidR="00062E74" w:rsidRDefault="00000000">
      <w:pPr>
        <w:spacing w:line="578" w:lineRule="exact"/>
        <w:ind w:firstLineChars="200" w:firstLine="640"/>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1.</w:t>
      </w:r>
      <w:r>
        <w:rPr>
          <w:rFonts w:ascii="楷体_GB2312" w:eastAsia="楷体_GB2312" w:hAnsi="楷体_GB2312" w:cs="楷体_GB2312" w:hint="eastAsia"/>
          <w:color w:val="000000"/>
          <w:kern w:val="0"/>
          <w:sz w:val="32"/>
          <w:szCs w:val="32"/>
          <w:shd w:val="clear" w:color="auto" w:fill="FFFFFF"/>
          <w:lang w:val="zh-CN"/>
        </w:rPr>
        <w:t>履职</w:t>
      </w:r>
      <w:r>
        <w:rPr>
          <w:rFonts w:ascii="楷体_GB2312" w:eastAsia="楷体_GB2312" w:hAnsi="楷体_GB2312" w:cs="楷体_GB2312" w:hint="eastAsia"/>
          <w:color w:val="000000"/>
          <w:kern w:val="0"/>
          <w:sz w:val="32"/>
          <w:szCs w:val="32"/>
          <w:shd w:val="clear" w:color="auto" w:fill="FFFFFF"/>
        </w:rPr>
        <w:t>效能</w:t>
      </w:r>
      <w:r>
        <w:rPr>
          <w:rFonts w:ascii="楷体_GB2312" w:eastAsia="楷体_GB2312" w:hAnsi="楷体_GB2312" w:cs="楷体_GB2312" w:hint="eastAsia"/>
          <w:color w:val="000000"/>
          <w:kern w:val="0"/>
          <w:sz w:val="32"/>
          <w:szCs w:val="32"/>
          <w:shd w:val="clear" w:color="auto" w:fill="FFFFFF"/>
          <w:lang w:val="zh-CN"/>
        </w:rPr>
        <w:t>。</w:t>
      </w:r>
    </w:p>
    <w:p w14:paraId="2802F1C7"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产出指标：数量指标，查处交通违法（起），≥500起，全年完成值应保尽保。</w:t>
      </w:r>
    </w:p>
    <w:p w14:paraId="1402298D"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产出指标：数量指标，反诈骗预警劝阻次数，≥30人次，全年完成值应保尽保。</w:t>
      </w:r>
    </w:p>
    <w:p w14:paraId="3200B9ED"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产出指标：数量指标，结案行政案件率，≥80%，全年完成值100%。</w:t>
      </w:r>
    </w:p>
    <w:p w14:paraId="60E9794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产出指标：数量指标，拘留所行政拘留人次，≥30人次，全年完成值应保尽保。</w:t>
      </w:r>
    </w:p>
    <w:p w14:paraId="77DFBF16"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产出指标：数量指标，看守所关押犯罪嫌疑人次，≥30人次，全年完成值应保尽保。</w:t>
      </w:r>
    </w:p>
    <w:p w14:paraId="5DB2A4B4"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w:t>
      </w:r>
      <w:proofErr w:type="gramStart"/>
      <w:r>
        <w:rPr>
          <w:rFonts w:ascii="仿宋_GB2312" w:eastAsia="仿宋_GB2312" w:hint="eastAsia"/>
          <w:sz w:val="32"/>
          <w:szCs w:val="32"/>
        </w:rPr>
        <w:t>网逃人员</w:t>
      </w:r>
      <w:proofErr w:type="gramEnd"/>
      <w:r>
        <w:rPr>
          <w:rFonts w:ascii="仿宋_GB2312" w:eastAsia="仿宋_GB2312" w:hint="eastAsia"/>
          <w:sz w:val="32"/>
          <w:szCs w:val="32"/>
        </w:rPr>
        <w:t>抓获人次，≥10人次，</w:t>
      </w:r>
      <w:r>
        <w:rPr>
          <w:rFonts w:ascii="仿宋_GB2312" w:eastAsia="仿宋_GB2312" w:hint="eastAsia"/>
          <w:sz w:val="32"/>
          <w:szCs w:val="32"/>
        </w:rPr>
        <w:lastRenderedPageBreak/>
        <w:t>全年完成值应保尽保。</w:t>
      </w:r>
    </w:p>
    <w:p w14:paraId="29657505"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产出指标:数量指标，刑事拘留人次，≥1人次，全年完成值应保尽保。</w:t>
      </w:r>
    </w:p>
    <w:p w14:paraId="3446FC4F"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产出指标：数量指标，行政拘留人次，≥50人次，全年完成值应保尽保。</w:t>
      </w:r>
    </w:p>
    <w:p w14:paraId="224A4515"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产出指标：质量指标，管理制度健全性，定性指标，全年完成值优。</w:t>
      </w:r>
    </w:p>
    <w:p w14:paraId="1648FD10"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产出指标：质量指标，破案率，≥50%，全年完成值100%。</w:t>
      </w:r>
    </w:p>
    <w:p w14:paraId="09211EC4"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产出指标：质量指标，资金使用合</w:t>
      </w:r>
      <w:proofErr w:type="gramStart"/>
      <w:r>
        <w:rPr>
          <w:rFonts w:ascii="仿宋_GB2312" w:eastAsia="仿宋_GB2312" w:hint="eastAsia"/>
          <w:sz w:val="32"/>
          <w:szCs w:val="32"/>
        </w:rPr>
        <w:t>规</w:t>
      </w:r>
      <w:proofErr w:type="gramEnd"/>
      <w:r>
        <w:rPr>
          <w:rFonts w:ascii="仿宋_GB2312" w:eastAsia="仿宋_GB2312" w:hint="eastAsia"/>
          <w:sz w:val="32"/>
          <w:szCs w:val="32"/>
        </w:rPr>
        <w:t>性，定性指标，全年完成值高。</w:t>
      </w:r>
    </w:p>
    <w:p w14:paraId="56A5F169"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产出指标：时效指标，部门预算支出及时率，≥90%，全年完成值100%。</w:t>
      </w:r>
    </w:p>
    <w:p w14:paraId="372B296E"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效益指标：经济效益指标，挡获盗抢机动车挽回经济损失金额，≥100万元，全年完成值100%。</w:t>
      </w:r>
    </w:p>
    <w:p w14:paraId="0DE1241A"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效益指标：经济效益指标，电信诈骗挽回经济损失金额，≥100万元，全年完成值100%。</w:t>
      </w:r>
    </w:p>
    <w:p w14:paraId="1132A355"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rPr>
        <w:t>效益指标：经济效益指标，罚没资金，≥12万元，全年完成值100%。</w:t>
      </w:r>
    </w:p>
    <w:p w14:paraId="5EB0BBF5" w14:textId="77777777" w:rsidR="00062E74" w:rsidRDefault="00000000">
      <w:pPr>
        <w:ind w:firstLineChars="200" w:firstLine="640"/>
        <w:rPr>
          <w:rFonts w:ascii="仿宋_GB2312" w:eastAsia="仿宋_GB2312"/>
          <w:sz w:val="32"/>
          <w:szCs w:val="32"/>
          <w:lang w:val="zh-CN"/>
        </w:rPr>
      </w:pPr>
      <w:r>
        <w:rPr>
          <w:rFonts w:ascii="仿宋_GB2312" w:eastAsia="仿宋_GB2312" w:hint="eastAsia"/>
          <w:sz w:val="32"/>
          <w:szCs w:val="32"/>
        </w:rPr>
        <w:t>满意度指标：服务对象满意度指标，公安执法满意度，≥88%，全年完成值100%。</w:t>
      </w:r>
    </w:p>
    <w:p w14:paraId="3D279C2B" w14:textId="77777777" w:rsidR="00062E74" w:rsidRDefault="00000000">
      <w:pPr>
        <w:numPr>
          <w:ilvl w:val="0"/>
          <w:numId w:val="3"/>
        </w:numPr>
        <w:spacing w:line="578" w:lineRule="exact"/>
        <w:ind w:firstLineChars="200" w:firstLine="640"/>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lang w:val="zh-CN"/>
        </w:rPr>
        <w:t>预算管理。</w:t>
      </w:r>
    </w:p>
    <w:p w14:paraId="339EE242"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lang w:val="zh-CN"/>
        </w:rPr>
        <w:t>预算编制质量：实际收入与预算收入无差异，实际支出</w:t>
      </w:r>
      <w:r>
        <w:rPr>
          <w:rFonts w:ascii="仿宋_GB2312" w:eastAsia="仿宋_GB2312" w:hint="eastAsia"/>
          <w:sz w:val="32"/>
          <w:szCs w:val="32"/>
          <w:lang w:val="zh-CN"/>
        </w:rPr>
        <w:lastRenderedPageBreak/>
        <w:t>与预算支出无差异。所有应纳入预算的项目被涵盖</w:t>
      </w:r>
      <w:r>
        <w:rPr>
          <w:rFonts w:ascii="仿宋_GB2312" w:eastAsia="仿宋_GB2312" w:hint="eastAsia"/>
          <w:sz w:val="32"/>
          <w:szCs w:val="32"/>
        </w:rPr>
        <w:t>100%，预算分配与单位的年度总体目标相匹配。预算编制符合法律法规和内部政策制度。</w:t>
      </w:r>
    </w:p>
    <w:p w14:paraId="715AC023" w14:textId="77777777" w:rsidR="00062E74"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单位收入统筹：</w:t>
      </w:r>
      <w:r>
        <w:rPr>
          <w:rFonts w:ascii="仿宋_GB2312" w:eastAsia="仿宋_GB2312" w:hint="eastAsia"/>
          <w:sz w:val="32"/>
          <w:szCs w:val="32"/>
        </w:rPr>
        <w:t>本单位2023年收入全年预算数为8562.42万元，收入决算数为8562.42万元，预算完成度为100%。</w:t>
      </w:r>
      <w:r>
        <w:rPr>
          <w:rFonts w:ascii="仿宋_GB2312" w:eastAsia="仿宋_GB2312" w:hint="eastAsia"/>
          <w:sz w:val="32"/>
          <w:szCs w:val="32"/>
          <w:lang w:val="zh-CN"/>
        </w:rPr>
        <w:t>20</w:t>
      </w:r>
      <w:r>
        <w:rPr>
          <w:rFonts w:ascii="仿宋_GB2312" w:eastAsia="仿宋_GB2312" w:hint="eastAsia"/>
          <w:sz w:val="32"/>
          <w:szCs w:val="32"/>
        </w:rPr>
        <w:t>23</w:t>
      </w:r>
      <w:r>
        <w:rPr>
          <w:rFonts w:ascii="仿宋_GB2312" w:eastAsia="仿宋_GB2312" w:hint="eastAsia"/>
          <w:sz w:val="32"/>
          <w:szCs w:val="32"/>
          <w:lang w:val="zh-CN"/>
        </w:rPr>
        <w:t>年度总收入</w:t>
      </w:r>
      <w:r>
        <w:rPr>
          <w:rFonts w:ascii="仿宋_GB2312" w:eastAsia="仿宋_GB2312" w:hint="eastAsia"/>
          <w:sz w:val="32"/>
          <w:szCs w:val="32"/>
        </w:rPr>
        <w:t>8562.42</w:t>
      </w:r>
      <w:r>
        <w:rPr>
          <w:rFonts w:ascii="仿宋_GB2312" w:eastAsia="仿宋_GB2312" w:hint="eastAsia"/>
          <w:sz w:val="32"/>
          <w:szCs w:val="32"/>
          <w:lang w:val="zh-CN"/>
        </w:rPr>
        <w:t>万元，其中：财政拨款收入</w:t>
      </w:r>
      <w:r>
        <w:rPr>
          <w:rFonts w:ascii="仿宋_GB2312" w:eastAsia="仿宋_GB2312" w:hint="eastAsia"/>
          <w:sz w:val="32"/>
          <w:szCs w:val="32"/>
        </w:rPr>
        <w:t>8562.42</w:t>
      </w:r>
      <w:r>
        <w:rPr>
          <w:rFonts w:ascii="仿宋_GB2312" w:eastAsia="仿宋_GB2312" w:hint="eastAsia"/>
          <w:sz w:val="32"/>
          <w:szCs w:val="32"/>
          <w:lang w:val="zh-CN"/>
        </w:rPr>
        <w:t>万元，占</w:t>
      </w:r>
      <w:r>
        <w:rPr>
          <w:rFonts w:ascii="仿宋_GB2312" w:eastAsia="仿宋_GB2312" w:hint="eastAsia"/>
          <w:sz w:val="32"/>
          <w:szCs w:val="32"/>
        </w:rPr>
        <w:t>100</w:t>
      </w:r>
      <w:r>
        <w:rPr>
          <w:rFonts w:ascii="仿宋_GB2312" w:eastAsia="仿宋_GB2312" w:hint="eastAsia"/>
          <w:sz w:val="32"/>
          <w:szCs w:val="32"/>
          <w:lang w:val="zh-CN"/>
        </w:rPr>
        <w:t>%；政府性基金预算财政拨款</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%；其他收入</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%；上级补助收入0万元，占0%；事业收入0万元，占0%；经营收入0万元，占0%；附属单位上缴收入0万元，占0%；上年项目支出结转和结余</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p>
    <w:p w14:paraId="4189E777" w14:textId="77777777" w:rsidR="00062E74" w:rsidRDefault="00000000">
      <w:pPr>
        <w:ind w:firstLineChars="200" w:firstLine="640"/>
        <w:rPr>
          <w:rFonts w:ascii="仿宋_GB2312" w:eastAsia="仿宋_GB2312"/>
          <w:sz w:val="32"/>
          <w:szCs w:val="32"/>
        </w:rPr>
      </w:pPr>
      <w:r>
        <w:rPr>
          <w:rFonts w:ascii="仿宋_GB2312" w:eastAsia="仿宋_GB2312" w:hint="eastAsia"/>
          <w:sz w:val="32"/>
          <w:szCs w:val="32"/>
          <w:lang w:val="zh-CN"/>
        </w:rPr>
        <w:t>支出执行进度：</w:t>
      </w:r>
      <w:r>
        <w:rPr>
          <w:rFonts w:ascii="仿宋_GB2312" w:eastAsia="仿宋_GB2312" w:hint="eastAsia"/>
          <w:sz w:val="32"/>
          <w:szCs w:val="32"/>
        </w:rPr>
        <w:t>2023年度支出全年预算数为8562.42万元，支出决算数为8562.42万元，预算完成度为100%，执行进度100%。</w:t>
      </w:r>
    </w:p>
    <w:p w14:paraId="628197AC" w14:textId="77777777" w:rsidR="00062E74"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预算年终结余：无。</w:t>
      </w:r>
    </w:p>
    <w:p w14:paraId="20A47A5A" w14:textId="77777777" w:rsidR="00062E74" w:rsidRDefault="00000000">
      <w:pPr>
        <w:numPr>
          <w:ilvl w:val="0"/>
          <w:numId w:val="3"/>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t>财务管理。</w:t>
      </w:r>
      <w:r>
        <w:rPr>
          <w:rFonts w:eastAsia="仿宋_GB2312" w:hint="eastAsia"/>
          <w:sz w:val="32"/>
          <w:szCs w:val="32"/>
          <w:lang w:val="zh-CN"/>
        </w:rPr>
        <w:t>围绕财务管理制度、财务岗位设置、资金使用规范进行绩效分析。</w:t>
      </w:r>
    </w:p>
    <w:p w14:paraId="60F69281"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w:t>
      </w:r>
      <w:r>
        <w:rPr>
          <w:rFonts w:ascii="仿宋" w:eastAsia="仿宋" w:hAnsi="仿宋" w:cs="仿宋" w:hint="eastAsia"/>
          <w:color w:val="000000"/>
          <w:kern w:val="0"/>
          <w:sz w:val="32"/>
          <w:szCs w:val="32"/>
          <w:shd w:val="clear" w:color="auto" w:fill="FFFFFF"/>
          <w:lang w:val="zh-CN"/>
        </w:rPr>
        <w:lastRenderedPageBreak/>
        <w:t>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6E5F4776"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58456996"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A</w:t>
      </w:r>
      <w:r>
        <w:rPr>
          <w:rFonts w:ascii="仿宋" w:eastAsia="仿宋" w:hAnsi="仿宋" w:cs="仿宋" w:hint="eastAsia"/>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79F072BC"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B</w:t>
      </w:r>
      <w:r>
        <w:rPr>
          <w:rFonts w:ascii="仿宋" w:eastAsia="仿宋" w:hAnsi="仿宋" w:cs="仿宋" w:hint="eastAsia"/>
          <w:color w:val="000000"/>
          <w:kern w:val="0"/>
          <w:sz w:val="32"/>
          <w:szCs w:val="32"/>
          <w:shd w:val="clear" w:color="auto" w:fill="FFFFFF"/>
          <w:lang w:val="zh-CN"/>
        </w:rPr>
        <w:t>、明确了财务收支审批程序和审批人的权限和责任，规范了各项资金的使用，提高了资金使用效益。</w:t>
      </w:r>
    </w:p>
    <w:p w14:paraId="186E8EEF"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C</w:t>
      </w:r>
      <w:r>
        <w:rPr>
          <w:rFonts w:ascii="仿宋" w:eastAsia="仿宋" w:hAnsi="仿宋" w:cs="仿宋" w:hint="eastAsia"/>
          <w:color w:val="000000"/>
          <w:kern w:val="0"/>
          <w:sz w:val="32"/>
          <w:szCs w:val="32"/>
          <w:shd w:val="clear" w:color="auto" w:fill="FFFFFF"/>
          <w:lang w:val="zh-CN"/>
        </w:rPr>
        <w:t>、明确经费支出的范围和开支标准，采取各种有效措施控制经费开支，杜绝了浪费现象的发生。</w:t>
      </w:r>
    </w:p>
    <w:p w14:paraId="646E2B62" w14:textId="77777777" w:rsidR="00062E74" w:rsidRDefault="00000000">
      <w:pPr>
        <w:adjustRightInd w:val="0"/>
        <w:snapToGrid w:val="0"/>
        <w:spacing w:line="578" w:lineRule="exact"/>
        <w:ind w:firstLineChars="200" w:firstLine="640"/>
        <w:contextualSpacing/>
        <w:jc w:val="left"/>
        <w:rPr>
          <w:lang w:val="zh-CN"/>
        </w:rPr>
      </w:pPr>
      <w:r>
        <w:rPr>
          <w:rFonts w:ascii="仿宋" w:eastAsia="仿宋" w:hAnsi="仿宋" w:cs="仿宋" w:hint="eastAsia"/>
          <w:color w:val="000000"/>
          <w:kern w:val="0"/>
          <w:sz w:val="32"/>
          <w:szCs w:val="32"/>
          <w:shd w:val="clear" w:color="auto" w:fill="FFFFFF"/>
        </w:rPr>
        <w:t>D</w:t>
      </w:r>
      <w:r>
        <w:rPr>
          <w:rFonts w:ascii="仿宋" w:eastAsia="仿宋" w:hAnsi="仿宋" w:cs="仿宋" w:hint="eastAsia"/>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71833028" w14:textId="77777777" w:rsidR="00062E74" w:rsidRDefault="00000000">
      <w:pPr>
        <w:adjustRightInd w:val="0"/>
        <w:snapToGrid w:val="0"/>
        <w:spacing w:line="578" w:lineRule="exact"/>
        <w:ind w:firstLineChars="200" w:firstLine="640"/>
        <w:jc w:val="left"/>
        <w:rPr>
          <w:rFonts w:ascii="楷体_GB2312" w:eastAsia="楷体_GB2312" w:hAnsi="楷体_GB2312" w:cs="楷体_GB2312"/>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lastRenderedPageBreak/>
        <w:t>4.</w:t>
      </w:r>
      <w:r>
        <w:rPr>
          <w:rFonts w:ascii="楷体_GB2312" w:eastAsia="楷体_GB2312" w:hAnsi="楷体_GB2312" w:cs="楷体_GB2312" w:hint="eastAsia"/>
          <w:color w:val="000000"/>
          <w:kern w:val="0"/>
          <w:sz w:val="32"/>
          <w:szCs w:val="32"/>
          <w:shd w:val="clear" w:color="auto" w:fill="FFFFFF"/>
          <w:lang w:val="zh-CN"/>
        </w:rPr>
        <w:t>资产管理。</w:t>
      </w:r>
    </w:p>
    <w:p w14:paraId="50DB5B67"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人均资产变化率：无变化。</w:t>
      </w:r>
    </w:p>
    <w:p w14:paraId="0A4E556A"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资产利用率：</w:t>
      </w:r>
      <w:r>
        <w:rPr>
          <w:rFonts w:ascii="仿宋" w:eastAsia="仿宋" w:hAnsi="仿宋" w:cs="仿宋" w:hint="eastAsia"/>
          <w:color w:val="000000"/>
          <w:kern w:val="0"/>
          <w:sz w:val="32"/>
          <w:szCs w:val="32"/>
          <w:shd w:val="clear" w:color="auto" w:fill="FFFFFF"/>
        </w:rPr>
        <w:t>100%。</w:t>
      </w:r>
    </w:p>
    <w:p w14:paraId="7A2F728F"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资产盘活率：</w:t>
      </w:r>
      <w:r>
        <w:rPr>
          <w:rFonts w:ascii="仿宋" w:eastAsia="仿宋" w:hAnsi="仿宋" w:cs="仿宋" w:hint="eastAsia"/>
          <w:color w:val="000000"/>
          <w:kern w:val="0"/>
          <w:sz w:val="32"/>
          <w:szCs w:val="32"/>
          <w:shd w:val="clear" w:color="auto" w:fill="FFFFFF"/>
        </w:rPr>
        <w:t>95%。</w:t>
      </w:r>
    </w:p>
    <w:p w14:paraId="094ADADA" w14:textId="77777777" w:rsidR="00062E74"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17BA9D43" w14:textId="77777777" w:rsidR="00062E74" w:rsidRDefault="00000000">
      <w:p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5.</w:t>
      </w:r>
      <w:r>
        <w:rPr>
          <w:rFonts w:ascii="楷体_GB2312" w:eastAsia="楷体_GB2312" w:hAnsi="楷体_GB2312" w:cs="楷体_GB2312" w:hint="eastAsia"/>
          <w:color w:val="000000"/>
          <w:kern w:val="0"/>
          <w:sz w:val="32"/>
          <w:szCs w:val="32"/>
          <w:shd w:val="clear" w:color="auto" w:fill="FFFFFF"/>
          <w:lang w:val="zh-CN"/>
        </w:rPr>
        <w:t>采购管理。</w:t>
      </w:r>
      <w:r>
        <w:rPr>
          <w:rFonts w:eastAsia="仿宋_GB2312" w:hint="eastAsia"/>
          <w:sz w:val="32"/>
          <w:szCs w:val="32"/>
          <w:lang w:val="zh-CN"/>
        </w:rPr>
        <w:t>围绕支持中小企业发展、采购执行率进行绩效分析。</w:t>
      </w:r>
    </w:p>
    <w:p w14:paraId="6D2FD26D" w14:textId="77777777" w:rsidR="00062E74" w:rsidRDefault="00000000">
      <w:pPr>
        <w:pStyle w:val="2"/>
        <w:ind w:leftChars="0" w:left="0" w:firstLine="640"/>
        <w:rPr>
          <w:rFonts w:ascii="Times New Roman" w:eastAsia="仿宋_GB2312"/>
          <w:sz w:val="32"/>
          <w:lang w:val="zh-CN"/>
        </w:rPr>
      </w:pPr>
      <w:r>
        <w:rPr>
          <w:rFonts w:ascii="Times New Roman" w:eastAsia="仿宋_GB2312" w:hint="eastAsia"/>
          <w:sz w:val="32"/>
        </w:rPr>
        <w:t>本单位无采购。</w:t>
      </w:r>
    </w:p>
    <w:p w14:paraId="5EA89D8D" w14:textId="77777777" w:rsidR="00062E74" w:rsidRDefault="00000000">
      <w:pPr>
        <w:ind w:firstLineChars="200" w:firstLine="640"/>
        <w:rPr>
          <w:rFonts w:eastAsia="仿宋_GB2312"/>
          <w:sz w:val="32"/>
          <w:szCs w:val="32"/>
          <w:lang w:val="zh-CN"/>
        </w:rPr>
      </w:pPr>
      <w:r>
        <w:rPr>
          <w:rFonts w:ascii="楷体_GB2312" w:eastAsia="楷体_GB2312" w:hint="eastAsia"/>
          <w:b/>
          <w:sz w:val="32"/>
          <w:szCs w:val="32"/>
        </w:rPr>
        <w:t>（二）部门预算项目绩效分析。</w:t>
      </w:r>
      <w:r>
        <w:rPr>
          <w:rFonts w:eastAsia="仿宋_GB2312" w:hint="eastAsia"/>
          <w:sz w:val="32"/>
          <w:szCs w:val="32"/>
          <w:lang w:val="zh-CN"/>
        </w:rPr>
        <w:t>填报以下数据，并根据部门预算绩效评价指标体系“项目绩效”涉及二、三级指标进行逐项绩效分析并评分，依次包括项目决策、项目执行、目标实现等情况。</w:t>
      </w:r>
    </w:p>
    <w:p w14:paraId="05B1111A" w14:textId="77777777" w:rsidR="00062E74" w:rsidRDefault="00000000">
      <w:pPr>
        <w:ind w:firstLineChars="200" w:firstLine="640"/>
        <w:rPr>
          <w:rFonts w:eastAsia="仿宋_GB2312"/>
          <w:sz w:val="32"/>
          <w:szCs w:val="32"/>
          <w:lang w:val="zh-CN"/>
        </w:rPr>
      </w:pPr>
      <w:r>
        <w:rPr>
          <w:rFonts w:eastAsia="仿宋_GB2312" w:hint="eastAsia"/>
          <w:sz w:val="32"/>
          <w:szCs w:val="32"/>
        </w:rPr>
        <w:t>常年项目绩效分析。</w:t>
      </w:r>
      <w:r>
        <w:rPr>
          <w:rFonts w:eastAsia="仿宋_GB2312" w:hint="eastAsia"/>
          <w:sz w:val="32"/>
          <w:szCs w:val="32"/>
          <w:lang w:val="zh-CN"/>
        </w:rPr>
        <w:t>该类项目总数</w:t>
      </w:r>
      <w:r>
        <w:rPr>
          <w:rFonts w:eastAsia="仿宋_GB2312" w:hint="eastAsia"/>
          <w:sz w:val="32"/>
          <w:szCs w:val="32"/>
        </w:rPr>
        <w:t>13</w:t>
      </w:r>
      <w:r>
        <w:rPr>
          <w:rFonts w:eastAsia="仿宋_GB2312" w:hint="eastAsia"/>
          <w:sz w:val="32"/>
          <w:szCs w:val="32"/>
          <w:lang w:val="zh-CN"/>
        </w:rPr>
        <w:t>个，涉及预算总金额</w:t>
      </w:r>
      <w:r>
        <w:rPr>
          <w:rFonts w:eastAsia="仿宋_GB2312" w:hint="eastAsia"/>
          <w:sz w:val="32"/>
          <w:szCs w:val="32"/>
        </w:rPr>
        <w:t>2559.20</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69.46</w:t>
      </w:r>
      <w:r>
        <w:rPr>
          <w:rFonts w:eastAsia="仿宋_GB2312" w:hint="eastAsia"/>
          <w:sz w:val="32"/>
          <w:szCs w:val="32"/>
          <w:lang w:val="zh-CN"/>
        </w:rPr>
        <w:t>%</w:t>
      </w:r>
      <w:r>
        <w:rPr>
          <w:rFonts w:eastAsia="仿宋_GB2312" w:hint="eastAsia"/>
          <w:sz w:val="32"/>
          <w:szCs w:val="32"/>
          <w:lang w:val="zh-CN"/>
        </w:rPr>
        <w:t>，其中：预算结余率大于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3</w:t>
      </w:r>
      <w:r>
        <w:rPr>
          <w:rFonts w:eastAsia="仿宋_GB2312" w:hint="eastAsia"/>
          <w:sz w:val="32"/>
          <w:szCs w:val="32"/>
          <w:lang w:val="zh-CN"/>
        </w:rPr>
        <w:t>个。</w:t>
      </w:r>
    </w:p>
    <w:p w14:paraId="74E9D4FB" w14:textId="77777777" w:rsidR="00062E74" w:rsidRDefault="00000000">
      <w:pPr>
        <w:ind w:firstLineChars="200" w:firstLine="640"/>
        <w:rPr>
          <w:rFonts w:eastAsia="仿宋_GB2312"/>
          <w:sz w:val="32"/>
          <w:szCs w:val="32"/>
          <w:lang w:val="zh-CN"/>
        </w:rPr>
      </w:pPr>
      <w:r>
        <w:rPr>
          <w:rFonts w:eastAsia="仿宋_GB2312" w:hint="eastAsia"/>
          <w:sz w:val="32"/>
          <w:szCs w:val="32"/>
        </w:rPr>
        <w:t>阶段（一次性）项目绩效分析。</w:t>
      </w:r>
      <w:r>
        <w:rPr>
          <w:rFonts w:eastAsia="仿宋_GB2312" w:hint="eastAsia"/>
          <w:sz w:val="32"/>
          <w:szCs w:val="32"/>
          <w:lang w:val="zh-CN"/>
        </w:rPr>
        <w:t>该类项目总数</w:t>
      </w:r>
      <w:r>
        <w:rPr>
          <w:rFonts w:eastAsia="仿宋_GB2312" w:hint="eastAsia"/>
          <w:sz w:val="32"/>
          <w:szCs w:val="32"/>
        </w:rPr>
        <w:t>15</w:t>
      </w:r>
      <w:r>
        <w:rPr>
          <w:rFonts w:eastAsia="仿宋_GB2312" w:hint="eastAsia"/>
          <w:sz w:val="32"/>
          <w:szCs w:val="32"/>
          <w:lang w:val="zh-CN"/>
        </w:rPr>
        <w:t>个，涉及预算总金额</w:t>
      </w:r>
      <w:r>
        <w:rPr>
          <w:rFonts w:eastAsia="仿宋_GB2312" w:hint="eastAsia"/>
          <w:sz w:val="32"/>
          <w:szCs w:val="32"/>
        </w:rPr>
        <w:t>613.11</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92.61</w:t>
      </w:r>
      <w:r>
        <w:rPr>
          <w:rFonts w:eastAsia="仿宋_GB2312" w:hint="eastAsia"/>
          <w:sz w:val="32"/>
          <w:szCs w:val="32"/>
          <w:lang w:val="zh-CN"/>
        </w:rPr>
        <w:t>%</w:t>
      </w:r>
      <w:r>
        <w:rPr>
          <w:rFonts w:eastAsia="仿宋_GB2312" w:hint="eastAsia"/>
          <w:sz w:val="32"/>
          <w:szCs w:val="32"/>
          <w:lang w:val="zh-CN"/>
        </w:rPr>
        <w:t>，其中：预算结余率大于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4</w:t>
      </w:r>
      <w:r>
        <w:rPr>
          <w:rFonts w:eastAsia="仿宋_GB2312" w:hint="eastAsia"/>
          <w:sz w:val="32"/>
          <w:szCs w:val="32"/>
          <w:lang w:val="zh-CN"/>
        </w:rPr>
        <w:t>个。</w:t>
      </w:r>
    </w:p>
    <w:p w14:paraId="499C8669" w14:textId="77777777" w:rsidR="00062E74" w:rsidRDefault="00000000">
      <w:pPr>
        <w:numPr>
          <w:ilvl w:val="0"/>
          <w:numId w:val="6"/>
        </w:numPr>
        <w:ind w:firstLineChars="200" w:firstLine="640"/>
        <w:rPr>
          <w:rFonts w:ascii="楷体_GB2312" w:eastAsia="楷体_GB2312" w:hAnsi="楷体_GB2312" w:cs="楷体_GB2312"/>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项目决策。</w:t>
      </w:r>
    </w:p>
    <w:p w14:paraId="14DD5346" w14:textId="77777777" w:rsidR="00062E74" w:rsidRDefault="00000000">
      <w:pPr>
        <w:ind w:firstLineChars="200" w:firstLine="640"/>
        <w:rPr>
          <w:rFonts w:eastAsia="仿宋_GB2312"/>
          <w:sz w:val="32"/>
          <w:szCs w:val="32"/>
        </w:rPr>
      </w:pPr>
      <w:r>
        <w:rPr>
          <w:rFonts w:eastAsia="仿宋_GB2312" w:hint="eastAsia"/>
          <w:sz w:val="32"/>
          <w:szCs w:val="32"/>
          <w:lang w:val="zh-CN"/>
        </w:rPr>
        <w:lastRenderedPageBreak/>
        <w:t>决策程序：</w:t>
      </w:r>
      <w:r>
        <w:rPr>
          <w:rFonts w:eastAsia="仿宋_GB2312" w:hint="eastAsia"/>
          <w:sz w:val="32"/>
          <w:szCs w:val="32"/>
        </w:rPr>
        <w:t>加强对领导机关、领导干部特别是各级领导班子主要负责人的监督。认真检查党的路线、方针、政策和决议的执行情况，监督民主集中制及领导班子议事规则落实情况，</w:t>
      </w:r>
      <w:proofErr w:type="gramStart"/>
      <w:r>
        <w:rPr>
          <w:rFonts w:eastAsia="仿宋_GB2312" w:hint="eastAsia"/>
          <w:sz w:val="32"/>
          <w:szCs w:val="32"/>
        </w:rPr>
        <w:t>反属重大</w:t>
      </w:r>
      <w:proofErr w:type="gramEnd"/>
      <w:r>
        <w:rPr>
          <w:rFonts w:eastAsia="仿宋_GB2312" w:hint="eastAsia"/>
          <w:sz w:val="32"/>
          <w:szCs w:val="32"/>
        </w:rPr>
        <w:t>决策、重要干部任免、重大项目安排和大额度资金的使用，必须由领导班子集体</w:t>
      </w:r>
      <w:proofErr w:type="gramStart"/>
      <w:r>
        <w:rPr>
          <w:rFonts w:eastAsia="仿宋_GB2312" w:hint="eastAsia"/>
          <w:sz w:val="32"/>
          <w:szCs w:val="32"/>
        </w:rPr>
        <w:t>作出</w:t>
      </w:r>
      <w:proofErr w:type="gramEnd"/>
      <w:r>
        <w:rPr>
          <w:rFonts w:eastAsia="仿宋_GB2312" w:hint="eastAsia"/>
          <w:sz w:val="32"/>
          <w:szCs w:val="32"/>
        </w:rPr>
        <w:t>决定。</w:t>
      </w:r>
    </w:p>
    <w:p w14:paraId="09D051D7"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目标设置：</w:t>
      </w:r>
    </w:p>
    <w:p w14:paraId="17E05B6E" w14:textId="317A5BA3" w:rsidR="00062E74" w:rsidRDefault="00000000">
      <w:pPr>
        <w:ind w:firstLineChars="200" w:firstLine="640"/>
        <w:rPr>
          <w:rFonts w:eastAsia="仿宋_GB2312"/>
          <w:sz w:val="32"/>
          <w:szCs w:val="32"/>
          <w:lang w:val="zh-CN"/>
        </w:rPr>
      </w:pPr>
      <w:r>
        <w:rPr>
          <w:rFonts w:eastAsia="仿宋_GB2312" w:hint="eastAsia"/>
          <w:sz w:val="32"/>
          <w:szCs w:val="32"/>
          <w:lang w:val="zh-CN"/>
        </w:rPr>
        <w:t>（</w:t>
      </w:r>
      <w:r>
        <w:rPr>
          <w:rFonts w:eastAsia="仿宋_GB2312" w:hint="eastAsia"/>
          <w:sz w:val="32"/>
          <w:szCs w:val="32"/>
        </w:rPr>
        <w:t>1</w:t>
      </w:r>
      <w:r>
        <w:rPr>
          <w:rFonts w:eastAsia="仿宋_GB2312" w:hint="eastAsia"/>
          <w:sz w:val="32"/>
          <w:szCs w:val="32"/>
          <w:lang w:val="zh-CN"/>
        </w:rPr>
        <w:t>）深入开展主题教育活动。扎实推进学习贯彻习近平新时代中国特色社会主义思想主题教育，深入学习贯彻习近平总书记来川视察重要指示精神和省委、州委十二届二次三次四次全会、县委十二届二次三次全会精神，不折不扣推动中央和省委、州委、县委决策部署落地落实。</w:t>
      </w:r>
    </w:p>
    <w:p w14:paraId="152058E4"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w:t>
      </w:r>
      <w:r>
        <w:rPr>
          <w:rFonts w:eastAsia="仿宋_GB2312" w:hint="eastAsia"/>
          <w:sz w:val="32"/>
          <w:szCs w:val="32"/>
        </w:rPr>
        <w:t>2</w:t>
      </w:r>
      <w:r>
        <w:rPr>
          <w:rFonts w:eastAsia="仿宋_GB2312" w:hint="eastAsia"/>
          <w:sz w:val="32"/>
          <w:szCs w:val="32"/>
          <w:lang w:val="zh-CN"/>
        </w:rPr>
        <w:t>）强化信息化建设。加快科技强警步伐，充分发挥综合作战一体化、公安大数据、视觉计算等科技作用，依托“天网”第三期升级改造，大力加强县局信息化建设，提升能打仗、打胜仗的水平</w:t>
      </w:r>
    </w:p>
    <w:p w14:paraId="14FED2B6"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w:t>
      </w:r>
      <w:r>
        <w:rPr>
          <w:rFonts w:eastAsia="仿宋_GB2312" w:hint="eastAsia"/>
          <w:sz w:val="32"/>
          <w:szCs w:val="32"/>
        </w:rPr>
        <w:t>3</w:t>
      </w:r>
      <w:r>
        <w:rPr>
          <w:rFonts w:eastAsia="仿宋_GB2312" w:hint="eastAsia"/>
          <w:sz w:val="32"/>
          <w:szCs w:val="32"/>
          <w:lang w:val="zh-CN"/>
        </w:rPr>
        <w:t>）推进平安建设。大力推进平安红原建设，提升群众的安全感和满意度；花大力气抓好安全监管工作，确保全县平安稳定；增强打击犯罪、服务人民的本领，强化工作措施，全力为红原县经济保驾护航；结合实际，探索出适应本县的公安改革工作，不等不靠，打造亮点。</w:t>
      </w:r>
    </w:p>
    <w:p w14:paraId="0EE64638"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w:t>
      </w:r>
      <w:r>
        <w:rPr>
          <w:rFonts w:eastAsia="仿宋_GB2312" w:hint="eastAsia"/>
          <w:sz w:val="32"/>
          <w:szCs w:val="32"/>
        </w:rPr>
        <w:t>4</w:t>
      </w:r>
      <w:r>
        <w:rPr>
          <w:rFonts w:eastAsia="仿宋_GB2312" w:hint="eastAsia"/>
          <w:sz w:val="32"/>
          <w:szCs w:val="32"/>
          <w:lang w:val="zh-CN"/>
        </w:rPr>
        <w:t>）全面加强队伍管理。抓实队伍教育管理，狠抓中央八项规定精神和省委、省政府十项规定及其实施细则落实，</w:t>
      </w:r>
      <w:r>
        <w:rPr>
          <w:rFonts w:eastAsia="仿宋_GB2312" w:hint="eastAsia"/>
          <w:sz w:val="32"/>
          <w:szCs w:val="32"/>
          <w:lang w:val="zh-CN"/>
        </w:rPr>
        <w:lastRenderedPageBreak/>
        <w:t>坚决执行公安部“六项规定”，常态开展“三项体检”，持续整治“五小问题”，确保队伍内部安全稳定。</w:t>
      </w:r>
    </w:p>
    <w:p w14:paraId="33208B5E"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项目入库：</w:t>
      </w:r>
      <w:r>
        <w:rPr>
          <w:rFonts w:eastAsia="仿宋_GB2312" w:hint="eastAsia"/>
          <w:sz w:val="32"/>
          <w:szCs w:val="32"/>
        </w:rPr>
        <w:t>严格</w:t>
      </w:r>
      <w:r>
        <w:rPr>
          <w:rFonts w:eastAsia="仿宋_GB2312" w:hint="eastAsia"/>
          <w:sz w:val="32"/>
          <w:szCs w:val="32"/>
          <w:lang w:val="zh-CN"/>
        </w:rPr>
        <w:t>按照程序以及要求，项目在资金使用前必须进行项目入库。</w:t>
      </w:r>
    </w:p>
    <w:p w14:paraId="028F5165" w14:textId="77777777" w:rsidR="00062E74" w:rsidRDefault="00000000">
      <w:pPr>
        <w:numPr>
          <w:ilvl w:val="0"/>
          <w:numId w:val="6"/>
        </w:numPr>
        <w:ind w:firstLineChars="200" w:firstLine="640"/>
        <w:rPr>
          <w:rFonts w:ascii="楷体_GB2312" w:eastAsia="楷体_GB2312" w:hAnsi="楷体_GB2312" w:cs="楷体_GB2312"/>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项目执行。</w:t>
      </w:r>
    </w:p>
    <w:p w14:paraId="4F3244AA" w14:textId="77777777" w:rsidR="00062E74" w:rsidRDefault="00000000">
      <w:pPr>
        <w:ind w:firstLineChars="200" w:firstLine="640"/>
        <w:rPr>
          <w:rFonts w:eastAsia="仿宋_GB2312"/>
          <w:sz w:val="32"/>
          <w:szCs w:val="32"/>
        </w:rPr>
      </w:pPr>
      <w:r>
        <w:rPr>
          <w:rFonts w:eastAsia="仿宋_GB2312" w:hint="eastAsia"/>
          <w:sz w:val="32"/>
          <w:szCs w:val="32"/>
        </w:rPr>
        <w:t>2023</w:t>
      </w:r>
      <w:r>
        <w:rPr>
          <w:rFonts w:eastAsia="仿宋_GB2312" w:hint="eastAsia"/>
          <w:sz w:val="32"/>
          <w:szCs w:val="32"/>
        </w:rPr>
        <w:t>年预算决算总收入</w:t>
      </w:r>
      <w:r>
        <w:rPr>
          <w:rFonts w:eastAsia="仿宋_GB2312" w:hint="eastAsia"/>
          <w:sz w:val="32"/>
          <w:szCs w:val="32"/>
        </w:rPr>
        <w:t>8562.42</w:t>
      </w:r>
      <w:r>
        <w:rPr>
          <w:rFonts w:eastAsia="仿宋_GB2312" w:hint="eastAsia"/>
          <w:sz w:val="32"/>
          <w:szCs w:val="32"/>
          <w:lang w:val="zh-CN"/>
        </w:rPr>
        <w:t>万元，</w:t>
      </w:r>
      <w:r>
        <w:rPr>
          <w:rFonts w:eastAsia="仿宋_GB2312" w:hint="eastAsia"/>
          <w:sz w:val="32"/>
          <w:szCs w:val="32"/>
        </w:rPr>
        <w:t>2023</w:t>
      </w:r>
      <w:r>
        <w:rPr>
          <w:rFonts w:eastAsia="仿宋_GB2312" w:hint="eastAsia"/>
          <w:sz w:val="32"/>
          <w:szCs w:val="32"/>
        </w:rPr>
        <w:t>年支出合计</w:t>
      </w:r>
      <w:r>
        <w:rPr>
          <w:rFonts w:eastAsia="仿宋_GB2312" w:hint="eastAsia"/>
          <w:sz w:val="32"/>
          <w:szCs w:val="32"/>
        </w:rPr>
        <w:t>8562.42</w:t>
      </w:r>
      <w:r>
        <w:rPr>
          <w:rFonts w:eastAsia="仿宋_GB2312" w:hint="eastAsia"/>
          <w:sz w:val="32"/>
          <w:szCs w:val="32"/>
          <w:lang w:val="zh-CN"/>
        </w:rPr>
        <w:t>万元，</w:t>
      </w:r>
      <w:r>
        <w:rPr>
          <w:rFonts w:eastAsia="仿宋_GB2312" w:hint="eastAsia"/>
          <w:sz w:val="32"/>
          <w:szCs w:val="32"/>
        </w:rPr>
        <w:t>资金使用率</w:t>
      </w:r>
      <w:r>
        <w:rPr>
          <w:rFonts w:eastAsia="仿宋_GB2312" w:hint="eastAsia"/>
          <w:sz w:val="32"/>
          <w:szCs w:val="32"/>
          <w:lang w:val="zh-CN"/>
        </w:rPr>
        <w:t>100%</w:t>
      </w:r>
      <w:r>
        <w:rPr>
          <w:rFonts w:eastAsia="仿宋_GB2312" w:hint="eastAsia"/>
          <w:sz w:val="32"/>
          <w:szCs w:val="32"/>
          <w:lang w:val="zh-CN"/>
        </w:rPr>
        <w:t>。</w:t>
      </w:r>
      <w:r>
        <w:rPr>
          <w:rFonts w:eastAsia="仿宋_GB2312" w:hint="eastAsia"/>
          <w:sz w:val="32"/>
          <w:szCs w:val="32"/>
        </w:rPr>
        <w:t>其中：公共安全支出</w:t>
      </w:r>
      <w:r>
        <w:rPr>
          <w:rFonts w:eastAsia="仿宋_GB2312" w:hint="eastAsia"/>
          <w:sz w:val="32"/>
          <w:szCs w:val="32"/>
        </w:rPr>
        <w:t>7281.94</w:t>
      </w:r>
      <w:r>
        <w:rPr>
          <w:rFonts w:eastAsia="仿宋_GB2312" w:hint="eastAsia"/>
          <w:sz w:val="32"/>
          <w:szCs w:val="32"/>
        </w:rPr>
        <w:t>万元，占比</w:t>
      </w:r>
      <w:r>
        <w:rPr>
          <w:rFonts w:eastAsia="仿宋_GB2312" w:hint="eastAsia"/>
          <w:sz w:val="32"/>
          <w:szCs w:val="32"/>
        </w:rPr>
        <w:t>85.05%</w:t>
      </w:r>
      <w:r>
        <w:rPr>
          <w:rFonts w:eastAsia="仿宋_GB2312" w:hint="eastAsia"/>
          <w:sz w:val="32"/>
          <w:szCs w:val="32"/>
        </w:rPr>
        <w:t>；社会保障和就业支出</w:t>
      </w:r>
      <w:r>
        <w:rPr>
          <w:rFonts w:eastAsia="仿宋_GB2312" w:hint="eastAsia"/>
          <w:sz w:val="32"/>
          <w:szCs w:val="32"/>
        </w:rPr>
        <w:t>637.11</w:t>
      </w:r>
      <w:r>
        <w:rPr>
          <w:rFonts w:eastAsia="仿宋_GB2312" w:hint="eastAsia"/>
          <w:sz w:val="32"/>
          <w:szCs w:val="32"/>
        </w:rPr>
        <w:t>万元，占比</w:t>
      </w:r>
      <w:r>
        <w:rPr>
          <w:rFonts w:eastAsia="仿宋_GB2312" w:hint="eastAsia"/>
          <w:sz w:val="32"/>
          <w:szCs w:val="32"/>
        </w:rPr>
        <w:t>7.44%</w:t>
      </w:r>
      <w:r>
        <w:rPr>
          <w:rFonts w:eastAsia="仿宋_GB2312" w:hint="eastAsia"/>
          <w:sz w:val="32"/>
          <w:szCs w:val="32"/>
        </w:rPr>
        <w:t>；卫生健康支出</w:t>
      </w:r>
      <w:r>
        <w:rPr>
          <w:rFonts w:eastAsia="仿宋_GB2312" w:hint="eastAsia"/>
          <w:sz w:val="32"/>
          <w:szCs w:val="32"/>
        </w:rPr>
        <w:t>266.14</w:t>
      </w:r>
      <w:r>
        <w:rPr>
          <w:rFonts w:eastAsia="仿宋_GB2312" w:hint="eastAsia"/>
          <w:sz w:val="32"/>
          <w:szCs w:val="32"/>
        </w:rPr>
        <w:t>万元，占比</w:t>
      </w:r>
      <w:r>
        <w:rPr>
          <w:rFonts w:eastAsia="仿宋_GB2312" w:hint="eastAsia"/>
          <w:sz w:val="32"/>
          <w:szCs w:val="32"/>
        </w:rPr>
        <w:t>3.11%</w:t>
      </w:r>
      <w:r>
        <w:rPr>
          <w:rFonts w:eastAsia="仿宋_GB2312" w:hint="eastAsia"/>
          <w:sz w:val="32"/>
          <w:szCs w:val="32"/>
        </w:rPr>
        <w:t>；住房保障支出</w:t>
      </w:r>
      <w:r>
        <w:rPr>
          <w:rFonts w:eastAsia="仿宋_GB2312" w:hint="eastAsia"/>
          <w:sz w:val="32"/>
          <w:szCs w:val="32"/>
        </w:rPr>
        <w:t>377.24</w:t>
      </w:r>
      <w:r>
        <w:rPr>
          <w:rFonts w:eastAsia="仿宋_GB2312" w:hint="eastAsia"/>
          <w:sz w:val="32"/>
          <w:szCs w:val="32"/>
        </w:rPr>
        <w:t>万元，占比</w:t>
      </w:r>
      <w:r>
        <w:rPr>
          <w:rFonts w:eastAsia="仿宋_GB2312" w:hint="eastAsia"/>
          <w:sz w:val="32"/>
          <w:szCs w:val="32"/>
        </w:rPr>
        <w:t>4.41%</w:t>
      </w:r>
      <w:r>
        <w:rPr>
          <w:rFonts w:eastAsia="仿宋_GB2312" w:hint="eastAsia"/>
          <w:sz w:val="32"/>
          <w:szCs w:val="32"/>
        </w:rPr>
        <w:t>。</w:t>
      </w:r>
    </w:p>
    <w:p w14:paraId="568117B5" w14:textId="77777777" w:rsidR="00062E74" w:rsidRDefault="00000000">
      <w:pPr>
        <w:ind w:firstLineChars="200" w:firstLine="640"/>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3.目标实现。</w:t>
      </w:r>
      <w:r>
        <w:rPr>
          <w:rFonts w:eastAsia="仿宋_GB2312" w:hint="eastAsia"/>
          <w:sz w:val="32"/>
          <w:szCs w:val="32"/>
          <w:lang w:val="zh-CN"/>
        </w:rPr>
        <w:t>围绕目标完成、目标偏离、实现效果进行绩效分析。</w:t>
      </w:r>
    </w:p>
    <w:p w14:paraId="31776574" w14:textId="0EFBEB86" w:rsidR="00062E74" w:rsidRDefault="00000000">
      <w:pPr>
        <w:ind w:firstLineChars="200" w:firstLine="640"/>
        <w:rPr>
          <w:rFonts w:eastAsia="仿宋_GB2312"/>
          <w:sz w:val="32"/>
          <w:szCs w:val="32"/>
          <w:lang w:val="zh-CN"/>
        </w:rPr>
      </w:pPr>
      <w:r>
        <w:rPr>
          <w:rFonts w:eastAsia="仿宋_GB2312" w:hint="eastAsia"/>
          <w:sz w:val="32"/>
          <w:szCs w:val="32"/>
        </w:rPr>
        <w:t>2023</w:t>
      </w:r>
      <w:r>
        <w:rPr>
          <w:rFonts w:eastAsia="仿宋_GB2312" w:hint="eastAsia"/>
          <w:sz w:val="32"/>
          <w:szCs w:val="32"/>
        </w:rPr>
        <w:t>年</w:t>
      </w:r>
      <w:r>
        <w:rPr>
          <w:rFonts w:eastAsia="仿宋_GB2312" w:hint="eastAsia"/>
          <w:sz w:val="32"/>
          <w:szCs w:val="32"/>
          <w:lang w:val="zh-CN"/>
        </w:rPr>
        <w:t>我</w:t>
      </w:r>
      <w:r>
        <w:rPr>
          <w:rFonts w:eastAsia="仿宋_GB2312" w:hint="eastAsia"/>
          <w:sz w:val="32"/>
          <w:szCs w:val="32"/>
        </w:rPr>
        <w:t>单位目标完成</w:t>
      </w:r>
      <w:r>
        <w:rPr>
          <w:rFonts w:eastAsia="仿宋_GB2312" w:hint="eastAsia"/>
          <w:sz w:val="32"/>
          <w:szCs w:val="32"/>
        </w:rPr>
        <w:t>100%</w:t>
      </w:r>
      <w:r>
        <w:rPr>
          <w:rFonts w:eastAsia="仿宋_GB2312" w:hint="eastAsia"/>
          <w:sz w:val="32"/>
          <w:szCs w:val="32"/>
        </w:rPr>
        <w:t>，未偏离目标。</w:t>
      </w:r>
      <w:r>
        <w:rPr>
          <w:rFonts w:eastAsia="仿宋_GB2312" w:hint="eastAsia"/>
          <w:sz w:val="32"/>
          <w:szCs w:val="32"/>
          <w:lang w:val="zh-CN"/>
        </w:rPr>
        <w:t>1.</w:t>
      </w:r>
      <w:r>
        <w:rPr>
          <w:rFonts w:eastAsia="仿宋_GB2312" w:hint="eastAsia"/>
          <w:sz w:val="32"/>
          <w:szCs w:val="32"/>
          <w:lang w:val="zh-CN"/>
        </w:rPr>
        <w:t>深入开展主题教育活动。扎实推进学习贯彻习近平新时代中国特色社会主义思想主题教育，深入学习贯彻习近平总书记来川视察重要指示精神和省委、州委十二届二次三次四次全会、县委十二届二次三次全会精神，不折不扣推动中央和省委、州委、县委决策部署落地落实。</w:t>
      </w:r>
    </w:p>
    <w:p w14:paraId="4C7BDFCB"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2.</w:t>
      </w:r>
      <w:r>
        <w:rPr>
          <w:rFonts w:eastAsia="仿宋_GB2312" w:hint="eastAsia"/>
          <w:sz w:val="32"/>
          <w:szCs w:val="32"/>
          <w:lang w:val="zh-CN"/>
        </w:rPr>
        <w:t>强化信息化建设。加快科技强警步伐，充分发挥综合作战一体化、公安大数据、视觉计算等科技作用，依托“天网”第三期升级改造，大力加强县局信息化建设，提升能打仗、打胜仗的水平</w:t>
      </w:r>
    </w:p>
    <w:p w14:paraId="4745419E"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lastRenderedPageBreak/>
        <w:t>3.</w:t>
      </w:r>
      <w:r>
        <w:rPr>
          <w:rFonts w:eastAsia="仿宋_GB2312" w:hint="eastAsia"/>
          <w:sz w:val="32"/>
          <w:szCs w:val="32"/>
          <w:lang w:val="zh-CN"/>
        </w:rPr>
        <w:t>推进平安建设。大力推进平安红原建设，提升群众的安全感和满意度；花大力气抓好安全监管工作，确保全县平安稳定；增强打击犯罪、服务人民的本领，强化工作措施，全力为红原县经济保驾护航；结合实际，探索出适应本县的公安改革工作，不等不靠，打造亮点。</w:t>
      </w:r>
    </w:p>
    <w:p w14:paraId="46F32031" w14:textId="77777777" w:rsidR="00062E74" w:rsidRDefault="00000000">
      <w:pPr>
        <w:ind w:firstLineChars="200" w:firstLine="640"/>
        <w:rPr>
          <w:rFonts w:eastAsia="仿宋_GB2312"/>
          <w:sz w:val="32"/>
          <w:szCs w:val="32"/>
          <w:lang w:val="zh-CN"/>
        </w:rPr>
      </w:pPr>
      <w:r>
        <w:rPr>
          <w:rFonts w:eastAsia="仿宋_GB2312" w:hint="eastAsia"/>
          <w:sz w:val="32"/>
          <w:szCs w:val="32"/>
          <w:lang w:val="zh-CN"/>
        </w:rPr>
        <w:t>4.</w:t>
      </w:r>
      <w:r>
        <w:rPr>
          <w:rFonts w:eastAsia="仿宋_GB2312" w:hint="eastAsia"/>
          <w:sz w:val="32"/>
          <w:szCs w:val="32"/>
          <w:lang w:val="zh-CN"/>
        </w:rPr>
        <w:t>全面加强队伍管理。抓实队伍教育管理，狠抓中央八项规定精神和省委、省政府十项规定及其实施细则落实，坚决执行公安部“六项规定”，常态开展“三项体检”，持续整治“五小问题”，确保队伍内部安全稳定。</w:t>
      </w:r>
    </w:p>
    <w:p w14:paraId="7826D0D0" w14:textId="77777777" w:rsidR="00062E74" w:rsidRDefault="00000000">
      <w:pPr>
        <w:widowControl/>
        <w:adjustRightInd w:val="0"/>
        <w:snapToGrid w:val="0"/>
        <w:spacing w:line="578" w:lineRule="exact"/>
        <w:ind w:firstLineChars="200" w:firstLine="640"/>
        <w:contextualSpacing/>
        <w:jc w:val="left"/>
        <w:rPr>
          <w:rFonts w:ascii="楷体_GB2312" w:eastAsia="楷体_GB2312"/>
          <w:b/>
          <w:sz w:val="32"/>
          <w:szCs w:val="32"/>
        </w:rPr>
      </w:pPr>
      <w:r>
        <w:rPr>
          <w:rFonts w:ascii="楷体_GB2312" w:eastAsia="楷体_GB2312" w:hint="eastAsia"/>
          <w:b/>
          <w:sz w:val="32"/>
          <w:szCs w:val="32"/>
        </w:rPr>
        <w:t>（三）重点领域绩效分析。</w:t>
      </w:r>
    </w:p>
    <w:p w14:paraId="0425B3AD" w14:textId="77777777" w:rsidR="00062E74" w:rsidRDefault="00000000">
      <w:pPr>
        <w:ind w:firstLineChars="200" w:firstLine="640"/>
        <w:rPr>
          <w:rFonts w:eastAsia="仿宋_GB2312"/>
          <w:sz w:val="32"/>
          <w:szCs w:val="32"/>
        </w:rPr>
      </w:pPr>
      <w:r>
        <w:rPr>
          <w:rFonts w:eastAsia="仿宋_GB2312" w:hint="eastAsia"/>
          <w:sz w:val="32"/>
          <w:szCs w:val="32"/>
        </w:rPr>
        <w:t>我单位</w:t>
      </w:r>
      <w:r>
        <w:rPr>
          <w:rFonts w:eastAsia="仿宋_GB2312" w:hint="eastAsia"/>
          <w:sz w:val="32"/>
          <w:szCs w:val="32"/>
        </w:rPr>
        <w:t>2023</w:t>
      </w:r>
      <w:r>
        <w:rPr>
          <w:rFonts w:eastAsia="仿宋_GB2312" w:hint="eastAsia"/>
          <w:sz w:val="32"/>
          <w:szCs w:val="32"/>
        </w:rPr>
        <w:t>年未涉及重点领域事项。</w:t>
      </w:r>
    </w:p>
    <w:p w14:paraId="356AADEB" w14:textId="77777777" w:rsidR="00062E74" w:rsidRDefault="00000000">
      <w:pPr>
        <w:ind w:firstLineChars="200" w:firstLine="640"/>
        <w:rPr>
          <w:rFonts w:ascii="楷体_GB2312" w:eastAsia="楷体_GB2312"/>
          <w:b/>
          <w:sz w:val="32"/>
          <w:szCs w:val="32"/>
        </w:rPr>
      </w:pPr>
      <w:r>
        <w:rPr>
          <w:rFonts w:ascii="楷体_GB2312" w:eastAsia="楷体_GB2312" w:hint="eastAsia"/>
          <w:b/>
          <w:sz w:val="32"/>
          <w:szCs w:val="32"/>
        </w:rPr>
        <w:t>（四）绩效结果应用情况。</w:t>
      </w:r>
    </w:p>
    <w:p w14:paraId="589EE171" w14:textId="19D4C9A7" w:rsidR="00062E74" w:rsidRDefault="00000000">
      <w:pPr>
        <w:ind w:firstLineChars="200" w:firstLine="640"/>
        <w:rPr>
          <w:rFonts w:eastAsia="仿宋_GB2312"/>
          <w:sz w:val="32"/>
          <w:szCs w:val="32"/>
          <w:lang w:val="zh-CN"/>
        </w:rPr>
      </w:pPr>
      <w:r>
        <w:rPr>
          <w:rFonts w:eastAsia="仿宋_GB2312" w:hint="eastAsia"/>
          <w:sz w:val="32"/>
          <w:szCs w:val="32"/>
          <w:lang w:val="zh-CN"/>
        </w:rPr>
        <w:t>我</w:t>
      </w:r>
      <w:r>
        <w:rPr>
          <w:rFonts w:eastAsia="仿宋_GB2312" w:hint="eastAsia"/>
          <w:sz w:val="32"/>
          <w:szCs w:val="32"/>
        </w:rPr>
        <w:t>单位</w:t>
      </w:r>
      <w:r>
        <w:rPr>
          <w:rFonts w:eastAsia="仿宋_GB2312" w:hint="eastAsia"/>
          <w:sz w:val="32"/>
          <w:szCs w:val="32"/>
          <w:lang w:val="zh-CN"/>
        </w:rPr>
        <w:t>部门绩效结果应用到了下一年的绩效目标设定与调整。根据支出预决算，为下一年度的预算提供了基础预算数据。优化了</w:t>
      </w:r>
      <w:r>
        <w:rPr>
          <w:rFonts w:eastAsia="仿宋_GB2312" w:hint="eastAsia"/>
          <w:sz w:val="32"/>
          <w:szCs w:val="32"/>
        </w:rPr>
        <w:t>单位</w:t>
      </w:r>
      <w:r>
        <w:rPr>
          <w:rFonts w:eastAsia="仿宋_GB2312" w:hint="eastAsia"/>
          <w:sz w:val="32"/>
          <w:szCs w:val="32"/>
          <w:lang w:val="zh-CN"/>
        </w:rPr>
        <w:t>资金的使用率。保障了机关日常正常运转，专项资金保障了群众的安全感和满意度；花大力气抓好安全监管工作，确保全县平安稳定，同时在维护少数</w:t>
      </w:r>
      <w:r w:rsidR="00BF5688">
        <w:rPr>
          <w:rFonts w:eastAsia="仿宋_GB2312" w:hint="eastAsia"/>
          <w:sz w:val="32"/>
          <w:szCs w:val="32"/>
          <w:lang w:val="zh-CN"/>
        </w:rPr>
        <w:t>民</w:t>
      </w:r>
      <w:r>
        <w:rPr>
          <w:rFonts w:eastAsia="仿宋_GB2312" w:hint="eastAsia"/>
          <w:sz w:val="32"/>
          <w:szCs w:val="32"/>
          <w:lang w:val="zh-CN"/>
        </w:rPr>
        <w:t>族地区的社会稳定，提高人民生活水平，改善人民生活质量等方面有着极其重要的意义，有力促进了社会和谐发展，为全县及乡镇的经济发展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w:t>
      </w:r>
      <w:r>
        <w:rPr>
          <w:rFonts w:eastAsia="仿宋_GB2312" w:hint="eastAsia"/>
          <w:sz w:val="32"/>
          <w:szCs w:val="32"/>
        </w:rPr>
        <w:t>2023</w:t>
      </w:r>
      <w:r>
        <w:rPr>
          <w:rFonts w:eastAsia="仿宋_GB2312" w:hint="eastAsia"/>
          <w:sz w:val="32"/>
          <w:szCs w:val="32"/>
        </w:rPr>
        <w:t>年预算及决算已在政府信息公开网站进行了公开。</w:t>
      </w:r>
    </w:p>
    <w:p w14:paraId="623B9A6B" w14:textId="77777777" w:rsidR="00062E74" w:rsidRDefault="00000000">
      <w:pPr>
        <w:ind w:firstLineChars="200" w:firstLine="640"/>
        <w:rPr>
          <w:rFonts w:ascii="黑体" w:eastAsia="黑体" w:hAnsi="黑体" w:hint="eastAsia"/>
          <w:sz w:val="32"/>
          <w:szCs w:val="32"/>
        </w:rPr>
      </w:pPr>
      <w:r>
        <w:rPr>
          <w:rFonts w:ascii="黑体" w:eastAsia="黑体" w:hAnsi="黑体" w:hint="eastAsia"/>
          <w:sz w:val="32"/>
          <w:szCs w:val="32"/>
        </w:rPr>
        <w:t>四、评价结论及建议</w:t>
      </w:r>
    </w:p>
    <w:p w14:paraId="239FEA11" w14:textId="77777777" w:rsidR="00062E74" w:rsidRDefault="00000000">
      <w:pPr>
        <w:ind w:firstLineChars="200" w:firstLine="640"/>
        <w:rPr>
          <w:rFonts w:ascii="楷体_GB2312" w:eastAsia="楷体_GB2312"/>
          <w:b/>
          <w:sz w:val="32"/>
          <w:szCs w:val="32"/>
        </w:rPr>
      </w:pPr>
      <w:r>
        <w:rPr>
          <w:rFonts w:ascii="楷体_GB2312" w:eastAsia="楷体_GB2312" w:hint="eastAsia"/>
          <w:b/>
          <w:sz w:val="32"/>
          <w:szCs w:val="32"/>
        </w:rPr>
        <w:lastRenderedPageBreak/>
        <w:t>（一）评价结论。</w:t>
      </w:r>
    </w:p>
    <w:p w14:paraId="48E356EE" w14:textId="688663DD" w:rsidR="00062E74" w:rsidRDefault="00000000">
      <w:pPr>
        <w:ind w:firstLineChars="200" w:firstLine="640"/>
        <w:rPr>
          <w:rFonts w:eastAsia="仿宋_GB2312"/>
          <w:sz w:val="32"/>
          <w:szCs w:val="32"/>
          <w:lang w:val="zh-CN"/>
        </w:rPr>
      </w:pPr>
      <w:r>
        <w:rPr>
          <w:rFonts w:eastAsia="仿宋_GB2312" w:hint="eastAsia"/>
          <w:sz w:val="32"/>
          <w:szCs w:val="32"/>
          <w:lang w:val="zh-CN"/>
        </w:rPr>
        <w:t>我局部门支出预算，保障了机关日常正常运转，专项资金保障了群众的安全感和满意度；花大力气抓好安全监管工作，确保全县平安稳定，同时在维护少数</w:t>
      </w:r>
      <w:r w:rsidR="00BF5688">
        <w:rPr>
          <w:rFonts w:eastAsia="仿宋_GB2312" w:hint="eastAsia"/>
          <w:sz w:val="32"/>
          <w:szCs w:val="32"/>
          <w:lang w:val="zh-CN"/>
        </w:rPr>
        <w:t>民</w:t>
      </w:r>
      <w:r>
        <w:rPr>
          <w:rFonts w:eastAsia="仿宋_GB2312" w:hint="eastAsia"/>
          <w:sz w:val="32"/>
          <w:szCs w:val="32"/>
          <w:lang w:val="zh-CN"/>
        </w:rPr>
        <w:t>族地区的社会稳定，提高人民生活水平，改善人民生活质量等方面有着极其重要的意义，有力促进了社会和谐发展，为全县及乡镇的经济发展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了应有的贡献，部门整体支出绩效自评等级为优秀。</w:t>
      </w:r>
    </w:p>
    <w:p w14:paraId="548AD09C" w14:textId="77777777" w:rsidR="00062E74" w:rsidRDefault="00000000">
      <w:pPr>
        <w:numPr>
          <w:ilvl w:val="0"/>
          <w:numId w:val="7"/>
        </w:numPr>
        <w:ind w:firstLineChars="200" w:firstLine="640"/>
        <w:rPr>
          <w:rFonts w:ascii="楷体_GB2312" w:eastAsia="楷体_GB2312"/>
          <w:b/>
          <w:sz w:val="32"/>
          <w:szCs w:val="32"/>
        </w:rPr>
      </w:pPr>
      <w:r>
        <w:rPr>
          <w:rFonts w:ascii="楷体_GB2312" w:eastAsia="楷体_GB2312" w:hint="eastAsia"/>
          <w:b/>
          <w:sz w:val="32"/>
          <w:szCs w:val="32"/>
        </w:rPr>
        <w:t>存在问题。</w:t>
      </w:r>
    </w:p>
    <w:p w14:paraId="6C71DCF1" w14:textId="77777777" w:rsidR="00062E74" w:rsidRDefault="00000000">
      <w:pPr>
        <w:ind w:firstLineChars="200" w:firstLine="640"/>
        <w:rPr>
          <w:rFonts w:ascii="仿宋_GB2312" w:eastAsia="仿宋_GB2312" w:hAnsi="仿宋" w:cs="仿宋_GB2312"/>
          <w:color w:val="000000"/>
          <w:kern w:val="0"/>
          <w:sz w:val="32"/>
          <w:szCs w:val="32"/>
          <w:lang w:bidi="ar"/>
        </w:rPr>
      </w:pPr>
      <w:r>
        <w:rPr>
          <w:rFonts w:ascii="仿宋_GB2312" w:eastAsia="仿宋_GB2312" w:hAnsi="仿宋" w:cs="仿宋_GB2312" w:hint="eastAsia"/>
          <w:color w:val="000000"/>
          <w:kern w:val="0"/>
          <w:sz w:val="32"/>
          <w:szCs w:val="32"/>
          <w:lang w:bidi="ar"/>
        </w:rPr>
        <w:t>由于财政支出的多样性和复杂性，绩效评价指标体系设置难度大，即使可以量化，但实际操作中很多项目间缺乏可比性</w:t>
      </w:r>
      <w:proofErr w:type="gramStart"/>
      <w:r>
        <w:rPr>
          <w:rFonts w:ascii="仿宋_GB2312" w:eastAsia="仿宋_GB2312" w:hAnsi="仿宋" w:cs="仿宋_GB2312" w:hint="eastAsia"/>
          <w:color w:val="000000"/>
          <w:kern w:val="0"/>
          <w:sz w:val="32"/>
          <w:szCs w:val="32"/>
          <w:lang w:bidi="ar"/>
        </w:rPr>
        <w:t>且指标</w:t>
      </w:r>
      <w:proofErr w:type="gramEnd"/>
      <w:r>
        <w:rPr>
          <w:rFonts w:ascii="仿宋_GB2312" w:eastAsia="仿宋_GB2312" w:hAnsi="仿宋" w:cs="仿宋_GB2312" w:hint="eastAsia"/>
          <w:color w:val="000000"/>
          <w:kern w:val="0"/>
          <w:sz w:val="32"/>
          <w:szCs w:val="32"/>
          <w:lang w:bidi="ar"/>
        </w:rPr>
        <w:t>本身也在逐步变化，需要逐步完善。</w:t>
      </w:r>
      <w:r>
        <w:rPr>
          <w:rFonts w:ascii="仿宋_GB2312" w:eastAsia="仿宋_GB2312" w:hAnsi="仿宋" w:cs="仿宋_GB2312" w:hint="eastAsia"/>
          <w:color w:val="000000"/>
          <w:kern w:val="0"/>
          <w:sz w:val="32"/>
          <w:szCs w:val="32"/>
          <w:lang w:bidi="ar"/>
        </w:rPr>
        <w:br/>
      </w:r>
      <w:r>
        <w:rPr>
          <w:rFonts w:ascii="仿宋_GB2312" w:hAnsi="仿宋" w:cs="仿宋_GB2312" w:hint="eastAsia"/>
          <w:color w:val="000000"/>
          <w:kern w:val="0"/>
          <w:sz w:val="32"/>
          <w:szCs w:val="32"/>
          <w:lang w:bidi="ar"/>
        </w:rPr>
        <w:t xml:space="preserve">    </w:t>
      </w:r>
      <w:r>
        <w:rPr>
          <w:rFonts w:ascii="仿宋_GB2312" w:eastAsia="仿宋_GB2312" w:hAnsi="仿宋" w:cs="仿宋_GB2312" w:hint="eastAsia"/>
          <w:color w:val="000000"/>
          <w:kern w:val="0"/>
          <w:sz w:val="32"/>
          <w:szCs w:val="32"/>
          <w:lang w:bidi="ar"/>
        </w:rPr>
        <w:t>在平时工作推进过程中，缺乏技术人员进行专业指导及培训，工作推进存在一定困难，预算编制还需更加精准。</w:t>
      </w:r>
    </w:p>
    <w:p w14:paraId="6735F572" w14:textId="77777777" w:rsidR="00062E74" w:rsidRDefault="00000000">
      <w:pPr>
        <w:numPr>
          <w:ilvl w:val="0"/>
          <w:numId w:val="7"/>
        </w:numPr>
        <w:autoSpaceDE w:val="0"/>
        <w:spacing w:line="560" w:lineRule="exact"/>
        <w:ind w:firstLineChars="200" w:firstLine="640"/>
        <w:jc w:val="left"/>
        <w:rPr>
          <w:rFonts w:ascii="楷体_GB2312" w:eastAsia="楷体_GB2312"/>
          <w:b/>
          <w:sz w:val="32"/>
          <w:szCs w:val="32"/>
        </w:rPr>
      </w:pPr>
      <w:r>
        <w:rPr>
          <w:rFonts w:ascii="楷体_GB2312" w:eastAsia="楷体_GB2312" w:hint="eastAsia"/>
          <w:b/>
          <w:sz w:val="32"/>
          <w:szCs w:val="32"/>
        </w:rPr>
        <w:t>改进建议。</w:t>
      </w:r>
    </w:p>
    <w:p w14:paraId="1C1605D6" w14:textId="77777777" w:rsidR="00062E74" w:rsidRDefault="00000000">
      <w:pPr>
        <w:autoSpaceDE w:val="0"/>
        <w:spacing w:line="560" w:lineRule="exact"/>
        <w:ind w:firstLineChars="200" w:firstLine="640"/>
        <w:jc w:val="left"/>
        <w:rPr>
          <w:rFonts w:ascii="仿宋_GB2312" w:eastAsia="仿宋_GB2312" w:hAnsi="仿宋" w:cs="仿宋_GB2312"/>
          <w:color w:val="000000"/>
          <w:kern w:val="0"/>
          <w:sz w:val="32"/>
          <w:szCs w:val="32"/>
          <w:lang w:bidi="ar"/>
        </w:rPr>
      </w:pPr>
      <w:r>
        <w:rPr>
          <w:rFonts w:ascii="仿宋_GB2312" w:eastAsia="仿宋_GB2312" w:hAnsi="仿宋" w:cs="仿宋_GB2312" w:hint="eastAsia"/>
          <w:color w:val="000000"/>
          <w:kern w:val="0"/>
          <w:sz w:val="32"/>
          <w:szCs w:val="32"/>
          <w:lang w:bidi="ar"/>
        </w:rPr>
        <w:t>1.通过各种途径加强绩效管理学习，科学合理编制预算，严格执行预算。</w:t>
      </w:r>
    </w:p>
    <w:p w14:paraId="13EA9A0B" w14:textId="77777777" w:rsidR="00062E74" w:rsidRDefault="00000000">
      <w:pPr>
        <w:ind w:firstLineChars="200" w:firstLine="640"/>
        <w:rPr>
          <w:rFonts w:ascii="仿宋_GB2312" w:eastAsia="仿宋_GB2312" w:hAnsi="仿宋" w:cs="仿宋_GB2312"/>
          <w:color w:val="000000"/>
          <w:kern w:val="0"/>
          <w:sz w:val="32"/>
          <w:szCs w:val="32"/>
          <w:lang w:bidi="ar"/>
        </w:rPr>
      </w:pPr>
      <w:r>
        <w:rPr>
          <w:rFonts w:ascii="仿宋_GB2312" w:eastAsia="仿宋_GB2312" w:hAnsi="仿宋" w:cs="仿宋_GB2312" w:hint="eastAsia"/>
          <w:color w:val="000000"/>
          <w:kern w:val="0"/>
          <w:sz w:val="32"/>
          <w:szCs w:val="32"/>
          <w:lang w:bidi="ar"/>
        </w:rPr>
        <w:t>2.规范账务处理，提高财务信息质量。</w:t>
      </w:r>
    </w:p>
    <w:p w14:paraId="2A244D6C" w14:textId="77777777" w:rsidR="00062E74" w:rsidRDefault="00062E74">
      <w:pPr>
        <w:pStyle w:val="2"/>
        <w:ind w:left="420"/>
        <w:rPr>
          <w:lang w:val="zh-CN"/>
        </w:rPr>
      </w:pPr>
    </w:p>
    <w:p w14:paraId="4DBAEF44" w14:textId="77777777" w:rsidR="00062E74" w:rsidRDefault="00062E74">
      <w:pPr>
        <w:rPr>
          <w:lang w:val="zh-CN"/>
        </w:rPr>
      </w:pPr>
    </w:p>
    <w:p w14:paraId="1779E50A" w14:textId="77777777" w:rsidR="00062E74" w:rsidRDefault="00000000">
      <w:pPr>
        <w:ind w:firstLineChars="200" w:firstLine="640"/>
        <w:rPr>
          <w:rFonts w:asciiTheme="minorEastAsia" w:eastAsiaTheme="minorEastAsia" w:hAnsiTheme="minorEastAsia" w:hint="eastAsia"/>
          <w:sz w:val="32"/>
          <w:szCs w:val="32"/>
          <w:lang w:val="zh-CN"/>
        </w:rPr>
      </w:pPr>
      <w:r>
        <w:rPr>
          <w:rFonts w:asciiTheme="minorEastAsia" w:eastAsiaTheme="minorEastAsia" w:hAnsiTheme="minorEastAsia" w:hint="eastAsia"/>
          <w:sz w:val="32"/>
          <w:szCs w:val="32"/>
          <w:lang w:val="zh-CN"/>
        </w:rPr>
        <w:t>附表：</w:t>
      </w:r>
      <w:r>
        <w:rPr>
          <w:rFonts w:asciiTheme="minorEastAsia" w:eastAsiaTheme="minorEastAsia" w:hAnsiTheme="minorEastAsia" w:hint="eastAsia"/>
          <w:sz w:val="32"/>
          <w:szCs w:val="32"/>
        </w:rPr>
        <w:t>部门</w:t>
      </w:r>
      <w:r>
        <w:rPr>
          <w:rFonts w:asciiTheme="minorEastAsia" w:eastAsiaTheme="minorEastAsia" w:hAnsiTheme="minorEastAsia" w:hint="eastAsia"/>
          <w:sz w:val="32"/>
          <w:szCs w:val="32"/>
          <w:lang w:val="zh-CN"/>
        </w:rPr>
        <w:t>预算项目支出绩效自评表（2023年度）</w:t>
      </w:r>
    </w:p>
    <w:p w14:paraId="3A54623C" w14:textId="77777777" w:rsidR="00062E74" w:rsidRDefault="00062E74"/>
    <w:p w14:paraId="52497B13" w14:textId="77777777" w:rsidR="00062E74" w:rsidRDefault="00062E74"/>
    <w:p w14:paraId="68037B97" w14:textId="77777777" w:rsidR="00062E74" w:rsidRDefault="00062E74">
      <w:pPr>
        <w:pStyle w:val="2"/>
        <w:ind w:left="420"/>
      </w:pPr>
    </w:p>
    <w:bookmarkStart w:id="89" w:name="_Toc9008"/>
    <w:bookmarkStart w:id="90" w:name="_Toc28504"/>
    <w:p w14:paraId="633924A0" w14:textId="77777777" w:rsidR="00062E74" w:rsidRDefault="00000000">
      <w:pPr>
        <w:pStyle w:val="1"/>
        <w:rPr>
          <w:rFonts w:ascii="黑体" w:eastAsia="黑体" w:hAnsi="黑体" w:hint="eastAsia"/>
        </w:rPr>
      </w:pPr>
      <w:r>
        <w:rPr>
          <w:rFonts w:ascii="黑体" w:eastAsia="黑体" w:hAnsi="黑体" w:hint="eastAsia"/>
        </w:rPr>
        <w:object w:dxaOrig="8497" w:dyaOrig="8998" w14:anchorId="0F3F6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4.8pt;height:450pt" o:ole="">
            <v:imagedata r:id="rId15" o:title=""/>
            <o:lock v:ext="edit" aspectratio="f"/>
          </v:shape>
          <o:OLEObject Type="Embed" ProgID="Excel.Sheet.12" ShapeID="_x0000_i1025" DrawAspect="Content" ObjectID="_1806934276" r:id="rId16"/>
        </w:object>
      </w:r>
      <w:bookmarkEnd w:id="89"/>
      <w:bookmarkEnd w:id="90"/>
    </w:p>
    <w:p w14:paraId="223EE917" w14:textId="77777777" w:rsidR="00062E74" w:rsidRDefault="00000000">
      <w:r>
        <w:rPr>
          <w:rFonts w:hint="eastAsia"/>
        </w:rPr>
        <w:object w:dxaOrig="8294" w:dyaOrig="8453" w14:anchorId="0DB061EC">
          <v:shape id="_x0000_i1026" type="#_x0000_t75" style="width:414.6pt;height:422.4pt" o:ole="">
            <v:imagedata r:id="rId17" o:title=""/>
            <o:lock v:ext="edit" aspectratio="f"/>
          </v:shape>
          <o:OLEObject Type="Embed" ProgID="Excel.Sheet.12" ShapeID="_x0000_i1026" DrawAspect="Content" ObjectID="_1806934277" r:id="rId18"/>
        </w:object>
      </w:r>
    </w:p>
    <w:tbl>
      <w:tblPr>
        <w:tblW w:w="9117" w:type="dxa"/>
        <w:tblLook w:val="04A0" w:firstRow="1" w:lastRow="0" w:firstColumn="1" w:lastColumn="0" w:noHBand="0" w:noVBand="1"/>
      </w:tblPr>
      <w:tblGrid>
        <w:gridCol w:w="576"/>
        <w:gridCol w:w="1192"/>
        <w:gridCol w:w="1047"/>
        <w:gridCol w:w="1341"/>
        <w:gridCol w:w="436"/>
        <w:gridCol w:w="977"/>
        <w:gridCol w:w="396"/>
        <w:gridCol w:w="756"/>
        <w:gridCol w:w="486"/>
        <w:gridCol w:w="396"/>
        <w:gridCol w:w="1514"/>
      </w:tblGrid>
      <w:tr w:rsidR="00743BBE" w:rsidRPr="00743BBE" w14:paraId="793C4C2B" w14:textId="77777777" w:rsidTr="00743BBE">
        <w:trPr>
          <w:trHeight w:val="429"/>
        </w:trPr>
        <w:tc>
          <w:tcPr>
            <w:tcW w:w="911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ED4352" w14:textId="77777777" w:rsidR="00743BBE" w:rsidRPr="00743BBE" w:rsidRDefault="00743BBE" w:rsidP="00743BBE">
            <w:pPr>
              <w:widowControl/>
              <w:jc w:val="center"/>
              <w:rPr>
                <w:rFonts w:ascii="黑体" w:eastAsia="黑体" w:hAnsi="黑体" w:cs="宋体" w:hint="eastAsia"/>
                <w:b/>
                <w:bCs/>
                <w:color w:val="000000"/>
                <w:kern w:val="0"/>
                <w:sz w:val="30"/>
                <w:szCs w:val="30"/>
              </w:rPr>
            </w:pPr>
            <w:r w:rsidRPr="00743BBE">
              <w:rPr>
                <w:rFonts w:ascii="黑体" w:eastAsia="黑体" w:hAnsi="黑体" w:cs="宋体" w:hint="eastAsia"/>
                <w:b/>
                <w:bCs/>
                <w:color w:val="000000"/>
                <w:kern w:val="0"/>
                <w:sz w:val="30"/>
                <w:szCs w:val="30"/>
              </w:rPr>
              <w:t>部门预算项目支出绩效自评表（2023年度）</w:t>
            </w:r>
          </w:p>
        </w:tc>
      </w:tr>
      <w:tr w:rsidR="00743BBE" w:rsidRPr="00743BBE" w14:paraId="160FEAC6" w14:textId="77777777" w:rsidTr="00743BBE">
        <w:trPr>
          <w:trHeight w:val="134"/>
        </w:trPr>
        <w:tc>
          <w:tcPr>
            <w:tcW w:w="1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431458"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项目名称</w:t>
            </w:r>
          </w:p>
        </w:tc>
        <w:tc>
          <w:tcPr>
            <w:tcW w:w="7347" w:type="dxa"/>
            <w:gridSpan w:val="9"/>
            <w:tcBorders>
              <w:top w:val="single" w:sz="4" w:space="0" w:color="000000"/>
              <w:left w:val="nil"/>
              <w:bottom w:val="single" w:sz="4" w:space="0" w:color="000000"/>
              <w:right w:val="single" w:sz="4" w:space="0" w:color="000000"/>
            </w:tcBorders>
            <w:shd w:val="clear" w:color="auto" w:fill="auto"/>
            <w:vAlign w:val="center"/>
            <w:hideMark/>
          </w:tcPr>
          <w:p w14:paraId="3D703E39"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51323322T000005903729-2021年政法纪检转移支付资金常态</w:t>
            </w:r>
            <w:proofErr w:type="gramStart"/>
            <w:r w:rsidRPr="00743BBE">
              <w:rPr>
                <w:rFonts w:ascii="宋体" w:hAnsi="宋体" w:cs="宋体" w:hint="eastAsia"/>
                <w:color w:val="000000"/>
                <w:kern w:val="0"/>
                <w:sz w:val="18"/>
                <w:szCs w:val="18"/>
              </w:rPr>
              <w:t>维稳机动</w:t>
            </w:r>
            <w:proofErr w:type="gramEnd"/>
            <w:r w:rsidRPr="00743BBE">
              <w:rPr>
                <w:rFonts w:ascii="宋体" w:hAnsi="宋体" w:cs="宋体" w:hint="eastAsia"/>
                <w:color w:val="000000"/>
                <w:kern w:val="0"/>
                <w:sz w:val="18"/>
                <w:szCs w:val="18"/>
              </w:rPr>
              <w:t>金（</w:t>
            </w:r>
            <w:proofErr w:type="gramStart"/>
            <w:r w:rsidRPr="00743BBE">
              <w:rPr>
                <w:rFonts w:ascii="宋体" w:hAnsi="宋体" w:cs="宋体" w:hint="eastAsia"/>
                <w:color w:val="000000"/>
                <w:kern w:val="0"/>
                <w:sz w:val="18"/>
                <w:szCs w:val="18"/>
              </w:rPr>
              <w:t>安曲驻训点</w:t>
            </w:r>
            <w:proofErr w:type="gramEnd"/>
            <w:r w:rsidRPr="00743BBE">
              <w:rPr>
                <w:rFonts w:ascii="宋体" w:hAnsi="宋体" w:cs="宋体" w:hint="eastAsia"/>
                <w:color w:val="000000"/>
                <w:kern w:val="0"/>
                <w:sz w:val="18"/>
                <w:szCs w:val="18"/>
              </w:rPr>
              <w:t>装备）</w:t>
            </w:r>
          </w:p>
        </w:tc>
      </w:tr>
      <w:tr w:rsidR="00743BBE" w:rsidRPr="00743BBE" w14:paraId="4AB49134" w14:textId="77777777" w:rsidTr="00743BBE">
        <w:trPr>
          <w:trHeight w:val="243"/>
        </w:trPr>
        <w:tc>
          <w:tcPr>
            <w:tcW w:w="17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AE6E24"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主管部门</w:t>
            </w:r>
          </w:p>
        </w:tc>
        <w:tc>
          <w:tcPr>
            <w:tcW w:w="4208" w:type="dxa"/>
            <w:gridSpan w:val="5"/>
            <w:tcBorders>
              <w:top w:val="single" w:sz="4" w:space="0" w:color="000000"/>
              <w:left w:val="nil"/>
              <w:bottom w:val="single" w:sz="4" w:space="0" w:color="000000"/>
              <w:right w:val="single" w:sz="4" w:space="0" w:color="000000"/>
            </w:tcBorders>
            <w:shd w:val="clear" w:color="auto" w:fill="auto"/>
            <w:vAlign w:val="center"/>
            <w:hideMark/>
          </w:tcPr>
          <w:p w14:paraId="6DC44E77"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红原县公安局</w:t>
            </w:r>
          </w:p>
        </w:tc>
        <w:tc>
          <w:tcPr>
            <w:tcW w:w="747" w:type="dxa"/>
            <w:tcBorders>
              <w:top w:val="nil"/>
              <w:left w:val="nil"/>
              <w:bottom w:val="nil"/>
              <w:right w:val="nil"/>
            </w:tcBorders>
            <w:shd w:val="clear" w:color="auto" w:fill="auto"/>
            <w:vAlign w:val="center"/>
            <w:hideMark/>
          </w:tcPr>
          <w:p w14:paraId="1F0320F2" w14:textId="77777777" w:rsidR="00743BBE" w:rsidRPr="00743BBE" w:rsidRDefault="00743BBE" w:rsidP="00743BBE">
            <w:pPr>
              <w:widowControl/>
              <w:jc w:val="left"/>
              <w:rPr>
                <w:rFonts w:ascii="黑体" w:eastAsia="黑体" w:hAnsi="黑体" w:cs="宋体" w:hint="eastAsia"/>
                <w:color w:val="000000"/>
                <w:kern w:val="0"/>
                <w:sz w:val="18"/>
                <w:szCs w:val="18"/>
              </w:rPr>
            </w:pPr>
            <w:r w:rsidRPr="00743BBE">
              <w:rPr>
                <w:rFonts w:ascii="黑体" w:eastAsia="黑体" w:hAnsi="黑体" w:cs="宋体" w:hint="eastAsia"/>
                <w:color w:val="000000"/>
                <w:kern w:val="0"/>
                <w:sz w:val="18"/>
                <w:szCs w:val="18"/>
              </w:rPr>
              <w:t>实施单位 （盖章）</w:t>
            </w:r>
          </w:p>
        </w:tc>
        <w:tc>
          <w:tcPr>
            <w:tcW w:w="23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13A52D"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红原县公安局</w:t>
            </w:r>
          </w:p>
        </w:tc>
      </w:tr>
      <w:tr w:rsidR="00743BBE" w:rsidRPr="00743BBE" w14:paraId="4C9C2D6E" w14:textId="77777777" w:rsidTr="00743BBE">
        <w:trPr>
          <w:trHeight w:val="134"/>
        </w:trPr>
        <w:tc>
          <w:tcPr>
            <w:tcW w:w="56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C335A46"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项目基本情况</w:t>
            </w:r>
          </w:p>
        </w:tc>
        <w:tc>
          <w:tcPr>
            <w:tcW w:w="119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91AF5DD"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1.项目年度目标完成情况</w:t>
            </w:r>
          </w:p>
        </w:tc>
        <w:tc>
          <w:tcPr>
            <w:tcW w:w="4208" w:type="dxa"/>
            <w:gridSpan w:val="5"/>
            <w:tcBorders>
              <w:top w:val="single" w:sz="4" w:space="0" w:color="000000"/>
              <w:left w:val="nil"/>
              <w:bottom w:val="single" w:sz="4" w:space="0" w:color="000000"/>
              <w:right w:val="single" w:sz="4" w:space="0" w:color="000000"/>
            </w:tcBorders>
            <w:shd w:val="clear" w:color="auto" w:fill="auto"/>
            <w:vAlign w:val="center"/>
            <w:hideMark/>
          </w:tcPr>
          <w:p w14:paraId="0A56EF3D"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项目年度目标</w:t>
            </w:r>
          </w:p>
        </w:tc>
        <w:tc>
          <w:tcPr>
            <w:tcW w:w="3139" w:type="dxa"/>
            <w:gridSpan w:val="4"/>
            <w:tcBorders>
              <w:top w:val="single" w:sz="4" w:space="0" w:color="000000"/>
              <w:left w:val="nil"/>
              <w:bottom w:val="single" w:sz="4" w:space="0" w:color="000000"/>
              <w:right w:val="single" w:sz="4" w:space="0" w:color="000000"/>
            </w:tcBorders>
            <w:shd w:val="clear" w:color="auto" w:fill="auto"/>
            <w:vAlign w:val="center"/>
            <w:hideMark/>
          </w:tcPr>
          <w:p w14:paraId="4424A35E" w14:textId="77777777" w:rsidR="00743BBE" w:rsidRPr="00743BBE" w:rsidRDefault="00743BBE" w:rsidP="00743BBE">
            <w:pPr>
              <w:widowControl/>
              <w:jc w:val="center"/>
              <w:rPr>
                <w:rFonts w:ascii="黑体" w:eastAsia="黑体" w:hAnsi="黑体" w:cs="宋体" w:hint="eastAsia"/>
                <w:color w:val="000000"/>
                <w:kern w:val="0"/>
                <w:sz w:val="18"/>
                <w:szCs w:val="18"/>
              </w:rPr>
            </w:pPr>
            <w:r w:rsidRPr="00743BBE">
              <w:rPr>
                <w:rFonts w:ascii="黑体" w:eastAsia="黑体" w:hAnsi="黑体" w:cs="宋体" w:hint="eastAsia"/>
                <w:color w:val="000000"/>
                <w:kern w:val="0"/>
                <w:sz w:val="18"/>
                <w:szCs w:val="18"/>
              </w:rPr>
              <w:t>年度目标完成情况</w:t>
            </w:r>
          </w:p>
        </w:tc>
      </w:tr>
      <w:tr w:rsidR="00743BBE" w:rsidRPr="00743BBE" w14:paraId="05DE5343" w14:textId="77777777" w:rsidTr="00743BBE">
        <w:trPr>
          <w:trHeight w:val="337"/>
        </w:trPr>
        <w:tc>
          <w:tcPr>
            <w:tcW w:w="569" w:type="dxa"/>
            <w:vMerge/>
            <w:tcBorders>
              <w:top w:val="nil"/>
              <w:left w:val="single" w:sz="4" w:space="0" w:color="000000"/>
              <w:bottom w:val="single" w:sz="4" w:space="0" w:color="000000"/>
              <w:right w:val="single" w:sz="4" w:space="0" w:color="000000"/>
            </w:tcBorders>
            <w:vAlign w:val="center"/>
            <w:hideMark/>
          </w:tcPr>
          <w:p w14:paraId="1E87BE76"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vMerge/>
            <w:tcBorders>
              <w:top w:val="nil"/>
              <w:left w:val="single" w:sz="4" w:space="0" w:color="000000"/>
              <w:bottom w:val="single" w:sz="4" w:space="0" w:color="000000"/>
              <w:right w:val="single" w:sz="4" w:space="0" w:color="000000"/>
            </w:tcBorders>
            <w:vAlign w:val="center"/>
            <w:hideMark/>
          </w:tcPr>
          <w:p w14:paraId="58A2851D" w14:textId="77777777" w:rsidR="00743BBE" w:rsidRPr="00743BBE" w:rsidRDefault="00743BBE" w:rsidP="00743BBE">
            <w:pPr>
              <w:widowControl/>
              <w:jc w:val="left"/>
              <w:rPr>
                <w:rFonts w:ascii="宋体" w:hAnsi="宋体" w:cs="宋体" w:hint="eastAsia"/>
                <w:color w:val="000000"/>
                <w:kern w:val="0"/>
                <w:sz w:val="18"/>
                <w:szCs w:val="18"/>
              </w:rPr>
            </w:pPr>
          </w:p>
        </w:tc>
        <w:tc>
          <w:tcPr>
            <w:tcW w:w="4208" w:type="dxa"/>
            <w:gridSpan w:val="5"/>
            <w:tcBorders>
              <w:top w:val="single" w:sz="4" w:space="0" w:color="000000"/>
              <w:left w:val="nil"/>
              <w:bottom w:val="single" w:sz="4" w:space="0" w:color="000000"/>
              <w:right w:val="single" w:sz="4" w:space="0" w:color="000000"/>
            </w:tcBorders>
            <w:shd w:val="clear" w:color="auto" w:fill="auto"/>
            <w:vAlign w:val="center"/>
            <w:hideMark/>
          </w:tcPr>
          <w:p w14:paraId="6DD997FA"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更好地为人民服务</w:t>
            </w:r>
          </w:p>
        </w:tc>
        <w:tc>
          <w:tcPr>
            <w:tcW w:w="3139" w:type="dxa"/>
            <w:gridSpan w:val="4"/>
            <w:tcBorders>
              <w:top w:val="single" w:sz="4" w:space="0" w:color="000000"/>
              <w:left w:val="nil"/>
              <w:bottom w:val="single" w:sz="4" w:space="0" w:color="000000"/>
              <w:right w:val="single" w:sz="4" w:space="0" w:color="000000"/>
            </w:tcBorders>
            <w:shd w:val="clear" w:color="auto" w:fill="auto"/>
            <w:vAlign w:val="center"/>
            <w:hideMark/>
          </w:tcPr>
          <w:p w14:paraId="4FA847FB" w14:textId="77777777" w:rsidR="00743BBE" w:rsidRPr="00743BBE" w:rsidRDefault="00743BBE" w:rsidP="00743BBE">
            <w:pPr>
              <w:widowControl/>
              <w:jc w:val="left"/>
              <w:rPr>
                <w:rFonts w:ascii="黑体" w:eastAsia="黑体" w:hAnsi="黑体" w:cs="宋体" w:hint="eastAsia"/>
                <w:color w:val="000000"/>
                <w:kern w:val="0"/>
                <w:sz w:val="18"/>
                <w:szCs w:val="18"/>
              </w:rPr>
            </w:pPr>
            <w:r w:rsidRPr="00743BBE">
              <w:rPr>
                <w:rFonts w:ascii="黑体" w:eastAsia="黑体" w:hAnsi="黑体" w:cs="宋体" w:hint="eastAsia"/>
                <w:color w:val="000000"/>
                <w:kern w:val="0"/>
                <w:sz w:val="18"/>
                <w:szCs w:val="18"/>
              </w:rPr>
              <w:t>更好地为人民服务</w:t>
            </w:r>
          </w:p>
        </w:tc>
      </w:tr>
      <w:tr w:rsidR="00743BBE" w:rsidRPr="00743BBE" w14:paraId="1F9A1E9E" w14:textId="77777777" w:rsidTr="00743BBE">
        <w:trPr>
          <w:trHeight w:val="329"/>
        </w:trPr>
        <w:tc>
          <w:tcPr>
            <w:tcW w:w="569" w:type="dxa"/>
            <w:vMerge/>
            <w:tcBorders>
              <w:top w:val="nil"/>
              <w:left w:val="single" w:sz="4" w:space="0" w:color="000000"/>
              <w:bottom w:val="single" w:sz="4" w:space="0" w:color="000000"/>
              <w:right w:val="single" w:sz="4" w:space="0" w:color="000000"/>
            </w:tcBorders>
            <w:vAlign w:val="center"/>
            <w:hideMark/>
          </w:tcPr>
          <w:p w14:paraId="3D2CD41B"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7BD1F46F"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2.项目实施内容及过程概述</w:t>
            </w:r>
          </w:p>
        </w:tc>
        <w:tc>
          <w:tcPr>
            <w:tcW w:w="7347" w:type="dxa"/>
            <w:gridSpan w:val="9"/>
            <w:tcBorders>
              <w:top w:val="single" w:sz="4" w:space="0" w:color="000000"/>
              <w:left w:val="nil"/>
              <w:bottom w:val="single" w:sz="4" w:space="0" w:color="000000"/>
              <w:right w:val="single" w:sz="4" w:space="0" w:color="000000"/>
            </w:tcBorders>
            <w:shd w:val="clear" w:color="auto" w:fill="auto"/>
            <w:vAlign w:val="center"/>
            <w:hideMark/>
          </w:tcPr>
          <w:p w14:paraId="409B445B" w14:textId="77777777" w:rsidR="00743BBE" w:rsidRPr="00743BBE" w:rsidRDefault="00743BBE" w:rsidP="00743BBE">
            <w:pPr>
              <w:widowControl/>
              <w:jc w:val="left"/>
              <w:rPr>
                <w:rFonts w:ascii="宋体" w:hAnsi="宋体" w:cs="宋体" w:hint="eastAsia"/>
                <w:color w:val="000000"/>
                <w:kern w:val="0"/>
                <w:sz w:val="18"/>
                <w:szCs w:val="18"/>
              </w:rPr>
            </w:pPr>
            <w:proofErr w:type="gramStart"/>
            <w:r w:rsidRPr="00743BBE">
              <w:rPr>
                <w:rFonts w:ascii="宋体" w:hAnsi="宋体" w:cs="宋体" w:hint="eastAsia"/>
                <w:color w:val="000000"/>
                <w:kern w:val="0"/>
                <w:sz w:val="18"/>
                <w:szCs w:val="18"/>
              </w:rPr>
              <w:t>用于安曲应急</w:t>
            </w:r>
            <w:proofErr w:type="gramEnd"/>
            <w:r w:rsidRPr="00743BBE">
              <w:rPr>
                <w:rFonts w:ascii="宋体" w:hAnsi="宋体" w:cs="宋体" w:hint="eastAsia"/>
                <w:color w:val="000000"/>
                <w:kern w:val="0"/>
                <w:sz w:val="18"/>
                <w:szCs w:val="18"/>
              </w:rPr>
              <w:t>联勤基地</w:t>
            </w:r>
            <w:proofErr w:type="gramStart"/>
            <w:r w:rsidRPr="00743BBE">
              <w:rPr>
                <w:rFonts w:ascii="宋体" w:hAnsi="宋体" w:cs="宋体" w:hint="eastAsia"/>
                <w:color w:val="000000"/>
                <w:kern w:val="0"/>
                <w:sz w:val="18"/>
                <w:szCs w:val="18"/>
              </w:rPr>
              <w:t>建设驻训点</w:t>
            </w:r>
            <w:proofErr w:type="gramEnd"/>
            <w:r w:rsidRPr="00743BBE">
              <w:rPr>
                <w:rFonts w:ascii="宋体" w:hAnsi="宋体" w:cs="宋体" w:hint="eastAsia"/>
                <w:color w:val="000000"/>
                <w:kern w:val="0"/>
                <w:sz w:val="18"/>
                <w:szCs w:val="18"/>
              </w:rPr>
              <w:t>装备、硬件建设等</w:t>
            </w:r>
          </w:p>
        </w:tc>
      </w:tr>
      <w:tr w:rsidR="00743BBE" w:rsidRPr="00743BBE" w14:paraId="7E40EC7C" w14:textId="77777777" w:rsidTr="00743BBE">
        <w:trPr>
          <w:trHeight w:val="171"/>
        </w:trPr>
        <w:tc>
          <w:tcPr>
            <w:tcW w:w="56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69558C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预算执行</w:t>
            </w:r>
            <w:r w:rsidRPr="00743BBE">
              <w:rPr>
                <w:rFonts w:ascii="宋体" w:hAnsi="宋体" w:cs="宋体" w:hint="eastAsia"/>
                <w:color w:val="000000"/>
                <w:kern w:val="0"/>
                <w:sz w:val="18"/>
                <w:szCs w:val="18"/>
              </w:rPr>
              <w:lastRenderedPageBreak/>
              <w:t>情况（10分）</w:t>
            </w:r>
          </w:p>
        </w:tc>
        <w:tc>
          <w:tcPr>
            <w:tcW w:w="1199" w:type="dxa"/>
            <w:tcBorders>
              <w:top w:val="nil"/>
              <w:left w:val="nil"/>
              <w:bottom w:val="single" w:sz="4" w:space="0" w:color="000000"/>
              <w:right w:val="single" w:sz="4" w:space="0" w:color="000000"/>
            </w:tcBorders>
            <w:shd w:val="clear" w:color="auto" w:fill="auto"/>
            <w:vAlign w:val="center"/>
            <w:hideMark/>
          </w:tcPr>
          <w:p w14:paraId="5A7BD22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lastRenderedPageBreak/>
              <w:t>年度预算数（万元）</w:t>
            </w:r>
          </w:p>
        </w:tc>
        <w:tc>
          <w:tcPr>
            <w:tcW w:w="1053" w:type="dxa"/>
            <w:tcBorders>
              <w:top w:val="nil"/>
              <w:left w:val="nil"/>
              <w:bottom w:val="single" w:sz="4" w:space="0" w:color="000000"/>
              <w:right w:val="single" w:sz="4" w:space="0" w:color="000000"/>
            </w:tcBorders>
            <w:shd w:val="clear" w:color="auto" w:fill="auto"/>
            <w:vAlign w:val="center"/>
            <w:hideMark/>
          </w:tcPr>
          <w:p w14:paraId="5B396EB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年初预算</w:t>
            </w:r>
          </w:p>
        </w:tc>
        <w:tc>
          <w:tcPr>
            <w:tcW w:w="1348" w:type="dxa"/>
            <w:tcBorders>
              <w:top w:val="nil"/>
              <w:left w:val="nil"/>
              <w:bottom w:val="single" w:sz="4" w:space="0" w:color="000000"/>
              <w:right w:val="single" w:sz="4" w:space="0" w:color="000000"/>
            </w:tcBorders>
            <w:shd w:val="clear" w:color="auto" w:fill="auto"/>
            <w:vAlign w:val="center"/>
            <w:hideMark/>
          </w:tcPr>
          <w:p w14:paraId="45585E4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调整</w:t>
            </w:r>
            <w:proofErr w:type="gramStart"/>
            <w:r w:rsidRPr="00743BBE">
              <w:rPr>
                <w:rFonts w:ascii="宋体" w:hAnsi="宋体" w:cs="宋体" w:hint="eastAsia"/>
                <w:color w:val="000000"/>
                <w:kern w:val="0"/>
                <w:sz w:val="18"/>
                <w:szCs w:val="18"/>
              </w:rPr>
              <w:t>后预算</w:t>
            </w:r>
            <w:proofErr w:type="gramEnd"/>
            <w:r w:rsidRPr="00743BBE">
              <w:rPr>
                <w:rFonts w:ascii="宋体" w:hAnsi="宋体" w:cs="宋体" w:hint="eastAsia"/>
                <w:color w:val="000000"/>
                <w:kern w:val="0"/>
                <w:sz w:val="18"/>
                <w:szCs w:val="18"/>
              </w:rPr>
              <w:t>数</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6A26C6A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预算执行数</w:t>
            </w:r>
          </w:p>
        </w:tc>
        <w:tc>
          <w:tcPr>
            <w:tcW w:w="747" w:type="dxa"/>
            <w:tcBorders>
              <w:top w:val="nil"/>
              <w:left w:val="nil"/>
              <w:bottom w:val="single" w:sz="4" w:space="0" w:color="000000"/>
              <w:right w:val="single" w:sz="4" w:space="0" w:color="000000"/>
            </w:tcBorders>
            <w:shd w:val="clear" w:color="auto" w:fill="auto"/>
            <w:vAlign w:val="center"/>
            <w:hideMark/>
          </w:tcPr>
          <w:p w14:paraId="6C9FD938"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预算执行率</w:t>
            </w:r>
          </w:p>
        </w:tc>
        <w:tc>
          <w:tcPr>
            <w:tcW w:w="480" w:type="dxa"/>
            <w:tcBorders>
              <w:top w:val="nil"/>
              <w:left w:val="nil"/>
              <w:bottom w:val="single" w:sz="4" w:space="0" w:color="000000"/>
              <w:right w:val="single" w:sz="4" w:space="0" w:color="000000"/>
            </w:tcBorders>
            <w:shd w:val="clear" w:color="auto" w:fill="auto"/>
            <w:vAlign w:val="center"/>
            <w:hideMark/>
          </w:tcPr>
          <w:p w14:paraId="4B5D3068"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权重</w:t>
            </w:r>
          </w:p>
        </w:tc>
        <w:tc>
          <w:tcPr>
            <w:tcW w:w="391" w:type="dxa"/>
            <w:tcBorders>
              <w:top w:val="nil"/>
              <w:left w:val="nil"/>
              <w:bottom w:val="single" w:sz="4" w:space="0" w:color="000000"/>
              <w:right w:val="single" w:sz="4" w:space="0" w:color="000000"/>
            </w:tcBorders>
            <w:shd w:val="clear" w:color="auto" w:fill="auto"/>
            <w:vAlign w:val="center"/>
            <w:hideMark/>
          </w:tcPr>
          <w:p w14:paraId="5116D16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得分</w:t>
            </w:r>
          </w:p>
        </w:tc>
        <w:tc>
          <w:tcPr>
            <w:tcW w:w="1520" w:type="dxa"/>
            <w:tcBorders>
              <w:top w:val="nil"/>
              <w:left w:val="nil"/>
              <w:bottom w:val="single" w:sz="4" w:space="0" w:color="000000"/>
              <w:right w:val="single" w:sz="4" w:space="0" w:color="000000"/>
            </w:tcBorders>
            <w:shd w:val="clear" w:color="auto" w:fill="auto"/>
            <w:vAlign w:val="center"/>
            <w:hideMark/>
          </w:tcPr>
          <w:p w14:paraId="736B810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原因</w:t>
            </w:r>
          </w:p>
        </w:tc>
      </w:tr>
      <w:tr w:rsidR="00743BBE" w:rsidRPr="00743BBE" w14:paraId="0FC6D4A0" w14:textId="77777777" w:rsidTr="00743BBE">
        <w:trPr>
          <w:trHeight w:val="163"/>
        </w:trPr>
        <w:tc>
          <w:tcPr>
            <w:tcW w:w="569" w:type="dxa"/>
            <w:vMerge/>
            <w:tcBorders>
              <w:top w:val="nil"/>
              <w:left w:val="single" w:sz="4" w:space="0" w:color="000000"/>
              <w:bottom w:val="single" w:sz="4" w:space="0" w:color="000000"/>
              <w:right w:val="single" w:sz="4" w:space="0" w:color="000000"/>
            </w:tcBorders>
            <w:vAlign w:val="center"/>
            <w:hideMark/>
          </w:tcPr>
          <w:p w14:paraId="1BBD4B42"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47FCE058"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总额</w:t>
            </w:r>
          </w:p>
        </w:tc>
        <w:tc>
          <w:tcPr>
            <w:tcW w:w="1053" w:type="dxa"/>
            <w:tcBorders>
              <w:top w:val="nil"/>
              <w:left w:val="nil"/>
              <w:bottom w:val="single" w:sz="4" w:space="0" w:color="000000"/>
              <w:right w:val="single" w:sz="4" w:space="0" w:color="000000"/>
            </w:tcBorders>
            <w:shd w:val="clear" w:color="auto" w:fill="auto"/>
            <w:vAlign w:val="center"/>
            <w:hideMark/>
          </w:tcPr>
          <w:p w14:paraId="4B3760B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348" w:type="dxa"/>
            <w:tcBorders>
              <w:top w:val="nil"/>
              <w:left w:val="nil"/>
              <w:bottom w:val="single" w:sz="4" w:space="0" w:color="000000"/>
              <w:right w:val="single" w:sz="4" w:space="0" w:color="000000"/>
            </w:tcBorders>
            <w:shd w:val="clear" w:color="auto" w:fill="auto"/>
            <w:vAlign w:val="center"/>
            <w:hideMark/>
          </w:tcPr>
          <w:p w14:paraId="26872B8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169.52</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2A9D66A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162.53</w:t>
            </w:r>
          </w:p>
        </w:tc>
        <w:tc>
          <w:tcPr>
            <w:tcW w:w="747" w:type="dxa"/>
            <w:tcBorders>
              <w:top w:val="nil"/>
              <w:left w:val="nil"/>
              <w:bottom w:val="single" w:sz="4" w:space="0" w:color="000000"/>
              <w:right w:val="single" w:sz="4" w:space="0" w:color="000000"/>
            </w:tcBorders>
            <w:shd w:val="clear" w:color="auto" w:fill="auto"/>
            <w:vAlign w:val="center"/>
            <w:hideMark/>
          </w:tcPr>
          <w:p w14:paraId="73771C1B"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95.88%</w:t>
            </w:r>
          </w:p>
        </w:tc>
        <w:tc>
          <w:tcPr>
            <w:tcW w:w="480" w:type="dxa"/>
            <w:tcBorders>
              <w:top w:val="nil"/>
              <w:left w:val="nil"/>
              <w:bottom w:val="single" w:sz="4" w:space="0" w:color="000000"/>
              <w:right w:val="single" w:sz="4" w:space="0" w:color="000000"/>
            </w:tcBorders>
            <w:shd w:val="clear" w:color="auto" w:fill="auto"/>
            <w:vAlign w:val="center"/>
            <w:hideMark/>
          </w:tcPr>
          <w:p w14:paraId="3B7E2E0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10</w:t>
            </w:r>
          </w:p>
        </w:tc>
        <w:tc>
          <w:tcPr>
            <w:tcW w:w="391" w:type="dxa"/>
            <w:tcBorders>
              <w:top w:val="nil"/>
              <w:left w:val="nil"/>
              <w:bottom w:val="single" w:sz="4" w:space="0" w:color="000000"/>
              <w:right w:val="single" w:sz="4" w:space="0" w:color="000000"/>
            </w:tcBorders>
            <w:shd w:val="clear" w:color="auto" w:fill="auto"/>
            <w:vAlign w:val="center"/>
            <w:hideMark/>
          </w:tcPr>
          <w:p w14:paraId="72B94E1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152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9F67A83" w14:textId="77777777" w:rsidR="00743BBE" w:rsidRPr="00743BBE" w:rsidRDefault="00743BBE" w:rsidP="00743BBE">
            <w:pPr>
              <w:widowControl/>
              <w:jc w:val="left"/>
              <w:rPr>
                <w:rFonts w:ascii="黑体" w:eastAsia="黑体" w:hAnsi="黑体" w:cs="宋体" w:hint="eastAsia"/>
                <w:i/>
                <w:iCs/>
                <w:color w:val="000000"/>
                <w:kern w:val="0"/>
                <w:sz w:val="18"/>
                <w:szCs w:val="18"/>
              </w:rPr>
            </w:pPr>
            <w:r w:rsidRPr="00743BBE">
              <w:rPr>
                <w:rFonts w:ascii="黑体" w:eastAsia="黑体" w:hAnsi="黑体" w:cs="宋体" w:hint="eastAsia"/>
                <w:i/>
                <w:iCs/>
                <w:color w:val="000000"/>
                <w:kern w:val="0"/>
                <w:sz w:val="18"/>
                <w:szCs w:val="18"/>
              </w:rPr>
              <w:t>1.预算执行率=预算执行数/调整</w:t>
            </w:r>
            <w:proofErr w:type="gramStart"/>
            <w:r w:rsidRPr="00743BBE">
              <w:rPr>
                <w:rFonts w:ascii="黑体" w:eastAsia="黑体" w:hAnsi="黑体" w:cs="宋体" w:hint="eastAsia"/>
                <w:i/>
                <w:iCs/>
                <w:color w:val="000000"/>
                <w:kern w:val="0"/>
                <w:sz w:val="18"/>
                <w:szCs w:val="18"/>
              </w:rPr>
              <w:t>后预算</w:t>
            </w:r>
            <w:proofErr w:type="gramEnd"/>
            <w:r w:rsidRPr="00743BBE">
              <w:rPr>
                <w:rFonts w:ascii="黑体" w:eastAsia="黑体" w:hAnsi="黑体" w:cs="宋体" w:hint="eastAsia"/>
                <w:i/>
                <w:iCs/>
                <w:color w:val="000000"/>
                <w:kern w:val="0"/>
                <w:sz w:val="18"/>
                <w:szCs w:val="18"/>
              </w:rPr>
              <w:t>数，预算执行率未达到90%的需说明原因（100字以内）;2.年中发生预算调整的（追加或调减）,应单独说明理由；3.其他资金包括：社会投入资金、银行贷款.</w:t>
            </w:r>
          </w:p>
        </w:tc>
      </w:tr>
      <w:tr w:rsidR="00743BBE" w:rsidRPr="00743BBE" w14:paraId="58C1377D" w14:textId="77777777" w:rsidTr="00743BBE">
        <w:trPr>
          <w:trHeight w:val="185"/>
        </w:trPr>
        <w:tc>
          <w:tcPr>
            <w:tcW w:w="569" w:type="dxa"/>
            <w:vMerge/>
            <w:tcBorders>
              <w:top w:val="nil"/>
              <w:left w:val="single" w:sz="4" w:space="0" w:color="000000"/>
              <w:bottom w:val="single" w:sz="4" w:space="0" w:color="000000"/>
              <w:right w:val="single" w:sz="4" w:space="0" w:color="000000"/>
            </w:tcBorders>
            <w:vAlign w:val="center"/>
            <w:hideMark/>
          </w:tcPr>
          <w:p w14:paraId="59D7BA37"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440FC3B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其中：财政资金</w:t>
            </w:r>
          </w:p>
        </w:tc>
        <w:tc>
          <w:tcPr>
            <w:tcW w:w="1053" w:type="dxa"/>
            <w:tcBorders>
              <w:top w:val="nil"/>
              <w:left w:val="nil"/>
              <w:bottom w:val="single" w:sz="4" w:space="0" w:color="000000"/>
              <w:right w:val="single" w:sz="4" w:space="0" w:color="000000"/>
            </w:tcBorders>
            <w:shd w:val="clear" w:color="auto" w:fill="auto"/>
            <w:vAlign w:val="center"/>
            <w:hideMark/>
          </w:tcPr>
          <w:p w14:paraId="2BD5423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348" w:type="dxa"/>
            <w:tcBorders>
              <w:top w:val="nil"/>
              <w:left w:val="nil"/>
              <w:bottom w:val="single" w:sz="4" w:space="0" w:color="000000"/>
              <w:right w:val="single" w:sz="4" w:space="0" w:color="000000"/>
            </w:tcBorders>
            <w:shd w:val="clear" w:color="auto" w:fill="auto"/>
            <w:vAlign w:val="center"/>
            <w:hideMark/>
          </w:tcPr>
          <w:p w14:paraId="2F5A0AED"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169.52</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2C6202D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162.53</w:t>
            </w:r>
          </w:p>
        </w:tc>
        <w:tc>
          <w:tcPr>
            <w:tcW w:w="747" w:type="dxa"/>
            <w:tcBorders>
              <w:top w:val="nil"/>
              <w:left w:val="nil"/>
              <w:bottom w:val="single" w:sz="4" w:space="0" w:color="000000"/>
              <w:right w:val="single" w:sz="4" w:space="0" w:color="000000"/>
            </w:tcBorders>
            <w:shd w:val="clear" w:color="auto" w:fill="auto"/>
            <w:vAlign w:val="center"/>
            <w:hideMark/>
          </w:tcPr>
          <w:p w14:paraId="471486D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95.88%</w:t>
            </w:r>
          </w:p>
        </w:tc>
        <w:tc>
          <w:tcPr>
            <w:tcW w:w="480" w:type="dxa"/>
            <w:tcBorders>
              <w:top w:val="nil"/>
              <w:left w:val="nil"/>
              <w:bottom w:val="single" w:sz="4" w:space="0" w:color="000000"/>
              <w:right w:val="single" w:sz="4" w:space="0" w:color="000000"/>
            </w:tcBorders>
            <w:shd w:val="clear" w:color="auto" w:fill="auto"/>
            <w:vAlign w:val="center"/>
            <w:hideMark/>
          </w:tcPr>
          <w:p w14:paraId="7984D20B"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391" w:type="dxa"/>
            <w:tcBorders>
              <w:top w:val="nil"/>
              <w:left w:val="nil"/>
              <w:bottom w:val="single" w:sz="4" w:space="0" w:color="000000"/>
              <w:right w:val="single" w:sz="4" w:space="0" w:color="000000"/>
            </w:tcBorders>
            <w:shd w:val="clear" w:color="auto" w:fill="auto"/>
            <w:vAlign w:val="center"/>
            <w:hideMark/>
          </w:tcPr>
          <w:p w14:paraId="777AF33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1520" w:type="dxa"/>
            <w:vMerge/>
            <w:tcBorders>
              <w:top w:val="nil"/>
              <w:left w:val="single" w:sz="4" w:space="0" w:color="000000"/>
              <w:bottom w:val="single" w:sz="4" w:space="0" w:color="000000"/>
              <w:right w:val="single" w:sz="4" w:space="0" w:color="000000"/>
            </w:tcBorders>
            <w:vAlign w:val="center"/>
            <w:hideMark/>
          </w:tcPr>
          <w:p w14:paraId="42D0A11A" w14:textId="77777777" w:rsidR="00743BBE" w:rsidRPr="00743BBE" w:rsidRDefault="00743BBE" w:rsidP="00743BBE">
            <w:pPr>
              <w:widowControl/>
              <w:jc w:val="left"/>
              <w:rPr>
                <w:rFonts w:ascii="黑体" w:eastAsia="黑体" w:hAnsi="黑体" w:cs="宋体" w:hint="eastAsia"/>
                <w:i/>
                <w:iCs/>
                <w:color w:val="000000"/>
                <w:kern w:val="0"/>
                <w:sz w:val="18"/>
                <w:szCs w:val="18"/>
              </w:rPr>
            </w:pPr>
          </w:p>
        </w:tc>
      </w:tr>
      <w:tr w:rsidR="00743BBE" w:rsidRPr="00743BBE" w14:paraId="5DA00F89" w14:textId="77777777" w:rsidTr="00743BBE">
        <w:trPr>
          <w:trHeight w:val="193"/>
        </w:trPr>
        <w:tc>
          <w:tcPr>
            <w:tcW w:w="569" w:type="dxa"/>
            <w:vMerge/>
            <w:tcBorders>
              <w:top w:val="nil"/>
              <w:left w:val="single" w:sz="4" w:space="0" w:color="000000"/>
              <w:bottom w:val="single" w:sz="4" w:space="0" w:color="000000"/>
              <w:right w:val="single" w:sz="4" w:space="0" w:color="000000"/>
            </w:tcBorders>
            <w:vAlign w:val="center"/>
            <w:hideMark/>
          </w:tcPr>
          <w:p w14:paraId="077A9679"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04EB4E3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财政专户管理资金</w:t>
            </w:r>
          </w:p>
        </w:tc>
        <w:tc>
          <w:tcPr>
            <w:tcW w:w="1053" w:type="dxa"/>
            <w:tcBorders>
              <w:top w:val="nil"/>
              <w:left w:val="nil"/>
              <w:bottom w:val="single" w:sz="4" w:space="0" w:color="000000"/>
              <w:right w:val="single" w:sz="4" w:space="0" w:color="000000"/>
            </w:tcBorders>
            <w:shd w:val="clear" w:color="auto" w:fill="auto"/>
            <w:vAlign w:val="center"/>
            <w:hideMark/>
          </w:tcPr>
          <w:p w14:paraId="5223640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348" w:type="dxa"/>
            <w:tcBorders>
              <w:top w:val="nil"/>
              <w:left w:val="nil"/>
              <w:bottom w:val="single" w:sz="4" w:space="0" w:color="000000"/>
              <w:right w:val="single" w:sz="4" w:space="0" w:color="000000"/>
            </w:tcBorders>
            <w:shd w:val="clear" w:color="auto" w:fill="auto"/>
            <w:vAlign w:val="center"/>
            <w:hideMark/>
          </w:tcPr>
          <w:p w14:paraId="32C20DA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5993A69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747" w:type="dxa"/>
            <w:tcBorders>
              <w:top w:val="nil"/>
              <w:left w:val="nil"/>
              <w:bottom w:val="single" w:sz="4" w:space="0" w:color="000000"/>
              <w:right w:val="single" w:sz="4" w:space="0" w:color="000000"/>
            </w:tcBorders>
            <w:shd w:val="clear" w:color="auto" w:fill="auto"/>
            <w:vAlign w:val="center"/>
            <w:hideMark/>
          </w:tcPr>
          <w:p w14:paraId="106A317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480" w:type="dxa"/>
            <w:tcBorders>
              <w:top w:val="nil"/>
              <w:left w:val="nil"/>
              <w:bottom w:val="single" w:sz="4" w:space="0" w:color="000000"/>
              <w:right w:val="single" w:sz="4" w:space="0" w:color="000000"/>
            </w:tcBorders>
            <w:shd w:val="clear" w:color="auto" w:fill="auto"/>
            <w:vAlign w:val="center"/>
            <w:hideMark/>
          </w:tcPr>
          <w:p w14:paraId="54F96B5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391" w:type="dxa"/>
            <w:tcBorders>
              <w:top w:val="nil"/>
              <w:left w:val="nil"/>
              <w:bottom w:val="single" w:sz="4" w:space="0" w:color="000000"/>
              <w:right w:val="single" w:sz="4" w:space="0" w:color="000000"/>
            </w:tcBorders>
            <w:shd w:val="clear" w:color="auto" w:fill="auto"/>
            <w:vAlign w:val="center"/>
            <w:hideMark/>
          </w:tcPr>
          <w:p w14:paraId="7F96D34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1520" w:type="dxa"/>
            <w:vMerge/>
            <w:tcBorders>
              <w:top w:val="nil"/>
              <w:left w:val="single" w:sz="4" w:space="0" w:color="000000"/>
              <w:bottom w:val="single" w:sz="4" w:space="0" w:color="000000"/>
              <w:right w:val="single" w:sz="4" w:space="0" w:color="000000"/>
            </w:tcBorders>
            <w:vAlign w:val="center"/>
            <w:hideMark/>
          </w:tcPr>
          <w:p w14:paraId="5833FDE5" w14:textId="77777777" w:rsidR="00743BBE" w:rsidRPr="00743BBE" w:rsidRDefault="00743BBE" w:rsidP="00743BBE">
            <w:pPr>
              <w:widowControl/>
              <w:jc w:val="left"/>
              <w:rPr>
                <w:rFonts w:ascii="黑体" w:eastAsia="黑体" w:hAnsi="黑体" w:cs="宋体" w:hint="eastAsia"/>
                <w:i/>
                <w:iCs/>
                <w:color w:val="000000"/>
                <w:kern w:val="0"/>
                <w:sz w:val="18"/>
                <w:szCs w:val="18"/>
              </w:rPr>
            </w:pPr>
          </w:p>
        </w:tc>
      </w:tr>
      <w:tr w:rsidR="00743BBE" w:rsidRPr="00743BBE" w14:paraId="23063DC0" w14:textId="77777777" w:rsidTr="00743BBE">
        <w:trPr>
          <w:trHeight w:val="171"/>
        </w:trPr>
        <w:tc>
          <w:tcPr>
            <w:tcW w:w="569" w:type="dxa"/>
            <w:vMerge/>
            <w:tcBorders>
              <w:top w:val="nil"/>
              <w:left w:val="single" w:sz="4" w:space="0" w:color="000000"/>
              <w:bottom w:val="single" w:sz="4" w:space="0" w:color="000000"/>
              <w:right w:val="single" w:sz="4" w:space="0" w:color="000000"/>
            </w:tcBorders>
            <w:vAlign w:val="center"/>
            <w:hideMark/>
          </w:tcPr>
          <w:p w14:paraId="6080D056"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48C55DB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单位资金</w:t>
            </w:r>
          </w:p>
        </w:tc>
        <w:tc>
          <w:tcPr>
            <w:tcW w:w="1053" w:type="dxa"/>
            <w:tcBorders>
              <w:top w:val="nil"/>
              <w:left w:val="nil"/>
              <w:bottom w:val="single" w:sz="4" w:space="0" w:color="000000"/>
              <w:right w:val="single" w:sz="4" w:space="0" w:color="000000"/>
            </w:tcBorders>
            <w:shd w:val="clear" w:color="auto" w:fill="auto"/>
            <w:vAlign w:val="center"/>
            <w:hideMark/>
          </w:tcPr>
          <w:p w14:paraId="56A9139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348" w:type="dxa"/>
            <w:tcBorders>
              <w:top w:val="nil"/>
              <w:left w:val="nil"/>
              <w:bottom w:val="single" w:sz="4" w:space="0" w:color="000000"/>
              <w:right w:val="single" w:sz="4" w:space="0" w:color="000000"/>
            </w:tcBorders>
            <w:shd w:val="clear" w:color="auto" w:fill="auto"/>
            <w:vAlign w:val="center"/>
            <w:hideMark/>
          </w:tcPr>
          <w:p w14:paraId="2F61671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46BCB206"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747" w:type="dxa"/>
            <w:tcBorders>
              <w:top w:val="nil"/>
              <w:left w:val="nil"/>
              <w:bottom w:val="single" w:sz="4" w:space="0" w:color="000000"/>
              <w:right w:val="single" w:sz="4" w:space="0" w:color="000000"/>
            </w:tcBorders>
            <w:shd w:val="clear" w:color="auto" w:fill="auto"/>
            <w:vAlign w:val="center"/>
            <w:hideMark/>
          </w:tcPr>
          <w:p w14:paraId="500673C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0.00%</w:t>
            </w:r>
          </w:p>
        </w:tc>
        <w:tc>
          <w:tcPr>
            <w:tcW w:w="480" w:type="dxa"/>
            <w:tcBorders>
              <w:top w:val="nil"/>
              <w:left w:val="nil"/>
              <w:bottom w:val="single" w:sz="4" w:space="0" w:color="000000"/>
              <w:right w:val="single" w:sz="4" w:space="0" w:color="000000"/>
            </w:tcBorders>
            <w:shd w:val="clear" w:color="auto" w:fill="auto"/>
            <w:vAlign w:val="center"/>
            <w:hideMark/>
          </w:tcPr>
          <w:p w14:paraId="2293C2A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391" w:type="dxa"/>
            <w:tcBorders>
              <w:top w:val="nil"/>
              <w:left w:val="nil"/>
              <w:bottom w:val="single" w:sz="4" w:space="0" w:color="000000"/>
              <w:right w:val="single" w:sz="4" w:space="0" w:color="000000"/>
            </w:tcBorders>
            <w:shd w:val="clear" w:color="auto" w:fill="auto"/>
            <w:vAlign w:val="center"/>
            <w:hideMark/>
          </w:tcPr>
          <w:p w14:paraId="19A0419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1520" w:type="dxa"/>
            <w:vMerge/>
            <w:tcBorders>
              <w:top w:val="nil"/>
              <w:left w:val="single" w:sz="4" w:space="0" w:color="000000"/>
              <w:bottom w:val="single" w:sz="4" w:space="0" w:color="000000"/>
              <w:right w:val="single" w:sz="4" w:space="0" w:color="000000"/>
            </w:tcBorders>
            <w:vAlign w:val="center"/>
            <w:hideMark/>
          </w:tcPr>
          <w:p w14:paraId="3400F00F" w14:textId="77777777" w:rsidR="00743BBE" w:rsidRPr="00743BBE" w:rsidRDefault="00743BBE" w:rsidP="00743BBE">
            <w:pPr>
              <w:widowControl/>
              <w:jc w:val="left"/>
              <w:rPr>
                <w:rFonts w:ascii="黑体" w:eastAsia="黑体" w:hAnsi="黑体" w:cs="宋体" w:hint="eastAsia"/>
                <w:i/>
                <w:iCs/>
                <w:color w:val="000000"/>
                <w:kern w:val="0"/>
                <w:sz w:val="18"/>
                <w:szCs w:val="18"/>
              </w:rPr>
            </w:pPr>
          </w:p>
        </w:tc>
      </w:tr>
      <w:tr w:rsidR="00743BBE" w:rsidRPr="00743BBE" w14:paraId="0609A82D" w14:textId="77777777" w:rsidTr="00743BBE">
        <w:trPr>
          <w:trHeight w:val="160"/>
        </w:trPr>
        <w:tc>
          <w:tcPr>
            <w:tcW w:w="569" w:type="dxa"/>
            <w:vMerge/>
            <w:tcBorders>
              <w:top w:val="nil"/>
              <w:left w:val="single" w:sz="4" w:space="0" w:color="000000"/>
              <w:bottom w:val="single" w:sz="4" w:space="0" w:color="000000"/>
              <w:right w:val="single" w:sz="4" w:space="0" w:color="000000"/>
            </w:tcBorders>
            <w:vAlign w:val="center"/>
            <w:hideMark/>
          </w:tcPr>
          <w:p w14:paraId="417BC179"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43BA06D0"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其他资金</w:t>
            </w:r>
          </w:p>
        </w:tc>
        <w:tc>
          <w:tcPr>
            <w:tcW w:w="1053" w:type="dxa"/>
            <w:tcBorders>
              <w:top w:val="nil"/>
              <w:left w:val="nil"/>
              <w:bottom w:val="single" w:sz="4" w:space="0" w:color="000000"/>
              <w:right w:val="single" w:sz="4" w:space="0" w:color="000000"/>
            </w:tcBorders>
            <w:shd w:val="clear" w:color="auto" w:fill="auto"/>
            <w:vAlign w:val="center"/>
            <w:hideMark/>
          </w:tcPr>
          <w:p w14:paraId="52A43AD2"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c>
          <w:tcPr>
            <w:tcW w:w="1348" w:type="dxa"/>
            <w:tcBorders>
              <w:top w:val="nil"/>
              <w:left w:val="nil"/>
              <w:bottom w:val="single" w:sz="4" w:space="0" w:color="000000"/>
              <w:right w:val="single" w:sz="4" w:space="0" w:color="000000"/>
            </w:tcBorders>
            <w:shd w:val="clear" w:color="auto" w:fill="auto"/>
            <w:vAlign w:val="center"/>
            <w:hideMark/>
          </w:tcPr>
          <w:p w14:paraId="01715B4A"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c>
          <w:tcPr>
            <w:tcW w:w="1806" w:type="dxa"/>
            <w:gridSpan w:val="3"/>
            <w:tcBorders>
              <w:top w:val="single" w:sz="4" w:space="0" w:color="000000"/>
              <w:left w:val="nil"/>
              <w:bottom w:val="single" w:sz="4" w:space="0" w:color="000000"/>
              <w:right w:val="single" w:sz="4" w:space="0" w:color="000000"/>
            </w:tcBorders>
            <w:shd w:val="clear" w:color="auto" w:fill="auto"/>
            <w:vAlign w:val="center"/>
            <w:hideMark/>
          </w:tcPr>
          <w:p w14:paraId="74C7E6EB"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c>
          <w:tcPr>
            <w:tcW w:w="747" w:type="dxa"/>
            <w:tcBorders>
              <w:top w:val="nil"/>
              <w:left w:val="nil"/>
              <w:bottom w:val="single" w:sz="4" w:space="0" w:color="000000"/>
              <w:right w:val="single" w:sz="4" w:space="0" w:color="000000"/>
            </w:tcBorders>
            <w:shd w:val="clear" w:color="auto" w:fill="auto"/>
            <w:vAlign w:val="center"/>
            <w:hideMark/>
          </w:tcPr>
          <w:p w14:paraId="33F2B8B0"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c>
          <w:tcPr>
            <w:tcW w:w="480" w:type="dxa"/>
            <w:tcBorders>
              <w:top w:val="nil"/>
              <w:left w:val="nil"/>
              <w:bottom w:val="single" w:sz="4" w:space="0" w:color="000000"/>
              <w:right w:val="single" w:sz="4" w:space="0" w:color="000000"/>
            </w:tcBorders>
            <w:shd w:val="clear" w:color="auto" w:fill="auto"/>
            <w:vAlign w:val="center"/>
            <w:hideMark/>
          </w:tcPr>
          <w:p w14:paraId="01A40BF0"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391" w:type="dxa"/>
            <w:tcBorders>
              <w:top w:val="nil"/>
              <w:left w:val="nil"/>
              <w:bottom w:val="single" w:sz="4" w:space="0" w:color="000000"/>
              <w:right w:val="single" w:sz="4" w:space="0" w:color="000000"/>
            </w:tcBorders>
            <w:shd w:val="clear" w:color="auto" w:fill="auto"/>
            <w:vAlign w:val="center"/>
            <w:hideMark/>
          </w:tcPr>
          <w:p w14:paraId="0D6A9B0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w:t>
            </w:r>
          </w:p>
        </w:tc>
        <w:tc>
          <w:tcPr>
            <w:tcW w:w="1520" w:type="dxa"/>
            <w:vMerge/>
            <w:tcBorders>
              <w:top w:val="nil"/>
              <w:left w:val="single" w:sz="4" w:space="0" w:color="000000"/>
              <w:bottom w:val="single" w:sz="4" w:space="0" w:color="000000"/>
              <w:right w:val="single" w:sz="4" w:space="0" w:color="000000"/>
            </w:tcBorders>
            <w:vAlign w:val="center"/>
            <w:hideMark/>
          </w:tcPr>
          <w:p w14:paraId="4DCB29A6" w14:textId="77777777" w:rsidR="00743BBE" w:rsidRPr="00743BBE" w:rsidRDefault="00743BBE" w:rsidP="00743BBE">
            <w:pPr>
              <w:widowControl/>
              <w:jc w:val="left"/>
              <w:rPr>
                <w:rFonts w:ascii="黑体" w:eastAsia="黑体" w:hAnsi="黑体" w:cs="宋体" w:hint="eastAsia"/>
                <w:i/>
                <w:iCs/>
                <w:color w:val="000000"/>
                <w:kern w:val="0"/>
                <w:sz w:val="18"/>
                <w:szCs w:val="18"/>
              </w:rPr>
            </w:pPr>
          </w:p>
        </w:tc>
      </w:tr>
      <w:tr w:rsidR="00743BBE" w:rsidRPr="00743BBE" w14:paraId="05001A03" w14:textId="77777777" w:rsidTr="00743BBE">
        <w:trPr>
          <w:trHeight w:val="214"/>
        </w:trPr>
        <w:tc>
          <w:tcPr>
            <w:tcW w:w="56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B85807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绩效指标（90分）</w:t>
            </w:r>
          </w:p>
        </w:tc>
        <w:tc>
          <w:tcPr>
            <w:tcW w:w="1199" w:type="dxa"/>
            <w:tcBorders>
              <w:top w:val="nil"/>
              <w:left w:val="nil"/>
              <w:bottom w:val="single" w:sz="4" w:space="0" w:color="000000"/>
              <w:right w:val="single" w:sz="4" w:space="0" w:color="000000"/>
            </w:tcBorders>
            <w:shd w:val="clear" w:color="auto" w:fill="auto"/>
            <w:vAlign w:val="center"/>
            <w:hideMark/>
          </w:tcPr>
          <w:p w14:paraId="0B9F39D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一级指标</w:t>
            </w:r>
          </w:p>
        </w:tc>
        <w:tc>
          <w:tcPr>
            <w:tcW w:w="1053" w:type="dxa"/>
            <w:tcBorders>
              <w:top w:val="nil"/>
              <w:left w:val="nil"/>
              <w:bottom w:val="single" w:sz="4" w:space="0" w:color="000000"/>
              <w:right w:val="single" w:sz="4" w:space="0" w:color="000000"/>
            </w:tcBorders>
            <w:shd w:val="clear" w:color="auto" w:fill="auto"/>
            <w:vAlign w:val="center"/>
            <w:hideMark/>
          </w:tcPr>
          <w:p w14:paraId="7679CAC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二级指标</w:t>
            </w:r>
          </w:p>
        </w:tc>
        <w:tc>
          <w:tcPr>
            <w:tcW w:w="1348" w:type="dxa"/>
            <w:tcBorders>
              <w:top w:val="nil"/>
              <w:left w:val="nil"/>
              <w:bottom w:val="single" w:sz="4" w:space="0" w:color="000000"/>
              <w:right w:val="single" w:sz="4" w:space="0" w:color="000000"/>
            </w:tcBorders>
            <w:shd w:val="clear" w:color="auto" w:fill="auto"/>
            <w:vAlign w:val="center"/>
            <w:hideMark/>
          </w:tcPr>
          <w:p w14:paraId="396656C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三级指标</w:t>
            </w:r>
          </w:p>
        </w:tc>
        <w:tc>
          <w:tcPr>
            <w:tcW w:w="430" w:type="dxa"/>
            <w:tcBorders>
              <w:top w:val="nil"/>
              <w:left w:val="nil"/>
              <w:bottom w:val="single" w:sz="4" w:space="0" w:color="000000"/>
              <w:right w:val="single" w:sz="4" w:space="0" w:color="000000"/>
            </w:tcBorders>
            <w:shd w:val="clear" w:color="auto" w:fill="auto"/>
            <w:vAlign w:val="center"/>
            <w:hideMark/>
          </w:tcPr>
          <w:p w14:paraId="261B88E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指标性质</w:t>
            </w:r>
          </w:p>
        </w:tc>
        <w:tc>
          <w:tcPr>
            <w:tcW w:w="984" w:type="dxa"/>
            <w:tcBorders>
              <w:top w:val="nil"/>
              <w:left w:val="nil"/>
              <w:bottom w:val="single" w:sz="4" w:space="0" w:color="000000"/>
              <w:right w:val="single" w:sz="4" w:space="0" w:color="000000"/>
            </w:tcBorders>
            <w:shd w:val="clear" w:color="auto" w:fill="auto"/>
            <w:vAlign w:val="center"/>
            <w:hideMark/>
          </w:tcPr>
          <w:p w14:paraId="095ED3E4"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指标值</w:t>
            </w:r>
          </w:p>
        </w:tc>
        <w:tc>
          <w:tcPr>
            <w:tcW w:w="391" w:type="dxa"/>
            <w:tcBorders>
              <w:top w:val="nil"/>
              <w:left w:val="nil"/>
              <w:bottom w:val="single" w:sz="4" w:space="0" w:color="000000"/>
              <w:right w:val="single" w:sz="4" w:space="0" w:color="000000"/>
            </w:tcBorders>
            <w:shd w:val="clear" w:color="auto" w:fill="auto"/>
            <w:vAlign w:val="center"/>
            <w:hideMark/>
          </w:tcPr>
          <w:p w14:paraId="15F3957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度量单位</w:t>
            </w:r>
          </w:p>
        </w:tc>
        <w:tc>
          <w:tcPr>
            <w:tcW w:w="747" w:type="dxa"/>
            <w:tcBorders>
              <w:top w:val="nil"/>
              <w:left w:val="nil"/>
              <w:bottom w:val="single" w:sz="4" w:space="0" w:color="000000"/>
              <w:right w:val="single" w:sz="4" w:space="0" w:color="000000"/>
            </w:tcBorders>
            <w:shd w:val="clear" w:color="auto" w:fill="auto"/>
            <w:vAlign w:val="center"/>
            <w:hideMark/>
          </w:tcPr>
          <w:p w14:paraId="3CBAB71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完成值</w:t>
            </w:r>
          </w:p>
        </w:tc>
        <w:tc>
          <w:tcPr>
            <w:tcW w:w="480" w:type="dxa"/>
            <w:tcBorders>
              <w:top w:val="nil"/>
              <w:left w:val="nil"/>
              <w:bottom w:val="single" w:sz="4" w:space="0" w:color="000000"/>
              <w:right w:val="single" w:sz="4" w:space="0" w:color="000000"/>
            </w:tcBorders>
            <w:shd w:val="clear" w:color="auto" w:fill="auto"/>
            <w:vAlign w:val="center"/>
            <w:hideMark/>
          </w:tcPr>
          <w:p w14:paraId="620E257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权重</w:t>
            </w:r>
          </w:p>
        </w:tc>
        <w:tc>
          <w:tcPr>
            <w:tcW w:w="391" w:type="dxa"/>
            <w:tcBorders>
              <w:top w:val="nil"/>
              <w:left w:val="nil"/>
              <w:bottom w:val="single" w:sz="4" w:space="0" w:color="000000"/>
              <w:right w:val="single" w:sz="4" w:space="0" w:color="000000"/>
            </w:tcBorders>
            <w:shd w:val="clear" w:color="auto" w:fill="auto"/>
            <w:vAlign w:val="center"/>
            <w:hideMark/>
          </w:tcPr>
          <w:p w14:paraId="53C171E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得分</w:t>
            </w:r>
          </w:p>
        </w:tc>
        <w:tc>
          <w:tcPr>
            <w:tcW w:w="1520" w:type="dxa"/>
            <w:tcBorders>
              <w:top w:val="nil"/>
              <w:left w:val="nil"/>
              <w:bottom w:val="single" w:sz="4" w:space="0" w:color="000000"/>
              <w:right w:val="single" w:sz="4" w:space="0" w:color="000000"/>
            </w:tcBorders>
            <w:shd w:val="clear" w:color="auto" w:fill="auto"/>
            <w:vAlign w:val="center"/>
            <w:hideMark/>
          </w:tcPr>
          <w:p w14:paraId="3F3C3D1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未完成原因分析</w:t>
            </w:r>
          </w:p>
        </w:tc>
      </w:tr>
      <w:tr w:rsidR="00743BBE" w:rsidRPr="00743BBE" w14:paraId="6F93DF72" w14:textId="77777777" w:rsidTr="00743BBE">
        <w:trPr>
          <w:trHeight w:val="214"/>
        </w:trPr>
        <w:tc>
          <w:tcPr>
            <w:tcW w:w="569" w:type="dxa"/>
            <w:vMerge/>
            <w:tcBorders>
              <w:top w:val="nil"/>
              <w:left w:val="single" w:sz="4" w:space="0" w:color="000000"/>
              <w:bottom w:val="single" w:sz="4" w:space="0" w:color="000000"/>
              <w:right w:val="single" w:sz="4" w:space="0" w:color="000000"/>
            </w:tcBorders>
            <w:vAlign w:val="center"/>
            <w:hideMark/>
          </w:tcPr>
          <w:p w14:paraId="6FF28E39"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4747163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产出指标</w:t>
            </w:r>
          </w:p>
        </w:tc>
        <w:tc>
          <w:tcPr>
            <w:tcW w:w="1053" w:type="dxa"/>
            <w:tcBorders>
              <w:top w:val="nil"/>
              <w:left w:val="nil"/>
              <w:bottom w:val="single" w:sz="4" w:space="0" w:color="000000"/>
              <w:right w:val="single" w:sz="4" w:space="0" w:color="000000"/>
            </w:tcBorders>
            <w:shd w:val="clear" w:color="auto" w:fill="auto"/>
            <w:vAlign w:val="center"/>
            <w:hideMark/>
          </w:tcPr>
          <w:p w14:paraId="0D2B4ED0"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效果指标</w:t>
            </w:r>
          </w:p>
        </w:tc>
        <w:tc>
          <w:tcPr>
            <w:tcW w:w="1348" w:type="dxa"/>
            <w:tcBorders>
              <w:top w:val="nil"/>
              <w:left w:val="nil"/>
              <w:bottom w:val="single" w:sz="4" w:space="0" w:color="000000"/>
              <w:right w:val="single" w:sz="4" w:space="0" w:color="000000"/>
            </w:tcBorders>
            <w:shd w:val="clear" w:color="auto" w:fill="auto"/>
            <w:vAlign w:val="center"/>
            <w:hideMark/>
          </w:tcPr>
          <w:p w14:paraId="517B427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效果指标</w:t>
            </w:r>
          </w:p>
        </w:tc>
        <w:tc>
          <w:tcPr>
            <w:tcW w:w="430" w:type="dxa"/>
            <w:tcBorders>
              <w:top w:val="nil"/>
              <w:left w:val="nil"/>
              <w:bottom w:val="single" w:sz="4" w:space="0" w:color="000000"/>
              <w:right w:val="single" w:sz="4" w:space="0" w:color="000000"/>
            </w:tcBorders>
            <w:shd w:val="clear" w:color="auto" w:fill="auto"/>
            <w:vAlign w:val="center"/>
            <w:hideMark/>
          </w:tcPr>
          <w:p w14:paraId="00B11B29"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r w:rsidRPr="00743BBE">
              <w:rPr>
                <w:rFonts w:ascii="宋体" w:hAnsi="宋体" w:cs="宋体" w:hint="eastAsia"/>
                <w:color w:val="000000"/>
                <w:kern w:val="0"/>
                <w:sz w:val="18"/>
                <w:szCs w:val="18"/>
              </w:rPr>
              <w:br/>
              <w:t>≥</w:t>
            </w:r>
          </w:p>
        </w:tc>
        <w:tc>
          <w:tcPr>
            <w:tcW w:w="984" w:type="dxa"/>
            <w:tcBorders>
              <w:top w:val="nil"/>
              <w:left w:val="nil"/>
              <w:bottom w:val="nil"/>
              <w:right w:val="single" w:sz="4" w:space="0" w:color="000000"/>
            </w:tcBorders>
            <w:shd w:val="clear" w:color="auto" w:fill="auto"/>
            <w:vAlign w:val="center"/>
            <w:hideMark/>
          </w:tcPr>
          <w:p w14:paraId="256B9E28"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90</w:t>
            </w:r>
          </w:p>
        </w:tc>
        <w:tc>
          <w:tcPr>
            <w:tcW w:w="391" w:type="dxa"/>
            <w:tcBorders>
              <w:top w:val="nil"/>
              <w:left w:val="nil"/>
              <w:bottom w:val="single" w:sz="4" w:space="0" w:color="000000"/>
              <w:right w:val="single" w:sz="4" w:space="0" w:color="000000"/>
            </w:tcBorders>
            <w:shd w:val="clear" w:color="auto" w:fill="auto"/>
            <w:vAlign w:val="center"/>
            <w:hideMark/>
          </w:tcPr>
          <w:p w14:paraId="2C9F2918"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对</w:t>
            </w:r>
          </w:p>
        </w:tc>
        <w:tc>
          <w:tcPr>
            <w:tcW w:w="747" w:type="dxa"/>
            <w:tcBorders>
              <w:top w:val="nil"/>
              <w:left w:val="nil"/>
              <w:bottom w:val="single" w:sz="4" w:space="0" w:color="000000"/>
              <w:right w:val="single" w:sz="4" w:space="0" w:color="000000"/>
            </w:tcBorders>
            <w:shd w:val="clear" w:color="auto" w:fill="auto"/>
            <w:vAlign w:val="center"/>
            <w:hideMark/>
          </w:tcPr>
          <w:p w14:paraId="70F84469"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480" w:type="dxa"/>
            <w:tcBorders>
              <w:top w:val="nil"/>
              <w:left w:val="nil"/>
              <w:bottom w:val="single" w:sz="4" w:space="0" w:color="000000"/>
              <w:right w:val="single" w:sz="4" w:space="0" w:color="000000"/>
            </w:tcBorders>
            <w:shd w:val="clear" w:color="auto" w:fill="auto"/>
            <w:vAlign w:val="center"/>
            <w:hideMark/>
          </w:tcPr>
          <w:p w14:paraId="7F656BA9"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40</w:t>
            </w:r>
          </w:p>
        </w:tc>
        <w:tc>
          <w:tcPr>
            <w:tcW w:w="391" w:type="dxa"/>
            <w:tcBorders>
              <w:top w:val="nil"/>
              <w:left w:val="nil"/>
              <w:bottom w:val="single" w:sz="4" w:space="0" w:color="000000"/>
              <w:right w:val="single" w:sz="4" w:space="0" w:color="000000"/>
            </w:tcBorders>
            <w:shd w:val="clear" w:color="auto" w:fill="auto"/>
            <w:vAlign w:val="center"/>
            <w:hideMark/>
          </w:tcPr>
          <w:p w14:paraId="70E0303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1520" w:type="dxa"/>
            <w:tcBorders>
              <w:top w:val="nil"/>
              <w:left w:val="nil"/>
              <w:bottom w:val="single" w:sz="4" w:space="0" w:color="000000"/>
              <w:right w:val="single" w:sz="4" w:space="0" w:color="000000"/>
            </w:tcBorders>
            <w:shd w:val="clear" w:color="auto" w:fill="auto"/>
            <w:vAlign w:val="center"/>
            <w:hideMark/>
          </w:tcPr>
          <w:p w14:paraId="63A5ED77"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r>
      <w:tr w:rsidR="00743BBE" w:rsidRPr="00743BBE" w14:paraId="01BE4025" w14:textId="77777777" w:rsidTr="00743BBE">
        <w:trPr>
          <w:trHeight w:val="214"/>
        </w:trPr>
        <w:tc>
          <w:tcPr>
            <w:tcW w:w="569" w:type="dxa"/>
            <w:vMerge/>
            <w:tcBorders>
              <w:top w:val="nil"/>
              <w:left w:val="single" w:sz="4" w:space="0" w:color="000000"/>
              <w:bottom w:val="single" w:sz="4" w:space="0" w:color="000000"/>
              <w:right w:val="single" w:sz="4" w:space="0" w:color="000000"/>
            </w:tcBorders>
            <w:vAlign w:val="center"/>
            <w:hideMark/>
          </w:tcPr>
          <w:p w14:paraId="16F003DD"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10D0FB0C"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效益指标</w:t>
            </w:r>
          </w:p>
        </w:tc>
        <w:tc>
          <w:tcPr>
            <w:tcW w:w="1053" w:type="dxa"/>
            <w:tcBorders>
              <w:top w:val="nil"/>
              <w:left w:val="nil"/>
              <w:bottom w:val="single" w:sz="4" w:space="0" w:color="000000"/>
              <w:right w:val="single" w:sz="4" w:space="0" w:color="000000"/>
            </w:tcBorders>
            <w:shd w:val="clear" w:color="auto" w:fill="auto"/>
            <w:vAlign w:val="center"/>
            <w:hideMark/>
          </w:tcPr>
          <w:p w14:paraId="3C3BB2F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社会效益指标</w:t>
            </w:r>
          </w:p>
        </w:tc>
        <w:tc>
          <w:tcPr>
            <w:tcW w:w="1348" w:type="dxa"/>
            <w:tcBorders>
              <w:top w:val="nil"/>
              <w:left w:val="nil"/>
              <w:bottom w:val="single" w:sz="4" w:space="0" w:color="000000"/>
              <w:right w:val="single" w:sz="4" w:space="0" w:color="000000"/>
            </w:tcBorders>
            <w:shd w:val="clear" w:color="auto" w:fill="auto"/>
            <w:vAlign w:val="center"/>
            <w:hideMark/>
          </w:tcPr>
          <w:p w14:paraId="594D324D"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社会效益指标</w:t>
            </w:r>
          </w:p>
        </w:tc>
        <w:tc>
          <w:tcPr>
            <w:tcW w:w="430" w:type="dxa"/>
            <w:tcBorders>
              <w:top w:val="nil"/>
              <w:left w:val="nil"/>
              <w:bottom w:val="nil"/>
              <w:right w:val="nil"/>
            </w:tcBorders>
            <w:shd w:val="clear" w:color="auto" w:fill="auto"/>
            <w:noWrap/>
            <w:vAlign w:val="center"/>
            <w:hideMark/>
          </w:tcPr>
          <w:p w14:paraId="018F90E3" w14:textId="77777777" w:rsidR="00743BBE" w:rsidRPr="00743BBE" w:rsidRDefault="00743BBE" w:rsidP="00743BBE">
            <w:pPr>
              <w:widowControl/>
              <w:jc w:val="left"/>
              <w:rPr>
                <w:rFonts w:ascii="宋体" w:hAnsi="宋体" w:cs="宋体" w:hint="eastAsia"/>
                <w:color w:val="000000"/>
                <w:kern w:val="0"/>
                <w:sz w:val="22"/>
                <w:szCs w:val="22"/>
              </w:rPr>
            </w:pPr>
            <w:r w:rsidRPr="00743BBE">
              <w:rPr>
                <w:rFonts w:ascii="宋体" w:hAnsi="宋体" w:cs="宋体" w:hint="eastAsia"/>
                <w:color w:val="000000"/>
                <w:kern w:val="0"/>
                <w:sz w:val="22"/>
                <w:szCs w:val="22"/>
              </w:rPr>
              <w:t xml:space="preserve"> ≥</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610EE" w14:textId="77777777" w:rsidR="00743BBE" w:rsidRPr="00743BBE" w:rsidRDefault="00743BBE" w:rsidP="00743BBE">
            <w:pPr>
              <w:widowControl/>
              <w:jc w:val="right"/>
              <w:rPr>
                <w:rFonts w:ascii="宋体" w:hAnsi="宋体" w:cs="宋体" w:hint="eastAsia"/>
                <w:color w:val="000000"/>
                <w:kern w:val="0"/>
                <w:sz w:val="22"/>
                <w:szCs w:val="22"/>
              </w:rPr>
            </w:pPr>
            <w:r w:rsidRPr="00743BBE">
              <w:rPr>
                <w:rFonts w:ascii="宋体" w:hAnsi="宋体" w:cs="宋体" w:hint="eastAsia"/>
                <w:color w:val="000000"/>
                <w:kern w:val="0"/>
                <w:sz w:val="22"/>
                <w:szCs w:val="22"/>
              </w:rPr>
              <w:t>90</w:t>
            </w:r>
          </w:p>
        </w:tc>
        <w:tc>
          <w:tcPr>
            <w:tcW w:w="391" w:type="dxa"/>
            <w:tcBorders>
              <w:top w:val="nil"/>
              <w:left w:val="nil"/>
              <w:bottom w:val="single" w:sz="4" w:space="0" w:color="000000"/>
              <w:right w:val="single" w:sz="4" w:space="0" w:color="000000"/>
            </w:tcBorders>
            <w:shd w:val="clear" w:color="auto" w:fill="auto"/>
            <w:vAlign w:val="center"/>
            <w:hideMark/>
          </w:tcPr>
          <w:p w14:paraId="12B46AB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对</w:t>
            </w:r>
          </w:p>
        </w:tc>
        <w:tc>
          <w:tcPr>
            <w:tcW w:w="747" w:type="dxa"/>
            <w:tcBorders>
              <w:top w:val="nil"/>
              <w:left w:val="nil"/>
              <w:bottom w:val="single" w:sz="4" w:space="0" w:color="000000"/>
              <w:right w:val="single" w:sz="4" w:space="0" w:color="000000"/>
            </w:tcBorders>
            <w:shd w:val="clear" w:color="auto" w:fill="auto"/>
            <w:vAlign w:val="center"/>
            <w:hideMark/>
          </w:tcPr>
          <w:p w14:paraId="2E6E6484"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480" w:type="dxa"/>
            <w:tcBorders>
              <w:top w:val="nil"/>
              <w:left w:val="nil"/>
              <w:bottom w:val="single" w:sz="4" w:space="0" w:color="000000"/>
              <w:right w:val="single" w:sz="4" w:space="0" w:color="000000"/>
            </w:tcBorders>
            <w:shd w:val="clear" w:color="auto" w:fill="auto"/>
            <w:vAlign w:val="center"/>
            <w:hideMark/>
          </w:tcPr>
          <w:p w14:paraId="5C12EFB9"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40</w:t>
            </w:r>
          </w:p>
        </w:tc>
        <w:tc>
          <w:tcPr>
            <w:tcW w:w="391" w:type="dxa"/>
            <w:tcBorders>
              <w:top w:val="nil"/>
              <w:left w:val="nil"/>
              <w:bottom w:val="single" w:sz="4" w:space="0" w:color="000000"/>
              <w:right w:val="single" w:sz="4" w:space="0" w:color="000000"/>
            </w:tcBorders>
            <w:shd w:val="clear" w:color="auto" w:fill="auto"/>
            <w:vAlign w:val="center"/>
            <w:hideMark/>
          </w:tcPr>
          <w:p w14:paraId="5D8368E4"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1520" w:type="dxa"/>
            <w:tcBorders>
              <w:top w:val="nil"/>
              <w:left w:val="nil"/>
              <w:bottom w:val="single" w:sz="4" w:space="0" w:color="000000"/>
              <w:right w:val="single" w:sz="4" w:space="0" w:color="000000"/>
            </w:tcBorders>
            <w:shd w:val="clear" w:color="auto" w:fill="auto"/>
            <w:vAlign w:val="center"/>
            <w:hideMark/>
          </w:tcPr>
          <w:p w14:paraId="155BE71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r>
      <w:tr w:rsidR="00743BBE" w:rsidRPr="00743BBE" w14:paraId="58B0C086" w14:textId="77777777" w:rsidTr="00743BBE">
        <w:trPr>
          <w:trHeight w:val="160"/>
        </w:trPr>
        <w:tc>
          <w:tcPr>
            <w:tcW w:w="569" w:type="dxa"/>
            <w:vMerge/>
            <w:tcBorders>
              <w:top w:val="nil"/>
              <w:left w:val="single" w:sz="4" w:space="0" w:color="000000"/>
              <w:bottom w:val="single" w:sz="4" w:space="0" w:color="000000"/>
              <w:right w:val="single" w:sz="4" w:space="0" w:color="000000"/>
            </w:tcBorders>
            <w:vAlign w:val="center"/>
            <w:hideMark/>
          </w:tcPr>
          <w:p w14:paraId="7AAF8189" w14:textId="77777777" w:rsidR="00743BBE" w:rsidRPr="00743BBE" w:rsidRDefault="00743BBE" w:rsidP="00743BBE">
            <w:pPr>
              <w:widowControl/>
              <w:jc w:val="left"/>
              <w:rPr>
                <w:rFonts w:ascii="宋体" w:hAnsi="宋体" w:cs="宋体" w:hint="eastAsia"/>
                <w:color w:val="000000"/>
                <w:kern w:val="0"/>
                <w:sz w:val="18"/>
                <w:szCs w:val="18"/>
              </w:rPr>
            </w:pPr>
          </w:p>
        </w:tc>
        <w:tc>
          <w:tcPr>
            <w:tcW w:w="1199" w:type="dxa"/>
            <w:tcBorders>
              <w:top w:val="nil"/>
              <w:left w:val="nil"/>
              <w:bottom w:val="single" w:sz="4" w:space="0" w:color="000000"/>
              <w:right w:val="single" w:sz="4" w:space="0" w:color="000000"/>
            </w:tcBorders>
            <w:shd w:val="clear" w:color="auto" w:fill="auto"/>
            <w:vAlign w:val="center"/>
            <w:hideMark/>
          </w:tcPr>
          <w:p w14:paraId="3A096A8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成本指标</w:t>
            </w:r>
          </w:p>
        </w:tc>
        <w:tc>
          <w:tcPr>
            <w:tcW w:w="1053" w:type="dxa"/>
            <w:tcBorders>
              <w:top w:val="nil"/>
              <w:left w:val="nil"/>
              <w:bottom w:val="single" w:sz="4" w:space="0" w:color="000000"/>
              <w:right w:val="single" w:sz="4" w:space="0" w:color="000000"/>
            </w:tcBorders>
            <w:shd w:val="clear" w:color="auto" w:fill="auto"/>
            <w:vAlign w:val="center"/>
            <w:hideMark/>
          </w:tcPr>
          <w:p w14:paraId="1648439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社会成本指标</w:t>
            </w:r>
          </w:p>
        </w:tc>
        <w:tc>
          <w:tcPr>
            <w:tcW w:w="1348" w:type="dxa"/>
            <w:tcBorders>
              <w:top w:val="nil"/>
              <w:left w:val="nil"/>
              <w:bottom w:val="single" w:sz="4" w:space="0" w:color="000000"/>
              <w:right w:val="single" w:sz="4" w:space="0" w:color="000000"/>
            </w:tcBorders>
            <w:shd w:val="clear" w:color="auto" w:fill="auto"/>
            <w:vAlign w:val="center"/>
            <w:hideMark/>
          </w:tcPr>
          <w:p w14:paraId="6D54BD95"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社会成本</w:t>
            </w:r>
          </w:p>
        </w:tc>
        <w:tc>
          <w:tcPr>
            <w:tcW w:w="430" w:type="dxa"/>
            <w:tcBorders>
              <w:top w:val="single" w:sz="4" w:space="0" w:color="000000"/>
              <w:left w:val="nil"/>
              <w:bottom w:val="single" w:sz="4" w:space="0" w:color="000000"/>
              <w:right w:val="single" w:sz="4" w:space="0" w:color="000000"/>
            </w:tcBorders>
            <w:shd w:val="clear" w:color="auto" w:fill="auto"/>
            <w:vAlign w:val="center"/>
            <w:hideMark/>
          </w:tcPr>
          <w:p w14:paraId="66F9E7E6"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984" w:type="dxa"/>
            <w:tcBorders>
              <w:top w:val="nil"/>
              <w:left w:val="nil"/>
              <w:bottom w:val="single" w:sz="4" w:space="0" w:color="000000"/>
              <w:right w:val="single" w:sz="4" w:space="0" w:color="000000"/>
            </w:tcBorders>
            <w:shd w:val="clear" w:color="auto" w:fill="auto"/>
            <w:vAlign w:val="center"/>
            <w:hideMark/>
          </w:tcPr>
          <w:p w14:paraId="1C425C9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90</w:t>
            </w:r>
          </w:p>
        </w:tc>
        <w:tc>
          <w:tcPr>
            <w:tcW w:w="391" w:type="dxa"/>
            <w:tcBorders>
              <w:top w:val="nil"/>
              <w:left w:val="nil"/>
              <w:bottom w:val="single" w:sz="4" w:space="0" w:color="000000"/>
              <w:right w:val="single" w:sz="4" w:space="0" w:color="000000"/>
            </w:tcBorders>
            <w:shd w:val="clear" w:color="auto" w:fill="auto"/>
            <w:vAlign w:val="center"/>
            <w:hideMark/>
          </w:tcPr>
          <w:p w14:paraId="38E7C8C1"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对</w:t>
            </w:r>
          </w:p>
        </w:tc>
        <w:tc>
          <w:tcPr>
            <w:tcW w:w="747" w:type="dxa"/>
            <w:tcBorders>
              <w:top w:val="nil"/>
              <w:left w:val="nil"/>
              <w:bottom w:val="single" w:sz="4" w:space="0" w:color="000000"/>
              <w:right w:val="single" w:sz="4" w:space="0" w:color="000000"/>
            </w:tcBorders>
            <w:shd w:val="clear" w:color="auto" w:fill="auto"/>
            <w:vAlign w:val="center"/>
            <w:hideMark/>
          </w:tcPr>
          <w:p w14:paraId="2F0D6629"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c>
          <w:tcPr>
            <w:tcW w:w="480" w:type="dxa"/>
            <w:tcBorders>
              <w:top w:val="nil"/>
              <w:left w:val="nil"/>
              <w:bottom w:val="single" w:sz="4" w:space="0" w:color="000000"/>
              <w:right w:val="single" w:sz="4" w:space="0" w:color="000000"/>
            </w:tcBorders>
            <w:shd w:val="clear" w:color="auto" w:fill="auto"/>
            <w:vAlign w:val="center"/>
            <w:hideMark/>
          </w:tcPr>
          <w:p w14:paraId="301508C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10</w:t>
            </w:r>
          </w:p>
        </w:tc>
        <w:tc>
          <w:tcPr>
            <w:tcW w:w="391" w:type="dxa"/>
            <w:tcBorders>
              <w:top w:val="nil"/>
              <w:left w:val="nil"/>
              <w:bottom w:val="single" w:sz="4" w:space="0" w:color="000000"/>
              <w:right w:val="single" w:sz="4" w:space="0" w:color="000000"/>
            </w:tcBorders>
            <w:shd w:val="clear" w:color="auto" w:fill="auto"/>
            <w:vAlign w:val="center"/>
            <w:hideMark/>
          </w:tcPr>
          <w:p w14:paraId="31FE00D3"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1520" w:type="dxa"/>
            <w:tcBorders>
              <w:top w:val="nil"/>
              <w:left w:val="nil"/>
              <w:bottom w:val="single" w:sz="4" w:space="0" w:color="000000"/>
              <w:right w:val="single" w:sz="4" w:space="0" w:color="000000"/>
            </w:tcBorders>
            <w:shd w:val="clear" w:color="auto" w:fill="auto"/>
            <w:vAlign w:val="center"/>
            <w:hideMark/>
          </w:tcPr>
          <w:p w14:paraId="78726C46" w14:textId="77777777" w:rsidR="00743BBE" w:rsidRPr="00743BBE" w:rsidRDefault="00743BBE" w:rsidP="00743BBE">
            <w:pPr>
              <w:widowControl/>
              <w:jc w:val="center"/>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 xml:space="preserve">　</w:t>
            </w:r>
          </w:p>
        </w:tc>
      </w:tr>
      <w:tr w:rsidR="00743BBE" w:rsidRPr="00743BBE" w14:paraId="1AC7AABF" w14:textId="77777777" w:rsidTr="00743BBE">
        <w:trPr>
          <w:trHeight w:val="134"/>
        </w:trPr>
        <w:tc>
          <w:tcPr>
            <w:tcW w:w="6724"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D6C1B4"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合计</w:t>
            </w:r>
          </w:p>
        </w:tc>
        <w:tc>
          <w:tcPr>
            <w:tcW w:w="480" w:type="dxa"/>
            <w:tcBorders>
              <w:top w:val="nil"/>
              <w:left w:val="nil"/>
              <w:bottom w:val="single" w:sz="4" w:space="0" w:color="000000"/>
              <w:right w:val="single" w:sz="4" w:space="0" w:color="000000"/>
            </w:tcBorders>
            <w:shd w:val="clear" w:color="auto" w:fill="auto"/>
            <w:vAlign w:val="center"/>
            <w:hideMark/>
          </w:tcPr>
          <w:p w14:paraId="3CD1D4E2"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100</w:t>
            </w:r>
          </w:p>
        </w:tc>
        <w:tc>
          <w:tcPr>
            <w:tcW w:w="391" w:type="dxa"/>
            <w:tcBorders>
              <w:top w:val="nil"/>
              <w:left w:val="nil"/>
              <w:bottom w:val="single" w:sz="4" w:space="0" w:color="000000"/>
              <w:right w:val="single" w:sz="4" w:space="0" w:color="000000"/>
            </w:tcBorders>
            <w:shd w:val="clear" w:color="auto" w:fill="auto"/>
            <w:vAlign w:val="center"/>
            <w:hideMark/>
          </w:tcPr>
          <w:p w14:paraId="58E0A84F"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c>
          <w:tcPr>
            <w:tcW w:w="1520" w:type="dxa"/>
            <w:tcBorders>
              <w:top w:val="nil"/>
              <w:left w:val="nil"/>
              <w:bottom w:val="single" w:sz="4" w:space="0" w:color="000000"/>
              <w:right w:val="single" w:sz="4" w:space="0" w:color="000000"/>
            </w:tcBorders>
            <w:shd w:val="clear" w:color="auto" w:fill="auto"/>
            <w:vAlign w:val="center"/>
            <w:hideMark/>
          </w:tcPr>
          <w:p w14:paraId="3DA5C01B" w14:textId="77777777" w:rsidR="00743BBE" w:rsidRPr="00743BBE" w:rsidRDefault="00743BBE" w:rsidP="00743BBE">
            <w:pPr>
              <w:widowControl/>
              <w:jc w:val="left"/>
              <w:rPr>
                <w:rFonts w:ascii="宋体" w:hAnsi="宋体" w:cs="宋体" w:hint="eastAsia"/>
                <w:color w:val="000000"/>
                <w:kern w:val="0"/>
                <w:sz w:val="18"/>
                <w:szCs w:val="18"/>
              </w:rPr>
            </w:pPr>
            <w:r w:rsidRPr="00743BBE">
              <w:rPr>
                <w:rFonts w:ascii="宋体" w:hAnsi="宋体" w:cs="宋体" w:hint="eastAsia"/>
                <w:color w:val="000000"/>
                <w:kern w:val="0"/>
                <w:sz w:val="18"/>
                <w:szCs w:val="18"/>
              </w:rPr>
              <w:t xml:space="preserve">　</w:t>
            </w:r>
          </w:p>
        </w:tc>
      </w:tr>
      <w:tr w:rsidR="00743BBE" w:rsidRPr="00743BBE" w14:paraId="059475B6" w14:textId="77777777" w:rsidTr="00743BBE">
        <w:trPr>
          <w:trHeight w:val="286"/>
        </w:trPr>
        <w:tc>
          <w:tcPr>
            <w:tcW w:w="569" w:type="dxa"/>
            <w:tcBorders>
              <w:top w:val="nil"/>
              <w:left w:val="single" w:sz="4" w:space="0" w:color="000000"/>
              <w:bottom w:val="single" w:sz="4" w:space="0" w:color="000000"/>
              <w:right w:val="single" w:sz="4" w:space="0" w:color="000000"/>
            </w:tcBorders>
            <w:shd w:val="clear" w:color="auto" w:fill="auto"/>
            <w:vAlign w:val="center"/>
            <w:hideMark/>
          </w:tcPr>
          <w:p w14:paraId="78EE1A2E"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评价结论</w:t>
            </w:r>
          </w:p>
        </w:tc>
        <w:tc>
          <w:tcPr>
            <w:tcW w:w="8547" w:type="dxa"/>
            <w:gridSpan w:val="10"/>
            <w:tcBorders>
              <w:top w:val="single" w:sz="4" w:space="0" w:color="000000"/>
              <w:left w:val="nil"/>
              <w:bottom w:val="single" w:sz="4" w:space="0" w:color="000000"/>
              <w:right w:val="single" w:sz="4" w:space="0" w:color="000000"/>
            </w:tcBorders>
            <w:shd w:val="clear" w:color="auto" w:fill="auto"/>
            <w:vAlign w:val="center"/>
            <w:hideMark/>
          </w:tcPr>
          <w:p w14:paraId="616F4AC6" w14:textId="77777777" w:rsidR="00743BBE" w:rsidRPr="00743BBE" w:rsidRDefault="00743BBE" w:rsidP="00743BBE">
            <w:pPr>
              <w:widowControl/>
              <w:jc w:val="left"/>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项目的实施对当地社会经济和谐稳定发展起到有效的保障作用</w:t>
            </w:r>
          </w:p>
        </w:tc>
      </w:tr>
      <w:tr w:rsidR="00743BBE" w:rsidRPr="00743BBE" w14:paraId="0BF6702A" w14:textId="77777777" w:rsidTr="00743BBE">
        <w:trPr>
          <w:trHeight w:val="272"/>
        </w:trPr>
        <w:tc>
          <w:tcPr>
            <w:tcW w:w="569" w:type="dxa"/>
            <w:tcBorders>
              <w:top w:val="nil"/>
              <w:left w:val="single" w:sz="4" w:space="0" w:color="000000"/>
              <w:bottom w:val="single" w:sz="4" w:space="0" w:color="000000"/>
              <w:right w:val="single" w:sz="4" w:space="0" w:color="000000"/>
            </w:tcBorders>
            <w:shd w:val="clear" w:color="auto" w:fill="auto"/>
            <w:vAlign w:val="center"/>
            <w:hideMark/>
          </w:tcPr>
          <w:p w14:paraId="2B746A2F"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存在问题</w:t>
            </w:r>
          </w:p>
        </w:tc>
        <w:tc>
          <w:tcPr>
            <w:tcW w:w="8547" w:type="dxa"/>
            <w:gridSpan w:val="10"/>
            <w:tcBorders>
              <w:top w:val="single" w:sz="4" w:space="0" w:color="000000"/>
              <w:left w:val="nil"/>
              <w:bottom w:val="single" w:sz="4" w:space="0" w:color="000000"/>
              <w:right w:val="single" w:sz="4" w:space="0" w:color="000000"/>
            </w:tcBorders>
            <w:shd w:val="clear" w:color="auto" w:fill="auto"/>
            <w:vAlign w:val="center"/>
            <w:hideMark/>
          </w:tcPr>
          <w:p w14:paraId="2C1A6737" w14:textId="77777777" w:rsidR="00743BBE" w:rsidRPr="00743BBE" w:rsidRDefault="00743BBE" w:rsidP="00743BBE">
            <w:pPr>
              <w:widowControl/>
              <w:jc w:val="left"/>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无</w:t>
            </w:r>
          </w:p>
        </w:tc>
      </w:tr>
      <w:tr w:rsidR="00743BBE" w:rsidRPr="00743BBE" w14:paraId="1E0DD737" w14:textId="77777777" w:rsidTr="00743BBE">
        <w:trPr>
          <w:trHeight w:val="300"/>
        </w:trPr>
        <w:tc>
          <w:tcPr>
            <w:tcW w:w="569" w:type="dxa"/>
            <w:tcBorders>
              <w:top w:val="nil"/>
              <w:left w:val="single" w:sz="4" w:space="0" w:color="000000"/>
              <w:bottom w:val="single" w:sz="4" w:space="0" w:color="000000"/>
              <w:right w:val="single" w:sz="4" w:space="0" w:color="000000"/>
            </w:tcBorders>
            <w:shd w:val="clear" w:color="auto" w:fill="auto"/>
            <w:vAlign w:val="center"/>
            <w:hideMark/>
          </w:tcPr>
          <w:p w14:paraId="0839C42B" w14:textId="77777777" w:rsidR="00743BBE" w:rsidRPr="00743BBE" w:rsidRDefault="00743BBE" w:rsidP="00743BBE">
            <w:pPr>
              <w:widowControl/>
              <w:jc w:val="center"/>
              <w:rPr>
                <w:rFonts w:ascii="宋体" w:hAnsi="宋体" w:cs="宋体" w:hint="eastAsia"/>
                <w:color w:val="000000"/>
                <w:kern w:val="0"/>
                <w:sz w:val="18"/>
                <w:szCs w:val="18"/>
              </w:rPr>
            </w:pPr>
            <w:r w:rsidRPr="00743BBE">
              <w:rPr>
                <w:rFonts w:ascii="宋体" w:hAnsi="宋体" w:cs="宋体" w:hint="eastAsia"/>
                <w:color w:val="000000"/>
                <w:kern w:val="0"/>
                <w:sz w:val="18"/>
                <w:szCs w:val="18"/>
              </w:rPr>
              <w:t>改进措施</w:t>
            </w:r>
          </w:p>
        </w:tc>
        <w:tc>
          <w:tcPr>
            <w:tcW w:w="8547" w:type="dxa"/>
            <w:gridSpan w:val="10"/>
            <w:tcBorders>
              <w:top w:val="single" w:sz="4" w:space="0" w:color="000000"/>
              <w:left w:val="nil"/>
              <w:bottom w:val="single" w:sz="4" w:space="0" w:color="000000"/>
              <w:right w:val="single" w:sz="4" w:space="0" w:color="000000"/>
            </w:tcBorders>
            <w:shd w:val="clear" w:color="auto" w:fill="auto"/>
            <w:vAlign w:val="center"/>
            <w:hideMark/>
          </w:tcPr>
          <w:p w14:paraId="2B274EFC" w14:textId="77777777" w:rsidR="00743BBE" w:rsidRPr="00743BBE" w:rsidRDefault="00743BBE" w:rsidP="00743BBE">
            <w:pPr>
              <w:widowControl/>
              <w:jc w:val="left"/>
              <w:rPr>
                <w:rFonts w:ascii="微软雅黑" w:eastAsia="微软雅黑" w:hAnsi="微软雅黑" w:cs="宋体" w:hint="eastAsia"/>
                <w:i/>
                <w:iCs/>
                <w:color w:val="000000"/>
                <w:kern w:val="0"/>
                <w:sz w:val="16"/>
                <w:szCs w:val="16"/>
              </w:rPr>
            </w:pPr>
            <w:r w:rsidRPr="00743BBE">
              <w:rPr>
                <w:rFonts w:ascii="微软雅黑" w:eastAsia="微软雅黑" w:hAnsi="微软雅黑" w:cs="宋体" w:hint="eastAsia"/>
                <w:i/>
                <w:iCs/>
                <w:color w:val="000000"/>
                <w:kern w:val="0"/>
                <w:sz w:val="16"/>
                <w:szCs w:val="16"/>
              </w:rPr>
              <w:t>无</w:t>
            </w:r>
          </w:p>
        </w:tc>
      </w:tr>
      <w:tr w:rsidR="00743BBE" w:rsidRPr="00743BBE" w14:paraId="391B884B" w14:textId="77777777" w:rsidTr="00743BBE">
        <w:trPr>
          <w:trHeight w:val="134"/>
        </w:trPr>
        <w:tc>
          <w:tcPr>
            <w:tcW w:w="46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061F44" w14:textId="77777777" w:rsidR="00743BBE" w:rsidRPr="00743BBE" w:rsidRDefault="00743BBE" w:rsidP="00743BBE">
            <w:pPr>
              <w:widowControl/>
              <w:jc w:val="left"/>
              <w:rPr>
                <w:rFonts w:ascii="黑体" w:eastAsia="黑体" w:hAnsi="黑体" w:cs="宋体" w:hint="eastAsia"/>
                <w:color w:val="000000"/>
                <w:kern w:val="0"/>
                <w:sz w:val="18"/>
                <w:szCs w:val="18"/>
              </w:rPr>
            </w:pPr>
            <w:r w:rsidRPr="00743BBE">
              <w:rPr>
                <w:rFonts w:ascii="黑体" w:eastAsia="黑体" w:hAnsi="黑体" w:cs="宋体" w:hint="eastAsia"/>
                <w:color w:val="000000"/>
                <w:kern w:val="0"/>
                <w:sz w:val="18"/>
                <w:szCs w:val="18"/>
              </w:rPr>
              <w:t>项目负责人：</w:t>
            </w:r>
          </w:p>
        </w:tc>
        <w:tc>
          <w:tcPr>
            <w:tcW w:w="4515" w:type="dxa"/>
            <w:gridSpan w:val="6"/>
            <w:tcBorders>
              <w:top w:val="single" w:sz="4" w:space="0" w:color="000000"/>
              <w:left w:val="nil"/>
              <w:bottom w:val="single" w:sz="4" w:space="0" w:color="000000"/>
              <w:right w:val="single" w:sz="4" w:space="0" w:color="000000"/>
            </w:tcBorders>
            <w:shd w:val="clear" w:color="auto" w:fill="auto"/>
            <w:vAlign w:val="center"/>
            <w:hideMark/>
          </w:tcPr>
          <w:p w14:paraId="49EA35B7" w14:textId="77777777" w:rsidR="00743BBE" w:rsidRPr="00743BBE" w:rsidRDefault="00743BBE" w:rsidP="00743BBE">
            <w:pPr>
              <w:widowControl/>
              <w:jc w:val="left"/>
              <w:rPr>
                <w:rFonts w:ascii="黑体" w:eastAsia="黑体" w:hAnsi="黑体" w:cs="宋体" w:hint="eastAsia"/>
                <w:color w:val="000000"/>
                <w:kern w:val="0"/>
                <w:sz w:val="18"/>
                <w:szCs w:val="18"/>
              </w:rPr>
            </w:pPr>
            <w:r w:rsidRPr="00743BBE">
              <w:rPr>
                <w:rFonts w:ascii="黑体" w:eastAsia="黑体" w:hAnsi="黑体" w:cs="宋体" w:hint="eastAsia"/>
                <w:color w:val="000000"/>
                <w:kern w:val="0"/>
                <w:sz w:val="18"/>
                <w:szCs w:val="18"/>
              </w:rPr>
              <w:t>财务负责人：</w:t>
            </w:r>
          </w:p>
        </w:tc>
      </w:tr>
    </w:tbl>
    <w:p w14:paraId="6280DE76" w14:textId="3995D876" w:rsidR="00062E74" w:rsidRDefault="00062E74">
      <w:pPr>
        <w:pStyle w:val="1"/>
        <w:rPr>
          <w:rFonts w:ascii="黑体" w:eastAsia="黑体" w:hAnsi="黑体" w:hint="eastAsia"/>
        </w:rPr>
      </w:pPr>
    </w:p>
    <w:bookmarkStart w:id="91" w:name="_Toc3792"/>
    <w:bookmarkStart w:id="92" w:name="_Toc6350"/>
    <w:p w14:paraId="04E33D2C" w14:textId="77777777" w:rsidR="00062E74" w:rsidRDefault="00000000">
      <w:pPr>
        <w:pStyle w:val="1"/>
        <w:rPr>
          <w:rFonts w:ascii="黑体" w:eastAsia="黑体" w:hAnsi="黑体" w:hint="eastAsia"/>
        </w:rPr>
      </w:pPr>
      <w:r>
        <w:rPr>
          <w:rFonts w:ascii="黑体" w:eastAsia="黑体" w:hAnsi="黑体" w:hint="eastAsia"/>
        </w:rPr>
        <w:object w:dxaOrig="8294" w:dyaOrig="5556" w14:anchorId="72966175">
          <v:shape id="_x0000_i1027" type="#_x0000_t75" style="width:414.6pt;height:277.8pt" o:ole="">
            <v:imagedata r:id="rId19" o:title=""/>
            <o:lock v:ext="edit" aspectratio="f"/>
          </v:shape>
          <o:OLEObject Type="Embed" ProgID="Excel.Sheet.12" ShapeID="_x0000_i1027" DrawAspect="Content" ObjectID="_1806934278" r:id="rId20"/>
        </w:object>
      </w:r>
      <w:bookmarkEnd w:id="91"/>
      <w:bookmarkEnd w:id="92"/>
    </w:p>
    <w:p w14:paraId="1CAE6E78" w14:textId="77777777" w:rsidR="00062E74" w:rsidRDefault="00000000">
      <w:r>
        <w:rPr>
          <w:rFonts w:hint="eastAsia"/>
        </w:rPr>
        <w:object w:dxaOrig="8294" w:dyaOrig="7000" w14:anchorId="0E25B59A">
          <v:shape id="_x0000_i1028" type="#_x0000_t75" style="width:414.6pt;height:349.8pt" o:ole="">
            <v:imagedata r:id="rId21" o:title=""/>
            <o:lock v:ext="edit" aspectratio="f"/>
          </v:shape>
          <o:OLEObject Type="Embed" ProgID="Excel.Sheet.12" ShapeID="_x0000_i1028" DrawAspect="Content" ObjectID="_1806934279" r:id="rId22"/>
        </w:object>
      </w:r>
    </w:p>
    <w:p w14:paraId="6AD0AEE2" w14:textId="77777777" w:rsidR="00062E74" w:rsidRDefault="00062E74">
      <w:pPr>
        <w:pStyle w:val="2"/>
        <w:ind w:left="420"/>
      </w:pPr>
    </w:p>
    <w:p w14:paraId="62D20444" w14:textId="77777777" w:rsidR="00062E74" w:rsidRDefault="00000000">
      <w:r>
        <w:rPr>
          <w:rFonts w:hint="eastAsia"/>
        </w:rPr>
        <w:object w:dxaOrig="8294" w:dyaOrig="5820" w14:anchorId="57B47E3B">
          <v:shape id="_x0000_i1029" type="#_x0000_t75" style="width:414.6pt;height:291pt" o:ole="">
            <v:imagedata r:id="rId23" o:title=""/>
            <o:lock v:ext="edit" aspectratio="f"/>
          </v:shape>
          <o:OLEObject Type="Embed" ProgID="Excel.Sheet.12" ShapeID="_x0000_i1029" DrawAspect="Content" ObjectID="_1806934280" r:id="rId24"/>
        </w:object>
      </w:r>
    </w:p>
    <w:p w14:paraId="2DFAA1C3" w14:textId="77777777" w:rsidR="00062E74" w:rsidRDefault="00062E74">
      <w:pPr>
        <w:pStyle w:val="2"/>
        <w:ind w:left="420"/>
      </w:pPr>
    </w:p>
    <w:p w14:paraId="031C6F64" w14:textId="77777777" w:rsidR="00062E74" w:rsidRDefault="00000000">
      <w:r>
        <w:rPr>
          <w:rFonts w:hint="eastAsia"/>
        </w:rPr>
        <w:object w:dxaOrig="8294" w:dyaOrig="6075" w14:anchorId="425B7A7F">
          <v:shape id="_x0000_i1030" type="#_x0000_t75" style="width:414.6pt;height:303.6pt" o:ole="">
            <v:imagedata r:id="rId25" o:title=""/>
            <o:lock v:ext="edit" aspectratio="f"/>
          </v:shape>
          <o:OLEObject Type="Embed" ProgID="Excel.Sheet.12" ShapeID="_x0000_i1030" DrawAspect="Content" ObjectID="_1806934281" r:id="rId26"/>
        </w:object>
      </w:r>
    </w:p>
    <w:p w14:paraId="74E9EF9F" w14:textId="77777777" w:rsidR="00062E74" w:rsidRDefault="00000000">
      <w:pPr>
        <w:pStyle w:val="2"/>
        <w:ind w:leftChars="0" w:left="0" w:firstLineChars="0" w:firstLine="0"/>
      </w:pPr>
      <w:r>
        <w:rPr>
          <w:rFonts w:hint="eastAsia"/>
        </w:rPr>
        <w:object w:dxaOrig="8294" w:dyaOrig="5820" w14:anchorId="4A77248A">
          <v:shape id="_x0000_i1031" type="#_x0000_t75" style="width:414.6pt;height:291pt" o:ole="">
            <v:imagedata r:id="rId27" o:title=""/>
            <o:lock v:ext="edit" aspectratio="f"/>
          </v:shape>
          <o:OLEObject Type="Embed" ProgID="Excel.Sheet.12" ShapeID="_x0000_i1031" DrawAspect="Content" ObjectID="_1806934282" r:id="rId28"/>
        </w:object>
      </w:r>
    </w:p>
    <w:p w14:paraId="4D9A8B9E" w14:textId="77777777" w:rsidR="00062E74" w:rsidRDefault="00000000">
      <w:r>
        <w:rPr>
          <w:rFonts w:hint="eastAsia"/>
        </w:rPr>
        <w:object w:dxaOrig="8294" w:dyaOrig="6075" w14:anchorId="57C1AA22">
          <v:shape id="_x0000_i1032" type="#_x0000_t75" style="width:414.6pt;height:303.6pt" o:ole="">
            <v:imagedata r:id="rId29" o:title=""/>
            <o:lock v:ext="edit" aspectratio="f"/>
          </v:shape>
          <o:OLEObject Type="Embed" ProgID="Excel.Sheet.12" ShapeID="_x0000_i1032" DrawAspect="Content" ObjectID="_1806934283" r:id="rId30"/>
        </w:object>
      </w:r>
    </w:p>
    <w:p w14:paraId="3CEB09AF" w14:textId="77777777" w:rsidR="00062E74" w:rsidRDefault="00000000">
      <w:pPr>
        <w:pStyle w:val="2"/>
        <w:ind w:leftChars="0" w:left="0" w:firstLineChars="0" w:firstLine="0"/>
      </w:pPr>
      <w:r>
        <w:rPr>
          <w:rFonts w:hint="eastAsia"/>
        </w:rPr>
        <w:object w:dxaOrig="8304" w:dyaOrig="6613" w14:anchorId="3BA8B8B0">
          <v:shape id="_x0000_i1033" type="#_x0000_t75" style="width:415.2pt;height:330.6pt" o:ole="">
            <v:imagedata r:id="rId31" o:title=""/>
            <o:lock v:ext="edit" aspectratio="f"/>
          </v:shape>
          <o:OLEObject Type="Embed" ProgID="Excel.Sheet.12" ShapeID="_x0000_i1033" DrawAspect="Content" ObjectID="_1806934284" r:id="rId32"/>
        </w:object>
      </w:r>
    </w:p>
    <w:p w14:paraId="1FDF5DE3" w14:textId="77777777" w:rsidR="00062E74" w:rsidRDefault="00000000">
      <w:r>
        <w:rPr>
          <w:rFonts w:hint="eastAsia"/>
        </w:rPr>
        <w:object w:dxaOrig="8294" w:dyaOrig="5917" w14:anchorId="52C205B6">
          <v:shape id="_x0000_i1034" type="#_x0000_t75" style="width:414.6pt;height:295.8pt" o:ole="">
            <v:imagedata r:id="rId33" o:title=""/>
            <o:lock v:ext="edit" aspectratio="f"/>
          </v:shape>
          <o:OLEObject Type="Embed" ProgID="Excel.Sheet.12" ShapeID="_x0000_i1034" DrawAspect="Content" ObjectID="_1806934285" r:id="rId34"/>
        </w:object>
      </w:r>
    </w:p>
    <w:p w14:paraId="572182BD" w14:textId="77777777" w:rsidR="00062E74" w:rsidRDefault="00000000">
      <w:pPr>
        <w:pStyle w:val="2"/>
        <w:ind w:leftChars="0" w:left="0" w:firstLineChars="0" w:firstLine="0"/>
      </w:pPr>
      <w:r>
        <w:rPr>
          <w:rFonts w:hint="eastAsia"/>
        </w:rPr>
        <w:object w:dxaOrig="8294" w:dyaOrig="6075" w14:anchorId="786205C8">
          <v:shape id="_x0000_i1035" type="#_x0000_t75" style="width:414.6pt;height:303.6pt" o:ole="">
            <v:imagedata r:id="rId35" o:title=""/>
            <o:lock v:ext="edit" aspectratio="f"/>
          </v:shape>
          <o:OLEObject Type="Embed" ProgID="Excel.Sheet.12" ShapeID="_x0000_i1035" DrawAspect="Content" ObjectID="_1806934286" r:id="rId36"/>
        </w:object>
      </w:r>
    </w:p>
    <w:p w14:paraId="3BA16C1F" w14:textId="77777777" w:rsidR="00062E74" w:rsidRDefault="00000000">
      <w:r>
        <w:rPr>
          <w:rFonts w:hint="eastAsia"/>
        </w:rPr>
        <w:object w:dxaOrig="8294" w:dyaOrig="6075" w14:anchorId="6384D4B9">
          <v:shape id="_x0000_i1036" type="#_x0000_t75" style="width:414.6pt;height:303.6pt" o:ole="">
            <v:imagedata r:id="rId37" o:title=""/>
            <o:lock v:ext="edit" aspectratio="f"/>
          </v:shape>
          <o:OLEObject Type="Embed" ProgID="Excel.Sheet.12" ShapeID="_x0000_i1036" DrawAspect="Content" ObjectID="_1806934287" r:id="rId38"/>
        </w:object>
      </w:r>
    </w:p>
    <w:p w14:paraId="3ABDA479" w14:textId="77777777" w:rsidR="00062E74" w:rsidRDefault="00000000">
      <w:pPr>
        <w:pStyle w:val="2"/>
        <w:ind w:leftChars="0" w:left="0" w:firstLineChars="0" w:firstLine="0"/>
      </w:pPr>
      <w:r>
        <w:rPr>
          <w:rFonts w:hint="eastAsia"/>
        </w:rPr>
        <w:object w:dxaOrig="8294" w:dyaOrig="6075" w14:anchorId="79E19BD7">
          <v:shape id="_x0000_i1037" type="#_x0000_t75" style="width:414.6pt;height:303.6pt" o:ole="">
            <v:imagedata r:id="rId39" o:title=""/>
            <o:lock v:ext="edit" aspectratio="f"/>
          </v:shape>
          <o:OLEObject Type="Embed" ProgID="Excel.Sheet.12" ShapeID="_x0000_i1037" DrawAspect="Content" ObjectID="_1806934288" r:id="rId40"/>
        </w:object>
      </w:r>
    </w:p>
    <w:p w14:paraId="185B8D2D" w14:textId="77777777" w:rsidR="00062E74" w:rsidRDefault="00062E74"/>
    <w:p w14:paraId="0B43BB50" w14:textId="77777777" w:rsidR="00062E74" w:rsidRDefault="00000000">
      <w:pPr>
        <w:pStyle w:val="1"/>
        <w:jc w:val="center"/>
        <w:rPr>
          <w:rFonts w:ascii="黑体" w:eastAsia="黑体" w:hAnsi="黑体" w:hint="eastAsia"/>
        </w:rPr>
      </w:pPr>
      <w:bookmarkStart w:id="93" w:name="_Toc26896"/>
      <w:bookmarkStart w:id="94" w:name="_Toc14275"/>
      <w:r>
        <w:rPr>
          <w:rFonts w:ascii="黑体" w:eastAsia="黑体" w:hAnsi="黑体" w:hint="eastAsia"/>
        </w:rPr>
        <w:lastRenderedPageBreak/>
        <w:t>第五部分 附表</w:t>
      </w:r>
      <w:bookmarkEnd w:id="93"/>
      <w:bookmarkEnd w:id="94"/>
    </w:p>
    <w:p w14:paraId="407595DF" w14:textId="77777777" w:rsidR="00062E74" w:rsidRDefault="00000000">
      <w:pPr>
        <w:rPr>
          <w:rFonts w:ascii="仿宋" w:eastAsia="仿宋" w:hAnsi="仿宋" w:hint="eastAsia"/>
          <w:sz w:val="32"/>
          <w:szCs w:val="32"/>
        </w:rPr>
      </w:pPr>
      <w:r>
        <w:rPr>
          <w:rFonts w:ascii="仿宋" w:eastAsia="仿宋" w:hAnsi="仿宋" w:hint="eastAsia"/>
          <w:sz w:val="32"/>
          <w:szCs w:val="32"/>
        </w:rPr>
        <w:t>一、收入支出决算总表</w:t>
      </w:r>
    </w:p>
    <w:p w14:paraId="7A03737C" w14:textId="77777777" w:rsidR="00062E74" w:rsidRDefault="00000000">
      <w:pPr>
        <w:rPr>
          <w:rFonts w:ascii="仿宋" w:eastAsia="仿宋" w:hAnsi="仿宋" w:hint="eastAsia"/>
          <w:sz w:val="32"/>
          <w:szCs w:val="32"/>
        </w:rPr>
      </w:pPr>
      <w:r>
        <w:rPr>
          <w:rFonts w:ascii="仿宋" w:eastAsia="仿宋" w:hAnsi="仿宋" w:hint="eastAsia"/>
          <w:sz w:val="32"/>
          <w:szCs w:val="32"/>
        </w:rPr>
        <w:t>二、收入决算表</w:t>
      </w:r>
    </w:p>
    <w:p w14:paraId="71725654" w14:textId="77777777" w:rsidR="00062E74" w:rsidRDefault="00000000">
      <w:pPr>
        <w:rPr>
          <w:rFonts w:ascii="仿宋" w:eastAsia="仿宋" w:hAnsi="仿宋" w:hint="eastAsia"/>
          <w:sz w:val="32"/>
          <w:szCs w:val="32"/>
        </w:rPr>
      </w:pPr>
      <w:r>
        <w:rPr>
          <w:rFonts w:ascii="仿宋" w:eastAsia="仿宋" w:hAnsi="仿宋" w:hint="eastAsia"/>
          <w:sz w:val="32"/>
          <w:szCs w:val="32"/>
        </w:rPr>
        <w:t>三、支出决算表</w:t>
      </w:r>
    </w:p>
    <w:p w14:paraId="4A66BF23" w14:textId="77777777" w:rsidR="00062E74" w:rsidRDefault="00000000">
      <w:pPr>
        <w:rPr>
          <w:rFonts w:ascii="仿宋" w:eastAsia="仿宋" w:hAnsi="仿宋" w:hint="eastAsia"/>
          <w:sz w:val="32"/>
          <w:szCs w:val="32"/>
        </w:rPr>
      </w:pPr>
      <w:r>
        <w:rPr>
          <w:rFonts w:ascii="仿宋" w:eastAsia="仿宋" w:hAnsi="仿宋" w:hint="eastAsia"/>
          <w:sz w:val="32"/>
          <w:szCs w:val="32"/>
        </w:rPr>
        <w:t>四、财政拨款收入支出决算总表</w:t>
      </w:r>
    </w:p>
    <w:p w14:paraId="62BF8DD6" w14:textId="77777777" w:rsidR="00062E74" w:rsidRDefault="00000000">
      <w:pPr>
        <w:rPr>
          <w:rFonts w:ascii="仿宋" w:eastAsia="仿宋" w:hAnsi="仿宋" w:hint="eastAsia"/>
          <w:sz w:val="32"/>
          <w:szCs w:val="32"/>
        </w:rPr>
      </w:pPr>
      <w:r>
        <w:rPr>
          <w:rFonts w:ascii="仿宋" w:eastAsia="仿宋" w:hAnsi="仿宋" w:hint="eastAsia"/>
          <w:sz w:val="32"/>
          <w:szCs w:val="32"/>
        </w:rPr>
        <w:t>五、财政拨款支出决算明细表</w:t>
      </w:r>
    </w:p>
    <w:p w14:paraId="69B128B3" w14:textId="77777777" w:rsidR="00062E74" w:rsidRDefault="00000000">
      <w:pPr>
        <w:rPr>
          <w:rFonts w:ascii="仿宋" w:eastAsia="仿宋" w:hAnsi="仿宋" w:hint="eastAsia"/>
          <w:sz w:val="32"/>
          <w:szCs w:val="32"/>
        </w:rPr>
      </w:pPr>
      <w:r>
        <w:rPr>
          <w:rFonts w:ascii="仿宋" w:eastAsia="仿宋" w:hAnsi="仿宋" w:hint="eastAsia"/>
          <w:sz w:val="32"/>
          <w:szCs w:val="32"/>
        </w:rPr>
        <w:t>六、一般公共预算财政拨款支出决算表</w:t>
      </w:r>
    </w:p>
    <w:p w14:paraId="4C7352B0" w14:textId="77777777" w:rsidR="00062E74" w:rsidRDefault="00000000">
      <w:pPr>
        <w:rPr>
          <w:rFonts w:ascii="仿宋" w:eastAsia="仿宋" w:hAnsi="仿宋" w:hint="eastAsia"/>
          <w:sz w:val="32"/>
          <w:szCs w:val="32"/>
        </w:rPr>
      </w:pPr>
      <w:r>
        <w:rPr>
          <w:rFonts w:ascii="仿宋" w:eastAsia="仿宋" w:hAnsi="仿宋" w:hint="eastAsia"/>
          <w:sz w:val="32"/>
          <w:szCs w:val="32"/>
        </w:rPr>
        <w:t>七、一般公共预算财政拨款支出决算明细表</w:t>
      </w:r>
    </w:p>
    <w:p w14:paraId="7F3806D8" w14:textId="77777777" w:rsidR="00062E74" w:rsidRDefault="00000000">
      <w:pPr>
        <w:rPr>
          <w:rFonts w:ascii="仿宋" w:eastAsia="仿宋" w:hAnsi="仿宋" w:hint="eastAsia"/>
          <w:sz w:val="32"/>
          <w:szCs w:val="32"/>
        </w:rPr>
      </w:pPr>
      <w:r>
        <w:rPr>
          <w:rFonts w:ascii="仿宋" w:eastAsia="仿宋" w:hAnsi="仿宋" w:hint="eastAsia"/>
          <w:sz w:val="32"/>
          <w:szCs w:val="32"/>
        </w:rPr>
        <w:t>八、一般公共预算财政拨款基本支出决算表</w:t>
      </w:r>
    </w:p>
    <w:p w14:paraId="236B95AA" w14:textId="77777777" w:rsidR="00062E74" w:rsidRDefault="00000000">
      <w:pPr>
        <w:rPr>
          <w:rFonts w:ascii="仿宋" w:eastAsia="仿宋" w:hAnsi="仿宋" w:hint="eastAsia"/>
          <w:sz w:val="32"/>
          <w:szCs w:val="32"/>
        </w:rPr>
      </w:pPr>
      <w:r>
        <w:rPr>
          <w:rFonts w:ascii="仿宋" w:eastAsia="仿宋" w:hAnsi="仿宋" w:hint="eastAsia"/>
          <w:sz w:val="32"/>
          <w:szCs w:val="32"/>
        </w:rPr>
        <w:t>九、一般公共预算财政拨款项目支出决算表</w:t>
      </w:r>
    </w:p>
    <w:p w14:paraId="715964B6" w14:textId="77777777" w:rsidR="00062E74" w:rsidRDefault="00000000">
      <w:pPr>
        <w:rPr>
          <w:rFonts w:ascii="仿宋" w:eastAsia="仿宋" w:hAnsi="仿宋" w:hint="eastAsia"/>
          <w:sz w:val="32"/>
          <w:szCs w:val="32"/>
        </w:rPr>
      </w:pPr>
      <w:r>
        <w:rPr>
          <w:rFonts w:ascii="仿宋" w:eastAsia="仿宋" w:hAnsi="仿宋" w:hint="eastAsia"/>
          <w:sz w:val="32"/>
          <w:szCs w:val="32"/>
        </w:rPr>
        <w:t>十、政府性基金预算财政拨款收入支出决算表</w:t>
      </w:r>
    </w:p>
    <w:p w14:paraId="0D797EAD" w14:textId="77777777" w:rsidR="00062E74" w:rsidRDefault="00000000">
      <w:pPr>
        <w:rPr>
          <w:rFonts w:ascii="仿宋" w:eastAsia="仿宋" w:hAnsi="仿宋" w:hint="eastAsia"/>
          <w:sz w:val="32"/>
          <w:szCs w:val="32"/>
        </w:rPr>
      </w:pPr>
      <w:r>
        <w:rPr>
          <w:rFonts w:ascii="仿宋" w:eastAsia="仿宋" w:hAnsi="仿宋" w:hint="eastAsia"/>
          <w:sz w:val="32"/>
          <w:szCs w:val="32"/>
        </w:rPr>
        <w:t>十一、国有资本经营预算财政拨款收入支出决算表</w:t>
      </w:r>
    </w:p>
    <w:p w14:paraId="08FD5D56" w14:textId="77777777" w:rsidR="00062E74" w:rsidRDefault="00000000">
      <w:pPr>
        <w:rPr>
          <w:rFonts w:ascii="仿宋" w:eastAsia="仿宋" w:hAnsi="仿宋" w:hint="eastAsia"/>
          <w:sz w:val="32"/>
          <w:szCs w:val="32"/>
        </w:rPr>
      </w:pPr>
      <w:r>
        <w:rPr>
          <w:rFonts w:ascii="仿宋" w:eastAsia="仿宋" w:hAnsi="仿宋" w:hint="eastAsia"/>
          <w:sz w:val="32"/>
          <w:szCs w:val="32"/>
        </w:rPr>
        <w:t>十二、国有资本经营预算财政拨款支出决算表</w:t>
      </w:r>
    </w:p>
    <w:p w14:paraId="7AF25F57" w14:textId="77777777" w:rsidR="00062E74" w:rsidRDefault="00000000">
      <w:pPr>
        <w:rPr>
          <w:rFonts w:ascii="仿宋" w:eastAsia="仿宋" w:hAnsi="仿宋" w:hint="eastAsia"/>
          <w:sz w:val="32"/>
          <w:szCs w:val="32"/>
        </w:rPr>
      </w:pPr>
      <w:r>
        <w:rPr>
          <w:rFonts w:ascii="仿宋" w:eastAsia="仿宋" w:hAnsi="仿宋" w:hint="eastAsia"/>
          <w:sz w:val="32"/>
          <w:szCs w:val="32"/>
        </w:rPr>
        <w:t>十三、财政拨款“三公”经费支出决算表</w:t>
      </w:r>
    </w:p>
    <w:sectPr w:rsidR="00062E74">
      <w:headerReference w:type="default" r:id="rId41"/>
      <w:footerReference w:type="default" r:id="rId4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6921" w14:textId="77777777" w:rsidR="00D77C1A" w:rsidRDefault="00D77C1A">
      <w:r>
        <w:separator/>
      </w:r>
    </w:p>
  </w:endnote>
  <w:endnote w:type="continuationSeparator" w:id="0">
    <w:p w14:paraId="363DDF85" w14:textId="77777777" w:rsidR="00D77C1A" w:rsidRDefault="00D7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altName w:val="Noto Sans Syriac Eastern"/>
    <w:panose1 w:val="02040503050406030204"/>
    <w:charset w:val="00"/>
    <w:family w:val="roman"/>
    <w:pitch w:val="variable"/>
    <w:sig w:usb0="E00006FF" w:usb1="420024FF" w:usb2="02000000" w:usb3="00000000" w:csb0="0000019F" w:csb1="00000000"/>
  </w:font>
  <w:font w:name="仿宋_GB2312">
    <w:altName w:val="微软雅黑"/>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altName w:val="微软雅黑"/>
    <w:charset w:val="86"/>
    <w:family w:val="script"/>
    <w:pitch w:val="default"/>
    <w:sig w:usb0="00000000" w:usb1="00000000" w:usb2="00000012" w:usb3="00000000" w:csb0="00040001" w:csb1="00000000"/>
  </w:font>
  <w:font w:name="楷体_GB2312">
    <w:altName w:val="微软雅黑"/>
    <w:charset w:val="00"/>
    <w:family w:val="auto"/>
    <w:pitch w:val="default"/>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81956"/>
    </w:sdtPr>
    <w:sdtContent>
      <w:p w14:paraId="7761CAA6" w14:textId="77777777" w:rsidR="00062E74" w:rsidRDefault="00000000">
        <w:pPr>
          <w:pStyle w:val="a9"/>
          <w:jc w:val="center"/>
        </w:pPr>
        <w:r>
          <w:fldChar w:fldCharType="begin"/>
        </w:r>
        <w:r>
          <w:instrText>PAGE   \* MERGEFORMAT</w:instrText>
        </w:r>
        <w:r>
          <w:fldChar w:fldCharType="separate"/>
        </w:r>
        <w:r>
          <w:rPr>
            <w:lang w:val="zh-CN"/>
          </w:rPr>
          <w:t>23</w:t>
        </w:r>
        <w:r>
          <w:fldChar w:fldCharType="end"/>
        </w:r>
      </w:p>
    </w:sdtContent>
  </w:sdt>
  <w:p w14:paraId="7DA8431A" w14:textId="77777777" w:rsidR="00062E74" w:rsidRDefault="00062E7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5172" w14:textId="77777777" w:rsidR="00D77C1A" w:rsidRDefault="00D77C1A">
      <w:r>
        <w:separator/>
      </w:r>
    </w:p>
  </w:footnote>
  <w:footnote w:type="continuationSeparator" w:id="0">
    <w:p w14:paraId="1A7694A3" w14:textId="77777777" w:rsidR="00D77C1A" w:rsidRDefault="00D77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B958" w14:textId="77777777" w:rsidR="00062E74" w:rsidRDefault="00062E74">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0DDB66"/>
    <w:multiLevelType w:val="singleLevel"/>
    <w:tmpl w:val="A10DDB66"/>
    <w:lvl w:ilvl="0">
      <w:start w:val="2"/>
      <w:numFmt w:val="chineseCounting"/>
      <w:suff w:val="nothing"/>
      <w:lvlText w:val="（%1）"/>
      <w:lvlJc w:val="left"/>
      <w:rPr>
        <w:rFonts w:hint="eastAsia"/>
      </w:r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22965695"/>
    <w:multiLevelType w:val="singleLevel"/>
    <w:tmpl w:val="22965695"/>
    <w:lvl w:ilvl="0">
      <w:start w:val="1"/>
      <w:numFmt w:val="decimal"/>
      <w:lvlText w:val="%1."/>
      <w:lvlJc w:val="left"/>
      <w:pPr>
        <w:tabs>
          <w:tab w:val="left" w:pos="312"/>
        </w:tabs>
      </w:pPr>
    </w:lvl>
  </w:abstractNum>
  <w:abstractNum w:abstractNumId="4" w15:restartNumberingAfterBreak="0">
    <w:nsid w:val="2EDD7D1D"/>
    <w:multiLevelType w:val="singleLevel"/>
    <w:tmpl w:val="2EDD7D1D"/>
    <w:lvl w:ilvl="0">
      <w:start w:val="1"/>
      <w:numFmt w:val="chineseCounting"/>
      <w:suff w:val="nothing"/>
      <w:lvlText w:val="%1、"/>
      <w:lvlJc w:val="left"/>
      <w:rPr>
        <w:rFonts w:hint="eastAsia"/>
      </w:rPr>
    </w:lvl>
  </w:abstractNum>
  <w:abstractNum w:abstractNumId="5" w15:restartNumberingAfterBreak="0">
    <w:nsid w:val="5F264D24"/>
    <w:multiLevelType w:val="singleLevel"/>
    <w:tmpl w:val="5F264D24"/>
    <w:lvl w:ilvl="0">
      <w:start w:val="1"/>
      <w:numFmt w:val="decimal"/>
      <w:lvlText w:val="%1."/>
      <w:lvlJc w:val="left"/>
      <w:pPr>
        <w:tabs>
          <w:tab w:val="left" w:pos="312"/>
        </w:tabs>
      </w:pPr>
    </w:lvl>
  </w:abstractNum>
  <w:abstractNum w:abstractNumId="6" w15:restartNumberingAfterBreak="0">
    <w:nsid w:val="6FF94DE0"/>
    <w:multiLevelType w:val="singleLevel"/>
    <w:tmpl w:val="6FF94DE0"/>
    <w:lvl w:ilvl="0">
      <w:start w:val="2"/>
      <w:numFmt w:val="chineseCounting"/>
      <w:suff w:val="nothing"/>
      <w:lvlText w:val="（%1）"/>
      <w:lvlJc w:val="left"/>
      <w:rPr>
        <w:rFonts w:hint="eastAsia"/>
      </w:rPr>
    </w:lvl>
  </w:abstractNum>
  <w:num w:numId="1" w16cid:durableId="2059473095">
    <w:abstractNumId w:val="4"/>
  </w:num>
  <w:num w:numId="2" w16cid:durableId="765803540">
    <w:abstractNumId w:val="2"/>
  </w:num>
  <w:num w:numId="3" w16cid:durableId="458574518">
    <w:abstractNumId w:val="5"/>
  </w:num>
  <w:num w:numId="4" w16cid:durableId="1983195785">
    <w:abstractNumId w:val="1"/>
  </w:num>
  <w:num w:numId="5" w16cid:durableId="1525433866">
    <w:abstractNumId w:val="6"/>
  </w:num>
  <w:num w:numId="6" w16cid:durableId="736173798">
    <w:abstractNumId w:val="3"/>
  </w:num>
  <w:num w:numId="7" w16cid:durableId="1684622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1C"/>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 w:val="00014A1C"/>
    <w:rsid w:val="000222C6"/>
    <w:rsid w:val="0002549F"/>
    <w:rsid w:val="00035392"/>
    <w:rsid w:val="000468DB"/>
    <w:rsid w:val="00062E74"/>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2301"/>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91CA3"/>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BBE"/>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167F8"/>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A6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0F38"/>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0650"/>
    <w:rsid w:val="00BA579E"/>
    <w:rsid w:val="00BB4DF0"/>
    <w:rsid w:val="00BC289F"/>
    <w:rsid w:val="00BC2D50"/>
    <w:rsid w:val="00BC5361"/>
    <w:rsid w:val="00BC5460"/>
    <w:rsid w:val="00BC6B50"/>
    <w:rsid w:val="00BD0E25"/>
    <w:rsid w:val="00BF5688"/>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77BB"/>
    <w:rsid w:val="00D7035F"/>
    <w:rsid w:val="00D77C1A"/>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E87"/>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0FF4425"/>
    <w:rsid w:val="01271174"/>
    <w:rsid w:val="015975B8"/>
    <w:rsid w:val="01D74CDA"/>
    <w:rsid w:val="02FEBE30"/>
    <w:rsid w:val="036F8141"/>
    <w:rsid w:val="066E0107"/>
    <w:rsid w:val="07996F6E"/>
    <w:rsid w:val="07DFD8BA"/>
    <w:rsid w:val="08D75D56"/>
    <w:rsid w:val="0A2032A3"/>
    <w:rsid w:val="0C186B59"/>
    <w:rsid w:val="0D35B1ED"/>
    <w:rsid w:val="0E7ED1F5"/>
    <w:rsid w:val="0F98263C"/>
    <w:rsid w:val="101860EC"/>
    <w:rsid w:val="10C055FF"/>
    <w:rsid w:val="118107EC"/>
    <w:rsid w:val="125C56D9"/>
    <w:rsid w:val="137D3FBC"/>
    <w:rsid w:val="13D50BC4"/>
    <w:rsid w:val="13F5616D"/>
    <w:rsid w:val="161C68E5"/>
    <w:rsid w:val="16541D84"/>
    <w:rsid w:val="16BB723D"/>
    <w:rsid w:val="17F9714D"/>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72E6896"/>
    <w:rsid w:val="29FD04D3"/>
    <w:rsid w:val="2BFF7BC6"/>
    <w:rsid w:val="2C8A61B5"/>
    <w:rsid w:val="2CD59C95"/>
    <w:rsid w:val="2DF04E50"/>
    <w:rsid w:val="2EFD05E5"/>
    <w:rsid w:val="2F040D46"/>
    <w:rsid w:val="2F4F95CE"/>
    <w:rsid w:val="2FACAFDD"/>
    <w:rsid w:val="2FAE5751"/>
    <w:rsid w:val="2FB1A395"/>
    <w:rsid w:val="2FCF0B76"/>
    <w:rsid w:val="2FD9A7D8"/>
    <w:rsid w:val="30806734"/>
    <w:rsid w:val="319F7F4E"/>
    <w:rsid w:val="3304709D"/>
    <w:rsid w:val="34735475"/>
    <w:rsid w:val="36AA5135"/>
    <w:rsid w:val="36BE0DA7"/>
    <w:rsid w:val="376B6AA6"/>
    <w:rsid w:val="376D39B2"/>
    <w:rsid w:val="37E16F03"/>
    <w:rsid w:val="37F53A3B"/>
    <w:rsid w:val="38283C1F"/>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7F1A7C"/>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BA4878"/>
    <w:rsid w:val="4ECE2238"/>
    <w:rsid w:val="4F7EA413"/>
    <w:rsid w:val="4FAB812F"/>
    <w:rsid w:val="4FE9BD67"/>
    <w:rsid w:val="4FEE4C07"/>
    <w:rsid w:val="4FFB052F"/>
    <w:rsid w:val="52A53489"/>
    <w:rsid w:val="537E6D0A"/>
    <w:rsid w:val="53AB6B88"/>
    <w:rsid w:val="53F74C96"/>
    <w:rsid w:val="54A5632C"/>
    <w:rsid w:val="5583522D"/>
    <w:rsid w:val="57941DEE"/>
    <w:rsid w:val="57BD3DD4"/>
    <w:rsid w:val="57F9CD1E"/>
    <w:rsid w:val="590327FA"/>
    <w:rsid w:val="5AF92295"/>
    <w:rsid w:val="5AF9D8E9"/>
    <w:rsid w:val="5BDD38BD"/>
    <w:rsid w:val="5BDD79E6"/>
    <w:rsid w:val="5BEFC772"/>
    <w:rsid w:val="5BFF5DFC"/>
    <w:rsid w:val="5C6C0905"/>
    <w:rsid w:val="5CD2181E"/>
    <w:rsid w:val="5CD71FC4"/>
    <w:rsid w:val="5D1F11B5"/>
    <w:rsid w:val="5D3647F9"/>
    <w:rsid w:val="5DA644D4"/>
    <w:rsid w:val="5DAE1B18"/>
    <w:rsid w:val="5DE7D9E5"/>
    <w:rsid w:val="5E015248"/>
    <w:rsid w:val="5E8162AE"/>
    <w:rsid w:val="5ECEC941"/>
    <w:rsid w:val="5EFF8FC6"/>
    <w:rsid w:val="5F5BA39A"/>
    <w:rsid w:val="5F7D3B79"/>
    <w:rsid w:val="5F7F4610"/>
    <w:rsid w:val="5FBF9FF3"/>
    <w:rsid w:val="5FCD4E2C"/>
    <w:rsid w:val="5FEF394A"/>
    <w:rsid w:val="5FF67715"/>
    <w:rsid w:val="604D0F5E"/>
    <w:rsid w:val="61CA71D5"/>
    <w:rsid w:val="627EE9EA"/>
    <w:rsid w:val="62BA3CF5"/>
    <w:rsid w:val="63B23AA5"/>
    <w:rsid w:val="647F5392"/>
    <w:rsid w:val="64E322C4"/>
    <w:rsid w:val="65FB93B9"/>
    <w:rsid w:val="6633C463"/>
    <w:rsid w:val="66CC4DF1"/>
    <w:rsid w:val="67D55B77"/>
    <w:rsid w:val="67EE7F84"/>
    <w:rsid w:val="686F5F53"/>
    <w:rsid w:val="6AFFCEAF"/>
    <w:rsid w:val="6B96E9E6"/>
    <w:rsid w:val="6BCE57B5"/>
    <w:rsid w:val="6BFEA4DB"/>
    <w:rsid w:val="6BFFB662"/>
    <w:rsid w:val="6C4A05C8"/>
    <w:rsid w:val="6CFF4FB8"/>
    <w:rsid w:val="6D6BD6E0"/>
    <w:rsid w:val="6D77E73C"/>
    <w:rsid w:val="6DBF5E93"/>
    <w:rsid w:val="6DCC2E6D"/>
    <w:rsid w:val="6DFF077E"/>
    <w:rsid w:val="6E7E3605"/>
    <w:rsid w:val="6E7FDCC7"/>
    <w:rsid w:val="6EA649C2"/>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5C01AD"/>
    <w:rsid w:val="72734D90"/>
    <w:rsid w:val="7332FE48"/>
    <w:rsid w:val="733F256C"/>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0753F5"/>
    <w:rsid w:val="797564BA"/>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743A0D"/>
    <w:rsid w:val="7CBFC87B"/>
    <w:rsid w:val="7CFE0F48"/>
    <w:rsid w:val="7D2262E2"/>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3AB733"/>
  <w15:docId w15:val="{7310CC59-7249-42AC-8C0E-F6DD67F1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1"/>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qFormat/>
    <w:pPr>
      <w:ind w:firstLineChars="200" w:firstLine="420"/>
    </w:pPr>
  </w:style>
  <w:style w:type="paragraph" w:styleId="a3">
    <w:name w:val="Body Text Indent"/>
    <w:basedOn w:val="a"/>
    <w:next w:val="2"/>
    <w:qFormat/>
    <w:pPr>
      <w:spacing w:after="120"/>
      <w:ind w:leftChars="200" w:left="200"/>
    </w:pPr>
    <w:rPr>
      <w:rFonts w:ascii="仿宋_GB2312"/>
      <w:szCs w:val="32"/>
    </w:rPr>
  </w:style>
  <w:style w:type="paragraph" w:styleId="a4">
    <w:name w:val="Body Text"/>
    <w:basedOn w:val="a"/>
    <w:link w:val="a5"/>
    <w:uiPriority w:val="99"/>
    <w:qFormat/>
    <w:pPr>
      <w:spacing w:beforeLines="30"/>
    </w:pPr>
    <w:rPr>
      <w:rFonts w:ascii="仿宋_GB2312" w:eastAsia="仿宋_GB2312"/>
      <w:kern w:val="0"/>
      <w:sz w:val="30"/>
    </w:rPr>
  </w:style>
  <w:style w:type="paragraph" w:styleId="TOC3">
    <w:name w:val="toc 3"/>
    <w:basedOn w:val="a"/>
    <w:next w:val="a"/>
    <w:uiPriority w:val="39"/>
    <w:unhideWhenUsed/>
    <w:qFormat/>
    <w:pPr>
      <w:tabs>
        <w:tab w:val="right" w:leader="dot" w:pos="8296"/>
      </w:tabs>
      <w:ind w:leftChars="400" w:left="840"/>
    </w:pPr>
  </w:style>
  <w:style w:type="paragraph" w:styleId="a6">
    <w:name w:val="Plain Text"/>
    <w:basedOn w:val="a"/>
    <w:uiPriority w:val="99"/>
    <w:unhideWhenUsed/>
    <w:qFormat/>
    <w:rPr>
      <w:rFonts w:ascii="宋体" w:hAnsi="Courier New"/>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paragraph" w:styleId="ad">
    <w:name w:val="Normal (Web)"/>
    <w:basedOn w:val="a"/>
    <w:qFormat/>
    <w:pPr>
      <w:spacing w:before="100" w:beforeAutospacing="1" w:after="100" w:afterAutospacing="1"/>
      <w:jc w:val="left"/>
    </w:pPr>
    <w:rPr>
      <w:kern w:val="0"/>
      <w:sz w:val="24"/>
    </w:rPr>
  </w:style>
  <w:style w:type="character" w:styleId="ae">
    <w:name w:val="Strong"/>
    <w:basedOn w:val="a0"/>
    <w:uiPriority w:val="99"/>
    <w:qFormat/>
    <w:rPr>
      <w:b/>
    </w:rPr>
  </w:style>
  <w:style w:type="character" w:styleId="af">
    <w:name w:val="Hyperlink"/>
    <w:basedOn w:val="a0"/>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5">
    <w:name w:val="正文文本 字符"/>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0">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1">
    <w:name w:val="标题 2 字符"/>
    <w:basedOn w:val="a0"/>
    <w:link w:val="20"/>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0"/>
    <w:link w:val="a7"/>
    <w:uiPriority w:val="99"/>
    <w:semiHidden/>
    <w:qFormat/>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四号正文"/>
    <w:basedOn w:val="a"/>
    <w:qFormat/>
    <w:pPr>
      <w:spacing w:line="360" w:lineRule="auto"/>
    </w:pPr>
    <w:rPr>
      <w:rFonts w:ascii="??" w:hAnsi="??"/>
      <w:color w:val="000000"/>
      <w:kern w:val="0"/>
      <w:sz w:val="28"/>
      <w:szCs w:val="21"/>
      <w:lang w:val="zh-CN"/>
    </w:rPr>
  </w:style>
  <w:style w:type="paragraph" w:customStyle="1" w:styleId="WPSOffice1">
    <w:name w:val="WPSOffice手动目录 1"/>
  </w:style>
  <w:style w:type="paragraph" w:customStyle="1" w:styleId="WPSOffice2">
    <w:name w:val="WPSOffice手动目录 2"/>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016">
      <w:bodyDiv w:val="1"/>
      <w:marLeft w:val="0"/>
      <w:marRight w:val="0"/>
      <w:marTop w:val="0"/>
      <w:marBottom w:val="0"/>
      <w:divBdr>
        <w:top w:val="none" w:sz="0" w:space="0" w:color="auto"/>
        <w:left w:val="none" w:sz="0" w:space="0" w:color="auto"/>
        <w:bottom w:val="none" w:sz="0" w:space="0" w:color="auto"/>
        <w:right w:val="none" w:sz="0" w:space="0" w:color="auto"/>
      </w:divBdr>
    </w:div>
    <w:div w:id="274754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package" Target="embeddings/Microsoft_Excel_Worksheet8.xlsx"/><Relationship Id="rId26" Type="http://schemas.openxmlformats.org/officeDocument/2006/relationships/package" Target="embeddings/Microsoft_Excel_Worksheet12.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Excel_Worksheet16.xlsx"/><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7.xlsx"/><Relationship Id="rId20" Type="http://schemas.openxmlformats.org/officeDocument/2006/relationships/package" Target="embeddings/Microsoft_Excel_Worksheet9.xlsx"/><Relationship Id="rId29" Type="http://schemas.openxmlformats.org/officeDocument/2006/relationships/image" Target="media/image8.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package" Target="embeddings/Microsoft_Excel_Worksheet11.xlsx"/><Relationship Id="rId32" Type="http://schemas.openxmlformats.org/officeDocument/2006/relationships/package" Target="embeddings/Microsoft_Excel_Worksheet15.xlsx"/><Relationship Id="rId37" Type="http://schemas.openxmlformats.org/officeDocument/2006/relationships/image" Target="media/image12.emf"/><Relationship Id="rId40" Type="http://schemas.openxmlformats.org/officeDocument/2006/relationships/package" Target="embeddings/Microsoft_Excel_Worksheet19.xlsx"/><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package" Target="embeddings/Microsoft_Excel_Worksheet13.xlsx"/><Relationship Id="rId36" Type="http://schemas.openxmlformats.org/officeDocument/2006/relationships/package" Target="embeddings/Microsoft_Excel_Worksheet17.xlsx"/><Relationship Id="rId10" Type="http://schemas.openxmlformats.org/officeDocument/2006/relationships/chart" Target="charts/chart3.xml"/><Relationship Id="rId19" Type="http://schemas.openxmlformats.org/officeDocument/2006/relationships/image" Target="media/image3.emf"/><Relationship Id="rId31" Type="http://schemas.openxmlformats.org/officeDocument/2006/relationships/image" Target="media/image9.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package" Target="embeddings/Microsoft_Excel_Worksheet10.xlsx"/><Relationship Id="rId27" Type="http://schemas.openxmlformats.org/officeDocument/2006/relationships/image" Target="media/image7.emf"/><Relationship Id="rId30" Type="http://schemas.openxmlformats.org/officeDocument/2006/relationships/package" Target="embeddings/Microsoft_Excel_Worksheet14.xlsx"/><Relationship Id="rId35" Type="http://schemas.openxmlformats.org/officeDocument/2006/relationships/image" Target="media/image11.emf"/><Relationship Id="rId43"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8.xlsx"/></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收、支变动情况</c:v>
                </c:pt>
              </c:strCache>
            </c:strRef>
          </c:tx>
          <c:spPr>
            <a:solidFill>
              <a:schemeClr val="accent1"/>
            </a:solidFill>
            <a:ln>
              <a:noFill/>
            </a:ln>
            <a:effectLst/>
          </c:spPr>
          <c:invertIfNegative val="0"/>
          <c:cat>
            <c:strRef>
              <c:f>Sheet1!$A$2:$A$5</c:f>
              <c:strCache>
                <c:ptCount val="4"/>
                <c:pt idx="0">
                  <c:v>2022年</c:v>
                </c:pt>
                <c:pt idx="1">
                  <c:v>2023年</c:v>
                </c:pt>
              </c:strCache>
            </c:strRef>
          </c:cat>
          <c:val>
            <c:numRef>
              <c:f>Sheet1!$B$2:$B$5</c:f>
              <c:numCache>
                <c:formatCode>General</c:formatCode>
                <c:ptCount val="4"/>
                <c:pt idx="0">
                  <c:v>8402.7000000000007</c:v>
                </c:pt>
              </c:numCache>
            </c:numRef>
          </c:val>
          <c:extLst>
            <c:ext xmlns:c16="http://schemas.microsoft.com/office/drawing/2014/chart" uri="{C3380CC4-5D6E-409C-BE32-E72D297353CC}">
              <c16:uniqueId val="{00000000-3B30-4278-83FE-E1CCF2187810}"/>
            </c:ext>
          </c:extLst>
        </c:ser>
        <c:ser>
          <c:idx val="1"/>
          <c:order val="1"/>
          <c:tx>
            <c:strRef>
              <c:f>Sheet1!$C$1</c:f>
              <c:strCache>
                <c:ptCount val="1"/>
              </c:strCache>
            </c:strRef>
          </c:tx>
          <c:spPr>
            <a:solidFill>
              <a:schemeClr val="accent2"/>
            </a:solidFill>
            <a:ln>
              <a:noFill/>
            </a:ln>
            <a:effectLst/>
          </c:spPr>
          <c:invertIfNegative val="0"/>
          <c:cat>
            <c:strRef>
              <c:f>Sheet1!$A$2:$A$5</c:f>
              <c:strCache>
                <c:ptCount val="4"/>
                <c:pt idx="0">
                  <c:v>2022年</c:v>
                </c:pt>
                <c:pt idx="1">
                  <c:v>2023年</c:v>
                </c:pt>
              </c:strCache>
            </c:strRef>
          </c:cat>
          <c:val>
            <c:numRef>
              <c:f>Sheet1!$C$2:$C$5</c:f>
              <c:numCache>
                <c:formatCode>General</c:formatCode>
                <c:ptCount val="4"/>
                <c:pt idx="1">
                  <c:v>8562.42</c:v>
                </c:pt>
              </c:numCache>
            </c:numRef>
          </c:val>
          <c:extLst>
            <c:ext xmlns:c16="http://schemas.microsoft.com/office/drawing/2014/chart" uri="{C3380CC4-5D6E-409C-BE32-E72D297353CC}">
              <c16:uniqueId val="{00000001-3B30-4278-83FE-E1CCF2187810}"/>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2022年</c:v>
                </c:pt>
                <c:pt idx="1">
                  <c:v>2023年</c:v>
                </c:pt>
              </c:strCache>
            </c:strRef>
          </c:cat>
          <c:val>
            <c:numRef>
              <c:f>Sheet1!$D$2:$D$5</c:f>
              <c:numCache>
                <c:formatCode>General</c:formatCode>
                <c:ptCount val="4"/>
              </c:numCache>
            </c:numRef>
          </c:val>
          <c:extLst>
            <c:ext xmlns:c16="http://schemas.microsoft.com/office/drawing/2014/chart" uri="{C3380CC4-5D6E-409C-BE32-E72D297353CC}">
              <c16:uniqueId val="{00000002-3B30-4278-83FE-E1CCF2187810}"/>
            </c:ext>
          </c:extLst>
        </c:ser>
        <c:dLbls>
          <c:showLegendKey val="0"/>
          <c:showVal val="0"/>
          <c:showCatName val="0"/>
          <c:showSerName val="0"/>
          <c:showPercent val="0"/>
          <c:showBubbleSize val="0"/>
        </c:dLbls>
        <c:gapWidth val="219"/>
        <c:overlap val="-27"/>
        <c:axId val="914272627"/>
        <c:axId val="865584393"/>
      </c:barChart>
      <c:catAx>
        <c:axId val="91427262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65584393"/>
        <c:crosses val="autoZero"/>
        <c:auto val="1"/>
        <c:lblAlgn val="ctr"/>
        <c:lblOffset val="100"/>
        <c:noMultiLvlLbl val="0"/>
      </c:catAx>
      <c:valAx>
        <c:axId val="8655843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14272627"/>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本年度收入</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6D-4B90-81C2-81DD7B3324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6D-4B90-81C2-81DD7B3324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6D-4B90-81C2-81DD7B33241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6D-4B90-81C2-81DD7B33241D}"/>
              </c:ext>
            </c:extLst>
          </c:dPt>
          <c:cat>
            <c:strRef>
              <c:f>Sheet1!$A$2:$A$5</c:f>
              <c:strCache>
                <c:ptCount val="4"/>
                <c:pt idx="0">
                  <c:v>一般公共预算财政拨款收入</c:v>
                </c:pt>
              </c:strCache>
            </c:strRef>
          </c:cat>
          <c:val>
            <c:numRef>
              <c:f>Sheet1!$B$2:$B$5</c:f>
              <c:numCache>
                <c:formatCode>General</c:formatCode>
                <c:ptCount val="4"/>
                <c:pt idx="0">
                  <c:v>8562.42</c:v>
                </c:pt>
              </c:numCache>
            </c:numRef>
          </c:val>
          <c:extLst>
            <c:ext xmlns:c16="http://schemas.microsoft.com/office/drawing/2014/chart" uri="{C3380CC4-5D6E-409C-BE32-E72D297353CC}">
              <c16:uniqueId val="{00000008-DC6D-4B90-81C2-81DD7B33241D}"/>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DC6D-4B90-81C2-81DD7B3324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DC6D-4B90-81C2-81DD7B3324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DC6D-4B90-81C2-81DD7B33241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DC6D-4B90-81C2-81DD7B33241D}"/>
              </c:ext>
            </c:extLst>
          </c:dPt>
          <c:cat>
            <c:strRef>
              <c:f>Sheet1!$A$2:$A$5</c:f>
              <c:strCache>
                <c:ptCount val="4"/>
                <c:pt idx="0">
                  <c:v>一般公共预算财政拨款收入</c:v>
                </c:pt>
              </c:strCache>
            </c:strRef>
          </c:cat>
          <c:val>
            <c:numRef>
              <c:f>Sheet1!$C$2:$C$5</c:f>
              <c:numCache>
                <c:formatCode>General</c:formatCode>
                <c:ptCount val="4"/>
              </c:numCache>
            </c:numRef>
          </c:val>
          <c:extLst>
            <c:ext xmlns:c16="http://schemas.microsoft.com/office/drawing/2014/chart" uri="{C3380CC4-5D6E-409C-BE32-E72D297353CC}">
              <c16:uniqueId val="{00000011-DC6D-4B90-81C2-81DD7B33241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4F-4173-9205-25CC89C53A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4F-4173-9205-25CC89C53A7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4F-4173-9205-25CC89C53A7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4F-4173-9205-25CC89C53A7E}"/>
              </c:ext>
            </c:extLst>
          </c:dPt>
          <c:cat>
            <c:strRef>
              <c:f>Sheet1!$A$2:$A$5</c:f>
              <c:strCache>
                <c:ptCount val="4"/>
                <c:pt idx="0">
                  <c:v>项目支出</c:v>
                </c:pt>
                <c:pt idx="1">
                  <c:v>基本支出</c:v>
                </c:pt>
              </c:strCache>
            </c:strRef>
          </c:cat>
          <c:val>
            <c:numRef>
              <c:f>Sheet1!$B$2:$B$5</c:f>
              <c:numCache>
                <c:formatCode>General</c:formatCode>
                <c:ptCount val="4"/>
                <c:pt idx="0">
                  <c:v>2254.38</c:v>
                </c:pt>
                <c:pt idx="1">
                  <c:v>6308.04</c:v>
                </c:pt>
              </c:numCache>
            </c:numRef>
          </c:val>
          <c:extLst>
            <c:ext xmlns:c16="http://schemas.microsoft.com/office/drawing/2014/chart" uri="{C3380CC4-5D6E-409C-BE32-E72D297353CC}">
              <c16:uniqueId val="{00000008-AB4F-4173-9205-25CC89C53A7E}"/>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AB4F-4173-9205-25CC89C53A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AB4F-4173-9205-25CC89C53A7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AB4F-4173-9205-25CC89C53A7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AB4F-4173-9205-25CC89C53A7E}"/>
              </c:ext>
            </c:extLst>
          </c:dPt>
          <c:cat>
            <c:strRef>
              <c:f>Sheet1!$A$2:$A$5</c:f>
              <c:strCache>
                <c:ptCount val="4"/>
                <c:pt idx="0">
                  <c:v>项目支出</c:v>
                </c:pt>
                <c:pt idx="1">
                  <c:v>基本支出</c:v>
                </c:pt>
              </c:strCache>
            </c:strRef>
          </c:cat>
          <c:val>
            <c:numRef>
              <c:f>Sheet1!$C$2:$C$5</c:f>
              <c:numCache>
                <c:formatCode>General</c:formatCode>
                <c:ptCount val="4"/>
              </c:numCache>
            </c:numRef>
          </c:val>
          <c:extLst>
            <c:ext xmlns:c16="http://schemas.microsoft.com/office/drawing/2014/chart" uri="{C3380CC4-5D6E-409C-BE32-E72D297353CC}">
              <c16:uniqueId val="{00000011-AB4F-4173-9205-25CC89C53A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686348325738101E-2"/>
          <c:y val="0.26782668031388601"/>
          <c:w val="0.867723400039627"/>
          <c:h val="0.42115319003752999"/>
        </c:manualLayout>
      </c:layout>
      <c:barChart>
        <c:barDir val="col"/>
        <c:grouping val="stacked"/>
        <c:varyColors val="0"/>
        <c:ser>
          <c:idx val="0"/>
          <c:order val="0"/>
          <c:tx>
            <c:strRef>
              <c:f>Sheet1!$B$1</c:f>
              <c:strCache>
                <c:ptCount val="1"/>
                <c:pt idx="0">
                  <c:v>财政拨款收、支变动</c:v>
                </c:pt>
              </c:strCache>
            </c:strRef>
          </c:tx>
          <c:spPr>
            <a:solidFill>
              <a:schemeClr val="accent1"/>
            </a:solidFill>
            <a:ln w="19050">
              <a:solidFill>
                <a:schemeClr val="lt1"/>
              </a:solidFill>
            </a:ln>
            <a:effectLst/>
          </c:spPr>
          <c:invertIfNegative val="0"/>
          <c:cat>
            <c:strRef>
              <c:f>Sheet1!$A$2:$A$5</c:f>
              <c:strCache>
                <c:ptCount val="4"/>
                <c:pt idx="0">
                  <c:v>2022年</c:v>
                </c:pt>
                <c:pt idx="1">
                  <c:v>2023年</c:v>
                </c:pt>
              </c:strCache>
            </c:strRef>
          </c:cat>
          <c:val>
            <c:numRef>
              <c:f>Sheet1!$B$2:$B$5</c:f>
              <c:numCache>
                <c:formatCode>General</c:formatCode>
                <c:ptCount val="4"/>
                <c:pt idx="0">
                  <c:v>8355.6200000000008</c:v>
                </c:pt>
              </c:numCache>
            </c:numRef>
          </c:val>
          <c:extLst>
            <c:ext xmlns:c16="http://schemas.microsoft.com/office/drawing/2014/chart" uri="{C3380CC4-5D6E-409C-BE32-E72D297353CC}">
              <c16:uniqueId val="{00000000-05CC-411E-B457-E5571BE058EB}"/>
            </c:ext>
          </c:extLst>
        </c:ser>
        <c:ser>
          <c:idx val="1"/>
          <c:order val="1"/>
          <c:tx>
            <c:strRef>
              <c:f>Sheet1!$C$1</c:f>
              <c:strCache>
                <c:ptCount val="1"/>
                <c:pt idx="0">
                  <c:v>列1</c:v>
                </c:pt>
              </c:strCache>
            </c:strRef>
          </c:tx>
          <c:spPr>
            <a:solidFill>
              <a:schemeClr val="accent2"/>
            </a:solidFill>
            <a:ln w="19050">
              <a:solidFill>
                <a:schemeClr val="lt1"/>
              </a:solidFill>
            </a:ln>
            <a:effectLst/>
          </c:spPr>
          <c:invertIfNegative val="0"/>
          <c:cat>
            <c:strRef>
              <c:f>Sheet1!$A$2:$A$5</c:f>
              <c:strCache>
                <c:ptCount val="4"/>
                <c:pt idx="0">
                  <c:v>2022年</c:v>
                </c:pt>
                <c:pt idx="1">
                  <c:v>2023年</c:v>
                </c:pt>
              </c:strCache>
            </c:strRef>
          </c:cat>
          <c:val>
            <c:numRef>
              <c:f>Sheet1!$C$2:$C$5</c:f>
              <c:numCache>
                <c:formatCode>General</c:formatCode>
                <c:ptCount val="4"/>
                <c:pt idx="1">
                  <c:v>8562.42</c:v>
                </c:pt>
              </c:numCache>
            </c:numRef>
          </c:val>
          <c:extLst>
            <c:ext xmlns:c16="http://schemas.microsoft.com/office/drawing/2014/chart" uri="{C3380CC4-5D6E-409C-BE32-E72D297353CC}">
              <c16:uniqueId val="{00000001-05CC-411E-B457-E5571BE058EB}"/>
            </c:ext>
          </c:extLst>
        </c:ser>
        <c:dLbls>
          <c:showLegendKey val="0"/>
          <c:showVal val="0"/>
          <c:showCatName val="0"/>
          <c:showSerName val="0"/>
          <c:showPercent val="0"/>
          <c:showBubbleSize val="0"/>
        </c:dLbls>
        <c:gapWidth val="150"/>
        <c:overlap val="100"/>
        <c:axId val="226992872"/>
        <c:axId val="331202413"/>
      </c:barChart>
      <c:catAx>
        <c:axId val="22699287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31202413"/>
        <c:crosses val="autoZero"/>
        <c:auto val="1"/>
        <c:lblAlgn val="ctr"/>
        <c:lblOffset val="100"/>
        <c:noMultiLvlLbl val="0"/>
      </c:catAx>
      <c:valAx>
        <c:axId val="3312024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26992872"/>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Sheet1!$B$1</c:f>
              <c:strCache>
                <c:ptCount val="1"/>
                <c:pt idx="0">
                  <c:v>财政拨款支出变动</c:v>
                </c:pt>
              </c:strCache>
            </c:strRef>
          </c:tx>
          <c:spPr>
            <a:solidFill>
              <a:schemeClr val="accent1"/>
            </a:solidFill>
            <a:ln>
              <a:noFill/>
            </a:ln>
            <a:effectLst/>
          </c:spPr>
          <c:invertIfNegative val="0"/>
          <c:cat>
            <c:strRef>
              <c:f>Sheet1!$A$2:$A$5</c:f>
              <c:strCache>
                <c:ptCount val="4"/>
                <c:pt idx="0">
                  <c:v>2022年</c:v>
                </c:pt>
                <c:pt idx="1">
                  <c:v>2023年</c:v>
                </c:pt>
              </c:strCache>
            </c:strRef>
          </c:cat>
          <c:val>
            <c:numRef>
              <c:f>Sheet1!$B$2:$B$5</c:f>
              <c:numCache>
                <c:formatCode>General</c:formatCode>
                <c:ptCount val="4"/>
                <c:pt idx="0">
                  <c:v>8402.7000000000007</c:v>
                </c:pt>
              </c:numCache>
            </c:numRef>
          </c:val>
          <c:extLst>
            <c:ext xmlns:c16="http://schemas.microsoft.com/office/drawing/2014/chart" uri="{C3380CC4-5D6E-409C-BE32-E72D297353CC}">
              <c16:uniqueId val="{00000000-CFB9-499B-AA30-95E613FC5BA4}"/>
            </c:ext>
          </c:extLst>
        </c:ser>
        <c:ser>
          <c:idx val="1"/>
          <c:order val="1"/>
          <c:tx>
            <c:strRef>
              <c:f>Sheet1!$C$1</c:f>
              <c:strCache>
                <c:ptCount val="1"/>
              </c:strCache>
            </c:strRef>
          </c:tx>
          <c:spPr>
            <a:solidFill>
              <a:schemeClr val="accent2"/>
            </a:solidFill>
            <a:ln>
              <a:noFill/>
            </a:ln>
            <a:effectLst/>
          </c:spPr>
          <c:invertIfNegative val="0"/>
          <c:cat>
            <c:strRef>
              <c:f>Sheet1!$A$2:$A$5</c:f>
              <c:strCache>
                <c:ptCount val="4"/>
                <c:pt idx="0">
                  <c:v>2022年</c:v>
                </c:pt>
                <c:pt idx="1">
                  <c:v>2023年</c:v>
                </c:pt>
              </c:strCache>
            </c:strRef>
          </c:cat>
          <c:val>
            <c:numRef>
              <c:f>Sheet1!$C$2:$C$5</c:f>
              <c:numCache>
                <c:formatCode>General</c:formatCode>
                <c:ptCount val="4"/>
                <c:pt idx="1">
                  <c:v>8562.42</c:v>
                </c:pt>
              </c:numCache>
            </c:numRef>
          </c:val>
          <c:extLst>
            <c:ext xmlns:c16="http://schemas.microsoft.com/office/drawing/2014/chart" uri="{C3380CC4-5D6E-409C-BE32-E72D297353CC}">
              <c16:uniqueId val="{00000001-CFB9-499B-AA30-95E613FC5BA4}"/>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2022年</c:v>
                </c:pt>
                <c:pt idx="1">
                  <c:v>2023年</c:v>
                </c:pt>
              </c:strCache>
            </c:strRef>
          </c:cat>
          <c:val>
            <c:numRef>
              <c:f>Sheet1!$D$2:$D$5</c:f>
              <c:numCache>
                <c:formatCode>General</c:formatCode>
                <c:ptCount val="4"/>
              </c:numCache>
            </c:numRef>
          </c:val>
          <c:extLst>
            <c:ext xmlns:c16="http://schemas.microsoft.com/office/drawing/2014/chart" uri="{C3380CC4-5D6E-409C-BE32-E72D297353CC}">
              <c16:uniqueId val="{00000002-CFB9-499B-AA30-95E613FC5BA4}"/>
            </c:ext>
          </c:extLst>
        </c:ser>
        <c:dLbls>
          <c:showLegendKey val="0"/>
          <c:showVal val="0"/>
          <c:showCatName val="0"/>
          <c:showSerName val="0"/>
          <c:showPercent val="0"/>
          <c:showBubbleSize val="0"/>
        </c:dLbls>
        <c:gapWidth val="150"/>
        <c:overlap val="100"/>
        <c:axId val="191187356"/>
        <c:axId val="257552037"/>
      </c:barChart>
      <c:catAx>
        <c:axId val="1911873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57552037"/>
        <c:crosses val="autoZero"/>
        <c:auto val="1"/>
        <c:lblAlgn val="ctr"/>
        <c:lblOffset val="100"/>
        <c:noMultiLvlLbl val="0"/>
      </c:catAx>
      <c:valAx>
        <c:axId val="2575520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9118735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7C-4C0E-96E7-F1E82A88C8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7C-4C0E-96E7-F1E82A88C8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7C-4C0E-96E7-F1E82A88C8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7C-4C0E-96E7-F1E82A88C84D}"/>
              </c:ext>
            </c:extLst>
          </c:dPt>
          <c:cat>
            <c:strRef>
              <c:f>Sheet1!$A$2:$A$5</c:f>
              <c:strCache>
                <c:ptCount val="4"/>
                <c:pt idx="0">
                  <c:v>社会保障和就业支出</c:v>
                </c:pt>
                <c:pt idx="1">
                  <c:v>住房保障支出</c:v>
                </c:pt>
                <c:pt idx="2">
                  <c:v>卫生健康支出</c:v>
                </c:pt>
                <c:pt idx="3">
                  <c:v>公共安全支出</c:v>
                </c:pt>
              </c:strCache>
            </c:strRef>
          </c:cat>
          <c:val>
            <c:numRef>
              <c:f>Sheet1!$B$2:$B$5</c:f>
              <c:numCache>
                <c:formatCode>General</c:formatCode>
                <c:ptCount val="4"/>
                <c:pt idx="0">
                  <c:v>637.11</c:v>
                </c:pt>
                <c:pt idx="1">
                  <c:v>377.23</c:v>
                </c:pt>
                <c:pt idx="2">
                  <c:v>266.14</c:v>
                </c:pt>
                <c:pt idx="3">
                  <c:v>7281.94</c:v>
                </c:pt>
              </c:numCache>
            </c:numRef>
          </c:val>
          <c:extLst>
            <c:ext xmlns:c16="http://schemas.microsoft.com/office/drawing/2014/chart" uri="{C3380CC4-5D6E-409C-BE32-E72D297353CC}">
              <c16:uniqueId val="{00000008-407C-4C0E-96E7-F1E82A88C84D}"/>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07C-4C0E-96E7-F1E82A88C8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07C-4C0E-96E7-F1E82A88C8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07C-4C0E-96E7-F1E82A88C8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07C-4C0E-96E7-F1E82A88C84D}"/>
              </c:ext>
            </c:extLst>
          </c:dPt>
          <c:cat>
            <c:strRef>
              <c:f>Sheet1!$A$2:$A$5</c:f>
              <c:strCache>
                <c:ptCount val="4"/>
                <c:pt idx="0">
                  <c:v>社会保障和就业支出</c:v>
                </c:pt>
                <c:pt idx="1">
                  <c:v>住房保障支出</c:v>
                </c:pt>
                <c:pt idx="2">
                  <c:v>卫生健康支出</c:v>
                </c:pt>
                <c:pt idx="3">
                  <c:v>公共安全支出</c:v>
                </c:pt>
              </c:strCache>
            </c:strRef>
          </c:cat>
          <c:val>
            <c:numRef>
              <c:f>Sheet1!$C$2:$C$5</c:f>
              <c:numCache>
                <c:formatCode>General</c:formatCode>
                <c:ptCount val="4"/>
              </c:numCache>
            </c:numRef>
          </c:val>
          <c:extLst>
            <c:ext xmlns:c16="http://schemas.microsoft.com/office/drawing/2014/chart" uri="{C3380CC4-5D6E-409C-BE32-E72D297353CC}">
              <c16:uniqueId val="{00000011-407C-4C0E-96E7-F1E82A88C8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本年度三公经费支出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B6-4609-99F6-44B6021ACA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B6-4609-99F6-44B6021ACA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4B6-4609-99F6-44B6021ACA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4B6-4609-99F6-44B6021ACA50}"/>
              </c:ext>
            </c:extLst>
          </c:dPt>
          <c:cat>
            <c:strRef>
              <c:f>Sheet1!$A$2:$A$5</c:f>
              <c:strCache>
                <c:ptCount val="4"/>
                <c:pt idx="0">
                  <c:v>公务用车购置及运行维护费</c:v>
                </c:pt>
                <c:pt idx="1">
                  <c:v>公务接待费</c:v>
                </c:pt>
              </c:strCache>
            </c:strRef>
          </c:cat>
          <c:val>
            <c:numRef>
              <c:f>Sheet1!$B$2:$B$5</c:f>
              <c:numCache>
                <c:formatCode>General</c:formatCode>
                <c:ptCount val="4"/>
                <c:pt idx="0">
                  <c:v>190.79</c:v>
                </c:pt>
                <c:pt idx="1">
                  <c:v>0.45</c:v>
                </c:pt>
              </c:numCache>
            </c:numRef>
          </c:val>
          <c:extLst>
            <c:ext xmlns:c16="http://schemas.microsoft.com/office/drawing/2014/chart" uri="{C3380CC4-5D6E-409C-BE32-E72D297353CC}">
              <c16:uniqueId val="{00000008-34B6-4609-99F6-44B6021ACA50}"/>
            </c:ext>
          </c:extLst>
        </c:ser>
        <c:ser>
          <c:idx val="1"/>
          <c:order val="1"/>
          <c:tx>
            <c:strRef>
              <c:f>Sheet1!$C$1</c:f>
              <c:strCache>
                <c:ptCount val="1"/>
                <c:pt idx="0">
                  <c:v>列1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34B6-4609-99F6-44B6021ACA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34B6-4609-99F6-44B6021ACA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34B6-4609-99F6-44B6021ACA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34B6-4609-99F6-44B6021ACA50}"/>
              </c:ext>
            </c:extLst>
          </c:dPt>
          <c:cat>
            <c:strRef>
              <c:f>Sheet1!$A$2:$A$5</c:f>
              <c:strCache>
                <c:ptCount val="4"/>
                <c:pt idx="0">
                  <c:v>公务用车购置及运行维护费</c:v>
                </c:pt>
                <c:pt idx="1">
                  <c:v>公务接待费</c:v>
                </c:pt>
              </c:strCache>
            </c:strRef>
          </c:cat>
          <c:val>
            <c:numRef>
              <c:f>Sheet1!$C$2:$C$5</c:f>
              <c:numCache>
                <c:formatCode>General</c:formatCode>
                <c:ptCount val="4"/>
              </c:numCache>
            </c:numRef>
          </c:val>
          <c:extLst>
            <c:ext xmlns:c16="http://schemas.microsoft.com/office/drawing/2014/chart" uri="{C3380CC4-5D6E-409C-BE32-E72D297353CC}">
              <c16:uniqueId val="{00000011-34B6-4609-99F6-44B6021ACA5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8.5324232081911301E-3"/>
          <c:y val="0.718416686418583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41</Pages>
  <Words>7298</Words>
  <Characters>8102</Characters>
  <Application>Microsoft Office Word</Application>
  <DocSecurity>0</DocSecurity>
  <Lines>506</Lines>
  <Paragraphs>405</Paragraphs>
  <ScaleCrop>false</ScaleCrop>
  <Company>四川省财政厅</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永容 田</cp:lastModifiedBy>
  <cp:revision>17</cp:revision>
  <cp:lastPrinted>2023-08-03T10:35:00Z</cp:lastPrinted>
  <dcterms:created xsi:type="dcterms:W3CDTF">2024-08-05T07:12:00Z</dcterms:created>
  <dcterms:modified xsi:type="dcterms:W3CDTF">2025-04-23T09:25:00Z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DF06875C5AE24BCF8F1222F794686384</vt:lpwstr>
  </property>
</Properties>
</file>