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方正小标宋简体" w:eastAsia="方正小标宋简体"/>
          <w:sz w:val="72"/>
          <w:szCs w:val="72"/>
        </w:rPr>
      </w:pPr>
      <w:bookmarkStart w:id="0" w:name="_Toc15306267"/>
    </w:p>
    <w:p>
      <w:pPr>
        <w:spacing w:line="600" w:lineRule="exact"/>
        <w:jc w:val="center"/>
        <w:outlineLvl w:val="0"/>
        <w:rPr>
          <w:rFonts w:ascii="方正小标宋简体" w:eastAsia="方正小标宋简体"/>
          <w:sz w:val="72"/>
          <w:szCs w:val="72"/>
        </w:rPr>
      </w:pPr>
    </w:p>
    <w:p>
      <w:pPr>
        <w:spacing w:line="600" w:lineRule="exact"/>
        <w:jc w:val="center"/>
        <w:outlineLvl w:val="0"/>
        <w:rPr>
          <w:rFonts w:ascii="方正小标宋简体" w:eastAsia="方正小标宋简体"/>
          <w:sz w:val="72"/>
          <w:szCs w:val="72"/>
        </w:rPr>
      </w:pPr>
    </w:p>
    <w:p>
      <w:pPr>
        <w:spacing w:line="600" w:lineRule="exact"/>
        <w:jc w:val="center"/>
        <w:outlineLvl w:val="0"/>
        <w:rPr>
          <w:rFonts w:ascii="方正小标宋简体" w:eastAsia="方正小标宋简体"/>
          <w:sz w:val="72"/>
          <w:szCs w:val="72"/>
        </w:rPr>
      </w:pPr>
    </w:p>
    <w:p>
      <w:pPr>
        <w:adjustRightInd w:val="0"/>
        <w:snapToGrid w:val="0"/>
        <w:spacing w:line="360" w:lineRule="auto"/>
        <w:jc w:val="center"/>
        <w:outlineLvl w:val="0"/>
        <w:rPr>
          <w:rFonts w:ascii="方正小标宋简体" w:eastAsia="方正小标宋简体" w:cs="方正小标宋简体"/>
          <w:sz w:val="72"/>
          <w:szCs w:val="72"/>
        </w:rPr>
      </w:pPr>
      <w:bookmarkStart w:id="1" w:name="_Toc15377193"/>
      <w:bookmarkStart w:id="2" w:name="_Toc15396475"/>
      <w:bookmarkStart w:id="3" w:name="_Toc15377425"/>
      <w:bookmarkStart w:id="4" w:name="_Toc15396597"/>
      <w:bookmarkStart w:id="5" w:name="_Toc15378441"/>
      <w:r>
        <w:rPr>
          <w:rFonts w:ascii="方正小标宋简体" w:eastAsia="方正小标宋简体" w:cs="方正小标宋简体" w:hint="eastAsia"/>
          <w:sz w:val="72"/>
          <w:szCs w:val="72"/>
        </w:rPr>
        <w:t>202</w:t>
      </w:r>
      <w:r>
        <w:rPr>
          <w:rFonts w:ascii="方正小标宋简体" w:eastAsia="方正小标宋简体" w:cs="方正小标宋简体" w:hint="eastAsia"/>
          <w:sz w:val="72"/>
          <w:szCs w:val="72"/>
          <w:lang w:val="en-US" w:eastAsia="zh-CN"/>
        </w:rPr>
        <w:t>2</w:t>
      </w:r>
      <w:r>
        <w:rPr>
          <w:rFonts w:ascii="方正小标宋简体" w:eastAsia="方正小标宋简体" w:cs="方正小标宋简体" w:hint="eastAsia"/>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cs="方正小标宋简体"/>
          <w:sz w:val="72"/>
          <w:szCs w:val="72"/>
        </w:rPr>
      </w:pPr>
      <w:bookmarkStart w:id="6" w:name="_Toc15396476"/>
      <w:bookmarkStart w:id="7" w:name="_Toc15377426"/>
      <w:bookmarkStart w:id="8" w:name="_Toc15377194"/>
      <w:bookmarkStart w:id="9" w:name="_Toc15396598"/>
      <w:bookmarkStart w:id="10" w:name="_Toc15378442"/>
      <w:r>
        <w:rPr>
          <w:rFonts w:ascii="方正小标宋简体" w:eastAsia="方正小标宋简体" w:cs="方正小标宋简体"/>
          <w:sz w:val="72"/>
          <w:szCs w:val="72"/>
        </w:rPr>
        <w:t>阿坝州</w:t>
      </w:r>
      <w:bookmarkStart w:id="11" w:name="_Toc15306268"/>
      <w:bookmarkEnd w:id="0"/>
      <w:r>
        <w:rPr>
          <w:rFonts w:ascii="方正小标宋简体" w:eastAsia="方正小标宋简体" w:cs="方正小标宋简体" w:hint="eastAsia"/>
          <w:sz w:val="72"/>
          <w:szCs w:val="72"/>
          <w:lang w:eastAsia="zh-CN"/>
        </w:rPr>
        <w:t>红原县江茸小学</w:t>
      </w:r>
      <w:r>
        <w:rPr>
          <w:rFonts w:ascii="方正小标宋简体" w:eastAsia="方正小标宋简体" w:cs="方正小标宋简体" w:hint="eastAsia"/>
          <w:sz w:val="72"/>
          <w:szCs w:val="72"/>
        </w:rPr>
        <w:t>单位决算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eastAsia="方正小标宋简体"/>
          <w:sz w:val="52"/>
          <w:szCs w:val="52"/>
        </w:rPr>
      </w:pPr>
      <w:r>
        <w:rPr>
          <w:rFonts w:ascii="方正小标宋简体" w:eastAsia="方正小标宋简体" w:hint="eastAsia"/>
          <w:sz w:val="52"/>
          <w:szCs w:val="52"/>
        </w:rPr>
        <w:t>(单位公开范本)</w:t>
      </w:r>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5"/>
        <w:spacing w:beforeLines="0" w:before="93"/>
        <w:jc w:val="center"/>
        <w:rPr>
          <w:rFonts w:hint="eastAsia"/>
        </w:rPr>
      </w:pPr>
      <w:bookmarkStart w:id="12" w:name="_Hlk113547609"/>
      <w:r>
        <w:rPr>
          <w:rFonts w:cs="仿宋_GB2312" w:hint="eastAsia"/>
          <w:sz w:val="32"/>
          <w:szCs w:val="32"/>
        </w:rPr>
        <w:t>已经保密审查、内容审定，同意对外公开</w:t>
      </w:r>
      <w:bookmarkEnd w:id="12"/>
    </w:p>
    <w:p>
      <w:pPr>
        <w:widowControl/>
        <w:jc w:val="center"/>
        <w:rPr>
          <w:rFonts w:ascii="黑体" w:eastAsia="黑体"/>
          <w:sz w:val="48"/>
          <w:szCs w:val="48"/>
        </w:rPr>
      </w:pPr>
      <w:r>
        <w:rPr>
          <w:rFonts w:ascii="方正小标宋简体" w:eastAsia="方正小标宋简体"/>
          <w:sz w:val="36"/>
          <w:szCs w:val="36"/>
        </w:rPr>
        <w:br w:type="page"/>
      </w:r>
      <w:r>
        <w:rPr>
          <w:rFonts w:ascii="黑体" w:eastAsia="黑体" w:hint="eastAsia"/>
          <w:sz w:val="48"/>
          <w:szCs w:val="48"/>
        </w:rPr>
        <w:t>目录</w:t>
      </w:r>
    </w:p>
    <w:p>
      <w:pPr>
        <w:widowControl/>
        <w:jc w:val="center"/>
        <w:rPr>
          <w:rFonts w:ascii="黑体" w:eastAsia="黑体" w:cs="Arial"/>
          <w:sz w:val="28"/>
          <w:szCs w:val="28"/>
        </w:rPr>
      </w:pPr>
    </w:p>
    <w:p>
      <w:pPr>
        <w:pStyle w:val="20"/>
        <w:tabs>
          <w:tab w:val="right" w:leader="dot" w:pos="8296"/>
        </w:tabs>
      </w:pPr>
      <w:r>
        <w:rPr>
          <w:rFonts w:hint="eastAsia"/>
        </w:rPr>
        <w:t>公开时间：202</w:t>
      </w:r>
      <w:r>
        <w:rPr>
          <w:rFonts w:hint="eastAsia"/>
          <w:lang w:val="en-US" w:eastAsia="zh-CN"/>
        </w:rPr>
        <w:t>3</w:t>
      </w:r>
      <w:r>
        <w:rPr>
          <w:rFonts w:hint="eastAsia"/>
        </w:rPr>
        <w:t>年</w:t>
      </w:r>
      <w:r>
        <w:rPr>
          <w:rFonts w:hint="eastAsia"/>
          <w:lang w:val="en-US" w:eastAsia="zh-CN"/>
        </w:rPr>
        <w:t>10</w:t>
      </w:r>
      <w:r>
        <w:rPr>
          <w:rFonts w:hint="eastAsia"/>
        </w:rPr>
        <w:t>月</w:t>
      </w:r>
      <w:r>
        <w:rPr>
          <w:rFonts w:hint="eastAsia"/>
          <w:lang w:val="en-US" w:eastAsia="zh-CN"/>
        </w:rPr>
        <w:t>31</w:t>
      </w:r>
      <w:r>
        <w:rPr>
          <w:rFonts w:hint="eastAsia"/>
        </w:rPr>
        <w:t>日</w:t>
      </w:r>
    </w:p>
    <w:p/>
    <w:p>
      <w:pPr>
        <w:pStyle w:val="20"/>
        <w:tabs>
          <w:tab w:val="right" w:leader="dot" w:pos="8296"/>
        </w:tabs>
        <w:adjustRightInd w:val="0"/>
        <w:snapToGrid w:val="0"/>
        <w:spacing w:before="0" w:line="440" w:lineRule="exact"/>
        <w:jc w:val="left"/>
        <w:rPr>
          <w:rFonts w:cs="Arial"/>
          <w:sz w:val="24"/>
          <w:szCs w:val="24"/>
        </w:rPr>
      </w:pPr>
      <w:r>
        <w:rPr>
          <w:rFonts w:hint="eastAsia"/>
          <w:sz w:val="24"/>
        </w:rPr>
        <w:t>第一部分</w:t>
      </w:r>
      <w:r>
        <w:rPr>
          <w:sz w:val="24"/>
        </w:rPr>
        <w:t xml:space="preserve"> </w:t>
      </w:r>
      <w:r>
        <w:rPr>
          <w:rFonts w:hint="eastAsia"/>
          <w:sz w:val="24"/>
        </w:rPr>
        <w:t>单位概况</w:t>
      </w:r>
    </w:p>
    <w:p>
      <w:pPr>
        <w:pStyle w:val="21"/>
        <w:tabs>
          <w:tab w:val="right" w:leader="dot" w:pos="8296"/>
        </w:tabs>
        <w:adjustRightInd w:val="0"/>
        <w:snapToGrid w:val="0"/>
        <w:spacing w:line="440" w:lineRule="exact"/>
        <w:jc w:val="left"/>
        <w:rPr>
          <w:sz w:val="24"/>
        </w:rPr>
      </w:pPr>
      <w:r>
        <w:rPr>
          <w:rFonts w:hint="eastAsia"/>
          <w:sz w:val="24"/>
        </w:rPr>
        <w:t>一、职能简介</w:t>
      </w:r>
    </w:p>
    <w:p>
      <w:pPr>
        <w:pStyle w:val="21"/>
        <w:tabs>
          <w:tab w:val="right" w:leader="dot" w:pos="8296"/>
        </w:tabs>
        <w:adjustRightInd w:val="0"/>
        <w:snapToGrid w:val="0"/>
        <w:spacing w:line="440" w:lineRule="exact"/>
        <w:jc w:val="left"/>
        <w:rPr>
          <w:rFonts w:ascii="宋体" w:cs="宋体"/>
          <w:sz w:val="24"/>
        </w:rPr>
      </w:pPr>
      <w:r>
        <w:rPr>
          <w:rFonts w:ascii="宋体" w:cs="宋体" w:hint="eastAsia"/>
          <w:sz w:val="24"/>
        </w:rPr>
        <w:t>二、202</w:t>
      </w:r>
      <w:r>
        <w:rPr>
          <w:rFonts w:ascii="宋体" w:cs="宋体" w:hint="eastAsia"/>
          <w:sz w:val="24"/>
          <w:lang w:val="en-US" w:eastAsia="zh-CN"/>
        </w:rPr>
        <w:t>2</w:t>
      </w:r>
      <w:r>
        <w:rPr>
          <w:rFonts w:ascii="宋体" w:cs="宋体" w:hint="eastAsia"/>
          <w:sz w:val="24"/>
        </w:rPr>
        <w:t>年重点工作完成情况</w:t>
      </w:r>
    </w:p>
    <w:p>
      <w:pPr>
        <w:pStyle w:val="20"/>
        <w:tabs>
          <w:tab w:val="right" w:leader="dot" w:pos="8296"/>
        </w:tabs>
        <w:adjustRightInd w:val="0"/>
        <w:snapToGrid w:val="0"/>
        <w:spacing w:before="0" w:line="440" w:lineRule="exact"/>
        <w:jc w:val="left"/>
        <w:rPr>
          <w:sz w:val="24"/>
          <w:szCs w:val="24"/>
        </w:rPr>
      </w:pPr>
      <w:r>
        <w:rPr>
          <w:rFonts w:hint="eastAsia"/>
          <w:sz w:val="24"/>
        </w:rPr>
        <w:t>第二部分 202</w:t>
      </w:r>
      <w:r>
        <w:rPr>
          <w:rFonts w:hint="eastAsia"/>
          <w:sz w:val="24"/>
          <w:lang w:val="en-US" w:eastAsia="zh-CN"/>
        </w:rPr>
        <w:t>2</w:t>
      </w:r>
      <w:r>
        <w:rPr>
          <w:rFonts w:hint="eastAsia"/>
          <w:sz w:val="24"/>
        </w:rPr>
        <w:t>年度单位决算情况说明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一、收入支出决算总体情况说明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二、收入决算情况说明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三、支出决算情况说明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四、财政拨款收入支出决算总体情况说明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五、一般公共预算财政拨款支出决算情况说明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六、一般公共预算财政拨款基本支出决算情况说明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七、“三公”经费财政拨款支出决算情况说明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八、政府性基金预算支出决算情况说明</w:t>
      </w:r>
    </w:p>
    <w:p>
      <w:pPr>
        <w:pStyle w:val="21"/>
        <w:tabs>
          <w:tab w:val="right" w:leader="dot" w:pos="8296"/>
        </w:tabs>
        <w:adjustRightInd w:val="0"/>
        <w:snapToGrid w:val="0"/>
        <w:spacing w:line="440" w:lineRule="exact"/>
        <w:jc w:val="left"/>
        <w:rPr>
          <w:sz w:val="24"/>
        </w:rPr>
      </w:pPr>
      <w:r>
        <w:rPr>
          <w:rFonts w:hint="eastAsia"/>
          <w:sz w:val="24"/>
        </w:rPr>
        <w:t>九、国有资本经营预算支出决算情况说明</w:t>
      </w:r>
    </w:p>
    <w:p>
      <w:pPr>
        <w:pStyle w:val="21"/>
        <w:tabs>
          <w:tab w:val="right" w:leader="dot" w:pos="8296"/>
        </w:tabs>
        <w:adjustRightInd w:val="0"/>
        <w:snapToGrid w:val="0"/>
        <w:spacing w:line="440" w:lineRule="exact"/>
        <w:jc w:val="left"/>
        <w:rPr>
          <w:sz w:val="24"/>
        </w:rPr>
      </w:pPr>
      <w:r>
        <w:rPr>
          <w:rFonts w:hint="eastAsia"/>
          <w:sz w:val="24"/>
        </w:rPr>
        <w:t>十、其他重要事项的情况说明</w:t>
      </w:r>
    </w:p>
    <w:p>
      <w:pPr>
        <w:pStyle w:val="20"/>
        <w:tabs>
          <w:tab w:val="right" w:leader="dot" w:pos="8296"/>
        </w:tabs>
        <w:adjustRightInd w:val="0"/>
        <w:snapToGrid w:val="0"/>
        <w:spacing w:before="0" w:line="440" w:lineRule="exact"/>
        <w:jc w:val="left"/>
        <w:rPr>
          <w:rFonts w:cs="Arial"/>
          <w:sz w:val="24"/>
          <w:szCs w:val="24"/>
        </w:rPr>
      </w:pPr>
      <w:r>
        <w:rPr>
          <w:rFonts w:hint="eastAsia"/>
          <w:sz w:val="24"/>
        </w:rPr>
        <w:t>第三部分</w:t>
      </w:r>
      <w:r>
        <w:rPr>
          <w:sz w:val="24"/>
        </w:rPr>
        <w:t xml:space="preserve"> </w:t>
      </w:r>
      <w:r>
        <w:rPr>
          <w:rFonts w:hint="eastAsia"/>
          <w:sz w:val="24"/>
        </w:rPr>
        <w:t>名词解释</w:t>
      </w:r>
    </w:p>
    <w:p>
      <w:pPr>
        <w:pStyle w:val="20"/>
        <w:tabs>
          <w:tab w:val="right" w:leader="dot" w:pos="8296"/>
        </w:tabs>
        <w:adjustRightInd w:val="0"/>
        <w:snapToGrid w:val="0"/>
        <w:spacing w:before="0" w:line="440" w:lineRule="exact"/>
        <w:jc w:val="left"/>
        <w:rPr>
          <w:rFonts w:cs="Arial"/>
          <w:sz w:val="24"/>
          <w:szCs w:val="24"/>
        </w:rPr>
      </w:pPr>
      <w:r>
        <w:rPr>
          <w:rFonts w:hint="eastAsia"/>
          <w:sz w:val="24"/>
        </w:rPr>
        <w:t>第四部分</w:t>
      </w:r>
      <w:r>
        <w:rPr>
          <w:sz w:val="24"/>
        </w:rPr>
        <w:t xml:space="preserve"> </w:t>
      </w:r>
      <w:r>
        <w:rPr>
          <w:rFonts w:hint="eastAsia"/>
          <w:sz w:val="24"/>
        </w:rPr>
        <w:t>附件</w:t>
      </w:r>
    </w:p>
    <w:p>
      <w:pPr>
        <w:pStyle w:val="20"/>
        <w:tabs>
          <w:tab w:val="right" w:leader="dot" w:pos="8296"/>
        </w:tabs>
        <w:adjustRightInd w:val="0"/>
        <w:snapToGrid w:val="0"/>
        <w:spacing w:before="0" w:line="440" w:lineRule="exact"/>
        <w:jc w:val="left"/>
        <w:rPr>
          <w:rFonts w:cs="Arial"/>
          <w:sz w:val="24"/>
          <w:szCs w:val="24"/>
        </w:rPr>
      </w:pPr>
      <w:r>
        <w:rPr>
          <w:rFonts w:hint="eastAsia"/>
          <w:sz w:val="24"/>
        </w:rPr>
        <w:t>第五部分</w:t>
      </w:r>
      <w:r>
        <w:rPr>
          <w:sz w:val="24"/>
        </w:rPr>
        <w:t xml:space="preserve"> </w:t>
      </w:r>
      <w:r>
        <w:rPr>
          <w:rFonts w:hint="eastAsia"/>
          <w:sz w:val="24"/>
        </w:rPr>
        <w:t>附表</w:t>
      </w:r>
    </w:p>
    <w:p>
      <w:pPr>
        <w:pStyle w:val="21"/>
        <w:tabs>
          <w:tab w:val="right" w:leader="dot" w:pos="8296"/>
        </w:tabs>
        <w:adjustRightInd w:val="0"/>
        <w:snapToGrid w:val="0"/>
        <w:spacing w:line="440" w:lineRule="exact"/>
        <w:jc w:val="left"/>
        <w:rPr>
          <w:sz w:val="24"/>
        </w:rPr>
      </w:pPr>
      <w:r>
        <w:rPr>
          <w:rFonts w:hint="eastAsia"/>
          <w:sz w:val="24"/>
        </w:rPr>
        <w:t>一、收入支出决算总表</w:t>
      </w:r>
    </w:p>
    <w:p>
      <w:pPr>
        <w:pStyle w:val="21"/>
        <w:tabs>
          <w:tab w:val="right" w:leader="dot" w:pos="8296"/>
        </w:tabs>
        <w:adjustRightInd w:val="0"/>
        <w:snapToGrid w:val="0"/>
        <w:spacing w:line="440" w:lineRule="exact"/>
        <w:jc w:val="left"/>
        <w:rPr>
          <w:sz w:val="24"/>
        </w:rPr>
      </w:pPr>
      <w:r>
        <w:rPr>
          <w:rFonts w:hint="eastAsia"/>
          <w:sz w:val="24"/>
        </w:rPr>
        <w:t>二、收入决算表</w:t>
      </w:r>
    </w:p>
    <w:p>
      <w:pPr>
        <w:pStyle w:val="21"/>
        <w:tabs>
          <w:tab w:val="right" w:leader="dot" w:pos="8296"/>
        </w:tabs>
        <w:adjustRightInd w:val="0"/>
        <w:snapToGrid w:val="0"/>
        <w:spacing w:line="440" w:lineRule="exact"/>
        <w:jc w:val="left"/>
        <w:rPr>
          <w:sz w:val="24"/>
        </w:rPr>
      </w:pPr>
      <w:r>
        <w:rPr>
          <w:rFonts w:hint="eastAsia"/>
          <w:sz w:val="24"/>
        </w:rPr>
        <w:t>三、支出决算表</w:t>
      </w:r>
    </w:p>
    <w:p>
      <w:pPr>
        <w:pStyle w:val="21"/>
        <w:tabs>
          <w:tab w:val="right" w:leader="dot" w:pos="8296"/>
        </w:tabs>
        <w:adjustRightInd w:val="0"/>
        <w:snapToGrid w:val="0"/>
        <w:spacing w:line="440" w:lineRule="exact"/>
        <w:jc w:val="left"/>
        <w:rPr>
          <w:sz w:val="24"/>
        </w:rPr>
      </w:pPr>
      <w:r>
        <w:rPr>
          <w:rFonts w:hint="eastAsia"/>
          <w:sz w:val="24"/>
        </w:rPr>
        <w:t>四、财政拨款收入支出决算总表</w:t>
      </w:r>
    </w:p>
    <w:p>
      <w:pPr>
        <w:pStyle w:val="21"/>
        <w:tabs>
          <w:tab w:val="right" w:leader="dot" w:pos="8296"/>
        </w:tabs>
        <w:adjustRightInd w:val="0"/>
        <w:snapToGrid w:val="0"/>
        <w:spacing w:line="440" w:lineRule="exact"/>
        <w:jc w:val="left"/>
        <w:rPr>
          <w:sz w:val="24"/>
        </w:rPr>
      </w:pPr>
      <w:r>
        <w:rPr>
          <w:rFonts w:hint="eastAsia"/>
          <w:sz w:val="24"/>
        </w:rPr>
        <w:t>五、财政拨款支出决算明细表</w:t>
      </w:r>
    </w:p>
    <w:p>
      <w:pPr>
        <w:pStyle w:val="21"/>
        <w:tabs>
          <w:tab w:val="right" w:leader="dot" w:pos="8296"/>
        </w:tabs>
        <w:adjustRightInd w:val="0"/>
        <w:snapToGrid w:val="0"/>
        <w:spacing w:line="440" w:lineRule="exact"/>
        <w:jc w:val="left"/>
        <w:rPr>
          <w:sz w:val="24"/>
        </w:rPr>
      </w:pPr>
      <w:r>
        <w:rPr>
          <w:rFonts w:hint="eastAsia"/>
          <w:sz w:val="24"/>
        </w:rPr>
        <w:t>六、一般公共预算财政拨款支出决算表</w:t>
      </w:r>
    </w:p>
    <w:p>
      <w:pPr>
        <w:pStyle w:val="21"/>
        <w:tabs>
          <w:tab w:val="right" w:leader="dot" w:pos="8296"/>
        </w:tabs>
        <w:adjustRightInd w:val="0"/>
        <w:snapToGrid w:val="0"/>
        <w:spacing w:line="440" w:lineRule="exact"/>
        <w:jc w:val="left"/>
        <w:rPr>
          <w:sz w:val="24"/>
        </w:rPr>
      </w:pPr>
      <w:r>
        <w:rPr>
          <w:rFonts w:hint="eastAsia"/>
          <w:sz w:val="24"/>
        </w:rPr>
        <w:t>七、一般公共预算财政拨款支出决算明细表</w:t>
      </w:r>
    </w:p>
    <w:p>
      <w:pPr>
        <w:pStyle w:val="21"/>
        <w:tabs>
          <w:tab w:val="right" w:leader="dot" w:pos="8296"/>
        </w:tabs>
        <w:adjustRightInd w:val="0"/>
        <w:snapToGrid w:val="0"/>
        <w:spacing w:line="440" w:lineRule="exact"/>
        <w:jc w:val="left"/>
        <w:rPr>
          <w:sz w:val="24"/>
        </w:rPr>
      </w:pPr>
      <w:r>
        <w:rPr>
          <w:rFonts w:hint="eastAsia"/>
          <w:sz w:val="24"/>
        </w:rPr>
        <w:t>八、一般公共预算财政拨款基本支出决算表</w:t>
      </w:r>
    </w:p>
    <w:p>
      <w:pPr>
        <w:pStyle w:val="21"/>
        <w:tabs>
          <w:tab w:val="right" w:leader="dot" w:pos="8296"/>
        </w:tabs>
        <w:adjustRightInd w:val="0"/>
        <w:snapToGrid w:val="0"/>
        <w:spacing w:line="440" w:lineRule="exact"/>
        <w:jc w:val="left"/>
        <w:rPr>
          <w:sz w:val="24"/>
        </w:rPr>
      </w:pPr>
      <w:r>
        <w:rPr>
          <w:rFonts w:hint="eastAsia"/>
          <w:sz w:val="24"/>
        </w:rPr>
        <w:t>九、一般公共预算财政拨款项目支出决算表</w:t>
      </w:r>
    </w:p>
    <w:p>
      <w:pPr>
        <w:pStyle w:val="21"/>
        <w:tabs>
          <w:tab w:val="right" w:leader="dot" w:pos="8296"/>
        </w:tabs>
        <w:adjustRightInd w:val="0"/>
        <w:snapToGrid w:val="0"/>
        <w:spacing w:line="440" w:lineRule="exact"/>
        <w:jc w:val="left"/>
        <w:rPr>
          <w:sz w:val="24"/>
        </w:rPr>
      </w:pPr>
      <w:r>
        <w:rPr>
          <w:rFonts w:hint="eastAsia"/>
          <w:sz w:val="24"/>
        </w:rPr>
        <w:t>十、一般公共预算财政拨款“三公”经费支出决算表</w:t>
      </w:r>
    </w:p>
    <w:p>
      <w:pPr>
        <w:pStyle w:val="21"/>
        <w:tabs>
          <w:tab w:val="right" w:leader="dot" w:pos="8296"/>
        </w:tabs>
        <w:adjustRightInd w:val="0"/>
        <w:snapToGrid w:val="0"/>
        <w:spacing w:line="440" w:lineRule="exact"/>
        <w:jc w:val="left"/>
        <w:rPr>
          <w:sz w:val="24"/>
        </w:rPr>
      </w:pPr>
      <w:r>
        <w:rPr>
          <w:rFonts w:hint="eastAsia"/>
          <w:sz w:val="24"/>
        </w:rPr>
        <w:t>十一、政府性基金预算财政拨款收入支出决算表</w:t>
      </w:r>
    </w:p>
    <w:p>
      <w:pPr>
        <w:pStyle w:val="21"/>
        <w:tabs>
          <w:tab w:val="right" w:leader="dot" w:pos="8296"/>
        </w:tabs>
        <w:adjustRightInd w:val="0"/>
        <w:snapToGrid w:val="0"/>
        <w:spacing w:line="440" w:lineRule="exact"/>
        <w:jc w:val="left"/>
        <w:rPr>
          <w:sz w:val="24"/>
        </w:rPr>
      </w:pPr>
      <w:r>
        <w:rPr>
          <w:rFonts w:hint="eastAsia"/>
          <w:sz w:val="24"/>
        </w:rPr>
        <w:t>十二、政府性基金预算财政拨款“三公”经费支出决算表</w:t>
      </w:r>
    </w:p>
    <w:p>
      <w:pPr>
        <w:pStyle w:val="21"/>
        <w:tabs>
          <w:tab w:val="right" w:leader="dot" w:pos="8296"/>
        </w:tabs>
        <w:adjustRightInd w:val="0"/>
        <w:snapToGrid w:val="0"/>
        <w:spacing w:line="440" w:lineRule="exact"/>
        <w:jc w:val="left"/>
        <w:rPr>
          <w:sz w:val="24"/>
        </w:rPr>
      </w:pPr>
      <w:r>
        <w:rPr>
          <w:rFonts w:hint="eastAsia"/>
          <w:sz w:val="24"/>
        </w:rPr>
        <w:t>十三、国有资本经营预算财政拨款收入支出决算表</w:t>
      </w:r>
    </w:p>
    <w:p>
      <w:pPr>
        <w:pStyle w:val="21"/>
        <w:tabs>
          <w:tab w:val="right" w:leader="dot" w:pos="8296"/>
        </w:tabs>
        <w:adjustRightInd w:val="0"/>
        <w:snapToGrid w:val="0"/>
        <w:spacing w:line="440" w:lineRule="exact"/>
        <w:jc w:val="left"/>
        <w:rPr>
          <w:sz w:val="24"/>
        </w:rPr>
      </w:pPr>
      <w:r>
        <w:rPr>
          <w:rFonts w:hint="eastAsia"/>
          <w:sz w:val="24"/>
        </w:rPr>
        <w:t>十四、国有资本经营预算财政拨款支出决算表</w:t>
      </w:r>
    </w:p>
    <w:p>
      <w:pPr>
        <w:widowControl/>
        <w:adjustRightInd w:val="0"/>
        <w:snapToGrid w:val="0"/>
        <w:spacing w:line="440" w:lineRule="exact"/>
        <w:ind w:firstLineChars="550" w:firstLine="1320"/>
        <w:jc w:val="left"/>
        <w:rPr>
          <w:rFonts w:ascii="仿宋" w:eastAsia="仿宋"/>
          <w:sz w:val="24"/>
        </w:rPr>
      </w:pPr>
      <w:r>
        <w:rPr>
          <w:rFonts w:ascii="仿宋" w:eastAsia="仿宋"/>
          <w:sz w:val="24"/>
        </w:rPr>
        <w:t>(注：</w:t>
      </w:r>
      <w:r>
        <w:rPr>
          <w:rFonts w:ascii="仿宋" w:eastAsia="仿宋" w:hint="eastAsia"/>
          <w:sz w:val="24"/>
        </w:rPr>
        <w:t>请单位根据实际注明页码</w:t>
      </w:r>
      <w:r>
        <w:rPr>
          <w:rFonts w:ascii="仿宋" w:eastAsia="仿宋"/>
          <w:sz w:val="24"/>
        </w:rPr>
        <w:t>)</w:t>
      </w:r>
    </w:p>
    <w:p>
      <w:pPr>
        <w:widowControl/>
        <w:spacing w:line="440" w:lineRule="exact"/>
        <w:jc w:val="left"/>
        <w:rPr>
          <w:rFonts w:ascii="仿宋" w:eastAsia="仿宋"/>
          <w:bCs/>
          <w:kern w:val="44"/>
          <w:sz w:val="24"/>
        </w:rPr>
      </w:pPr>
      <w:bookmarkStart w:id="13" w:name="_Toc15396599"/>
      <w:bookmarkStart w:id="14" w:name="_Toc15377196"/>
      <w:r>
        <w:rPr>
          <w:rFonts w:ascii="仿宋" w:eastAsia="仿宋"/>
          <w:b/>
          <w:sz w:val="24"/>
        </w:rPr>
        <w:br w:type="page"/>
      </w:r>
    </w:p>
    <w:p>
      <w:pPr>
        <w:pStyle w:val="1"/>
        <w:jc w:val="center"/>
        <w:rPr>
          <w:rStyle w:val="1Char"/>
          <w:rFonts w:ascii="黑体" w:eastAsia="黑体"/>
          <w:b/>
          <w:bCs w:val="0"/>
        </w:rPr>
      </w:pPr>
      <w:r>
        <w:rPr>
          <w:rFonts w:ascii="黑体" w:eastAsia="黑体" w:hint="eastAsia"/>
          <w:b w:val="0"/>
        </w:rPr>
        <w:t>第一部分 单位</w:t>
      </w:r>
      <w:r>
        <w:rPr>
          <w:rStyle w:val="1Char"/>
          <w:rFonts w:ascii="黑体" w:eastAsia="黑体" w:hint="eastAsia"/>
          <w:b w:val="0"/>
          <w:bCs w:val="0"/>
        </w:rPr>
        <w:t>概况</w:t>
      </w:r>
      <w:bookmarkEnd w:id="13"/>
      <w:bookmarkEnd w:id="14"/>
    </w:p>
    <w:p>
      <w:pPr>
        <w:widowControl/>
        <w:jc w:val="left"/>
        <w:rPr>
          <w:rFonts w:ascii="黑体" w:eastAsia="黑体"/>
          <w:sz w:val="32"/>
          <w:szCs w:val="32"/>
        </w:rPr>
      </w:pPr>
    </w:p>
    <w:p>
      <w:pPr>
        <w:pStyle w:val="2"/>
        <w:numPr>
          <w:ilvl w:val="0"/>
          <w:numId w:val="1"/>
        </w:numPr>
        <w:rPr>
          <w:rFonts w:ascii="仿宋" w:eastAsia="仿宋" w:hint="eastAsia"/>
          <w:bCs/>
          <w:color w:val="000000"/>
          <w:sz w:val="32"/>
          <w:szCs w:val="32"/>
        </w:rPr>
      </w:pPr>
      <w:bookmarkStart w:id="15" w:name="_Toc15396600"/>
      <w:bookmarkStart w:id="16" w:name="_Toc15377197"/>
      <w:r>
        <w:rPr>
          <w:rStyle w:val="2Char"/>
          <w:rFonts w:ascii="黑体" w:eastAsia="黑体" w:hint="eastAsia"/>
          <w:b w:val="0"/>
          <w:bCs w:val="0"/>
        </w:rPr>
        <w:t>职能简介</w:t>
      </w:r>
    </w:p>
    <w:p>
      <w:pPr>
        <w:pStyle w:val="15"/>
        <w:keepNext w:val="0"/>
        <w:keepLines w:val="0"/>
        <w:pageBreakBefore w:val="0"/>
        <w:widowControl w:val="0"/>
        <w:kinsoku/>
        <w:wordWrap/>
        <w:overflowPunct/>
        <w:topLinePunct w:val="0"/>
        <w:bidi w:val="0"/>
        <w:adjustRightInd w:val="0"/>
        <w:snapToGrid w:val="0"/>
        <w:spacing w:line="560" w:lineRule="exact"/>
        <w:ind w:left="0" w:right="0" w:firstLineChars="200" w:firstLine="640"/>
        <w:textAlignment w:val="auto"/>
        <w:outlineLvl w:val="9"/>
      </w:pPr>
      <w:r>
        <w:rPr>
          <w:rFonts w:hint="eastAsia"/>
          <w:bCs/>
          <w:color w:val="000000"/>
          <w:sz w:val="32"/>
          <w:szCs w:val="32"/>
          <w:lang w:eastAsia="zh-CN"/>
        </w:rPr>
        <w:t>小学义务教育的实施，促进基础教育发展，培养学生高尚的思想道德情操，丰富的科学文化知识，良好的身体素质，促进学生全面发展，业务范围是从事小学教育</w:t>
      </w:r>
      <w:r>
        <w:rPr>
          <w:rFonts w:hint="eastAsia"/>
          <w:bCs/>
          <w:color w:val="000000"/>
          <w:sz w:val="32"/>
          <w:szCs w:val="32"/>
        </w:rPr>
        <w:t>。</w:t>
      </w:r>
    </w:p>
    <w:p>
      <w:pPr>
        <w:pStyle w:val="2"/>
        <w:rPr>
          <w:rFonts w:ascii="黑体" w:eastAsia="黑体"/>
          <w:b w:val="0"/>
        </w:rPr>
      </w:pPr>
      <w:r>
        <w:rPr>
          <w:rFonts w:ascii="黑体" w:eastAsia="黑体" w:hint="eastAsia"/>
          <w:b w:val="0"/>
        </w:rPr>
        <w:t>二、202</w:t>
      </w:r>
      <w:r>
        <w:rPr>
          <w:rFonts w:ascii="黑体" w:eastAsia="黑体" w:hint="eastAsia"/>
          <w:b w:val="0"/>
          <w:lang w:val="en-US" w:eastAsia="zh-CN"/>
        </w:rPr>
        <w:t>2</w:t>
      </w:r>
      <w:r>
        <w:rPr>
          <w:rFonts w:ascii="黑体" w:eastAsia="黑体" w:hint="eastAsia"/>
          <w:b w:val="0"/>
        </w:rPr>
        <w:t>年重点工作</w:t>
      </w:r>
      <w:bookmarkEnd w:id="15"/>
      <w:bookmarkEnd w:id="16"/>
      <w:r>
        <w:rPr>
          <w:rFonts w:ascii="黑体" w:eastAsia="黑体" w:hint="eastAsia"/>
          <w:b w:val="0"/>
        </w:rPr>
        <w:t>完成情况</w:t>
      </w:r>
    </w:p>
    <w:p>
      <w:pPr>
        <w:pStyle w:val="15"/>
        <w:keepNext w:val="0"/>
        <w:keepLines w:val="0"/>
        <w:pageBreakBefore w:val="0"/>
        <w:widowControl w:val="0"/>
        <w:kinsoku/>
        <w:wordWrap/>
        <w:overflowPunct/>
        <w:topLinePunct w:val="0"/>
        <w:adjustRightInd w:val="0"/>
        <w:snapToGrid w:val="0"/>
        <w:spacing w:line="560" w:lineRule="exact"/>
        <w:rPr>
          <w:bCs/>
          <w:color w:val="000000"/>
          <w:sz w:val="32"/>
          <w:szCs w:val="32"/>
          <w:lang w:eastAsia="zh-CN"/>
        </w:rPr>
      </w:pPr>
      <w:r>
        <w:rPr>
          <w:rFonts w:hint="eastAsia"/>
          <w:bCs/>
          <w:color w:val="000000"/>
          <w:sz w:val="32"/>
          <w:szCs w:val="32"/>
        </w:rPr>
        <w:t>我</w:t>
      </w:r>
      <w:r>
        <w:rPr>
          <w:rFonts w:hint="eastAsia"/>
          <w:bCs/>
          <w:color w:val="000000"/>
          <w:sz w:val="32"/>
          <w:szCs w:val="32"/>
          <w:lang w:eastAsia="zh-CN"/>
        </w:rPr>
        <w:t>校</w:t>
      </w:r>
      <w:r>
        <w:rPr>
          <w:rFonts w:hint="eastAsia"/>
          <w:bCs/>
          <w:color w:val="000000"/>
          <w:sz w:val="32"/>
          <w:szCs w:val="32"/>
        </w:rPr>
        <w:t>今年根据财政资金的安排情况，加强了资金的管理，</w:t>
      </w:r>
      <w:r>
        <w:rPr>
          <w:rFonts w:hint="eastAsia"/>
          <w:bCs/>
          <w:color w:val="000000"/>
          <w:sz w:val="32"/>
          <w:szCs w:val="32"/>
          <w:lang w:eastAsia="zh-CN"/>
        </w:rPr>
        <w:t>合理用于教育事业，</w:t>
      </w:r>
      <w:r>
        <w:rPr>
          <w:rFonts w:hint="eastAsia"/>
          <w:bCs/>
          <w:color w:val="000000"/>
          <w:sz w:val="32"/>
          <w:szCs w:val="32"/>
        </w:rPr>
        <w:t>对我</w:t>
      </w:r>
      <w:r>
        <w:rPr>
          <w:rFonts w:hint="eastAsia"/>
          <w:bCs/>
          <w:color w:val="000000"/>
          <w:sz w:val="32"/>
          <w:szCs w:val="32"/>
          <w:lang w:eastAsia="zh-CN"/>
        </w:rPr>
        <w:t>校贫困学生实行帮扶</w:t>
      </w:r>
      <w:r>
        <w:rPr>
          <w:rFonts w:hint="eastAsia"/>
          <w:bCs/>
          <w:color w:val="000000"/>
          <w:sz w:val="32"/>
          <w:szCs w:val="32"/>
        </w:rPr>
        <w:t>。资金</w:t>
      </w:r>
      <w:r>
        <w:rPr>
          <w:rFonts w:hint="eastAsia"/>
          <w:bCs/>
          <w:color w:val="000000"/>
          <w:sz w:val="32"/>
          <w:szCs w:val="32"/>
          <w:lang w:eastAsia="zh-CN"/>
        </w:rPr>
        <w:t>合理合法</w:t>
      </w:r>
      <w:r>
        <w:rPr>
          <w:rFonts w:hint="eastAsia"/>
          <w:bCs/>
          <w:color w:val="000000"/>
          <w:sz w:val="32"/>
          <w:szCs w:val="32"/>
        </w:rPr>
        <w:t>使用</w:t>
      </w:r>
      <w:r>
        <w:rPr>
          <w:rFonts w:hint="eastAsia"/>
          <w:bCs/>
          <w:color w:val="000000"/>
          <w:sz w:val="32"/>
          <w:szCs w:val="32"/>
          <w:lang w:eastAsia="zh-CN"/>
        </w:rPr>
        <w:t>。</w:t>
      </w:r>
      <w:bookmarkStart w:id="17" w:name="_Toc15377204"/>
      <w:bookmarkStart w:id="18" w:name="_Toc15396602"/>
    </w:p>
    <w:p>
      <w:pPr>
        <w:pStyle w:val="15"/>
        <w:keepNext w:val="0"/>
        <w:keepLines w:val="0"/>
        <w:pageBreakBefore w:val="0"/>
        <w:widowControl w:val="0"/>
        <w:kinsoku/>
        <w:wordWrap/>
        <w:overflowPunct/>
        <w:topLinePunct w:val="0"/>
        <w:adjustRightInd w:val="0"/>
        <w:snapToGrid w:val="0"/>
        <w:spacing w:line="560" w:lineRule="exact"/>
        <w:rPr>
          <w:bCs/>
          <w:color w:val="000000"/>
          <w:sz w:val="32"/>
          <w:szCs w:val="32"/>
          <w:lang w:eastAsia="zh-CN"/>
        </w:rPr>
      </w:pPr>
    </w:p>
    <w:p>
      <w:pPr>
        <w:pStyle w:val="15"/>
        <w:keepNext w:val="0"/>
        <w:keepLines w:val="0"/>
        <w:pageBreakBefore w:val="0"/>
        <w:widowControl w:val="0"/>
        <w:kinsoku/>
        <w:wordWrap/>
        <w:overflowPunct/>
        <w:topLinePunct w:val="0"/>
        <w:adjustRightInd w:val="0"/>
        <w:snapToGrid w:val="0"/>
        <w:spacing w:line="560" w:lineRule="exact"/>
        <w:ind w:left="0" w:firstLineChars="100" w:firstLine="440"/>
        <w:rPr>
          <w:rFonts w:ascii="黑体" w:eastAsia="黑体" w:hint="eastAsia"/>
          <w:kern w:val="44"/>
          <w:sz w:val="44"/>
          <w:szCs w:val="44"/>
        </w:rPr>
      </w:pPr>
      <w:r>
        <w:rPr>
          <w:rFonts w:ascii="黑体" w:eastAsia="黑体" w:hint="eastAsia"/>
          <w:kern w:val="44"/>
          <w:sz w:val="44"/>
          <w:szCs w:val="44"/>
        </w:rPr>
        <w:t>第二部分 202</w:t>
      </w:r>
      <w:r>
        <w:rPr>
          <w:rFonts w:ascii="黑体" w:eastAsia="黑体" w:hint="eastAsia"/>
          <w:kern w:val="44"/>
          <w:sz w:val="44"/>
          <w:szCs w:val="44"/>
          <w:lang w:val="en-US" w:eastAsia="zh-CN"/>
        </w:rPr>
        <w:t>2</w:t>
      </w:r>
      <w:r>
        <w:rPr>
          <w:rFonts w:ascii="黑体" w:eastAsia="黑体" w:hint="eastAsia"/>
          <w:kern w:val="44"/>
          <w:sz w:val="44"/>
          <w:szCs w:val="44"/>
        </w:rPr>
        <w:t>年度</w:t>
      </w:r>
      <w:r>
        <w:rPr>
          <w:rStyle w:val="0"/>
          <w:rFonts w:ascii="黑体" w:eastAsia="黑体" w:hint="eastAsia"/>
          <w:bCs/>
          <w:kern w:val="44"/>
          <w:sz w:val="44"/>
          <w:szCs w:val="44"/>
        </w:rPr>
        <w:t>单位决算情况说明</w:t>
      </w:r>
      <w:bookmarkEnd w:id="17"/>
      <w:bookmarkEnd w:id="18"/>
    </w:p>
    <w:p/>
    <w:p>
      <w:pPr>
        <w:pStyle w:val="28"/>
        <w:numPr>
          <w:ilvl w:val="0"/>
          <w:numId w:val="2"/>
        </w:numPr>
        <w:spacing w:line="600" w:lineRule="exact"/>
        <w:ind w:firstLineChars="0"/>
        <w:outlineLvl w:val="1"/>
        <w:rPr>
          <w:rStyle w:val="2Char"/>
          <w:rFonts w:ascii="黑体" w:eastAsia="黑体"/>
          <w:b w:val="0"/>
        </w:rPr>
      </w:pPr>
      <w:bookmarkStart w:id="19" w:name="_Toc15396603"/>
      <w:bookmarkStart w:id="20" w:name="_Toc15377205"/>
      <w:r>
        <w:rPr>
          <w:rFonts w:ascii="黑体" w:eastAsia="黑体" w:hint="eastAsia"/>
          <w:sz w:val="32"/>
          <w:szCs w:val="32"/>
        </w:rPr>
        <w:t>收</w:t>
      </w:r>
      <w:r>
        <w:rPr>
          <w:rStyle w:val="2Char"/>
          <w:rFonts w:ascii="黑体" w:eastAsia="黑体" w:hint="eastAsia"/>
          <w:b w:val="0"/>
        </w:rPr>
        <w:t>入支出决算总体情况说明</w:t>
      </w:r>
      <w:bookmarkEnd w:id="19"/>
      <w:bookmarkEnd w:id="20"/>
    </w:p>
    <w:p>
      <w:pPr>
        <w:spacing w:line="600" w:lineRule="exact"/>
        <w:ind w:left="0" w:firstLineChars="200" w:firstLine="640"/>
        <w:rPr>
          <w:rFonts w:ascii="仿宋" w:eastAsia="仿宋"/>
          <w:color w:val="000000"/>
          <w:sz w:val="32"/>
          <w:szCs w:val="32"/>
          <w14:textFill>
            <w14:solidFill>
              <w14:srgbClr w14:val="000000"/>
            </w14:solidFill>
          </w14:textFill>
        </w:rPr>
      </w:pPr>
      <w:r>
        <w:rPr>
          <w:rFonts w:ascii="仿宋" w:eastAsia="仿宋" w:hint="eastAsia"/>
          <w:sz w:val="32"/>
          <w:szCs w:val="32"/>
        </w:rPr>
        <w:t>202</w:t>
      </w:r>
      <w:r>
        <w:rPr>
          <w:rFonts w:ascii="仿宋" w:eastAsia="仿宋" w:hint="eastAsia"/>
          <w:sz w:val="32"/>
          <w:szCs w:val="32"/>
          <w:lang w:val="en-US" w:eastAsia="zh-CN"/>
        </w:rPr>
        <w:t>2</w:t>
      </w:r>
      <w:r>
        <w:rPr>
          <w:rFonts w:ascii="仿宋" w:eastAsia="仿宋" w:hint="eastAsia"/>
          <w:sz w:val="32"/>
          <w:szCs w:val="32"/>
        </w:rPr>
        <w:t>年度收</w:t>
      </w:r>
      <w:r>
        <w:rPr>
          <w:rFonts w:ascii="仿宋" w:eastAsia="仿宋" w:hint="eastAsia"/>
          <w:sz w:val="32"/>
          <w:szCs w:val="32"/>
          <w:lang w:eastAsia="zh-CN"/>
        </w:rPr>
        <w:t>总计</w:t>
      </w:r>
      <w:r>
        <w:rPr>
          <w:rFonts w:ascii="仿宋" w:eastAsia="仿宋" w:hint="eastAsia"/>
          <w:sz w:val="32"/>
          <w:szCs w:val="32"/>
          <w:lang w:val="en-US" w:eastAsia="zh-CN"/>
        </w:rPr>
        <w:t>300.48万元、</w:t>
      </w:r>
      <w:r>
        <w:rPr>
          <w:rFonts w:ascii="仿宋" w:eastAsia="仿宋" w:hint="eastAsia"/>
          <w:sz w:val="32"/>
          <w:szCs w:val="32"/>
        </w:rPr>
        <w:t>支总计</w:t>
      </w:r>
      <w:r>
        <w:rPr>
          <w:rFonts w:ascii="仿宋" w:eastAsia="仿宋" w:hint="eastAsia"/>
          <w:sz w:val="32"/>
          <w:szCs w:val="32"/>
          <w:lang w:val="en-US" w:eastAsia="zh-CN"/>
        </w:rPr>
        <w:t>300.86</w:t>
      </w:r>
      <w:r>
        <w:rPr>
          <w:rFonts w:ascii="仿宋" w:eastAsia="仿宋" w:hint="eastAsia"/>
          <w:sz w:val="32"/>
          <w:szCs w:val="32"/>
        </w:rPr>
        <w:t>万元。与202</w:t>
      </w:r>
      <w:r>
        <w:rPr>
          <w:rFonts w:ascii="仿宋" w:eastAsia="仿宋" w:hint="eastAsia"/>
          <w:sz w:val="32"/>
          <w:szCs w:val="32"/>
          <w:lang w:val="en-US" w:eastAsia="zh-CN"/>
        </w:rPr>
        <w:t>1</w:t>
      </w:r>
      <w:r>
        <w:rPr>
          <w:rFonts w:ascii="仿宋" w:eastAsia="仿宋" w:hint="eastAsia"/>
          <w:sz w:val="32"/>
          <w:szCs w:val="32"/>
        </w:rPr>
        <w:t>年相比，收</w:t>
      </w:r>
      <w:r>
        <w:rPr>
          <w:rFonts w:ascii="仿宋" w:eastAsia="仿宋" w:hint="eastAsia"/>
          <w:sz w:val="32"/>
          <w:szCs w:val="32"/>
          <w:lang w:val="en-US" w:eastAsia="zh-CN"/>
        </w:rPr>
        <w:t>288.48万元</w:t>
      </w:r>
      <w:r>
        <w:rPr>
          <w:rFonts w:ascii="仿宋" w:eastAsia="仿宋" w:hint="eastAsia"/>
          <w:sz w:val="32"/>
          <w:szCs w:val="32"/>
        </w:rPr>
        <w:t>支总计</w:t>
      </w:r>
      <w:r>
        <w:rPr>
          <w:rFonts w:ascii="仿宋" w:eastAsia="仿宋" w:hint="eastAsia"/>
          <w:sz w:val="32"/>
          <w:szCs w:val="32"/>
          <w:lang w:val="en-US" w:eastAsia="zh-CN"/>
        </w:rPr>
        <w:t>299.12万元</w:t>
      </w:r>
      <w:r>
        <w:rPr>
          <w:rFonts w:ascii="仿宋" w:eastAsia="仿宋" w:hint="eastAsia"/>
          <w:sz w:val="32"/>
          <w:szCs w:val="32"/>
        </w:rPr>
        <w:t>各增加</w:t>
      </w:r>
      <w:r>
        <w:rPr>
          <w:rFonts w:ascii="仿宋" w:eastAsia="仿宋" w:hint="eastAsia"/>
          <w:sz w:val="32"/>
          <w:szCs w:val="32"/>
          <w:lang w:val="en-US" w:eastAsia="zh-CN"/>
        </w:rPr>
        <w:t>12</w:t>
      </w:r>
      <w:r>
        <w:rPr>
          <w:rFonts w:ascii="仿宋" w:eastAsia="仿宋" w:hint="eastAsia"/>
          <w:sz w:val="32"/>
          <w:szCs w:val="32"/>
        </w:rPr>
        <w:t>万元</w:t>
      </w:r>
      <w:r>
        <w:rPr>
          <w:rFonts w:ascii="仿宋" w:eastAsia="仿宋" w:hint="eastAsia"/>
          <w:sz w:val="32"/>
          <w:szCs w:val="32"/>
          <w:lang w:eastAsia="zh-CN"/>
        </w:rPr>
        <w:t>和</w:t>
      </w:r>
      <w:r>
        <w:rPr>
          <w:rFonts w:ascii="仿宋" w:eastAsia="仿宋" w:hint="eastAsia"/>
          <w:sz w:val="32"/>
          <w:szCs w:val="32"/>
          <w:lang w:val="en-US" w:eastAsia="zh-CN"/>
        </w:rPr>
        <w:t>1.74万元</w:t>
      </w:r>
      <w:r>
        <w:rPr>
          <w:rFonts w:ascii="仿宋" w:eastAsia="仿宋" w:hint="eastAsia"/>
          <w:sz w:val="32"/>
          <w:szCs w:val="32"/>
        </w:rPr>
        <w:t>，增长</w:t>
      </w:r>
      <w:r>
        <w:rPr>
          <w:rFonts w:ascii="仿宋" w:eastAsia="仿宋" w:hint="eastAsia"/>
          <w:sz w:val="32"/>
          <w:szCs w:val="32"/>
          <w:lang w:eastAsia="zh-CN"/>
        </w:rPr>
        <w:t>收</w:t>
      </w:r>
      <w:r>
        <w:rPr>
          <w:rFonts w:ascii="仿宋" w:eastAsia="仿宋" w:hint="eastAsia"/>
          <w:sz w:val="32"/>
          <w:szCs w:val="32"/>
          <w:lang w:val="en-US" w:eastAsia="zh-CN"/>
        </w:rPr>
        <w:t>4.16%和支0.58</w:t>
      </w:r>
      <w:r>
        <w:rPr>
          <w:rFonts w:ascii="仿宋" w:eastAsia="仿宋"/>
          <w:sz w:val="32"/>
          <w:szCs w:val="32"/>
        </w:rPr>
        <w:t>%</w:t>
      </w:r>
      <w:r>
        <w:rPr>
          <w:rFonts w:ascii="仿宋" w:eastAsia="仿宋" w:hint="eastAsia"/>
          <w:sz w:val="32"/>
          <w:szCs w:val="32"/>
        </w:rPr>
        <w:t>。主要变动原因是</w:t>
      </w:r>
      <w:r>
        <w:rPr>
          <w:rFonts w:ascii="仿宋" w:eastAsia="仿宋"/>
          <w:color w:val="000000"/>
          <w:sz w:val="32"/>
          <w:szCs w:val="32"/>
          <w14:textFill>
            <w14:solidFill>
              <w14:srgbClr w14:val="000000"/>
            </w14:solidFill>
          </w14:textFill>
        </w:rPr>
        <w:t>本年教职工人数增加，人均工资有所增长，年度考核奖随工资发放，各类保险基数增长，人员经费收支相应增加。</w:t>
      </w:r>
    </w:p>
    <w:p>
      <w:pPr>
        <w:pStyle w:val="15"/>
        <w:ind w:firstLineChars="150" w:firstLine="480"/>
        <w:rPr>
          <w:rFonts w:hint="eastAsia"/>
        </w:rPr>
      </w:pPr>
      <w:r>
        <w:rPr>
          <w:rFonts w:ascii="仿宋" w:eastAsia="仿宋"/>
          <w:sz w:val="32"/>
          <w:szCs w:val="32"/>
        </w:rPr>
        <w:drawing>
          <wp:anchor distT="0" distB="0" distL="114300" distR="114300" simplePos="0" relativeHeight="27" behindDoc="0" locked="0" layoutInCell="1" hidden="0" allowOverlap="1">
            <wp:simplePos x="0" y="0"/>
            <wp:positionH relativeFrom="column">
              <wp:posOffset>12702</wp:posOffset>
            </wp:positionH>
            <wp:positionV relativeFrom="paragraph">
              <wp:posOffset>290972</wp:posOffset>
            </wp:positionV>
            <wp:extent cx="5271134" cy="2209765"/>
            <wp:effectExtent l="0" t="1" r="15" b="2"/>
            <wp:wrapSquare wrapText="bothSides"/>
            <wp:docPr id="1" name="图表 2"/>
            <wp:cNvGraphicFramePr>
              <a:graphicFrameLocks noChangeAspect="0"/>
            </wp:cNvGraphicFramePr>
            <a:graphic>
              <a:graphicData uri="http://schemas.openxmlformats.org/drawingml/2006/chart">
                <c:chart xmlns:c="http://schemas.openxmlformats.org/drawingml/2006/chart" r:id="rId4"/>
              </a:graphicData>
            </a:graphic>
          </wp:anchor>
        </w:drawing>
      </w:r>
      <w:r>
        <w:rPr>
          <w:rFonts w:ascii="仿宋" w:eastAsia="仿宋" w:hint="eastAsia"/>
          <w:sz w:val="32"/>
          <w:szCs w:val="32"/>
        </w:rPr>
        <w:t>（图</w:t>
      </w:r>
      <w:r>
        <w:rPr>
          <w:rFonts w:ascii="仿宋" w:eastAsia="仿宋"/>
          <w:sz w:val="32"/>
          <w:szCs w:val="32"/>
        </w:rPr>
        <w:t>1</w:t>
      </w:r>
      <w:r>
        <w:rPr>
          <w:rFonts w:ascii="仿宋" w:eastAsia="仿宋" w:hint="eastAsia"/>
          <w:sz w:val="32"/>
          <w:szCs w:val="32"/>
        </w:rPr>
        <w:t>：收、支决算总计变动情况图）（柱状图）</w:t>
      </w:r>
    </w:p>
    <w:p>
      <w:pPr>
        <w:pStyle w:val="28"/>
        <w:numPr>
          <w:ilvl w:val="0"/>
          <w:numId w:val="2"/>
        </w:numPr>
        <w:spacing w:line="600" w:lineRule="exact"/>
        <w:ind w:firstLineChars="0"/>
        <w:outlineLvl w:val="1"/>
        <w:rPr>
          <w:rStyle w:val="2Char"/>
          <w:rFonts w:ascii="黑体" w:eastAsia="黑体"/>
          <w:b w:val="0"/>
        </w:rPr>
      </w:pPr>
      <w:bookmarkStart w:id="21" w:name="_Toc15377206"/>
      <w:bookmarkStart w:id="22" w:name="_Toc15396604"/>
      <w:r>
        <w:rPr>
          <w:rFonts w:ascii="黑体" w:eastAsia="黑体" w:hint="eastAsia"/>
          <w:sz w:val="32"/>
          <w:szCs w:val="32"/>
        </w:rPr>
        <w:t>收</w:t>
      </w:r>
      <w:r>
        <w:rPr>
          <w:rStyle w:val="2Char"/>
          <w:rFonts w:ascii="黑体" w:eastAsia="黑体" w:hint="eastAsia"/>
          <w:b w:val="0"/>
        </w:rPr>
        <w:t>入决算情况说明</w:t>
      </w:r>
      <w:bookmarkEnd w:id="21"/>
      <w:bookmarkEnd w:id="22"/>
    </w:p>
    <w:p>
      <w:pPr>
        <w:spacing w:line="600" w:lineRule="exact"/>
        <w:ind w:firstLineChars="200" w:firstLine="640"/>
        <w:outlineLvl w:val="1"/>
        <w:rPr>
          <w:rFonts w:ascii="仿宋" w:eastAsia="仿宋"/>
          <w:sz w:val="32"/>
          <w:szCs w:val="32"/>
        </w:rPr>
      </w:pPr>
      <w:r>
        <w:rPr>
          <w:rFonts w:ascii="仿宋" w:eastAsia="仿宋"/>
          <w:sz w:val="32"/>
          <w:szCs w:val="32"/>
        </w:rPr>
        <w:t>20</w:t>
      </w:r>
      <w:r>
        <w:rPr>
          <w:rFonts w:ascii="仿宋" w:eastAsia="仿宋" w:hint="eastAsia"/>
          <w:sz w:val="32"/>
          <w:szCs w:val="32"/>
        </w:rPr>
        <w:t>2</w:t>
      </w:r>
      <w:r>
        <w:rPr>
          <w:rFonts w:ascii="仿宋" w:eastAsia="仿宋" w:hint="eastAsia"/>
          <w:sz w:val="32"/>
          <w:szCs w:val="32"/>
          <w:lang w:val="en-US" w:eastAsia="zh-CN"/>
        </w:rPr>
        <w:t>2</w:t>
      </w:r>
      <w:r>
        <w:rPr>
          <w:rFonts w:ascii="仿宋" w:eastAsia="仿宋" w:hint="eastAsia"/>
          <w:sz w:val="32"/>
          <w:szCs w:val="32"/>
        </w:rPr>
        <w:t>年本年收入合计</w:t>
      </w:r>
      <w:r>
        <w:rPr>
          <w:rFonts w:ascii="仿宋" w:eastAsia="仿宋" w:hint="eastAsia"/>
          <w:sz w:val="32"/>
          <w:szCs w:val="32"/>
          <w:lang w:val="en-US" w:eastAsia="zh-CN"/>
        </w:rPr>
        <w:t>200.48</w:t>
      </w:r>
      <w:r>
        <w:rPr>
          <w:rFonts w:ascii="仿宋" w:eastAsia="仿宋" w:hint="eastAsia"/>
          <w:sz w:val="32"/>
          <w:szCs w:val="32"/>
        </w:rPr>
        <w:t>万元，其中：一般公共预算财政拨款收入</w:t>
      </w:r>
      <w:r>
        <w:rPr>
          <w:rFonts w:ascii="仿宋" w:eastAsia="仿宋" w:hint="eastAsia"/>
          <w:sz w:val="32"/>
          <w:szCs w:val="32"/>
          <w:lang w:val="en-US" w:eastAsia="zh-CN"/>
        </w:rPr>
        <w:t>297.18</w:t>
      </w:r>
      <w:r>
        <w:rPr>
          <w:rFonts w:ascii="仿宋" w:eastAsia="仿宋" w:hint="eastAsia"/>
          <w:sz w:val="32"/>
          <w:szCs w:val="32"/>
        </w:rPr>
        <w:t>万元，占</w:t>
      </w:r>
      <w:r>
        <w:rPr>
          <w:rFonts w:ascii="仿宋" w:eastAsia="仿宋" w:hint="eastAsia"/>
          <w:sz w:val="32"/>
          <w:szCs w:val="32"/>
          <w:lang w:val="en-US" w:eastAsia="zh-CN"/>
        </w:rPr>
        <w:t>98.90</w:t>
      </w:r>
      <w:r>
        <w:rPr>
          <w:rFonts w:ascii="仿宋" w:eastAsia="仿宋"/>
          <w:sz w:val="32"/>
          <w:szCs w:val="32"/>
        </w:rPr>
        <w:t>%</w:t>
      </w:r>
      <w:r>
        <w:rPr>
          <w:rFonts w:ascii="仿宋" w:eastAsia="仿宋" w:hint="eastAsia"/>
          <w:sz w:val="32"/>
          <w:szCs w:val="32"/>
        </w:rPr>
        <w:t>；政府性基金预算财政拨款收入</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；国有资本经营预算财政拨款收入</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；上级补助收入</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；事业收入</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；经营收入</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；附属单位上缴收入</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；其他收入</w:t>
      </w:r>
      <w:r>
        <w:rPr>
          <w:rFonts w:ascii="仿宋" w:eastAsia="仿宋" w:hint="eastAsia"/>
          <w:sz w:val="32"/>
          <w:szCs w:val="32"/>
          <w:lang w:val="en-US" w:eastAsia="zh-CN"/>
        </w:rPr>
        <w:t>3.30</w:t>
      </w:r>
      <w:r>
        <w:rPr>
          <w:rFonts w:ascii="仿宋" w:eastAsia="仿宋" w:hint="eastAsia"/>
          <w:sz w:val="32"/>
          <w:szCs w:val="32"/>
        </w:rPr>
        <w:t>万元，占</w:t>
      </w:r>
      <w:r>
        <w:rPr>
          <w:rFonts w:ascii="仿宋" w:eastAsia="仿宋" w:hint="eastAsia"/>
          <w:sz w:val="32"/>
          <w:szCs w:val="32"/>
          <w:lang w:val="en-US" w:eastAsia="zh-CN"/>
        </w:rPr>
        <w:t>1.10</w:t>
      </w:r>
      <w:r>
        <w:rPr>
          <w:rFonts w:ascii="仿宋" w:eastAsia="仿宋"/>
          <w:sz w:val="32"/>
          <w:szCs w:val="32"/>
        </w:rPr>
        <w:t>%</w:t>
      </w:r>
      <w:r>
        <w:rPr>
          <w:rFonts w:ascii="仿宋" w:eastAsia="仿宋" w:hint="eastAsia"/>
          <w:sz w:val="32"/>
          <w:szCs w:val="32"/>
        </w:rPr>
        <w:t>。</w:t>
      </w:r>
    </w:p>
    <w:p>
      <w:pPr>
        <w:spacing w:line="600" w:lineRule="exact"/>
        <w:ind w:left="0"/>
        <w:outlineLvl w:val="1"/>
        <w:rPr>
          <w:rFonts w:ascii="仿宋" w:eastAsia="仿宋"/>
          <w:b/>
          <w:sz w:val="32"/>
          <w:szCs w:val="32"/>
        </w:rPr>
      </w:pPr>
      <w:r>
        <w:drawing>
          <wp:anchor distT="0" distB="0" distL="114300" distR="114300" simplePos="0" relativeHeight="23" behindDoc="0" locked="0" layoutInCell="1" hidden="0" allowOverlap="1">
            <wp:simplePos x="0" y="0"/>
            <wp:positionH relativeFrom="column">
              <wp:posOffset>16514</wp:posOffset>
            </wp:positionH>
            <wp:positionV relativeFrom="paragraph">
              <wp:posOffset>693533</wp:posOffset>
            </wp:positionV>
            <wp:extent cx="4831715" cy="2383103"/>
            <wp:effectExtent l="0" t="0" r="42" b="16"/>
            <wp:wrapSquare wrapText="bothSides"/>
            <wp:docPr id="2" name="图表 5"/>
            <wp:cNvGraphicFramePr>
              <a:graphicFrameLocks noChangeAspect="0"/>
            </wp:cNvGraphicFramePr>
            <a:graphic>
              <a:graphicData uri="http://schemas.openxmlformats.org/drawingml/2006/chart">
                <c:chart xmlns:c="http://schemas.openxmlformats.org/drawingml/2006/chart" r:id="rId5"/>
              </a:graphicData>
            </a:graphic>
          </wp:anchor>
        </w:drawing>
      </w:r>
      <w:r>
        <w:rPr>
          <w:rFonts w:ascii="仿宋" w:eastAsia="仿宋" w:hint="eastAsia"/>
          <w:b/>
          <w:sz w:val="32"/>
          <w:szCs w:val="32"/>
        </w:rPr>
        <w:t>（注：数据来源于财决</w:t>
      </w:r>
      <w:r>
        <w:rPr>
          <w:rFonts w:ascii="仿宋" w:eastAsia="仿宋"/>
          <w:b/>
          <w:sz w:val="32"/>
          <w:szCs w:val="32"/>
        </w:rPr>
        <w:t>01表</w:t>
      </w:r>
      <w:r>
        <w:rPr>
          <w:rFonts w:ascii="仿宋" w:eastAsia="仿宋" w:hint="eastAsia"/>
          <w:b/>
          <w:sz w:val="32"/>
          <w:szCs w:val="32"/>
        </w:rPr>
        <w:t>，仅罗列本单位涉及的收入。</w:t>
      </w:r>
    </w:p>
    <w:p>
      <w:pPr>
        <w:spacing w:line="600" w:lineRule="exact"/>
        <w:ind w:firstLineChars="350" w:firstLine="1120"/>
        <w:rPr>
          <w:rFonts w:ascii="仿宋" w:eastAsia="仿宋"/>
          <w:sz w:val="32"/>
          <w:szCs w:val="32"/>
        </w:rPr>
      </w:pPr>
      <w:r>
        <w:rPr>
          <w:rFonts w:ascii="仿宋" w:eastAsia="仿宋" w:hint="eastAsia"/>
          <w:sz w:val="32"/>
          <w:szCs w:val="32"/>
        </w:rPr>
        <w:t>（图2：收入决算结构图）（饼状图）</w:t>
      </w:r>
    </w:p>
    <w:p>
      <w:pPr>
        <w:pStyle w:val="28"/>
        <w:numPr>
          <w:ilvl w:val="0"/>
          <w:numId w:val="2"/>
        </w:numPr>
        <w:spacing w:line="600" w:lineRule="exact"/>
        <w:ind w:firstLineChars="0"/>
        <w:outlineLvl w:val="1"/>
        <w:rPr>
          <w:rStyle w:val="2Char"/>
          <w:rFonts w:ascii="黑体" w:eastAsia="黑体"/>
          <w:b w:val="0"/>
        </w:rPr>
      </w:pPr>
      <w:bookmarkStart w:id="23" w:name="_Toc15396605"/>
      <w:bookmarkStart w:id="24" w:name="_Toc15377207"/>
      <w:r>
        <w:rPr>
          <w:rFonts w:ascii="黑体" w:eastAsia="黑体" w:hint="eastAsia"/>
          <w:sz w:val="32"/>
          <w:szCs w:val="32"/>
        </w:rPr>
        <w:t>支</w:t>
      </w:r>
      <w:r>
        <w:rPr>
          <w:rStyle w:val="2Char"/>
          <w:rFonts w:ascii="黑体" w:eastAsia="黑体" w:hint="eastAsia"/>
          <w:b w:val="0"/>
        </w:rPr>
        <w:t>出决算情况说明</w:t>
      </w:r>
      <w:bookmarkEnd w:id="23"/>
      <w:bookmarkEnd w:id="24"/>
    </w:p>
    <w:p>
      <w:pPr>
        <w:spacing w:line="600" w:lineRule="exact"/>
        <w:ind w:firstLineChars="200" w:firstLine="640"/>
        <w:outlineLvl w:val="1"/>
        <w:rPr>
          <w:rFonts w:ascii="仿宋" w:eastAsia="仿宋"/>
          <w:sz w:val="32"/>
          <w:szCs w:val="32"/>
        </w:rPr>
      </w:pPr>
      <w:r>
        <w:rPr>
          <w:rFonts w:ascii="仿宋" w:eastAsia="仿宋"/>
          <w:sz w:val="32"/>
          <w:szCs w:val="32"/>
        </w:rPr>
        <w:t>20</w:t>
      </w:r>
      <w:r>
        <w:rPr>
          <w:rFonts w:ascii="仿宋" w:eastAsia="仿宋" w:hint="eastAsia"/>
          <w:sz w:val="32"/>
          <w:szCs w:val="32"/>
        </w:rPr>
        <w:t>2</w:t>
      </w:r>
      <w:r>
        <w:rPr>
          <w:rFonts w:ascii="仿宋" w:eastAsia="仿宋" w:hint="eastAsia"/>
          <w:sz w:val="32"/>
          <w:szCs w:val="32"/>
          <w:lang w:val="en-US" w:eastAsia="zh-CN"/>
        </w:rPr>
        <w:t>2</w:t>
      </w:r>
      <w:r>
        <w:rPr>
          <w:rFonts w:ascii="仿宋" w:eastAsia="仿宋" w:hint="eastAsia"/>
          <w:sz w:val="32"/>
          <w:szCs w:val="32"/>
        </w:rPr>
        <w:t>年本年支出合计</w:t>
      </w:r>
      <w:r>
        <w:rPr>
          <w:rFonts w:ascii="仿宋" w:eastAsia="仿宋" w:hint="eastAsia"/>
          <w:sz w:val="32"/>
          <w:szCs w:val="32"/>
          <w:lang w:val="en-US" w:eastAsia="zh-CN"/>
        </w:rPr>
        <w:t>300.86</w:t>
      </w:r>
      <w:r>
        <w:rPr>
          <w:rFonts w:ascii="仿宋" w:eastAsia="仿宋" w:hint="eastAsia"/>
          <w:sz w:val="32"/>
          <w:szCs w:val="32"/>
        </w:rPr>
        <w:t>万元，其中：基本支出</w:t>
      </w:r>
      <w:r>
        <w:rPr>
          <w:rFonts w:ascii="仿宋" w:eastAsia="仿宋" w:hint="eastAsia"/>
          <w:sz w:val="32"/>
          <w:szCs w:val="32"/>
          <w:lang w:val="en-US" w:eastAsia="zh-CN"/>
        </w:rPr>
        <w:t>268.89</w:t>
      </w:r>
      <w:r>
        <w:rPr>
          <w:rFonts w:ascii="仿宋" w:eastAsia="仿宋" w:hint="eastAsia"/>
          <w:sz w:val="32"/>
          <w:szCs w:val="32"/>
        </w:rPr>
        <w:t>万元，占</w:t>
      </w:r>
      <w:r>
        <w:rPr>
          <w:rFonts w:ascii="仿宋" w:eastAsia="仿宋" w:hint="eastAsia"/>
          <w:sz w:val="32"/>
          <w:szCs w:val="32"/>
          <w:lang w:val="en-US" w:eastAsia="zh-CN"/>
        </w:rPr>
        <w:t>89.37</w:t>
      </w:r>
      <w:r>
        <w:rPr>
          <w:rFonts w:ascii="仿宋" w:eastAsia="仿宋"/>
          <w:sz w:val="32"/>
          <w:szCs w:val="32"/>
        </w:rPr>
        <w:t>%</w:t>
      </w:r>
      <w:r>
        <w:rPr>
          <w:rFonts w:ascii="仿宋" w:eastAsia="仿宋" w:hint="eastAsia"/>
          <w:sz w:val="32"/>
          <w:szCs w:val="32"/>
        </w:rPr>
        <w:t>；项目支出</w:t>
      </w:r>
      <w:r>
        <w:rPr>
          <w:rFonts w:ascii="仿宋" w:eastAsia="仿宋" w:hint="eastAsia"/>
          <w:sz w:val="32"/>
          <w:szCs w:val="32"/>
          <w:lang w:val="en-US" w:eastAsia="zh-CN"/>
        </w:rPr>
        <w:t>31.97</w:t>
      </w:r>
      <w:r>
        <w:rPr>
          <w:rFonts w:ascii="仿宋" w:eastAsia="仿宋" w:hint="eastAsia"/>
          <w:sz w:val="32"/>
          <w:szCs w:val="32"/>
        </w:rPr>
        <w:t>万元，占</w:t>
      </w:r>
      <w:r>
        <w:rPr>
          <w:rFonts w:ascii="仿宋" w:eastAsia="仿宋" w:hint="eastAsia"/>
          <w:sz w:val="32"/>
          <w:szCs w:val="32"/>
          <w:lang w:val="en-US" w:eastAsia="zh-CN"/>
        </w:rPr>
        <w:t>10.63</w:t>
      </w:r>
      <w:r>
        <w:rPr>
          <w:rFonts w:ascii="仿宋" w:eastAsia="仿宋"/>
          <w:sz w:val="32"/>
          <w:szCs w:val="32"/>
        </w:rPr>
        <w:t>%</w:t>
      </w:r>
      <w:r>
        <w:rPr>
          <w:rFonts w:ascii="仿宋" w:eastAsia="仿宋" w:hint="eastAsia"/>
          <w:sz w:val="32"/>
          <w:szCs w:val="32"/>
        </w:rPr>
        <w:t>；上缴上级支出</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；经营支出</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；对附属单位补助支出</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w:t>
      </w:r>
    </w:p>
    <w:p>
      <w:pPr>
        <w:spacing w:line="600" w:lineRule="exact"/>
        <w:ind w:left="0"/>
        <w:outlineLvl w:val="1"/>
        <w:rPr>
          <w:rFonts w:ascii="仿宋" w:eastAsia="仿宋" w:hint="eastAsia"/>
          <w:b/>
          <w:sz w:val="32"/>
          <w:szCs w:val="32"/>
        </w:rPr>
      </w:pPr>
      <w:r>
        <w:rPr>
          <w:rFonts w:ascii="仿宋" w:eastAsia="仿宋" w:hint="eastAsia"/>
          <w:b/>
          <w:sz w:val="32"/>
          <w:szCs w:val="32"/>
        </w:rPr>
        <w:t>（注：数据来源于财决</w:t>
      </w:r>
      <w:r>
        <w:rPr>
          <w:rFonts w:ascii="仿宋" w:eastAsia="仿宋"/>
          <w:b/>
          <w:sz w:val="32"/>
          <w:szCs w:val="32"/>
        </w:rPr>
        <w:t>04</w:t>
      </w:r>
      <w:r>
        <w:rPr>
          <w:rFonts w:ascii="仿宋" w:eastAsia="仿宋" w:hint="eastAsia"/>
          <w:b/>
          <w:sz w:val="32"/>
          <w:szCs w:val="32"/>
        </w:rPr>
        <w:t>表，仅罗列本单位涉及的支出。）</w:t>
      </w:r>
    </w:p>
    <w:p>
      <w:pPr>
        <w:pStyle w:val="15"/>
        <w:rPr>
          <w:rFonts w:ascii="仿宋" w:eastAsia="仿宋"/>
          <w:sz w:val="32"/>
          <w:szCs w:val="32"/>
          <w:shd w:val="pct10" w:color="auto" w:fill="FFFFFF"/>
        </w:rPr>
      </w:pPr>
      <w:r>
        <w:drawing>
          <wp:inline distT="0" distB="0" distL="114300" distR="114300">
            <wp:extent cx="5272404" cy="2394585"/>
            <wp:effectExtent l="0" t="0" r="0" b="0"/>
            <wp:docPr id="3" name="图表 6"/>
            <wp:cNvGraphicFramePr>
              <a:graphicFrameLocks noChangeAspect="0"/>
            </wp:cNvGraphicFramePr>
            <a:graphic>
              <a:graphicData uri="http://schemas.openxmlformats.org/drawingml/2006/chart">
                <c:chart xmlns:c="http://schemas.openxmlformats.org/drawingml/2006/chart" r:id="rId6"/>
              </a:graphicData>
            </a:graphic>
          </wp:inline>
        </w:drawing>
      </w:r>
    </w:p>
    <w:p>
      <w:pPr>
        <w:spacing w:line="600" w:lineRule="exact"/>
        <w:ind w:firstLineChars="200" w:firstLine="640"/>
        <w:rPr>
          <w:rFonts w:ascii="仿宋" w:eastAsia="仿宋"/>
          <w:sz w:val="32"/>
          <w:szCs w:val="32"/>
        </w:rPr>
      </w:pPr>
      <w:r>
        <w:rPr>
          <w:rFonts w:ascii="仿宋" w:eastAsia="仿宋" w:hint="eastAsia"/>
          <w:sz w:val="32"/>
          <w:szCs w:val="32"/>
        </w:rPr>
        <w:t>（图3：支出决算结构图）（饼状图）</w:t>
      </w:r>
    </w:p>
    <w:p>
      <w:pPr>
        <w:spacing w:line="600" w:lineRule="exact"/>
        <w:ind w:firstLineChars="200" w:firstLine="640"/>
        <w:outlineLvl w:val="1"/>
        <w:rPr>
          <w:rStyle w:val="2Char"/>
          <w:rFonts w:ascii="黑体" w:eastAsia="黑体"/>
          <w:b w:val="0"/>
        </w:rPr>
      </w:pPr>
      <w:bookmarkStart w:id="25" w:name="_Toc15396606"/>
      <w:bookmarkStart w:id="26" w:name="_Toc15377208"/>
      <w:r>
        <w:rPr>
          <w:rFonts w:ascii="黑体" w:eastAsia="黑体" w:hint="eastAsia"/>
          <w:sz w:val="32"/>
          <w:szCs w:val="32"/>
        </w:rPr>
        <w:t>四、财</w:t>
      </w:r>
      <w:r>
        <w:rPr>
          <w:rStyle w:val="2Char"/>
          <w:rFonts w:ascii="黑体" w:eastAsia="黑体" w:hint="eastAsia"/>
          <w:b w:val="0"/>
        </w:rPr>
        <w:t>政拨款收入支出决算总体情况说明</w:t>
      </w:r>
      <w:bookmarkEnd w:id="25"/>
      <w:bookmarkEnd w:id="26"/>
    </w:p>
    <w:p>
      <w:pPr>
        <w:spacing w:line="600" w:lineRule="exact"/>
        <w:ind w:firstLine="640"/>
        <w:rPr>
          <w:rFonts w:ascii="仿宋" w:eastAsia="仿宋"/>
          <w:color w:val="000000"/>
          <w:sz w:val="30"/>
          <w:szCs w:val="30"/>
          <w14:textFill>
            <w14:solidFill>
              <w14:srgbClr w14:val="000000"/>
            </w14:solidFill>
          </w14:textFill>
        </w:rPr>
      </w:pPr>
      <w:r>
        <w:rPr>
          <w:rFonts w:ascii="仿宋" w:eastAsia="仿宋"/>
          <w:sz w:val="32"/>
          <w:szCs w:val="32"/>
        </w:rPr>
        <w:t>20</w:t>
      </w:r>
      <w:r>
        <w:rPr>
          <w:rFonts w:ascii="仿宋" w:eastAsia="仿宋" w:hint="eastAsia"/>
          <w:sz w:val="32"/>
          <w:szCs w:val="32"/>
        </w:rPr>
        <w:t>2</w:t>
      </w:r>
      <w:r>
        <w:rPr>
          <w:rFonts w:ascii="仿宋" w:eastAsia="仿宋" w:hint="eastAsia"/>
          <w:sz w:val="32"/>
          <w:szCs w:val="32"/>
          <w:lang w:val="en-US" w:eastAsia="zh-CN"/>
        </w:rPr>
        <w:t>2</w:t>
      </w:r>
      <w:r>
        <w:rPr>
          <w:rFonts w:ascii="仿宋" w:eastAsia="仿宋" w:hint="eastAsia"/>
          <w:sz w:val="32"/>
          <w:szCs w:val="32"/>
        </w:rPr>
        <w:t>年财政拨款收万</w:t>
      </w:r>
      <w:r>
        <w:rPr>
          <w:rFonts w:ascii="仿宋" w:eastAsia="仿宋" w:hint="eastAsia"/>
          <w:sz w:val="32"/>
          <w:szCs w:val="32"/>
          <w:lang w:val="en-US" w:eastAsia="zh-CN"/>
        </w:rPr>
        <w:t>297.18</w:t>
      </w:r>
      <w:r>
        <w:rPr>
          <w:rFonts w:ascii="仿宋" w:eastAsia="仿宋" w:hint="eastAsia"/>
          <w:sz w:val="32"/>
          <w:szCs w:val="32"/>
        </w:rPr>
        <w:t>元、支总计</w:t>
      </w:r>
      <w:r>
        <w:rPr>
          <w:rFonts w:ascii="仿宋" w:eastAsia="仿宋" w:hint="eastAsia"/>
          <w:sz w:val="32"/>
          <w:szCs w:val="32"/>
          <w:lang w:val="en-US" w:eastAsia="zh-CN"/>
        </w:rPr>
        <w:t>297.18</w:t>
      </w:r>
      <w:r>
        <w:rPr>
          <w:rFonts w:ascii="仿宋" w:eastAsia="仿宋" w:hint="eastAsia"/>
          <w:sz w:val="32"/>
          <w:szCs w:val="32"/>
        </w:rPr>
        <w:t>万元。与</w:t>
      </w:r>
      <w:r>
        <w:rPr>
          <w:rFonts w:ascii="仿宋" w:eastAsia="仿宋"/>
          <w:sz w:val="32"/>
          <w:szCs w:val="32"/>
        </w:rPr>
        <w:t>20</w:t>
      </w:r>
      <w:r>
        <w:rPr>
          <w:rFonts w:ascii="仿宋" w:eastAsia="仿宋" w:hint="eastAsia"/>
          <w:sz w:val="32"/>
          <w:szCs w:val="32"/>
        </w:rPr>
        <w:t>2</w:t>
      </w:r>
      <w:r>
        <w:rPr>
          <w:rFonts w:ascii="仿宋" w:eastAsia="仿宋" w:hint="eastAsia"/>
          <w:sz w:val="32"/>
          <w:szCs w:val="32"/>
          <w:lang w:val="en-US" w:eastAsia="zh-CN"/>
        </w:rPr>
        <w:t>1</w:t>
      </w:r>
      <w:r>
        <w:rPr>
          <w:rFonts w:ascii="仿宋" w:eastAsia="仿宋" w:hint="eastAsia"/>
          <w:sz w:val="32"/>
          <w:szCs w:val="32"/>
        </w:rPr>
        <w:t>年相比，财政拨款收</w:t>
      </w:r>
      <w:r>
        <w:rPr>
          <w:rFonts w:ascii="仿宋" w:eastAsia="仿宋" w:hint="eastAsia"/>
          <w:sz w:val="32"/>
          <w:szCs w:val="32"/>
          <w:lang w:val="en-US" w:eastAsia="zh-CN"/>
        </w:rPr>
        <w:t>282.68</w:t>
      </w:r>
      <w:r>
        <w:rPr>
          <w:rFonts w:ascii="仿宋" w:eastAsia="仿宋" w:hint="eastAsia"/>
          <w:sz w:val="32"/>
          <w:szCs w:val="32"/>
          <w:lang w:eastAsia="zh-CN"/>
        </w:rPr>
        <w:t>万元</w:t>
      </w:r>
      <w:r>
        <w:rPr>
          <w:rFonts w:ascii="仿宋" w:eastAsia="仿宋" w:hint="eastAsia"/>
          <w:sz w:val="32"/>
          <w:szCs w:val="32"/>
        </w:rPr>
        <w:t>、支总计</w:t>
      </w:r>
      <w:r>
        <w:rPr>
          <w:rFonts w:ascii="仿宋" w:eastAsia="仿宋" w:hint="eastAsia"/>
          <w:sz w:val="32"/>
          <w:szCs w:val="32"/>
          <w:lang w:val="en-US" w:eastAsia="zh-CN"/>
        </w:rPr>
        <w:t>284.76万元</w:t>
      </w:r>
      <w:r>
        <w:rPr>
          <w:rFonts w:ascii="仿宋" w:eastAsia="仿宋" w:hint="eastAsia"/>
          <w:sz w:val="32"/>
          <w:szCs w:val="32"/>
        </w:rPr>
        <w:t>各增加</w:t>
      </w:r>
      <w:r>
        <w:rPr>
          <w:rFonts w:ascii="仿宋" w:eastAsia="仿宋" w:hint="eastAsia"/>
          <w:sz w:val="32"/>
          <w:szCs w:val="32"/>
          <w:lang w:val="en-US" w:eastAsia="zh-CN"/>
        </w:rPr>
        <w:t>14.5</w:t>
      </w:r>
      <w:r>
        <w:rPr>
          <w:rFonts w:ascii="仿宋" w:eastAsia="仿宋" w:hint="eastAsia"/>
          <w:sz w:val="32"/>
          <w:szCs w:val="32"/>
        </w:rPr>
        <w:t>万元</w:t>
      </w:r>
      <w:r>
        <w:rPr>
          <w:rFonts w:ascii="仿宋" w:eastAsia="仿宋" w:hint="eastAsia"/>
          <w:sz w:val="32"/>
          <w:szCs w:val="32"/>
          <w:lang w:eastAsia="zh-CN"/>
        </w:rPr>
        <w:t>和</w:t>
      </w:r>
      <w:r>
        <w:rPr>
          <w:rFonts w:ascii="仿宋" w:eastAsia="仿宋" w:hint="eastAsia"/>
          <w:sz w:val="32"/>
          <w:szCs w:val="32"/>
          <w:lang w:val="en-US" w:eastAsia="zh-CN"/>
        </w:rPr>
        <w:t>9.42万元</w:t>
      </w:r>
      <w:r>
        <w:rPr>
          <w:rFonts w:ascii="仿宋" w:eastAsia="仿宋" w:hint="eastAsia"/>
          <w:sz w:val="32"/>
          <w:szCs w:val="32"/>
        </w:rPr>
        <w:t>，增长</w:t>
      </w:r>
      <w:r>
        <w:rPr>
          <w:rFonts w:ascii="仿宋" w:eastAsia="仿宋" w:hint="eastAsia"/>
          <w:sz w:val="32"/>
          <w:szCs w:val="32"/>
          <w:lang w:val="en-US" w:eastAsia="zh-CN"/>
        </w:rPr>
        <w:t>5.13</w:t>
      </w:r>
      <w:r>
        <w:rPr>
          <w:rFonts w:ascii="仿宋" w:eastAsia="仿宋"/>
          <w:sz w:val="32"/>
          <w:szCs w:val="32"/>
        </w:rPr>
        <w:t>%</w:t>
      </w:r>
      <w:r>
        <w:rPr>
          <w:rFonts w:ascii="仿宋" w:eastAsia="仿宋" w:hint="eastAsia"/>
          <w:sz w:val="32"/>
          <w:szCs w:val="32"/>
          <w:lang w:eastAsia="zh-CN"/>
        </w:rPr>
        <w:t>和</w:t>
      </w:r>
      <w:r>
        <w:rPr>
          <w:rFonts w:ascii="仿宋" w:eastAsia="仿宋" w:hint="eastAsia"/>
          <w:sz w:val="32"/>
          <w:szCs w:val="32"/>
          <w:lang w:val="en-US" w:eastAsia="zh-CN"/>
        </w:rPr>
        <w:t>3.31%</w:t>
      </w:r>
      <w:r>
        <w:rPr>
          <w:rFonts w:ascii="仿宋" w:eastAsia="仿宋" w:hint="eastAsia"/>
          <w:sz w:val="32"/>
          <w:szCs w:val="32"/>
        </w:rPr>
        <w:t>。主要变动原因是</w:t>
      </w:r>
      <w:r>
        <w:rPr>
          <w:rFonts w:ascii="仿宋" w:eastAsia="仿宋"/>
          <w:color w:val="000000"/>
          <w:sz w:val="32"/>
          <w:szCs w:val="32"/>
          <w14:textFill>
            <w14:solidFill>
              <w14:srgbClr w14:val="000000"/>
            </w14:solidFill>
          </w14:textFill>
        </w:rPr>
        <w:t>本年教职工人数增加，人均工资有所增长，年度考核奖随工资发放，各类保险基数增长，人员经费收支相应增加。</w:t>
      </w:r>
    </w:p>
    <w:p>
      <w:pPr>
        <w:spacing w:line="600" w:lineRule="exact"/>
        <w:ind w:firstLine="640"/>
        <w:rPr>
          <w:rFonts w:ascii="仿宋" w:eastAsia="仿宋"/>
          <w:sz w:val="32"/>
          <w:szCs w:val="32"/>
        </w:rPr>
      </w:pPr>
    </w:p>
    <w:p>
      <w:pPr>
        <w:pStyle w:val="15"/>
      </w:pPr>
      <w:r>
        <w:drawing>
          <wp:inline distT="0" distB="0" distL="114300" distR="114300">
            <wp:extent cx="5139055" cy="2743200"/>
            <wp:effectExtent l="0" t="0" r="0" b="0"/>
            <wp:docPr id="4" name="图表 1"/>
            <wp:cNvGraphicFramePr>
              <a:graphicFrameLocks noChangeAspect="0"/>
            </wp:cNvGraphicFramePr>
            <a:graphic>
              <a:graphicData uri="http://schemas.openxmlformats.org/drawingml/2006/chart">
                <c:chart xmlns:c="http://schemas.openxmlformats.org/drawingml/2006/chart" r:id="rId7"/>
              </a:graphicData>
            </a:graphic>
          </wp:inline>
        </w:drawing>
      </w:r>
    </w:p>
    <w:p>
      <w:pPr>
        <w:spacing w:line="600" w:lineRule="exact"/>
        <w:ind w:left="0"/>
        <w:rPr>
          <w:rFonts w:ascii="仿宋" w:eastAsia="仿宋"/>
          <w:sz w:val="32"/>
          <w:szCs w:val="32"/>
        </w:rPr>
      </w:pPr>
      <w:r>
        <w:rPr>
          <w:rFonts w:ascii="仿宋" w:eastAsia="仿宋" w:hint="eastAsia"/>
          <w:sz w:val="32"/>
          <w:szCs w:val="32"/>
        </w:rPr>
        <w:t>（图4：财政拨款收、支决算总计变动情况）（柱状图）</w:t>
      </w:r>
    </w:p>
    <w:p>
      <w:pPr>
        <w:spacing w:line="600" w:lineRule="exact"/>
        <w:ind w:firstLineChars="200" w:firstLine="640"/>
        <w:outlineLvl w:val="1"/>
        <w:rPr>
          <w:rStyle w:val="2Char"/>
          <w:rFonts w:ascii="黑体" w:eastAsia="黑体"/>
          <w:b w:val="0"/>
        </w:rPr>
      </w:pPr>
      <w:bookmarkStart w:id="27" w:name="_Toc15377209"/>
      <w:bookmarkStart w:id="28" w:name="_Toc15396607"/>
      <w:r>
        <w:rPr>
          <w:rFonts w:ascii="黑体" w:eastAsia="黑体" w:hint="eastAsia"/>
          <w:sz w:val="32"/>
          <w:szCs w:val="32"/>
        </w:rPr>
        <w:t>五、</w:t>
      </w:r>
      <w:r>
        <w:rPr>
          <w:rFonts w:ascii="黑体" w:eastAsia="黑体" w:hint="eastAsia"/>
          <w:b/>
          <w:sz w:val="32"/>
          <w:szCs w:val="32"/>
        </w:rPr>
        <w:t>一</w:t>
      </w:r>
      <w:r>
        <w:rPr>
          <w:rStyle w:val="2Char"/>
          <w:rFonts w:ascii="黑体" w:eastAsia="黑体" w:hint="eastAsia"/>
          <w:b w:val="0"/>
        </w:rPr>
        <w:t>般公共预算财政拨款支出决算情况说明</w:t>
      </w:r>
      <w:bookmarkEnd w:id="27"/>
      <w:bookmarkEnd w:id="28"/>
    </w:p>
    <w:p>
      <w:pPr>
        <w:spacing w:line="600" w:lineRule="exact"/>
        <w:ind w:firstLineChars="200" w:firstLine="640"/>
        <w:outlineLvl w:val="2"/>
        <w:rPr>
          <w:rFonts w:ascii="仿宋" w:eastAsia="仿宋"/>
          <w:b/>
          <w:sz w:val="32"/>
          <w:szCs w:val="32"/>
        </w:rPr>
      </w:pPr>
      <w:bookmarkStart w:id="29" w:name="_Toc15377210"/>
      <w:r>
        <w:rPr>
          <w:rFonts w:ascii="仿宋" w:eastAsia="仿宋" w:hint="eastAsia"/>
          <w:b/>
          <w:sz w:val="32"/>
          <w:szCs w:val="32"/>
        </w:rPr>
        <w:t>（一）一般公共预算财政拨款支出决算总体情况</w:t>
      </w:r>
      <w:bookmarkEnd w:id="29"/>
    </w:p>
    <w:p>
      <w:pPr>
        <w:spacing w:line="600" w:lineRule="exact"/>
        <w:ind w:firstLine="640"/>
        <w:rPr>
          <w:rFonts w:ascii="仿宋" w:eastAsia="仿宋"/>
          <w:color w:val="000000"/>
          <w:sz w:val="32"/>
          <w:szCs w:val="32"/>
          <w14:textFill>
            <w14:solidFill>
              <w14:srgbClr w14:val="000000"/>
            </w14:solidFill>
          </w14:textFill>
        </w:rPr>
      </w:pPr>
      <w:r>
        <w:drawing>
          <wp:anchor distT="0" distB="0" distL="114300" distR="114300" simplePos="0" relativeHeight="25" behindDoc="0" locked="0" layoutInCell="1" hidden="0" allowOverlap="1">
            <wp:simplePos x="0" y="0"/>
            <wp:positionH relativeFrom="column">
              <wp:posOffset>-46352</wp:posOffset>
            </wp:positionH>
            <wp:positionV relativeFrom="paragraph">
              <wp:posOffset>2372269</wp:posOffset>
            </wp:positionV>
            <wp:extent cx="5282565" cy="2635825"/>
            <wp:effectExtent l="0" t="0" r="15" b="12"/>
            <wp:wrapSquare wrapText="bothSides"/>
            <wp:docPr id="5" name="图表 8"/>
            <wp:cNvGraphicFramePr>
              <a:graphicFrameLocks noChangeAspect="0"/>
            </wp:cNvGraphicFramePr>
            <a:graphic>
              <a:graphicData uri="http://schemas.openxmlformats.org/drawingml/2006/chart">
                <c:chart xmlns:c="http://schemas.openxmlformats.org/drawingml/2006/chart" r:id="rId8"/>
              </a:graphicData>
            </a:graphic>
          </wp:anchor>
        </w:drawing>
      </w:r>
      <w:r>
        <w:rPr>
          <w:rFonts w:ascii="仿宋" w:eastAsia="仿宋"/>
          <w:sz w:val="32"/>
          <w:szCs w:val="32"/>
        </w:rPr>
        <w:t>20</w:t>
      </w:r>
      <w:r>
        <w:rPr>
          <w:rFonts w:ascii="仿宋" w:eastAsia="仿宋" w:hint="eastAsia"/>
          <w:sz w:val="32"/>
          <w:szCs w:val="32"/>
        </w:rPr>
        <w:t>2</w:t>
      </w:r>
      <w:r>
        <w:rPr>
          <w:rFonts w:ascii="仿宋" w:eastAsia="仿宋" w:hint="eastAsia"/>
          <w:sz w:val="32"/>
          <w:szCs w:val="32"/>
          <w:lang w:val="en-US" w:eastAsia="zh-CN"/>
        </w:rPr>
        <w:t>2</w:t>
      </w:r>
      <w:r>
        <w:rPr>
          <w:rFonts w:ascii="仿宋" w:eastAsia="仿宋" w:hint="eastAsia"/>
          <w:sz w:val="32"/>
          <w:szCs w:val="32"/>
        </w:rPr>
        <w:t>年一般公共预算财政拨款支出</w:t>
      </w:r>
      <w:r>
        <w:rPr>
          <w:rFonts w:ascii="仿宋" w:eastAsia="仿宋" w:hint="eastAsia"/>
          <w:sz w:val="32"/>
          <w:szCs w:val="32"/>
          <w:lang w:val="en-US" w:eastAsia="zh-CN"/>
        </w:rPr>
        <w:t>297.18</w:t>
      </w:r>
      <w:r>
        <w:rPr>
          <w:rFonts w:ascii="仿宋" w:eastAsia="仿宋" w:hint="eastAsia"/>
          <w:sz w:val="32"/>
          <w:szCs w:val="32"/>
        </w:rPr>
        <w:t>万元，占本年支出合计的</w:t>
      </w:r>
      <w:r>
        <w:rPr>
          <w:rFonts w:ascii="仿宋" w:eastAsia="仿宋" w:hint="eastAsia"/>
          <w:sz w:val="32"/>
          <w:szCs w:val="32"/>
          <w:lang w:val="en-US" w:eastAsia="zh-CN"/>
        </w:rPr>
        <w:t>98.78</w:t>
      </w:r>
      <w:r>
        <w:rPr>
          <w:rFonts w:ascii="仿宋" w:eastAsia="仿宋"/>
          <w:sz w:val="32"/>
          <w:szCs w:val="32"/>
        </w:rPr>
        <w:t>%</w:t>
      </w:r>
      <w:r>
        <w:rPr>
          <w:rFonts w:ascii="仿宋" w:eastAsia="仿宋" w:hint="eastAsia"/>
          <w:sz w:val="32"/>
          <w:szCs w:val="32"/>
        </w:rPr>
        <w:t>。与</w:t>
      </w:r>
      <w:r>
        <w:rPr>
          <w:rFonts w:ascii="仿宋" w:eastAsia="仿宋"/>
          <w:sz w:val="32"/>
          <w:szCs w:val="32"/>
        </w:rPr>
        <w:t>20</w:t>
      </w:r>
      <w:r>
        <w:rPr>
          <w:rFonts w:ascii="仿宋" w:eastAsia="仿宋" w:hint="eastAsia"/>
          <w:sz w:val="32"/>
          <w:szCs w:val="32"/>
        </w:rPr>
        <w:t>2</w:t>
      </w:r>
      <w:r>
        <w:rPr>
          <w:rFonts w:ascii="仿宋" w:eastAsia="仿宋" w:hint="eastAsia"/>
          <w:sz w:val="32"/>
          <w:szCs w:val="32"/>
          <w:lang w:val="en-US" w:eastAsia="zh-CN"/>
        </w:rPr>
        <w:t>1</w:t>
      </w:r>
      <w:r>
        <w:rPr>
          <w:rFonts w:ascii="仿宋" w:eastAsia="仿宋" w:hint="eastAsia"/>
          <w:sz w:val="32"/>
          <w:szCs w:val="32"/>
        </w:rPr>
        <w:t>年相比，一般公共预算财政拨款支出增加</w:t>
      </w:r>
      <w:r>
        <w:rPr>
          <w:rFonts w:ascii="仿宋" w:eastAsia="仿宋" w:hint="eastAsia"/>
          <w:sz w:val="32"/>
          <w:szCs w:val="32"/>
          <w:lang w:val="en-US" w:eastAsia="zh-CN"/>
        </w:rPr>
        <w:t>16.91</w:t>
      </w:r>
      <w:r>
        <w:rPr>
          <w:rFonts w:ascii="仿宋" w:eastAsia="仿宋" w:hint="eastAsia"/>
          <w:sz w:val="32"/>
          <w:szCs w:val="32"/>
        </w:rPr>
        <w:t>万元，增长</w:t>
      </w:r>
      <w:r>
        <w:rPr>
          <w:rFonts w:ascii="仿宋" w:eastAsia="仿宋" w:hint="eastAsia"/>
          <w:sz w:val="32"/>
          <w:szCs w:val="32"/>
          <w:lang w:val="en-US" w:eastAsia="zh-CN"/>
        </w:rPr>
        <w:t>6.03</w:t>
      </w:r>
      <w:r>
        <w:rPr>
          <w:rFonts w:ascii="仿宋" w:eastAsia="仿宋"/>
          <w:sz w:val="32"/>
          <w:szCs w:val="32"/>
        </w:rPr>
        <w:t>%</w:t>
      </w:r>
      <w:r>
        <w:rPr>
          <w:rFonts w:ascii="仿宋" w:eastAsia="仿宋" w:hint="eastAsia"/>
          <w:sz w:val="32"/>
          <w:szCs w:val="32"/>
        </w:rPr>
        <w:t>。主要变动原因是</w:t>
      </w:r>
      <w:r>
        <w:rPr>
          <w:rFonts w:ascii="仿宋" w:eastAsia="仿宋"/>
          <w:color w:val="000000"/>
          <w:sz w:val="32"/>
          <w:szCs w:val="32"/>
          <w14:textFill>
            <w14:solidFill>
              <w14:srgbClr w14:val="000000"/>
            </w14:solidFill>
          </w14:textFill>
        </w:rPr>
        <w:t>本年教职工人数增加，人均工资有所增长，年度考核奖随工资发放，各类保险基数增长，人员经费收支相应增加。</w:t>
      </w:r>
    </w:p>
    <w:p>
      <w:pPr>
        <w:spacing w:line="600" w:lineRule="exact"/>
        <w:ind w:firstLineChars="200" w:firstLine="640"/>
        <w:rPr>
          <w:rFonts w:ascii="仿宋" w:eastAsia="仿宋"/>
          <w:sz w:val="32"/>
          <w:szCs w:val="32"/>
        </w:rPr>
      </w:pPr>
    </w:p>
    <w:p>
      <w:pPr>
        <w:spacing w:line="600" w:lineRule="exact"/>
        <w:ind w:left="0" w:firstLineChars="150" w:firstLine="480"/>
        <w:rPr>
          <w:rFonts w:ascii="仿宋" w:eastAsia="仿宋"/>
          <w:sz w:val="32"/>
          <w:szCs w:val="32"/>
        </w:rPr>
      </w:pPr>
      <w:r>
        <w:rPr>
          <w:rFonts w:ascii="仿宋" w:eastAsia="仿宋" w:hint="eastAsia"/>
          <w:sz w:val="32"/>
          <w:szCs w:val="32"/>
        </w:rPr>
        <w:t>（图5：一般公共预算财政拨款支出决算变动情况）</w:t>
      </w:r>
    </w:p>
    <w:p>
      <w:pPr>
        <w:spacing w:line="600" w:lineRule="exact"/>
        <w:ind w:firstLineChars="200" w:firstLine="640"/>
        <w:rPr>
          <w:rFonts w:ascii="仿宋" w:eastAsia="仿宋"/>
          <w:sz w:val="32"/>
          <w:szCs w:val="32"/>
        </w:rPr>
      </w:pPr>
    </w:p>
    <w:p>
      <w:pPr>
        <w:spacing w:line="600" w:lineRule="exact"/>
        <w:ind w:firstLineChars="200" w:firstLine="640"/>
        <w:outlineLvl w:val="2"/>
        <w:rPr>
          <w:rFonts w:ascii="仿宋" w:eastAsia="仿宋"/>
          <w:b/>
          <w:sz w:val="32"/>
          <w:szCs w:val="32"/>
        </w:rPr>
      </w:pPr>
      <w:bookmarkStart w:id="30" w:name="_Toc15377211"/>
      <w:r>
        <w:rPr>
          <w:rFonts w:ascii="仿宋" w:eastAsia="仿宋" w:hint="eastAsia"/>
          <w:b/>
          <w:sz w:val="32"/>
          <w:szCs w:val="32"/>
        </w:rPr>
        <w:t>（二）一般公共预算财政拨款支出决算结构情况</w:t>
      </w:r>
      <w:bookmarkEnd w:id="30"/>
    </w:p>
    <w:p>
      <w:pPr>
        <w:spacing w:line="600" w:lineRule="exact"/>
        <w:ind w:firstLine="640"/>
        <w:rPr>
          <w:rFonts w:ascii="仿宋" w:eastAsia="仿宋"/>
          <w:b/>
          <w:sz w:val="32"/>
          <w:szCs w:val="32"/>
        </w:rPr>
      </w:pPr>
      <w:r>
        <w:rPr>
          <w:rFonts w:ascii="仿宋" w:eastAsia="仿宋"/>
          <w:sz w:val="32"/>
          <w:szCs w:val="32"/>
        </w:rPr>
        <w:t>20</w:t>
      </w:r>
      <w:r>
        <w:rPr>
          <w:rFonts w:ascii="仿宋" w:eastAsia="仿宋" w:hint="eastAsia"/>
          <w:sz w:val="32"/>
          <w:szCs w:val="32"/>
        </w:rPr>
        <w:t>2</w:t>
      </w:r>
      <w:r>
        <w:rPr>
          <w:rFonts w:ascii="仿宋" w:eastAsia="仿宋" w:hint="eastAsia"/>
          <w:sz w:val="32"/>
          <w:szCs w:val="32"/>
          <w:lang w:val="en-US" w:eastAsia="zh-CN"/>
        </w:rPr>
        <w:t>2</w:t>
      </w:r>
      <w:r>
        <w:rPr>
          <w:rFonts w:ascii="仿宋" w:eastAsia="仿宋" w:hint="eastAsia"/>
          <w:sz w:val="32"/>
          <w:szCs w:val="32"/>
        </w:rPr>
        <w:t>年一般公共预算财政拨款支出</w:t>
      </w:r>
      <w:r>
        <w:rPr>
          <w:rFonts w:ascii="仿宋" w:eastAsia="仿宋" w:hint="eastAsia"/>
          <w:sz w:val="32"/>
          <w:szCs w:val="32"/>
          <w:lang w:val="en-US" w:eastAsia="zh-CN"/>
        </w:rPr>
        <w:t>297.18</w:t>
      </w:r>
      <w:r>
        <w:rPr>
          <w:rFonts w:ascii="仿宋" w:eastAsia="仿宋" w:hint="eastAsia"/>
          <w:sz w:val="32"/>
          <w:szCs w:val="32"/>
        </w:rPr>
        <w:t>万元，主要用于以下方面</w:t>
      </w:r>
      <w:r>
        <w:rPr>
          <w:rFonts w:ascii="仿宋" w:eastAsia="仿宋"/>
          <w:sz w:val="32"/>
          <w:szCs w:val="32"/>
        </w:rPr>
        <w:t>:</w:t>
      </w:r>
      <w:r>
        <w:rPr>
          <w:rFonts w:ascii="仿宋" w:eastAsia="仿宋" w:hint="eastAsia"/>
          <w:b/>
          <w:sz w:val="32"/>
          <w:szCs w:val="32"/>
        </w:rPr>
        <w:t>一般公共服务（类）</w:t>
      </w:r>
      <w:r>
        <w:rPr>
          <w:rFonts w:ascii="仿宋" w:eastAsia="仿宋" w:hint="eastAsia"/>
          <w:sz w:val="32"/>
          <w:szCs w:val="32"/>
        </w:rPr>
        <w:t>支出</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w:t>
      </w:r>
      <w:r>
        <w:rPr>
          <w:rFonts w:ascii="仿宋" w:eastAsia="仿宋" w:hint="eastAsia"/>
          <w:b/>
          <w:sz w:val="32"/>
          <w:szCs w:val="32"/>
        </w:rPr>
        <w:t>教育支出（类）</w:t>
      </w:r>
      <w:r>
        <w:rPr>
          <w:rFonts w:ascii="仿宋" w:eastAsia="仿宋" w:hint="eastAsia"/>
          <w:b/>
          <w:sz w:val="32"/>
          <w:szCs w:val="32"/>
          <w:lang w:val="en-US" w:eastAsia="zh-CN"/>
        </w:rPr>
        <w:t>230.93</w:t>
      </w:r>
      <w:r>
        <w:rPr>
          <w:rFonts w:ascii="仿宋" w:eastAsia="仿宋" w:hint="eastAsia"/>
          <w:sz w:val="32"/>
          <w:szCs w:val="32"/>
        </w:rPr>
        <w:t>万元，占</w:t>
      </w:r>
      <w:r>
        <w:rPr>
          <w:rFonts w:ascii="仿宋" w:eastAsia="仿宋" w:hint="eastAsia"/>
          <w:sz w:val="32"/>
          <w:szCs w:val="32"/>
          <w:lang w:val="en-US" w:eastAsia="zh-CN"/>
        </w:rPr>
        <w:t>77.71</w:t>
      </w:r>
      <w:r>
        <w:rPr>
          <w:rFonts w:ascii="仿宋" w:eastAsia="仿宋"/>
          <w:sz w:val="32"/>
          <w:szCs w:val="32"/>
        </w:rPr>
        <w:t>%</w:t>
      </w:r>
      <w:r>
        <w:rPr>
          <w:rFonts w:ascii="仿宋" w:eastAsia="仿宋" w:hint="eastAsia"/>
          <w:sz w:val="32"/>
          <w:szCs w:val="32"/>
        </w:rPr>
        <w:t>；</w:t>
      </w:r>
      <w:r>
        <w:rPr>
          <w:rFonts w:ascii="仿宋" w:eastAsia="仿宋" w:hint="eastAsia"/>
          <w:b/>
          <w:sz w:val="32"/>
          <w:szCs w:val="32"/>
        </w:rPr>
        <w:t>科学技术（类）</w:t>
      </w:r>
      <w:r>
        <w:rPr>
          <w:rFonts w:ascii="仿宋" w:eastAsia="仿宋" w:hint="eastAsia"/>
          <w:sz w:val="32"/>
          <w:szCs w:val="32"/>
        </w:rPr>
        <w:t>支出</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w:t>
      </w:r>
      <w:r>
        <w:rPr>
          <w:rFonts w:ascii="仿宋" w:eastAsia="仿宋" w:hint="eastAsia"/>
          <w:b/>
          <w:bCs/>
          <w:sz w:val="32"/>
          <w:szCs w:val="32"/>
        </w:rPr>
        <w:t>文化旅游体育与传媒（类）支出</w:t>
      </w:r>
      <w:r>
        <w:rPr>
          <w:rFonts w:ascii="仿宋" w:eastAsia="仿宋" w:hint="eastAsia"/>
          <w:b/>
          <w:bCs/>
          <w:sz w:val="32"/>
          <w:szCs w:val="32"/>
          <w:lang w:val="en-US" w:eastAsia="zh-CN"/>
        </w:rPr>
        <w:t>0</w:t>
      </w:r>
      <w:r>
        <w:rPr>
          <w:rFonts w:ascii="仿宋" w:eastAsia="仿宋" w:hint="eastAsia"/>
          <w:b/>
          <w:bCs/>
          <w:sz w:val="32"/>
          <w:szCs w:val="32"/>
        </w:rPr>
        <w:t>万元，占</w:t>
      </w:r>
      <w:r>
        <w:rPr>
          <w:rFonts w:ascii="仿宋" w:eastAsia="仿宋" w:hint="eastAsia"/>
          <w:b/>
          <w:bCs/>
          <w:sz w:val="32"/>
          <w:szCs w:val="32"/>
          <w:lang w:val="en-US" w:eastAsia="zh-CN"/>
        </w:rPr>
        <w:t>0</w:t>
      </w:r>
      <w:r>
        <w:rPr>
          <w:rFonts w:ascii="仿宋" w:eastAsia="仿宋"/>
          <w:b/>
          <w:bCs/>
          <w:sz w:val="32"/>
          <w:szCs w:val="32"/>
        </w:rPr>
        <w:t>%</w:t>
      </w:r>
      <w:r>
        <w:rPr>
          <w:rFonts w:ascii="仿宋" w:eastAsia="仿宋" w:hint="eastAsia"/>
          <w:sz w:val="32"/>
          <w:szCs w:val="32"/>
        </w:rPr>
        <w:t>；</w:t>
      </w:r>
      <w:r>
        <w:rPr>
          <w:rFonts w:ascii="仿宋" w:eastAsia="仿宋" w:hint="eastAsia"/>
          <w:b/>
          <w:sz w:val="32"/>
          <w:szCs w:val="32"/>
        </w:rPr>
        <w:t>社会保障和就业（类）</w:t>
      </w:r>
      <w:r>
        <w:rPr>
          <w:rFonts w:ascii="仿宋" w:eastAsia="仿宋" w:hint="eastAsia"/>
          <w:sz w:val="32"/>
          <w:szCs w:val="32"/>
        </w:rPr>
        <w:t>支出</w:t>
      </w:r>
      <w:r>
        <w:rPr>
          <w:rFonts w:ascii="仿宋" w:eastAsia="仿宋" w:hint="eastAsia"/>
          <w:sz w:val="32"/>
          <w:szCs w:val="32"/>
          <w:lang w:val="en-US" w:eastAsia="zh-CN"/>
        </w:rPr>
        <w:t>32.46</w:t>
      </w:r>
      <w:r>
        <w:rPr>
          <w:rFonts w:ascii="仿宋" w:eastAsia="仿宋" w:hint="eastAsia"/>
          <w:sz w:val="32"/>
          <w:szCs w:val="32"/>
        </w:rPr>
        <w:t>万元，占</w:t>
      </w:r>
      <w:r>
        <w:rPr>
          <w:rFonts w:ascii="仿宋" w:eastAsia="仿宋" w:hint="eastAsia"/>
          <w:sz w:val="32"/>
          <w:szCs w:val="32"/>
          <w:lang w:val="en-US" w:eastAsia="zh-CN"/>
        </w:rPr>
        <w:t>10.92</w:t>
      </w:r>
      <w:r>
        <w:rPr>
          <w:rFonts w:ascii="仿宋" w:eastAsia="仿宋"/>
          <w:sz w:val="32"/>
          <w:szCs w:val="32"/>
        </w:rPr>
        <w:t>%</w:t>
      </w:r>
      <w:r>
        <w:rPr>
          <w:rFonts w:ascii="仿宋" w:eastAsia="仿宋" w:hint="eastAsia"/>
          <w:sz w:val="32"/>
          <w:szCs w:val="32"/>
        </w:rPr>
        <w:t>；</w:t>
      </w:r>
      <w:r>
        <w:rPr>
          <w:rFonts w:ascii="仿宋" w:eastAsia="仿宋" w:hint="eastAsia"/>
          <w:b/>
          <w:bCs/>
          <w:sz w:val="32"/>
          <w:szCs w:val="32"/>
        </w:rPr>
        <w:t>卫生健康支出</w:t>
      </w:r>
      <w:r>
        <w:rPr>
          <w:rFonts w:ascii="仿宋" w:eastAsia="仿宋" w:hint="eastAsia"/>
          <w:b/>
          <w:bCs/>
          <w:sz w:val="32"/>
          <w:szCs w:val="32"/>
          <w:lang w:val="en-US" w:eastAsia="zh-CN"/>
        </w:rPr>
        <w:t>14.28</w:t>
      </w:r>
      <w:r>
        <w:rPr>
          <w:rFonts w:ascii="仿宋" w:eastAsia="仿宋" w:hint="eastAsia"/>
          <w:sz w:val="32"/>
          <w:szCs w:val="32"/>
        </w:rPr>
        <w:t>万元，占</w:t>
      </w:r>
      <w:r>
        <w:rPr>
          <w:rFonts w:ascii="仿宋" w:eastAsia="仿宋" w:hint="eastAsia"/>
          <w:sz w:val="32"/>
          <w:szCs w:val="32"/>
          <w:lang w:val="en-US" w:eastAsia="zh-CN"/>
        </w:rPr>
        <w:t>4.81</w:t>
      </w:r>
      <w:r>
        <w:rPr>
          <w:rFonts w:ascii="仿宋" w:eastAsia="仿宋"/>
          <w:sz w:val="32"/>
          <w:szCs w:val="32"/>
        </w:rPr>
        <w:t>%</w:t>
      </w:r>
      <w:r>
        <w:rPr>
          <w:rFonts w:ascii="仿宋" w:eastAsia="仿宋" w:hint="eastAsia"/>
          <w:sz w:val="32"/>
          <w:szCs w:val="32"/>
        </w:rPr>
        <w:t>；住房保障支出</w:t>
      </w:r>
      <w:r>
        <w:rPr>
          <w:rFonts w:ascii="仿宋" w:eastAsia="仿宋" w:hint="eastAsia"/>
          <w:sz w:val="32"/>
          <w:szCs w:val="32"/>
          <w:lang w:val="en-US" w:eastAsia="zh-CN"/>
        </w:rPr>
        <w:t>19.51</w:t>
      </w:r>
      <w:r>
        <w:rPr>
          <w:rFonts w:ascii="仿宋" w:eastAsia="仿宋" w:hint="eastAsia"/>
          <w:sz w:val="32"/>
          <w:szCs w:val="32"/>
        </w:rPr>
        <w:t>万元，占</w:t>
      </w:r>
      <w:r>
        <w:rPr>
          <w:rFonts w:ascii="仿宋" w:eastAsia="仿宋" w:hint="eastAsia"/>
          <w:sz w:val="32"/>
          <w:szCs w:val="32"/>
          <w:lang w:val="en-US" w:eastAsia="zh-CN"/>
        </w:rPr>
        <w:t>6.57</w:t>
      </w:r>
      <w:r>
        <w:rPr>
          <w:rFonts w:ascii="仿宋" w:eastAsia="仿宋"/>
          <w:sz w:val="32"/>
          <w:szCs w:val="32"/>
        </w:rPr>
        <w:t>%</w:t>
      </w:r>
      <w:r>
        <w:rPr>
          <w:rFonts w:ascii="仿宋" w:eastAsia="仿宋" w:hint="eastAsia"/>
          <w:sz w:val="32"/>
          <w:szCs w:val="32"/>
        </w:rPr>
        <w:t>；</w:t>
      </w:r>
      <w:r>
        <w:rPr>
          <w:rFonts w:ascii="仿宋" w:eastAsia="仿宋"/>
          <w:sz w:val="32"/>
          <w:szCs w:val="32"/>
        </w:rPr>
        <w:t>…</w:t>
      </w:r>
      <w:r>
        <w:rPr>
          <w:rFonts w:ascii="仿宋" w:eastAsia="仿宋" w:hint="eastAsia"/>
          <w:sz w:val="32"/>
          <w:szCs w:val="32"/>
        </w:rPr>
        <w:t>。</w:t>
      </w:r>
    </w:p>
    <w:p>
      <w:pPr>
        <w:spacing w:line="600" w:lineRule="exact"/>
        <w:ind w:firstLine="640"/>
        <w:rPr>
          <w:rFonts w:ascii="仿宋" w:eastAsia="仿宋" w:hint="eastAsia"/>
          <w:b/>
          <w:sz w:val="32"/>
          <w:szCs w:val="32"/>
        </w:rPr>
      </w:pPr>
      <w:r>
        <w:rPr>
          <w:rFonts w:ascii="仿宋" w:eastAsia="仿宋" w:hint="eastAsia"/>
          <w:b/>
          <w:sz w:val="32"/>
          <w:szCs w:val="32"/>
        </w:rPr>
        <w:t>（注：数据来源于财决01-1表，仅罗列本单位涉及的全部功能分类科目，至类级。）</w:t>
      </w:r>
    </w:p>
    <w:p>
      <w:pPr>
        <w:pStyle w:val="15"/>
        <w:rPr>
          <w:rFonts w:ascii="仿宋" w:eastAsia="仿宋"/>
          <w:sz w:val="32"/>
          <w:szCs w:val="32"/>
        </w:rPr>
      </w:pPr>
      <w:r>
        <w:drawing>
          <wp:inline distT="0" distB="0" distL="114300" distR="114300">
            <wp:extent cx="5525770" cy="2811780"/>
            <wp:effectExtent l="0" t="0" r="0" b="0"/>
            <wp:docPr id="6" name="图表 11"/>
            <wp:cNvGraphicFramePr>
              <a:graphicFrameLocks noChangeAspect="0"/>
            </wp:cNvGraphicFramePr>
            <a:graphic>
              <a:graphicData uri="http://schemas.openxmlformats.org/drawingml/2006/chart">
                <c:chart xmlns:c="http://schemas.openxmlformats.org/drawingml/2006/chart" r:id="rId9"/>
              </a:graphicData>
            </a:graphic>
          </wp:inline>
        </w:drawing>
      </w:r>
    </w:p>
    <w:p>
      <w:pPr>
        <w:spacing w:line="600" w:lineRule="exact"/>
        <w:ind w:left="0"/>
        <w:rPr>
          <w:rFonts w:ascii="仿宋" w:eastAsia="仿宋"/>
          <w:sz w:val="32"/>
          <w:szCs w:val="32"/>
        </w:rPr>
      </w:pPr>
      <w:bookmarkStart w:id="31" w:name="_GoBack"/>
      <w:bookmarkEnd w:id="31"/>
      <w:r>
        <w:rPr>
          <w:rFonts w:ascii="仿宋" w:eastAsia="仿宋" w:hint="eastAsia"/>
          <w:sz w:val="32"/>
          <w:szCs w:val="32"/>
        </w:rPr>
        <w:t>（图6：一般公共预算财政拨款支出决算结构）（饼状图）</w:t>
      </w:r>
    </w:p>
    <w:p>
      <w:pPr>
        <w:spacing w:line="600" w:lineRule="exact"/>
        <w:ind w:firstLineChars="200" w:firstLine="640"/>
        <w:rPr>
          <w:rFonts w:ascii="仿宋" w:eastAsia="仿宋"/>
          <w:sz w:val="32"/>
          <w:szCs w:val="32"/>
        </w:rPr>
      </w:pPr>
    </w:p>
    <w:p>
      <w:pPr>
        <w:spacing w:line="600" w:lineRule="exact"/>
        <w:ind w:firstLineChars="200" w:firstLine="640"/>
        <w:outlineLvl w:val="2"/>
        <w:rPr>
          <w:rFonts w:ascii="仿宋" w:eastAsia="仿宋"/>
          <w:b/>
          <w:sz w:val="32"/>
          <w:szCs w:val="32"/>
        </w:rPr>
      </w:pPr>
      <w:bookmarkStart w:id="32" w:name="_Toc15377212"/>
      <w:r>
        <w:rPr>
          <w:rFonts w:ascii="仿宋" w:eastAsia="仿宋" w:hint="eastAsia"/>
          <w:b/>
          <w:sz w:val="32"/>
          <w:szCs w:val="32"/>
        </w:rPr>
        <w:t>（三）一般公共预算财政拨款支出决算具体情况</w:t>
      </w:r>
      <w:bookmarkEnd w:id="32"/>
    </w:p>
    <w:p>
      <w:pPr>
        <w:spacing w:line="600" w:lineRule="exact"/>
        <w:ind w:firstLineChars="200" w:firstLine="640"/>
        <w:outlineLvl w:val="2"/>
        <w:rPr>
          <w:rFonts w:ascii="仿宋" w:eastAsia="仿宋"/>
          <w:sz w:val="32"/>
          <w:szCs w:val="32"/>
        </w:rPr>
      </w:pPr>
      <w:bookmarkStart w:id="33" w:name="_Toc15378460"/>
      <w:bookmarkStart w:id="34" w:name="_Toc15377213"/>
      <w:bookmarkStart w:id="35" w:name="_Toc15377444"/>
      <w:r>
        <w:rPr>
          <w:rFonts w:ascii="仿宋" w:eastAsia="仿宋" w:hint="eastAsia"/>
          <w:b/>
          <w:sz w:val="32"/>
          <w:szCs w:val="32"/>
        </w:rPr>
        <w:t>202</w:t>
      </w:r>
      <w:r>
        <w:rPr>
          <w:rFonts w:ascii="仿宋" w:eastAsia="仿宋" w:hint="eastAsia"/>
          <w:b/>
          <w:sz w:val="32"/>
          <w:szCs w:val="32"/>
          <w:lang w:val="en-US" w:eastAsia="zh-CN"/>
        </w:rPr>
        <w:t>2</w:t>
      </w:r>
      <w:r>
        <w:rPr>
          <w:rFonts w:ascii="仿宋" w:eastAsia="仿宋" w:hint="eastAsia"/>
          <w:b/>
          <w:sz w:val="32"/>
          <w:szCs w:val="32"/>
        </w:rPr>
        <w:t>年一般公共预算支出决算数为</w:t>
      </w:r>
      <w:r>
        <w:rPr>
          <w:rFonts w:ascii="仿宋" w:eastAsia="仿宋" w:hint="eastAsia"/>
          <w:b/>
          <w:sz w:val="32"/>
          <w:szCs w:val="32"/>
          <w:lang w:val="en-US" w:eastAsia="zh-CN"/>
        </w:rPr>
        <w:t>230.93</w:t>
      </w:r>
      <w:r>
        <w:rPr>
          <w:rFonts w:ascii="仿宋" w:eastAsia="仿宋" w:hint="eastAsia"/>
          <w:sz w:val="32"/>
          <w:szCs w:val="32"/>
        </w:rPr>
        <w:t>，</w:t>
      </w:r>
      <w:r>
        <w:rPr>
          <w:rStyle w:val="22"/>
          <w:rFonts w:ascii="仿宋" w:eastAsia="仿宋" w:hint="eastAsia"/>
          <w:bCs/>
          <w:sz w:val="32"/>
          <w:szCs w:val="32"/>
        </w:rPr>
        <w:t>完成预算</w:t>
      </w:r>
      <w:r>
        <w:rPr>
          <w:rStyle w:val="22"/>
          <w:rFonts w:ascii="仿宋" w:eastAsia="仿宋" w:hint="eastAsia"/>
          <w:bCs/>
          <w:sz w:val="32"/>
          <w:szCs w:val="32"/>
          <w:lang w:val="en-US" w:eastAsia="zh-CN"/>
        </w:rPr>
        <w:t>100</w:t>
      </w:r>
      <w:r>
        <w:rPr>
          <w:rStyle w:val="22"/>
          <w:rFonts w:ascii="仿宋" w:eastAsia="仿宋"/>
          <w:bCs/>
          <w:sz w:val="32"/>
          <w:szCs w:val="32"/>
        </w:rPr>
        <w:t>%</w:t>
      </w:r>
      <w:r>
        <w:rPr>
          <w:rStyle w:val="22"/>
          <w:rFonts w:ascii="仿宋" w:eastAsia="仿宋" w:hint="eastAsia"/>
          <w:bCs/>
          <w:sz w:val="32"/>
          <w:szCs w:val="32"/>
        </w:rPr>
        <w:t>。其中：</w:t>
      </w:r>
      <w:bookmarkEnd w:id="33"/>
      <w:bookmarkEnd w:id="34"/>
      <w:bookmarkEnd w:id="35"/>
    </w:p>
    <w:p>
      <w:pPr>
        <w:spacing w:line="600" w:lineRule="exact"/>
        <w:ind w:firstLineChars="200" w:firstLine="640"/>
        <w:rPr>
          <w:rFonts w:ascii="仿宋" w:eastAsia="仿宋"/>
          <w:b/>
          <w:sz w:val="32"/>
          <w:szCs w:val="32"/>
        </w:rPr>
      </w:pPr>
      <w:r>
        <w:rPr>
          <w:rStyle w:val="22"/>
          <w:rFonts w:ascii="仿宋" w:eastAsia="仿宋"/>
          <w:bCs/>
          <w:sz w:val="32"/>
          <w:szCs w:val="32"/>
        </w:rPr>
        <w:t>1.</w:t>
      </w:r>
      <w:r>
        <w:rPr>
          <w:rStyle w:val="22"/>
          <w:rFonts w:ascii="仿宋" w:eastAsia="仿宋" w:hint="eastAsia"/>
          <w:bCs/>
          <w:sz w:val="32"/>
          <w:szCs w:val="32"/>
        </w:rPr>
        <w:t>教育</w:t>
      </w:r>
      <w:r>
        <w:rPr>
          <w:rStyle w:val="22"/>
          <w:rFonts w:ascii="仿宋" w:eastAsia="仿宋" w:hint="eastAsia"/>
          <w:bCs/>
          <w:sz w:val="32"/>
          <w:szCs w:val="32"/>
          <w:lang w:val="en-US" w:eastAsia="zh-CN"/>
        </w:rPr>
        <w:t>2050202</w:t>
      </w:r>
      <w:r>
        <w:rPr>
          <w:rStyle w:val="22"/>
          <w:rFonts w:ascii="仿宋" w:eastAsia="仿宋"/>
          <w:bCs/>
          <w:sz w:val="32"/>
          <w:szCs w:val="32"/>
        </w:rPr>
        <w:t>:</w:t>
      </w:r>
      <w:r>
        <w:rPr>
          <w:rStyle w:val="22"/>
          <w:rFonts w:ascii="仿宋" w:eastAsia="仿宋"/>
          <w:b w:val="0"/>
          <w:bCs/>
          <w:sz w:val="32"/>
          <w:szCs w:val="32"/>
        </w:rPr>
        <w:t xml:space="preserve"> </w:t>
      </w:r>
      <w:r>
        <w:rPr>
          <w:rStyle w:val="22"/>
          <w:rFonts w:ascii="仿宋" w:eastAsia="仿宋" w:hint="eastAsia"/>
          <w:b w:val="0"/>
          <w:bCs/>
          <w:sz w:val="32"/>
          <w:szCs w:val="32"/>
        </w:rPr>
        <w:t>支出决算为</w:t>
      </w:r>
      <w:r>
        <w:rPr>
          <w:rStyle w:val="22"/>
          <w:rFonts w:ascii="仿宋" w:eastAsia="仿宋" w:hint="eastAsia"/>
          <w:b w:val="0"/>
          <w:bCs/>
          <w:sz w:val="32"/>
          <w:szCs w:val="32"/>
          <w:lang w:val="en-US" w:eastAsia="zh-CN"/>
        </w:rPr>
        <w:t>223.03</w:t>
      </w:r>
      <w:r>
        <w:rPr>
          <w:rStyle w:val="22"/>
          <w:rFonts w:ascii="仿宋" w:eastAsia="仿宋" w:hint="eastAsia"/>
          <w:b w:val="0"/>
          <w:bCs/>
          <w:sz w:val="32"/>
          <w:szCs w:val="32"/>
        </w:rPr>
        <w:t>万元，完成预算</w:t>
      </w:r>
      <w:r>
        <w:rPr>
          <w:rStyle w:val="22"/>
          <w:rFonts w:ascii="仿宋" w:eastAsia="仿宋" w:hint="eastAsia"/>
          <w:b w:val="0"/>
          <w:bCs/>
          <w:sz w:val="32"/>
          <w:szCs w:val="32"/>
          <w:lang w:val="en-US" w:eastAsia="zh-CN"/>
        </w:rPr>
        <w:t>100</w:t>
      </w:r>
      <w:r>
        <w:rPr>
          <w:rStyle w:val="22"/>
          <w:rFonts w:ascii="仿宋" w:eastAsia="仿宋"/>
          <w:b w:val="0"/>
          <w:bCs/>
          <w:sz w:val="32"/>
          <w:szCs w:val="32"/>
        </w:rPr>
        <w:t>%</w:t>
      </w:r>
    </w:p>
    <w:p>
      <w:pPr>
        <w:spacing w:line="600" w:lineRule="exact"/>
        <w:ind w:firstLineChars="200" w:firstLine="640"/>
        <w:rPr>
          <w:rStyle w:val="22"/>
          <w:rFonts w:ascii="仿宋" w:eastAsia="仿宋" w:hint="eastAsia"/>
          <w:b w:val="0"/>
          <w:bCs/>
          <w:sz w:val="32"/>
          <w:szCs w:val="32"/>
        </w:rPr>
      </w:pPr>
      <w:r>
        <w:rPr>
          <w:rStyle w:val="22"/>
          <w:rFonts w:ascii="仿宋" w:eastAsia="仿宋" w:hint="eastAsia"/>
          <w:bCs/>
          <w:sz w:val="32"/>
          <w:szCs w:val="32"/>
          <w:lang w:val="en-US" w:eastAsia="zh-CN"/>
        </w:rPr>
        <w:t>2</w:t>
      </w:r>
      <w:r>
        <w:rPr>
          <w:rStyle w:val="22"/>
          <w:rFonts w:ascii="仿宋" w:eastAsia="仿宋"/>
          <w:bCs/>
          <w:sz w:val="32"/>
          <w:szCs w:val="32"/>
        </w:rPr>
        <w:t>.</w:t>
      </w:r>
      <w:r>
        <w:rPr>
          <w:rStyle w:val="22"/>
          <w:rFonts w:ascii="仿宋" w:eastAsia="仿宋" w:hint="eastAsia"/>
          <w:bCs/>
          <w:sz w:val="32"/>
          <w:szCs w:val="32"/>
        </w:rPr>
        <w:t>社会保障和就业</w:t>
      </w:r>
      <w:r>
        <w:rPr>
          <w:rStyle w:val="22"/>
          <w:rFonts w:ascii="仿宋" w:eastAsia="仿宋" w:hint="eastAsia"/>
          <w:bCs/>
          <w:sz w:val="32"/>
          <w:szCs w:val="32"/>
          <w:lang w:val="en-US" w:eastAsia="zh-CN"/>
        </w:rPr>
        <w:t>2050202</w:t>
      </w:r>
      <w:r>
        <w:rPr>
          <w:rStyle w:val="22"/>
          <w:rFonts w:ascii="仿宋" w:eastAsia="仿宋"/>
          <w:bCs/>
          <w:sz w:val="32"/>
          <w:szCs w:val="32"/>
        </w:rPr>
        <w:t>:</w:t>
      </w:r>
      <w:r>
        <w:rPr>
          <w:rStyle w:val="22"/>
          <w:rFonts w:ascii="仿宋" w:eastAsia="仿宋"/>
          <w:b w:val="0"/>
          <w:bCs/>
          <w:sz w:val="32"/>
          <w:szCs w:val="32"/>
        </w:rPr>
        <w:t xml:space="preserve"> </w:t>
      </w:r>
      <w:r>
        <w:rPr>
          <w:rStyle w:val="22"/>
          <w:rFonts w:ascii="仿宋" w:eastAsia="仿宋" w:hint="eastAsia"/>
          <w:b w:val="0"/>
          <w:bCs/>
          <w:sz w:val="32"/>
          <w:szCs w:val="32"/>
        </w:rPr>
        <w:t>支出决算为</w:t>
      </w:r>
      <w:r>
        <w:rPr>
          <w:rStyle w:val="22"/>
          <w:rFonts w:ascii="仿宋" w:eastAsia="仿宋" w:hint="eastAsia"/>
          <w:b w:val="0"/>
          <w:bCs/>
          <w:sz w:val="32"/>
          <w:szCs w:val="32"/>
          <w:lang w:val="en-US" w:eastAsia="zh-CN"/>
        </w:rPr>
        <w:t>32.46</w:t>
      </w:r>
      <w:r>
        <w:rPr>
          <w:rStyle w:val="22"/>
          <w:rFonts w:ascii="仿宋" w:eastAsia="仿宋" w:hint="eastAsia"/>
          <w:b w:val="0"/>
          <w:bCs/>
          <w:sz w:val="32"/>
          <w:szCs w:val="32"/>
        </w:rPr>
        <w:t>万元，完成预算</w:t>
      </w:r>
      <w:r>
        <w:rPr>
          <w:rStyle w:val="22"/>
          <w:rFonts w:ascii="仿宋" w:eastAsia="仿宋" w:hint="eastAsia"/>
          <w:b w:val="0"/>
          <w:bCs/>
          <w:sz w:val="32"/>
          <w:szCs w:val="32"/>
          <w:lang w:val="en-US" w:eastAsia="zh-CN"/>
        </w:rPr>
        <w:t>100</w:t>
      </w:r>
      <w:r>
        <w:rPr>
          <w:rStyle w:val="22"/>
          <w:rFonts w:ascii="仿宋" w:eastAsia="仿宋"/>
          <w:b w:val="0"/>
          <w:bCs/>
          <w:sz w:val="32"/>
          <w:szCs w:val="32"/>
        </w:rPr>
        <w:t>%</w:t>
      </w:r>
    </w:p>
    <w:p>
      <w:pPr>
        <w:spacing w:line="600" w:lineRule="exact"/>
        <w:ind w:firstLineChars="200" w:firstLine="640"/>
        <w:rPr>
          <w:rStyle w:val="22"/>
          <w:rFonts w:ascii="仿宋" w:eastAsia="仿宋" w:hint="eastAsia"/>
          <w:b w:val="0"/>
          <w:bCs/>
          <w:sz w:val="32"/>
          <w:szCs w:val="32"/>
        </w:rPr>
      </w:pPr>
      <w:r>
        <w:rPr>
          <w:rStyle w:val="22"/>
          <w:rFonts w:ascii="仿宋" w:eastAsia="仿宋" w:hint="eastAsia"/>
          <w:bCs/>
          <w:sz w:val="32"/>
          <w:szCs w:val="32"/>
          <w:lang w:val="en-US" w:eastAsia="zh-CN"/>
        </w:rPr>
        <w:t>3</w:t>
      </w:r>
      <w:r>
        <w:rPr>
          <w:rStyle w:val="22"/>
          <w:rFonts w:ascii="仿宋" w:eastAsia="仿宋"/>
          <w:bCs/>
          <w:sz w:val="32"/>
          <w:szCs w:val="32"/>
        </w:rPr>
        <w:t>.</w:t>
      </w:r>
      <w:r>
        <w:rPr>
          <w:rFonts w:ascii="仿宋" w:eastAsia="仿宋" w:hint="eastAsia"/>
          <w:b/>
          <w:bCs/>
          <w:sz w:val="32"/>
          <w:szCs w:val="32"/>
        </w:rPr>
        <w:t>卫生健康</w:t>
      </w:r>
      <w:r>
        <w:rPr>
          <w:rStyle w:val="22"/>
          <w:rFonts w:ascii="仿宋" w:eastAsia="仿宋" w:hint="eastAsia"/>
          <w:bCs/>
          <w:sz w:val="32"/>
          <w:szCs w:val="32"/>
          <w:lang w:val="en-US" w:eastAsia="zh-CN"/>
        </w:rPr>
        <w:t>2050202</w:t>
      </w:r>
      <w:r>
        <w:rPr>
          <w:rStyle w:val="22"/>
          <w:rFonts w:ascii="仿宋" w:eastAsia="仿宋"/>
          <w:bCs/>
          <w:sz w:val="32"/>
          <w:szCs w:val="32"/>
        </w:rPr>
        <w:t>:</w:t>
      </w:r>
      <w:r>
        <w:rPr>
          <w:rStyle w:val="22"/>
          <w:rFonts w:ascii="仿宋" w:eastAsia="仿宋" w:hint="eastAsia"/>
          <w:b w:val="0"/>
          <w:bCs/>
          <w:sz w:val="32"/>
          <w:szCs w:val="32"/>
        </w:rPr>
        <w:t>支出决算为</w:t>
      </w:r>
      <w:r>
        <w:rPr>
          <w:rStyle w:val="22"/>
          <w:rFonts w:ascii="仿宋" w:eastAsia="仿宋" w:hint="eastAsia"/>
          <w:b w:val="0"/>
          <w:bCs/>
          <w:sz w:val="32"/>
          <w:szCs w:val="32"/>
          <w:lang w:val="en-US" w:eastAsia="zh-CN"/>
        </w:rPr>
        <w:t>14.28</w:t>
      </w:r>
      <w:r>
        <w:rPr>
          <w:rStyle w:val="22"/>
          <w:rFonts w:ascii="仿宋" w:eastAsia="仿宋" w:hint="eastAsia"/>
          <w:b w:val="0"/>
          <w:bCs/>
          <w:sz w:val="32"/>
          <w:szCs w:val="32"/>
        </w:rPr>
        <w:t>万元，完成预算</w:t>
      </w:r>
      <w:r>
        <w:rPr>
          <w:rStyle w:val="22"/>
          <w:rFonts w:ascii="仿宋" w:eastAsia="仿宋" w:hint="eastAsia"/>
          <w:b w:val="0"/>
          <w:bCs/>
          <w:sz w:val="32"/>
          <w:szCs w:val="32"/>
          <w:lang w:val="en-US" w:eastAsia="zh-CN"/>
        </w:rPr>
        <w:t>100</w:t>
      </w:r>
      <w:r>
        <w:rPr>
          <w:rStyle w:val="22"/>
          <w:rFonts w:ascii="仿宋" w:eastAsia="仿宋"/>
          <w:b w:val="0"/>
          <w:bCs/>
          <w:sz w:val="32"/>
          <w:szCs w:val="32"/>
        </w:rPr>
        <w:t>%</w:t>
      </w:r>
      <w:r>
        <w:rPr>
          <w:rStyle w:val="22"/>
          <w:rFonts w:ascii="仿宋" w:eastAsia="仿宋" w:hint="eastAsia"/>
          <w:b w:val="0"/>
          <w:bCs/>
          <w:sz w:val="32"/>
          <w:szCs w:val="32"/>
        </w:rPr>
        <w:t>，</w:t>
      </w:r>
    </w:p>
    <w:p>
      <w:pPr>
        <w:spacing w:line="600" w:lineRule="exact"/>
        <w:ind w:firstLineChars="200" w:firstLine="640"/>
        <w:rPr>
          <w:rStyle w:val="22"/>
          <w:rFonts w:ascii="仿宋" w:eastAsia="仿宋" w:hint="eastAsia"/>
          <w:b w:val="0"/>
          <w:bCs/>
          <w:sz w:val="32"/>
          <w:szCs w:val="32"/>
        </w:rPr>
      </w:pPr>
      <w:r>
        <w:rPr>
          <w:rStyle w:val="22"/>
          <w:rFonts w:ascii="仿宋" w:eastAsia="仿宋" w:hint="eastAsia"/>
          <w:bCs/>
          <w:sz w:val="32"/>
          <w:szCs w:val="32"/>
          <w:lang w:val="en-US" w:eastAsia="zh-CN"/>
        </w:rPr>
        <w:t>4</w:t>
      </w:r>
      <w:r>
        <w:rPr>
          <w:rStyle w:val="22"/>
          <w:rFonts w:ascii="仿宋" w:eastAsia="仿宋"/>
          <w:bCs/>
          <w:sz w:val="32"/>
          <w:szCs w:val="32"/>
        </w:rPr>
        <w:t>.</w:t>
      </w:r>
      <w:r>
        <w:rPr>
          <w:rStyle w:val="22"/>
          <w:rFonts w:ascii="仿宋" w:eastAsia="仿宋" w:hint="eastAsia"/>
          <w:bCs/>
          <w:sz w:val="32"/>
          <w:szCs w:val="32"/>
        </w:rPr>
        <w:t>住房保障支出</w:t>
      </w:r>
      <w:r>
        <w:rPr>
          <w:rStyle w:val="22"/>
          <w:rFonts w:ascii="仿宋" w:eastAsia="仿宋" w:hint="eastAsia"/>
          <w:bCs/>
          <w:sz w:val="32"/>
          <w:szCs w:val="32"/>
          <w:lang w:val="en-US" w:eastAsia="zh-CN"/>
        </w:rPr>
        <w:t>2050202</w:t>
      </w:r>
      <w:r>
        <w:rPr>
          <w:rStyle w:val="22"/>
          <w:rFonts w:ascii="仿宋" w:eastAsia="仿宋"/>
          <w:bCs/>
          <w:sz w:val="32"/>
          <w:szCs w:val="32"/>
        </w:rPr>
        <w:t>:</w:t>
      </w:r>
      <w:r>
        <w:rPr>
          <w:rStyle w:val="22"/>
          <w:rFonts w:ascii="仿宋" w:eastAsia="仿宋" w:hint="eastAsia"/>
          <w:b w:val="0"/>
          <w:bCs/>
          <w:sz w:val="32"/>
          <w:szCs w:val="32"/>
        </w:rPr>
        <w:t>支出决算为</w:t>
      </w:r>
      <w:r>
        <w:rPr>
          <w:rStyle w:val="22"/>
          <w:rFonts w:ascii="仿宋" w:eastAsia="仿宋" w:hint="eastAsia"/>
          <w:b w:val="0"/>
          <w:bCs/>
          <w:sz w:val="32"/>
          <w:szCs w:val="32"/>
          <w:lang w:val="en-US" w:eastAsia="zh-CN"/>
        </w:rPr>
        <w:t>19.51</w:t>
      </w:r>
      <w:r>
        <w:rPr>
          <w:rStyle w:val="22"/>
          <w:rFonts w:ascii="仿宋" w:eastAsia="仿宋" w:hint="eastAsia"/>
          <w:b w:val="0"/>
          <w:bCs/>
          <w:sz w:val="32"/>
          <w:szCs w:val="32"/>
        </w:rPr>
        <w:t>万元，完成预算</w:t>
      </w:r>
      <w:r>
        <w:rPr>
          <w:rStyle w:val="22"/>
          <w:rFonts w:ascii="仿宋" w:eastAsia="仿宋" w:hint="eastAsia"/>
          <w:b w:val="0"/>
          <w:bCs/>
          <w:sz w:val="32"/>
          <w:szCs w:val="32"/>
          <w:lang w:val="en-US" w:eastAsia="zh-CN"/>
        </w:rPr>
        <w:t>100</w:t>
      </w:r>
      <w:r>
        <w:rPr>
          <w:rStyle w:val="22"/>
          <w:rFonts w:ascii="仿宋" w:eastAsia="仿宋"/>
          <w:b w:val="0"/>
          <w:bCs/>
          <w:sz w:val="32"/>
          <w:szCs w:val="32"/>
        </w:rPr>
        <w:t>%</w:t>
      </w:r>
    </w:p>
    <w:p>
      <w:pPr>
        <w:spacing w:line="600" w:lineRule="exact"/>
        <w:rPr>
          <w:rFonts w:ascii="仿宋" w:eastAsia="仿宋"/>
          <w:b/>
          <w:sz w:val="32"/>
          <w:szCs w:val="32"/>
        </w:rPr>
      </w:pPr>
    </w:p>
    <w:p>
      <w:pPr>
        <w:tabs>
          <w:tab w:val="right" w:pos="8306"/>
        </w:tabs>
        <w:spacing w:line="600" w:lineRule="exact"/>
        <w:ind w:firstLine="640"/>
        <w:outlineLvl w:val="1"/>
        <w:rPr>
          <w:rStyle w:val="2Char"/>
        </w:rPr>
      </w:pPr>
      <w:bookmarkStart w:id="36" w:name="_Toc15396608"/>
      <w:bookmarkStart w:id="37" w:name="_Toc15377214"/>
      <w:r>
        <w:rPr>
          <w:rFonts w:ascii="黑体" w:eastAsia="黑体" w:hint="eastAsia"/>
          <w:sz w:val="32"/>
          <w:szCs w:val="32"/>
        </w:rPr>
        <w:t>六</w:t>
      </w:r>
      <w:r>
        <w:rPr>
          <w:rFonts w:ascii="黑体" w:eastAsia="黑体" w:hint="eastAsia"/>
          <w:b/>
          <w:sz w:val="32"/>
          <w:szCs w:val="32"/>
        </w:rPr>
        <w:t>、一</w:t>
      </w:r>
      <w:r>
        <w:rPr>
          <w:rStyle w:val="2Char"/>
          <w:rFonts w:ascii="黑体" w:eastAsia="黑体" w:hint="eastAsia"/>
          <w:b w:val="0"/>
        </w:rPr>
        <w:t>般公共预算财政拨款基本支出决算情况说明</w:t>
      </w:r>
      <w:bookmarkEnd w:id="36"/>
      <w:bookmarkEnd w:id="37"/>
      <w:r>
        <w:rPr>
          <w:rStyle w:val="2Char"/>
          <w:rFonts w:ascii="黑体" w:eastAsia="黑体"/>
          <w:b w:val="0"/>
        </w:rPr>
        <w:tab/>
      </w:r>
    </w:p>
    <w:p>
      <w:pPr>
        <w:spacing w:line="600" w:lineRule="exact"/>
        <w:ind w:firstLine="645"/>
        <w:rPr>
          <w:rFonts w:ascii="仿宋" w:eastAsia="仿宋"/>
          <w:sz w:val="32"/>
          <w:szCs w:val="32"/>
        </w:rPr>
      </w:pPr>
      <w:r>
        <w:rPr>
          <w:rFonts w:ascii="仿宋" w:eastAsia="仿宋"/>
          <w:sz w:val="32"/>
          <w:szCs w:val="32"/>
        </w:rPr>
        <w:t>20</w:t>
      </w:r>
      <w:r>
        <w:rPr>
          <w:rFonts w:ascii="仿宋" w:eastAsia="仿宋" w:hint="eastAsia"/>
          <w:sz w:val="32"/>
          <w:szCs w:val="32"/>
        </w:rPr>
        <w:t>2</w:t>
      </w:r>
      <w:r>
        <w:rPr>
          <w:rFonts w:ascii="仿宋" w:eastAsia="仿宋" w:hint="eastAsia"/>
          <w:sz w:val="32"/>
          <w:szCs w:val="32"/>
          <w:lang w:val="en-US" w:eastAsia="zh-CN"/>
        </w:rPr>
        <w:t>2</w:t>
      </w:r>
      <w:r>
        <w:rPr>
          <w:rFonts w:ascii="仿宋" w:eastAsia="仿宋" w:hint="eastAsia"/>
          <w:sz w:val="32"/>
          <w:szCs w:val="32"/>
        </w:rPr>
        <w:t>年一般公共预算财政拨款基本支出</w:t>
      </w:r>
      <w:r>
        <w:rPr>
          <w:rFonts w:ascii="仿宋" w:eastAsia="仿宋" w:hint="eastAsia"/>
          <w:sz w:val="32"/>
          <w:szCs w:val="32"/>
          <w:lang w:val="en-US" w:eastAsia="zh-CN"/>
        </w:rPr>
        <w:t>265.21</w:t>
      </w:r>
      <w:r>
        <w:rPr>
          <w:rFonts w:ascii="仿宋" w:eastAsia="仿宋" w:hint="eastAsia"/>
          <w:sz w:val="32"/>
          <w:szCs w:val="32"/>
        </w:rPr>
        <w:t>万元，其中：</w:t>
      </w:r>
    </w:p>
    <w:p>
      <w:pPr>
        <w:spacing w:line="600" w:lineRule="exact"/>
        <w:ind w:firstLine="645"/>
        <w:rPr>
          <w:rFonts w:ascii="仿宋" w:eastAsia="仿宋" w:hint="eastAsia"/>
          <w:sz w:val="32"/>
          <w:szCs w:val="32"/>
          <w:lang w:eastAsia="zh-CN"/>
        </w:rPr>
      </w:pPr>
      <w:r>
        <w:rPr>
          <w:rFonts w:ascii="仿宋" w:eastAsia="仿宋" w:hint="eastAsia"/>
          <w:sz w:val="32"/>
          <w:szCs w:val="32"/>
        </w:rPr>
        <w:t>人员经费</w:t>
      </w:r>
      <w:r>
        <w:rPr>
          <w:rFonts w:ascii="仿宋" w:eastAsia="仿宋" w:hint="eastAsia"/>
          <w:sz w:val="32"/>
          <w:szCs w:val="32"/>
          <w:lang w:val="en-US" w:eastAsia="zh-CN"/>
        </w:rPr>
        <w:t>263.09</w:t>
      </w:r>
      <w:r>
        <w:rPr>
          <w:rFonts w:ascii="仿宋" w:eastAsia="仿宋" w:hint="eastAsia"/>
          <w:sz w:val="32"/>
          <w:szCs w:val="32"/>
        </w:rPr>
        <w:t>万元，主要包括：基本工资</w:t>
      </w:r>
      <w:r>
        <w:rPr>
          <w:rFonts w:ascii="仿宋" w:eastAsia="仿宋" w:hint="eastAsia"/>
          <w:sz w:val="32"/>
          <w:szCs w:val="32"/>
          <w:lang w:val="en-US" w:eastAsia="zh-CN"/>
        </w:rPr>
        <w:t>47.32</w:t>
      </w:r>
      <w:r>
        <w:rPr>
          <w:rFonts w:ascii="仿宋" w:eastAsia="仿宋" w:hint="eastAsia"/>
          <w:sz w:val="32"/>
          <w:szCs w:val="32"/>
          <w:lang w:eastAsia="zh-CN"/>
        </w:rPr>
        <w:t>万元</w:t>
      </w:r>
      <w:r>
        <w:rPr>
          <w:rFonts w:ascii="仿宋" w:eastAsia="仿宋" w:hint="eastAsia"/>
          <w:sz w:val="32"/>
          <w:szCs w:val="32"/>
        </w:rPr>
        <w:t>、津贴补贴</w:t>
      </w:r>
      <w:r>
        <w:rPr>
          <w:rFonts w:ascii="仿宋" w:eastAsia="仿宋" w:hint="eastAsia"/>
          <w:sz w:val="32"/>
          <w:szCs w:val="32"/>
          <w:lang w:val="en-US" w:eastAsia="zh-CN"/>
        </w:rPr>
        <w:t>103.26</w:t>
      </w:r>
      <w:r>
        <w:rPr>
          <w:rFonts w:ascii="仿宋" w:eastAsia="仿宋" w:hint="eastAsia"/>
          <w:sz w:val="32"/>
          <w:szCs w:val="32"/>
          <w:lang w:eastAsia="zh-CN"/>
        </w:rPr>
        <w:t>万元</w:t>
      </w:r>
      <w:r>
        <w:rPr>
          <w:rFonts w:ascii="仿宋" w:eastAsia="仿宋" w:hint="eastAsia"/>
          <w:sz w:val="32"/>
          <w:szCs w:val="32"/>
        </w:rPr>
        <w:t>、奖金</w:t>
      </w:r>
      <w:r>
        <w:rPr>
          <w:rFonts w:ascii="仿宋" w:eastAsia="仿宋" w:hint="eastAsia"/>
          <w:sz w:val="32"/>
          <w:szCs w:val="32"/>
          <w:lang w:val="en-US" w:eastAsia="zh-CN"/>
        </w:rPr>
        <w:t>3.67万元</w:t>
      </w:r>
      <w:r>
        <w:rPr>
          <w:rFonts w:ascii="仿宋" w:eastAsia="仿宋" w:hint="eastAsia"/>
          <w:sz w:val="32"/>
          <w:szCs w:val="32"/>
        </w:rPr>
        <w:t>、伙食补助费</w:t>
      </w:r>
      <w:r>
        <w:rPr>
          <w:rFonts w:ascii="仿宋" w:eastAsia="仿宋" w:hint="eastAsia"/>
          <w:sz w:val="32"/>
          <w:szCs w:val="32"/>
          <w:lang w:val="en-US" w:eastAsia="zh-CN"/>
        </w:rPr>
        <w:t>0万元</w:t>
      </w:r>
      <w:r>
        <w:rPr>
          <w:rFonts w:ascii="仿宋" w:eastAsia="仿宋" w:hint="eastAsia"/>
          <w:sz w:val="32"/>
          <w:szCs w:val="32"/>
        </w:rPr>
        <w:t>、绩效工资</w:t>
      </w:r>
      <w:r>
        <w:rPr>
          <w:rFonts w:ascii="仿宋" w:eastAsia="仿宋" w:hint="eastAsia"/>
          <w:sz w:val="32"/>
          <w:szCs w:val="32"/>
          <w:lang w:val="en-US" w:eastAsia="zh-CN"/>
        </w:rPr>
        <w:t>38.93万元</w:t>
      </w:r>
      <w:r>
        <w:rPr>
          <w:rFonts w:ascii="仿宋" w:eastAsia="仿宋" w:hint="eastAsia"/>
          <w:sz w:val="32"/>
          <w:szCs w:val="32"/>
        </w:rPr>
        <w:t>、机关事业单位基本养老保险缴费</w:t>
      </w:r>
      <w:r>
        <w:rPr>
          <w:rFonts w:ascii="仿宋" w:eastAsia="仿宋" w:hint="eastAsia"/>
          <w:sz w:val="32"/>
          <w:szCs w:val="32"/>
          <w:lang w:val="en-US" w:eastAsia="zh-CN"/>
        </w:rPr>
        <w:t>21.64万元</w:t>
      </w:r>
      <w:r>
        <w:rPr>
          <w:rFonts w:ascii="仿宋" w:eastAsia="仿宋" w:hint="eastAsia"/>
          <w:sz w:val="32"/>
          <w:szCs w:val="32"/>
        </w:rPr>
        <w:t>、职业年金缴费</w:t>
      </w:r>
      <w:r>
        <w:rPr>
          <w:rFonts w:ascii="仿宋" w:eastAsia="仿宋" w:hint="eastAsia"/>
          <w:sz w:val="32"/>
          <w:szCs w:val="32"/>
          <w:lang w:val="en-US" w:eastAsia="zh-CN"/>
        </w:rPr>
        <w:t>10.82万元</w:t>
      </w:r>
      <w:r>
        <w:rPr>
          <w:rFonts w:ascii="仿宋" w:eastAsia="仿宋" w:hint="eastAsia"/>
          <w:sz w:val="32"/>
          <w:szCs w:val="32"/>
        </w:rPr>
        <w:t>、其他社会保障缴费</w:t>
      </w:r>
      <w:r>
        <w:rPr>
          <w:rFonts w:ascii="仿宋" w:eastAsia="仿宋" w:hint="eastAsia"/>
          <w:sz w:val="32"/>
          <w:szCs w:val="32"/>
          <w:lang w:val="en-US" w:eastAsia="zh-CN"/>
        </w:rPr>
        <w:t>3.67万元</w:t>
      </w:r>
      <w:r>
        <w:rPr>
          <w:rFonts w:ascii="仿宋" w:eastAsia="仿宋" w:hint="eastAsia"/>
          <w:sz w:val="32"/>
          <w:szCs w:val="32"/>
        </w:rPr>
        <w:t>、其他工资福利支出</w:t>
      </w:r>
      <w:r>
        <w:rPr>
          <w:rFonts w:ascii="仿宋" w:eastAsia="仿宋" w:hint="eastAsia"/>
          <w:sz w:val="32"/>
          <w:szCs w:val="32"/>
          <w:lang w:val="en-US" w:eastAsia="zh-CN"/>
        </w:rPr>
        <w:t>0万元</w:t>
      </w:r>
      <w:r>
        <w:rPr>
          <w:rFonts w:ascii="仿宋" w:eastAsia="仿宋" w:hint="eastAsia"/>
          <w:sz w:val="32"/>
          <w:szCs w:val="32"/>
        </w:rPr>
        <w:t>、</w:t>
      </w:r>
      <w:r>
        <w:rPr>
          <w:rFonts w:ascii="仿宋" w:eastAsia="仿宋" w:hint="eastAsia"/>
          <w:sz w:val="32"/>
          <w:szCs w:val="32"/>
          <w:lang w:eastAsia="zh-CN"/>
        </w:rPr>
        <w:t>职工基本医疗保险缴费</w:t>
      </w:r>
      <w:r>
        <w:rPr>
          <w:rFonts w:ascii="仿宋" w:eastAsia="仿宋" w:hint="eastAsia"/>
          <w:sz w:val="32"/>
          <w:szCs w:val="32"/>
          <w:lang w:val="en-US" w:eastAsia="zh-CN"/>
        </w:rPr>
        <w:t>12.26</w:t>
      </w:r>
      <w:r>
        <w:rPr>
          <w:rFonts w:ascii="仿宋" w:eastAsia="仿宋" w:hint="eastAsia"/>
          <w:sz w:val="32"/>
          <w:szCs w:val="32"/>
          <w:lang w:eastAsia="zh-CN"/>
        </w:rPr>
        <w:t>万元、</w:t>
      </w:r>
      <w:r>
        <w:rPr>
          <w:rFonts w:ascii="仿宋" w:eastAsia="仿宋" w:hint="eastAsia"/>
          <w:sz w:val="32"/>
          <w:szCs w:val="32"/>
        </w:rPr>
        <w:t>离休费</w:t>
      </w:r>
      <w:r>
        <w:rPr>
          <w:rFonts w:ascii="仿宋" w:eastAsia="仿宋" w:hint="eastAsia"/>
          <w:sz w:val="32"/>
          <w:szCs w:val="32"/>
          <w:lang w:val="en-US" w:eastAsia="zh-CN"/>
        </w:rPr>
        <w:t>0万元</w:t>
      </w:r>
      <w:r>
        <w:rPr>
          <w:rFonts w:ascii="仿宋" w:eastAsia="仿宋" w:hint="eastAsia"/>
          <w:sz w:val="32"/>
          <w:szCs w:val="32"/>
        </w:rPr>
        <w:t>、退休费</w:t>
      </w:r>
      <w:r>
        <w:rPr>
          <w:rFonts w:ascii="仿宋" w:eastAsia="仿宋" w:hint="eastAsia"/>
          <w:sz w:val="32"/>
          <w:szCs w:val="32"/>
          <w:lang w:val="en-US" w:eastAsia="zh-CN"/>
        </w:rPr>
        <w:t>0万元</w:t>
      </w:r>
      <w:r>
        <w:rPr>
          <w:rFonts w:ascii="仿宋" w:eastAsia="仿宋" w:hint="eastAsia"/>
          <w:sz w:val="32"/>
          <w:szCs w:val="32"/>
        </w:rPr>
        <w:t>、公务员医疗补助缴费</w:t>
      </w:r>
      <w:r>
        <w:rPr>
          <w:rFonts w:ascii="仿宋" w:eastAsia="仿宋" w:hint="eastAsia"/>
          <w:sz w:val="32"/>
          <w:szCs w:val="32"/>
          <w:lang w:val="en-US" w:eastAsia="zh-CN"/>
        </w:rPr>
        <w:t>2.02万元、</w:t>
      </w:r>
      <w:r>
        <w:rPr>
          <w:rFonts w:ascii="仿宋" w:eastAsia="仿宋" w:hint="eastAsia"/>
          <w:sz w:val="32"/>
          <w:szCs w:val="32"/>
        </w:rPr>
        <w:t>抚恤金</w:t>
      </w:r>
      <w:r>
        <w:rPr>
          <w:rFonts w:ascii="仿宋" w:eastAsia="仿宋" w:hint="eastAsia"/>
          <w:sz w:val="32"/>
          <w:szCs w:val="32"/>
          <w:lang w:val="en-US" w:eastAsia="zh-CN"/>
        </w:rPr>
        <w:t>0万元</w:t>
      </w:r>
      <w:r>
        <w:rPr>
          <w:rFonts w:ascii="仿宋" w:eastAsia="仿宋" w:hint="eastAsia"/>
          <w:sz w:val="32"/>
          <w:szCs w:val="32"/>
        </w:rPr>
        <w:t>、生活补助</w:t>
      </w:r>
      <w:r>
        <w:rPr>
          <w:rFonts w:ascii="仿宋" w:eastAsia="仿宋" w:hint="eastAsia"/>
          <w:sz w:val="32"/>
          <w:szCs w:val="32"/>
          <w:lang w:val="en-US" w:eastAsia="zh-CN"/>
        </w:rPr>
        <w:t>0万元</w:t>
      </w:r>
      <w:r>
        <w:rPr>
          <w:rFonts w:ascii="仿宋" w:eastAsia="仿宋" w:hint="eastAsia"/>
          <w:sz w:val="32"/>
          <w:szCs w:val="32"/>
        </w:rPr>
        <w:t>、医疗费补助</w:t>
      </w:r>
      <w:r>
        <w:rPr>
          <w:rFonts w:ascii="仿宋" w:eastAsia="仿宋" w:hint="eastAsia"/>
          <w:sz w:val="32"/>
          <w:szCs w:val="32"/>
          <w:lang w:val="en-US" w:eastAsia="zh-CN"/>
        </w:rPr>
        <w:t>0万元</w:t>
      </w:r>
      <w:r>
        <w:rPr>
          <w:rFonts w:ascii="仿宋" w:eastAsia="仿宋" w:hint="eastAsia"/>
          <w:sz w:val="32"/>
          <w:szCs w:val="32"/>
        </w:rPr>
        <w:t>、奖励金</w:t>
      </w:r>
      <w:r>
        <w:rPr>
          <w:rFonts w:ascii="仿宋" w:eastAsia="仿宋" w:hint="eastAsia"/>
          <w:sz w:val="32"/>
          <w:szCs w:val="32"/>
          <w:lang w:val="en-US" w:eastAsia="zh-CN"/>
        </w:rPr>
        <w:t>0万元</w:t>
      </w:r>
      <w:r>
        <w:rPr>
          <w:rFonts w:ascii="仿宋" w:eastAsia="仿宋" w:hint="eastAsia"/>
          <w:sz w:val="32"/>
          <w:szCs w:val="32"/>
        </w:rPr>
        <w:t>、住房公积金</w:t>
      </w:r>
      <w:r>
        <w:rPr>
          <w:rFonts w:ascii="仿宋" w:eastAsia="仿宋" w:hint="eastAsia"/>
          <w:sz w:val="32"/>
          <w:szCs w:val="32"/>
          <w:lang w:val="en-US" w:eastAsia="zh-CN"/>
        </w:rPr>
        <w:t>19.51万元</w:t>
      </w:r>
      <w:r>
        <w:rPr>
          <w:rFonts w:ascii="仿宋" w:eastAsia="仿宋" w:hint="eastAsia"/>
          <w:sz w:val="32"/>
          <w:szCs w:val="32"/>
        </w:rPr>
        <w:t>、其他对个人和家庭的补助支出</w:t>
      </w:r>
      <w:r>
        <w:rPr>
          <w:rFonts w:ascii="仿宋" w:eastAsia="仿宋" w:hint="eastAsia"/>
          <w:sz w:val="32"/>
          <w:szCs w:val="32"/>
          <w:lang w:val="en-US" w:eastAsia="zh-CN"/>
        </w:rPr>
        <w:t>12.26万元</w:t>
      </w:r>
      <w:r>
        <w:rPr>
          <w:rFonts w:ascii="仿宋" w:eastAsia="仿宋" w:hint="eastAsia"/>
          <w:sz w:val="32"/>
          <w:szCs w:val="32"/>
        </w:rPr>
        <w:t>等。</w:t>
      </w:r>
    </w:p>
    <w:p>
      <w:pPr>
        <w:spacing w:line="600" w:lineRule="exact"/>
        <w:ind w:firstLine="645"/>
        <w:rPr>
          <w:rFonts w:ascii="仿宋" w:eastAsia="仿宋"/>
          <w:sz w:val="32"/>
          <w:szCs w:val="32"/>
        </w:rPr>
      </w:pPr>
      <w:r>
        <w:rPr>
          <w:rFonts w:ascii="仿宋" w:eastAsia="仿宋" w:hint="eastAsia"/>
          <w:sz w:val="32"/>
          <w:szCs w:val="32"/>
        </w:rPr>
        <w:t>公用经费</w:t>
      </w:r>
      <w:r>
        <w:rPr>
          <w:rFonts w:ascii="仿宋" w:eastAsia="仿宋" w:hint="eastAsia"/>
          <w:sz w:val="32"/>
          <w:szCs w:val="32"/>
          <w:lang w:val="en-US" w:eastAsia="zh-CN"/>
        </w:rPr>
        <w:t>2.12</w:t>
      </w:r>
      <w:r>
        <w:rPr>
          <w:rFonts w:ascii="仿宋" w:eastAsia="仿宋" w:hint="eastAsia"/>
          <w:sz w:val="32"/>
          <w:szCs w:val="32"/>
        </w:rPr>
        <w:t>万元，主要包括：办公费</w:t>
      </w:r>
      <w:r>
        <w:rPr>
          <w:rFonts w:ascii="仿宋" w:eastAsia="仿宋" w:hint="eastAsia"/>
          <w:sz w:val="32"/>
          <w:szCs w:val="32"/>
          <w:lang w:val="en-US" w:eastAsia="zh-CN"/>
        </w:rPr>
        <w:t>2.12万元</w:t>
      </w:r>
      <w:r>
        <w:rPr>
          <w:rFonts w:ascii="仿宋" w:eastAsia="仿宋" w:hint="eastAsia"/>
          <w:sz w:val="32"/>
          <w:szCs w:val="32"/>
        </w:rPr>
        <w:t>、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Char"/>
          <w:rFonts w:ascii="黑体" w:eastAsia="黑体"/>
          <w:b w:val="0"/>
        </w:rPr>
      </w:pPr>
      <w:bookmarkStart w:id="38" w:name="_Toc15396609"/>
      <w:bookmarkStart w:id="39" w:name="_Toc15377215"/>
      <w:r>
        <w:rPr>
          <w:rFonts w:ascii="黑体" w:eastAsia="黑体" w:hint="eastAsia"/>
          <w:sz w:val="32"/>
          <w:szCs w:val="32"/>
        </w:rPr>
        <w:t>七、</w:t>
      </w:r>
      <w:r>
        <w:rPr>
          <w:rStyle w:val="2Char"/>
          <w:rFonts w:ascii="黑体" w:eastAsia="黑体" w:hint="eastAsia"/>
        </w:rPr>
        <w:t>“</w:t>
      </w:r>
      <w:r>
        <w:rPr>
          <w:rStyle w:val="2Char"/>
          <w:rFonts w:ascii="黑体" w:eastAsia="黑体" w:hint="eastAsia"/>
          <w:b w:val="0"/>
        </w:rPr>
        <w:t>三公”经费财政拨款支出决算情况说明</w:t>
      </w:r>
      <w:bookmarkEnd w:id="38"/>
      <w:bookmarkEnd w:id="39"/>
    </w:p>
    <w:p>
      <w:pPr>
        <w:spacing w:line="600" w:lineRule="exact"/>
        <w:ind w:firstLine="640"/>
        <w:outlineLvl w:val="2"/>
        <w:rPr>
          <w:rFonts w:ascii="仿宋" w:eastAsia="仿宋"/>
          <w:b/>
          <w:sz w:val="32"/>
          <w:szCs w:val="32"/>
        </w:rPr>
      </w:pPr>
      <w:bookmarkStart w:id="40" w:name="_Toc15377216"/>
      <w:r>
        <w:rPr>
          <w:rFonts w:ascii="仿宋" w:eastAsia="仿宋" w:hint="eastAsia"/>
          <w:b/>
          <w:sz w:val="32"/>
          <w:szCs w:val="32"/>
        </w:rPr>
        <w:t>（一）“三公”经费财政拨款支出决算总体情况说明</w:t>
      </w:r>
      <w:bookmarkEnd w:id="40"/>
    </w:p>
    <w:p>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w:t>
      </w:r>
      <w:r>
        <w:rPr>
          <w:rFonts w:ascii="仿宋" w:eastAsia="仿宋" w:hint="eastAsia"/>
          <w:sz w:val="32"/>
          <w:szCs w:val="32"/>
          <w:lang w:val="en-US" w:eastAsia="zh-CN"/>
        </w:rPr>
        <w:t>2</w:t>
      </w:r>
      <w:r>
        <w:rPr>
          <w:rFonts w:ascii="仿宋" w:eastAsia="仿宋" w:hint="eastAsia"/>
          <w:sz w:val="32"/>
          <w:szCs w:val="32"/>
        </w:rPr>
        <w:t>年“三公”经费财政拨款支出决算为</w:t>
      </w:r>
      <w:r>
        <w:rPr>
          <w:rFonts w:ascii="仿宋" w:eastAsia="仿宋" w:hint="eastAsia"/>
          <w:sz w:val="32"/>
          <w:szCs w:val="32"/>
          <w:lang w:val="en-US" w:eastAsia="zh-CN"/>
        </w:rPr>
        <w:t>0</w:t>
      </w:r>
      <w:r>
        <w:rPr>
          <w:rFonts w:ascii="仿宋" w:eastAsia="仿宋" w:hint="eastAsia"/>
          <w:sz w:val="32"/>
          <w:szCs w:val="32"/>
        </w:rPr>
        <w:t>万元，完成预算</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，决算数小于预算数（或与预算数持平）的主要原因是……。</w:t>
      </w:r>
    </w:p>
    <w:p>
      <w:pPr>
        <w:spacing w:line="600" w:lineRule="exact"/>
        <w:ind w:firstLine="640"/>
        <w:outlineLvl w:val="2"/>
        <w:rPr>
          <w:rFonts w:ascii="仿宋" w:eastAsia="仿宋"/>
          <w:b/>
          <w:sz w:val="32"/>
          <w:szCs w:val="32"/>
        </w:rPr>
      </w:pPr>
      <w:bookmarkStart w:id="41" w:name="_Toc15377217"/>
      <w:r>
        <w:rPr>
          <w:rFonts w:ascii="仿宋" w:eastAsia="仿宋" w:hint="eastAsia"/>
          <w:b/>
          <w:sz w:val="32"/>
          <w:szCs w:val="32"/>
        </w:rPr>
        <w:t>（二）“三公”经费财政拨款支出决算具体情况说明</w:t>
      </w:r>
      <w:bookmarkEnd w:id="41"/>
    </w:p>
    <w:p>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w:t>
      </w:r>
      <w:r>
        <w:rPr>
          <w:rFonts w:ascii="仿宋" w:eastAsia="仿宋" w:hint="eastAsia"/>
          <w:sz w:val="32"/>
          <w:szCs w:val="32"/>
          <w:lang w:val="en-US" w:eastAsia="zh-CN"/>
        </w:rPr>
        <w:t>2</w:t>
      </w:r>
      <w:r>
        <w:rPr>
          <w:rFonts w:ascii="仿宋" w:eastAsia="仿宋" w:hint="eastAsia"/>
          <w:sz w:val="32"/>
          <w:szCs w:val="32"/>
        </w:rPr>
        <w:t>年“三公”经费财政拨款支出决算中，因公出国（境）费支出决算</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；公务用车购置及运行维护费支出决算</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；公务接待费支出决算</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。具体情况如下：</w:t>
      </w:r>
    </w:p>
    <w:p>
      <w:pPr>
        <w:spacing w:line="600" w:lineRule="exact"/>
        <w:ind w:firstLine="640"/>
        <w:rPr>
          <w:rFonts w:ascii="仿宋" w:eastAsia="仿宋"/>
          <w:sz w:val="32"/>
          <w:szCs w:val="32"/>
        </w:rPr>
      </w:pPr>
      <w:r>
        <w:rPr>
          <w:rFonts w:ascii="仿宋" w:eastAsia="仿宋" w:hint="eastAsia"/>
          <w:sz w:val="32"/>
          <w:szCs w:val="32"/>
        </w:rPr>
        <w:t>（图7：“三公”经费财政拨款支出结构）（饼状图）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b/>
          <w:sz w:val="32"/>
          <w:szCs w:val="32"/>
          <w:lang w:val="en-US" w:eastAsia="zh-CN"/>
        </w:rPr>
        <w:t>0</w:t>
      </w:r>
      <w:r>
        <w:rPr>
          <w:rFonts w:ascii="仿宋_GB2312" w:eastAsia="仿宋_GB2312" w:hint="eastAsia"/>
          <w:sz w:val="32"/>
          <w:szCs w:val="32"/>
        </w:rPr>
        <w:t>万元，</w:t>
      </w:r>
      <w:r>
        <w:rPr>
          <w:rStyle w:val="22"/>
          <w:rFonts w:ascii="仿宋" w:eastAsia="仿宋" w:hint="eastAsia"/>
          <w:b w:val="0"/>
          <w:bCs/>
          <w:sz w:val="32"/>
          <w:szCs w:val="32"/>
        </w:rPr>
        <w:t>完成预算</w:t>
      </w:r>
      <w:r>
        <w:rPr>
          <w:rStyle w:val="22"/>
          <w:rFonts w:ascii="仿宋" w:eastAsia="仿宋" w:hint="eastAsia"/>
          <w:b w:val="0"/>
          <w:bCs/>
          <w:sz w:val="32"/>
          <w:szCs w:val="32"/>
          <w:lang w:val="en-US" w:eastAsia="zh-CN"/>
        </w:rPr>
        <w:t>0</w:t>
      </w:r>
      <w:r>
        <w:rPr>
          <w:rStyle w:val="22"/>
          <w:rFonts w:ascii="仿宋" w:eastAsia="仿宋"/>
          <w:b w:val="0"/>
          <w:bCs/>
          <w:sz w:val="32"/>
          <w:szCs w:val="32"/>
        </w:rPr>
        <w:t>%</w:t>
      </w:r>
      <w:r>
        <w:rPr>
          <w:rStyle w:val="22"/>
          <w:rFonts w:ascii="仿宋" w:eastAsia="仿宋" w:hint="eastAsia"/>
          <w:b w:val="0"/>
          <w:bCs/>
          <w:sz w:val="32"/>
          <w:szCs w:val="32"/>
        </w:rPr>
        <w:t>。</w:t>
      </w:r>
      <w:r>
        <w:rPr>
          <w:rFonts w:ascii="仿宋_GB2312" w:eastAsia="仿宋_GB2312" w:hint="eastAsia"/>
          <w:sz w:val="32"/>
          <w:szCs w:val="32"/>
        </w:rPr>
        <w:t>全年安排因公出国（境）团组</w:t>
      </w:r>
      <w:r>
        <w:rPr>
          <w:rFonts w:ascii="仿宋_GB2312" w:eastAsia="仿宋_GB2312" w:hint="eastAsia"/>
          <w:sz w:val="32"/>
          <w:szCs w:val="32"/>
          <w:lang w:val="en-US" w:eastAsia="zh-CN"/>
        </w:rPr>
        <w:t>0</w:t>
      </w:r>
      <w:r>
        <w:rPr>
          <w:rFonts w:ascii="仿宋_GB2312" w:eastAsia="仿宋_GB2312" w:hint="eastAsia"/>
          <w:sz w:val="32"/>
          <w:szCs w:val="32"/>
        </w:rPr>
        <w:t>次，出国（境）</w:t>
      </w:r>
      <w:r>
        <w:rPr>
          <w:rFonts w:ascii="仿宋_GB2312" w:eastAsia="仿宋_GB2312" w:hint="eastAsia"/>
          <w:sz w:val="32"/>
          <w:szCs w:val="32"/>
          <w:lang w:val="en-US" w:eastAsia="zh-CN"/>
        </w:rPr>
        <w:t>0</w:t>
      </w:r>
      <w:r>
        <w:rPr>
          <w:rFonts w:ascii="仿宋_GB2312" w:eastAsia="仿宋_GB2312" w:hint="eastAsia"/>
          <w:sz w:val="32"/>
          <w:szCs w:val="32"/>
        </w:rPr>
        <w:t>人。因公出国（境）支出决算比</w:t>
      </w: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lang w:val="en-US" w:eastAsia="zh-CN"/>
        </w:rPr>
        <w:t>1</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Pr>
          <w:rFonts w:ascii="仿宋_GB2312" w:eastAsia="仿宋_GB2312" w:hint="eastAsia"/>
          <w:sz w:val="32"/>
          <w:szCs w:val="32"/>
          <w:lang w:val="en-US" w:eastAsia="zh-CN"/>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Pr>
          <w:rFonts w:ascii="仿宋_GB2312" w:eastAsia="仿宋_GB2312" w:hint="eastAsia"/>
          <w:sz w:val="32"/>
          <w:szCs w:val="32"/>
          <w:lang w:val="en-US" w:eastAsia="zh-CN"/>
        </w:rPr>
        <w:t>0</w:t>
      </w:r>
      <w:r>
        <w:rPr>
          <w:rFonts w:ascii="仿宋_GB2312" w:eastAsia="仿宋_GB2312"/>
          <w:sz w:val="32"/>
          <w:szCs w:val="32"/>
        </w:rPr>
        <w:t>%</w:t>
      </w:r>
      <w:r>
        <w:rPr>
          <w:rFonts w:ascii="仿宋_GB2312" w:eastAsia="仿宋_GB2312" w:hint="eastAsia"/>
          <w:sz w:val="32"/>
          <w:szCs w:val="32"/>
        </w:rPr>
        <w:t>。主要原因是……。</w:t>
      </w:r>
    </w:p>
    <w:p>
      <w:pPr>
        <w:spacing w:line="600" w:lineRule="exact"/>
        <w:ind w:firstLine="640"/>
        <w:rPr>
          <w:rFonts w:ascii="仿宋_GB2312" w:eastAsia="仿宋_GB2312"/>
          <w:sz w:val="32"/>
          <w:szCs w:val="32"/>
        </w:rPr>
      </w:pPr>
      <w:r>
        <w:rPr>
          <w:rFonts w:ascii="仿宋_GB2312" w:eastAsia="仿宋_GB2312" w:hint="eastAsia"/>
          <w:sz w:val="32"/>
          <w:szCs w:val="32"/>
        </w:rPr>
        <w:t>开支内容包括：…（团组名称、出访地点、取得成效）等。</w:t>
      </w:r>
    </w:p>
    <w:p>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b/>
          <w:sz w:val="32"/>
          <w:szCs w:val="32"/>
          <w:lang w:val="en-US" w:eastAsia="zh-CN"/>
        </w:rPr>
        <w:t>0</w:t>
      </w:r>
      <w:r>
        <w:rPr>
          <w:rFonts w:ascii="仿宋_GB2312" w:eastAsia="仿宋_GB2312" w:hint="eastAsia"/>
          <w:sz w:val="32"/>
          <w:szCs w:val="32"/>
        </w:rPr>
        <w:t>万元,</w:t>
      </w:r>
      <w:r>
        <w:rPr>
          <w:rStyle w:val="22"/>
          <w:rFonts w:ascii="仿宋" w:eastAsia="仿宋" w:hint="eastAsia"/>
          <w:b w:val="0"/>
          <w:bCs/>
          <w:sz w:val="32"/>
          <w:szCs w:val="32"/>
        </w:rPr>
        <w:t>完成预算</w:t>
      </w:r>
      <w:r>
        <w:rPr>
          <w:rStyle w:val="22"/>
          <w:rFonts w:ascii="仿宋" w:eastAsia="仿宋" w:hint="eastAsia"/>
          <w:b w:val="0"/>
          <w:bCs/>
          <w:sz w:val="32"/>
          <w:szCs w:val="32"/>
          <w:lang w:val="en-US" w:eastAsia="zh-CN"/>
        </w:rPr>
        <w:t>0</w:t>
      </w:r>
      <w:r>
        <w:rPr>
          <w:rStyle w:val="22"/>
          <w:rFonts w:ascii="仿宋" w:eastAsia="仿宋"/>
          <w:b w:val="0"/>
          <w:bCs/>
          <w:sz w:val="32"/>
          <w:szCs w:val="32"/>
        </w:rPr>
        <w:t>%</w:t>
      </w:r>
      <w:r>
        <w:rPr>
          <w:rStyle w:val="22"/>
          <w:rFonts w:ascii="仿宋" w:eastAsia="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lang w:val="en-US" w:eastAsia="zh-CN"/>
        </w:rPr>
        <w:t>1</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Pr>
          <w:rFonts w:ascii="仿宋_GB2312" w:eastAsia="仿宋_GB2312" w:hint="eastAsia"/>
          <w:sz w:val="32"/>
          <w:szCs w:val="32"/>
          <w:lang w:val="en-US" w:eastAsia="zh-CN"/>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Pr>
          <w:rFonts w:ascii="仿宋_GB2312" w:eastAsia="仿宋_GB2312" w:hint="eastAsia"/>
          <w:sz w:val="32"/>
          <w:szCs w:val="32"/>
          <w:lang w:val="en-US" w:eastAsia="zh-CN"/>
        </w:rPr>
        <w:t>0</w:t>
      </w:r>
      <w:r>
        <w:rPr>
          <w:rFonts w:ascii="仿宋_GB2312" w:eastAsia="仿宋_GB2312"/>
          <w:sz w:val="32"/>
          <w:szCs w:val="32"/>
        </w:rPr>
        <w:t>%</w:t>
      </w:r>
      <w:r>
        <w:rPr>
          <w:rFonts w:ascii="仿宋_GB2312" w:eastAsia="仿宋_GB2312" w:hint="eastAsia"/>
          <w:sz w:val="32"/>
          <w:szCs w:val="32"/>
        </w:rPr>
        <w:t>。主要原因是……。</w:t>
      </w:r>
    </w:p>
    <w:p>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b/>
          <w:sz w:val="32"/>
          <w:szCs w:val="32"/>
          <w:lang w:val="en-US" w:eastAsia="zh-CN"/>
        </w:rPr>
        <w:t>0</w:t>
      </w:r>
      <w:r>
        <w:rPr>
          <w:rFonts w:ascii="仿宋_GB2312" w:eastAsia="仿宋_GB2312" w:hint="eastAsia"/>
          <w:sz w:val="32"/>
          <w:szCs w:val="32"/>
        </w:rPr>
        <w:t>万元。全年按规定更新购置公务用车</w:t>
      </w:r>
      <w:r>
        <w:rPr>
          <w:rFonts w:ascii="仿宋_GB2312" w:eastAsia="仿宋_GB2312" w:hint="eastAsia"/>
          <w:sz w:val="32"/>
          <w:szCs w:val="32"/>
          <w:lang w:val="en-US" w:eastAsia="zh-CN"/>
        </w:rPr>
        <w:t>0</w:t>
      </w:r>
      <w:r>
        <w:rPr>
          <w:rFonts w:ascii="仿宋_GB2312" w:eastAsia="仿宋_GB2312" w:hint="eastAsia"/>
          <w:sz w:val="32"/>
          <w:szCs w:val="32"/>
        </w:rPr>
        <w:t>辆，其中：轿车</w:t>
      </w:r>
      <w:r>
        <w:rPr>
          <w:rFonts w:ascii="仿宋_GB2312" w:eastAsia="仿宋_GB2312" w:hint="eastAsia"/>
          <w:sz w:val="32"/>
          <w:szCs w:val="32"/>
          <w:lang w:val="en-US" w:eastAsia="zh-CN"/>
        </w:rPr>
        <w:t>0</w:t>
      </w:r>
      <w:r>
        <w:rPr>
          <w:rFonts w:ascii="仿宋_GB2312" w:eastAsia="仿宋_GB2312" w:hint="eastAsia"/>
          <w:sz w:val="32"/>
          <w:szCs w:val="32"/>
        </w:rPr>
        <w:t>辆、金额</w:t>
      </w:r>
      <w:r>
        <w:rPr>
          <w:rFonts w:ascii="仿宋_GB2312" w:eastAsia="仿宋_GB2312" w:hint="eastAsia"/>
          <w:sz w:val="32"/>
          <w:szCs w:val="32"/>
          <w:lang w:val="en-US" w:eastAsia="zh-CN"/>
        </w:rPr>
        <w:t>0</w:t>
      </w:r>
      <w:r>
        <w:rPr>
          <w:rFonts w:ascii="仿宋_GB2312" w:eastAsia="仿宋_GB2312" w:hint="eastAsia"/>
          <w:sz w:val="32"/>
          <w:szCs w:val="32"/>
        </w:rPr>
        <w:t>万元，越野车</w:t>
      </w:r>
      <w:r>
        <w:rPr>
          <w:rFonts w:ascii="仿宋_GB2312" w:eastAsia="仿宋_GB2312" w:hint="eastAsia"/>
          <w:sz w:val="32"/>
          <w:szCs w:val="32"/>
          <w:lang w:val="en-US" w:eastAsia="zh-CN"/>
        </w:rPr>
        <w:t>0</w:t>
      </w:r>
      <w:r>
        <w:rPr>
          <w:rFonts w:ascii="仿宋_GB2312" w:eastAsia="仿宋_GB2312" w:hint="eastAsia"/>
          <w:sz w:val="32"/>
          <w:szCs w:val="32"/>
        </w:rPr>
        <w:t>辆、金额</w:t>
      </w:r>
      <w:r>
        <w:rPr>
          <w:rFonts w:ascii="仿宋_GB2312" w:eastAsia="仿宋_GB2312" w:hint="eastAsia"/>
          <w:sz w:val="32"/>
          <w:szCs w:val="32"/>
          <w:lang w:val="en-US" w:eastAsia="zh-CN"/>
        </w:rPr>
        <w:t>0</w:t>
      </w:r>
      <w:r>
        <w:rPr>
          <w:rFonts w:ascii="仿宋_GB2312" w:eastAsia="仿宋_GB2312" w:hint="eastAsia"/>
          <w:sz w:val="32"/>
          <w:szCs w:val="32"/>
        </w:rPr>
        <w:t>万元，载客汽车</w:t>
      </w:r>
      <w:r>
        <w:rPr>
          <w:rFonts w:ascii="仿宋_GB2312" w:eastAsia="仿宋_GB2312" w:hint="eastAsia"/>
          <w:sz w:val="32"/>
          <w:szCs w:val="32"/>
          <w:lang w:val="en-US" w:eastAsia="zh-CN"/>
        </w:rPr>
        <w:t>0</w:t>
      </w:r>
      <w:r>
        <w:rPr>
          <w:rFonts w:ascii="仿宋_GB2312" w:eastAsia="仿宋_GB2312" w:hint="eastAsia"/>
          <w:sz w:val="32"/>
          <w:szCs w:val="32"/>
        </w:rPr>
        <w:t>辆、金额</w:t>
      </w:r>
      <w:r>
        <w:rPr>
          <w:rFonts w:ascii="仿宋_GB2312" w:eastAsia="仿宋_GB2312" w:hint="eastAsia"/>
          <w:sz w:val="32"/>
          <w:szCs w:val="32"/>
          <w:lang w:val="en-US" w:eastAsia="zh-CN"/>
        </w:rPr>
        <w:t>0</w:t>
      </w:r>
      <w:r>
        <w:rPr>
          <w:rFonts w:ascii="仿宋_GB2312" w:eastAsia="仿宋_GB2312" w:hint="eastAsia"/>
          <w:sz w:val="32"/>
          <w:szCs w:val="32"/>
        </w:rPr>
        <w:t>万元，主要用于…。截至</w:t>
      </w: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lang w:val="en-US" w:eastAsia="zh-CN"/>
        </w:rPr>
        <w:t>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hint="eastAsia"/>
          <w:sz w:val="32"/>
          <w:szCs w:val="32"/>
          <w:lang w:val="en-US" w:eastAsia="zh-CN"/>
        </w:rPr>
        <w:t>0</w:t>
      </w:r>
      <w:r>
        <w:rPr>
          <w:rFonts w:ascii="仿宋_GB2312" w:eastAsia="仿宋_GB2312" w:hint="eastAsia"/>
          <w:sz w:val="32"/>
          <w:szCs w:val="32"/>
        </w:rPr>
        <w:t>辆，其中：轿车</w:t>
      </w:r>
      <w:r>
        <w:rPr>
          <w:rFonts w:ascii="仿宋_GB2312" w:eastAsia="仿宋_GB2312" w:hint="eastAsia"/>
          <w:sz w:val="32"/>
          <w:szCs w:val="32"/>
          <w:lang w:val="en-US" w:eastAsia="zh-CN"/>
        </w:rPr>
        <w:t>0</w:t>
      </w:r>
      <w:r>
        <w:rPr>
          <w:rFonts w:ascii="仿宋_GB2312" w:eastAsia="仿宋_GB2312" w:hint="eastAsia"/>
          <w:sz w:val="32"/>
          <w:szCs w:val="32"/>
        </w:rPr>
        <w:t>辆、越野车</w:t>
      </w:r>
      <w:r>
        <w:rPr>
          <w:rFonts w:ascii="仿宋_GB2312" w:eastAsia="仿宋_GB2312" w:hint="eastAsia"/>
          <w:sz w:val="32"/>
          <w:szCs w:val="32"/>
          <w:lang w:val="en-US" w:eastAsia="zh-CN"/>
        </w:rPr>
        <w:t>0</w:t>
      </w:r>
      <w:r>
        <w:rPr>
          <w:rFonts w:ascii="仿宋_GB2312" w:eastAsia="仿宋_GB2312" w:hint="eastAsia"/>
          <w:sz w:val="32"/>
          <w:szCs w:val="32"/>
        </w:rPr>
        <w:t>辆、载客汽车</w:t>
      </w:r>
      <w:r>
        <w:rPr>
          <w:rFonts w:ascii="仿宋_GB2312" w:eastAsia="仿宋_GB2312" w:hint="eastAsia"/>
          <w:sz w:val="32"/>
          <w:szCs w:val="32"/>
          <w:lang w:val="en-US" w:eastAsia="zh-CN"/>
        </w:rPr>
        <w:t>0</w:t>
      </w:r>
      <w:r>
        <w:rPr>
          <w:rFonts w:ascii="仿宋_GB2312" w:eastAsia="仿宋_GB2312" w:hint="eastAsia"/>
          <w:sz w:val="32"/>
          <w:szCs w:val="32"/>
        </w:rPr>
        <w:t>辆。</w:t>
      </w:r>
    </w:p>
    <w:p>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b/>
          <w:sz w:val="32"/>
          <w:szCs w:val="32"/>
          <w:lang w:val="en-US" w:eastAsia="zh-CN"/>
        </w:rPr>
        <w:t>0</w:t>
      </w:r>
      <w:r>
        <w:rPr>
          <w:rFonts w:ascii="仿宋_GB2312" w:eastAsia="仿宋_GB2312" w:hint="eastAsia"/>
          <w:sz w:val="32"/>
          <w:szCs w:val="32"/>
        </w:rPr>
        <w:t>万元。主要用于</w:t>
      </w:r>
      <w:r>
        <w:rPr>
          <w:rFonts w:ascii="仿宋_GB2312" w:eastAsia="仿宋_GB2312"/>
          <w:sz w:val="32"/>
          <w:szCs w:val="32"/>
        </w:rPr>
        <w:t>…</w:t>
      </w:r>
      <w:r>
        <w:rPr>
          <w:rFonts w:ascii="仿宋_GB2312" w:eastAsia="仿宋_GB2312" w:hint="eastAsia"/>
          <w:sz w:val="32"/>
          <w:szCs w:val="32"/>
        </w:rPr>
        <w:t>（具体工作）等所需的公务用车燃料费、维修费、过路过桥费、保险费等支出。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b/>
          <w:sz w:val="32"/>
          <w:szCs w:val="32"/>
          <w:lang w:val="en-US" w:eastAsia="zh-CN"/>
        </w:rPr>
        <w:t>0</w:t>
      </w:r>
      <w:r>
        <w:rPr>
          <w:rFonts w:ascii="仿宋_GB2312" w:eastAsia="仿宋_GB2312" w:hint="eastAsia"/>
          <w:sz w:val="32"/>
          <w:szCs w:val="32"/>
        </w:rPr>
        <w:t>万元，</w:t>
      </w:r>
      <w:r>
        <w:rPr>
          <w:rStyle w:val="22"/>
          <w:rFonts w:ascii="仿宋" w:eastAsia="仿宋" w:hint="eastAsia"/>
          <w:b w:val="0"/>
          <w:bCs/>
          <w:sz w:val="32"/>
          <w:szCs w:val="32"/>
        </w:rPr>
        <w:t>完成预算</w:t>
      </w:r>
      <w:r>
        <w:rPr>
          <w:rStyle w:val="22"/>
          <w:rFonts w:ascii="仿宋" w:eastAsia="仿宋" w:hint="eastAsia"/>
          <w:b w:val="0"/>
          <w:bCs/>
          <w:sz w:val="32"/>
          <w:szCs w:val="32"/>
          <w:lang w:val="en-US" w:eastAsia="zh-CN"/>
        </w:rPr>
        <w:t>0</w:t>
      </w:r>
      <w:r>
        <w:rPr>
          <w:rStyle w:val="22"/>
          <w:rFonts w:ascii="仿宋" w:eastAsia="仿宋"/>
          <w:b w:val="0"/>
          <w:bCs/>
          <w:sz w:val="32"/>
          <w:szCs w:val="32"/>
        </w:rPr>
        <w:t>%</w:t>
      </w:r>
      <w:r>
        <w:rPr>
          <w:rStyle w:val="22"/>
          <w:rFonts w:ascii="仿宋" w:eastAsia="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lang w:val="en-US" w:eastAsia="zh-CN"/>
        </w:rPr>
        <w:t>1</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Pr>
          <w:rFonts w:ascii="仿宋_GB2312" w:eastAsia="仿宋_GB2312" w:hint="eastAsia"/>
          <w:sz w:val="32"/>
          <w:szCs w:val="32"/>
          <w:lang w:val="en-US" w:eastAsia="zh-CN"/>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Pr>
          <w:rFonts w:ascii="仿宋_GB2312" w:eastAsia="仿宋_GB2312" w:hint="eastAsia"/>
          <w:sz w:val="32"/>
          <w:szCs w:val="32"/>
          <w:lang w:val="en-US" w:eastAsia="zh-CN"/>
        </w:rPr>
        <w:t>0</w:t>
      </w:r>
      <w:r>
        <w:rPr>
          <w:rFonts w:ascii="仿宋_GB2312" w:eastAsia="仿宋_GB2312"/>
          <w:sz w:val="32"/>
          <w:szCs w:val="32"/>
        </w:rPr>
        <w:t>%</w:t>
      </w:r>
      <w:r>
        <w:rPr>
          <w:rFonts w:ascii="仿宋_GB2312" w:eastAsia="仿宋_GB2312" w:hint="eastAsia"/>
          <w:sz w:val="32"/>
          <w:szCs w:val="32"/>
        </w:rPr>
        <w:t>。主要原因是……。其中：</w:t>
      </w:r>
    </w:p>
    <w:p>
      <w:pPr>
        <w:spacing w:line="600" w:lineRule="exact"/>
        <w:ind w:firstLine="640"/>
        <w:rPr>
          <w:rFonts w:ascii="仿宋_GB2312" w:eastAsia="仿宋_GB2312"/>
          <w:sz w:val="32"/>
          <w:szCs w:val="32"/>
        </w:rPr>
      </w:pPr>
      <w:r>
        <w:rPr>
          <w:rFonts w:ascii="仿宋" w:eastAsia="仿宋" w:hint="eastAsia"/>
          <w:b/>
          <w:sz w:val="32"/>
          <w:szCs w:val="32"/>
        </w:rPr>
        <w:t>国内公务接待支出</w:t>
      </w:r>
      <w:r>
        <w:rPr>
          <w:rFonts w:ascii="仿宋" w:eastAsia="仿宋" w:hint="eastAsia"/>
          <w:b/>
          <w:sz w:val="32"/>
          <w:szCs w:val="32"/>
          <w:lang w:val="en-US" w:eastAsia="zh-CN"/>
        </w:rPr>
        <w:t>0</w:t>
      </w:r>
      <w:r>
        <w:rPr>
          <w:rFonts w:ascii="仿宋_GB2312" w:eastAsia="仿宋_GB2312" w:hint="eastAsia"/>
          <w:sz w:val="32"/>
          <w:szCs w:val="32"/>
        </w:rPr>
        <w:t>万元，主要用于……(执行公务、开展业务活动开支的交通费、住宿费、用餐费等)。国内公务接待</w:t>
      </w:r>
      <w:r>
        <w:rPr>
          <w:rFonts w:ascii="仿宋_GB2312" w:eastAsia="仿宋_GB2312" w:hint="eastAsia"/>
          <w:sz w:val="32"/>
          <w:szCs w:val="32"/>
          <w:lang w:val="en-US" w:eastAsia="zh-CN"/>
        </w:rPr>
        <w:t>0</w:t>
      </w:r>
      <w:r>
        <w:rPr>
          <w:rFonts w:ascii="仿宋_GB2312" w:eastAsia="仿宋_GB2312" w:hint="eastAsia"/>
          <w:sz w:val="32"/>
          <w:szCs w:val="32"/>
        </w:rPr>
        <w:t>批次，</w:t>
      </w:r>
      <w:r>
        <w:rPr>
          <w:rFonts w:ascii="仿宋_GB2312" w:eastAsia="仿宋_GB2312" w:hint="eastAsia"/>
          <w:sz w:val="32"/>
          <w:szCs w:val="32"/>
          <w:lang w:val="en-US" w:eastAsia="zh-CN"/>
        </w:rPr>
        <w:t>0</w:t>
      </w:r>
      <w:r>
        <w:rPr>
          <w:rFonts w:ascii="仿宋_GB2312" w:eastAsia="仿宋_GB2312" w:hint="eastAsia"/>
          <w:sz w:val="32"/>
          <w:szCs w:val="32"/>
        </w:rPr>
        <w:t>人次（不包括陪同人员），共计支出</w:t>
      </w:r>
      <w:r>
        <w:rPr>
          <w:rFonts w:ascii="仿宋_GB2312" w:eastAsia="仿宋_GB2312" w:hint="eastAsia"/>
          <w:sz w:val="32"/>
          <w:szCs w:val="32"/>
          <w:lang w:val="en-US" w:eastAsia="zh-CN"/>
        </w:rPr>
        <w:t>0</w:t>
      </w:r>
      <w:r>
        <w:rPr>
          <w:rFonts w:ascii="仿宋_GB2312" w:eastAsia="仿宋_GB2312" w:hint="eastAsia"/>
          <w:sz w:val="32"/>
          <w:szCs w:val="32"/>
        </w:rPr>
        <w:t>万元，具体内容包括：…（接待具体项目、金额）。</w:t>
      </w:r>
    </w:p>
    <w:p>
      <w:pPr>
        <w:spacing w:line="600" w:lineRule="exact"/>
        <w:ind w:firstLineChars="200" w:firstLine="640"/>
        <w:rPr>
          <w:rFonts w:ascii="仿宋_GB2312" w:eastAsia="仿宋_GB2312"/>
          <w:sz w:val="32"/>
          <w:szCs w:val="32"/>
        </w:rPr>
      </w:pPr>
      <w:r>
        <w:rPr>
          <w:rFonts w:ascii="仿宋" w:eastAsia="仿宋" w:hint="eastAsia"/>
          <w:b/>
          <w:sz w:val="32"/>
          <w:szCs w:val="32"/>
        </w:rPr>
        <w:t>外事接待支出</w:t>
      </w:r>
      <w:r>
        <w:rPr>
          <w:rFonts w:ascii="仿宋" w:eastAsia="仿宋" w:hint="eastAsia"/>
          <w:b/>
          <w:sz w:val="32"/>
          <w:szCs w:val="32"/>
          <w:lang w:val="en-US" w:eastAsia="zh-CN"/>
        </w:rPr>
        <w:t>0</w:t>
      </w:r>
      <w:r>
        <w:rPr>
          <w:rFonts w:ascii="仿宋_GB2312" w:eastAsia="仿宋_GB2312" w:hint="eastAsia"/>
          <w:sz w:val="32"/>
          <w:szCs w:val="32"/>
        </w:rPr>
        <w:t>万元，外事接待</w:t>
      </w:r>
      <w:r>
        <w:rPr>
          <w:rFonts w:ascii="仿宋_GB2312" w:eastAsia="仿宋_GB2312" w:hint="eastAsia"/>
          <w:sz w:val="32"/>
          <w:szCs w:val="32"/>
          <w:lang w:val="en-US" w:eastAsia="zh-CN"/>
        </w:rPr>
        <w:t>0</w:t>
      </w:r>
      <w:r>
        <w:rPr>
          <w:rFonts w:ascii="仿宋_GB2312" w:eastAsia="仿宋_GB2312" w:hint="eastAsia"/>
          <w:sz w:val="32"/>
          <w:szCs w:val="32"/>
        </w:rPr>
        <w:t>批次，</w:t>
      </w:r>
      <w:r>
        <w:rPr>
          <w:rFonts w:ascii="仿宋_GB2312" w:eastAsia="仿宋_GB2312" w:hint="eastAsia"/>
          <w:sz w:val="32"/>
          <w:szCs w:val="32"/>
          <w:lang w:val="en-US" w:eastAsia="zh-CN"/>
        </w:rPr>
        <w:t>0</w:t>
      </w:r>
      <w:r>
        <w:rPr>
          <w:rFonts w:ascii="仿宋_GB2312" w:eastAsia="仿宋_GB2312" w:hint="eastAsia"/>
          <w:sz w:val="32"/>
          <w:szCs w:val="32"/>
        </w:rPr>
        <w:t>人，共计支出</w:t>
      </w:r>
      <w:r>
        <w:rPr>
          <w:rFonts w:ascii="仿宋_GB2312" w:eastAsia="仿宋_GB2312" w:hint="eastAsia"/>
          <w:sz w:val="32"/>
          <w:szCs w:val="32"/>
          <w:lang w:val="en-US" w:eastAsia="zh-CN"/>
        </w:rPr>
        <w:t>0</w:t>
      </w:r>
      <w:r>
        <w:rPr>
          <w:rFonts w:ascii="仿宋_GB2312" w:eastAsia="仿宋_GB2312" w:hint="eastAsia"/>
          <w:sz w:val="32"/>
          <w:szCs w:val="32"/>
        </w:rPr>
        <w:t>万元，主要用于接待</w:t>
      </w:r>
      <w:r>
        <w:rPr>
          <w:rFonts w:ascii="仿宋_GB2312" w:eastAsia="仿宋_GB2312"/>
          <w:sz w:val="32"/>
          <w:szCs w:val="32"/>
        </w:rPr>
        <w:t>…</w:t>
      </w:r>
      <w:r>
        <w:rPr>
          <w:rFonts w:ascii="仿宋_GB2312" w:eastAsia="仿宋_GB2312" w:hint="eastAsia"/>
          <w:sz w:val="32"/>
          <w:szCs w:val="32"/>
        </w:rPr>
        <w:t>（具体项目）。主要用于……</w:t>
      </w:r>
    </w:p>
    <w:p>
      <w:pPr>
        <w:spacing w:line="600" w:lineRule="exact"/>
        <w:ind w:firstLine="640"/>
        <w:outlineLvl w:val="1"/>
        <w:rPr>
          <w:rFonts w:ascii="黑体" w:eastAsia="黑体"/>
          <w:sz w:val="32"/>
          <w:szCs w:val="32"/>
        </w:rPr>
      </w:pPr>
      <w:bookmarkStart w:id="42" w:name="_Toc15396610"/>
      <w:bookmarkStart w:id="43" w:name="_Toc15377218"/>
    </w:p>
    <w:p>
      <w:pPr>
        <w:spacing w:line="600" w:lineRule="exact"/>
        <w:ind w:firstLine="640"/>
        <w:outlineLvl w:val="1"/>
        <w:rPr>
          <w:rStyle w:val="2Char"/>
          <w:rFonts w:ascii="黑体" w:eastAsia="黑体"/>
        </w:rPr>
      </w:pPr>
      <w:r>
        <w:rPr>
          <w:rFonts w:ascii="黑体" w:eastAsia="黑体" w:hint="eastAsia"/>
          <w:sz w:val="32"/>
          <w:szCs w:val="32"/>
        </w:rPr>
        <w:t>八、</w:t>
      </w:r>
      <w:r>
        <w:rPr>
          <w:rStyle w:val="2Char"/>
          <w:rFonts w:ascii="黑体" w:eastAsia="黑体" w:hint="eastAsia"/>
          <w:b w:val="0"/>
        </w:rPr>
        <w:t>政府性基金预算支出决算情况说明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lang w:val="en-US" w:eastAsia="zh-CN"/>
        </w:rPr>
        <w:t>2</w:t>
      </w:r>
      <w:r>
        <w:rPr>
          <w:rFonts w:ascii="仿宋_GB2312" w:eastAsia="仿宋_GB2312" w:hint="eastAsia"/>
          <w:sz w:val="32"/>
          <w:szCs w:val="32"/>
        </w:rPr>
        <w:t>年政府性基金预算财政拨款支出</w:t>
      </w:r>
      <w:r>
        <w:rPr>
          <w:rFonts w:ascii="仿宋_GB2312" w:eastAsia="仿宋_GB2312" w:hint="eastAsia"/>
          <w:sz w:val="32"/>
          <w:szCs w:val="32"/>
          <w:lang w:val="en-US" w:eastAsia="zh-CN"/>
        </w:rPr>
        <w:t>0</w:t>
      </w:r>
      <w:r>
        <w:rPr>
          <w:rFonts w:ascii="仿宋_GB2312" w:eastAsia="仿宋_GB2312" w:hint="eastAsia"/>
          <w:sz w:val="32"/>
          <w:szCs w:val="32"/>
        </w:rPr>
        <w:t>万元。</w:t>
      </w:r>
    </w:p>
    <w:p>
      <w:pPr>
        <w:spacing w:line="600" w:lineRule="exact"/>
        <w:ind w:firstLine="640"/>
        <w:rPr>
          <w:rFonts w:ascii="仿宋_GB2312" w:eastAsia="仿宋_GB2312"/>
          <w:sz w:val="32"/>
          <w:szCs w:val="32"/>
        </w:rPr>
      </w:pPr>
    </w:p>
    <w:p>
      <w:pPr>
        <w:numPr>
          <w:ilvl w:val="0"/>
          <w:numId w:val="3"/>
        </w:numPr>
        <w:spacing w:line="600" w:lineRule="exact"/>
        <w:ind w:left="0" w:firstLine="640"/>
        <w:outlineLvl w:val="1"/>
        <w:rPr>
          <w:rStyle w:val="2Char"/>
          <w:rFonts w:ascii="黑体" w:eastAsia="黑体"/>
          <w:b w:val="0"/>
        </w:rPr>
      </w:pPr>
      <w:bookmarkStart w:id="44" w:name="_Toc15396611"/>
      <w:bookmarkStart w:id="45" w:name="_Toc15377219"/>
      <w:r>
        <w:rPr>
          <w:rStyle w:val="2Char"/>
          <w:rFonts w:ascii="黑体" w:eastAsia="黑体" w:hint="eastAsia"/>
          <w:b w:val="0"/>
        </w:rPr>
        <w:t>国有资本经营预算支出决算情况说明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lang w:val="en-US" w:eastAsia="zh-CN"/>
        </w:rPr>
        <w:t>2</w:t>
      </w:r>
      <w:r>
        <w:rPr>
          <w:rFonts w:ascii="仿宋_GB2312" w:eastAsia="仿宋_GB2312" w:hint="eastAsia"/>
          <w:sz w:val="32"/>
          <w:szCs w:val="32"/>
        </w:rPr>
        <w:t>年国有资本经营预算财政拨款支出</w:t>
      </w:r>
      <w:r>
        <w:rPr>
          <w:rFonts w:ascii="仿宋_GB2312" w:eastAsia="仿宋_GB2312" w:hint="eastAsia"/>
          <w:sz w:val="32"/>
          <w:szCs w:val="32"/>
          <w:lang w:val="en-US" w:eastAsia="zh-CN"/>
        </w:rPr>
        <w:t>0</w:t>
      </w:r>
      <w:r>
        <w:rPr>
          <w:rFonts w:ascii="仿宋_GB2312" w:eastAsia="仿宋_GB2312" w:hint="eastAsia"/>
          <w:sz w:val="32"/>
          <w:szCs w:val="32"/>
        </w:rPr>
        <w:t>万元。</w:t>
      </w:r>
    </w:p>
    <w:p>
      <w:pPr>
        <w:spacing w:line="580" w:lineRule="exact"/>
        <w:jc w:val="center"/>
        <w:rPr>
          <w:rFonts w:ascii="方正小标宋简体" w:eastAsia="方正小标宋简体" w:cs="方正小标宋简体"/>
          <w:sz w:val="44"/>
          <w:szCs w:val="44"/>
        </w:rPr>
      </w:pPr>
    </w:p>
    <w:p>
      <w:pPr>
        <w:numPr>
          <w:ilvl w:val="0"/>
          <w:numId w:val="3"/>
        </w:numPr>
        <w:spacing w:line="600" w:lineRule="exact"/>
        <w:ind w:left="0" w:firstLine="640"/>
        <w:outlineLvl w:val="1"/>
        <w:rPr>
          <w:rStyle w:val="2Char"/>
          <w:rFonts w:ascii="黑体" w:eastAsia="黑体"/>
          <w:b w:val="0"/>
        </w:rPr>
      </w:pPr>
      <w:bookmarkStart w:id="46" w:name="_Toc15377221"/>
      <w:bookmarkStart w:id="47" w:name="_Toc15396612"/>
      <w:r>
        <w:rPr>
          <w:rStyle w:val="2Char"/>
          <w:rFonts w:ascii="黑体" w:eastAsia="黑体" w:hint="eastAsia"/>
          <w:b w:val="0"/>
        </w:rPr>
        <w:t>其他重要事项的情况说明</w:t>
      </w:r>
      <w:bookmarkEnd w:id="46"/>
      <w:bookmarkEnd w:id="47"/>
    </w:p>
    <w:p>
      <w:pPr>
        <w:spacing w:line="600" w:lineRule="exact"/>
        <w:ind w:firstLineChars="200" w:firstLine="640"/>
        <w:outlineLvl w:val="2"/>
        <w:rPr>
          <w:rFonts w:ascii="仿宋" w:eastAsia="仿宋"/>
          <w:sz w:val="32"/>
          <w:szCs w:val="32"/>
        </w:rPr>
      </w:pPr>
      <w:bookmarkStart w:id="48" w:name="_Toc15377222"/>
      <w:r>
        <w:rPr>
          <w:rFonts w:ascii="仿宋" w:eastAsia="仿宋" w:hint="eastAsia"/>
          <w:b/>
          <w:sz w:val="32"/>
          <w:szCs w:val="32"/>
        </w:rPr>
        <w:t>（一）机关运行经费支出情况</w:t>
      </w:r>
      <w:bookmarkEnd w:id="48"/>
    </w:p>
    <w:p>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lang w:val="en-US" w:eastAsia="zh-CN"/>
        </w:rPr>
        <w:t>2</w:t>
      </w:r>
      <w:r>
        <w:rPr>
          <w:rFonts w:ascii="仿宋_GB2312" w:eastAsia="仿宋_GB2312" w:hint="eastAsia"/>
          <w:sz w:val="32"/>
          <w:szCs w:val="32"/>
        </w:rPr>
        <w:t>年，机关运行经费支出</w:t>
      </w:r>
      <w:r>
        <w:rPr>
          <w:rFonts w:ascii="仿宋_GB2312" w:eastAsia="仿宋_GB2312" w:hint="eastAsia"/>
          <w:sz w:val="32"/>
          <w:szCs w:val="32"/>
          <w:lang w:val="en-US" w:eastAsia="zh-CN"/>
        </w:rPr>
        <w:t>0</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lang w:val="en-US" w:eastAsia="zh-CN"/>
        </w:rPr>
        <w:t>1</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Pr>
          <w:rFonts w:ascii="仿宋_GB2312" w:eastAsia="仿宋_GB2312" w:hint="eastAsia"/>
          <w:sz w:val="32"/>
          <w:szCs w:val="32"/>
          <w:lang w:val="en-US" w:eastAsia="zh-CN"/>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Pr>
          <w:rFonts w:ascii="仿宋_GB2312" w:eastAsia="仿宋_GB2312" w:hint="eastAsia"/>
          <w:sz w:val="32"/>
          <w:szCs w:val="32"/>
          <w:lang w:val="en-US" w:eastAsia="zh-CN"/>
        </w:rPr>
        <w:t>0</w:t>
      </w:r>
      <w:r>
        <w:rPr>
          <w:rFonts w:ascii="仿宋_GB2312" w:eastAsia="仿宋_GB2312"/>
          <w:sz w:val="32"/>
          <w:szCs w:val="32"/>
        </w:rPr>
        <w:t>%</w:t>
      </w:r>
      <w:r>
        <w:rPr>
          <w:rFonts w:ascii="仿宋_GB2312" w:eastAsia="仿宋_GB2312" w:hint="eastAsia"/>
          <w:sz w:val="32"/>
          <w:szCs w:val="32"/>
        </w:rPr>
        <w:t>（或与</w:t>
      </w: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lang w:val="en-US" w:eastAsia="zh-CN"/>
        </w:rPr>
        <w:t>1</w:t>
      </w:r>
      <w:r>
        <w:rPr>
          <w:rFonts w:ascii="仿宋_GB2312" w:eastAsia="仿宋_GB2312" w:hint="eastAsia"/>
          <w:sz w:val="32"/>
          <w:szCs w:val="32"/>
        </w:rPr>
        <w:t>年决算数持平）。主要原因是……</w:t>
      </w:r>
    </w:p>
    <w:p>
      <w:pPr>
        <w:spacing w:line="600" w:lineRule="exact"/>
        <w:ind w:firstLineChars="200" w:firstLine="640"/>
        <w:rPr>
          <w:rFonts w:ascii="仿宋" w:eastAsia="仿宋"/>
          <w:b/>
          <w:sz w:val="32"/>
          <w:szCs w:val="32"/>
        </w:rPr>
      </w:pPr>
      <w:r>
        <w:rPr>
          <w:rFonts w:ascii="仿宋" w:eastAsia="仿宋" w:hint="eastAsia"/>
          <w:b/>
          <w:sz w:val="32"/>
          <w:szCs w:val="32"/>
        </w:rPr>
        <w:t>（注：数据来源于财决附</w:t>
      </w:r>
      <w:r>
        <w:rPr>
          <w:rFonts w:ascii="仿宋" w:eastAsia="仿宋"/>
          <w:b/>
          <w:sz w:val="32"/>
          <w:szCs w:val="32"/>
        </w:rPr>
        <w:t>03</w:t>
      </w:r>
      <w:r>
        <w:rPr>
          <w:rFonts w:ascii="仿宋" w:eastAsia="仿宋" w:hint="eastAsia"/>
          <w:b/>
          <w:sz w:val="32"/>
          <w:szCs w:val="32"/>
        </w:rPr>
        <w:t>表）</w:t>
      </w:r>
    </w:p>
    <w:p>
      <w:pPr>
        <w:autoSpaceDE w:val="0"/>
        <w:autoSpaceDN w:val="0"/>
        <w:adjustRightInd w:val="0"/>
        <w:spacing w:line="600" w:lineRule="exact"/>
        <w:ind w:firstLineChars="200" w:firstLine="640"/>
        <w:jc w:val="left"/>
        <w:outlineLvl w:val="2"/>
        <w:rPr>
          <w:rFonts w:ascii="仿宋" w:eastAsia="仿宋"/>
          <w:b/>
          <w:sz w:val="32"/>
          <w:szCs w:val="32"/>
        </w:rPr>
      </w:pPr>
      <w:bookmarkStart w:id="49" w:name="_Toc15377223"/>
      <w:r>
        <w:rPr>
          <w:rFonts w:ascii="仿宋" w:eastAsia="仿宋" w:hint="eastAsia"/>
          <w:b/>
          <w:sz w:val="32"/>
          <w:szCs w:val="32"/>
        </w:rPr>
        <w:t>（二）政府采购支出情况</w:t>
      </w:r>
      <w:bookmarkEnd w:id="49"/>
    </w:p>
    <w:p>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lang w:val="en-US" w:eastAsia="zh-CN"/>
        </w:rPr>
        <w:t>2</w:t>
      </w:r>
      <w:r>
        <w:rPr>
          <w:rFonts w:ascii="仿宋_GB2312" w:eastAsia="仿宋_GB2312" w:hint="eastAsia"/>
          <w:sz w:val="32"/>
          <w:szCs w:val="32"/>
        </w:rPr>
        <w:t>年，政府采购支出总额</w:t>
      </w:r>
      <w:r>
        <w:rPr>
          <w:rFonts w:ascii="仿宋_GB2312" w:eastAsia="仿宋_GB2312" w:hint="eastAsia"/>
          <w:sz w:val="32"/>
          <w:szCs w:val="32"/>
          <w:lang w:val="en-US" w:eastAsia="zh-CN"/>
        </w:rPr>
        <w:t>0</w:t>
      </w:r>
      <w:r>
        <w:rPr>
          <w:rFonts w:ascii="仿宋_GB2312" w:eastAsia="仿宋_GB2312" w:hint="eastAsia"/>
          <w:sz w:val="32"/>
          <w:szCs w:val="32"/>
        </w:rPr>
        <w:t>万元，其中：政府采购货物支出</w:t>
      </w:r>
      <w:r>
        <w:rPr>
          <w:rFonts w:ascii="仿宋_GB2312" w:eastAsia="仿宋_GB2312" w:hint="eastAsia"/>
          <w:sz w:val="32"/>
          <w:szCs w:val="32"/>
          <w:lang w:val="en-US" w:eastAsia="zh-CN"/>
        </w:rPr>
        <w:t>0</w:t>
      </w:r>
      <w:r>
        <w:rPr>
          <w:rFonts w:ascii="仿宋_GB2312" w:eastAsia="仿宋_GB2312" w:hint="eastAsia"/>
          <w:sz w:val="32"/>
          <w:szCs w:val="32"/>
        </w:rPr>
        <w:t>万元、政府采购工程支出</w:t>
      </w:r>
      <w:r>
        <w:rPr>
          <w:rFonts w:ascii="仿宋_GB2312" w:eastAsia="仿宋_GB2312" w:hint="eastAsia"/>
          <w:sz w:val="32"/>
          <w:szCs w:val="32"/>
          <w:lang w:val="en-US" w:eastAsia="zh-CN"/>
        </w:rPr>
        <w:t>0</w:t>
      </w:r>
      <w:r>
        <w:rPr>
          <w:rFonts w:ascii="仿宋_GB2312" w:eastAsia="仿宋_GB2312" w:hint="eastAsia"/>
          <w:sz w:val="32"/>
          <w:szCs w:val="32"/>
        </w:rPr>
        <w:t>万元、政府采购服务支出</w:t>
      </w:r>
      <w:r>
        <w:rPr>
          <w:rFonts w:ascii="仿宋_GB2312" w:eastAsia="仿宋_GB2312" w:hint="eastAsia"/>
          <w:sz w:val="32"/>
          <w:szCs w:val="32"/>
          <w:lang w:val="en-US" w:eastAsia="zh-CN"/>
        </w:rPr>
        <w:t>0</w:t>
      </w:r>
      <w:r>
        <w:rPr>
          <w:rFonts w:ascii="仿宋_GB2312" w:eastAsia="仿宋_GB2312" w:hint="eastAsia"/>
          <w:sz w:val="32"/>
          <w:szCs w:val="32"/>
        </w:rPr>
        <w:t>万元。主要用于</w:t>
      </w:r>
      <w:r>
        <w:rPr>
          <w:rFonts w:ascii="仿宋_GB2312" w:eastAsia="仿宋_GB2312"/>
          <w:sz w:val="32"/>
          <w:szCs w:val="32"/>
        </w:rPr>
        <w:t>…</w:t>
      </w:r>
      <w:r>
        <w:rPr>
          <w:rFonts w:ascii="仿宋_GB2312" w:eastAsia="仿宋_GB2312" w:hint="eastAsia"/>
          <w:sz w:val="32"/>
          <w:szCs w:val="32"/>
        </w:rPr>
        <w:t>（具体工作）。授予中小企业合同金额</w:t>
      </w:r>
      <w:r>
        <w:rPr>
          <w:rFonts w:ascii="仿宋_GB2312" w:eastAsia="仿宋_GB2312" w:hint="eastAsia"/>
          <w:sz w:val="32"/>
          <w:szCs w:val="32"/>
          <w:lang w:val="en-US" w:eastAsia="zh-CN"/>
        </w:rPr>
        <w:t>0</w:t>
      </w:r>
      <w:r>
        <w:rPr>
          <w:rFonts w:ascii="仿宋_GB2312" w:eastAsia="仿宋_GB2312" w:hint="eastAsia"/>
          <w:sz w:val="32"/>
          <w:szCs w:val="32"/>
        </w:rPr>
        <w:t>万元，占政府采购支出总额的</w:t>
      </w:r>
      <w:r>
        <w:rPr>
          <w:rFonts w:ascii="仿宋_GB2312" w:eastAsia="仿宋_GB2312" w:hint="eastAsia"/>
          <w:sz w:val="32"/>
          <w:szCs w:val="32"/>
          <w:lang w:val="en-US" w:eastAsia="zh-CN"/>
        </w:rPr>
        <w:t>0</w:t>
      </w:r>
      <w:r>
        <w:rPr>
          <w:rFonts w:ascii="仿宋_GB2312" w:eastAsia="仿宋_GB2312"/>
          <w:sz w:val="32"/>
          <w:szCs w:val="32"/>
        </w:rPr>
        <w:t>%</w:t>
      </w:r>
      <w:r>
        <w:rPr>
          <w:rFonts w:ascii="仿宋_GB2312" w:eastAsia="仿宋_GB2312" w:hint="eastAsia"/>
          <w:sz w:val="32"/>
          <w:szCs w:val="32"/>
        </w:rPr>
        <w:t>，其中：授予小微企业合同金额</w:t>
      </w:r>
      <w:r>
        <w:rPr>
          <w:rFonts w:ascii="仿宋_GB2312" w:eastAsia="仿宋_GB2312" w:hint="eastAsia"/>
          <w:sz w:val="32"/>
          <w:szCs w:val="32"/>
          <w:lang w:val="en-US" w:eastAsia="zh-CN"/>
        </w:rPr>
        <w:t>0</w:t>
      </w:r>
      <w:r>
        <w:rPr>
          <w:rFonts w:ascii="仿宋_GB2312" w:eastAsia="仿宋_GB2312" w:hint="eastAsia"/>
          <w:sz w:val="32"/>
          <w:szCs w:val="32"/>
        </w:rPr>
        <w:t>万元，占政府采购支出总额的</w:t>
      </w:r>
      <w:r>
        <w:rPr>
          <w:rFonts w:ascii="仿宋_GB2312" w:eastAsia="仿宋_GB2312" w:hint="eastAsia"/>
          <w:sz w:val="32"/>
          <w:szCs w:val="32"/>
          <w:lang w:val="en-US" w:eastAsia="zh-CN"/>
        </w:rPr>
        <w:t>0</w:t>
      </w:r>
      <w:r>
        <w:rPr>
          <w:rFonts w:ascii="仿宋_GB2312" w:eastAsia="仿宋_GB2312"/>
          <w:sz w:val="32"/>
          <w:szCs w:val="32"/>
        </w:rPr>
        <w:t>%</w:t>
      </w:r>
      <w:r>
        <w:rPr>
          <w:rFonts w:ascii="仿宋_GB2312" w:eastAsia="仿宋_GB2312" w:hint="eastAsia"/>
          <w:sz w:val="32"/>
          <w:szCs w:val="32"/>
        </w:rPr>
        <w:t>。</w:t>
      </w:r>
    </w:p>
    <w:p>
      <w:pPr>
        <w:spacing w:line="600" w:lineRule="exact"/>
        <w:ind w:firstLineChars="200" w:firstLine="640"/>
        <w:rPr>
          <w:rFonts w:ascii="仿宋" w:eastAsia="仿宋"/>
          <w:b/>
          <w:sz w:val="32"/>
          <w:szCs w:val="32"/>
        </w:rPr>
      </w:pPr>
      <w:r>
        <w:rPr>
          <w:rFonts w:ascii="仿宋" w:eastAsia="仿宋" w:hint="eastAsia"/>
          <w:b/>
          <w:sz w:val="32"/>
          <w:szCs w:val="32"/>
        </w:rPr>
        <w:t>（注：数据来源于财决附</w:t>
      </w:r>
      <w:r>
        <w:rPr>
          <w:rFonts w:ascii="仿宋" w:eastAsia="仿宋"/>
          <w:b/>
          <w:sz w:val="32"/>
          <w:szCs w:val="32"/>
        </w:rPr>
        <w:t>03</w:t>
      </w:r>
      <w:r>
        <w:rPr>
          <w:rFonts w:ascii="仿宋" w:eastAsia="仿宋" w:hint="eastAsia"/>
          <w:b/>
          <w:sz w:val="32"/>
          <w:szCs w:val="32"/>
        </w:rPr>
        <w:t>表）</w:t>
      </w:r>
    </w:p>
    <w:p>
      <w:pPr>
        <w:autoSpaceDE w:val="0"/>
        <w:autoSpaceDN w:val="0"/>
        <w:adjustRightInd w:val="0"/>
        <w:spacing w:line="600" w:lineRule="exact"/>
        <w:ind w:firstLineChars="200" w:firstLine="640"/>
        <w:jc w:val="left"/>
        <w:outlineLvl w:val="2"/>
        <w:rPr>
          <w:rFonts w:ascii="仿宋" w:eastAsia="仿宋"/>
          <w:b/>
          <w:sz w:val="32"/>
          <w:szCs w:val="32"/>
        </w:rPr>
      </w:pPr>
      <w:bookmarkStart w:id="50" w:name="_Toc15377224"/>
      <w:r>
        <w:rPr>
          <w:rFonts w:ascii="仿宋" w:eastAsia="仿宋" w:hint="eastAsia"/>
          <w:b/>
          <w:sz w:val="32"/>
          <w:szCs w:val="32"/>
        </w:rPr>
        <w:t>（三）国有资产占有使用情况</w:t>
      </w:r>
      <w:bookmarkEnd w:id="50"/>
    </w:p>
    <w:p>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lang w:val="en-US" w:eastAsia="zh-CN"/>
        </w:rPr>
        <w:t>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日，共有车辆</w:t>
      </w:r>
      <w:r>
        <w:rPr>
          <w:rFonts w:ascii="仿宋_GB2312" w:eastAsia="仿宋_GB2312" w:hint="eastAsia"/>
          <w:sz w:val="32"/>
          <w:szCs w:val="32"/>
          <w:lang w:val="en-US" w:eastAsia="zh-CN"/>
        </w:rPr>
        <w:t>0</w:t>
      </w:r>
      <w:r>
        <w:rPr>
          <w:rFonts w:ascii="仿宋_GB2312" w:eastAsia="仿宋_GB2312" w:hint="eastAsia"/>
          <w:sz w:val="32"/>
          <w:szCs w:val="32"/>
        </w:rPr>
        <w:t>辆，其中：主要领导干部用车</w:t>
      </w:r>
      <w:r>
        <w:rPr>
          <w:rFonts w:ascii="仿宋_GB2312" w:eastAsia="仿宋_GB2312" w:hint="eastAsia"/>
          <w:sz w:val="32"/>
          <w:szCs w:val="32"/>
          <w:lang w:val="en-US" w:eastAsia="zh-CN"/>
        </w:rPr>
        <w:t>0</w:t>
      </w:r>
      <w:r>
        <w:rPr>
          <w:rFonts w:ascii="仿宋_GB2312" w:eastAsia="仿宋_GB2312" w:hint="eastAsia"/>
          <w:sz w:val="32"/>
          <w:szCs w:val="32"/>
        </w:rPr>
        <w:t>辆、机要通信用车</w:t>
      </w:r>
      <w:r>
        <w:rPr>
          <w:rFonts w:ascii="仿宋_GB2312" w:eastAsia="仿宋_GB2312" w:hint="eastAsia"/>
          <w:sz w:val="32"/>
          <w:szCs w:val="32"/>
          <w:lang w:val="en-US" w:eastAsia="zh-CN"/>
        </w:rPr>
        <w:t>0</w:t>
      </w:r>
      <w:r>
        <w:rPr>
          <w:rFonts w:ascii="仿宋_GB2312" w:eastAsia="仿宋_GB2312" w:hint="eastAsia"/>
          <w:sz w:val="32"/>
          <w:szCs w:val="32"/>
        </w:rPr>
        <w:t>辆、应急保障用车</w:t>
      </w:r>
      <w:r>
        <w:rPr>
          <w:rFonts w:ascii="仿宋_GB2312" w:eastAsia="仿宋_GB2312" w:hint="eastAsia"/>
          <w:sz w:val="32"/>
          <w:szCs w:val="32"/>
          <w:lang w:val="en-US" w:eastAsia="zh-CN"/>
        </w:rPr>
        <w:t>0</w:t>
      </w:r>
      <w:r>
        <w:rPr>
          <w:rFonts w:ascii="仿宋_GB2312" w:eastAsia="仿宋_GB2312" w:hint="eastAsia"/>
          <w:sz w:val="32"/>
          <w:szCs w:val="32"/>
        </w:rPr>
        <w:t>辆、其他用车</w:t>
      </w:r>
      <w:r>
        <w:rPr>
          <w:rFonts w:ascii="仿宋_GB2312" w:eastAsia="仿宋_GB2312" w:hint="eastAsia"/>
          <w:sz w:val="32"/>
          <w:szCs w:val="32"/>
          <w:lang w:val="en-US" w:eastAsia="zh-CN"/>
        </w:rPr>
        <w:t>0</w:t>
      </w:r>
      <w:r>
        <w:rPr>
          <w:rFonts w:ascii="仿宋_GB2312" w:eastAsia="仿宋_GB2312" w:hint="eastAsia"/>
          <w:sz w:val="32"/>
          <w:szCs w:val="32"/>
        </w:rPr>
        <w:t>辆……其他用车主要是用于……单价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hint="eastAsia"/>
          <w:sz w:val="32"/>
          <w:szCs w:val="32"/>
          <w:lang w:val="en-US" w:eastAsia="zh-CN"/>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hint="eastAsia"/>
          <w:sz w:val="32"/>
          <w:szCs w:val="32"/>
          <w:lang w:val="en-US" w:eastAsia="zh-CN"/>
        </w:rPr>
        <w:t>0</w:t>
      </w:r>
      <w:r>
        <w:rPr>
          <w:rFonts w:ascii="仿宋_GB2312" w:eastAsia="仿宋_GB2312" w:hint="eastAsia"/>
          <w:sz w:val="32"/>
          <w:szCs w:val="32"/>
        </w:rPr>
        <w:t>台（套）。</w:t>
      </w:r>
    </w:p>
    <w:p>
      <w:pPr>
        <w:autoSpaceDE w:val="0"/>
        <w:autoSpaceDN w:val="0"/>
        <w:adjustRightInd w:val="0"/>
        <w:spacing w:line="600" w:lineRule="exact"/>
        <w:ind w:firstLineChars="200" w:firstLine="640"/>
        <w:jc w:val="left"/>
        <w:rPr>
          <w:rFonts w:ascii="仿宋" w:eastAsia="仿宋"/>
          <w:b/>
          <w:sz w:val="32"/>
          <w:szCs w:val="32"/>
        </w:rPr>
      </w:pPr>
      <w:r>
        <w:rPr>
          <w:rFonts w:ascii="仿宋" w:eastAsia="仿宋" w:hint="eastAsia"/>
          <w:b/>
          <w:sz w:val="32"/>
          <w:szCs w:val="32"/>
        </w:rPr>
        <w:t>（注：数据来源于财决附</w:t>
      </w:r>
      <w:r>
        <w:rPr>
          <w:rFonts w:ascii="仿宋" w:eastAsia="仿宋"/>
          <w:b/>
          <w:sz w:val="32"/>
          <w:szCs w:val="32"/>
        </w:rPr>
        <w:t>03</w:t>
      </w:r>
      <w:r>
        <w:rPr>
          <w:rFonts w:ascii="仿宋" w:eastAsia="仿宋" w:hint="eastAsia"/>
          <w:b/>
          <w:sz w:val="32"/>
          <w:szCs w:val="32"/>
        </w:rPr>
        <w:t>表，按单位决算报表填报数据罗列车辆情况。）</w:t>
      </w:r>
    </w:p>
    <w:p>
      <w:pPr>
        <w:autoSpaceDE w:val="0"/>
        <w:autoSpaceDN w:val="0"/>
        <w:adjustRightInd w:val="0"/>
        <w:spacing w:line="600" w:lineRule="exact"/>
        <w:ind w:firstLineChars="200" w:firstLine="640"/>
        <w:jc w:val="left"/>
        <w:outlineLvl w:val="2"/>
        <w:rPr>
          <w:rFonts w:ascii="仿宋" w:eastAsia="仿宋"/>
          <w:b/>
          <w:sz w:val="32"/>
          <w:szCs w:val="32"/>
        </w:rPr>
      </w:pPr>
      <w:r>
        <w:rPr>
          <w:rFonts w:ascii="仿宋" w:eastAsia="仿宋" w:hint="eastAsia"/>
          <w:b/>
          <w:sz w:val="32"/>
          <w:szCs w:val="32"/>
        </w:rPr>
        <w:t>（四）预算绩效管理情况</w:t>
      </w:r>
    </w:p>
    <w:p>
      <w:pPr>
        <w:spacing w:line="600" w:lineRule="exact"/>
        <w:ind w:left="0" w:firstLine="420"/>
        <w:rPr>
          <w:rFonts w:ascii="仿宋_GB2312" w:eastAsia="仿宋_GB2312" w:cs="仿宋" w:hint="eastAsia"/>
          <w:color w:val="000000"/>
          <w:kern w:val="0"/>
          <w:sz w:val="32"/>
          <w:szCs w:val="32"/>
          <w:lang w:val="en-US" w:eastAsia="zh-CN" w:bidi="ar-SA"/>
        </w:rPr>
      </w:pPr>
      <w:r>
        <w:rPr>
          <w:rFonts w:ascii="仿宋_GB2312" w:eastAsia="仿宋_GB2312" w:cs="仿宋" w:hint="eastAsia"/>
          <w:color w:val="000000"/>
          <w:kern w:val="0"/>
          <w:sz w:val="32"/>
          <w:szCs w:val="32"/>
          <w:lang w:val="en-US" w:eastAsia="zh-CN" w:bidi="ar-SA"/>
        </w:rPr>
        <w:t>根据预算绩效管理要求，本单位在年初预算编制阶段，由学校领导牵头召开会议，制定学校规章制度，通过会议明确各处职责，学校开展考勤制度，确保执行，强化绩效，公开透明的公开化，管好用好财政资金更好的使用绩效。绩效考核作为资金管理与分配的核心依据，根据</w:t>
      </w:r>
      <w:r>
        <w:rPr>
          <w:rFonts w:ascii="仿宋_GB2312" w:eastAsia="仿宋_GB2312" w:cs="仿宋" w:hint="eastAsia"/>
          <w:color w:val="000000"/>
          <w:kern w:val="0"/>
          <w:sz w:val="32"/>
          <w:szCs w:val="32"/>
          <w:lang w:val="zh-CN" w:eastAsia="zh-CN" w:bidi="ar-SA"/>
        </w:rPr>
        <w:t>工作规划和重点工作</w:t>
      </w:r>
      <w:r>
        <w:rPr>
          <w:rFonts w:ascii="仿宋_GB2312" w:eastAsia="仿宋_GB2312" w:cs="仿宋" w:hint="eastAsia"/>
          <w:color w:val="000000"/>
          <w:kern w:val="0"/>
          <w:sz w:val="32"/>
          <w:szCs w:val="32"/>
          <w:lang w:val="en-US" w:eastAsia="zh-CN" w:bidi="ar-SA"/>
        </w:rPr>
        <w:t>规划</w:t>
      </w:r>
      <w:r>
        <w:rPr>
          <w:rFonts w:ascii="仿宋_GB2312" w:eastAsia="仿宋_GB2312" w:cs="仿宋" w:hint="eastAsia"/>
          <w:color w:val="000000"/>
          <w:kern w:val="0"/>
          <w:sz w:val="32"/>
          <w:szCs w:val="32"/>
          <w:lang w:val="zh-CN" w:eastAsia="zh-CN" w:bidi="ar-SA"/>
        </w:rPr>
        <w:t>，积极履行职责，强化本单位预算管理，</w:t>
      </w:r>
      <w:r>
        <w:rPr>
          <w:rFonts w:ascii="仿宋_GB2312" w:eastAsia="仿宋_GB2312" w:cs="仿宋" w:hint="eastAsia"/>
          <w:color w:val="000000"/>
          <w:kern w:val="0"/>
          <w:sz w:val="32"/>
          <w:szCs w:val="32"/>
          <w:lang w:val="en-US" w:eastAsia="zh-CN" w:bidi="ar-SA"/>
        </w:rPr>
        <w:t>单位进一步提高预算绩效管理认识，学校建立内部绩效评价工作考核制度，年终对有关业务的绩效评价工作开展情况进行考核，作为年终工作目标量化考核内容之一。强化以“绩效为中心、对支出结果负责、对社会公众负责”的理念，在绩效目标编制方面，数量目标和质量目标量化不细，效益目标编制不完整等方面加以了改善。加强预算绩效动态监控管理，加强相关人员的业务培训，进一步提高预算绩效评价质量。</w:t>
      </w:r>
    </w:p>
    <w:p>
      <w:pPr>
        <w:spacing w:line="600" w:lineRule="exact"/>
        <w:ind w:firstLineChars="200" w:firstLine="640"/>
        <w:rPr>
          <w:rFonts w:ascii="仿宋_GB2312" w:eastAsia="仿宋_GB2312" w:cs="仿宋" w:hint="eastAsia"/>
          <w:color w:val="000000"/>
          <w:kern w:val="0"/>
          <w:sz w:val="32"/>
          <w:szCs w:val="32"/>
          <w:lang w:val="en-US" w:eastAsia="zh-CN" w:bidi="ar-SA"/>
        </w:rPr>
      </w:pPr>
      <w:r>
        <w:rPr>
          <w:rFonts w:ascii="仿宋_GB2312" w:eastAsia="仿宋_GB2312" w:cs="仿宋" w:hint="eastAsia"/>
          <w:color w:val="000000"/>
          <w:kern w:val="0"/>
          <w:sz w:val="32"/>
          <w:szCs w:val="32"/>
          <w:lang w:val="en-US" w:eastAsia="zh-CN" w:bidi="ar-SA"/>
        </w:rPr>
        <w:t>在绩效目标编制方面，加强预算绩效动态监控管理，加强相关人员的业务培训，进一步提高预算绩效评价质量。积极履行职责，强化本单位预算管理，较好地完成年初绩效工作。</w:t>
      </w:r>
    </w:p>
    <w:p>
      <w:pPr>
        <w:spacing w:line="600" w:lineRule="exact"/>
        <w:ind w:firstLineChars="200" w:firstLine="640"/>
        <w:rPr>
          <w:rFonts w:ascii="仿宋_GB2312" w:eastAsia="仿宋_GB2312" w:cs="仿宋" w:hint="eastAsia"/>
          <w:color w:val="000000"/>
          <w:kern w:val="0"/>
          <w:sz w:val="32"/>
          <w:szCs w:val="32"/>
          <w:lang w:val="en-US" w:eastAsia="zh-CN" w:bidi="ar-SA"/>
        </w:rPr>
      </w:pPr>
      <w:r>
        <w:rPr>
          <w:rFonts w:ascii="仿宋_GB2312" w:eastAsia="仿宋_GB2312" w:cs="仿宋" w:hint="eastAsia"/>
          <w:color w:val="000000"/>
          <w:kern w:val="0"/>
          <w:sz w:val="32"/>
          <w:szCs w:val="32"/>
          <w:lang w:val="en-US" w:eastAsia="zh-CN" w:bidi="ar-SA"/>
        </w:rPr>
        <w:t>绩效管理机制工作不断推进，学校绩效目标编制方面，针对绩效目标设置指向不清、预算和目标匹配不足，目标编制不完整等方面加以了改善。目前单位绩效评价结果还停留在反映情况、找问题、提建议层面，评价结果和预算安排有机结合的机制尚未真正建立，还在逐步搭建，要进一步提高预算绩效管理认识，更好的实施绩效管理工作。</w:t>
      </w:r>
    </w:p>
    <w:p>
      <w:pPr>
        <w:spacing w:line="600" w:lineRule="exact"/>
        <w:ind w:firstLineChars="200" w:firstLine="640"/>
        <w:rPr>
          <w:rFonts w:ascii="仿宋_GB2312" w:eastAsia="仿宋_GB2312" w:cs="仿宋" w:hint="eastAsia"/>
          <w:color w:val="000000"/>
          <w:kern w:val="0"/>
          <w:sz w:val="32"/>
          <w:szCs w:val="32"/>
          <w:lang w:val="en-US" w:eastAsia="zh-CN" w:bidi="ar-SA"/>
        </w:rPr>
      </w:pPr>
      <w:r>
        <w:rPr>
          <w:rFonts w:ascii="仿宋_GB2312" w:eastAsia="仿宋_GB2312" w:cs="仿宋" w:hint="eastAsia"/>
          <w:color w:val="000000"/>
          <w:kern w:val="0"/>
          <w:sz w:val="32"/>
          <w:szCs w:val="32"/>
          <w:lang w:val="en-US" w:eastAsia="zh-CN" w:bidi="ar-SA"/>
        </w:rPr>
        <w:t>本部门按要求对2022年部门整体支出绩效评价情况开展自评，《红原县查尔玛小学2022年部门整体支出绩效评价报告》见附件1</w:t>
      </w:r>
    </w:p>
    <w:p>
      <w:pPr>
        <w:widowControl/>
        <w:jc w:val="both"/>
        <w:outlineLvl w:val="0"/>
        <w:rPr>
          <w:rFonts w:ascii="黑体" w:eastAsia="黑体" w:hint="eastAsia"/>
          <w:b/>
          <w:color w:val="000000"/>
          <w:sz w:val="44"/>
          <w:szCs w:val="44"/>
          <w:lang w:eastAsia="zh-CN"/>
        </w:rPr>
      </w:pPr>
    </w:p>
    <w:p>
      <w:pPr>
        <w:autoSpaceDE w:val="0"/>
        <w:autoSpaceDN w:val="0"/>
        <w:adjustRightInd w:val="0"/>
        <w:spacing w:line="600" w:lineRule="exact"/>
        <w:ind w:firstLineChars="200" w:firstLine="640"/>
        <w:rPr>
          <w:rFonts w:ascii="仿宋" w:eastAsia="仿宋"/>
          <w:b/>
          <w:sz w:val="32"/>
          <w:szCs w:val="32"/>
        </w:rPr>
      </w:pPr>
      <w:r>
        <w:rPr>
          <w:rFonts w:ascii="仿宋" w:eastAsia="仿宋" w:hint="eastAsia"/>
          <w:b/>
          <w:sz w:val="32"/>
          <w:szCs w:val="32"/>
        </w:rPr>
        <w:t>（注：单位</w:t>
      </w:r>
      <w:r>
        <w:rPr>
          <w:rFonts w:ascii="仿宋_GB2312" w:eastAsia="仿宋_GB2312" w:cs="仿宋_GB2312" w:hint="eastAsia"/>
          <w:b/>
          <w:sz w:val="32"/>
          <w:szCs w:val="32"/>
        </w:rPr>
        <w:t>202</w:t>
      </w:r>
      <w:r>
        <w:rPr>
          <w:rFonts w:ascii="仿宋_GB2312" w:eastAsia="仿宋_GB2312" w:cs="仿宋_GB2312" w:hint="eastAsia"/>
          <w:b/>
          <w:sz w:val="32"/>
          <w:szCs w:val="32"/>
          <w:lang w:val="en-US" w:eastAsia="zh-CN"/>
        </w:rPr>
        <w:t>2</w:t>
      </w:r>
      <w:r>
        <w:rPr>
          <w:rFonts w:ascii="仿宋_GB2312" w:eastAsia="仿宋_GB2312" w:cs="仿宋_GB2312" w:hint="eastAsia"/>
          <w:b/>
          <w:sz w:val="32"/>
          <w:szCs w:val="32"/>
        </w:rPr>
        <w:t>年特定目标类部门预算项目绩效目标自评表为本部门202</w:t>
      </w:r>
      <w:r>
        <w:rPr>
          <w:rFonts w:ascii="仿宋_GB2312" w:eastAsia="仿宋_GB2312" w:cs="仿宋_GB2312" w:hint="eastAsia"/>
          <w:b/>
          <w:sz w:val="32"/>
          <w:szCs w:val="32"/>
          <w:lang w:val="en-US" w:eastAsia="zh-CN"/>
        </w:rPr>
        <w:t>2</w:t>
      </w:r>
      <w:r>
        <w:rPr>
          <w:rFonts w:ascii="仿宋_GB2312" w:eastAsia="仿宋_GB2312" w:cs="仿宋_GB2312" w:hint="eastAsia"/>
          <w:b/>
          <w:sz w:val="32"/>
          <w:szCs w:val="32"/>
        </w:rPr>
        <w:t>年部门整体支出绩效评价报告中涉及本单位的附表</w:t>
      </w:r>
      <w:r>
        <w:rPr>
          <w:rFonts w:ascii="仿宋" w:eastAsia="仿宋" w:hint="eastAsia"/>
          <w:b/>
          <w:sz w:val="32"/>
          <w:szCs w:val="32"/>
        </w:rPr>
        <w:t>）</w:t>
      </w:r>
    </w:p>
    <w:p>
      <w:pPr>
        <w:pStyle w:val="15"/>
        <w:spacing w:beforeLines="0"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left="0" w:firstLineChars="150" w:firstLine="660"/>
        <w:jc w:val="center"/>
        <w:outlineLvl w:val="0"/>
        <w:rPr>
          <w:rStyle w:val="1Char"/>
          <w:rFonts w:ascii="黑体" w:eastAsia="黑体"/>
          <w:b w:val="0"/>
        </w:rPr>
      </w:pPr>
      <w:bookmarkStart w:id="51" w:name="_Toc15396613"/>
      <w:bookmarkStart w:id="52" w:name="_Toc15377225"/>
      <w:r>
        <w:rPr>
          <w:rFonts w:ascii="黑体" w:eastAsia="黑体" w:hint="eastAsia"/>
          <w:sz w:val="44"/>
          <w:szCs w:val="44"/>
        </w:rPr>
        <w:t>名</w:t>
      </w:r>
      <w:r>
        <w:rPr>
          <w:rStyle w:val="1Char"/>
          <w:rFonts w:ascii="黑体" w:eastAsia="黑体" w:hint="eastAsia"/>
          <w:b w:val="0"/>
        </w:rPr>
        <w:t>词解释</w:t>
      </w:r>
      <w:bookmarkEnd w:id="51"/>
      <w:bookmarkEnd w:id="52"/>
    </w:p>
    <w:p>
      <w:pPr>
        <w:spacing w:line="600" w:lineRule="exact"/>
        <w:jc w:val="left"/>
        <w:rPr>
          <w:rFonts w:ascii="宋体"/>
          <w:b/>
          <w:sz w:val="44"/>
          <w:szCs w:val="44"/>
        </w:rPr>
      </w:pP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事业收入：指事业单位开展专业业务活动及辅助活动取得的收入。如…（二级预算单位事业收入情况）等。</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经营收入：指事业单位在专业业务活动及其辅助活动之外开展非独立核算经营活动取得的收入。如…（二级预算单位经营收入情况）等。</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pPr>
        <w:ind w:firstLineChars="200" w:firstLine="640"/>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9.教育</w:t>
      </w:r>
      <w:r>
        <w:rPr>
          <w:rFonts w:ascii="仿宋_GB2312" w:eastAsia="仿宋_GB2312"/>
          <w:color w:val="000000"/>
          <w:sz w:val="32"/>
          <w:szCs w:val="32"/>
          <w14:textFill>
            <w14:solidFill>
              <w14:srgbClr w14:val="000000"/>
            </w14:solidFill>
          </w14:textFill>
        </w:rPr>
        <w:t>2050201：制学前教育收入；2050202</w:t>
      </w:r>
      <w:r>
        <w:rPr>
          <w:rFonts w:ascii="仿宋_GB2312" w:eastAsia="仿宋_GB2312" w:hint="eastAsia"/>
          <w:color w:val="000000"/>
          <w:sz w:val="32"/>
          <w:szCs w:val="32"/>
          <w14:textFill>
            <w14:solidFill>
              <w14:srgbClr w14:val="000000"/>
            </w14:solidFill>
          </w14:textFill>
        </w:rPr>
        <w:t>：指小学教育收入；</w:t>
      </w:r>
      <w:r>
        <w:rPr>
          <w:rFonts w:ascii="仿宋_GB2312" w:eastAsia="仿宋_GB2312"/>
          <w:color w:val="000000"/>
          <w:sz w:val="32"/>
          <w:szCs w:val="32"/>
          <w14:textFill>
            <w14:solidFill>
              <w14:srgbClr w14:val="000000"/>
            </w14:solidFill>
          </w14:textFill>
        </w:rPr>
        <w:t>2050299</w:t>
      </w:r>
      <w:r>
        <w:rPr>
          <w:rFonts w:ascii="仿宋_GB2312" w:eastAsia="仿宋_GB2312" w:hint="eastAsia"/>
          <w:color w:val="000000"/>
          <w:sz w:val="32"/>
          <w:szCs w:val="32"/>
          <w14:textFill>
            <w14:solidFill>
              <w14:srgbClr w14:val="000000"/>
            </w14:solidFill>
          </w14:textFill>
        </w:rPr>
        <w:t>：指其他普通教育支出</w:t>
      </w:r>
      <w:r>
        <w:rPr>
          <w:rFonts w:ascii="仿宋_GB2312" w:eastAsia="仿宋_GB2312"/>
          <w:color w:val="000000"/>
          <w:sz w:val="32"/>
          <w:szCs w:val="32"/>
          <w14:textFill>
            <w14:solidFill>
              <w14:srgbClr w14:val="000000"/>
            </w14:solidFill>
          </w14:textFill>
        </w:rPr>
        <w:t>；</w:t>
      </w:r>
    </w:p>
    <w:p>
      <w:pPr>
        <w:ind w:firstLineChars="200" w:firstLine="640"/>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10</w:t>
      </w:r>
      <w:r>
        <w:rPr>
          <w:rFonts w:ascii="仿宋_GB2312" w:eastAsia="仿宋_GB2312"/>
          <w:color w:val="000000"/>
          <w:sz w:val="32"/>
          <w:szCs w:val="32"/>
          <w14:textFill>
            <w14:solidFill>
              <w14:srgbClr w14:val="000000"/>
            </w14:solidFill>
          </w14:textFill>
        </w:rPr>
        <w:t>.</w:t>
      </w:r>
      <w:r>
        <w:rPr>
          <w:rFonts w:ascii="仿宋_GB2312" w:eastAsia="仿宋_GB2312" w:hint="eastAsia"/>
          <w:color w:val="000000"/>
          <w:sz w:val="32"/>
          <w:szCs w:val="32"/>
          <w14:textFill>
            <w14:solidFill>
              <w14:srgbClr w14:val="000000"/>
            </w14:solidFill>
          </w14:textFill>
        </w:rPr>
        <w:t>社会保障和就业</w:t>
      </w:r>
      <w:r>
        <w:rPr>
          <w:rFonts w:ascii="仿宋_GB2312" w:eastAsia="仿宋_GB2312"/>
          <w:color w:val="000000"/>
          <w:sz w:val="32"/>
          <w:szCs w:val="32"/>
          <w14:textFill>
            <w14:solidFill>
              <w14:srgbClr w14:val="000000"/>
            </w14:solidFill>
          </w14:textFill>
        </w:rPr>
        <w:t>2080505</w:t>
      </w:r>
      <w:r>
        <w:rPr>
          <w:rFonts w:ascii="仿宋_GB2312" w:eastAsia="仿宋_GB2312" w:hint="eastAsia"/>
          <w:color w:val="000000"/>
          <w:sz w:val="32"/>
          <w:szCs w:val="32"/>
          <w14:textFill>
            <w14:solidFill>
              <w14:srgbClr w14:val="000000"/>
            </w14:solidFill>
          </w14:textFill>
        </w:rPr>
        <w:t>：</w:t>
      </w:r>
      <w:r>
        <w:rPr>
          <w:rFonts w:ascii="仿宋_GB2312" w:eastAsia="仿宋_GB2312"/>
          <w:color w:val="000000"/>
          <w:sz w:val="32"/>
          <w:szCs w:val="32"/>
          <w14:textFill>
            <w14:solidFill>
              <w14:srgbClr w14:val="000000"/>
            </w14:solidFill>
          </w14:textFill>
        </w:rPr>
        <w:t xml:space="preserve"> </w:t>
      </w:r>
      <w:r>
        <w:rPr>
          <w:rFonts w:ascii="仿宋_GB2312" w:eastAsia="仿宋_GB2312" w:hint="eastAsia"/>
          <w:color w:val="000000"/>
          <w:sz w:val="32"/>
          <w:szCs w:val="32"/>
          <w14:textFill>
            <w14:solidFill>
              <w14:srgbClr w14:val="000000"/>
            </w14:solidFill>
          </w14:textFill>
        </w:rPr>
        <w:t>指机关事业单位基本养老保险；</w:t>
      </w:r>
      <w:r>
        <w:rPr>
          <w:rFonts w:ascii="仿宋_GB2312" w:eastAsia="仿宋_GB2312"/>
          <w:color w:val="000000"/>
          <w:sz w:val="32"/>
          <w:szCs w:val="32"/>
          <w14:textFill>
            <w14:solidFill>
              <w14:srgbClr w14:val="000000"/>
            </w14:solidFill>
          </w14:textFill>
        </w:rPr>
        <w:t>2080506</w:t>
      </w:r>
      <w:r>
        <w:rPr>
          <w:rFonts w:ascii="仿宋_GB2312" w:eastAsia="仿宋_GB2312" w:hint="eastAsia"/>
          <w:color w:val="000000"/>
          <w:sz w:val="32"/>
          <w:szCs w:val="32"/>
          <w14:textFill>
            <w14:solidFill>
              <w14:srgbClr w14:val="000000"/>
            </w14:solidFill>
          </w14:textFill>
        </w:rPr>
        <w:t>：指机关事业单位职业年金缴费支出。</w:t>
      </w:r>
    </w:p>
    <w:p>
      <w:pPr>
        <w:ind w:firstLineChars="200" w:firstLine="640"/>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11</w:t>
      </w:r>
      <w:r>
        <w:rPr>
          <w:rFonts w:ascii="仿宋_GB2312" w:eastAsia="仿宋_GB2312"/>
          <w:color w:val="000000"/>
          <w:sz w:val="32"/>
          <w:szCs w:val="32"/>
          <w14:textFill>
            <w14:solidFill>
              <w14:srgbClr w14:val="000000"/>
            </w14:solidFill>
          </w14:textFill>
        </w:rPr>
        <w:t>.</w:t>
      </w:r>
      <w:r>
        <w:rPr>
          <w:rFonts w:ascii="仿宋_GB2312" w:eastAsia="仿宋_GB2312" w:hint="eastAsia"/>
          <w:color w:val="000000"/>
          <w:sz w:val="32"/>
          <w:szCs w:val="32"/>
          <w14:textFill>
            <w14:solidFill>
              <w14:srgbClr w14:val="000000"/>
            </w14:solidFill>
          </w14:textFill>
        </w:rPr>
        <w:t>医疗卫生与计划生育</w:t>
      </w:r>
      <w:r>
        <w:rPr>
          <w:rFonts w:ascii="仿宋_GB2312" w:eastAsia="仿宋_GB2312"/>
          <w:color w:val="000000"/>
          <w:sz w:val="32"/>
          <w:szCs w:val="32"/>
          <w14:textFill>
            <w14:solidFill>
              <w14:srgbClr w14:val="000000"/>
            </w14:solidFill>
          </w14:textFill>
        </w:rPr>
        <w:t>2101102</w:t>
      </w:r>
      <w:r>
        <w:rPr>
          <w:rFonts w:ascii="仿宋_GB2312" w:eastAsia="仿宋_GB2312" w:hint="eastAsia"/>
          <w:color w:val="000000"/>
          <w:sz w:val="32"/>
          <w:szCs w:val="32"/>
          <w14:textFill>
            <w14:solidFill>
              <w14:srgbClr w14:val="000000"/>
            </w14:solidFill>
          </w14:textFill>
        </w:rPr>
        <w:t>：指事业单位医疗；</w:t>
      </w:r>
      <w:r>
        <w:rPr>
          <w:rFonts w:ascii="仿宋_GB2312" w:eastAsia="仿宋_GB2312"/>
          <w:color w:val="000000"/>
          <w:sz w:val="32"/>
          <w:szCs w:val="32"/>
          <w14:textFill>
            <w14:solidFill>
              <w14:srgbClr w14:val="000000"/>
            </w14:solidFill>
          </w14:textFill>
        </w:rPr>
        <w:t>2101199;</w:t>
      </w:r>
      <w:r>
        <w:rPr>
          <w:rFonts w:ascii="仿宋_GB2312" w:eastAsia="仿宋_GB2312" w:hint="eastAsia"/>
          <w:color w:val="000000"/>
          <w:sz w:val="32"/>
          <w:szCs w:val="32"/>
          <w14:textFill>
            <w14:solidFill>
              <w14:srgbClr w14:val="000000"/>
            </w14:solidFill>
          </w14:textFill>
        </w:rPr>
        <w:t>指其他行政事业单位医疗支出。</w:t>
      </w:r>
    </w:p>
    <w:p>
      <w:pPr>
        <w:ind w:firstLineChars="200" w:firstLine="640"/>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12</w:t>
      </w:r>
      <w:r>
        <w:rPr>
          <w:rFonts w:ascii="仿宋_GB2312" w:eastAsia="仿宋_GB2312"/>
          <w:color w:val="000000"/>
          <w:sz w:val="32"/>
          <w:szCs w:val="32"/>
          <w14:textFill>
            <w14:solidFill>
              <w14:srgbClr w14:val="000000"/>
            </w14:solidFill>
          </w14:textFill>
        </w:rPr>
        <w:t>.</w:t>
      </w:r>
      <w:r>
        <w:rPr>
          <w:rFonts w:ascii="仿宋_GB2312" w:eastAsia="仿宋_GB2312" w:hint="eastAsia"/>
          <w:color w:val="000000"/>
          <w:sz w:val="32"/>
          <w:szCs w:val="32"/>
          <w14:textFill>
            <w14:solidFill>
              <w14:srgbClr w14:val="000000"/>
            </w14:solidFill>
          </w14:textFill>
        </w:rPr>
        <w:t>住房保障</w:t>
      </w:r>
      <w:r>
        <w:rPr>
          <w:rFonts w:ascii="仿宋_GB2312" w:eastAsia="仿宋_GB2312"/>
          <w:color w:val="000000"/>
          <w:sz w:val="32"/>
          <w:szCs w:val="32"/>
          <w14:textFill>
            <w14:solidFill>
              <w14:srgbClr w14:val="000000"/>
            </w14:solidFill>
          </w14:textFill>
        </w:rPr>
        <w:t>2210201</w:t>
      </w:r>
      <w:r>
        <w:rPr>
          <w:rFonts w:ascii="仿宋_GB2312" w:eastAsia="仿宋_GB2312" w:hint="eastAsia"/>
          <w:color w:val="000000"/>
          <w:sz w:val="32"/>
          <w:szCs w:val="32"/>
          <w14:textFill>
            <w14:solidFill>
              <w14:srgbClr w14:val="000000"/>
            </w14:solidFill>
          </w14:textFill>
        </w:rPr>
        <w:t>：指住房公积金。</w:t>
      </w:r>
    </w:p>
    <w:p>
      <w:pPr>
        <w:ind w:firstLineChars="200" w:firstLine="640"/>
        <w:rPr>
          <w:rFonts w:ascii="仿宋_GB2312" w:eastAsia="仿宋_GB2312"/>
          <w:color w:val="000000"/>
          <w:sz w:val="32"/>
          <w:szCs w:val="32"/>
          <w14:textFill>
            <w14:solidFill>
              <w14:srgbClr w14:val="000000"/>
            </w14:solidFill>
          </w14:textFill>
        </w:rPr>
      </w:pPr>
      <w:r>
        <w:rPr>
          <w:rFonts w:ascii="仿宋_GB2312" w:eastAsia="仿宋_GB2312"/>
          <w:color w:val="000000"/>
          <w:sz w:val="32"/>
          <w:szCs w:val="32"/>
          <w14:textFill>
            <w14:solidFill>
              <w14:srgbClr w14:val="000000"/>
            </w14:solidFill>
          </w14:textFill>
        </w:rPr>
        <w:t>13.</w:t>
      </w:r>
      <w:r>
        <w:rPr>
          <w:rFonts w:ascii="仿宋_GB2312" w:eastAsia="仿宋_GB2312" w:hint="eastAsia"/>
          <w:color w:val="000000"/>
          <w:sz w:val="32"/>
          <w:szCs w:val="32"/>
          <w14:textFill>
            <w14:solidFill>
              <w14:srgbClr w14:val="000000"/>
            </w14:solidFill>
          </w14:textFill>
        </w:rPr>
        <w:t>基本支出：指为保障机构正常运转、完成日常工作任务而发生的人员支出和公用支出。</w:t>
      </w:r>
    </w:p>
    <w:p>
      <w:pPr>
        <w:ind w:firstLineChars="200" w:firstLine="640"/>
        <w:rPr>
          <w:rFonts w:ascii="仿宋_GB2312" w:eastAsia="仿宋_GB2312"/>
          <w:color w:val="000000"/>
          <w:sz w:val="32"/>
          <w:szCs w:val="32"/>
          <w14:textFill>
            <w14:solidFill>
              <w14:srgbClr w14:val="000000"/>
            </w14:solidFill>
          </w14:textFill>
        </w:rPr>
      </w:pPr>
      <w:r>
        <w:rPr>
          <w:rFonts w:ascii="仿宋_GB2312" w:eastAsia="仿宋_GB2312"/>
          <w:color w:val="000000"/>
          <w:sz w:val="32"/>
          <w:szCs w:val="32"/>
          <w14:textFill>
            <w14:solidFill>
              <w14:srgbClr w14:val="000000"/>
            </w14:solidFill>
          </w14:textFill>
        </w:rPr>
        <w:t>14.</w:t>
      </w:r>
      <w:r>
        <w:rPr>
          <w:rFonts w:ascii="仿宋_GB2312" w:eastAsia="仿宋_GB2312" w:hint="eastAsia"/>
          <w:color w:val="000000"/>
          <w:sz w:val="32"/>
          <w:szCs w:val="32"/>
          <w14:textFill>
            <w14:solidFill>
              <w14:srgbClr w14:val="000000"/>
            </w14:solidFill>
          </w14:textFill>
        </w:rPr>
        <w:t>项目支出：指在基本支出之外为完成特定行政任务和事业发展目标所发生的支出。</w:t>
      </w:r>
      <w:r>
        <w:rPr>
          <w:rFonts w:ascii="仿宋_GB2312" w:eastAsia="仿宋_GB2312"/>
          <w:color w:val="000000"/>
          <w:sz w:val="32"/>
          <w:szCs w:val="32"/>
          <w14:textFill>
            <w14:solidFill>
              <w14:srgbClr w14:val="000000"/>
            </w14:solidFill>
          </w14:textFill>
        </w:rPr>
        <w:t xml:space="preserve"> </w:t>
      </w:r>
    </w:p>
    <w:p>
      <w:pPr>
        <w:ind w:firstLineChars="200" w:firstLine="640"/>
        <w:rPr>
          <w:rFonts w:ascii="仿宋_GB2312" w:eastAsia="仿宋_GB2312"/>
          <w:color w:val="000000"/>
          <w:sz w:val="32"/>
          <w:szCs w:val="32"/>
          <w14:textFill>
            <w14:solidFill>
              <w14:srgbClr w14:val="000000"/>
            </w14:solidFill>
          </w14:textFill>
        </w:rPr>
      </w:pPr>
      <w:r>
        <w:rPr>
          <w:rFonts w:ascii="仿宋_GB2312" w:eastAsia="仿宋_GB2312"/>
          <w:color w:val="000000"/>
          <w:sz w:val="32"/>
          <w:szCs w:val="32"/>
          <w14:textFill>
            <w14:solidFill>
              <w14:srgbClr w14:val="000000"/>
            </w14:solidFill>
          </w14:textFill>
        </w:rPr>
        <w:t>15.</w:t>
      </w:r>
      <w:r>
        <w:rPr>
          <w:rFonts w:ascii="仿宋_GB2312" w:eastAsia="仿宋_GB2312" w:hint="eastAsia"/>
          <w:color w:val="000000"/>
          <w:sz w:val="32"/>
          <w:szCs w:val="32"/>
          <w14:textFill>
            <w14:solidFill>
              <w14:srgbClr w14:val="000000"/>
            </w14:solidFill>
          </w14:textFill>
        </w:rPr>
        <w:t>经营支出：指事业单位在专业业务活动及其辅助活动之外开展非独立核算经营活动发生的支出。</w:t>
      </w:r>
    </w:p>
    <w:p>
      <w:pPr>
        <w:pStyle w:val="27"/>
        <w:spacing w:line="560" w:lineRule="exact"/>
        <w:ind w:firstLineChars="200" w:firstLine="640"/>
        <w:rPr>
          <w:rFonts w:ascii="仿宋_GB2312" w:eastAsia="仿宋_GB2312"/>
          <w:color w:val="000000"/>
          <w:sz w:val="32"/>
          <w:szCs w:val="32"/>
          <w14:textFill>
            <w14:solidFill>
              <w14:srgbClr w14:val="000000"/>
            </w14:solidFill>
          </w14:textFill>
        </w:rPr>
      </w:pPr>
      <w:r>
        <w:rPr>
          <w:rFonts w:ascii="仿宋_GB2312" w:eastAsia="仿宋_GB2312"/>
          <w:color w:val="000000"/>
          <w:sz w:val="32"/>
          <w:szCs w:val="32"/>
          <w14:textFill>
            <w14:solidFill>
              <w14:srgbClr w14:val="000000"/>
            </w14:solidFill>
          </w14:textFill>
        </w:rPr>
        <w:t>16.</w:t>
      </w:r>
      <w:r>
        <w:rPr>
          <w:rFonts w:ascii="仿宋_GB2312" w:eastAsia="仿宋_GB2312" w:hint="eastAsia"/>
          <w:color w:val="000000"/>
          <w:sz w:val="32"/>
          <w:szCs w:val="32"/>
          <w14:textFill>
            <w14:solidFill>
              <w14:srgbClr w14:val="000000"/>
            </w14:solidFill>
          </w14:textFill>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Chars="200" w:firstLine="640"/>
        <w:rPr>
          <w:rFonts w:ascii="仿宋_GB2312" w:eastAsia="仿宋_GB2312"/>
          <w:color w:val="000000"/>
          <w:sz w:val="32"/>
          <w:szCs w:val="32"/>
          <w14:textFill>
            <w14:solidFill>
              <w14:srgbClr w14:val="000000"/>
            </w14:solidFill>
          </w14:textFill>
        </w:rPr>
      </w:pPr>
      <w:r>
        <w:rPr>
          <w:rFonts w:ascii="仿宋_GB2312" w:eastAsia="仿宋_GB2312"/>
          <w:color w:val="000000"/>
          <w:sz w:val="32"/>
          <w:szCs w:val="32"/>
          <w14:textFill>
            <w14:solidFill>
              <w14:srgbClr w14:val="000000"/>
            </w14:solidFill>
          </w14:textFill>
        </w:rPr>
        <w:t>17.</w:t>
      </w:r>
      <w:r>
        <w:rPr>
          <w:rFonts w:ascii="仿宋_GB2312" w:eastAsia="仿宋_GB2312" w:hint="eastAsia"/>
          <w:color w:val="000000"/>
          <w:sz w:val="32"/>
          <w:szCs w:val="32"/>
          <w14:textFill>
            <w14:solidFill>
              <w14:srgbClr w14:val="000000"/>
            </w14:solidFill>
          </w14:textFill>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Chars="200" w:firstLine="640"/>
        <w:rPr>
          <w:rFonts w:ascii="仿宋_GB2312" w:eastAsia="仿宋_GB2312"/>
          <w:sz w:val="32"/>
          <w:szCs w:val="32"/>
        </w:rPr>
      </w:pPr>
    </w:p>
    <w:p>
      <w:pPr>
        <w:spacing w:line="600" w:lineRule="exact"/>
        <w:jc w:val="center"/>
        <w:outlineLvl w:val="0"/>
        <w:rPr>
          <w:rStyle w:val="1Char"/>
          <w:rFonts w:ascii="黑体" w:eastAsia="黑体" w:hint="eastAsia"/>
          <w:b w:val="0"/>
        </w:rPr>
      </w:pPr>
      <w:bookmarkStart w:id="53" w:name="_Toc15377226"/>
      <w:bookmarkStart w:id="54" w:name="_Toc15396618"/>
      <w:r>
        <w:rPr>
          <w:rFonts w:ascii="黑体" w:eastAsia="黑体" w:hint="eastAsia"/>
          <w:sz w:val="44"/>
          <w:szCs w:val="44"/>
        </w:rPr>
        <w:t>第</w:t>
      </w:r>
      <w:r>
        <w:rPr>
          <w:rStyle w:val="1Char"/>
          <w:rFonts w:ascii="黑体" w:eastAsia="黑体" w:hint="eastAsia"/>
          <w:b w:val="0"/>
        </w:rPr>
        <w:t>五部分 附表</w:t>
      </w:r>
      <w:bookmarkStart w:id="55" w:name="_Toc15396619"/>
      <w:bookmarkEnd w:id="53"/>
      <w:bookmarkEnd w:id="54"/>
    </w:p>
    <w:p>
      <w:pPr>
        <w:pStyle w:val="15"/>
      </w:pPr>
    </w:p>
    <w:p>
      <w:pPr>
        <w:pStyle w:val="2"/>
        <w:rPr>
          <w:rFonts w:ascii="仿宋" w:eastAsia="仿宋"/>
        </w:rPr>
      </w:pPr>
      <w:r>
        <w:rPr>
          <w:rFonts w:ascii="仿宋" w:eastAsia="仿宋" w:hint="eastAsia"/>
          <w:b w:val="0"/>
        </w:rPr>
        <w:t>一、收</w:t>
      </w:r>
      <w:r>
        <w:rPr>
          <w:rStyle w:val="2Char"/>
          <w:rFonts w:ascii="仿宋" w:eastAsia="仿宋" w:hint="eastAsia"/>
          <w:b w:val="0"/>
          <w:bCs w:val="0"/>
        </w:rPr>
        <w:t>入支出决算总表</w:t>
      </w:r>
      <w:bookmarkEnd w:id="55"/>
    </w:p>
    <w:p>
      <w:pPr>
        <w:pStyle w:val="2"/>
        <w:rPr>
          <w:rFonts w:ascii="仿宋" w:eastAsia="仿宋"/>
        </w:rPr>
      </w:pPr>
      <w:bookmarkStart w:id="56" w:name="_Toc15396620"/>
      <w:r>
        <w:rPr>
          <w:rFonts w:ascii="仿宋" w:eastAsia="仿宋" w:hint="eastAsia"/>
          <w:b w:val="0"/>
        </w:rPr>
        <w:t>二、收</w:t>
      </w:r>
      <w:r>
        <w:rPr>
          <w:rStyle w:val="2Char"/>
          <w:rFonts w:ascii="仿宋" w:eastAsia="仿宋" w:hint="eastAsia"/>
          <w:b w:val="0"/>
          <w:bCs w:val="0"/>
        </w:rPr>
        <w:t>入决算表</w:t>
      </w:r>
      <w:bookmarkEnd w:id="56"/>
    </w:p>
    <w:p>
      <w:pPr>
        <w:pStyle w:val="2"/>
        <w:rPr>
          <w:rFonts w:ascii="仿宋" w:eastAsia="仿宋"/>
        </w:rPr>
      </w:pPr>
      <w:bookmarkStart w:id="57" w:name="_Toc15396621"/>
      <w:r>
        <w:rPr>
          <w:rStyle w:val="2Char"/>
          <w:rFonts w:ascii="仿宋" w:eastAsia="仿宋" w:hint="eastAsia"/>
          <w:b w:val="0"/>
          <w:bCs w:val="0"/>
        </w:rPr>
        <w:t>三、</w:t>
      </w:r>
      <w:r>
        <w:rPr>
          <w:rFonts w:ascii="仿宋" w:eastAsia="仿宋" w:hint="eastAsia"/>
          <w:b w:val="0"/>
        </w:rPr>
        <w:t>支</w:t>
      </w:r>
      <w:r>
        <w:rPr>
          <w:rStyle w:val="2Char"/>
          <w:rFonts w:ascii="仿宋" w:eastAsia="仿宋" w:hint="eastAsia"/>
          <w:b w:val="0"/>
          <w:bCs w:val="0"/>
        </w:rPr>
        <w:t>出决算表</w:t>
      </w:r>
      <w:bookmarkEnd w:id="57"/>
    </w:p>
    <w:p>
      <w:pPr>
        <w:pStyle w:val="2"/>
        <w:rPr>
          <w:rFonts w:ascii="仿宋" w:eastAsia="仿宋"/>
          <w:b w:val="0"/>
        </w:rPr>
      </w:pPr>
      <w:bookmarkStart w:id="58" w:name="_Toc15396622"/>
      <w:r>
        <w:rPr>
          <w:rStyle w:val="2Char"/>
          <w:rFonts w:ascii="仿宋" w:eastAsia="仿宋" w:hint="eastAsia"/>
          <w:b w:val="0"/>
          <w:bCs w:val="0"/>
        </w:rPr>
        <w:t>四、</w:t>
      </w:r>
      <w:r>
        <w:rPr>
          <w:rFonts w:ascii="仿宋" w:eastAsia="仿宋" w:hint="eastAsia"/>
          <w:b w:val="0"/>
        </w:rPr>
        <w:t>财</w:t>
      </w:r>
      <w:r>
        <w:rPr>
          <w:rStyle w:val="2Char"/>
          <w:rFonts w:ascii="仿宋" w:eastAsia="仿宋" w:hint="eastAsia"/>
          <w:b w:val="0"/>
          <w:bCs w:val="0"/>
        </w:rPr>
        <w:t>政拨款收入支出决算总表</w:t>
      </w:r>
      <w:bookmarkEnd w:id="58"/>
    </w:p>
    <w:p>
      <w:pPr>
        <w:pStyle w:val="2"/>
        <w:rPr>
          <w:rStyle w:val="2Char"/>
          <w:rFonts w:ascii="仿宋" w:eastAsia="仿宋"/>
          <w:b w:val="0"/>
          <w:bCs w:val="0"/>
        </w:rPr>
      </w:pPr>
      <w:bookmarkStart w:id="59" w:name="_Toc15396623"/>
      <w:r>
        <w:rPr>
          <w:rStyle w:val="2Char"/>
          <w:rFonts w:ascii="仿宋" w:eastAsia="仿宋" w:hint="eastAsia"/>
          <w:b w:val="0"/>
          <w:bCs w:val="0"/>
        </w:rPr>
        <w:t>五、</w:t>
      </w:r>
      <w:r>
        <w:rPr>
          <w:rFonts w:ascii="仿宋" w:eastAsia="仿宋" w:hint="eastAsia"/>
          <w:b w:val="0"/>
        </w:rPr>
        <w:t>财</w:t>
      </w:r>
      <w:r>
        <w:rPr>
          <w:rStyle w:val="2Char"/>
          <w:rFonts w:ascii="仿宋" w:eastAsia="仿宋" w:hint="eastAsia"/>
          <w:b w:val="0"/>
          <w:bCs w:val="0"/>
        </w:rPr>
        <w:t>政拨款支出决算明细表</w:t>
      </w:r>
      <w:bookmarkStart w:id="60" w:name="_Toc15396624"/>
      <w:bookmarkEnd w:id="59"/>
    </w:p>
    <w:p>
      <w:pPr>
        <w:pStyle w:val="2"/>
        <w:rPr>
          <w:rFonts w:ascii="仿宋" w:eastAsia="仿宋"/>
        </w:rPr>
      </w:pPr>
      <w:r>
        <w:rPr>
          <w:rStyle w:val="2Char"/>
          <w:rFonts w:ascii="仿宋" w:eastAsia="仿宋" w:hint="eastAsia"/>
          <w:b w:val="0"/>
          <w:bCs w:val="0"/>
        </w:rPr>
        <w:t>六、</w:t>
      </w:r>
      <w:r>
        <w:rPr>
          <w:rFonts w:ascii="仿宋" w:eastAsia="仿宋" w:hint="eastAsia"/>
          <w:b w:val="0"/>
        </w:rPr>
        <w:t>一</w:t>
      </w:r>
      <w:r>
        <w:rPr>
          <w:rStyle w:val="2Char"/>
          <w:rFonts w:ascii="仿宋" w:eastAsia="仿宋" w:hint="eastAsia"/>
          <w:b w:val="0"/>
          <w:bCs w:val="0"/>
        </w:rPr>
        <w:t>般公共预算财政拨款支出决算表</w:t>
      </w:r>
      <w:bookmarkEnd w:id="60"/>
    </w:p>
    <w:p>
      <w:pPr>
        <w:pStyle w:val="2"/>
        <w:rPr>
          <w:rFonts w:ascii="仿宋" w:eastAsia="仿宋"/>
        </w:rPr>
      </w:pPr>
      <w:bookmarkStart w:id="61" w:name="_Toc15396625"/>
      <w:r>
        <w:rPr>
          <w:rStyle w:val="2Char"/>
          <w:rFonts w:ascii="仿宋" w:eastAsia="仿宋" w:hint="eastAsia"/>
          <w:b w:val="0"/>
          <w:bCs w:val="0"/>
        </w:rPr>
        <w:t>七、</w:t>
      </w:r>
      <w:r>
        <w:rPr>
          <w:rFonts w:ascii="仿宋" w:eastAsia="仿宋" w:hint="eastAsia"/>
          <w:b w:val="0"/>
        </w:rPr>
        <w:t>一</w:t>
      </w:r>
      <w:r>
        <w:rPr>
          <w:rStyle w:val="2Char"/>
          <w:rFonts w:ascii="仿宋" w:eastAsia="仿宋" w:hint="eastAsia"/>
          <w:b w:val="0"/>
          <w:bCs w:val="0"/>
        </w:rPr>
        <w:t>般公共预算财政拨款支出决算明细表</w:t>
      </w:r>
      <w:bookmarkEnd w:id="61"/>
    </w:p>
    <w:p>
      <w:pPr>
        <w:pStyle w:val="2"/>
        <w:rPr>
          <w:rFonts w:ascii="仿宋" w:eastAsia="仿宋"/>
        </w:rPr>
      </w:pPr>
      <w:bookmarkStart w:id="62" w:name="_Toc15396626"/>
      <w:r>
        <w:rPr>
          <w:rStyle w:val="2Char"/>
          <w:rFonts w:ascii="仿宋" w:eastAsia="仿宋" w:hint="eastAsia"/>
          <w:b w:val="0"/>
          <w:bCs w:val="0"/>
        </w:rPr>
        <w:t>八、</w:t>
      </w:r>
      <w:r>
        <w:rPr>
          <w:rFonts w:ascii="仿宋" w:eastAsia="仿宋" w:hint="eastAsia"/>
          <w:b w:val="0"/>
        </w:rPr>
        <w:t>一</w:t>
      </w:r>
      <w:r>
        <w:rPr>
          <w:rStyle w:val="2Char"/>
          <w:rFonts w:ascii="仿宋" w:eastAsia="仿宋" w:hint="eastAsia"/>
          <w:b w:val="0"/>
          <w:bCs w:val="0"/>
        </w:rPr>
        <w:t>般公共预算财政拨款基本支出决算表</w:t>
      </w:r>
      <w:bookmarkEnd w:id="62"/>
    </w:p>
    <w:p>
      <w:pPr>
        <w:pStyle w:val="2"/>
        <w:rPr>
          <w:rFonts w:ascii="仿宋" w:eastAsia="仿宋"/>
        </w:rPr>
      </w:pPr>
      <w:bookmarkStart w:id="63" w:name="_Toc15396627"/>
      <w:r>
        <w:rPr>
          <w:rStyle w:val="2Char"/>
          <w:rFonts w:ascii="仿宋" w:eastAsia="仿宋" w:hint="eastAsia"/>
          <w:b w:val="0"/>
          <w:bCs w:val="0"/>
        </w:rPr>
        <w:t>九、</w:t>
      </w:r>
      <w:r>
        <w:rPr>
          <w:rFonts w:ascii="仿宋" w:eastAsia="仿宋" w:hint="eastAsia"/>
          <w:b w:val="0"/>
        </w:rPr>
        <w:t>一</w:t>
      </w:r>
      <w:r>
        <w:rPr>
          <w:rStyle w:val="2Char"/>
          <w:rFonts w:ascii="仿宋" w:eastAsia="仿宋" w:hint="eastAsia"/>
          <w:b w:val="0"/>
          <w:bCs w:val="0"/>
        </w:rPr>
        <w:t>般公共预算财政拨款项目支出决算表</w:t>
      </w:r>
      <w:bookmarkEnd w:id="63"/>
    </w:p>
    <w:p>
      <w:pPr>
        <w:pStyle w:val="2"/>
        <w:rPr>
          <w:rFonts w:ascii="仿宋" w:eastAsia="仿宋"/>
        </w:rPr>
      </w:pPr>
      <w:bookmarkStart w:id="64" w:name="_Toc15396628"/>
      <w:r>
        <w:rPr>
          <w:rStyle w:val="2Char"/>
          <w:rFonts w:ascii="仿宋" w:eastAsia="仿宋" w:hint="eastAsia"/>
          <w:b w:val="0"/>
          <w:bCs w:val="0"/>
        </w:rPr>
        <w:t>十、</w:t>
      </w:r>
      <w:r>
        <w:rPr>
          <w:rFonts w:ascii="仿宋" w:eastAsia="仿宋" w:hint="eastAsia"/>
          <w:b w:val="0"/>
        </w:rPr>
        <w:t>一</w:t>
      </w:r>
      <w:r>
        <w:rPr>
          <w:rStyle w:val="2Char"/>
          <w:rFonts w:ascii="仿宋" w:eastAsia="仿宋" w:hint="eastAsia"/>
          <w:b w:val="0"/>
          <w:bCs w:val="0"/>
        </w:rPr>
        <w:t>般公共预算财政拨款“三公”经费支出决算表</w:t>
      </w:r>
      <w:bookmarkEnd w:id="64"/>
    </w:p>
    <w:p>
      <w:pPr>
        <w:pStyle w:val="2"/>
        <w:rPr>
          <w:rFonts w:ascii="仿宋" w:eastAsia="仿宋"/>
        </w:rPr>
      </w:pPr>
      <w:bookmarkStart w:id="65" w:name="_Toc15396629"/>
      <w:r>
        <w:rPr>
          <w:rStyle w:val="2Char"/>
          <w:rFonts w:ascii="仿宋" w:eastAsia="仿宋" w:hint="eastAsia"/>
          <w:b w:val="0"/>
          <w:bCs w:val="0"/>
        </w:rPr>
        <w:t>十一、</w:t>
      </w:r>
      <w:r>
        <w:rPr>
          <w:rFonts w:ascii="仿宋" w:eastAsia="仿宋" w:hint="eastAsia"/>
          <w:b w:val="0"/>
        </w:rPr>
        <w:t>政</w:t>
      </w:r>
      <w:r>
        <w:rPr>
          <w:rStyle w:val="2Char"/>
          <w:rFonts w:ascii="仿宋" w:eastAsia="仿宋" w:hint="eastAsia"/>
          <w:b w:val="0"/>
          <w:bCs w:val="0"/>
        </w:rPr>
        <w:t>府性基金预算财政拨款收入支出决算表</w:t>
      </w:r>
      <w:bookmarkEnd w:id="65"/>
    </w:p>
    <w:p>
      <w:pPr>
        <w:pStyle w:val="2"/>
        <w:rPr>
          <w:rFonts w:ascii="仿宋" w:eastAsia="仿宋"/>
        </w:rPr>
      </w:pPr>
      <w:bookmarkStart w:id="66" w:name="_Toc15396630"/>
      <w:r>
        <w:rPr>
          <w:rStyle w:val="2Char"/>
          <w:rFonts w:ascii="仿宋" w:eastAsia="仿宋" w:hint="eastAsia"/>
          <w:b w:val="0"/>
          <w:bCs w:val="0"/>
        </w:rPr>
        <w:t>十二、</w:t>
      </w:r>
      <w:r>
        <w:rPr>
          <w:rFonts w:ascii="仿宋" w:eastAsia="仿宋" w:hint="eastAsia"/>
          <w:b w:val="0"/>
        </w:rPr>
        <w:t>政</w:t>
      </w:r>
      <w:r>
        <w:rPr>
          <w:rStyle w:val="2Char"/>
          <w:rFonts w:ascii="仿宋" w:eastAsia="仿宋" w:hint="eastAsia"/>
          <w:b w:val="0"/>
          <w:bCs w:val="0"/>
        </w:rPr>
        <w:t>府性基金预算财政拨款“三公”经费支出决算表</w:t>
      </w:r>
      <w:bookmarkEnd w:id="66"/>
    </w:p>
    <w:p>
      <w:pPr>
        <w:pStyle w:val="2"/>
        <w:rPr>
          <w:rStyle w:val="2Char"/>
          <w:rFonts w:ascii="仿宋" w:eastAsia="仿宋"/>
          <w:b w:val="0"/>
          <w:bCs w:val="0"/>
        </w:rPr>
      </w:pPr>
      <w:bookmarkStart w:id="67" w:name="_Toc15396631"/>
      <w:r>
        <w:rPr>
          <w:rStyle w:val="2Char"/>
          <w:rFonts w:ascii="仿宋" w:eastAsia="仿宋" w:hint="eastAsia"/>
          <w:b w:val="0"/>
          <w:bCs w:val="0"/>
        </w:rPr>
        <w:t>十三、</w:t>
      </w:r>
      <w:r>
        <w:rPr>
          <w:rFonts w:ascii="仿宋" w:eastAsia="仿宋" w:hint="eastAsia"/>
          <w:b w:val="0"/>
        </w:rPr>
        <w:t>国</w:t>
      </w:r>
      <w:r>
        <w:rPr>
          <w:rStyle w:val="2Char"/>
          <w:rFonts w:ascii="仿宋" w:eastAsia="仿宋" w:hint="eastAsia"/>
          <w:b w:val="0"/>
          <w:bCs w:val="0"/>
        </w:rPr>
        <w:t>有资本经营预算财政拨款收入支出决算表</w:t>
      </w:r>
      <w:bookmarkEnd w:id="67"/>
    </w:p>
    <w:p>
      <w:pPr>
        <w:rPr>
          <w:rFonts w:eastAsia="仿宋"/>
        </w:rPr>
      </w:pPr>
      <w:r>
        <w:rPr>
          <w:rStyle w:val="2Char"/>
          <w:rFonts w:ascii="仿宋" w:eastAsia="仿宋" w:hint="eastAsia"/>
          <w:b w:val="0"/>
          <w:bCs w:val="0"/>
        </w:rPr>
        <w:t>十四、国有资本经营预算财政拨款支出决算表</w:t>
      </w:r>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Arial Unicode MS"/>
    <w:panose1 w:val="03000509000000000000"/>
    <w:charset w:val="86"/>
    <w:family w:val="script"/>
    <w:pitch w:val="variable"/>
    <w:sig w:usb0="00000001" w:usb1="080E0000" w:usb2="00000000" w:usb3="00000000" w:csb0="00040000" w:csb1="00000000"/>
  </w:font>
  <w:font w:name="仿宋_GB2312">
    <w:altName w:val="仿宋"/>
    <w:panose1 w:val="02010609030101010101"/>
    <w:charset w:val="86"/>
    <w:family w:val="modern"/>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Arial">
    <w:panose1 w:val="020B0604020202020204"/>
    <w:charset w:val="01"/>
    <w:family w:val="swiss"/>
    <w:pitch w:val="variable"/>
    <w:sig w:usb0="E0002AFF" w:usb1="C0007843" w:usb2="00000009" w:usb3="00000000" w:csb0="400001FF" w:csb1="FFFF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1"/>
    <w:family w:val="auto"/>
    <w:pitch w:val="variable"/>
    <w:sig w:usb0="E0002AFF" w:usb1="C0007841" w:usb2="00000009" w:usb3="00000000" w:csb0="400001FF" w:csb1="FFFF0000"/>
  </w:font>
  <w:font w:name="Cambria">
    <w:panose1 w:val="02040503050406030204"/>
    <w:charset w:val="00"/>
    <w:family w:val="roman"/>
    <w:pitch w:val="variable"/>
    <w:sig w:usb0="E00002FF" w:usb1="400004FF" w:usb2="00000000" w:usb3="00000000" w:csb0="2000019F" w:csb1="00000000"/>
  </w:font>
  <w:font w:name="Calibri">
    <w:panose1 w:val="020F0502020204030204"/>
    <w:charset w:val="00"/>
    <w:family w:val="swiss"/>
    <w:pitch w:val="variable"/>
    <w:sig w:usb0="E00002FF" w:usb1="4000ACFF" w:usb2="00000001"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1174705234"/>
    </w:sdtPr>
    <w:sdtContent>
      <w:p>
        <w:pPr>
          <w:pStyle w:val="18"/>
          <w:tabs>
            <w:tab w:val="center" w:pos="4153"/>
            <w:tab w:val="right" w:pos="8306"/>
          </w:tabs>
          <w:jc w:val="center"/>
        </w:pPr>
        <w:r>
          <w:fldChar w:fldCharType="begin"/>
        </w:r>
        <w:r>
          <w:instrText>PAGE   \* MERGEFORMAT</w:instrText>
        </w:r>
        <w:r>
          <w:fldChar w:fldCharType="separate"/>
        </w:r>
        <w:r>
          <w:rPr>
            <w:lang w:val="zh-CN"/>
          </w:rPr>
          <w:t>8</w:t>
        </w:r>
        <w:r>
          <w:fldChar w:fldCharType="end"/>
        </w:r>
      </w:p>
    </w:sdtContent>
  </w:sdt>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FD9A53D6"/>
    <w:multiLevelType w:val="singleLevel"/>
    <w:tmpl w:val="FD9A53D6"/>
    <w:lvl w:ilvl="0">
      <w:start w:val="1"/>
      <w:numFmt w:val="chineseCounting"/>
      <w:lvlRestart w:val="0"/>
      <w:suff w:val="nothing"/>
      <w:lvlText w:val="%1、"/>
      <w:lvlJc w:val="left"/>
      <w:pPr>
        <w:ind w:left="0" w:hanging="0"/>
      </w:pPr>
      <w:rPr>
        <w:rFonts w:hint="eastAsia"/>
      </w:rPr>
    </w:lvl>
  </w:abstractNum>
  <w:abstractNum w:abstractNumId="1">
    <w:nsid w:val="1272550B"/>
    <w:multiLevelType w:val="multilevel"/>
    <w:tmpl w:val="1272550B"/>
    <w:lvl w:ilvl="0">
      <w:start w:val="1"/>
      <w:numFmt w:val="japaneseCounting"/>
      <w:lvlRestart w:val="0"/>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CF652CEC"/>
    <w:multiLevelType w:val="singleLevel"/>
    <w:tmpl w:val="CF652CEC"/>
    <w:lvl w:ilvl="0">
      <w:start w:val="9"/>
      <w:numFmt w:val="chineseCounting"/>
      <w:lvlRestart w:val="0"/>
      <w:suff w:val="nothing"/>
      <w:lvlText w:val="%1、"/>
      <w:lvlJc w:val="left"/>
      <w:pPr>
        <w:ind w:left="0" w:hanging="0"/>
      </w:pPr>
      <w:rPr>
        <w:rFonts w:hint="eastAsia"/>
      </w:rPr>
    </w:lvl>
  </w:abstractNum>
  <w:abstractNum w:abstractNumId="3">
    <w:nsid w:val="E2FA047D"/>
    <w:multiLevelType w:val="singleLevel"/>
    <w:tmpl w:val="E2FA047D"/>
    <w:lvl w:ilvl="0">
      <w:start w:val="3"/>
      <w:numFmt w:val="chineseCounting"/>
      <w:lvlRestart w:val="0"/>
      <w:suff w:val="space"/>
      <w:lvlText w:val="第%1部分"/>
      <w:lvlJc w:val="left"/>
      <w:pPr>
        <w:ind w:left="0" w:hanging="0"/>
      </w:pPr>
      <w:rPr>
        <w:rFonts w:ascii="黑体" w:hAnsi="黑体" w:eastAsia="黑体" w:cs="黑体" w:hint="eastAsia"/>
        <w:sz w:val="44"/>
        <w:szCs w:val="44"/>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4"/>
  </w:compat>
  <w:docVars>
    <w:docVar w:name="commondata" w:val="eyJoZGlkIjoiYzc1YTE4M2JmZGZjOWQ1ZWUzYjQ4ZGViNTQ3OGY5NjE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30"/>
    </w:rPr>
  </w:style>
  <w:style w:type="paragraph" w:styleId="16">
    <w:name w:val="toc 3"/>
    <w:basedOn w:val="0"/>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hAnsi="Calibri"/>
      <w:kern w:val="0"/>
      <w:sz w:val="18"/>
      <w:szCs w:val="18"/>
    </w:rPr>
  </w:style>
  <w:style w:type="paragraph" w:styleId="19">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20">
    <w:name w:val="toc 1"/>
    <w:basedOn w:val="0"/>
    <w:next w:val="0"/>
    <w:pPr>
      <w:tabs>
        <w:tab w:val="right" w:leader="dot" w:pos="8296"/>
      </w:tabs>
      <w:spacing w:before="93"/>
      <w:jc w:val="center"/>
    </w:pPr>
    <w:rPr>
      <w:rFonts w:ascii="仿宋" w:eastAsia="仿宋"/>
      <w:sz w:val="28"/>
      <w:szCs w:val="28"/>
    </w:rPr>
  </w:style>
  <w:style w:type="paragraph" w:styleId="21">
    <w:name w:val="toc 2"/>
    <w:basedOn w:val="0"/>
    <w:next w:val="0"/>
    <w:pPr>
      <w:tabs>
        <w:tab w:val="right" w:leader="dot" w:pos="8296"/>
      </w:tabs>
      <w:ind w:leftChars="200" w:left="200"/>
    </w:pPr>
  </w:style>
  <w:style w:type="character" w:styleId="22">
    <w:name w:val="Strong"/>
    <w:basedOn w:val="10"/>
    <w:rPr>
      <w:b/>
    </w:rPr>
  </w:style>
  <w:style w:type="character" w:styleId="23">
    <w:name w:val="Hyperlink"/>
    <w:basedOn w:val="10"/>
    <w:rPr>
      <w:color w:val="0000FF"/>
      <w:u w:val="single"/>
    </w:rPr>
  </w:style>
  <w:style w:type="character" w:customStyle="1" w:styleId="24">
    <w:name w:val="Header Char"/>
    <w:basedOn w:val="10"/>
    <w:rPr>
      <w:rFonts w:ascii="Times New Roman" w:hAnsi="Times New Roman"/>
      <w:sz w:val="18"/>
      <w:szCs w:val="18"/>
    </w:rPr>
  </w:style>
  <w:style w:type="character" w:customStyle="1" w:styleId="25">
    <w:name w:val="Footer Char"/>
    <w:basedOn w:val="10"/>
    <w:rPr>
      <w:rFonts w:ascii="Times New Roman" w:hAnsi="Times New Roman"/>
      <w:sz w:val="18"/>
      <w:szCs w:val="18"/>
    </w:rPr>
  </w:style>
  <w:style w:type="character" w:customStyle="1" w:styleId="26">
    <w:name w:val="Body Text Char"/>
    <w:basedOn w:val="10"/>
    <w:rPr>
      <w:rFonts w:ascii="Times New Roman" w:hAnsi="Times New Roman"/>
      <w:szCs w:val="24"/>
    </w:rPr>
  </w:style>
  <w:style w:type="paragraph" w:customStyle="1" w:styleId="27">
    <w:name w:val="Default"/>
    <w:pPr>
      <w:widowControl w:val="0"/>
      <w:autoSpaceDE w:val="0"/>
      <w:autoSpaceDN w:val="0"/>
      <w:adjustRightInd w:val="0"/>
    </w:pPr>
    <w:rPr>
      <w:rFonts w:ascii="仿宋" w:eastAsia="仿宋" w:cs="仿宋"/>
      <w:color w:val="000000"/>
      <w:sz w:val="24"/>
      <w:szCs w:val="24"/>
      <w:lang w:val="en-US" w:eastAsia="zh-CN" w:bidi="ar-SA"/>
    </w:rPr>
  </w:style>
  <w:style w:type="paragraph" w:styleId="28">
    <w:name w:val="List Paragraph"/>
    <w:basedOn w:val="0"/>
    <w:pPr>
      <w:ind w:firstLineChars="200" w:firstLine="200"/>
    </w:pPr>
  </w:style>
  <w:style w:type="paragraph" w:customStyle="1" w:styleId="29">
    <w:name w:val="TOC 标题1"/>
    <w:basedOn w:val="1"/>
    <w:next w:val="0"/>
    <w:pPr>
      <w:keepNext/>
      <w:keepLines/>
      <w:widowControl/>
      <w:spacing w:before="480" w:after="0" w:line="276" w:lineRule="auto"/>
      <w:jc w:val="left"/>
      <w:outlineLvl w:val="9"/>
    </w:pPr>
    <w:rPr>
      <w:rFonts w:ascii="Cambria" w:hAnsi="Cambria"/>
      <w:color w:val="376092"/>
      <w:kern w:val="0"/>
      <w:sz w:val="28"/>
      <w:szCs w:val="28"/>
    </w:rPr>
  </w:style>
  <w:style w:type="paragraph" w:customStyle="1" w:styleId="30">
    <w:name w:val="TOC 标题2"/>
    <w:basedOn w:val="1"/>
    <w:next w:val="0"/>
    <w:pPr>
      <w:keepNext/>
      <w:keepLines/>
      <w:widowControl/>
      <w:spacing w:before="480" w:after="0" w:line="276" w:lineRule="auto"/>
      <w:jc w:val="left"/>
      <w:outlineLvl w:val="9"/>
    </w:pPr>
    <w:rPr>
      <w:rFonts w:ascii="Cambria" w:hAnsi="Cambria"/>
      <w:color w:val="376092"/>
      <w:kern w:val="0"/>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chart" Target="charts/chart4.xml"/><Relationship Id="rId8" Type="http://schemas.openxmlformats.org/officeDocument/2006/relationships/chart" Target="charts/chart5.xml"/><Relationship Id="rId9" Type="http://schemas.openxmlformats.org/officeDocument/2006/relationships/chart" Target="charts/chart6.xml"/><Relationship Id="rId10" Type="http://schemas.openxmlformats.org/officeDocument/2006/relationships/styles" Target="styles.xml"/><Relationship Id="rId11" Type="http://schemas.openxmlformats.org/officeDocument/2006/relationships/numbering" Target="numbering.xml"/><Relationship Id="rId1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char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char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char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char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char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char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微软雅黑"/>
                <a:ea typeface="微软雅黑"/>
                <a:cs typeface="Arial"/>
              </a:defRPr>
            </a:pPr>
            <a:r>
              <a:rPr lang="zh-CN"/>
              <a:t>收、支决算总计变动情况图</a:t>
            </a:r>
          </a:p>
        </c:rich>
      </c:tx>
      <c:layout/>
      <c:overlay val="0"/>
      <c:spPr>
        <a:ln>
          <a:noFill/>
        </a:ln>
      </c:spPr>
    </c:title>
    <c:autoTitleDeleted val="1"/>
    <c:plotArea>
      <c:layout>
        <c:manualLayout>
          <c:layoutTarget val="inner"/>
          <c:xMode val="edge"/>
          <c:yMode val="edge"/>
          <c:x val="0.15079872"/>
          <c:y val="0.19907407"/>
          <c:w val="0.83531046"/>
          <c:h val="0.595"/>
        </c:manualLayout>
      </c:layout>
      <c:barChart>
        <c:barDir val="col"/>
        <c:grouping val="clustered"/>
        <c:varyColors val="0"/>
        <c:ser>
          <c:idx val="0"/>
          <c:order val="0"/>
          <c:tx>
            <c:v>      本年收入合计</c:v>
          </c:tx>
          <c:spPr>
            <a:solidFill>
              <a:srgbClr val="5B9BD5"/>
            </a:solidFill>
            <a:ln>
              <a:noFill/>
            </a:ln>
          </c:spPr>
          <c:invertIfNegative val="0"/>
          <c:dLbls>
            <c:spPr>
              <a:noFill/>
              <a:ln>
                <a:noFill/>
              </a:ln>
            </c:spPr>
            <c:txPr>
              <a:bodyPr vert="horz"/>
              <a:lstStyle/>
              <a:p>
                <a:pPr>
                  <a:defRPr sz="900" b="0" i="0" u="none" strike="noStrike" baseline="0">
                    <a:solidFill>
                      <a:srgbClr val="FFFFFF"/>
                    </a:solidFill>
                    <a:latin typeface="宋体"/>
                    <a:ea typeface="宋体"/>
                    <a:cs typeface="Arial"/>
                  </a:defRPr>
                </a:pPr>
                <a:endParaRPr lang="zh-CN"/>
              </a:p>
            </c:txPr>
            <c:numFmt formatCode="General" sourceLinked="0"/>
            <c:dLblPos val="inEnd"/>
            <c:showLegendKey val="0"/>
            <c:showVal val="1"/>
            <c:showCatName val="0"/>
            <c:showSerName val="0"/>
            <c:showPercent val="0"/>
            <c:showBubbleSize val="0"/>
            <c:showLeaderLines val="0"/>
          </c:dLbls>
          <c:cat>
            <c:strLit>
              <c:ptCount val="2"/>
              <c:pt idx="0">
                <c:v>2021年</c:v>
              </c:pt>
              <c:pt idx="1">
                <c:v>2022年</c:v>
              </c:pt>
            </c:strLit>
          </c:cat>
          <c:val>
            <c:numRef>
              <c:f/>
              <c:numCache>
                <c:formatCode>#,##0.00</c:formatCode>
                <c:ptCount val="2"/>
                <c:pt idx="0">
                  <c:v>288.48</c:v>
                </c:pt>
                <c:pt idx="1">
                  <c:v>300.48</c:v>
                </c:pt>
              </c:numCache>
            </c:numRef>
          </c:val>
        </c:ser>
        <c:ser>
          <c:idx val="1"/>
          <c:order val="1"/>
          <c:tx>
            <c:v>      本年支出合计</c:v>
          </c:tx>
          <c:spPr>
            <a:solidFill>
              <a:srgbClr val="70AD47"/>
            </a:solidFill>
            <a:ln>
              <a:noFill/>
            </a:ln>
          </c:spPr>
          <c:invertIfNegative val="0"/>
          <c:dLbls>
            <c:spPr>
              <a:noFill/>
              <a:ln>
                <a:noFill/>
              </a:ln>
            </c:spPr>
            <c:txPr>
              <a:bodyPr vert="horz"/>
              <a:lstStyle/>
              <a:p>
                <a:pPr>
                  <a:defRPr sz="900" b="0" i="0" u="none" strike="noStrike" baseline="0">
                    <a:solidFill>
                      <a:srgbClr val="FFFFFF"/>
                    </a:solidFill>
                    <a:latin typeface="宋体"/>
                    <a:ea typeface="宋体"/>
                    <a:cs typeface="Arial"/>
                  </a:defRPr>
                </a:pPr>
                <a:endParaRPr lang="zh-CN"/>
              </a:p>
            </c:txPr>
            <c:numFmt formatCode="General" sourceLinked="0"/>
            <c:dLblPos val="inEnd"/>
            <c:showLegendKey val="0"/>
            <c:showVal val="1"/>
            <c:showCatName val="0"/>
            <c:showSerName val="0"/>
            <c:showPercent val="0"/>
            <c:showBubbleSize val="0"/>
            <c:showLeaderLines val="0"/>
          </c:dLbls>
          <c:cat>
            <c:strLit>
              <c:ptCount val="2"/>
              <c:pt idx="0">
                <c:v>2021年</c:v>
              </c:pt>
              <c:pt idx="1">
                <c:v>2022年</c:v>
              </c:pt>
            </c:strLit>
          </c:cat>
          <c:val>
            <c:numRef>
              <c:f/>
              <c:numCache>
                <c:formatCode>#,##0.00</c:formatCode>
                <c:ptCount val="2"/>
                <c:pt idx="0">
                  <c:v>299.12</c:v>
                </c:pt>
                <c:pt idx="1">
                  <c:v>300.86</c:v>
                </c:pt>
              </c:numCache>
            </c:numRef>
          </c:val>
        </c:ser>
        <c:overlap val="-10"/>
        <c:gapWidth val="219"/>
        <c:axId val="0"/>
        <c:axId val="1"/>
      </c:barChart>
      <c:catAx>
        <c:axId val="0"/>
        <c:scaling>
          <c:orientation val="minMax"/>
        </c:scaling>
        <c:delete val="0"/>
        <c:axPos val="b"/>
        <c:numFmt formatCode="General" sourceLinked="1"/>
        <c:majorTickMark val="none"/>
        <c:minorTickMark val="none"/>
        <c:tickLblPos val="nextTo"/>
        <c:spPr>
          <a:ln w="6350">
            <a:solidFill>
              <a:srgbClr val="F2F2F2"/>
            </a:solidFill>
            <a:prstDash val="solid"/>
          </a:ln>
        </c:spPr>
        <c:txPr>
          <a:bodyPr rot="0" vert="horz" anchor="t" anchorCtr="0"/>
          <a:lstStyle/>
          <a:p>
            <a:pPr>
              <a:defRPr sz="900" b="0" i="0" u="none" strike="noStrike" baseline="0">
                <a:solidFill>
                  <a:srgbClr val="333333"/>
                </a:solidFill>
                <a:latin typeface="微软雅黑"/>
                <a:ea typeface="微软雅黑"/>
                <a:cs typeface="Arial"/>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F2F2F2"/>
              </a:solidFill>
              <a:prstDash val="solid"/>
            </a:ln>
          </c:spPr>
        </c:majorGridlines>
        <c:numFmt formatCode="#,##0.00" sourceLinked="1"/>
        <c:majorTickMark val="none"/>
        <c:minorTickMark val="none"/>
        <c:tickLblPos val="nextTo"/>
        <c:spPr>
          <a:ln>
            <a:noFill/>
          </a:ln>
        </c:spPr>
        <c:txPr>
          <a:bodyPr rot="0" vert="horz" anchor="t" anchorCtr="0"/>
          <a:lstStyle/>
          <a:p>
            <a:pPr>
              <a:defRPr sz="900" b="0" i="0" u="none" strike="noStrike" baseline="0">
                <a:solidFill>
                  <a:srgbClr val="333333"/>
                </a:solidFill>
                <a:latin typeface="宋体"/>
                <a:ea typeface="宋体"/>
                <a:cs typeface="Arial"/>
              </a:defRPr>
            </a:pPr>
            <a:endParaRPr lang="zh-CN"/>
          </a:p>
        </c:txPr>
        <c:crossesAt val="1.0"/>
        <c:crossBetween val="between"/>
        <c:crossAx val="0"/>
      </c:valAx>
      <c:spPr>
        <a:noFill/>
        <a:ln>
          <a:noFill/>
        </a:ln>
      </c:spPr>
    </c:plotArea>
    <c:legend>
      <c:legendPos val="b"/>
      <c:layout/>
      <c:overlay val="0"/>
      <c:spPr>
        <a:noFill/>
        <a:ln>
          <a:noFill/>
        </a:ln>
      </c:spPr>
      <c:txPr>
        <a:bodyPr/>
        <a:lstStyle/>
        <a:p>
          <a:pPr>
            <a:defRPr sz="850" b="0" i="0" u="none" strike="noStrike" baseline="0">
              <a:solidFill>
                <a:srgbClr val="333333"/>
              </a:solidFill>
              <a:latin typeface="微软雅黑"/>
              <a:ea typeface="微软雅黑"/>
              <a:cs typeface="Arial"/>
            </a:defRPr>
          </a:pPr>
          <a:endParaRPr lang="zh-CN"/>
        </a:p>
      </c:txPr>
    </c:legend>
    <c:plotVisOnly val="1"/>
    <c:dispBlanksAs val="gap"/>
    <c:showDLblsOverMax val="0"/>
  </c:chart>
  <c:spPr>
    <a:solidFill>
      <a:srgbClr val="FFFFFF"/>
    </a:solidFill>
    <a:ln w="6350">
      <a:solidFill>
        <a:srgbClr val="F2F2F2"/>
      </a:solidFill>
      <a:prstDash val="solid"/>
    </a:ln>
  </c:spPr>
  <c:txPr>
    <a:bodyPr/>
    <a:lstStyle/>
    <a:p>
      <a:pPr>
        <a:defRPr sz="1000" b="0" i="0" u="none" strike="noStrike" baseline="0">
          <a:solidFill>
            <a:srgbClr val="000000"/>
          </a:solidFill>
          <a:latin typeface="宋体"/>
          <a:ea typeface="宋体"/>
          <a:cs typeface="Arial"/>
        </a:defRPr>
      </a:pPr>
      <a:endParaRPr lang="zh-CN"/>
    </a:p>
  </c:txPr>
  <c:printSettings>
    <c:headerFooter/>
    <c:pageMargins b="0.75" l="0.7" r="0.7" t="0.75" header="0.3" footer="0.3"/>
    <c:pageSetup/>
  </c:printSettings>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808080"/>
                </a:solidFill>
                <a:latin typeface="宋体"/>
                <a:ea typeface="宋体"/>
                <a:cs typeface="Arial"/>
              </a:defRPr>
            </a:pPr>
            <a:r>
              <a:rPr lang="zh-CN"/>
              <a:t>收入决算结构图</a:t>
            </a:r>
          </a:p>
        </c:rich>
      </c:tx>
      <c:layout/>
      <c:overlay val="0"/>
      <c:spPr>
        <a:noFill/>
        <a:ln>
          <a:noFill/>
        </a:ln>
      </c:spPr>
    </c:title>
    <c:autoTitleDeleted val="1"/>
    <c:plotArea>
      <c:layout/>
      <c:pieChart>
        <c:varyColors val="1"/>
        <c:ser>
          <c:idx val="0"/>
          <c:order val="0"/>
          <c:spPr>
            <a:ln>
              <a:noFill/>
            </a:ln>
          </c:spPr>
          <c:dPt>
            <c:idx val="0"/>
            <c:bubble3D val="0"/>
            <c:explosion val="0"/>
            <c:spPr>
              <a:solidFill>
                <a:srgbClr val="5B9BD5"/>
              </a:solidFill>
              <a:ln w="19050">
                <a:solidFill>
                  <a:srgbClr val="FFFFFF"/>
                </a:solidFill>
                <a:prstDash val="solid"/>
              </a:ln>
            </c:spPr>
          </c:dPt>
          <c:dPt>
            <c:idx val="1"/>
            <c:bubble3D val="0"/>
            <c:explosion val="0"/>
            <c:spPr>
              <a:solidFill>
                <a:srgbClr val="70AD47">
                  <a:alpha val="50000"/>
                </a:srgbClr>
              </a:solidFill>
              <a:ln w="19050">
                <a:solidFill>
                  <a:srgbClr val="FFFFFF"/>
                </a:solidFill>
                <a:prstDash val="solid"/>
              </a:ln>
            </c:spPr>
          </c:dPt>
          <c:dPt>
            <c:idx val="2"/>
            <c:bubble3D val="0"/>
            <c:explosion val="0"/>
            <c:spPr>
              <a:solidFill>
                <a:srgbClr val="FFC000">
                  <a:alpha val="50000"/>
                </a:srgbClr>
              </a:solidFill>
              <a:ln w="19050">
                <a:solidFill>
                  <a:srgbClr val="FFFFFF"/>
                </a:solidFill>
                <a:prstDash val="solid"/>
              </a:ln>
            </c:spPr>
          </c:dPt>
          <c:dLbls>
            <c:spPr>
              <a:noFill/>
              <a:ln>
                <a:noFill/>
              </a:ln>
            </c:spPr>
            <c:txPr>
              <a:bodyPr vert="horz"/>
              <a:lstStyle/>
              <a:p>
                <a:pPr>
                  <a:defRPr sz="900" b="0" i="0" u="none" strike="noStrike" baseline="0">
                    <a:solidFill>
                      <a:srgbClr val="333333"/>
                    </a:solidFill>
                    <a:latin typeface="宋体"/>
                    <a:ea typeface="宋体"/>
                    <a:cs typeface="Arial"/>
                  </a:defRPr>
                </a:pPr>
                <a:endParaRPr lang="zh-CN"/>
              </a:p>
            </c:txPr>
            <c:numFmt formatCode="General" sourceLinked="0"/>
            <c:dLbl>
              <c:idx val="0"/>
              <c:layout>
                <c:manualLayout>
                  <c:x val="0.008787691"/>
                  <c:y val="-0.12878896"/>
                </c:manualLayout>
              </c:layout>
              <c:numFmt formatCode="General" sourceLinked="0"/>
              <c:spPr>
                <a:noFill/>
                <a:ln>
                  <a:noFill/>
                </a:ln>
              </c:spPr>
              <c:txPr>
                <a:bodyPr vert="horz"/>
                <a:lstStyle/>
                <a:p>
                  <a:pPr>
                    <a:defRPr sz="900" b="0" i="0" u="none" strike="noStrike" baseline="0">
                      <a:solidFill>
                        <a:srgbClr val="333333"/>
                      </a:solidFill>
                      <a:latin typeface="宋体"/>
                      <a:ea typeface="宋体"/>
                      <a:cs typeface="Arial"/>
                    </a:defRPr>
                  </a:pPr>
                  <a:endParaRPr lang="zh-CN"/>
                </a:p>
              </c:txPr>
              <c:showLegendKey val="0"/>
              <c:showVal val="1"/>
              <c:showCatName val="0"/>
              <c:showSerName val="0"/>
              <c:showPercent val="0"/>
              <c:showBubbleSize val="0"/>
            </c:dLbl>
            <c:dLbl>
              <c:idx val="1"/>
              <c:layout>
                <c:manualLayout>
                  <c:x val="0.043253567"/>
                  <c:y val="0.004946958"/>
                </c:manualLayout>
              </c:layout>
              <c:numFmt formatCode="General" sourceLinked="0"/>
              <c:spPr>
                <a:solidFill>
                  <a:srgbClr val="70AD47"/>
                </a:solidFill>
                <a:ln>
                  <a:noFill/>
                </a:ln>
              </c:spPr>
              <c:txPr>
                <a:bodyPr vert="horz"/>
                <a:lstStyle/>
                <a:p>
                  <a:pPr>
                    <a:defRPr sz="900" b="0" i="0" u="none" strike="noStrike" baseline="0">
                      <a:solidFill>
                        <a:srgbClr val="333333"/>
                      </a:solidFill>
                      <a:latin typeface="宋体"/>
                      <a:ea typeface="宋体"/>
                      <a:cs typeface="Arial"/>
                    </a:defRPr>
                  </a:pPr>
                  <a:endParaRPr lang="zh-CN"/>
                </a:p>
              </c:txPr>
              <c:showLegendKey val="0"/>
              <c:showVal val="1"/>
              <c:showCatName val="0"/>
              <c:showSerName val="0"/>
              <c:showPercent val="0"/>
              <c:showBubbleSize val="0"/>
            </c:dLbl>
            <c:dLbl>
              <c:idx val="2"/>
              <c:layout>
                <c:manualLayout>
                  <c:x val="-0.049726244"/>
                  <c:y val="0.008484954"/>
                </c:manualLayout>
              </c:layout>
              <c:numFmt formatCode="General" sourceLinked="0"/>
              <c:spPr>
                <a:solidFill>
                  <a:srgbClr val="FFC000"/>
                </a:solidFill>
                <a:ln>
                  <a:noFill/>
                </a:ln>
              </c:spPr>
              <c:txPr>
                <a:bodyPr vert="horz"/>
                <a:lstStyle/>
                <a:p>
                  <a:pPr>
                    <a:defRPr sz="900" b="0" i="0" u="none" strike="noStrike" baseline="0">
                      <a:solidFill>
                        <a:srgbClr val="333333"/>
                      </a:solidFill>
                      <a:latin typeface="宋体"/>
                      <a:ea typeface="宋体"/>
                      <a:cs typeface="Arial"/>
                    </a:defRPr>
                  </a:pPr>
                  <a:endParaRPr lang="zh-CN"/>
                </a:p>
              </c:txPr>
              <c:showLegendKey val="0"/>
              <c:showVal val="1"/>
              <c:showCatName val="0"/>
              <c:showSerName val="0"/>
              <c:showPercent val="0"/>
              <c:showBubbleSize val="0"/>
            </c:dLbl>
            <c:showLegendKey val="0"/>
            <c:showVal val="1"/>
            <c:showCatName val="0"/>
            <c:showSerName val="0"/>
            <c:showPercent val="0"/>
            <c:showBubbleSize val="0"/>
            <c:showLeaderLines val="1"/>
          </c:dLbls>
          <c:cat>
            <c:strLit>
              <c:ptCount val="2"/>
              <c:pt idx="0">
                <c:v>一般公共预算财政拨款收入</c:v>
              </c:pt>
              <c:pt idx="1">
                <c:v>其他收入</c:v>
              </c:pt>
            </c:strLit>
          </c:cat>
          <c:val>
            <c:numRef>
              <c:f/>
              <c:numCache>
                <c:formatCode>General</c:formatCode>
                <c:ptCount val="3"/>
                <c:pt idx="0">
                  <c:v>297.18</c:v>
                </c:pt>
                <c:pt idx="1">
                  <c:v>3.3</c:v>
                </c:pt>
                <c:pt idx="2">
                  <c:v>0.0</c:v>
                </c:pt>
              </c:numCache>
            </c:numRef>
          </c:val>
        </c:ser>
        <c:firstSliceAng val="0"/>
      </c:pieChart>
      <c:spPr>
        <a:noFill/>
        <a:ln>
          <a:noFill/>
        </a:ln>
      </c:spPr>
    </c:plotArea>
    <c:legend>
      <c:legendPos val="r"/>
      <c:layout>
        <c:manualLayout>
          <c:xMode val="edge"/>
          <c:yMode val="edge"/>
          <c:x val="0.6479167"/>
          <c:y val="0.43969926"/>
          <c:w val="0.3375"/>
          <c:h val="0.20425"/>
        </c:manualLayout>
      </c:layout>
      <c:overlay val="0"/>
      <c:spPr>
        <a:solidFill>
          <a:srgbClr val="FFFFFF">
            <a:alpha val="50000"/>
          </a:srgbClr>
        </a:solidFill>
        <a:ln>
          <a:noFill/>
        </a:ln>
      </c:spPr>
      <c:txPr>
        <a:bodyPr/>
        <a:lstStyle/>
        <a:p>
          <a:pPr>
            <a:defRPr sz="850" b="0" i="0" u="none" strike="noStrike" baseline="0">
              <a:solidFill>
                <a:srgbClr val="333333"/>
              </a:solidFill>
              <a:latin typeface="宋体"/>
              <a:ea typeface="宋体"/>
              <a:cs typeface="Arial"/>
            </a:defRPr>
          </a:pPr>
          <a:endParaRPr lang="zh-CN"/>
        </a:p>
      </c:txPr>
    </c:legend>
    <c:plotVisOnly val="1"/>
    <c:dispBlanksAs val="gap"/>
    <c:showDLblsOverMax val="0"/>
  </c:chart>
  <c:spPr>
    <a:pattFill prst="dkDnDiag">
      <a:fgClr>
        <a:srgbClr val="FFFFFF"/>
      </a:fgClr>
      <a:bgClr>
        <a:srgbClr val="FFFFFF"/>
      </a:bgClr>
    </a:pattFill>
    <a:ln w="6350">
      <a:solidFill>
        <a:srgbClr val="D9D9D9"/>
      </a:solidFill>
      <a:prstDash val="solid"/>
    </a:ln>
  </c:spPr>
  <c:txPr>
    <a:bodyPr/>
    <a:lstStyle/>
    <a:p>
      <a:pPr>
        <a:defRPr sz="1000" b="0" i="0" u="none" strike="noStrike" baseline="0">
          <a:solidFill>
            <a:srgbClr val="000000"/>
          </a:solidFill>
          <a:latin typeface="宋体"/>
          <a:ea typeface="宋体"/>
          <a:cs typeface="Arial"/>
        </a:defRPr>
      </a:pPr>
      <a:endParaRPr lang="zh-CN"/>
    </a:p>
  </c:txPr>
  <c:printSettings>
    <c:headerFooter/>
    <c:pageMargins b="0.75" l="0.7" r="0.7" t="0.75" header="0.3" footer="0.3"/>
    <c:pageSetup/>
  </c:printSettings>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808080"/>
                </a:solidFill>
                <a:latin typeface="宋体"/>
                <a:ea typeface="宋体"/>
                <a:cs typeface="Arial"/>
              </a:defRPr>
            </a:pPr>
            <a:r>
              <a:rPr lang="zh-CN"/>
              <a:t>支出决算结构图</a:t>
            </a:r>
          </a:p>
        </c:rich>
      </c:tx>
      <c:layout/>
      <c:overlay val="0"/>
      <c:spPr>
        <a:noFill/>
        <a:ln>
          <a:noFill/>
        </a:ln>
      </c:spPr>
    </c:title>
    <c:autoTitleDeleted val="1"/>
    <c:plotArea>
      <c:layout/>
      <c:pieChart>
        <c:varyColors val="1"/>
        <c:ser>
          <c:idx val="0"/>
          <c:order val="0"/>
          <c:spPr>
            <a:solidFill>
              <a:srgbClr val="70AD47"/>
            </a:solidFill>
            <a:ln>
              <a:noFill/>
            </a:ln>
          </c:spPr>
          <c:dPt>
            <c:idx val="0"/>
            <c:bubble3D val="0"/>
            <c:explosion val="0"/>
            <c:spPr>
              <a:solidFill>
                <a:srgbClr val="70AD47"/>
              </a:solidFill>
              <a:ln w="19050">
                <a:solidFill>
                  <a:srgbClr val="FFFFFF"/>
                </a:solidFill>
                <a:prstDash val="solid"/>
              </a:ln>
            </c:spPr>
          </c:dPt>
          <c:dPt>
            <c:idx val="1"/>
            <c:bubble3D val="0"/>
            <c:explosion val="0"/>
            <c:spPr>
              <a:solidFill>
                <a:srgbClr val="5B9BD5"/>
              </a:solidFill>
              <a:ln w="19050">
                <a:solidFill>
                  <a:srgbClr val="FFFFFF"/>
                </a:solidFill>
                <a:prstDash val="solid"/>
              </a:ln>
            </c:spPr>
          </c:dPt>
          <c:dLbls>
            <c:spPr>
              <a:noFill/>
              <a:ln>
                <a:noFill/>
              </a:ln>
            </c:spPr>
            <c:txPr>
              <a:bodyPr vert="horz"/>
              <a:lstStyle/>
              <a:p>
                <a:pPr>
                  <a:defRPr sz="900" b="0" i="0" u="none" strike="noStrike" baseline="0">
                    <a:solidFill>
                      <a:srgbClr val="333333"/>
                    </a:solidFill>
                    <a:latin typeface="宋体"/>
                    <a:ea typeface="宋体"/>
                    <a:cs typeface="Arial"/>
                  </a:defRPr>
                </a:pPr>
                <a:endParaRPr lang="zh-CN"/>
              </a:p>
            </c:txPr>
            <c:numFmt formatCode="General" sourceLinked="0"/>
            <c:showLegendKey val="0"/>
            <c:showVal val="1"/>
            <c:showCatName val="0"/>
            <c:showSerName val="0"/>
            <c:showPercent val="0"/>
            <c:showBubbleSize val="0"/>
            <c:showLeaderLines val="1"/>
          </c:dLbls>
          <c:cat>
            <c:strLit>
              <c:ptCount val="2"/>
              <c:pt idx="0">
                <c:v>基本支出</c:v>
              </c:pt>
              <c:pt idx="1">
                <c:v>项目支出</c:v>
              </c:pt>
            </c:strLit>
          </c:cat>
          <c:val>
            <c:numRef>
              <c:f/>
              <c:numCache>
                <c:formatCode>General</c:formatCode>
                <c:ptCount val="2"/>
                <c:pt idx="0">
                  <c:v>268.89</c:v>
                </c:pt>
                <c:pt idx="1">
                  <c:v>31.97</c:v>
                </c:pt>
              </c:numCache>
            </c:numRef>
          </c:val>
        </c:ser>
        <c:firstSliceAng val="0"/>
      </c:pieChart>
      <c:spPr>
        <a:noFill/>
        <a:ln>
          <a:noFill/>
        </a:ln>
      </c:spPr>
    </c:plotArea>
    <c:legend>
      <c:legendPos val="r"/>
      <c:layout/>
      <c:overlay val="0"/>
      <c:spPr>
        <a:solidFill>
          <a:srgbClr val="FFFFFF">
            <a:alpha val="50000"/>
          </a:srgbClr>
        </a:solidFill>
        <a:ln>
          <a:noFill/>
        </a:ln>
      </c:spPr>
      <c:txPr>
        <a:bodyPr/>
        <a:lstStyle/>
        <a:p>
          <a:pPr>
            <a:defRPr sz="850" b="0" i="0" u="none" strike="noStrike" baseline="0">
              <a:solidFill>
                <a:srgbClr val="333333"/>
              </a:solidFill>
              <a:latin typeface="宋体"/>
              <a:ea typeface="宋体"/>
              <a:cs typeface="Arial"/>
            </a:defRPr>
          </a:pPr>
          <a:endParaRPr lang="zh-CN"/>
        </a:p>
      </c:txPr>
    </c:legend>
    <c:plotVisOnly val="1"/>
    <c:dispBlanksAs val="gap"/>
    <c:showDLblsOverMax val="0"/>
  </c:chart>
  <c:spPr>
    <a:pattFill prst="dkDnDiag">
      <a:fgClr>
        <a:srgbClr val="FFFFFF"/>
      </a:fgClr>
      <a:bgClr>
        <a:srgbClr val="FFFFFF"/>
      </a:bgClr>
    </a:pattFill>
    <a:ln w="6350">
      <a:solidFill>
        <a:srgbClr val="D9D9D9"/>
      </a:solidFill>
      <a:prstDash val="solid"/>
    </a:ln>
  </c:spPr>
  <c:txPr>
    <a:bodyPr/>
    <a:lstStyle/>
    <a:p>
      <a:pPr>
        <a:defRPr sz="1000" b="0" i="0" u="none" strike="noStrike" baseline="0">
          <a:solidFill>
            <a:srgbClr val="000000"/>
          </a:solidFill>
          <a:latin typeface="宋体"/>
          <a:ea typeface="宋体"/>
          <a:cs typeface="Arial"/>
        </a:defRPr>
      </a:pPr>
      <a:endParaRPr lang="zh-CN"/>
    </a:p>
  </c:txPr>
  <c:printSettings>
    <c:headerFooter/>
    <c:pageMargins b="0.75" l="0.7" r="0.7" t="0.75" header="0.3" footer="0.3"/>
    <c:pageSetup/>
  </c:printSettings>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微软雅黑"/>
                <a:ea typeface="微软雅黑"/>
                <a:cs typeface="Arial"/>
              </a:defRPr>
            </a:pPr>
            <a:r>
              <a:rPr lang="zh-CN"/>
              <a:t>财政拨款收、支决算总计变动情况</a:t>
            </a:r>
          </a:p>
        </c:rich>
      </c:tx>
      <c:layout>
        <c:manualLayout>
          <c:xMode val="edge"/>
          <c:yMode val="edge"/>
          <c:x val="0.20055556"/>
          <c:y val="0.024305556"/>
        </c:manualLayout>
      </c:layout>
      <c:overlay val="0"/>
      <c:spPr>
        <a:noFill/>
        <a:ln>
          <a:noFill/>
        </a:ln>
      </c:spPr>
    </c:title>
    <c:autoTitleDeleted val="1"/>
    <c:plotArea>
      <c:layout/>
      <c:barChart>
        <c:barDir val="col"/>
        <c:grouping val="clustered"/>
        <c:varyColors val="0"/>
        <c:ser>
          <c:idx val="0"/>
          <c:order val="0"/>
          <c:tx>
            <c:v>      本年财政拨款收入合计</c:v>
          </c:tx>
          <c:spPr>
            <a:solidFill>
              <a:srgbClr val="5B9BD5"/>
            </a:solidFill>
            <a:ln>
              <a:noFill/>
            </a:ln>
          </c:spPr>
          <c:invertIfNegative val="0"/>
          <c:dLbls>
            <c:spPr>
              <a:noFill/>
              <a:ln>
                <a:noFill/>
              </a:ln>
            </c:spPr>
            <c:txPr>
              <a:bodyPr vert="horz"/>
              <a:lstStyle/>
              <a:p>
                <a:pPr>
                  <a:defRPr sz="900" b="0" i="0" u="none" strike="noStrike" baseline="0">
                    <a:solidFill>
                      <a:srgbClr val="000000"/>
                    </a:solidFill>
                    <a:latin typeface="宋体"/>
                    <a:ea typeface="宋体"/>
                    <a:cs typeface="Arial"/>
                  </a:defRPr>
                </a:pPr>
                <a:endParaRPr lang="zh-CN"/>
              </a:p>
            </c:txPr>
            <c:numFmt formatCode="General" sourceLinked="0"/>
            <c:dLblPos val="inEnd"/>
            <c:showLegendKey val="0"/>
            <c:showVal val="1"/>
            <c:showCatName val="0"/>
            <c:showSerName val="0"/>
            <c:showPercent val="0"/>
            <c:showBubbleSize val="0"/>
            <c:showLeaderLines val="0"/>
          </c:dLbls>
          <c:cat>
            <c:strLit>
              <c:ptCount val="2"/>
              <c:pt idx="0">
                <c:v>2021年</c:v>
              </c:pt>
              <c:pt idx="1">
                <c:v>2022年</c:v>
              </c:pt>
            </c:strLit>
          </c:cat>
          <c:val>
            <c:numRef>
              <c:f/>
              <c:numCache>
                <c:formatCode>#,##0.00</c:formatCode>
                <c:ptCount val="2"/>
                <c:pt idx="0">
                  <c:v>282.68</c:v>
                </c:pt>
                <c:pt idx="1">
                  <c:v>297.18</c:v>
                </c:pt>
              </c:numCache>
            </c:numRef>
          </c:val>
        </c:ser>
        <c:ser>
          <c:idx val="1"/>
          <c:order val="1"/>
          <c:tx>
            <c:v>      本年财政拨款支出合计</c:v>
          </c:tx>
          <c:spPr>
            <a:solidFill>
              <a:srgbClr val="70AD47"/>
            </a:solidFill>
            <a:ln>
              <a:noFill/>
            </a:ln>
          </c:spPr>
          <c:invertIfNegative val="0"/>
          <c:dLbls>
            <c:spPr>
              <a:noFill/>
              <a:ln>
                <a:noFill/>
              </a:ln>
            </c:spPr>
            <c:txPr>
              <a:bodyPr vert="horz"/>
              <a:lstStyle/>
              <a:p>
                <a:pPr>
                  <a:defRPr sz="900" b="0" i="0" u="none" strike="noStrike" baseline="0">
                    <a:solidFill>
                      <a:srgbClr val="000000"/>
                    </a:solidFill>
                    <a:latin typeface="宋体"/>
                    <a:ea typeface="宋体"/>
                    <a:cs typeface="Arial"/>
                  </a:defRPr>
                </a:pPr>
                <a:endParaRPr lang="zh-CN"/>
              </a:p>
            </c:txPr>
            <c:numFmt formatCode="General" sourceLinked="0"/>
            <c:dLblPos val="inEnd"/>
            <c:showLegendKey val="0"/>
            <c:showVal val="1"/>
            <c:showCatName val="0"/>
            <c:showSerName val="0"/>
            <c:showPercent val="0"/>
            <c:showBubbleSize val="0"/>
            <c:showLeaderLines val="0"/>
          </c:dLbls>
          <c:cat>
            <c:strLit>
              <c:ptCount val="2"/>
              <c:pt idx="0">
                <c:v>2021年</c:v>
              </c:pt>
              <c:pt idx="1">
                <c:v>2022年</c:v>
              </c:pt>
            </c:strLit>
          </c:cat>
          <c:val>
            <c:numRef>
              <c:f/>
              <c:numCache>
                <c:formatCode>#,##0.00</c:formatCode>
                <c:ptCount val="2"/>
                <c:pt idx="0">
                  <c:v>284.76</c:v>
                </c:pt>
                <c:pt idx="1">
                  <c:v>297.18</c:v>
                </c:pt>
              </c:numCache>
            </c:numRef>
          </c:val>
        </c:ser>
        <c:overlap val="-10"/>
        <c:gapWidth val="219"/>
        <c:axId val="0"/>
        <c:axId val="1"/>
      </c:barChart>
      <c:catAx>
        <c:axId val="0"/>
        <c:scaling>
          <c:orientation val="minMax"/>
        </c:scaling>
        <c:delete val="0"/>
        <c:axPos val="b"/>
        <c:numFmt formatCode="General" sourceLinked="1"/>
        <c:majorTickMark val="none"/>
        <c:minorTickMark val="none"/>
        <c:tickLblPos val="nextTo"/>
        <c:spPr>
          <a:ln w="6350">
            <a:solidFill>
              <a:srgbClr val="F2F2F2"/>
            </a:solidFill>
            <a:prstDash val="solid"/>
          </a:ln>
        </c:spPr>
        <c:txPr>
          <a:bodyPr rot="0" vert="horz" anchor="t" anchorCtr="0"/>
          <a:lstStyle/>
          <a:p>
            <a:pPr>
              <a:defRPr sz="900" b="0" i="0" u="none" strike="noStrike" baseline="0">
                <a:solidFill>
                  <a:srgbClr val="333333"/>
                </a:solidFill>
                <a:latin typeface="微软雅黑"/>
                <a:ea typeface="微软雅黑"/>
                <a:cs typeface="Arial"/>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F2F2F2"/>
              </a:solidFill>
              <a:prstDash val="solid"/>
            </a:ln>
          </c:spPr>
        </c:majorGridlines>
        <c:numFmt formatCode="#,##0.00" sourceLinked="1"/>
        <c:majorTickMark val="none"/>
        <c:minorTickMark val="none"/>
        <c:tickLblPos val="nextTo"/>
        <c:spPr>
          <a:ln>
            <a:noFill/>
          </a:ln>
        </c:spPr>
        <c:txPr>
          <a:bodyPr rot="0" vert="horz" anchor="t" anchorCtr="0"/>
          <a:lstStyle/>
          <a:p>
            <a:pPr>
              <a:defRPr sz="900" b="0" i="0" u="none" strike="noStrike" baseline="0">
                <a:solidFill>
                  <a:srgbClr val="333333"/>
                </a:solidFill>
                <a:latin typeface="宋体"/>
                <a:ea typeface="宋体"/>
                <a:cs typeface="Arial"/>
              </a:defRPr>
            </a:pPr>
            <a:endParaRPr lang="zh-CN"/>
          </a:p>
        </c:txPr>
        <c:crossesAt val="1.0"/>
        <c:crossBetween val="between"/>
        <c:crossAx val="0"/>
      </c:valAx>
      <c:spPr>
        <a:noFill/>
        <a:ln>
          <a:noFill/>
        </a:ln>
      </c:spPr>
    </c:plotArea>
    <c:legend>
      <c:legendPos val="b"/>
      <c:layout/>
      <c:overlay val="0"/>
      <c:spPr>
        <a:noFill/>
        <a:ln>
          <a:noFill/>
        </a:ln>
      </c:spPr>
      <c:txPr>
        <a:bodyPr/>
        <a:lstStyle/>
        <a:p>
          <a:pPr>
            <a:defRPr sz="850" b="0" i="0" u="none" strike="noStrike" baseline="0">
              <a:solidFill>
                <a:srgbClr val="333333"/>
              </a:solidFill>
              <a:latin typeface="微软雅黑"/>
              <a:ea typeface="微软雅黑"/>
              <a:cs typeface="Arial"/>
            </a:defRPr>
          </a:pPr>
          <a:endParaRPr lang="zh-CN"/>
        </a:p>
      </c:txPr>
    </c:legend>
    <c:plotVisOnly val="1"/>
    <c:dispBlanksAs val="gap"/>
    <c:showDLblsOverMax val="0"/>
  </c:chart>
  <c:spPr>
    <a:solidFill>
      <a:srgbClr val="FFFFFF"/>
    </a:solidFill>
    <a:ln w="6350">
      <a:solidFill>
        <a:srgbClr val="F2F2F2"/>
      </a:solidFill>
      <a:prstDash val="solid"/>
    </a:ln>
  </c:spPr>
  <c:txPr>
    <a:bodyPr/>
    <a:lstStyle/>
    <a:p>
      <a:pPr>
        <a:defRPr sz="1000" b="0" i="0" u="none" strike="noStrike" baseline="0">
          <a:solidFill>
            <a:srgbClr val="000000"/>
          </a:solidFill>
          <a:latin typeface="宋体"/>
          <a:ea typeface="宋体"/>
          <a:cs typeface="Arial"/>
        </a:defRPr>
      </a:pPr>
      <a:endParaRPr lang="zh-CN"/>
    </a:p>
  </c:txPr>
  <c:printSettings>
    <c:headerFooter/>
    <c:pageMargins b="0.75" l="0.7" r="0.7" t="0.75" header="0.3" footer="0.3"/>
    <c:pageSetup/>
  </c:printSettings>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微软雅黑"/>
                <a:ea typeface="微软雅黑"/>
                <a:cs typeface="Arial"/>
              </a:defRPr>
            </a:pPr>
            <a:r>
              <a:rPr lang="zh-CN"/>
              <a:t>一般公共预算财政拨款支出决算变动情况</a:t>
            </a:r>
          </a:p>
        </c:rich>
      </c:tx>
      <c:layout/>
      <c:overlay val="0"/>
      <c:spPr>
        <a:noFill/>
        <a:ln>
          <a:noFill/>
        </a:ln>
      </c:spPr>
    </c:title>
    <c:autoTitleDeleted val="1"/>
    <c:plotArea>
      <c:layout/>
      <c:barChart>
        <c:barDir val="col"/>
        <c:grouping val="clustered"/>
        <c:varyColors val="0"/>
        <c:ser>
          <c:idx val="0"/>
          <c:order val="0"/>
          <c:tx>
            <c:v>一般公共预算财政拨款支出</c:v>
          </c:tx>
          <c:spPr>
            <a:solidFill>
              <a:srgbClr val="5B9BD5"/>
            </a:solidFill>
            <a:ln>
              <a:noFill/>
            </a:ln>
          </c:spPr>
          <c:invertIfNegative val="0"/>
          <c:dLbls>
            <c:spPr>
              <a:noFill/>
              <a:ln>
                <a:noFill/>
              </a:ln>
            </c:spPr>
            <c:txPr>
              <a:bodyPr vert="horz"/>
              <a:lstStyle/>
              <a:p>
                <a:pPr>
                  <a:defRPr sz="900" b="0" i="0" u="none" strike="noStrike" baseline="0">
                    <a:solidFill>
                      <a:srgbClr val="FFFFFF"/>
                    </a:solidFill>
                    <a:latin typeface="宋体"/>
                    <a:ea typeface="宋体"/>
                    <a:cs typeface="Arial"/>
                  </a:defRPr>
                </a:pPr>
                <a:endParaRPr lang="zh-CN"/>
              </a:p>
            </c:txPr>
            <c:numFmt formatCode="General" sourceLinked="0"/>
            <c:dLblPos val="inEnd"/>
            <c:showLegendKey val="0"/>
            <c:showVal val="1"/>
            <c:showCatName val="0"/>
            <c:showSerName val="0"/>
            <c:showPercent val="0"/>
            <c:showBubbleSize val="0"/>
            <c:showLeaderLines val="0"/>
          </c:dLbls>
          <c:cat>
            <c:strLit>
              <c:ptCount val="2"/>
              <c:pt idx="0">
                <c:v>2021年</c:v>
              </c:pt>
              <c:pt idx="1">
                <c:v>2022年</c:v>
              </c:pt>
            </c:strLit>
          </c:cat>
          <c:val>
            <c:numRef>
              <c:f/>
              <c:numCache>
                <c:formatCode>#,##0.00</c:formatCode>
                <c:ptCount val="2"/>
                <c:pt idx="0">
                  <c:v>280.27</c:v>
                </c:pt>
                <c:pt idx="1">
                  <c:v>297.18</c:v>
                </c:pt>
              </c:numCache>
            </c:numRef>
          </c:val>
        </c:ser>
        <c:overlap val="-10"/>
        <c:gapWidth val="219"/>
        <c:axId val="0"/>
        <c:axId val="1"/>
      </c:barChart>
      <c:catAx>
        <c:axId val="0"/>
        <c:scaling>
          <c:orientation val="minMax"/>
        </c:scaling>
        <c:delete val="0"/>
        <c:axPos val="b"/>
        <c:numFmt formatCode="General" sourceLinked="1"/>
        <c:majorTickMark val="none"/>
        <c:minorTickMark val="none"/>
        <c:tickLblPos val="nextTo"/>
        <c:spPr>
          <a:ln w="6350">
            <a:solidFill>
              <a:srgbClr val="F2F2F2"/>
            </a:solidFill>
            <a:prstDash val="solid"/>
          </a:ln>
        </c:spPr>
        <c:txPr>
          <a:bodyPr rot="0" vert="horz" anchor="t" anchorCtr="0"/>
          <a:lstStyle/>
          <a:p>
            <a:pPr>
              <a:defRPr sz="900" b="0" i="0" u="none" strike="noStrike" baseline="0">
                <a:solidFill>
                  <a:srgbClr val="333333"/>
                </a:solidFill>
                <a:latin typeface="微软雅黑"/>
                <a:ea typeface="微软雅黑"/>
                <a:cs typeface="Arial"/>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F2F2F2"/>
              </a:solidFill>
              <a:prstDash val="solid"/>
            </a:ln>
          </c:spPr>
        </c:majorGridlines>
        <c:numFmt formatCode="#,##0.00" sourceLinked="1"/>
        <c:majorTickMark val="none"/>
        <c:minorTickMark val="none"/>
        <c:tickLblPos val="nextTo"/>
        <c:spPr>
          <a:ln>
            <a:noFill/>
          </a:ln>
        </c:spPr>
        <c:txPr>
          <a:bodyPr rot="0" vert="horz" anchor="t" anchorCtr="0"/>
          <a:lstStyle/>
          <a:p>
            <a:pPr>
              <a:defRPr sz="900" b="0" i="0" u="none" strike="noStrike" baseline="0">
                <a:solidFill>
                  <a:srgbClr val="333333"/>
                </a:solidFill>
                <a:latin typeface="宋体"/>
                <a:ea typeface="宋体"/>
                <a:cs typeface="Arial"/>
              </a:defRPr>
            </a:pPr>
            <a:endParaRPr lang="zh-CN"/>
          </a:p>
        </c:txPr>
        <c:crossesAt val="1.0"/>
        <c:crossBetween val="between"/>
        <c:crossAx val="0"/>
      </c:valAx>
      <c:spPr>
        <a:noFill/>
        <a:ln>
          <a:noFill/>
        </a:ln>
      </c:spPr>
    </c:plotArea>
    <c:legend>
      <c:legendPos val="b"/>
      <c:layout/>
      <c:overlay val="0"/>
      <c:spPr>
        <a:noFill/>
        <a:ln>
          <a:noFill/>
        </a:ln>
      </c:spPr>
      <c:txPr>
        <a:bodyPr/>
        <a:lstStyle/>
        <a:p>
          <a:pPr>
            <a:defRPr sz="850" b="0" i="0" u="none" strike="noStrike" baseline="0">
              <a:solidFill>
                <a:srgbClr val="333333"/>
              </a:solidFill>
              <a:latin typeface="微软雅黑"/>
              <a:ea typeface="微软雅黑"/>
              <a:cs typeface="Arial"/>
            </a:defRPr>
          </a:pPr>
          <a:endParaRPr lang="zh-CN"/>
        </a:p>
      </c:txPr>
    </c:legend>
    <c:plotVisOnly val="1"/>
    <c:dispBlanksAs val="gap"/>
    <c:showDLblsOverMax val="0"/>
  </c:chart>
  <c:spPr>
    <a:solidFill>
      <a:srgbClr val="FFFFFF"/>
    </a:solidFill>
    <a:ln w="6350">
      <a:solidFill>
        <a:srgbClr val="F2F2F2"/>
      </a:solidFill>
      <a:prstDash val="solid"/>
    </a:ln>
  </c:spPr>
  <c:txPr>
    <a:bodyPr/>
    <a:lstStyle/>
    <a:p>
      <a:pPr>
        <a:defRPr sz="1000" b="0" i="0" u="none" strike="noStrike" baseline="0">
          <a:solidFill>
            <a:srgbClr val="000000"/>
          </a:solidFill>
          <a:latin typeface="宋体"/>
          <a:ea typeface="宋体"/>
          <a:cs typeface="Arial"/>
        </a:defRPr>
      </a:pPr>
      <a:endParaRPr lang="zh-CN"/>
    </a:p>
  </c:txPr>
  <c:printSettings>
    <c:headerFooter/>
    <c:pageMargins b="0.75" l="0.7" r="0.7" t="0.75" header="0.3" footer="0.3"/>
    <c:pageSetup/>
  </c:printSettings>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808080"/>
                </a:solidFill>
                <a:latin typeface="宋体"/>
                <a:ea typeface="宋体"/>
                <a:cs typeface="Arial"/>
              </a:defRPr>
            </a:pPr>
            <a:r>
              <a:rPr lang="zh-CN"/>
              <a:t>一般公共预算财政拨款支出决算结构</a:t>
            </a:r>
          </a:p>
        </c:rich>
      </c:tx>
      <c:layout>
        <c:manualLayout>
          <c:xMode val="edge"/>
          <c:yMode val="edge"/>
          <c:x val="0.18097222"/>
          <c:y val="0.90185183"/>
        </c:manualLayout>
      </c:layout>
      <c:overlay val="0"/>
      <c:spPr>
        <a:noFill/>
        <a:ln>
          <a:noFill/>
        </a:ln>
      </c:spPr>
    </c:title>
    <c:autoTitleDeleted val="1"/>
    <c:plotArea>
      <c:layout/>
      <c:pieChart>
        <c:varyColors val="1"/>
        <c:ser>
          <c:idx val="0"/>
          <c:order val="0"/>
          <c:spPr>
            <a:ln>
              <a:noFill/>
            </a:ln>
          </c:spPr>
          <c:dPt>
            <c:idx val="0"/>
            <c:bubble3D val="0"/>
            <c:explosion val="0"/>
            <c:spPr>
              <a:solidFill>
                <a:srgbClr val="70AD47"/>
              </a:solidFill>
              <a:ln w="19050">
                <a:solidFill>
                  <a:srgbClr val="FFFFFF"/>
                </a:solidFill>
                <a:prstDash val="solid"/>
              </a:ln>
            </c:spPr>
          </c:dPt>
          <c:dPt>
            <c:idx val="1"/>
            <c:bubble3D val="0"/>
            <c:explosion val="0"/>
            <c:spPr>
              <a:solidFill>
                <a:srgbClr val="5B9BD5"/>
              </a:solidFill>
              <a:ln w="19050">
                <a:solidFill>
                  <a:srgbClr val="FFFFFF"/>
                </a:solidFill>
                <a:prstDash val="solid"/>
              </a:ln>
            </c:spPr>
          </c:dPt>
          <c:dPt>
            <c:idx val="2"/>
            <c:bubble3D val="0"/>
            <c:explosion val="0"/>
            <c:spPr>
              <a:solidFill>
                <a:srgbClr val="FFC000"/>
              </a:solidFill>
              <a:ln w="19050">
                <a:solidFill>
                  <a:srgbClr val="FFFFFF"/>
                </a:solidFill>
                <a:prstDash val="solid"/>
              </a:ln>
            </c:spPr>
          </c:dPt>
          <c:dPt>
            <c:idx val="3"/>
            <c:bubble3D val="0"/>
            <c:explosion val="0"/>
            <c:spPr>
              <a:solidFill>
                <a:srgbClr val="ED7D31"/>
              </a:solidFill>
              <a:ln w="19050">
                <a:solidFill>
                  <a:srgbClr val="FFFFFF"/>
                </a:solidFill>
                <a:prstDash val="solid"/>
              </a:ln>
            </c:spPr>
          </c:dPt>
          <c:dLbls>
            <c:spPr>
              <a:noFill/>
              <a:ln>
                <a:noFill/>
              </a:ln>
            </c:spPr>
            <c:txPr>
              <a:bodyPr vert="horz"/>
              <a:lstStyle/>
              <a:p>
                <a:pPr>
                  <a:defRPr sz="900" b="0" i="0" u="none" strike="noStrike" baseline="0">
                    <a:solidFill>
                      <a:srgbClr val="333333"/>
                    </a:solidFill>
                    <a:latin typeface="宋体"/>
                    <a:ea typeface="宋体"/>
                    <a:cs typeface="Arial"/>
                  </a:defRPr>
                </a:pPr>
                <a:endParaRPr lang="zh-CN"/>
              </a:p>
            </c:txPr>
            <c:numFmt formatCode="General" sourceLinked="0"/>
            <c:dLbl>
              <c:idx val="0"/>
              <c:layout>
                <c:manualLayout>
                  <c:x val="0.037693854"/>
                  <c:y val="-0.047136288"/>
                </c:manualLayout>
              </c:layout>
              <c:numFmt formatCode="General" sourceLinked="0"/>
              <c:spPr>
                <a:solidFill>
                  <a:srgbClr val="70AD47"/>
                </a:solidFill>
                <a:ln>
                  <a:noFill/>
                </a:ln>
              </c:spPr>
              <c:txPr>
                <a:bodyPr vert="horz"/>
                <a:lstStyle/>
                <a:p>
                  <a:pPr>
                    <a:defRPr sz="900" b="0" i="0" u="none" strike="noStrike" baseline="0">
                      <a:solidFill>
                        <a:srgbClr val="333333"/>
                      </a:solidFill>
                      <a:latin typeface="宋体"/>
                      <a:ea typeface="宋体"/>
                      <a:cs typeface="Arial"/>
                    </a:defRPr>
                  </a:pPr>
                  <a:endParaRPr lang="zh-CN"/>
                </a:p>
              </c:txPr>
              <c:showLegendKey val="0"/>
              <c:showVal val="1"/>
              <c:showCatName val="0"/>
              <c:showSerName val="0"/>
              <c:showPercent val="0"/>
              <c:showBubbleSize val="0"/>
            </c:dLbl>
            <c:dLbl>
              <c:idx val="2"/>
              <c:layout>
                <c:manualLayout>
                  <c:x val="-0.082578585"/>
                  <c:y val="0.029251724"/>
                </c:manualLayout>
              </c:layout>
              <c:numFmt formatCode="General" sourceLinked="0"/>
              <c:spPr>
                <a:solidFill>
                  <a:srgbClr val="FFC000"/>
                </a:solidFill>
                <a:ln>
                  <a:noFill/>
                </a:ln>
              </c:spPr>
              <c:txPr>
                <a:bodyPr vert="horz"/>
                <a:lstStyle/>
                <a:p>
                  <a:pPr>
                    <a:defRPr sz="900" b="0" i="0" u="none" strike="noStrike" baseline="0">
                      <a:solidFill>
                        <a:srgbClr val="333333"/>
                      </a:solidFill>
                      <a:latin typeface="宋体"/>
                      <a:ea typeface="宋体"/>
                      <a:cs typeface="Arial"/>
                    </a:defRPr>
                  </a:pPr>
                  <a:endParaRPr lang="zh-CN"/>
                </a:p>
              </c:txPr>
              <c:showLegendKey val="0"/>
              <c:showVal val="1"/>
              <c:showCatName val="0"/>
              <c:showSerName val="0"/>
              <c:showPercent val="0"/>
              <c:showBubbleSize val="0"/>
            </c:dLbl>
            <c:dLbl>
              <c:idx val="3"/>
              <c:layout>
                <c:manualLayout>
                  <c:x val="-0.033662364"/>
                  <c:y val="-0.047076132"/>
                </c:manualLayout>
              </c:layout>
              <c:numFmt formatCode="General" sourceLinked="0"/>
              <c:spPr>
                <a:solidFill>
                  <a:srgbClr val="ED7D31">
                    <a:alpha val="50000"/>
                  </a:srgbClr>
                </a:solidFill>
                <a:ln>
                  <a:noFill/>
                </a:ln>
              </c:spPr>
              <c:txPr>
                <a:bodyPr vert="horz"/>
                <a:lstStyle/>
                <a:p>
                  <a:pPr>
                    <a:defRPr sz="900" b="0" i="0" u="none" strike="noStrike" baseline="0">
                      <a:solidFill>
                        <a:srgbClr val="333333"/>
                      </a:solidFill>
                      <a:latin typeface="宋体"/>
                      <a:ea typeface="宋体"/>
                      <a:cs typeface="Arial"/>
                    </a:defRPr>
                  </a:pPr>
                  <a:endParaRPr lang="zh-CN"/>
                </a:p>
              </c:txPr>
              <c:showLegendKey val="0"/>
              <c:showVal val="1"/>
              <c:showCatName val="0"/>
              <c:showSerName val="0"/>
              <c:showPercent val="0"/>
              <c:showBubbleSize val="0"/>
            </c:dLbl>
            <c:showLegendKey val="0"/>
            <c:showVal val="1"/>
            <c:showCatName val="0"/>
            <c:showSerName val="0"/>
            <c:showPercent val="0"/>
            <c:showBubbleSize val="0"/>
            <c:showLeaderLines val="1"/>
          </c:dLbls>
          <c:cat>
            <c:strLit>
              <c:ptCount val="4"/>
              <c:pt idx="0">
                <c:v>教育支出</c:v>
              </c:pt>
              <c:pt idx="1">
                <c:v>社会保障和就业支出</c:v>
              </c:pt>
              <c:pt idx="2">
                <c:v>医疗卫生与计划生育支出</c:v>
              </c:pt>
              <c:pt idx="3">
                <c:v>住房保障支出</c:v>
              </c:pt>
            </c:strLit>
          </c:cat>
          <c:val>
            <c:numRef>
              <c:f/>
              <c:numCache>
                <c:formatCode>General</c:formatCode>
                <c:ptCount val="4"/>
                <c:pt idx="0">
                  <c:v>11230.93</c:v>
                </c:pt>
                <c:pt idx="1">
                  <c:v>147.18</c:v>
                </c:pt>
                <c:pt idx="2">
                  <c:v>14.28</c:v>
                </c:pt>
                <c:pt idx="3">
                  <c:v>19.51</c:v>
                </c:pt>
              </c:numCache>
            </c:numRef>
          </c:val>
        </c:ser>
        <c:firstSliceAng val="0"/>
      </c:pieChart>
      <c:spPr>
        <a:noFill/>
        <a:ln>
          <a:noFill/>
        </a:ln>
      </c:spPr>
    </c:plotArea>
    <c:legend>
      <c:legendPos val="r"/>
      <c:layout/>
      <c:overlay val="0"/>
      <c:spPr>
        <a:solidFill>
          <a:srgbClr val="FFFFFF">
            <a:alpha val="50000"/>
          </a:srgbClr>
        </a:solidFill>
        <a:ln>
          <a:noFill/>
        </a:ln>
      </c:spPr>
      <c:txPr>
        <a:bodyPr/>
        <a:lstStyle/>
        <a:p>
          <a:pPr>
            <a:defRPr sz="850" b="0" i="0" u="none" strike="noStrike" baseline="0">
              <a:solidFill>
                <a:srgbClr val="333333"/>
              </a:solidFill>
              <a:latin typeface="宋体"/>
              <a:ea typeface="宋体"/>
              <a:cs typeface="Arial"/>
            </a:defRPr>
          </a:pPr>
          <a:endParaRPr lang="zh-CN"/>
        </a:p>
      </c:txPr>
    </c:legend>
    <c:plotVisOnly val="1"/>
    <c:dispBlanksAs val="gap"/>
    <c:showDLblsOverMax val="0"/>
  </c:chart>
  <c:spPr>
    <a:pattFill prst="dkDnDiag">
      <a:fgClr>
        <a:srgbClr val="FFFFFF"/>
      </a:fgClr>
      <a:bgClr>
        <a:srgbClr val="FFFFFF"/>
      </a:bgClr>
    </a:pattFill>
    <a:ln w="6350">
      <a:solidFill>
        <a:srgbClr val="D9D9D9"/>
      </a:solidFill>
      <a:prstDash val="solid"/>
    </a:ln>
  </c:spPr>
  <c:txPr>
    <a:bodyPr/>
    <a:lstStyle/>
    <a:p>
      <a:pPr>
        <a:defRPr sz="1000" b="0" i="0" u="none" strike="noStrike" baseline="0">
          <a:solidFill>
            <a:srgbClr val="000000"/>
          </a:solidFill>
          <a:latin typeface="宋体"/>
          <a:ea typeface="宋体"/>
          <a:cs typeface="Arial"/>
        </a:defRPr>
      </a:pPr>
      <a:endParaRPr lang="zh-CN"/>
    </a:p>
  </c:txPr>
  <c:printSettings>
    <c:headerFooter/>
    <c:pageMargins b="0.75" l="0.7" r="0.7" t="0.75" header="0.3" footer="0.3"/>
    <c:pageSetup/>
  </c:printSettings>
  <c:externalData r:id="rId1">
    <c:autoUpdate val="0"/>
  </c:externalData>
</c:chartSpace>
</file>

<file path=docProps/app.xml><?xml version="1.0" encoding="utf-8"?>
<Properties xmlns="http://schemas.openxmlformats.org/officeDocument/2006/extended-properties">
  <Template>Normal.eit</Template>
  <TotalTime>71</TotalTime>
  <Application>Yozo_Office27021597764231179</Application>
  <Pages>18</Pages>
  <Words>5353</Words>
  <Characters>5869</Characters>
  <Lines>313</Lines>
  <Paragraphs>143</Paragraphs>
  <CharactersWithSpaces>5889</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曹颖</dc:creator>
  <cp:lastModifiedBy>Administrator</cp:lastModifiedBy>
  <cp:revision>33</cp:revision>
  <cp:lastPrinted>2022-08-06T02:23:00Z</cp:lastPrinted>
  <dcterms:created xsi:type="dcterms:W3CDTF">2020-08-05T01:49:00Z</dcterms:created>
  <dcterms:modified xsi:type="dcterms:W3CDTF">2023-11-01T08:26:17Z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2052-12.1.0.15712</vt:lpwstr>
  </property>
  <property fmtid="{D5CDD505-2E9C-101B-9397-08002B2CF9AE}" pid="3" name="ICV">
    <vt:lpwstr>CCFCE8D9D38D45D5A1FED970D3A8F02D_13</vt:lpwstr>
  </property>
</Properties>
</file>