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425"/>
      <w:bookmarkStart w:id="1" w:name="_Toc15377193"/>
      <w:bookmarkStart w:id="2" w:name="_Toc15396597"/>
      <w:bookmarkStart w:id="3" w:name="_Toc15378441"/>
      <w:bookmarkStart w:id="4" w:name="_Toc15396475"/>
      <w:bookmarkStart w:id="5" w:name="_Toc15306267"/>
    </w:p>
    <w:p>
      <w:pPr>
        <w:spacing w:line="600" w:lineRule="exact"/>
        <w:jc w:val="center"/>
        <w:outlineLvl w:val="9"/>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2022年度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简体" w:eastAsia="方正小标宋简体" w:cs="方正小标宋简体"/>
          <w:sz w:val="72"/>
          <w:szCs w:val="72"/>
          <w:lang w:eastAsia="zh-CN"/>
        </w:rPr>
      </w:pPr>
      <w:bookmarkStart w:id="6" w:name="_Toc15377426"/>
      <w:bookmarkStart w:id="7" w:name="_Toc15396476"/>
      <w:bookmarkStart w:id="8" w:name="_Toc15378442"/>
      <w:bookmarkStart w:id="9" w:name="_Toc15396598"/>
      <w:bookmarkStart w:id="10" w:name="_Toc15377194"/>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eastAsia="zh-CN"/>
        </w:rPr>
        <w:t>红原县公安局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简体" w:eastAsia="方正小标宋简体" w:cs="方正小标宋简体"/>
          <w:sz w:val="72"/>
          <w:szCs w:val="72"/>
        </w:rPr>
      </w:pPr>
      <w:r>
        <w:rPr>
          <w:rFonts w:hint="eastAsia" w:ascii="方正小标宋简体" w:eastAsia="方正小标宋简体" w:cs="方正小标宋简体"/>
          <w:sz w:val="72"/>
          <w:szCs w:val="72"/>
          <w:lang w:eastAsia="zh-CN"/>
        </w:rPr>
        <w:t>部门</w:t>
      </w: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pStyle w:val="2"/>
        <w:outlineLvl w:val="9"/>
        <w:rPr>
          <w:rFonts w:hint="eastAsia" w:ascii="方正小标宋简体" w:eastAsia="方正小标宋简体" w:cs="方正小标宋简体"/>
          <w:sz w:val="72"/>
          <w:szCs w:val="72"/>
        </w:rPr>
      </w:pPr>
    </w:p>
    <w:p/>
    <w:p>
      <w:pPr>
        <w:pStyle w:val="2"/>
        <w:outlineLvl w:val="9"/>
      </w:pPr>
    </w:p>
    <w:p/>
    <w:p>
      <w:pPr>
        <w:pStyle w:val="2"/>
        <w:outlineLvl w:val="9"/>
      </w:pPr>
    </w:p>
    <w:p>
      <w:pPr>
        <w:pageBreakBefore w:val="0"/>
        <w:kinsoku/>
        <w:wordWrap/>
        <w:overflowPunct/>
        <w:topLinePunct w:val="0"/>
        <w:autoSpaceDE w:val="0"/>
        <w:autoSpaceDN w:val="0"/>
        <w:bidi w:val="0"/>
        <w:adjustRightInd w:val="0"/>
        <w:snapToGrid w:val="0"/>
        <w:spacing w:line="560" w:lineRule="exact"/>
        <w:ind w:left="420" w:leftChars="200"/>
        <w:jc w:val="center"/>
        <w:rPr>
          <w:rFonts w:hint="eastAsia" w:ascii="宋体" w:hAnsi="宋体" w:cs="仿宋_GB2312"/>
          <w:sz w:val="32"/>
          <w:szCs w:val="32"/>
          <w:lang w:eastAsia="zh-CN"/>
        </w:rPr>
      </w:pPr>
      <w:bookmarkStart w:id="12" w:name="_Hlk113547609"/>
      <w:r>
        <w:rPr>
          <w:rFonts w:hint="eastAsia" w:ascii="宋体" w:hAnsi="宋体" w:cs="仿宋_GB2312"/>
          <w:sz w:val="32"/>
          <w:szCs w:val="32"/>
          <w:lang w:eastAsia="zh-CN"/>
        </w:rPr>
        <w:t>已经保密审查、内容审定，同意对外公开</w:t>
      </w:r>
      <w:bookmarkEnd w:id="12"/>
    </w:p>
    <w:p>
      <w:pPr>
        <w:jc w:val="center"/>
      </w:pPr>
      <w:r>
        <w:rPr>
          <w:rFonts w:hint="eastAsia" w:ascii="宋体" w:hAnsi="宋体" w:cs="仿宋_GB2312"/>
          <w:sz w:val="32"/>
          <w:szCs w:val="32"/>
          <w:lang w:eastAsia="zh-CN"/>
        </w:rPr>
        <w:t>公开时间：202</w:t>
      </w:r>
      <w:r>
        <w:rPr>
          <w:rFonts w:hint="eastAsia" w:ascii="宋体" w:hAnsi="宋体" w:cs="仿宋_GB2312"/>
          <w:sz w:val="32"/>
          <w:szCs w:val="32"/>
          <w:lang w:val="en-US" w:eastAsia="zh-CN"/>
        </w:rPr>
        <w:t>3</w:t>
      </w:r>
      <w:r>
        <w:rPr>
          <w:rFonts w:hint="eastAsia" w:ascii="宋体" w:hAnsi="宋体" w:cs="仿宋_GB2312"/>
          <w:sz w:val="32"/>
          <w:szCs w:val="32"/>
          <w:lang w:eastAsia="zh-CN"/>
        </w:rPr>
        <w:t>年</w:t>
      </w:r>
      <w:r>
        <w:rPr>
          <w:rFonts w:hint="eastAsia" w:ascii="宋体" w:hAnsi="宋体" w:cs="仿宋_GB2312"/>
          <w:sz w:val="32"/>
          <w:szCs w:val="32"/>
          <w:lang w:val="en-US" w:eastAsia="zh-CN"/>
        </w:rPr>
        <w:t>10</w:t>
      </w:r>
      <w:r>
        <w:rPr>
          <w:rFonts w:hint="eastAsia" w:ascii="宋体" w:hAnsi="宋体" w:cs="仿宋_GB2312"/>
          <w:sz w:val="32"/>
          <w:szCs w:val="32"/>
          <w:lang w:eastAsia="zh-CN"/>
        </w:rPr>
        <w:t>月</w:t>
      </w:r>
      <w:r>
        <w:rPr>
          <w:rFonts w:hint="eastAsia" w:ascii="宋体" w:hAnsi="宋体" w:cs="仿宋_GB2312"/>
          <w:sz w:val="32"/>
          <w:szCs w:val="32"/>
          <w:lang w:val="en-US" w:eastAsia="zh-CN"/>
        </w:rPr>
        <w:t>26</w:t>
      </w:r>
      <w:r>
        <w:rPr>
          <w:rFonts w:hint="eastAsia" w:ascii="宋体" w:hAnsi="宋体" w:cs="仿宋_GB2312"/>
          <w:sz w:val="32"/>
          <w:szCs w:val="32"/>
          <w:lang w:eastAsia="zh-CN"/>
        </w:rPr>
        <w:t>日</w:t>
      </w:r>
    </w:p>
    <w:p>
      <w:pPr>
        <w:widowControl/>
        <w:jc w:val="center"/>
        <w:rPr>
          <w:rFonts w:ascii="方正小标宋简体" w:eastAsia="方正小标宋简体"/>
          <w:sz w:val="36"/>
          <w:szCs w:val="36"/>
        </w:rPr>
      </w:pPr>
      <w:r>
        <w:rPr>
          <w:rFonts w:ascii="方正小标宋简体" w:eastAsia="方正小标宋简体"/>
          <w:sz w:val="36"/>
          <w:szCs w:val="36"/>
        </w:rPr>
        <w:br w:type="page"/>
      </w:r>
    </w:p>
    <w:sdt>
      <w:sdtPr>
        <w:rPr>
          <w:rFonts w:hint="eastAsia" w:ascii="黑体" w:hAnsi="Times New Roman" w:eastAsia="黑体" w:cs="Times New Roman"/>
          <w:sz w:val="48"/>
          <w:szCs w:val="48"/>
          <w:lang w:val="en-US" w:eastAsia="zh-CN"/>
        </w:rPr>
        <w:id w:val="147466639"/>
        <w15:color w:val="DBDBDB"/>
        <w:docPartObj>
          <w:docPartGallery w:val="Table of Contents"/>
          <w:docPartUnique/>
        </w:docPartObj>
      </w:sdtPr>
      <w:sdtEndPr>
        <w:rPr>
          <w:rFonts w:hint="eastAsia" w:ascii="黑体" w:hAnsi="Times New Roman" w:eastAsia="黑体" w:cs="Times New Roman"/>
          <w:b/>
          <w:bCs/>
          <w:kern w:val="44"/>
          <w:sz w:val="44"/>
          <w:szCs w:val="44"/>
          <w:lang w:val="en-US" w:eastAsia="zh-CN" w:bidi="ar-SA"/>
        </w:rPr>
      </w:sdtEndPr>
      <w:sdtContent>
        <w:p>
          <w:pPr>
            <w:widowControl/>
            <w:jc w:val="center"/>
            <w:rPr>
              <w:rFonts w:hint="eastAsia" w:ascii="黑体" w:hAnsi="Times New Roman" w:eastAsia="黑体" w:cs="Times New Roman"/>
              <w:sz w:val="48"/>
              <w:szCs w:val="48"/>
            </w:rPr>
          </w:pPr>
          <w:bookmarkStart w:id="13" w:name="_Toc15396599"/>
          <w:bookmarkStart w:id="14" w:name="_Toc15377196"/>
          <w:r>
            <w:rPr>
              <w:rFonts w:hint="eastAsia" w:ascii="黑体" w:hAnsi="Times New Roman" w:eastAsia="黑体" w:cs="Times New Roman"/>
              <w:sz w:val="48"/>
              <w:szCs w:val="48"/>
            </w:rPr>
            <w:t>目录</w:t>
          </w:r>
        </w:p>
        <w:p>
          <w:pPr>
            <w:pStyle w:val="11"/>
            <w:tabs>
              <w:tab w:val="right" w:leader="dot" w:pos="8306"/>
              <w:tab w:val="clear" w:pos="8296"/>
            </w:tabs>
          </w:pPr>
          <w:r>
            <w:rPr>
              <w:rFonts w:hint="eastAsia" w:ascii="仿宋_GB2312" w:hAnsi="仿宋_GB2312" w:eastAsia="仿宋_GB2312" w:cs="仿宋_GB2312"/>
              <w:b w:val="0"/>
              <w:sz w:val="28"/>
              <w:szCs w:val="28"/>
            </w:rPr>
            <w:fldChar w:fldCharType="begin"/>
          </w:r>
          <w:r>
            <w:rPr>
              <w:rFonts w:hint="eastAsia" w:ascii="仿宋_GB2312" w:hAnsi="仿宋_GB2312" w:eastAsia="仿宋_GB2312" w:cs="仿宋_GB2312"/>
              <w:b w:val="0"/>
              <w:sz w:val="28"/>
              <w:szCs w:val="28"/>
            </w:rPr>
            <w:instrText xml:space="preserve">TOC \o "1-2" \h \u </w:instrText>
          </w:r>
          <w:r>
            <w:rPr>
              <w:rFonts w:hint="eastAsia" w:ascii="仿宋_GB2312" w:hAnsi="仿宋_GB2312" w:eastAsia="仿宋_GB2312" w:cs="仿宋_GB2312"/>
              <w:b w:val="0"/>
              <w:sz w:val="28"/>
              <w:szCs w:val="28"/>
            </w:rPr>
            <w:fldChar w:fldCharType="separate"/>
          </w: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_Toc19362 </w:instrText>
          </w:r>
          <w:r>
            <w:rPr>
              <w:rFonts w:hint="eastAsia" w:ascii="仿宋_GB2312" w:hAnsi="仿宋_GB2312" w:eastAsia="仿宋_GB2312" w:cs="仿宋_GB2312"/>
              <w:szCs w:val="28"/>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_Toc19362 </w:instrText>
          </w:r>
          <w:r>
            <w:fldChar w:fldCharType="separate"/>
          </w:r>
          <w:r>
            <w:t>3</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_Toc29459 </w:instrText>
          </w:r>
          <w:r>
            <w:rPr>
              <w:rFonts w:hint="eastAsia" w:ascii="仿宋_GB2312" w:hAnsi="仿宋_GB2312" w:eastAsia="仿宋_GB2312" w:cs="仿宋_GB2312"/>
              <w:szCs w:val="28"/>
            </w:rPr>
            <w:fldChar w:fldCharType="separate"/>
          </w:r>
          <w:r>
            <w:rPr>
              <w:rFonts w:hint="eastAsia" w:ascii="黑体" w:eastAsia="黑体"/>
            </w:rPr>
            <w:t xml:space="preserve">一、 </w:t>
          </w:r>
          <w:r>
            <w:rPr>
              <w:rFonts w:hint="eastAsia" w:ascii="黑体" w:eastAsia="黑体"/>
              <w:lang w:eastAsia="zh-CN"/>
            </w:rPr>
            <w:t>职能简介及主要工作完成情况</w:t>
          </w:r>
          <w:r>
            <w:tab/>
          </w:r>
          <w:r>
            <w:fldChar w:fldCharType="begin"/>
          </w:r>
          <w:r>
            <w:instrText xml:space="preserve"> PAGEREF _Toc29459 </w:instrText>
          </w:r>
          <w:r>
            <w:fldChar w:fldCharType="separate"/>
          </w:r>
          <w:r>
            <w:t>3</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_Toc21154 </w:instrText>
          </w:r>
          <w:r>
            <w:rPr>
              <w:rFonts w:hint="eastAsia" w:ascii="仿宋_GB2312" w:hAnsi="仿宋_GB2312" w:eastAsia="仿宋_GB2312" w:cs="仿宋_GB2312"/>
              <w:szCs w:val="28"/>
            </w:rPr>
            <w:fldChar w:fldCharType="separate"/>
          </w:r>
          <w:r>
            <w:rPr>
              <w:rFonts w:hint="eastAsia" w:ascii="黑体" w:eastAsia="黑体"/>
            </w:rPr>
            <w:t>二、机</w:t>
          </w:r>
          <w:r>
            <w:rPr>
              <w:rFonts w:hint="eastAsia" w:ascii="黑体" w:eastAsia="黑体"/>
              <w:bCs w:val="0"/>
            </w:rPr>
            <w:t>构设置及人员概况</w:t>
          </w:r>
          <w:r>
            <w:tab/>
          </w:r>
          <w:r>
            <w:fldChar w:fldCharType="begin"/>
          </w:r>
          <w:r>
            <w:instrText xml:space="preserve"> PAGEREF _Toc21154 </w:instrText>
          </w:r>
          <w:r>
            <w:fldChar w:fldCharType="separate"/>
          </w:r>
          <w:r>
            <w:t>6</w:t>
          </w:r>
          <w:r>
            <w:fldChar w:fldCharType="end"/>
          </w:r>
          <w:r>
            <w:rPr>
              <w:rFonts w:hint="eastAsia" w:ascii="仿宋_GB2312" w:hAnsi="仿宋_GB2312" w:eastAsia="仿宋_GB2312" w:cs="仿宋_GB2312"/>
              <w:szCs w:val="28"/>
            </w:rPr>
            <w:fldChar w:fldCharType="end"/>
          </w:r>
        </w:p>
        <w:p>
          <w:pPr>
            <w:pStyle w:val="11"/>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_Toc24960 </w:instrText>
          </w:r>
          <w:r>
            <w:rPr>
              <w:rFonts w:hint="eastAsia" w:ascii="仿宋_GB2312" w:hAnsi="仿宋_GB2312" w:eastAsia="仿宋_GB2312" w:cs="仿宋_GB2312"/>
              <w:szCs w:val="28"/>
            </w:rPr>
            <w:fldChar w:fldCharType="separate"/>
          </w:r>
          <w:r>
            <w:rPr>
              <w:rFonts w:hint="eastAsia" w:ascii="黑体" w:eastAsia="黑体"/>
            </w:rPr>
            <w:t>第二部分 2022年度</w:t>
          </w:r>
          <w:r>
            <w:rPr>
              <w:rFonts w:hint="eastAsia" w:ascii="黑体" w:eastAsia="黑体"/>
              <w:bCs/>
            </w:rPr>
            <w:t>部门决算情况说明</w:t>
          </w:r>
          <w:r>
            <w:tab/>
          </w:r>
          <w:r>
            <w:fldChar w:fldCharType="begin"/>
          </w:r>
          <w:r>
            <w:instrText xml:space="preserve"> PAGEREF _Toc24960 </w:instrText>
          </w:r>
          <w:r>
            <w:fldChar w:fldCharType="separate"/>
          </w:r>
          <w:r>
            <w:t>7</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_Toc24249 </w:instrText>
          </w:r>
          <w:r>
            <w:rPr>
              <w:rFonts w:hint="eastAsia" w:ascii="仿宋_GB2312" w:hAnsi="仿宋_GB2312" w:eastAsia="仿宋_GB2312" w:cs="仿宋_GB2312"/>
              <w:szCs w:val="28"/>
            </w:rPr>
            <w:fldChar w:fldCharType="separate"/>
          </w:r>
          <w:r>
            <w:rPr>
              <w:rFonts w:hint="eastAsia" w:ascii="黑体" w:eastAsia="黑体"/>
              <w:szCs w:val="32"/>
              <w:lang w:eastAsia="zh-CN"/>
            </w:rPr>
            <w:t>一、</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_Toc24249 </w:instrText>
          </w:r>
          <w:r>
            <w:fldChar w:fldCharType="separate"/>
          </w:r>
          <w:r>
            <w:t>7</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_Toc4677 </w:instrText>
          </w:r>
          <w:r>
            <w:rPr>
              <w:rFonts w:hint="eastAsia" w:ascii="仿宋_GB2312" w:hAnsi="仿宋_GB2312" w:eastAsia="仿宋_GB2312" w:cs="仿宋_GB2312"/>
              <w:szCs w:val="28"/>
            </w:rPr>
            <w:fldChar w:fldCharType="separate"/>
          </w:r>
          <w:r>
            <w:rPr>
              <w:rFonts w:hint="eastAsia" w:ascii="黑体" w:eastAsia="黑体"/>
              <w:szCs w:val="32"/>
              <w:lang w:eastAsia="zh-CN"/>
            </w:rPr>
            <w:t>二、</w:t>
          </w:r>
          <w:r>
            <w:rPr>
              <w:rFonts w:hint="eastAsia" w:ascii="黑体" w:eastAsia="黑体"/>
              <w:szCs w:val="32"/>
            </w:rPr>
            <w:t>收</w:t>
          </w:r>
          <w:r>
            <w:rPr>
              <w:rFonts w:hint="eastAsia" w:ascii="黑体" w:eastAsia="黑体"/>
            </w:rPr>
            <w:t>入决算情况说明</w:t>
          </w:r>
          <w:r>
            <w:tab/>
          </w:r>
          <w:r>
            <w:fldChar w:fldCharType="begin"/>
          </w:r>
          <w:r>
            <w:instrText xml:space="preserve"> PAGEREF _Toc4677 </w:instrText>
          </w:r>
          <w:r>
            <w:fldChar w:fldCharType="separate"/>
          </w:r>
          <w:r>
            <w:t>7</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_Toc15335 </w:instrText>
          </w:r>
          <w:r>
            <w:rPr>
              <w:rFonts w:hint="eastAsia" w:ascii="仿宋_GB2312" w:hAnsi="仿宋_GB2312" w:eastAsia="仿宋_GB2312" w:cs="仿宋_GB2312"/>
              <w:szCs w:val="28"/>
            </w:rPr>
            <w:fldChar w:fldCharType="separate"/>
          </w:r>
          <w:r>
            <w:rPr>
              <w:rFonts w:hint="eastAsia" w:ascii="黑体" w:eastAsia="黑体"/>
              <w:szCs w:val="32"/>
              <w:lang w:eastAsia="zh-CN"/>
            </w:rPr>
            <w:t>三、</w:t>
          </w:r>
          <w:r>
            <w:rPr>
              <w:rFonts w:hint="eastAsia" w:ascii="黑体" w:eastAsia="黑体"/>
              <w:szCs w:val="32"/>
            </w:rPr>
            <w:t>支</w:t>
          </w:r>
          <w:r>
            <w:rPr>
              <w:rFonts w:hint="eastAsia" w:ascii="黑体" w:eastAsia="黑体"/>
            </w:rPr>
            <w:t>出决算情况说明</w:t>
          </w:r>
          <w:r>
            <w:tab/>
          </w:r>
          <w:r>
            <w:fldChar w:fldCharType="begin"/>
          </w:r>
          <w:r>
            <w:instrText xml:space="preserve"> PAGEREF _Toc15335 </w:instrText>
          </w:r>
          <w:r>
            <w:fldChar w:fldCharType="separate"/>
          </w:r>
          <w:r>
            <w:t>8</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_Toc24671 </w:instrText>
          </w:r>
          <w:r>
            <w:rPr>
              <w:rFonts w:hint="eastAsia" w:ascii="仿宋_GB2312" w:hAnsi="仿宋_GB2312" w:eastAsia="仿宋_GB2312" w:cs="仿宋_GB2312"/>
              <w:szCs w:val="28"/>
            </w:rP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_Toc24671 </w:instrText>
          </w:r>
          <w:r>
            <w:fldChar w:fldCharType="separate"/>
          </w:r>
          <w:r>
            <w:t>8</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_Toc1099 </w:instrText>
          </w:r>
          <w:r>
            <w:rPr>
              <w:rFonts w:hint="eastAsia" w:ascii="仿宋_GB2312" w:hAnsi="仿宋_GB2312" w:eastAsia="仿宋_GB2312" w:cs="仿宋_GB2312"/>
              <w:szCs w:val="28"/>
            </w:rP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_Toc1099 </w:instrText>
          </w:r>
          <w:r>
            <w:fldChar w:fldCharType="separate"/>
          </w:r>
          <w:r>
            <w:t>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_Toc17467 </w:instrText>
          </w:r>
          <w:r>
            <w:rPr>
              <w:rFonts w:hint="eastAsia" w:ascii="仿宋_GB2312" w:hAnsi="仿宋_GB2312" w:eastAsia="仿宋_GB2312" w:cs="仿宋_GB2312"/>
              <w:szCs w:val="28"/>
            </w:rP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_Toc17467 </w:instrText>
          </w:r>
          <w:r>
            <w:fldChar w:fldCharType="separate"/>
          </w:r>
          <w:r>
            <w:t>11</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_Toc8770 </w:instrText>
          </w:r>
          <w:r>
            <w:rPr>
              <w:rFonts w:hint="eastAsia" w:ascii="仿宋_GB2312" w:hAnsi="仿宋_GB2312" w:eastAsia="仿宋_GB2312" w:cs="仿宋_GB2312"/>
              <w:szCs w:val="28"/>
            </w:rPr>
            <w:fldChar w:fldCharType="separate"/>
          </w:r>
          <w:r>
            <w:rPr>
              <w:rFonts w:hint="eastAsia" w:ascii="黑体" w:eastAsia="黑体"/>
              <w:szCs w:val="32"/>
            </w:rPr>
            <w:t>七、</w:t>
          </w:r>
          <w:r>
            <w:rPr>
              <w:rFonts w:hint="eastAsia" w:ascii="黑体" w:eastAsia="黑体"/>
            </w:rPr>
            <w:t>财政拨款“三公”经费支出决算情况说明</w:t>
          </w:r>
          <w:r>
            <w:tab/>
          </w:r>
          <w:r>
            <w:fldChar w:fldCharType="begin"/>
          </w:r>
          <w:r>
            <w:instrText xml:space="preserve"> PAGEREF _Toc8770 </w:instrText>
          </w:r>
          <w:r>
            <w:fldChar w:fldCharType="separate"/>
          </w:r>
          <w:r>
            <w:t>12</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_Toc3036 </w:instrText>
          </w:r>
          <w:r>
            <w:rPr>
              <w:rFonts w:hint="eastAsia" w:ascii="仿宋_GB2312" w:hAnsi="仿宋_GB2312" w:eastAsia="仿宋_GB2312" w:cs="仿宋_GB2312"/>
              <w:szCs w:val="28"/>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_Toc3036 </w:instrText>
          </w:r>
          <w:r>
            <w:fldChar w:fldCharType="separate"/>
          </w:r>
          <w:r>
            <w:t>13</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_Toc27759 </w:instrText>
          </w:r>
          <w:r>
            <w:rPr>
              <w:rFonts w:hint="eastAsia" w:ascii="仿宋_GB2312" w:hAnsi="仿宋_GB2312" w:eastAsia="仿宋_GB2312" w:cs="仿宋_GB2312"/>
              <w:szCs w:val="28"/>
            </w:rPr>
            <w:fldChar w:fldCharType="separate"/>
          </w:r>
          <w:r>
            <w:rPr>
              <w:rFonts w:hint="eastAsia" w:ascii="黑体" w:eastAsia="黑体"/>
            </w:rPr>
            <w:t>九、 国有资本经营预算支出决算情况说明</w:t>
          </w:r>
          <w:r>
            <w:tab/>
          </w:r>
          <w:r>
            <w:fldChar w:fldCharType="begin"/>
          </w:r>
          <w:r>
            <w:instrText xml:space="preserve"> PAGEREF _Toc27759 </w:instrText>
          </w:r>
          <w:r>
            <w:fldChar w:fldCharType="separate"/>
          </w:r>
          <w:r>
            <w:t>13</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_Toc14656 </w:instrText>
          </w:r>
          <w:r>
            <w:rPr>
              <w:rFonts w:hint="eastAsia" w:ascii="仿宋_GB2312" w:hAnsi="仿宋_GB2312" w:eastAsia="仿宋_GB2312" w:cs="仿宋_GB2312"/>
              <w:szCs w:val="28"/>
            </w:rPr>
            <w:fldChar w:fldCharType="separate"/>
          </w:r>
          <w:r>
            <w:rPr>
              <w:rFonts w:hint="eastAsia" w:ascii="黑体" w:eastAsia="黑体"/>
            </w:rPr>
            <w:t>十、 其他重要事项的情况说明</w:t>
          </w:r>
          <w:r>
            <w:tab/>
          </w:r>
          <w:r>
            <w:fldChar w:fldCharType="begin"/>
          </w:r>
          <w:r>
            <w:instrText xml:space="preserve"> PAGEREF _Toc14656 </w:instrText>
          </w:r>
          <w:r>
            <w:fldChar w:fldCharType="separate"/>
          </w:r>
          <w:r>
            <w:t>13</w:t>
          </w:r>
          <w:r>
            <w:fldChar w:fldCharType="end"/>
          </w:r>
          <w:r>
            <w:rPr>
              <w:rFonts w:hint="eastAsia" w:ascii="仿宋_GB2312" w:hAnsi="仿宋_GB2312" w:eastAsia="仿宋_GB2312" w:cs="仿宋_GB2312"/>
              <w:szCs w:val="28"/>
            </w:rPr>
            <w:fldChar w:fldCharType="end"/>
          </w:r>
        </w:p>
        <w:p>
          <w:pPr>
            <w:pStyle w:val="11"/>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_Toc29472 </w:instrText>
          </w:r>
          <w:r>
            <w:rPr>
              <w:rFonts w:hint="eastAsia" w:ascii="仿宋_GB2312" w:hAnsi="仿宋_GB2312" w:eastAsia="仿宋_GB2312" w:cs="仿宋_GB2312"/>
              <w:szCs w:val="28"/>
            </w:rP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_Toc29472 </w:instrText>
          </w:r>
          <w:r>
            <w:fldChar w:fldCharType="separate"/>
          </w:r>
          <w:r>
            <w:t>16</w:t>
          </w:r>
          <w:r>
            <w:fldChar w:fldCharType="end"/>
          </w:r>
          <w:r>
            <w:rPr>
              <w:rFonts w:hint="eastAsia" w:ascii="仿宋_GB2312" w:hAnsi="仿宋_GB2312" w:eastAsia="仿宋_GB2312" w:cs="仿宋_GB2312"/>
              <w:szCs w:val="28"/>
            </w:rPr>
            <w:fldChar w:fldCharType="end"/>
          </w:r>
        </w:p>
        <w:p>
          <w:pPr>
            <w:pStyle w:val="11"/>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_Toc24764 </w:instrText>
          </w:r>
          <w:r>
            <w:rPr>
              <w:rFonts w:hint="eastAsia" w:ascii="仿宋_GB2312" w:hAnsi="仿宋_GB2312" w:eastAsia="仿宋_GB2312" w:cs="仿宋_GB2312"/>
              <w:szCs w:val="28"/>
            </w:rPr>
            <w:fldChar w:fldCharType="separate"/>
          </w:r>
          <w:r>
            <w:rPr>
              <w:rFonts w:hint="eastAsia" w:ascii="黑体" w:eastAsia="黑体"/>
              <w:szCs w:val="44"/>
            </w:rPr>
            <w:t>第</w:t>
          </w:r>
          <w:r>
            <w:rPr>
              <w:rFonts w:hint="eastAsia" w:ascii="黑体" w:eastAsia="黑体"/>
            </w:rPr>
            <w:t>四部分 附件</w:t>
          </w:r>
          <w:r>
            <w:tab/>
          </w:r>
          <w:r>
            <w:fldChar w:fldCharType="begin"/>
          </w:r>
          <w:r>
            <w:instrText xml:space="preserve"> PAGEREF _Toc24764 </w:instrText>
          </w:r>
          <w:r>
            <w:fldChar w:fldCharType="separate"/>
          </w:r>
          <w:r>
            <w:t>19</w:t>
          </w:r>
          <w:r>
            <w:fldChar w:fldCharType="end"/>
          </w:r>
          <w:r>
            <w:rPr>
              <w:rFonts w:hint="eastAsia" w:ascii="仿宋_GB2312" w:hAnsi="仿宋_GB2312" w:eastAsia="仿宋_GB2312" w:cs="仿宋_GB2312"/>
              <w:szCs w:val="28"/>
            </w:rPr>
            <w:fldChar w:fldCharType="end"/>
          </w:r>
        </w:p>
        <w:p>
          <w:pPr>
            <w:pStyle w:val="11"/>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_Toc4515 </w:instrText>
          </w:r>
          <w:r>
            <w:rPr>
              <w:rFonts w:hint="eastAsia" w:ascii="仿宋_GB2312" w:hAnsi="仿宋_GB2312" w:eastAsia="仿宋_GB2312" w:cs="仿宋_GB2312"/>
              <w:szCs w:val="28"/>
            </w:rP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_Toc4515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_Toc28521 </w:instrText>
          </w:r>
          <w:r>
            <w:rPr>
              <w:rFonts w:hint="eastAsia" w:ascii="仿宋_GB2312" w:hAnsi="仿宋_GB2312" w:eastAsia="仿宋_GB2312" w:cs="仿宋_GB2312"/>
              <w:szCs w:val="28"/>
            </w:rPr>
            <w:fldChar w:fldCharType="separate"/>
          </w:r>
          <w:r>
            <w:rPr>
              <w:rFonts w:hint="eastAsia" w:ascii="仿宋" w:eastAsia="仿宋"/>
              <w:bCs w:val="0"/>
              <w:lang w:eastAsia="zh-CN"/>
            </w:rPr>
            <w:t>一、收入支出决算总表</w:t>
          </w:r>
          <w:r>
            <w:tab/>
          </w:r>
          <w:r>
            <w:fldChar w:fldCharType="begin"/>
          </w:r>
          <w:r>
            <w:instrText xml:space="preserve"> PAGEREF _Toc28521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_Toc11152 </w:instrText>
          </w:r>
          <w:r>
            <w:rPr>
              <w:rFonts w:hint="eastAsia" w:ascii="仿宋_GB2312" w:hAnsi="仿宋_GB2312" w:eastAsia="仿宋_GB2312" w:cs="仿宋_GB2312"/>
              <w:szCs w:val="28"/>
            </w:rPr>
            <w:fldChar w:fldCharType="separate"/>
          </w:r>
          <w:r>
            <w:rPr>
              <w:rFonts w:hint="eastAsia" w:ascii="仿宋" w:eastAsia="仿宋"/>
              <w:bCs w:val="0"/>
              <w:lang w:eastAsia="zh-CN"/>
            </w:rPr>
            <w:t>二、收入决算表</w:t>
          </w:r>
          <w:r>
            <w:tab/>
          </w:r>
          <w:r>
            <w:fldChar w:fldCharType="begin"/>
          </w:r>
          <w:r>
            <w:instrText xml:space="preserve"> PAGEREF _Toc11152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_Toc16865 </w:instrText>
          </w:r>
          <w:r>
            <w:rPr>
              <w:rFonts w:hint="eastAsia" w:ascii="仿宋_GB2312" w:hAnsi="仿宋_GB2312" w:eastAsia="仿宋_GB2312" w:cs="仿宋_GB2312"/>
              <w:szCs w:val="28"/>
            </w:rPr>
            <w:fldChar w:fldCharType="separate"/>
          </w:r>
          <w:r>
            <w:rPr>
              <w:rFonts w:hint="eastAsia" w:ascii="仿宋" w:eastAsia="仿宋"/>
              <w:bCs w:val="0"/>
              <w:lang w:eastAsia="zh-CN"/>
            </w:rPr>
            <w:t>三、支出决算表</w:t>
          </w:r>
          <w:r>
            <w:tab/>
          </w:r>
          <w:r>
            <w:fldChar w:fldCharType="begin"/>
          </w:r>
          <w:r>
            <w:instrText xml:space="preserve"> PAGEREF _Toc16865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_Toc32017 </w:instrText>
          </w:r>
          <w:r>
            <w:rPr>
              <w:rFonts w:hint="eastAsia" w:ascii="仿宋_GB2312" w:hAnsi="仿宋_GB2312" w:eastAsia="仿宋_GB2312" w:cs="仿宋_GB2312"/>
              <w:szCs w:val="28"/>
            </w:rPr>
            <w:fldChar w:fldCharType="separate"/>
          </w:r>
          <w:r>
            <w:rPr>
              <w:rFonts w:hint="eastAsia" w:ascii="仿宋" w:eastAsia="仿宋"/>
              <w:bCs w:val="0"/>
              <w:lang w:eastAsia="zh-CN"/>
            </w:rPr>
            <w:t>四、财政拨款收入支出决算总表</w:t>
          </w:r>
          <w:r>
            <w:tab/>
          </w:r>
          <w:r>
            <w:fldChar w:fldCharType="begin"/>
          </w:r>
          <w:r>
            <w:instrText xml:space="preserve"> PAGEREF _Toc32017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_Toc30156 </w:instrText>
          </w:r>
          <w:r>
            <w:rPr>
              <w:rFonts w:hint="eastAsia" w:ascii="仿宋_GB2312" w:hAnsi="仿宋_GB2312" w:eastAsia="仿宋_GB2312" w:cs="仿宋_GB2312"/>
              <w:szCs w:val="28"/>
            </w:rPr>
            <w:fldChar w:fldCharType="separate"/>
          </w:r>
          <w:r>
            <w:rPr>
              <w:rFonts w:hint="eastAsia" w:ascii="仿宋" w:eastAsia="仿宋"/>
              <w:bCs w:val="0"/>
              <w:lang w:eastAsia="zh-CN"/>
            </w:rPr>
            <w:t>五、财政拨款支出决算明细表</w:t>
          </w:r>
          <w:r>
            <w:tab/>
          </w:r>
          <w:r>
            <w:fldChar w:fldCharType="begin"/>
          </w:r>
          <w:r>
            <w:instrText xml:space="preserve"> PAGEREF _Toc30156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_Toc24232 </w:instrText>
          </w:r>
          <w:r>
            <w:rPr>
              <w:rFonts w:hint="eastAsia" w:ascii="仿宋_GB2312" w:hAnsi="仿宋_GB2312" w:eastAsia="仿宋_GB2312" w:cs="仿宋_GB2312"/>
              <w:szCs w:val="28"/>
            </w:rPr>
            <w:fldChar w:fldCharType="separate"/>
          </w:r>
          <w:r>
            <w:rPr>
              <w:rFonts w:hint="eastAsia" w:ascii="仿宋" w:eastAsia="仿宋"/>
              <w:bCs w:val="0"/>
              <w:lang w:eastAsia="zh-CN"/>
            </w:rPr>
            <w:t>六、一般公共预算财政拨款支出决算表</w:t>
          </w:r>
          <w:r>
            <w:tab/>
          </w:r>
          <w:r>
            <w:fldChar w:fldCharType="begin"/>
          </w:r>
          <w:r>
            <w:instrText xml:space="preserve"> PAGEREF _Toc24232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_Toc29981 </w:instrText>
          </w:r>
          <w:r>
            <w:rPr>
              <w:rFonts w:hint="eastAsia" w:ascii="仿宋_GB2312" w:hAnsi="仿宋_GB2312" w:eastAsia="仿宋_GB2312" w:cs="仿宋_GB2312"/>
              <w:szCs w:val="28"/>
            </w:rPr>
            <w:fldChar w:fldCharType="separate"/>
          </w:r>
          <w:r>
            <w:rPr>
              <w:rFonts w:hint="eastAsia" w:ascii="仿宋" w:eastAsia="仿宋"/>
              <w:bCs w:val="0"/>
              <w:lang w:eastAsia="zh-CN"/>
            </w:rPr>
            <w:t>七、一般公共预算财政拨款支出决算明细表</w:t>
          </w:r>
          <w:r>
            <w:tab/>
          </w:r>
          <w:r>
            <w:fldChar w:fldCharType="begin"/>
          </w:r>
          <w:r>
            <w:instrText xml:space="preserve"> PAGEREF _Toc29981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_Toc8209 </w:instrText>
          </w:r>
          <w:r>
            <w:rPr>
              <w:rFonts w:hint="eastAsia" w:ascii="仿宋_GB2312" w:hAnsi="仿宋_GB2312" w:eastAsia="仿宋_GB2312" w:cs="仿宋_GB2312"/>
              <w:szCs w:val="28"/>
            </w:rPr>
            <w:fldChar w:fldCharType="separate"/>
          </w:r>
          <w:r>
            <w:rPr>
              <w:rFonts w:hint="eastAsia" w:ascii="仿宋" w:eastAsia="仿宋"/>
              <w:bCs w:val="0"/>
              <w:lang w:eastAsia="zh-CN"/>
            </w:rPr>
            <w:t>八、一般公共预算财政拨款基本支出决算表</w:t>
          </w:r>
          <w:r>
            <w:tab/>
          </w:r>
          <w:r>
            <w:fldChar w:fldCharType="begin"/>
          </w:r>
          <w:r>
            <w:instrText xml:space="preserve"> PAGEREF _Toc8209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_Toc28653 </w:instrText>
          </w:r>
          <w:r>
            <w:rPr>
              <w:rFonts w:hint="eastAsia" w:ascii="仿宋_GB2312" w:hAnsi="仿宋_GB2312" w:eastAsia="仿宋_GB2312" w:cs="仿宋_GB2312"/>
              <w:szCs w:val="28"/>
            </w:rPr>
            <w:fldChar w:fldCharType="separate"/>
          </w:r>
          <w:r>
            <w:rPr>
              <w:rFonts w:hint="eastAsia" w:ascii="仿宋" w:eastAsia="仿宋"/>
              <w:bCs w:val="0"/>
              <w:lang w:eastAsia="zh-CN"/>
            </w:rPr>
            <w:t>九、一般公共预算财政拨款项目支出决算表</w:t>
          </w:r>
          <w:r>
            <w:tab/>
          </w:r>
          <w:r>
            <w:fldChar w:fldCharType="begin"/>
          </w:r>
          <w:r>
            <w:instrText xml:space="preserve"> PAGEREF _Toc28653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_Toc31524 </w:instrText>
          </w:r>
          <w:r>
            <w:rPr>
              <w:rFonts w:hint="eastAsia" w:ascii="仿宋_GB2312" w:hAnsi="仿宋_GB2312" w:eastAsia="仿宋_GB2312" w:cs="仿宋_GB2312"/>
              <w:szCs w:val="28"/>
            </w:rPr>
            <w:fldChar w:fldCharType="separate"/>
          </w:r>
          <w:r>
            <w:rPr>
              <w:rFonts w:hint="eastAsia" w:ascii="仿宋" w:eastAsia="仿宋"/>
              <w:bCs w:val="0"/>
              <w:lang w:eastAsia="zh-CN"/>
            </w:rPr>
            <w:t>十、政府性基金预算财政拨款收入支出决算表</w:t>
          </w:r>
          <w:r>
            <w:tab/>
          </w:r>
          <w:r>
            <w:fldChar w:fldCharType="begin"/>
          </w:r>
          <w:r>
            <w:instrText xml:space="preserve"> PAGEREF _Toc31524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_Toc25160 </w:instrText>
          </w:r>
          <w:r>
            <w:rPr>
              <w:rFonts w:hint="eastAsia" w:ascii="仿宋_GB2312" w:hAnsi="仿宋_GB2312" w:eastAsia="仿宋_GB2312" w:cs="仿宋_GB2312"/>
              <w:szCs w:val="28"/>
            </w:rPr>
            <w:fldChar w:fldCharType="separate"/>
          </w:r>
          <w:r>
            <w:rPr>
              <w:rFonts w:hint="eastAsia" w:ascii="仿宋" w:eastAsia="仿宋"/>
              <w:bCs w:val="0"/>
              <w:lang w:eastAsia="zh-CN"/>
            </w:rPr>
            <w:t>十一、国有资本经营预算财政拨款收入支出决算表</w:t>
          </w:r>
          <w:r>
            <w:tab/>
          </w:r>
          <w:r>
            <w:fldChar w:fldCharType="begin"/>
          </w:r>
          <w:r>
            <w:instrText xml:space="preserve"> PAGEREF _Toc25160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_Toc26350 </w:instrText>
          </w:r>
          <w:r>
            <w:rPr>
              <w:rFonts w:hint="eastAsia" w:ascii="仿宋_GB2312" w:hAnsi="仿宋_GB2312" w:eastAsia="仿宋_GB2312" w:cs="仿宋_GB2312"/>
              <w:szCs w:val="28"/>
            </w:rPr>
            <w:fldChar w:fldCharType="separate"/>
          </w:r>
          <w:r>
            <w:rPr>
              <w:rFonts w:hint="eastAsia" w:ascii="仿宋" w:eastAsia="仿宋"/>
              <w:bCs w:val="0"/>
              <w:lang w:eastAsia="zh-CN"/>
            </w:rPr>
            <w:t>十二、国有资本经营预算财政拨款支出决算表</w:t>
          </w:r>
          <w:r>
            <w:tab/>
          </w:r>
          <w:r>
            <w:fldChar w:fldCharType="begin"/>
          </w:r>
          <w:r>
            <w:instrText xml:space="preserve"> PAGEREF _Toc26350 </w:instrText>
          </w:r>
          <w:r>
            <w:fldChar w:fldCharType="separate"/>
          </w:r>
          <w:r>
            <w:t>39</w:t>
          </w:r>
          <w:r>
            <w:fldChar w:fldCharType="end"/>
          </w:r>
          <w:r>
            <w:rPr>
              <w:rFonts w:hint="eastAsia" w:ascii="仿宋_GB2312" w:hAnsi="仿宋_GB2312" w:eastAsia="仿宋_GB2312" w:cs="仿宋_GB2312"/>
              <w:szCs w:val="28"/>
            </w:rPr>
            <w:fldChar w:fldCharType="end"/>
          </w:r>
        </w:p>
        <w:p>
          <w:pPr>
            <w:pStyle w:val="12"/>
            <w:tabs>
              <w:tab w:val="right" w:leader="dot" w:pos="8306"/>
              <w:tab w:val="clear" w:pos="8296"/>
            </w:tabs>
          </w:pPr>
          <w:r>
            <w:rPr>
              <w:rFonts w:hint="eastAsia" w:ascii="仿宋_GB2312" w:hAnsi="仿宋_GB2312" w:eastAsia="仿宋_GB2312" w:cs="仿宋_GB2312"/>
              <w:szCs w:val="28"/>
            </w:rPr>
            <w:fldChar w:fldCharType="begin"/>
          </w:r>
          <w:r>
            <w:rPr>
              <w:rFonts w:hint="eastAsia" w:ascii="仿宋_GB2312" w:hAnsi="仿宋_GB2312" w:eastAsia="仿宋_GB2312" w:cs="仿宋_GB2312"/>
              <w:szCs w:val="28"/>
            </w:rPr>
            <w:instrText xml:space="preserve"> HYPERLINK \l _Toc28025 </w:instrText>
          </w:r>
          <w:r>
            <w:rPr>
              <w:rFonts w:hint="eastAsia" w:ascii="仿宋_GB2312" w:hAnsi="仿宋_GB2312" w:eastAsia="仿宋_GB2312" w:cs="仿宋_GB2312"/>
              <w:szCs w:val="28"/>
            </w:rPr>
            <w:fldChar w:fldCharType="separate"/>
          </w:r>
          <w:r>
            <w:rPr>
              <w:rFonts w:hint="eastAsia" w:ascii="仿宋" w:eastAsia="仿宋"/>
              <w:bCs w:val="0"/>
              <w:lang w:eastAsia="zh-CN"/>
            </w:rPr>
            <w:t>十三、财政拨款“三公”经</w:t>
          </w:r>
          <w:bookmarkStart w:id="102" w:name="_GoBack"/>
          <w:bookmarkEnd w:id="102"/>
          <w:r>
            <w:rPr>
              <w:rFonts w:hint="eastAsia" w:ascii="仿宋" w:eastAsia="仿宋"/>
              <w:bCs w:val="0"/>
              <w:lang w:eastAsia="zh-CN"/>
            </w:rPr>
            <w:t>费支出决算表</w:t>
          </w:r>
          <w:r>
            <w:tab/>
          </w:r>
          <w:r>
            <w:fldChar w:fldCharType="begin"/>
          </w:r>
          <w:r>
            <w:instrText xml:space="preserve"> PAGEREF _Toc28025 </w:instrText>
          </w:r>
          <w:r>
            <w:fldChar w:fldCharType="separate"/>
          </w:r>
          <w:r>
            <w:t>39</w:t>
          </w:r>
          <w:r>
            <w:fldChar w:fldCharType="end"/>
          </w:r>
          <w:r>
            <w:rPr>
              <w:rFonts w:hint="eastAsia" w:ascii="仿宋_GB2312" w:hAnsi="仿宋_GB2312" w:eastAsia="仿宋_GB2312" w:cs="仿宋_GB2312"/>
              <w:szCs w:val="28"/>
            </w:rPr>
            <w:fldChar w:fldCharType="end"/>
          </w:r>
        </w:p>
        <w:p>
          <w:pPr>
            <w:pStyle w:val="3"/>
            <w:keepNext/>
            <w:keepLines/>
            <w:pageBreakBefore w:val="0"/>
            <w:widowControl w:val="0"/>
            <w:kinsoku/>
            <w:wordWrap/>
            <w:overflowPunct/>
            <w:topLinePunct w:val="0"/>
            <w:autoSpaceDE/>
            <w:autoSpaceDN/>
            <w:bidi w:val="0"/>
            <w:adjustRightInd w:val="0"/>
            <w:snapToGrid w:val="0"/>
            <w:spacing w:before="0" w:after="0" w:line="560" w:lineRule="exact"/>
            <w:jc w:val="both"/>
            <w:textAlignment w:val="auto"/>
            <w:outlineLvl w:val="9"/>
            <w:rPr>
              <w:rFonts w:hint="eastAsia" w:ascii="黑体" w:eastAsia="黑体"/>
              <w:b w:val="0"/>
            </w:rPr>
          </w:pPr>
          <w:r>
            <w:rPr>
              <w:rFonts w:hint="eastAsia" w:ascii="仿宋_GB2312" w:hAnsi="仿宋_GB2312" w:eastAsia="仿宋_GB2312" w:cs="仿宋_GB2312"/>
              <w:szCs w:val="28"/>
            </w:rPr>
            <w:fldChar w:fldCharType="end"/>
          </w:r>
        </w:p>
      </w:sdtContent>
    </w:sdt>
    <w:p>
      <w:pPr>
        <w:pStyle w:val="3"/>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outlineLvl w:val="0"/>
        <w:rPr>
          <w:rStyle w:val="19"/>
          <w:rFonts w:ascii="黑体" w:eastAsia="黑体"/>
          <w:b/>
          <w:bCs w:val="0"/>
        </w:rPr>
      </w:pPr>
      <w:bookmarkStart w:id="15" w:name="_Toc19362"/>
      <w:r>
        <w:rPr>
          <w:rFonts w:hint="eastAsia" w:ascii="黑体" w:eastAsia="黑体"/>
          <w:b w:val="0"/>
        </w:rPr>
        <w:t xml:space="preserve">第一部分 </w:t>
      </w:r>
      <w:r>
        <w:rPr>
          <w:rStyle w:val="19"/>
          <w:rFonts w:hint="eastAsia" w:ascii="黑体" w:eastAsia="黑体"/>
          <w:b w:val="0"/>
          <w:bCs w:val="0"/>
        </w:rPr>
        <w:t>部门概况</w:t>
      </w:r>
      <w:bookmarkEnd w:id="13"/>
      <w:bookmarkEnd w:id="14"/>
      <w:bookmarkEnd w:id="15"/>
    </w:p>
    <w:p>
      <w:pPr>
        <w:pStyle w:val="2"/>
        <w:keepNext/>
        <w:keepLines/>
        <w:pageBreakBefore w:val="0"/>
        <w:widowControl w:val="0"/>
        <w:numPr>
          <w:ilvl w:val="0"/>
          <w:numId w:val="1"/>
        </w:numPr>
        <w:kinsoku/>
        <w:wordWrap/>
        <w:overflowPunct/>
        <w:topLinePunct w:val="0"/>
        <w:autoSpaceDE/>
        <w:autoSpaceDN/>
        <w:bidi w:val="0"/>
        <w:adjustRightInd w:val="0"/>
        <w:snapToGrid w:val="0"/>
        <w:spacing w:before="0" w:after="0" w:line="480" w:lineRule="exact"/>
        <w:jc w:val="left"/>
        <w:textAlignment w:val="auto"/>
        <w:outlineLvl w:val="1"/>
        <w:rPr>
          <w:rFonts w:hint="eastAsia" w:ascii="黑体" w:eastAsia="黑体"/>
          <w:b w:val="0"/>
        </w:rPr>
      </w:pPr>
      <w:bookmarkStart w:id="16" w:name="_Toc29459"/>
      <w:r>
        <w:rPr>
          <w:rFonts w:hint="eastAsia" w:ascii="黑体" w:eastAsia="黑体"/>
          <w:b w:val="0"/>
          <w:lang w:eastAsia="zh-CN"/>
        </w:rPr>
        <w:t>职能简介及主要工作完成情况</w:t>
      </w:r>
      <w:bookmarkEnd w:id="16"/>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2"/>
        <w:rPr>
          <w:rFonts w:ascii="仿宋" w:hAnsi="仿宋" w:eastAsia="仿宋"/>
          <w:bCs/>
          <w:color w:val="000000"/>
          <w:sz w:val="32"/>
          <w:szCs w:val="32"/>
        </w:rPr>
      </w:pPr>
      <w:bookmarkStart w:id="17" w:name="_Toc79163603"/>
      <w:bookmarkStart w:id="18" w:name="_Toc28644"/>
      <w:bookmarkStart w:id="19" w:name="_Toc15378445"/>
      <w:bookmarkStart w:id="20" w:name="_Toc15377198"/>
      <w:r>
        <w:rPr>
          <w:rFonts w:hint="eastAsia" w:ascii="仿宋" w:hAnsi="仿宋" w:eastAsia="仿宋"/>
          <w:bCs/>
          <w:color w:val="000000"/>
          <w:sz w:val="32"/>
          <w:szCs w:val="32"/>
        </w:rPr>
        <w:t>（一）主要职能</w:t>
      </w:r>
      <w:bookmarkEnd w:id="17"/>
      <w:bookmarkEnd w:id="18"/>
    </w:p>
    <w:bookmarkEnd w:id="19"/>
    <w:bookmarkEnd w:id="20"/>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5"/>
        <w:keepNext w:val="0"/>
        <w:keepLines w:val="0"/>
        <w:pageBreakBefore w:val="0"/>
        <w:widowControl w:val="0"/>
        <w:kinsoku/>
        <w:wordWrap/>
        <w:overflowPunct/>
        <w:topLinePunct w:val="0"/>
        <w:autoSpaceDE/>
        <w:autoSpaceDN/>
        <w:bidi w:val="0"/>
        <w:adjustRightInd w:val="0"/>
        <w:snapToGrid w:val="0"/>
        <w:spacing w:beforeLines="0" w:line="480" w:lineRule="exact"/>
        <w:ind w:firstLine="640" w:firstLineChars="200"/>
        <w:textAlignment w:val="auto"/>
        <w:outlineLvl w:val="2"/>
        <w:rPr>
          <w:rFonts w:hint="default"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（二）2022年重点工作完成情况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000000"/>
          <w:kern w:val="0"/>
          <w:sz w:val="32"/>
          <w:szCs w:val="32"/>
          <w:lang w:val="en-US" w:eastAsia="zh-CN" w:bidi="ar-SA"/>
        </w:rPr>
        <w:t>1、夯实刑侦工作基础。</w:t>
      </w:r>
      <w:r>
        <w:rPr>
          <w:rFonts w:hint="eastAsia" w:ascii="仿宋_GB2312" w:hAnsi="仿宋_GB2312" w:eastAsia="仿宋_GB2312" w:cs="仿宋_GB2312"/>
          <w:bCs/>
          <w:color w:val="000000"/>
          <w:kern w:val="0"/>
          <w:sz w:val="32"/>
          <w:szCs w:val="32"/>
          <w:lang w:val="en-US" w:eastAsia="zh-CN" w:bidi="ar-SA"/>
        </w:rPr>
        <w:t>2022年，共立各类刑事案件78起，破44起，破案率为56.4%；抓获犯罪嫌疑人99人；抓获在逃人员8人；移送起诉38案65人;挡获被盗机动车44辆，追回被盗牲畜12头/匹，发还被骗资金13万元，为群众换回经济损失约55.67万元；全年共立各类侵财类案件59起，破24起，破案率为40.6%，国家反诈APP注册率达38.5%，全州排名第六。2022年，协助公安部抓获1名涉养老诈骗犯罪嫌疑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000000"/>
          <w:kern w:val="0"/>
          <w:sz w:val="32"/>
          <w:szCs w:val="32"/>
          <w:lang w:val="en-US" w:eastAsia="zh-CN" w:bidi="ar-SA"/>
        </w:rPr>
        <w:t>2、强化治安管理工作。</w:t>
      </w:r>
      <w:r>
        <w:rPr>
          <w:rFonts w:hint="eastAsia" w:ascii="仿宋_GB2312" w:hAnsi="仿宋_GB2312" w:eastAsia="仿宋_GB2312" w:cs="仿宋_GB2312"/>
          <w:bCs/>
          <w:color w:val="000000"/>
          <w:kern w:val="0"/>
          <w:sz w:val="32"/>
          <w:szCs w:val="32"/>
          <w:lang w:val="en-US" w:eastAsia="zh-CN" w:bidi="ar-SA"/>
        </w:rPr>
        <w:t>2022年，全县共办理行政案件214起，加强对“黄、赌、毒”等群众关注、社会影响恶劣的案件的打击查处力度，办理“黄、赌、毒”案件31起，查处违法人员94人。疫情期间办理拒不执行紧急状态下的决定、命令48起，处罚73人；截至目前，全县安装旅店业、未办证留宿场所信息系统112家，人脸识别系统安装98家，采集信息288420条；全县共计盘查车辆96643辆，人员68901人，抓获网逃4人，开展治安清查收缴管制刀具56把；共收缴枪支86支，炮弹1枚，手榴弹2枚，子弹2000发，导火索30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3、推进森林草原防灭火和食药环工作。</w:t>
      </w:r>
      <w:r>
        <w:rPr>
          <w:rFonts w:hint="eastAsia" w:ascii="仿宋_GB2312" w:hAnsi="仿宋_GB2312" w:eastAsia="仿宋_GB2312" w:cs="仿宋_GB2312"/>
          <w:bCs/>
          <w:color w:val="000000"/>
          <w:kern w:val="0"/>
          <w:sz w:val="32"/>
          <w:szCs w:val="32"/>
          <w:lang w:val="en-US" w:eastAsia="zh-CN" w:bidi="ar-SA"/>
        </w:rPr>
        <w:t>共查处违规野外用火案件10件（其中：行政拘留3件3人，行政处罚7件11人）；侦破4起生产、销售不符合安全标准的食品案，查扣死因不明、未取得动物检疫合格证的牛骨8.82吨、牛肉2100斤，抓获犯罪嫌疑人19人（已经移送起诉15人）；侦破了色地“12.02”盗挖泥炭团伙系列案和色地“4.19”盗挖泥炭案，两起案件均为厅督办案件，抓获犯罪嫌疑人5人（已经移送起诉），办理1起非法捕捞水产品案。移送起诉1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4、提升道路交管工作质量。</w:t>
      </w:r>
      <w:r>
        <w:rPr>
          <w:rFonts w:hint="eastAsia" w:ascii="仿宋_GB2312" w:hAnsi="仿宋_GB2312" w:eastAsia="仿宋_GB2312" w:cs="仿宋_GB2312"/>
          <w:bCs/>
          <w:color w:val="000000"/>
          <w:kern w:val="0"/>
          <w:sz w:val="32"/>
          <w:szCs w:val="32"/>
          <w:lang w:val="en-US" w:eastAsia="zh-CN" w:bidi="ar-SA"/>
        </w:rPr>
        <w:t>截至目前，全县共发生简易交通事故644起，一般道路交通事故11起，死亡6人，受伤113人，财产损失96.6万元。共查处各类交通违法行为1.4万起。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5、打赢疫情防控攻坚战。</w:t>
      </w:r>
      <w:r>
        <w:rPr>
          <w:rFonts w:hint="eastAsia" w:ascii="仿宋_GB2312" w:hAnsi="仿宋_GB2312" w:eastAsia="仿宋_GB2312" w:cs="仿宋_GB2312"/>
          <w:bCs/>
          <w:color w:val="000000"/>
          <w:kern w:val="0"/>
          <w:sz w:val="32"/>
          <w:szCs w:val="32"/>
          <w:lang w:val="en-US" w:eastAsia="zh-CN" w:bidi="ar-SA"/>
        </w:rPr>
        <w:t>在2022年我州阿坝县出现疫情反弹的情况下，红原县公安局派出9名警力赴阿坝县25天开展疫情防控增援工作；抽调90名警力在全县45个核酸采集点开展秩序维护工作；派出6名警力深入全县3个集中隔离点开展驻地管控工作；抽调10人组成流调溯源专班，对疫情指挥部下发的流调数据进行核查核实；抽调属地派出所民辅警参与刷经寺、安曲、壤口、瓦切、色地疫情卡点的值班值勤，严格落实对过往车辆、驾乘人员的扫码及询问工作；10月30日，再次派出4名民警2辆警车增援阿坝县大货车转运工作。</w:t>
      </w:r>
    </w:p>
    <w:p>
      <w:pPr>
        <w:pStyle w:val="2"/>
        <w:pageBreakBefore w:val="0"/>
        <w:widowControl w:val="0"/>
        <w:kinsoku/>
        <w:wordWrap/>
        <w:overflowPunct/>
        <w:topLinePunct w:val="0"/>
        <w:autoSpaceDE/>
        <w:autoSpaceDN/>
        <w:bidi w:val="0"/>
        <w:adjustRightInd w:val="0"/>
        <w:snapToGrid w:val="0"/>
        <w:spacing w:before="0" w:after="0" w:line="480" w:lineRule="exact"/>
        <w:ind w:firstLine="0" w:firstLineChars="0"/>
        <w:textAlignment w:val="auto"/>
        <w:rPr>
          <w:rStyle w:val="20"/>
          <w:rFonts w:hint="eastAsia" w:ascii="黑体" w:eastAsia="黑体"/>
          <w:b w:val="0"/>
          <w:bCs w:val="0"/>
        </w:rPr>
      </w:pPr>
      <w:bookmarkStart w:id="21" w:name="_Toc15396601"/>
      <w:bookmarkStart w:id="22" w:name="_Toc15377200"/>
      <w:bookmarkStart w:id="23" w:name="_Toc21154"/>
      <w:r>
        <w:rPr>
          <w:rFonts w:hint="eastAsia" w:ascii="黑体" w:eastAsia="黑体"/>
          <w:b w:val="0"/>
        </w:rPr>
        <w:t>二、机</w:t>
      </w:r>
      <w:r>
        <w:rPr>
          <w:rStyle w:val="20"/>
          <w:rFonts w:hint="eastAsia" w:ascii="黑体" w:eastAsia="黑体"/>
          <w:b w:val="0"/>
          <w:bCs w:val="0"/>
        </w:rPr>
        <w:t>构设置</w:t>
      </w:r>
      <w:bookmarkEnd w:id="21"/>
      <w:bookmarkEnd w:id="22"/>
      <w:r>
        <w:rPr>
          <w:rStyle w:val="20"/>
          <w:rFonts w:hint="eastAsia" w:ascii="黑体" w:eastAsia="黑体"/>
          <w:b w:val="0"/>
          <w:bCs w:val="0"/>
        </w:rPr>
        <w:t>及人员概况</w:t>
      </w:r>
      <w:bookmarkEnd w:id="23"/>
    </w:p>
    <w:p>
      <w:pPr>
        <w:pStyle w:val="5"/>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pPr>
      <w:r>
        <w:rPr>
          <w:rFonts w:hint="eastAsia"/>
          <w:sz w:val="32"/>
          <w:szCs w:val="32"/>
          <w:lang w:eastAsia="zh-CN"/>
        </w:rPr>
        <w:t>红原县公安局机关由</w:t>
      </w:r>
      <w:r>
        <w:rPr>
          <w:rFonts w:hint="eastAsia"/>
          <w:sz w:val="32"/>
          <w:szCs w:val="32"/>
          <w:lang w:val="en-US" w:eastAsia="zh-CN"/>
        </w:rPr>
        <w:t>29</w:t>
      </w:r>
      <w:r>
        <w:rPr>
          <w:rFonts w:hint="eastAsia"/>
          <w:sz w:val="32"/>
          <w:szCs w:val="32"/>
        </w:rPr>
        <w:t>个</w:t>
      </w:r>
      <w:r>
        <w:rPr>
          <w:rFonts w:hint="eastAsia"/>
          <w:sz w:val="32"/>
          <w:szCs w:val="32"/>
          <w:lang w:eastAsia="zh-CN"/>
        </w:rPr>
        <w:t>内设机构组成</w:t>
      </w:r>
      <w:r>
        <w:rPr>
          <w:rFonts w:hint="eastAsia"/>
          <w:sz w:val="32"/>
          <w:szCs w:val="32"/>
        </w:rPr>
        <w:t>，</w:t>
      </w:r>
      <w:r>
        <w:rPr>
          <w:rFonts w:hint="eastAsia"/>
          <w:sz w:val="32"/>
          <w:szCs w:val="32"/>
          <w:lang w:eastAsia="zh-CN"/>
        </w:rPr>
        <w:t>包括指挥中心、政工室、法制大队、政治安全保卫大队、刑事侦查大队等工作部门。</w:t>
      </w:r>
    </w:p>
    <w:p>
      <w:pPr>
        <w:pStyle w:val="5"/>
        <w:adjustRightInd w:val="0"/>
        <w:snapToGrid w:val="0"/>
        <w:spacing w:before="93" w:line="600" w:lineRule="exact"/>
        <w:ind w:firstLine="672" w:firstLineChars="210"/>
        <w:outlineLvl w:val="9"/>
        <w:rPr>
          <w:rFonts w:hint="eastAsia" w:ascii="仿宋_GB2312" w:hAnsi="仿宋_GB2312" w:eastAsia="仿宋_GB2312" w:cs="仿宋_GB2312"/>
          <w:bCs/>
          <w:color w:val="000000"/>
          <w:sz w:val="32"/>
          <w:szCs w:val="32"/>
          <w:lang w:val="zh-CN" w:eastAsia="zh-CN"/>
        </w:rPr>
      </w:pPr>
      <w:bookmarkStart w:id="24" w:name="_Toc15396602"/>
      <w:bookmarkStart w:id="25" w:name="_Toc15377204"/>
      <w:r>
        <w:rPr>
          <w:rFonts w:hint="eastAsia" w:ascii="仿宋_GB2312" w:hAnsi="仿宋_GB2312" w:eastAsia="仿宋_GB2312" w:cs="仿宋_GB2312"/>
          <w:bCs/>
          <w:color w:val="000000"/>
          <w:sz w:val="32"/>
          <w:szCs w:val="32"/>
          <w:lang w:val="en-US" w:eastAsia="zh-CN"/>
        </w:rPr>
        <w:t>我单位为独立核算全额拨款行政单位。</w:t>
      </w:r>
      <w:r>
        <w:rPr>
          <w:rFonts w:hint="eastAsia" w:hAnsi="仿宋_GB2312" w:cs="仿宋_GB2312"/>
          <w:bCs/>
          <w:color w:val="000000"/>
          <w:sz w:val="32"/>
          <w:szCs w:val="32"/>
          <w:lang w:val="en-US" w:eastAsia="zh-CN"/>
        </w:rPr>
        <w:t>截至</w:t>
      </w:r>
      <w:r>
        <w:rPr>
          <w:rFonts w:hint="eastAsia" w:ascii="仿宋_GB2312" w:hAnsi="仿宋_GB2312" w:eastAsia="仿宋_GB2312" w:cs="仿宋_GB2312"/>
          <w:bCs/>
          <w:color w:val="000000"/>
          <w:sz w:val="32"/>
          <w:szCs w:val="32"/>
          <w:lang w:val="en-US" w:eastAsia="zh-CN"/>
        </w:rPr>
        <w:t>2021年底我单位共有编制181个，其中公务员编制172个，行政工勤编制9个，在职</w:t>
      </w:r>
      <w:r>
        <w:rPr>
          <w:rFonts w:hint="eastAsia" w:hAnsi="仿宋_GB2312" w:cs="仿宋_GB2312"/>
          <w:bCs/>
          <w:color w:val="000000"/>
          <w:sz w:val="32"/>
          <w:szCs w:val="32"/>
          <w:lang w:val="en-US" w:eastAsia="zh-CN"/>
        </w:rPr>
        <w:t>175</w:t>
      </w:r>
      <w:r>
        <w:rPr>
          <w:rFonts w:hint="eastAsia" w:ascii="仿宋_GB2312" w:hAnsi="仿宋_GB2312" w:eastAsia="仿宋_GB2312" w:cs="仿宋_GB2312"/>
          <w:bCs/>
          <w:color w:val="000000"/>
          <w:sz w:val="32"/>
          <w:szCs w:val="32"/>
          <w:lang w:val="en-US" w:eastAsia="zh-CN"/>
        </w:rPr>
        <w:t>人，其中公务员</w:t>
      </w:r>
      <w:r>
        <w:rPr>
          <w:rFonts w:hint="eastAsia" w:hAnsi="仿宋_GB2312" w:cs="仿宋_GB2312"/>
          <w:bCs/>
          <w:color w:val="000000"/>
          <w:sz w:val="32"/>
          <w:szCs w:val="32"/>
          <w:lang w:val="en-US" w:eastAsia="zh-CN"/>
        </w:rPr>
        <w:t>165</w:t>
      </w:r>
      <w:r>
        <w:rPr>
          <w:rFonts w:hint="eastAsia" w:ascii="仿宋_GB2312" w:hAnsi="仿宋_GB2312" w:eastAsia="仿宋_GB2312" w:cs="仿宋_GB2312"/>
          <w:bCs/>
          <w:color w:val="000000"/>
          <w:sz w:val="32"/>
          <w:szCs w:val="32"/>
          <w:lang w:val="en-US" w:eastAsia="zh-CN"/>
        </w:rPr>
        <w:t>人，行政工勤</w:t>
      </w:r>
      <w:r>
        <w:rPr>
          <w:rFonts w:hint="eastAsia" w:hAnsi="仿宋_GB2312" w:cs="仿宋_GB2312"/>
          <w:bCs/>
          <w:color w:val="000000"/>
          <w:sz w:val="32"/>
          <w:szCs w:val="32"/>
          <w:lang w:val="en-US" w:eastAsia="zh-CN"/>
        </w:rPr>
        <w:t>10</w:t>
      </w:r>
      <w:r>
        <w:rPr>
          <w:rFonts w:hint="eastAsia" w:ascii="仿宋_GB2312" w:hAnsi="仿宋_GB2312" w:eastAsia="仿宋_GB2312" w:cs="仿宋_GB2312"/>
          <w:bCs/>
          <w:color w:val="000000"/>
          <w:sz w:val="32"/>
          <w:szCs w:val="32"/>
          <w:lang w:val="en-US" w:eastAsia="zh-CN"/>
        </w:rPr>
        <w:t>人。</w:t>
      </w:r>
    </w:p>
    <w:p>
      <w:pPr>
        <w:pStyle w:val="5"/>
        <w:jc w:val="center"/>
        <w:rPr>
          <w:rFonts w:hint="eastAsia"/>
        </w:rPr>
      </w:pPr>
    </w:p>
    <w:p>
      <w:pPr>
        <w:pStyle w:val="3"/>
        <w:pageBreakBefore w:val="0"/>
        <w:widowControl w:val="0"/>
        <w:kinsoku/>
        <w:wordWrap/>
        <w:overflowPunct/>
        <w:topLinePunct w:val="0"/>
        <w:autoSpaceDE/>
        <w:autoSpaceDN/>
        <w:bidi w:val="0"/>
        <w:adjustRightInd w:val="0"/>
        <w:snapToGrid w:val="0"/>
        <w:spacing w:before="0" w:after="0" w:line="560" w:lineRule="exact"/>
        <w:ind w:left="0" w:right="0" w:firstLine="0" w:firstLineChars="0"/>
        <w:jc w:val="center"/>
        <w:textAlignment w:val="auto"/>
        <w:outlineLvl w:val="0"/>
        <w:rPr>
          <w:rStyle w:val="19"/>
          <w:rFonts w:ascii="黑体" w:eastAsia="黑体"/>
          <w:b w:val="0"/>
          <w:bCs/>
        </w:rPr>
      </w:pPr>
      <w:bookmarkStart w:id="26" w:name="_Toc24960"/>
      <w:r>
        <w:rPr>
          <w:rFonts w:hint="eastAsia" w:ascii="黑体" w:eastAsia="黑体"/>
          <w:b w:val="0"/>
        </w:rPr>
        <w:t>第二部分 2022年度</w:t>
      </w:r>
      <w:r>
        <w:rPr>
          <w:rStyle w:val="19"/>
          <w:rFonts w:hint="eastAsia" w:ascii="黑体" w:eastAsia="黑体"/>
          <w:b w:val="0"/>
          <w:bCs/>
        </w:rPr>
        <w:t>部门决算情况说明</w:t>
      </w:r>
      <w:bookmarkEnd w:id="24"/>
      <w:bookmarkEnd w:id="25"/>
      <w:bookmarkEnd w:id="26"/>
    </w:p>
    <w:p>
      <w:pPr>
        <w:pStyle w:val="25"/>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0" w:firstLineChars="0"/>
        <w:jc w:val="left"/>
        <w:textAlignment w:val="auto"/>
        <w:outlineLvl w:val="1"/>
        <w:rPr>
          <w:rStyle w:val="20"/>
          <w:rFonts w:ascii="黑体" w:eastAsia="黑体"/>
          <w:b w:val="0"/>
        </w:rPr>
      </w:pPr>
      <w:bookmarkStart w:id="27" w:name="_Toc15377205"/>
      <w:bookmarkStart w:id="28" w:name="_Toc15396603"/>
      <w:bookmarkStart w:id="29" w:name="_Toc24249"/>
      <w:r>
        <w:rPr>
          <w:rFonts w:hint="eastAsia" w:ascii="黑体" w:eastAsia="黑体"/>
          <w:sz w:val="32"/>
          <w:szCs w:val="32"/>
          <w:lang w:eastAsia="zh-CN"/>
        </w:rPr>
        <w:t>一、</w:t>
      </w:r>
      <w:r>
        <w:rPr>
          <w:rFonts w:hint="eastAsia" w:ascii="黑体" w:eastAsia="黑体"/>
          <w:sz w:val="32"/>
          <w:szCs w:val="32"/>
        </w:rPr>
        <w:t>收</w:t>
      </w:r>
      <w:r>
        <w:rPr>
          <w:rStyle w:val="20"/>
          <w:rFonts w:hint="eastAsia" w:ascii="黑体" w:eastAsia="黑体"/>
          <w:b w:val="0"/>
        </w:rPr>
        <w:t>入支出决算总体情况说明</w:t>
      </w:r>
      <w:bookmarkEnd w:id="27"/>
      <w:bookmarkEnd w:id="28"/>
      <w:bookmarkEnd w:id="29"/>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outlineLvl w:val="9"/>
        <w:rPr>
          <w:rFonts w:hint="eastAsia" w:ascii="仿宋" w:eastAsia="仿宋"/>
          <w:sz w:val="32"/>
          <w:szCs w:val="32"/>
        </w:rPr>
      </w:pPr>
      <w:r>
        <w:rPr>
          <w:rFonts w:hint="eastAsia" w:ascii="仿宋" w:eastAsia="仿宋"/>
          <w:sz w:val="32"/>
          <w:szCs w:val="32"/>
        </w:rPr>
        <w:t>2022年度收、支总计</w:t>
      </w:r>
      <w:r>
        <w:rPr>
          <w:rFonts w:hint="eastAsia" w:ascii="仿宋" w:eastAsia="仿宋"/>
          <w:sz w:val="32"/>
          <w:szCs w:val="32"/>
          <w:lang w:val="en-US" w:eastAsia="zh-CN"/>
        </w:rPr>
        <w:t>8,402.7</w:t>
      </w:r>
      <w:r>
        <w:rPr>
          <w:rFonts w:hint="eastAsia" w:ascii="仿宋" w:eastAsia="仿宋"/>
          <w:sz w:val="32"/>
          <w:szCs w:val="32"/>
        </w:rPr>
        <w:t>万元。与2021年相比，收、支总计增加</w:t>
      </w:r>
      <w:r>
        <w:rPr>
          <w:rFonts w:hint="eastAsia" w:ascii="仿宋" w:eastAsia="仿宋"/>
          <w:sz w:val="32"/>
          <w:szCs w:val="32"/>
          <w:lang w:val="en-US" w:eastAsia="zh-CN"/>
        </w:rPr>
        <w:t>449.9</w:t>
      </w:r>
      <w:r>
        <w:rPr>
          <w:rFonts w:hint="eastAsia" w:ascii="仿宋" w:eastAsia="仿宋"/>
          <w:sz w:val="32"/>
          <w:szCs w:val="32"/>
        </w:rPr>
        <w:t>万元，增长</w:t>
      </w:r>
      <w:r>
        <w:rPr>
          <w:rFonts w:hint="eastAsia" w:ascii="仿宋" w:eastAsia="仿宋"/>
          <w:sz w:val="32"/>
          <w:szCs w:val="32"/>
          <w:lang w:val="en-US" w:eastAsia="zh-CN"/>
        </w:rPr>
        <w:t>5.66</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工资上涨</w:t>
      </w:r>
      <w:r>
        <w:rPr>
          <w:rFonts w:hint="eastAsia" w:ascii="仿宋" w:eastAsia="仿宋"/>
          <w:sz w:val="32"/>
          <w:szCs w:val="32"/>
        </w:rPr>
        <w:t>。</w:t>
      </w:r>
    </w:p>
    <w:p>
      <w:pPr>
        <w:pStyle w:val="5"/>
        <w:rPr>
          <w:rFonts w:hint="eastAsia"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645160</wp:posOffset>
            </wp:positionH>
            <wp:positionV relativeFrom="paragraph">
              <wp:posOffset>107950</wp:posOffset>
            </wp:positionV>
            <wp:extent cx="3706495" cy="2322830"/>
            <wp:effectExtent l="4445" t="4445" r="22860" b="1587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5"/>
        <w:rPr>
          <w:rFonts w:hint="eastAsia" w:ascii="仿宋" w:eastAsia="仿宋"/>
          <w:sz w:val="32"/>
          <w:szCs w:val="32"/>
        </w:rPr>
      </w:pPr>
    </w:p>
    <w:p>
      <w:pPr>
        <w:pStyle w:val="5"/>
        <w:rPr>
          <w:rFonts w:hint="eastAsia" w:ascii="仿宋" w:eastAsia="仿宋"/>
          <w:sz w:val="32"/>
          <w:szCs w:val="32"/>
        </w:rPr>
      </w:pPr>
    </w:p>
    <w:p>
      <w:pPr>
        <w:pStyle w:val="5"/>
        <w:rPr>
          <w:rFonts w:hint="eastAsia" w:ascii="仿宋" w:eastAsia="仿宋"/>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 w:eastAsia="仿宋"/>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 w:eastAsia="仿宋"/>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1280" w:firstLineChars="400"/>
        <w:jc w:val="both"/>
        <w:textAlignment w:val="auto"/>
        <w:outlineLvl w:val="9"/>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25"/>
        <w:pageBreakBefore w:val="0"/>
        <w:numPr>
          <w:ilvl w:val="0"/>
          <w:numId w:val="0"/>
        </w:numPr>
        <w:kinsoku/>
        <w:wordWrap/>
        <w:overflowPunct/>
        <w:topLinePunct w:val="0"/>
        <w:bidi w:val="0"/>
        <w:adjustRightInd w:val="0"/>
        <w:snapToGrid w:val="0"/>
        <w:spacing w:line="560" w:lineRule="exact"/>
        <w:textAlignment w:val="auto"/>
        <w:outlineLvl w:val="1"/>
        <w:rPr>
          <w:rStyle w:val="20"/>
          <w:rFonts w:ascii="黑体" w:eastAsia="黑体"/>
          <w:b w:val="0"/>
        </w:rPr>
      </w:pPr>
      <w:bookmarkStart w:id="30" w:name="_Toc15377206"/>
      <w:bookmarkStart w:id="31" w:name="_Toc15396604"/>
      <w:bookmarkStart w:id="32" w:name="_Toc4677"/>
      <w:r>
        <w:rPr>
          <w:rFonts w:hint="eastAsia" w:ascii="黑体" w:eastAsia="黑体"/>
          <w:sz w:val="32"/>
          <w:szCs w:val="32"/>
          <w:lang w:eastAsia="zh-CN"/>
        </w:rPr>
        <w:t>二、</w:t>
      </w:r>
      <w:r>
        <w:rPr>
          <w:rFonts w:hint="eastAsia" w:ascii="黑体" w:eastAsia="黑体"/>
          <w:sz w:val="32"/>
          <w:szCs w:val="32"/>
        </w:rPr>
        <w:t>收</w:t>
      </w:r>
      <w:r>
        <w:rPr>
          <w:rStyle w:val="20"/>
          <w:rFonts w:hint="eastAsia" w:ascii="黑体" w:eastAsia="黑体"/>
          <w:b w:val="0"/>
        </w:rPr>
        <w:t>入决算情况说明</w:t>
      </w:r>
      <w:bookmarkEnd w:id="30"/>
      <w:bookmarkEnd w:id="31"/>
      <w:bookmarkEnd w:id="32"/>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outlineLvl w:val="9"/>
        <w:rPr>
          <w:rFonts w:ascii="仿宋" w:eastAsia="仿宋"/>
          <w:sz w:val="32"/>
          <w:szCs w:val="32"/>
        </w:rPr>
      </w:pPr>
      <w:r>
        <w:rPr>
          <w:rFonts w:ascii="仿宋" w:eastAsia="仿宋"/>
          <w:sz w:val="32"/>
          <w:szCs w:val="32"/>
        </w:rPr>
        <w:t>20</w:t>
      </w:r>
      <w:r>
        <w:rPr>
          <w:rFonts w:hint="eastAsia" w:ascii="仿宋" w:eastAsia="仿宋"/>
          <w:sz w:val="32"/>
          <w:szCs w:val="32"/>
        </w:rPr>
        <w:t>22年本年收入合计</w:t>
      </w:r>
      <w:r>
        <w:rPr>
          <w:rFonts w:hint="eastAsia" w:ascii="仿宋" w:eastAsia="仿宋"/>
          <w:sz w:val="32"/>
          <w:szCs w:val="32"/>
          <w:lang w:val="en-US" w:eastAsia="zh-CN"/>
        </w:rPr>
        <w:t>8,402.7</w:t>
      </w:r>
      <w:r>
        <w:rPr>
          <w:rFonts w:hint="eastAsia" w:ascii="仿宋" w:eastAsia="仿宋"/>
          <w:sz w:val="32"/>
          <w:szCs w:val="32"/>
        </w:rPr>
        <w:t>万元，其中：一般公共预算财政拨款收入8</w:t>
      </w:r>
      <w:r>
        <w:rPr>
          <w:rFonts w:hint="eastAsia" w:ascii="仿宋" w:eastAsia="仿宋"/>
          <w:sz w:val="32"/>
          <w:szCs w:val="32"/>
          <w:lang w:val="en-US" w:eastAsia="zh-CN"/>
        </w:rPr>
        <w:t>,</w:t>
      </w:r>
      <w:r>
        <w:rPr>
          <w:rFonts w:hint="eastAsia" w:ascii="仿宋" w:eastAsia="仿宋"/>
          <w:sz w:val="32"/>
          <w:szCs w:val="32"/>
        </w:rPr>
        <w:t>355.62万元，占</w:t>
      </w:r>
      <w:r>
        <w:rPr>
          <w:rFonts w:hint="eastAsia" w:ascii="仿宋" w:eastAsia="仿宋"/>
          <w:sz w:val="32"/>
          <w:szCs w:val="32"/>
          <w:lang w:val="en-US" w:eastAsia="zh-CN"/>
        </w:rPr>
        <w:t>99.44</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；其他收入47.08万元，占</w:t>
      </w:r>
      <w:r>
        <w:rPr>
          <w:rFonts w:hint="eastAsia" w:ascii="仿宋" w:eastAsia="仿宋"/>
          <w:sz w:val="32"/>
          <w:szCs w:val="32"/>
          <w:lang w:val="en-US" w:eastAsia="zh-CN"/>
        </w:rPr>
        <w:t>0.56</w:t>
      </w:r>
      <w:r>
        <w:rPr>
          <w:rFonts w:ascii="仿宋" w:eastAsia="仿宋"/>
          <w:sz w:val="32"/>
          <w:szCs w:val="32"/>
        </w:rPr>
        <w:t>%</w:t>
      </w:r>
      <w:r>
        <w:rPr>
          <w:rFonts w:hint="eastAsia" w:ascii="仿宋"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outlineLvl w:val="9"/>
        <w:rPr>
          <w:rFonts w:ascii="仿宋" w:eastAsia="仿宋"/>
          <w:sz w:val="32"/>
          <w:szCs w:val="32"/>
        </w:rPr>
      </w:pPr>
      <w:r>
        <w:rPr>
          <w:rFonts w:hint="eastAsia" w:eastAsia="仿宋_GB2312"/>
          <w:lang w:eastAsia="zh-CN"/>
        </w:rPr>
        <w:drawing>
          <wp:anchor distT="0" distB="0" distL="114300" distR="114300" simplePos="0" relativeHeight="251662336" behindDoc="0" locked="0" layoutInCell="1" allowOverlap="1">
            <wp:simplePos x="0" y="0"/>
            <wp:positionH relativeFrom="column">
              <wp:posOffset>727710</wp:posOffset>
            </wp:positionH>
            <wp:positionV relativeFrom="paragraph">
              <wp:posOffset>65405</wp:posOffset>
            </wp:positionV>
            <wp:extent cx="4178935" cy="2204085"/>
            <wp:effectExtent l="5080" t="5080" r="6985" b="1968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5"/>
        <w:rPr>
          <w:rFonts w:ascii="仿宋" w:eastAsia="仿宋"/>
          <w:sz w:val="32"/>
          <w:szCs w:val="32"/>
        </w:rPr>
      </w:pPr>
    </w:p>
    <w:p>
      <w:pPr>
        <w:pStyle w:val="5"/>
        <w:rPr>
          <w:rFonts w:ascii="仿宋" w:eastAsia="仿宋"/>
          <w:sz w:val="32"/>
          <w:szCs w:val="32"/>
        </w:rPr>
      </w:pPr>
    </w:p>
    <w:p>
      <w:pPr>
        <w:pStyle w:val="5"/>
        <w:rPr>
          <w:rFonts w:ascii="仿宋" w:eastAsia="仿宋"/>
          <w:sz w:val="32"/>
          <w:szCs w:val="32"/>
        </w:rPr>
      </w:pPr>
    </w:p>
    <w:p>
      <w:pPr>
        <w:pageBreakBefore w:val="0"/>
        <w:kinsoku/>
        <w:wordWrap/>
        <w:overflowPunct/>
        <w:topLinePunct w:val="0"/>
        <w:bidi w:val="0"/>
        <w:adjustRightInd w:val="0"/>
        <w:snapToGrid w:val="0"/>
        <w:spacing w:line="560" w:lineRule="exact"/>
        <w:ind w:firstLine="640" w:firstLineChars="200"/>
        <w:jc w:val="center"/>
        <w:textAlignment w:val="auto"/>
        <w:outlineLvl w:val="9"/>
        <w:rPr>
          <w:rFonts w:ascii="仿宋" w:eastAsia="仿宋"/>
          <w:sz w:val="32"/>
          <w:szCs w:val="32"/>
        </w:rPr>
      </w:pPr>
      <w:r>
        <w:rPr>
          <w:rFonts w:hint="eastAsia" w:ascii="仿宋" w:eastAsia="仿宋"/>
          <w:sz w:val="32"/>
          <w:szCs w:val="32"/>
        </w:rPr>
        <w:t>（图2：收入决算结构图）</w:t>
      </w:r>
    </w:p>
    <w:p>
      <w:pPr>
        <w:pStyle w:val="25"/>
        <w:pageBreakBefore w:val="0"/>
        <w:numPr>
          <w:ilvl w:val="0"/>
          <w:numId w:val="0"/>
        </w:numPr>
        <w:kinsoku/>
        <w:wordWrap/>
        <w:overflowPunct/>
        <w:topLinePunct w:val="0"/>
        <w:bidi w:val="0"/>
        <w:adjustRightInd w:val="0"/>
        <w:snapToGrid w:val="0"/>
        <w:spacing w:line="560" w:lineRule="exact"/>
        <w:textAlignment w:val="auto"/>
        <w:outlineLvl w:val="1"/>
        <w:rPr>
          <w:rStyle w:val="20"/>
          <w:rFonts w:ascii="黑体" w:eastAsia="黑体"/>
          <w:b w:val="0"/>
        </w:rPr>
      </w:pPr>
      <w:bookmarkStart w:id="33" w:name="_Toc15377207"/>
      <w:bookmarkStart w:id="34" w:name="_Toc15396605"/>
      <w:bookmarkStart w:id="35" w:name="_Toc15335"/>
      <w:r>
        <w:rPr>
          <w:rFonts w:hint="eastAsia" w:ascii="黑体" w:eastAsia="黑体"/>
          <w:sz w:val="32"/>
          <w:szCs w:val="32"/>
          <w:lang w:eastAsia="zh-CN"/>
        </w:rPr>
        <w:t>三、</w:t>
      </w:r>
      <w:r>
        <w:rPr>
          <w:rFonts w:hint="eastAsia" w:ascii="黑体" w:eastAsia="黑体"/>
          <w:sz w:val="32"/>
          <w:szCs w:val="32"/>
        </w:rPr>
        <w:t>支</w:t>
      </w:r>
      <w:r>
        <w:rPr>
          <w:rStyle w:val="20"/>
          <w:rFonts w:hint="eastAsia" w:ascii="黑体" w:eastAsia="黑体"/>
          <w:b w:val="0"/>
        </w:rPr>
        <w:t>出决算情况说明</w:t>
      </w:r>
      <w:bookmarkEnd w:id="33"/>
      <w:bookmarkEnd w:id="34"/>
      <w:bookmarkEnd w:id="35"/>
    </w:p>
    <w:p>
      <w:pPr>
        <w:pageBreakBefore w:val="0"/>
        <w:kinsoku/>
        <w:wordWrap/>
        <w:overflowPunct/>
        <w:topLinePunct w:val="0"/>
        <w:bidi w:val="0"/>
        <w:adjustRightInd w:val="0"/>
        <w:snapToGrid w:val="0"/>
        <w:spacing w:line="560" w:lineRule="exact"/>
        <w:ind w:firstLine="640" w:firstLineChars="200"/>
        <w:textAlignment w:val="auto"/>
        <w:outlineLvl w:val="9"/>
        <w:rPr>
          <w:rFonts w:ascii="仿宋" w:eastAsia="仿宋"/>
          <w:sz w:val="32"/>
          <w:szCs w:val="32"/>
        </w:rPr>
      </w:pPr>
      <w:r>
        <w:rPr>
          <w:rFonts w:ascii="仿宋" w:eastAsia="仿宋"/>
          <w:sz w:val="32"/>
          <w:szCs w:val="32"/>
        </w:rPr>
        <w:t>20</w:t>
      </w:r>
      <w:r>
        <w:rPr>
          <w:rFonts w:hint="eastAsia" w:ascii="仿宋" w:eastAsia="仿宋"/>
          <w:sz w:val="32"/>
          <w:szCs w:val="32"/>
        </w:rPr>
        <w:t>22年本年支出合计</w:t>
      </w:r>
      <w:r>
        <w:rPr>
          <w:rFonts w:hint="eastAsia" w:ascii="仿宋" w:eastAsia="仿宋"/>
          <w:sz w:val="32"/>
          <w:szCs w:val="32"/>
          <w:lang w:val="en-US" w:eastAsia="zh-CN"/>
        </w:rPr>
        <w:t>8,402.7</w:t>
      </w:r>
      <w:r>
        <w:rPr>
          <w:rFonts w:hint="eastAsia" w:ascii="仿宋" w:eastAsia="仿宋"/>
          <w:sz w:val="32"/>
          <w:szCs w:val="32"/>
        </w:rPr>
        <w:t>万元，其中：基本支出5</w:t>
      </w:r>
      <w:r>
        <w:rPr>
          <w:rFonts w:hint="eastAsia" w:ascii="仿宋" w:eastAsia="仿宋"/>
          <w:sz w:val="32"/>
          <w:szCs w:val="32"/>
          <w:lang w:val="en-US" w:eastAsia="zh-CN"/>
        </w:rPr>
        <w:t>,</w:t>
      </w:r>
      <w:r>
        <w:rPr>
          <w:rFonts w:hint="eastAsia" w:ascii="仿宋" w:eastAsia="仿宋"/>
          <w:sz w:val="32"/>
          <w:szCs w:val="32"/>
        </w:rPr>
        <w:t>996.62万元，占</w:t>
      </w:r>
      <w:r>
        <w:rPr>
          <w:rFonts w:hint="eastAsia" w:ascii="仿宋" w:eastAsia="仿宋"/>
          <w:sz w:val="32"/>
          <w:szCs w:val="32"/>
          <w:lang w:val="en-US" w:eastAsia="zh-CN"/>
        </w:rPr>
        <w:t>71.37</w:t>
      </w:r>
      <w:r>
        <w:rPr>
          <w:rFonts w:ascii="仿宋" w:eastAsia="仿宋"/>
          <w:sz w:val="32"/>
          <w:szCs w:val="32"/>
        </w:rPr>
        <w:t>%</w:t>
      </w:r>
      <w:r>
        <w:rPr>
          <w:rFonts w:hint="eastAsia" w:ascii="仿宋" w:eastAsia="仿宋"/>
          <w:sz w:val="32"/>
          <w:szCs w:val="32"/>
        </w:rPr>
        <w:t>；项目支出2</w:t>
      </w:r>
      <w:r>
        <w:rPr>
          <w:rFonts w:hint="eastAsia" w:ascii="仿宋" w:eastAsia="仿宋"/>
          <w:sz w:val="32"/>
          <w:szCs w:val="32"/>
          <w:lang w:val="en-US" w:eastAsia="zh-CN"/>
        </w:rPr>
        <w:t>,</w:t>
      </w:r>
      <w:r>
        <w:rPr>
          <w:rFonts w:hint="eastAsia" w:ascii="仿宋" w:eastAsia="仿宋"/>
          <w:sz w:val="32"/>
          <w:szCs w:val="32"/>
        </w:rPr>
        <w:t>406.08万元，占</w:t>
      </w:r>
      <w:r>
        <w:rPr>
          <w:rFonts w:hint="eastAsia" w:ascii="仿宋" w:eastAsia="仿宋"/>
          <w:sz w:val="32"/>
          <w:szCs w:val="32"/>
          <w:lang w:val="en-US" w:eastAsia="zh-CN"/>
        </w:rPr>
        <w:t>28.63</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adjustRightInd w:val="0"/>
        <w:snapToGrid w:val="0"/>
        <w:spacing w:line="560" w:lineRule="exact"/>
        <w:ind w:firstLine="640"/>
        <w:jc w:val="center"/>
        <w:textAlignment w:val="auto"/>
        <w:outlineLvl w:val="9"/>
        <w:rPr>
          <w:rFonts w:ascii="仿宋" w:eastAsia="仿宋"/>
          <w:sz w:val="32"/>
          <w:szCs w:val="32"/>
        </w:rPr>
      </w:pPr>
      <w:r>
        <w:rPr>
          <w:rFonts w:hint="eastAsia"/>
          <w:lang w:eastAsia="zh-CN"/>
        </w:rPr>
        <w:drawing>
          <wp:anchor distT="0" distB="0" distL="114300" distR="114300" simplePos="0" relativeHeight="251666432" behindDoc="0" locked="0" layoutInCell="1" allowOverlap="1">
            <wp:simplePos x="0" y="0"/>
            <wp:positionH relativeFrom="column">
              <wp:posOffset>1088390</wp:posOffset>
            </wp:positionH>
            <wp:positionV relativeFrom="paragraph">
              <wp:posOffset>78105</wp:posOffset>
            </wp:positionV>
            <wp:extent cx="3250565" cy="1598295"/>
            <wp:effectExtent l="4445" t="4445" r="21590" b="1651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sz w:val="32"/>
          <w:szCs w:val="32"/>
        </w:rPr>
        <w:t>（图3：支出决算结构图）</w:t>
      </w:r>
    </w:p>
    <w:p>
      <w:pPr>
        <w:pageBreakBefore w:val="0"/>
        <w:kinsoku/>
        <w:wordWrap/>
        <w:overflowPunct/>
        <w:topLinePunct w:val="0"/>
        <w:bidi w:val="0"/>
        <w:adjustRightInd w:val="0"/>
        <w:snapToGrid w:val="0"/>
        <w:spacing w:line="560" w:lineRule="exact"/>
        <w:textAlignment w:val="auto"/>
        <w:outlineLvl w:val="1"/>
        <w:rPr>
          <w:rStyle w:val="20"/>
          <w:rFonts w:ascii="黑体" w:eastAsia="黑体"/>
          <w:b w:val="0"/>
        </w:rPr>
      </w:pPr>
      <w:bookmarkStart w:id="36" w:name="_Toc15396606"/>
      <w:bookmarkStart w:id="37" w:name="_Toc15377208"/>
      <w:bookmarkStart w:id="38" w:name="_Toc24671"/>
      <w:r>
        <w:rPr>
          <w:rFonts w:hint="eastAsia" w:ascii="黑体" w:eastAsia="黑体"/>
          <w:sz w:val="32"/>
          <w:szCs w:val="32"/>
        </w:rPr>
        <w:t>四、财</w:t>
      </w:r>
      <w:r>
        <w:rPr>
          <w:rStyle w:val="20"/>
          <w:rFonts w:hint="eastAsia" w:ascii="黑体" w:eastAsia="黑体"/>
          <w:b w:val="0"/>
        </w:rPr>
        <w:t>政拨款收入支出决算总体情况说明</w:t>
      </w:r>
      <w:bookmarkEnd w:id="36"/>
      <w:bookmarkEnd w:id="37"/>
      <w:bookmarkEnd w:id="38"/>
    </w:p>
    <w:p>
      <w:pPr>
        <w:pageBreakBefore w:val="0"/>
        <w:kinsoku/>
        <w:wordWrap/>
        <w:overflowPunct/>
        <w:topLinePunct w:val="0"/>
        <w:bidi w:val="0"/>
        <w:adjustRightInd w:val="0"/>
        <w:snapToGrid w:val="0"/>
        <w:spacing w:line="560" w:lineRule="exact"/>
        <w:ind w:firstLine="640"/>
        <w:textAlignment w:val="auto"/>
        <w:outlineLvl w:val="9"/>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22年财政拨款收、支总计8</w:t>
      </w:r>
      <w:r>
        <w:rPr>
          <w:rFonts w:hint="eastAsia" w:ascii="仿宋" w:eastAsia="仿宋"/>
          <w:sz w:val="32"/>
          <w:szCs w:val="32"/>
          <w:lang w:val="en-US" w:eastAsia="zh-CN"/>
        </w:rPr>
        <w:t>,</w:t>
      </w:r>
      <w:r>
        <w:rPr>
          <w:rFonts w:hint="eastAsia" w:ascii="仿宋" w:eastAsia="仿宋"/>
          <w:sz w:val="32"/>
          <w:szCs w:val="32"/>
        </w:rPr>
        <w:t>355.62万元。与</w:t>
      </w:r>
      <w:r>
        <w:rPr>
          <w:rFonts w:ascii="仿宋" w:eastAsia="仿宋"/>
          <w:sz w:val="32"/>
          <w:szCs w:val="32"/>
        </w:rPr>
        <w:t>20</w:t>
      </w:r>
      <w:r>
        <w:rPr>
          <w:rFonts w:hint="eastAsia" w:ascii="仿宋" w:eastAsia="仿宋"/>
          <w:sz w:val="32"/>
          <w:szCs w:val="32"/>
        </w:rPr>
        <w:t>21年相比，财政拨款收、支总计增加</w:t>
      </w:r>
      <w:r>
        <w:rPr>
          <w:rFonts w:hint="eastAsia" w:ascii="仿宋" w:eastAsia="仿宋"/>
          <w:sz w:val="32"/>
          <w:szCs w:val="32"/>
          <w:lang w:val="en-US" w:eastAsia="zh-CN"/>
        </w:rPr>
        <w:t>402.82</w:t>
      </w:r>
      <w:r>
        <w:rPr>
          <w:rFonts w:hint="eastAsia" w:ascii="仿宋" w:eastAsia="仿宋"/>
          <w:sz w:val="32"/>
          <w:szCs w:val="32"/>
        </w:rPr>
        <w:t>万元，增长</w:t>
      </w:r>
      <w:r>
        <w:rPr>
          <w:rFonts w:hint="eastAsia" w:ascii="仿宋" w:eastAsia="仿宋"/>
          <w:sz w:val="32"/>
          <w:szCs w:val="32"/>
          <w:lang w:val="en-US" w:eastAsia="zh-CN"/>
        </w:rPr>
        <w:t>5.07</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工资上涨。</w:t>
      </w:r>
    </w:p>
    <w:p>
      <w:pPr>
        <w:pageBreakBefore w:val="0"/>
        <w:kinsoku/>
        <w:wordWrap/>
        <w:overflowPunct/>
        <w:topLinePunct w:val="0"/>
        <w:bidi w:val="0"/>
        <w:adjustRightInd w:val="0"/>
        <w:snapToGrid w:val="0"/>
        <w:spacing w:line="560" w:lineRule="exact"/>
        <w:textAlignment w:val="auto"/>
        <w:outlineLvl w:val="9"/>
        <w:rPr>
          <w:rFonts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71552" behindDoc="0" locked="0" layoutInCell="1" allowOverlap="1">
            <wp:simplePos x="0" y="0"/>
            <wp:positionH relativeFrom="column">
              <wp:posOffset>954405</wp:posOffset>
            </wp:positionH>
            <wp:positionV relativeFrom="paragraph">
              <wp:posOffset>247650</wp:posOffset>
            </wp:positionV>
            <wp:extent cx="3706495" cy="2322830"/>
            <wp:effectExtent l="4445" t="4445" r="22860" b="1587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5"/>
        <w:rPr>
          <w:rFonts w:ascii="仿宋" w:eastAsia="仿宋"/>
          <w:sz w:val="32"/>
          <w:szCs w:val="32"/>
        </w:rPr>
      </w:pPr>
    </w:p>
    <w:p>
      <w:pPr>
        <w:pStyle w:val="5"/>
        <w:rPr>
          <w:rFonts w:ascii="仿宋" w:eastAsia="仿宋"/>
          <w:sz w:val="32"/>
          <w:szCs w:val="32"/>
        </w:rPr>
      </w:pPr>
    </w:p>
    <w:p>
      <w:pPr>
        <w:pStyle w:val="5"/>
        <w:rPr>
          <w:rFonts w:ascii="仿宋" w:eastAsia="仿宋"/>
          <w:sz w:val="32"/>
          <w:szCs w:val="32"/>
        </w:rPr>
      </w:pPr>
    </w:p>
    <w:p>
      <w:pPr>
        <w:pStyle w:val="5"/>
        <w:rPr>
          <w:rFonts w:ascii="仿宋" w:eastAsia="仿宋"/>
          <w:sz w:val="32"/>
          <w:szCs w:val="32"/>
        </w:rPr>
      </w:pPr>
    </w:p>
    <w:p>
      <w:pPr>
        <w:pStyle w:val="5"/>
        <w:rPr>
          <w:rFonts w:ascii="仿宋" w:eastAsia="仿宋"/>
          <w:sz w:val="32"/>
          <w:szCs w:val="32"/>
        </w:rPr>
      </w:pPr>
    </w:p>
    <w:p>
      <w:pPr>
        <w:pageBreakBefore w:val="0"/>
        <w:kinsoku/>
        <w:wordWrap/>
        <w:overflowPunct/>
        <w:topLinePunct w:val="0"/>
        <w:bidi w:val="0"/>
        <w:adjustRightInd w:val="0"/>
        <w:snapToGrid w:val="0"/>
        <w:spacing w:line="560" w:lineRule="exact"/>
        <w:ind w:firstLine="640" w:firstLineChars="200"/>
        <w:textAlignment w:val="auto"/>
        <w:outlineLvl w:val="9"/>
        <w:rPr>
          <w:rFonts w:ascii="仿宋" w:eastAsia="仿宋"/>
          <w:sz w:val="32"/>
          <w:szCs w:val="32"/>
        </w:rPr>
      </w:pPr>
      <w:r>
        <w:rPr>
          <w:rFonts w:hint="eastAsia" w:ascii="仿宋" w:eastAsia="仿宋"/>
          <w:sz w:val="32"/>
          <w:szCs w:val="32"/>
        </w:rPr>
        <w:t>（图4：财政拨款收、支决算总计变动情况）</w:t>
      </w:r>
    </w:p>
    <w:p>
      <w:pPr>
        <w:pageBreakBefore w:val="0"/>
        <w:kinsoku/>
        <w:wordWrap/>
        <w:overflowPunct/>
        <w:topLinePunct w:val="0"/>
        <w:bidi w:val="0"/>
        <w:adjustRightInd w:val="0"/>
        <w:snapToGrid w:val="0"/>
        <w:spacing w:line="560" w:lineRule="exact"/>
        <w:textAlignment w:val="auto"/>
        <w:outlineLvl w:val="1"/>
        <w:rPr>
          <w:rStyle w:val="20"/>
          <w:rFonts w:ascii="黑体" w:eastAsia="黑体"/>
          <w:b w:val="0"/>
        </w:rPr>
      </w:pPr>
      <w:bookmarkStart w:id="39" w:name="_Toc15396607"/>
      <w:bookmarkStart w:id="40" w:name="_Toc15377209"/>
      <w:bookmarkStart w:id="41" w:name="_Toc1099"/>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39"/>
      <w:bookmarkEnd w:id="40"/>
      <w:bookmarkEnd w:id="41"/>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ascii="仿宋" w:eastAsia="仿宋"/>
          <w:b/>
          <w:sz w:val="32"/>
          <w:szCs w:val="32"/>
        </w:rPr>
      </w:pPr>
      <w:bookmarkStart w:id="42" w:name="_Toc15377210"/>
      <w:r>
        <w:rPr>
          <w:rFonts w:hint="eastAsia" w:ascii="仿宋" w:eastAsia="仿宋"/>
          <w:b/>
          <w:sz w:val="32"/>
          <w:szCs w:val="32"/>
        </w:rPr>
        <w:t>（一）一般公共预算财政拨款支出决算总体情况</w:t>
      </w:r>
      <w:bookmarkEnd w:id="42"/>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outlineLvl w:val="9"/>
        <w:rPr>
          <w:rFonts w:hint="eastAsia" w:ascii="仿宋" w:eastAsia="仿宋"/>
          <w:sz w:val="32"/>
          <w:szCs w:val="32"/>
          <w:lang w:eastAsia="zh-CN"/>
        </w:rPr>
      </w:pPr>
      <w:r>
        <w:rPr>
          <w:rFonts w:hint="eastAsia" w:eastAsia="宋体"/>
          <w:lang w:eastAsia="zh-CN"/>
        </w:rPr>
        <w:drawing>
          <wp:anchor distT="0" distB="0" distL="114300" distR="114300" simplePos="0" relativeHeight="251677696" behindDoc="0" locked="0" layoutInCell="1" allowOverlap="1">
            <wp:simplePos x="0" y="0"/>
            <wp:positionH relativeFrom="column">
              <wp:posOffset>1042670</wp:posOffset>
            </wp:positionH>
            <wp:positionV relativeFrom="paragraph">
              <wp:posOffset>1321435</wp:posOffset>
            </wp:positionV>
            <wp:extent cx="3677920" cy="2082800"/>
            <wp:effectExtent l="4445" t="4445" r="13335" b="825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8,355.62</w:t>
      </w:r>
      <w:r>
        <w:rPr>
          <w:rFonts w:hint="eastAsia" w:ascii="仿宋" w:eastAsia="仿宋"/>
          <w:sz w:val="32"/>
          <w:szCs w:val="32"/>
        </w:rPr>
        <w:t>万元，占本年支出合计的</w:t>
      </w:r>
      <w:r>
        <w:rPr>
          <w:rFonts w:hint="eastAsia" w:ascii="仿宋" w:eastAsia="仿宋"/>
          <w:sz w:val="32"/>
          <w:szCs w:val="32"/>
          <w:lang w:val="en-US" w:eastAsia="zh-CN"/>
        </w:rPr>
        <w:t>99.44</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21年相比，一般公共预算财政拨款支出增加</w:t>
      </w:r>
      <w:r>
        <w:rPr>
          <w:rFonts w:hint="eastAsia" w:ascii="仿宋" w:eastAsia="仿宋"/>
          <w:sz w:val="32"/>
          <w:szCs w:val="32"/>
          <w:lang w:val="en-US" w:eastAsia="zh-CN"/>
        </w:rPr>
        <w:t>402.82</w:t>
      </w:r>
      <w:r>
        <w:rPr>
          <w:rFonts w:hint="eastAsia" w:ascii="仿宋" w:eastAsia="仿宋"/>
          <w:sz w:val="32"/>
          <w:szCs w:val="32"/>
        </w:rPr>
        <w:t>万元，增长</w:t>
      </w:r>
      <w:r>
        <w:rPr>
          <w:rFonts w:hint="eastAsia" w:ascii="仿宋" w:eastAsia="仿宋"/>
          <w:sz w:val="32"/>
          <w:szCs w:val="32"/>
          <w:lang w:val="en-US" w:eastAsia="zh-CN"/>
        </w:rPr>
        <w:t>5.07</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工资上涨。</w:t>
      </w:r>
    </w:p>
    <w:p>
      <w:pPr>
        <w:pStyle w:val="5"/>
        <w:rPr>
          <w:rFonts w:hint="eastAsia" w:ascii="仿宋" w:eastAsia="仿宋"/>
          <w:sz w:val="32"/>
          <w:szCs w:val="32"/>
          <w:lang w:eastAsia="zh-CN"/>
        </w:rPr>
      </w:pPr>
    </w:p>
    <w:p>
      <w:pPr>
        <w:pStyle w:val="5"/>
        <w:rPr>
          <w:rFonts w:hint="eastAsia" w:ascii="仿宋" w:eastAsia="仿宋"/>
          <w:sz w:val="32"/>
          <w:szCs w:val="32"/>
          <w:lang w:eastAsia="zh-CN"/>
        </w:rPr>
      </w:pPr>
    </w:p>
    <w:p>
      <w:pPr>
        <w:pStyle w:val="5"/>
        <w:rPr>
          <w:rFonts w:hint="eastAsia" w:ascii="仿宋" w:eastAsia="仿宋"/>
          <w:sz w:val="32"/>
          <w:szCs w:val="32"/>
          <w:lang w:val="en-US" w:eastAsia="zh-CN"/>
        </w:rPr>
      </w:pPr>
    </w:p>
    <w:p>
      <w:pPr>
        <w:pageBreakBefore w:val="0"/>
        <w:kinsoku/>
        <w:wordWrap/>
        <w:overflowPunct/>
        <w:topLinePunct w:val="0"/>
        <w:bidi w:val="0"/>
        <w:adjustRightInd w:val="0"/>
        <w:snapToGrid w:val="0"/>
        <w:spacing w:line="560" w:lineRule="exact"/>
        <w:ind w:firstLine="640" w:firstLineChars="200"/>
        <w:textAlignment w:val="auto"/>
        <w:outlineLvl w:val="9"/>
        <w:rPr>
          <w:rFonts w:ascii="仿宋" w:eastAsia="仿宋"/>
          <w:sz w:val="32"/>
          <w:szCs w:val="32"/>
        </w:rPr>
      </w:pPr>
    </w:p>
    <w:p>
      <w:pPr>
        <w:pageBreakBefore w:val="0"/>
        <w:kinsoku/>
        <w:wordWrap/>
        <w:overflowPunct/>
        <w:topLinePunct w:val="0"/>
        <w:bidi w:val="0"/>
        <w:adjustRightInd w:val="0"/>
        <w:snapToGrid w:val="0"/>
        <w:spacing w:line="560" w:lineRule="exact"/>
        <w:ind w:firstLine="640" w:firstLineChars="200"/>
        <w:textAlignment w:val="auto"/>
        <w:outlineLvl w:val="9"/>
        <w:rPr>
          <w:rFonts w:hint="eastAsia" w:ascii="仿宋" w:eastAsia="仿宋"/>
          <w:sz w:val="32"/>
          <w:szCs w:val="32"/>
        </w:rPr>
      </w:pPr>
    </w:p>
    <w:p>
      <w:pPr>
        <w:pageBreakBefore w:val="0"/>
        <w:kinsoku/>
        <w:wordWrap/>
        <w:overflowPunct/>
        <w:topLinePunct w:val="0"/>
        <w:bidi w:val="0"/>
        <w:adjustRightInd w:val="0"/>
        <w:snapToGrid w:val="0"/>
        <w:spacing w:line="560" w:lineRule="exact"/>
        <w:ind w:firstLine="640" w:firstLineChars="200"/>
        <w:textAlignment w:val="auto"/>
        <w:outlineLvl w:val="9"/>
        <w:rPr>
          <w:rFonts w:ascii="仿宋" w:eastAsia="仿宋"/>
          <w:sz w:val="32"/>
          <w:szCs w:val="32"/>
        </w:rPr>
      </w:pPr>
      <w:r>
        <w:rPr>
          <w:rFonts w:hint="eastAsia" w:ascii="仿宋" w:eastAsia="仿宋"/>
          <w:sz w:val="32"/>
          <w:szCs w:val="32"/>
        </w:rPr>
        <w:t>（图5：一般公共预算财政拨款支出决算变动情况）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ascii="仿宋" w:eastAsia="仿宋"/>
          <w:b/>
          <w:sz w:val="32"/>
          <w:szCs w:val="32"/>
        </w:rPr>
      </w:pPr>
      <w:bookmarkStart w:id="43" w:name="_Toc15377211"/>
      <w:r>
        <w:rPr>
          <w:rFonts w:hint="eastAsia" w:ascii="仿宋" w:eastAsia="仿宋"/>
          <w:b/>
          <w:sz w:val="32"/>
          <w:szCs w:val="32"/>
        </w:rPr>
        <w:t>（二）一般公共预算财政拨款支出决算结构情况</w:t>
      </w:r>
      <w:bookmarkEnd w:id="43"/>
    </w:p>
    <w:p>
      <w:pPr>
        <w:pageBreakBefore w:val="0"/>
        <w:kinsoku/>
        <w:wordWrap/>
        <w:overflowPunct/>
        <w:topLinePunct w:val="0"/>
        <w:bidi w:val="0"/>
        <w:adjustRightInd w:val="0"/>
        <w:snapToGrid w:val="0"/>
        <w:spacing w:line="560" w:lineRule="exact"/>
        <w:ind w:firstLine="640"/>
        <w:textAlignment w:val="auto"/>
        <w:outlineLvl w:val="9"/>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8,355.62</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lang w:eastAsia="zh-CN"/>
        </w:rPr>
        <w:t>公共安全</w:t>
      </w:r>
      <w:r>
        <w:rPr>
          <w:rFonts w:hint="eastAsia" w:ascii="仿宋" w:eastAsia="仿宋"/>
          <w:b/>
          <w:sz w:val="32"/>
          <w:szCs w:val="32"/>
          <w:lang w:val="en-US" w:eastAsia="zh-CN"/>
        </w:rPr>
        <w:t>(204)</w:t>
      </w:r>
      <w:r>
        <w:rPr>
          <w:rFonts w:hint="eastAsia" w:ascii="仿宋" w:eastAsia="仿宋"/>
          <w:b/>
          <w:sz w:val="32"/>
          <w:szCs w:val="32"/>
          <w:lang w:eastAsia="zh-CN"/>
        </w:rPr>
        <w:t>支出</w:t>
      </w:r>
      <w:r>
        <w:rPr>
          <w:rFonts w:hint="eastAsia" w:ascii="仿宋" w:eastAsia="仿宋"/>
          <w:sz w:val="32"/>
          <w:szCs w:val="32"/>
          <w:lang w:val="en-US" w:eastAsia="zh-CN"/>
        </w:rPr>
        <w:t>7,157.94</w:t>
      </w:r>
      <w:r>
        <w:rPr>
          <w:rFonts w:hint="eastAsia" w:ascii="仿宋" w:eastAsia="仿宋"/>
          <w:sz w:val="32"/>
          <w:szCs w:val="32"/>
        </w:rPr>
        <w:t>万元，占</w:t>
      </w:r>
      <w:r>
        <w:rPr>
          <w:rFonts w:hint="eastAsia" w:ascii="仿宋" w:eastAsia="仿宋"/>
          <w:sz w:val="32"/>
          <w:szCs w:val="32"/>
          <w:lang w:val="en-US" w:eastAsia="zh-CN"/>
        </w:rPr>
        <w:t>85.67</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社会保障和就业支出</w:t>
      </w:r>
      <w:r>
        <w:rPr>
          <w:rFonts w:hint="eastAsia" w:ascii="仿宋" w:eastAsia="仿宋"/>
          <w:b/>
          <w:sz w:val="32"/>
          <w:szCs w:val="32"/>
          <w:lang w:val="en-US" w:eastAsia="zh-CN"/>
        </w:rPr>
        <w:t>(208)</w:t>
      </w:r>
      <w:r>
        <w:rPr>
          <w:rFonts w:hint="eastAsia" w:ascii="仿宋" w:eastAsia="仿宋"/>
          <w:sz w:val="32"/>
          <w:szCs w:val="32"/>
          <w:lang w:val="en-US" w:eastAsia="zh-CN"/>
        </w:rPr>
        <w:t>557.35万</w:t>
      </w:r>
      <w:r>
        <w:rPr>
          <w:rFonts w:hint="eastAsia" w:ascii="仿宋" w:eastAsia="仿宋"/>
          <w:sz w:val="32"/>
          <w:szCs w:val="32"/>
        </w:rPr>
        <w:t>元，占</w:t>
      </w:r>
      <w:r>
        <w:rPr>
          <w:rFonts w:hint="eastAsia" w:ascii="仿宋" w:eastAsia="仿宋"/>
          <w:sz w:val="32"/>
          <w:szCs w:val="32"/>
          <w:lang w:val="en-US" w:eastAsia="zh-CN"/>
        </w:rPr>
        <w:t>6.67</w:t>
      </w:r>
      <w:r>
        <w:rPr>
          <w:rFonts w:ascii="仿宋" w:eastAsia="仿宋"/>
          <w:sz w:val="32"/>
          <w:szCs w:val="32"/>
        </w:rPr>
        <w:t>%</w:t>
      </w:r>
      <w:r>
        <w:rPr>
          <w:rFonts w:hint="eastAsia" w:ascii="仿宋" w:eastAsia="仿宋"/>
          <w:sz w:val="32"/>
          <w:szCs w:val="32"/>
        </w:rPr>
        <w:t>；</w:t>
      </w:r>
      <w:r>
        <w:rPr>
          <w:rFonts w:hint="eastAsia" w:ascii="仿宋" w:eastAsia="仿宋"/>
          <w:b/>
          <w:sz w:val="32"/>
          <w:szCs w:val="32"/>
        </w:rPr>
        <w:t>卫生健康支出</w:t>
      </w:r>
      <w:r>
        <w:rPr>
          <w:rFonts w:hint="eastAsia" w:ascii="仿宋" w:eastAsia="仿宋"/>
          <w:b/>
          <w:sz w:val="32"/>
          <w:szCs w:val="32"/>
          <w:lang w:val="en-US" w:eastAsia="zh-CN"/>
        </w:rPr>
        <w:t>(210)</w:t>
      </w:r>
      <w:r>
        <w:rPr>
          <w:rFonts w:hint="eastAsia" w:ascii="仿宋" w:eastAsia="仿宋"/>
          <w:sz w:val="32"/>
          <w:szCs w:val="32"/>
        </w:rPr>
        <w:t>267.26万元，占</w:t>
      </w:r>
      <w:r>
        <w:rPr>
          <w:rFonts w:hint="eastAsia" w:ascii="仿宋" w:eastAsia="仿宋"/>
          <w:sz w:val="32"/>
          <w:szCs w:val="32"/>
          <w:lang w:val="en-US" w:eastAsia="zh-CN"/>
        </w:rPr>
        <w:t>3.2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b/>
          <w:bCs/>
          <w:sz w:val="32"/>
          <w:szCs w:val="32"/>
          <w:lang w:val="en-US" w:eastAsia="zh-CN"/>
        </w:rPr>
        <w:t>(221)</w:t>
      </w:r>
      <w:r>
        <w:rPr>
          <w:rFonts w:hint="eastAsia" w:ascii="仿宋" w:eastAsia="仿宋"/>
          <w:b/>
          <w:bCs/>
          <w:sz w:val="32"/>
          <w:szCs w:val="32"/>
        </w:rPr>
        <w:t>支出</w:t>
      </w:r>
      <w:r>
        <w:rPr>
          <w:rFonts w:hint="eastAsia" w:ascii="仿宋" w:eastAsia="仿宋"/>
          <w:sz w:val="32"/>
          <w:szCs w:val="32"/>
          <w:lang w:val="en-US" w:eastAsia="zh-CN"/>
        </w:rPr>
        <w:t>373.07万元，占4.46%；</w:t>
      </w:r>
    </w:p>
    <w:p>
      <w:pPr>
        <w:pStyle w:val="5"/>
        <w:rPr>
          <w:rFonts w:hint="eastAsia" w:ascii="仿宋" w:eastAsia="仿宋"/>
          <w:sz w:val="32"/>
          <w:szCs w:val="32"/>
          <w:lang w:val="en-US" w:eastAsia="zh-CN"/>
        </w:rPr>
      </w:pPr>
      <w:r>
        <w:drawing>
          <wp:anchor distT="0" distB="0" distL="114300" distR="114300" simplePos="0" relativeHeight="251684864" behindDoc="0" locked="0" layoutInCell="1" allowOverlap="1">
            <wp:simplePos x="0" y="0"/>
            <wp:positionH relativeFrom="column">
              <wp:posOffset>491490</wp:posOffset>
            </wp:positionH>
            <wp:positionV relativeFrom="paragraph">
              <wp:posOffset>362585</wp:posOffset>
            </wp:positionV>
            <wp:extent cx="4104640" cy="3215005"/>
            <wp:effectExtent l="4445" t="4445" r="5715" b="1905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5"/>
        <w:rPr>
          <w:rFonts w:hint="eastAsia" w:ascii="仿宋" w:eastAsia="仿宋"/>
          <w:sz w:val="32"/>
          <w:szCs w:val="32"/>
          <w:lang w:val="en-US" w:eastAsia="zh-CN"/>
        </w:rPr>
      </w:pPr>
    </w:p>
    <w:p>
      <w:pPr>
        <w:pStyle w:val="5"/>
        <w:rPr>
          <w:rFonts w:hint="eastAsia" w:ascii="仿宋" w:eastAsia="仿宋"/>
          <w:sz w:val="32"/>
          <w:szCs w:val="32"/>
          <w:lang w:val="en-US" w:eastAsia="zh-CN"/>
        </w:rPr>
      </w:pPr>
    </w:p>
    <w:p>
      <w:pPr>
        <w:pStyle w:val="5"/>
        <w:rPr>
          <w:rFonts w:hint="eastAsia" w:ascii="仿宋" w:eastAsia="仿宋"/>
          <w:sz w:val="32"/>
          <w:szCs w:val="32"/>
          <w:lang w:val="en-US" w:eastAsia="zh-CN"/>
        </w:rPr>
      </w:pPr>
    </w:p>
    <w:p>
      <w:pPr>
        <w:pStyle w:val="5"/>
        <w:rPr>
          <w:rFonts w:hint="eastAsia" w:ascii="仿宋" w:eastAsia="仿宋"/>
          <w:sz w:val="32"/>
          <w:szCs w:val="32"/>
          <w:lang w:val="en-US" w:eastAsia="zh-CN"/>
        </w:rPr>
      </w:pPr>
    </w:p>
    <w:p>
      <w:pPr>
        <w:pageBreakBefore w:val="0"/>
        <w:kinsoku/>
        <w:wordWrap/>
        <w:overflowPunct/>
        <w:topLinePunct w:val="0"/>
        <w:bidi w:val="0"/>
        <w:adjustRightInd w:val="0"/>
        <w:snapToGrid w:val="0"/>
        <w:spacing w:line="560" w:lineRule="exact"/>
        <w:ind w:firstLine="640" w:firstLineChars="200"/>
        <w:textAlignment w:val="auto"/>
        <w:rPr>
          <w:rFonts w:ascii="仿宋" w:eastAsia="仿宋"/>
          <w:sz w:val="32"/>
          <w:szCs w:val="32"/>
        </w:rPr>
      </w:pPr>
      <w:r>
        <w:rPr>
          <w:rFonts w:hint="eastAsia" w:ascii="仿宋" w:eastAsia="仿宋"/>
          <w:sz w:val="32"/>
          <w:szCs w:val="32"/>
        </w:rPr>
        <w:t>（图6：一般公共预算财政拨款支出决算结构）</w:t>
      </w:r>
    </w:p>
    <w:p>
      <w:pPr>
        <w:pageBreakBefore w:val="0"/>
        <w:kinsoku/>
        <w:wordWrap/>
        <w:overflowPunct/>
        <w:topLinePunct w:val="0"/>
        <w:bidi w:val="0"/>
        <w:adjustRightInd w:val="0"/>
        <w:snapToGrid w:val="0"/>
        <w:spacing w:line="560" w:lineRule="exact"/>
        <w:ind w:firstLine="643" w:firstLineChars="200"/>
        <w:textAlignment w:val="auto"/>
        <w:outlineLvl w:val="2"/>
        <w:rPr>
          <w:rFonts w:ascii="仿宋" w:eastAsia="仿宋"/>
          <w:b/>
          <w:sz w:val="32"/>
          <w:szCs w:val="32"/>
        </w:rPr>
      </w:pPr>
      <w:bookmarkStart w:id="44" w:name="_Toc15377212"/>
      <w:r>
        <w:rPr>
          <w:rFonts w:hint="eastAsia" w:ascii="仿宋" w:eastAsia="仿宋"/>
          <w:b/>
          <w:sz w:val="32"/>
          <w:szCs w:val="32"/>
        </w:rPr>
        <w:t>（三）一般公共预算财政拨款支出决算具体情况</w:t>
      </w:r>
      <w:bookmarkEnd w:id="44"/>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sz w:val="32"/>
          <w:szCs w:val="32"/>
        </w:rPr>
      </w:pPr>
      <w:bookmarkStart w:id="45" w:name="_Toc15377213"/>
      <w:bookmarkStart w:id="46" w:name="_Toc15378460"/>
      <w:bookmarkStart w:id="47" w:name="_Toc15377444"/>
      <w:r>
        <w:rPr>
          <w:rFonts w:hint="eastAsia" w:ascii="仿宋" w:eastAsia="仿宋"/>
          <w:b/>
          <w:sz w:val="32"/>
          <w:szCs w:val="32"/>
        </w:rPr>
        <w:t>2022年一般公共预算支出决算数为</w:t>
      </w:r>
      <w:r>
        <w:rPr>
          <w:rFonts w:hint="eastAsia" w:ascii="仿宋" w:eastAsia="仿宋"/>
          <w:b/>
          <w:sz w:val="32"/>
          <w:szCs w:val="32"/>
          <w:lang w:val="en-US" w:eastAsia="zh-CN"/>
        </w:rPr>
        <w:t>8,355.62万元</w:t>
      </w:r>
      <w:r>
        <w:rPr>
          <w:rFonts w:hint="eastAsia" w:ascii="仿宋" w:eastAsia="仿宋"/>
          <w:sz w:val="32"/>
          <w:szCs w:val="32"/>
        </w:rPr>
        <w:t>，</w:t>
      </w:r>
      <w:r>
        <w:rPr>
          <w:rStyle w:val="16"/>
          <w:rFonts w:hint="eastAsia" w:ascii="仿宋" w:eastAsia="仿宋"/>
          <w:bCs/>
          <w:sz w:val="32"/>
          <w:szCs w:val="32"/>
        </w:rPr>
        <w:t>完成预算</w:t>
      </w:r>
      <w:r>
        <w:rPr>
          <w:rStyle w:val="16"/>
          <w:rFonts w:hint="eastAsia" w:ascii="仿宋" w:eastAsia="仿宋"/>
          <w:bCs/>
          <w:sz w:val="32"/>
          <w:szCs w:val="32"/>
          <w:lang w:val="en-US" w:eastAsia="zh-CN"/>
        </w:rPr>
        <w:t>100</w:t>
      </w:r>
      <w:r>
        <w:rPr>
          <w:rStyle w:val="16"/>
          <w:rFonts w:ascii="仿宋" w:eastAsia="仿宋"/>
          <w:bCs/>
          <w:sz w:val="32"/>
          <w:szCs w:val="32"/>
        </w:rPr>
        <w:t>%</w:t>
      </w:r>
      <w:r>
        <w:rPr>
          <w:rStyle w:val="16"/>
          <w:rFonts w:hint="eastAsia" w:ascii="仿宋" w:eastAsia="仿宋"/>
          <w:bCs/>
          <w:sz w:val="32"/>
          <w:szCs w:val="32"/>
        </w:rPr>
        <w:t>。其中：</w:t>
      </w:r>
      <w:bookmarkEnd w:id="45"/>
      <w:bookmarkEnd w:id="46"/>
      <w:bookmarkEnd w:id="47"/>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公共安全支出（</w:t>
      </w:r>
      <w:r>
        <w:rPr>
          <w:rStyle w:val="16"/>
          <w:rFonts w:hint="eastAsia" w:ascii="仿宋" w:hAnsi="仿宋" w:eastAsia="仿宋"/>
          <w:bCs/>
          <w:color w:val="000000"/>
          <w:sz w:val="32"/>
          <w:szCs w:val="32"/>
          <w:lang w:val="en-US" w:eastAsia="zh-CN"/>
        </w:rPr>
        <w:t>204</w:t>
      </w:r>
      <w:r>
        <w:rPr>
          <w:rStyle w:val="16"/>
          <w:rFonts w:hint="eastAsia" w:ascii="仿宋" w:hAnsi="仿宋" w:eastAsia="仿宋"/>
          <w:bCs/>
          <w:color w:val="000000"/>
          <w:sz w:val="32"/>
          <w:szCs w:val="32"/>
        </w:rPr>
        <w:t>）公安（</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）行政运行（</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4,820.35</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Fonts w:hint="eastAsia" w:ascii="仿宋" w:hAnsi="仿宋" w:eastAsia="仿宋"/>
          <w:b/>
          <w:color w:val="000000"/>
          <w:sz w:val="32"/>
          <w:szCs w:val="32"/>
          <w:lang w:val="en-US" w:eastAsia="zh-CN"/>
        </w:rPr>
        <w:t>2.</w:t>
      </w:r>
      <w:r>
        <w:rPr>
          <w:rStyle w:val="16"/>
          <w:rFonts w:hint="eastAsia" w:ascii="仿宋" w:hAnsi="仿宋" w:eastAsia="仿宋"/>
          <w:bCs/>
          <w:color w:val="000000"/>
          <w:sz w:val="32"/>
          <w:szCs w:val="32"/>
        </w:rPr>
        <w:t>公共安全支出（</w:t>
      </w:r>
      <w:r>
        <w:rPr>
          <w:rStyle w:val="16"/>
          <w:rFonts w:hint="eastAsia" w:ascii="仿宋" w:hAnsi="仿宋" w:eastAsia="仿宋"/>
          <w:bCs/>
          <w:color w:val="000000"/>
          <w:sz w:val="32"/>
          <w:szCs w:val="32"/>
          <w:lang w:val="en-US" w:eastAsia="zh-CN"/>
        </w:rPr>
        <w:t>204</w:t>
      </w:r>
      <w:r>
        <w:rPr>
          <w:rStyle w:val="16"/>
          <w:rFonts w:hint="eastAsia" w:ascii="仿宋" w:hAnsi="仿宋" w:eastAsia="仿宋"/>
          <w:bCs/>
          <w:color w:val="000000"/>
          <w:sz w:val="32"/>
          <w:szCs w:val="32"/>
        </w:rPr>
        <w:t>）公安（</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）一般行政管理事务（</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1,492.87</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pPr>
      <w:r>
        <w:rPr>
          <w:rFonts w:hint="eastAsia" w:ascii="仿宋" w:hAnsi="仿宋" w:eastAsia="仿宋"/>
          <w:b/>
          <w:color w:val="000000"/>
          <w:sz w:val="32"/>
          <w:szCs w:val="32"/>
          <w:lang w:val="en-US" w:eastAsia="zh-CN"/>
        </w:rPr>
        <w:t>3.</w:t>
      </w:r>
      <w:r>
        <w:rPr>
          <w:rStyle w:val="16"/>
          <w:rFonts w:hint="eastAsia" w:ascii="仿宋" w:hAnsi="仿宋" w:eastAsia="仿宋"/>
          <w:bCs/>
          <w:color w:val="000000"/>
          <w:sz w:val="32"/>
          <w:szCs w:val="32"/>
        </w:rPr>
        <w:t>公共安全支出（</w:t>
      </w:r>
      <w:r>
        <w:rPr>
          <w:rStyle w:val="16"/>
          <w:rFonts w:hint="eastAsia" w:ascii="仿宋" w:hAnsi="仿宋" w:eastAsia="仿宋"/>
          <w:bCs/>
          <w:color w:val="000000"/>
          <w:sz w:val="32"/>
          <w:szCs w:val="32"/>
          <w:lang w:val="en-US" w:eastAsia="zh-CN"/>
        </w:rPr>
        <w:t>204</w:t>
      </w:r>
      <w:r>
        <w:rPr>
          <w:rStyle w:val="16"/>
          <w:rFonts w:hint="eastAsia" w:ascii="仿宋" w:hAnsi="仿宋" w:eastAsia="仿宋"/>
          <w:bCs/>
          <w:color w:val="000000"/>
          <w:sz w:val="32"/>
          <w:szCs w:val="32"/>
        </w:rPr>
        <w:t>）公安（</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）其他公安支出</w:t>
      </w:r>
      <w:r>
        <w:rPr>
          <w:rStyle w:val="16"/>
          <w:rFonts w:hint="eastAsia" w:ascii="仿宋" w:hAnsi="仿宋" w:eastAsia="仿宋"/>
          <w:bCs/>
          <w:color w:val="000000"/>
          <w:sz w:val="32"/>
          <w:szCs w:val="32"/>
          <w:lang w:val="en-US" w:eastAsia="zh-CN"/>
        </w:rPr>
        <w:t>(99):</w:t>
      </w:r>
    </w:p>
    <w:p>
      <w:pPr>
        <w:pageBreakBefore w:val="0"/>
        <w:kinsoku/>
        <w:wordWrap/>
        <w:overflowPunct/>
        <w:topLinePunct w:val="0"/>
        <w:bidi w:val="0"/>
        <w:adjustRightInd w:val="0"/>
        <w:snapToGrid w:val="0"/>
        <w:spacing w:line="560" w:lineRule="exact"/>
        <w:textAlignment w:val="auto"/>
        <w:outlineLvl w:val="9"/>
        <w:rPr>
          <w:rFonts w:ascii="仿宋" w:eastAsia="仿宋"/>
          <w:b/>
          <w:sz w:val="32"/>
          <w:szCs w:val="32"/>
        </w:rPr>
      </w:pP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844.72</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ascii="仿宋" w:eastAsia="仿宋"/>
          <w:bCs/>
          <w:sz w:val="32"/>
          <w:szCs w:val="32"/>
        </w:rPr>
        <w:t>4.</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）行政事业单位养老支出（</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）机关事业单位基本养老保险缴费支出（</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371.57</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ascii="仿宋" w:eastAsia="仿宋"/>
          <w:bCs/>
          <w:sz w:val="32"/>
          <w:szCs w:val="32"/>
        </w:rPr>
        <w:t>5.</w:t>
      </w:r>
      <w:r>
        <w:rPr>
          <w:rStyle w:val="16"/>
          <w:rFonts w:hint="eastAsia" w:ascii="仿宋" w:hAnsi="仿宋" w:eastAsia="仿宋"/>
          <w:b/>
          <w:bCs/>
          <w:color w:val="000000"/>
          <w:sz w:val="32"/>
          <w:szCs w:val="32"/>
        </w:rPr>
        <w:t>社会保障和就业（</w:t>
      </w:r>
      <w:r>
        <w:rPr>
          <w:rStyle w:val="16"/>
          <w:rFonts w:hint="eastAsia" w:ascii="仿宋" w:hAnsi="仿宋" w:eastAsia="仿宋"/>
          <w:b/>
          <w:bCs/>
          <w:color w:val="000000"/>
          <w:sz w:val="32"/>
          <w:szCs w:val="32"/>
          <w:lang w:val="en-US" w:eastAsia="zh-CN"/>
        </w:rPr>
        <w:t>208</w:t>
      </w:r>
      <w:r>
        <w:rPr>
          <w:rStyle w:val="16"/>
          <w:rFonts w:hint="eastAsia" w:ascii="仿宋" w:hAnsi="仿宋" w:eastAsia="仿宋"/>
          <w:b/>
          <w:bCs/>
          <w:color w:val="000000"/>
          <w:sz w:val="32"/>
          <w:szCs w:val="32"/>
        </w:rPr>
        <w:t>）行政事业单位养老支出（</w:t>
      </w:r>
      <w:r>
        <w:rPr>
          <w:rStyle w:val="16"/>
          <w:rFonts w:hint="eastAsia" w:ascii="仿宋" w:hAnsi="仿宋" w:eastAsia="仿宋"/>
          <w:b/>
          <w:bCs/>
          <w:color w:val="000000"/>
          <w:sz w:val="32"/>
          <w:szCs w:val="32"/>
          <w:lang w:val="en-US" w:eastAsia="zh-CN"/>
        </w:rPr>
        <w:t>05</w:t>
      </w:r>
      <w:r>
        <w:rPr>
          <w:rStyle w:val="16"/>
          <w:rFonts w:hint="eastAsia" w:ascii="仿宋" w:hAnsi="仿宋" w:eastAsia="仿宋"/>
          <w:b/>
          <w:bCs/>
          <w:color w:val="000000"/>
          <w:sz w:val="32"/>
          <w:szCs w:val="32"/>
        </w:rPr>
        <w:t>）机关事业单位职业年金缴费支出（</w:t>
      </w:r>
      <w:r>
        <w:rPr>
          <w:rStyle w:val="16"/>
          <w:rFonts w:hint="eastAsia" w:ascii="仿宋" w:hAnsi="仿宋" w:eastAsia="仿宋"/>
          <w:b/>
          <w:bCs/>
          <w:color w:val="000000"/>
          <w:sz w:val="32"/>
          <w:szCs w:val="32"/>
          <w:lang w:val="en-US" w:eastAsia="zh-CN"/>
        </w:rPr>
        <w:t>06</w:t>
      </w:r>
      <w:r>
        <w:rPr>
          <w:rStyle w:val="16"/>
          <w:rFonts w:hint="eastAsia" w:ascii="仿宋" w:hAnsi="仿宋" w:eastAsia="仿宋"/>
          <w:b/>
          <w:bCs/>
          <w:color w:val="000000"/>
          <w:sz w:val="32"/>
          <w:szCs w:val="32"/>
        </w:rPr>
        <w:t>）</w:t>
      </w:r>
      <w:r>
        <w:rPr>
          <w:rStyle w:val="16"/>
          <w:rFonts w:ascii="仿宋" w:hAnsi="仿宋" w:eastAsia="仿宋"/>
          <w:b/>
          <w:bCs/>
          <w:color w:val="000000"/>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185.78</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ascii="仿宋" w:eastAsia="仿宋"/>
          <w:bCs/>
          <w:sz w:val="32"/>
          <w:szCs w:val="32"/>
        </w:rPr>
        <w:t>6.</w:t>
      </w: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）公共卫生（</w:t>
      </w:r>
      <w:r>
        <w:rPr>
          <w:rStyle w:val="16"/>
          <w:rFonts w:hint="eastAsia" w:ascii="仿宋" w:hAnsi="仿宋" w:eastAsia="仿宋"/>
          <w:bCs/>
          <w:color w:val="000000"/>
          <w:sz w:val="32"/>
          <w:szCs w:val="32"/>
          <w:lang w:val="en-US" w:eastAsia="zh-CN"/>
        </w:rPr>
        <w:t>04</w:t>
      </w:r>
      <w:r>
        <w:rPr>
          <w:rStyle w:val="16"/>
          <w:rFonts w:hint="eastAsia" w:ascii="仿宋" w:hAnsi="仿宋" w:eastAsia="仿宋"/>
          <w:bCs/>
          <w:color w:val="000000"/>
          <w:sz w:val="32"/>
          <w:szCs w:val="32"/>
        </w:rPr>
        <w:t>）重大公共卫生服务（</w:t>
      </w:r>
      <w:r>
        <w:rPr>
          <w:rStyle w:val="16"/>
          <w:rFonts w:hint="eastAsia" w:ascii="仿宋" w:hAnsi="仿宋" w:eastAsia="仿宋"/>
          <w:bCs/>
          <w:color w:val="000000"/>
          <w:sz w:val="32"/>
          <w:szCs w:val="32"/>
          <w:lang w:val="en-US" w:eastAsia="zh-CN"/>
        </w:rPr>
        <w:t>09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21.65</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0" w:firstLineChars="200"/>
        <w:textAlignment w:val="auto"/>
        <w:outlineLvl w:val="9"/>
        <w:rPr>
          <w:rFonts w:ascii="仿宋" w:eastAsia="仿宋"/>
          <w:b/>
          <w:sz w:val="32"/>
          <w:szCs w:val="32"/>
        </w:rPr>
      </w:pPr>
      <w:r>
        <w:rPr>
          <w:rFonts w:hint="eastAsia" w:ascii="仿宋" w:eastAsia="仿宋"/>
          <w:sz w:val="32"/>
          <w:szCs w:val="32"/>
          <w:lang w:val="en-US" w:eastAsia="zh-CN"/>
        </w:rPr>
        <w:t>7.</w:t>
      </w: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）行政事业单位医疗（</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）行政单位医疗（</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207.16</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hint="eastAsia" w:ascii="仿宋" w:hAnsi="仿宋" w:eastAsia="仿宋"/>
          <w:bCs/>
          <w:color w:val="000000"/>
          <w:sz w:val="32"/>
          <w:szCs w:val="32"/>
          <w:lang w:val="en-US" w:eastAsia="zh-CN"/>
        </w:rPr>
        <w:t>8.卫生健康支出(210)行政事业单位医疗(11)公务员医疗补助(03):</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38.46</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b/>
          <w:sz w:val="32"/>
          <w:szCs w:val="32"/>
        </w:rPr>
      </w:pPr>
      <w:r>
        <w:rPr>
          <w:rStyle w:val="16"/>
          <w:rFonts w:hint="eastAsia" w:ascii="仿宋" w:hAnsi="仿宋" w:eastAsia="仿宋"/>
          <w:bCs/>
          <w:color w:val="000000"/>
          <w:sz w:val="32"/>
          <w:szCs w:val="32"/>
          <w:lang w:val="en-US" w:eastAsia="zh-CN"/>
        </w:rPr>
        <w:t>9.住房保障支出(221)住房改革支出(02)住房公积金(01):</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373.07</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ageBreakBefore w:val="0"/>
        <w:tabs>
          <w:tab w:val="right" w:pos="8306"/>
        </w:tabs>
        <w:kinsoku/>
        <w:wordWrap/>
        <w:overflowPunct/>
        <w:topLinePunct w:val="0"/>
        <w:bidi w:val="0"/>
        <w:adjustRightInd w:val="0"/>
        <w:snapToGrid w:val="0"/>
        <w:spacing w:line="560" w:lineRule="exact"/>
        <w:ind w:firstLine="640"/>
        <w:textAlignment w:val="auto"/>
        <w:outlineLvl w:val="1"/>
        <w:rPr>
          <w:rStyle w:val="20"/>
        </w:rPr>
      </w:pPr>
      <w:bookmarkStart w:id="48" w:name="_Toc15396608"/>
      <w:bookmarkStart w:id="49" w:name="_Toc15377214"/>
      <w:bookmarkStart w:id="50" w:name="_Toc17467"/>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48"/>
      <w:bookmarkEnd w:id="49"/>
      <w:bookmarkEnd w:id="50"/>
      <w:r>
        <w:rPr>
          <w:rStyle w:val="20"/>
          <w:rFonts w:ascii="黑体" w:eastAsia="黑体"/>
          <w:b w:val="0"/>
        </w:rPr>
        <w:tab/>
      </w:r>
    </w:p>
    <w:p>
      <w:pPr>
        <w:pageBreakBefore w:val="0"/>
        <w:kinsoku/>
        <w:wordWrap/>
        <w:overflowPunct/>
        <w:topLinePunct w:val="0"/>
        <w:bidi w:val="0"/>
        <w:adjustRightInd w:val="0"/>
        <w:snapToGrid w:val="0"/>
        <w:spacing w:line="560" w:lineRule="exact"/>
        <w:ind w:firstLine="645"/>
        <w:textAlignment w:val="auto"/>
        <w:outlineLvl w:val="9"/>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5,996.38</w:t>
      </w:r>
      <w:r>
        <w:rPr>
          <w:rFonts w:hint="eastAsia" w:ascii="仿宋" w:eastAsia="仿宋"/>
          <w:sz w:val="32"/>
          <w:szCs w:val="32"/>
        </w:rPr>
        <w:t>万元，其中：</w:t>
      </w:r>
    </w:p>
    <w:p>
      <w:pPr>
        <w:pageBreakBefore w:val="0"/>
        <w:kinsoku/>
        <w:wordWrap/>
        <w:overflowPunct/>
        <w:topLinePunct w:val="0"/>
        <w:bidi w:val="0"/>
        <w:adjustRightInd w:val="0"/>
        <w:snapToGrid w:val="0"/>
        <w:spacing w:line="560" w:lineRule="exact"/>
        <w:ind w:firstLine="645"/>
        <w:textAlignment w:val="auto"/>
        <w:outlineLvl w:val="9"/>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5,531.45</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464.93</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adjustRightInd w:val="0"/>
        <w:snapToGrid w:val="0"/>
        <w:spacing w:line="560" w:lineRule="exact"/>
        <w:ind w:firstLine="640"/>
        <w:textAlignment w:val="auto"/>
        <w:outlineLvl w:val="1"/>
        <w:rPr>
          <w:rStyle w:val="20"/>
          <w:rFonts w:ascii="黑体" w:eastAsia="黑体"/>
          <w:b w:val="0"/>
        </w:rPr>
      </w:pPr>
      <w:bookmarkStart w:id="51" w:name="_Toc15396609"/>
      <w:bookmarkStart w:id="52" w:name="_Toc15377215"/>
      <w:bookmarkStart w:id="53" w:name="_Toc8770"/>
      <w:r>
        <w:rPr>
          <w:rFonts w:hint="eastAsia" w:ascii="黑体" w:eastAsia="黑体"/>
          <w:sz w:val="32"/>
          <w:szCs w:val="32"/>
        </w:rPr>
        <w:t>七、</w:t>
      </w:r>
      <w:r>
        <w:rPr>
          <w:rStyle w:val="20"/>
          <w:rFonts w:hint="eastAsia" w:ascii="黑体" w:eastAsia="黑体"/>
          <w:b w:val="0"/>
        </w:rPr>
        <w:t>财政拨款</w:t>
      </w:r>
      <w:r>
        <w:rPr>
          <w:rStyle w:val="20"/>
          <w:rFonts w:hint="eastAsia" w:ascii="黑体" w:eastAsia="黑体"/>
        </w:rPr>
        <w:t>“</w:t>
      </w:r>
      <w:r>
        <w:rPr>
          <w:rStyle w:val="20"/>
          <w:rFonts w:hint="eastAsia" w:ascii="黑体" w:eastAsia="黑体"/>
          <w:b w:val="0"/>
        </w:rPr>
        <w:t>三公”经费支出决算情况说明</w:t>
      </w:r>
      <w:bookmarkEnd w:id="51"/>
      <w:bookmarkEnd w:id="52"/>
      <w:bookmarkEnd w:id="53"/>
    </w:p>
    <w:p>
      <w:pPr>
        <w:pageBreakBefore w:val="0"/>
        <w:kinsoku/>
        <w:wordWrap/>
        <w:overflowPunct/>
        <w:topLinePunct w:val="0"/>
        <w:bidi w:val="0"/>
        <w:adjustRightInd w:val="0"/>
        <w:snapToGrid w:val="0"/>
        <w:spacing w:line="560" w:lineRule="exact"/>
        <w:ind w:firstLine="640"/>
        <w:textAlignment w:val="auto"/>
        <w:outlineLvl w:val="9"/>
        <w:rPr>
          <w:rFonts w:ascii="仿宋" w:eastAsia="仿宋"/>
          <w:b/>
          <w:sz w:val="32"/>
          <w:szCs w:val="32"/>
        </w:rPr>
      </w:pPr>
      <w:bookmarkStart w:id="54" w:name="_Toc15377216"/>
      <w:r>
        <w:rPr>
          <w:rFonts w:hint="eastAsia" w:ascii="仿宋" w:eastAsia="仿宋"/>
          <w:b/>
          <w:sz w:val="32"/>
          <w:szCs w:val="32"/>
        </w:rPr>
        <w:t>（一）“三公”经费财政拨款支出决算总体情况说明</w:t>
      </w:r>
      <w:bookmarkEnd w:id="54"/>
    </w:p>
    <w:p>
      <w:pPr>
        <w:pageBreakBefore w:val="0"/>
        <w:kinsoku/>
        <w:wordWrap/>
        <w:overflowPunct/>
        <w:topLinePunct w:val="0"/>
        <w:bidi w:val="0"/>
        <w:adjustRightInd w:val="0"/>
        <w:snapToGrid w:val="0"/>
        <w:spacing w:line="560" w:lineRule="exact"/>
        <w:ind w:firstLine="640"/>
        <w:textAlignment w:val="auto"/>
        <w:outlineLvl w:val="9"/>
        <w:rPr>
          <w:rFonts w:ascii="仿宋" w:eastAsia="仿宋"/>
          <w:b/>
          <w:sz w:val="32"/>
          <w:szCs w:val="32"/>
        </w:rPr>
      </w:pPr>
      <w:r>
        <w:rPr>
          <w:rFonts w:ascii="仿宋" w:eastAsia="仿宋"/>
          <w:sz w:val="32"/>
          <w:szCs w:val="32"/>
        </w:rPr>
        <w:t>20</w:t>
      </w:r>
      <w:r>
        <w:rPr>
          <w:rFonts w:hint="eastAsia" w:ascii="仿宋" w:eastAsia="仿宋"/>
          <w:sz w:val="32"/>
          <w:szCs w:val="32"/>
        </w:rPr>
        <w:t>22年“三公”经费财政拨款支出决算为</w:t>
      </w:r>
      <w:r>
        <w:rPr>
          <w:rFonts w:hint="eastAsia" w:ascii="仿宋" w:eastAsia="仿宋"/>
          <w:sz w:val="32"/>
          <w:szCs w:val="32"/>
          <w:lang w:val="en-US" w:eastAsia="zh-CN"/>
        </w:rPr>
        <w:t>155.17</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，较上年增加</w:t>
      </w:r>
      <w:r>
        <w:rPr>
          <w:rFonts w:hint="eastAsia" w:ascii="仿宋" w:eastAsia="仿宋"/>
          <w:sz w:val="32"/>
          <w:szCs w:val="32"/>
          <w:lang w:val="en-US" w:eastAsia="zh-CN"/>
        </w:rPr>
        <w:t>10.83</w:t>
      </w:r>
      <w:r>
        <w:rPr>
          <w:rFonts w:hint="eastAsia" w:ascii="仿宋" w:eastAsia="仿宋"/>
          <w:sz w:val="32"/>
          <w:szCs w:val="32"/>
        </w:rPr>
        <w:t>万元，增长</w:t>
      </w:r>
      <w:r>
        <w:rPr>
          <w:rFonts w:hint="eastAsia" w:ascii="仿宋" w:eastAsia="仿宋"/>
          <w:sz w:val="32"/>
          <w:szCs w:val="32"/>
          <w:lang w:val="en-US" w:eastAsia="zh-CN"/>
        </w:rPr>
        <w:t>7.5</w:t>
      </w:r>
      <w:r>
        <w:rPr>
          <w:rFonts w:hint="eastAsia" w:ascii="仿宋" w:eastAsia="仿宋"/>
          <w:sz w:val="32"/>
          <w:szCs w:val="32"/>
        </w:rPr>
        <w:t>%。</w:t>
      </w:r>
    </w:p>
    <w:p>
      <w:pPr>
        <w:pageBreakBefore w:val="0"/>
        <w:kinsoku/>
        <w:wordWrap/>
        <w:overflowPunct/>
        <w:topLinePunct w:val="0"/>
        <w:bidi w:val="0"/>
        <w:adjustRightInd w:val="0"/>
        <w:snapToGrid w:val="0"/>
        <w:spacing w:line="560" w:lineRule="exact"/>
        <w:ind w:firstLine="640"/>
        <w:textAlignment w:val="auto"/>
        <w:outlineLvl w:val="9"/>
        <w:rPr>
          <w:rFonts w:ascii="仿宋" w:eastAsia="仿宋"/>
          <w:b/>
          <w:sz w:val="32"/>
          <w:szCs w:val="32"/>
        </w:rPr>
      </w:pPr>
      <w:bookmarkStart w:id="55" w:name="_Toc15377217"/>
      <w:r>
        <w:rPr>
          <w:rFonts w:hint="eastAsia" w:ascii="仿宋" w:eastAsia="仿宋"/>
          <w:b/>
          <w:sz w:val="32"/>
          <w:szCs w:val="32"/>
        </w:rPr>
        <w:t>（二）“三公”经费财政拨款支出决算具体情况说明</w:t>
      </w:r>
      <w:bookmarkEnd w:id="55"/>
    </w:p>
    <w:p>
      <w:pPr>
        <w:pageBreakBefore w:val="0"/>
        <w:kinsoku/>
        <w:wordWrap/>
        <w:overflowPunct/>
        <w:topLinePunct w:val="0"/>
        <w:bidi w:val="0"/>
        <w:adjustRightInd w:val="0"/>
        <w:snapToGrid w:val="0"/>
        <w:spacing w:line="560" w:lineRule="exact"/>
        <w:ind w:firstLine="640"/>
        <w:textAlignment w:val="auto"/>
        <w:outlineLvl w:val="9"/>
        <w:rPr>
          <w:rFonts w:hint="eastAsia"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154.88</w:t>
      </w:r>
      <w:r>
        <w:rPr>
          <w:rFonts w:hint="eastAsia" w:ascii="仿宋" w:eastAsia="仿宋"/>
          <w:sz w:val="32"/>
          <w:szCs w:val="32"/>
        </w:rPr>
        <w:t>万元，占</w:t>
      </w:r>
      <w:r>
        <w:rPr>
          <w:rFonts w:hint="eastAsia" w:ascii="仿宋" w:eastAsia="仿宋"/>
          <w:sz w:val="32"/>
          <w:szCs w:val="32"/>
          <w:lang w:val="en-US" w:eastAsia="zh-CN"/>
        </w:rPr>
        <w:t>99.81</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0.29</w:t>
      </w:r>
      <w:r>
        <w:rPr>
          <w:rFonts w:hint="eastAsia" w:ascii="仿宋" w:eastAsia="仿宋"/>
          <w:sz w:val="32"/>
          <w:szCs w:val="32"/>
        </w:rPr>
        <w:t>万元，占</w:t>
      </w:r>
      <w:r>
        <w:rPr>
          <w:rFonts w:hint="eastAsia" w:ascii="仿宋" w:eastAsia="仿宋"/>
          <w:sz w:val="32"/>
          <w:szCs w:val="32"/>
          <w:lang w:val="en-US" w:eastAsia="zh-CN"/>
        </w:rPr>
        <w:t>0.19</w:t>
      </w:r>
      <w:r>
        <w:rPr>
          <w:rFonts w:ascii="仿宋" w:eastAsia="仿宋"/>
          <w:sz w:val="32"/>
          <w:szCs w:val="32"/>
        </w:rPr>
        <w:t>%</w:t>
      </w:r>
      <w:r>
        <w:rPr>
          <w:rFonts w:hint="eastAsia" w:ascii="仿宋" w:eastAsia="仿宋"/>
          <w:sz w:val="32"/>
          <w:szCs w:val="32"/>
        </w:rPr>
        <w:t>。具体情况如下：</w:t>
      </w:r>
    </w:p>
    <w:p>
      <w:pPr>
        <w:pStyle w:val="5"/>
        <w:rPr>
          <w:rFonts w:hint="eastAsia"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720704" behindDoc="0" locked="0" layoutInCell="1" allowOverlap="1">
            <wp:simplePos x="0" y="0"/>
            <wp:positionH relativeFrom="column">
              <wp:posOffset>925195</wp:posOffset>
            </wp:positionH>
            <wp:positionV relativeFrom="paragraph">
              <wp:posOffset>59690</wp:posOffset>
            </wp:positionV>
            <wp:extent cx="3492500" cy="2120900"/>
            <wp:effectExtent l="4445" t="5080" r="8255" b="762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5"/>
        <w:rPr>
          <w:rFonts w:hint="eastAsia" w:ascii="仿宋" w:eastAsia="仿宋"/>
          <w:sz w:val="32"/>
          <w:szCs w:val="32"/>
        </w:rPr>
      </w:pPr>
    </w:p>
    <w:p>
      <w:pPr>
        <w:pStyle w:val="5"/>
        <w:rPr>
          <w:rFonts w:hint="eastAsia" w:ascii="仿宋" w:eastAsia="仿宋"/>
          <w:sz w:val="32"/>
          <w:szCs w:val="32"/>
        </w:rPr>
      </w:pPr>
    </w:p>
    <w:p>
      <w:pPr>
        <w:pStyle w:val="5"/>
        <w:rPr>
          <w:rFonts w:hint="eastAsia" w:ascii="仿宋" w:eastAsia="仿宋"/>
          <w:sz w:val="32"/>
          <w:szCs w:val="32"/>
        </w:rPr>
      </w:pPr>
    </w:p>
    <w:p>
      <w:pPr>
        <w:pStyle w:val="5"/>
        <w:rPr>
          <w:rFonts w:hint="eastAsia" w:ascii="仿宋" w:eastAsia="仿宋"/>
          <w:sz w:val="32"/>
          <w:szCs w:val="32"/>
        </w:rPr>
      </w:pPr>
    </w:p>
    <w:p>
      <w:pPr>
        <w:pageBreakBefore w:val="0"/>
        <w:kinsoku/>
        <w:wordWrap/>
        <w:overflowPunct/>
        <w:topLinePunct w:val="0"/>
        <w:bidi w:val="0"/>
        <w:adjustRightInd w:val="0"/>
        <w:snapToGrid w:val="0"/>
        <w:spacing w:line="560" w:lineRule="exact"/>
        <w:ind w:firstLine="640"/>
        <w:jc w:val="center"/>
        <w:textAlignment w:val="auto"/>
        <w:outlineLvl w:val="9"/>
        <w:rPr>
          <w:rFonts w:ascii="仿宋" w:eastAsia="仿宋"/>
          <w:sz w:val="32"/>
          <w:szCs w:val="32"/>
        </w:rPr>
      </w:pPr>
      <w:r>
        <w:rPr>
          <w:rFonts w:hint="eastAsia" w:ascii="仿宋" w:eastAsia="仿宋"/>
          <w:sz w:val="32"/>
          <w:szCs w:val="32"/>
        </w:rPr>
        <w:t>（图7：“三公”经费财政拨款支出结构）</w:t>
      </w:r>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w:t>
      </w:r>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154.88</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10.92</w:t>
      </w:r>
      <w:r>
        <w:rPr>
          <w:rFonts w:hint="eastAsia" w:ascii="仿宋_GB2312" w:eastAsia="仿宋_GB2312"/>
          <w:sz w:val="32"/>
          <w:szCs w:val="32"/>
        </w:rPr>
        <w:t>万元，增长</w:t>
      </w:r>
      <w:r>
        <w:rPr>
          <w:rFonts w:hint="eastAsia" w:ascii="仿宋_GB2312" w:eastAsia="仿宋_GB2312"/>
          <w:sz w:val="32"/>
          <w:szCs w:val="32"/>
          <w:lang w:val="en-US" w:eastAsia="zh-CN"/>
        </w:rPr>
        <w:t>7.58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车辆老化，增加维修成本</w:t>
      </w:r>
      <w:r>
        <w:rPr>
          <w:rFonts w:hint="eastAsia" w:ascii="仿宋_GB2312" w:eastAsia="仿宋_GB2312"/>
          <w:sz w:val="32"/>
          <w:szCs w:val="32"/>
        </w:rPr>
        <w:t>。</w:t>
      </w:r>
    </w:p>
    <w:p>
      <w:pPr>
        <w:pageBreakBefore w:val="0"/>
        <w:kinsoku/>
        <w:wordWrap/>
        <w:overflowPunct/>
        <w:topLinePunct w:val="0"/>
        <w:bidi w:val="0"/>
        <w:adjustRightInd w:val="0"/>
        <w:snapToGrid w:val="0"/>
        <w:spacing w:line="560" w:lineRule="exact"/>
        <w:ind w:firstLine="640" w:firstLineChars="200"/>
        <w:textAlignment w:val="auto"/>
        <w:outlineLvl w:val="9"/>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60</w:t>
      </w:r>
      <w:r>
        <w:rPr>
          <w:rFonts w:hint="eastAsia" w:ascii="仿宋_GB2312" w:eastAsia="仿宋_GB2312"/>
          <w:sz w:val="32"/>
          <w:szCs w:val="32"/>
        </w:rPr>
        <w:t>辆，其中：轿车</w:t>
      </w:r>
      <w:r>
        <w:rPr>
          <w:rFonts w:hint="eastAsia" w:ascii="仿宋_GB2312" w:eastAsia="仿宋_GB2312"/>
          <w:sz w:val="32"/>
          <w:szCs w:val="32"/>
          <w:lang w:val="en-US" w:eastAsia="zh-CN"/>
        </w:rPr>
        <w:t>36</w:t>
      </w:r>
      <w:r>
        <w:rPr>
          <w:rFonts w:hint="eastAsia" w:ascii="仿宋_GB2312" w:eastAsia="仿宋_GB2312"/>
          <w:sz w:val="32"/>
          <w:szCs w:val="32"/>
        </w:rPr>
        <w:t>辆、越野车</w:t>
      </w:r>
      <w:r>
        <w:rPr>
          <w:rFonts w:hint="eastAsia" w:ascii="仿宋_GB2312" w:eastAsia="仿宋_GB2312"/>
          <w:sz w:val="32"/>
          <w:szCs w:val="32"/>
          <w:lang w:val="en-US" w:eastAsia="zh-CN"/>
        </w:rPr>
        <w:t>17</w:t>
      </w:r>
      <w:r>
        <w:rPr>
          <w:rFonts w:hint="eastAsia" w:ascii="仿宋_GB2312" w:eastAsia="仿宋_GB2312"/>
          <w:sz w:val="32"/>
          <w:szCs w:val="32"/>
        </w:rPr>
        <w:t>辆、载客汽车</w:t>
      </w:r>
      <w:r>
        <w:rPr>
          <w:rFonts w:hint="eastAsia" w:ascii="仿宋_GB2312" w:eastAsia="仿宋_GB2312"/>
          <w:sz w:val="32"/>
          <w:szCs w:val="32"/>
          <w:lang w:val="en-US" w:eastAsia="zh-CN"/>
        </w:rPr>
        <w:t>6</w:t>
      </w:r>
      <w:r>
        <w:rPr>
          <w:rFonts w:hint="eastAsia" w:ascii="仿宋_GB2312" w:eastAsia="仿宋_GB2312"/>
          <w:sz w:val="32"/>
          <w:szCs w:val="32"/>
        </w:rPr>
        <w:t>辆</w:t>
      </w:r>
      <w:r>
        <w:rPr>
          <w:rFonts w:hint="eastAsia" w:ascii="仿宋_GB2312" w:eastAsia="仿宋_GB2312"/>
          <w:sz w:val="32"/>
          <w:szCs w:val="32"/>
          <w:lang w:eastAsia="zh-CN"/>
        </w:rPr>
        <w:t>，其他车型</w:t>
      </w:r>
      <w:r>
        <w:rPr>
          <w:rFonts w:hint="eastAsia" w:ascii="仿宋_GB2312" w:eastAsia="仿宋_GB2312"/>
          <w:sz w:val="32"/>
          <w:szCs w:val="32"/>
          <w:lang w:val="en-US" w:eastAsia="zh-CN"/>
        </w:rPr>
        <w:t>1辆</w:t>
      </w:r>
      <w:r>
        <w:rPr>
          <w:rFonts w:hint="eastAsia" w:ascii="仿宋_GB2312" w:eastAsia="仿宋_GB2312"/>
          <w:sz w:val="32"/>
          <w:szCs w:val="32"/>
        </w:rPr>
        <w:t>。</w:t>
      </w:r>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154.88</w:t>
      </w:r>
      <w:r>
        <w:rPr>
          <w:rFonts w:hint="eastAsia" w:ascii="仿宋_GB2312" w:eastAsia="仿宋_GB2312"/>
          <w:sz w:val="32"/>
          <w:szCs w:val="32"/>
        </w:rPr>
        <w:t>万元。主要用于</w:t>
      </w:r>
      <w:r>
        <w:rPr>
          <w:rFonts w:hint="eastAsia" w:ascii="仿宋_GB2312" w:eastAsia="仿宋_GB2312"/>
          <w:sz w:val="32"/>
          <w:szCs w:val="32"/>
          <w:lang w:eastAsia="zh-CN"/>
        </w:rPr>
        <w:t>巡逻、办案</w:t>
      </w:r>
      <w:r>
        <w:rPr>
          <w:rFonts w:hint="eastAsia" w:ascii="仿宋_GB2312" w:eastAsia="仿宋_GB2312"/>
          <w:sz w:val="32"/>
          <w:szCs w:val="32"/>
        </w:rPr>
        <w:t>等所需的公务用车燃料费、维修费、过路过桥费、保险费等支出。</w:t>
      </w:r>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0.29</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0.08</w:t>
      </w:r>
      <w:r>
        <w:rPr>
          <w:rFonts w:hint="eastAsia" w:ascii="仿宋_GB2312" w:eastAsia="仿宋_GB2312"/>
          <w:sz w:val="32"/>
          <w:szCs w:val="32"/>
        </w:rPr>
        <w:t>万元，下降</w:t>
      </w:r>
      <w:r>
        <w:rPr>
          <w:rFonts w:hint="eastAsia" w:ascii="仿宋_GB2312" w:eastAsia="仿宋_GB2312"/>
          <w:sz w:val="32"/>
          <w:szCs w:val="32"/>
          <w:lang w:val="en-US" w:eastAsia="zh-CN"/>
        </w:rPr>
        <w:t>21.62</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接待人次减少</w:t>
      </w:r>
      <w:r>
        <w:rPr>
          <w:rFonts w:hint="eastAsia" w:ascii="仿宋_GB2312" w:eastAsia="仿宋_GB2312"/>
          <w:sz w:val="32"/>
          <w:szCs w:val="32"/>
        </w:rPr>
        <w:t>。其中：</w:t>
      </w:r>
    </w:p>
    <w:p>
      <w:pPr>
        <w:pageBreakBefore w:val="0"/>
        <w:kinsoku/>
        <w:wordWrap/>
        <w:overflowPunct/>
        <w:topLinePunct w:val="0"/>
        <w:bidi w:val="0"/>
        <w:adjustRightInd w:val="0"/>
        <w:snapToGrid w:val="0"/>
        <w:spacing w:line="560" w:lineRule="exact"/>
        <w:ind w:firstLine="640"/>
        <w:textAlignment w:val="auto"/>
        <w:outlineLvl w:val="9"/>
        <w:rPr>
          <w:rFonts w:hint="default" w:ascii="仿宋_GB2312" w:eastAsia="仿宋_GB2312"/>
          <w:sz w:val="32"/>
          <w:szCs w:val="32"/>
          <w:lang w:val="en-US" w:eastAsia="zh-CN"/>
        </w:rPr>
      </w:pPr>
      <w:r>
        <w:rPr>
          <w:rFonts w:hint="eastAsia" w:ascii="仿宋" w:eastAsia="仿宋"/>
          <w:b/>
          <w:sz w:val="32"/>
          <w:szCs w:val="32"/>
        </w:rPr>
        <w:t>国内公务接待支出</w:t>
      </w:r>
      <w:r>
        <w:rPr>
          <w:rFonts w:hint="eastAsia" w:ascii="仿宋" w:eastAsia="仿宋"/>
          <w:b/>
          <w:sz w:val="32"/>
          <w:szCs w:val="32"/>
          <w:lang w:val="en-US" w:eastAsia="zh-CN"/>
        </w:rPr>
        <w:t>0.29</w:t>
      </w:r>
      <w:r>
        <w:rPr>
          <w:rFonts w:hint="eastAsia" w:ascii="仿宋_GB2312" w:eastAsia="仿宋_GB2312"/>
          <w:sz w:val="32"/>
          <w:szCs w:val="32"/>
        </w:rPr>
        <w:t>万元，主要用于</w:t>
      </w:r>
      <w:r>
        <w:rPr>
          <w:rFonts w:hint="eastAsia" w:ascii="仿宋_GB2312" w:eastAsia="仿宋_GB2312"/>
          <w:sz w:val="32"/>
          <w:szCs w:val="32"/>
          <w:lang w:eastAsia="zh-CN"/>
        </w:rPr>
        <w:t>电视台拍摄、办案</w:t>
      </w:r>
      <w:r>
        <w:rPr>
          <w:rFonts w:hint="eastAsia" w:ascii="仿宋_GB2312" w:eastAsia="仿宋_GB2312"/>
          <w:sz w:val="32"/>
          <w:szCs w:val="32"/>
        </w:rPr>
        <w:t>开支的用餐费。国内公务接待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0.29</w:t>
      </w:r>
      <w:r>
        <w:rPr>
          <w:rFonts w:hint="eastAsia" w:ascii="仿宋_GB2312" w:eastAsia="仿宋_GB2312"/>
          <w:sz w:val="32"/>
          <w:szCs w:val="32"/>
        </w:rPr>
        <w:t>万元，具体内容包括：</w:t>
      </w:r>
      <w:r>
        <w:rPr>
          <w:rFonts w:hint="eastAsia" w:ascii="仿宋_GB2312" w:eastAsia="仿宋_GB2312"/>
          <w:sz w:val="32"/>
          <w:szCs w:val="32"/>
          <w:lang w:val="en-US" w:eastAsia="zh-CN"/>
        </w:rPr>
        <w:t>1.接待</w:t>
      </w:r>
      <w:r>
        <w:rPr>
          <w:rFonts w:hint="eastAsia" w:ascii="仿宋_GB2312" w:eastAsia="仿宋_GB2312"/>
          <w:sz w:val="32"/>
          <w:szCs w:val="32"/>
          <w:lang w:eastAsia="zh-CN"/>
        </w:rPr>
        <w:t>四川省电视台拍摄工作发生餐饮费</w:t>
      </w:r>
      <w:r>
        <w:rPr>
          <w:rFonts w:hint="eastAsia" w:ascii="仿宋_GB2312" w:eastAsia="仿宋_GB2312"/>
          <w:sz w:val="32"/>
          <w:szCs w:val="32"/>
          <w:lang w:val="en-US" w:eastAsia="zh-CN"/>
        </w:rPr>
        <w:t>0.19万元；2.接待若尔盖县公安局办案人员发生餐费0.1万元</w:t>
      </w:r>
    </w:p>
    <w:p>
      <w:pPr>
        <w:pageBreakBefore w:val="0"/>
        <w:kinsoku/>
        <w:wordWrap/>
        <w:overflowPunct/>
        <w:topLinePunct w:val="0"/>
        <w:bidi w:val="0"/>
        <w:adjustRightInd w:val="0"/>
        <w:snapToGrid w:val="0"/>
        <w:spacing w:line="560" w:lineRule="exact"/>
        <w:ind w:firstLine="643" w:firstLineChars="200"/>
        <w:textAlignment w:val="auto"/>
        <w:outlineLvl w:val="9"/>
        <w:rPr>
          <w:rFonts w:ascii="仿宋_GB2312" w:eastAsia="仿宋_GB2312"/>
          <w:sz w:val="32"/>
          <w:szCs w:val="32"/>
        </w:rPr>
      </w:pPr>
      <w:r>
        <w:rPr>
          <w:rFonts w:hint="eastAsia" w:ascii="仿宋" w:eastAsia="仿宋"/>
          <w:b/>
          <w:sz w:val="32"/>
          <w:szCs w:val="32"/>
        </w:rPr>
        <w:t>外事接待支出</w:t>
      </w:r>
      <w:r>
        <w:rPr>
          <w:rFonts w:hint="eastAsia" w:ascii="仿宋" w:eastAsia="仿宋"/>
          <w:b/>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adjustRightInd w:val="0"/>
        <w:snapToGrid w:val="0"/>
        <w:spacing w:line="560" w:lineRule="exact"/>
        <w:ind w:firstLine="640"/>
        <w:textAlignment w:val="auto"/>
        <w:outlineLvl w:val="1"/>
        <w:rPr>
          <w:rStyle w:val="20"/>
          <w:rFonts w:ascii="黑体" w:eastAsia="黑体"/>
        </w:rPr>
      </w:pPr>
      <w:bookmarkStart w:id="56" w:name="_Toc15377218"/>
      <w:bookmarkStart w:id="57" w:name="_Toc15396610"/>
      <w:bookmarkStart w:id="58" w:name="_Toc3036"/>
      <w:r>
        <w:rPr>
          <w:rFonts w:hint="eastAsia" w:ascii="黑体" w:eastAsia="黑体"/>
          <w:sz w:val="32"/>
          <w:szCs w:val="32"/>
        </w:rPr>
        <w:t>八、</w:t>
      </w:r>
      <w:r>
        <w:rPr>
          <w:rStyle w:val="20"/>
          <w:rFonts w:hint="eastAsia" w:ascii="黑体" w:eastAsia="黑体"/>
          <w:b w:val="0"/>
        </w:rPr>
        <w:t>政府性基金预算支出决算情况说明</w:t>
      </w:r>
      <w:bookmarkEnd w:id="56"/>
      <w:bookmarkEnd w:id="57"/>
      <w:bookmarkEnd w:id="58"/>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numPr>
          <w:ilvl w:val="0"/>
          <w:numId w:val="2"/>
        </w:numPr>
        <w:kinsoku/>
        <w:wordWrap/>
        <w:overflowPunct/>
        <w:topLinePunct w:val="0"/>
        <w:bidi w:val="0"/>
        <w:adjustRightInd w:val="0"/>
        <w:snapToGrid w:val="0"/>
        <w:spacing w:line="560" w:lineRule="exact"/>
        <w:ind w:firstLine="640"/>
        <w:textAlignment w:val="auto"/>
        <w:outlineLvl w:val="1"/>
        <w:rPr>
          <w:rStyle w:val="20"/>
          <w:rFonts w:ascii="黑体" w:eastAsia="黑体"/>
          <w:b w:val="0"/>
        </w:rPr>
      </w:pPr>
      <w:bookmarkStart w:id="59" w:name="_Toc15377219"/>
      <w:bookmarkStart w:id="60" w:name="_Toc15396611"/>
      <w:bookmarkStart w:id="61" w:name="_Toc27759"/>
      <w:r>
        <w:rPr>
          <w:rStyle w:val="20"/>
          <w:rFonts w:hint="eastAsia" w:ascii="黑体" w:eastAsia="黑体"/>
          <w:b w:val="0"/>
        </w:rPr>
        <w:t>国有资本经营预算支出决算情况说明</w:t>
      </w:r>
      <w:bookmarkEnd w:id="59"/>
      <w:bookmarkEnd w:id="60"/>
      <w:bookmarkEnd w:id="61"/>
    </w:p>
    <w:p>
      <w:pPr>
        <w:pageBreakBefore w:val="0"/>
        <w:kinsoku/>
        <w:wordWrap/>
        <w:overflowPunct/>
        <w:topLinePunct w:val="0"/>
        <w:bidi w:val="0"/>
        <w:adjustRightInd w:val="0"/>
        <w:snapToGrid w:val="0"/>
        <w:spacing w:line="560" w:lineRule="exact"/>
        <w:ind w:firstLine="640"/>
        <w:textAlignment w:val="auto"/>
        <w:outlineLvl w:val="9"/>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numPr>
          <w:ilvl w:val="0"/>
          <w:numId w:val="2"/>
        </w:numPr>
        <w:kinsoku/>
        <w:wordWrap/>
        <w:overflowPunct/>
        <w:topLinePunct w:val="0"/>
        <w:bidi w:val="0"/>
        <w:adjustRightInd w:val="0"/>
        <w:snapToGrid w:val="0"/>
        <w:spacing w:line="560" w:lineRule="exact"/>
        <w:ind w:firstLine="640"/>
        <w:textAlignment w:val="auto"/>
        <w:outlineLvl w:val="1"/>
        <w:rPr>
          <w:rStyle w:val="20"/>
          <w:rFonts w:ascii="黑体" w:eastAsia="黑体"/>
          <w:b w:val="0"/>
        </w:rPr>
      </w:pPr>
      <w:bookmarkStart w:id="62" w:name="_Toc15396612"/>
      <w:bookmarkStart w:id="63" w:name="_Toc15377221"/>
      <w:bookmarkStart w:id="64" w:name="_Toc14656"/>
      <w:r>
        <w:rPr>
          <w:rStyle w:val="20"/>
          <w:rFonts w:hint="eastAsia" w:ascii="黑体" w:eastAsia="黑体"/>
          <w:b w:val="0"/>
        </w:rPr>
        <w:t>其他重要事项的情况说明</w:t>
      </w:r>
      <w:bookmarkEnd w:id="62"/>
      <w:bookmarkEnd w:id="63"/>
      <w:bookmarkEnd w:id="64"/>
    </w:p>
    <w:p>
      <w:pPr>
        <w:pageBreakBefore w:val="0"/>
        <w:kinsoku/>
        <w:wordWrap/>
        <w:overflowPunct/>
        <w:topLinePunct w:val="0"/>
        <w:bidi w:val="0"/>
        <w:adjustRightInd w:val="0"/>
        <w:snapToGrid w:val="0"/>
        <w:spacing w:line="560" w:lineRule="exact"/>
        <w:ind w:firstLine="643" w:firstLineChars="200"/>
        <w:textAlignment w:val="auto"/>
        <w:outlineLvl w:val="9"/>
        <w:rPr>
          <w:rFonts w:ascii="仿宋" w:eastAsia="仿宋"/>
          <w:sz w:val="32"/>
          <w:szCs w:val="32"/>
        </w:rPr>
      </w:pPr>
      <w:bookmarkStart w:id="65" w:name="_Toc15377222"/>
      <w:r>
        <w:rPr>
          <w:rFonts w:hint="eastAsia" w:ascii="仿宋" w:eastAsia="仿宋"/>
          <w:b/>
          <w:sz w:val="32"/>
          <w:szCs w:val="32"/>
        </w:rPr>
        <w:t>（一）机关运行经费支出情况</w:t>
      </w:r>
      <w:bookmarkEnd w:id="65"/>
    </w:p>
    <w:p>
      <w:pPr>
        <w:pageBreakBefore w:val="0"/>
        <w:kinsoku/>
        <w:wordWrap/>
        <w:overflowPunct/>
        <w:topLinePunct w:val="0"/>
        <w:bidi w:val="0"/>
        <w:adjustRightInd w:val="0"/>
        <w:snapToGrid w:val="0"/>
        <w:spacing w:line="560" w:lineRule="exact"/>
        <w:ind w:firstLine="640" w:firstLineChars="200"/>
        <w:textAlignment w:val="auto"/>
        <w:outlineLvl w:val="9"/>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22年机关运行经费支出</w:t>
      </w:r>
      <w:r>
        <w:rPr>
          <w:rFonts w:hint="eastAsia" w:ascii="仿宋_GB2312" w:eastAsia="仿宋_GB2312"/>
          <w:sz w:val="32"/>
          <w:szCs w:val="32"/>
          <w:lang w:val="en-US" w:eastAsia="zh-CN"/>
        </w:rPr>
        <w:t>464.93</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401.35</w:t>
      </w:r>
      <w:r>
        <w:rPr>
          <w:rFonts w:hint="eastAsia" w:ascii="仿宋_GB2312" w:eastAsia="仿宋_GB2312"/>
          <w:sz w:val="32"/>
          <w:szCs w:val="32"/>
        </w:rPr>
        <w:t>万元，增长</w:t>
      </w:r>
      <w:r>
        <w:rPr>
          <w:rFonts w:hint="eastAsia" w:ascii="仿宋_GB2312" w:eastAsia="仿宋_GB2312"/>
          <w:sz w:val="32"/>
          <w:szCs w:val="32"/>
          <w:lang w:val="en-US" w:eastAsia="zh-CN"/>
        </w:rPr>
        <w:t>15.84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新增</w:t>
      </w:r>
      <w:r>
        <w:rPr>
          <w:rFonts w:hint="eastAsia" w:ascii="仿宋_GB2312" w:eastAsia="仿宋_GB2312"/>
          <w:sz w:val="32"/>
          <w:szCs w:val="32"/>
          <w:lang w:val="en-US" w:eastAsia="zh-CN"/>
        </w:rPr>
        <w:t>22名民警及36名辅警。</w:t>
      </w:r>
    </w:p>
    <w:p>
      <w:pPr>
        <w:pageBreakBefore w:val="0"/>
        <w:kinsoku/>
        <w:wordWrap/>
        <w:overflowPunct/>
        <w:topLinePunct w:val="0"/>
        <w:autoSpaceDE w:val="0"/>
        <w:autoSpaceDN w:val="0"/>
        <w:bidi w:val="0"/>
        <w:adjustRightInd w:val="0"/>
        <w:snapToGrid w:val="0"/>
        <w:spacing w:line="560" w:lineRule="exact"/>
        <w:ind w:firstLine="643" w:firstLineChars="200"/>
        <w:jc w:val="left"/>
        <w:textAlignment w:val="auto"/>
        <w:outlineLvl w:val="9"/>
        <w:rPr>
          <w:rFonts w:ascii="仿宋" w:eastAsia="仿宋"/>
          <w:b/>
          <w:sz w:val="32"/>
          <w:szCs w:val="32"/>
        </w:rPr>
      </w:pPr>
      <w:bookmarkStart w:id="66" w:name="_Toc15377223"/>
      <w:r>
        <w:rPr>
          <w:rFonts w:hint="eastAsia" w:ascii="仿宋" w:eastAsia="仿宋"/>
          <w:b/>
          <w:sz w:val="32"/>
          <w:szCs w:val="32"/>
        </w:rPr>
        <w:t>（二）政府采购支出情况</w:t>
      </w:r>
      <w:bookmarkEnd w:id="66"/>
    </w:p>
    <w:p>
      <w:pPr>
        <w:pageBreakBefore w:val="0"/>
        <w:kinsoku/>
        <w:wordWrap/>
        <w:overflowPunct/>
        <w:topLinePunct w:val="0"/>
        <w:bidi w:val="0"/>
        <w:adjustRightInd w:val="0"/>
        <w:snapToGrid w:val="0"/>
        <w:spacing w:line="560" w:lineRule="exact"/>
        <w:ind w:firstLine="640" w:firstLineChars="200"/>
        <w:textAlignment w:val="auto"/>
        <w:outlineLvl w:val="9"/>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我单位</w:t>
      </w:r>
      <w:r>
        <w:rPr>
          <w:rFonts w:hint="eastAsia" w:ascii="仿宋_GB2312" w:eastAsia="仿宋_GB2312"/>
          <w:sz w:val="32"/>
          <w:szCs w:val="32"/>
        </w:rPr>
        <w:t>政府采购支出总额</w:t>
      </w:r>
      <w:r>
        <w:rPr>
          <w:rFonts w:hint="eastAsia" w:ascii="仿宋_GB2312" w:eastAsia="仿宋_GB2312"/>
          <w:sz w:val="32"/>
          <w:szCs w:val="32"/>
          <w:lang w:val="en-US" w:eastAsia="zh-CN"/>
        </w:rPr>
        <w:t>559.44</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543.44</w:t>
      </w:r>
      <w:r>
        <w:rPr>
          <w:rFonts w:hint="eastAsia" w:ascii="仿宋_GB2312" w:eastAsia="仿宋_GB2312"/>
          <w:sz w:val="32"/>
          <w:szCs w:val="32"/>
        </w:rPr>
        <w:t>万元、政府采购工程支出</w:t>
      </w:r>
      <w:r>
        <w:rPr>
          <w:rFonts w:hint="eastAsia" w:ascii="仿宋_GB2312" w:eastAsia="仿宋_GB2312"/>
          <w:sz w:val="32"/>
          <w:szCs w:val="32"/>
          <w:lang w:val="en-US" w:eastAsia="zh-CN"/>
        </w:rPr>
        <w:t>16</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eastAsia="zh-CN"/>
        </w:rPr>
        <w:t>办案区建设、警务实战化装备等</w:t>
      </w:r>
      <w:r>
        <w:rPr>
          <w:rFonts w:hint="eastAsia" w:ascii="仿宋_GB2312" w:eastAsia="仿宋_GB2312"/>
          <w:sz w:val="32"/>
          <w:szCs w:val="32"/>
        </w:rPr>
        <w:t>。授予中小企业合同金额</w:t>
      </w:r>
      <w:r>
        <w:rPr>
          <w:rFonts w:hint="eastAsia" w:ascii="仿宋_GB2312" w:eastAsia="仿宋_GB2312"/>
          <w:sz w:val="32"/>
          <w:szCs w:val="32"/>
          <w:lang w:val="en-US" w:eastAsia="zh-CN"/>
        </w:rPr>
        <w:t>559.44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457.95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81.86</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autoSpaceDE w:val="0"/>
        <w:autoSpaceDN w:val="0"/>
        <w:bidi w:val="0"/>
        <w:adjustRightInd w:val="0"/>
        <w:snapToGrid w:val="0"/>
        <w:spacing w:line="560" w:lineRule="exact"/>
        <w:ind w:firstLine="643" w:firstLineChars="200"/>
        <w:jc w:val="left"/>
        <w:textAlignment w:val="auto"/>
        <w:outlineLvl w:val="9"/>
        <w:rPr>
          <w:rFonts w:ascii="仿宋" w:eastAsia="仿宋"/>
          <w:b/>
          <w:sz w:val="32"/>
          <w:szCs w:val="32"/>
        </w:rPr>
      </w:pPr>
      <w:bookmarkStart w:id="67" w:name="_Toc15377224"/>
      <w:r>
        <w:rPr>
          <w:rFonts w:hint="eastAsia" w:ascii="仿宋" w:eastAsia="仿宋"/>
          <w:b/>
          <w:sz w:val="32"/>
          <w:szCs w:val="32"/>
        </w:rPr>
        <w:t>（三）国有资产占有使用情况</w:t>
      </w:r>
      <w:bookmarkEnd w:id="67"/>
    </w:p>
    <w:p>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60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执法执勤用车</w:t>
      </w:r>
      <w:r>
        <w:rPr>
          <w:rFonts w:hint="eastAsia" w:ascii="仿宋_GB2312" w:eastAsia="仿宋_GB2312"/>
          <w:sz w:val="32"/>
          <w:szCs w:val="32"/>
          <w:lang w:val="en-US" w:eastAsia="zh-CN"/>
        </w:rPr>
        <w:t>49辆、特种专业技术用车11辆、离退休干部用车0辆、</w:t>
      </w:r>
      <w:r>
        <w:rPr>
          <w:rFonts w:hint="eastAsia" w:ascii="仿宋_GB2312" w:eastAsia="仿宋_GB2312"/>
          <w:sz w:val="32"/>
          <w:szCs w:val="32"/>
        </w:rPr>
        <w:t>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pageBreakBefore w:val="0"/>
        <w:kinsoku/>
        <w:wordWrap/>
        <w:overflowPunct/>
        <w:topLinePunct w:val="0"/>
        <w:autoSpaceDE w:val="0"/>
        <w:autoSpaceDN w:val="0"/>
        <w:bidi w:val="0"/>
        <w:adjustRightInd w:val="0"/>
        <w:snapToGrid w:val="0"/>
        <w:spacing w:line="560" w:lineRule="exact"/>
        <w:ind w:firstLine="643" w:firstLineChars="200"/>
        <w:jc w:val="left"/>
        <w:textAlignment w:val="auto"/>
        <w:outlineLvl w:val="9"/>
        <w:rPr>
          <w:rFonts w:ascii="仿宋" w:eastAsia="仿宋"/>
          <w:b/>
          <w:sz w:val="32"/>
          <w:szCs w:val="32"/>
        </w:rPr>
      </w:pPr>
      <w:r>
        <w:rPr>
          <w:rFonts w:hint="eastAsia" w:ascii="仿宋" w:eastAsia="仿宋"/>
          <w:b/>
          <w:sz w:val="32"/>
          <w:szCs w:val="32"/>
        </w:rPr>
        <w:t>（四）预算绩效管理情况</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根据预算绩效管理要求，本单位在2022年度预算编制阶段，组织对红原县看守所犯人生活相关经费</w:t>
      </w:r>
      <w:r>
        <w:rPr>
          <w:rFonts w:hint="eastAsia" w:ascii="仿宋" w:hAnsi="仿宋" w:eastAsia="仿宋" w:cs="Times New Roman"/>
          <w:bCs/>
          <w:color w:val="000000"/>
          <w:sz w:val="32"/>
          <w:szCs w:val="32"/>
          <w:lang w:val="en-US" w:eastAsia="zh-CN"/>
        </w:rPr>
        <w:t>项目开展了预算事前绩效评估，对1个项目编制了绩效目标，预算执行过程中，选取1个项目开展绩效监控，年终执行完毕后，对1个项目开展了绩效自评，2022年特定目标类部门预算项目绩效目标自评表见附件（第四部分）。</w:t>
      </w:r>
    </w:p>
    <w:p>
      <w:pPr>
        <w:pStyle w:val="5"/>
        <w:pageBreakBefore w:val="0"/>
        <w:kinsoku/>
        <w:wordWrap/>
        <w:overflowPunct/>
        <w:topLinePunct w:val="0"/>
        <w:bidi w:val="0"/>
        <w:adjustRightInd w:val="0"/>
        <w:snapToGrid w:val="0"/>
        <w:spacing w:before="93" w:line="560" w:lineRule="exact"/>
        <w:ind w:firstLine="672" w:firstLineChars="210"/>
        <w:outlineLvl w:val="9"/>
        <w:rPr>
          <w:rFonts w:ascii="仿宋_GB2312" w:eastAsia="仿宋_GB2312"/>
          <w:b/>
          <w:sz w:val="32"/>
          <w:szCs w:val="32"/>
        </w:rPr>
      </w:pPr>
      <w:r>
        <w:rPr>
          <w:rFonts w:hint="eastAsia" w:ascii="仿宋_GB2312" w:eastAsia="仿宋_GB2312" w:cs="仿宋_GB2312"/>
          <w:sz w:val="32"/>
          <w:szCs w:val="32"/>
        </w:rPr>
        <w:t>组织对2022年度一般公共预算、政府性基金预算、国有资本经营预算、社会保险基金预算以及资本资产、债券资金等全面开展绩效自评，形成</w:t>
      </w:r>
      <w:r>
        <w:rPr>
          <w:rFonts w:hint="eastAsia" w:cs="仿宋_GB2312"/>
          <w:sz w:val="32"/>
          <w:szCs w:val="32"/>
          <w:lang w:eastAsia="zh-CN"/>
        </w:rPr>
        <w:t>红原县公安局</w:t>
      </w:r>
      <w:r>
        <w:rPr>
          <w:rFonts w:hint="eastAsia" w:cs="仿宋_GB2312"/>
          <w:sz w:val="32"/>
          <w:szCs w:val="32"/>
          <w:lang w:val="en-US" w:eastAsia="zh-CN"/>
        </w:rPr>
        <w:t>2022年度</w:t>
      </w:r>
      <w:r>
        <w:rPr>
          <w:rFonts w:hint="eastAsia" w:ascii="仿宋_GB2312" w:eastAsia="仿宋_GB2312" w:cs="仿宋_GB2312"/>
          <w:sz w:val="32"/>
          <w:szCs w:val="32"/>
        </w:rPr>
        <w:t>部门整体绩效自评报告、</w:t>
      </w:r>
      <w:r>
        <w:rPr>
          <w:rFonts w:hint="eastAsia" w:cs="仿宋_GB2312"/>
          <w:sz w:val="32"/>
          <w:szCs w:val="32"/>
          <w:lang w:eastAsia="zh-CN"/>
        </w:rPr>
        <w:t>红原县看守所犯人生活相关经费</w:t>
      </w:r>
      <w:r>
        <w:rPr>
          <w:rFonts w:hint="eastAsia" w:ascii="仿宋_GB2312" w:eastAsia="仿宋_GB2312" w:cs="仿宋_GB2312"/>
          <w:sz w:val="32"/>
          <w:szCs w:val="32"/>
        </w:rPr>
        <w:t>专项预算项目绩效自评报告，其中，</w:t>
      </w:r>
      <w:r>
        <w:rPr>
          <w:rFonts w:hint="eastAsia" w:cs="仿宋_GB2312"/>
          <w:sz w:val="32"/>
          <w:szCs w:val="32"/>
          <w:lang w:eastAsia="zh-CN"/>
        </w:rPr>
        <w:t>红原县公安局</w:t>
      </w:r>
      <w:r>
        <w:rPr>
          <w:rFonts w:hint="eastAsia" w:cs="仿宋_GB2312"/>
          <w:sz w:val="32"/>
          <w:szCs w:val="32"/>
          <w:lang w:val="en-US" w:eastAsia="zh-CN"/>
        </w:rPr>
        <w:t>2022年度</w:t>
      </w:r>
      <w:r>
        <w:rPr>
          <w:rFonts w:hint="eastAsia" w:ascii="仿宋_GB2312" w:eastAsia="仿宋_GB2312" w:cs="仿宋_GB2312"/>
          <w:sz w:val="32"/>
          <w:szCs w:val="32"/>
        </w:rPr>
        <w:t>部门整体绩效自评报告为</w:t>
      </w:r>
      <w:r>
        <w:rPr>
          <w:rFonts w:hint="eastAsia" w:cs="仿宋_GB2312"/>
          <w:sz w:val="32"/>
          <w:szCs w:val="32"/>
          <w:lang w:val="en-US" w:eastAsia="zh-CN"/>
        </w:rPr>
        <w:t>95.16</w:t>
      </w:r>
      <w:r>
        <w:rPr>
          <w:rFonts w:hint="eastAsia" w:ascii="仿宋_GB2312" w:eastAsia="仿宋_GB2312" w:cs="仿宋_GB2312"/>
          <w:sz w:val="32"/>
          <w:szCs w:val="32"/>
        </w:rPr>
        <w:t>分，绩效自评综述：</w:t>
      </w:r>
      <w:r>
        <w:rPr>
          <w:rFonts w:hint="eastAsia" w:ascii="仿宋_GB2312" w:eastAsia="仿宋_GB2312" w:cs="仿宋_GB2312"/>
          <w:sz w:val="32"/>
          <w:szCs w:val="32"/>
          <w:lang w:val="en-US" w:eastAsia="zh-CN"/>
        </w:rPr>
        <w:t>2022年我单位部门绩效评价质量良好，单位整体风险在可控范围内</w:t>
      </w:r>
      <w:r>
        <w:rPr>
          <w:rFonts w:hint="eastAsia" w:cs="仿宋_GB2312"/>
          <w:sz w:val="32"/>
          <w:szCs w:val="32"/>
          <w:lang w:val="en-US" w:eastAsia="zh-CN"/>
        </w:rPr>
        <w:t>，各种经费支出有序，保证部门职能职责运行有效</w:t>
      </w:r>
      <w:r>
        <w:rPr>
          <w:rFonts w:hint="eastAsia" w:ascii="仿宋_GB2312" w:eastAsia="仿宋_GB2312" w:cs="仿宋_GB2312"/>
          <w:sz w:val="32"/>
          <w:szCs w:val="32"/>
        </w:rPr>
        <w:t>；红原县看守所犯人生活相关经费专项预算项目绩效自评得分为</w:t>
      </w:r>
      <w:r>
        <w:rPr>
          <w:rFonts w:hint="eastAsia" w:cs="仿宋_GB2312"/>
          <w:sz w:val="32"/>
          <w:szCs w:val="32"/>
          <w:lang w:val="en-US" w:eastAsia="zh-CN"/>
        </w:rPr>
        <w:t>82.5</w:t>
      </w:r>
      <w:r>
        <w:rPr>
          <w:rFonts w:hint="eastAsia" w:ascii="仿宋_GB2312" w:eastAsia="仿宋_GB2312" w:cs="仿宋_GB2312"/>
          <w:sz w:val="32"/>
          <w:szCs w:val="32"/>
        </w:rPr>
        <w:t>分，绩效自评综述</w:t>
      </w:r>
      <w:r>
        <w:rPr>
          <w:rFonts w:hint="eastAsia" w:cs="仿宋_GB2312"/>
          <w:sz w:val="32"/>
          <w:szCs w:val="32"/>
          <w:lang w:eastAsia="zh-CN"/>
        </w:rPr>
        <w:t>：</w:t>
      </w:r>
      <w:r>
        <w:rPr>
          <w:rFonts w:hint="eastAsia" w:ascii="仿宋_GB2312" w:hAnsi="宋体" w:eastAsia="仿宋_GB2312"/>
          <w:sz w:val="32"/>
          <w:szCs w:val="32"/>
          <w:lang w:val="zh-CN"/>
        </w:rPr>
        <w:t>项目总评评价良好，基本做到根据看守所工作实际需要，保障在押人员生活，进一步改善在押人员的改造环境，保障监狱的安全持续稳定</w:t>
      </w:r>
      <w:r>
        <w:rPr>
          <w:rFonts w:hint="eastAsia" w:hAnsi="宋体"/>
          <w:sz w:val="32"/>
          <w:szCs w:val="32"/>
          <w:lang w:val="zh-CN" w:eastAsia="zh-CN"/>
        </w:rPr>
        <w:t>。</w:t>
      </w:r>
      <w:r>
        <w:rPr>
          <w:rFonts w:ascii="仿宋_GB2312" w:eastAsia="仿宋_GB2312"/>
          <w:b/>
          <w:sz w:val="32"/>
          <w:szCs w:val="32"/>
        </w:rPr>
        <w:br w:type="page"/>
      </w:r>
    </w:p>
    <w:p>
      <w:pPr>
        <w:pageBreakBefore w:val="0"/>
        <w:numPr>
          <w:ilvl w:val="0"/>
          <w:numId w:val="3"/>
        </w:numPr>
        <w:kinsoku/>
        <w:wordWrap/>
        <w:overflowPunct/>
        <w:topLinePunct w:val="0"/>
        <w:bidi w:val="0"/>
        <w:adjustRightInd w:val="0"/>
        <w:snapToGrid w:val="0"/>
        <w:spacing w:line="560" w:lineRule="exact"/>
        <w:ind w:firstLine="660" w:firstLineChars="150"/>
        <w:jc w:val="center"/>
        <w:textAlignment w:val="auto"/>
        <w:outlineLvl w:val="0"/>
        <w:rPr>
          <w:rStyle w:val="19"/>
          <w:rFonts w:ascii="黑体" w:eastAsia="黑体"/>
          <w:b w:val="0"/>
        </w:rPr>
      </w:pPr>
      <w:bookmarkStart w:id="68" w:name="_Toc15377225"/>
      <w:bookmarkStart w:id="69" w:name="_Toc15396613"/>
      <w:bookmarkStart w:id="70" w:name="_Toc29472"/>
      <w:r>
        <w:rPr>
          <w:rFonts w:hint="eastAsia" w:ascii="黑体" w:eastAsia="黑体"/>
          <w:sz w:val="44"/>
          <w:szCs w:val="44"/>
        </w:rPr>
        <w:t>名</w:t>
      </w:r>
      <w:r>
        <w:rPr>
          <w:rStyle w:val="19"/>
          <w:rFonts w:hint="eastAsia" w:ascii="黑体" w:eastAsia="黑体"/>
          <w:b w:val="0"/>
        </w:rPr>
        <w:t>词解释</w:t>
      </w:r>
      <w:bookmarkEnd w:id="68"/>
      <w:bookmarkEnd w:id="69"/>
      <w:bookmarkEnd w:id="70"/>
    </w:p>
    <w:p>
      <w:pPr>
        <w:pageBreakBefore w:val="0"/>
        <w:kinsoku/>
        <w:wordWrap/>
        <w:overflowPunct/>
        <w:topLinePunct w:val="0"/>
        <w:bidi w:val="0"/>
        <w:adjustRightInd w:val="0"/>
        <w:snapToGrid w:val="0"/>
        <w:spacing w:line="560" w:lineRule="exact"/>
        <w:jc w:val="left"/>
        <w:textAlignment w:val="auto"/>
        <w:rPr>
          <w:rFonts w:ascii="宋体"/>
          <w:b/>
          <w:sz w:val="44"/>
          <w:szCs w:val="44"/>
        </w:rPr>
      </w:pPr>
    </w:p>
    <w:p>
      <w:pPr>
        <w:pStyle w:val="24"/>
        <w:spacing w:line="560" w:lineRule="exact"/>
        <w:ind w:firstLine="640" w:firstLineChars="200"/>
        <w:outlineLvl w:val="9"/>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）一般行政管理事务（</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反映行政单位（包括实行公务员管理的事业单位）未单独设置项级科目的其他项目支出</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）执法办案（</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反映公安机关从事行政执法、刑事司法及侦查办案等相关活动的支出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）其他公安支出（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反映上述项目以外其他用于公安方面的支出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反映除上述项目以外其他用于公共安全方面的支出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反映机关事业单位实施养老保险制度由单位缴纳的基本养老保险费支出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公共卫生（</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）重大公共卫生专项（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反映重大疾病、重大传染病预防控制等重大公共卫生服务项目支出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ab/>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bookmarkStart w:id="71" w:name="_Toc15396614"/>
      <w:bookmarkStart w:id="72" w:name="_Toc15377226"/>
    </w:p>
    <w:p>
      <w:pPr>
        <w:pStyle w:val="2"/>
        <w:rPr>
          <w:rFonts w:hint="eastAsia" w:ascii="黑体" w:eastAsia="黑体"/>
          <w:sz w:val="44"/>
          <w:szCs w:val="44"/>
        </w:rPr>
      </w:pPr>
    </w:p>
    <w:p>
      <w:pPr>
        <w:rPr>
          <w:rFonts w:hint="eastAsia" w:ascii="黑体" w:eastAsia="黑体"/>
          <w:sz w:val="44"/>
          <w:szCs w:val="44"/>
        </w:rPr>
      </w:pPr>
    </w:p>
    <w:p>
      <w:pPr>
        <w:pStyle w:val="2"/>
        <w:rPr>
          <w:rFonts w:hint="eastAsia"/>
        </w:rPr>
      </w:pP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both"/>
        <w:textAlignment w:val="auto"/>
        <w:outlineLvl w:val="0"/>
        <w:rPr>
          <w:rFonts w:hint="eastAsia" w:ascii="黑体" w:eastAsia="黑体"/>
          <w:sz w:val="44"/>
          <w:szCs w:val="44"/>
        </w:rPr>
      </w:pPr>
    </w:p>
    <w:p>
      <w:pPr>
        <w:pageBreakBefore w:val="0"/>
        <w:kinsoku/>
        <w:wordWrap/>
        <w:overflowPunct/>
        <w:topLinePunct w:val="0"/>
        <w:bidi w:val="0"/>
        <w:adjustRightInd w:val="0"/>
        <w:snapToGrid w:val="0"/>
        <w:spacing w:line="560" w:lineRule="exact"/>
        <w:jc w:val="center"/>
        <w:textAlignment w:val="auto"/>
        <w:outlineLvl w:val="0"/>
        <w:rPr>
          <w:rStyle w:val="19"/>
          <w:rFonts w:ascii="黑体" w:eastAsia="黑体"/>
          <w:b w:val="0"/>
        </w:rPr>
      </w:pPr>
      <w:bookmarkStart w:id="73" w:name="_Toc24764"/>
      <w:r>
        <w:rPr>
          <w:rFonts w:hint="eastAsia" w:ascii="黑体" w:eastAsia="黑体"/>
          <w:sz w:val="44"/>
          <w:szCs w:val="44"/>
        </w:rPr>
        <w:t>第</w:t>
      </w:r>
      <w:r>
        <w:rPr>
          <w:rStyle w:val="19"/>
          <w:rFonts w:hint="eastAsia" w:ascii="黑体" w:eastAsia="黑体"/>
          <w:b w:val="0"/>
        </w:rPr>
        <w:t>四部分 附件</w:t>
      </w:r>
      <w:bookmarkEnd w:id="71"/>
      <w:bookmarkEnd w:id="73"/>
    </w:p>
    <w:p>
      <w:pPr>
        <w:pageBreakBefore w:val="0"/>
        <w:kinsoku/>
        <w:wordWrap/>
        <w:overflowPunct/>
        <w:topLinePunct w:val="0"/>
        <w:bidi w:val="0"/>
        <w:adjustRightInd w:val="0"/>
        <w:snapToGrid w:val="0"/>
        <w:spacing w:line="560" w:lineRule="exact"/>
        <w:jc w:val="left"/>
        <w:textAlignment w:val="auto"/>
        <w:outlineLvl w:val="9"/>
        <w:rPr>
          <w:rFonts w:ascii="方正小标宋简体" w:eastAsia="方正小标宋简体" w:cs="方正小标宋简体"/>
          <w:sz w:val="44"/>
          <w:szCs w:val="44"/>
        </w:rPr>
      </w:pPr>
      <w:r>
        <w:rPr>
          <w:rFonts w:hint="eastAsia" w:ascii="黑体" w:eastAsia="黑体" w:cs="黑体"/>
          <w:sz w:val="32"/>
          <w:szCs w:val="32"/>
        </w:rPr>
        <w:t>附件</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红原县公安局</w:t>
      </w:r>
    </w:p>
    <w:p>
      <w:pPr>
        <w:pageBreakBefore w:val="0"/>
        <w:widowControl/>
        <w:kinsoku/>
        <w:wordWrap/>
        <w:overflowPunct/>
        <w:topLinePunct w:val="0"/>
        <w:bidi w:val="0"/>
        <w:adjustRightInd w:val="0"/>
        <w:snapToGrid w:val="0"/>
        <w:spacing w:line="560" w:lineRule="exact"/>
        <w:contextualSpacing/>
        <w:jc w:val="center"/>
        <w:textAlignment w:val="auto"/>
        <w:outlineLvl w:val="9"/>
        <w:rPr>
          <w:rFonts w:ascii="宋体"/>
          <w:b/>
          <w:sz w:val="32"/>
          <w:szCs w:val="32"/>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黑体" w:eastAsia="黑体" w:cs="宋体"/>
          <w:kern w:val="0"/>
          <w:sz w:val="32"/>
          <w:szCs w:val="32"/>
          <w:shd w:val="clear" w:color="auto" w:fill="FFFFFF"/>
        </w:rPr>
      </w:pPr>
    </w:p>
    <w:p>
      <w:pPr>
        <w:pageBreakBefore w:val="0"/>
        <w:widowControl/>
        <w:numPr>
          <w:ilvl w:val="0"/>
          <w:numId w:val="4"/>
        </w:numPr>
        <w:kinsoku/>
        <w:wordWrap/>
        <w:overflowPunct/>
        <w:topLinePunct w:val="0"/>
        <w:bidi w:val="0"/>
        <w:adjustRightInd w:val="0"/>
        <w:snapToGrid w:val="0"/>
        <w:spacing w:line="560" w:lineRule="exact"/>
        <w:ind w:firstLine="640" w:firstLineChars="200"/>
        <w:contextualSpacing/>
        <w:jc w:val="left"/>
        <w:textAlignment w:val="auto"/>
        <w:outlineLvl w:val="9"/>
        <w:rPr>
          <w:rFonts w:ascii="黑体" w:eastAsia="黑体" w:cs="宋体"/>
          <w:kern w:val="0"/>
          <w:sz w:val="32"/>
          <w:szCs w:val="32"/>
          <w:shd w:val="clear" w:color="auto" w:fill="FFFFFF"/>
          <w:lang w:val="zh-CN"/>
        </w:rPr>
      </w:pPr>
      <w:r>
        <w:rPr>
          <w:rFonts w:hint="eastAsia" w:ascii="黑体" w:eastAsia="黑体" w:cs="宋体"/>
          <w:kern w:val="0"/>
          <w:sz w:val="32"/>
          <w:szCs w:val="32"/>
          <w:shd w:val="clear" w:color="auto" w:fill="FFFFFF"/>
          <w:lang w:val="zh-CN"/>
        </w:rPr>
        <w:t>部门（单位）基本情况</w:t>
      </w:r>
    </w:p>
    <w:p>
      <w:pPr>
        <w:pageBreakBefore w:val="0"/>
        <w:widowControl/>
        <w:numPr>
          <w:ilvl w:val="0"/>
          <w:numId w:val="5"/>
        </w:numPr>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机构组成。</w:t>
      </w:r>
    </w:p>
    <w:p>
      <w:pPr>
        <w:widowControl/>
        <w:adjustRightInd w:val="0"/>
        <w:snapToGrid w:val="0"/>
        <w:spacing w:line="580" w:lineRule="exact"/>
        <w:ind w:firstLine="640" w:firstLineChars="200"/>
        <w:contextualSpacing/>
        <w:jc w:val="left"/>
        <w:outlineLvl w:val="9"/>
        <w:rPr>
          <w:lang w:val="zh-CN"/>
        </w:rPr>
      </w:pPr>
      <w:r>
        <w:rPr>
          <w:rFonts w:hint="eastAsia" w:ascii="仿宋_GB2312" w:hAnsi="仿宋_GB2312" w:eastAsia="仿宋_GB2312" w:cs="仿宋_GB2312"/>
          <w:bCs/>
          <w:color w:val="000000"/>
          <w:kern w:val="0"/>
          <w:sz w:val="32"/>
          <w:szCs w:val="32"/>
          <w:lang w:val="en-US" w:eastAsia="zh-CN" w:bidi="ar-SA"/>
        </w:rPr>
        <w:t>我局共设置28个内设机构，分别是：指挥中心、国内安全保卫大队、治安管理大队、出入境管理大队、刑事侦查大队、交通管理大队、公共信息网络安全监察大队、法制大队、纪检监察大队、政工室、警务保障室、草原骑警大队、红原县看守所、红原县拘留所、红原县公安局刷经寺派出所、红原县公安局安曲派出所、红原县公安局邛溪派出所、红原县公安局瓦切派出所、红原县公安局色地派出所、红原县公安局麦洼派出所、红原县公安局阿木派出所、红原县公安局龙日派出所、红原县公安局江茸派出所、红原县公安局查尔玛派出所、红原县公安局壤口派出所、红原县公安局麦洼寺派出所、红原县公安局康玛尔寺派出所、红原县公安局茸塔寺派出所。</w:t>
      </w:r>
    </w:p>
    <w:p>
      <w:pPr>
        <w:pageBreakBefore w:val="0"/>
        <w:widowControl/>
        <w:numPr>
          <w:ilvl w:val="0"/>
          <w:numId w:val="5"/>
        </w:numPr>
        <w:kinsoku/>
        <w:wordWrap/>
        <w:overflowPunct/>
        <w:topLinePunct w:val="0"/>
        <w:bidi w:val="0"/>
        <w:adjustRightInd w:val="0"/>
        <w:snapToGrid w:val="0"/>
        <w:spacing w:line="560" w:lineRule="exact"/>
        <w:ind w:left="0" w:leftChars="0"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机构职能和人员概况。</w:t>
      </w:r>
    </w:p>
    <w:p>
      <w:pPr>
        <w:widowControl/>
        <w:numPr>
          <w:ilvl w:val="0"/>
          <w:numId w:val="6"/>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1.贯彻执行国家公安工作的方针、政策和法律、法规、规章，起草地方性公安法规、规章草案，部署、指导、监督、检查全县公安工作；负责全县辖区公安机关依法行政工作，落实行政执法责任制。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2.指导、协调全县公安机关应急管理、抢险救援工作和社会公共突发事件的处置工作。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3.收集影响社会稳定、危害国家安全和社会治安的情况，全面掌握社情民意，分析研判情报信息和治安形势，制定对策。</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4.组织、实施、指导全县公安法制建设，按管辖办理行政诉讼、行政复议案件。依法实施行政许可、行政审批事项。</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5.组织指导全县公安侦查工作；协调、指挥、侦破、处理公安机关管辖的刑事案件，处置治安灾害事故、骚乱和群体性突发事件；组织实施重大活动的安全保卫工作。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7.负责全县道路交通安全管理工作并承担相应责任。指导监督全县公安机关维护道路交通安全、交通秩序；组织、协调、处置交通事故；依法管理机动车辆（不含拖拉机）和驾驶人员。</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8.负责全县消防工作并承担相应责任。指导、监督、协调全县消防监督、火灾预防、火灾扑救工作和公安应急抢险救援工作。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9.指导全县公安警卫业务工作，组织实施对党和国家领导以及重要人物在县内的安全警卫工作并承担相应责任。组织、实施全县要害目标的安全保卫。</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10.指导、监督全县公安机关对公共信息网络的安全保护工作，负责信息安全等级保卫工作的监督、检查、指导。</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11.依法管理国籍、出境入境和外国人在红原县境内居留、旅行等有关工作。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12.组织、指导、协调对恐怖活动的情报、防范、侦察和应急处置工作。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13.指导、监督全县公安机关依法承担的执行刑罚和监督、考察工作。依法管理县看守所、拘留所。办理收容教养和劳动教养案件。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14.组织实施全县公安科学技术工作，组织、指导、规划全县公安机关的指挥系统、信息技术、刑事技术建设。</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15.制定全县公安机关装备和经费等警务保障计划和管理制度，组织协调全县公安机关履行职责的警务保障工作。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17.指导县森林公安机关的业务工作。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18.组织协调武警内卫部队执行公安任务。</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19.承担县政府禁毒委员会、劳动教养管理委员会、收容教养委员会、反恐怖工作协调小组日常工作。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20.承担县政府公布的有关行政审批事项。</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en-US" w:eastAsia="zh-CN"/>
        </w:rPr>
        <w:t>21.承办县委、县政府和上级公安机关交办的其他工作和法律、法规规定的其他职责。</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（三）人员概况</w:t>
      </w:r>
    </w:p>
    <w:p>
      <w:pPr>
        <w:pStyle w:val="5"/>
        <w:adjustRightInd w:val="0"/>
        <w:snapToGrid w:val="0"/>
        <w:spacing w:before="93" w:line="600" w:lineRule="exact"/>
        <w:ind w:firstLine="672" w:firstLineChars="210"/>
        <w:outlineLvl w:val="9"/>
        <w:rPr>
          <w:rFonts w:hint="eastAsia" w:ascii="仿宋_GB2312" w:hAnsi="仿宋_GB2312" w:eastAsia="仿宋_GB2312" w:cs="仿宋_GB2312"/>
          <w:bCs/>
          <w:color w:val="000000"/>
          <w:sz w:val="32"/>
          <w:szCs w:val="32"/>
          <w:lang w:val="zh-CN" w:eastAsia="zh-CN"/>
        </w:rPr>
      </w:pPr>
      <w:r>
        <w:rPr>
          <w:rFonts w:hint="eastAsia" w:ascii="仿宋_GB2312" w:hAnsi="仿宋_GB2312" w:eastAsia="仿宋_GB2312" w:cs="仿宋_GB2312"/>
          <w:bCs/>
          <w:color w:val="000000"/>
          <w:sz w:val="32"/>
          <w:szCs w:val="32"/>
          <w:lang w:val="en-US" w:eastAsia="zh-CN"/>
        </w:rPr>
        <w:t>我单位为独立核算全额拨款行政单位。</w:t>
      </w:r>
      <w:r>
        <w:rPr>
          <w:rFonts w:hint="eastAsia" w:hAnsi="仿宋_GB2312" w:cs="仿宋_GB2312"/>
          <w:bCs/>
          <w:color w:val="000000"/>
          <w:sz w:val="32"/>
          <w:szCs w:val="32"/>
          <w:lang w:val="en-US" w:eastAsia="zh-CN"/>
        </w:rPr>
        <w:t>截至</w:t>
      </w:r>
      <w:r>
        <w:rPr>
          <w:rFonts w:hint="eastAsia" w:ascii="仿宋_GB2312" w:hAnsi="仿宋_GB2312" w:eastAsia="仿宋_GB2312" w:cs="仿宋_GB2312"/>
          <w:bCs/>
          <w:color w:val="000000"/>
          <w:sz w:val="32"/>
          <w:szCs w:val="32"/>
          <w:lang w:val="en-US" w:eastAsia="zh-CN"/>
        </w:rPr>
        <w:t>2021年底我单位共有编制181个，其中公务员编制172个，行政工勤编制9个，在职</w:t>
      </w:r>
      <w:r>
        <w:rPr>
          <w:rFonts w:hint="eastAsia" w:hAnsi="仿宋_GB2312" w:cs="仿宋_GB2312"/>
          <w:bCs/>
          <w:color w:val="000000"/>
          <w:sz w:val="32"/>
          <w:szCs w:val="32"/>
          <w:lang w:val="en-US" w:eastAsia="zh-CN"/>
        </w:rPr>
        <w:t>175</w:t>
      </w:r>
      <w:r>
        <w:rPr>
          <w:rFonts w:hint="eastAsia" w:ascii="仿宋_GB2312" w:hAnsi="仿宋_GB2312" w:eastAsia="仿宋_GB2312" w:cs="仿宋_GB2312"/>
          <w:bCs/>
          <w:color w:val="000000"/>
          <w:sz w:val="32"/>
          <w:szCs w:val="32"/>
          <w:lang w:val="en-US" w:eastAsia="zh-CN"/>
        </w:rPr>
        <w:t>人，其中公务员</w:t>
      </w:r>
      <w:r>
        <w:rPr>
          <w:rFonts w:hint="eastAsia" w:hAnsi="仿宋_GB2312" w:cs="仿宋_GB2312"/>
          <w:bCs/>
          <w:color w:val="000000"/>
          <w:sz w:val="32"/>
          <w:szCs w:val="32"/>
          <w:lang w:val="en-US" w:eastAsia="zh-CN"/>
        </w:rPr>
        <w:t>165</w:t>
      </w:r>
      <w:r>
        <w:rPr>
          <w:rFonts w:hint="eastAsia" w:ascii="仿宋_GB2312" w:hAnsi="仿宋_GB2312" w:eastAsia="仿宋_GB2312" w:cs="仿宋_GB2312"/>
          <w:bCs/>
          <w:color w:val="000000"/>
          <w:sz w:val="32"/>
          <w:szCs w:val="32"/>
          <w:lang w:val="en-US" w:eastAsia="zh-CN"/>
        </w:rPr>
        <w:t>人，行政工勤</w:t>
      </w:r>
      <w:r>
        <w:rPr>
          <w:rFonts w:hint="eastAsia" w:hAnsi="仿宋_GB2312" w:cs="仿宋_GB2312"/>
          <w:bCs/>
          <w:color w:val="000000"/>
          <w:sz w:val="32"/>
          <w:szCs w:val="32"/>
          <w:lang w:val="en-US" w:eastAsia="zh-CN"/>
        </w:rPr>
        <w:t>10</w:t>
      </w:r>
      <w:r>
        <w:rPr>
          <w:rFonts w:hint="eastAsia" w:ascii="仿宋_GB2312" w:hAnsi="仿宋_GB2312" w:eastAsia="仿宋_GB2312" w:cs="仿宋_GB2312"/>
          <w:bCs/>
          <w:color w:val="000000"/>
          <w:sz w:val="32"/>
          <w:szCs w:val="32"/>
          <w:lang w:val="en-US" w:eastAsia="zh-CN"/>
        </w:rPr>
        <w:t>人。</w:t>
      </w:r>
    </w:p>
    <w:p>
      <w:pPr>
        <w:pageBreakBefore w:val="0"/>
        <w:widowControl/>
        <w:numPr>
          <w:ilvl w:val="0"/>
          <w:numId w:val="6"/>
        </w:numPr>
        <w:kinsoku/>
        <w:wordWrap/>
        <w:overflowPunct/>
        <w:topLinePunct w:val="0"/>
        <w:bidi w:val="0"/>
        <w:adjustRightInd w:val="0"/>
        <w:snapToGrid w:val="0"/>
        <w:spacing w:line="560" w:lineRule="exact"/>
        <w:ind w:left="0" w:leftChars="0"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年度主要工作任务。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ascii="仿宋_GB2312" w:hAnsi="仿宋_GB2312" w:eastAsia="仿宋_GB2312" w:cs="仿宋_GB2312"/>
          <w:bCs/>
          <w:color w:val="000000"/>
          <w:kern w:val="0"/>
          <w:sz w:val="32"/>
          <w:szCs w:val="32"/>
          <w:lang w:val="en-US" w:eastAsia="zh-CN" w:bidi="ar-SA"/>
        </w:rPr>
        <w:t>1</w:t>
      </w:r>
      <w:r>
        <w:rPr>
          <w:rFonts w:hint="eastAsia" w:ascii="仿宋_GB2312" w:hAnsi="仿宋_GB2312" w:eastAsia="仿宋_GB2312" w:cs="仿宋_GB2312"/>
          <w:bCs/>
          <w:color w:val="000000"/>
          <w:kern w:val="0"/>
          <w:sz w:val="32"/>
          <w:szCs w:val="32"/>
          <w:lang w:val="zh-CN" w:eastAsia="zh-CN" w:bidi="ar-SA"/>
        </w:rPr>
        <w:t>、知大势，认真做好谋划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ascii="仿宋_GB2312" w:hAnsi="仿宋_GB2312" w:eastAsia="仿宋_GB2312" w:cs="仿宋_GB2312"/>
          <w:bCs/>
          <w:color w:val="000000"/>
          <w:kern w:val="0"/>
          <w:sz w:val="32"/>
          <w:szCs w:val="32"/>
          <w:lang w:val="zh-CN" w:eastAsia="zh-CN" w:bidi="ar-SA"/>
        </w:rPr>
        <w:t>牢固树立“看不见的风险就是最大风险”的理念，密切关注社会稳定形势及风险矛盾动态变化，下好先手棋，打好主动仗。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2.强态势，打击违法犯罪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提升侦查手段，从重从快打击违法犯罪活动；继续保持坚持扫黑除恶常态化，严厉打击涉恶犯罪，加大社会乱象的整治，不断提升人民群众的安全观和满意度。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3.</w:t>
      </w:r>
      <w:r>
        <w:rPr>
          <w:rFonts w:hint="default" w:ascii="仿宋_GB2312" w:hAnsi="仿宋_GB2312" w:eastAsia="仿宋_GB2312" w:cs="仿宋_GB2312"/>
          <w:bCs/>
          <w:color w:val="000000"/>
          <w:kern w:val="0"/>
          <w:sz w:val="32"/>
          <w:szCs w:val="32"/>
          <w:lang w:val="en-US" w:eastAsia="zh-CN" w:bidi="ar-SA"/>
        </w:rPr>
        <w:t>重服务，提升工作质效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bCs/>
          <w:color w:val="000000"/>
          <w:kern w:val="0"/>
          <w:sz w:val="32"/>
          <w:szCs w:val="32"/>
          <w:lang w:val="en-US" w:eastAsia="zh-CN" w:bidi="ar-SA"/>
        </w:rPr>
      </w:pPr>
      <w:r>
        <w:rPr>
          <w:rFonts w:hint="default" w:ascii="仿宋_GB2312" w:hAnsi="仿宋_GB2312" w:eastAsia="仿宋_GB2312" w:cs="仿宋_GB2312"/>
          <w:bCs/>
          <w:color w:val="000000"/>
          <w:kern w:val="0"/>
          <w:sz w:val="32"/>
          <w:szCs w:val="32"/>
          <w:lang w:val="en-US" w:eastAsia="zh-CN" w:bidi="ar-SA"/>
        </w:rPr>
        <w:t>以“我为群众办实事”活动为契机，不断提升服务人民群众的工作质量，以“急群众所急、想群众所想”为主线，进一步拉近与人民群众的感情。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4强队伍，打造公安铁军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以队伍正规化建设为契机，狠抓队伍教育整顿工作，不断提高民辅警的政治素养和业务水平，以公安铁军为全县的社会发展保驾护航。</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（四）部门整体支出绩效目标。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 xml:space="preserve">2022年我单位部门整体支出绩效目标一是保障人员支出和单位正常运转目标，保障职工基本工资及津补贴等工资福利待遇，保障日常工作任务的完成。二是严格按照财务规章制度做好各项开支，加强财务监督，杜绝不合理开支。三是项目支出用于我单位打击各项违法犯罪活动、安保等业务支出 </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二、部门资金收支情况</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（一）部门总体收支情况。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1.部门总体收入情况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2022年我单位部门总体收入8,402.7万元，其中一般公共预算财政拨款收入8,355.62万元，占比99.44%；政府性基金预算财政拨款收入0万元，占比0%；政府性基金预算财政拨款收入0万元，占比0%；其他收入47.08万元；占比0.56%。</w:t>
      </w:r>
    </w:p>
    <w:p>
      <w:pPr>
        <w:pageBreakBefore w:val="0"/>
        <w:widowControl/>
        <w:numPr>
          <w:ilvl w:val="0"/>
          <w:numId w:val="7"/>
        </w:numPr>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部门总体支出情况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2022年我单位部门总体支出8,402.70万元，其中公共安全支出7,205.02万元，占比85.75%；社会保障和就业支出557.35万元，占比6.63%；卫生健康支出267.26万元，占比3.18%；住房保障支出373.07万元，占比4.44%。</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（二）部门财政拨款收支情况。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1.部门财政拨款收入情况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2022年我单位财政拨款收入8,355.62万元，其中一般公共预算财政拨款8,355.62万元，占比100%；政府性基金预算财政拨款0万元；占比0%；国有资本经营预算财政拨款0万元，占比0%。</w:t>
      </w:r>
    </w:p>
    <w:p>
      <w:pPr>
        <w:pageBreakBefore w:val="0"/>
        <w:widowControl/>
        <w:numPr>
          <w:ilvl w:val="0"/>
          <w:numId w:val="0"/>
        </w:numPr>
        <w:kinsoku/>
        <w:wordWrap/>
        <w:overflowPunct/>
        <w:topLinePunct w:val="0"/>
        <w:bidi w:val="0"/>
        <w:adjustRightInd w:val="0"/>
        <w:snapToGrid w:val="0"/>
        <w:spacing w:line="560" w:lineRule="exact"/>
        <w:ind w:leftChars="200"/>
        <w:contextualSpacing/>
        <w:jc w:val="left"/>
        <w:textAlignment w:val="auto"/>
        <w:outlineLvl w:val="9"/>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lang w:val="en-US" w:eastAsia="zh-CN"/>
        </w:rPr>
        <w:t>2.</w:t>
      </w:r>
      <w:r>
        <w:rPr>
          <w:rFonts w:hint="eastAsia" w:ascii="仿宋_GB2312" w:eastAsia="仿宋_GB2312" w:cs="仿宋_GB2312"/>
          <w:kern w:val="0"/>
          <w:sz w:val="32"/>
          <w:szCs w:val="32"/>
          <w:shd w:val="clear" w:color="auto" w:fill="FFFFFF"/>
        </w:rPr>
        <w:t>部门财政拨款支出情况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2022年我单位财政拨款支出8,355.62万元，其中公共安全支出7,157.94万元,社会保障和就业支出557.35万元，卫生健康支出267.26万元，住房保障支出373.07万元。</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三、部门整体绩效分析</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（一）部门预算项目绩效分析。</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lang w:val="zh-CN"/>
        </w:rPr>
      </w:pPr>
      <w:r>
        <w:rPr>
          <w:rFonts w:hint="eastAsia" w:ascii="仿宋_GB2312" w:hAnsi="宋体" w:eastAsia="仿宋_GB2312" w:cs="宋体"/>
          <w:color w:val="000000"/>
          <w:kern w:val="0"/>
          <w:sz w:val="32"/>
          <w:szCs w:val="32"/>
          <w:shd w:val="clear" w:color="auto" w:fill="FFFFFF"/>
          <w:lang w:val="en-US" w:eastAsia="zh-CN"/>
        </w:rPr>
        <w:t>202</w:t>
      </w:r>
      <w:r>
        <w:rPr>
          <w:rFonts w:hint="eastAsia" w:ascii="仿宋_GB2312" w:hAnsi="宋体"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en-US" w:eastAsia="zh-CN"/>
        </w:rPr>
        <w:t>年我单位绩效目标</w:t>
      </w:r>
      <w:r>
        <w:rPr>
          <w:rFonts w:hint="eastAsia" w:ascii="仿宋_GB2312" w:hAnsi="宋体" w:cs="宋体"/>
          <w:color w:val="000000"/>
          <w:kern w:val="0"/>
          <w:sz w:val="32"/>
          <w:szCs w:val="32"/>
          <w:shd w:val="clear" w:color="auto" w:fill="FFFFFF"/>
          <w:lang w:val="en-US" w:eastAsia="zh-CN"/>
        </w:rPr>
        <w:t>为在2021年各项任务完成的基础之上进一步维护辖区社会治安平稳有序、严厉打击各项犯罪，为经济、社会平稳发展做出应有贡献，继续在维护国家安全，维护社会治安秩序，保护公民人身安全、人身自由、合法财产，保护公共财产，预防、制止、惩治违法犯罪道路上开启新征程。</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（二）部门整体履职绩效分析。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000000"/>
          <w:kern w:val="0"/>
          <w:sz w:val="32"/>
          <w:szCs w:val="32"/>
          <w:lang w:val="en-US" w:eastAsia="zh-CN" w:bidi="ar-SA"/>
        </w:rPr>
        <w:t>1、夯实刑侦工作基础。</w:t>
      </w:r>
      <w:r>
        <w:rPr>
          <w:rFonts w:hint="eastAsia" w:ascii="仿宋_GB2312" w:hAnsi="仿宋_GB2312" w:eastAsia="仿宋_GB2312" w:cs="仿宋_GB2312"/>
          <w:bCs/>
          <w:color w:val="000000"/>
          <w:kern w:val="0"/>
          <w:sz w:val="32"/>
          <w:szCs w:val="32"/>
          <w:lang w:val="en-US" w:eastAsia="zh-CN" w:bidi="ar-SA"/>
        </w:rPr>
        <w:t>2022年，共立各类刑事案件78起，破44起，破案率为56.4%；抓获犯罪嫌疑人99人；抓获在逃人员8人；移送起诉38案65人;挡获被盗机动车44辆，追回被盗牲畜12头/匹，发还被骗资金13万元，为群众换回经济损失约55.67万元；全年共立各类侵财类案件59起，破24起，破案率为40.6%，国家反诈APP注册率达38.5%，全州排名第六。2022年，协助公安部抓获1名涉养老诈骗犯罪嫌疑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000000"/>
          <w:kern w:val="0"/>
          <w:sz w:val="32"/>
          <w:szCs w:val="32"/>
          <w:lang w:val="en-US" w:eastAsia="zh-CN" w:bidi="ar-SA"/>
        </w:rPr>
        <w:t>2、强化治安管理工作。</w:t>
      </w:r>
      <w:r>
        <w:rPr>
          <w:rFonts w:hint="eastAsia" w:ascii="仿宋_GB2312" w:hAnsi="仿宋_GB2312" w:eastAsia="仿宋_GB2312" w:cs="仿宋_GB2312"/>
          <w:bCs/>
          <w:color w:val="000000"/>
          <w:kern w:val="0"/>
          <w:sz w:val="32"/>
          <w:szCs w:val="32"/>
          <w:lang w:val="en-US" w:eastAsia="zh-CN" w:bidi="ar-SA"/>
        </w:rPr>
        <w:t>2022年，全县共办理行政案件214起，加强对“黄、赌、毒”等群众关注、社会影响恶劣的案件的打击查处力度，办理“黄、赌、毒”案件31起，查处违法人员94人。疫情期间办理拒不执行紧急状态下的决定、命令48起，处罚73人；截至目前，全县安装旅店业、未办证留宿场所信息系统112家，人脸识别系统安装98家，采集信息288420条；全县共计盘查车辆96643辆，人员68901人，抓获网逃4人，开展治安清查收缴管制刀具56把；共收缴枪支86支，炮弹1枚，手榴弹2枚，子弹2000发，导火索30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3、推进森林草原防灭火和食药环工作。</w:t>
      </w:r>
      <w:r>
        <w:rPr>
          <w:rFonts w:hint="eastAsia" w:ascii="仿宋_GB2312" w:hAnsi="仿宋_GB2312" w:eastAsia="仿宋_GB2312" w:cs="仿宋_GB2312"/>
          <w:bCs/>
          <w:color w:val="000000"/>
          <w:kern w:val="0"/>
          <w:sz w:val="32"/>
          <w:szCs w:val="32"/>
          <w:lang w:val="en-US" w:eastAsia="zh-CN" w:bidi="ar-SA"/>
        </w:rPr>
        <w:t>共查处违规野外用火案件10件（其中：行政拘留3件3人，行政处罚7件11人）；侦破4起生产、销售不符合安全标准的食品案，查扣死因不明、未取得动物检疫合格证的牛骨8.82吨、牛肉2100斤，抓获犯罪嫌疑人19人（已经移送起诉15人）；侦破了色地“12.02”盗挖泥炭团伙系列案和色地“4.19”盗挖泥炭案，两起案件均为厅督办案件，抓获犯罪嫌疑人5人（已经移送起诉），办理1起非法捕捞水产品案。移送起诉1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4、提升道路交管工作质量。</w:t>
      </w:r>
      <w:r>
        <w:rPr>
          <w:rFonts w:hint="eastAsia" w:ascii="仿宋_GB2312" w:hAnsi="仿宋_GB2312" w:eastAsia="仿宋_GB2312" w:cs="仿宋_GB2312"/>
          <w:bCs/>
          <w:color w:val="000000"/>
          <w:kern w:val="0"/>
          <w:sz w:val="32"/>
          <w:szCs w:val="32"/>
          <w:lang w:val="en-US" w:eastAsia="zh-CN" w:bidi="ar-SA"/>
        </w:rPr>
        <w:t>截至目前，全县共发生简易交通事故644起，一般道路交通事故11起，死亡6人，受伤113人，财产损失96.6万元。共查处各类交通违法行为1.4万起。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
          <w:bCs w:val="0"/>
          <w:color w:val="000000"/>
          <w:kern w:val="0"/>
          <w:sz w:val="32"/>
          <w:szCs w:val="32"/>
          <w:lang w:val="en-US" w:eastAsia="zh-CN" w:bidi="ar-SA"/>
        </w:rPr>
        <w:t>5、打赢疫情防控攻坚战。</w:t>
      </w:r>
      <w:r>
        <w:rPr>
          <w:rFonts w:hint="eastAsia" w:ascii="仿宋_GB2312" w:hAnsi="仿宋_GB2312" w:eastAsia="仿宋_GB2312" w:cs="仿宋_GB2312"/>
          <w:bCs/>
          <w:color w:val="000000"/>
          <w:kern w:val="0"/>
          <w:sz w:val="32"/>
          <w:szCs w:val="32"/>
          <w:lang w:val="en-US" w:eastAsia="zh-CN" w:bidi="ar-SA"/>
        </w:rPr>
        <w:t>在2022年我州阿坝县出现疫情反弹的情况下，红原县公安局派出9名警力赴阿坝县25天开展疫情防控增援工作；抽调90名警力在全县45个核酸采集点开展秩序维护工作；派出6名警力深入全县3个集中隔离点开展驻地管控工作；抽调10人组成流调溯源专班，对疫情指挥部下发的流调数据进行核查核实；抽调属地派出所民辅警参与刷经寺、安曲、壤口、瓦切、色地疫情卡点的值班值勤，严格落实对过往车辆、驾乘人员的扫码及询问工作；10月30日，再次派出4名民警2辆警车增援阿坝县大货车转运工作。</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（三）结果应用情况。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default" w:ascii="仿宋_GB2312" w:eastAsia="仿宋_GB2312" w:cs="仿宋_GB2312"/>
          <w:kern w:val="0"/>
          <w:sz w:val="32"/>
          <w:szCs w:val="32"/>
          <w:shd w:val="clear" w:color="auto" w:fill="FFFFFF"/>
          <w:lang w:val="en-US" w:eastAsia="zh-CN"/>
        </w:rPr>
      </w:pPr>
      <w:r>
        <w:rPr>
          <w:rFonts w:hint="eastAsia" w:ascii="仿宋_GB2312" w:eastAsia="仿宋_GB2312" w:cs="仿宋_GB2312"/>
          <w:kern w:val="0"/>
          <w:sz w:val="32"/>
          <w:szCs w:val="32"/>
          <w:shd w:val="clear" w:color="auto" w:fill="FFFFFF"/>
          <w:lang w:val="en-US" w:eastAsia="zh-CN"/>
        </w:rPr>
        <w:t>我单位通过部门整体支出绩效自评，进一步优化单位职工考勤制度，进一步合理二次分配；进一步优化内部控制制度建设以及流程完整。</w:t>
      </w:r>
    </w:p>
    <w:p>
      <w:pPr>
        <w:pageBreakBefore w:val="0"/>
        <w:widowControl/>
        <w:numPr>
          <w:ilvl w:val="0"/>
          <w:numId w:val="8"/>
        </w:numPr>
        <w:kinsoku/>
        <w:wordWrap/>
        <w:overflowPunct/>
        <w:topLinePunct w:val="0"/>
        <w:bidi w:val="0"/>
        <w:adjustRightInd w:val="0"/>
        <w:snapToGrid w:val="0"/>
        <w:spacing w:line="560" w:lineRule="exact"/>
        <w:ind w:firstLine="643" w:firstLineChars="200"/>
        <w:contextualSpacing/>
        <w:jc w:val="left"/>
        <w:textAlignment w:val="auto"/>
        <w:outlineLvl w:val="9"/>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自评质量。</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2022</w:t>
      </w:r>
      <w:r>
        <w:rPr>
          <w:rFonts w:hint="eastAsia" w:hAnsi="仿宋_GB2312" w:cs="仿宋_GB2312"/>
          <w:color w:val="000000"/>
          <w:kern w:val="0"/>
          <w:sz w:val="32"/>
          <w:szCs w:val="32"/>
          <w:shd w:val="clear" w:color="auto" w:fill="FFFFFF"/>
          <w:lang w:val="en-US" w:eastAsia="zh-CN"/>
        </w:rPr>
        <w:t>年我单位从预算管理、目标管理、部门管理、履职效能四个方面对我单位2022年资金使用进行量化。量化指标设置完整、量化过程公正、量化结果客观。</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（一）评价结论。</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hAnsi="仿宋_GB2312" w:cs="仿宋_GB2312"/>
          <w:color w:val="000000"/>
          <w:kern w:val="0"/>
          <w:sz w:val="32"/>
          <w:szCs w:val="32"/>
          <w:shd w:val="clear" w:color="auto" w:fill="FFFFFF"/>
          <w:lang w:val="en-US" w:eastAsia="zh-CN"/>
        </w:rPr>
      </w:pPr>
      <w:r>
        <w:rPr>
          <w:rFonts w:hint="eastAsia" w:hAnsi="仿宋_GB2312" w:cs="仿宋_GB2312"/>
          <w:color w:val="000000"/>
          <w:kern w:val="0"/>
          <w:sz w:val="32"/>
          <w:szCs w:val="32"/>
          <w:shd w:val="clear" w:color="auto" w:fill="FFFFFF"/>
          <w:lang w:val="en-US" w:eastAsia="zh-CN"/>
        </w:rPr>
        <w:t>202</w:t>
      </w:r>
      <w:r>
        <w:rPr>
          <w:rFonts w:hint="eastAsia" w:hAnsi="仿宋_GB2312" w:cs="仿宋_GB2312"/>
          <w:color w:val="000000"/>
          <w:kern w:val="0"/>
          <w:sz w:val="32"/>
          <w:szCs w:val="32"/>
          <w:shd w:val="clear" w:color="auto" w:fill="FFFFFF"/>
          <w:lang w:val="en-US" w:eastAsia="zh-CN"/>
        </w:rPr>
        <w:t>2年我局整体部门支出良好,部门整体风险在可控范围之内</w:t>
      </w:r>
      <w:r>
        <w:rPr>
          <w:rFonts w:hint="eastAsia" w:hAnsi="仿宋_GB2312" w:cs="仿宋_GB2312"/>
          <w:color w:val="000000"/>
          <w:kern w:val="0"/>
          <w:sz w:val="32"/>
          <w:szCs w:val="32"/>
          <w:shd w:val="clear" w:color="auto" w:fill="FFFFFF"/>
          <w:lang w:val="en-US" w:eastAsia="zh-CN"/>
        </w:rPr>
        <w:t>。</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（二）存在问题。</w:t>
      </w:r>
    </w:p>
    <w:p>
      <w:pPr>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1.费用审批流程、采购流程、预算管理流程还需进一步完善</w:t>
      </w:r>
    </w:p>
    <w:p>
      <w:pPr>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2.单位财政资金、自有资金监管还需进一步加强</w:t>
      </w:r>
    </w:p>
    <w:p>
      <w:pPr>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3.采购管理、合同管理、单位资产管理还需进一步强化</w:t>
      </w:r>
    </w:p>
    <w:p>
      <w:pPr>
        <w:pageBreakBefore w:val="0"/>
        <w:widowControl/>
        <w:kinsoku/>
        <w:wordWrap/>
        <w:overflowPunct/>
        <w:topLinePunct w:val="0"/>
        <w:bidi w:val="0"/>
        <w:adjustRightInd w:val="0"/>
        <w:snapToGrid w:val="0"/>
        <w:spacing w:line="560" w:lineRule="exact"/>
        <w:ind w:firstLine="643" w:firstLineChars="200"/>
        <w:contextualSpacing/>
        <w:jc w:val="left"/>
        <w:textAlignment w:val="auto"/>
        <w:outlineLvl w:val="9"/>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（三）改进建议。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提高业务知识水平，加强业务知识学习，完善内部控制制度。以提升预算、费用报销等管理。</w:t>
      </w:r>
    </w:p>
    <w:p>
      <w:pPr>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en-US" w:eastAsia="zh-CN"/>
        </w:rPr>
      </w:pPr>
    </w:p>
    <w:p>
      <w:pPr>
        <w:pStyle w:val="2"/>
        <w:rPr>
          <w:rFonts w:hint="eastAsia" w:ascii="仿宋_GB2312" w:hAnsi="宋体" w:eastAsia="仿宋_GB2312" w:cs="宋体"/>
          <w:color w:val="000000"/>
          <w:kern w:val="0"/>
          <w:sz w:val="32"/>
          <w:szCs w:val="32"/>
          <w:shd w:val="clear" w:color="auto" w:fill="FFFFFF"/>
          <w:lang w:val="en-US" w:eastAsia="zh-CN"/>
        </w:rPr>
      </w:pPr>
    </w:p>
    <w:p>
      <w:pPr>
        <w:rPr>
          <w:rFonts w:hint="eastAsia" w:ascii="仿宋_GB2312" w:hAnsi="宋体" w:eastAsia="仿宋_GB2312" w:cs="宋体"/>
          <w:color w:val="000000"/>
          <w:kern w:val="0"/>
          <w:sz w:val="32"/>
          <w:szCs w:val="32"/>
          <w:shd w:val="clear" w:color="auto" w:fill="FFFFFF"/>
          <w:lang w:val="en-US" w:eastAsia="zh-CN"/>
        </w:rPr>
      </w:pPr>
    </w:p>
    <w:p>
      <w:pPr>
        <w:pStyle w:val="2"/>
        <w:rPr>
          <w:rFonts w:hint="eastAsia"/>
          <w:lang w:val="en-US" w:eastAsia="zh-CN"/>
        </w:rPr>
      </w:pPr>
    </w:p>
    <w:p>
      <w:pPr>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eastAsia="zh-CN"/>
        </w:rPr>
      </w:pPr>
    </w:p>
    <w:p>
      <w:pPr>
        <w:pStyle w:val="2"/>
        <w:rPr>
          <w:rFonts w:hint="eastAsia" w:ascii="仿宋_GB2312" w:hAnsi="宋体" w:eastAsia="仿宋_GB2312" w:cs="宋体"/>
          <w:color w:val="000000"/>
          <w:kern w:val="0"/>
          <w:sz w:val="32"/>
          <w:szCs w:val="32"/>
          <w:shd w:val="clear" w:color="auto" w:fill="FFFFFF"/>
          <w:lang w:val="zh-CN" w:eastAsia="zh-CN"/>
        </w:rPr>
      </w:pPr>
    </w:p>
    <w:p>
      <w:pPr>
        <w:rPr>
          <w:rFonts w:hint="eastAsia" w:ascii="仿宋_GB2312" w:hAnsi="宋体" w:eastAsia="仿宋_GB2312" w:cs="宋体"/>
          <w:color w:val="000000"/>
          <w:kern w:val="0"/>
          <w:sz w:val="32"/>
          <w:szCs w:val="32"/>
          <w:shd w:val="clear" w:color="auto" w:fill="FFFFFF"/>
          <w:lang w:val="zh-CN" w:eastAsia="zh-CN"/>
        </w:rPr>
      </w:pPr>
    </w:p>
    <w:p>
      <w:pPr>
        <w:pStyle w:val="2"/>
        <w:rPr>
          <w:rFonts w:hint="eastAsia" w:ascii="仿宋_GB2312" w:hAnsi="宋体" w:eastAsia="仿宋_GB2312" w:cs="宋体"/>
          <w:color w:val="000000"/>
          <w:kern w:val="0"/>
          <w:sz w:val="32"/>
          <w:szCs w:val="32"/>
          <w:shd w:val="clear" w:color="auto" w:fill="FFFFFF"/>
          <w:lang w:val="zh-CN" w:eastAsia="zh-CN"/>
        </w:rPr>
      </w:pPr>
    </w:p>
    <w:p>
      <w:pPr>
        <w:rPr>
          <w:rFonts w:hint="eastAsia" w:ascii="仿宋_GB2312" w:hAnsi="宋体" w:eastAsia="仿宋_GB2312" w:cs="宋体"/>
          <w:color w:val="000000"/>
          <w:kern w:val="0"/>
          <w:sz w:val="32"/>
          <w:szCs w:val="32"/>
          <w:shd w:val="clear" w:color="auto" w:fill="FFFFFF"/>
          <w:lang w:val="zh-CN" w:eastAsia="zh-CN"/>
        </w:rPr>
      </w:pPr>
    </w:p>
    <w:p>
      <w:pPr>
        <w:pStyle w:val="2"/>
        <w:rPr>
          <w:rFonts w:hint="eastAsia"/>
          <w:lang w:val="zh-CN" w:eastAsia="zh-CN"/>
        </w:rPr>
      </w:pPr>
    </w:p>
    <w:tbl>
      <w:tblPr>
        <w:tblStyle w:val="14"/>
        <w:tblpPr w:leftFromText="180" w:rightFromText="180" w:vertAnchor="text" w:horzAnchor="page" w:tblpX="845" w:tblpY="471"/>
        <w:tblOverlap w:val="never"/>
        <w:tblW w:w="10633" w:type="dxa"/>
        <w:tblInd w:w="0" w:type="dxa"/>
        <w:shd w:val="clear" w:color="auto" w:fill="auto"/>
        <w:tblLayout w:type="autofit"/>
        <w:tblCellMar>
          <w:top w:w="0" w:type="dxa"/>
          <w:left w:w="0" w:type="dxa"/>
          <w:bottom w:w="0" w:type="dxa"/>
          <w:right w:w="0" w:type="dxa"/>
        </w:tblCellMar>
      </w:tblPr>
      <w:tblGrid>
        <w:gridCol w:w="810"/>
        <w:gridCol w:w="668"/>
        <w:gridCol w:w="996"/>
        <w:gridCol w:w="373"/>
        <w:gridCol w:w="1636"/>
        <w:gridCol w:w="3317"/>
        <w:gridCol w:w="2150"/>
        <w:gridCol w:w="683"/>
      </w:tblGrid>
      <w:tr>
        <w:tblPrEx>
          <w:shd w:val="clear" w:color="auto" w:fill="auto"/>
          <w:tblCellMar>
            <w:top w:w="0" w:type="dxa"/>
            <w:left w:w="0" w:type="dxa"/>
            <w:bottom w:w="0" w:type="dxa"/>
            <w:right w:w="0" w:type="dxa"/>
          </w:tblCellMar>
        </w:tblPrEx>
        <w:trPr>
          <w:trHeight w:val="441" w:hRule="atLeast"/>
        </w:trPr>
        <w:tc>
          <w:tcPr>
            <w:tcW w:w="1478"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方正黑体_GBK" w:hAnsi="方正黑体_GBK" w:eastAsia="方正黑体_GBK" w:cs="方正黑体_GBK"/>
                <w:b/>
                <w:i w:val="0"/>
                <w:color w:val="000000"/>
                <w:sz w:val="28"/>
                <w:szCs w:val="28"/>
                <w:u w:val="none"/>
              </w:rPr>
            </w:pPr>
          </w:p>
        </w:tc>
        <w:tc>
          <w:tcPr>
            <w:tcW w:w="996" w:type="dxa"/>
            <w:tcBorders>
              <w:top w:val="nil"/>
              <w:left w:val="nil"/>
              <w:bottom w:val="nil"/>
              <w:right w:val="nil"/>
            </w:tcBorders>
            <w:shd w:val="clear" w:color="auto" w:fill="auto"/>
            <w:tcMar>
              <w:top w:w="15" w:type="dxa"/>
              <w:left w:w="15" w:type="dxa"/>
              <w:right w:w="15" w:type="dxa"/>
            </w:tcMar>
            <w:vAlign w:val="bottom"/>
          </w:tcPr>
          <w:p>
            <w:pPr>
              <w:rPr>
                <w:rFonts w:hint="eastAsia" w:ascii="宋体" w:hAnsi="宋体" w:eastAsia="宋体" w:cs="宋体"/>
                <w:i w:val="0"/>
                <w:color w:val="000000"/>
                <w:sz w:val="24"/>
                <w:szCs w:val="24"/>
                <w:u w:val="none"/>
              </w:rPr>
            </w:pPr>
          </w:p>
        </w:tc>
        <w:tc>
          <w:tcPr>
            <w:tcW w:w="373" w:type="dxa"/>
            <w:tcBorders>
              <w:top w:val="nil"/>
              <w:left w:val="nil"/>
              <w:bottom w:val="nil"/>
              <w:right w:val="nil"/>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4"/>
                <w:szCs w:val="24"/>
                <w:u w:val="none"/>
              </w:rPr>
            </w:pPr>
          </w:p>
        </w:tc>
        <w:tc>
          <w:tcPr>
            <w:tcW w:w="1636" w:type="dxa"/>
            <w:tcBorders>
              <w:top w:val="nil"/>
              <w:left w:val="nil"/>
              <w:bottom w:val="nil"/>
              <w:right w:val="nil"/>
            </w:tcBorders>
            <w:shd w:val="clear" w:color="auto" w:fill="auto"/>
            <w:tcMar>
              <w:top w:w="15" w:type="dxa"/>
              <w:left w:w="15" w:type="dxa"/>
              <w:right w:w="15" w:type="dxa"/>
            </w:tcMar>
            <w:vAlign w:val="bottom"/>
          </w:tcPr>
          <w:p>
            <w:pPr>
              <w:rPr>
                <w:rFonts w:hint="eastAsia" w:ascii="宋体" w:hAnsi="宋体" w:eastAsia="宋体" w:cs="宋体"/>
                <w:i w:val="0"/>
                <w:color w:val="000000"/>
                <w:sz w:val="24"/>
                <w:szCs w:val="24"/>
                <w:u w:val="none"/>
              </w:rPr>
            </w:pPr>
          </w:p>
        </w:tc>
        <w:tc>
          <w:tcPr>
            <w:tcW w:w="3317" w:type="dxa"/>
            <w:tcBorders>
              <w:top w:val="nil"/>
              <w:left w:val="nil"/>
              <w:bottom w:val="nil"/>
              <w:right w:val="nil"/>
            </w:tcBorders>
            <w:shd w:val="clear" w:color="auto" w:fill="auto"/>
            <w:tcMar>
              <w:top w:w="15" w:type="dxa"/>
              <w:left w:w="15" w:type="dxa"/>
              <w:right w:w="15" w:type="dxa"/>
            </w:tcMar>
            <w:vAlign w:val="bottom"/>
          </w:tcPr>
          <w:p>
            <w:pPr>
              <w:rPr>
                <w:rFonts w:hint="eastAsia" w:ascii="宋体" w:hAnsi="宋体" w:eastAsia="宋体" w:cs="宋体"/>
                <w:i w:val="0"/>
                <w:color w:val="000000"/>
                <w:sz w:val="24"/>
                <w:szCs w:val="24"/>
                <w:u w:val="none"/>
              </w:rPr>
            </w:pPr>
          </w:p>
        </w:tc>
        <w:tc>
          <w:tcPr>
            <w:tcW w:w="2150" w:type="dxa"/>
            <w:tcBorders>
              <w:top w:val="nil"/>
              <w:left w:val="nil"/>
              <w:bottom w:val="nil"/>
              <w:right w:val="nil"/>
            </w:tcBorders>
            <w:shd w:val="clear" w:color="auto" w:fill="auto"/>
            <w:tcMar>
              <w:top w:w="15" w:type="dxa"/>
              <w:left w:w="15" w:type="dxa"/>
              <w:right w:w="15" w:type="dxa"/>
            </w:tcMar>
            <w:vAlign w:val="bottom"/>
          </w:tcPr>
          <w:p>
            <w:pPr>
              <w:rPr>
                <w:rFonts w:hint="eastAsia" w:ascii="宋体" w:hAnsi="宋体" w:eastAsia="宋体" w:cs="宋体"/>
                <w:i w:val="0"/>
                <w:color w:val="000000"/>
                <w:sz w:val="24"/>
                <w:szCs w:val="24"/>
                <w:u w:val="none"/>
              </w:rPr>
            </w:pPr>
          </w:p>
        </w:tc>
        <w:tc>
          <w:tcPr>
            <w:tcW w:w="683" w:type="dxa"/>
            <w:tcBorders>
              <w:top w:val="nil"/>
              <w:left w:val="nil"/>
              <w:bottom w:val="nil"/>
              <w:right w:val="nil"/>
            </w:tcBorders>
            <w:shd w:val="clear" w:color="auto" w:fill="auto"/>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441" w:hRule="atLeast"/>
        </w:trPr>
        <w:tc>
          <w:tcPr>
            <w:tcW w:w="10633"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000000"/>
                <w:kern w:val="0"/>
                <w:sz w:val="32"/>
                <w:szCs w:val="32"/>
                <w:u w:val="none"/>
                <w:lang w:val="en-US" w:eastAsia="zh-CN" w:bidi="ar"/>
              </w:rPr>
            </w:pPr>
            <w:r>
              <w:rPr>
                <w:rFonts w:hint="eastAsia" w:ascii="方正小标宋_GBK" w:hAnsi="方正小标宋_GBK" w:eastAsia="方正小标宋_GBK" w:cs="方正小标宋_GBK"/>
                <w:i w:val="0"/>
                <w:color w:val="000000"/>
                <w:kern w:val="0"/>
                <w:sz w:val="32"/>
                <w:szCs w:val="32"/>
                <w:u w:val="none"/>
                <w:lang w:val="en-US" w:eastAsia="zh-CN" w:bidi="ar"/>
              </w:rPr>
              <w:t>红原县2022年度部门整体支出绩效评价指标体系表</w:t>
            </w:r>
          </w:p>
          <w:p>
            <w:pPr>
              <w:keepNext w:val="0"/>
              <w:keepLines w:val="0"/>
              <w:widowControl/>
              <w:suppressLineNumbers w:val="0"/>
              <w:jc w:val="center"/>
              <w:textAlignment w:val="center"/>
              <w:rPr>
                <w:rFonts w:ascii="方正小标宋_GBK" w:hAnsi="方正小标宋_GBK" w:eastAsia="方正小标宋_GBK" w:cs="方正小标宋_GBK"/>
                <w:i w:val="0"/>
                <w:color w:val="000000"/>
                <w:sz w:val="32"/>
                <w:szCs w:val="32"/>
                <w:u w:val="none"/>
              </w:rPr>
            </w:pPr>
            <w:r>
              <w:rPr>
                <w:rFonts w:hint="eastAsia" w:ascii="方正小标宋_GBK" w:hAnsi="方正小标宋_GBK" w:eastAsia="方正小标宋_GBK" w:cs="方正小标宋_GBK"/>
                <w:i w:val="0"/>
                <w:color w:val="000000"/>
                <w:kern w:val="0"/>
                <w:sz w:val="32"/>
                <w:szCs w:val="32"/>
                <w:u w:val="none"/>
                <w:lang w:val="en-US" w:eastAsia="zh-CN" w:bidi="ar"/>
              </w:rPr>
              <w:t>（自评表）</w:t>
            </w:r>
          </w:p>
        </w:tc>
      </w:tr>
      <w:tr>
        <w:tblPrEx>
          <w:tblCellMar>
            <w:top w:w="0" w:type="dxa"/>
            <w:left w:w="0" w:type="dxa"/>
            <w:bottom w:w="0" w:type="dxa"/>
            <w:right w:w="0" w:type="dxa"/>
          </w:tblCellMar>
        </w:tblPrEx>
        <w:trPr>
          <w:trHeight w:val="6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分值</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指标解释</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评分标准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得分说明</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自评得分</w:t>
            </w:r>
          </w:p>
        </w:tc>
      </w:tr>
      <w:tr>
        <w:tblPrEx>
          <w:tblCellMar>
            <w:top w:w="0" w:type="dxa"/>
            <w:left w:w="0" w:type="dxa"/>
            <w:bottom w:w="0" w:type="dxa"/>
            <w:right w:w="0" w:type="dxa"/>
          </w:tblCellMar>
        </w:tblPrEx>
        <w:trPr>
          <w:trHeight w:val="879"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预算管理</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预算编制（5分）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预算安排准确性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反映部门（单位）年初预算安排的准确性</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指标得分=（预算资金总来源-中期评估调整取消资金-预算结余注销资金）/预算资金总来源*指标分值，预算资金总来源是指年初预算与执行中追加预算（不含当年中央、省专款）总和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指标得分=5分*（7,218.71万元/7,218.71万元）分</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tblPrEx>
          <w:tblCellMar>
            <w:top w:w="0" w:type="dxa"/>
            <w:left w:w="0" w:type="dxa"/>
            <w:bottom w:w="0" w:type="dxa"/>
            <w:right w:w="0" w:type="dxa"/>
          </w:tblCellMar>
        </w:tblPrEx>
        <w:trPr>
          <w:trHeight w:val="2171"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执行进度（5分）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部门总体执行进度</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部门（单位）按要求严格预算管理</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部门总体执行进度达96%以上，不扣分；达92%以上，按80%打分；达88%以上，按60%打分；未达到88%，不得分。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部门总体执行进度=财政拨款执行数÷财政拨款调整预算数，财政拨款包括当年一般公共预算财政拨款数和政府性基金预算财政拨款数、上年结转一般公共预算财政拨款数和政府性基金预算财政拨款数以及通过收回的存量资金再安排的预算数。调整预算数不包括年终时已进入政府采购程序的项目和跨年度执行的基建项目。</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部门总体执行进度=5分*                   （（8,355.62万元/（8,355.62万元）</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tblPrEx>
          <w:tblCellMar>
            <w:top w:w="0" w:type="dxa"/>
            <w:left w:w="0" w:type="dxa"/>
            <w:bottom w:w="0" w:type="dxa"/>
            <w:right w:w="0" w:type="dxa"/>
          </w:tblCellMar>
        </w:tblPrEx>
        <w:trPr>
          <w:trHeight w:val="879"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目标管理</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绩效目标（10分）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目标填报</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考核部门是否按要求编制专项资金、部门专项类项目绩效目标</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应编制绩效目标的专项类项目、专项资金未按要求申报绩效目标，发现1个项目扣0.5分；填报内容不规范，发现1处扣0.5分。直至扣完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我单位按照要求编制绩效目标的专项类项目、专项资金未按要求申报绩效目标</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目标量化</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考核部门申报绩效目标的量化程度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专项类项目、专项资金设定的产出指标均应量化，效果指标中应至少50%以上量化指标。发现1个项目未达到要求扣0.5分，直至扣完。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专项类项目资金指标共项，量化指标共计项，量化指标100%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48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目标匹配</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考核部门申报的绩效目标是否与部门职能职责相关</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专项类项目、专项资金设定的绩效目标与部门职能职责不一致的，发现一个项目扣1分，直至扣完。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专项类项目、专项资金设定的绩效目标与部门职能职责一致</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tblPrEx>
          <w:tblCellMar>
            <w:top w:w="0" w:type="dxa"/>
            <w:left w:w="0" w:type="dxa"/>
            <w:bottom w:w="0" w:type="dxa"/>
            <w:right w:w="0" w:type="dxa"/>
          </w:tblCellMar>
        </w:tblPrEx>
        <w:trPr>
          <w:trHeight w:val="152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部门管理</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基础管理（4分）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管理制度健全性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部门（单位）为加强预算管理、推进厉行节约、规范财务行为而制定的管理制度是否健全完整</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是否已制定或具有预算资金管理办法、厉行节约管理措施、内部财务管理制度、会计核算制度等管理制度；相关管理制度是否合法、合规、完整；相关管理制度是否得到有效执行。定性评价。</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已制定或具有预算资金管理办法、厉行节约管理措施、内部财务管理制度、会计核算制度等管理制度；相关管理制度合法、合规、完整；相关管理制度得到有效执行</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1956"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是否符合国家财经法规和财务管理制度规定以及有关专项资金管理办法的规定；资金的拨付是否有完整的审批程序和手续；项目的重大开支是否经过评估论证；是否符合部门预算批复的用途；是否存在截留、挤占、挪用、虚列支出等情况。发现一个问题点扣0.25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国家财经法规和财务管理制度规定以及有关专项资金管理办法的规定；资金的拨付有完整的审批程序和手续；项目的重大开支经过评估论证；符合部门预算批复的用途；不存在截留、挤占、挪用、虚列支出等情况</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131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财务监控有效性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考察部门是否对部门内部、各所属单位，专项资金分配的区（市）县或项目实施主体进行工作监督和定期考核。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对部门内部、下属单位、分配的专项资金①制定明确的财务监控监督措施，得1分；②监控、监督措施执行有效，得1分。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我单位制定明确的财务监控监督措施监控且监督措施执行有效</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行政成本（1分）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当年“三公”经费预算与当年决算比，反映“三公”经费控制情况</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部门“三公”经费决算数一项超预算扣0.5分，两项扣1分。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部门“三公”经费决算数一项未超预算</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政府采购（1分）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采购规范性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考察政府采购项目 的采购程序、 采购方式的规范性</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采购方式、程序中每一点不规范，扣 0. 5 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采购方式、程序规范</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131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资产管理（2分）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固定资产在用率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部门实际在用固定资产总额与所有固定资产总额的比率， 用以反映和考核部门固定资产使用效率及程度。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固定资产在用率=（实际在用固定资产总额/所有固定资产总额）×100%。 固定资产在用率达到 95%以上得满分。 相较95%，每降低 5个百分点扣1分，直至扣完。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tblPrEx>
          <w:tblCellMar>
            <w:top w:w="0" w:type="dxa"/>
            <w:left w:w="0" w:type="dxa"/>
            <w:bottom w:w="0" w:type="dxa"/>
            <w:right w:w="0" w:type="dxa"/>
          </w:tblCellMar>
        </w:tblPrEx>
        <w:trPr>
          <w:trHeight w:val="131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信息公开（2分）</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信息公开</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除涉密单位和信息外，考核部门（单位）是否按财政要求及时完成预算、决算、绩效等信息公开工作</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一项公开工作未完成的扣1分，直至扣完。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我单位按财政要求及时完成预算、决算、绩效等信息公开工作</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1094"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履职效能</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重点任务一</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治安、刑事拘留人数</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量化我单位执行职能职责时，当年办理治安、刑事案件中采取治安、刑事拘留的人次</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治安、刑事拘留人数≧150人得3分，否则不得分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157</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抓获刑事案件作案成员、逮捕犯罪嫌疑人</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量化我单位执行职能职责时，当年办理刑事案件中逮捕犯罪嫌疑人的数量</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抓获刑事案件作案成员、逮捕犯罪嫌疑人≧80人得3分，否则不得分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受立案数量</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量化我单位执行职能职责时，当年办理的行政、刑事案件受立案数量</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受立案数量≧300件得3分，否则不得分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支持办理治安、刑事等案件数量</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量化我单位执行职能职责时，当年支持办理的治安、刑事案件办理数量</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支持办理治安、刑事等案件数量≧300件得3分，否则不得分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341</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破获毒品案件、缴获毒品数量</w:t>
            </w:r>
            <w:r>
              <w:rPr>
                <w:rFonts w:hint="default" w:ascii="Times New Roman" w:hAnsi="Times New Roman" w:eastAsia="宋体" w:cs="Times New Roman"/>
                <w:i w:val="0"/>
                <w:color w:val="000000"/>
                <w:kern w:val="0"/>
                <w:sz w:val="20"/>
                <w:szCs w:val="20"/>
                <w:u w:val="none"/>
                <w:lang w:val="en-US" w:eastAsia="zh-CN" w:bidi="ar"/>
              </w:rPr>
              <w:t>(</w:t>
            </w:r>
            <w:r>
              <w:rPr>
                <w:rStyle w:val="37"/>
                <w:rFonts w:hAnsi="宋体"/>
                <w:lang w:val="en-US" w:eastAsia="zh-CN" w:bidi="ar"/>
              </w:rPr>
              <w:t>千克</w:t>
            </w:r>
            <w:r>
              <w:rPr>
                <w:rFonts w:hint="default" w:ascii="Times New Roman" w:hAnsi="Times New Roman" w:eastAsia="宋体" w:cs="Times New Roman"/>
                <w:i w:val="0"/>
                <w:color w:val="000000"/>
                <w:kern w:val="0"/>
                <w:sz w:val="20"/>
                <w:szCs w:val="20"/>
                <w:u w:val="none"/>
                <w:lang w:val="en-US" w:eastAsia="zh-CN" w:bidi="ar"/>
              </w:rPr>
              <w:t>)</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量化我单位执行职能职责时，对毒品的管控力度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破获毒品案件、缴获毒品数量(千克)≧1千克得2分，否则不得分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我辖区内未发现毒品案</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装备、设备购置数量（件）</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量化我单位执行职能职责时，对装备、设备的购置情况进行考核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装备、设备购置数量（件）≧260件得2分，否则不得分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实战训练参训人次</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量化我单位执行职能职责时，对执法人员培训情况进行考核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实战训练参训人次≧10人次得2分，否则不得分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装备验收合格率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量化我单位执行职能职责时，当年购置的警用装备数量验收合格率</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装备验收合格率=验收合格装备/装备购买总数量；≧95%得2分，否则不得分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公安民警培训合格率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量化我单位执行职能职责时，当年民警业务提升培训的考核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公安民警培训合格率=参加培训合格人数/参加培训总人数；≧95%得2分，否则不得分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案件应立尽立、应办尽办率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量化我单位执行职能职责时，对应立案、办案的量化</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案件应立尽立、应办尽办率=应办应尽案件/报案数量；≧95%的2分，否则不得分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受理案件及时性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量化我单位执行职能职责时，对案件受理及时性进行考核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受理案件及时得2分，否则不得分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328"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案件结案及时性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量化我单位执行职能职责时，案件结案及时性的考核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案件结案及时得2分，否则不得分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装备（设备）采购及时性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量化我单位执行职能职责时，对装备（设备）采购及时与否的量化</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装备（设备）采购及时得2分，否则不得分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109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实战训练开展及时性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量化我单位执行职能职责时，对实战演练持续保持预防对违法犯罪行为的训练及时性。</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实战训练开展及时得2分，否则不得分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挽回经济损失</w:t>
            </w:r>
            <w:r>
              <w:rPr>
                <w:rFonts w:hint="default" w:ascii="Times New Roman" w:hAnsi="Times New Roman" w:eastAsia="宋体" w:cs="Times New Roman"/>
                <w:i w:val="0"/>
                <w:color w:val="000000"/>
                <w:kern w:val="0"/>
                <w:sz w:val="20"/>
                <w:szCs w:val="20"/>
                <w:u w:val="none"/>
                <w:lang w:val="en-US" w:eastAsia="zh-CN" w:bidi="ar"/>
              </w:rPr>
              <w:t>(</w:t>
            </w:r>
            <w:r>
              <w:rPr>
                <w:rStyle w:val="37"/>
                <w:rFonts w:hAnsi="宋体"/>
                <w:lang w:val="en-US" w:eastAsia="zh-CN" w:bidi="ar"/>
              </w:rPr>
              <w:t>万元）</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量化我单位执行职能职责时，对挽回民众经济损失的情况</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挽回经济损失≧50万元得2分，否则不得分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55.67</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罚没资金追缴金额（万元）</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量化我单位执行职能职责时，对罚没资金追缴金额</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罚没资金追缴金额≧12万元得2分，否则不得分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13.26</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督办案件办结率有效上升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量化我单位执行职能职责时，对督办案件办结率</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督办案件办结率=（当年办结案件数量-上年办结案件数量）/上年办结案件数量*100%，有效上升≧</w:t>
            </w:r>
            <w:r>
              <w:rPr>
                <w:rStyle w:val="37"/>
                <w:rFonts w:hAnsi="宋体"/>
                <w:lang w:val="en-US" w:eastAsia="zh-CN" w:bidi="ar"/>
              </w:rPr>
              <w:t>5%</w:t>
            </w:r>
            <w:r>
              <w:rPr>
                <w:rStyle w:val="38"/>
                <w:lang w:val="en-US" w:eastAsia="zh-CN" w:bidi="ar"/>
              </w:rPr>
              <w:t>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戒毒管控率有效提升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量化我单位执行职能职责时，对吸毒人员的管控力度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戒毒管控率=-（当年吸毒管控人员人数-上年吸毒管控人员人数）/上年吸毒管控人员人数*100，有效提升≧</w:t>
            </w:r>
            <w:r>
              <w:rPr>
                <w:rStyle w:val="37"/>
                <w:rFonts w:hAnsi="宋体"/>
                <w:lang w:val="en-US" w:eastAsia="zh-CN" w:bidi="ar"/>
              </w:rPr>
              <w:t>5%</w:t>
            </w:r>
            <w:r>
              <w:rPr>
                <w:rStyle w:val="38"/>
                <w:lang w:val="en-US" w:eastAsia="zh-CN" w:bidi="ar"/>
              </w:rPr>
              <w:t>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破案有效率上升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量化我单位执行职能职责时，对案件破获方面的考核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破案有效率=（当年案件破案件数-上年案件破案件数）/上年案件破案件数，上升≧</w:t>
            </w:r>
            <w:r>
              <w:rPr>
                <w:rStyle w:val="37"/>
                <w:rFonts w:hAnsi="宋体"/>
                <w:lang w:val="en-US" w:eastAsia="zh-CN" w:bidi="ar"/>
              </w:rPr>
              <w:t>5%</w:t>
            </w:r>
            <w:r>
              <w:rPr>
                <w:rStyle w:val="38"/>
                <w:lang w:val="en-US" w:eastAsia="zh-CN" w:bidi="ar"/>
              </w:rPr>
              <w:t>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刑事、治安案件发案数有效下降</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量化我单位执行职能职责时，对案件有效下降的考核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刑事、治安案件发案数=（当年刑事治安报案数-上年刑事治安报案数）/上年刑事治安报案数，有效下降≧</w:t>
            </w:r>
            <w:r>
              <w:rPr>
                <w:rStyle w:val="37"/>
                <w:rFonts w:hAnsi="宋体"/>
                <w:lang w:val="en-US" w:eastAsia="zh-CN" w:bidi="ar"/>
              </w:rPr>
              <w:t>5%</w:t>
            </w:r>
            <w:r>
              <w:rPr>
                <w:rStyle w:val="38"/>
                <w:lang w:val="en-US" w:eastAsia="zh-CN" w:bidi="ar"/>
              </w:rPr>
              <w:t>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新增装备使用率</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量化我单位执行职能职责时，对新增装备使用情况的考核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新增装备使用率=新购买装备使用件数/新购买装备件数，≧</w:t>
            </w:r>
            <w:r>
              <w:rPr>
                <w:rStyle w:val="37"/>
                <w:rFonts w:hAnsi="宋体"/>
                <w:lang w:val="en-US" w:eastAsia="zh-CN" w:bidi="ar"/>
              </w:rPr>
              <w:t>95%</w:t>
            </w:r>
            <w:r>
              <w:rPr>
                <w:rStyle w:val="38"/>
                <w:lang w:val="en-US" w:eastAsia="zh-CN" w:bidi="ar"/>
              </w:rPr>
              <w:t>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川制毒品外流数</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量化我单位执行职能职责时，对毒品的管控力度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川制毒品外流数为0得2分，否则不得分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强化监所疫情防控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量化我单位执行职能职责时，对监区疫情防控方面的考核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监区被监管人员未得传染病/监区被监管人员总人数*2分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879"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杜绝强制隔离被监管人员非正常死亡</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量化我单位执行职能职责时，对监区是否发生重大安全事故的考核</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监区被监管人数（1-被监管人员死亡人数/被监管总人数）*2分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328"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社会治安防控体系健全性</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量化我单位执行职能职责时，对辖区社会治安管控的力度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社会治安防控体系健全得2分，较健全得1分，不健全得0分</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健全</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公众安全感指数</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考察辖区群众对安全感指数</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统计调查问卷在85分以上数量用该数量/发放文件总人数*100%=公安执法满意率；该满意率*4分=该项得分分值</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3.56</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公安执法满意度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考察辖区群众对公安执法满意程度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统计调查问卷在85分以上数量用该数量/发放文件总人数*100%=公安执法满意率；该满意率*4分=该项得分分值</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设备使用人员满意度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考察执法人员对设备满意程度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统计调查问卷在85分以上数量用该数量/发放文件总人数*100%=公安执法满意率；该满意率*4分=该项得分分值</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664"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参训民警满意度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考察参训民警对培训内容等的满意程度</w:t>
            </w:r>
          </w:p>
        </w:tc>
        <w:tc>
          <w:tcPr>
            <w:tcW w:w="3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统计调查问卷在85分以上数量用该数量/发放文件总人数*100%=公安执法满意率；该满意率*4分=该项得分分值</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40" w:hRule="atLeast"/>
        </w:trPr>
        <w:tc>
          <w:tcPr>
            <w:tcW w:w="247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95.16</w:t>
            </w:r>
          </w:p>
        </w:tc>
      </w:tr>
    </w:tbl>
    <w:p>
      <w:pPr>
        <w:pStyle w:val="5"/>
        <w:rPr>
          <w:rFonts w:hint="eastAsia" w:ascii="楷体_GB2312" w:eastAsia="楷体_GB2312" w:cs="楷体_GB2312"/>
          <w:b/>
          <w:bCs/>
          <w:kern w:val="0"/>
          <w:sz w:val="32"/>
          <w:szCs w:val="32"/>
          <w:shd w:val="clear" w:color="auto" w:fill="FFFFFF"/>
          <w:lang w:val="zh-CN"/>
        </w:rPr>
      </w:pPr>
    </w:p>
    <w:p>
      <w:pPr>
        <w:pStyle w:val="5"/>
        <w:rPr>
          <w:rFonts w:hint="eastAsia" w:ascii="楷体_GB2312" w:eastAsia="楷体_GB2312" w:cs="楷体_GB2312"/>
          <w:b/>
          <w:bCs/>
          <w:kern w:val="0"/>
          <w:sz w:val="32"/>
          <w:szCs w:val="32"/>
          <w:shd w:val="clear" w:color="auto" w:fill="FFFFFF"/>
          <w:lang w:val="zh-CN"/>
        </w:rPr>
      </w:pPr>
    </w:p>
    <w:p>
      <w:pPr>
        <w:pStyle w:val="5"/>
        <w:jc w:val="center"/>
        <w:rPr>
          <w:rFonts w:hint="eastAsia" w:ascii="楷体_GB2312" w:eastAsia="楷体_GB2312" w:cs="楷体_GB2312"/>
          <w:b/>
          <w:bCs/>
          <w:kern w:val="0"/>
          <w:sz w:val="32"/>
          <w:szCs w:val="32"/>
          <w:shd w:val="clear" w:color="auto" w:fill="FFFFFF"/>
          <w:lang w:val="zh-CN"/>
        </w:rPr>
      </w:pPr>
    </w:p>
    <w:p>
      <w:pPr>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br w:type="page"/>
      </w:r>
    </w:p>
    <w:p>
      <w:pPr>
        <w:pStyle w:val="5"/>
        <w:pageBreakBefore w:val="0"/>
        <w:kinsoku/>
        <w:wordWrap/>
        <w:overflowPunct/>
        <w:topLinePunct w:val="0"/>
        <w:bidi w:val="0"/>
        <w:adjustRightInd w:val="0"/>
        <w:snapToGrid w:val="0"/>
        <w:spacing w:before="93" w:line="560" w:lineRule="exact"/>
        <w:textAlignment w:val="auto"/>
        <w:outlineLvl w:val="9"/>
        <w:rPr>
          <w:sz w:val="32"/>
          <w:szCs w:val="32"/>
        </w:rPr>
      </w:pPr>
      <w:r>
        <w:rPr>
          <w:rFonts w:hint="eastAsia" w:cs="宋体"/>
          <w:sz w:val="32"/>
          <w:szCs w:val="32"/>
          <w:shd w:val="clear" w:color="auto" w:fill="FFFFFF"/>
          <w:lang w:val="zh-CN"/>
        </w:rPr>
        <w:t>附件</w:t>
      </w:r>
      <w:r>
        <w:rPr>
          <w:rFonts w:hint="eastAsia" w:cs="宋体"/>
          <w:sz w:val="32"/>
          <w:szCs w:val="32"/>
          <w:shd w:val="clear" w:color="auto" w:fill="FFFFFF"/>
        </w:rPr>
        <w:t>2</w:t>
      </w:r>
    </w:p>
    <w:p>
      <w:pPr>
        <w:pStyle w:val="28"/>
        <w:pageBreakBefore w:val="0"/>
        <w:kinsoku/>
        <w:wordWrap/>
        <w:overflowPunct/>
        <w:topLinePunct w:val="0"/>
        <w:bidi w:val="0"/>
        <w:adjustRightInd w:val="0"/>
        <w:snapToGrid w:val="0"/>
        <w:spacing w:line="560" w:lineRule="exact"/>
        <w:jc w:val="center"/>
        <w:textAlignment w:val="auto"/>
        <w:outlineLvl w:val="9"/>
        <w:rPr>
          <w:rFonts w:hint="eastAsia" w:ascii="方正小标宋简体" w:eastAsia="方正小标宋简体" w:cs="方正小标宋简体"/>
          <w:color w:val="auto"/>
          <w:kern w:val="2"/>
          <w:sz w:val="32"/>
          <w:szCs w:val="32"/>
          <w:lang w:val="en-US"/>
        </w:rPr>
      </w:pPr>
      <w:r>
        <w:rPr>
          <w:rFonts w:hint="eastAsia" w:ascii="方正小标宋简体" w:eastAsia="方正小标宋简体" w:cs="方正小标宋简体"/>
          <w:color w:val="auto"/>
          <w:kern w:val="2"/>
          <w:sz w:val="32"/>
          <w:szCs w:val="32"/>
          <w:lang w:val="en-US"/>
        </w:rPr>
        <w:t>红原县看守所犯人生活相关经费专项资金预算项目绩效</w:t>
      </w:r>
    </w:p>
    <w:p>
      <w:pPr>
        <w:pStyle w:val="28"/>
        <w:pageBreakBefore w:val="0"/>
        <w:kinsoku/>
        <w:wordWrap/>
        <w:overflowPunct/>
        <w:topLinePunct w:val="0"/>
        <w:bidi w:val="0"/>
        <w:adjustRightInd w:val="0"/>
        <w:snapToGrid w:val="0"/>
        <w:spacing w:line="560" w:lineRule="exact"/>
        <w:jc w:val="center"/>
        <w:textAlignment w:val="auto"/>
        <w:outlineLvl w:val="9"/>
        <w:rPr>
          <w:rFonts w:hint="eastAsia" w:ascii="方正小标宋简体" w:eastAsia="方正小标宋简体" w:cs="方正小标宋简体"/>
          <w:color w:val="auto"/>
          <w:kern w:val="2"/>
          <w:sz w:val="32"/>
          <w:szCs w:val="32"/>
          <w:lang w:val="en-US"/>
        </w:rPr>
      </w:pPr>
      <w:r>
        <w:rPr>
          <w:rFonts w:hint="eastAsia" w:ascii="方正小标宋简体" w:eastAsia="方正小标宋简体" w:cs="方正小标宋简体"/>
          <w:color w:val="auto"/>
          <w:kern w:val="2"/>
          <w:sz w:val="32"/>
          <w:szCs w:val="32"/>
          <w:lang w:val="en-US"/>
        </w:rPr>
        <w:t>自评报告</w:t>
      </w:r>
    </w:p>
    <w:p>
      <w:pPr>
        <w:pageBreakBefore w:val="0"/>
        <w:kinsoku/>
        <w:wordWrap/>
        <w:overflowPunct/>
        <w:topLinePunct w:val="0"/>
        <w:bidi w:val="0"/>
        <w:adjustRightInd w:val="0"/>
        <w:snapToGrid w:val="0"/>
        <w:spacing w:line="560" w:lineRule="exact"/>
        <w:ind w:firstLine="720"/>
        <w:textAlignment w:val="auto"/>
        <w:outlineLvl w:val="9"/>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（一）项目基本情况。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1．我单位主要负责项目经费进行年初预算、预算执行及监督、决算等方面进行管理。</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2．项目立项、</w:t>
      </w:r>
      <w:r>
        <w:rPr>
          <w:rFonts w:hint="eastAsia" w:ascii="仿宋_GB2312" w:hAnsi="Times New Roman" w:eastAsia="仿宋_GB2312" w:cs="仿宋_GB2312"/>
          <w:kern w:val="0"/>
          <w:sz w:val="32"/>
          <w:szCs w:val="32"/>
          <w:shd w:val="clear" w:color="auto" w:fill="FFFFFF"/>
          <w:lang w:val="zh-CN"/>
        </w:rPr>
        <w:t>资金申报的依据主要是《中华人民共和国看守所条例实施办法》、《四川省财政厅</w:t>
      </w:r>
      <w:r>
        <w:rPr>
          <w:rFonts w:hint="eastAsia" w:ascii="仿宋_GB2312" w:hAnsi="Times New Roman" w:eastAsia="仿宋_GB2312" w:cs="仿宋_GB2312"/>
          <w:kern w:val="0"/>
          <w:sz w:val="32"/>
          <w:szCs w:val="32"/>
          <w:shd w:val="clear" w:color="auto" w:fill="FFFFFF"/>
          <w:lang w:val="en-US" w:eastAsia="zh-CN"/>
        </w:rPr>
        <w:t xml:space="preserve"> 四川省公安厅关于加强看守所在押人员生活保障的通知</w:t>
      </w:r>
      <w:r>
        <w:rPr>
          <w:rFonts w:hint="eastAsia" w:ascii="仿宋_GB2312" w:hAnsi="Times New Roman" w:eastAsia="仿宋_GB2312" w:cs="仿宋_GB2312"/>
          <w:kern w:val="0"/>
          <w:sz w:val="32"/>
          <w:szCs w:val="32"/>
          <w:shd w:val="clear" w:color="auto" w:fill="FFFFFF"/>
          <w:lang w:val="zh-CN"/>
        </w:rPr>
        <w:t>》、《看守所经费开支范围和管理办法的规定》等文件。</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（二）项目绩效目标。</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eastAsia="仿宋_GB2312" w:cs="仿宋_GB2312"/>
          <w:kern w:val="0"/>
          <w:sz w:val="32"/>
          <w:szCs w:val="32"/>
          <w:shd w:val="clear" w:color="auto" w:fill="FFFFFF"/>
          <w:lang w:val="zh-CN" w:eastAsia="zh-CN"/>
        </w:rPr>
      </w:pPr>
      <w:r>
        <w:rPr>
          <w:rFonts w:hint="eastAsia" w:ascii="仿宋_GB2312" w:eastAsia="仿宋_GB2312" w:cs="仿宋_GB2312"/>
          <w:kern w:val="0"/>
          <w:sz w:val="32"/>
          <w:szCs w:val="32"/>
          <w:shd w:val="clear" w:color="auto" w:fill="FFFFFF"/>
          <w:lang w:val="zh-CN"/>
        </w:rPr>
        <w:t>1．</w:t>
      </w:r>
      <w:r>
        <w:rPr>
          <w:rFonts w:hint="eastAsia" w:ascii="仿宋_GB2312" w:hAnsi="Times New Roman" w:eastAsia="仿宋_GB2312" w:cs="仿宋_GB2312"/>
          <w:kern w:val="0"/>
          <w:sz w:val="32"/>
          <w:szCs w:val="32"/>
          <w:shd w:val="clear" w:color="auto" w:fill="FFFFFF"/>
          <w:lang w:val="zh-CN"/>
        </w:rPr>
        <w:t>项目主要内</w:t>
      </w:r>
      <w:r>
        <w:rPr>
          <w:rFonts w:hint="eastAsia" w:ascii="仿宋_GB2312" w:hAnsi="Times New Roman" w:eastAsia="仿宋_GB2312" w:cs="仿宋_GB2312"/>
          <w:kern w:val="0"/>
          <w:sz w:val="32"/>
          <w:szCs w:val="32"/>
          <w:shd w:val="clear" w:color="auto" w:fill="FFFFFF"/>
          <w:lang w:val="zh-CN" w:eastAsia="zh-CN"/>
        </w:rPr>
        <w:t>容包括</w:t>
      </w:r>
      <w:r>
        <w:rPr>
          <w:rFonts w:hint="eastAsia" w:ascii="仿宋_GB2312" w:hAnsi="Times New Roman" w:eastAsia="仿宋_GB2312" w:cs="仿宋_GB2312"/>
          <w:kern w:val="0"/>
          <w:sz w:val="32"/>
          <w:szCs w:val="32"/>
          <w:shd w:val="clear" w:color="auto" w:fill="FFFFFF"/>
          <w:lang w:val="en-US" w:eastAsia="zh-CN"/>
        </w:rPr>
        <w:t>羁押</w:t>
      </w:r>
      <w:r>
        <w:rPr>
          <w:rFonts w:hint="default" w:ascii="仿宋_GB2312" w:hAnsi="Times New Roman" w:eastAsia="仿宋_GB2312" w:cs="仿宋_GB2312"/>
          <w:kern w:val="0"/>
          <w:sz w:val="32"/>
          <w:szCs w:val="32"/>
          <w:shd w:val="clear" w:color="auto" w:fill="FFFFFF"/>
          <w:lang w:val="en-US" w:eastAsia="zh-CN"/>
        </w:rPr>
        <w:t>监管、教育</w:t>
      </w:r>
      <w:r>
        <w:rPr>
          <w:rFonts w:hint="eastAsia" w:ascii="仿宋_GB2312" w:hAnsi="Times New Roman" w:eastAsia="仿宋_GB2312" w:cs="仿宋_GB2312"/>
          <w:kern w:val="0"/>
          <w:sz w:val="32"/>
          <w:szCs w:val="32"/>
          <w:shd w:val="clear" w:color="auto" w:fill="FFFFFF"/>
          <w:lang w:val="en-US" w:eastAsia="zh-CN"/>
        </w:rPr>
        <w:t>感化</w:t>
      </w:r>
      <w:r>
        <w:rPr>
          <w:rFonts w:hint="default" w:ascii="仿宋_GB2312" w:hAnsi="Times New Roman" w:eastAsia="仿宋_GB2312" w:cs="仿宋_GB2312"/>
          <w:kern w:val="0"/>
          <w:sz w:val="32"/>
          <w:szCs w:val="32"/>
          <w:shd w:val="clear" w:color="auto" w:fill="FFFFFF"/>
          <w:lang w:val="en-US" w:eastAsia="zh-CN"/>
        </w:rPr>
        <w:t>在押人员、</w:t>
      </w:r>
      <w:r>
        <w:rPr>
          <w:rFonts w:hint="eastAsia" w:ascii="仿宋_GB2312" w:hAnsi="Times New Roman" w:eastAsia="仿宋_GB2312" w:cs="仿宋_GB2312"/>
          <w:kern w:val="0"/>
          <w:sz w:val="32"/>
          <w:szCs w:val="32"/>
          <w:shd w:val="clear" w:color="auto" w:fill="FFFFFF"/>
          <w:lang w:val="en-US" w:eastAsia="zh-CN"/>
        </w:rPr>
        <w:t>保障</w:t>
      </w:r>
      <w:r>
        <w:rPr>
          <w:rFonts w:hint="default" w:ascii="仿宋_GB2312" w:hAnsi="Times New Roman" w:eastAsia="仿宋_GB2312" w:cs="仿宋_GB2312"/>
          <w:kern w:val="0"/>
          <w:sz w:val="32"/>
          <w:szCs w:val="32"/>
          <w:shd w:val="clear" w:color="auto" w:fill="FFFFFF"/>
          <w:lang w:val="en-US" w:eastAsia="zh-CN"/>
        </w:rPr>
        <w:t>在押人员</w:t>
      </w:r>
      <w:r>
        <w:rPr>
          <w:rFonts w:hint="eastAsia" w:ascii="仿宋_GB2312" w:hAnsi="Times New Roman" w:eastAsia="仿宋_GB2312" w:cs="仿宋_GB2312"/>
          <w:kern w:val="0"/>
          <w:sz w:val="32"/>
          <w:szCs w:val="32"/>
          <w:shd w:val="clear" w:color="auto" w:fill="FFFFFF"/>
          <w:lang w:val="en-US" w:eastAsia="zh-CN"/>
        </w:rPr>
        <w:t>合法权益</w:t>
      </w:r>
      <w:r>
        <w:rPr>
          <w:rFonts w:hint="default" w:ascii="仿宋_GB2312" w:hAnsi="Times New Roman" w:eastAsia="仿宋_GB2312" w:cs="仿宋_GB2312"/>
          <w:kern w:val="0"/>
          <w:sz w:val="32"/>
          <w:szCs w:val="32"/>
          <w:shd w:val="clear" w:color="auto" w:fill="FFFFFF"/>
          <w:lang w:val="en-US" w:eastAsia="zh-CN"/>
        </w:rPr>
        <w:t>和保障刑事诉讼活</w:t>
      </w:r>
      <w:r>
        <w:rPr>
          <w:rFonts w:hint="default" w:ascii="仿宋_GB2312" w:eastAsia="仿宋_GB2312" w:cs="仿宋_GB2312"/>
          <w:kern w:val="0"/>
          <w:sz w:val="32"/>
          <w:szCs w:val="32"/>
          <w:shd w:val="clear" w:color="auto" w:fill="FFFFFF"/>
          <w:lang w:val="en-US" w:eastAsia="zh-CN"/>
        </w:rPr>
        <w:t>动顺利进行</w:t>
      </w:r>
      <w:r>
        <w:rPr>
          <w:rFonts w:hint="eastAsia" w:ascii="仿宋_GB2312" w:eastAsia="仿宋_GB2312" w:cs="仿宋_GB2312"/>
          <w:kern w:val="0"/>
          <w:sz w:val="32"/>
          <w:szCs w:val="32"/>
          <w:shd w:val="clear" w:color="auto" w:fill="FFFFFF"/>
          <w:lang w:val="zh-CN" w:eastAsia="zh-CN"/>
        </w:rPr>
        <w:t>。</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2．</w:t>
      </w:r>
      <w:r>
        <w:rPr>
          <w:rFonts w:hint="eastAsia" w:ascii="仿宋_GB2312" w:hAnsi="Times New Roman" w:eastAsia="仿宋_GB2312" w:cs="仿宋_GB2312"/>
          <w:kern w:val="0"/>
          <w:sz w:val="32"/>
          <w:szCs w:val="32"/>
          <w:shd w:val="clear" w:color="auto" w:fill="FFFFFF"/>
          <w:lang w:val="zh-CN"/>
        </w:rPr>
        <w:t>项目应实现的具体绩效目标一是保障在押人员食品安全、医疗卫生等方面。二是保障监区无安全事故发生。</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zh-CN"/>
        </w:rPr>
      </w:pPr>
      <w:r>
        <w:rPr>
          <w:rFonts w:hint="eastAsia" w:ascii="仿宋_GB2312" w:hAnsi="Times New Roman" w:eastAsia="仿宋_GB2312" w:cs="仿宋_GB2312"/>
          <w:kern w:val="0"/>
          <w:sz w:val="32"/>
          <w:szCs w:val="32"/>
          <w:shd w:val="clear" w:color="auto" w:fill="FFFFFF"/>
          <w:lang w:val="zh-CN"/>
        </w:rPr>
        <w:t>3．</w:t>
      </w:r>
      <w:r>
        <w:rPr>
          <w:rFonts w:hint="eastAsia" w:ascii="仿宋_GB2312" w:hAnsi="Times New Roman" w:eastAsia="仿宋_GB2312" w:cs="仿宋_GB2312"/>
          <w:kern w:val="0"/>
          <w:sz w:val="32"/>
          <w:szCs w:val="32"/>
          <w:shd w:val="clear" w:color="auto" w:fill="FFFFFF"/>
          <w:lang w:val="en-US" w:eastAsia="zh-CN"/>
        </w:rPr>
        <w:t>2022年专项资金项目的申报内容与实际项目，申报目标合理可行</w:t>
      </w:r>
      <w:r>
        <w:rPr>
          <w:rFonts w:hint="eastAsia" w:ascii="仿宋_GB2312" w:hAnsi="Times New Roman" w:eastAsia="仿宋_GB2312" w:cs="仿宋_GB2312"/>
          <w:kern w:val="0"/>
          <w:sz w:val="32"/>
          <w:szCs w:val="32"/>
          <w:shd w:val="clear" w:color="auto" w:fill="FFFFFF"/>
          <w:lang w:val="zh-CN"/>
        </w:rPr>
        <w:t>。</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cs="仿宋_GB2312"/>
          <w:color w:val="auto"/>
          <w:kern w:val="0"/>
          <w:sz w:val="32"/>
          <w:szCs w:val="32"/>
          <w:highlight w:val="none"/>
          <w:u w:val="none"/>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zh-CN"/>
        </w:rPr>
        <w:t>项目采取自评与他评相结合方式，成立项目自评小组，结合评价内容，做到有计划，有安排，扎实开展本次自评工作。按照绩效评价指标体系设置，自评小组针对申报内容、实施情况、资金兑现、财务管理、社会效益等做出自我评价。</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w:t>
      </w:r>
    </w:p>
    <w:p>
      <w:pPr>
        <w:pageBreakBefore w:val="0"/>
        <w:kinsoku/>
        <w:wordWrap/>
        <w:overflowPunct/>
        <w:topLinePunct w:val="0"/>
        <w:bidi w:val="0"/>
        <w:adjustRightInd w:val="0"/>
        <w:snapToGrid w:val="0"/>
        <w:spacing w:line="560" w:lineRule="exact"/>
        <w:ind w:firstLine="720"/>
        <w:textAlignment w:val="auto"/>
        <w:outlineLvl w:val="9"/>
        <w:rPr>
          <w:rFonts w:ascii="黑体" w:eastAsia="黑体"/>
          <w:sz w:val="32"/>
          <w:szCs w:val="32"/>
        </w:rPr>
      </w:pPr>
      <w:r>
        <w:rPr>
          <w:rFonts w:hint="eastAsia" w:ascii="黑体" w:eastAsia="黑体"/>
          <w:sz w:val="32"/>
          <w:szCs w:val="32"/>
        </w:rPr>
        <w:t>二、项目资金申报及使用情况</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zh-CN" w:eastAsia="zh-CN"/>
        </w:rPr>
      </w:pPr>
      <w:r>
        <w:rPr>
          <w:rFonts w:hint="eastAsia" w:ascii="仿宋_GB2312" w:eastAsia="仿宋_GB2312" w:cs="仿宋_GB2312"/>
          <w:kern w:val="0"/>
          <w:sz w:val="32"/>
          <w:szCs w:val="32"/>
          <w:shd w:val="clear" w:color="auto" w:fill="FFFFFF"/>
          <w:lang w:val="en-US" w:eastAsia="zh-CN"/>
        </w:rPr>
        <w:t>2022年我单位向红原县财政局申报</w:t>
      </w:r>
      <w:r>
        <w:rPr>
          <w:rFonts w:hint="eastAsia" w:ascii="仿宋_GB2312" w:hAnsi="Times New Roman" w:eastAsia="仿宋_GB2312" w:cs="仿宋_GB2312"/>
          <w:kern w:val="0"/>
          <w:sz w:val="32"/>
          <w:szCs w:val="32"/>
          <w:shd w:val="clear" w:color="auto" w:fill="FFFFFF"/>
          <w:lang w:val="en-US" w:eastAsia="zh-CN"/>
        </w:rPr>
        <w:t>红原县看守所犯人生活相关经费专项资金25万元，预算批复25万元，无预算调整。</w:t>
      </w:r>
    </w:p>
    <w:p>
      <w:pPr>
        <w:pageBreakBefore w:val="0"/>
        <w:kinsoku/>
        <w:wordWrap/>
        <w:overflowPunct/>
        <w:topLinePunct w:val="0"/>
        <w:bidi w:val="0"/>
        <w:adjustRightInd w:val="0"/>
        <w:snapToGrid w:val="0"/>
        <w:spacing w:line="560" w:lineRule="exact"/>
        <w:ind w:firstLine="720"/>
        <w:textAlignment w:val="auto"/>
        <w:outlineLvl w:val="9"/>
        <w:rPr>
          <w:rFonts w:ascii="仿宋_GB2312" w:hAnsi="仿宋_GB2312"/>
          <w:sz w:val="32"/>
          <w:szCs w:val="32"/>
          <w:lang w:val="zh-CN"/>
        </w:rPr>
      </w:pPr>
      <w:r>
        <w:rPr>
          <w:rFonts w:hint="eastAsia" w:ascii="楷体_GB2312" w:eastAsia="楷体_GB2312"/>
          <w:b/>
          <w:sz w:val="32"/>
          <w:szCs w:val="32"/>
          <w:lang w:val="zh-CN"/>
        </w:rPr>
        <w:t>（二）资金计划、到位及使用情况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1．资金计划。</w:t>
      </w:r>
      <w:r>
        <w:rPr>
          <w:rFonts w:hint="eastAsia" w:ascii="仿宋_GB2312" w:hAnsi="Times New Roman" w:eastAsia="仿宋_GB2312" w:cs="仿宋_GB2312"/>
          <w:kern w:val="0"/>
          <w:sz w:val="32"/>
          <w:szCs w:val="32"/>
          <w:shd w:val="clear" w:color="auto" w:fill="FFFFFF"/>
          <w:lang w:val="en-US" w:eastAsia="zh-CN"/>
        </w:rPr>
        <w:t>2022年全年我单位计划公安专项资金25.00万元，其中中央和省级财政资金0万元，</w:t>
      </w:r>
      <w:r>
        <w:rPr>
          <w:rFonts w:hint="eastAsia" w:ascii="仿宋_GB2312" w:hAnsi="Times New Roman" w:eastAsia="仿宋_GB2312" w:cs="仿宋_GB2312"/>
          <w:kern w:val="0"/>
          <w:sz w:val="32"/>
          <w:szCs w:val="32"/>
          <w:shd w:val="clear" w:color="auto" w:fill="FFFFFF"/>
          <w:lang w:val="zh-CN" w:eastAsia="zh-CN"/>
        </w:rPr>
        <w:t>州</w:t>
      </w:r>
      <w:r>
        <w:rPr>
          <w:rFonts w:hint="eastAsia" w:ascii="仿宋_GB2312" w:hAnsi="Times New Roman" w:eastAsia="仿宋_GB2312" w:cs="仿宋_GB2312"/>
          <w:kern w:val="0"/>
          <w:sz w:val="32"/>
          <w:szCs w:val="32"/>
          <w:shd w:val="clear" w:color="auto" w:fill="FFFFFF"/>
          <w:lang w:val="en-US" w:eastAsia="zh-CN"/>
        </w:rPr>
        <w:t>财政资金0万元，</w:t>
      </w:r>
      <w:r>
        <w:rPr>
          <w:rFonts w:hint="eastAsia" w:ascii="仿宋_GB2312" w:hAnsi="Times New Roman" w:eastAsia="仿宋_GB2312" w:cs="仿宋_GB2312"/>
          <w:kern w:val="0"/>
          <w:sz w:val="32"/>
          <w:szCs w:val="32"/>
          <w:shd w:val="clear" w:color="auto" w:fill="FFFFFF"/>
          <w:lang w:val="zh-CN" w:eastAsia="zh-CN"/>
        </w:rPr>
        <w:t>县财政资金</w:t>
      </w:r>
      <w:r>
        <w:rPr>
          <w:rFonts w:hint="eastAsia" w:ascii="仿宋_GB2312" w:hAnsi="Times New Roman" w:eastAsia="仿宋_GB2312" w:cs="仿宋_GB2312"/>
          <w:kern w:val="0"/>
          <w:sz w:val="32"/>
          <w:szCs w:val="32"/>
          <w:shd w:val="clear" w:color="auto" w:fill="FFFFFF"/>
          <w:lang w:val="en-US" w:eastAsia="zh-CN"/>
        </w:rPr>
        <w:t>25万元，</w:t>
      </w:r>
      <w:r>
        <w:rPr>
          <w:rFonts w:hint="eastAsia" w:ascii="仿宋_GB2312" w:hAnsi="Times New Roman" w:eastAsia="仿宋_GB2312" w:cs="仿宋_GB2312"/>
          <w:kern w:val="0"/>
          <w:sz w:val="32"/>
          <w:szCs w:val="32"/>
          <w:shd w:val="clear" w:color="auto" w:fill="FFFFFF"/>
          <w:lang w:val="zh-CN" w:eastAsia="zh-CN"/>
        </w:rPr>
        <w:t>单位自筹</w:t>
      </w:r>
      <w:r>
        <w:rPr>
          <w:rFonts w:hint="eastAsia" w:ascii="仿宋_GB2312" w:hAnsi="Times New Roman" w:eastAsia="仿宋_GB2312" w:cs="仿宋_GB2312"/>
          <w:kern w:val="0"/>
          <w:sz w:val="32"/>
          <w:szCs w:val="32"/>
          <w:shd w:val="clear" w:color="auto" w:fill="FFFFFF"/>
          <w:lang w:val="en-US" w:eastAsia="zh-CN"/>
        </w:rPr>
        <w:t>0万元</w:t>
      </w:r>
      <w:r>
        <w:rPr>
          <w:rFonts w:hint="eastAsia" w:ascii="仿宋_GB2312" w:hAnsi="Times New Roman" w:eastAsia="仿宋_GB2312" w:cs="仿宋_GB2312"/>
          <w:kern w:val="0"/>
          <w:sz w:val="32"/>
          <w:szCs w:val="32"/>
          <w:shd w:val="clear" w:color="auto" w:fill="FFFFFF"/>
          <w:lang w:val="zh-CN" w:eastAsia="zh-CN"/>
        </w:rPr>
        <w:t>，其他渠道资金</w:t>
      </w:r>
      <w:r>
        <w:rPr>
          <w:rFonts w:hint="eastAsia" w:ascii="仿宋_GB2312" w:hAnsi="Times New Roman" w:eastAsia="仿宋_GB2312" w:cs="仿宋_GB2312"/>
          <w:kern w:val="0"/>
          <w:sz w:val="32"/>
          <w:szCs w:val="32"/>
          <w:shd w:val="clear" w:color="auto" w:fill="FFFFFF"/>
          <w:lang w:val="en-US" w:eastAsia="zh-CN"/>
        </w:rPr>
        <w:t>0万元</w:t>
      </w:r>
      <w:r>
        <w:rPr>
          <w:rFonts w:hint="eastAsia" w:ascii="仿宋_GB2312" w:eastAsia="仿宋_GB2312" w:cs="仿宋_GB2312"/>
          <w:kern w:val="0"/>
          <w:sz w:val="32"/>
          <w:szCs w:val="32"/>
          <w:shd w:val="clear" w:color="auto" w:fill="FFFFFF"/>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2．资金到位。</w:t>
      </w:r>
      <w:r>
        <w:rPr>
          <w:rFonts w:hint="eastAsia" w:ascii="仿宋_GB2312" w:hAnsi="Times New Roman" w:eastAsia="仿宋_GB2312" w:cs="仿宋_GB2312"/>
          <w:kern w:val="0"/>
          <w:sz w:val="32"/>
          <w:szCs w:val="32"/>
          <w:shd w:val="clear" w:color="auto" w:fill="FFFFFF"/>
          <w:lang w:val="zh-CN" w:eastAsia="zh-CN"/>
        </w:rPr>
        <w:t>截至</w:t>
      </w:r>
      <w:r>
        <w:rPr>
          <w:rFonts w:hint="eastAsia" w:ascii="仿宋_GB2312" w:hAnsi="Times New Roman" w:eastAsia="仿宋_GB2312" w:cs="仿宋_GB2312"/>
          <w:kern w:val="0"/>
          <w:sz w:val="32"/>
          <w:szCs w:val="32"/>
          <w:shd w:val="clear" w:color="auto" w:fill="FFFFFF"/>
          <w:lang w:val="en-US" w:eastAsia="zh-CN"/>
        </w:rPr>
        <w:t>2022年12月31日计划资金已全部到位，共计25.00万元,其中中央和省级财政资金到位0万元，到位率0%；</w:t>
      </w:r>
      <w:r>
        <w:rPr>
          <w:rFonts w:hint="eastAsia" w:ascii="仿宋_GB2312" w:hAnsi="Times New Roman" w:eastAsia="仿宋_GB2312" w:cs="仿宋_GB2312"/>
          <w:kern w:val="0"/>
          <w:sz w:val="32"/>
          <w:szCs w:val="32"/>
          <w:shd w:val="clear" w:color="auto" w:fill="FFFFFF"/>
          <w:lang w:val="zh-CN" w:eastAsia="zh-CN"/>
        </w:rPr>
        <w:t>州</w:t>
      </w:r>
      <w:r>
        <w:rPr>
          <w:rFonts w:hint="eastAsia" w:ascii="仿宋_GB2312" w:hAnsi="Times New Roman" w:eastAsia="仿宋_GB2312" w:cs="仿宋_GB2312"/>
          <w:kern w:val="0"/>
          <w:sz w:val="32"/>
          <w:szCs w:val="32"/>
          <w:shd w:val="clear" w:color="auto" w:fill="FFFFFF"/>
          <w:lang w:val="en-US" w:eastAsia="zh-CN"/>
        </w:rPr>
        <w:t>财政资金到位0万元，到位率0%；</w:t>
      </w:r>
      <w:r>
        <w:rPr>
          <w:rFonts w:hint="eastAsia" w:ascii="仿宋_GB2312" w:hAnsi="Times New Roman" w:eastAsia="仿宋_GB2312" w:cs="仿宋_GB2312"/>
          <w:kern w:val="0"/>
          <w:sz w:val="32"/>
          <w:szCs w:val="32"/>
          <w:shd w:val="clear" w:color="auto" w:fill="FFFFFF"/>
          <w:lang w:val="zh-CN" w:eastAsia="zh-CN"/>
        </w:rPr>
        <w:t>县财政资金</w:t>
      </w:r>
      <w:r>
        <w:rPr>
          <w:rFonts w:hint="eastAsia" w:ascii="仿宋_GB2312" w:hAnsi="Times New Roman" w:eastAsia="仿宋_GB2312" w:cs="仿宋_GB2312"/>
          <w:kern w:val="0"/>
          <w:sz w:val="32"/>
          <w:szCs w:val="32"/>
          <w:shd w:val="clear" w:color="auto" w:fill="FFFFFF"/>
          <w:lang w:val="en-US" w:eastAsia="zh-CN"/>
        </w:rPr>
        <w:t>到位25万元，到位率100%；</w:t>
      </w:r>
      <w:r>
        <w:rPr>
          <w:rFonts w:hint="eastAsia" w:ascii="仿宋_GB2312" w:hAnsi="Times New Roman" w:eastAsia="仿宋_GB2312" w:cs="仿宋_GB2312"/>
          <w:kern w:val="0"/>
          <w:sz w:val="32"/>
          <w:szCs w:val="32"/>
          <w:shd w:val="clear" w:color="auto" w:fill="FFFFFF"/>
          <w:lang w:val="zh-CN" w:eastAsia="zh-CN"/>
        </w:rPr>
        <w:t>单位自筹</w:t>
      </w:r>
      <w:r>
        <w:rPr>
          <w:rFonts w:hint="eastAsia" w:ascii="仿宋_GB2312" w:hAnsi="Times New Roman" w:eastAsia="仿宋_GB2312" w:cs="仿宋_GB2312"/>
          <w:kern w:val="0"/>
          <w:sz w:val="32"/>
          <w:szCs w:val="32"/>
          <w:shd w:val="clear" w:color="auto" w:fill="FFFFFF"/>
          <w:lang w:val="en-US" w:eastAsia="zh-CN"/>
        </w:rPr>
        <w:t>到位0万元</w:t>
      </w:r>
      <w:r>
        <w:rPr>
          <w:rFonts w:hint="eastAsia" w:ascii="仿宋_GB2312" w:hAnsi="Times New Roman" w:eastAsia="仿宋_GB2312" w:cs="仿宋_GB2312"/>
          <w:kern w:val="0"/>
          <w:sz w:val="32"/>
          <w:szCs w:val="32"/>
          <w:shd w:val="clear" w:color="auto" w:fill="FFFFFF"/>
          <w:lang w:val="zh-CN" w:eastAsia="zh-CN"/>
        </w:rPr>
        <w:t>，</w:t>
      </w:r>
      <w:r>
        <w:rPr>
          <w:rFonts w:hint="eastAsia" w:ascii="仿宋_GB2312" w:hAnsi="Times New Roman" w:eastAsia="仿宋_GB2312" w:cs="仿宋_GB2312"/>
          <w:kern w:val="0"/>
          <w:sz w:val="32"/>
          <w:szCs w:val="32"/>
          <w:shd w:val="clear" w:color="auto" w:fill="FFFFFF"/>
          <w:lang w:val="en-US" w:eastAsia="zh-CN"/>
        </w:rPr>
        <w:t>到位率0%；</w:t>
      </w:r>
      <w:r>
        <w:rPr>
          <w:rFonts w:hint="eastAsia" w:ascii="仿宋_GB2312" w:hAnsi="Times New Roman" w:eastAsia="仿宋_GB2312" w:cs="仿宋_GB2312"/>
          <w:kern w:val="0"/>
          <w:sz w:val="32"/>
          <w:szCs w:val="32"/>
          <w:shd w:val="clear" w:color="auto" w:fill="FFFFFF"/>
          <w:lang w:val="zh-CN" w:eastAsia="zh-CN"/>
        </w:rPr>
        <w:t>其他渠道资金</w:t>
      </w:r>
      <w:r>
        <w:rPr>
          <w:rFonts w:hint="eastAsia" w:ascii="仿宋_GB2312" w:hAnsi="Times New Roman" w:eastAsia="仿宋_GB2312" w:cs="仿宋_GB2312"/>
          <w:kern w:val="0"/>
          <w:sz w:val="32"/>
          <w:szCs w:val="32"/>
          <w:shd w:val="clear" w:color="auto" w:fill="FFFFFF"/>
          <w:lang w:val="en-US" w:eastAsia="zh-CN"/>
        </w:rPr>
        <w:t>到位0万元，到位率0%。</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Times New Roman" w:eastAsia="仿宋_GB2312" w:cs="仿宋_GB2312"/>
          <w:kern w:val="0"/>
          <w:sz w:val="32"/>
          <w:szCs w:val="32"/>
          <w:shd w:val="clear" w:color="auto" w:fill="FFFFFF"/>
          <w:lang w:val="zh-CN" w:eastAsia="zh-CN"/>
        </w:rPr>
      </w:pPr>
      <w:r>
        <w:rPr>
          <w:rFonts w:hint="eastAsia" w:ascii="仿宋_GB2312" w:eastAsia="仿宋_GB2312" w:cs="仿宋_GB2312"/>
          <w:kern w:val="0"/>
          <w:sz w:val="32"/>
          <w:szCs w:val="32"/>
          <w:shd w:val="clear" w:color="auto" w:fill="FFFFFF"/>
          <w:lang w:val="zh-CN"/>
        </w:rPr>
        <w:t>3．</w:t>
      </w:r>
      <w:r>
        <w:rPr>
          <w:rFonts w:hint="eastAsia" w:ascii="仿宋_GB2312" w:hAnsi="Times New Roman" w:eastAsia="仿宋_GB2312" w:cs="仿宋_GB2312"/>
          <w:kern w:val="0"/>
          <w:sz w:val="32"/>
          <w:szCs w:val="32"/>
          <w:shd w:val="clear" w:color="auto" w:fill="FFFFFF"/>
          <w:lang w:val="zh-CN" w:eastAsia="zh-CN"/>
        </w:rPr>
        <w:t>资金使用。截至</w:t>
      </w:r>
      <w:r>
        <w:rPr>
          <w:rFonts w:hint="eastAsia" w:ascii="仿宋_GB2312" w:hAnsi="Times New Roman" w:eastAsia="仿宋_GB2312" w:cs="仿宋_GB2312"/>
          <w:kern w:val="0"/>
          <w:sz w:val="32"/>
          <w:szCs w:val="32"/>
          <w:shd w:val="clear" w:color="auto" w:fill="FFFFFF"/>
          <w:lang w:val="en-US" w:eastAsia="zh-CN"/>
        </w:rPr>
        <w:t>2022年12月31日红原县看守所犯人生活相关经费专项资金18.30万元，</w:t>
      </w:r>
      <w:r>
        <w:rPr>
          <w:rFonts w:hint="eastAsia" w:ascii="仿宋_GB2312" w:hAnsi="Times New Roman" w:eastAsia="仿宋_GB2312" w:cs="仿宋_GB2312"/>
          <w:kern w:val="0"/>
          <w:sz w:val="32"/>
          <w:szCs w:val="32"/>
          <w:shd w:val="clear" w:color="auto" w:fill="FFFFFF"/>
          <w:lang w:val="zh-CN" w:eastAsia="zh-CN"/>
        </w:rPr>
        <w:t>资金支付范围主要包括：</w:t>
      </w:r>
      <w:r>
        <w:rPr>
          <w:rFonts w:hint="default" w:ascii="仿宋_GB2312" w:hAnsi="Times New Roman" w:eastAsia="仿宋_GB2312" w:cs="仿宋_GB2312"/>
          <w:kern w:val="0"/>
          <w:sz w:val="32"/>
          <w:szCs w:val="32"/>
          <w:shd w:val="clear" w:color="auto" w:fill="FFFFFF"/>
          <w:lang w:val="zh-CN" w:eastAsia="zh-CN"/>
        </w:rPr>
        <w:t>在押人员给养费</w:t>
      </w:r>
      <w:r>
        <w:rPr>
          <w:rFonts w:hint="eastAsia" w:ascii="仿宋_GB2312" w:hAnsi="Times New Roman" w:eastAsia="仿宋_GB2312" w:cs="仿宋_GB2312"/>
          <w:kern w:val="0"/>
          <w:sz w:val="32"/>
          <w:szCs w:val="32"/>
          <w:shd w:val="clear" w:color="auto" w:fill="FFFFFF"/>
          <w:lang w:val="zh-CN" w:eastAsia="zh-CN"/>
        </w:rPr>
        <w:t>、</w:t>
      </w:r>
      <w:r>
        <w:rPr>
          <w:rFonts w:hint="default" w:ascii="仿宋_GB2312" w:hAnsi="Times New Roman" w:eastAsia="仿宋_GB2312" w:cs="仿宋_GB2312"/>
          <w:kern w:val="0"/>
          <w:sz w:val="32"/>
          <w:szCs w:val="32"/>
          <w:shd w:val="clear" w:color="auto" w:fill="FFFFFF"/>
          <w:lang w:val="zh-CN" w:eastAsia="zh-CN"/>
        </w:rPr>
        <w:t>在押人员医疗</w:t>
      </w:r>
      <w:r>
        <w:rPr>
          <w:rFonts w:hint="eastAsia" w:ascii="仿宋_GB2312" w:hAnsi="Times New Roman" w:eastAsia="仿宋_GB2312" w:cs="仿宋_GB2312"/>
          <w:kern w:val="0"/>
          <w:sz w:val="32"/>
          <w:szCs w:val="32"/>
          <w:shd w:val="clear" w:color="auto" w:fill="FFFFFF"/>
          <w:lang w:val="zh-CN" w:eastAsia="zh-CN"/>
        </w:rPr>
        <w:t>卫生</w:t>
      </w:r>
      <w:r>
        <w:rPr>
          <w:rFonts w:hint="default" w:ascii="仿宋_GB2312" w:hAnsi="Times New Roman" w:eastAsia="仿宋_GB2312" w:cs="仿宋_GB2312"/>
          <w:kern w:val="0"/>
          <w:sz w:val="32"/>
          <w:szCs w:val="32"/>
          <w:shd w:val="clear" w:color="auto" w:fill="FFFFFF"/>
          <w:lang w:val="zh-CN" w:eastAsia="zh-CN"/>
        </w:rPr>
        <w:t>费</w:t>
      </w:r>
      <w:r>
        <w:rPr>
          <w:rFonts w:hint="eastAsia" w:ascii="仿宋_GB2312" w:hAnsi="Times New Roman" w:eastAsia="仿宋_GB2312" w:cs="仿宋_GB2312"/>
          <w:kern w:val="0"/>
          <w:sz w:val="32"/>
          <w:szCs w:val="32"/>
          <w:shd w:val="clear" w:color="auto" w:fill="FFFFFF"/>
          <w:lang w:val="zh-CN" w:eastAsia="zh-CN"/>
        </w:rPr>
        <w:t>、</w:t>
      </w:r>
      <w:r>
        <w:rPr>
          <w:rFonts w:hint="default" w:ascii="仿宋_GB2312" w:hAnsi="Times New Roman" w:eastAsia="仿宋_GB2312" w:cs="仿宋_GB2312"/>
          <w:kern w:val="0"/>
          <w:sz w:val="32"/>
          <w:szCs w:val="32"/>
          <w:shd w:val="clear" w:color="auto" w:fill="FFFFFF"/>
          <w:lang w:val="zh-CN" w:eastAsia="zh-CN"/>
        </w:rPr>
        <w:t>在押人员医疗</w:t>
      </w:r>
      <w:r>
        <w:rPr>
          <w:rFonts w:hint="eastAsia" w:ascii="仿宋_GB2312" w:hAnsi="Times New Roman" w:eastAsia="仿宋_GB2312" w:cs="仿宋_GB2312"/>
          <w:kern w:val="0"/>
          <w:sz w:val="32"/>
          <w:szCs w:val="32"/>
          <w:shd w:val="clear" w:color="auto" w:fill="FFFFFF"/>
          <w:lang w:val="zh-CN" w:eastAsia="zh-CN"/>
        </w:rPr>
        <w:t>卫生</w:t>
      </w:r>
      <w:r>
        <w:rPr>
          <w:rFonts w:hint="default" w:ascii="仿宋_GB2312" w:hAnsi="Times New Roman" w:eastAsia="仿宋_GB2312" w:cs="仿宋_GB2312"/>
          <w:kern w:val="0"/>
          <w:sz w:val="32"/>
          <w:szCs w:val="32"/>
          <w:shd w:val="clear" w:color="auto" w:fill="FFFFFF"/>
          <w:lang w:val="zh-CN" w:eastAsia="zh-CN"/>
        </w:rPr>
        <w:t>费</w:t>
      </w:r>
      <w:r>
        <w:rPr>
          <w:rFonts w:hint="eastAsia" w:ascii="仿宋_GB2312" w:hAnsi="Times New Roman" w:eastAsia="仿宋_GB2312" w:cs="仿宋_GB2312"/>
          <w:kern w:val="0"/>
          <w:sz w:val="32"/>
          <w:szCs w:val="32"/>
          <w:shd w:val="clear" w:color="auto" w:fill="FFFFFF"/>
          <w:lang w:val="zh-CN" w:eastAsia="zh-CN"/>
        </w:rPr>
        <w:t>、监管业务费、</w:t>
      </w:r>
      <w:r>
        <w:rPr>
          <w:rFonts w:hint="default" w:ascii="仿宋_GB2312" w:hAnsi="Times New Roman" w:eastAsia="仿宋_GB2312" w:cs="仿宋_GB2312"/>
          <w:kern w:val="0"/>
          <w:sz w:val="32"/>
          <w:szCs w:val="32"/>
          <w:shd w:val="clear" w:color="auto" w:fill="FFFFFF"/>
          <w:lang w:val="zh-CN" w:eastAsia="zh-CN"/>
        </w:rPr>
        <w:t>装备购置费</w:t>
      </w:r>
      <w:r>
        <w:rPr>
          <w:rFonts w:hint="eastAsia" w:ascii="仿宋_GB2312" w:hAnsi="Times New Roman" w:eastAsia="仿宋_GB2312" w:cs="仿宋_GB2312"/>
          <w:kern w:val="0"/>
          <w:sz w:val="32"/>
          <w:szCs w:val="32"/>
          <w:shd w:val="clear" w:color="auto" w:fill="FFFFFF"/>
          <w:lang w:val="zh-CN" w:eastAsia="zh-CN"/>
        </w:rPr>
        <w:t>、</w:t>
      </w:r>
      <w:r>
        <w:rPr>
          <w:rFonts w:hint="default" w:ascii="仿宋_GB2312" w:hAnsi="Times New Roman" w:eastAsia="仿宋_GB2312" w:cs="仿宋_GB2312"/>
          <w:kern w:val="0"/>
          <w:sz w:val="32"/>
          <w:szCs w:val="32"/>
          <w:shd w:val="clear" w:color="auto" w:fill="FFFFFF"/>
          <w:lang w:val="zh-CN" w:eastAsia="zh-CN"/>
        </w:rPr>
        <w:t>装备</w:t>
      </w:r>
      <w:r>
        <w:rPr>
          <w:rFonts w:hint="eastAsia" w:ascii="仿宋_GB2312" w:hAnsi="Times New Roman" w:eastAsia="仿宋_GB2312" w:cs="仿宋_GB2312"/>
          <w:kern w:val="0"/>
          <w:sz w:val="32"/>
          <w:szCs w:val="32"/>
          <w:shd w:val="clear" w:color="auto" w:fill="FFFFFF"/>
          <w:lang w:val="zh-CN" w:eastAsia="zh-CN"/>
        </w:rPr>
        <w:t>运维</w:t>
      </w:r>
      <w:r>
        <w:rPr>
          <w:rFonts w:hint="default" w:ascii="仿宋_GB2312" w:hAnsi="Times New Roman" w:eastAsia="仿宋_GB2312" w:cs="仿宋_GB2312"/>
          <w:kern w:val="0"/>
          <w:sz w:val="32"/>
          <w:szCs w:val="32"/>
          <w:shd w:val="clear" w:color="auto" w:fill="FFFFFF"/>
          <w:lang w:val="zh-CN" w:eastAsia="zh-CN"/>
        </w:rPr>
        <w:t>消耗费</w:t>
      </w:r>
      <w:r>
        <w:rPr>
          <w:rFonts w:hint="eastAsia" w:ascii="仿宋_GB2312" w:hAnsi="Times New Roman" w:eastAsia="仿宋_GB2312" w:cs="仿宋_GB2312"/>
          <w:kern w:val="0"/>
          <w:sz w:val="32"/>
          <w:szCs w:val="32"/>
          <w:shd w:val="clear" w:color="auto" w:fill="FFFFFF"/>
          <w:lang w:val="zh-CN" w:eastAsia="zh-CN"/>
        </w:rPr>
        <w:t>、</w:t>
      </w:r>
      <w:r>
        <w:rPr>
          <w:rFonts w:hint="default" w:ascii="仿宋_GB2312" w:hAnsi="Times New Roman" w:eastAsia="仿宋_GB2312" w:cs="仿宋_GB2312"/>
          <w:kern w:val="0"/>
          <w:sz w:val="32"/>
          <w:szCs w:val="32"/>
          <w:shd w:val="clear" w:color="auto" w:fill="FFFFFF"/>
          <w:lang w:val="zh-CN" w:eastAsia="zh-CN"/>
        </w:rPr>
        <w:t>修缮费</w:t>
      </w:r>
      <w:r>
        <w:rPr>
          <w:rFonts w:hint="eastAsia" w:ascii="仿宋_GB2312" w:hAnsi="Times New Roman" w:eastAsia="仿宋_GB2312" w:cs="仿宋_GB2312"/>
          <w:kern w:val="0"/>
          <w:sz w:val="32"/>
          <w:szCs w:val="32"/>
          <w:shd w:val="clear" w:color="auto" w:fill="FFFFFF"/>
          <w:lang w:val="zh-CN" w:eastAsia="zh-CN"/>
        </w:rPr>
        <w:t>、</w:t>
      </w:r>
      <w:r>
        <w:rPr>
          <w:rFonts w:hint="default" w:ascii="仿宋_GB2312" w:hAnsi="Times New Roman" w:eastAsia="仿宋_GB2312" w:cs="仿宋_GB2312"/>
          <w:kern w:val="0"/>
          <w:sz w:val="32"/>
          <w:szCs w:val="32"/>
          <w:shd w:val="clear" w:color="auto" w:fill="FFFFFF"/>
          <w:lang w:val="zh-CN" w:eastAsia="zh-CN"/>
        </w:rPr>
        <w:t>其他费用</w:t>
      </w:r>
      <w:r>
        <w:rPr>
          <w:rFonts w:hint="eastAsia" w:ascii="仿宋_GB2312" w:hAnsi="Times New Roman" w:eastAsia="仿宋_GB2312" w:cs="仿宋_GB2312"/>
          <w:kern w:val="0"/>
          <w:sz w:val="32"/>
          <w:szCs w:val="32"/>
          <w:shd w:val="clear" w:color="auto" w:fill="FFFFFF"/>
          <w:lang w:val="zh-CN" w:eastAsia="zh-CN"/>
        </w:rPr>
        <w:t>；支付进度为</w:t>
      </w:r>
      <w:r>
        <w:rPr>
          <w:rFonts w:hint="eastAsia" w:ascii="仿宋_GB2312" w:hAnsi="Times New Roman" w:eastAsia="仿宋_GB2312" w:cs="仿宋_GB2312"/>
          <w:kern w:val="0"/>
          <w:sz w:val="32"/>
          <w:szCs w:val="32"/>
          <w:shd w:val="clear" w:color="auto" w:fill="FFFFFF"/>
          <w:lang w:val="en-US" w:eastAsia="zh-CN"/>
        </w:rPr>
        <w:t>73.2%，与预算差距大的原因为2022年处于疫情期间偶有封控，推迟被羁押人员推迟时间执行</w:t>
      </w:r>
      <w:r>
        <w:rPr>
          <w:rFonts w:hint="eastAsia" w:ascii="仿宋_GB2312" w:hAnsi="Times New Roman" w:eastAsia="仿宋_GB2312" w:cs="仿宋_GB2312"/>
          <w:kern w:val="0"/>
          <w:sz w:val="32"/>
          <w:szCs w:val="32"/>
          <w:shd w:val="clear" w:color="auto" w:fill="FFFFFF"/>
          <w:lang w:val="zh-CN" w:eastAsia="zh-CN"/>
        </w:rPr>
        <w:t>。</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（三）项目财务管理情况。</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我单位看守所在押人员生活保障经费财务管理制度健全，严格执行财务管理制度，账务处理及时，会计核算规范等。</w:t>
      </w:r>
    </w:p>
    <w:p>
      <w:pPr>
        <w:pageBreakBefore w:val="0"/>
        <w:kinsoku/>
        <w:wordWrap/>
        <w:overflowPunct/>
        <w:topLinePunct w:val="0"/>
        <w:bidi w:val="0"/>
        <w:adjustRightInd w:val="0"/>
        <w:snapToGrid w:val="0"/>
        <w:spacing w:line="560" w:lineRule="exact"/>
        <w:ind w:firstLine="720"/>
        <w:textAlignment w:val="auto"/>
        <w:outlineLvl w:val="9"/>
        <w:rPr>
          <w:rFonts w:ascii="黑体" w:eastAsia="黑体"/>
          <w:sz w:val="32"/>
          <w:szCs w:val="32"/>
        </w:rPr>
      </w:pPr>
      <w:r>
        <w:rPr>
          <w:rFonts w:hint="eastAsia" w:ascii="黑体" w:eastAsia="黑体"/>
          <w:sz w:val="32"/>
          <w:szCs w:val="32"/>
        </w:rPr>
        <w:t>三、项目实施及管理情况</w:t>
      </w:r>
    </w:p>
    <w:p>
      <w:pPr>
        <w:pageBreakBefore w:val="0"/>
        <w:kinsoku/>
        <w:wordWrap/>
        <w:overflowPunct/>
        <w:topLinePunct w:val="0"/>
        <w:bidi w:val="0"/>
        <w:adjustRightInd w:val="0"/>
        <w:snapToGrid w:val="0"/>
        <w:spacing w:line="560" w:lineRule="exact"/>
        <w:ind w:firstLine="720"/>
        <w:textAlignment w:val="auto"/>
        <w:outlineLvl w:val="9"/>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en-US" w:eastAsia="zh-CN"/>
        </w:rPr>
      </w:pPr>
      <w:r>
        <w:rPr>
          <w:rFonts w:hint="eastAsia" w:ascii="仿宋_GB2312" w:hAnsi="Times New Roman" w:eastAsia="仿宋_GB2312" w:cs="仿宋_GB2312"/>
          <w:kern w:val="0"/>
          <w:sz w:val="32"/>
          <w:szCs w:val="32"/>
          <w:shd w:val="clear" w:color="auto" w:fill="FFFFFF"/>
          <w:lang w:val="en-US" w:eastAsia="zh-CN"/>
        </w:rPr>
        <w:t>为切实管好、用好红原县看守所犯人生活相关经费，我局特成立公安专项资金项目领导小组。</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default" w:ascii="仿宋_GB2312" w:hAnsi="Times New Roman" w:eastAsia="仿宋_GB2312" w:cs="仿宋_GB2312"/>
          <w:kern w:val="0"/>
          <w:sz w:val="32"/>
          <w:szCs w:val="32"/>
          <w:shd w:val="clear" w:color="auto" w:fill="FFFFFF"/>
          <w:lang w:val="en-US" w:eastAsia="zh-CN"/>
        </w:rPr>
      </w:pPr>
      <w:r>
        <w:rPr>
          <w:rFonts w:hint="eastAsia" w:ascii="仿宋_GB2312" w:hAnsi="Times New Roman" w:eastAsia="仿宋_GB2312" w:cs="仿宋_GB2312"/>
          <w:kern w:val="0"/>
          <w:sz w:val="32"/>
          <w:szCs w:val="32"/>
          <w:shd w:val="clear" w:color="auto" w:fill="FFFFFF"/>
          <w:lang w:val="en-US" w:eastAsia="zh-CN"/>
        </w:rPr>
        <w:t>组  长：求多尔   政委、局党委副书记</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en-US" w:eastAsia="zh-CN"/>
        </w:rPr>
      </w:pPr>
      <w:r>
        <w:rPr>
          <w:rFonts w:hint="eastAsia" w:ascii="仿宋_GB2312" w:hAnsi="Times New Roman" w:eastAsia="仿宋_GB2312" w:cs="仿宋_GB2312"/>
          <w:kern w:val="0"/>
          <w:sz w:val="32"/>
          <w:szCs w:val="32"/>
          <w:shd w:val="clear" w:color="auto" w:fill="FFFFFF"/>
          <w:lang w:val="en-US" w:eastAsia="zh-CN"/>
        </w:rPr>
        <w:t>副组长：张峻梁   副局长、警保室主任</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en-US" w:eastAsia="zh-CN"/>
        </w:rPr>
      </w:pPr>
      <w:r>
        <w:rPr>
          <w:rFonts w:hint="eastAsia" w:ascii="仿宋_GB2312" w:hAnsi="Times New Roman" w:eastAsia="仿宋_GB2312" w:cs="仿宋_GB2312"/>
          <w:kern w:val="0"/>
          <w:sz w:val="32"/>
          <w:szCs w:val="32"/>
          <w:shd w:val="clear" w:color="auto" w:fill="FFFFFF"/>
          <w:lang w:val="en-US" w:eastAsia="zh-CN"/>
        </w:rPr>
        <w:t xml:space="preserve">成  员：警务保障室全体民警   </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hint="eastAsia" w:ascii="仿宋_GB2312" w:hAnsi="Times New Roman" w:eastAsia="仿宋_GB2312" w:cs="仿宋_GB2312"/>
          <w:kern w:val="0"/>
          <w:sz w:val="32"/>
          <w:szCs w:val="32"/>
          <w:shd w:val="clear" w:color="auto" w:fill="FFFFFF"/>
          <w:lang w:val="en-US" w:eastAsia="zh-CN"/>
        </w:rPr>
      </w:pPr>
      <w:r>
        <w:rPr>
          <w:rFonts w:hint="eastAsia" w:ascii="仿宋_GB2312" w:hAnsi="Times New Roman" w:eastAsia="仿宋_GB2312" w:cs="仿宋_GB2312"/>
          <w:kern w:val="0"/>
          <w:sz w:val="32"/>
          <w:szCs w:val="32"/>
          <w:shd w:val="clear" w:color="auto" w:fill="FFFFFF"/>
          <w:lang w:val="en-US" w:eastAsia="zh-CN"/>
        </w:rPr>
        <w:t>办公室设在警务保障室，由警务保障室负责统筹管理项目日常工作。</w:t>
      </w:r>
    </w:p>
    <w:p>
      <w:pPr>
        <w:pageBreakBefore w:val="0"/>
        <w:kinsoku/>
        <w:wordWrap/>
        <w:overflowPunct/>
        <w:topLinePunct w:val="0"/>
        <w:bidi w:val="0"/>
        <w:adjustRightInd w:val="0"/>
        <w:snapToGrid w:val="0"/>
        <w:spacing w:line="560" w:lineRule="exact"/>
        <w:ind w:firstLine="720"/>
        <w:textAlignment w:val="auto"/>
        <w:outlineLvl w:val="9"/>
        <w:rPr>
          <w:rFonts w:hint="eastAsia" w:ascii="仿宋_GB2312" w:hAnsi="Times New Roman" w:eastAsia="仿宋_GB2312" w:cs="仿宋_GB2312"/>
          <w:kern w:val="0"/>
          <w:sz w:val="32"/>
          <w:szCs w:val="32"/>
          <w:shd w:val="clear" w:color="auto" w:fill="FFFFFF"/>
          <w:lang w:val="zh-CN" w:eastAsia="zh-CN"/>
        </w:rPr>
      </w:pPr>
      <w:r>
        <w:rPr>
          <w:rFonts w:hint="eastAsia" w:ascii="楷体_GB2312" w:eastAsia="楷体_GB2312"/>
          <w:b/>
          <w:sz w:val="32"/>
          <w:szCs w:val="32"/>
          <w:lang w:val="zh-CN"/>
        </w:rPr>
        <w:t>（二）项目管理情况。</w:t>
      </w:r>
      <w:r>
        <w:rPr>
          <w:rFonts w:hint="eastAsia" w:ascii="仿宋_GB2312" w:hAnsi="Times New Roman" w:eastAsia="仿宋_GB2312" w:cs="仿宋_GB2312"/>
          <w:kern w:val="0"/>
          <w:sz w:val="32"/>
          <w:szCs w:val="32"/>
          <w:shd w:val="clear" w:color="auto" w:fill="FFFFFF"/>
          <w:lang w:val="en-US" w:eastAsia="zh-CN"/>
        </w:rPr>
        <w:t>本项目采取项目工作领导小组负责制，全体成员积极配合、通力合作。项目工作领导小组负责协调相关工作，项目实施及资金管理，在项目管理过程中主要遵循《</w:t>
      </w:r>
      <w:r>
        <w:rPr>
          <w:rFonts w:hint="default" w:ascii="仿宋_GB2312" w:hAnsi="Times New Roman" w:eastAsia="仿宋_GB2312" w:cs="仿宋_GB2312"/>
          <w:kern w:val="0"/>
          <w:sz w:val="32"/>
          <w:szCs w:val="32"/>
          <w:shd w:val="clear" w:color="auto" w:fill="FFFFFF"/>
          <w:lang w:val="en-US" w:eastAsia="zh-CN"/>
        </w:rPr>
        <w:t>看守所经费</w:t>
      </w:r>
      <w:r>
        <w:rPr>
          <w:rFonts w:hint="eastAsia" w:ascii="仿宋_GB2312" w:hAnsi="Times New Roman" w:eastAsia="仿宋_GB2312" w:cs="仿宋_GB2312"/>
          <w:kern w:val="0"/>
          <w:sz w:val="32"/>
          <w:szCs w:val="32"/>
          <w:shd w:val="clear" w:color="auto" w:fill="FFFFFF"/>
          <w:lang w:val="en-US" w:eastAsia="zh-CN"/>
        </w:rPr>
        <w:t>开支</w:t>
      </w:r>
      <w:r>
        <w:rPr>
          <w:rFonts w:hint="default" w:ascii="仿宋_GB2312" w:hAnsi="Times New Roman" w:eastAsia="仿宋_GB2312" w:cs="仿宋_GB2312"/>
          <w:kern w:val="0"/>
          <w:sz w:val="32"/>
          <w:szCs w:val="32"/>
          <w:shd w:val="clear" w:color="auto" w:fill="FFFFFF"/>
          <w:lang w:val="en-US" w:eastAsia="zh-CN"/>
        </w:rPr>
        <w:t>范围和管理办法的规定</w:t>
      </w:r>
      <w:r>
        <w:rPr>
          <w:rFonts w:hint="eastAsia" w:ascii="仿宋_GB2312" w:hAnsi="Times New Roman" w:eastAsia="仿宋_GB2312" w:cs="仿宋_GB2312"/>
          <w:kern w:val="0"/>
          <w:sz w:val="32"/>
          <w:szCs w:val="32"/>
          <w:shd w:val="clear" w:color="auto" w:fill="FFFFFF"/>
          <w:lang w:val="en-US" w:eastAsia="zh-CN"/>
        </w:rPr>
        <w:t>》等制度</w:t>
      </w:r>
      <w:r>
        <w:rPr>
          <w:rFonts w:hint="eastAsia" w:ascii="仿宋_GB2312" w:hAnsi="Times New Roman" w:eastAsia="仿宋_GB2312" w:cs="仿宋_GB2312"/>
          <w:kern w:val="0"/>
          <w:sz w:val="32"/>
          <w:szCs w:val="32"/>
          <w:shd w:val="clear" w:color="auto" w:fill="FFFFFF"/>
          <w:lang w:val="zh-CN" w:eastAsia="zh-CN"/>
        </w:rPr>
        <w:t>。</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default" w:ascii="仿宋_GB2312" w:hAnsi="Times New Roman" w:eastAsia="仿宋_GB2312" w:cs="仿宋_GB2312"/>
          <w:kern w:val="0"/>
          <w:sz w:val="32"/>
          <w:szCs w:val="32"/>
          <w:shd w:val="clear" w:color="auto" w:fill="FFFFFF"/>
          <w:lang w:val="en-US" w:eastAsia="zh-CN"/>
        </w:rPr>
      </w:pPr>
      <w:r>
        <w:rPr>
          <w:rFonts w:hint="eastAsia" w:ascii="楷体_GB2312" w:eastAsia="楷体_GB2312"/>
          <w:b/>
          <w:sz w:val="32"/>
          <w:szCs w:val="32"/>
          <w:lang w:val="zh-CN"/>
        </w:rPr>
        <w:t>（三）项目监管情况。</w:t>
      </w:r>
      <w:r>
        <w:rPr>
          <w:rFonts w:hint="eastAsia" w:ascii="仿宋_GB2312" w:hAnsi="Times New Roman" w:eastAsia="仿宋_GB2312" w:cs="仿宋_GB2312"/>
          <w:kern w:val="0"/>
          <w:sz w:val="32"/>
          <w:szCs w:val="32"/>
          <w:shd w:val="clear" w:color="auto" w:fill="FFFFFF"/>
          <w:lang w:val="en-US" w:eastAsia="zh-CN"/>
        </w:rPr>
        <w:t>该项目资金由我局具体管理制定管理制度，对项目资金按项目单独核算实行“专款专用、专人管理”，不得挤占挪用项目资金。强化监督，项目的正常实施监督检查是保障。对项目的实施定期或不定期的进行现场检查和监督，及时协调解决困难和问题</w:t>
      </w:r>
    </w:p>
    <w:p>
      <w:pPr>
        <w:pageBreakBefore w:val="0"/>
        <w:kinsoku/>
        <w:wordWrap/>
        <w:overflowPunct/>
        <w:topLinePunct w:val="0"/>
        <w:bidi w:val="0"/>
        <w:adjustRightInd w:val="0"/>
        <w:snapToGrid w:val="0"/>
        <w:spacing w:line="560" w:lineRule="exact"/>
        <w:ind w:firstLine="720"/>
        <w:textAlignment w:val="auto"/>
        <w:outlineLvl w:val="9"/>
        <w:rPr>
          <w:rFonts w:ascii="仿宋_GB2312" w:hAnsi="仿宋_GB2312"/>
          <w:sz w:val="32"/>
          <w:szCs w:val="32"/>
          <w:lang w:val="zh-CN"/>
        </w:rPr>
      </w:pPr>
      <w:r>
        <w:rPr>
          <w:rFonts w:hint="eastAsia" w:ascii="黑体" w:eastAsia="黑体"/>
          <w:sz w:val="32"/>
          <w:szCs w:val="32"/>
        </w:rPr>
        <w:t>四、项目绩效情况</w:t>
      </w:r>
      <w:r>
        <w:rPr>
          <w:rFonts w:hint="eastAsia" w:ascii="仿宋_GB2312" w:hAnsi="仿宋_GB2312"/>
          <w:sz w:val="32"/>
          <w:szCs w:val="32"/>
          <w:lang w:val="zh-CN"/>
        </w:rPr>
        <w:tab/>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Times New Roman" w:eastAsia="仿宋_GB2312" w:cs="仿宋_GB2312"/>
          <w:kern w:val="0"/>
          <w:sz w:val="32"/>
          <w:szCs w:val="32"/>
          <w:shd w:val="clear" w:color="auto" w:fill="FFFFFF"/>
          <w:lang w:val="zh-CN" w:eastAsia="zh-CN"/>
        </w:rPr>
      </w:pPr>
      <w:r>
        <w:rPr>
          <w:rFonts w:hint="eastAsia" w:ascii="仿宋_GB2312" w:hAnsi="Times New Roman" w:eastAsia="仿宋_GB2312" w:cs="仿宋_GB2312"/>
          <w:kern w:val="0"/>
          <w:sz w:val="32"/>
          <w:szCs w:val="32"/>
          <w:shd w:val="clear" w:color="auto" w:fill="FFFFFF"/>
          <w:lang w:val="en-US" w:eastAsia="zh-CN"/>
        </w:rPr>
        <w:t>该项目资金共计25万元,支付18.3万元，预算执行率为73.2%</w:t>
      </w:r>
      <w:r>
        <w:rPr>
          <w:rFonts w:hint="eastAsia" w:ascii="仿宋_GB2312" w:hAnsi="Times New Roman" w:eastAsia="仿宋_GB2312" w:cs="仿宋_GB2312"/>
          <w:kern w:val="0"/>
          <w:sz w:val="32"/>
          <w:szCs w:val="32"/>
          <w:shd w:val="clear" w:color="auto" w:fill="FFFFFF"/>
          <w:lang w:val="zh-CN" w:eastAsia="zh-CN"/>
        </w:rPr>
        <w:t>。</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（二）项目效益情况。</w:t>
      </w:r>
    </w:p>
    <w:p>
      <w:pPr>
        <w:pageBreakBefore w:val="0"/>
        <w:widowControl/>
        <w:kinsoku/>
        <w:wordWrap/>
        <w:overflowPunct/>
        <w:topLinePunct w:val="0"/>
        <w:bidi w:val="0"/>
        <w:adjustRightInd w:val="0"/>
        <w:snapToGrid w:val="0"/>
        <w:spacing w:line="560" w:lineRule="exact"/>
        <w:ind w:firstLine="640" w:firstLineChars="200"/>
        <w:contextualSpacing/>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eastAsia="zh-CN"/>
        </w:rPr>
        <w:t>当前，该项目的持续推进使在押人员得</w:t>
      </w:r>
      <w:r>
        <w:rPr>
          <w:rFonts w:hint="eastAsia" w:ascii="仿宋_GB2312" w:hAnsi="Times New Roman" w:eastAsia="仿宋_GB2312" w:cs="仿宋_GB2312"/>
          <w:kern w:val="0"/>
          <w:sz w:val="32"/>
          <w:szCs w:val="32"/>
          <w:shd w:val="clear" w:color="auto" w:fill="FFFFFF"/>
          <w:lang w:eastAsia="zh-CN"/>
        </w:rPr>
        <w:t>到</w:t>
      </w:r>
      <w:r>
        <w:rPr>
          <w:rFonts w:hint="default" w:ascii="仿宋_GB2312" w:hAnsi="Times New Roman" w:eastAsia="仿宋_GB2312" w:cs="仿宋_GB2312"/>
          <w:kern w:val="0"/>
          <w:sz w:val="32"/>
          <w:szCs w:val="32"/>
          <w:shd w:val="clear" w:color="auto" w:fill="FFFFFF"/>
          <w:lang w:eastAsia="zh-CN"/>
        </w:rPr>
        <w:t>教育</w:t>
      </w:r>
      <w:r>
        <w:rPr>
          <w:rFonts w:hint="eastAsia" w:ascii="仿宋_GB2312" w:hAnsi="Times New Roman" w:eastAsia="仿宋_GB2312" w:cs="仿宋_GB2312"/>
          <w:kern w:val="0"/>
          <w:sz w:val="32"/>
          <w:szCs w:val="32"/>
          <w:shd w:val="clear" w:color="auto" w:fill="FFFFFF"/>
          <w:lang w:eastAsia="zh-CN"/>
        </w:rPr>
        <w:t>感化，以减少违法犯罪行为，使社会治安环境持续向好发展；另在押期间在押人员对生活保障、医疗保障等给予肯定。</w:t>
      </w:r>
    </w:p>
    <w:p>
      <w:pPr>
        <w:pageBreakBefore w:val="0"/>
        <w:kinsoku/>
        <w:wordWrap/>
        <w:overflowPunct/>
        <w:topLinePunct w:val="0"/>
        <w:bidi w:val="0"/>
        <w:adjustRightInd w:val="0"/>
        <w:snapToGrid w:val="0"/>
        <w:spacing w:line="560" w:lineRule="exact"/>
        <w:ind w:firstLine="720"/>
        <w:textAlignment w:val="auto"/>
        <w:outlineLvl w:val="9"/>
        <w:rPr>
          <w:rFonts w:ascii="黑体" w:eastAsia="黑体"/>
          <w:sz w:val="32"/>
          <w:szCs w:val="32"/>
        </w:rPr>
      </w:pPr>
      <w:r>
        <w:rPr>
          <w:rFonts w:hint="eastAsia" w:ascii="黑体" w:eastAsia="黑体"/>
          <w:sz w:val="32"/>
          <w:szCs w:val="32"/>
        </w:rPr>
        <w:t>五、评价结论及建议</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（一）评价结论。</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outlineLvl w:val="9"/>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该项目绩效评价为良好，但从当年预算编制准确率上看，预算编制还需改进，以更合理方式进行测算。</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eastAsia="仿宋_GB2312" w:cs="仿宋_GB2312"/>
          <w:kern w:val="0"/>
          <w:sz w:val="32"/>
          <w:szCs w:val="32"/>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1.</w:t>
      </w:r>
      <w:r>
        <w:rPr>
          <w:rFonts w:hint="eastAsia" w:ascii="仿宋_GB2312" w:eastAsia="仿宋_GB2312" w:cs="仿宋_GB2312"/>
          <w:kern w:val="0"/>
          <w:sz w:val="32"/>
          <w:szCs w:val="32"/>
          <w:shd w:val="clear" w:color="auto" w:fill="FFFFFF"/>
          <w:lang w:val="en-US" w:eastAsia="zh-CN"/>
        </w:rPr>
        <w:t>项目资金预算执行率低</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eastAsia="仿宋_GB2312" w:cs="仿宋_GB2312"/>
          <w:kern w:val="0"/>
          <w:sz w:val="32"/>
          <w:szCs w:val="32"/>
          <w:shd w:val="clear" w:color="auto" w:fill="FFFFFF"/>
          <w:lang w:val="en-US" w:eastAsia="zh-CN"/>
        </w:rPr>
      </w:pPr>
      <w:r>
        <w:rPr>
          <w:rFonts w:hint="eastAsia" w:ascii="仿宋_GB2312" w:eastAsia="仿宋_GB2312" w:cs="仿宋_GB2312"/>
          <w:kern w:val="0"/>
          <w:sz w:val="32"/>
          <w:szCs w:val="32"/>
          <w:shd w:val="clear" w:color="auto" w:fill="FFFFFF"/>
          <w:lang w:val="en-US" w:eastAsia="zh-CN"/>
        </w:rPr>
        <w:t>2.项目预算测算精确度低</w:t>
      </w:r>
    </w:p>
    <w:p>
      <w:pPr>
        <w:pageBreakBefore w:val="0"/>
        <w:kinsoku/>
        <w:wordWrap/>
        <w:overflowPunct/>
        <w:topLinePunct w:val="0"/>
        <w:bidi w:val="0"/>
        <w:adjustRightInd w:val="0"/>
        <w:snapToGrid w:val="0"/>
        <w:spacing w:line="560" w:lineRule="exact"/>
        <w:ind w:firstLine="720"/>
        <w:textAlignment w:val="auto"/>
        <w:outlineLvl w:val="9"/>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both"/>
        <w:textAlignment w:val="auto"/>
        <w:rPr>
          <w:rFonts w:hint="eastAsia" w:ascii="仿宋_GB2312" w:hAnsi="Times New Roman" w:eastAsia="仿宋_GB2312" w:cs="仿宋_GB2312"/>
          <w:kern w:val="0"/>
          <w:sz w:val="32"/>
          <w:szCs w:val="32"/>
          <w:shd w:val="clear" w:color="auto" w:fill="FFFFFF"/>
          <w:lang w:val="en-US" w:eastAsia="zh-CN"/>
        </w:rPr>
      </w:pPr>
      <w:r>
        <w:rPr>
          <w:rFonts w:hint="eastAsia" w:ascii="仿宋_GB2312" w:hAnsi="仿宋_GB2312" w:cs="仿宋_GB2312"/>
          <w:b/>
          <w:bCs/>
          <w:color w:val="auto"/>
          <w:kern w:val="0"/>
          <w:sz w:val="32"/>
          <w:szCs w:val="32"/>
          <w:highlight w:val="none"/>
          <w:u w:val="none"/>
          <w:shd w:val="clear" w:color="auto" w:fill="FFFFFF"/>
          <w:lang w:val="en-US" w:eastAsia="zh-CN"/>
        </w:rPr>
        <w:t>1</w:t>
      </w:r>
      <w:r>
        <w:rPr>
          <w:rFonts w:hint="eastAsia" w:ascii="仿宋_GB2312" w:hAnsi="Times New Roman" w:eastAsia="仿宋_GB2312" w:cs="仿宋_GB2312"/>
          <w:b/>
          <w:bCs/>
          <w:kern w:val="0"/>
          <w:sz w:val="32"/>
          <w:szCs w:val="32"/>
          <w:shd w:val="clear" w:color="auto" w:fill="FFFFFF"/>
          <w:lang w:val="en-US" w:eastAsia="zh-CN"/>
        </w:rPr>
        <w:t>.强化监督管理。</w:t>
      </w:r>
      <w:r>
        <w:rPr>
          <w:rFonts w:hint="eastAsia" w:ascii="仿宋_GB2312" w:hAnsi="Times New Roman" w:eastAsia="仿宋_GB2312" w:cs="仿宋_GB2312"/>
          <w:kern w:val="0"/>
          <w:sz w:val="32"/>
          <w:szCs w:val="32"/>
          <w:shd w:val="clear" w:color="auto" w:fill="FFFFFF"/>
          <w:lang w:val="en-US" w:eastAsia="zh-CN"/>
        </w:rPr>
        <w:t>我单位将进一步落实预算绩效管理的主体责任，建立“全方位、全过程、全覆盖的预算绩效管理理念，强化绩效责任意识。加强对项目预算执行过程的跟踪监控，提高预算执行率，及时发挥财政资金使用效益。同时要进一步提高对制度执行的约束监督，特别是对质量的监督把控。</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仿宋_GB2312" w:hAnsi="仿宋_GB2312" w:cs="仿宋_GB2312"/>
          <w:color w:val="auto"/>
          <w:kern w:val="0"/>
          <w:sz w:val="32"/>
          <w:szCs w:val="32"/>
          <w:highlight w:val="none"/>
          <w:u w:val="none"/>
          <w:shd w:val="clear" w:color="auto" w:fill="FFFFFF"/>
          <w:lang w:val="en-US" w:eastAsia="zh-CN"/>
        </w:rPr>
      </w:pPr>
    </w:p>
    <w:p>
      <w:pPr>
        <w:pageBreakBefore w:val="0"/>
        <w:kinsoku/>
        <w:wordWrap/>
        <w:overflowPunct/>
        <w:topLinePunct w:val="0"/>
        <w:bidi w:val="0"/>
        <w:spacing w:line="560" w:lineRule="exact"/>
        <w:textAlignment w:val="auto"/>
        <w:outlineLvl w:val="9"/>
        <w:rPr>
          <w:rStyle w:val="19"/>
          <w:rFonts w:ascii="黑体" w:eastAsia="黑体"/>
          <w:b w:val="0"/>
        </w:rPr>
      </w:pPr>
    </w:p>
    <w:p>
      <w:pPr>
        <w:pageBreakBefore w:val="0"/>
        <w:widowControl/>
        <w:kinsoku/>
        <w:wordWrap/>
        <w:overflowPunct/>
        <w:topLinePunct w:val="0"/>
        <w:bidi w:val="0"/>
        <w:spacing w:line="560" w:lineRule="exact"/>
        <w:jc w:val="left"/>
        <w:textAlignment w:val="auto"/>
        <w:outlineLvl w:val="9"/>
        <w:rPr>
          <w:rStyle w:val="19"/>
          <w:rFonts w:ascii="黑体" w:eastAsia="黑体"/>
          <w:b w:val="0"/>
        </w:rPr>
      </w:pPr>
      <w:r>
        <w:rPr>
          <w:rStyle w:val="19"/>
          <w:rFonts w:ascii="黑体" w:eastAsia="黑体"/>
          <w:b w:val="0"/>
        </w:rPr>
        <w:br w:type="page"/>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95"/>
        <w:gridCol w:w="232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000000"/>
                <w:kern w:val="0"/>
                <w:sz w:val="32"/>
                <w:szCs w:val="32"/>
                <w:u w:val="none"/>
                <w:lang w:val="en-US" w:eastAsia="zh-CN" w:bidi="ar"/>
              </w:rPr>
            </w:pPr>
            <w:r>
              <w:rPr>
                <w:rFonts w:hint="eastAsia" w:ascii="方正小标宋简体" w:eastAsia="方正小标宋简体" w:cs="方正小标宋简体"/>
                <w:color w:val="auto"/>
                <w:kern w:val="2"/>
                <w:sz w:val="32"/>
                <w:szCs w:val="32"/>
                <w:lang w:val="en-US"/>
              </w:rPr>
              <w:t>红原县看守所犯人生活相关经费专项</w:t>
            </w:r>
            <w:r>
              <w:rPr>
                <w:rFonts w:hint="eastAsia" w:ascii="方正小标宋简体" w:eastAsia="方正小标宋简体" w:cs="方正小标宋简体"/>
                <w:color w:val="auto"/>
                <w:kern w:val="2"/>
                <w:sz w:val="32"/>
                <w:szCs w:val="32"/>
                <w:lang w:val="en-US" w:eastAsia="zh-CN"/>
              </w:rPr>
              <w:t>资金</w:t>
            </w:r>
            <w:r>
              <w:rPr>
                <w:rFonts w:hint="eastAsia" w:ascii="方正小标宋_GBK" w:hAnsi="方正小标宋_GBK" w:eastAsia="方正小标宋_GBK" w:cs="方正小标宋_GBK"/>
                <w:i w:val="0"/>
                <w:color w:val="000000"/>
                <w:kern w:val="0"/>
                <w:sz w:val="32"/>
                <w:szCs w:val="32"/>
                <w:u w:val="none"/>
                <w:lang w:val="en-US" w:eastAsia="zh-CN" w:bidi="ar"/>
              </w:rPr>
              <w:t>绩效评价指标体系表</w:t>
            </w:r>
          </w:p>
          <w:p>
            <w:pPr>
              <w:widowControl/>
              <w:jc w:val="center"/>
              <w:textAlignment w:val="center"/>
              <w:outlineLvl w:val="9"/>
              <w:rPr>
                <w:rFonts w:ascii="宋体" w:cs="宋体"/>
                <w:color w:val="000000"/>
                <w:sz w:val="36"/>
                <w:szCs w:val="36"/>
              </w:rPr>
            </w:pPr>
            <w:r>
              <w:rPr>
                <w:rFonts w:hint="eastAsia" w:ascii="方正小标宋_GBK" w:hAnsi="方正小标宋_GBK" w:eastAsia="方正小标宋_GBK" w:cs="方正小标宋_GBK"/>
                <w:i w:val="0"/>
                <w:color w:val="000000"/>
                <w:kern w:val="0"/>
                <w:sz w:val="32"/>
                <w:szCs w:val="32"/>
                <w:u w:val="none"/>
                <w:lang w:val="en-US" w:eastAsia="zh-CN" w:bidi="ar"/>
              </w:rPr>
              <w:t>（自评表）</w:t>
            </w:r>
          </w:p>
        </w:tc>
      </w:tr>
      <w:tr>
        <w:tblPrEx>
          <w:tblCellMar>
            <w:top w:w="0" w:type="dxa"/>
            <w:left w:w="0" w:type="dxa"/>
            <w:bottom w:w="0" w:type="dxa"/>
            <w:right w:w="0" w:type="dxa"/>
          </w:tblCellMar>
        </w:tblPrEx>
        <w:trPr>
          <w:trHeight w:val="276" w:hRule="atLeast"/>
          <w:jc w:val="center"/>
        </w:trPr>
        <w:tc>
          <w:tcPr>
            <w:tcW w:w="2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项目名称</w:t>
            </w:r>
          </w:p>
        </w:tc>
        <w:tc>
          <w:tcPr>
            <w:tcW w:w="71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lang w:val="en-US" w:eastAsia="zh-CN"/>
              </w:rPr>
              <w:t>红原县看守所犯人生活相关经费</w:t>
            </w:r>
          </w:p>
        </w:tc>
      </w:tr>
      <w:tr>
        <w:tblPrEx>
          <w:tblCellMar>
            <w:top w:w="0" w:type="dxa"/>
            <w:left w:w="0" w:type="dxa"/>
            <w:bottom w:w="0" w:type="dxa"/>
            <w:right w:w="0" w:type="dxa"/>
          </w:tblCellMar>
        </w:tblPrEx>
        <w:trPr>
          <w:trHeight w:val="276" w:hRule="atLeast"/>
          <w:jc w:val="center"/>
        </w:trPr>
        <w:tc>
          <w:tcPr>
            <w:tcW w:w="2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预算单位</w:t>
            </w:r>
          </w:p>
        </w:tc>
        <w:tc>
          <w:tcPr>
            <w:tcW w:w="71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eastAsia="zh-CN"/>
              </w:rPr>
            </w:pPr>
            <w:r>
              <w:rPr>
                <w:rFonts w:hint="eastAsia" w:ascii="宋体" w:cs="宋体"/>
                <w:color w:val="000000"/>
                <w:sz w:val="24"/>
                <w:lang w:eastAsia="zh-CN"/>
              </w:rPr>
              <w:t>红原县公安局</w:t>
            </w:r>
          </w:p>
        </w:tc>
      </w:tr>
      <w:tr>
        <w:tblPrEx>
          <w:tblCellMar>
            <w:top w:w="0" w:type="dxa"/>
            <w:left w:w="0" w:type="dxa"/>
            <w:bottom w:w="0" w:type="dxa"/>
            <w:right w:w="0" w:type="dxa"/>
          </w:tblCellMar>
        </w:tblPrEx>
        <w:trPr>
          <w:trHeight w:val="298"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18.3万元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ascii="宋体" w:cs="宋体"/>
                <w:color w:val="000000"/>
                <w:sz w:val="24"/>
              </w:rPr>
            </w:pP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18.3万元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ascii="宋体" w:cs="宋体"/>
                <w:color w:val="000000"/>
                <w:sz w:val="24"/>
              </w:rPr>
            </w:pP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hint="eastAsia" w:ascii="宋体" w:eastAsia="宋体" w:cs="宋体"/>
                <w:color w:val="000000"/>
                <w:sz w:val="24"/>
                <w:lang w:val="en-US" w:eastAsia="zh-CN"/>
              </w:rPr>
            </w:pPr>
            <w:r>
              <w:rPr>
                <w:rFonts w:hint="eastAsia" w:ascii="宋体" w:cs="宋体"/>
                <w:color w:val="000000"/>
                <w:sz w:val="24"/>
                <w:lang w:val="en-US" w:eastAsia="zh-CN"/>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cs="宋体"/>
                <w:color w:val="000000"/>
                <w:sz w:val="24"/>
              </w:rPr>
            </w:pPr>
            <w:r>
              <w:rPr>
                <w:rFonts w:hint="eastAsia" w:ascii="宋体" w:cs="宋体"/>
                <w:color w:val="000000"/>
                <w:sz w:val="24"/>
              </w:rPr>
              <w:t>保障</w:t>
            </w:r>
            <w:r>
              <w:rPr>
                <w:rFonts w:hint="eastAsia" w:ascii="宋体" w:cs="宋体"/>
                <w:color w:val="000000"/>
                <w:sz w:val="24"/>
                <w:lang w:eastAsia="zh-CN"/>
              </w:rPr>
              <w:t>在押人员</w:t>
            </w:r>
            <w:r>
              <w:rPr>
                <w:rFonts w:hint="eastAsia" w:ascii="宋体" w:cs="宋体"/>
                <w:color w:val="000000"/>
                <w:sz w:val="24"/>
              </w:rPr>
              <w:t>生活的正常运行，进一步改善</w:t>
            </w:r>
            <w:r>
              <w:rPr>
                <w:rFonts w:hint="eastAsia" w:ascii="宋体" w:cs="宋体"/>
                <w:color w:val="000000"/>
                <w:sz w:val="24"/>
                <w:lang w:eastAsia="zh-CN"/>
              </w:rPr>
              <w:t>在押人员</w:t>
            </w:r>
            <w:r>
              <w:rPr>
                <w:rFonts w:hint="eastAsia" w:ascii="宋体" w:cs="宋体"/>
                <w:color w:val="000000"/>
                <w:sz w:val="24"/>
              </w:rPr>
              <w:t>的改造环境，维持</w:t>
            </w:r>
            <w:r>
              <w:rPr>
                <w:rFonts w:hint="eastAsia" w:ascii="宋体" w:cs="宋体"/>
                <w:color w:val="000000"/>
                <w:sz w:val="24"/>
                <w:lang w:eastAsia="zh-CN"/>
              </w:rPr>
              <w:t>在押人员</w:t>
            </w:r>
            <w:r>
              <w:rPr>
                <w:rFonts w:hint="eastAsia" w:ascii="宋体" w:cs="宋体"/>
                <w:color w:val="000000"/>
                <w:sz w:val="24"/>
              </w:rPr>
              <w:t>改造的日常开支，进一步保障监狱的安全持续稳定。</w:t>
            </w:r>
          </w:p>
          <w:p>
            <w:pPr>
              <w:widowControl/>
              <w:jc w:val="center"/>
              <w:textAlignment w:val="center"/>
              <w:outlineLvl w:val="9"/>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cs="宋体"/>
                <w:color w:val="000000"/>
                <w:sz w:val="24"/>
              </w:rPr>
            </w:pPr>
            <w:r>
              <w:rPr>
                <w:rFonts w:hint="eastAsia" w:ascii="宋体" w:cs="宋体"/>
                <w:color w:val="000000"/>
                <w:sz w:val="24"/>
              </w:rPr>
              <w:t>保障</w:t>
            </w:r>
            <w:r>
              <w:rPr>
                <w:rFonts w:hint="eastAsia" w:ascii="宋体" w:cs="宋体"/>
                <w:color w:val="000000"/>
                <w:sz w:val="24"/>
                <w:lang w:eastAsia="zh-CN"/>
              </w:rPr>
              <w:t>在押人员</w:t>
            </w:r>
            <w:r>
              <w:rPr>
                <w:rFonts w:hint="eastAsia" w:ascii="宋体" w:cs="宋体"/>
                <w:color w:val="000000"/>
                <w:sz w:val="24"/>
              </w:rPr>
              <w:t>生活的正常运行，进一步改善</w:t>
            </w:r>
            <w:r>
              <w:rPr>
                <w:rFonts w:hint="eastAsia" w:ascii="宋体" w:cs="宋体"/>
                <w:color w:val="000000"/>
                <w:sz w:val="24"/>
                <w:lang w:eastAsia="zh-CN"/>
              </w:rPr>
              <w:t>在押人员</w:t>
            </w:r>
            <w:r>
              <w:rPr>
                <w:rFonts w:hint="eastAsia" w:ascii="宋体" w:cs="宋体"/>
                <w:color w:val="000000"/>
                <w:sz w:val="24"/>
              </w:rPr>
              <w:t>的改造环境，维持</w:t>
            </w:r>
            <w:r>
              <w:rPr>
                <w:rFonts w:hint="eastAsia" w:ascii="宋体" w:cs="宋体"/>
                <w:color w:val="000000"/>
                <w:sz w:val="24"/>
                <w:lang w:eastAsia="zh-CN"/>
              </w:rPr>
              <w:t>在押人员</w:t>
            </w:r>
            <w:r>
              <w:rPr>
                <w:rFonts w:hint="eastAsia" w:ascii="宋体" w:cs="宋体"/>
                <w:color w:val="000000"/>
                <w:sz w:val="24"/>
              </w:rPr>
              <w:t>改造的日常开支，进一步保障监狱的安全持续稳定。</w:t>
            </w:r>
          </w:p>
          <w:p>
            <w:pPr>
              <w:widowControl/>
              <w:jc w:val="center"/>
              <w:textAlignment w:val="center"/>
              <w:outlineLvl w:val="9"/>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一级指标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二级指标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预算编制准确率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预算编制准确率</w:t>
            </w:r>
            <w:r>
              <w:rPr>
                <w:rFonts w:hint="eastAsia" w:ascii="宋体" w:hAnsi="宋体" w:cs="宋体"/>
                <w:color w:val="000000"/>
                <w:kern w:val="0"/>
                <w:sz w:val="24"/>
                <w:lang w:val="en-US" w:eastAsia="zh-CN" w:bidi="ar"/>
              </w:rPr>
              <w:t>=</w:t>
            </w:r>
            <w:r>
              <w:rPr>
                <w:rFonts w:hint="eastAsia" w:ascii="宋体" w:cs="宋体"/>
                <w:color w:val="000000"/>
                <w:sz w:val="24"/>
                <w:lang w:eastAsia="zh-CN"/>
              </w:rPr>
              <w:t>决算数</w:t>
            </w:r>
            <w:r>
              <w:rPr>
                <w:rFonts w:hint="eastAsia" w:ascii="宋体" w:cs="宋体"/>
                <w:color w:val="000000"/>
                <w:sz w:val="24"/>
                <w:lang w:val="en-US" w:eastAsia="zh-CN"/>
              </w:rPr>
              <w:t>/预算数*100%(该项总分12.5分；</w:t>
            </w:r>
            <w:r>
              <w:rPr>
                <w:rFonts w:hint="default" w:ascii="Arial" w:hAnsi="Arial" w:cs="Arial"/>
                <w:color w:val="000000"/>
                <w:sz w:val="24"/>
                <w:lang w:val="en-US" w:eastAsia="zh-CN"/>
              </w:rPr>
              <w:t>≥</w:t>
            </w:r>
            <w:r>
              <w:rPr>
                <w:rFonts w:hint="eastAsia" w:ascii="宋体" w:cs="宋体"/>
                <w:color w:val="000000"/>
                <w:sz w:val="24"/>
                <w:lang w:val="en-US" w:eastAsia="zh-CN"/>
              </w:rPr>
              <w:t>95%权重为100%；85%-94%权重为85%；75%-84%权重为70%；</w:t>
            </w:r>
            <w:r>
              <w:rPr>
                <w:rFonts w:hint="default" w:ascii="Arial" w:hAnsi="Arial" w:cs="Arial"/>
                <w:color w:val="000000"/>
                <w:sz w:val="24"/>
                <w:lang w:val="en-US" w:eastAsia="zh-CN"/>
              </w:rPr>
              <w:t>≤</w:t>
            </w:r>
            <w:r>
              <w:rPr>
                <w:rFonts w:hint="eastAsia" w:ascii="宋体" w:cs="宋体"/>
                <w:color w:val="000000"/>
                <w:sz w:val="24"/>
                <w:lang w:val="en-US" w:eastAsia="zh-CN"/>
              </w:rPr>
              <w:t>74%则不得分)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0分</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在押犯人数量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hAnsi="宋体" w:cs="宋体"/>
                <w:color w:val="000000"/>
                <w:kern w:val="0"/>
                <w:sz w:val="24"/>
                <w:lang w:bidi="ar"/>
              </w:rPr>
              <w:t>在押犯人数量</w:t>
            </w:r>
            <w:r>
              <w:rPr>
                <w:rFonts w:hint="eastAsia" w:ascii="宋体" w:hAnsi="宋体" w:cs="宋体"/>
                <w:color w:val="000000"/>
                <w:kern w:val="0"/>
                <w:sz w:val="24"/>
                <w:lang w:eastAsia="zh-CN" w:bidi="ar"/>
              </w:rPr>
              <w:t>（</w:t>
            </w:r>
            <w:r>
              <w:rPr>
                <w:rFonts w:hint="eastAsia" w:ascii="宋体" w:cs="宋体"/>
                <w:color w:val="000000"/>
                <w:sz w:val="24"/>
                <w:lang w:val="en-US" w:eastAsia="zh-CN"/>
              </w:rPr>
              <w:t>该项总分12.5分；</w:t>
            </w:r>
            <w:r>
              <w:rPr>
                <w:rFonts w:hint="eastAsia" w:ascii="宋体" w:hAnsi="宋体" w:cs="宋体"/>
                <w:color w:val="000000"/>
                <w:kern w:val="0"/>
                <w:sz w:val="24"/>
                <w:lang w:eastAsia="zh-CN" w:bidi="ar"/>
              </w:rPr>
              <w:t>在押人数</w:t>
            </w:r>
            <w:r>
              <w:rPr>
                <w:rFonts w:hint="default" w:ascii="Arial" w:hAnsi="Arial" w:cs="Arial"/>
                <w:color w:val="000000"/>
                <w:kern w:val="0"/>
                <w:sz w:val="24"/>
                <w:lang w:eastAsia="zh-CN" w:bidi="ar"/>
              </w:rPr>
              <w:t>≥</w:t>
            </w:r>
            <w:r>
              <w:rPr>
                <w:rFonts w:hint="eastAsia" w:ascii="宋体" w:hAnsi="宋体" w:cs="宋体"/>
                <w:color w:val="000000"/>
                <w:kern w:val="0"/>
                <w:sz w:val="24"/>
                <w:lang w:val="en-US" w:eastAsia="zh-CN" w:bidi="ar"/>
              </w:rPr>
              <w:t>30人/月，权重100%分；25人/月-29人/月，权重85%，20人/月-24人/月权重70%，</w:t>
            </w:r>
            <w:r>
              <w:rPr>
                <w:rFonts w:hint="default" w:ascii="宋体" w:hAnsi="宋体" w:cs="宋体"/>
                <w:color w:val="000000"/>
                <w:kern w:val="0"/>
                <w:sz w:val="24"/>
                <w:lang w:val="en-US" w:eastAsia="zh-CN" w:bidi="ar"/>
              </w:rPr>
              <w:t>≤</w:t>
            </w:r>
            <w:r>
              <w:rPr>
                <w:rFonts w:hint="eastAsia" w:ascii="宋体" w:hAnsi="宋体" w:cs="宋体"/>
                <w:color w:val="000000"/>
                <w:kern w:val="0"/>
                <w:sz w:val="24"/>
                <w:lang w:val="en-US" w:eastAsia="zh-CN" w:bidi="ar"/>
              </w:rPr>
              <w:t>19人/月权重60%</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7.5分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在押人员伙食标准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在押人员伙食标准</w:t>
            </w:r>
            <w:r>
              <w:rPr>
                <w:rFonts w:hint="eastAsia" w:ascii="宋体" w:hAnsi="宋体" w:cs="宋体"/>
                <w:color w:val="000000"/>
                <w:kern w:val="0"/>
                <w:sz w:val="24"/>
                <w:lang w:val="en-US" w:eastAsia="zh-CN" w:bidi="ar"/>
              </w:rPr>
              <w:t>=伙食总支出/在押总人数（</w:t>
            </w:r>
            <w:r>
              <w:rPr>
                <w:rFonts w:hint="eastAsia" w:ascii="宋体" w:cs="宋体"/>
                <w:color w:val="000000"/>
                <w:sz w:val="24"/>
                <w:lang w:val="en-US" w:eastAsia="zh-CN"/>
              </w:rPr>
              <w:t>该项总分12.5分</w:t>
            </w:r>
            <w:r>
              <w:rPr>
                <w:rFonts w:hint="eastAsia" w:ascii="宋体" w:hAnsi="宋体" w:cs="宋体"/>
                <w:color w:val="000000"/>
                <w:kern w:val="0"/>
                <w:sz w:val="24"/>
                <w:lang w:val="en-US" w:eastAsia="zh-CN" w:bidi="ar"/>
              </w:rPr>
              <w:t>；伙食标准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16.6/人/天权重100%，反之则0%）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安全指标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食品安全事故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时效指标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资金到位率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资金到位率</w:t>
            </w:r>
            <w:r>
              <w:rPr>
                <w:rFonts w:hint="eastAsia" w:ascii="宋体" w:hAnsi="宋体" w:cs="宋体"/>
                <w:color w:val="000000"/>
                <w:kern w:val="0"/>
                <w:sz w:val="24"/>
                <w:lang w:val="en-US" w:eastAsia="zh-CN" w:bidi="ar"/>
              </w:rPr>
              <w:t>=预算下达数/年初预算数*100%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安全指标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在押人员出逃等非食品安全事故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效益指标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社会效益指标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在押人员入狱次数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color w:val="000000"/>
                <w:sz w:val="24"/>
                <w:lang w:val="en-US" w:eastAsia="zh-CN"/>
              </w:rPr>
            </w:pPr>
            <w:r>
              <w:rPr>
                <w:rFonts w:hint="eastAsia" w:ascii="宋体" w:cs="宋体"/>
                <w:color w:val="000000"/>
                <w:sz w:val="24"/>
                <w:lang w:val="en-US" w:eastAsia="zh-CN"/>
              </w:rPr>
              <w:t>次数</w:t>
            </w:r>
            <w:r>
              <w:rPr>
                <w:rFonts w:hint="default" w:ascii="Arial" w:hAnsi="Arial" w:cs="Arial"/>
                <w:color w:val="000000"/>
                <w:sz w:val="24"/>
                <w:lang w:val="en-US" w:eastAsia="zh-CN"/>
              </w:rPr>
              <w:t>≥</w:t>
            </w:r>
            <w:r>
              <w:rPr>
                <w:rFonts w:hint="eastAsia" w:ascii="宋体" w:cs="宋体"/>
                <w:color w:val="000000"/>
                <w:sz w:val="24"/>
                <w:lang w:val="en-US" w:eastAsia="zh-CN"/>
              </w:rPr>
              <w:t>1则得分0分；次数</w:t>
            </w:r>
            <w:r>
              <w:rPr>
                <w:rFonts w:hint="eastAsia" w:ascii="宋体" w:hAnsi="宋体" w:eastAsia="宋体" w:cs="宋体"/>
                <w:color w:val="000000"/>
                <w:sz w:val="24"/>
                <w:lang w:val="en-US" w:eastAsia="zh-CN"/>
              </w:rPr>
              <w:t>=</w:t>
            </w:r>
            <w:r>
              <w:rPr>
                <w:rFonts w:hint="eastAsia" w:ascii="宋体" w:hAnsi="宋体" w:cs="宋体"/>
                <w:color w:val="000000"/>
                <w:sz w:val="24"/>
                <w:lang w:val="en-US" w:eastAsia="zh-CN"/>
              </w:rPr>
              <w:t>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满意度指标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服务对象满意度指标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在押人员满意度</w:t>
            </w:r>
            <w:r>
              <w:rPr>
                <w:rFonts w:hint="eastAsia" w:ascii="宋体" w:hAnsi="宋体" w:cs="宋体"/>
                <w:color w:val="000000"/>
                <w:kern w:val="0"/>
                <w:sz w:val="24"/>
                <w:lang w:val="en-US" w:eastAsia="zh-CN" w:bidi="ar"/>
              </w:rPr>
              <w:t>=（总人数-投诉人数）/总人数*100%（该项总分12.5分；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95%权重100%；</w:t>
            </w:r>
            <w:r>
              <w:rPr>
                <w:rFonts w:hint="eastAsia" w:ascii="宋体" w:cs="宋体"/>
                <w:color w:val="000000"/>
                <w:sz w:val="24"/>
                <w:lang w:val="en-US" w:eastAsia="zh-CN"/>
              </w:rPr>
              <w:t>85%-94%权重为80%；75%-84%权重为60%；</w:t>
            </w:r>
            <w:r>
              <w:rPr>
                <w:rFonts w:hint="default" w:ascii="Arial" w:hAnsi="Arial" w:cs="Arial"/>
                <w:color w:val="000000"/>
                <w:sz w:val="24"/>
                <w:lang w:val="en-US" w:eastAsia="zh-CN"/>
              </w:rPr>
              <w:t>≤</w:t>
            </w:r>
            <w:r>
              <w:rPr>
                <w:rFonts w:hint="eastAsia" w:ascii="宋体" w:cs="宋体"/>
                <w:color w:val="000000"/>
                <w:sz w:val="24"/>
                <w:lang w:val="en-US" w:eastAsia="zh-CN"/>
              </w:rPr>
              <w:t>74%则不得分</w:t>
            </w:r>
            <w:r>
              <w:rPr>
                <w:rFonts w:hint="eastAsia" w:ascii="宋体" w:hAnsi="宋体" w:cs="宋体"/>
                <w:color w:val="000000"/>
                <w:kern w:val="0"/>
                <w:sz w:val="24"/>
                <w:lang w:val="en-US"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bl>
    <w:p>
      <w:pPr>
        <w:pStyle w:val="18"/>
        <w:rPr>
          <w:rStyle w:val="19"/>
          <w:rFonts w:ascii="黑体" w:eastAsia="黑体"/>
          <w:b w:val="0"/>
        </w:rPr>
      </w:pPr>
    </w:p>
    <w:p>
      <w:pPr>
        <w:rPr>
          <w:rStyle w:val="19"/>
          <w:rFonts w:ascii="黑体" w:eastAsia="黑体"/>
          <w:b w:val="0"/>
        </w:rPr>
      </w:pPr>
    </w:p>
    <w:p>
      <w:pPr>
        <w:pStyle w:val="2"/>
        <w:rPr>
          <w:rStyle w:val="19"/>
          <w:rFonts w:ascii="黑体" w:eastAsia="黑体"/>
          <w:b w:val="0"/>
          <w:bCs/>
        </w:rPr>
      </w:pPr>
    </w:p>
    <w:p>
      <w:pPr>
        <w:rPr>
          <w:rStyle w:val="19"/>
          <w:rFonts w:ascii="黑体" w:eastAsia="黑体"/>
          <w:b w:val="0"/>
        </w:rPr>
      </w:pPr>
    </w:p>
    <w:p>
      <w:pPr>
        <w:pStyle w:val="2"/>
        <w:rPr>
          <w:rStyle w:val="19"/>
          <w:rFonts w:ascii="黑体" w:eastAsia="黑体"/>
          <w:b w:val="0"/>
          <w:bCs/>
        </w:rPr>
      </w:pPr>
    </w:p>
    <w:p>
      <w:pPr>
        <w:rPr>
          <w:rStyle w:val="19"/>
          <w:rFonts w:ascii="黑体" w:eastAsia="黑体"/>
          <w:b w:val="0"/>
        </w:rPr>
      </w:pPr>
    </w:p>
    <w:p>
      <w:pPr>
        <w:pageBreakBefore w:val="0"/>
        <w:kinsoku/>
        <w:wordWrap/>
        <w:overflowPunct/>
        <w:topLinePunct w:val="0"/>
        <w:bidi w:val="0"/>
        <w:spacing w:line="560" w:lineRule="exact"/>
        <w:jc w:val="center"/>
        <w:textAlignment w:val="auto"/>
        <w:outlineLvl w:val="0"/>
        <w:rPr>
          <w:rFonts w:hint="eastAsia" w:ascii="黑体" w:eastAsia="黑体"/>
          <w:sz w:val="44"/>
          <w:szCs w:val="44"/>
        </w:rPr>
      </w:pPr>
      <w:bookmarkStart w:id="74" w:name="_Toc15396618"/>
    </w:p>
    <w:p>
      <w:pPr>
        <w:pageBreakBefore w:val="0"/>
        <w:kinsoku/>
        <w:wordWrap/>
        <w:overflowPunct/>
        <w:topLinePunct w:val="0"/>
        <w:bidi w:val="0"/>
        <w:spacing w:line="560" w:lineRule="exact"/>
        <w:jc w:val="center"/>
        <w:textAlignment w:val="auto"/>
        <w:outlineLvl w:val="0"/>
        <w:rPr>
          <w:rFonts w:hint="eastAsia" w:ascii="黑体" w:eastAsia="黑体"/>
          <w:sz w:val="44"/>
          <w:szCs w:val="44"/>
        </w:rPr>
      </w:pPr>
    </w:p>
    <w:p>
      <w:pPr>
        <w:pageBreakBefore w:val="0"/>
        <w:kinsoku/>
        <w:wordWrap/>
        <w:overflowPunct/>
        <w:topLinePunct w:val="0"/>
        <w:bidi w:val="0"/>
        <w:spacing w:line="560" w:lineRule="exact"/>
        <w:jc w:val="center"/>
        <w:textAlignment w:val="auto"/>
        <w:outlineLvl w:val="0"/>
        <w:rPr>
          <w:rFonts w:ascii="仿宋" w:eastAsia="仿宋"/>
        </w:rPr>
      </w:pPr>
      <w:bookmarkStart w:id="75" w:name="_Toc4515"/>
      <w:r>
        <w:rPr>
          <w:rFonts w:hint="eastAsia" w:ascii="黑体" w:eastAsia="黑体"/>
          <w:sz w:val="44"/>
          <w:szCs w:val="44"/>
        </w:rPr>
        <w:t>第</w:t>
      </w:r>
      <w:r>
        <w:rPr>
          <w:rStyle w:val="19"/>
          <w:rFonts w:hint="eastAsia" w:ascii="黑体" w:eastAsia="黑体"/>
          <w:b w:val="0"/>
        </w:rPr>
        <w:t>五部分 附表</w:t>
      </w:r>
      <w:bookmarkEnd w:id="72"/>
      <w:bookmarkEnd w:id="74"/>
      <w:bookmarkEnd w:id="75"/>
      <w:bookmarkStart w:id="76" w:name="_Toc15396619"/>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77" w:name="_Toc28521"/>
      <w:r>
        <w:rPr>
          <w:rStyle w:val="20"/>
          <w:rFonts w:hint="eastAsia" w:ascii="仿宋" w:eastAsia="仿宋"/>
          <w:b w:val="0"/>
          <w:bCs w:val="0"/>
          <w:lang w:eastAsia="zh-CN"/>
        </w:rPr>
        <w:t>一、收入支出决算总表</w:t>
      </w:r>
      <w:bookmarkEnd w:id="76"/>
      <w:bookmarkEnd w:id="77"/>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78" w:name="_Toc15396620"/>
      <w:bookmarkStart w:id="79" w:name="_Toc11152"/>
      <w:r>
        <w:rPr>
          <w:rStyle w:val="20"/>
          <w:rFonts w:hint="eastAsia" w:ascii="仿宋" w:eastAsia="仿宋"/>
          <w:b w:val="0"/>
          <w:bCs w:val="0"/>
          <w:lang w:eastAsia="zh-CN"/>
        </w:rPr>
        <w:t>二、收入决算表</w:t>
      </w:r>
      <w:bookmarkEnd w:id="78"/>
      <w:bookmarkEnd w:id="79"/>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80" w:name="_Toc15396621"/>
      <w:bookmarkStart w:id="81" w:name="_Toc16865"/>
      <w:r>
        <w:rPr>
          <w:rStyle w:val="20"/>
          <w:rFonts w:hint="eastAsia" w:ascii="仿宋" w:eastAsia="仿宋"/>
          <w:b w:val="0"/>
          <w:bCs w:val="0"/>
          <w:lang w:eastAsia="zh-CN"/>
        </w:rPr>
        <w:t>三、支出决算表</w:t>
      </w:r>
      <w:bookmarkEnd w:id="80"/>
      <w:bookmarkEnd w:id="81"/>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82" w:name="_Toc15396622"/>
      <w:bookmarkStart w:id="83" w:name="_Toc32017"/>
      <w:r>
        <w:rPr>
          <w:rStyle w:val="20"/>
          <w:rFonts w:hint="eastAsia" w:ascii="仿宋" w:eastAsia="仿宋"/>
          <w:b w:val="0"/>
          <w:bCs w:val="0"/>
          <w:lang w:eastAsia="zh-CN"/>
        </w:rPr>
        <w:t>四、财政拨款收入支出决算总表</w:t>
      </w:r>
      <w:bookmarkEnd w:id="82"/>
      <w:bookmarkEnd w:id="83"/>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84" w:name="_Toc15396623"/>
      <w:bookmarkStart w:id="85" w:name="_Toc30156"/>
      <w:r>
        <w:rPr>
          <w:rStyle w:val="20"/>
          <w:rFonts w:hint="eastAsia" w:ascii="仿宋" w:eastAsia="仿宋"/>
          <w:b w:val="0"/>
          <w:bCs w:val="0"/>
          <w:lang w:eastAsia="zh-CN"/>
        </w:rPr>
        <w:t>五、财政拨款支出决算明细表</w:t>
      </w:r>
      <w:bookmarkEnd w:id="84"/>
      <w:bookmarkEnd w:id="85"/>
      <w:bookmarkStart w:id="86" w:name="_Toc15396624"/>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87" w:name="_Toc24232"/>
      <w:r>
        <w:rPr>
          <w:rStyle w:val="20"/>
          <w:rFonts w:hint="eastAsia" w:ascii="仿宋" w:eastAsia="仿宋"/>
          <w:b w:val="0"/>
          <w:bCs w:val="0"/>
          <w:lang w:eastAsia="zh-CN"/>
        </w:rPr>
        <w:t>六、一般公共预算财政拨款支出决算表</w:t>
      </w:r>
      <w:bookmarkEnd w:id="86"/>
      <w:bookmarkEnd w:id="87"/>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88" w:name="_Toc15396625"/>
      <w:bookmarkStart w:id="89" w:name="_Toc29981"/>
      <w:r>
        <w:rPr>
          <w:rStyle w:val="20"/>
          <w:rFonts w:hint="eastAsia" w:ascii="仿宋" w:eastAsia="仿宋"/>
          <w:b w:val="0"/>
          <w:bCs w:val="0"/>
          <w:lang w:eastAsia="zh-CN"/>
        </w:rPr>
        <w:t>七、一般公共预算财政拨款支出决算明细表</w:t>
      </w:r>
      <w:bookmarkEnd w:id="88"/>
      <w:bookmarkEnd w:id="89"/>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90" w:name="_Toc15396626"/>
      <w:bookmarkStart w:id="91" w:name="_Toc8209"/>
      <w:r>
        <w:rPr>
          <w:rStyle w:val="20"/>
          <w:rFonts w:hint="eastAsia" w:ascii="仿宋" w:eastAsia="仿宋"/>
          <w:b w:val="0"/>
          <w:bCs w:val="0"/>
          <w:lang w:eastAsia="zh-CN"/>
        </w:rPr>
        <w:t>八、一般公共预算财政拨款基本支出决算表</w:t>
      </w:r>
      <w:bookmarkEnd w:id="90"/>
      <w:bookmarkEnd w:id="91"/>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92" w:name="_Toc15396627"/>
      <w:bookmarkStart w:id="93" w:name="_Toc28653"/>
      <w:r>
        <w:rPr>
          <w:rStyle w:val="20"/>
          <w:rFonts w:hint="eastAsia" w:ascii="仿宋" w:eastAsia="仿宋"/>
          <w:b w:val="0"/>
          <w:bCs w:val="0"/>
          <w:lang w:eastAsia="zh-CN"/>
        </w:rPr>
        <w:t>九、一般公共预算财政拨款项目支出决算表</w:t>
      </w:r>
      <w:bookmarkEnd w:id="92"/>
      <w:bookmarkEnd w:id="93"/>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94" w:name="_Toc15396628"/>
      <w:bookmarkStart w:id="95" w:name="_Toc31524"/>
      <w:r>
        <w:rPr>
          <w:rStyle w:val="20"/>
          <w:rFonts w:hint="eastAsia" w:ascii="仿宋" w:eastAsia="仿宋"/>
          <w:b w:val="0"/>
          <w:bCs w:val="0"/>
          <w:lang w:eastAsia="zh-CN"/>
        </w:rPr>
        <w:t>十、</w:t>
      </w:r>
      <w:bookmarkEnd w:id="94"/>
      <w:r>
        <w:rPr>
          <w:rStyle w:val="20"/>
          <w:rFonts w:hint="eastAsia" w:ascii="仿宋" w:eastAsia="仿宋"/>
          <w:b w:val="0"/>
          <w:bCs w:val="0"/>
          <w:lang w:eastAsia="zh-CN"/>
        </w:rPr>
        <w:t>政府性基金预算财政拨款收入支出决算表</w:t>
      </w:r>
      <w:bookmarkEnd w:id="95"/>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96" w:name="_Toc15396629"/>
      <w:bookmarkStart w:id="97" w:name="_Toc25160"/>
      <w:r>
        <w:rPr>
          <w:rStyle w:val="20"/>
          <w:rFonts w:hint="eastAsia" w:ascii="仿宋" w:eastAsia="仿宋"/>
          <w:b w:val="0"/>
          <w:bCs w:val="0"/>
          <w:lang w:eastAsia="zh-CN"/>
        </w:rPr>
        <w:t>十一、</w:t>
      </w:r>
      <w:bookmarkEnd w:id="96"/>
      <w:r>
        <w:rPr>
          <w:rStyle w:val="20"/>
          <w:rFonts w:hint="eastAsia" w:ascii="仿宋" w:eastAsia="仿宋"/>
          <w:b w:val="0"/>
          <w:bCs w:val="0"/>
          <w:lang w:eastAsia="zh-CN"/>
        </w:rPr>
        <w:t>国有资本经营预算财政拨款收入支出决算表</w:t>
      </w:r>
      <w:bookmarkEnd w:id="97"/>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98" w:name="_Toc15396630"/>
      <w:bookmarkStart w:id="99" w:name="_Toc26350"/>
      <w:r>
        <w:rPr>
          <w:rStyle w:val="20"/>
          <w:rFonts w:hint="eastAsia" w:ascii="仿宋" w:eastAsia="仿宋"/>
          <w:b w:val="0"/>
          <w:bCs w:val="0"/>
          <w:lang w:eastAsia="zh-CN"/>
        </w:rPr>
        <w:t>十二、</w:t>
      </w:r>
      <w:bookmarkEnd w:id="98"/>
      <w:r>
        <w:rPr>
          <w:rStyle w:val="20"/>
          <w:rFonts w:hint="eastAsia" w:ascii="仿宋" w:eastAsia="仿宋"/>
          <w:b w:val="0"/>
          <w:bCs w:val="0"/>
          <w:lang w:eastAsia="zh-CN"/>
        </w:rPr>
        <w:t>国有资本经营预算财政拨款支出决算表</w:t>
      </w:r>
      <w:bookmarkEnd w:id="99"/>
    </w:p>
    <w:p>
      <w:pPr>
        <w:pageBreakBefore w:val="0"/>
        <w:kinsoku/>
        <w:wordWrap/>
        <w:overflowPunct/>
        <w:topLinePunct w:val="0"/>
        <w:bidi w:val="0"/>
        <w:spacing w:line="560" w:lineRule="exact"/>
        <w:textAlignment w:val="auto"/>
        <w:outlineLvl w:val="1"/>
        <w:rPr>
          <w:rStyle w:val="20"/>
          <w:rFonts w:hint="eastAsia" w:ascii="仿宋" w:eastAsia="仿宋"/>
          <w:b w:val="0"/>
          <w:bCs w:val="0"/>
          <w:lang w:eastAsia="zh-CN"/>
        </w:rPr>
      </w:pPr>
      <w:bookmarkStart w:id="100" w:name="_Toc15396631"/>
      <w:bookmarkStart w:id="101" w:name="_Toc28025"/>
      <w:r>
        <w:rPr>
          <w:rStyle w:val="20"/>
          <w:rFonts w:hint="eastAsia" w:ascii="仿宋" w:eastAsia="仿宋"/>
          <w:b w:val="0"/>
          <w:bCs w:val="0"/>
          <w:lang w:eastAsia="zh-CN"/>
        </w:rPr>
        <w:t>十三、</w:t>
      </w:r>
      <w:bookmarkEnd w:id="100"/>
      <w:r>
        <w:rPr>
          <w:rStyle w:val="20"/>
          <w:rFonts w:hint="eastAsia" w:ascii="仿宋" w:eastAsia="仿宋"/>
          <w:b w:val="0"/>
          <w:bCs w:val="0"/>
          <w:lang w:eastAsia="zh-CN"/>
        </w:rPr>
        <w:t>财政拨款“三公”经费支出决算表</w:t>
      </w:r>
      <w:bookmarkEnd w:id="10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35316D"/>
    <w:multiLevelType w:val="singleLevel"/>
    <w:tmpl w:val="A035316D"/>
    <w:lvl w:ilvl="0" w:tentative="0">
      <w:start w:val="2"/>
      <w:numFmt w:val="chineseCounting"/>
      <w:suff w:val="nothing"/>
      <w:lvlText w:val="（%1）"/>
      <w:lvlJc w:val="left"/>
      <w:rPr>
        <w:rFonts w:hint="eastAsia"/>
      </w:rPr>
    </w:lvl>
  </w:abstractNum>
  <w:abstractNum w:abstractNumId="1">
    <w:nsid w:val="B4F9BF23"/>
    <w:multiLevelType w:val="singleLevel"/>
    <w:tmpl w:val="B4F9BF23"/>
    <w:lvl w:ilvl="0" w:tentative="0">
      <w:start w:val="1"/>
      <w:numFmt w:val="chineseCounting"/>
      <w:suff w:val="nothing"/>
      <w:lvlText w:val="%1、"/>
      <w:lvlJc w:val="left"/>
      <w:rPr>
        <w:rFonts w:hint="eastAsia"/>
      </w:rPr>
    </w:lvl>
  </w:abstractNum>
  <w:abstractNum w:abstractNumId="2">
    <w:nsid w:val="CC4F04B5"/>
    <w:multiLevelType w:val="singleLevel"/>
    <w:tmpl w:val="CC4F04B5"/>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4">
    <w:nsid w:val="D60B9D5F"/>
    <w:multiLevelType w:val="singleLevel"/>
    <w:tmpl w:val="D60B9D5F"/>
    <w:lvl w:ilvl="0" w:tentative="0">
      <w:start w:val="2"/>
      <w:numFmt w:val="decimal"/>
      <w:lvlText w:val="%1."/>
      <w:lvlJc w:val="left"/>
      <w:pPr>
        <w:tabs>
          <w:tab w:val="left" w:pos="312"/>
        </w:tabs>
      </w:pPr>
    </w:lvl>
  </w:abstractNum>
  <w:abstractNum w:abstractNumId="5">
    <w:nsid w:val="DEBEF323"/>
    <w:multiLevelType w:val="singleLevel"/>
    <w:tmpl w:val="DEBEF323"/>
    <w:lvl w:ilvl="0" w:tentative="0">
      <w:start w:val="4"/>
      <w:numFmt w:val="chineseCounting"/>
      <w:suff w:val="nothing"/>
      <w:lvlText w:val="（%1）"/>
      <w:lvlJc w:val="left"/>
      <w:pPr>
        <w:ind w:left="0" w:firstLine="0"/>
      </w:pPr>
      <w:rPr>
        <w:rFonts w:hint="eastAsia"/>
      </w:rPr>
    </w:lvl>
  </w:abstractNum>
  <w:abstractNum w:abstractNumId="6">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7">
    <w:nsid w:val="FFF674BC"/>
    <w:multiLevelType w:val="singleLevel"/>
    <w:tmpl w:val="FFF674BC"/>
    <w:lvl w:ilvl="0" w:tentative="0">
      <w:start w:val="1"/>
      <w:numFmt w:val="chineseCounting"/>
      <w:suff w:val="nothing"/>
      <w:lvlText w:val="%1、"/>
      <w:lvlJc w:val="left"/>
      <w:pPr>
        <w:ind w:left="0" w:firstLine="0"/>
      </w:pPr>
      <w:rPr>
        <w:rFonts w:hint="eastAsia"/>
      </w:rPr>
    </w:lvl>
  </w:abstractNum>
  <w:num w:numId="1">
    <w:abstractNumId w:val="1"/>
  </w:num>
  <w:num w:numId="2">
    <w:abstractNumId w:val="3"/>
  </w:num>
  <w:num w:numId="3">
    <w:abstractNumId w:val="6"/>
  </w:num>
  <w:num w:numId="4">
    <w:abstractNumId w:val="7"/>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346C9"/>
    <w:rsid w:val="002C1B69"/>
    <w:rsid w:val="005346C9"/>
    <w:rsid w:val="005E5332"/>
    <w:rsid w:val="007C6D18"/>
    <w:rsid w:val="00CA2402"/>
    <w:rsid w:val="015749D7"/>
    <w:rsid w:val="01F27D8F"/>
    <w:rsid w:val="01FC413D"/>
    <w:rsid w:val="03A2152E"/>
    <w:rsid w:val="041C26D8"/>
    <w:rsid w:val="0437723C"/>
    <w:rsid w:val="047A43E1"/>
    <w:rsid w:val="04DC3023"/>
    <w:rsid w:val="05E62447"/>
    <w:rsid w:val="062428F5"/>
    <w:rsid w:val="068A6EAC"/>
    <w:rsid w:val="070503AF"/>
    <w:rsid w:val="072B492C"/>
    <w:rsid w:val="07D54CB6"/>
    <w:rsid w:val="08356E12"/>
    <w:rsid w:val="08434E07"/>
    <w:rsid w:val="0852407A"/>
    <w:rsid w:val="085A27FD"/>
    <w:rsid w:val="088E6438"/>
    <w:rsid w:val="08CD1EC9"/>
    <w:rsid w:val="08DA161E"/>
    <w:rsid w:val="09064E5A"/>
    <w:rsid w:val="0952293A"/>
    <w:rsid w:val="09DF300A"/>
    <w:rsid w:val="0B692E04"/>
    <w:rsid w:val="0CC27423"/>
    <w:rsid w:val="0D2D7ADF"/>
    <w:rsid w:val="0D5C56E8"/>
    <w:rsid w:val="0D72567D"/>
    <w:rsid w:val="0DAE76FF"/>
    <w:rsid w:val="0DBF757F"/>
    <w:rsid w:val="0DDD750E"/>
    <w:rsid w:val="0DF21FD2"/>
    <w:rsid w:val="0E2C652B"/>
    <w:rsid w:val="0E8E4282"/>
    <w:rsid w:val="0E995220"/>
    <w:rsid w:val="0EF45C1F"/>
    <w:rsid w:val="0F3D7B50"/>
    <w:rsid w:val="0FA03C6C"/>
    <w:rsid w:val="10330933"/>
    <w:rsid w:val="107066BD"/>
    <w:rsid w:val="1186123E"/>
    <w:rsid w:val="11D24EB8"/>
    <w:rsid w:val="11F21E7B"/>
    <w:rsid w:val="125E6FE6"/>
    <w:rsid w:val="12991BB4"/>
    <w:rsid w:val="12FA78BD"/>
    <w:rsid w:val="138F3122"/>
    <w:rsid w:val="141B31BC"/>
    <w:rsid w:val="153536C2"/>
    <w:rsid w:val="1700399D"/>
    <w:rsid w:val="17701566"/>
    <w:rsid w:val="17BD4559"/>
    <w:rsid w:val="184823B4"/>
    <w:rsid w:val="189243CD"/>
    <w:rsid w:val="18B42203"/>
    <w:rsid w:val="18BF4276"/>
    <w:rsid w:val="193E4BC0"/>
    <w:rsid w:val="198D3402"/>
    <w:rsid w:val="19C73ED5"/>
    <w:rsid w:val="1AF95025"/>
    <w:rsid w:val="1B2C0497"/>
    <w:rsid w:val="1B615953"/>
    <w:rsid w:val="1BE92941"/>
    <w:rsid w:val="1C450A67"/>
    <w:rsid w:val="1C6573D0"/>
    <w:rsid w:val="1C765653"/>
    <w:rsid w:val="1C7D179A"/>
    <w:rsid w:val="1CE86EA0"/>
    <w:rsid w:val="1E367F4B"/>
    <w:rsid w:val="1E855DA3"/>
    <w:rsid w:val="1F7B10CC"/>
    <w:rsid w:val="1F82312F"/>
    <w:rsid w:val="216B3EF4"/>
    <w:rsid w:val="223162DB"/>
    <w:rsid w:val="22336329"/>
    <w:rsid w:val="224E5A7F"/>
    <w:rsid w:val="22540445"/>
    <w:rsid w:val="23711E0F"/>
    <w:rsid w:val="23D64263"/>
    <w:rsid w:val="26544CC4"/>
    <w:rsid w:val="26AD4326"/>
    <w:rsid w:val="277A324D"/>
    <w:rsid w:val="28952F98"/>
    <w:rsid w:val="291D38F4"/>
    <w:rsid w:val="2A011E14"/>
    <w:rsid w:val="2A8B691B"/>
    <w:rsid w:val="2C4B4FD8"/>
    <w:rsid w:val="2C4F24E8"/>
    <w:rsid w:val="2E214E21"/>
    <w:rsid w:val="2E4364E9"/>
    <w:rsid w:val="2F8169CC"/>
    <w:rsid w:val="30273EF6"/>
    <w:rsid w:val="30446EAC"/>
    <w:rsid w:val="309554F3"/>
    <w:rsid w:val="31825BB5"/>
    <w:rsid w:val="325378B6"/>
    <w:rsid w:val="32BA40D4"/>
    <w:rsid w:val="32BF4485"/>
    <w:rsid w:val="32D849F7"/>
    <w:rsid w:val="339834E9"/>
    <w:rsid w:val="341F3CFB"/>
    <w:rsid w:val="35C33D9A"/>
    <w:rsid w:val="36FB1A09"/>
    <w:rsid w:val="37E37414"/>
    <w:rsid w:val="37F61CC4"/>
    <w:rsid w:val="381E57D4"/>
    <w:rsid w:val="38386F26"/>
    <w:rsid w:val="38A56478"/>
    <w:rsid w:val="38ED768D"/>
    <w:rsid w:val="39BD5613"/>
    <w:rsid w:val="3A1B14F1"/>
    <w:rsid w:val="3BAB1293"/>
    <w:rsid w:val="3BE62EFF"/>
    <w:rsid w:val="3C174491"/>
    <w:rsid w:val="3C670229"/>
    <w:rsid w:val="3E405681"/>
    <w:rsid w:val="3EF5136E"/>
    <w:rsid w:val="3F4D687B"/>
    <w:rsid w:val="403145BF"/>
    <w:rsid w:val="403329D5"/>
    <w:rsid w:val="40EF430B"/>
    <w:rsid w:val="412758A6"/>
    <w:rsid w:val="41B63D1C"/>
    <w:rsid w:val="41DB6F2C"/>
    <w:rsid w:val="41F8664D"/>
    <w:rsid w:val="4232363F"/>
    <w:rsid w:val="42DC76AC"/>
    <w:rsid w:val="434A2762"/>
    <w:rsid w:val="43ED33FB"/>
    <w:rsid w:val="4431320E"/>
    <w:rsid w:val="45055F96"/>
    <w:rsid w:val="456B5FAF"/>
    <w:rsid w:val="46121ABA"/>
    <w:rsid w:val="466F561F"/>
    <w:rsid w:val="46E968AD"/>
    <w:rsid w:val="47226953"/>
    <w:rsid w:val="47FE256C"/>
    <w:rsid w:val="48046F2D"/>
    <w:rsid w:val="48483807"/>
    <w:rsid w:val="494632B7"/>
    <w:rsid w:val="496C3A21"/>
    <w:rsid w:val="4A7C0288"/>
    <w:rsid w:val="4B1A0ACF"/>
    <w:rsid w:val="4C766D58"/>
    <w:rsid w:val="4CE26137"/>
    <w:rsid w:val="4DFC09EF"/>
    <w:rsid w:val="4E917AAA"/>
    <w:rsid w:val="4F0C7A27"/>
    <w:rsid w:val="4FA35119"/>
    <w:rsid w:val="4FE0116F"/>
    <w:rsid w:val="503E32FA"/>
    <w:rsid w:val="508558A6"/>
    <w:rsid w:val="514A436A"/>
    <w:rsid w:val="51FC1702"/>
    <w:rsid w:val="521848A0"/>
    <w:rsid w:val="52672489"/>
    <w:rsid w:val="52DE4EB7"/>
    <w:rsid w:val="53125893"/>
    <w:rsid w:val="532175BC"/>
    <w:rsid w:val="546D19CA"/>
    <w:rsid w:val="546D2086"/>
    <w:rsid w:val="548635B9"/>
    <w:rsid w:val="548F6B81"/>
    <w:rsid w:val="54A4406A"/>
    <w:rsid w:val="54B96ADA"/>
    <w:rsid w:val="550748DD"/>
    <w:rsid w:val="552D464C"/>
    <w:rsid w:val="55E03530"/>
    <w:rsid w:val="562266B0"/>
    <w:rsid w:val="56B466B2"/>
    <w:rsid w:val="57530B14"/>
    <w:rsid w:val="5842190D"/>
    <w:rsid w:val="58507EF8"/>
    <w:rsid w:val="586B36AB"/>
    <w:rsid w:val="58AC1D6F"/>
    <w:rsid w:val="592D6192"/>
    <w:rsid w:val="59DD2057"/>
    <w:rsid w:val="5AA851B9"/>
    <w:rsid w:val="5AD92459"/>
    <w:rsid w:val="5ADB2847"/>
    <w:rsid w:val="5B290563"/>
    <w:rsid w:val="5B4B7AB2"/>
    <w:rsid w:val="5BCD1290"/>
    <w:rsid w:val="5C0543CB"/>
    <w:rsid w:val="5CAF563E"/>
    <w:rsid w:val="5D791D39"/>
    <w:rsid w:val="5DE95A01"/>
    <w:rsid w:val="5E2F0B44"/>
    <w:rsid w:val="5EE43953"/>
    <w:rsid w:val="5F180956"/>
    <w:rsid w:val="605F31CB"/>
    <w:rsid w:val="613D317E"/>
    <w:rsid w:val="61C42B37"/>
    <w:rsid w:val="62563A16"/>
    <w:rsid w:val="62955117"/>
    <w:rsid w:val="62AA1B7E"/>
    <w:rsid w:val="640A1BC0"/>
    <w:rsid w:val="64467D75"/>
    <w:rsid w:val="65F81BFB"/>
    <w:rsid w:val="67E96C28"/>
    <w:rsid w:val="67F0642A"/>
    <w:rsid w:val="68115FD3"/>
    <w:rsid w:val="68FB3436"/>
    <w:rsid w:val="69FA35E3"/>
    <w:rsid w:val="6B097BCC"/>
    <w:rsid w:val="6BF31557"/>
    <w:rsid w:val="6CCE349E"/>
    <w:rsid w:val="6D025B07"/>
    <w:rsid w:val="6E6B0B8B"/>
    <w:rsid w:val="6FB82C55"/>
    <w:rsid w:val="700A49D5"/>
    <w:rsid w:val="710629D6"/>
    <w:rsid w:val="715048E3"/>
    <w:rsid w:val="71614413"/>
    <w:rsid w:val="71B87190"/>
    <w:rsid w:val="72265767"/>
    <w:rsid w:val="727732CF"/>
    <w:rsid w:val="72A77371"/>
    <w:rsid w:val="738C185E"/>
    <w:rsid w:val="73B257EA"/>
    <w:rsid w:val="743642F7"/>
    <w:rsid w:val="7439563E"/>
    <w:rsid w:val="74526DD9"/>
    <w:rsid w:val="745A2534"/>
    <w:rsid w:val="74EA080A"/>
    <w:rsid w:val="752F2414"/>
    <w:rsid w:val="75953A83"/>
    <w:rsid w:val="78F375C5"/>
    <w:rsid w:val="79340C36"/>
    <w:rsid w:val="794A5BCA"/>
    <w:rsid w:val="794C4045"/>
    <w:rsid w:val="79543FB2"/>
    <w:rsid w:val="796F6616"/>
    <w:rsid w:val="7A0D56B6"/>
    <w:rsid w:val="7A6818A0"/>
    <w:rsid w:val="7C050C19"/>
    <w:rsid w:val="7CD07AE9"/>
    <w:rsid w:val="7D312906"/>
    <w:rsid w:val="7DC91F78"/>
    <w:rsid w:val="7E00705B"/>
    <w:rsid w:val="7E313525"/>
    <w:rsid w:val="7EA35C5E"/>
    <w:rsid w:val="7EE14A65"/>
    <w:rsid w:val="7EE745F6"/>
    <w:rsid w:val="7F462457"/>
    <w:rsid w:val="7FAB7995"/>
    <w:rsid w:val="7FD456EF"/>
    <w:rsid w:val="7FEC3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uiPriority w:val="0"/>
    <w:pPr>
      <w:keepNext/>
      <w:keepLines/>
      <w:spacing w:before="340" w:after="330" w:line="578" w:lineRule="auto"/>
      <w:outlineLvl w:val="0"/>
    </w:pPr>
    <w:rPr>
      <w:b/>
      <w:bCs/>
      <w:kern w:val="44"/>
      <w:sz w:val="44"/>
      <w:szCs w:val="44"/>
    </w:rPr>
  </w:style>
  <w:style w:type="paragraph" w:styleId="2">
    <w:name w:val="heading 2"/>
    <w:basedOn w:val="1"/>
    <w:next w:val="1"/>
    <w:link w:val="20"/>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hAnsi="仿宋_GB2312"/>
      <w:szCs w:val="32"/>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Body Text First Indent 2"/>
    <w:basedOn w:val="6"/>
    <w:qFormat/>
    <w:uiPriority w:val="0"/>
    <w:pPr>
      <w:ind w:firstLine="200" w:firstLine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2"/>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四号正文"/>
    <w:basedOn w:val="1"/>
    <w:uiPriority w:val="0"/>
    <w:pPr>
      <w:spacing w:line="360" w:lineRule="auto"/>
    </w:pPr>
    <w:rPr>
      <w:rFonts w:ascii="??" w:hAnsi="??"/>
      <w:color w:val="000000"/>
      <w:kern w:val="0"/>
      <w:sz w:val="28"/>
      <w:szCs w:val="21"/>
      <w:lang w:val="zh-CN"/>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character" w:customStyle="1" w:styleId="31">
    <w:name w:val="font31"/>
    <w:basedOn w:val="15"/>
    <w:qFormat/>
    <w:uiPriority w:val="0"/>
    <w:rPr>
      <w:rFonts w:hint="eastAsia" w:ascii="方正黑体_GBK" w:hAnsi="方正黑体_GBK" w:eastAsia="方正黑体_GBK" w:cs="方正黑体_GBK"/>
      <w:b/>
      <w:color w:val="000000"/>
      <w:sz w:val="28"/>
      <w:szCs w:val="28"/>
      <w:u w:val="none"/>
    </w:rPr>
  </w:style>
  <w:style w:type="character" w:customStyle="1" w:styleId="32">
    <w:name w:val="font41"/>
    <w:basedOn w:val="15"/>
    <w:qFormat/>
    <w:uiPriority w:val="0"/>
    <w:rPr>
      <w:rFonts w:hint="default" w:ascii="Times New Roman" w:hAnsi="Times New Roman" w:cs="Times New Roman"/>
      <w:b/>
      <w:color w:val="000000"/>
      <w:sz w:val="28"/>
      <w:szCs w:val="28"/>
      <w:u w:val="none"/>
    </w:rPr>
  </w:style>
  <w:style w:type="character" w:customStyle="1" w:styleId="33">
    <w:name w:val="font21"/>
    <w:basedOn w:val="15"/>
    <w:qFormat/>
    <w:uiPriority w:val="0"/>
    <w:rPr>
      <w:rFonts w:hint="eastAsia" w:ascii="宋体" w:hAnsi="宋体" w:eastAsia="宋体" w:cs="宋体"/>
      <w:color w:val="000000"/>
      <w:sz w:val="18"/>
      <w:szCs w:val="18"/>
      <w:u w:val="none"/>
    </w:rPr>
  </w:style>
  <w:style w:type="character" w:customStyle="1" w:styleId="34">
    <w:name w:val="font91"/>
    <w:basedOn w:val="15"/>
    <w:qFormat/>
    <w:uiPriority w:val="0"/>
    <w:rPr>
      <w:rFonts w:hint="default" w:ascii="Times New Roman" w:hAnsi="Times New Roman" w:cs="Times New Roman"/>
      <w:color w:val="000000"/>
      <w:sz w:val="20"/>
      <w:szCs w:val="20"/>
      <w:u w:val="none"/>
    </w:rPr>
  </w:style>
  <w:style w:type="character" w:customStyle="1" w:styleId="35">
    <w:name w:val="font71"/>
    <w:basedOn w:val="15"/>
    <w:qFormat/>
    <w:uiPriority w:val="0"/>
    <w:rPr>
      <w:rFonts w:ascii="仿宋_GB2312" w:eastAsia="仿宋_GB2312" w:cs="仿宋_GB2312"/>
      <w:color w:val="000000"/>
      <w:sz w:val="20"/>
      <w:szCs w:val="20"/>
      <w:u w:val="none"/>
    </w:rPr>
  </w:style>
  <w:style w:type="character" w:customStyle="1" w:styleId="36">
    <w:name w:val="font81"/>
    <w:basedOn w:val="15"/>
    <w:uiPriority w:val="0"/>
    <w:rPr>
      <w:rFonts w:hint="eastAsia" w:ascii="宋体" w:hAnsi="宋体" w:eastAsia="宋体" w:cs="宋体"/>
      <w:color w:val="000000"/>
      <w:sz w:val="20"/>
      <w:szCs w:val="20"/>
      <w:u w:val="none"/>
    </w:rPr>
  </w:style>
  <w:style w:type="character" w:customStyle="1" w:styleId="37">
    <w:name w:val="font101"/>
    <w:basedOn w:val="15"/>
    <w:qFormat/>
    <w:uiPriority w:val="0"/>
    <w:rPr>
      <w:rFonts w:ascii="仿宋_GB2312" w:eastAsia="仿宋_GB2312" w:cs="仿宋_GB2312"/>
      <w:color w:val="000000"/>
      <w:sz w:val="20"/>
      <w:szCs w:val="20"/>
      <w:u w:val="none"/>
    </w:rPr>
  </w:style>
  <w:style w:type="character" w:customStyle="1" w:styleId="38">
    <w:name w:val="font1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General</c:formatCode>
                <c:ptCount val="1"/>
                <c:pt idx="0">
                  <c:v>7952.8</c:v>
                </c:pt>
              </c:numCache>
            </c:numRef>
          </c:val>
        </c:ser>
        <c:ser>
          <c:idx val="1"/>
          <c:order val="1"/>
          <c:tx>
            <c:strRef>
              <c:f>Sheet1!$C$1</c:f>
              <c:strCache>
                <c:ptCount val="1"/>
                <c:pt idx="0">
                  <c:v>2022年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General</c:formatCode>
                <c:ptCount val="1"/>
                <c:pt idx="0">
                  <c:v>8402.7</c:v>
                </c:pt>
              </c:numCache>
            </c:numRef>
          </c:val>
        </c:ser>
        <c:dLbls>
          <c:showLegendKey val="0"/>
          <c:showVal val="0"/>
          <c:showCatName val="0"/>
          <c:showSerName val="0"/>
          <c:showPercent val="0"/>
          <c:showBubbleSize val="0"/>
        </c:dLbls>
        <c:gapWidth val="219"/>
        <c:overlap val="-27"/>
        <c:axId val="257288829"/>
        <c:axId val="206567643"/>
      </c:barChart>
      <c:catAx>
        <c:axId val="257288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567643"/>
        <c:crosses val="autoZero"/>
        <c:auto val="1"/>
        <c:lblAlgn val="ctr"/>
        <c:lblOffset val="100"/>
        <c:noMultiLvlLbl val="0"/>
      </c:catAx>
      <c:valAx>
        <c:axId val="20656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2888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1"/>
              <c:layout>
                <c:manualLayout>
                  <c:x val="0.186423054070113"/>
                  <c:y val="0.02117699509585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913234381403"/>
                  <c:y val="-0.01456687471986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86749851455734"/>
                  <c:y val="-0.02429781542576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90732414503792"/>
                  <c:y val="-0.03886469014562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23588829471182"/>
                  <c:y val="-0.03655818100757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2763081022572"/>
                  <c:y val="0.000591395454013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上级补助收入</c:v>
                </c:pt>
                <c:pt idx="2">
                  <c:v>经营收入</c:v>
                </c:pt>
                <c:pt idx="3">
                  <c:v>其他收入</c:v>
                </c:pt>
                <c:pt idx="4">
                  <c:v>政府性基金预算财政拨款收入</c:v>
                </c:pt>
                <c:pt idx="5">
                  <c:v>事业收入</c:v>
                </c:pt>
                <c:pt idx="6">
                  <c:v>附属单位上缴收入</c:v>
                </c:pt>
                <c:pt idx="7">
                  <c:v>国有资本经营预算财政拨款收入</c:v>
                </c:pt>
              </c:strCache>
            </c:strRef>
          </c:cat>
          <c:val>
            <c:numRef>
              <c:f>Sheet1!$B$2:$B$9</c:f>
              <c:numCache>
                <c:formatCode>0.00%</c:formatCode>
                <c:ptCount val="8"/>
                <c:pt idx="0">
                  <c:v>0.9944</c:v>
                </c:pt>
                <c:pt idx="1" c:formatCode="General">
                  <c:v>0</c:v>
                </c:pt>
                <c:pt idx="2" c:formatCode="General">
                  <c:v>0</c:v>
                </c:pt>
                <c:pt idx="3">
                  <c:v>0.0056</c:v>
                </c:pt>
                <c:pt idx="4" c:formatCode="General">
                  <c:v>0</c:v>
                </c:pt>
                <c:pt idx="5" c:formatCode="General">
                  <c:v>0</c:v>
                </c:pt>
                <c:pt idx="6" c:formatCode="General">
                  <c:v>0</c:v>
                </c:pt>
                <c:pt idx="7"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layout>
                <c:manualLayout>
                  <c:x val="0.154665750128888"/>
                  <c:y val="-0.04670184696569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1752583997114"/>
                  <c:y val="0.01854907651862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99175115999313"/>
                  <c:y val="0.01451187335092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0.7137</c:v>
                </c:pt>
                <c:pt idx="1">
                  <c:v>0.2863</c:v>
                </c:pt>
                <c:pt idx="2" c:formatCode="0%">
                  <c:v>0</c:v>
                </c:pt>
                <c:pt idx="3" c:formatCode="0%">
                  <c:v>0</c:v>
                </c:pt>
                <c:pt idx="4" c:formatCode="0%">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General</c:formatCode>
                <c:ptCount val="1"/>
                <c:pt idx="0">
                  <c:v>7952.8</c:v>
                </c:pt>
              </c:numCache>
            </c:numRef>
          </c:val>
        </c:ser>
        <c:ser>
          <c:idx val="1"/>
          <c:order val="1"/>
          <c:tx>
            <c:strRef>
              <c:f>Sheet1!$C$1</c:f>
              <c:strCache>
                <c:ptCount val="1"/>
                <c:pt idx="0">
                  <c:v>2022年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#,##0.00</c:formatCode>
                <c:ptCount val="1"/>
                <c:pt idx="0">
                  <c:v>8355.62</c:v>
                </c:pt>
              </c:numCache>
            </c:numRef>
          </c:val>
        </c:ser>
        <c:dLbls>
          <c:showLegendKey val="0"/>
          <c:showVal val="0"/>
          <c:showCatName val="0"/>
          <c:showSerName val="0"/>
          <c:showPercent val="0"/>
          <c:showBubbleSize val="0"/>
        </c:dLbls>
        <c:gapWidth val="219"/>
        <c:overlap val="-27"/>
        <c:axId val="257288829"/>
        <c:axId val="206567643"/>
      </c:barChart>
      <c:catAx>
        <c:axId val="257288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567643"/>
        <c:crosses val="autoZero"/>
        <c:auto val="1"/>
        <c:lblAlgn val="ctr"/>
        <c:lblOffset val="100"/>
        <c:noMultiLvlLbl val="0"/>
      </c:catAx>
      <c:valAx>
        <c:axId val="20656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2888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lvl="1" defTabSz="914400">
              <a:defRPr lang="zh-CN" sz="1400" b="0" i="0" u="none" strike="noStrike" kern="1200" spc="0" baseline="0">
                <a:solidFill>
                  <a:schemeClr val="tx1">
                    <a:lumMod val="65000"/>
                    <a:lumOff val="35000"/>
                  </a:schemeClr>
                </a:solidFill>
                <a:latin typeface="+mn-lt"/>
                <a:ea typeface="+mn-ea"/>
                <a:cs typeface="+mn-cs"/>
              </a:defRPr>
            </a:pPr>
            <a:r>
              <a:rPr lang="zh-CN" altLang="en-US">
                <a:ea typeface="宋体" panose="02010600030101010101" charset="-122"/>
              </a:rPr>
              <a:t>一般公共预算财政拨款支出决算</a:t>
            </a:r>
            <a:endParaRPr lang="zh-CN" altLang="en-US">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Sheet1!$B$2</c:f>
              <c:numCache>
                <c:formatCode>General</c:formatCode>
                <c:ptCount val="1"/>
                <c:pt idx="0">
                  <c:v>7952.8</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Sheet1!$C$2</c:f>
              <c:numCache>
                <c:formatCode>#,##0.00</c:formatCode>
                <c:ptCount val="1"/>
                <c:pt idx="0">
                  <c:v>8355.62</c:v>
                </c:pt>
              </c:numCache>
            </c:numRef>
          </c:val>
        </c:ser>
        <c:dLbls>
          <c:showLegendKey val="0"/>
          <c:showVal val="0"/>
          <c:showCatName val="0"/>
          <c:showSerName val="0"/>
          <c:showPercent val="0"/>
          <c:showBubbleSize val="0"/>
        </c:dLbls>
        <c:gapWidth val="219"/>
        <c:overlap val="-27"/>
        <c:axId val="426073916"/>
        <c:axId val="999414381"/>
      </c:barChart>
      <c:catAx>
        <c:axId val="4260739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414381"/>
        <c:crosses val="autoZero"/>
        <c:auto val="1"/>
        <c:lblAlgn val="ctr"/>
        <c:lblOffset val="100"/>
        <c:noMultiLvlLbl val="0"/>
      </c:catAx>
      <c:valAx>
        <c:axId val="9994143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60739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190796933103494"/>
                  <c:y val="0.01071697113014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c:v>
                </c:pt>
                <c:pt idx="1">
                  <c:v>卫生健康支出</c:v>
                </c:pt>
                <c:pt idx="2">
                  <c:v>住房保障支出</c:v>
                </c:pt>
                <c:pt idx="3">
                  <c:v>公共安全支出</c:v>
                </c:pt>
              </c:strCache>
            </c:strRef>
          </c:cat>
          <c:val>
            <c:numRef>
              <c:f>Sheet1!$B$2:$B$5</c:f>
              <c:numCache>
                <c:formatCode>0.00%</c:formatCode>
                <c:ptCount val="4"/>
                <c:pt idx="0">
                  <c:v>0.0667</c:v>
                </c:pt>
                <c:pt idx="1">
                  <c:v>0.032</c:v>
                </c:pt>
                <c:pt idx="2">
                  <c:v>0.0446</c:v>
                </c:pt>
                <c:pt idx="3">
                  <c:v>0.8567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a:t>
            </a:r>
            <a:endParaRPr altLang="en-US"/>
          </a:p>
        </c:rich>
      </c:tx>
      <c:layout>
        <c:manualLayout>
          <c:xMode val="edge"/>
          <c:yMode val="edge"/>
          <c:x val="0.216181818181818"/>
          <c:y val="0.0434131736526946"/>
        </c:manualLayout>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82125"/>
                  <c:y val="-0.0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57172666170845"/>
                  <c:y val="0.0005765016865008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0.9981</c:v>
                </c:pt>
                <c:pt idx="2" c:formatCode="General">
                  <c:v>0.19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1226</Words>
  <Characters>6991</Characters>
  <Lines>58</Lines>
  <Paragraphs>16</Paragraphs>
  <TotalTime>0</TotalTime>
  <ScaleCrop>false</ScaleCrop>
  <LinksUpToDate>false</LinksUpToDate>
  <CharactersWithSpaces>8201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2023-07-31T02:35:00Z</cp:lastPrinted>
  <dcterms:modified xsi:type="dcterms:W3CDTF">2023-11-01T10:49:27Z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