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9"/>
        <w:rPr>
          <w:rFonts w:ascii="方正小标宋简体" w:hAnsi="宋体" w:eastAsia="方正小标宋简体"/>
          <w:color w:val="000000"/>
          <w:sz w:val="72"/>
          <w:szCs w:val="72"/>
        </w:rPr>
      </w:pPr>
      <w:bookmarkStart w:id="1" w:name="_Toc15377193"/>
      <w:bookmarkStart w:id="2" w:name="_Toc15396597"/>
      <w:bookmarkStart w:id="3" w:name="_Toc15378441"/>
      <w:bookmarkStart w:id="4" w:name="_Toc15377425"/>
      <w:bookmarkStart w:id="5" w:name="_Toc15396475"/>
      <w:r>
        <w:rPr>
          <w:rFonts w:hint="eastAsia" w:ascii="黑体" w:hAnsi="黑体" w:eastAsia="黑体"/>
          <w:color w:val="000000"/>
          <w:sz w:val="72"/>
          <w:szCs w:val="72"/>
          <w:lang w:eastAsia="zh-CN"/>
        </w:rPr>
        <w:t>20</w:t>
      </w:r>
      <w:r>
        <w:rPr>
          <w:rFonts w:hint="eastAsia" w:ascii="黑体" w:hAnsi="黑体" w:eastAsia="黑体"/>
          <w:color w:val="000000"/>
          <w:sz w:val="72"/>
          <w:szCs w:val="72"/>
          <w:lang w:val="en-US" w:eastAsia="zh-CN"/>
        </w:rPr>
        <w:t>22</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9"/>
        <w:rPr>
          <w:rFonts w:ascii="方正小标宋简体" w:hAnsi="宋体" w:eastAsia="方正小标宋简体"/>
          <w:color w:val="000000"/>
          <w:sz w:val="72"/>
          <w:szCs w:val="72"/>
        </w:rPr>
      </w:pPr>
      <w:bookmarkStart w:id="6" w:name="_Toc15306268"/>
      <w:bookmarkStart w:id="7" w:name="_Toc15396476"/>
      <w:bookmarkStart w:id="8" w:name="_Toc15377194"/>
      <w:bookmarkStart w:id="9" w:name="_Toc15377426"/>
      <w:bookmarkStart w:id="10" w:name="_Toc15396598"/>
      <w:bookmarkStart w:id="11" w:name="_Toc15378442"/>
      <w:r>
        <w:rPr>
          <w:rFonts w:hint="eastAsia" w:ascii="方正小标宋简体" w:hAnsi="宋体" w:eastAsia="方正小标宋简体"/>
          <w:color w:val="000000"/>
          <w:sz w:val="72"/>
          <w:szCs w:val="72"/>
          <w:lang w:eastAsia="zh-CN"/>
        </w:rPr>
        <w:t>红原县红原县邛溪镇双语幼儿园</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outlineLvl w:val="0"/>
        <w:rPr>
          <w:rFonts w:ascii="方正小标宋简体" w:hAnsi="宋体" w:eastAsia="方正小标宋简体"/>
          <w:color w:val="000000"/>
          <w:sz w:val="36"/>
          <w:szCs w:val="36"/>
        </w:rPr>
      </w:pPr>
    </w:p>
    <w:p>
      <w:pPr>
        <w:widowControl/>
        <w:jc w:val="center"/>
        <w:outlineLvl w:val="0"/>
        <w:rPr>
          <w:rFonts w:ascii="方正小标宋简体" w:hAnsi="宋体" w:eastAsia="方正小标宋简体"/>
          <w:color w:val="000000"/>
          <w:sz w:val="36"/>
          <w:szCs w:val="36"/>
        </w:rPr>
      </w:pPr>
    </w:p>
    <w:p>
      <w:pPr>
        <w:widowControl/>
        <w:jc w:val="center"/>
        <w:outlineLvl w:val="0"/>
        <w:rPr>
          <w:rFonts w:ascii="方正小标宋简体" w:hAnsi="宋体" w:eastAsia="方正小标宋简体"/>
          <w:color w:val="000000"/>
          <w:sz w:val="36"/>
          <w:szCs w:val="36"/>
        </w:rPr>
      </w:pPr>
    </w:p>
    <w:p>
      <w:pPr>
        <w:widowControl/>
        <w:jc w:val="center"/>
        <w:outlineLvl w:val="0"/>
        <w:rPr>
          <w:rFonts w:ascii="方正小标宋简体" w:hAnsi="宋体" w:eastAsia="方正小标宋简体"/>
          <w:color w:val="000000"/>
          <w:sz w:val="36"/>
          <w:szCs w:val="36"/>
        </w:rPr>
      </w:pPr>
    </w:p>
    <w:p>
      <w:pPr>
        <w:widowControl/>
        <w:jc w:val="both"/>
        <w:outlineLvl w:val="0"/>
        <w:rPr>
          <w:rFonts w:ascii="方正小标宋简体" w:hAnsi="宋体" w:eastAsia="方正小标宋简体"/>
          <w:color w:val="000000"/>
          <w:sz w:val="36"/>
          <w:szCs w:val="36"/>
        </w:rPr>
      </w:pPr>
    </w:p>
    <w:p>
      <w:pPr>
        <w:widowControl/>
        <w:jc w:val="both"/>
        <w:outlineLvl w:val="0"/>
        <w:rPr>
          <w:rFonts w:ascii="黑体" w:hAnsi="黑体" w:eastAsia="黑体"/>
          <w:color w:val="000000"/>
          <w:sz w:val="48"/>
          <w:szCs w:val="48"/>
        </w:rPr>
      </w:pPr>
      <w:r>
        <w:rPr>
          <w:rFonts w:ascii="方正小标宋简体" w:hAnsi="宋体" w:eastAsia="方正小标宋简体"/>
          <w:color w:val="000000"/>
          <w:sz w:val="36"/>
          <w:szCs w:val="36"/>
        </w:rPr>
        <w:br w:type="page"/>
      </w:r>
      <w:bookmarkStart w:id="12" w:name="_Toc25531"/>
      <w:bookmarkStart w:id="13" w:name="_Toc32190"/>
      <w:r>
        <w:rPr>
          <w:rFonts w:hint="eastAsia" w:ascii="方正小标宋简体" w:hAnsi="宋体" w:eastAsia="方正小标宋简体"/>
          <w:color w:val="000000"/>
          <w:sz w:val="36"/>
          <w:szCs w:val="36"/>
          <w:lang w:val="en-US" w:eastAsia="zh-CN"/>
        </w:rPr>
        <w:t xml:space="preserve">                  </w:t>
      </w:r>
      <w:r>
        <w:rPr>
          <w:rFonts w:hint="eastAsia" w:ascii="黑体" w:hAnsi="黑体" w:eastAsia="黑体"/>
          <w:color w:val="000000"/>
          <w:sz w:val="48"/>
          <w:szCs w:val="48"/>
        </w:rPr>
        <w:t>目录</w:t>
      </w:r>
      <w:bookmarkEnd w:id="12"/>
      <w:bookmarkEnd w:id="13"/>
    </w:p>
    <w:p>
      <w:pPr>
        <w:pStyle w:val="10"/>
        <w:rPr>
          <w:rFonts w:ascii="仿宋" w:hAnsi="仿宋" w:eastAsia="仿宋" w:cs="Times New Roman"/>
          <w:color w:val="000000"/>
          <w:kern w:val="2"/>
          <w:sz w:val="24"/>
          <w:szCs w:val="28"/>
          <w:lang w:val="en-US" w:eastAsia="zh-CN" w:bidi="ar-SA"/>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_Toc21227 </w:instrText>
      </w:r>
      <w:r>
        <w:rPr>
          <w:rFonts w:ascii="仿宋" w:hAnsi="仿宋" w:eastAsia="仿宋"/>
        </w:rPr>
        <w:fldChar w:fldCharType="separate"/>
      </w:r>
      <w:r>
        <w:rPr>
          <w:rFonts w:hint="eastAsia" w:ascii="黑体" w:hAnsi="黑体" w:eastAsia="黑体"/>
        </w:rPr>
        <w:t xml:space="preserve">第一部分 </w:t>
      </w:r>
      <w:r>
        <w:rPr>
          <w:rFonts w:hint="eastAsia" w:ascii="黑体" w:hAnsi="黑体" w:eastAsia="黑体"/>
          <w:bCs w:val="0"/>
        </w:rPr>
        <w:t>部门概况</w:t>
      </w:r>
      <w:r>
        <w:tab/>
      </w:r>
      <w:r>
        <w:fldChar w:fldCharType="begin"/>
      </w:r>
      <w:r>
        <w:instrText xml:space="preserve"> PAGEREF _Toc21227 </w:instrText>
      </w:r>
      <w:r>
        <w:fldChar w:fldCharType="separate"/>
      </w:r>
      <w:r>
        <w:t>3</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_Toc20433 </w:instrText>
      </w:r>
      <w:r>
        <w:rPr>
          <w:rFonts w:ascii="仿宋" w:hAnsi="仿宋" w:eastAsia="仿宋"/>
        </w:rP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_Toc20433 </w:instrText>
      </w:r>
      <w:r>
        <w:fldChar w:fldCharType="separate"/>
      </w:r>
      <w:r>
        <w:t>3</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_Toc21612 </w:instrText>
      </w:r>
      <w:r>
        <w:rPr>
          <w:rFonts w:ascii="仿宋" w:hAnsi="仿宋" w:eastAsia="仿宋"/>
        </w:rP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_Toc21612 </w:instrText>
      </w:r>
      <w:r>
        <w:fldChar w:fldCharType="separate"/>
      </w:r>
      <w:r>
        <w:t>3</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_Toc1194 </w:instrText>
      </w:r>
      <w:r>
        <w:rPr>
          <w:rFonts w:ascii="仿宋" w:hAnsi="仿宋" w:eastAsia="仿宋"/>
        </w:rPr>
        <w:fldChar w:fldCharType="separate"/>
      </w:r>
      <w:r>
        <w:rPr>
          <w:rFonts w:hint="eastAsia" w:ascii="黑体" w:hAnsi="黑体" w:eastAsia="黑体"/>
        </w:rPr>
        <w:t xml:space="preserve">第二部分 </w:t>
      </w:r>
      <w:r>
        <w:rPr>
          <w:rFonts w:hint="eastAsia" w:ascii="黑体" w:hAnsi="黑体" w:eastAsia="黑体"/>
          <w:lang w:val="en-US" w:eastAsia="zh-CN"/>
        </w:rPr>
        <w:t>2022</w:t>
      </w:r>
      <w:r>
        <w:rPr>
          <w:rFonts w:hint="eastAsia" w:ascii="黑体" w:hAnsi="黑体" w:eastAsia="黑体"/>
          <w:bCs w:val="0"/>
        </w:rPr>
        <w:t>年度部门决算情况说明</w:t>
      </w:r>
      <w:r>
        <w:tab/>
      </w:r>
      <w:r>
        <w:fldChar w:fldCharType="begin"/>
      </w:r>
      <w:r>
        <w:instrText xml:space="preserve"> PAGEREF _Toc1194 </w:instrText>
      </w:r>
      <w:r>
        <w:fldChar w:fldCharType="separate"/>
      </w:r>
      <w:r>
        <w:t>4</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_Toc27124 </w:instrText>
      </w:r>
      <w:r>
        <w:rPr>
          <w:rFonts w:ascii="仿宋" w:hAnsi="仿宋" w:eastAsia="仿宋"/>
        </w:rP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_Toc27124 </w:instrText>
      </w:r>
      <w:r>
        <w:fldChar w:fldCharType="separate"/>
      </w:r>
      <w:r>
        <w:t>4</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_Toc1909 </w:instrText>
      </w:r>
      <w:r>
        <w:rPr>
          <w:rFonts w:ascii="仿宋" w:hAnsi="仿宋" w:eastAsia="仿宋"/>
        </w:rP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_Toc1909 </w:instrText>
      </w:r>
      <w:r>
        <w:fldChar w:fldCharType="separate"/>
      </w:r>
      <w:r>
        <w:t>4</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_Toc30849 </w:instrText>
      </w:r>
      <w:r>
        <w:rPr>
          <w:rFonts w:ascii="仿宋" w:hAnsi="仿宋" w:eastAsia="仿宋"/>
        </w:rP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_Toc30849 </w:instrText>
      </w:r>
      <w:r>
        <w:fldChar w:fldCharType="separate"/>
      </w:r>
      <w:r>
        <w:t>5</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_Toc29603 </w:instrText>
      </w:r>
      <w:r>
        <w:rPr>
          <w:rFonts w:ascii="仿宋" w:hAnsi="仿宋" w:eastAsia="仿宋"/>
        </w:rP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_Toc29603 </w:instrText>
      </w:r>
      <w:r>
        <w:fldChar w:fldCharType="separate"/>
      </w:r>
      <w:r>
        <w:t>6</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_Toc22170 </w:instrText>
      </w:r>
      <w:r>
        <w:rPr>
          <w:rFonts w:ascii="仿宋" w:hAnsi="仿宋" w:eastAsia="仿宋"/>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_Toc22170 </w:instrText>
      </w:r>
      <w:r>
        <w:fldChar w:fldCharType="separate"/>
      </w:r>
      <w:r>
        <w:t>7</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_Toc13068 </w:instrText>
      </w:r>
      <w:r>
        <w:rPr>
          <w:rFonts w:ascii="仿宋" w:hAnsi="仿宋" w:eastAsia="仿宋"/>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_Toc13068 </w:instrText>
      </w:r>
      <w:r>
        <w:fldChar w:fldCharType="separate"/>
      </w:r>
      <w:r>
        <w:t>8</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_Toc18018 </w:instrText>
      </w:r>
      <w:r>
        <w:rPr>
          <w:rFonts w:ascii="仿宋" w:hAnsi="仿宋" w:eastAsia="仿宋"/>
        </w:rP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_Toc18018 </w:instrText>
      </w:r>
      <w:r>
        <w:fldChar w:fldCharType="separate"/>
      </w:r>
      <w:r>
        <w:t>9</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_Toc10315 </w:instrText>
      </w:r>
      <w:r>
        <w:rPr>
          <w:rFonts w:ascii="仿宋" w:hAnsi="仿宋" w:eastAsia="仿宋"/>
        </w:rP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_Toc10315 </w:instrText>
      </w:r>
      <w:r>
        <w:fldChar w:fldCharType="separate"/>
      </w:r>
      <w:r>
        <w:t>10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_Toc11522 </w:instrText>
      </w:r>
      <w:r>
        <w:rPr>
          <w:rFonts w:ascii="仿宋" w:hAnsi="仿宋" w:eastAsia="仿宋"/>
        </w:rPr>
        <w:fldChar w:fldCharType="separate"/>
      </w:r>
      <w:r>
        <w:rPr>
          <w:rFonts w:hint="eastAsia" w:ascii="黑体" w:hAnsi="黑体" w:eastAsia="黑体"/>
        </w:rPr>
        <w:t>九、 国有资本经营预算支出决算情况说明</w:t>
      </w:r>
      <w:r>
        <w:tab/>
      </w:r>
      <w:r>
        <w:fldChar w:fldCharType="begin"/>
      </w:r>
      <w:r>
        <w:instrText xml:space="preserve"> PAGEREF _Toc11522 </w:instrText>
      </w:r>
      <w:r>
        <w:fldChar w:fldCharType="separate"/>
      </w:r>
      <w:r>
        <w:t>10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_Toc25847 </w:instrText>
      </w:r>
      <w:r>
        <w:rPr>
          <w:rFonts w:ascii="仿宋" w:hAnsi="仿宋" w:eastAsia="仿宋"/>
        </w:rPr>
        <w:fldChar w:fldCharType="separate"/>
      </w:r>
      <w:r>
        <w:rPr>
          <w:rFonts w:hint="eastAsia" w:ascii="黑体" w:hAnsi="黑体" w:eastAsia="黑体"/>
        </w:rPr>
        <w:t xml:space="preserve">十、 </w:t>
      </w:r>
      <w:r>
        <w:rPr>
          <w:rFonts w:hint="eastAsia" w:ascii="黑体" w:hAnsi="黑体" w:eastAsia="黑体"/>
          <w:lang w:eastAsia="zh-CN"/>
        </w:rPr>
        <w:t>其他重要事项情况的</w:t>
      </w:r>
      <w:r>
        <w:rPr>
          <w:rFonts w:hint="eastAsia" w:ascii="黑体" w:hAnsi="黑体" w:eastAsia="黑体"/>
        </w:rPr>
        <w:t>说明</w:t>
      </w:r>
      <w:r>
        <w:tab/>
      </w:r>
      <w:r>
        <w:fldChar w:fldCharType="begin"/>
      </w:r>
      <w:r>
        <w:instrText xml:space="preserve"> PAGEREF _Toc25847 </w:instrText>
      </w:r>
      <w:r>
        <w:fldChar w:fldCharType="separate"/>
      </w:r>
      <w:r>
        <w:t>10</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_Toc23168 </w:instrText>
      </w:r>
      <w:r>
        <w:rPr>
          <w:rFonts w:ascii="仿宋" w:hAnsi="仿宋" w:eastAsia="仿宋"/>
        </w:rPr>
        <w:fldChar w:fldCharType="separate"/>
      </w:r>
      <w:r>
        <w:rPr>
          <w:rFonts w:hint="eastAsia" w:ascii="黑体" w:hAnsi="黑体" w:eastAsia="黑体"/>
          <w:szCs w:val="44"/>
          <w:lang w:eastAsia="zh-CN"/>
        </w:rPr>
        <w:t>第三部分</w:t>
      </w:r>
      <w:r>
        <w:rPr>
          <w:rFonts w:hint="eastAsia" w:ascii="黑体" w:hAnsi="黑体" w:eastAsia="黑体"/>
          <w:szCs w:val="44"/>
          <w:lang w:val="en-US" w:eastAsia="zh-CN"/>
        </w:rPr>
        <w:t xml:space="preserve">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_Toc23168 </w:instrText>
      </w:r>
      <w:r>
        <w:fldChar w:fldCharType="separate"/>
      </w:r>
      <w:r>
        <w:t>12</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_Toc4766 </w:instrText>
      </w:r>
      <w:r>
        <w:rPr>
          <w:rFonts w:ascii="仿宋" w:hAnsi="仿宋" w:eastAsia="仿宋"/>
        </w:rP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_Toc4766 </w:instrText>
      </w:r>
      <w:r>
        <w:fldChar w:fldCharType="separate"/>
      </w:r>
      <w:r>
        <w:t>14</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_Toc3397 </w:instrText>
      </w:r>
      <w:r>
        <w:rPr>
          <w:rFonts w:ascii="仿宋" w:hAnsi="仿宋" w:eastAsia="仿宋"/>
        </w:rPr>
        <w:fldChar w:fldCharType="separate"/>
      </w:r>
      <w:r>
        <w:rPr>
          <w:rFonts w:hint="eastAsia" w:ascii="仿宋" w:hAnsi="仿宋" w:eastAsia="仿宋"/>
          <w:bCs w:val="0"/>
          <w:szCs w:val="32"/>
        </w:rPr>
        <w:t>附件1</w:t>
      </w:r>
      <w:r>
        <w:tab/>
      </w:r>
      <w:r>
        <w:fldChar w:fldCharType="begin"/>
      </w:r>
      <w:r>
        <w:instrText xml:space="preserve"> PAGEREF _Toc3397 </w:instrText>
      </w:r>
      <w:r>
        <w:fldChar w:fldCharType="separate"/>
      </w:r>
      <w:r>
        <w:t>14</w:t>
      </w:r>
      <w:r>
        <w:fldChar w:fldCharType="end"/>
      </w:r>
      <w:r>
        <w:rPr>
          <w:rFonts w:ascii="仿宋" w:hAnsi="仿宋" w:eastAsia="仿宋"/>
          <w:color w:val="000000"/>
        </w:rPr>
        <w:fldChar w:fldCharType="end"/>
      </w:r>
    </w:p>
    <w:p>
      <w:pPr>
        <w:pStyle w:val="10"/>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_Toc11446 </w:instrText>
      </w:r>
      <w:r>
        <w:rPr>
          <w:rFonts w:ascii="仿宋" w:hAnsi="仿宋" w:eastAsia="仿宋"/>
        </w:rP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_Toc11446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_Toc30433 </w:instrText>
      </w:r>
      <w:r>
        <w:rPr>
          <w:rFonts w:ascii="仿宋" w:hAnsi="仿宋" w:eastAsia="仿宋"/>
        </w:rPr>
        <w:fldChar w:fldCharType="separate"/>
      </w:r>
      <w:r>
        <w:rPr>
          <w:rFonts w:hint="eastAsia" w:ascii="仿宋" w:hAnsi="仿宋" w:eastAsia="仿宋" w:cs="Times New Roman"/>
          <w:bCs w:val="0"/>
          <w:lang w:eastAsia="zh-CN"/>
        </w:rPr>
        <w:t>一、</w:t>
      </w:r>
      <w:r>
        <w:rPr>
          <w:rFonts w:hint="eastAsia" w:ascii="仿宋" w:hAnsi="仿宋" w:eastAsia="仿宋" w:cs="Times New Roman"/>
          <w:bCs w:val="0"/>
        </w:rPr>
        <w:t>收入支出决算总表</w:t>
      </w:r>
      <w:r>
        <w:tab/>
      </w:r>
      <w:r>
        <w:fldChar w:fldCharType="begin"/>
      </w:r>
      <w:r>
        <w:instrText xml:space="preserve"> PAGEREF _Toc30433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_Toc23254 </w:instrText>
      </w:r>
      <w:r>
        <w:rPr>
          <w:rFonts w:ascii="仿宋" w:hAnsi="仿宋" w:eastAsia="仿宋"/>
        </w:rPr>
        <w:fldChar w:fldCharType="separate"/>
      </w:r>
      <w:r>
        <w:rPr>
          <w:rFonts w:hint="eastAsia" w:ascii="仿宋" w:hAnsi="仿宋" w:eastAsia="仿宋" w:cs="Times New Roman"/>
          <w:bCs w:val="0"/>
        </w:rPr>
        <w:t>二、收入总表</w:t>
      </w:r>
      <w:r>
        <w:tab/>
      </w:r>
      <w:r>
        <w:fldChar w:fldCharType="begin"/>
      </w:r>
      <w:r>
        <w:instrText xml:space="preserve"> PAGEREF _Toc23254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_Toc29638 </w:instrText>
      </w:r>
      <w:r>
        <w:rPr>
          <w:rFonts w:ascii="仿宋" w:hAnsi="仿宋" w:eastAsia="仿宋"/>
        </w:rPr>
        <w:fldChar w:fldCharType="separate"/>
      </w:r>
      <w:r>
        <w:rPr>
          <w:rFonts w:hint="eastAsia" w:ascii="仿宋" w:hAnsi="仿宋" w:eastAsia="仿宋" w:cs="Times New Roman"/>
          <w:bCs w:val="0"/>
        </w:rPr>
        <w:t>三、支出总表</w:t>
      </w:r>
      <w:r>
        <w:tab/>
      </w:r>
      <w:r>
        <w:fldChar w:fldCharType="begin"/>
      </w:r>
      <w:r>
        <w:instrText xml:space="preserve"> PAGEREF _Toc29638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_Toc30198 </w:instrText>
      </w:r>
      <w:r>
        <w:rPr>
          <w:rFonts w:ascii="仿宋" w:hAnsi="仿宋" w:eastAsia="仿宋"/>
        </w:rPr>
        <w:fldChar w:fldCharType="separate"/>
      </w:r>
      <w:r>
        <w:rPr>
          <w:rFonts w:hint="eastAsia" w:ascii="仿宋" w:hAnsi="仿宋" w:eastAsia="仿宋" w:cs="Times New Roman"/>
          <w:bCs w:val="0"/>
        </w:rPr>
        <w:t>四、财政拨款收入支出决算总表</w:t>
      </w:r>
      <w:r>
        <w:tab/>
      </w:r>
      <w:r>
        <w:fldChar w:fldCharType="begin"/>
      </w:r>
      <w:r>
        <w:instrText xml:space="preserve"> PAGEREF _Toc30198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_Toc30232 </w:instrText>
      </w:r>
      <w:r>
        <w:rPr>
          <w:rFonts w:ascii="仿宋" w:hAnsi="仿宋" w:eastAsia="仿宋"/>
        </w:rPr>
        <w:fldChar w:fldCharType="separate"/>
      </w:r>
      <w:r>
        <w:rPr>
          <w:rFonts w:hint="eastAsia" w:ascii="仿宋" w:hAnsi="仿宋" w:eastAsia="仿宋" w:cs="Times New Roman"/>
          <w:bCs w:val="0"/>
        </w:rPr>
        <w:t>五、财政拨款支出决算明细表（政府经济分类科目）</w:t>
      </w:r>
      <w:r>
        <w:tab/>
      </w:r>
      <w:r>
        <w:fldChar w:fldCharType="begin"/>
      </w:r>
      <w:r>
        <w:instrText xml:space="preserve"> PAGEREF _Toc30232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_Toc22671 </w:instrText>
      </w:r>
      <w:r>
        <w:rPr>
          <w:rFonts w:ascii="仿宋" w:hAnsi="仿宋" w:eastAsia="仿宋"/>
        </w:rPr>
        <w:fldChar w:fldCharType="separate"/>
      </w:r>
      <w:r>
        <w:rPr>
          <w:rFonts w:hint="eastAsia" w:ascii="仿宋" w:hAnsi="仿宋" w:eastAsia="仿宋" w:cs="Times New Roman"/>
          <w:bCs w:val="0"/>
        </w:rPr>
        <w:t>六、一般公共预算财政拨款支出决算表</w:t>
      </w:r>
      <w:r>
        <w:tab/>
      </w:r>
      <w:r>
        <w:fldChar w:fldCharType="begin"/>
      </w:r>
      <w:r>
        <w:instrText xml:space="preserve"> PAGEREF _Toc22671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_Toc25540 </w:instrText>
      </w:r>
      <w:r>
        <w:rPr>
          <w:rFonts w:ascii="仿宋" w:hAnsi="仿宋" w:eastAsia="仿宋"/>
        </w:rPr>
        <w:fldChar w:fldCharType="separate"/>
      </w:r>
      <w:r>
        <w:rPr>
          <w:rFonts w:hint="eastAsia" w:ascii="仿宋" w:hAnsi="仿宋" w:eastAsia="仿宋" w:cs="Times New Roman"/>
          <w:bCs w:val="0"/>
        </w:rPr>
        <w:t>七、一般公共预算财政拨款支出决算明细表</w:t>
      </w:r>
      <w:r>
        <w:tab/>
      </w:r>
      <w:r>
        <w:fldChar w:fldCharType="begin"/>
      </w:r>
      <w:r>
        <w:instrText xml:space="preserve"> PAGEREF _Toc25540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_Toc22731 </w:instrText>
      </w:r>
      <w:r>
        <w:rPr>
          <w:rFonts w:ascii="仿宋" w:hAnsi="仿宋" w:eastAsia="仿宋"/>
        </w:rPr>
        <w:fldChar w:fldCharType="separate"/>
      </w:r>
      <w:r>
        <w:rPr>
          <w:rFonts w:hint="eastAsia" w:ascii="仿宋" w:hAnsi="仿宋" w:eastAsia="仿宋" w:cs="Times New Roman"/>
          <w:bCs w:val="0"/>
        </w:rPr>
        <w:t>八、一般公共预算财政拨款基本支出决算表</w:t>
      </w:r>
      <w:r>
        <w:tab/>
      </w:r>
      <w:r>
        <w:fldChar w:fldCharType="begin"/>
      </w:r>
      <w:r>
        <w:instrText xml:space="preserve"> PAGEREF _Toc22731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_Toc27253 </w:instrText>
      </w:r>
      <w:r>
        <w:rPr>
          <w:rFonts w:ascii="仿宋" w:hAnsi="仿宋" w:eastAsia="仿宋"/>
        </w:rPr>
        <w:fldChar w:fldCharType="separate"/>
      </w:r>
      <w:r>
        <w:rPr>
          <w:rFonts w:hint="eastAsia" w:ascii="仿宋" w:hAnsi="仿宋" w:eastAsia="仿宋" w:cs="Times New Roman"/>
          <w:bCs w:val="0"/>
        </w:rPr>
        <w:t>九、一般公共预算财政拨款项目支出决算表</w:t>
      </w:r>
      <w:r>
        <w:tab/>
      </w:r>
      <w:r>
        <w:fldChar w:fldCharType="begin"/>
      </w:r>
      <w:r>
        <w:instrText xml:space="preserve"> PAGEREF _Toc27253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_Toc1320 </w:instrText>
      </w:r>
      <w:r>
        <w:rPr>
          <w:rFonts w:ascii="仿宋" w:hAnsi="仿宋" w:eastAsia="仿宋"/>
        </w:rPr>
        <w:fldChar w:fldCharType="separate"/>
      </w:r>
      <w:r>
        <w:rPr>
          <w:rFonts w:hint="eastAsia" w:ascii="仿宋" w:hAnsi="仿宋" w:eastAsia="仿宋" w:cs="Times New Roman"/>
          <w:bCs w:val="0"/>
        </w:rPr>
        <w:t>十、一般公共预算财政拨款“三公”经费支出决算表</w:t>
      </w:r>
      <w:r>
        <w:tab/>
      </w:r>
      <w:r>
        <w:fldChar w:fldCharType="begin"/>
      </w:r>
      <w:r>
        <w:instrText xml:space="preserve"> PAGEREF _Toc1320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_Toc8235 </w:instrText>
      </w:r>
      <w:r>
        <w:rPr>
          <w:rFonts w:ascii="仿宋" w:hAnsi="仿宋" w:eastAsia="仿宋"/>
        </w:rPr>
        <w:fldChar w:fldCharType="separate"/>
      </w:r>
      <w:r>
        <w:rPr>
          <w:rFonts w:hint="eastAsia" w:ascii="仿宋" w:hAnsi="仿宋" w:eastAsia="仿宋" w:cs="Times New Roman"/>
          <w:bCs w:val="0"/>
        </w:rPr>
        <w:t>十一、政府性基金预算财政拨款收入支出决算表</w:t>
      </w:r>
      <w:r>
        <w:tab/>
      </w:r>
      <w:r>
        <w:fldChar w:fldCharType="begin"/>
      </w:r>
      <w:r>
        <w:instrText xml:space="preserve"> PAGEREF _Toc8235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_Toc16186 </w:instrText>
      </w:r>
      <w:r>
        <w:rPr>
          <w:rFonts w:ascii="仿宋" w:hAnsi="仿宋" w:eastAsia="仿宋"/>
        </w:rPr>
        <w:fldChar w:fldCharType="separate"/>
      </w:r>
      <w:r>
        <w:rPr>
          <w:rFonts w:hint="eastAsia" w:ascii="仿宋" w:hAnsi="仿宋" w:eastAsia="仿宋" w:cs="Times New Roman"/>
          <w:bCs w:val="0"/>
        </w:rPr>
        <w:t>十二、政府性基金预算财政拨款“三公”经费支出决算表</w:t>
      </w:r>
      <w:r>
        <w:tab/>
      </w:r>
      <w:r>
        <w:fldChar w:fldCharType="begin"/>
      </w:r>
      <w:r>
        <w:instrText xml:space="preserve"> PAGEREF _Toc16186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_Toc15737 </w:instrText>
      </w:r>
      <w:r>
        <w:rPr>
          <w:rFonts w:ascii="仿宋" w:hAnsi="仿宋" w:eastAsia="仿宋"/>
        </w:rPr>
        <w:fldChar w:fldCharType="separate"/>
      </w:r>
      <w:r>
        <w:rPr>
          <w:rFonts w:hint="eastAsia" w:ascii="仿宋" w:hAnsi="仿宋" w:eastAsia="仿宋" w:cs="Times New Roman"/>
          <w:bCs w:val="0"/>
        </w:rPr>
        <w:t>十三、国有资本经营预算支出决算表</w:t>
      </w:r>
      <w:r>
        <w:tab/>
      </w:r>
      <w:r>
        <w:fldChar w:fldCharType="begin"/>
      </w:r>
      <w:r>
        <w:instrText xml:space="preserve"> PAGEREF _Toc15737 </w:instrText>
      </w:r>
      <w:r>
        <w:fldChar w:fldCharType="separate"/>
      </w:r>
      <w:r>
        <w:t>20</w:t>
      </w:r>
      <w:r>
        <w:fldChar w:fldCharType="end"/>
      </w:r>
      <w:r>
        <w:rPr>
          <w:rFonts w:ascii="仿宋" w:hAnsi="仿宋" w:eastAsia="仿宋"/>
          <w:color w:val="000000"/>
        </w:rPr>
        <w:fldChar w:fldCharType="end"/>
      </w:r>
    </w:p>
    <w:p>
      <w:pPr>
        <w:pStyle w:val="11"/>
        <w:tabs>
          <w:tab w:val="right" w:leader="dot" w:pos="8306"/>
          <w:tab w:val="clear" w:pos="8296"/>
        </w:tabs>
      </w:pPr>
      <w:r>
        <w:rPr>
          <w:rFonts w:ascii="仿宋" w:hAnsi="仿宋" w:eastAsia="仿宋"/>
          <w:color w:val="000000"/>
        </w:rPr>
        <w:fldChar w:fldCharType="begin"/>
      </w:r>
      <w:r>
        <w:rPr>
          <w:rFonts w:ascii="仿宋" w:hAnsi="仿宋" w:eastAsia="仿宋"/>
        </w:rPr>
        <w:instrText xml:space="preserve"> HYPERLINK \l _Toc28012 </w:instrText>
      </w:r>
      <w:r>
        <w:rPr>
          <w:rFonts w:ascii="仿宋" w:hAnsi="仿宋" w:eastAsia="仿宋"/>
        </w:rPr>
        <w:fldChar w:fldCharType="separate"/>
      </w:r>
      <w:r>
        <w:rPr>
          <w:rFonts w:hint="eastAsia" w:ascii="仿宋" w:hAnsi="仿宋" w:eastAsia="仿宋" w:cs="Times New Roman"/>
          <w:bCs w:val="0"/>
          <w:lang w:val="en-US" w:eastAsia="zh-CN"/>
        </w:rPr>
        <w:t>十四、整体支出绩效评价打分表</w:t>
      </w:r>
      <w:r>
        <w:tab/>
      </w:r>
      <w:r>
        <w:fldChar w:fldCharType="begin"/>
      </w:r>
      <w:r>
        <w:instrText xml:space="preserve"> PAGEREF _Toc28012 </w:instrText>
      </w:r>
      <w:r>
        <w:fldChar w:fldCharType="separate"/>
      </w:r>
      <w:r>
        <w:t>20</w:t>
      </w:r>
      <w:r>
        <w:fldChar w:fldCharType="end"/>
      </w:r>
      <w:r>
        <w:rPr>
          <w:rFonts w:ascii="仿宋" w:hAnsi="仿宋" w:eastAsia="仿宋"/>
          <w:color w:val="000000"/>
        </w:rPr>
        <w:fldChar w:fldCharType="end"/>
      </w:r>
    </w:p>
    <w:p>
      <w:pPr>
        <w:pStyle w:val="11"/>
        <w:rPr>
          <w:rFonts w:ascii="黑体" w:hAnsi="黑体" w:eastAsia="黑体"/>
          <w:bCs/>
          <w:kern w:val="44"/>
          <w:sz w:val="44"/>
          <w:szCs w:val="44"/>
        </w:rPr>
      </w:pPr>
      <w:r>
        <w:rPr>
          <w:rFonts w:ascii="仿宋" w:hAnsi="仿宋" w:eastAsia="仿宋"/>
          <w:color w:val="000000"/>
          <w:sz w:val="24"/>
        </w:rPr>
        <w:fldChar w:fldCharType="end"/>
      </w:r>
      <w:bookmarkStart w:id="14" w:name="_Toc15377196"/>
      <w:r>
        <w:rPr>
          <w:rFonts w:ascii="黑体" w:hAnsi="黑体" w:eastAsia="黑体"/>
          <w:b/>
        </w:rPr>
        <w:br w:type="page"/>
      </w:r>
    </w:p>
    <w:p>
      <w:pPr>
        <w:pStyle w:val="2"/>
        <w:pageBreakBefore w:val="0"/>
        <w:kinsoku/>
        <w:wordWrap/>
        <w:overflowPunct/>
        <w:topLinePunct w:val="0"/>
        <w:autoSpaceDE/>
        <w:autoSpaceDN/>
        <w:bidi w:val="0"/>
        <w:spacing w:before="0" w:after="0" w:line="560" w:lineRule="exact"/>
        <w:jc w:val="center"/>
        <w:textAlignment w:val="auto"/>
        <w:rPr>
          <w:rFonts w:hint="eastAsia" w:ascii="黑体" w:hAnsi="黑体" w:eastAsia="黑体"/>
          <w:b w:val="0"/>
        </w:rPr>
      </w:pPr>
      <w:bookmarkStart w:id="15" w:name="_Toc21227"/>
    </w:p>
    <w:p>
      <w:pPr>
        <w:pStyle w:val="2"/>
        <w:pageBreakBefore w:val="0"/>
        <w:kinsoku/>
        <w:wordWrap/>
        <w:overflowPunct/>
        <w:topLinePunct w:val="0"/>
        <w:autoSpaceDE/>
        <w:autoSpaceDN/>
        <w:bidi w:val="0"/>
        <w:spacing w:before="0" w:after="0" w:line="560" w:lineRule="exact"/>
        <w:jc w:val="center"/>
        <w:textAlignment w:val="auto"/>
        <w:rPr>
          <w:rFonts w:hint="eastAsia" w:ascii="黑体" w:hAnsi="黑体" w:eastAsia="黑体"/>
          <w:b w:val="0"/>
        </w:rPr>
      </w:pPr>
    </w:p>
    <w:p>
      <w:pPr>
        <w:pStyle w:val="2"/>
        <w:pageBreakBefore w:val="0"/>
        <w:kinsoku/>
        <w:wordWrap/>
        <w:overflowPunct/>
        <w:topLinePunct w:val="0"/>
        <w:autoSpaceDE/>
        <w:autoSpaceDN/>
        <w:bidi w:val="0"/>
        <w:spacing w:before="0" w:after="0" w:line="560" w:lineRule="exact"/>
        <w:jc w:val="center"/>
        <w:textAlignment w:val="auto"/>
        <w:rPr>
          <w:rFonts w:hint="eastAsia" w:ascii="黑体" w:hAnsi="黑体" w:eastAsia="黑体"/>
          <w:b w:val="0"/>
        </w:rPr>
      </w:pPr>
    </w:p>
    <w:p>
      <w:pPr>
        <w:pStyle w:val="2"/>
        <w:pageBreakBefore w:val="0"/>
        <w:kinsoku/>
        <w:wordWrap/>
        <w:overflowPunct/>
        <w:topLinePunct w:val="0"/>
        <w:autoSpaceDE/>
        <w:autoSpaceDN/>
        <w:bidi w:val="0"/>
        <w:spacing w:before="0" w:after="0" w:line="560" w:lineRule="exact"/>
        <w:jc w:val="center"/>
        <w:textAlignment w:val="auto"/>
        <w:rPr>
          <w:rFonts w:hint="eastAsia" w:ascii="黑体" w:hAnsi="黑体" w:eastAsia="黑体"/>
          <w:b w:val="0"/>
        </w:rPr>
      </w:pPr>
    </w:p>
    <w:p>
      <w:pPr>
        <w:pStyle w:val="2"/>
        <w:pageBreakBefore w:val="0"/>
        <w:kinsoku/>
        <w:wordWrap/>
        <w:overflowPunct/>
        <w:topLinePunct w:val="0"/>
        <w:autoSpaceDE/>
        <w:autoSpaceDN/>
        <w:bidi w:val="0"/>
        <w:spacing w:before="0" w:after="0" w:line="560" w:lineRule="exact"/>
        <w:jc w:val="center"/>
        <w:textAlignment w:val="auto"/>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4"/>
      <w:bookmarkEnd w:id="15"/>
    </w:p>
    <w:p>
      <w:pPr>
        <w:pageBreakBefore w:val="0"/>
        <w:widowControl/>
        <w:kinsoku/>
        <w:wordWrap/>
        <w:overflowPunct/>
        <w:topLinePunct w:val="0"/>
        <w:autoSpaceDE/>
        <w:autoSpaceDN/>
        <w:bidi w:val="0"/>
        <w:spacing w:line="560" w:lineRule="exact"/>
        <w:ind w:firstLine="640" w:firstLineChars="200"/>
        <w:jc w:val="left"/>
        <w:textAlignment w:val="auto"/>
        <w:rPr>
          <w:rFonts w:ascii="黑体" w:eastAsia="黑体"/>
          <w:color w:val="000000"/>
          <w:sz w:val="32"/>
          <w:szCs w:val="32"/>
        </w:rPr>
      </w:pPr>
    </w:p>
    <w:p>
      <w:pPr>
        <w:pStyle w:val="3"/>
        <w:pageBreakBefore w:val="0"/>
        <w:kinsoku/>
        <w:wordWrap/>
        <w:overflowPunct/>
        <w:topLinePunct w:val="0"/>
        <w:autoSpaceDE/>
        <w:autoSpaceDN/>
        <w:bidi w:val="0"/>
        <w:spacing w:before="0" w:after="0" w:line="560" w:lineRule="exact"/>
        <w:ind w:firstLine="640" w:firstLineChars="200"/>
        <w:textAlignment w:val="auto"/>
        <w:rPr>
          <w:rStyle w:val="27"/>
          <w:rFonts w:ascii="仿宋" w:hAnsi="仿宋" w:eastAsia="仿宋"/>
          <w:b w:val="0"/>
          <w:bCs w:val="0"/>
        </w:rPr>
      </w:pPr>
      <w:bookmarkStart w:id="16" w:name="_Toc15377197"/>
      <w:bookmarkStart w:id="17" w:name="_Toc20433"/>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6"/>
      <w:bookmarkEnd w:id="17"/>
    </w:p>
    <w:p>
      <w:pPr>
        <w:pStyle w:val="5"/>
        <w:pageBreakBefore w:val="0"/>
        <w:kinsoku/>
        <w:wordWrap/>
        <w:overflowPunct/>
        <w:topLinePunct w:val="0"/>
        <w:autoSpaceDE/>
        <w:autoSpaceDN/>
        <w:bidi w:val="0"/>
        <w:adjustRightInd w:val="0"/>
        <w:snapToGrid w:val="0"/>
        <w:spacing w:beforeLines="0" w:line="560" w:lineRule="exact"/>
        <w:ind w:firstLine="640" w:firstLineChars="200"/>
        <w:textAlignment w:val="auto"/>
        <w:outlineLvl w:val="2"/>
        <w:rPr>
          <w:rFonts w:hint="eastAsia" w:ascii="仿宋" w:hAnsi="仿宋" w:eastAsia="仿宋"/>
          <w:bCs/>
          <w:color w:val="000000"/>
          <w:sz w:val="32"/>
          <w:szCs w:val="32"/>
        </w:rPr>
      </w:pPr>
      <w:bookmarkStart w:id="18" w:name="_Toc15377198"/>
      <w:bookmarkStart w:id="19" w:name="_Toc15378445"/>
      <w:r>
        <w:rPr>
          <w:rFonts w:hint="eastAsia" w:ascii="仿宋" w:hAnsi="仿宋" w:eastAsia="仿宋"/>
          <w:bCs/>
          <w:color w:val="000000"/>
          <w:sz w:val="32"/>
          <w:szCs w:val="32"/>
        </w:rPr>
        <w:t>（一）主要职能</w:t>
      </w:r>
      <w:bookmarkEnd w:id="18"/>
      <w:bookmarkEnd w:id="19"/>
    </w:p>
    <w:p>
      <w:pPr>
        <w:pStyle w:val="5"/>
        <w:keepNext w:val="0"/>
        <w:keepLines w:val="0"/>
        <w:pageBreakBefore w:val="0"/>
        <w:numPr>
          <w:ilvl w:val="0"/>
          <w:numId w:val="0"/>
        </w:numPr>
        <w:kinsoku/>
        <w:wordWrap/>
        <w:overflowPunct/>
        <w:topLinePunct w:val="0"/>
        <w:autoSpaceDE/>
        <w:autoSpaceDN/>
        <w:bidi w:val="0"/>
        <w:adjustRightInd w:val="0"/>
        <w:snapToGrid w:val="0"/>
        <w:spacing w:beforeLines="0" w:line="560" w:lineRule="exact"/>
        <w:ind w:right="0" w:rightChars="0" w:firstLine="640" w:firstLineChars="200"/>
        <w:textAlignment w:val="auto"/>
        <w:outlineLvl w:val="9"/>
        <w:rPr>
          <w:rFonts w:hint="eastAsia"/>
          <w:bCs/>
          <w:color w:val="000000"/>
          <w:sz w:val="32"/>
          <w:szCs w:val="32"/>
        </w:rPr>
      </w:pPr>
      <w:r>
        <w:rPr>
          <w:rFonts w:hint="eastAsia"/>
          <w:bCs/>
          <w:color w:val="000000"/>
          <w:sz w:val="32"/>
          <w:szCs w:val="32"/>
          <w:lang w:eastAsia="zh-CN"/>
        </w:rPr>
        <w:t>学前义务教育的实施，促进基础教育发展，培养学生高尚的思想道德情操，丰富的科学文化知识，良好的身体素质，促进学生全面发展，业务范围是从事学前教育</w:t>
      </w:r>
      <w:r>
        <w:rPr>
          <w:rFonts w:hint="eastAsia"/>
          <w:bCs/>
          <w:color w:val="000000"/>
          <w:sz w:val="32"/>
          <w:szCs w:val="32"/>
        </w:rPr>
        <w:t>。</w:t>
      </w:r>
    </w:p>
    <w:p>
      <w:pPr>
        <w:pStyle w:val="5"/>
        <w:pageBreakBefore w:val="0"/>
        <w:kinsoku/>
        <w:wordWrap/>
        <w:overflowPunct/>
        <w:topLinePunct w:val="0"/>
        <w:autoSpaceDE/>
        <w:autoSpaceDN/>
        <w:bidi w:val="0"/>
        <w:adjustRightInd w:val="0"/>
        <w:snapToGrid w:val="0"/>
        <w:spacing w:beforeLines="0" w:line="560" w:lineRule="exact"/>
        <w:ind w:firstLine="640" w:firstLineChars="200"/>
        <w:textAlignment w:val="auto"/>
        <w:outlineLvl w:val="2"/>
        <w:rPr>
          <w:rFonts w:hint="eastAsia" w:ascii="仿宋" w:hAnsi="仿宋" w:eastAsia="仿宋"/>
          <w:bCs/>
          <w:color w:val="000000"/>
          <w:sz w:val="32"/>
          <w:szCs w:val="32"/>
        </w:rPr>
      </w:pPr>
      <w:bookmarkStart w:id="20" w:name="_Toc15378446"/>
      <w:bookmarkStart w:id="21" w:name="_Toc15377199"/>
      <w:r>
        <w:rPr>
          <w:rFonts w:hint="eastAsia" w:ascii="仿宋" w:hAnsi="仿宋" w:eastAsia="仿宋"/>
          <w:bCs/>
          <w:color w:val="000000"/>
          <w:sz w:val="32"/>
          <w:szCs w:val="32"/>
        </w:rPr>
        <w:t>（二）</w:t>
      </w:r>
      <w:r>
        <w:rPr>
          <w:rFonts w:hint="eastAsia" w:ascii="仿宋" w:hAnsi="仿宋" w:eastAsia="仿宋"/>
          <w:bCs/>
          <w:color w:val="000000"/>
          <w:sz w:val="32"/>
          <w:szCs w:val="32"/>
          <w:lang w:eastAsia="zh-CN"/>
        </w:rPr>
        <w:t>20</w:t>
      </w:r>
      <w:r>
        <w:rPr>
          <w:rFonts w:hint="eastAsia" w:ascii="仿宋" w:hAnsi="仿宋" w:eastAsia="仿宋"/>
          <w:bCs/>
          <w:color w:val="000000"/>
          <w:sz w:val="32"/>
          <w:szCs w:val="32"/>
          <w:lang w:val="en-US" w:eastAsia="zh-CN"/>
        </w:rPr>
        <w:t>22</w:t>
      </w:r>
      <w:r>
        <w:rPr>
          <w:rFonts w:hint="eastAsia" w:ascii="仿宋" w:hAnsi="仿宋" w:eastAsia="仿宋"/>
          <w:bCs/>
          <w:color w:val="000000"/>
          <w:sz w:val="32"/>
          <w:szCs w:val="32"/>
        </w:rPr>
        <w:t>年重点工作完成情况</w:t>
      </w:r>
      <w:bookmarkEnd w:id="20"/>
      <w:bookmarkEnd w:id="21"/>
    </w:p>
    <w:p>
      <w:pPr>
        <w:pStyle w:val="5"/>
        <w:keepNext w:val="0"/>
        <w:keepLines w:val="0"/>
        <w:pageBreakBefore w:val="0"/>
        <w:kinsoku/>
        <w:wordWrap/>
        <w:overflowPunct/>
        <w:topLinePunct w:val="0"/>
        <w:autoSpaceDE/>
        <w:autoSpaceDN/>
        <w:bidi w:val="0"/>
        <w:adjustRightInd w:val="0"/>
        <w:snapToGrid w:val="0"/>
        <w:spacing w:beforeLines="0" w:line="560" w:lineRule="exact"/>
        <w:ind w:left="0" w:leftChars="0" w:right="0" w:rightChars="0" w:firstLine="640" w:firstLineChars="200"/>
        <w:textAlignment w:val="auto"/>
        <w:outlineLvl w:val="9"/>
        <w:rPr>
          <w:rFonts w:hint="default" w:ascii="仿宋" w:hAnsi="仿宋" w:eastAsia="仿宋"/>
          <w:bCs/>
          <w:color w:val="000000"/>
          <w:sz w:val="32"/>
          <w:szCs w:val="32"/>
          <w:lang w:val="en-US" w:eastAsia="zh-CN"/>
        </w:rPr>
      </w:pPr>
      <w:r>
        <w:rPr>
          <w:rFonts w:hint="eastAsia"/>
          <w:bCs/>
          <w:color w:val="000000"/>
          <w:sz w:val="32"/>
          <w:szCs w:val="32"/>
        </w:rPr>
        <w:t>我</w:t>
      </w:r>
      <w:r>
        <w:rPr>
          <w:rFonts w:hint="eastAsia"/>
          <w:bCs/>
          <w:color w:val="000000"/>
          <w:sz w:val="32"/>
          <w:szCs w:val="32"/>
          <w:lang w:eastAsia="zh-CN"/>
        </w:rPr>
        <w:t>园</w:t>
      </w:r>
      <w:r>
        <w:rPr>
          <w:rFonts w:hint="eastAsia"/>
          <w:bCs/>
          <w:color w:val="000000"/>
          <w:sz w:val="32"/>
          <w:szCs w:val="32"/>
        </w:rPr>
        <w:t>今年根据财政资金的安排情况，加强了资金的管理，</w:t>
      </w:r>
      <w:r>
        <w:rPr>
          <w:rFonts w:hint="eastAsia"/>
          <w:bCs/>
          <w:color w:val="000000"/>
          <w:sz w:val="32"/>
          <w:szCs w:val="32"/>
          <w:lang w:eastAsia="zh-CN"/>
        </w:rPr>
        <w:t>合理用于教育事业，</w:t>
      </w:r>
      <w:r>
        <w:rPr>
          <w:rFonts w:hint="eastAsia"/>
          <w:bCs/>
          <w:color w:val="000000"/>
          <w:sz w:val="32"/>
          <w:szCs w:val="32"/>
        </w:rPr>
        <w:t>对我</w:t>
      </w:r>
      <w:r>
        <w:rPr>
          <w:rFonts w:hint="eastAsia"/>
          <w:bCs/>
          <w:color w:val="000000"/>
          <w:sz w:val="32"/>
          <w:szCs w:val="32"/>
          <w:lang w:eastAsia="zh-CN"/>
        </w:rPr>
        <w:t>园贫困学生实行帮扶</w:t>
      </w:r>
      <w:r>
        <w:rPr>
          <w:rFonts w:hint="eastAsia"/>
          <w:bCs/>
          <w:color w:val="000000"/>
          <w:sz w:val="32"/>
          <w:szCs w:val="32"/>
        </w:rPr>
        <w:t>。资金</w:t>
      </w:r>
      <w:r>
        <w:rPr>
          <w:rFonts w:hint="eastAsia"/>
          <w:bCs/>
          <w:color w:val="000000"/>
          <w:sz w:val="32"/>
          <w:szCs w:val="32"/>
          <w:lang w:eastAsia="zh-CN"/>
        </w:rPr>
        <w:t>合理合法</w:t>
      </w:r>
      <w:r>
        <w:rPr>
          <w:rFonts w:hint="eastAsia"/>
          <w:bCs/>
          <w:color w:val="000000"/>
          <w:sz w:val="32"/>
          <w:szCs w:val="32"/>
        </w:rPr>
        <w:t>使用</w:t>
      </w:r>
      <w:r>
        <w:rPr>
          <w:rFonts w:hint="eastAsia"/>
          <w:bCs/>
          <w:color w:val="000000"/>
          <w:sz w:val="32"/>
          <w:szCs w:val="32"/>
          <w:lang w:eastAsia="zh-CN"/>
        </w:rPr>
        <w:t>。</w:t>
      </w:r>
    </w:p>
    <w:p>
      <w:pPr>
        <w:pStyle w:val="3"/>
        <w:pageBreakBefore w:val="0"/>
        <w:kinsoku/>
        <w:wordWrap/>
        <w:overflowPunct/>
        <w:topLinePunct w:val="0"/>
        <w:autoSpaceDE/>
        <w:autoSpaceDN/>
        <w:bidi w:val="0"/>
        <w:spacing w:before="0" w:after="0" w:line="560" w:lineRule="exact"/>
        <w:ind w:firstLine="640" w:firstLineChars="200"/>
        <w:textAlignment w:val="auto"/>
        <w:rPr>
          <w:rStyle w:val="27"/>
          <w:b w:val="0"/>
          <w:bCs w:val="0"/>
        </w:rPr>
      </w:pPr>
      <w:bookmarkStart w:id="22" w:name="_Toc21612"/>
      <w:bookmarkStart w:id="23" w:name="_Toc15377200"/>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2"/>
      <w:bookmarkEnd w:id="23"/>
    </w:p>
    <w:p>
      <w:pPr>
        <w:pStyle w:val="5"/>
        <w:keepNext w:val="0"/>
        <w:keepLines w:val="0"/>
        <w:pageBreakBefore w:val="0"/>
        <w:kinsoku/>
        <w:wordWrap/>
        <w:overflowPunct/>
        <w:topLinePunct w:val="0"/>
        <w:autoSpaceDE/>
        <w:autoSpaceDN/>
        <w:bidi w:val="0"/>
        <w:adjustRightInd w:val="0"/>
        <w:snapToGrid w:val="0"/>
        <w:spacing w:beforeLines="0" w:line="560" w:lineRule="exact"/>
        <w:ind w:left="0" w:leftChars="0" w:right="0" w:rightChars="0" w:firstLine="640" w:firstLineChars="200"/>
        <w:textAlignment w:val="auto"/>
        <w:outlineLvl w:val="9"/>
        <w:rPr>
          <w:rFonts w:hint="default"/>
          <w:bCs/>
          <w:color w:val="000000"/>
          <w:sz w:val="32"/>
          <w:szCs w:val="32"/>
          <w:lang w:val="en-US" w:eastAsia="zh-CN"/>
        </w:rPr>
      </w:pPr>
      <w:r>
        <w:rPr>
          <w:rFonts w:hint="eastAsia"/>
          <w:bCs/>
          <w:color w:val="000000"/>
          <w:sz w:val="32"/>
          <w:szCs w:val="32"/>
          <w:lang w:eastAsia="zh-CN"/>
        </w:rPr>
        <w:t>我园属于红原县教育局下属的二级预算单位，执行的是中小学事业单位会计制度，我单位为独立核算财政全额拨款事业单位，红原县邛溪镇双语幼儿园共有编制</w:t>
      </w:r>
      <w:r>
        <w:rPr>
          <w:rFonts w:hint="eastAsia"/>
          <w:bCs/>
          <w:color w:val="000000"/>
          <w:sz w:val="32"/>
          <w:szCs w:val="32"/>
          <w:lang w:val="en-US" w:eastAsia="zh-CN"/>
        </w:rPr>
        <w:t>22</w:t>
      </w:r>
      <w:r>
        <w:rPr>
          <w:rFonts w:hint="eastAsia"/>
          <w:bCs/>
          <w:color w:val="000000"/>
          <w:sz w:val="32"/>
          <w:szCs w:val="32"/>
          <w:lang w:eastAsia="zh-CN"/>
        </w:rPr>
        <w:t>人，截止20</w:t>
      </w:r>
      <w:r>
        <w:rPr>
          <w:rFonts w:hint="eastAsia"/>
          <w:bCs/>
          <w:color w:val="000000"/>
          <w:sz w:val="32"/>
          <w:szCs w:val="32"/>
          <w:lang w:val="en-US" w:eastAsia="zh-CN"/>
        </w:rPr>
        <w:t>22</w:t>
      </w:r>
      <w:r>
        <w:rPr>
          <w:rFonts w:hint="eastAsia"/>
          <w:bCs/>
          <w:color w:val="000000"/>
          <w:sz w:val="32"/>
          <w:szCs w:val="32"/>
          <w:lang w:eastAsia="zh-CN"/>
        </w:rPr>
        <w:t>年底在职职工</w:t>
      </w:r>
      <w:r>
        <w:rPr>
          <w:rFonts w:hint="eastAsia"/>
          <w:bCs/>
          <w:color w:val="000000"/>
          <w:sz w:val="32"/>
          <w:szCs w:val="32"/>
          <w:lang w:val="en-US" w:eastAsia="zh-CN"/>
        </w:rPr>
        <w:t>16</w:t>
      </w:r>
      <w:r>
        <w:rPr>
          <w:rFonts w:hint="eastAsia"/>
          <w:bCs/>
          <w:color w:val="000000"/>
          <w:sz w:val="32"/>
          <w:szCs w:val="32"/>
          <w:lang w:eastAsia="zh-CN"/>
        </w:rPr>
        <w:t>人，上年度在职</w:t>
      </w:r>
      <w:r>
        <w:rPr>
          <w:rFonts w:hint="eastAsia"/>
          <w:bCs/>
          <w:color w:val="000000"/>
          <w:sz w:val="32"/>
          <w:szCs w:val="32"/>
          <w:lang w:val="en-US" w:eastAsia="zh-CN"/>
        </w:rPr>
        <w:t>19</w:t>
      </w:r>
      <w:r>
        <w:rPr>
          <w:rFonts w:hint="eastAsia"/>
          <w:bCs/>
          <w:color w:val="000000"/>
          <w:sz w:val="32"/>
          <w:szCs w:val="32"/>
          <w:lang w:eastAsia="zh-CN"/>
        </w:rPr>
        <w:t>人。本单位与上年度比在职人员减少了</w:t>
      </w:r>
      <w:r>
        <w:rPr>
          <w:rFonts w:hint="eastAsia"/>
          <w:bCs/>
          <w:color w:val="000000"/>
          <w:sz w:val="32"/>
          <w:szCs w:val="32"/>
          <w:lang w:val="en-US" w:eastAsia="zh-CN"/>
        </w:rPr>
        <w:t>3人，2人调出，1人退休。</w:t>
      </w:r>
    </w:p>
    <w:p>
      <w:pPr>
        <w:pStyle w:val="5"/>
        <w:keepNext w:val="0"/>
        <w:keepLines w:val="0"/>
        <w:pageBreakBefore w:val="0"/>
        <w:kinsoku/>
        <w:wordWrap/>
        <w:overflowPunct/>
        <w:topLinePunct w:val="0"/>
        <w:bidi w:val="0"/>
        <w:adjustRightInd w:val="0"/>
        <w:snapToGrid w:val="0"/>
        <w:spacing w:line="560" w:lineRule="exact"/>
        <w:ind w:left="0" w:leftChars="0" w:right="0" w:rightChars="0" w:firstLine="672" w:firstLineChars="210"/>
        <w:textAlignment w:val="auto"/>
        <w:outlineLvl w:val="9"/>
        <w:rPr>
          <w:rFonts w:hint="eastAsia"/>
          <w:bCs/>
          <w:color w:val="000000"/>
          <w:sz w:val="32"/>
          <w:szCs w:val="32"/>
          <w:lang w:eastAsia="zh-CN"/>
        </w:rPr>
      </w:pPr>
    </w:p>
    <w:p>
      <w:pPr>
        <w:rPr>
          <w:rFonts w:hint="eastAsia" w:ascii="黑体" w:hAnsi="黑体" w:eastAsia="黑体"/>
          <w:b w:val="0"/>
          <w:color w:val="000000"/>
        </w:rPr>
      </w:pPr>
      <w:bookmarkStart w:id="24" w:name="_Toc1194"/>
      <w:bookmarkStart w:id="25" w:name="_Toc15377204"/>
      <w:r>
        <w:rPr>
          <w:rFonts w:hint="eastAsia" w:ascii="黑体" w:hAnsi="黑体" w:eastAsia="黑体"/>
          <w:b w:val="0"/>
          <w:color w:val="000000"/>
        </w:rPr>
        <w:br w:type="page"/>
      </w:r>
    </w:p>
    <w:p>
      <w:pPr>
        <w:pStyle w:val="2"/>
        <w:pageBreakBefore w:val="0"/>
        <w:widowControl w:val="0"/>
        <w:kinsoku/>
        <w:wordWrap/>
        <w:overflowPunct/>
        <w:topLinePunct w:val="0"/>
        <w:autoSpaceDE/>
        <w:autoSpaceDN/>
        <w:bidi w:val="0"/>
        <w:adjustRightInd/>
        <w:snapToGrid/>
        <w:spacing w:before="0" w:after="0" w:line="560" w:lineRule="exact"/>
        <w:ind w:right="0"/>
        <w:jc w:val="center"/>
        <w:textAlignment w:val="auto"/>
        <w:rPr>
          <w:rStyle w:val="26"/>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lang w:eastAsia="zh-CN"/>
        </w:rPr>
        <w:t>20</w:t>
      </w:r>
      <w:r>
        <w:rPr>
          <w:rStyle w:val="26"/>
          <w:rFonts w:hint="eastAsia" w:ascii="黑体" w:hAnsi="黑体" w:eastAsia="黑体"/>
          <w:b w:val="0"/>
          <w:bCs w:val="0"/>
          <w:lang w:val="en-US" w:eastAsia="zh-CN"/>
        </w:rPr>
        <w:t>22</w:t>
      </w:r>
      <w:r>
        <w:rPr>
          <w:rStyle w:val="26"/>
          <w:rFonts w:hint="eastAsia" w:ascii="黑体" w:hAnsi="黑体" w:eastAsia="黑体"/>
          <w:b w:val="0"/>
          <w:bCs w:val="0"/>
        </w:rPr>
        <w:t>年度部门决算情况说明</w:t>
      </w:r>
      <w:bookmarkEnd w:id="24"/>
      <w:bookmarkEnd w:id="25"/>
    </w:p>
    <w:p>
      <w:pPr>
        <w:pageBreakBefore w:val="0"/>
        <w:widowControl w:val="0"/>
        <w:kinsoku/>
        <w:wordWrap/>
        <w:overflowPunct/>
        <w:topLinePunct w:val="0"/>
        <w:autoSpaceDE/>
        <w:autoSpaceDN/>
        <w:bidi w:val="0"/>
        <w:adjustRightInd/>
        <w:snapToGrid/>
        <w:spacing w:line="560" w:lineRule="exact"/>
        <w:ind w:left="0" w:right="0" w:firstLine="420" w:firstLineChars="200"/>
        <w:textAlignment w:val="auto"/>
      </w:pPr>
    </w:p>
    <w:p>
      <w:pPr>
        <w:pStyle w:val="25"/>
        <w:pageBreakBefore w:val="0"/>
        <w:widowControl w:val="0"/>
        <w:numPr>
          <w:ilvl w:val="0"/>
          <w:numId w:val="1"/>
        </w:numPr>
        <w:kinsoku/>
        <w:wordWrap/>
        <w:overflowPunct/>
        <w:topLinePunct w:val="0"/>
        <w:autoSpaceDE/>
        <w:autoSpaceDN/>
        <w:bidi w:val="0"/>
        <w:adjustRightInd/>
        <w:snapToGrid/>
        <w:spacing w:line="560" w:lineRule="exact"/>
        <w:ind w:left="410" w:leftChars="0" w:right="0" w:firstLine="640" w:firstLineChars="0"/>
        <w:textAlignment w:val="auto"/>
        <w:outlineLvl w:val="1"/>
        <w:rPr>
          <w:rStyle w:val="27"/>
          <w:rFonts w:ascii="黑体" w:hAnsi="黑体" w:eastAsia="黑体"/>
          <w:b w:val="0"/>
        </w:rPr>
      </w:pPr>
      <w:bookmarkStart w:id="26" w:name="_Toc27124"/>
      <w:bookmarkStart w:id="27" w:name="_Toc15377205"/>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6"/>
      <w:bookmarkEnd w:id="27"/>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Times New Roman" w:eastAsia="仿宋_GB2312" w:cs="Times New Roman"/>
          <w:bCs/>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bCs/>
          <w:color w:val="000000"/>
          <w:kern w:val="0"/>
          <w:sz w:val="32"/>
          <w:szCs w:val="32"/>
          <w:lang w:val="en-US" w:eastAsia="zh-CN" w:bidi="ar-SA"/>
        </w:rPr>
        <w:t>2022</w:t>
      </w:r>
      <w:r>
        <w:rPr>
          <w:rFonts w:hint="eastAsia" w:ascii="仿宋_GB2312" w:hAnsi="Times New Roman" w:eastAsia="仿宋_GB2312" w:cs="Times New Roman"/>
          <w:bCs/>
          <w:color w:val="000000"/>
          <w:kern w:val="0"/>
          <w:sz w:val="32"/>
          <w:szCs w:val="32"/>
          <w:lang w:val="en-US" w:eastAsia="zh-CN" w:bidi="ar-SA"/>
        </w:rPr>
        <w:t>年度收入总计：</w:t>
      </w:r>
      <w:r>
        <w:rPr>
          <w:rFonts w:hint="eastAsia" w:ascii="仿宋_GB2312" w:eastAsia="仿宋_GB2312" w:cs="Times New Roman"/>
          <w:bCs/>
          <w:color w:val="000000"/>
          <w:kern w:val="0"/>
          <w:sz w:val="32"/>
          <w:szCs w:val="32"/>
          <w:lang w:val="en-US" w:eastAsia="zh-CN" w:bidi="ar-SA"/>
        </w:rPr>
        <w:t>484.64</w:t>
      </w:r>
      <w:r>
        <w:rPr>
          <w:rFonts w:hint="eastAsia" w:ascii="仿宋_GB2312" w:hAnsi="Times New Roman" w:eastAsia="仿宋_GB2312" w:cs="Times New Roman"/>
          <w:bCs/>
          <w:color w:val="000000"/>
          <w:kern w:val="0"/>
          <w:sz w:val="32"/>
          <w:szCs w:val="32"/>
          <w:lang w:val="en-US" w:eastAsia="zh-CN" w:bidi="ar-SA"/>
        </w:rPr>
        <w:t>万元。与20</w:t>
      </w:r>
      <w:r>
        <w:rPr>
          <w:rFonts w:hint="eastAsia" w:ascii="仿宋_GB2312" w:eastAsia="仿宋_GB2312" w:cs="Times New Roman"/>
          <w:bCs/>
          <w:color w:val="000000"/>
          <w:kern w:val="0"/>
          <w:sz w:val="32"/>
          <w:szCs w:val="32"/>
          <w:lang w:val="en-US" w:eastAsia="zh-CN" w:bidi="ar-SA"/>
        </w:rPr>
        <w:t>21</w:t>
      </w:r>
      <w:r>
        <w:rPr>
          <w:rFonts w:hint="eastAsia" w:ascii="仿宋_GB2312" w:hAnsi="Times New Roman" w:eastAsia="仿宋_GB2312" w:cs="Times New Roman"/>
          <w:bCs/>
          <w:color w:val="000000"/>
          <w:kern w:val="0"/>
          <w:sz w:val="32"/>
          <w:szCs w:val="32"/>
          <w:lang w:val="en-US" w:eastAsia="zh-CN" w:bidi="ar-SA"/>
        </w:rPr>
        <w:t>年相比，收入总计</w:t>
      </w:r>
      <w:r>
        <w:rPr>
          <w:rFonts w:hint="eastAsia" w:ascii="仿宋_GB2312" w:eastAsia="仿宋_GB2312" w:cs="Times New Roman"/>
          <w:bCs/>
          <w:color w:val="000000"/>
          <w:kern w:val="0"/>
          <w:sz w:val="32"/>
          <w:szCs w:val="32"/>
          <w:lang w:val="en-US" w:eastAsia="zh-CN" w:bidi="ar-SA"/>
        </w:rPr>
        <w:t>减少了17.58</w:t>
      </w:r>
      <w:r>
        <w:rPr>
          <w:rFonts w:hint="eastAsia" w:ascii="仿宋_GB2312" w:hAnsi="Times New Roman" w:eastAsia="仿宋_GB2312" w:cs="Times New Roman"/>
          <w:bCs/>
          <w:color w:val="000000"/>
          <w:kern w:val="0"/>
          <w:sz w:val="32"/>
          <w:szCs w:val="32"/>
          <w:lang w:val="en-US" w:eastAsia="zh-CN" w:bidi="ar-SA"/>
        </w:rPr>
        <w:t>万元，</w:t>
      </w:r>
      <w:r>
        <w:rPr>
          <w:rFonts w:hint="eastAsia" w:ascii="仿宋_GB2312" w:eastAsia="仿宋_GB2312" w:cs="Times New Roman"/>
          <w:bCs/>
          <w:color w:val="000000"/>
          <w:kern w:val="0"/>
          <w:sz w:val="32"/>
          <w:szCs w:val="32"/>
          <w:lang w:val="en-US" w:eastAsia="zh-CN" w:bidi="ar-SA"/>
        </w:rPr>
        <w:t>减少了</w:t>
      </w:r>
      <w:r>
        <w:rPr>
          <w:rFonts w:hint="eastAsia" w:ascii="仿宋_GB2312" w:eastAsia="仿宋_GB2312" w:cs="Times New Roman"/>
          <w:bCs/>
          <w:color w:val="auto"/>
          <w:kern w:val="0"/>
          <w:sz w:val="32"/>
          <w:szCs w:val="32"/>
          <w:lang w:val="en-US" w:eastAsia="zh-CN" w:bidi="ar-SA"/>
        </w:rPr>
        <w:t>3.5</w:t>
      </w:r>
      <w:r>
        <w:rPr>
          <w:rFonts w:hint="eastAsia" w:ascii="仿宋_GB2312" w:hAnsi="Times New Roman" w:eastAsia="仿宋_GB2312" w:cs="Times New Roman"/>
          <w:bCs/>
          <w:color w:val="000000"/>
          <w:kern w:val="0"/>
          <w:sz w:val="32"/>
          <w:szCs w:val="32"/>
          <w:lang w:val="en-US" w:eastAsia="zh-CN" w:bidi="ar-SA"/>
        </w:rPr>
        <w:t xml:space="preserve">%。 </w:t>
      </w:r>
      <w:r>
        <w:rPr>
          <w:rFonts w:hint="eastAsia" w:ascii="仿宋_GB2312" w:hAnsi="Times New Roman" w:eastAsia="仿宋_GB2312" w:cs="Times New Roman"/>
          <w:bCs/>
          <w:color w:val="000000" w:themeColor="text1"/>
          <w:kern w:val="0"/>
          <w:sz w:val="32"/>
          <w:szCs w:val="32"/>
          <w:lang w:val="en-US" w:eastAsia="zh-CN" w:bidi="ar-SA"/>
          <w14:textFill>
            <w14:solidFill>
              <w14:schemeClr w14:val="tx1"/>
            </w14:solidFill>
          </w14:textFill>
        </w:rPr>
        <w:t>主要变动原因是</w:t>
      </w:r>
      <w:r>
        <w:rPr>
          <w:rFonts w:hint="eastAsia" w:ascii="仿宋_GB2312" w:eastAsia="仿宋_GB2312" w:cs="Times New Roman"/>
          <w:bCs/>
          <w:color w:val="000000" w:themeColor="text1"/>
          <w:kern w:val="0"/>
          <w:sz w:val="32"/>
          <w:szCs w:val="32"/>
          <w:lang w:val="en-US" w:eastAsia="zh-CN" w:bidi="ar-SA"/>
          <w14:textFill>
            <w14:solidFill>
              <w14:schemeClr w14:val="tx1"/>
            </w14:solidFill>
          </w14:textFill>
        </w:rPr>
        <w:t>2021</w:t>
      </w:r>
      <w:r>
        <w:rPr>
          <w:rFonts w:hint="eastAsia" w:ascii="仿宋_GB2312" w:hAnsi="Times New Roman" w:eastAsia="仿宋_GB2312" w:cs="Times New Roman"/>
          <w:bCs/>
          <w:color w:val="000000" w:themeColor="text1"/>
          <w:kern w:val="0"/>
          <w:sz w:val="32"/>
          <w:szCs w:val="32"/>
          <w:lang w:val="en-US" w:eastAsia="zh-CN" w:bidi="ar-SA"/>
          <w14:textFill>
            <w14:solidFill>
              <w14:schemeClr w14:val="tx1"/>
            </w14:solidFill>
          </w14:textFill>
        </w:rPr>
        <w:t>年</w:t>
      </w:r>
      <w:r>
        <w:rPr>
          <w:rFonts w:hint="eastAsia" w:ascii="仿宋_GB2312" w:eastAsia="仿宋_GB2312" w:cs="Times New Roman"/>
          <w:bCs/>
          <w:color w:val="000000" w:themeColor="text1"/>
          <w:kern w:val="0"/>
          <w:sz w:val="32"/>
          <w:szCs w:val="32"/>
          <w:lang w:val="en-US" w:eastAsia="zh-CN" w:bidi="ar-SA"/>
          <w14:textFill>
            <w14:solidFill>
              <w14:schemeClr w14:val="tx1"/>
            </w14:solidFill>
          </w14:textFill>
        </w:rPr>
        <w:t>项目支出减少</w:t>
      </w:r>
      <w:r>
        <w:rPr>
          <w:rFonts w:hint="eastAsia" w:ascii="仿宋_GB2312" w:hAnsi="Times New Roman" w:eastAsia="仿宋_GB2312" w:cs="Times New Roman"/>
          <w:bCs/>
          <w:color w:val="000000" w:themeColor="text1"/>
          <w:kern w:val="0"/>
          <w:sz w:val="32"/>
          <w:szCs w:val="32"/>
          <w:lang w:val="en-US" w:eastAsia="zh-CN" w:bidi="ar-SA"/>
          <w14:textFill>
            <w14:solidFill>
              <w14:schemeClr w14:val="tx1"/>
            </w14:solidFill>
          </w14:textFill>
        </w:rPr>
        <w:t>。收入支出相应</w:t>
      </w:r>
      <w:r>
        <w:rPr>
          <w:rFonts w:hint="eastAsia" w:ascii="仿宋_GB2312" w:eastAsia="仿宋_GB2312" w:cs="Times New Roman"/>
          <w:bCs/>
          <w:color w:val="000000" w:themeColor="text1"/>
          <w:kern w:val="0"/>
          <w:sz w:val="32"/>
          <w:szCs w:val="32"/>
          <w:lang w:val="en-US" w:eastAsia="zh-CN" w:bidi="ar-SA"/>
          <w14:textFill>
            <w14:solidFill>
              <w14:schemeClr w14:val="tx1"/>
            </w14:solidFill>
          </w14:textFill>
        </w:rPr>
        <w:t>减少</w:t>
      </w:r>
      <w:r>
        <w:rPr>
          <w:rFonts w:hint="eastAsia" w:ascii="仿宋_GB2312" w:hAnsi="Times New Roman" w:eastAsia="仿宋_GB2312" w:cs="Times New Roman"/>
          <w:bCs/>
          <w:color w:val="000000" w:themeColor="text1"/>
          <w:kern w:val="0"/>
          <w:sz w:val="32"/>
          <w:szCs w:val="32"/>
          <w:lang w:val="en-US" w:eastAsia="zh-CN" w:bidi="ar-SA"/>
          <w14:textFill>
            <w14:solidFill>
              <w14:schemeClr w14:val="tx1"/>
            </w14:solidFill>
          </w14:textFill>
        </w:rPr>
        <w:t>。</w:t>
      </w:r>
    </w:p>
    <w:p>
      <w:pPr>
        <w:spacing w:line="600" w:lineRule="exact"/>
        <w:rPr>
          <w:rFonts w:hint="eastAsia" w:ascii="仿宋_GB2312" w:eastAsia="仿宋_GB2312" w:cs="Times New Roman"/>
          <w:bCs/>
          <w:color w:val="000000" w:themeColor="text1"/>
          <w:kern w:val="0"/>
          <w:sz w:val="32"/>
          <w:szCs w:val="32"/>
          <w:lang w:val="en-US" w:eastAsia="zh-CN" w:bidi="ar-SA"/>
          <w14:textFill>
            <w14:solidFill>
              <w14:schemeClr w14:val="tx1"/>
            </w14:solidFill>
          </w14:textFill>
        </w:rPr>
      </w:pPr>
      <w:r>
        <w:rPr>
          <w:rFonts w:hint="eastAsia" w:ascii="仿宋_GB2312" w:hAnsi="Times New Roman" w:eastAsia="仿宋_GB2312" w:cs="Times New Roman"/>
          <w:bCs/>
          <w:color w:val="000000" w:themeColor="text1"/>
          <w:kern w:val="0"/>
          <w:sz w:val="32"/>
          <w:szCs w:val="32"/>
          <w:lang w:val="en-US" w:eastAsia="zh-CN" w:bidi="ar-SA"/>
          <w14:textFill>
            <w14:solidFill>
              <w14:schemeClr w14:val="tx1"/>
            </w14:solidFill>
          </w14:textFill>
        </w:rPr>
        <w:t>（图1：收、支决算总计变动情况图）（柱状图）</w:t>
      </w:r>
      <w:bookmarkStart w:id="28" w:name="_Toc15377206"/>
      <w:bookmarkStart w:id="29" w:name="_Toc1909"/>
      <w:r>
        <w:rPr>
          <w:rFonts w:hint="eastAsia" w:ascii="仿宋_GB2312" w:eastAsia="仿宋_GB2312" w:cs="Times New Roman"/>
          <w:bCs/>
          <w:color w:val="000000" w:themeColor="text1"/>
          <w:kern w:val="0"/>
          <w:sz w:val="32"/>
          <w:szCs w:val="32"/>
          <w:lang w:val="en-US" w:eastAsia="zh-CN" w:bidi="ar-SA"/>
          <w14:textFill>
            <w14:solidFill>
              <w14:schemeClr w14:val="tx1"/>
            </w14:solidFill>
          </w14:textFill>
        </w:rPr>
        <w:t xml:space="preserve">     </w:t>
      </w:r>
    </w:p>
    <w:p>
      <w:pPr>
        <w:spacing w:line="600" w:lineRule="exact"/>
        <w:ind w:firstLine="420" w:firstLineChars="200"/>
        <w:rPr>
          <w:rStyle w:val="27"/>
          <w:rFonts w:ascii="黑体" w:hAnsi="黑体" w:eastAsia="黑体"/>
          <w:b w:val="0"/>
        </w:rPr>
      </w:pPr>
      <w:r>
        <w:drawing>
          <wp:anchor distT="0" distB="0" distL="114300" distR="114300" simplePos="0" relativeHeight="251671552" behindDoc="0" locked="0" layoutInCell="1" allowOverlap="1">
            <wp:simplePos x="0" y="0"/>
            <wp:positionH relativeFrom="column">
              <wp:posOffset>4445</wp:posOffset>
            </wp:positionH>
            <wp:positionV relativeFrom="paragraph">
              <wp:posOffset>233045</wp:posOffset>
            </wp:positionV>
            <wp:extent cx="5271770" cy="2165985"/>
            <wp:effectExtent l="4445" t="4445" r="19685" b="20320"/>
            <wp:wrapSquare wrapText="bothSides"/>
            <wp:docPr id="156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b/>
          <w:bCs/>
          <w:sz w:val="32"/>
          <w:szCs w:val="32"/>
          <w:lang w:eastAsia="zh-CN"/>
        </w:rPr>
        <w:t>二</w:t>
      </w:r>
      <w:r>
        <w:rPr>
          <w:rFonts w:hint="eastAsia" w:ascii="黑体" w:hAnsi="黑体" w:eastAsia="黑体"/>
          <w:color w:val="000000"/>
          <w:sz w:val="32"/>
          <w:szCs w:val="32"/>
        </w:rPr>
        <w:t>、收</w:t>
      </w:r>
      <w:r>
        <w:rPr>
          <w:rStyle w:val="27"/>
          <w:rFonts w:hint="eastAsia" w:ascii="黑体" w:hAnsi="黑体" w:eastAsia="黑体"/>
          <w:b w:val="0"/>
        </w:rPr>
        <w:t>入决算情况说明</w:t>
      </w:r>
      <w:bookmarkEnd w:id="28"/>
      <w:bookmarkEnd w:id="29"/>
    </w:p>
    <w:p>
      <w:pPr>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202</w:t>
      </w:r>
      <w:r>
        <w:rPr>
          <w:rFonts w:hint="eastAsia" w:ascii="仿宋_GB2312" w:eastAsia="仿宋_GB2312" w:cs="Times New Roman"/>
          <w:bCs/>
          <w:color w:val="000000"/>
          <w:kern w:val="0"/>
          <w:sz w:val="32"/>
          <w:szCs w:val="32"/>
          <w:lang w:val="en-US" w:eastAsia="zh-CN" w:bidi="ar-SA"/>
        </w:rPr>
        <w:t>2</w:t>
      </w:r>
      <w:r>
        <w:rPr>
          <w:rFonts w:hint="eastAsia" w:ascii="仿宋_GB2312" w:hAnsi="Times New Roman" w:eastAsia="仿宋_GB2312" w:cs="Times New Roman"/>
          <w:bCs/>
          <w:color w:val="000000"/>
          <w:kern w:val="0"/>
          <w:sz w:val="32"/>
          <w:szCs w:val="32"/>
          <w:lang w:val="en-US" w:eastAsia="zh-CN" w:bidi="ar-SA"/>
        </w:rPr>
        <w:t>年本年收入合计</w:t>
      </w:r>
      <w:r>
        <w:rPr>
          <w:rFonts w:hint="eastAsia" w:ascii="仿宋_GB2312" w:eastAsia="仿宋_GB2312" w:cs="Times New Roman"/>
          <w:bCs/>
          <w:color w:val="000000"/>
          <w:kern w:val="0"/>
          <w:sz w:val="32"/>
          <w:szCs w:val="32"/>
          <w:lang w:val="en-US" w:eastAsia="zh-CN" w:bidi="ar-SA"/>
        </w:rPr>
        <w:t>484.64</w:t>
      </w:r>
      <w:r>
        <w:rPr>
          <w:rFonts w:hint="eastAsia" w:ascii="仿宋_GB2312" w:hAnsi="Times New Roman" w:eastAsia="仿宋_GB2312" w:cs="Times New Roman"/>
          <w:bCs/>
          <w:color w:val="000000"/>
          <w:kern w:val="0"/>
          <w:sz w:val="32"/>
          <w:szCs w:val="32"/>
          <w:lang w:val="en-US" w:eastAsia="zh-CN" w:bidi="ar-SA"/>
        </w:rPr>
        <w:t>万元，其中：一般公共预算财政拨款收入</w:t>
      </w:r>
      <w:r>
        <w:rPr>
          <w:rFonts w:hint="eastAsia" w:ascii="仿宋_GB2312" w:eastAsia="仿宋_GB2312" w:cs="Times New Roman"/>
          <w:bCs/>
          <w:color w:val="000000"/>
          <w:kern w:val="0"/>
          <w:sz w:val="32"/>
          <w:szCs w:val="32"/>
          <w:lang w:val="en-US" w:eastAsia="zh-CN" w:bidi="ar-SA"/>
        </w:rPr>
        <w:t>484.64</w:t>
      </w:r>
      <w:r>
        <w:rPr>
          <w:rFonts w:hint="eastAsia" w:ascii="仿宋_GB2312" w:hAnsi="Times New Roman" w:eastAsia="仿宋_GB2312" w:cs="Times New Roman"/>
          <w:bCs/>
          <w:color w:val="000000"/>
          <w:kern w:val="0"/>
          <w:sz w:val="32"/>
          <w:szCs w:val="32"/>
          <w:lang w:val="en-US" w:eastAsia="zh-CN" w:bidi="ar-SA"/>
        </w:rPr>
        <w:t>万元，占</w:t>
      </w:r>
      <w:r>
        <w:rPr>
          <w:rFonts w:hint="eastAsia" w:ascii="仿宋_GB2312" w:eastAsia="仿宋_GB2312" w:cs="Times New Roman"/>
          <w:bCs/>
          <w:color w:val="000000"/>
          <w:kern w:val="0"/>
          <w:sz w:val="32"/>
          <w:szCs w:val="32"/>
          <w:lang w:val="en-US" w:eastAsia="zh-CN" w:bidi="ar-SA"/>
        </w:rPr>
        <w:t>100</w:t>
      </w:r>
      <w:r>
        <w:rPr>
          <w:rFonts w:hint="eastAsia" w:ascii="仿宋_GB2312" w:hAnsi="Times New Roman" w:eastAsia="仿宋_GB2312" w:cs="Times New Roman"/>
          <w:bCs/>
          <w:color w:val="000000"/>
          <w:kern w:val="0"/>
          <w:sz w:val="32"/>
          <w:szCs w:val="32"/>
          <w:lang w:val="en-US" w:eastAsia="zh-CN" w:bidi="ar-SA"/>
        </w:rPr>
        <w:t>%；政府性基金预算财政拨款收入0万元，占0%；国有资本经营预算财政拨款收入0万元，占0%；事业收入0万元，占0%；经营收入0万元，占0%；附属单位上缴收入0万元，占0%；</w:t>
      </w:r>
      <w:r>
        <w:rPr>
          <w:rFonts w:hint="eastAsia" w:ascii="仿宋_GB2312" w:eastAsia="仿宋_GB2312" w:cs="Times New Roman"/>
          <w:bCs/>
          <w:color w:val="000000"/>
          <w:kern w:val="0"/>
          <w:sz w:val="32"/>
          <w:szCs w:val="32"/>
          <w:lang w:val="en-US" w:eastAsia="zh-CN" w:bidi="ar-SA"/>
        </w:rPr>
        <w:t>年初财政拨款结余和结转0</w:t>
      </w:r>
      <w:r>
        <w:rPr>
          <w:rFonts w:hint="eastAsia" w:ascii="仿宋_GB2312" w:hAnsi="Times New Roman" w:eastAsia="仿宋_GB2312" w:cs="Times New Roman"/>
          <w:bCs/>
          <w:color w:val="000000"/>
          <w:kern w:val="0"/>
          <w:sz w:val="32"/>
          <w:szCs w:val="32"/>
          <w:lang w:val="en-US" w:eastAsia="zh-CN" w:bidi="ar-SA"/>
        </w:rPr>
        <w:t>万元，占</w:t>
      </w:r>
      <w:r>
        <w:rPr>
          <w:rFonts w:hint="eastAsia" w:ascii="仿宋_GB2312" w:eastAsia="仿宋_GB2312" w:cs="Times New Roman"/>
          <w:bCs/>
          <w:color w:val="000000"/>
          <w:kern w:val="0"/>
          <w:sz w:val="32"/>
          <w:szCs w:val="32"/>
          <w:lang w:val="en-US" w:eastAsia="zh-CN" w:bidi="ar-SA"/>
        </w:rPr>
        <w:t>0</w:t>
      </w:r>
      <w:r>
        <w:rPr>
          <w:rFonts w:hint="eastAsia" w:ascii="仿宋_GB2312" w:hAnsi="Times New Roman" w:eastAsia="仿宋_GB2312" w:cs="Times New Roman"/>
          <w:bCs/>
          <w:color w:val="000000"/>
          <w:kern w:val="0"/>
          <w:sz w:val="32"/>
          <w:szCs w:val="32"/>
          <w:lang w:val="en-US" w:eastAsia="zh-CN" w:bidi="ar-SA"/>
        </w:rPr>
        <w:t>%。</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（图2：收入决算结构图）（饼状图）</w:t>
      </w:r>
      <w:r>
        <w:rPr>
          <w:rFonts w:hint="eastAsia" w:ascii="仿宋_GB2312" w:eastAsia="仿宋_GB2312" w:cs="Times New Roman"/>
          <w:bCs/>
          <w:color w:val="000000"/>
          <w:kern w:val="0"/>
          <w:sz w:val="32"/>
          <w:szCs w:val="32"/>
          <w:lang w:val="en-US" w:eastAsia="zh-CN" w:bidi="ar-SA"/>
        </w:rPr>
        <w:t xml:space="preserve"> </w:t>
      </w:r>
    </w:p>
    <w:p>
      <w:pPr>
        <w:pageBreakBefore w:val="0"/>
        <w:widowControl w:val="0"/>
        <w:kinsoku/>
        <w:wordWrap/>
        <w:overflowPunct/>
        <w:topLinePunct w:val="0"/>
        <w:autoSpaceDE/>
        <w:autoSpaceDN/>
        <w:bidi w:val="0"/>
        <w:adjustRightInd/>
        <w:snapToGrid/>
        <w:spacing w:line="560" w:lineRule="exact"/>
        <w:ind w:right="0" w:firstLine="420" w:firstLineChars="200"/>
        <w:textAlignment w:val="auto"/>
        <w:rPr>
          <w:rStyle w:val="27"/>
          <w:rFonts w:ascii="黑体" w:hAnsi="黑体" w:eastAsia="黑体"/>
          <w:b w:val="0"/>
        </w:rPr>
      </w:pPr>
      <w:r>
        <w:drawing>
          <wp:anchor distT="0" distB="0" distL="114300" distR="114300" simplePos="0" relativeHeight="251672576" behindDoc="0" locked="0" layoutInCell="1" allowOverlap="1">
            <wp:simplePos x="0" y="0"/>
            <wp:positionH relativeFrom="column">
              <wp:posOffset>42545</wp:posOffset>
            </wp:positionH>
            <wp:positionV relativeFrom="paragraph">
              <wp:posOffset>184785</wp:posOffset>
            </wp:positionV>
            <wp:extent cx="5570855" cy="2896235"/>
            <wp:effectExtent l="4445" t="4445" r="6350" b="13970"/>
            <wp:wrapSquare wrapText="bothSides"/>
            <wp:docPr id="156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Start w:id="30" w:name="_Toc15377207"/>
      <w:bookmarkStart w:id="31" w:name="_Toc30849"/>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7"/>
          <w:rFonts w:hint="eastAsia" w:ascii="黑体" w:hAnsi="黑体" w:eastAsia="黑体"/>
          <w:b w:val="0"/>
        </w:rPr>
        <w:t>出决算情况说明</w:t>
      </w:r>
      <w:bookmarkEnd w:id="30"/>
      <w:bookmarkEnd w:id="31"/>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202</w:t>
      </w:r>
      <w:r>
        <w:rPr>
          <w:rFonts w:hint="eastAsia" w:ascii="仿宋_GB2312" w:eastAsia="仿宋_GB2312" w:cs="Times New Roman"/>
          <w:bCs/>
          <w:color w:val="000000"/>
          <w:kern w:val="0"/>
          <w:sz w:val="32"/>
          <w:szCs w:val="32"/>
          <w:lang w:val="en-US" w:eastAsia="zh-CN" w:bidi="ar-SA"/>
        </w:rPr>
        <w:t>2</w:t>
      </w:r>
      <w:r>
        <w:rPr>
          <w:rFonts w:hint="eastAsia" w:ascii="仿宋_GB2312" w:hAnsi="Times New Roman" w:eastAsia="仿宋_GB2312" w:cs="Times New Roman"/>
          <w:bCs/>
          <w:color w:val="000000"/>
          <w:kern w:val="0"/>
          <w:sz w:val="32"/>
          <w:szCs w:val="32"/>
          <w:lang w:val="en-US" w:eastAsia="zh-CN" w:bidi="ar-SA"/>
        </w:rPr>
        <w:t>年本年支出合计</w:t>
      </w:r>
      <w:r>
        <w:rPr>
          <w:rFonts w:hint="eastAsia" w:ascii="仿宋_GB2312" w:eastAsia="仿宋_GB2312" w:cs="Times New Roman"/>
          <w:bCs/>
          <w:color w:val="000000"/>
          <w:kern w:val="0"/>
          <w:sz w:val="32"/>
          <w:szCs w:val="32"/>
          <w:lang w:val="en-US" w:eastAsia="zh-CN" w:bidi="ar-SA"/>
        </w:rPr>
        <w:t>484.64</w:t>
      </w:r>
      <w:r>
        <w:rPr>
          <w:rFonts w:hint="eastAsia" w:ascii="仿宋_GB2312" w:hAnsi="Times New Roman" w:eastAsia="仿宋_GB2312" w:cs="Times New Roman"/>
          <w:bCs/>
          <w:color w:val="000000"/>
          <w:kern w:val="0"/>
          <w:sz w:val="32"/>
          <w:szCs w:val="32"/>
          <w:lang w:val="en-US" w:eastAsia="zh-CN" w:bidi="ar-SA"/>
        </w:rPr>
        <w:t>万元，其中：基本支出</w:t>
      </w:r>
      <w:r>
        <w:rPr>
          <w:rFonts w:hint="eastAsia" w:ascii="仿宋_GB2312" w:eastAsia="仿宋_GB2312" w:cs="Times New Roman"/>
          <w:bCs/>
          <w:color w:val="000000"/>
          <w:kern w:val="0"/>
          <w:sz w:val="32"/>
          <w:szCs w:val="32"/>
          <w:lang w:val="en-US" w:eastAsia="zh-CN" w:bidi="ar-SA"/>
        </w:rPr>
        <w:t>409.07</w:t>
      </w:r>
      <w:r>
        <w:rPr>
          <w:rFonts w:hint="eastAsia" w:ascii="仿宋_GB2312" w:hAnsi="Times New Roman" w:eastAsia="仿宋_GB2312" w:cs="Times New Roman"/>
          <w:bCs/>
          <w:color w:val="000000"/>
          <w:kern w:val="0"/>
          <w:sz w:val="32"/>
          <w:szCs w:val="32"/>
          <w:lang w:val="en-US" w:eastAsia="zh-CN" w:bidi="ar-SA"/>
        </w:rPr>
        <w:t>万元，占</w:t>
      </w:r>
      <w:r>
        <w:rPr>
          <w:rFonts w:hint="eastAsia" w:ascii="仿宋_GB2312" w:eastAsia="仿宋_GB2312" w:cs="Times New Roman"/>
          <w:bCs/>
          <w:color w:val="auto"/>
          <w:kern w:val="0"/>
          <w:sz w:val="32"/>
          <w:szCs w:val="32"/>
          <w:lang w:val="en-US" w:eastAsia="zh-CN" w:bidi="ar-SA"/>
        </w:rPr>
        <w:t>84.4</w:t>
      </w:r>
      <w:r>
        <w:rPr>
          <w:rFonts w:hint="eastAsia" w:ascii="仿宋_GB2312" w:hAnsi="Times New Roman" w:eastAsia="仿宋_GB2312" w:cs="Times New Roman"/>
          <w:bCs/>
          <w:color w:val="auto"/>
          <w:kern w:val="0"/>
          <w:sz w:val="32"/>
          <w:szCs w:val="32"/>
          <w:lang w:val="en-US" w:eastAsia="zh-CN" w:bidi="ar-SA"/>
        </w:rPr>
        <w:t>%</w:t>
      </w:r>
      <w:r>
        <w:rPr>
          <w:rFonts w:hint="eastAsia" w:ascii="仿宋_GB2312" w:hAnsi="Times New Roman" w:eastAsia="仿宋_GB2312" w:cs="Times New Roman"/>
          <w:bCs/>
          <w:color w:val="000000"/>
          <w:kern w:val="0"/>
          <w:sz w:val="32"/>
          <w:szCs w:val="32"/>
          <w:lang w:val="en-US" w:eastAsia="zh-CN" w:bidi="ar-SA"/>
        </w:rPr>
        <w:t>；项目支出</w:t>
      </w:r>
      <w:r>
        <w:rPr>
          <w:rFonts w:hint="eastAsia" w:ascii="仿宋_GB2312" w:eastAsia="仿宋_GB2312" w:cs="Times New Roman"/>
          <w:bCs/>
          <w:color w:val="000000"/>
          <w:kern w:val="0"/>
          <w:sz w:val="32"/>
          <w:szCs w:val="32"/>
          <w:lang w:val="en-US" w:eastAsia="zh-CN" w:bidi="ar-SA"/>
        </w:rPr>
        <w:t>75.57</w:t>
      </w:r>
      <w:r>
        <w:rPr>
          <w:rFonts w:hint="eastAsia" w:ascii="仿宋_GB2312" w:hAnsi="Times New Roman" w:eastAsia="仿宋_GB2312" w:cs="Times New Roman"/>
          <w:bCs/>
          <w:color w:val="000000"/>
          <w:kern w:val="0"/>
          <w:sz w:val="32"/>
          <w:szCs w:val="32"/>
          <w:lang w:val="en-US" w:eastAsia="zh-CN" w:bidi="ar-SA"/>
        </w:rPr>
        <w:t>万元，占</w:t>
      </w:r>
      <w:r>
        <w:rPr>
          <w:rFonts w:hint="eastAsia" w:ascii="仿宋_GB2312" w:eastAsia="仿宋_GB2312" w:cs="Times New Roman"/>
          <w:bCs/>
          <w:color w:val="auto"/>
          <w:kern w:val="0"/>
          <w:sz w:val="32"/>
          <w:szCs w:val="32"/>
          <w:lang w:val="en-US" w:eastAsia="zh-CN" w:bidi="ar-SA"/>
        </w:rPr>
        <w:t>15.6</w:t>
      </w:r>
      <w:r>
        <w:rPr>
          <w:rFonts w:hint="eastAsia" w:ascii="仿宋_GB2312" w:hAnsi="Times New Roman" w:eastAsia="仿宋_GB2312" w:cs="Times New Roman"/>
          <w:bCs/>
          <w:color w:val="auto"/>
          <w:kern w:val="0"/>
          <w:sz w:val="32"/>
          <w:szCs w:val="32"/>
          <w:lang w:val="en-US" w:eastAsia="zh-CN" w:bidi="ar-SA"/>
        </w:rPr>
        <w:t>%</w:t>
      </w:r>
      <w:r>
        <w:rPr>
          <w:rFonts w:hint="eastAsia" w:ascii="仿宋_GB2312" w:hAnsi="Times New Roman" w:eastAsia="仿宋_GB2312" w:cs="Times New Roman"/>
          <w:bCs/>
          <w:color w:val="000000"/>
          <w:kern w:val="0"/>
          <w:sz w:val="32"/>
          <w:szCs w:val="32"/>
          <w:lang w:val="en-US" w:eastAsia="zh-CN" w:bidi="ar-SA"/>
        </w:rPr>
        <w:t>；上缴上级支出0万元，占0%；经营支出0万元，占0%；对附属单位补助支出0万元，占0%。</w:t>
      </w:r>
    </w:p>
    <w:p>
      <w:pPr>
        <w:spacing w:line="600" w:lineRule="exact"/>
        <w:ind w:firstLine="640" w:firstLineChars="200"/>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（图3：支出决算结构图）（饼状图）</w:t>
      </w:r>
      <w:bookmarkStart w:id="32" w:name="_Toc15377208"/>
      <w:bookmarkStart w:id="33" w:name="_Toc29603"/>
    </w:p>
    <w:p>
      <w:pPr>
        <w:spacing w:line="600" w:lineRule="exact"/>
        <w:ind w:firstLine="640" w:firstLineChars="200"/>
        <w:rPr>
          <w:rFonts w:hint="eastAsia" w:ascii="黑体" w:hAnsi="黑体" w:eastAsia="黑体"/>
          <w:color w:val="000000"/>
          <w:sz w:val="32"/>
          <w:szCs w:val="32"/>
        </w:rPr>
      </w:pPr>
    </w:p>
    <w:p>
      <w:pPr>
        <w:spacing w:line="600" w:lineRule="exact"/>
        <w:ind w:firstLine="420" w:firstLineChars="200"/>
        <w:rPr>
          <w:rStyle w:val="27"/>
          <w:rFonts w:ascii="黑体" w:hAnsi="黑体" w:eastAsia="黑体"/>
          <w:b w:val="0"/>
        </w:rPr>
      </w:pPr>
      <w:r>
        <w:drawing>
          <wp:anchor distT="0" distB="0" distL="114300" distR="114300" simplePos="0" relativeHeight="251673600" behindDoc="0" locked="0" layoutInCell="1" allowOverlap="1">
            <wp:simplePos x="0" y="0"/>
            <wp:positionH relativeFrom="column">
              <wp:posOffset>-319405</wp:posOffset>
            </wp:positionH>
            <wp:positionV relativeFrom="paragraph">
              <wp:posOffset>326390</wp:posOffset>
            </wp:positionV>
            <wp:extent cx="5986145" cy="2747645"/>
            <wp:effectExtent l="4445" t="4445" r="10160" b="10160"/>
            <wp:wrapSquare wrapText="bothSides"/>
            <wp:docPr id="156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2"/>
      <w:bookmarkEnd w:id="33"/>
    </w:p>
    <w:p>
      <w:pPr>
        <w:spacing w:line="360" w:lineRule="auto"/>
        <w:ind w:firstLine="640" w:firstLineChars="200"/>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202</w:t>
      </w:r>
      <w:r>
        <w:rPr>
          <w:rFonts w:hint="eastAsia" w:ascii="仿宋_GB2312" w:eastAsia="仿宋_GB2312" w:cs="Times New Roman"/>
          <w:bCs/>
          <w:color w:val="000000"/>
          <w:kern w:val="0"/>
          <w:sz w:val="32"/>
          <w:szCs w:val="32"/>
          <w:lang w:val="en-US" w:eastAsia="zh-CN" w:bidi="ar-SA"/>
        </w:rPr>
        <w:t>2</w:t>
      </w:r>
      <w:r>
        <w:rPr>
          <w:rFonts w:hint="eastAsia" w:ascii="仿宋_GB2312" w:hAnsi="Times New Roman" w:eastAsia="仿宋_GB2312" w:cs="Times New Roman"/>
          <w:bCs/>
          <w:color w:val="000000"/>
          <w:kern w:val="0"/>
          <w:sz w:val="32"/>
          <w:szCs w:val="32"/>
          <w:lang w:val="en-US" w:eastAsia="zh-CN" w:bidi="ar-SA"/>
        </w:rPr>
        <w:t>年财政拨款收入总计</w:t>
      </w:r>
      <w:r>
        <w:rPr>
          <w:rFonts w:hint="eastAsia" w:ascii="仿宋_GB2312" w:eastAsia="仿宋_GB2312" w:cs="Times New Roman"/>
          <w:bCs/>
          <w:color w:val="000000"/>
          <w:kern w:val="0"/>
          <w:sz w:val="32"/>
          <w:szCs w:val="32"/>
          <w:lang w:val="en-US" w:eastAsia="zh-CN" w:bidi="ar-SA"/>
        </w:rPr>
        <w:t>484.64</w:t>
      </w:r>
      <w:r>
        <w:rPr>
          <w:rFonts w:hint="eastAsia" w:ascii="仿宋_GB2312" w:hAnsi="Times New Roman" w:eastAsia="仿宋_GB2312" w:cs="Times New Roman"/>
          <w:bCs/>
          <w:color w:val="000000"/>
          <w:kern w:val="0"/>
          <w:sz w:val="32"/>
          <w:szCs w:val="32"/>
          <w:lang w:val="en-US" w:eastAsia="zh-CN" w:bidi="ar-SA"/>
        </w:rPr>
        <w:t>万元。与20</w:t>
      </w:r>
      <w:r>
        <w:rPr>
          <w:rFonts w:hint="eastAsia" w:ascii="仿宋_GB2312" w:eastAsia="仿宋_GB2312" w:cs="Times New Roman"/>
          <w:bCs/>
          <w:color w:val="000000"/>
          <w:kern w:val="0"/>
          <w:sz w:val="32"/>
          <w:szCs w:val="32"/>
          <w:lang w:val="en-US" w:eastAsia="zh-CN" w:bidi="ar-SA"/>
        </w:rPr>
        <w:t>21</w:t>
      </w:r>
      <w:r>
        <w:rPr>
          <w:rFonts w:hint="eastAsia" w:ascii="仿宋_GB2312" w:hAnsi="Times New Roman" w:eastAsia="仿宋_GB2312" w:cs="Times New Roman"/>
          <w:bCs/>
          <w:color w:val="000000"/>
          <w:kern w:val="0"/>
          <w:sz w:val="32"/>
          <w:szCs w:val="32"/>
          <w:lang w:val="en-US" w:eastAsia="zh-CN" w:bidi="ar-SA"/>
        </w:rPr>
        <w:t>年相比，财政拨款收入总计</w:t>
      </w:r>
      <w:r>
        <w:rPr>
          <w:rFonts w:hint="eastAsia" w:ascii="仿宋_GB2312" w:eastAsia="仿宋_GB2312" w:cs="Times New Roman"/>
          <w:bCs/>
          <w:color w:val="000000"/>
          <w:kern w:val="0"/>
          <w:sz w:val="32"/>
          <w:szCs w:val="32"/>
          <w:lang w:val="en-US" w:eastAsia="zh-CN" w:bidi="ar-SA"/>
        </w:rPr>
        <w:t>减少17.58</w:t>
      </w:r>
      <w:r>
        <w:rPr>
          <w:rFonts w:hint="eastAsia" w:ascii="仿宋_GB2312" w:hAnsi="Times New Roman" w:eastAsia="仿宋_GB2312" w:cs="Times New Roman"/>
          <w:bCs/>
          <w:color w:val="000000"/>
          <w:kern w:val="0"/>
          <w:sz w:val="32"/>
          <w:szCs w:val="32"/>
          <w:lang w:val="en-US" w:eastAsia="zh-CN" w:bidi="ar-SA"/>
        </w:rPr>
        <w:t>万元，</w:t>
      </w:r>
      <w:r>
        <w:rPr>
          <w:rFonts w:hint="eastAsia" w:ascii="仿宋_GB2312" w:eastAsia="仿宋_GB2312" w:cs="Times New Roman"/>
          <w:bCs/>
          <w:color w:val="auto"/>
          <w:kern w:val="0"/>
          <w:sz w:val="32"/>
          <w:szCs w:val="32"/>
          <w:lang w:val="en-US" w:eastAsia="zh-CN" w:bidi="ar-SA"/>
        </w:rPr>
        <w:t>减少3.5</w:t>
      </w:r>
      <w:r>
        <w:rPr>
          <w:rFonts w:hint="eastAsia" w:ascii="仿宋_GB2312" w:hAnsi="Times New Roman" w:eastAsia="仿宋_GB2312" w:cs="Times New Roman"/>
          <w:bCs/>
          <w:color w:val="auto"/>
          <w:kern w:val="0"/>
          <w:sz w:val="32"/>
          <w:szCs w:val="32"/>
          <w:lang w:val="en-US" w:eastAsia="zh-CN" w:bidi="ar-SA"/>
        </w:rPr>
        <w:t>%。</w:t>
      </w:r>
      <w:r>
        <w:rPr>
          <w:rFonts w:hint="eastAsia" w:ascii="仿宋_GB2312" w:hAnsi="Times New Roman" w:eastAsia="仿宋_GB2312" w:cs="Times New Roman"/>
          <w:bCs/>
          <w:color w:val="000000"/>
          <w:kern w:val="0"/>
          <w:sz w:val="32"/>
          <w:szCs w:val="32"/>
          <w:lang w:val="en-US" w:eastAsia="zh-CN" w:bidi="ar-SA"/>
        </w:rPr>
        <w:t xml:space="preserve"> 202</w:t>
      </w:r>
      <w:r>
        <w:rPr>
          <w:rFonts w:hint="eastAsia" w:ascii="仿宋_GB2312" w:eastAsia="仿宋_GB2312" w:cs="Times New Roman"/>
          <w:bCs/>
          <w:color w:val="000000"/>
          <w:kern w:val="0"/>
          <w:sz w:val="32"/>
          <w:szCs w:val="32"/>
          <w:lang w:val="en-US" w:eastAsia="zh-CN" w:bidi="ar-SA"/>
        </w:rPr>
        <w:t>2</w:t>
      </w:r>
      <w:r>
        <w:rPr>
          <w:rFonts w:hint="eastAsia" w:ascii="仿宋_GB2312" w:hAnsi="Times New Roman" w:eastAsia="仿宋_GB2312" w:cs="Times New Roman"/>
          <w:bCs/>
          <w:color w:val="000000"/>
          <w:kern w:val="0"/>
          <w:sz w:val="32"/>
          <w:szCs w:val="32"/>
          <w:lang w:val="en-US" w:eastAsia="zh-CN" w:bidi="ar-SA"/>
        </w:rPr>
        <w:t>年财政拨款支出总计</w:t>
      </w:r>
      <w:r>
        <w:rPr>
          <w:rFonts w:hint="eastAsia" w:ascii="仿宋_GB2312" w:eastAsia="仿宋_GB2312" w:cs="Times New Roman"/>
          <w:bCs/>
          <w:color w:val="000000"/>
          <w:kern w:val="0"/>
          <w:sz w:val="32"/>
          <w:szCs w:val="32"/>
          <w:lang w:val="en-US" w:eastAsia="zh-CN" w:bidi="ar-SA"/>
        </w:rPr>
        <w:t>484.64</w:t>
      </w:r>
      <w:r>
        <w:rPr>
          <w:rFonts w:hint="eastAsia" w:ascii="仿宋_GB2312" w:hAnsi="Times New Roman" w:eastAsia="仿宋_GB2312" w:cs="Times New Roman"/>
          <w:bCs/>
          <w:color w:val="000000"/>
          <w:kern w:val="0"/>
          <w:sz w:val="32"/>
          <w:szCs w:val="32"/>
          <w:lang w:val="en-US" w:eastAsia="zh-CN" w:bidi="ar-SA"/>
        </w:rPr>
        <w:t>万元。与20</w:t>
      </w:r>
      <w:r>
        <w:rPr>
          <w:rFonts w:hint="eastAsia" w:ascii="仿宋_GB2312" w:eastAsia="仿宋_GB2312" w:cs="Times New Roman"/>
          <w:bCs/>
          <w:color w:val="000000"/>
          <w:kern w:val="0"/>
          <w:sz w:val="32"/>
          <w:szCs w:val="32"/>
          <w:lang w:val="en-US" w:eastAsia="zh-CN" w:bidi="ar-SA"/>
        </w:rPr>
        <w:t>21</w:t>
      </w:r>
      <w:r>
        <w:rPr>
          <w:rFonts w:hint="eastAsia" w:ascii="仿宋_GB2312" w:hAnsi="Times New Roman" w:eastAsia="仿宋_GB2312" w:cs="Times New Roman"/>
          <w:bCs/>
          <w:color w:val="000000"/>
          <w:kern w:val="0"/>
          <w:sz w:val="32"/>
          <w:szCs w:val="32"/>
          <w:lang w:val="en-US" w:eastAsia="zh-CN" w:bidi="ar-SA"/>
        </w:rPr>
        <w:t>年相比，财政拨款支出总计</w:t>
      </w:r>
      <w:r>
        <w:rPr>
          <w:rFonts w:hint="eastAsia" w:ascii="仿宋_GB2312" w:eastAsia="仿宋_GB2312" w:cs="Times New Roman"/>
          <w:bCs/>
          <w:color w:val="000000"/>
          <w:kern w:val="0"/>
          <w:sz w:val="32"/>
          <w:szCs w:val="32"/>
          <w:lang w:val="en-US" w:eastAsia="zh-CN" w:bidi="ar-SA"/>
        </w:rPr>
        <w:t>减少17.58</w:t>
      </w:r>
      <w:r>
        <w:rPr>
          <w:rFonts w:hint="eastAsia" w:ascii="仿宋_GB2312" w:hAnsi="Times New Roman" w:eastAsia="仿宋_GB2312" w:cs="Times New Roman"/>
          <w:bCs/>
          <w:color w:val="000000"/>
          <w:kern w:val="0"/>
          <w:sz w:val="32"/>
          <w:szCs w:val="32"/>
          <w:lang w:val="en-US" w:eastAsia="zh-CN" w:bidi="ar-SA"/>
        </w:rPr>
        <w:t>万元，</w:t>
      </w:r>
      <w:r>
        <w:rPr>
          <w:rFonts w:hint="eastAsia" w:ascii="仿宋_GB2312" w:eastAsia="仿宋_GB2312" w:cs="Times New Roman"/>
          <w:bCs/>
          <w:color w:val="000000"/>
          <w:kern w:val="0"/>
          <w:sz w:val="32"/>
          <w:szCs w:val="32"/>
          <w:lang w:val="en-US" w:eastAsia="zh-CN" w:bidi="ar-SA"/>
        </w:rPr>
        <w:t>减少3.5</w:t>
      </w:r>
      <w:r>
        <w:rPr>
          <w:rFonts w:hint="eastAsia" w:ascii="仿宋_GB2312" w:hAnsi="Times New Roman" w:eastAsia="仿宋_GB2312" w:cs="Times New Roman"/>
          <w:bCs/>
          <w:color w:val="auto"/>
          <w:kern w:val="0"/>
          <w:sz w:val="32"/>
          <w:szCs w:val="32"/>
          <w:lang w:val="en-US" w:eastAsia="zh-CN" w:bidi="ar-SA"/>
        </w:rPr>
        <w:t>%</w:t>
      </w:r>
      <w:r>
        <w:rPr>
          <w:rFonts w:hint="eastAsia" w:ascii="仿宋_GB2312" w:hAnsi="Times New Roman" w:eastAsia="仿宋_GB2312" w:cs="Times New Roman"/>
          <w:bCs/>
          <w:color w:val="000000"/>
          <w:kern w:val="0"/>
          <w:sz w:val="32"/>
          <w:szCs w:val="32"/>
          <w:lang w:val="en-US" w:eastAsia="zh-CN" w:bidi="ar-SA"/>
        </w:rPr>
        <w:t>。主要变动原因是：</w:t>
      </w:r>
      <w:r>
        <w:rPr>
          <w:rFonts w:hint="eastAsia" w:ascii="仿宋_GB2312" w:eastAsia="仿宋_GB2312" w:cs="Times New Roman"/>
          <w:bCs/>
          <w:color w:val="000000"/>
          <w:kern w:val="0"/>
          <w:sz w:val="32"/>
          <w:szCs w:val="32"/>
          <w:lang w:val="en-US" w:eastAsia="zh-CN" w:bidi="ar-SA"/>
        </w:rPr>
        <w:t>减少人员</w:t>
      </w:r>
      <w:r>
        <w:rPr>
          <w:rFonts w:hint="eastAsia" w:ascii="仿宋_GB2312" w:hAnsi="Times New Roman" w:eastAsia="仿宋_GB2312" w:cs="Times New Roman"/>
          <w:bCs/>
          <w:color w:val="000000"/>
          <w:kern w:val="0"/>
          <w:sz w:val="32"/>
          <w:szCs w:val="32"/>
          <w:lang w:val="en-US" w:eastAsia="zh-CN" w:bidi="ar-SA"/>
        </w:rPr>
        <w:t>，财政拨款</w:t>
      </w:r>
      <w:r>
        <w:rPr>
          <w:rFonts w:hint="eastAsia" w:ascii="仿宋_GB2312" w:eastAsia="仿宋_GB2312" w:cs="Times New Roman"/>
          <w:bCs/>
          <w:color w:val="000000"/>
          <w:kern w:val="0"/>
          <w:sz w:val="32"/>
          <w:szCs w:val="32"/>
          <w:lang w:val="en-US" w:eastAsia="zh-CN" w:bidi="ar-SA"/>
        </w:rPr>
        <w:t>减少</w:t>
      </w:r>
      <w:r>
        <w:rPr>
          <w:rFonts w:hint="eastAsia" w:ascii="仿宋_GB2312" w:hAnsi="Times New Roman" w:eastAsia="仿宋_GB2312" w:cs="Times New Roman"/>
          <w:bCs/>
          <w:color w:val="000000"/>
          <w:kern w:val="0"/>
          <w:sz w:val="32"/>
          <w:szCs w:val="32"/>
          <w:lang w:val="en-US" w:eastAsia="zh-CN" w:bidi="ar-SA"/>
        </w:rPr>
        <w:t>。</w:t>
      </w:r>
    </w:p>
    <w:p>
      <w:pPr>
        <w:spacing w:line="600" w:lineRule="exact"/>
        <w:ind w:firstLine="640" w:firstLineChars="200"/>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（图4：财政拨款收、支决算总计变动情况）（柱状图）</w:t>
      </w:r>
      <w:bookmarkStart w:id="34" w:name="_Toc22170"/>
      <w:bookmarkStart w:id="35" w:name="_Toc15377209"/>
    </w:p>
    <w:p>
      <w:pPr>
        <w:spacing w:line="600" w:lineRule="exact"/>
        <w:ind w:firstLine="420" w:firstLineChars="200"/>
        <w:rPr>
          <w:rStyle w:val="27"/>
          <w:rFonts w:ascii="黑体" w:hAnsi="黑体" w:eastAsia="黑体"/>
          <w:b w:val="0"/>
          <w:sz w:val="36"/>
          <w:szCs w:val="36"/>
        </w:rPr>
      </w:pPr>
      <w:r>
        <w:drawing>
          <wp:anchor distT="0" distB="0" distL="114300" distR="114300" simplePos="0" relativeHeight="251674624" behindDoc="0" locked="0" layoutInCell="1" allowOverlap="1">
            <wp:simplePos x="0" y="0"/>
            <wp:positionH relativeFrom="column">
              <wp:posOffset>-186055</wp:posOffset>
            </wp:positionH>
            <wp:positionV relativeFrom="paragraph">
              <wp:posOffset>242570</wp:posOffset>
            </wp:positionV>
            <wp:extent cx="5838825" cy="3020060"/>
            <wp:effectExtent l="4445" t="4445" r="5080" b="23495"/>
            <wp:wrapSquare wrapText="bothSides"/>
            <wp:docPr id="157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lang w:val="en-US" w:eastAsia="zh-CN"/>
        </w:rPr>
        <w:t xml:space="preserve"> </w:t>
      </w: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4"/>
      <w:bookmarkEnd w:id="35"/>
      <w:bookmarkStart w:id="78" w:name="_GoBack"/>
      <w:bookmarkEnd w:id="78"/>
    </w:p>
    <w:p>
      <w:pPr>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Times New Roman" w:eastAsia="仿宋_GB2312" w:cs="Times New Roman"/>
          <w:b/>
          <w:bCs w:val="0"/>
          <w:color w:val="000000"/>
          <w:kern w:val="0"/>
          <w:sz w:val="32"/>
          <w:szCs w:val="32"/>
          <w:lang w:val="en-US" w:eastAsia="zh-CN" w:bidi="ar-SA"/>
        </w:rPr>
      </w:pPr>
      <w:bookmarkStart w:id="36" w:name="_Toc15377210"/>
      <w:r>
        <w:rPr>
          <w:rFonts w:hint="eastAsia" w:ascii="仿宋_GB2312" w:hAnsi="Times New Roman" w:eastAsia="仿宋_GB2312" w:cs="Times New Roman"/>
          <w:b/>
          <w:bCs w:val="0"/>
          <w:color w:val="000000"/>
          <w:kern w:val="0"/>
          <w:sz w:val="32"/>
          <w:szCs w:val="32"/>
          <w:lang w:val="en-US" w:eastAsia="zh-CN" w:bidi="ar-SA"/>
        </w:rPr>
        <w:t>（一）一般公共预算财政拨款支出决算总体情况</w:t>
      </w:r>
      <w:bookmarkEnd w:id="36"/>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202</w:t>
      </w:r>
      <w:r>
        <w:rPr>
          <w:rFonts w:hint="eastAsia" w:ascii="仿宋_GB2312" w:eastAsia="仿宋_GB2312" w:cs="Times New Roman"/>
          <w:bCs/>
          <w:color w:val="000000"/>
          <w:kern w:val="0"/>
          <w:sz w:val="32"/>
          <w:szCs w:val="32"/>
          <w:lang w:val="en-US" w:eastAsia="zh-CN" w:bidi="ar-SA"/>
        </w:rPr>
        <w:t>2</w:t>
      </w:r>
      <w:r>
        <w:rPr>
          <w:rFonts w:hint="eastAsia" w:ascii="仿宋_GB2312" w:hAnsi="Times New Roman" w:eastAsia="仿宋_GB2312" w:cs="Times New Roman"/>
          <w:bCs/>
          <w:color w:val="000000"/>
          <w:kern w:val="0"/>
          <w:sz w:val="32"/>
          <w:szCs w:val="32"/>
          <w:lang w:val="en-US" w:eastAsia="zh-CN" w:bidi="ar-SA"/>
        </w:rPr>
        <w:t>年一般公共预算财政拨款支出</w:t>
      </w:r>
      <w:r>
        <w:rPr>
          <w:rFonts w:hint="eastAsia" w:ascii="仿宋_GB2312" w:eastAsia="仿宋_GB2312" w:cs="Times New Roman"/>
          <w:bCs/>
          <w:color w:val="000000"/>
          <w:kern w:val="0"/>
          <w:sz w:val="32"/>
          <w:szCs w:val="32"/>
          <w:lang w:val="en-US" w:eastAsia="zh-CN" w:bidi="ar-SA"/>
        </w:rPr>
        <w:t>484.64</w:t>
      </w:r>
      <w:r>
        <w:rPr>
          <w:rFonts w:hint="eastAsia" w:ascii="仿宋_GB2312" w:hAnsi="Times New Roman" w:eastAsia="仿宋_GB2312" w:cs="Times New Roman"/>
          <w:bCs/>
          <w:color w:val="000000"/>
          <w:kern w:val="0"/>
          <w:sz w:val="32"/>
          <w:szCs w:val="32"/>
          <w:lang w:val="en-US" w:eastAsia="zh-CN" w:bidi="ar-SA"/>
        </w:rPr>
        <w:t>万元，占本年支出合计的</w:t>
      </w:r>
      <w:r>
        <w:rPr>
          <w:rFonts w:hint="eastAsia" w:ascii="仿宋_GB2312" w:eastAsia="仿宋_GB2312" w:cs="Times New Roman"/>
          <w:bCs/>
          <w:color w:val="000000"/>
          <w:kern w:val="0"/>
          <w:sz w:val="32"/>
          <w:szCs w:val="32"/>
          <w:lang w:val="en-US" w:eastAsia="zh-CN" w:bidi="ar-SA"/>
        </w:rPr>
        <w:t>100</w:t>
      </w:r>
      <w:r>
        <w:rPr>
          <w:rFonts w:hint="eastAsia" w:ascii="仿宋_GB2312" w:hAnsi="Times New Roman" w:eastAsia="仿宋_GB2312" w:cs="Times New Roman"/>
          <w:bCs/>
          <w:color w:val="000000"/>
          <w:kern w:val="0"/>
          <w:sz w:val="32"/>
          <w:szCs w:val="32"/>
          <w:lang w:val="en-US" w:eastAsia="zh-CN" w:bidi="ar-SA"/>
        </w:rPr>
        <w:t>%。与20</w:t>
      </w:r>
      <w:r>
        <w:rPr>
          <w:rFonts w:hint="eastAsia" w:ascii="仿宋_GB2312" w:eastAsia="仿宋_GB2312" w:cs="Times New Roman"/>
          <w:bCs/>
          <w:color w:val="000000"/>
          <w:kern w:val="0"/>
          <w:sz w:val="32"/>
          <w:szCs w:val="32"/>
          <w:lang w:val="en-US" w:eastAsia="zh-CN" w:bidi="ar-SA"/>
        </w:rPr>
        <w:t>21</w:t>
      </w:r>
      <w:r>
        <w:rPr>
          <w:rFonts w:hint="eastAsia" w:ascii="仿宋_GB2312" w:hAnsi="Times New Roman" w:eastAsia="仿宋_GB2312" w:cs="Times New Roman"/>
          <w:bCs/>
          <w:color w:val="000000"/>
          <w:kern w:val="0"/>
          <w:sz w:val="32"/>
          <w:szCs w:val="32"/>
          <w:lang w:val="en-US" w:eastAsia="zh-CN" w:bidi="ar-SA"/>
        </w:rPr>
        <w:t>年相比，一般公共预算财政拨款</w:t>
      </w:r>
      <w:r>
        <w:rPr>
          <w:rFonts w:hint="eastAsia" w:ascii="仿宋_GB2312" w:eastAsia="仿宋_GB2312" w:cs="Times New Roman"/>
          <w:bCs/>
          <w:color w:val="000000"/>
          <w:kern w:val="0"/>
          <w:sz w:val="32"/>
          <w:szCs w:val="32"/>
          <w:lang w:val="en-US" w:eastAsia="zh-CN" w:bidi="ar-SA"/>
        </w:rPr>
        <w:t>减少17.58</w:t>
      </w:r>
      <w:r>
        <w:rPr>
          <w:rFonts w:hint="eastAsia" w:ascii="仿宋_GB2312" w:hAnsi="Times New Roman" w:eastAsia="仿宋_GB2312" w:cs="Times New Roman"/>
          <w:bCs/>
          <w:color w:val="000000"/>
          <w:kern w:val="0"/>
          <w:sz w:val="32"/>
          <w:szCs w:val="32"/>
          <w:lang w:val="en-US" w:eastAsia="zh-CN" w:bidi="ar-SA"/>
        </w:rPr>
        <w:t>万元，</w:t>
      </w:r>
      <w:r>
        <w:rPr>
          <w:rFonts w:hint="eastAsia" w:ascii="仿宋_GB2312" w:eastAsia="仿宋_GB2312" w:cs="Times New Roman"/>
          <w:bCs/>
          <w:color w:val="auto"/>
          <w:kern w:val="0"/>
          <w:sz w:val="32"/>
          <w:szCs w:val="32"/>
          <w:lang w:val="en-US" w:eastAsia="zh-CN" w:bidi="ar-SA"/>
        </w:rPr>
        <w:t>减少3.5</w:t>
      </w:r>
      <w:r>
        <w:rPr>
          <w:rFonts w:hint="eastAsia" w:ascii="仿宋_GB2312" w:hAnsi="Times New Roman" w:eastAsia="仿宋_GB2312" w:cs="Times New Roman"/>
          <w:bCs/>
          <w:color w:val="auto"/>
          <w:kern w:val="0"/>
          <w:sz w:val="32"/>
          <w:szCs w:val="32"/>
          <w:lang w:val="en-US" w:eastAsia="zh-CN" w:bidi="ar-SA"/>
        </w:rPr>
        <w:t>%。</w:t>
      </w:r>
      <w:r>
        <w:rPr>
          <w:rFonts w:hint="eastAsia" w:ascii="仿宋_GB2312" w:hAnsi="Times New Roman" w:eastAsia="仿宋_GB2312" w:cs="Times New Roman"/>
          <w:bCs/>
          <w:color w:val="000000"/>
          <w:kern w:val="0"/>
          <w:sz w:val="32"/>
          <w:szCs w:val="32"/>
          <w:lang w:val="en-US" w:eastAsia="zh-CN" w:bidi="ar-SA"/>
        </w:rPr>
        <w:t>主要变动原因是202</w:t>
      </w:r>
      <w:r>
        <w:rPr>
          <w:rFonts w:hint="eastAsia" w:ascii="仿宋_GB2312" w:eastAsia="仿宋_GB2312" w:cs="Times New Roman"/>
          <w:bCs/>
          <w:color w:val="000000"/>
          <w:kern w:val="0"/>
          <w:sz w:val="32"/>
          <w:szCs w:val="32"/>
          <w:lang w:val="en-US" w:eastAsia="zh-CN" w:bidi="ar-SA"/>
        </w:rPr>
        <w:t>2</w:t>
      </w:r>
      <w:r>
        <w:rPr>
          <w:rFonts w:hint="eastAsia" w:ascii="仿宋_GB2312" w:hAnsi="Times New Roman" w:eastAsia="仿宋_GB2312" w:cs="Times New Roman"/>
          <w:bCs/>
          <w:color w:val="000000"/>
          <w:kern w:val="0"/>
          <w:sz w:val="32"/>
          <w:szCs w:val="32"/>
          <w:lang w:val="en-US" w:eastAsia="zh-CN" w:bidi="ar-SA"/>
        </w:rPr>
        <w:t>年，人员经费</w:t>
      </w:r>
      <w:r>
        <w:rPr>
          <w:rFonts w:hint="eastAsia" w:ascii="仿宋_GB2312" w:eastAsia="仿宋_GB2312" w:cs="Times New Roman"/>
          <w:bCs/>
          <w:color w:val="000000"/>
          <w:kern w:val="0"/>
          <w:sz w:val="32"/>
          <w:szCs w:val="32"/>
          <w:lang w:val="en-US" w:eastAsia="zh-CN" w:bidi="ar-SA"/>
        </w:rPr>
        <w:t>减少</w:t>
      </w:r>
      <w:r>
        <w:rPr>
          <w:rFonts w:hint="eastAsia" w:ascii="仿宋_GB2312" w:hAnsi="Times New Roman" w:eastAsia="仿宋_GB2312" w:cs="Times New Roman"/>
          <w:bCs/>
          <w:color w:val="000000"/>
          <w:kern w:val="0"/>
          <w:sz w:val="32"/>
          <w:szCs w:val="32"/>
          <w:lang w:val="en-US" w:eastAsia="zh-CN" w:bidi="ar-SA"/>
        </w:rPr>
        <w:t>工资和保险相应</w:t>
      </w:r>
      <w:r>
        <w:rPr>
          <w:rFonts w:hint="eastAsia" w:ascii="仿宋_GB2312" w:eastAsia="仿宋_GB2312" w:cs="Times New Roman"/>
          <w:bCs/>
          <w:color w:val="000000"/>
          <w:kern w:val="0"/>
          <w:sz w:val="32"/>
          <w:szCs w:val="32"/>
          <w:lang w:val="en-US" w:eastAsia="zh-CN" w:bidi="ar-SA"/>
        </w:rPr>
        <w:t>减少</w:t>
      </w:r>
      <w:r>
        <w:rPr>
          <w:rFonts w:hint="eastAsia" w:ascii="仿宋_GB2312" w:hAnsi="Times New Roman" w:eastAsia="仿宋_GB2312" w:cs="Times New Roman"/>
          <w:bCs/>
          <w:color w:val="000000"/>
          <w:kern w:val="0"/>
          <w:sz w:val="32"/>
          <w:szCs w:val="32"/>
          <w:lang w:val="en-US" w:eastAsia="zh-CN" w:bidi="ar-SA"/>
        </w:rPr>
        <w:t>。</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（图5：一般公共预算财政拨款支出决算变动情况）（柱状图）</w:t>
      </w:r>
    </w:p>
    <w:p>
      <w:pPr>
        <w:pageBreakBefore w:val="0"/>
        <w:widowControl w:val="0"/>
        <w:kinsoku/>
        <w:wordWrap/>
        <w:overflowPunct/>
        <w:topLinePunct w:val="0"/>
        <w:autoSpaceDE/>
        <w:autoSpaceDN/>
        <w:bidi w:val="0"/>
        <w:adjustRightInd/>
        <w:snapToGrid/>
        <w:spacing w:line="560" w:lineRule="exact"/>
        <w:ind w:left="0" w:right="0" w:firstLine="420" w:firstLineChars="200"/>
        <w:textAlignment w:val="auto"/>
        <w:rPr>
          <w:rFonts w:ascii="仿宋" w:hAnsi="仿宋" w:eastAsia="仿宋"/>
          <w:b/>
          <w:color w:val="000000"/>
          <w:sz w:val="32"/>
          <w:szCs w:val="32"/>
        </w:rPr>
      </w:pPr>
      <w:r>
        <w:drawing>
          <wp:anchor distT="0" distB="0" distL="114300" distR="114300" simplePos="0" relativeHeight="251675648" behindDoc="0" locked="0" layoutInCell="1" allowOverlap="1">
            <wp:simplePos x="0" y="0"/>
            <wp:positionH relativeFrom="column">
              <wp:posOffset>-186055</wp:posOffset>
            </wp:positionH>
            <wp:positionV relativeFrom="paragraph">
              <wp:posOffset>280670</wp:posOffset>
            </wp:positionV>
            <wp:extent cx="5962650" cy="2743200"/>
            <wp:effectExtent l="4445" t="4445" r="14605" b="14605"/>
            <wp:wrapSquare wrapText="bothSides"/>
            <wp:docPr id="156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37" w:name="_Toc15377211"/>
      <w:r>
        <w:rPr>
          <w:rFonts w:hint="eastAsia" w:ascii="仿宋" w:hAnsi="仿宋" w:eastAsia="仿宋"/>
          <w:b/>
          <w:color w:val="000000"/>
          <w:sz w:val="32"/>
          <w:szCs w:val="32"/>
        </w:rPr>
        <w:t>（二）一般公共预算财政拨款支出决算结构情况</w:t>
      </w:r>
      <w:bookmarkEnd w:id="37"/>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Times New Roman" w:eastAsia="仿宋_GB2312" w:cs="Times New Roman"/>
          <w:bCs/>
          <w:color w:val="auto"/>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202</w:t>
      </w:r>
      <w:r>
        <w:rPr>
          <w:rFonts w:hint="eastAsia" w:ascii="仿宋_GB2312" w:eastAsia="仿宋_GB2312" w:cs="Times New Roman"/>
          <w:bCs/>
          <w:color w:val="000000"/>
          <w:kern w:val="0"/>
          <w:sz w:val="32"/>
          <w:szCs w:val="32"/>
          <w:lang w:val="en-US" w:eastAsia="zh-CN" w:bidi="ar-SA"/>
        </w:rPr>
        <w:t>2</w:t>
      </w:r>
      <w:r>
        <w:rPr>
          <w:rFonts w:hint="eastAsia" w:ascii="仿宋_GB2312" w:hAnsi="Times New Roman" w:eastAsia="仿宋_GB2312" w:cs="Times New Roman"/>
          <w:bCs/>
          <w:color w:val="000000"/>
          <w:kern w:val="0"/>
          <w:sz w:val="32"/>
          <w:szCs w:val="32"/>
          <w:lang w:val="en-US" w:eastAsia="zh-CN" w:bidi="ar-SA"/>
        </w:rPr>
        <w:t>年一般公共预算财政拨款支出</w:t>
      </w:r>
      <w:r>
        <w:rPr>
          <w:rFonts w:hint="eastAsia" w:ascii="仿宋_GB2312" w:eastAsia="仿宋_GB2312" w:cs="Times New Roman"/>
          <w:bCs/>
          <w:color w:val="000000"/>
          <w:kern w:val="0"/>
          <w:sz w:val="32"/>
          <w:szCs w:val="32"/>
          <w:lang w:val="en-US" w:eastAsia="zh-CN" w:bidi="ar-SA"/>
        </w:rPr>
        <w:t>484.64</w:t>
      </w:r>
      <w:r>
        <w:rPr>
          <w:rFonts w:hint="eastAsia" w:ascii="仿宋_GB2312" w:hAnsi="Times New Roman" w:eastAsia="仿宋_GB2312" w:cs="Times New Roman"/>
          <w:bCs/>
          <w:color w:val="000000"/>
          <w:kern w:val="0"/>
          <w:sz w:val="32"/>
          <w:szCs w:val="32"/>
          <w:lang w:val="en-US" w:eastAsia="zh-CN" w:bidi="ar-SA"/>
        </w:rPr>
        <w:t>万元，主要用于以下方面:一般公共服务（类）支出0.00万元，占0.00%；教育支出（类）</w:t>
      </w:r>
      <w:r>
        <w:rPr>
          <w:rFonts w:hint="eastAsia" w:ascii="仿宋_GB2312" w:eastAsia="仿宋_GB2312" w:cs="Times New Roman"/>
          <w:bCs/>
          <w:color w:val="000000"/>
          <w:kern w:val="0"/>
          <w:sz w:val="32"/>
          <w:szCs w:val="32"/>
          <w:lang w:val="en-US" w:eastAsia="zh-CN" w:bidi="ar-SA"/>
        </w:rPr>
        <w:t>391.71</w:t>
      </w:r>
      <w:r>
        <w:rPr>
          <w:rFonts w:hint="eastAsia" w:ascii="仿宋_GB2312" w:hAnsi="Times New Roman" w:eastAsia="仿宋_GB2312" w:cs="Times New Roman"/>
          <w:bCs/>
          <w:color w:val="000000"/>
          <w:kern w:val="0"/>
          <w:sz w:val="32"/>
          <w:szCs w:val="32"/>
          <w:lang w:val="en-US" w:eastAsia="zh-CN" w:bidi="ar-SA"/>
        </w:rPr>
        <w:t>万元，</w:t>
      </w:r>
      <w:r>
        <w:rPr>
          <w:rFonts w:hint="eastAsia" w:ascii="仿宋_GB2312" w:hAnsi="Times New Roman" w:eastAsia="仿宋_GB2312" w:cs="Times New Roman"/>
          <w:bCs/>
          <w:color w:val="auto"/>
          <w:kern w:val="0"/>
          <w:sz w:val="32"/>
          <w:szCs w:val="32"/>
          <w:lang w:val="en-US" w:eastAsia="zh-CN" w:bidi="ar-SA"/>
        </w:rPr>
        <w:t>占</w:t>
      </w:r>
      <w:r>
        <w:rPr>
          <w:rFonts w:hint="eastAsia" w:ascii="仿宋_GB2312" w:eastAsia="仿宋_GB2312" w:cs="Times New Roman"/>
          <w:bCs/>
          <w:color w:val="auto"/>
          <w:kern w:val="0"/>
          <w:sz w:val="32"/>
          <w:szCs w:val="32"/>
          <w:lang w:val="en-US" w:eastAsia="zh-CN" w:bidi="ar-SA"/>
        </w:rPr>
        <w:t>80.8</w:t>
      </w:r>
      <w:r>
        <w:rPr>
          <w:rFonts w:hint="eastAsia" w:ascii="仿宋_GB2312" w:hAnsi="Times New Roman" w:eastAsia="仿宋_GB2312" w:cs="Times New Roman"/>
          <w:bCs/>
          <w:color w:val="000000"/>
          <w:kern w:val="0"/>
          <w:sz w:val="32"/>
          <w:szCs w:val="32"/>
          <w:lang w:val="en-US" w:eastAsia="zh-CN" w:bidi="ar-SA"/>
        </w:rPr>
        <w:t>%；科学技术（类）支出0.00万元，占0.00%；社会保障和就业（类）支出</w:t>
      </w:r>
      <w:r>
        <w:rPr>
          <w:rFonts w:hint="eastAsia" w:ascii="仿宋_GB2312" w:eastAsia="仿宋_GB2312" w:cs="Times New Roman"/>
          <w:bCs/>
          <w:color w:val="000000"/>
          <w:kern w:val="0"/>
          <w:sz w:val="32"/>
          <w:szCs w:val="32"/>
          <w:lang w:val="en-US" w:eastAsia="zh-CN" w:bidi="ar-SA"/>
        </w:rPr>
        <w:t>57.99</w:t>
      </w:r>
      <w:r>
        <w:rPr>
          <w:rFonts w:hint="eastAsia" w:ascii="仿宋_GB2312" w:hAnsi="Times New Roman" w:eastAsia="仿宋_GB2312" w:cs="Times New Roman"/>
          <w:bCs/>
          <w:color w:val="000000"/>
          <w:kern w:val="0"/>
          <w:sz w:val="32"/>
          <w:szCs w:val="32"/>
          <w:lang w:val="en-US" w:eastAsia="zh-CN" w:bidi="ar-SA"/>
        </w:rPr>
        <w:t>万元，</w:t>
      </w:r>
      <w:r>
        <w:rPr>
          <w:rFonts w:hint="eastAsia" w:ascii="仿宋_GB2312" w:hAnsi="Times New Roman" w:eastAsia="仿宋_GB2312" w:cs="Times New Roman"/>
          <w:bCs/>
          <w:color w:val="auto"/>
          <w:kern w:val="0"/>
          <w:sz w:val="32"/>
          <w:szCs w:val="32"/>
          <w:lang w:val="en-US" w:eastAsia="zh-CN" w:bidi="ar-SA"/>
        </w:rPr>
        <w:t>占</w:t>
      </w:r>
      <w:r>
        <w:rPr>
          <w:rFonts w:hint="eastAsia" w:ascii="仿宋_GB2312" w:eastAsia="仿宋_GB2312" w:cs="Times New Roman"/>
          <w:bCs/>
          <w:color w:val="auto"/>
          <w:kern w:val="0"/>
          <w:sz w:val="32"/>
          <w:szCs w:val="32"/>
          <w:lang w:val="en-US" w:eastAsia="zh-CN" w:bidi="ar-SA"/>
        </w:rPr>
        <w:t>12</w:t>
      </w:r>
      <w:r>
        <w:rPr>
          <w:rFonts w:hint="eastAsia" w:ascii="仿宋_GB2312" w:hAnsi="Times New Roman" w:eastAsia="仿宋_GB2312" w:cs="Times New Roman"/>
          <w:bCs/>
          <w:color w:val="auto"/>
          <w:kern w:val="0"/>
          <w:sz w:val="32"/>
          <w:szCs w:val="32"/>
          <w:lang w:val="en-US" w:eastAsia="zh-CN" w:bidi="ar-SA"/>
        </w:rPr>
        <w:t>%；卫生健康支出（类）</w:t>
      </w:r>
      <w:r>
        <w:rPr>
          <w:rFonts w:hint="eastAsia" w:ascii="仿宋_GB2312" w:eastAsia="仿宋_GB2312" w:cs="Times New Roman"/>
          <w:bCs/>
          <w:color w:val="auto"/>
          <w:kern w:val="0"/>
          <w:sz w:val="32"/>
          <w:szCs w:val="32"/>
          <w:lang w:val="en-US" w:eastAsia="zh-CN" w:bidi="ar-SA"/>
        </w:rPr>
        <w:t>21.48</w:t>
      </w:r>
      <w:r>
        <w:rPr>
          <w:rFonts w:hint="eastAsia" w:ascii="仿宋_GB2312" w:hAnsi="Times New Roman" w:eastAsia="仿宋_GB2312" w:cs="Times New Roman"/>
          <w:bCs/>
          <w:color w:val="auto"/>
          <w:kern w:val="0"/>
          <w:sz w:val="32"/>
          <w:szCs w:val="32"/>
          <w:lang w:val="en-US" w:eastAsia="zh-CN" w:bidi="ar-SA"/>
        </w:rPr>
        <w:t>万元，占</w:t>
      </w:r>
      <w:r>
        <w:rPr>
          <w:rFonts w:hint="eastAsia" w:ascii="仿宋_GB2312" w:eastAsia="仿宋_GB2312" w:cs="Times New Roman"/>
          <w:bCs/>
          <w:color w:val="auto"/>
          <w:kern w:val="0"/>
          <w:sz w:val="32"/>
          <w:szCs w:val="32"/>
          <w:lang w:val="en-US" w:eastAsia="zh-CN" w:bidi="ar-SA"/>
        </w:rPr>
        <w:t>4.4</w:t>
      </w:r>
      <w:r>
        <w:rPr>
          <w:rFonts w:hint="eastAsia" w:ascii="仿宋_GB2312" w:hAnsi="Times New Roman" w:eastAsia="仿宋_GB2312" w:cs="Times New Roman"/>
          <w:bCs/>
          <w:color w:val="auto"/>
          <w:kern w:val="0"/>
          <w:sz w:val="32"/>
          <w:szCs w:val="32"/>
          <w:lang w:val="en-US" w:eastAsia="zh-CN" w:bidi="ar-SA"/>
        </w:rPr>
        <w:t>%；住房保障支出</w:t>
      </w:r>
      <w:r>
        <w:rPr>
          <w:rFonts w:hint="eastAsia" w:ascii="仿宋_GB2312" w:eastAsia="仿宋_GB2312" w:cs="Times New Roman"/>
          <w:bCs/>
          <w:color w:val="auto"/>
          <w:kern w:val="0"/>
          <w:sz w:val="32"/>
          <w:szCs w:val="32"/>
          <w:lang w:val="en-US" w:eastAsia="zh-CN" w:bidi="ar-SA"/>
        </w:rPr>
        <w:t>28.03</w:t>
      </w:r>
      <w:r>
        <w:rPr>
          <w:rFonts w:hint="eastAsia" w:ascii="仿宋_GB2312" w:hAnsi="Times New Roman" w:eastAsia="仿宋_GB2312" w:cs="Times New Roman"/>
          <w:bCs/>
          <w:color w:val="auto"/>
          <w:kern w:val="0"/>
          <w:sz w:val="32"/>
          <w:szCs w:val="32"/>
          <w:lang w:val="en-US" w:eastAsia="zh-CN" w:bidi="ar-SA"/>
        </w:rPr>
        <w:t>万元，占</w:t>
      </w:r>
      <w:r>
        <w:rPr>
          <w:rFonts w:hint="eastAsia" w:ascii="仿宋_GB2312" w:eastAsia="仿宋_GB2312" w:cs="Times New Roman"/>
          <w:bCs/>
          <w:color w:val="auto"/>
          <w:kern w:val="0"/>
          <w:sz w:val="32"/>
          <w:szCs w:val="32"/>
          <w:lang w:val="en-US" w:eastAsia="zh-CN" w:bidi="ar-SA"/>
        </w:rPr>
        <w:t>5.8</w:t>
      </w:r>
      <w:r>
        <w:rPr>
          <w:rFonts w:hint="eastAsia" w:ascii="仿宋_GB2312" w:hAnsi="Times New Roman" w:eastAsia="仿宋_GB2312" w:cs="Times New Roman"/>
          <w:bCs/>
          <w:color w:val="auto"/>
          <w:kern w:val="0"/>
          <w:sz w:val="32"/>
          <w:szCs w:val="32"/>
          <w:lang w:val="en-US" w:eastAsia="zh-CN" w:bidi="ar-SA"/>
        </w:rPr>
        <w:t>%。</w:t>
      </w:r>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（图6：一般公共预算财政拨款支出决算结构）（饼状图）</w:t>
      </w:r>
    </w:p>
    <w:p>
      <w:pPr>
        <w:spacing w:line="600" w:lineRule="exact"/>
        <w:ind w:firstLine="420" w:firstLineChars="200"/>
        <w:rPr>
          <w:rFonts w:hint="eastAsia" w:ascii="仿宋_GB2312" w:hAnsi="仿宋_GB2312" w:eastAsia="仿宋_GB2312" w:cs="仿宋_GB2312"/>
          <w:b/>
          <w:color w:val="000000" w:themeColor="text1"/>
          <w:sz w:val="32"/>
          <w:szCs w:val="32"/>
          <w14:textFill>
            <w14:solidFill>
              <w14:schemeClr w14:val="tx1"/>
            </w14:solidFill>
          </w14:textFill>
        </w:rPr>
      </w:pPr>
      <w:r>
        <w:drawing>
          <wp:anchor distT="0" distB="0" distL="114300" distR="114300" simplePos="0" relativeHeight="251676672" behindDoc="0" locked="0" layoutInCell="1" allowOverlap="1">
            <wp:simplePos x="0" y="0"/>
            <wp:positionH relativeFrom="column">
              <wp:posOffset>-33020</wp:posOffset>
            </wp:positionH>
            <wp:positionV relativeFrom="paragraph">
              <wp:posOffset>48895</wp:posOffset>
            </wp:positionV>
            <wp:extent cx="5725160" cy="2630805"/>
            <wp:effectExtent l="4445" t="4445" r="23495" b="12700"/>
            <wp:wrapSquare wrapText="bothSides"/>
            <wp:docPr id="156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Start w:id="38" w:name="_Toc15377212"/>
      <w:r>
        <w:rPr>
          <w:rFonts w:hint="eastAsia" w:ascii="仿宋_GB2312" w:hAnsi="仿宋_GB2312" w:eastAsia="仿宋_GB2312" w:cs="仿宋_GB2312"/>
          <w:b/>
          <w:color w:val="000000"/>
          <w:sz w:val="32"/>
          <w:szCs w:val="32"/>
        </w:rPr>
        <w:t>（三）一般公共预算财政拨款支出决算具体情况</w:t>
      </w:r>
      <w:bookmarkEnd w:id="38"/>
      <w:bookmarkStart w:id="39" w:name="_Toc15377213"/>
      <w:bookmarkStart w:id="40" w:name="_Toc15377444"/>
      <w:bookmarkStart w:id="41" w:name="_Toc15378460"/>
    </w:p>
    <w:bookmarkEnd w:id="39"/>
    <w:bookmarkEnd w:id="40"/>
    <w:bookmarkEnd w:id="41"/>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2022年一般公共预算支出决算数为484.64万元，完成预算100%。其中：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1.教育2050201: 支出决算为391.71万元，完成预算100%。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2.社会保障和就业2080505: 支出决算为57.99万元，完成预算100%，2080506: 支出决算为19.33万元，完成预算100%。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3.医疗卫生与计划生育2101102:支出决算为21.48万元，完成预算100%，2101199:支出决算为3.23万元，完成预算100%。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4.住房保障2210201：支出决算为:28.03万元，完成预算100%。</w:t>
      </w:r>
    </w:p>
    <w:p>
      <w:pPr>
        <w:keepNext w:val="0"/>
        <w:keepLines w:val="0"/>
        <w:pageBreakBefore w:val="0"/>
        <w:widowControl w:val="0"/>
        <w:tabs>
          <w:tab w:val="right" w:pos="8306"/>
        </w:tabs>
        <w:kinsoku/>
        <w:wordWrap/>
        <w:overflowPunct/>
        <w:topLinePunct w:val="0"/>
        <w:bidi w:val="0"/>
        <w:snapToGrid/>
        <w:spacing w:line="560" w:lineRule="exact"/>
        <w:ind w:firstLine="640" w:firstLineChars="200"/>
        <w:textAlignment w:val="auto"/>
        <w:outlineLvl w:val="1"/>
        <w:rPr>
          <w:rStyle w:val="27"/>
          <w:rFonts w:hint="eastAsia" w:ascii="仿宋_GB2312" w:hAnsi="仿宋_GB2312" w:eastAsia="仿宋_GB2312" w:cs="仿宋_GB2312"/>
        </w:rPr>
      </w:pPr>
      <w:bookmarkStart w:id="42" w:name="_Toc15377214"/>
      <w:bookmarkStart w:id="43" w:name="_Toc13068"/>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b/>
          <w:color w:val="000000"/>
          <w:sz w:val="32"/>
          <w:szCs w:val="32"/>
        </w:rPr>
        <w:t>、一</w:t>
      </w:r>
      <w:r>
        <w:rPr>
          <w:rStyle w:val="27"/>
          <w:rFonts w:hint="eastAsia" w:ascii="仿宋_GB2312" w:hAnsi="仿宋_GB2312" w:eastAsia="仿宋_GB2312" w:cs="仿宋_GB2312"/>
          <w:b w:val="0"/>
        </w:rPr>
        <w:t>般公共预算财政拨款基本支出决算情况说明</w:t>
      </w:r>
      <w:bookmarkEnd w:id="42"/>
      <w:bookmarkEnd w:id="43"/>
      <w:r>
        <w:rPr>
          <w:rStyle w:val="27"/>
          <w:rFonts w:hint="eastAsia" w:ascii="仿宋_GB2312" w:hAnsi="仿宋_GB2312" w:eastAsia="仿宋_GB2312" w:cs="仿宋_GB2312"/>
          <w:b w:val="0"/>
        </w:rPr>
        <w:tab/>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2022年一般公共预算财政拨款基本支出397.57万元，其中：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人员经费404.62万元，主要包括：基本工资79.22万元、津贴补贴147.93万元、奖金6.21万元、绩效工资56.69万元、机关事业单位基本养老保险缴费38.66万元、职业年金缴费19.33万元、职工基本医疗保险缴费18.25万元，公务员医疗补助缴费3.23万元、其他社会保障缴费5.6万元、医疗费0万元、住房公积金28.03万元。</w:t>
      </w:r>
      <w:r>
        <w:rPr>
          <w:rFonts w:hint="eastAsia" w:ascii="仿宋_GB2312" w:hAnsi="仿宋_GB2312" w:eastAsia="仿宋_GB2312" w:cs="仿宋_GB2312"/>
          <w:bCs/>
          <w:color w:val="000000"/>
          <w:kern w:val="0"/>
          <w:sz w:val="32"/>
          <w:szCs w:val="32"/>
          <w:lang w:val="en-US" w:eastAsia="zh-CN" w:bidi="ar-SA"/>
        </w:rPr>
        <w:br w:type="textWrapping"/>
      </w:r>
      <w:r>
        <w:rPr>
          <w:rFonts w:hint="eastAsia" w:ascii="仿宋_GB2312" w:hAnsi="仿宋_GB2312" w:eastAsia="仿宋_GB2312" w:cs="仿宋_GB2312"/>
          <w:bCs/>
          <w:color w:val="000000"/>
          <w:kern w:val="0"/>
          <w:sz w:val="32"/>
          <w:szCs w:val="32"/>
          <w:lang w:val="en-US" w:eastAsia="zh-CN" w:bidi="ar-SA"/>
        </w:rPr>
        <w:t>日常公用经费4.24万元，主要包括：公杂费3.29元、手续费0.01元、电费1元、培训费0.1元。</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1"/>
        <w:rPr>
          <w:rStyle w:val="27"/>
          <w:rFonts w:hint="eastAsia" w:ascii="仿宋_GB2312" w:hAnsi="仿宋_GB2312" w:eastAsia="仿宋_GB2312" w:cs="仿宋_GB2312"/>
          <w:b w:val="0"/>
        </w:rPr>
      </w:pPr>
      <w:bookmarkStart w:id="44" w:name="_Toc18018"/>
      <w:bookmarkStart w:id="45" w:name="_Toc15377215"/>
      <w:r>
        <w:rPr>
          <w:rFonts w:hint="eastAsia" w:ascii="仿宋_GB2312" w:hAnsi="仿宋_GB2312" w:eastAsia="仿宋_GB2312" w:cs="仿宋_GB2312"/>
          <w:color w:val="000000"/>
          <w:sz w:val="32"/>
          <w:szCs w:val="32"/>
        </w:rPr>
        <w:t>七、</w:t>
      </w:r>
      <w:r>
        <w:rPr>
          <w:rStyle w:val="27"/>
          <w:rFonts w:hint="eastAsia" w:ascii="仿宋_GB2312" w:hAnsi="仿宋_GB2312" w:eastAsia="仿宋_GB2312" w:cs="仿宋_GB2312"/>
        </w:rPr>
        <w:t>“</w:t>
      </w:r>
      <w:r>
        <w:rPr>
          <w:rStyle w:val="27"/>
          <w:rFonts w:hint="eastAsia" w:ascii="仿宋_GB2312" w:hAnsi="仿宋_GB2312" w:eastAsia="仿宋_GB2312" w:cs="仿宋_GB2312"/>
          <w:b w:val="0"/>
        </w:rPr>
        <w:t>三公”经费财政拨款支出决算情况说明</w:t>
      </w:r>
      <w:bookmarkEnd w:id="44"/>
      <w:bookmarkEnd w:id="45"/>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eastAsia" w:ascii="仿宋_GB2312" w:hAnsi="仿宋_GB2312" w:eastAsia="仿宋_GB2312" w:cs="仿宋_GB2312"/>
          <w:b/>
          <w:color w:val="000000"/>
          <w:sz w:val="32"/>
          <w:szCs w:val="32"/>
        </w:rPr>
      </w:pPr>
      <w:bookmarkStart w:id="46" w:name="_Toc15377216"/>
      <w:r>
        <w:rPr>
          <w:rFonts w:hint="eastAsia" w:ascii="仿宋_GB2312" w:hAnsi="仿宋_GB2312" w:eastAsia="仿宋_GB2312" w:cs="仿宋_GB2312"/>
          <w:b/>
          <w:color w:val="000000"/>
          <w:sz w:val="32"/>
          <w:szCs w:val="32"/>
        </w:rPr>
        <w:t>（一）“三公”经费财政拨款支出决算总体情况说明</w:t>
      </w:r>
      <w:bookmarkEnd w:id="46"/>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2021年“三公”经费财政拨款支出决算为0.00万元，完成预算0.00%。与预算数持平。</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eastAsia" w:ascii="仿宋_GB2312" w:hAnsi="仿宋_GB2312" w:eastAsia="仿宋_GB2312" w:cs="仿宋_GB2312"/>
          <w:b/>
          <w:color w:val="000000"/>
          <w:sz w:val="32"/>
          <w:szCs w:val="32"/>
        </w:rPr>
      </w:pPr>
      <w:bookmarkStart w:id="47" w:name="_Toc15377217"/>
      <w:r>
        <w:rPr>
          <w:rFonts w:hint="eastAsia" w:ascii="仿宋_GB2312" w:hAnsi="仿宋_GB2312" w:eastAsia="仿宋_GB2312" w:cs="仿宋_GB2312"/>
          <w:b/>
          <w:color w:val="000000"/>
          <w:sz w:val="32"/>
          <w:szCs w:val="32"/>
        </w:rPr>
        <w:t>（二）“三公”经费财政拨款支出决算具体情况说明</w:t>
      </w:r>
      <w:bookmarkEnd w:id="47"/>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2021年“三公”经费财政拨款支出决算中，因公出国（境）费支出决算0.00万元，占0.00%；公务用车购置及运行维护费支出决算0.00万元，占0.00%；公务接待费支出决算0.00万元，占0.00%。具体情况如下：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w:t>
      </w:r>
      <w:r>
        <w:rPr>
          <w:rFonts w:hint="eastAsia" w:ascii="仿宋_GB2312" w:hAnsi="仿宋_GB2312" w:eastAsia="仿宋_GB2312" w:cs="仿宋_GB2312"/>
          <w:b/>
          <w:bCs w:val="0"/>
          <w:color w:val="000000"/>
          <w:kern w:val="0"/>
          <w:sz w:val="32"/>
          <w:szCs w:val="32"/>
          <w:lang w:val="en-US" w:eastAsia="zh-CN" w:bidi="ar-SA"/>
        </w:rPr>
        <w:t>因公出国（境）经费支出0.00万元</w:t>
      </w:r>
      <w:r>
        <w:rPr>
          <w:rFonts w:hint="eastAsia" w:ascii="仿宋_GB2312" w:hAnsi="仿宋_GB2312" w:eastAsia="仿宋_GB2312" w:cs="仿宋_GB2312"/>
          <w:bCs/>
          <w:color w:val="000000"/>
          <w:kern w:val="0"/>
          <w:sz w:val="32"/>
          <w:szCs w:val="32"/>
          <w:lang w:val="en-US" w:eastAsia="zh-CN" w:bidi="ar-SA"/>
        </w:rPr>
        <w:t>，完成预算0.00%。全年安排因公出国（境）团组0次，出国（境）0人。因公出国（境）支出决算与2022持平。</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rPr>
        <w:t>0万元,完成预算0%。公务用车购置及运行维护费支出决算与</w:t>
      </w:r>
      <w:r>
        <w:rPr>
          <w:rFonts w:hint="eastAsia" w:ascii="仿宋_GB2312" w:hAnsi="仿宋_GB2312" w:eastAsia="仿宋_GB2312" w:cs="仿宋_GB2312"/>
          <w:color w:val="000000"/>
          <w:sz w:val="32"/>
          <w:szCs w:val="32"/>
          <w:lang w:eastAsia="zh-CN"/>
        </w:rPr>
        <w:t>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持平。</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color w:val="000000"/>
          <w:sz w:val="32"/>
          <w:szCs w:val="32"/>
        </w:rPr>
        <w:t>公务用车购置支出</w:t>
      </w:r>
      <w:r>
        <w:rPr>
          <w:rFonts w:hint="eastAsia" w:ascii="仿宋_GB2312" w:hAnsi="仿宋_GB2312" w:eastAsia="仿宋_GB2312" w:cs="仿宋_GB2312"/>
          <w:bCs/>
          <w:color w:val="000000"/>
          <w:kern w:val="0"/>
          <w:sz w:val="32"/>
          <w:szCs w:val="32"/>
          <w:lang w:val="en-US" w:eastAsia="zh-CN" w:bidi="ar-SA"/>
        </w:rPr>
        <w:t>0万元。全年按规定更新购置公务用车0辆，其中：轿车0辆、金额0万元，越野车0辆、金额0万元，载客汽车0辆、金额0万元，主要用。截至2020年12月底，单位共有公务用车0辆，其中：轿车0辆、越野车0辆、载客汽车0辆。</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公务用车运行维护费支出</w:t>
      </w:r>
      <w:r>
        <w:rPr>
          <w:rFonts w:hint="eastAsia" w:ascii="仿宋_GB2312" w:hAnsi="仿宋_GB2312" w:eastAsia="仿宋_GB2312" w:cs="仿宋_GB2312"/>
          <w:color w:val="000000"/>
          <w:sz w:val="32"/>
          <w:szCs w:val="32"/>
        </w:rPr>
        <w:t>0万元。</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b/>
          <w:color w:val="000000"/>
          <w:sz w:val="32"/>
          <w:szCs w:val="32"/>
        </w:rPr>
        <w:t>公务接待费支出</w:t>
      </w:r>
      <w:r>
        <w:rPr>
          <w:rFonts w:hint="eastAsia" w:ascii="仿宋_GB2312" w:hAnsi="仿宋_GB2312" w:eastAsia="仿宋_GB2312" w:cs="仿宋_GB2312"/>
          <w:color w:val="000000"/>
          <w:sz w:val="32"/>
          <w:szCs w:val="32"/>
        </w:rPr>
        <w:t>0万元，完成预算0%。</w:t>
      </w:r>
      <w:r>
        <w:rPr>
          <w:rFonts w:hint="eastAsia" w:ascii="仿宋_GB2312" w:hAnsi="仿宋_GB2312" w:eastAsia="仿宋_GB2312" w:cs="仿宋_GB2312"/>
          <w:color w:val="000000"/>
          <w:sz w:val="32"/>
          <w:szCs w:val="32"/>
          <w:lang w:eastAsia="zh-CN"/>
        </w:rPr>
        <w:t>与上年持平。</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4.</w:t>
      </w:r>
      <w:r>
        <w:rPr>
          <w:rFonts w:hint="eastAsia" w:ascii="仿宋_GB2312" w:hAnsi="仿宋_GB2312" w:eastAsia="仿宋_GB2312" w:cs="仿宋_GB2312"/>
          <w:b/>
          <w:color w:val="000000"/>
          <w:sz w:val="32"/>
          <w:szCs w:val="32"/>
        </w:rPr>
        <w:t>外事接待支出</w:t>
      </w:r>
      <w:r>
        <w:rPr>
          <w:rFonts w:hint="eastAsia" w:ascii="仿宋_GB2312" w:hAnsi="仿宋_GB2312" w:eastAsia="仿宋_GB2312" w:cs="仿宋_GB2312"/>
          <w:color w:val="000000"/>
          <w:sz w:val="32"/>
          <w:szCs w:val="32"/>
        </w:rPr>
        <w:t>0万元，外事接待0批次，0人，共计支出0万元。</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rPr>
        <w:t>其他国内公务接待支出</w:t>
      </w:r>
      <w:r>
        <w:rPr>
          <w:rFonts w:hint="eastAsia" w:ascii="仿宋_GB2312" w:hAnsi="仿宋_GB2312" w:eastAsia="仿宋_GB2312" w:cs="仿宋_GB2312"/>
          <w:color w:val="000000"/>
          <w:sz w:val="32"/>
          <w:szCs w:val="32"/>
        </w:rPr>
        <w:t>0万元</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1"/>
        <w:rPr>
          <w:rStyle w:val="32"/>
          <w:rFonts w:hint="eastAsia" w:ascii="仿宋_GB2312" w:hAnsi="仿宋_GB2312" w:eastAsia="仿宋_GB2312" w:cs="仿宋_GB2312"/>
        </w:rPr>
      </w:pPr>
      <w:bookmarkStart w:id="48" w:name="_Toc15377218"/>
      <w:bookmarkStart w:id="49" w:name="_Toc10315"/>
      <w:r>
        <w:rPr>
          <w:rFonts w:hint="eastAsia" w:ascii="仿宋_GB2312" w:hAnsi="仿宋_GB2312" w:eastAsia="仿宋_GB2312" w:cs="仿宋_GB2312"/>
          <w:color w:val="000000"/>
          <w:sz w:val="32"/>
          <w:szCs w:val="32"/>
        </w:rPr>
        <w:t>八、</w:t>
      </w:r>
      <w:r>
        <w:rPr>
          <w:rStyle w:val="32"/>
          <w:rFonts w:hint="eastAsia" w:ascii="仿宋_GB2312" w:hAnsi="仿宋_GB2312" w:eastAsia="仿宋_GB2312" w:cs="仿宋_GB2312"/>
          <w:b w:val="0"/>
        </w:rPr>
        <w:t>政府性基金预算支出决算情况说明</w:t>
      </w:r>
      <w:bookmarkEnd w:id="48"/>
      <w:bookmarkEnd w:id="49"/>
      <w:r>
        <w:rPr>
          <w:rStyle w:val="32"/>
          <w:rFonts w:hint="eastAsia" w:ascii="仿宋_GB2312" w:hAnsi="仿宋_GB2312" w:eastAsia="仿宋_GB2312" w:cs="仿宋_GB2312"/>
          <w:b w:val="0"/>
        </w:rPr>
        <w:t xml:space="preserve">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2022年政府性基金预算拨款支出0万元。</w:t>
      </w:r>
    </w:p>
    <w:p>
      <w:pPr>
        <w:keepNext w:val="0"/>
        <w:keepLines w:val="0"/>
        <w:pageBreakBefore w:val="0"/>
        <w:widowControl w:val="0"/>
        <w:numPr>
          <w:ilvl w:val="0"/>
          <w:numId w:val="2"/>
        </w:numPr>
        <w:kinsoku/>
        <w:wordWrap/>
        <w:overflowPunct/>
        <w:topLinePunct w:val="0"/>
        <w:bidi w:val="0"/>
        <w:snapToGrid/>
        <w:spacing w:line="560" w:lineRule="exact"/>
        <w:ind w:firstLine="640" w:firstLineChars="200"/>
        <w:textAlignment w:val="auto"/>
        <w:outlineLvl w:val="1"/>
        <w:rPr>
          <w:rStyle w:val="32"/>
          <w:rFonts w:hint="eastAsia" w:ascii="仿宋_GB2312" w:hAnsi="仿宋_GB2312" w:eastAsia="仿宋_GB2312" w:cs="仿宋_GB2312"/>
          <w:b w:val="0"/>
        </w:rPr>
      </w:pPr>
      <w:bookmarkStart w:id="50" w:name="_Toc11522"/>
      <w:bookmarkStart w:id="51" w:name="_Toc15377219"/>
      <w:r>
        <w:rPr>
          <w:rStyle w:val="32"/>
          <w:rFonts w:hint="eastAsia" w:ascii="仿宋_GB2312" w:hAnsi="仿宋_GB2312" w:eastAsia="仿宋_GB2312" w:cs="仿宋_GB2312"/>
          <w:b w:val="0"/>
        </w:rPr>
        <w:t>国有资本经营预算支出决算情况说明</w:t>
      </w:r>
      <w:bookmarkEnd w:id="50"/>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2022年国有资本经营预算拨款支出0万元。</w:t>
      </w:r>
    </w:p>
    <w:bookmarkEnd w:id="51"/>
    <w:p>
      <w:pPr>
        <w:keepNext w:val="0"/>
        <w:keepLines w:val="0"/>
        <w:pageBreakBefore w:val="0"/>
        <w:widowControl w:val="0"/>
        <w:numPr>
          <w:ilvl w:val="0"/>
          <w:numId w:val="2"/>
        </w:numPr>
        <w:kinsoku/>
        <w:wordWrap/>
        <w:overflowPunct/>
        <w:topLinePunct w:val="0"/>
        <w:bidi w:val="0"/>
        <w:snapToGrid/>
        <w:spacing w:line="560" w:lineRule="exact"/>
        <w:ind w:firstLine="640" w:firstLineChars="200"/>
        <w:textAlignment w:val="auto"/>
        <w:outlineLvl w:val="1"/>
        <w:rPr>
          <w:rStyle w:val="32"/>
          <w:rFonts w:hint="eastAsia" w:ascii="仿宋_GB2312" w:hAnsi="仿宋_GB2312" w:eastAsia="仿宋_GB2312" w:cs="仿宋_GB2312"/>
          <w:b w:val="0"/>
        </w:rPr>
      </w:pPr>
      <w:bookmarkStart w:id="52" w:name="_Toc25847"/>
      <w:r>
        <w:rPr>
          <w:rStyle w:val="32"/>
          <w:rFonts w:hint="eastAsia" w:ascii="仿宋_GB2312" w:hAnsi="仿宋_GB2312" w:eastAsia="仿宋_GB2312" w:cs="仿宋_GB2312"/>
          <w:b w:val="0"/>
          <w:lang w:eastAsia="zh-CN"/>
        </w:rPr>
        <w:t>其他重要事项的情况</w:t>
      </w:r>
      <w:r>
        <w:rPr>
          <w:rStyle w:val="32"/>
          <w:rFonts w:hint="eastAsia" w:ascii="仿宋_GB2312" w:hAnsi="仿宋_GB2312" w:eastAsia="仿宋_GB2312" w:cs="仿宋_GB2312"/>
          <w:b w:val="0"/>
        </w:rPr>
        <w:t>说明</w:t>
      </w:r>
      <w:bookmarkEnd w:id="52"/>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eastAsia" w:ascii="仿宋_GB2312" w:hAnsi="仿宋_GB2312" w:eastAsia="仿宋_GB2312" w:cs="仿宋_GB2312"/>
          <w:color w:val="000000"/>
          <w:sz w:val="32"/>
          <w:szCs w:val="32"/>
        </w:rPr>
      </w:pPr>
      <w:bookmarkStart w:id="53" w:name="_Toc15377222"/>
      <w:r>
        <w:rPr>
          <w:rFonts w:hint="eastAsia" w:ascii="仿宋_GB2312" w:hAnsi="仿宋_GB2312" w:eastAsia="仿宋_GB2312" w:cs="仿宋_GB2312"/>
          <w:b/>
          <w:color w:val="000000"/>
          <w:sz w:val="32"/>
          <w:szCs w:val="32"/>
        </w:rPr>
        <w:t>（一）机关运行经费支出情况</w:t>
      </w:r>
      <w:bookmarkEnd w:id="53"/>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我单位为事业单位，2022年，机关运行经费支出0万元，与2021年持平。</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eastAsia" w:ascii="仿宋_GB2312" w:hAnsi="仿宋_GB2312" w:eastAsia="仿宋_GB2312" w:cs="仿宋_GB2312"/>
          <w:b/>
          <w:color w:val="000000"/>
          <w:sz w:val="32"/>
          <w:szCs w:val="32"/>
        </w:rPr>
      </w:pPr>
      <w:bookmarkStart w:id="54" w:name="_Toc15377223"/>
      <w:r>
        <w:rPr>
          <w:rFonts w:hint="eastAsia" w:ascii="仿宋_GB2312" w:hAnsi="仿宋_GB2312" w:eastAsia="仿宋_GB2312" w:cs="仿宋_GB2312"/>
          <w:b/>
          <w:color w:val="000000"/>
          <w:sz w:val="32"/>
          <w:szCs w:val="32"/>
        </w:rPr>
        <w:t>（二）政府采购支出情况</w:t>
      </w:r>
      <w:bookmarkEnd w:id="54"/>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2022年，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eastAsia" w:ascii="仿宋_GB2312" w:hAnsi="仿宋_GB2312" w:eastAsia="仿宋_GB2312" w:cs="仿宋_GB2312"/>
          <w:b/>
          <w:color w:val="000000"/>
          <w:sz w:val="32"/>
          <w:szCs w:val="32"/>
        </w:rPr>
      </w:pPr>
      <w:bookmarkStart w:id="55" w:name="_Toc15377224"/>
      <w:r>
        <w:rPr>
          <w:rFonts w:hint="eastAsia" w:ascii="仿宋_GB2312" w:hAnsi="仿宋_GB2312" w:eastAsia="仿宋_GB2312" w:cs="仿宋_GB2312"/>
          <w:b/>
          <w:color w:val="000000"/>
          <w:sz w:val="32"/>
          <w:szCs w:val="32"/>
        </w:rPr>
        <w:t>（三）国有资产占有使用情况</w:t>
      </w:r>
      <w:bookmarkEnd w:id="55"/>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截至2022年12月31日，共有车辆0辆，其中：部级领导干部用车0辆、一般公务用车0辆、一般执法执勤用车0辆、特种专业技术用车0辆、其他用车0辆，其他用车主要是用于单价50万元以上通用设备0台（套），单价100万元以上专用设备0台（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eastAsia="zh-CN"/>
        </w:rPr>
        <w:t>（四）</w:t>
      </w:r>
      <w:r>
        <w:rPr>
          <w:rFonts w:hint="eastAsia" w:ascii="仿宋_GB2312" w:hAnsi="仿宋_GB2312" w:eastAsia="仿宋_GB2312" w:cs="仿宋_GB2312"/>
          <w:b/>
          <w:color w:val="000000"/>
          <w:sz w:val="32"/>
          <w:szCs w:val="32"/>
        </w:rPr>
        <w:t>预算绩效管理情况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根据预算绩效管理要求，本单位在年初预算编制阶段，由学校领导牵头召开会议，制定学校规章制度，通过会议明确各处职责，学校开展考勤制度，确保执行，强化绩效，公开透明的公开化，管好用好财政资金更好的使用绩效。绩效考核作为资金管理与分配的核心依据，根据</w:t>
      </w:r>
      <w:r>
        <w:rPr>
          <w:rFonts w:hint="eastAsia" w:ascii="仿宋_GB2312" w:hAnsi="仿宋_GB2312" w:eastAsia="仿宋_GB2312" w:cs="仿宋_GB2312"/>
          <w:bCs/>
          <w:color w:val="000000"/>
          <w:kern w:val="0"/>
          <w:sz w:val="32"/>
          <w:szCs w:val="32"/>
          <w:lang w:val="zh-CN" w:eastAsia="zh-CN" w:bidi="ar-SA"/>
        </w:rPr>
        <w:t>工作规划和重点工作</w:t>
      </w:r>
      <w:r>
        <w:rPr>
          <w:rFonts w:hint="eastAsia" w:ascii="仿宋_GB2312" w:hAnsi="仿宋_GB2312" w:eastAsia="仿宋_GB2312" w:cs="仿宋_GB2312"/>
          <w:bCs/>
          <w:color w:val="000000"/>
          <w:kern w:val="0"/>
          <w:sz w:val="32"/>
          <w:szCs w:val="32"/>
          <w:lang w:val="en-US" w:eastAsia="zh-CN" w:bidi="ar-SA"/>
        </w:rPr>
        <w:t>规划</w:t>
      </w:r>
      <w:r>
        <w:rPr>
          <w:rFonts w:hint="eastAsia" w:ascii="仿宋_GB2312" w:hAnsi="仿宋_GB2312" w:eastAsia="仿宋_GB2312" w:cs="仿宋_GB2312"/>
          <w:bCs/>
          <w:color w:val="000000"/>
          <w:kern w:val="0"/>
          <w:sz w:val="32"/>
          <w:szCs w:val="32"/>
          <w:lang w:val="zh-CN" w:eastAsia="zh-CN" w:bidi="ar-SA"/>
        </w:rPr>
        <w:t>，积极履行职责，强化本单位预算管理，</w:t>
      </w:r>
      <w:r>
        <w:rPr>
          <w:rFonts w:hint="eastAsia" w:ascii="仿宋_GB2312" w:hAnsi="仿宋_GB2312" w:eastAsia="仿宋_GB2312" w:cs="仿宋_GB2312"/>
          <w:bCs/>
          <w:color w:val="000000"/>
          <w:kern w:val="0"/>
          <w:sz w:val="32"/>
          <w:szCs w:val="32"/>
          <w:lang w:val="en-US" w:eastAsia="zh-CN" w:bidi="ar-SA"/>
        </w:rPr>
        <w:t>单位进一步提高预算绩效管理认识，学校建立内部绩效评价工作考核制度，年终对有关业务的绩效评价工作开展情况进行考核，作为年终工作目标量化考核内容之一。强化以“绩效为中心、对支出结果负责、对社会公众负责”的理念，在绩效目标编制方面，数量目标和质量目标量化不细，效益目标编制不完整等方面加以了改善。加强预算绩效动态监控管理，加强相关人员的业务培训，进一步提高预算绩效评价质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在绩效目标编制方面，加强预算绩效动态监控管理，加强相关人员的业务培训，进一步提高预算绩效评价质量。积极履行职责，强化本单位预算管理，较好地完成年初绩效工作。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绩效管理机制工作不断推进，学校绩效目标编制方面，针对绩效目标设置指向不清、预算和目标匹配不足，目标编制不完整等方面加以了改善。目前单位绩效评价结果还停留在反映情况、找问题、提建议层面，评价结果和预算安排有机结合的机制尚未真正建立，还在逐步搭建，要进一步提高预算绩效管理认识，更好的实施绩效管理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本部门按要求对2022年部门整体支出绩效评价情况开展自评，《红原县邛溪镇双语幼儿园2022年部门整体支出绩效评价报告》见附件1</w:t>
      </w:r>
      <w:bookmarkStart w:id="56" w:name="_Toc15377221"/>
    </w:p>
    <w:bookmarkEnd w:id="56"/>
    <w:p>
      <w:pPr>
        <w:widowControl/>
        <w:jc w:val="center"/>
        <w:outlineLvl w:val="0"/>
        <w:rPr>
          <w:rStyle w:val="26"/>
          <w:rFonts w:ascii="黑体" w:hAnsi="黑体" w:eastAsia="黑体"/>
          <w:b w:val="0"/>
          <w:bCs/>
        </w:rPr>
      </w:pPr>
      <w:bookmarkStart w:id="57" w:name="_Toc15377225"/>
      <w:bookmarkStart w:id="58" w:name="_Toc23168"/>
      <w:r>
        <w:rPr>
          <w:rFonts w:hint="eastAsia" w:ascii="黑体" w:hAnsi="黑体" w:eastAsia="黑体"/>
          <w:b w:val="0"/>
          <w:bCs/>
          <w:color w:val="000000"/>
          <w:sz w:val="44"/>
          <w:szCs w:val="44"/>
          <w:lang w:eastAsia="zh-CN"/>
        </w:rPr>
        <w:t>第三部分</w:t>
      </w:r>
      <w:r>
        <w:rPr>
          <w:rFonts w:hint="eastAsia" w:ascii="黑体" w:hAnsi="黑体" w:eastAsia="黑体"/>
          <w:b w:val="0"/>
          <w:bCs/>
          <w:color w:val="000000"/>
          <w:sz w:val="44"/>
          <w:szCs w:val="44"/>
          <w:lang w:val="en-US" w:eastAsia="zh-CN"/>
        </w:rPr>
        <w:t xml:space="preserve"> </w:t>
      </w:r>
      <w:r>
        <w:rPr>
          <w:rFonts w:hint="eastAsia" w:ascii="黑体" w:hAnsi="黑体" w:eastAsia="黑体"/>
          <w:b w:val="0"/>
          <w:bCs/>
          <w:color w:val="000000"/>
          <w:sz w:val="44"/>
          <w:szCs w:val="44"/>
        </w:rPr>
        <w:t>名</w:t>
      </w:r>
      <w:r>
        <w:rPr>
          <w:rStyle w:val="26"/>
          <w:rFonts w:hint="eastAsia" w:ascii="黑体" w:hAnsi="黑体" w:eastAsia="黑体"/>
          <w:b w:val="0"/>
          <w:bCs/>
        </w:rPr>
        <w:t>词解释</w:t>
      </w:r>
      <w:bookmarkEnd w:id="57"/>
      <w:bookmarkEnd w:id="58"/>
    </w:p>
    <w:p>
      <w:pPr>
        <w:spacing w:line="600" w:lineRule="exact"/>
        <w:jc w:val="left"/>
        <w:rPr>
          <w:rFonts w:ascii="宋体"/>
          <w:b/>
          <w:color w:val="000000"/>
          <w:sz w:val="44"/>
          <w:szCs w:val="44"/>
        </w:rPr>
      </w:pP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bookmarkStart w:id="59"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教育局转入公用经费及利息收入</w:t>
      </w:r>
      <w:r>
        <w:rPr>
          <w:rFonts w:hint="eastAsia" w:ascii="仿宋_GB2312" w:eastAsia="仿宋_GB2312"/>
          <w:sz w:val="32"/>
          <w:szCs w:val="32"/>
        </w:rPr>
        <w:t>等。</w:t>
      </w:r>
      <w:r>
        <w:rPr>
          <w:rFonts w:ascii="仿宋_GB2312" w:eastAsia="仿宋_GB2312"/>
          <w:sz w:val="32"/>
          <w:szCs w:val="32"/>
        </w:rPr>
        <w:t xml:space="preserve"> </w:t>
      </w: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eastAsia="仿宋_GB2312"/>
          <w:sz w:val="32"/>
          <w:szCs w:val="32"/>
          <w:lang w:val="en-US" w:eastAsia="zh-CN"/>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教育</w:t>
      </w:r>
      <w:r>
        <w:rPr>
          <w:rFonts w:ascii="仿宋_GB2312" w:eastAsia="仿宋_GB2312"/>
          <w:color w:val="000000"/>
          <w:sz w:val="32"/>
          <w:szCs w:val="32"/>
        </w:rPr>
        <w:t>2050202</w:t>
      </w:r>
      <w:r>
        <w:rPr>
          <w:rFonts w:hint="eastAsia" w:ascii="仿宋_GB2312" w:eastAsia="仿宋_GB2312"/>
          <w:color w:val="000000"/>
          <w:sz w:val="32"/>
          <w:szCs w:val="32"/>
        </w:rPr>
        <w:t>：指小学教育收入；</w:t>
      </w:r>
      <w:r>
        <w:rPr>
          <w:rFonts w:ascii="仿宋_GB2312" w:eastAsia="仿宋_GB2312"/>
          <w:color w:val="000000"/>
          <w:sz w:val="32"/>
          <w:szCs w:val="32"/>
        </w:rPr>
        <w:t>2050299</w:t>
      </w:r>
      <w:r>
        <w:rPr>
          <w:rFonts w:hint="eastAsia" w:ascii="仿宋_GB2312" w:eastAsia="仿宋_GB2312"/>
          <w:color w:val="000000"/>
          <w:sz w:val="32"/>
          <w:szCs w:val="32"/>
        </w:rPr>
        <w:t>：指其他普通教育支出。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社会保障和就业</w:t>
      </w:r>
      <w:r>
        <w:rPr>
          <w:rFonts w:ascii="仿宋_GB2312" w:eastAsia="仿宋_GB2312"/>
          <w:color w:val="000000"/>
          <w:sz w:val="32"/>
          <w:szCs w:val="32"/>
        </w:rPr>
        <w:t>2080505</w:t>
      </w:r>
      <w:r>
        <w:rPr>
          <w:rFonts w:hint="eastAsia" w:ascii="仿宋_GB2312" w:eastAsia="仿宋_GB2312"/>
          <w:color w:val="000000"/>
          <w:sz w:val="32"/>
          <w:szCs w:val="32"/>
        </w:rPr>
        <w:t>：</w:t>
      </w:r>
      <w:r>
        <w:rPr>
          <w:rFonts w:ascii="仿宋_GB2312" w:eastAsia="仿宋_GB2312"/>
          <w:color w:val="000000"/>
          <w:sz w:val="32"/>
          <w:szCs w:val="32"/>
        </w:rPr>
        <w:t xml:space="preserve"> </w:t>
      </w:r>
      <w:r>
        <w:rPr>
          <w:rFonts w:hint="eastAsia" w:ascii="仿宋_GB2312" w:eastAsia="仿宋_GB2312"/>
          <w:color w:val="000000"/>
          <w:sz w:val="32"/>
          <w:szCs w:val="32"/>
        </w:rPr>
        <w:t>指机关事业单位基本养老保险；</w:t>
      </w:r>
      <w:r>
        <w:rPr>
          <w:rFonts w:ascii="仿宋_GB2312" w:eastAsia="仿宋_GB2312"/>
          <w:color w:val="000000"/>
          <w:sz w:val="32"/>
          <w:szCs w:val="32"/>
        </w:rPr>
        <w:t>2080506</w:t>
      </w:r>
      <w:r>
        <w:rPr>
          <w:rFonts w:hint="eastAsia" w:ascii="仿宋_GB2312" w:eastAsia="仿宋_GB2312"/>
          <w:color w:val="000000"/>
          <w:sz w:val="32"/>
          <w:szCs w:val="32"/>
        </w:rPr>
        <w:t>：指机关事业单位职业年金缴费支出。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医疗卫生与计划生育</w:t>
      </w:r>
      <w:r>
        <w:rPr>
          <w:rFonts w:ascii="仿宋_GB2312" w:eastAsia="仿宋_GB2312"/>
          <w:color w:val="000000"/>
          <w:sz w:val="32"/>
          <w:szCs w:val="32"/>
        </w:rPr>
        <w:t>2101102</w:t>
      </w:r>
      <w:r>
        <w:rPr>
          <w:rFonts w:hint="eastAsia" w:ascii="仿宋_GB2312" w:eastAsia="仿宋_GB2312"/>
          <w:color w:val="000000"/>
          <w:sz w:val="32"/>
          <w:szCs w:val="32"/>
        </w:rPr>
        <w:t>：指事业单位医疗；</w:t>
      </w:r>
      <w:r>
        <w:rPr>
          <w:rFonts w:ascii="仿宋_GB2312" w:eastAsia="仿宋_GB2312"/>
          <w:color w:val="000000"/>
          <w:sz w:val="32"/>
          <w:szCs w:val="32"/>
        </w:rPr>
        <w:t>2101199;</w:t>
      </w:r>
      <w:r>
        <w:rPr>
          <w:rFonts w:hint="eastAsia" w:ascii="仿宋_GB2312" w:eastAsia="仿宋_GB2312"/>
          <w:color w:val="000000"/>
          <w:sz w:val="32"/>
          <w:szCs w:val="32"/>
        </w:rPr>
        <w:t>指其他行政事业单位医疗支出。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住房保障</w:t>
      </w:r>
      <w:r>
        <w:rPr>
          <w:rFonts w:ascii="仿宋_GB2312" w:eastAsia="仿宋_GB2312"/>
          <w:color w:val="000000"/>
          <w:sz w:val="32"/>
          <w:szCs w:val="32"/>
        </w:rPr>
        <w:t>2210201</w:t>
      </w:r>
      <w:r>
        <w:rPr>
          <w:rFonts w:hint="eastAsia" w:ascii="仿宋_GB2312" w:eastAsia="仿宋_GB2312"/>
          <w:color w:val="000000"/>
          <w:sz w:val="32"/>
          <w:szCs w:val="32"/>
        </w:rPr>
        <w:t>：指住房公积金。</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bookmarkStart w:id="60" w:name="_Toc4766"/>
    </w:p>
    <w:p>
      <w:pPr>
        <w:rPr>
          <w:rFonts w:hint="eastAsia" w:ascii="黑体" w:hAnsi="黑体" w:eastAsia="黑体"/>
          <w:color w:val="000000"/>
          <w:sz w:val="44"/>
          <w:szCs w:val="44"/>
        </w:rPr>
      </w:pPr>
      <w:r>
        <w:rPr>
          <w:rFonts w:hint="eastAsia" w:ascii="黑体" w:hAnsi="黑体" w:eastAsia="黑体"/>
          <w:color w:val="000000"/>
          <w:sz w:val="44"/>
          <w:szCs w:val="44"/>
        </w:rPr>
        <w:br w:type="page"/>
      </w:r>
    </w:p>
    <w:p>
      <w:pPr>
        <w:ind w:firstLine="2640" w:firstLineChars="600"/>
        <w:rPr>
          <w:rStyle w:val="26"/>
          <w:rFonts w:ascii="黑体" w:hAnsi="黑体" w:eastAsia="黑体"/>
          <w:b w:val="0"/>
        </w:rPr>
      </w:pPr>
      <w:r>
        <w:rPr>
          <w:rFonts w:hint="eastAsia" w:ascii="黑体" w:hAnsi="黑体" w:eastAsia="黑体"/>
          <w:color w:val="000000"/>
          <w:sz w:val="44"/>
          <w:szCs w:val="44"/>
        </w:rPr>
        <w:t>第</w:t>
      </w:r>
      <w:r>
        <w:rPr>
          <w:rStyle w:val="26"/>
          <w:rFonts w:hint="eastAsia" w:ascii="黑体" w:hAnsi="黑体" w:eastAsia="黑体"/>
          <w:b w:val="0"/>
        </w:rPr>
        <w:t>四部分 附件</w:t>
      </w:r>
      <w:bookmarkEnd w:id="60"/>
    </w:p>
    <w:p>
      <w:pPr>
        <w:spacing w:line="600" w:lineRule="exact"/>
        <w:jc w:val="center"/>
        <w:outlineLvl w:val="9"/>
        <w:rPr>
          <w:rStyle w:val="26"/>
        </w:rPr>
      </w:pPr>
    </w:p>
    <w:p>
      <w:pPr>
        <w:pStyle w:val="3"/>
        <w:rPr>
          <w:rStyle w:val="26"/>
          <w:rFonts w:ascii="仿宋" w:hAnsi="仿宋" w:eastAsia="仿宋"/>
          <w:b w:val="0"/>
          <w:bCs w:val="0"/>
          <w:sz w:val="32"/>
          <w:szCs w:val="32"/>
        </w:rPr>
      </w:pPr>
      <w:bookmarkStart w:id="61" w:name="_Toc3397"/>
      <w:r>
        <w:rPr>
          <w:rStyle w:val="26"/>
          <w:rFonts w:hint="eastAsia" w:ascii="仿宋" w:hAnsi="仿宋" w:eastAsia="仿宋"/>
          <w:b w:val="0"/>
          <w:bCs w:val="0"/>
          <w:sz w:val="32"/>
          <w:szCs w:val="32"/>
        </w:rPr>
        <w:t>附件1</w:t>
      </w:r>
      <w:bookmarkEnd w:id="61"/>
    </w:p>
    <w:p>
      <w:pPr>
        <w:keepNext w:val="0"/>
        <w:keepLines w:val="0"/>
        <w:widowControl/>
        <w:suppressLineNumbers w:val="0"/>
        <w:spacing w:before="0" w:beforeAutospacing="0" w:after="0" w:afterAutospacing="0" w:line="480" w:lineRule="exact"/>
        <w:ind w:left="0" w:right="0"/>
        <w:jc w:val="center"/>
        <w:rPr>
          <w:rFonts w:hint="eastAsia" w:ascii="方正小标宋简体" w:hAnsi="宋体" w:eastAsia="方正小标宋简体" w:cs="方正小标宋简体"/>
          <w:kern w:val="2"/>
          <w:sz w:val="44"/>
          <w:szCs w:val="44"/>
          <w:lang w:val="en-US" w:eastAsia="zh-CN" w:bidi="ar"/>
        </w:rPr>
      </w:pPr>
      <w:bookmarkStart w:id="62" w:name="_Toc15396617"/>
      <w:r>
        <w:rPr>
          <w:rFonts w:hint="eastAsia" w:ascii="方正小标宋简体" w:hAnsi="宋体" w:eastAsia="方正小标宋简体" w:cs="方正小标宋简体"/>
          <w:kern w:val="2"/>
          <w:sz w:val="44"/>
          <w:szCs w:val="44"/>
          <w:lang w:val="en-US" w:eastAsia="zh-CN" w:bidi="ar"/>
        </w:rPr>
        <w:t>红原县邛溪镇双语幼儿园</w:t>
      </w:r>
    </w:p>
    <w:p>
      <w:pPr>
        <w:keepNext w:val="0"/>
        <w:keepLines w:val="0"/>
        <w:widowControl/>
        <w:suppressLineNumbers w:val="0"/>
        <w:spacing w:before="0" w:beforeAutospacing="0" w:after="0" w:afterAutospacing="0" w:line="480" w:lineRule="exact"/>
        <w:ind w:left="0" w:right="0"/>
        <w:jc w:val="center"/>
        <w:rPr>
          <w:rFonts w:hint="eastAsia" w:ascii="方正小标宋简体" w:hAnsi="宋体" w:eastAsia="方正小标宋简体" w:cs="方正小标宋简体"/>
          <w:sz w:val="44"/>
          <w:szCs w:val="44"/>
          <w:lang w:val="en-US"/>
        </w:rPr>
      </w:pPr>
      <w:r>
        <w:rPr>
          <w:rFonts w:hint="eastAsia" w:ascii="方正小标宋简体" w:hAnsi="宋体" w:eastAsia="方正小标宋简体" w:cs="方正小标宋简体"/>
          <w:kern w:val="2"/>
          <w:sz w:val="44"/>
          <w:szCs w:val="44"/>
          <w:lang w:val="en-US" w:eastAsia="zh-CN" w:bidi="ar"/>
        </w:rPr>
        <w:t>2022年部门整体支出绩效报告</w:t>
      </w:r>
    </w:p>
    <w:p>
      <w:pPr>
        <w:keepNext w:val="0"/>
        <w:keepLines w:val="0"/>
        <w:widowControl/>
        <w:suppressLineNumbers w:val="0"/>
        <w:spacing w:before="0" w:beforeAutospacing="0" w:after="0" w:afterAutospacing="0" w:line="480" w:lineRule="exact"/>
        <w:ind w:left="0" w:right="0"/>
        <w:jc w:val="center"/>
        <w:rPr>
          <w:rFonts w:hint="eastAsia" w:ascii="黑体" w:hAnsi="宋体" w:eastAsia="黑体" w:cs="宋体"/>
          <w:color w:val="000000"/>
          <w:kern w:val="0"/>
          <w:lang w:val="en-US"/>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firstLine="640" w:firstLineChars="200"/>
        <w:jc w:val="left"/>
        <w:textAlignment w:val="auto"/>
        <w:rPr>
          <w:rFonts w:hint="eastAsia" w:ascii="黑体" w:hAnsi="宋体" w:eastAsia="黑体" w:cs="宋体"/>
          <w:color w:val="000000"/>
          <w:kern w:val="0"/>
          <w:lang w:val="zh-CN" w:eastAsia="zh-CN"/>
        </w:rPr>
      </w:pPr>
      <w:r>
        <w:rPr>
          <w:rFonts w:hint="eastAsia" w:ascii="黑体" w:hAnsi="宋体" w:eastAsia="黑体" w:cs="宋体"/>
          <w:color w:val="000000"/>
          <w:kern w:val="0"/>
          <w:sz w:val="32"/>
          <w:szCs w:val="24"/>
          <w:lang w:val="en-US" w:eastAsia="zh-CN" w:bidi="ar"/>
        </w:rPr>
        <w:t>一、</w:t>
      </w:r>
      <w:r>
        <w:rPr>
          <w:rFonts w:hint="eastAsia" w:ascii="黑体" w:hAnsi="宋体" w:eastAsia="黑体" w:cs="宋体"/>
          <w:color w:val="000000"/>
          <w:kern w:val="0"/>
          <w:sz w:val="32"/>
          <w:szCs w:val="24"/>
          <w:lang w:val="zh-CN" w:eastAsia="zh-CN" w:bidi="ar"/>
        </w:rPr>
        <w:t>部门（单位）概况</w:t>
      </w:r>
    </w:p>
    <w:p>
      <w:pPr>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楷体" w:hAnsi="楷体" w:eastAsia="楷体" w:cs="楷体"/>
          <w:color w:val="000000"/>
          <w:kern w:val="0"/>
          <w:sz w:val="32"/>
          <w:lang w:val="zh-CN"/>
        </w:rPr>
      </w:pPr>
      <w:r>
        <w:rPr>
          <w:rFonts w:hint="eastAsia" w:ascii="楷体" w:hAnsi="楷体" w:eastAsia="楷体" w:cs="楷体"/>
          <w:color w:val="000000"/>
          <w:kern w:val="0"/>
          <w:sz w:val="32"/>
          <w:lang w:val="zh-CN"/>
        </w:rPr>
        <w:t>（一）机构组成</w:t>
      </w:r>
    </w:p>
    <w:p>
      <w:pPr>
        <w:pStyle w:val="5"/>
        <w:pageBreakBefore w:val="0"/>
        <w:kinsoku/>
        <w:wordWrap/>
        <w:overflowPunct/>
        <w:topLinePunct w:val="0"/>
        <w:autoSpaceDE/>
        <w:autoSpaceDN/>
        <w:bidi w:val="0"/>
        <w:adjustRightInd w:val="0"/>
        <w:snapToGrid w:val="0"/>
        <w:spacing w:beforeLines="0" w:line="560" w:lineRule="exact"/>
        <w:ind w:left="0" w:leftChars="0" w:firstLine="640" w:firstLineChars="200"/>
        <w:textAlignment w:val="auto"/>
        <w:rPr>
          <w:rFonts w:hAnsi="宋体" w:cs="宋体"/>
          <w:color w:val="000000"/>
          <w:sz w:val="32"/>
          <w:lang w:val="zh-CN"/>
        </w:rPr>
      </w:pPr>
      <w:r>
        <w:rPr>
          <w:rFonts w:hint="eastAsia" w:ascii="仿宋_GB2312" w:hAnsi="仿宋_GB2312" w:eastAsia="仿宋_GB2312" w:cs="仿宋_GB2312"/>
          <w:sz w:val="32"/>
          <w:szCs w:val="32"/>
        </w:rPr>
        <w:t>我</w:t>
      </w:r>
      <w:r>
        <w:rPr>
          <w:rFonts w:hint="eastAsia" w:hAnsi="仿宋_GB2312" w:cs="仿宋_GB2312"/>
          <w:sz w:val="32"/>
          <w:szCs w:val="32"/>
          <w:lang w:eastAsia="zh-CN"/>
        </w:rPr>
        <w:t>园</w:t>
      </w:r>
      <w:r>
        <w:rPr>
          <w:rFonts w:hint="eastAsia" w:ascii="仿宋_GB2312" w:hAnsi="仿宋_GB2312" w:eastAsia="仿宋_GB2312" w:cs="仿宋_GB2312"/>
          <w:sz w:val="32"/>
          <w:szCs w:val="32"/>
        </w:rPr>
        <w:t>属于</w:t>
      </w:r>
      <w:r>
        <w:rPr>
          <w:rFonts w:hAnsi="仿宋_GB2312" w:cs="仿宋_GB2312"/>
          <w:sz w:val="32"/>
          <w:szCs w:val="32"/>
        </w:rPr>
        <w:t>红原县教育局下属的</w:t>
      </w:r>
      <w:r>
        <w:rPr>
          <w:rFonts w:hint="eastAsia" w:ascii="仿宋_GB2312" w:hAnsi="仿宋_GB2312" w:eastAsia="仿宋_GB2312" w:cs="仿宋_GB2312"/>
          <w:sz w:val="32"/>
          <w:szCs w:val="32"/>
        </w:rPr>
        <w:t>二级预算</w:t>
      </w:r>
      <w:r>
        <w:rPr>
          <w:rFonts w:hAnsi="仿宋_GB2312" w:cs="仿宋_GB2312"/>
          <w:sz w:val="32"/>
          <w:szCs w:val="32"/>
        </w:rPr>
        <w:t>、财政全额拨款的</w:t>
      </w:r>
      <w:r>
        <w:rPr>
          <w:rFonts w:hint="eastAsia" w:ascii="仿宋_GB2312" w:hAnsi="仿宋_GB2312" w:eastAsia="仿宋_GB2312" w:cs="仿宋_GB2312"/>
          <w:sz w:val="32"/>
          <w:szCs w:val="32"/>
        </w:rPr>
        <w:t>事业单位，执行的是中小学事业单位会计制度</w:t>
      </w:r>
      <w:r>
        <w:rPr>
          <w:rFonts w:hAnsi="仿宋_GB2312" w:cs="仿宋_GB2312"/>
          <w:sz w:val="32"/>
          <w:szCs w:val="32"/>
        </w:rPr>
        <w:t>。</w:t>
      </w:r>
    </w:p>
    <w:p>
      <w:pPr>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楷体" w:hAnsi="楷体" w:eastAsia="楷体" w:cs="楷体"/>
          <w:color w:val="000000"/>
          <w:kern w:val="0"/>
          <w:sz w:val="32"/>
          <w:lang w:val="zh-CN"/>
        </w:rPr>
      </w:pPr>
      <w:r>
        <w:rPr>
          <w:rFonts w:hint="eastAsia" w:ascii="楷体" w:hAnsi="楷体" w:eastAsia="楷体" w:cs="楷体"/>
          <w:color w:val="000000"/>
          <w:kern w:val="0"/>
          <w:sz w:val="32"/>
          <w:lang w:val="zh-CN"/>
        </w:rPr>
        <w:t>（二）机构职能</w:t>
      </w:r>
    </w:p>
    <w:p>
      <w:pPr>
        <w:pStyle w:val="5"/>
        <w:keepNext w:val="0"/>
        <w:keepLines w:val="0"/>
        <w:pageBreakBefore w:val="0"/>
        <w:numPr>
          <w:ilvl w:val="0"/>
          <w:numId w:val="0"/>
        </w:numPr>
        <w:kinsoku/>
        <w:wordWrap/>
        <w:overflowPunct/>
        <w:topLinePunct w:val="0"/>
        <w:autoSpaceDE/>
        <w:autoSpaceDN/>
        <w:bidi w:val="0"/>
        <w:adjustRightInd w:val="0"/>
        <w:snapToGrid w:val="0"/>
        <w:spacing w:beforeLines="0" w:line="560" w:lineRule="exact"/>
        <w:ind w:left="0" w:leftChars="0" w:right="0" w:rightChars="0" w:firstLine="640" w:firstLineChars="200"/>
        <w:textAlignment w:val="auto"/>
        <w:outlineLvl w:val="9"/>
        <w:rPr>
          <w:rFonts w:hint="eastAsia" w:ascii="仿宋_GB2312" w:hAnsi="宋体" w:eastAsia="仿宋_GB2312" w:cs="宋体"/>
          <w:color w:val="000000"/>
          <w:kern w:val="0"/>
          <w:sz w:val="32"/>
          <w:szCs w:val="24"/>
          <w:lang w:val="zh-CN" w:eastAsia="zh-CN" w:bidi="ar"/>
        </w:rPr>
      </w:pPr>
      <w:r>
        <w:rPr>
          <w:rFonts w:hint="eastAsia"/>
          <w:bCs/>
          <w:color w:val="000000"/>
          <w:sz w:val="32"/>
          <w:szCs w:val="32"/>
          <w:lang w:eastAsia="zh-CN"/>
        </w:rPr>
        <w:t>学前义务教育的实施，促进基础教育发展，培养学生高尚的思想道德情操，丰富的科学文化知识，良好的身体素质，促进学生全面发展，业务范围是从事小学教育</w:t>
      </w:r>
      <w:r>
        <w:rPr>
          <w:rFonts w:hint="eastAsia"/>
          <w:bCs/>
          <w:color w:val="000000"/>
          <w:sz w:val="32"/>
          <w:szCs w:val="32"/>
        </w:rPr>
        <w:t>。</w:t>
      </w:r>
    </w:p>
    <w:p>
      <w:pPr>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楷体" w:hAnsi="楷体" w:eastAsia="楷体" w:cs="楷体"/>
          <w:color w:val="000000"/>
          <w:kern w:val="0"/>
          <w:sz w:val="32"/>
          <w:lang w:val="zh-CN" w:eastAsia="zh-CN"/>
        </w:rPr>
      </w:pPr>
      <w:r>
        <w:rPr>
          <w:rFonts w:hint="eastAsia" w:ascii="楷体" w:hAnsi="楷体" w:eastAsia="楷体" w:cs="楷体"/>
          <w:color w:val="000000"/>
          <w:kern w:val="0"/>
          <w:sz w:val="32"/>
          <w:lang w:val="zh-CN" w:eastAsia="zh-CN"/>
        </w:rPr>
        <w:t>（三）人员概况</w:t>
      </w:r>
    </w:p>
    <w:p>
      <w:pPr>
        <w:pStyle w:val="5"/>
        <w:keepNext w:val="0"/>
        <w:keepLines w:val="0"/>
        <w:pageBreakBefore w:val="0"/>
        <w:numPr>
          <w:ilvl w:val="0"/>
          <w:numId w:val="0"/>
        </w:numPr>
        <w:kinsoku/>
        <w:wordWrap/>
        <w:overflowPunct/>
        <w:topLinePunct w:val="0"/>
        <w:autoSpaceDE/>
        <w:autoSpaceDN/>
        <w:bidi w:val="0"/>
        <w:adjustRightInd w:val="0"/>
        <w:snapToGrid w:val="0"/>
        <w:spacing w:beforeLines="0" w:line="560" w:lineRule="exact"/>
        <w:ind w:left="0" w:leftChars="0" w:right="0" w:rightChars="0" w:firstLine="640" w:firstLineChars="200"/>
        <w:textAlignment w:val="auto"/>
        <w:outlineLvl w:val="9"/>
        <w:rPr>
          <w:rFonts w:hint="eastAsia" w:ascii="仿宋_GB2312" w:hAnsi="宋体" w:eastAsia="仿宋_GB2312" w:cs="宋体"/>
          <w:color w:val="000000"/>
          <w:kern w:val="0"/>
          <w:sz w:val="32"/>
          <w:szCs w:val="24"/>
          <w:lang w:val="zh-CN" w:eastAsia="zh-CN" w:bidi="ar"/>
        </w:rPr>
      </w:pPr>
      <w:r>
        <w:rPr>
          <w:rFonts w:hint="eastAsia" w:hAnsi="Times New Roman" w:cs="Times New Roman"/>
          <w:bCs/>
          <w:color w:val="000000"/>
          <w:sz w:val="32"/>
          <w:szCs w:val="32"/>
          <w:lang w:eastAsia="zh-CN"/>
        </w:rPr>
        <w:t>我单位共有编制</w:t>
      </w:r>
      <w:r>
        <w:rPr>
          <w:rFonts w:hint="eastAsia" w:cs="Times New Roman"/>
          <w:bCs/>
          <w:color w:val="000000"/>
          <w:sz w:val="32"/>
          <w:szCs w:val="32"/>
          <w:lang w:val="en-US" w:eastAsia="zh-CN"/>
        </w:rPr>
        <w:t>22</w:t>
      </w:r>
      <w:r>
        <w:rPr>
          <w:rFonts w:hint="eastAsia" w:hAnsi="Times New Roman" w:cs="Times New Roman"/>
          <w:bCs/>
          <w:color w:val="000000"/>
          <w:sz w:val="32"/>
          <w:szCs w:val="32"/>
          <w:lang w:eastAsia="zh-CN"/>
        </w:rPr>
        <w:t>人，截止</w:t>
      </w:r>
      <w:r>
        <w:rPr>
          <w:rFonts w:hint="eastAsia" w:cs="Times New Roman"/>
          <w:bCs/>
          <w:color w:val="000000"/>
          <w:sz w:val="32"/>
          <w:szCs w:val="32"/>
          <w:lang w:eastAsia="zh-CN"/>
        </w:rPr>
        <w:t>20</w:t>
      </w:r>
      <w:r>
        <w:rPr>
          <w:rFonts w:hint="eastAsia" w:cs="Times New Roman"/>
          <w:bCs/>
          <w:color w:val="000000"/>
          <w:sz w:val="32"/>
          <w:szCs w:val="32"/>
          <w:lang w:val="en-US" w:eastAsia="zh-CN"/>
        </w:rPr>
        <w:t>22</w:t>
      </w:r>
      <w:r>
        <w:rPr>
          <w:rFonts w:hint="eastAsia" w:hAnsi="Times New Roman" w:cs="Times New Roman"/>
          <w:bCs/>
          <w:color w:val="000000"/>
          <w:sz w:val="32"/>
          <w:szCs w:val="32"/>
          <w:lang w:eastAsia="zh-CN"/>
        </w:rPr>
        <w:t>年底在职职工</w:t>
      </w:r>
      <w:r>
        <w:rPr>
          <w:rFonts w:hint="eastAsia" w:cs="Times New Roman"/>
          <w:bCs/>
          <w:color w:val="000000"/>
          <w:sz w:val="32"/>
          <w:szCs w:val="32"/>
          <w:lang w:val="en-US" w:eastAsia="zh-CN"/>
        </w:rPr>
        <w:t>16</w:t>
      </w:r>
      <w:r>
        <w:rPr>
          <w:rFonts w:hint="eastAsia" w:hAnsi="Times New Roman" w:cs="Times New Roman"/>
          <w:bCs/>
          <w:color w:val="000000"/>
          <w:sz w:val="32"/>
          <w:szCs w:val="32"/>
          <w:lang w:eastAsia="zh-CN"/>
        </w:rPr>
        <w:t>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firstLine="640" w:firstLineChars="200"/>
        <w:jc w:val="left"/>
        <w:textAlignment w:val="auto"/>
        <w:rPr>
          <w:rFonts w:hint="eastAsia" w:ascii="黑体" w:hAnsi="宋体" w:eastAsia="黑体" w:cs="宋体"/>
          <w:color w:val="000000"/>
          <w:kern w:val="0"/>
          <w:lang w:val="en-US"/>
        </w:rPr>
      </w:pPr>
      <w:r>
        <w:rPr>
          <w:rFonts w:hint="eastAsia" w:ascii="黑体" w:hAnsi="宋体" w:eastAsia="黑体" w:cs="宋体"/>
          <w:color w:val="000000"/>
          <w:kern w:val="0"/>
          <w:sz w:val="32"/>
          <w:szCs w:val="24"/>
          <w:lang w:val="en-US" w:eastAsia="zh-CN" w:bidi="ar"/>
        </w:rPr>
        <w:t>二、部门财政资金收支情况</w:t>
      </w:r>
    </w:p>
    <w:p>
      <w:pPr>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楷体" w:hAnsi="楷体" w:eastAsia="楷体" w:cs="楷体"/>
          <w:color w:val="000000"/>
          <w:kern w:val="0"/>
          <w:sz w:val="32"/>
          <w:lang w:val="zh-CN" w:eastAsia="zh-CN"/>
        </w:rPr>
      </w:pPr>
      <w:r>
        <w:rPr>
          <w:rFonts w:hint="eastAsia" w:ascii="楷体" w:hAnsi="楷体" w:eastAsia="楷体" w:cs="楷体"/>
          <w:color w:val="000000"/>
          <w:kern w:val="0"/>
          <w:sz w:val="32"/>
          <w:lang w:val="zh-CN" w:eastAsia="zh-CN"/>
        </w:rPr>
        <w:t>（一）部门财政资金收入情况</w:t>
      </w:r>
    </w:p>
    <w:p>
      <w:pPr>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宋体" w:eastAsia="仿宋_GB2312" w:cs="宋体"/>
          <w:color w:val="000000"/>
          <w:kern w:val="0"/>
          <w:sz w:val="32"/>
          <w:szCs w:val="24"/>
          <w:lang w:val="zh-CN" w:eastAsia="zh-CN" w:bidi="ar"/>
        </w:rPr>
      </w:pPr>
      <w:r>
        <w:rPr>
          <w:rFonts w:hint="eastAsia" w:ascii="仿宋_GB2312" w:hAnsi="宋体" w:eastAsia="仿宋_GB2312" w:cs="宋体"/>
          <w:color w:val="000000"/>
          <w:kern w:val="0"/>
          <w:sz w:val="32"/>
        </w:rPr>
        <w:t>收入：</w:t>
      </w:r>
      <w:r>
        <w:rPr>
          <w:rFonts w:hint="eastAsia" w:ascii="仿宋" w:hAnsi="仿宋" w:eastAsia="仿宋"/>
          <w:color w:val="000000"/>
          <w:sz w:val="32"/>
          <w:szCs w:val="32"/>
          <w:lang w:eastAsia="zh-CN"/>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年收入总计</w:t>
      </w:r>
      <w:r>
        <w:rPr>
          <w:rFonts w:hint="eastAsia" w:ascii="仿宋_GB2312" w:eastAsia="仿宋_GB2312" w:cs="Times New Roman"/>
          <w:bCs/>
          <w:color w:val="000000"/>
          <w:kern w:val="0"/>
          <w:sz w:val="32"/>
          <w:szCs w:val="32"/>
          <w:lang w:val="en-US" w:eastAsia="zh-CN" w:bidi="ar-SA"/>
        </w:rPr>
        <w:t>484.64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484.64</w:t>
      </w:r>
      <w:r>
        <w:rPr>
          <w:rFonts w:hint="eastAsia" w:ascii="仿宋" w:hAnsi="仿宋" w:eastAsia="仿宋"/>
          <w:color w:val="000000"/>
          <w:sz w:val="32"/>
          <w:szCs w:val="32"/>
        </w:rPr>
        <w:t>万元，</w:t>
      </w:r>
      <w:r>
        <w:rPr>
          <w:rFonts w:hint="eastAsia" w:ascii="仿宋_GB2312" w:eastAsia="仿宋_GB2312" w:cs="Times New Roman"/>
          <w:bCs/>
          <w:color w:val="000000"/>
          <w:kern w:val="0"/>
          <w:sz w:val="32"/>
          <w:szCs w:val="32"/>
          <w:lang w:val="en-US" w:eastAsia="zh-CN" w:bidi="ar-SA"/>
        </w:rPr>
        <w:t>年初财政拨款结余和结转0</w:t>
      </w:r>
      <w:r>
        <w:rPr>
          <w:rFonts w:hint="eastAsia" w:ascii="仿宋_GB2312" w:hAnsi="Times New Roman" w:eastAsia="仿宋_GB2312" w:cs="Times New Roman"/>
          <w:bCs/>
          <w:color w:val="000000"/>
          <w:kern w:val="0"/>
          <w:sz w:val="32"/>
          <w:szCs w:val="32"/>
          <w:lang w:val="en-US" w:eastAsia="zh-CN" w:bidi="ar-SA"/>
        </w:rPr>
        <w:t>万元。</w:t>
      </w:r>
    </w:p>
    <w:p>
      <w:pPr>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楷体" w:hAnsi="楷体" w:eastAsia="楷体" w:cs="楷体"/>
          <w:color w:val="000000"/>
          <w:kern w:val="0"/>
          <w:sz w:val="32"/>
          <w:lang w:val="zh-CN" w:eastAsia="zh-CN"/>
        </w:rPr>
      </w:pPr>
      <w:r>
        <w:rPr>
          <w:rFonts w:hint="eastAsia" w:ascii="楷体" w:hAnsi="楷体" w:eastAsia="楷体" w:cs="楷体"/>
          <w:color w:val="000000"/>
          <w:kern w:val="0"/>
          <w:sz w:val="32"/>
          <w:lang w:val="en-US" w:eastAsia="zh-CN"/>
        </w:rPr>
        <w:t>（二）</w:t>
      </w:r>
      <w:r>
        <w:rPr>
          <w:rFonts w:hint="eastAsia" w:ascii="楷体" w:hAnsi="楷体" w:eastAsia="楷体" w:cs="楷体"/>
          <w:color w:val="000000"/>
          <w:kern w:val="0"/>
          <w:sz w:val="32"/>
          <w:lang w:val="zh-CN" w:eastAsia="zh-CN"/>
        </w:rPr>
        <w:t>部门财政资金支出情况</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rPr>
        <w:t>支出：</w:t>
      </w:r>
      <w:r>
        <w:rPr>
          <w:rFonts w:hint="eastAsia" w:ascii="仿宋" w:hAnsi="仿宋" w:eastAsia="仿宋"/>
          <w:color w:val="000000"/>
          <w:sz w:val="32"/>
          <w:szCs w:val="32"/>
          <w:lang w:eastAsia="zh-CN"/>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年财政拨款支出总计</w:t>
      </w:r>
      <w:r>
        <w:rPr>
          <w:rFonts w:hint="eastAsia" w:ascii="仿宋" w:hAnsi="仿宋" w:eastAsia="仿宋"/>
          <w:color w:val="000000"/>
          <w:sz w:val="32"/>
          <w:szCs w:val="32"/>
          <w:lang w:val="en-US" w:eastAsia="zh-CN"/>
        </w:rPr>
        <w:t>484.64</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其中：</w:t>
      </w:r>
      <w:r>
        <w:rPr>
          <w:rFonts w:hint="eastAsia" w:ascii="仿宋_GB2312" w:hAnsi="宋体" w:eastAsia="仿宋_GB2312" w:cs="宋体"/>
          <w:color w:val="000000"/>
          <w:kern w:val="0"/>
          <w:sz w:val="32"/>
          <w:szCs w:val="32"/>
          <w:lang w:val="zh-CN"/>
        </w:rPr>
        <w:t>基本支出</w:t>
      </w:r>
      <w:r>
        <w:rPr>
          <w:rFonts w:hint="eastAsia" w:ascii="仿宋_GB2312" w:hAnsi="宋体" w:eastAsia="仿宋_GB2312" w:cs="宋体"/>
          <w:color w:val="000000"/>
          <w:kern w:val="0"/>
          <w:sz w:val="32"/>
          <w:szCs w:val="32"/>
          <w:lang w:val="en-US" w:eastAsia="zh-CN"/>
        </w:rPr>
        <w:t>409.07元，项目支出</w:t>
      </w:r>
      <w:r>
        <w:rPr>
          <w:rFonts w:hint="eastAsia" w:ascii="仿宋_GB2312" w:eastAsia="仿宋_GB2312" w:cs="Times New Roman"/>
          <w:bCs/>
          <w:color w:val="000000"/>
          <w:kern w:val="0"/>
          <w:sz w:val="32"/>
          <w:szCs w:val="32"/>
          <w:lang w:val="en-US" w:eastAsia="zh-CN" w:bidi="ar-SA"/>
        </w:rPr>
        <w:t>75.57</w:t>
      </w:r>
      <w:r>
        <w:rPr>
          <w:rFonts w:hint="eastAsia" w:ascii="仿宋_GB2312" w:hAnsi="宋体" w:eastAsia="仿宋_GB2312" w:cs="宋体"/>
          <w:color w:val="000000"/>
          <w:kern w:val="0"/>
          <w:sz w:val="32"/>
          <w:szCs w:val="32"/>
          <w:lang w:val="en-US" w:eastAsia="zh-CN"/>
        </w:rPr>
        <w:t>万元。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left"/>
        <w:textAlignment w:val="auto"/>
        <w:rPr>
          <w:rFonts w:hint="eastAsia" w:ascii="仿宋_GB2312" w:hAnsi="宋体" w:eastAsia="仿宋_GB2312" w:cs="宋体"/>
          <w:color w:val="000000"/>
          <w:kern w:val="0"/>
          <w:sz w:val="32"/>
          <w:szCs w:val="32"/>
          <w:lang w:val="zh-CN"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firstLine="640" w:firstLineChars="200"/>
        <w:jc w:val="left"/>
        <w:textAlignment w:val="auto"/>
        <w:rPr>
          <w:rFonts w:hint="eastAsia" w:ascii="黑体" w:hAnsi="宋体" w:eastAsia="黑体" w:cs="宋体"/>
          <w:color w:val="000000"/>
          <w:kern w:val="0"/>
          <w:lang w:val="en-US"/>
        </w:rPr>
      </w:pPr>
      <w:r>
        <w:rPr>
          <w:rFonts w:hint="eastAsia" w:ascii="黑体" w:hAnsi="宋体" w:eastAsia="黑体" w:cs="宋体"/>
          <w:color w:val="000000"/>
          <w:kern w:val="0"/>
          <w:sz w:val="32"/>
          <w:szCs w:val="24"/>
          <w:lang w:val="en-US" w:eastAsia="zh-CN" w:bidi="ar"/>
        </w:rPr>
        <w:t>三、部门财政支出管理情况</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firstLine="640" w:firstLineChars="200"/>
        <w:jc w:val="left"/>
        <w:textAlignment w:val="auto"/>
        <w:rPr>
          <w:rFonts w:hint="eastAsia" w:ascii="楷体" w:hAnsi="楷体" w:eastAsia="楷体" w:cs="宋体"/>
          <w:color w:val="000000"/>
          <w:kern w:val="0"/>
          <w:lang w:val="zh-CN" w:eastAsia="zh-CN"/>
        </w:rPr>
      </w:pPr>
      <w:r>
        <w:rPr>
          <w:rFonts w:hint="eastAsia" w:ascii="楷体" w:hAnsi="楷体" w:eastAsia="楷体" w:cs="宋体"/>
          <w:color w:val="000000"/>
          <w:kern w:val="0"/>
          <w:sz w:val="32"/>
          <w:szCs w:val="24"/>
          <w:lang w:val="zh-CN" w:eastAsia="zh-CN" w:bidi="ar"/>
        </w:rPr>
        <w:t>（一）预算编制情况</w:t>
      </w:r>
    </w:p>
    <w:p>
      <w:pPr>
        <w:pStyle w:val="12"/>
        <w:pageBreakBefore w:val="0"/>
        <w:shd w:val="clear" w:color="auto" w:fill="FFFFFF"/>
        <w:kinsoku/>
        <w:wordWrap/>
        <w:overflowPunct/>
        <w:topLinePunct w:val="0"/>
        <w:autoSpaceDE/>
        <w:autoSpaceDN/>
        <w:bidi w:val="0"/>
        <w:spacing w:line="560" w:lineRule="exact"/>
        <w:ind w:left="0" w:leftChars="0" w:firstLine="640" w:firstLineChars="200"/>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我单位预算编制向同财政部门及时沟通学习，在学校领导的支持下积极进行财政部门组织的决算、编报、审核等方面工作按时完成，认真如实填报。不断强化预算意识，实行部门综合预算管理，保证预算编制质量。结合单位情况，进行科学合理分配细化，部门预算经批复后，科学合理安排支出，降低预算支出的波动幅度。　　</w:t>
      </w:r>
    </w:p>
    <w:p>
      <w:pPr>
        <w:pStyle w:val="12"/>
        <w:pageBreakBefore w:val="0"/>
        <w:shd w:val="clear" w:color="auto" w:fill="FFFFFF"/>
        <w:kinsoku/>
        <w:wordWrap/>
        <w:overflowPunct/>
        <w:topLinePunct w:val="0"/>
        <w:autoSpaceDE/>
        <w:autoSpaceDN/>
        <w:bidi w:val="0"/>
        <w:spacing w:line="560" w:lineRule="exact"/>
        <w:ind w:left="0" w:leftChars="0" w:firstLine="640" w:firstLineChars="200"/>
        <w:textAlignment w:val="auto"/>
        <w:rPr>
          <w:rFonts w:ascii="??_GB2312" w:eastAsia="Times New Roman" w:cs="宋体"/>
          <w:color w:val="000000"/>
          <w:lang w:val="zh-CN"/>
        </w:rPr>
      </w:pPr>
      <w:r>
        <w:rPr>
          <w:rFonts w:hint="eastAsia" w:ascii="仿宋_GB2312" w:hAnsi="Times New Roman" w:eastAsia="仿宋_GB2312" w:cs="Times New Roman"/>
          <w:bCs/>
          <w:color w:val="000000"/>
          <w:kern w:val="0"/>
          <w:sz w:val="32"/>
          <w:szCs w:val="32"/>
          <w:lang w:val="en-US" w:eastAsia="zh-CN" w:bidi="ar-SA"/>
        </w:rPr>
        <w:t>规范预算编制，严格按照预算的执行。人员支出按工资统发数据为准安排，部门收入预算指本部门所有收入，包括：财政拨款收入、上级补助收入、其他收入。支出预算包括职工工资福利，日常公用经费，个人家庭补助等预算。对预算和决算公开工作、及主管部门对所属单位按规定批复决算的各项工作按规定认真执行，该填制及时填制，该公开及时公开，该上报及时上报，在工作中进一步提高预算的编制和执行。</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firstLine="640" w:firstLineChars="200"/>
        <w:jc w:val="left"/>
        <w:textAlignment w:val="auto"/>
        <w:rPr>
          <w:rFonts w:hint="eastAsia" w:ascii="楷体" w:hAnsi="楷体" w:eastAsia="楷体" w:cs="宋体"/>
          <w:color w:val="000000"/>
          <w:kern w:val="0"/>
          <w:lang w:val="zh-CN" w:eastAsia="zh-CN"/>
        </w:rPr>
      </w:pPr>
      <w:r>
        <w:rPr>
          <w:rFonts w:hint="eastAsia" w:ascii="楷体" w:hAnsi="楷体" w:eastAsia="楷体" w:cs="宋体"/>
          <w:color w:val="000000"/>
          <w:kern w:val="0"/>
          <w:sz w:val="32"/>
          <w:szCs w:val="24"/>
          <w:lang w:val="zh-CN" w:eastAsia="zh-CN" w:bidi="ar"/>
        </w:rPr>
        <w:t>（二）执行管理情况</w:t>
      </w:r>
    </w:p>
    <w:p>
      <w:pPr>
        <w:pageBreakBefore w:val="0"/>
        <w:kinsoku/>
        <w:wordWrap/>
        <w:overflowPunct/>
        <w:topLinePunct w:val="0"/>
        <w:autoSpaceDE/>
        <w:autoSpaceDN/>
        <w:bidi w:val="0"/>
        <w:spacing w:line="560" w:lineRule="exact"/>
        <w:ind w:left="0" w:leftChars="0" w:firstLine="640" w:firstLineChars="200"/>
        <w:textAlignment w:val="auto"/>
        <w:rPr>
          <w:rFonts w:hint="eastAsia" w:ascii="仿宋_GB2312" w:hAnsi="Times New Roman" w:eastAsia="仿宋_GB2312" w:cs="Times New Roman"/>
          <w:bCs/>
          <w:color w:val="000000"/>
          <w:kern w:val="0"/>
          <w:sz w:val="32"/>
          <w:szCs w:val="32"/>
          <w:lang w:val="zh-CN" w:eastAsia="zh-CN" w:bidi="ar-SA"/>
        </w:rPr>
      </w:pPr>
      <w:r>
        <w:rPr>
          <w:rFonts w:hint="eastAsia" w:ascii="仿宋_GB2312" w:hAnsi="Times New Roman" w:eastAsia="仿宋_GB2312" w:cs="Times New Roman"/>
          <w:bCs/>
          <w:color w:val="000000"/>
          <w:kern w:val="0"/>
          <w:sz w:val="32"/>
          <w:szCs w:val="32"/>
          <w:lang w:val="zh-CN" w:eastAsia="zh-CN" w:bidi="ar-SA"/>
        </w:rPr>
        <w:t>资金支出总额严格控制在预算总额内，集中财力保障内部平稳运转，与发展计划相协调，严格按照预算执行。</w:t>
      </w:r>
    </w:p>
    <w:p>
      <w:pPr>
        <w:pageBreakBefore w:val="0"/>
        <w:kinsoku/>
        <w:wordWrap/>
        <w:overflowPunct/>
        <w:topLinePunct w:val="0"/>
        <w:autoSpaceDE/>
        <w:autoSpaceDN/>
        <w:bidi w:val="0"/>
        <w:spacing w:line="560" w:lineRule="exact"/>
        <w:ind w:left="0" w:leftChars="0" w:firstLine="640" w:firstLineChars="200"/>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eastAsia="仿宋_GB2312" w:cs="Times New Roman"/>
          <w:bCs/>
          <w:color w:val="000000"/>
          <w:kern w:val="0"/>
          <w:sz w:val="32"/>
          <w:szCs w:val="32"/>
          <w:lang w:val="en-US" w:eastAsia="zh-CN" w:bidi="ar-SA"/>
        </w:rPr>
        <w:t>2022</w:t>
      </w:r>
      <w:r>
        <w:rPr>
          <w:rFonts w:hint="eastAsia" w:ascii="仿宋_GB2312" w:hAnsi="Times New Roman" w:eastAsia="仿宋_GB2312" w:cs="Times New Roman"/>
          <w:bCs/>
          <w:color w:val="000000"/>
          <w:kern w:val="0"/>
          <w:sz w:val="32"/>
          <w:szCs w:val="32"/>
          <w:lang w:val="en-US" w:eastAsia="zh-CN" w:bidi="ar-SA"/>
        </w:rPr>
        <w:t>年一般公共预算财政拨款基本支出</w:t>
      </w:r>
      <w:r>
        <w:rPr>
          <w:rFonts w:hint="eastAsia" w:ascii="仿宋_GB2312" w:eastAsia="仿宋_GB2312" w:cs="Times New Roman"/>
          <w:bCs/>
          <w:color w:val="000000"/>
          <w:kern w:val="0"/>
          <w:sz w:val="32"/>
          <w:szCs w:val="32"/>
          <w:lang w:val="en-US" w:eastAsia="zh-CN" w:bidi="ar-SA"/>
        </w:rPr>
        <w:t>409.07</w:t>
      </w:r>
      <w:r>
        <w:rPr>
          <w:rFonts w:hint="eastAsia" w:ascii="仿宋_GB2312" w:hAnsi="Times New Roman" w:eastAsia="仿宋_GB2312" w:cs="Times New Roman"/>
          <w:bCs/>
          <w:color w:val="000000"/>
          <w:kern w:val="0"/>
          <w:sz w:val="32"/>
          <w:szCs w:val="32"/>
          <w:lang w:val="en-US" w:eastAsia="zh-CN" w:bidi="ar-SA"/>
        </w:rPr>
        <w:t>万元，其中：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人员经费404.62万元，主要包括：基本工资79.22万元、津贴补贴147.93万元、奖金6.21万元、绩效工资56.69万元、机关事业单位基本养老保险缴费38.66万元、职业年金缴费19.33万元、职工基本医疗保险缴费18.25万元，公务员医疗补助缴费3.23万元、其他社会保障缴费5.6万元、医疗费0万元、住房公积金28.03万元。</w:t>
      </w:r>
      <w:r>
        <w:rPr>
          <w:rFonts w:hint="eastAsia" w:ascii="仿宋_GB2312" w:hAnsi="仿宋_GB2312" w:eastAsia="仿宋_GB2312" w:cs="仿宋_GB2312"/>
          <w:bCs/>
          <w:color w:val="000000"/>
          <w:kern w:val="0"/>
          <w:sz w:val="32"/>
          <w:szCs w:val="32"/>
          <w:lang w:val="en-US" w:eastAsia="zh-CN" w:bidi="ar-SA"/>
        </w:rPr>
        <w:br w:type="textWrapping"/>
      </w:r>
      <w:r>
        <w:rPr>
          <w:rFonts w:hint="eastAsia" w:ascii="仿宋_GB2312" w:hAnsi="仿宋_GB2312" w:eastAsia="仿宋_GB2312" w:cs="仿宋_GB2312"/>
          <w:bCs/>
          <w:color w:val="000000"/>
          <w:kern w:val="0"/>
          <w:sz w:val="32"/>
          <w:szCs w:val="32"/>
          <w:lang w:val="en-US" w:eastAsia="zh-CN" w:bidi="ar-SA"/>
        </w:rPr>
        <w:t>日常公用经费4.45万元，主要包括：公杂费0元、手续费0元、电费1元、培训费1.24元。</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right="0"/>
        <w:jc w:val="left"/>
        <w:textAlignment w:val="auto"/>
        <w:rPr>
          <w:rFonts w:hint="eastAsia" w:ascii="楷体" w:hAnsi="楷体" w:eastAsia="楷体" w:cs="宋体"/>
          <w:color w:val="000000"/>
          <w:kern w:val="0"/>
          <w:lang w:val="zh-CN" w:eastAsia="zh-CN"/>
        </w:rPr>
      </w:pPr>
      <w:r>
        <w:rPr>
          <w:rFonts w:hint="eastAsia" w:ascii="楷体" w:hAnsi="楷体" w:eastAsia="楷体" w:cs="宋体"/>
          <w:color w:val="000000"/>
          <w:kern w:val="0"/>
          <w:sz w:val="32"/>
          <w:szCs w:val="24"/>
          <w:lang w:val="zh-CN" w:eastAsia="zh-CN" w:bidi="ar"/>
        </w:rPr>
        <w:t>（三）综合管理情况</w:t>
      </w:r>
    </w:p>
    <w:p>
      <w:pPr>
        <w:pageBreakBefore w:val="0"/>
        <w:kinsoku/>
        <w:wordWrap/>
        <w:overflowPunct/>
        <w:topLinePunct w:val="0"/>
        <w:autoSpaceDE/>
        <w:autoSpaceDN/>
        <w:bidi w:val="0"/>
        <w:spacing w:line="560" w:lineRule="exact"/>
        <w:ind w:left="0" w:leftChars="0"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资产管理</w:t>
      </w:r>
    </w:p>
    <w:p>
      <w:pPr>
        <w:pageBreakBefore w:val="0"/>
        <w:kinsoku/>
        <w:wordWrap/>
        <w:overflowPunct/>
        <w:topLinePunct w:val="0"/>
        <w:autoSpaceDE/>
        <w:autoSpaceDN/>
        <w:bidi w:val="0"/>
        <w:spacing w:line="560" w:lineRule="exact"/>
        <w:ind w:left="0" w:leftChars="0" w:firstLine="640" w:firstLineChars="200"/>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加强学校资产管理，严格执行现行固定资产管理制度，防止学校固定资产的流失。做到账实相符，对购入的固定资产及时入账，编制固定资产卡片，确保账面上能真实、完整的反映单位的固定资产情况，并结合本单位的实际情况，完善固定资产管理制度。学校的固定资产一般分为土地房屋及构筑物、通用设备、专用设备、文物和陈列品、图书档案、家具用具装具及动植物这几种。学校固定资产有较多的低值易耗品，在使用过程中监管不力很容易损坏，学校应重视资产的管理，延长资产使用寿命。提高资产的使用效率</w:t>
      </w:r>
      <w:r>
        <w:rPr>
          <w:rFonts w:hint="eastAsia" w:ascii="仿宋_GB2312" w:eastAsia="仿宋_GB2312" w:cs="Times New Roman"/>
          <w:bCs/>
          <w:color w:val="000000"/>
          <w:kern w:val="0"/>
          <w:sz w:val="32"/>
          <w:szCs w:val="32"/>
          <w:lang w:val="en-US" w:eastAsia="zh-CN" w:bidi="ar-SA"/>
        </w:rPr>
        <w:t>。</w:t>
      </w:r>
    </w:p>
    <w:p>
      <w:pPr>
        <w:pageBreakBefore w:val="0"/>
        <w:kinsoku/>
        <w:wordWrap/>
        <w:overflowPunct/>
        <w:topLinePunct w:val="0"/>
        <w:autoSpaceDE/>
        <w:autoSpaceDN/>
        <w:bidi w:val="0"/>
        <w:spacing w:line="560" w:lineRule="exact"/>
        <w:ind w:left="0" w:leftChars="0"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内控管理</w:t>
      </w:r>
    </w:p>
    <w:p>
      <w:pPr>
        <w:pageBreakBefore w:val="0"/>
        <w:kinsoku/>
        <w:wordWrap/>
        <w:overflowPunct/>
        <w:topLinePunct w:val="0"/>
        <w:autoSpaceDE/>
        <w:autoSpaceDN/>
        <w:bidi w:val="0"/>
        <w:spacing w:line="560" w:lineRule="exact"/>
        <w:ind w:left="0" w:leftChars="0" w:firstLine="640" w:firstLineChars="200"/>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加强财务内部控制制度的认识，健全完善部门内控制度，形成常态的规划管理。明确业务分工，运用不相容岗位相互分离、提高风险防范能力。信息内部公开等内部控制基本方法，加强对单位层面和业务层面的内部控制，实现内部控制体系全面、有效实施。建立单位内控监督约束机制，确保资金安全、合理、有效使用，提高学校管理水平，保证学校协调、持续、稳定发展。</w:t>
      </w:r>
    </w:p>
    <w:p>
      <w:pPr>
        <w:pageBreakBefore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绩效管理</w:t>
      </w:r>
    </w:p>
    <w:p>
      <w:pPr>
        <w:pStyle w:val="13"/>
        <w:pageBreakBefore w:val="0"/>
        <w:shd w:val="clear" w:color="auto" w:fill="FFFFFF"/>
        <w:kinsoku/>
        <w:wordWrap/>
        <w:overflowPunct/>
        <w:topLinePunct w:val="0"/>
        <w:autoSpaceDE/>
        <w:autoSpaceDN/>
        <w:bidi w:val="0"/>
        <w:spacing w:before="0" w:beforeAutospacing="0" w:after="0" w:afterAutospacing="0" w:line="560" w:lineRule="exact"/>
        <w:ind w:left="0" w:leftChars="0" w:firstLine="640" w:firstLineChars="200"/>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学校坚持多劳多得、注重实效、优绩优效的原则，把师德放在首位。我单位教师年度考核是绩效考核的主要依据，学校按照教师绩效考核的名次进行进行分配。重点考核教师拓展专业知识，提高教育教学能力的情况，包括教师技能培训、完成规定的教师继续教育任务，参与教学教研等方面的情况，还通过教师考勤、工作量、教育教学效果等内容进行进行绩效考核。学校应该进一步提高预算绩效评价质量使教师们满意。　</w:t>
      </w:r>
    </w:p>
    <w:p>
      <w:pPr>
        <w:pageBreakBefore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信息公开</w:t>
      </w:r>
    </w:p>
    <w:p>
      <w:pPr>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我单位按照政府信息公开应当遵循合法、真实、及时便民的原则，经财政部门对我校公开的信息进行真实性的审查，在信息公开办网站上进行了预决算公开。</w:t>
      </w:r>
    </w:p>
    <w:p>
      <w:pPr>
        <w:pageBreakBefore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财政监督</w:t>
      </w:r>
    </w:p>
    <w:p>
      <w:pPr>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我校坚持将财政监督工作贯穿于学校的财务工作之中。确保财政监督工作的有效性实施，强化事前、事中、事后监督，提高财政监督信息化水平，逐步建立起预算编制、执行、监督紧密衔接，相互促进，实现对财政资金运行全过程的科学、规范、有效监督和管理。</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firstLine="640" w:firstLineChars="200"/>
        <w:jc w:val="left"/>
        <w:textAlignment w:val="auto"/>
        <w:rPr>
          <w:rFonts w:hint="eastAsia" w:ascii="楷体" w:hAnsi="楷体" w:eastAsia="楷体" w:cs="宋体"/>
          <w:color w:val="000000"/>
          <w:kern w:val="0"/>
          <w:lang w:val="zh-CN" w:eastAsia="zh-CN"/>
        </w:rPr>
      </w:pPr>
      <w:r>
        <w:rPr>
          <w:rFonts w:hint="eastAsia" w:ascii="楷体" w:hAnsi="楷体" w:eastAsia="楷体" w:cs="宋体"/>
          <w:color w:val="000000"/>
          <w:kern w:val="0"/>
          <w:sz w:val="32"/>
          <w:szCs w:val="24"/>
          <w:lang w:val="zh-CN" w:eastAsia="zh-CN" w:bidi="ar"/>
        </w:rPr>
        <w:t>（四）整体绩效</w:t>
      </w:r>
    </w:p>
    <w:p>
      <w:pPr>
        <w:pageBreakBefore w:val="0"/>
        <w:widowControl/>
        <w:kinsoku/>
        <w:wordWrap/>
        <w:overflowPunct/>
        <w:topLinePunct w:val="0"/>
        <w:autoSpaceDE/>
        <w:autoSpaceDN/>
        <w:bidi w:val="0"/>
        <w:spacing w:line="560" w:lineRule="exact"/>
        <w:ind w:left="0" w:leftChars="0" w:firstLine="640" w:firstLineChars="200"/>
        <w:jc w:val="left"/>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学校提高预算绩效管理认识，强化以“绩效为中心、对支出结果负责、对社会公众负责”的理念，在绩效目标编制方面，针对绩效目标设置指向不清、预算和目标匹配不足，数量目标和质量目标量化不细，效益目标编制不完整等方面加以了改善。加强预算绩效动态监控管理，加强相关人员的业务培训，进一步扩大预算绩效评价范围。</w:t>
      </w:r>
    </w:p>
    <w:p>
      <w:pPr>
        <w:pStyle w:val="12"/>
        <w:pageBreakBefore w:val="0"/>
        <w:shd w:val="clear" w:color="auto" w:fill="FFFFFF"/>
        <w:kinsoku/>
        <w:wordWrap/>
        <w:overflowPunct/>
        <w:topLinePunct w:val="0"/>
        <w:autoSpaceDE/>
        <w:autoSpaceDN/>
        <w:bidi w:val="0"/>
        <w:spacing w:line="560" w:lineRule="exact"/>
        <w:ind w:left="0" w:leftChars="0" w:firstLine="640" w:firstLineChars="200"/>
        <w:textAlignment w:val="auto"/>
        <w:rPr>
          <w:rFonts w:hint="eastAsia" w:ascii="仿宋_GB2312" w:hAnsi="Times New Roman" w:eastAsia="仿宋_GB2312" w:cs="Times New Roman"/>
          <w:bCs/>
          <w:color w:val="000000"/>
          <w:kern w:val="0"/>
          <w:sz w:val="32"/>
          <w:szCs w:val="32"/>
          <w:lang w:val="zh-CN" w:eastAsia="zh-CN" w:bidi="ar-SA"/>
        </w:rPr>
      </w:pPr>
      <w:r>
        <w:rPr>
          <w:rFonts w:hint="eastAsia" w:ascii="仿宋_GB2312" w:hAnsi="Times New Roman" w:eastAsia="仿宋_GB2312" w:cs="Times New Roman"/>
          <w:bCs/>
          <w:color w:val="000000"/>
          <w:kern w:val="0"/>
          <w:sz w:val="32"/>
          <w:szCs w:val="32"/>
          <w:lang w:val="en-US" w:eastAsia="zh-CN" w:bidi="ar-SA"/>
        </w:rPr>
        <w:t>对财务管理进行规范化，同财政部门及时沟通学习，积极进行财政部门组织的决算、编报、审核等方面工作按时完成，认真如实填报。不断强化预算意识，实行部门综合预算管理，保证预算编制质量。结合单位情况，进行科学合理分配细化，部门预算经批复后，科学合理安排支出，降低预算支出的波动幅度。对预算和决算公开工作、及主管部门对所属单位按规定批复决算的各项工作按规定批复决算的各项工作按规定认真执行。</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leftChars="0" w:right="0" w:firstLine="640" w:firstLineChars="200"/>
        <w:jc w:val="left"/>
        <w:textAlignment w:val="auto"/>
        <w:rPr>
          <w:rFonts w:hint="eastAsia" w:ascii="黑体" w:hAnsi="宋体" w:eastAsia="黑体" w:cs="宋体"/>
          <w:color w:val="000000"/>
          <w:kern w:val="0"/>
          <w:lang w:val="en-US"/>
        </w:rPr>
      </w:pPr>
      <w:r>
        <w:rPr>
          <w:rFonts w:hint="eastAsia" w:ascii="黑体" w:hAnsi="宋体" w:eastAsia="黑体" w:cs="宋体"/>
          <w:color w:val="000000"/>
          <w:kern w:val="0"/>
          <w:sz w:val="32"/>
          <w:szCs w:val="24"/>
          <w:lang w:val="en-US" w:eastAsia="zh-CN" w:bidi="ar"/>
        </w:rPr>
        <w:t>四、评价结论及建议</w:t>
      </w:r>
    </w:p>
    <w:p>
      <w:pPr>
        <w:pageBreakBefore w:val="0"/>
        <w:kinsoku/>
        <w:wordWrap/>
        <w:overflowPunct/>
        <w:topLinePunct w:val="0"/>
        <w:autoSpaceDE/>
        <w:autoSpaceDN/>
        <w:bidi w:val="0"/>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zh-CN"/>
        </w:rPr>
        <w:t>(一）评价结论</w:t>
      </w:r>
    </w:p>
    <w:p>
      <w:pPr>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zh-CN" w:eastAsia="zh-CN" w:bidi="ar-SA"/>
        </w:rPr>
        <w:t>在上级部门的领导下，</w:t>
      </w:r>
      <w:r>
        <w:rPr>
          <w:rFonts w:hint="eastAsia" w:ascii="仿宋_GB2312" w:hAnsi="Times New Roman" w:eastAsia="仿宋_GB2312" w:cs="Times New Roman"/>
          <w:bCs/>
          <w:color w:val="000000"/>
          <w:kern w:val="0"/>
          <w:sz w:val="32"/>
          <w:szCs w:val="32"/>
          <w:lang w:val="en-US" w:eastAsia="zh-CN" w:bidi="ar-SA"/>
        </w:rPr>
        <w:t>我单位扎实工作，全面完成了各项工作任务，按照年初预算进行部门整体支出，在支出过程中，能遵守各项规章制度基本按方案组织实施，并加强了监督，达到了节约、高效的支出目标。始终突出工作重点，积极发挥综合协调作用。筹落实各项任务，推动面上工作平衡发展。认真履行主体责任，切实加强干部队伍建设。我单位对财务管理进行规范化，同财政部门及时沟通学习，积极进行财政部门组织的决算、编报、审核等方面工作按时完成，认真如实填报。不断强化预算意识，实行部门综合预算管理，保证预算编制质量。结合单位情况，进行科学合理分配细化，部门预算经批复后，科学合理安排支出，降低预算支出的波动幅度。对预算和决算公开工作、及主管部门对所属单位按规定批复决算的各项工作按规定认真执行。</w:t>
      </w:r>
    </w:p>
    <w:p>
      <w:pPr>
        <w:pageBreakBefore w:val="0"/>
        <w:kinsoku/>
        <w:wordWrap/>
        <w:overflowPunct/>
        <w:topLinePunct w:val="0"/>
        <w:autoSpaceDE/>
        <w:autoSpaceDN/>
        <w:bidi w:val="0"/>
        <w:spacing w:line="560" w:lineRule="exact"/>
        <w:ind w:left="0" w:leftChars="0" w:firstLine="640" w:firstLineChars="200"/>
        <w:textAlignment w:val="auto"/>
        <w:rPr>
          <w:rFonts w:hint="eastAsia" w:ascii="楷体" w:hAnsi="楷体" w:eastAsia="楷体" w:cs="楷体"/>
          <w:sz w:val="32"/>
          <w:szCs w:val="32"/>
          <w:lang w:val="zh-CN" w:eastAsia="zh-CN"/>
        </w:rPr>
      </w:pPr>
      <w:r>
        <w:rPr>
          <w:rFonts w:hint="eastAsia" w:ascii="楷体" w:hAnsi="楷体" w:eastAsia="楷体" w:cs="楷体"/>
          <w:sz w:val="32"/>
          <w:szCs w:val="32"/>
          <w:lang w:val="zh-CN" w:eastAsia="zh-CN"/>
        </w:rPr>
        <w:t>（二）存在问题</w:t>
      </w:r>
    </w:p>
    <w:p>
      <w:pPr>
        <w:pStyle w:val="13"/>
        <w:pageBreakBefore w:val="0"/>
        <w:shd w:val="clear" w:color="auto" w:fill="FFFFFF"/>
        <w:kinsoku/>
        <w:wordWrap/>
        <w:overflowPunct/>
        <w:topLinePunct w:val="0"/>
        <w:autoSpaceDE/>
        <w:autoSpaceDN/>
        <w:bidi w:val="0"/>
        <w:spacing w:before="0" w:beforeAutospacing="0" w:after="0" w:afterAutospacing="0" w:line="560" w:lineRule="exact"/>
        <w:ind w:left="0" w:leftChars="0" w:firstLine="640" w:firstLineChars="200"/>
        <w:textAlignment w:val="auto"/>
        <w:rPr>
          <w:rFonts w:ascii="??_GB2312" w:hAnsi="宋体" w:eastAsia="Times New Roman" w:cs="宋体"/>
          <w:color w:val="000000"/>
          <w:kern w:val="0"/>
          <w:lang w:val="zh-CN"/>
        </w:rPr>
      </w:pPr>
      <w:r>
        <w:rPr>
          <w:rFonts w:hint="eastAsia" w:ascii="仿宋_GB2312" w:hAnsi="Times New Roman" w:eastAsia="仿宋_GB2312" w:cs="Times New Roman"/>
          <w:bCs/>
          <w:color w:val="000000"/>
          <w:kern w:val="0"/>
          <w:sz w:val="32"/>
          <w:szCs w:val="32"/>
          <w:lang w:val="en-US" w:eastAsia="zh-CN" w:bidi="ar-SA"/>
        </w:rPr>
        <w:t>绩效评价指标体系还不够完善、合理，绩效资金预算有待进一步规范，绩效评价管理制度尚不健全。绩效评价开展缺乏强有力的制度保障。绩效评价指标体系还不够完善、合理，绩效资金预算有待进一步规范。</w:t>
      </w:r>
    </w:p>
    <w:p>
      <w:pPr>
        <w:pageBreakBefore w:val="0"/>
        <w:kinsoku/>
        <w:wordWrap/>
        <w:overflowPunct/>
        <w:topLinePunct w:val="0"/>
        <w:autoSpaceDE/>
        <w:autoSpaceDN/>
        <w:bidi w:val="0"/>
        <w:spacing w:line="560" w:lineRule="exact"/>
        <w:ind w:left="0" w:leftChars="0" w:firstLine="640" w:firstLineChars="200"/>
        <w:textAlignment w:val="auto"/>
        <w:rPr>
          <w:rFonts w:hint="eastAsia" w:ascii="楷体" w:hAnsi="楷体" w:eastAsia="楷体" w:cs="楷体"/>
          <w:sz w:val="32"/>
          <w:szCs w:val="32"/>
          <w:lang w:val="zh-CN"/>
        </w:rPr>
      </w:pPr>
      <w:r>
        <w:rPr>
          <w:rFonts w:hint="eastAsia" w:ascii="楷体" w:hAnsi="楷体" w:eastAsia="楷体" w:cs="楷体"/>
          <w:sz w:val="32"/>
          <w:szCs w:val="32"/>
          <w:lang w:val="zh-CN"/>
        </w:rPr>
        <w:t>（三）改进建议</w:t>
      </w:r>
    </w:p>
    <w:p>
      <w:pPr>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bCs/>
          <w:color w:val="000000"/>
          <w:kern w:val="0"/>
          <w:sz w:val="32"/>
          <w:szCs w:val="32"/>
          <w:lang w:val="en-US" w:eastAsia="zh-CN" w:bidi="ar-SA"/>
        </w:rPr>
      </w:pPr>
      <w:r>
        <w:rPr>
          <w:rFonts w:hint="eastAsia" w:ascii="仿宋_GB2312" w:hAnsi="Times New Roman" w:eastAsia="仿宋_GB2312" w:cs="Times New Roman"/>
          <w:bCs/>
          <w:color w:val="000000"/>
          <w:kern w:val="0"/>
          <w:sz w:val="32"/>
          <w:szCs w:val="32"/>
          <w:lang w:val="en-US" w:eastAsia="zh-CN" w:bidi="ar-SA"/>
        </w:rPr>
        <w:t>加强资金管理，确保专款专用，切实提高资金使用绩效。主管部门应指导和督促各单位根据评价建议及时拟定整改方案，明确整改步骤。对绩效评价工作流程进行指导和监督，督促其改进预算和管理工作。学校应建立健全绩效评价制度，更好的确保资金的规范使用。</w:t>
      </w:r>
    </w:p>
    <w:bookmarkEnd w:id="59"/>
    <w:bookmarkEnd w:id="62"/>
    <w:p>
      <w:pPr>
        <w:rPr>
          <w:rFonts w:hint="eastAsia" w:ascii="黑体" w:hAnsi="黑体" w:eastAsia="黑体"/>
          <w:color w:val="000000"/>
          <w:sz w:val="44"/>
          <w:szCs w:val="44"/>
        </w:rPr>
      </w:pPr>
      <w:bookmarkStart w:id="63" w:name="_Toc11446"/>
      <w:r>
        <w:rPr>
          <w:rFonts w:hint="eastAsia" w:ascii="黑体" w:hAnsi="黑体" w:eastAsia="黑体"/>
          <w:color w:val="000000"/>
          <w:sz w:val="44"/>
          <w:szCs w:val="44"/>
        </w:rPr>
        <w:br w:type="page"/>
      </w:r>
    </w:p>
    <w:p>
      <w:pPr>
        <w:pageBreakBefore w:val="0"/>
        <w:kinsoku/>
        <w:wordWrap/>
        <w:overflowPunct/>
        <w:topLinePunct w:val="0"/>
        <w:autoSpaceDE/>
        <w:autoSpaceDN/>
        <w:bidi w:val="0"/>
        <w:spacing w:line="560" w:lineRule="exact"/>
        <w:jc w:val="center"/>
        <w:textAlignment w:val="auto"/>
        <w:outlineLvl w:val="0"/>
        <w:rPr>
          <w:rStyle w:val="26"/>
          <w:rFonts w:hint="eastAsia" w:ascii="黑体" w:hAnsi="黑体" w:eastAsia="黑体"/>
          <w:b w:val="0"/>
        </w:rPr>
      </w:pPr>
      <w:r>
        <w:rPr>
          <w:rFonts w:hint="eastAsia" w:ascii="黑体" w:hAnsi="黑体" w:eastAsia="黑体"/>
          <w:color w:val="000000"/>
          <w:sz w:val="44"/>
          <w:szCs w:val="44"/>
        </w:rPr>
        <w:t>第</w:t>
      </w:r>
      <w:r>
        <w:rPr>
          <w:rStyle w:val="26"/>
          <w:rFonts w:hint="eastAsia" w:ascii="黑体" w:hAnsi="黑体" w:eastAsia="黑体"/>
          <w:b w:val="0"/>
        </w:rPr>
        <w:t>五部分 附表</w:t>
      </w:r>
      <w:bookmarkEnd w:id="63"/>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rPr>
      </w:pPr>
      <w:bookmarkStart w:id="64" w:name="_Toc30433"/>
      <w:r>
        <w:rPr>
          <w:rStyle w:val="32"/>
          <w:rFonts w:hint="eastAsia" w:ascii="仿宋" w:hAnsi="仿宋" w:eastAsia="仿宋" w:cs="Times New Roman"/>
          <w:b w:val="0"/>
          <w:bCs w:val="0"/>
          <w:lang w:eastAsia="zh-CN"/>
        </w:rPr>
        <w:t>一、</w:t>
      </w:r>
      <w:r>
        <w:rPr>
          <w:rStyle w:val="32"/>
          <w:rFonts w:hint="eastAsia" w:ascii="仿宋" w:hAnsi="仿宋" w:eastAsia="仿宋" w:cs="Times New Roman"/>
          <w:b w:val="0"/>
          <w:bCs w:val="0"/>
        </w:rPr>
        <w:t>收入支出决算总表</w:t>
      </w:r>
      <w:bookmarkEnd w:id="64"/>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rPr>
      </w:pPr>
      <w:bookmarkStart w:id="65" w:name="_Toc23254"/>
      <w:r>
        <w:rPr>
          <w:rStyle w:val="32"/>
          <w:rFonts w:hint="eastAsia" w:ascii="仿宋" w:hAnsi="仿宋" w:eastAsia="仿宋" w:cs="Times New Roman"/>
          <w:b w:val="0"/>
          <w:bCs w:val="0"/>
        </w:rPr>
        <w:t>二、收入总表</w:t>
      </w:r>
      <w:bookmarkEnd w:id="65"/>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rPr>
      </w:pPr>
      <w:bookmarkStart w:id="66" w:name="_Toc29638"/>
      <w:r>
        <w:rPr>
          <w:rStyle w:val="32"/>
          <w:rFonts w:hint="eastAsia" w:ascii="仿宋" w:hAnsi="仿宋" w:eastAsia="仿宋" w:cs="Times New Roman"/>
          <w:b w:val="0"/>
          <w:bCs w:val="0"/>
        </w:rPr>
        <w:t>三、支出总表</w:t>
      </w:r>
      <w:bookmarkEnd w:id="66"/>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rPr>
      </w:pPr>
      <w:bookmarkStart w:id="67" w:name="_Toc30198"/>
      <w:r>
        <w:rPr>
          <w:rStyle w:val="32"/>
          <w:rFonts w:hint="eastAsia" w:ascii="仿宋" w:hAnsi="仿宋" w:eastAsia="仿宋" w:cs="Times New Roman"/>
          <w:b w:val="0"/>
          <w:bCs w:val="0"/>
        </w:rPr>
        <w:t>四、财政拨款收入支出决算总表</w:t>
      </w:r>
      <w:bookmarkEnd w:id="67"/>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rPr>
      </w:pPr>
      <w:bookmarkStart w:id="68" w:name="_Toc30232"/>
      <w:r>
        <w:rPr>
          <w:rStyle w:val="32"/>
          <w:rFonts w:hint="eastAsia" w:ascii="仿宋" w:hAnsi="仿宋" w:eastAsia="仿宋" w:cs="Times New Roman"/>
          <w:b w:val="0"/>
          <w:bCs w:val="0"/>
        </w:rPr>
        <w:t>五、财政拨款支出决算明细表（政府经济分类科目）</w:t>
      </w:r>
      <w:bookmarkEnd w:id="68"/>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rPr>
      </w:pPr>
      <w:bookmarkStart w:id="69" w:name="_Toc22671"/>
      <w:r>
        <w:rPr>
          <w:rStyle w:val="32"/>
          <w:rFonts w:hint="eastAsia" w:ascii="仿宋" w:hAnsi="仿宋" w:eastAsia="仿宋" w:cs="Times New Roman"/>
          <w:b w:val="0"/>
          <w:bCs w:val="0"/>
        </w:rPr>
        <w:t>六、一般公共预算财政拨款支出决算表</w:t>
      </w:r>
      <w:bookmarkEnd w:id="69"/>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rPr>
      </w:pPr>
      <w:bookmarkStart w:id="70" w:name="_Toc25540"/>
      <w:r>
        <w:rPr>
          <w:rStyle w:val="32"/>
          <w:rFonts w:hint="eastAsia" w:ascii="仿宋" w:hAnsi="仿宋" w:eastAsia="仿宋" w:cs="Times New Roman"/>
          <w:b w:val="0"/>
          <w:bCs w:val="0"/>
        </w:rPr>
        <w:t>七、一般公共预算财政拨款支出决算明细表</w:t>
      </w:r>
      <w:bookmarkEnd w:id="70"/>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rPr>
      </w:pPr>
      <w:bookmarkStart w:id="71" w:name="_Toc22731"/>
      <w:r>
        <w:rPr>
          <w:rStyle w:val="32"/>
          <w:rFonts w:hint="eastAsia" w:ascii="仿宋" w:hAnsi="仿宋" w:eastAsia="仿宋" w:cs="Times New Roman"/>
          <w:b w:val="0"/>
          <w:bCs w:val="0"/>
        </w:rPr>
        <w:t>八、一般公共预算财政拨款基本支出决算表</w:t>
      </w:r>
      <w:bookmarkEnd w:id="71"/>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rPr>
      </w:pPr>
      <w:bookmarkStart w:id="72" w:name="_Toc27253"/>
      <w:r>
        <w:rPr>
          <w:rStyle w:val="32"/>
          <w:rFonts w:hint="eastAsia" w:ascii="仿宋" w:hAnsi="仿宋" w:eastAsia="仿宋" w:cs="Times New Roman"/>
          <w:b w:val="0"/>
          <w:bCs w:val="0"/>
        </w:rPr>
        <w:t>九、一般公共预算财政拨款项目支出决算表</w:t>
      </w:r>
      <w:bookmarkEnd w:id="72"/>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rPr>
      </w:pPr>
      <w:bookmarkStart w:id="73" w:name="_Toc1320"/>
      <w:r>
        <w:rPr>
          <w:rStyle w:val="32"/>
          <w:rFonts w:hint="eastAsia" w:ascii="仿宋" w:hAnsi="仿宋" w:eastAsia="仿宋" w:cs="Times New Roman"/>
          <w:b w:val="0"/>
          <w:bCs w:val="0"/>
        </w:rPr>
        <w:t>十、一般公共预算财政拨款“三公”经费支出决算表</w:t>
      </w:r>
      <w:bookmarkEnd w:id="73"/>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rPr>
      </w:pPr>
      <w:bookmarkStart w:id="74" w:name="_Toc8235"/>
      <w:r>
        <w:rPr>
          <w:rStyle w:val="32"/>
          <w:rFonts w:hint="eastAsia" w:ascii="仿宋" w:hAnsi="仿宋" w:eastAsia="仿宋" w:cs="Times New Roman"/>
          <w:b w:val="0"/>
          <w:bCs w:val="0"/>
        </w:rPr>
        <w:t>十一、政府性基金预算财政拨款收入支出决算表</w:t>
      </w:r>
      <w:bookmarkEnd w:id="74"/>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rPr>
      </w:pPr>
      <w:bookmarkStart w:id="75" w:name="_Toc16186"/>
      <w:r>
        <w:rPr>
          <w:rStyle w:val="32"/>
          <w:rFonts w:hint="eastAsia" w:ascii="仿宋" w:hAnsi="仿宋" w:eastAsia="仿宋" w:cs="Times New Roman"/>
          <w:b w:val="0"/>
          <w:bCs w:val="0"/>
        </w:rPr>
        <w:t>十二、政府性基金预算财政拨款“三公”经费支出决算表</w:t>
      </w:r>
      <w:bookmarkEnd w:id="75"/>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rPr>
      </w:pPr>
      <w:bookmarkStart w:id="76" w:name="_Toc15737"/>
      <w:r>
        <w:rPr>
          <w:rStyle w:val="32"/>
          <w:rFonts w:hint="eastAsia" w:ascii="仿宋" w:hAnsi="仿宋" w:eastAsia="仿宋" w:cs="Times New Roman"/>
          <w:b w:val="0"/>
          <w:bCs w:val="0"/>
        </w:rPr>
        <w:t>十三、国有资本经营预算支出决算表</w:t>
      </w:r>
      <w:bookmarkEnd w:id="76"/>
    </w:p>
    <w:p>
      <w:pPr>
        <w:pStyle w:val="3"/>
        <w:pageBreakBefore w:val="0"/>
        <w:kinsoku/>
        <w:wordWrap/>
        <w:overflowPunct/>
        <w:topLinePunct w:val="0"/>
        <w:autoSpaceDE/>
        <w:autoSpaceDN/>
        <w:bidi w:val="0"/>
        <w:spacing w:before="0" w:after="0" w:line="560" w:lineRule="exact"/>
        <w:ind w:left="0" w:leftChars="0" w:firstLine="640" w:firstLineChars="200"/>
        <w:textAlignment w:val="auto"/>
        <w:rPr>
          <w:rStyle w:val="32"/>
          <w:rFonts w:hint="eastAsia" w:ascii="仿宋" w:hAnsi="仿宋" w:eastAsia="仿宋" w:cs="Times New Roman"/>
          <w:b w:val="0"/>
          <w:bCs w:val="0"/>
          <w:lang w:val="en-US" w:eastAsia="zh-CN"/>
        </w:rPr>
      </w:pPr>
      <w:bookmarkStart w:id="77" w:name="_Toc28012"/>
      <w:r>
        <w:rPr>
          <w:rStyle w:val="32"/>
          <w:rFonts w:hint="eastAsia" w:ascii="仿宋" w:hAnsi="仿宋" w:eastAsia="仿宋" w:cs="Times New Roman"/>
          <w:b w:val="0"/>
          <w:bCs w:val="0"/>
          <w:lang w:val="en-US" w:eastAsia="zh-CN"/>
        </w:rPr>
        <w:t>十四、整体支出绩效评价打分表</w:t>
      </w:r>
      <w:bookmarkEnd w:id="77"/>
    </w:p>
    <w:p>
      <w:pPr>
        <w:pStyle w:val="3"/>
        <w:rPr>
          <w:rFonts w:ascii="仿宋" w:hAnsi="仿宋" w:eastAsia="仿宋"/>
          <w:color w:val="000000" w:themeColor="text1"/>
          <w14:textFill>
            <w14:solidFill>
              <w14:schemeClr w14:val="tx1"/>
            </w14:solidFill>
          </w14:textFill>
        </w:rPr>
      </w:pPr>
    </w:p>
    <w:p>
      <w:pPr>
        <w:tabs>
          <w:tab w:val="left" w:pos="981"/>
        </w:tabs>
        <w:bidi w:val="0"/>
        <w:jc w:val="left"/>
        <w:rPr>
          <w:rStyle w:val="26"/>
          <w:rFonts w:hint="eastAsia" w:ascii="黑体" w:hAnsi="黑体" w:eastAsia="黑体"/>
          <w:b w:val="0"/>
          <w:lang w:eastAsia="zh-C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77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01D1"/>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03E25"/>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8E7BBD"/>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046990"/>
    <w:rsid w:val="014337F8"/>
    <w:rsid w:val="018B4429"/>
    <w:rsid w:val="02251C2C"/>
    <w:rsid w:val="02533083"/>
    <w:rsid w:val="03DA7E8D"/>
    <w:rsid w:val="0402716D"/>
    <w:rsid w:val="04050A69"/>
    <w:rsid w:val="047D654F"/>
    <w:rsid w:val="053C512E"/>
    <w:rsid w:val="055A64BC"/>
    <w:rsid w:val="058E4426"/>
    <w:rsid w:val="05BA2D6C"/>
    <w:rsid w:val="05BA3E21"/>
    <w:rsid w:val="05CB16F4"/>
    <w:rsid w:val="05DC4016"/>
    <w:rsid w:val="05E109B7"/>
    <w:rsid w:val="064C4359"/>
    <w:rsid w:val="06F96CF5"/>
    <w:rsid w:val="075D0CF2"/>
    <w:rsid w:val="08097186"/>
    <w:rsid w:val="083C1AD3"/>
    <w:rsid w:val="09862B52"/>
    <w:rsid w:val="09B47661"/>
    <w:rsid w:val="09F70273"/>
    <w:rsid w:val="0A1B17B6"/>
    <w:rsid w:val="0A906AB1"/>
    <w:rsid w:val="0BA67341"/>
    <w:rsid w:val="0BBF0531"/>
    <w:rsid w:val="0BCB2D68"/>
    <w:rsid w:val="0C541C1A"/>
    <w:rsid w:val="0C975D80"/>
    <w:rsid w:val="0CA0388C"/>
    <w:rsid w:val="0DD57A79"/>
    <w:rsid w:val="0DDA4C72"/>
    <w:rsid w:val="0E3B0D09"/>
    <w:rsid w:val="0E99714E"/>
    <w:rsid w:val="0E9F5C86"/>
    <w:rsid w:val="0ED62A80"/>
    <w:rsid w:val="0F1F1F04"/>
    <w:rsid w:val="1025061D"/>
    <w:rsid w:val="107439CE"/>
    <w:rsid w:val="10A047C3"/>
    <w:rsid w:val="10C055FF"/>
    <w:rsid w:val="10E56B9F"/>
    <w:rsid w:val="10F529AD"/>
    <w:rsid w:val="111F6DD7"/>
    <w:rsid w:val="11335232"/>
    <w:rsid w:val="11787AAD"/>
    <w:rsid w:val="11C63D3C"/>
    <w:rsid w:val="11C87E8B"/>
    <w:rsid w:val="11F905D8"/>
    <w:rsid w:val="128C0123"/>
    <w:rsid w:val="13621D5A"/>
    <w:rsid w:val="14091FFD"/>
    <w:rsid w:val="14303C1F"/>
    <w:rsid w:val="144C4992"/>
    <w:rsid w:val="148118A3"/>
    <w:rsid w:val="16492B7C"/>
    <w:rsid w:val="16A67A11"/>
    <w:rsid w:val="16BB723D"/>
    <w:rsid w:val="1707569E"/>
    <w:rsid w:val="18F208D3"/>
    <w:rsid w:val="193F2FF9"/>
    <w:rsid w:val="19D159E5"/>
    <w:rsid w:val="19FE291C"/>
    <w:rsid w:val="1A34126F"/>
    <w:rsid w:val="1A4D2705"/>
    <w:rsid w:val="1B1F174C"/>
    <w:rsid w:val="1B2B167F"/>
    <w:rsid w:val="1B2B2D2A"/>
    <w:rsid w:val="1B8D0F08"/>
    <w:rsid w:val="1C7A710D"/>
    <w:rsid w:val="1C9C3EFA"/>
    <w:rsid w:val="1D0F4C71"/>
    <w:rsid w:val="1D10756E"/>
    <w:rsid w:val="1E4E0D19"/>
    <w:rsid w:val="1E890137"/>
    <w:rsid w:val="1EAC6239"/>
    <w:rsid w:val="1EF765B9"/>
    <w:rsid w:val="1F490179"/>
    <w:rsid w:val="1F693298"/>
    <w:rsid w:val="1FFE553D"/>
    <w:rsid w:val="208F4BE6"/>
    <w:rsid w:val="2115798C"/>
    <w:rsid w:val="21F50964"/>
    <w:rsid w:val="21F77FBB"/>
    <w:rsid w:val="22496C25"/>
    <w:rsid w:val="225010E2"/>
    <w:rsid w:val="22A8411E"/>
    <w:rsid w:val="234637FE"/>
    <w:rsid w:val="23685AAC"/>
    <w:rsid w:val="240371BF"/>
    <w:rsid w:val="246F1808"/>
    <w:rsid w:val="24C67BFB"/>
    <w:rsid w:val="253B2E40"/>
    <w:rsid w:val="25B46BBD"/>
    <w:rsid w:val="262538DB"/>
    <w:rsid w:val="26E3691C"/>
    <w:rsid w:val="26F560DB"/>
    <w:rsid w:val="271933DD"/>
    <w:rsid w:val="27A753B4"/>
    <w:rsid w:val="27CC288C"/>
    <w:rsid w:val="28111D99"/>
    <w:rsid w:val="282A1191"/>
    <w:rsid w:val="29477A7A"/>
    <w:rsid w:val="299A02B6"/>
    <w:rsid w:val="29FD04D3"/>
    <w:rsid w:val="2A291E0C"/>
    <w:rsid w:val="2A96694F"/>
    <w:rsid w:val="2AE3669B"/>
    <w:rsid w:val="2B543831"/>
    <w:rsid w:val="2B56261F"/>
    <w:rsid w:val="2B8558FF"/>
    <w:rsid w:val="2B8D5A44"/>
    <w:rsid w:val="2BBB3961"/>
    <w:rsid w:val="2C35060B"/>
    <w:rsid w:val="2C9859F2"/>
    <w:rsid w:val="2D4071FC"/>
    <w:rsid w:val="2D5435DE"/>
    <w:rsid w:val="2DF950BB"/>
    <w:rsid w:val="2E0777D8"/>
    <w:rsid w:val="2E7825C9"/>
    <w:rsid w:val="2E7E447F"/>
    <w:rsid w:val="2F28185A"/>
    <w:rsid w:val="2FAC5222"/>
    <w:rsid w:val="2FD43273"/>
    <w:rsid w:val="300D3ED7"/>
    <w:rsid w:val="301003B0"/>
    <w:rsid w:val="306749AB"/>
    <w:rsid w:val="307412DB"/>
    <w:rsid w:val="307F2E01"/>
    <w:rsid w:val="309D4424"/>
    <w:rsid w:val="30EE79EA"/>
    <w:rsid w:val="3105425B"/>
    <w:rsid w:val="319F7F4E"/>
    <w:rsid w:val="31B87D05"/>
    <w:rsid w:val="321F6E09"/>
    <w:rsid w:val="327A066F"/>
    <w:rsid w:val="32DE67C1"/>
    <w:rsid w:val="32EC3440"/>
    <w:rsid w:val="32F27176"/>
    <w:rsid w:val="32FA0620"/>
    <w:rsid w:val="33037BC0"/>
    <w:rsid w:val="33976BDB"/>
    <w:rsid w:val="34BA5A19"/>
    <w:rsid w:val="350C4503"/>
    <w:rsid w:val="36343134"/>
    <w:rsid w:val="366165E2"/>
    <w:rsid w:val="3732648D"/>
    <w:rsid w:val="375E1347"/>
    <w:rsid w:val="37636978"/>
    <w:rsid w:val="37CB0E67"/>
    <w:rsid w:val="37EA0B84"/>
    <w:rsid w:val="389E1E43"/>
    <w:rsid w:val="39C430D5"/>
    <w:rsid w:val="3A9115EB"/>
    <w:rsid w:val="3ABF06FE"/>
    <w:rsid w:val="3B9D5C20"/>
    <w:rsid w:val="3BF53222"/>
    <w:rsid w:val="3C78488A"/>
    <w:rsid w:val="3D200B9E"/>
    <w:rsid w:val="3E4223E8"/>
    <w:rsid w:val="3EAC3A3F"/>
    <w:rsid w:val="3EB079F2"/>
    <w:rsid w:val="3F1A2BCD"/>
    <w:rsid w:val="3F9A283D"/>
    <w:rsid w:val="3FF16A16"/>
    <w:rsid w:val="400D5553"/>
    <w:rsid w:val="40224D33"/>
    <w:rsid w:val="42037250"/>
    <w:rsid w:val="420F6880"/>
    <w:rsid w:val="42834F9B"/>
    <w:rsid w:val="42FE3DD1"/>
    <w:rsid w:val="431178B5"/>
    <w:rsid w:val="43EF2BEB"/>
    <w:rsid w:val="4401215F"/>
    <w:rsid w:val="44AE67A8"/>
    <w:rsid w:val="453E098F"/>
    <w:rsid w:val="46A546AD"/>
    <w:rsid w:val="46C61A41"/>
    <w:rsid w:val="474673FF"/>
    <w:rsid w:val="47CE40CC"/>
    <w:rsid w:val="47F24756"/>
    <w:rsid w:val="48D832CC"/>
    <w:rsid w:val="49170D43"/>
    <w:rsid w:val="49303269"/>
    <w:rsid w:val="4A270731"/>
    <w:rsid w:val="4A447913"/>
    <w:rsid w:val="4A8E34E4"/>
    <w:rsid w:val="4AB04D17"/>
    <w:rsid w:val="4B3C2DE9"/>
    <w:rsid w:val="4B871C05"/>
    <w:rsid w:val="4C565E5D"/>
    <w:rsid w:val="4C5B748F"/>
    <w:rsid w:val="4D136950"/>
    <w:rsid w:val="4D3E3A01"/>
    <w:rsid w:val="4E03420C"/>
    <w:rsid w:val="4E696798"/>
    <w:rsid w:val="4F286528"/>
    <w:rsid w:val="506618A8"/>
    <w:rsid w:val="508E2AC8"/>
    <w:rsid w:val="50AB6F5C"/>
    <w:rsid w:val="510644BA"/>
    <w:rsid w:val="516152BB"/>
    <w:rsid w:val="51D66BD1"/>
    <w:rsid w:val="51E46BC7"/>
    <w:rsid w:val="51E64DD0"/>
    <w:rsid w:val="524B64EE"/>
    <w:rsid w:val="5275662C"/>
    <w:rsid w:val="529D0075"/>
    <w:rsid w:val="52AD761B"/>
    <w:rsid w:val="53F66489"/>
    <w:rsid w:val="549F5C84"/>
    <w:rsid w:val="54C6336B"/>
    <w:rsid w:val="54ED44EA"/>
    <w:rsid w:val="552802CF"/>
    <w:rsid w:val="55A4327F"/>
    <w:rsid w:val="55AE4080"/>
    <w:rsid w:val="55D36B7C"/>
    <w:rsid w:val="56931DC8"/>
    <w:rsid w:val="56A01559"/>
    <w:rsid w:val="574C7447"/>
    <w:rsid w:val="578A4A88"/>
    <w:rsid w:val="58075090"/>
    <w:rsid w:val="58D621AF"/>
    <w:rsid w:val="5937790B"/>
    <w:rsid w:val="59B477C4"/>
    <w:rsid w:val="5B750DDF"/>
    <w:rsid w:val="5C0871A5"/>
    <w:rsid w:val="5CF85024"/>
    <w:rsid w:val="5CFC3227"/>
    <w:rsid w:val="5D354FEE"/>
    <w:rsid w:val="5D5F4711"/>
    <w:rsid w:val="5D6E0DE5"/>
    <w:rsid w:val="5EDC0BD1"/>
    <w:rsid w:val="5F25605B"/>
    <w:rsid w:val="60BD1FC4"/>
    <w:rsid w:val="60C87A19"/>
    <w:rsid w:val="618154AE"/>
    <w:rsid w:val="61893B7C"/>
    <w:rsid w:val="61BC2FBA"/>
    <w:rsid w:val="61D7407D"/>
    <w:rsid w:val="62341855"/>
    <w:rsid w:val="62E03AC7"/>
    <w:rsid w:val="63221754"/>
    <w:rsid w:val="634470DC"/>
    <w:rsid w:val="635E356C"/>
    <w:rsid w:val="63B03D4D"/>
    <w:rsid w:val="63B410CC"/>
    <w:rsid w:val="63EF265C"/>
    <w:rsid w:val="641A282A"/>
    <w:rsid w:val="64FE5ED4"/>
    <w:rsid w:val="654E2A9B"/>
    <w:rsid w:val="65F3538F"/>
    <w:rsid w:val="661721C7"/>
    <w:rsid w:val="66260958"/>
    <w:rsid w:val="66883D50"/>
    <w:rsid w:val="67510337"/>
    <w:rsid w:val="67AD4CD1"/>
    <w:rsid w:val="68260594"/>
    <w:rsid w:val="697F5BD2"/>
    <w:rsid w:val="69B526C4"/>
    <w:rsid w:val="6A5F47BB"/>
    <w:rsid w:val="6A822DEC"/>
    <w:rsid w:val="6B0266C7"/>
    <w:rsid w:val="6B4078AA"/>
    <w:rsid w:val="6B7F3207"/>
    <w:rsid w:val="6BDF41B7"/>
    <w:rsid w:val="6C8B11B6"/>
    <w:rsid w:val="6CD51451"/>
    <w:rsid w:val="6D492F34"/>
    <w:rsid w:val="6D95566E"/>
    <w:rsid w:val="6DDF637F"/>
    <w:rsid w:val="6DED5DC6"/>
    <w:rsid w:val="6E2F07CA"/>
    <w:rsid w:val="709C5FA5"/>
    <w:rsid w:val="70D35E58"/>
    <w:rsid w:val="70E514F9"/>
    <w:rsid w:val="71170A1D"/>
    <w:rsid w:val="7190438B"/>
    <w:rsid w:val="71A258CE"/>
    <w:rsid w:val="727320DC"/>
    <w:rsid w:val="72B53955"/>
    <w:rsid w:val="72E220AD"/>
    <w:rsid w:val="73051030"/>
    <w:rsid w:val="73171838"/>
    <w:rsid w:val="73873363"/>
    <w:rsid w:val="746721F7"/>
    <w:rsid w:val="74EE583A"/>
    <w:rsid w:val="75157DEB"/>
    <w:rsid w:val="75282356"/>
    <w:rsid w:val="75284FED"/>
    <w:rsid w:val="76A44C9F"/>
    <w:rsid w:val="77143510"/>
    <w:rsid w:val="77723DEC"/>
    <w:rsid w:val="780B05AA"/>
    <w:rsid w:val="784F54B4"/>
    <w:rsid w:val="788165E3"/>
    <w:rsid w:val="78B97BB3"/>
    <w:rsid w:val="79EA33D0"/>
    <w:rsid w:val="7A7A6853"/>
    <w:rsid w:val="7B1A4222"/>
    <w:rsid w:val="7B827A6B"/>
    <w:rsid w:val="7B9B2AF3"/>
    <w:rsid w:val="7C137DF6"/>
    <w:rsid w:val="7C156FC5"/>
    <w:rsid w:val="7C50148A"/>
    <w:rsid w:val="7CA15421"/>
    <w:rsid w:val="7CAD766D"/>
    <w:rsid w:val="7D341B6E"/>
    <w:rsid w:val="7D764F96"/>
    <w:rsid w:val="7D823D52"/>
    <w:rsid w:val="7DB146BC"/>
    <w:rsid w:val="7DEB6156"/>
    <w:rsid w:val="7E4A00F9"/>
    <w:rsid w:val="7E6E6DAA"/>
    <w:rsid w:val="7F123674"/>
    <w:rsid w:val="7F902EC1"/>
    <w:rsid w:val="7FA55B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2"/>
    <w:qFormat/>
    <w:uiPriority w:val="9"/>
    <w:rPr>
      <w:rFonts w:ascii="Times New Roman" w:hAnsi="Times New Roman"/>
      <w:b/>
      <w:bCs/>
      <w:kern w:val="44"/>
      <w:sz w:val="44"/>
      <w:szCs w:val="44"/>
    </w:rPr>
  </w:style>
  <w:style w:type="character" w:customStyle="1" w:styleId="27">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8">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7"/>
    <w:semiHidden/>
    <w:qFormat/>
    <w:uiPriority w:val="99"/>
    <w:rPr>
      <w:rFonts w:ascii="Times New Roman" w:hAnsi="Times New Roman"/>
      <w:kern w:val="2"/>
      <w:sz w:val="18"/>
      <w:szCs w:val="18"/>
    </w:rPr>
  </w:style>
  <w:style w:type="character" w:customStyle="1" w:styleId="30">
    <w:name w:val="标题 3 Char"/>
    <w:basedOn w:val="15"/>
    <w:link w:val="4"/>
    <w:qFormat/>
    <w:uiPriority w:val="9"/>
    <w:rPr>
      <w:rFonts w:ascii="Times New Roman" w:hAnsi="Times New Roman"/>
      <w:b/>
      <w:bCs/>
      <w:kern w:val="2"/>
      <w:sz w:val="32"/>
      <w:szCs w:val="32"/>
    </w:rPr>
  </w:style>
  <w:style w:type="character" w:customStyle="1" w:styleId="31">
    <w:name w:val="15"/>
    <w:basedOn w:val="15"/>
    <w:qFormat/>
    <w:uiPriority w:val="99"/>
    <w:rPr>
      <w:rFonts w:ascii="Times New Roman" w:hAnsi="Times New Roman" w:cs="Times New Roman"/>
      <w:b/>
      <w:bCs/>
    </w:rPr>
  </w:style>
  <w:style w:type="character" w:customStyle="1" w:styleId="32">
    <w:name w:val="Heading 2 Char"/>
    <w:basedOn w:val="15"/>
    <w:link w:val="3"/>
    <w:qFormat/>
    <w:locked/>
    <w:uiPriority w:val="99"/>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oleObject" Target="file:///C:\Users\Administrator\Desktop\2021&#24180;&#20915;&#31639;&#20844;&#24320;&#36164;&#26009;\&#22270;&#34920;.xls"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6.xml"/><Relationship Id="rId1" Type="http://schemas.openxmlformats.org/officeDocument/2006/relationships/oleObject" Target="file:///C:\Users\Administrator\Desktop\2021&#24180;&#20915;&#31639;&#20844;&#24320;&#36164;&#26009;\&#22270;&#34920;.xls"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Administrator\Desktop\2021&#24180;&#20915;&#31639;&#20844;&#24320;&#36164;&#26009;\&#22270;&#34920;.xls" TargetMode="External"/></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C:\Users\Administrator\Desktop\2021&#24180;&#20915;&#31639;&#20844;&#24320;&#36164;&#26009;\&#22270;&#34920;.xls" TargetMode="External"/></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oleObject" Target="file:///C:\Users\Administrator\Desktop\2021&#24180;&#20915;&#31639;&#20844;&#24320;&#36164;&#26009;\&#22270;&#34920;.xls" TargetMode="External"/></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file:///C:\Users\Administrator\Desktop\2021&#24180;&#20915;&#31639;&#20844;&#24320;&#36164;&#26009;\&#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baseline="0">
                <a:solidFill>
                  <a:srgbClr val="333333">
                    <a:alpha val="100000"/>
                  </a:srgbClr>
                </a:solidFill>
                <a:latin typeface="微软雅黑" panose="020B0503020204020204" pitchFamily="2" charset="-122"/>
                <a:ea typeface="微软雅黑" panose="020B0503020204020204" pitchFamily="2" charset="-122"/>
                <a:cs typeface="微软雅黑" panose="020B0503020204020204" pitchFamily="2" charset="-122"/>
              </a:defRPr>
            </a:pPr>
            <a:r>
              <a:t>收、支决算总计变动情况图</a:t>
            </a:r>
            <a:endParaRPr sz="1400" b="0" i="0" u="none" strike="noStrike" baseline="0">
              <a:solidFill>
                <a:srgbClr val="333333">
                  <a:alpha val="100000"/>
                </a:srgbClr>
              </a:solidFill>
              <a:latin typeface="微软雅黑" panose="020B0503020204020204" pitchFamily="2" charset="-122"/>
              <a:ea typeface="微软雅黑" panose="020B0503020204020204" pitchFamily="2" charset="-122"/>
              <a:cs typeface="微软雅黑" panose="020B0503020204020204" pitchFamily="2" charset="-122"/>
            </a:endParaRPr>
          </a:p>
        </c:rich>
      </c:tx>
      <c:layout/>
      <c:overlay val="0"/>
      <c:spPr>
        <a:noFill/>
        <a:ln w="3175">
          <a:noFill/>
        </a:ln>
      </c:spPr>
    </c:title>
    <c:autoTitleDeleted val="0"/>
    <c:plotArea>
      <c:layout>
        <c:manualLayout>
          <c:layoutTarget val="inner"/>
          <c:xMode val="edge"/>
          <c:yMode val="edge"/>
          <c:x val="0.149423673866101"/>
          <c:y val="0.151122897090639"/>
          <c:w val="0.835310459786081"/>
          <c:h val="0.595"/>
        </c:manualLayout>
      </c:layout>
      <c:barChart>
        <c:barDir val="col"/>
        <c:grouping val="clustered"/>
        <c:varyColors val="0"/>
        <c:ser>
          <c:idx val="0"/>
          <c:order val="0"/>
          <c:tx>
            <c:strRef>
              <c:f>[图表.xls]Sheet1!$A$2</c:f>
              <c:strCache>
                <c:ptCount val="1"/>
                <c:pt idx="0">
                  <c:v>      本年收入合计</c:v>
                </c:pt>
              </c:strCache>
            </c:strRef>
          </c:tx>
          <c:spPr>
            <a:solidFill>
              <a:srgbClr val="5B9BD5">
                <a:alpha val="100000"/>
              </a:srgbClr>
            </a:solidFill>
            <a:ln w="3175">
              <a:noFill/>
            </a:ln>
          </c:spPr>
          <c:invertIfNegative val="0"/>
          <c:dLbls>
            <c:numFmt formatCode="General" sourceLinked="1"/>
            <c:spPr>
              <a:no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FF">
                        <a:alpha val="100000"/>
                      </a:srgbClr>
                    </a:solidFill>
                    <a:latin typeface="宋体" panose="02010600030101010101" charset="-122"/>
                    <a:ea typeface="宋体" panose="02010600030101010101" charset="-122"/>
                    <a:cs typeface="宋体" panose="0201060003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[图表.xls]Sheet1!$B$1:$C$1</c:f>
              <c:strCache>
                <c:ptCount val="2"/>
                <c:pt idx="0">
                  <c:v>2021年</c:v>
                </c:pt>
                <c:pt idx="1">
                  <c:v>2022年</c:v>
                </c:pt>
              </c:strCache>
            </c:strRef>
          </c:cat>
          <c:val>
            <c:numRef>
              <c:f>[图表.xls]Sheet1!$B$2:$C$2</c:f>
              <c:numCache>
                <c:formatCode>#,##0.00</c:formatCode>
                <c:ptCount val="2"/>
                <c:pt idx="0">
                  <c:v>502.22</c:v>
                </c:pt>
                <c:pt idx="1">
                  <c:v>484.64</c:v>
                </c:pt>
              </c:numCache>
            </c:numRef>
          </c:val>
        </c:ser>
        <c:ser>
          <c:idx val="1"/>
          <c:order val="1"/>
          <c:tx>
            <c:strRef>
              <c:f>[图表.xls]Sheet1!$A$3</c:f>
              <c:strCache>
                <c:ptCount val="1"/>
                <c:pt idx="0">
                  <c:v>      本年支出合计</c:v>
                </c:pt>
              </c:strCache>
            </c:strRef>
          </c:tx>
          <c:spPr>
            <a:solidFill>
              <a:srgbClr val="70AD47">
                <a:alpha val="100000"/>
              </a:srgbClr>
            </a:solidFill>
            <a:ln w="3175">
              <a:noFill/>
            </a:ln>
          </c:spPr>
          <c:invertIfNegative val="0"/>
          <c:dLbls>
            <c:numFmt formatCode="General" sourceLinked="1"/>
            <c:spPr>
              <a:no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FF">
                        <a:alpha val="100000"/>
                      </a:srgbClr>
                    </a:solidFill>
                    <a:latin typeface="宋体" panose="02010600030101010101" charset="-122"/>
                    <a:ea typeface="宋体" panose="02010600030101010101" charset="-122"/>
                    <a:cs typeface="宋体" panose="0201060003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[图表.xls]Sheet1!$B$1:$C$1</c:f>
              <c:strCache>
                <c:ptCount val="2"/>
                <c:pt idx="0">
                  <c:v>2021年</c:v>
                </c:pt>
                <c:pt idx="1">
                  <c:v>2022年</c:v>
                </c:pt>
              </c:strCache>
            </c:strRef>
          </c:cat>
          <c:val>
            <c:numRef>
              <c:f>[图表.xls]Sheet1!$B$3:$C$3</c:f>
              <c:numCache>
                <c:formatCode>#,##0.00</c:formatCode>
                <c:ptCount val="2"/>
                <c:pt idx="0">
                  <c:v>502.22</c:v>
                </c:pt>
                <c:pt idx="1">
                  <c:v>484.64</c:v>
                </c:pt>
              </c:numCache>
            </c:numRef>
          </c:val>
        </c:ser>
        <c:dLbls>
          <c:showLegendKey val="0"/>
          <c:showVal val="0"/>
          <c:showCatName val="0"/>
          <c:showSerName val="0"/>
          <c:showPercent val="0"/>
          <c:showBubbleSize val="0"/>
        </c:dLbls>
        <c:gapWidth val="219"/>
        <c:overlap val="-10"/>
        <c:axId val="536476397"/>
        <c:axId val="381725067"/>
      </c:barChart>
      <c:catAx>
        <c:axId val="536476397"/>
        <c:scaling>
          <c:orientation val="minMax"/>
        </c:scaling>
        <c:delete val="0"/>
        <c:axPos val="b"/>
        <c:majorTickMark val="none"/>
        <c:minorTickMark val="none"/>
        <c:tickLblPos val="nextTo"/>
        <c:spPr>
          <a:noFill/>
          <a:ln w="9525" cap="flat" cmpd="sng" algn="ctr">
            <a:solidFill>
              <a:schemeClr val="bg1">
                <a:lumMod val="9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alpha val="100000"/>
                  </a:srgbClr>
                </a:solidFill>
                <a:latin typeface="微软雅黑" panose="020B0503020204020204" pitchFamily="2" charset="-122"/>
                <a:ea typeface="微软雅黑" panose="020B0503020204020204" pitchFamily="2" charset="-122"/>
                <a:cs typeface="微软雅黑" panose="020B0503020204020204" pitchFamily="2" charset="-122"/>
              </a:defRPr>
            </a:pPr>
          </a:p>
        </c:txPr>
        <c:crossAx val="381725067"/>
        <c:crosses val="autoZero"/>
        <c:auto val="1"/>
        <c:lblAlgn val="ctr"/>
        <c:lblOffset val="100"/>
        <c:noMultiLvlLbl val="0"/>
      </c:catAx>
      <c:valAx>
        <c:axId val="381725067"/>
        <c:scaling>
          <c:orientation val="minMax"/>
        </c:scaling>
        <c:delete val="0"/>
        <c:axPos val="l"/>
        <c:majorGridlines>
          <c:spPr>
            <a:ln w="9525" cap="flat" cmpd="sng" algn="ctr">
              <a:solidFill>
                <a:schemeClr val="bg1">
                  <a:lumMod val="95000"/>
                </a:schemeClr>
              </a:solidFill>
              <a:prstDash val="solid"/>
              <a:round/>
            </a:ln>
            <a:effectLst/>
          </c:spPr>
        </c:majorGridlines>
        <c:numFmt formatCode="#,##0.00" sourceLinked="1"/>
        <c:majorTickMark val="none"/>
        <c:minorTickMark val="none"/>
        <c:tickLblPos val="nextTo"/>
        <c:spPr>
          <a:ln w="3175" cap="flat" cmpd="sng" algn="ctr">
            <a:noFill/>
            <a:prstDash val="solid"/>
            <a:round/>
          </a:ln>
        </c:spPr>
        <c:txPr>
          <a:bodyPr rot="0" spcFirstLastPara="0" vertOverflow="ellipsis" vert="horz" wrap="square"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crossAx val="536476397"/>
        <c:crosses val="autoZero"/>
        <c:crossBetween val="between"/>
      </c:valAx>
      <c:spPr>
        <a:noFill/>
        <a:ln w="3175">
          <a:noFill/>
        </a:ln>
      </c:spPr>
    </c:plotArea>
    <c:legend>
      <c:legendPos val="b"/>
      <c:layout/>
      <c:overlay val="0"/>
      <c:spPr>
        <a:noFill/>
        <a:ln w="3175">
          <a:noFill/>
        </a:ln>
      </c:spPr>
      <c:txPr>
        <a:bodyPr rot="0" spcFirstLastPara="0" vertOverflow="ellipsis" vert="horz" wrap="square" anchor="ctr" anchorCtr="1"/>
        <a:lstStyle/>
        <a:p>
          <a:pPr>
            <a:defRPr lang="zh-CN" sz="825" b="0" i="0" u="none" strike="noStrike" kern="1200" baseline="0">
              <a:solidFill>
                <a:srgbClr val="333333"/>
              </a:solidFill>
              <a:latin typeface="微软雅黑" panose="020B0503020204020204" pitchFamily="2" charset="-122"/>
              <a:ea typeface="微软雅黑" panose="020B0503020204020204" pitchFamily="2" charset="-122"/>
              <a:cs typeface="微软雅黑" panose="020B0503020204020204" pitchFamily="2" charset="-122"/>
            </a:defRPr>
          </a:pPr>
        </a:p>
      </c:txPr>
    </c:legend>
    <c:plotVisOnly val="1"/>
    <c:dispBlanksAs val="gap"/>
    <c:showDLblsOverMax val="0"/>
  </c:chart>
  <c:spPr>
    <a:solidFill>
      <a:schemeClr val="bg1"/>
    </a:solidFill>
    <a:ln w="9525" cap="flat" cmpd="sng" algn="ctr">
      <a:solidFill>
        <a:schemeClr val="bg1">
          <a:lumMod val="95000"/>
        </a:schemeClr>
      </a:solidFill>
      <a:prstDash val="solid"/>
      <a:round/>
    </a:ln>
    <a:effectLst/>
  </c:spPr>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1" i="0" u="none" strike="noStrike" kern="1200" baseline="0">
                <a:solidFill>
                  <a:srgbClr val="808080">
                    <a:alpha val="100000"/>
                  </a:srgbClr>
                </a:solidFill>
                <a:latin typeface="宋体" panose="02010600030101010101" charset="-122"/>
                <a:ea typeface="宋体" panose="02010600030101010101" charset="-122"/>
                <a:cs typeface="宋体" panose="02010600030101010101" charset="-122"/>
              </a:defRPr>
            </a:pPr>
            <a:r>
              <a:t>收入决算结构图</a:t>
            </a:r>
            <a:endParaRPr sz="1400" b="1" i="0" u="none" strike="noStrike" baseline="0">
              <a:solidFill>
                <a:srgbClr val="808080">
                  <a:alpha val="100000"/>
                </a:srgbClr>
              </a:solidFill>
              <a:latin typeface="宋体" panose="02010600030101010101" charset="-122"/>
              <a:ea typeface="宋体" panose="02010600030101010101" charset="-122"/>
              <a:cs typeface="宋体" panose="02010600030101010101" charset="-122"/>
            </a:endParaRPr>
          </a:p>
        </c:rich>
      </c:tx>
      <c:layout/>
      <c:overlay val="0"/>
      <c:spPr>
        <a:noFill/>
        <a:ln w="3175">
          <a:noFill/>
        </a:ln>
      </c:spPr>
    </c:title>
    <c:autoTitleDeleted val="0"/>
    <c:plotArea>
      <c:layout/>
      <c:pieChart>
        <c:varyColors val="1"/>
        <c:ser>
          <c:idx val="0"/>
          <c:order val="0"/>
          <c:explosion val="0"/>
          <c:dPt>
            <c:idx val="0"/>
            <c:bubble3D val="0"/>
            <c:explosion val="0"/>
            <c:spPr>
              <a:solidFill>
                <a:srgbClr val="5B9BD5">
                  <a:alpha val="100000"/>
                </a:srgbClr>
              </a:solidFill>
              <a:ln w="19050">
                <a:solidFill>
                  <a:srgbClr val="FFFFFF">
                    <a:alpha val="100000"/>
                  </a:srgbClr>
                </a:solidFill>
                <a:prstDash val="solid"/>
              </a:ln>
            </c:spPr>
          </c:dPt>
          <c:dPt>
            <c:idx val="1"/>
            <c:bubble3D val="0"/>
            <c:explosion val="0"/>
            <c:spPr>
              <a:solidFill>
                <a:srgbClr val="70AD47">
                  <a:alpha val="50000"/>
                </a:srgbClr>
              </a:solidFill>
              <a:ln w="19050">
                <a:solidFill>
                  <a:schemeClr val="lt1"/>
                </a:solidFill>
              </a:ln>
              <a:effectLst/>
            </c:spPr>
          </c:dPt>
          <c:dPt>
            <c:idx val="2"/>
            <c:bubble3D val="0"/>
            <c:explosion val="0"/>
            <c:spPr>
              <a:solidFill>
                <a:srgbClr val="FFC000">
                  <a:alpha val="50000"/>
                </a:srgbClr>
              </a:solidFill>
              <a:ln w="19050">
                <a:solidFill>
                  <a:schemeClr val="lt1"/>
                </a:solidFill>
              </a:ln>
              <a:effectLst/>
            </c:spPr>
          </c:dPt>
          <c:dLbls>
            <c:dLbl>
              <c:idx val="0"/>
              <c:layout>
                <c:manualLayout>
                  <c:x val="0.00878769038091444"/>
                  <c:y val="-0.128788959312302"/>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3253565855233"/>
                  <c:y val="0.00494695779970653"/>
                </c:manualLayout>
              </c:layout>
              <c:numFmt formatCode="General" sourceLinked="1"/>
              <c:spPr>
                <a:solidFill>
                  <a:srgbClr val="70AD47">
                    <a:alpha val="100000"/>
                  </a:srgbClr>
                </a:solid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97262452272019"/>
                  <c:y val="0.00848495416906387"/>
                </c:manualLayout>
              </c:layout>
              <c:numFmt formatCode="General" sourceLinked="1"/>
              <c:spPr>
                <a:solidFill>
                  <a:srgbClr val="FFC000">
                    <a:alpha val="100000"/>
                  </a:srgbClr>
                </a:solid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[图表.xls]Sheet1!$G$1:$H$1</c:f>
              <c:strCache>
                <c:ptCount val="2"/>
                <c:pt idx="0">
                  <c:v>一般公共预算财政拨款收入</c:v>
                </c:pt>
                <c:pt idx="1">
                  <c:v>其他收入</c:v>
                </c:pt>
              </c:strCache>
            </c:strRef>
          </c:cat>
          <c:val>
            <c:numRef>
              <c:f>[图表.xls]Sheet1!$G$2:$I$2</c:f>
              <c:numCache>
                <c:formatCode>General</c:formatCode>
                <c:ptCount val="3"/>
                <c:pt idx="0">
                  <c:v>484.64</c:v>
                </c:pt>
                <c:pt idx="1">
                  <c:v>0</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manualLayout>
          <c:xMode val="edge"/>
          <c:yMode val="edge"/>
          <c:x val="0.647916666666667"/>
          <c:y val="0.439699256342957"/>
          <c:w val="0.3375"/>
          <c:h val="0.204"/>
        </c:manualLayout>
      </c:layout>
      <c:overlay val="0"/>
      <c:spPr>
        <a:solidFill>
          <a:schemeClr val="lt1">
            <a:alpha val="50000"/>
          </a:schemeClr>
        </a:solid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pattFill prst="dkDnDiag">
      <a:fgClr>
        <a:schemeClr val="lt1"/>
      </a:fgClr>
      <a:bgClr>
        <a:sysClr val="window" lastClr="FFFFFF"/>
      </a:bgClr>
    </a:pattFill>
    <a:ln w="9525" cap="flat" cmpd="sng" algn="ctr">
      <a:solidFill>
        <a:schemeClr val="dk1">
          <a:lumMod val="15000"/>
          <a:lumOff val="85000"/>
        </a:schemeClr>
      </a:solidFill>
      <a:prstDash val="solid"/>
      <a:round/>
    </a:ln>
    <a:effectLst/>
  </c:spPr>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1" i="0" u="none" strike="noStrike" kern="1200" baseline="0">
                <a:solidFill>
                  <a:srgbClr val="808080">
                    <a:alpha val="100000"/>
                  </a:srgbClr>
                </a:solidFill>
                <a:latin typeface="宋体" panose="02010600030101010101" charset="-122"/>
                <a:ea typeface="宋体" panose="02010600030101010101" charset="-122"/>
                <a:cs typeface="宋体" panose="02010600030101010101" charset="-122"/>
              </a:defRPr>
            </a:pPr>
            <a:r>
              <a:t>支出决算结构图</a:t>
            </a:r>
            <a:endParaRPr sz="1400" b="1" i="0" u="none" strike="noStrike" baseline="0">
              <a:solidFill>
                <a:srgbClr val="808080">
                  <a:alpha val="100000"/>
                </a:srgbClr>
              </a:solidFill>
              <a:latin typeface="宋体" panose="02010600030101010101" charset="-122"/>
              <a:ea typeface="宋体" panose="02010600030101010101" charset="-122"/>
              <a:cs typeface="宋体" panose="02010600030101010101" charset="-122"/>
            </a:endParaRPr>
          </a:p>
        </c:rich>
      </c:tx>
      <c:layout/>
      <c:overlay val="0"/>
      <c:spPr>
        <a:noFill/>
        <a:ln w="3175">
          <a:noFill/>
        </a:ln>
      </c:spPr>
    </c:title>
    <c:autoTitleDeleted val="0"/>
    <c:plotArea>
      <c:layout>
        <c:manualLayout>
          <c:layoutTarget val="inner"/>
          <c:xMode val="edge"/>
          <c:yMode val="edge"/>
          <c:x val="0.221929423100084"/>
          <c:y val="0.19849001814882"/>
          <c:w val="0.479903649283392"/>
          <c:h val="0.723165154264973"/>
        </c:manualLayout>
      </c:layout>
      <c:pieChart>
        <c:varyColors val="1"/>
        <c:ser>
          <c:idx val="0"/>
          <c:order val="0"/>
          <c:spPr>
            <a:solidFill>
              <a:srgbClr val="70AD47"/>
            </a:solidFill>
          </c:spPr>
          <c:explosion val="0"/>
          <c:dPt>
            <c:idx val="0"/>
            <c:bubble3D val="0"/>
            <c:explosion val="0"/>
            <c:spPr>
              <a:solidFill>
                <a:srgbClr val="70AD47">
                  <a:alpha val="100000"/>
                </a:srgbClr>
              </a:solidFill>
              <a:ln w="19050">
                <a:solidFill>
                  <a:srgbClr val="FFFFFF">
                    <a:alpha val="100000"/>
                  </a:srgbClr>
                </a:solidFill>
                <a:prstDash val="solid"/>
              </a:ln>
            </c:spPr>
          </c:dPt>
          <c:dPt>
            <c:idx val="1"/>
            <c:bubble3D val="0"/>
            <c:explosion val="0"/>
            <c:spPr>
              <a:solidFill>
                <a:srgbClr val="5B9BD5">
                  <a:alpha val="100000"/>
                </a:srgbClr>
              </a:solidFill>
              <a:ln w="19050">
                <a:solidFill>
                  <a:srgbClr val="FFFFFF">
                    <a:alpha val="100000"/>
                  </a:srgbClr>
                </a:solidFill>
                <a:prstDash val="solid"/>
              </a:ln>
            </c:spPr>
          </c:dPt>
          <c:dLbls>
            <c:numFmt formatCode="General" sourceLinked="1"/>
            <c:spPr>
              <a:no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[图表.xls]Sheet1!$A$22:$B$22</c:f>
              <c:strCache>
                <c:ptCount val="2"/>
                <c:pt idx="0">
                  <c:v>基本支出</c:v>
                </c:pt>
                <c:pt idx="1">
                  <c:v>项目支出</c:v>
                </c:pt>
              </c:strCache>
            </c:strRef>
          </c:cat>
          <c:val>
            <c:numRef>
              <c:f>[图表.xls]Sheet1!$A$23:$B$23</c:f>
              <c:numCache>
                <c:formatCode>General</c:formatCode>
                <c:ptCount val="2"/>
                <c:pt idx="0">
                  <c:v>409.07</c:v>
                </c:pt>
                <c:pt idx="1">
                  <c:v>75.57</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overlay val="0"/>
      <c:spPr>
        <a:solidFill>
          <a:schemeClr val="lt1">
            <a:alpha val="50000"/>
          </a:schemeClr>
        </a:solid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pattFill prst="dkDnDiag">
      <a:fgClr>
        <a:schemeClr val="lt1"/>
      </a:fgClr>
      <a:bgClr>
        <a:sysClr val="window" lastClr="FFFFFF"/>
      </a:bgClr>
    </a:pattFill>
    <a:ln w="9525" cap="flat" cmpd="sng" algn="ctr">
      <a:solidFill>
        <a:schemeClr val="dk1">
          <a:lumMod val="15000"/>
          <a:lumOff val="85000"/>
        </a:schemeClr>
      </a:solidFill>
      <a:prstDash val="solid"/>
      <a:round/>
    </a:ln>
    <a:effectLst/>
  </c:spPr>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baseline="0">
                <a:solidFill>
                  <a:srgbClr val="333333">
                    <a:alpha val="100000"/>
                  </a:srgbClr>
                </a:solidFill>
                <a:latin typeface="微软雅黑" panose="020B0503020204020204" pitchFamily="2" charset="-122"/>
                <a:ea typeface="微软雅黑" panose="020B0503020204020204" pitchFamily="2" charset="-122"/>
                <a:cs typeface="微软雅黑" panose="020B0503020204020204" pitchFamily="2" charset="-122"/>
              </a:defRPr>
            </a:pPr>
            <a:r>
              <a:t>财政拨款收、支决算总计变动情况</a:t>
            </a:r>
            <a:endParaRPr sz="1400" b="0" i="0" u="none" strike="noStrike" baseline="0">
              <a:solidFill>
                <a:srgbClr val="333333">
                  <a:alpha val="100000"/>
                </a:srgbClr>
              </a:solidFill>
              <a:latin typeface="微软雅黑" panose="020B0503020204020204" pitchFamily="2" charset="-122"/>
              <a:ea typeface="微软雅黑" panose="020B0503020204020204" pitchFamily="2" charset="-122"/>
              <a:cs typeface="微软雅黑" panose="020B0503020204020204" pitchFamily="2" charset="-122"/>
            </a:endParaRPr>
          </a:p>
        </c:rich>
      </c:tx>
      <c:layout>
        <c:manualLayout>
          <c:xMode val="edge"/>
          <c:yMode val="edge"/>
          <c:x val="0.200555555555556"/>
          <c:y val="0.0243055555555556"/>
        </c:manualLayout>
      </c:layout>
      <c:overlay val="0"/>
      <c:spPr>
        <a:noFill/>
        <a:ln w="3175">
          <a:noFill/>
        </a:ln>
      </c:spPr>
    </c:title>
    <c:autoTitleDeleted val="0"/>
    <c:plotArea>
      <c:layout/>
      <c:barChart>
        <c:barDir val="col"/>
        <c:grouping val="clustered"/>
        <c:varyColors val="0"/>
        <c:ser>
          <c:idx val="0"/>
          <c:order val="0"/>
          <c:tx>
            <c:strRef>
              <c:f>[图表.xls]Sheet1!$G$23</c:f>
              <c:strCache>
                <c:ptCount val="1"/>
                <c:pt idx="0">
                  <c:v>      本年财政拨款收入合计</c:v>
                </c:pt>
              </c:strCache>
            </c:strRef>
          </c:tx>
          <c:spPr>
            <a:solidFill>
              <a:srgbClr val="5B9BD5">
                <a:alpha val="100000"/>
              </a:srgbClr>
            </a:solidFill>
            <a:ln w="3175">
              <a:noFill/>
            </a:ln>
          </c:spPr>
          <c:invertIfNegative val="0"/>
          <c:dLbls>
            <c:numFmt formatCode="General" sourceLinked="1"/>
            <c:spPr>
              <a:no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[图表.xls]Sheet1!$H$22:$I$22</c:f>
              <c:strCache>
                <c:ptCount val="2"/>
                <c:pt idx="0">
                  <c:v>2021年</c:v>
                </c:pt>
                <c:pt idx="1">
                  <c:v>2022年</c:v>
                </c:pt>
              </c:strCache>
            </c:strRef>
          </c:cat>
          <c:val>
            <c:numRef>
              <c:f>[图表.xls]Sheet1!$H$23:$I$23</c:f>
              <c:numCache>
                <c:formatCode>#,##0.00</c:formatCode>
                <c:ptCount val="2"/>
                <c:pt idx="0">
                  <c:v>502.22</c:v>
                </c:pt>
                <c:pt idx="1">
                  <c:v>484.64</c:v>
                </c:pt>
              </c:numCache>
            </c:numRef>
          </c:val>
        </c:ser>
        <c:ser>
          <c:idx val="1"/>
          <c:order val="1"/>
          <c:tx>
            <c:strRef>
              <c:f>[图表.xls]Sheet1!$G$24</c:f>
              <c:strCache>
                <c:ptCount val="1"/>
                <c:pt idx="0">
                  <c:v>      本年财政拨款支出合计</c:v>
                </c:pt>
              </c:strCache>
            </c:strRef>
          </c:tx>
          <c:spPr>
            <a:solidFill>
              <a:srgbClr val="70AD47">
                <a:alpha val="100000"/>
              </a:srgbClr>
            </a:solidFill>
            <a:ln w="3175">
              <a:noFill/>
            </a:ln>
          </c:spPr>
          <c:invertIfNegative val="0"/>
          <c:dLbls>
            <c:numFmt formatCode="General" sourceLinked="1"/>
            <c:spPr>
              <a:no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[图表.xls]Sheet1!$H$22:$I$22</c:f>
              <c:strCache>
                <c:ptCount val="2"/>
                <c:pt idx="0">
                  <c:v>2021年</c:v>
                </c:pt>
                <c:pt idx="1">
                  <c:v>2022年</c:v>
                </c:pt>
              </c:strCache>
            </c:strRef>
          </c:cat>
          <c:val>
            <c:numRef>
              <c:f>[图表.xls]Sheet1!$H$24:$I$24</c:f>
              <c:numCache>
                <c:formatCode>#,##0.00</c:formatCode>
                <c:ptCount val="2"/>
                <c:pt idx="0">
                  <c:v>502.22</c:v>
                </c:pt>
                <c:pt idx="1">
                  <c:v>484.64</c:v>
                </c:pt>
              </c:numCache>
            </c:numRef>
          </c:val>
        </c:ser>
        <c:dLbls>
          <c:showLegendKey val="0"/>
          <c:showVal val="0"/>
          <c:showCatName val="0"/>
          <c:showSerName val="0"/>
          <c:showPercent val="0"/>
          <c:showBubbleSize val="0"/>
        </c:dLbls>
        <c:gapWidth val="219"/>
        <c:overlap val="-10"/>
        <c:axId val="460857208"/>
        <c:axId val="336877355"/>
      </c:barChart>
      <c:catAx>
        <c:axId val="460857208"/>
        <c:scaling>
          <c:orientation val="minMax"/>
        </c:scaling>
        <c:delete val="0"/>
        <c:axPos val="b"/>
        <c:majorTickMark val="none"/>
        <c:minorTickMark val="none"/>
        <c:tickLblPos val="nextTo"/>
        <c:spPr>
          <a:noFill/>
          <a:ln w="9525" cap="flat" cmpd="sng" algn="ctr">
            <a:solidFill>
              <a:schemeClr val="bg1">
                <a:lumMod val="9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alpha val="100000"/>
                  </a:srgbClr>
                </a:solidFill>
                <a:latin typeface="微软雅黑" panose="020B0503020204020204" pitchFamily="2" charset="-122"/>
                <a:ea typeface="微软雅黑" panose="020B0503020204020204" pitchFamily="2" charset="-122"/>
                <a:cs typeface="微软雅黑" panose="020B0503020204020204" pitchFamily="2" charset="-122"/>
              </a:defRPr>
            </a:pPr>
          </a:p>
        </c:txPr>
        <c:crossAx val="336877355"/>
        <c:crosses val="autoZero"/>
        <c:auto val="1"/>
        <c:lblAlgn val="ctr"/>
        <c:lblOffset val="100"/>
        <c:noMultiLvlLbl val="0"/>
      </c:catAx>
      <c:valAx>
        <c:axId val="336877355"/>
        <c:scaling>
          <c:orientation val="minMax"/>
        </c:scaling>
        <c:delete val="0"/>
        <c:axPos val="l"/>
        <c:majorGridlines>
          <c:spPr>
            <a:ln w="9525" cap="flat" cmpd="sng" algn="ctr">
              <a:solidFill>
                <a:schemeClr val="bg1">
                  <a:lumMod val="95000"/>
                </a:schemeClr>
              </a:solidFill>
              <a:prstDash val="solid"/>
              <a:round/>
            </a:ln>
            <a:effectLst/>
          </c:spPr>
        </c:majorGridlines>
        <c:numFmt formatCode="#,##0.00" sourceLinked="1"/>
        <c:majorTickMark val="none"/>
        <c:minorTickMark val="none"/>
        <c:tickLblPos val="nextTo"/>
        <c:spPr>
          <a:ln w="3175" cap="flat" cmpd="sng" algn="ctr">
            <a:noFill/>
            <a:prstDash val="solid"/>
            <a:round/>
          </a:ln>
        </c:spPr>
        <c:txPr>
          <a:bodyPr rot="0" spcFirstLastPara="0" vertOverflow="ellipsis" vert="horz" wrap="square"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crossAx val="460857208"/>
        <c:crosses val="autoZero"/>
        <c:crossBetween val="between"/>
      </c:valAx>
      <c:spPr>
        <a:noFill/>
        <a:ln w="3175">
          <a:noFill/>
        </a:ln>
      </c:spPr>
    </c:plotArea>
    <c:legend>
      <c:legendPos val="b"/>
      <c:layout/>
      <c:overlay val="0"/>
      <c:spPr>
        <a:noFill/>
        <a:ln w="3175">
          <a:noFill/>
        </a:ln>
      </c:spPr>
      <c:txPr>
        <a:bodyPr rot="0" spcFirstLastPara="0" vertOverflow="ellipsis" vert="horz" wrap="square" anchor="ctr" anchorCtr="1"/>
        <a:lstStyle/>
        <a:p>
          <a:pPr>
            <a:defRPr lang="zh-CN" sz="825" b="0" i="0" u="none" strike="noStrike" kern="1200" baseline="0">
              <a:solidFill>
                <a:srgbClr val="333333"/>
              </a:solidFill>
              <a:latin typeface="微软雅黑" panose="020B0503020204020204" pitchFamily="2" charset="-122"/>
              <a:ea typeface="微软雅黑" panose="020B0503020204020204" pitchFamily="2" charset="-122"/>
              <a:cs typeface="微软雅黑" panose="020B0503020204020204" pitchFamily="2" charset="-122"/>
            </a:defRPr>
          </a:pPr>
        </a:p>
      </c:txPr>
    </c:legend>
    <c:plotVisOnly val="1"/>
    <c:dispBlanksAs val="gap"/>
    <c:showDLblsOverMax val="0"/>
  </c:chart>
  <c:spPr>
    <a:solidFill>
      <a:schemeClr val="bg1"/>
    </a:solidFill>
    <a:ln w="9525" cap="flat" cmpd="sng" algn="ctr">
      <a:solidFill>
        <a:schemeClr val="bg1">
          <a:lumMod val="95000"/>
        </a:schemeClr>
      </a:solidFill>
      <a:prstDash val="solid"/>
      <a:round/>
    </a:ln>
    <a:effectLst/>
  </c:spPr>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baseline="0">
                <a:solidFill>
                  <a:srgbClr val="333333">
                    <a:alpha val="100000"/>
                  </a:srgbClr>
                </a:solidFill>
                <a:latin typeface="微软雅黑" panose="020B0503020204020204" pitchFamily="2" charset="-122"/>
                <a:ea typeface="微软雅黑" panose="020B0503020204020204" pitchFamily="2" charset="-122"/>
                <a:cs typeface="微软雅黑" panose="020B0503020204020204" pitchFamily="2" charset="-122"/>
              </a:defRPr>
            </a:pPr>
            <a:r>
              <a:t>一般公共预算财政拨款支出决算变动情况</a:t>
            </a:r>
            <a:endParaRPr sz="1400" b="0" i="0" u="none" strike="noStrike" baseline="0">
              <a:solidFill>
                <a:srgbClr val="333333">
                  <a:alpha val="100000"/>
                </a:srgbClr>
              </a:solidFill>
              <a:latin typeface="微软雅黑" panose="020B0503020204020204" pitchFamily="2" charset="-122"/>
              <a:ea typeface="微软雅黑" panose="020B0503020204020204" pitchFamily="2" charset="-122"/>
              <a:cs typeface="微软雅黑" panose="020B0503020204020204" pitchFamily="2" charset="-122"/>
            </a:endParaRPr>
          </a:p>
        </c:rich>
      </c:tx>
      <c:layout/>
      <c:overlay val="0"/>
      <c:spPr>
        <a:noFill/>
        <a:ln w="3175">
          <a:noFill/>
        </a:ln>
      </c:spPr>
    </c:title>
    <c:autoTitleDeleted val="0"/>
    <c:plotArea>
      <c:layout>
        <c:manualLayout>
          <c:layoutTarget val="inner"/>
          <c:xMode val="edge"/>
          <c:yMode val="edge"/>
          <c:x val="0.0744737478828938"/>
          <c:y val="0.327546296296296"/>
          <c:w val="0.875925477861118"/>
          <c:h val="0.601481481481482"/>
        </c:manualLayout>
      </c:layout>
      <c:barChart>
        <c:barDir val="col"/>
        <c:grouping val="clustered"/>
        <c:varyColors val="0"/>
        <c:ser>
          <c:idx val="0"/>
          <c:order val="0"/>
          <c:tx>
            <c:strRef>
              <c:f>[图表.xls]Sheet1!$A$44</c:f>
              <c:strCache>
                <c:ptCount val="1"/>
                <c:pt idx="0">
                  <c:v>一般公共预算财政拨款支出</c:v>
                </c:pt>
              </c:strCache>
            </c:strRef>
          </c:tx>
          <c:spPr>
            <a:solidFill>
              <a:srgbClr val="5B9BD5">
                <a:alpha val="100000"/>
              </a:srgbClr>
            </a:solidFill>
            <a:ln w="3175">
              <a:noFill/>
            </a:ln>
          </c:spPr>
          <c:invertIfNegative val="0"/>
          <c:dLbls>
            <c:numFmt formatCode="General" sourceLinked="1"/>
            <c:spPr>
              <a:no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FF">
                        <a:alpha val="100000"/>
                      </a:srgbClr>
                    </a:solidFill>
                    <a:latin typeface="宋体" panose="02010600030101010101" charset="-122"/>
                    <a:ea typeface="宋体" panose="02010600030101010101" charset="-122"/>
                    <a:cs typeface="宋体" panose="0201060003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[图表.xls]Sheet1!$B$43:$C$43</c:f>
              <c:strCache>
                <c:ptCount val="2"/>
                <c:pt idx="0">
                  <c:v>2021年</c:v>
                </c:pt>
                <c:pt idx="1">
                  <c:v>2022年</c:v>
                </c:pt>
              </c:strCache>
            </c:strRef>
          </c:cat>
          <c:val>
            <c:numRef>
              <c:f>[图表.xls]Sheet1!$B$44:$C$44</c:f>
              <c:numCache>
                <c:formatCode>#,##0.00</c:formatCode>
                <c:ptCount val="2"/>
                <c:pt idx="0">
                  <c:v>502.22</c:v>
                </c:pt>
                <c:pt idx="1">
                  <c:v>484.64</c:v>
                </c:pt>
              </c:numCache>
            </c:numRef>
          </c:val>
        </c:ser>
        <c:dLbls>
          <c:showLegendKey val="0"/>
          <c:showVal val="0"/>
          <c:showCatName val="0"/>
          <c:showSerName val="0"/>
          <c:showPercent val="0"/>
          <c:showBubbleSize val="0"/>
        </c:dLbls>
        <c:gapWidth val="219"/>
        <c:overlap val="-10"/>
        <c:axId val="355863460"/>
        <c:axId val="40487627"/>
      </c:barChart>
      <c:catAx>
        <c:axId val="355863460"/>
        <c:scaling>
          <c:orientation val="minMax"/>
        </c:scaling>
        <c:delete val="0"/>
        <c:axPos val="b"/>
        <c:majorTickMark val="none"/>
        <c:minorTickMark val="none"/>
        <c:tickLblPos val="nextTo"/>
        <c:spPr>
          <a:noFill/>
          <a:ln w="9525" cap="flat" cmpd="sng" algn="ctr">
            <a:solidFill>
              <a:schemeClr val="bg1">
                <a:lumMod val="9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alpha val="100000"/>
                  </a:srgbClr>
                </a:solidFill>
                <a:latin typeface="微软雅黑" panose="020B0503020204020204" pitchFamily="2" charset="-122"/>
                <a:ea typeface="微软雅黑" panose="020B0503020204020204" pitchFamily="2" charset="-122"/>
                <a:cs typeface="微软雅黑" panose="020B0503020204020204" pitchFamily="2" charset="-122"/>
              </a:defRPr>
            </a:pPr>
          </a:p>
        </c:txPr>
        <c:crossAx val="40487627"/>
        <c:crosses val="autoZero"/>
        <c:auto val="1"/>
        <c:lblAlgn val="ctr"/>
        <c:lblOffset val="100"/>
        <c:noMultiLvlLbl val="0"/>
      </c:catAx>
      <c:valAx>
        <c:axId val="40487627"/>
        <c:scaling>
          <c:orientation val="minMax"/>
        </c:scaling>
        <c:delete val="0"/>
        <c:axPos val="l"/>
        <c:majorGridlines>
          <c:spPr>
            <a:ln w="9525" cap="flat" cmpd="sng" algn="ctr">
              <a:solidFill>
                <a:schemeClr val="bg1">
                  <a:lumMod val="95000"/>
                </a:schemeClr>
              </a:solidFill>
              <a:prstDash val="solid"/>
              <a:round/>
            </a:ln>
            <a:effectLst/>
          </c:spPr>
        </c:majorGridlines>
        <c:numFmt formatCode="#,##0.00" sourceLinked="1"/>
        <c:majorTickMark val="none"/>
        <c:minorTickMark val="none"/>
        <c:tickLblPos val="nextTo"/>
        <c:spPr>
          <a:ln w="3175" cap="flat" cmpd="sng" algn="ctr">
            <a:noFill/>
            <a:prstDash val="solid"/>
            <a:round/>
          </a:ln>
        </c:spPr>
        <c:txPr>
          <a:bodyPr rot="0" spcFirstLastPara="0" vertOverflow="ellipsis" vert="horz" wrap="square"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crossAx val="355863460"/>
        <c:crosses val="autoZero"/>
        <c:crossBetween val="between"/>
      </c:valAx>
      <c:spPr>
        <a:noFill/>
        <a:ln w="3175">
          <a:noFill/>
        </a:ln>
      </c:spPr>
    </c:plotArea>
    <c:legend>
      <c:legendPos val="b"/>
      <c:layout/>
      <c:overlay val="0"/>
      <c:spPr>
        <a:noFill/>
        <a:ln w="3175">
          <a:noFill/>
        </a:ln>
      </c:spPr>
      <c:txPr>
        <a:bodyPr rot="0" spcFirstLastPara="0" vertOverflow="ellipsis" vert="horz" wrap="square" anchor="ctr" anchorCtr="1"/>
        <a:lstStyle/>
        <a:p>
          <a:pPr>
            <a:defRPr lang="zh-CN" sz="825" b="0" i="0" u="none" strike="noStrike" kern="1200" baseline="0">
              <a:solidFill>
                <a:srgbClr val="333333"/>
              </a:solidFill>
              <a:latin typeface="微软雅黑" panose="020B0503020204020204" pitchFamily="2" charset="-122"/>
              <a:ea typeface="微软雅黑" panose="020B0503020204020204" pitchFamily="2" charset="-122"/>
              <a:cs typeface="微软雅黑" panose="020B0503020204020204" pitchFamily="2" charset="-122"/>
            </a:defRPr>
          </a:pPr>
        </a:p>
      </c:txPr>
    </c:legend>
    <c:plotVisOnly val="1"/>
    <c:dispBlanksAs val="gap"/>
    <c:showDLblsOverMax val="0"/>
  </c:chart>
  <c:spPr>
    <a:solidFill>
      <a:schemeClr val="bg1"/>
    </a:solidFill>
    <a:ln w="9525" cap="flat" cmpd="sng" algn="ctr">
      <a:solidFill>
        <a:schemeClr val="bg1">
          <a:lumMod val="95000"/>
        </a:schemeClr>
      </a:solidFill>
      <a:prstDash val="solid"/>
      <a:round/>
    </a:ln>
    <a:effectLst/>
  </c:spPr>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1" i="0" u="none" strike="noStrike" kern="1200" baseline="0">
                <a:solidFill>
                  <a:srgbClr val="808080">
                    <a:alpha val="100000"/>
                  </a:srgbClr>
                </a:solidFill>
                <a:latin typeface="宋体" panose="02010600030101010101" charset="-122"/>
                <a:ea typeface="宋体" panose="02010600030101010101" charset="-122"/>
                <a:cs typeface="宋体" panose="02010600030101010101" charset="-122"/>
              </a:defRPr>
            </a:pPr>
            <a:r>
              <a:t>一般公共预算财政拨款支出决算结构</a:t>
            </a:r>
            <a:endParaRPr sz="1400" b="1" i="0" u="none" strike="noStrike" baseline="0">
              <a:solidFill>
                <a:srgbClr val="80808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80972222222222"/>
          <c:y val="0.901851851851852"/>
        </c:manualLayout>
      </c:layout>
      <c:overlay val="0"/>
      <c:spPr>
        <a:noFill/>
        <a:ln w="3175">
          <a:noFill/>
        </a:ln>
      </c:spPr>
    </c:title>
    <c:autoTitleDeleted val="0"/>
    <c:plotArea>
      <c:layout/>
      <c:pieChart>
        <c:varyColors val="1"/>
        <c:ser>
          <c:idx val="0"/>
          <c:order val="0"/>
          <c:explosion val="0"/>
          <c:dPt>
            <c:idx val="0"/>
            <c:bubble3D val="0"/>
            <c:explosion val="0"/>
            <c:spPr>
              <a:solidFill>
                <a:srgbClr val="70AD47">
                  <a:alpha val="100000"/>
                </a:srgbClr>
              </a:solidFill>
              <a:ln w="19050">
                <a:solidFill>
                  <a:srgbClr val="FFFFFF">
                    <a:alpha val="100000"/>
                  </a:srgbClr>
                </a:solidFill>
                <a:prstDash val="solid"/>
              </a:ln>
            </c:spPr>
          </c:dPt>
          <c:dPt>
            <c:idx val="1"/>
            <c:bubble3D val="0"/>
            <c:explosion val="0"/>
            <c:spPr>
              <a:solidFill>
                <a:srgbClr val="5B9BD5">
                  <a:alpha val="100000"/>
                </a:srgbClr>
              </a:solidFill>
              <a:ln w="19050">
                <a:solidFill>
                  <a:srgbClr val="FFFFFF">
                    <a:alpha val="100000"/>
                  </a:srgbClr>
                </a:solidFill>
                <a:prstDash val="solid"/>
              </a:ln>
            </c:spPr>
          </c:dPt>
          <c:dPt>
            <c:idx val="2"/>
            <c:bubble3D val="0"/>
            <c:explosion val="0"/>
            <c:spPr>
              <a:solidFill>
                <a:srgbClr val="FFC000">
                  <a:alpha val="100000"/>
                </a:srgbClr>
              </a:solidFill>
              <a:ln w="19050">
                <a:solidFill>
                  <a:srgbClr val="FFFFFF">
                    <a:alpha val="100000"/>
                  </a:srgbClr>
                </a:solidFill>
                <a:prstDash val="solid"/>
              </a:ln>
            </c:spPr>
          </c:dPt>
          <c:dPt>
            <c:idx val="3"/>
            <c:bubble3D val="0"/>
            <c:explosion val="0"/>
            <c:spPr>
              <a:solidFill>
                <a:srgbClr val="ED7D31">
                  <a:alpha val="100000"/>
                </a:srgbClr>
              </a:solidFill>
              <a:ln w="19050">
                <a:solidFill>
                  <a:srgbClr val="FFFFFF">
                    <a:alpha val="100000"/>
                  </a:srgbClr>
                </a:solidFill>
                <a:prstDash val="solid"/>
              </a:ln>
            </c:spPr>
          </c:dPt>
          <c:dLbls>
            <c:dLbl>
              <c:idx val="0"/>
              <c:layout>
                <c:manualLayout>
                  <c:x val="0.037693853945879"/>
                  <c:y val="-0.0471362878663148"/>
                </c:manualLayout>
              </c:layout>
              <c:numFmt formatCode="General" sourceLinked="1"/>
              <c:spPr>
                <a:solidFill>
                  <a:srgbClr val="70AD47">
                    <a:alpha val="100000"/>
                  </a:srgbClr>
                </a:solid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25785823655661"/>
                  <c:y val="0.029251724540949"/>
                </c:manualLayout>
              </c:layout>
              <c:numFmt formatCode="General" sourceLinked="1"/>
              <c:spPr>
                <a:solidFill>
                  <a:srgbClr val="FFC000">
                    <a:alpha val="100000"/>
                  </a:srgbClr>
                </a:solid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36623642926775"/>
                  <c:y val="-0.0470761325922897"/>
                </c:manualLayout>
              </c:layout>
              <c:numFmt formatCode="General" sourceLinked="1"/>
              <c:spPr>
                <a:solidFill>
                  <a:srgbClr val="ED7D31">
                    <a:alpha val="50000"/>
                  </a:srgbClr>
                </a:solid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[图表.xls]Sheet1!$A$64:$D$64</c:f>
              <c:strCache>
                <c:ptCount val="4"/>
                <c:pt idx="0">
                  <c:v>教育支出</c:v>
                </c:pt>
                <c:pt idx="1">
                  <c:v>社会保障和就业支出</c:v>
                </c:pt>
                <c:pt idx="2">
                  <c:v>医疗卫生与计划生育支出</c:v>
                </c:pt>
                <c:pt idx="3">
                  <c:v>住房保障支出</c:v>
                </c:pt>
              </c:strCache>
            </c:strRef>
          </c:cat>
          <c:val>
            <c:numRef>
              <c:f>[图表.xls]Sheet1!$A$65:$D$65</c:f>
              <c:numCache>
                <c:formatCode>#,##0.00</c:formatCode>
                <c:ptCount val="4"/>
                <c:pt idx="0">
                  <c:v>391.71</c:v>
                </c:pt>
                <c:pt idx="1">
                  <c:v>57.99</c:v>
                </c:pt>
                <c:pt idx="2">
                  <c:v>21.48</c:v>
                </c:pt>
                <c:pt idx="3">
                  <c:v>28.03</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overlay val="0"/>
      <c:spPr>
        <a:solidFill>
          <a:schemeClr val="lt1">
            <a:alpha val="50000"/>
          </a:schemeClr>
        </a:solid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pattFill prst="dkDnDiag">
      <a:fgClr>
        <a:schemeClr val="lt1"/>
      </a:fgClr>
      <a:bgClr>
        <a:sysClr val="window" lastClr="FFFFFF"/>
      </a:bgClr>
    </a:pattFill>
    <a:ln w="9525" cap="flat" cmpd="sng" algn="ctr">
      <a:solidFill>
        <a:schemeClr val="dk1">
          <a:lumMod val="15000"/>
          <a:lumOff val="85000"/>
        </a:schemeClr>
      </a:solidFill>
      <a:prstDash val="solid"/>
      <a:round/>
    </a:ln>
    <a:effectLst/>
  </c:spPr>
  <c:txPr>
    <a:bodyPr rot="0" wrap="square" anchor="ctr" anchorCtr="1"/>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1096</TotalTime>
  <ScaleCrop>false</ScaleCrop>
  <LinksUpToDate>false</LinksUpToDate>
  <CharactersWithSpaces>9641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2023-10-27T02:41:04Z</cp:lastPrinted>
  <dcterms:modified xsi:type="dcterms:W3CDTF">2023-10-27T03:25:08Z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153387E9794A4E93B5865207B95F4DD1</vt:lpwstr>
  </property>
</Properties>
</file>