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77425"/>
      <w:bookmarkStart w:id="2" w:name="_Toc15396597"/>
      <w:bookmarkStart w:id="3" w:name="_Toc15396475"/>
      <w:bookmarkStart w:id="4" w:name="_Toc15378441"/>
      <w:bookmarkStart w:id="5" w:name="_Toc15377193"/>
      <w:r>
        <w:rPr>
          <w:rFonts w:ascii="方正小标宋简体" w:eastAsia="方正小标宋简体" w:cs="方正小标宋简体" w:hint="eastAsia"/>
          <w:sz w:val="72"/>
          <w:szCs w:val="72"/>
        </w:rPr>
        <w:t>202</w:t>
      </w:r>
      <w:r>
        <w:rPr>
          <w:rFonts w:ascii="方正小标宋简体" w:eastAsia="方正小标宋简体" w:cs="方正小标宋简体" w:hint="eastAsia"/>
          <w:sz w:val="72"/>
          <w:szCs w:val="72"/>
          <w:lang w:val="en-US" w:eastAsia="zh-CN"/>
        </w:rPr>
        <w:t>2</w:t>
      </w:r>
      <w:r>
        <w:rPr>
          <w:rFonts w:ascii="方正小标宋简体" w:eastAsia="方正小标宋简体" w:cs="方正小标宋简体" w:hint="eastAsia"/>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77426"/>
      <w:bookmarkStart w:id="7" w:name="_Toc15396476"/>
      <w:bookmarkStart w:id="8" w:name="_Toc15378442"/>
      <w:bookmarkStart w:id="9" w:name="_Toc15377194"/>
      <w:bookmarkStart w:id="10" w:name="_Toc15396598"/>
      <w:r>
        <w:rPr>
          <w:rFonts w:ascii="方正小标宋简体" w:eastAsia="方正小标宋简体" w:cs="方正小标宋简体"/>
          <w:sz w:val="72"/>
          <w:szCs w:val="72"/>
        </w:rPr>
        <w:t>阿坝州</w:t>
      </w:r>
      <w:bookmarkStart w:id="11" w:name="_Toc15306268"/>
      <w:bookmarkEnd w:id="0"/>
      <w:r>
        <w:rPr>
          <w:rFonts w:ascii="方正小标宋简体" w:eastAsia="方正小标宋简体" w:cs="方正小标宋简体" w:hint="eastAsia"/>
          <w:sz w:val="72"/>
          <w:szCs w:val="72"/>
          <w:lang w:eastAsia="zh-CN"/>
        </w:rPr>
        <w:t>红原县色地镇小学</w:t>
      </w:r>
      <w:r>
        <w:rPr>
          <w:rFonts w:ascii="方正小标宋简体" w:eastAsia="方正小标宋简体" w:cs="方正小标宋简体" w:hint="eastAsia"/>
          <w:sz w:val="72"/>
          <w:szCs w:val="72"/>
        </w:rPr>
        <w:t>单位决算</w:t>
      </w:r>
      <w:bookmarkEnd w:id="6"/>
      <w:bookmarkEnd w:id="7"/>
      <w:bookmarkEnd w:id="8"/>
      <w:bookmarkEnd w:id="9"/>
      <w:bookmarkEnd w:id="10"/>
      <w:bookmarkEnd w:id="11"/>
    </w:p>
    <w:p>
      <w:pPr>
        <w:pStyle w:val="15"/>
        <w:spacing w:beforeLines="0" w:before="93"/>
        <w:rPr>
          <w:rFonts w:ascii="方正小标宋简体" w:eastAsia="方正小标宋简体"/>
          <w:sz w:val="52"/>
          <w:szCs w:val="52"/>
        </w:rPr>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jc w:val="center"/>
        <w:rPr>
          <w:rFonts w:hint="eastAsia"/>
        </w:rPr>
      </w:pPr>
      <w:bookmarkStart w:id="12" w:name="_Hlk113547609"/>
      <w:r>
        <w:rPr>
          <w:rFonts w:cs="仿宋_GB2312" w:hint="eastAsia"/>
          <w:sz w:val="32"/>
          <w:szCs w:val="32"/>
        </w:rPr>
        <w:t>已经保密审查、内容审定，同意对外公开</w:t>
      </w:r>
      <w:bookmarkEnd w:id="12"/>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cs="Arial"/>
          <w:sz w:val="28"/>
          <w:szCs w:val="28"/>
        </w:rPr>
      </w:pPr>
    </w:p>
    <w:p>
      <w:pPr>
        <w:pStyle w:val="20"/>
        <w:tabs>
          <w:tab w:val="right" w:leader="dot" w:pos="8296"/>
        </w:tabs>
      </w:pPr>
      <w:r>
        <w:rPr>
          <w:rFonts w:hint="eastAsia"/>
        </w:rPr>
        <w:t>公开时间：202</w:t>
      </w:r>
      <w:r>
        <w:rPr>
          <w:rFonts w:hint="eastAsia"/>
          <w:lang w:val="en-US" w:eastAsia="zh-CN"/>
        </w:rPr>
        <w:t>3</w:t>
      </w:r>
      <w:r>
        <w:rPr>
          <w:rFonts w:hint="eastAsia"/>
        </w:rPr>
        <w:t>年</w:t>
      </w:r>
      <w:r>
        <w:rPr>
          <w:rFonts w:hint="eastAsia"/>
          <w:lang w:val="en-US" w:eastAsia="zh-CN"/>
        </w:rPr>
        <w:t>10</w:t>
      </w:r>
      <w:r>
        <w:rPr>
          <w:rFonts w:hint="eastAsia"/>
        </w:rPr>
        <w:t>月</w:t>
      </w:r>
      <w:r>
        <w:rPr>
          <w:rFonts w:hint="eastAsia"/>
          <w:lang w:val="en-US" w:eastAsia="zh-CN"/>
        </w:rPr>
        <w:t>31</w:t>
      </w:r>
      <w:r>
        <w:rPr>
          <w:rFonts w:hint="eastAsia"/>
        </w:rPr>
        <w:t>日</w:t>
      </w:r>
    </w:p>
    <w:p/>
    <w:p>
      <w:pPr>
        <w:pStyle w:val="20"/>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21"/>
        <w:tabs>
          <w:tab w:val="right" w:leader="dot" w:pos="8296"/>
        </w:tabs>
        <w:adjustRightInd w:val="0"/>
        <w:snapToGrid w:val="0"/>
        <w:spacing w:line="440" w:lineRule="exact"/>
        <w:jc w:val="left"/>
        <w:rPr>
          <w:sz w:val="24"/>
        </w:rPr>
      </w:pPr>
      <w:r>
        <w:rPr>
          <w:rFonts w:hint="eastAsia"/>
          <w:sz w:val="24"/>
        </w:rPr>
        <w:t>一、职能简介</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二、202</w:t>
      </w:r>
      <w:r>
        <w:rPr>
          <w:rFonts w:ascii="宋体" w:cs="宋体" w:hint="eastAsia"/>
          <w:sz w:val="24"/>
          <w:lang w:val="en-US" w:eastAsia="zh-CN"/>
        </w:rPr>
        <w:t>2</w:t>
      </w:r>
      <w:r>
        <w:rPr>
          <w:rFonts w:ascii="宋体" w:cs="宋体" w:hint="eastAsia"/>
          <w:sz w:val="24"/>
        </w:rPr>
        <w:t>年重点工作完成情况</w:t>
      </w:r>
    </w:p>
    <w:p>
      <w:pPr>
        <w:pStyle w:val="20"/>
        <w:tabs>
          <w:tab w:val="right" w:leader="dot" w:pos="8296"/>
        </w:tabs>
        <w:adjustRightInd w:val="0"/>
        <w:snapToGrid w:val="0"/>
        <w:spacing w:before="0" w:line="440" w:lineRule="exact"/>
        <w:jc w:val="left"/>
        <w:rPr>
          <w:sz w:val="24"/>
          <w:szCs w:val="24"/>
        </w:rPr>
      </w:pPr>
      <w:r>
        <w:rPr>
          <w:rFonts w:hint="eastAsia"/>
          <w:sz w:val="24"/>
        </w:rPr>
        <w:t>第二部分 202</w:t>
      </w:r>
      <w:r>
        <w:rPr>
          <w:rFonts w:hint="eastAsia"/>
          <w:sz w:val="24"/>
          <w:lang w:val="en-US" w:eastAsia="zh-CN"/>
        </w:rPr>
        <w:t>2</w:t>
      </w:r>
      <w:r>
        <w:rPr>
          <w:rFonts w:hint="eastAsia"/>
          <w:sz w:val="24"/>
        </w:rPr>
        <w:t>年度单位决算情况说明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一、收入支出决算总体情况说明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二、收入决算情况说明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三、支出决算情况说明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七、“三公”经费财政拨款支出决算情况说明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八、政府性基金预算支出决算情况说明</w:t>
      </w:r>
    </w:p>
    <w:p>
      <w:pPr>
        <w:pStyle w:val="21"/>
        <w:tabs>
          <w:tab w:val="right" w:leader="dot" w:pos="8296"/>
        </w:tabs>
        <w:adjustRightInd w:val="0"/>
        <w:snapToGrid w:val="0"/>
        <w:spacing w:line="440" w:lineRule="exact"/>
        <w:jc w:val="left"/>
        <w:rPr>
          <w:sz w:val="24"/>
        </w:rPr>
      </w:pPr>
      <w:r>
        <w:rPr>
          <w:rFonts w:hint="eastAsia"/>
          <w:sz w:val="24"/>
        </w:rPr>
        <w:t>九、国有资本经营预算支出决算情况说明</w:t>
      </w:r>
    </w:p>
    <w:p>
      <w:pPr>
        <w:pStyle w:val="21"/>
        <w:tabs>
          <w:tab w:val="right" w:leader="dot" w:pos="8296"/>
        </w:tabs>
        <w:adjustRightInd w:val="0"/>
        <w:snapToGrid w:val="0"/>
        <w:spacing w:line="440" w:lineRule="exact"/>
        <w:jc w:val="left"/>
        <w:rPr>
          <w:sz w:val="24"/>
        </w:rPr>
      </w:pPr>
      <w:r>
        <w:rPr>
          <w:rFonts w:hint="eastAsia"/>
          <w:sz w:val="24"/>
        </w:rPr>
        <w:t>十、其他重要事项的情况说明</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21"/>
        <w:tabs>
          <w:tab w:val="right" w:leader="dot" w:pos="8296"/>
        </w:tabs>
        <w:adjustRightInd w:val="0"/>
        <w:snapToGrid w:val="0"/>
        <w:spacing w:line="440" w:lineRule="exact"/>
        <w:jc w:val="left"/>
        <w:rPr>
          <w:sz w:val="24"/>
        </w:rPr>
      </w:pPr>
      <w:r>
        <w:rPr>
          <w:rFonts w:hint="eastAsia"/>
          <w:sz w:val="24"/>
        </w:rPr>
        <w:t>一、收入支出决算总表</w:t>
      </w:r>
    </w:p>
    <w:p>
      <w:pPr>
        <w:pStyle w:val="21"/>
        <w:tabs>
          <w:tab w:val="right" w:leader="dot" w:pos="8296"/>
        </w:tabs>
        <w:adjustRightInd w:val="0"/>
        <w:snapToGrid w:val="0"/>
        <w:spacing w:line="440" w:lineRule="exact"/>
        <w:jc w:val="left"/>
        <w:rPr>
          <w:sz w:val="24"/>
        </w:rPr>
      </w:pPr>
      <w:r>
        <w:rPr>
          <w:rFonts w:hint="eastAsia"/>
          <w:sz w:val="24"/>
        </w:rPr>
        <w:t>二、收入决算表</w:t>
      </w:r>
    </w:p>
    <w:p>
      <w:pPr>
        <w:pStyle w:val="21"/>
        <w:tabs>
          <w:tab w:val="right" w:leader="dot" w:pos="8296"/>
        </w:tabs>
        <w:adjustRightInd w:val="0"/>
        <w:snapToGrid w:val="0"/>
        <w:spacing w:line="440" w:lineRule="exact"/>
        <w:jc w:val="left"/>
        <w:rPr>
          <w:sz w:val="24"/>
        </w:rPr>
      </w:pPr>
      <w:r>
        <w:rPr>
          <w:rFonts w:hint="eastAsia"/>
          <w:sz w:val="24"/>
        </w:rPr>
        <w:t>三、支出决算表</w:t>
      </w:r>
    </w:p>
    <w:p>
      <w:pPr>
        <w:pStyle w:val="21"/>
        <w:tabs>
          <w:tab w:val="right" w:leader="dot" w:pos="8296"/>
        </w:tabs>
        <w:adjustRightInd w:val="0"/>
        <w:snapToGrid w:val="0"/>
        <w:spacing w:line="440" w:lineRule="exact"/>
        <w:jc w:val="left"/>
        <w:rPr>
          <w:sz w:val="24"/>
        </w:rPr>
      </w:pPr>
      <w:r>
        <w:rPr>
          <w:rFonts w:hint="eastAsia"/>
          <w:sz w:val="24"/>
        </w:rPr>
        <w:t>四、财政拨款收入支出决算总表</w:t>
      </w:r>
    </w:p>
    <w:p>
      <w:pPr>
        <w:pStyle w:val="21"/>
        <w:tabs>
          <w:tab w:val="right" w:leader="dot" w:pos="8296"/>
        </w:tabs>
        <w:adjustRightInd w:val="0"/>
        <w:snapToGrid w:val="0"/>
        <w:spacing w:line="440" w:lineRule="exact"/>
        <w:jc w:val="left"/>
        <w:rPr>
          <w:sz w:val="24"/>
        </w:rPr>
      </w:pPr>
      <w:r>
        <w:rPr>
          <w:rFonts w:hint="eastAsia"/>
          <w:sz w:val="24"/>
        </w:rPr>
        <w:t>五、财政拨款支出决算明细表</w:t>
      </w:r>
    </w:p>
    <w:p>
      <w:pPr>
        <w:pStyle w:val="21"/>
        <w:tabs>
          <w:tab w:val="right" w:leader="dot" w:pos="8296"/>
        </w:tabs>
        <w:adjustRightInd w:val="0"/>
        <w:snapToGrid w:val="0"/>
        <w:spacing w:line="440" w:lineRule="exact"/>
        <w:jc w:val="left"/>
        <w:rPr>
          <w:sz w:val="24"/>
        </w:rPr>
      </w:pPr>
      <w:r>
        <w:rPr>
          <w:rFonts w:hint="eastAsia"/>
          <w:sz w:val="24"/>
        </w:rPr>
        <w:t>六、一般公共预算财政拨款支出决算表</w:t>
      </w:r>
    </w:p>
    <w:p>
      <w:pPr>
        <w:pStyle w:val="21"/>
        <w:tabs>
          <w:tab w:val="right" w:leader="dot" w:pos="8296"/>
        </w:tabs>
        <w:adjustRightInd w:val="0"/>
        <w:snapToGrid w:val="0"/>
        <w:spacing w:line="440" w:lineRule="exact"/>
        <w:jc w:val="left"/>
        <w:rPr>
          <w:sz w:val="24"/>
        </w:rPr>
      </w:pPr>
      <w:r>
        <w:rPr>
          <w:rFonts w:hint="eastAsia"/>
          <w:sz w:val="24"/>
        </w:rPr>
        <w:t>七、一般公共预算财政拨款支出决算明细表</w:t>
      </w:r>
    </w:p>
    <w:p>
      <w:pPr>
        <w:pStyle w:val="21"/>
        <w:tabs>
          <w:tab w:val="right" w:leader="dot" w:pos="8296"/>
        </w:tabs>
        <w:adjustRightInd w:val="0"/>
        <w:snapToGrid w:val="0"/>
        <w:spacing w:line="440" w:lineRule="exact"/>
        <w:jc w:val="left"/>
        <w:rPr>
          <w:sz w:val="24"/>
        </w:rPr>
      </w:pPr>
      <w:r>
        <w:rPr>
          <w:rFonts w:hint="eastAsia"/>
          <w:sz w:val="24"/>
        </w:rPr>
        <w:t>八、一般公共预算财政拨款基本支出决算表</w:t>
      </w:r>
    </w:p>
    <w:p>
      <w:pPr>
        <w:pStyle w:val="21"/>
        <w:tabs>
          <w:tab w:val="right" w:leader="dot" w:pos="8296"/>
        </w:tabs>
        <w:adjustRightInd w:val="0"/>
        <w:snapToGrid w:val="0"/>
        <w:spacing w:line="440" w:lineRule="exact"/>
        <w:jc w:val="left"/>
        <w:rPr>
          <w:sz w:val="24"/>
        </w:rPr>
      </w:pPr>
      <w:r>
        <w:rPr>
          <w:rFonts w:hint="eastAsia"/>
          <w:sz w:val="24"/>
        </w:rPr>
        <w:t>九、一般公共预算财政拨款项目支出决算表</w:t>
      </w:r>
    </w:p>
    <w:p>
      <w:pPr>
        <w:pStyle w:val="21"/>
        <w:tabs>
          <w:tab w:val="right" w:leader="dot" w:pos="8296"/>
        </w:tabs>
        <w:adjustRightInd w:val="0"/>
        <w:snapToGrid w:val="0"/>
        <w:spacing w:line="440" w:lineRule="exact"/>
        <w:jc w:val="left"/>
        <w:rPr>
          <w:sz w:val="24"/>
        </w:rPr>
      </w:pPr>
      <w:r>
        <w:rPr>
          <w:rFonts w:hint="eastAsia"/>
          <w:sz w:val="24"/>
        </w:rPr>
        <w:t>十、一般公共预算财政拨款“三公”经费支出决算表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十一、政府性基金预算财政拨款收入支出决算表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十二、政府性基金预算财政拨款“三公”经费支出决算表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十三、国有资本经营预算财政拨款收入支出决算表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Chars="550" w:firstLine="1320"/>
        <w:jc w:val="left"/>
        <w:rPr>
          <w:rFonts w:ascii="仿宋" w:eastAsia="仿宋"/>
          <w:sz w:val="24"/>
        </w:rPr>
      </w:pPr>
      <w:r>
        <w:rPr>
          <w:rFonts w:ascii="仿宋" w:eastAsia="仿宋"/>
          <w:sz w:val="24"/>
        </w:rPr>
        <w:t>(注：</w:t>
      </w:r>
      <w:r>
        <w:rPr>
          <w:rFonts w:ascii="仿宋" w:eastAsia="仿宋" w:hint="eastAsia"/>
          <w:sz w:val="24"/>
        </w:rPr>
        <w:t>请单位根据实际注明页码</w:t>
      </w:r>
      <w:r>
        <w:rPr>
          <w:rFonts w:ascii="仿宋" w:eastAsia="仿宋"/>
          <w:sz w:val="24"/>
        </w:rPr>
        <w:t>)</w:t>
      </w:r>
    </w:p>
    <w:p>
      <w:pPr>
        <w:widowControl/>
        <w:spacing w:line="440" w:lineRule="exact"/>
        <w:jc w:val="left"/>
        <w:rPr>
          <w:rFonts w:ascii="仿宋" w:eastAsia="仿宋"/>
          <w:bCs/>
          <w:kern w:val="44"/>
          <w:sz w:val="24"/>
        </w:rPr>
      </w:pPr>
      <w:bookmarkStart w:id="13" w:name="_Toc15377196"/>
      <w:bookmarkStart w:id="14" w:name="_Toc15396599"/>
      <w:r>
        <w:rPr>
          <w:rFonts w:ascii="仿宋" w:eastAsia="仿宋"/>
          <w:b/>
          <w:sz w:val="24"/>
        </w:rPr>
        <w:br w:type="page"/>
      </w:r>
    </w:p>
    <w:p>
      <w:pPr>
        <w:pStyle w:val="1"/>
        <w:jc w:val="center"/>
        <w:rPr>
          <w:rStyle w:val="1Char"/>
          <w:rFonts w:ascii="黑体" w:eastAsia="黑体"/>
          <w:b/>
          <w:bCs w:val="0"/>
        </w:rPr>
      </w:pPr>
      <w:r>
        <w:rPr>
          <w:rFonts w:ascii="黑体" w:eastAsia="黑体" w:hint="eastAsia"/>
          <w:b w:val="0"/>
        </w:rPr>
        <w:t>第一部分 单位</w:t>
      </w:r>
      <w:r>
        <w:rPr>
          <w:rStyle w:val="1Char"/>
          <w:rFonts w:ascii="黑体" w:eastAsia="黑体" w:hint="eastAsia"/>
          <w:b w:val="0"/>
          <w:bCs w:val="0"/>
        </w:rPr>
        <w:t>概况</w:t>
      </w:r>
      <w:bookmarkEnd w:id="13"/>
      <w:bookmarkEnd w:id="14"/>
    </w:p>
    <w:p>
      <w:pPr>
        <w:widowControl/>
        <w:jc w:val="left"/>
        <w:rPr>
          <w:rFonts w:ascii="黑体" w:eastAsia="黑体"/>
          <w:sz w:val="32"/>
          <w:szCs w:val="32"/>
        </w:rPr>
      </w:pPr>
    </w:p>
    <w:p>
      <w:pPr>
        <w:pStyle w:val="2"/>
        <w:numPr>
          <w:ilvl w:val="0"/>
          <w:numId w:val="1"/>
        </w:numPr>
        <w:rPr>
          <w:rFonts w:ascii="仿宋" w:eastAsia="仿宋" w:hint="eastAsia"/>
          <w:bCs/>
          <w:color w:val="000000"/>
          <w:sz w:val="32"/>
          <w:szCs w:val="32"/>
        </w:rPr>
      </w:pPr>
      <w:bookmarkStart w:id="15" w:name="_Toc15396600"/>
      <w:bookmarkStart w:id="16" w:name="_Toc15377197"/>
      <w:r>
        <w:rPr>
          <w:rStyle w:val="2Char"/>
          <w:rFonts w:ascii="黑体" w:eastAsia="黑体" w:hint="eastAsia"/>
          <w:b w:val="0"/>
          <w:bCs w:val="0"/>
        </w:rPr>
        <w:t>职能简介</w:t>
      </w:r>
    </w:p>
    <w:p>
      <w:pPr>
        <w:pStyle w:val="15"/>
        <w:keepNext w:val="0"/>
        <w:keepLines w:val="0"/>
        <w:pageBreakBefore w:val="0"/>
        <w:widowControl w:val="0"/>
        <w:kinsoku/>
        <w:wordWrap/>
        <w:overflowPunct/>
        <w:topLinePunct w:val="0"/>
        <w:bidi w:val="0"/>
        <w:adjustRightInd w:val="0"/>
        <w:snapToGrid w:val="0"/>
        <w:spacing w:line="560" w:lineRule="exact"/>
        <w:ind w:left="0" w:right="0" w:firstLineChars="200" w:firstLine="640"/>
        <w:textAlignment w:val="auto"/>
        <w:outlineLvl w:val="9"/>
        <w:rPr>
          <w:rFonts w:hint="eastAsia"/>
          <w:bCs/>
          <w:color w:val="000000"/>
          <w:sz w:val="32"/>
          <w:szCs w:val="32"/>
        </w:rPr>
      </w:pPr>
      <w:r>
        <w:rPr>
          <w:rFonts w:hint="eastAsia"/>
          <w:bCs/>
          <w:color w:val="000000"/>
          <w:sz w:val="32"/>
          <w:szCs w:val="32"/>
          <w:lang w:eastAsia="zh-CN"/>
        </w:rPr>
        <w:t>小学义务教育的实施，促进基础教育发展，培养学生高尚的思想道德情操，丰富的科学文化知识，良好的身体素质，促进学生全面发展，业务范围是从事小学教育</w:t>
      </w:r>
      <w:r>
        <w:rPr>
          <w:rFonts w:hint="eastAsia"/>
          <w:bCs/>
          <w:color w:val="000000"/>
          <w:sz w:val="32"/>
          <w:szCs w:val="32"/>
        </w:rPr>
        <w:t>。</w:t>
      </w:r>
    </w:p>
    <w:p>
      <w:pPr>
        <w:numPr>
          <w:ilvl w:val="0"/>
          <w:numId w:val="1"/>
        </w:numPr>
      </w:pPr>
    </w:p>
    <w:p>
      <w:pPr>
        <w:pStyle w:val="2"/>
        <w:rPr>
          <w:rFonts w:ascii="仿宋" w:eastAsia="仿宋" w:hint="eastAsia"/>
          <w:bCs/>
          <w:color w:val="000000"/>
          <w:sz w:val="32"/>
          <w:szCs w:val="32"/>
        </w:rPr>
      </w:pPr>
      <w:r>
        <w:rPr>
          <w:rFonts w:ascii="黑体" w:eastAsia="黑体" w:hint="eastAsia"/>
          <w:b w:val="0"/>
        </w:rPr>
        <w:t>二、202</w:t>
      </w:r>
      <w:r>
        <w:rPr>
          <w:rFonts w:ascii="黑体" w:eastAsia="黑体" w:hint="eastAsia"/>
          <w:b w:val="0"/>
          <w:lang w:val="en-US" w:eastAsia="zh-CN"/>
        </w:rPr>
        <w:t>2</w:t>
      </w:r>
      <w:r>
        <w:rPr>
          <w:rFonts w:ascii="黑体" w:eastAsia="黑体" w:hint="eastAsia"/>
          <w:b w:val="0"/>
        </w:rPr>
        <w:t>年重点工作</w:t>
      </w:r>
      <w:bookmarkEnd w:id="15"/>
      <w:bookmarkEnd w:id="16"/>
      <w:r>
        <w:rPr>
          <w:rFonts w:ascii="黑体" w:eastAsia="黑体" w:hint="eastAsia"/>
          <w:b w:val="0"/>
        </w:rPr>
        <w:t>完成情况</w:t>
      </w:r>
    </w:p>
    <w:p>
      <w:pPr>
        <w:pStyle w:val="15"/>
        <w:keepNext w:val="0"/>
        <w:keepLines w:val="0"/>
        <w:pageBreakBefore w:val="0"/>
        <w:widowControl w:val="0"/>
        <w:kinsoku/>
        <w:wordWrap/>
        <w:overflowPunct/>
        <w:topLinePunct w:val="0"/>
        <w:bidi w:val="0"/>
        <w:adjustRightInd w:val="0"/>
        <w:snapToGrid w:val="0"/>
        <w:spacing w:line="560" w:lineRule="exact"/>
        <w:ind w:left="0" w:right="0" w:firstLineChars="209" w:firstLine="672"/>
        <w:textAlignment w:val="auto"/>
        <w:outlineLvl w:val="9"/>
        <w:rPr>
          <w:rFonts w:ascii="仿宋" w:eastAsia="仿宋"/>
          <w:kern w:val="0"/>
          <w:sz w:val="32"/>
          <w:szCs w:val="32"/>
        </w:rPr>
      </w:pPr>
      <w:r>
        <w:rPr>
          <w:rFonts w:hint="eastAsia"/>
          <w:bCs/>
          <w:color w:val="000000"/>
          <w:sz w:val="32"/>
          <w:szCs w:val="32"/>
        </w:rPr>
        <w:t>我</w:t>
      </w:r>
      <w:r>
        <w:rPr>
          <w:rFonts w:hint="eastAsia"/>
          <w:bCs/>
          <w:color w:val="000000"/>
          <w:sz w:val="32"/>
          <w:szCs w:val="32"/>
          <w:lang w:eastAsia="zh-CN"/>
        </w:rPr>
        <w:t>校</w:t>
      </w:r>
      <w:r>
        <w:rPr>
          <w:rFonts w:hint="eastAsia"/>
          <w:bCs/>
          <w:color w:val="000000"/>
          <w:sz w:val="32"/>
          <w:szCs w:val="32"/>
        </w:rPr>
        <w:t>今年根据财政资金的安排情况，加强了资金的管理，</w:t>
      </w:r>
      <w:r>
        <w:rPr>
          <w:rFonts w:hint="eastAsia"/>
          <w:bCs/>
          <w:color w:val="000000"/>
          <w:sz w:val="32"/>
          <w:szCs w:val="32"/>
          <w:lang w:eastAsia="zh-CN"/>
        </w:rPr>
        <w:t>合理用于教育事业，</w:t>
      </w:r>
      <w:r>
        <w:rPr>
          <w:rFonts w:hint="eastAsia"/>
          <w:bCs/>
          <w:color w:val="000000"/>
          <w:sz w:val="32"/>
          <w:szCs w:val="32"/>
        </w:rPr>
        <w:t>对我</w:t>
      </w:r>
      <w:r>
        <w:rPr>
          <w:rFonts w:hint="eastAsia"/>
          <w:bCs/>
          <w:color w:val="000000"/>
          <w:sz w:val="32"/>
          <w:szCs w:val="32"/>
          <w:lang w:eastAsia="zh-CN"/>
        </w:rPr>
        <w:t>校贫困学生实行帮扶</w:t>
      </w:r>
      <w:r>
        <w:rPr>
          <w:rFonts w:hint="eastAsia"/>
          <w:bCs/>
          <w:color w:val="000000"/>
          <w:sz w:val="32"/>
          <w:szCs w:val="32"/>
        </w:rPr>
        <w:t>。资金</w:t>
      </w:r>
      <w:r>
        <w:rPr>
          <w:rFonts w:hint="eastAsia"/>
          <w:bCs/>
          <w:color w:val="000000"/>
          <w:sz w:val="32"/>
          <w:szCs w:val="32"/>
          <w:lang w:eastAsia="zh-CN"/>
        </w:rPr>
        <w:t>合理合法</w:t>
      </w:r>
      <w:r>
        <w:rPr>
          <w:rFonts w:hint="eastAsia"/>
          <w:bCs/>
          <w:color w:val="000000"/>
          <w:sz w:val="32"/>
          <w:szCs w:val="32"/>
        </w:rPr>
        <w:t>使用</w:t>
      </w:r>
      <w:r>
        <w:rPr>
          <w:rFonts w:hint="eastAsia"/>
          <w:bCs/>
          <w:color w:val="000000"/>
          <w:sz w:val="32"/>
          <w:szCs w:val="32"/>
          <w:lang w:eastAsia="zh-CN"/>
        </w:rPr>
        <w:t>。</w:t>
      </w:r>
    </w:p>
    <w:p>
      <w:pPr>
        <w:pStyle w:val="1"/>
        <w:ind w:right="440"/>
        <w:jc w:val="center"/>
        <w:rPr>
          <w:rStyle w:val="1Char"/>
          <w:rFonts w:ascii="黑体" w:eastAsia="黑体"/>
          <w:b w:val="0"/>
          <w:bCs/>
        </w:rPr>
      </w:pPr>
      <w:bookmarkStart w:id="17" w:name="_Toc15396602"/>
      <w:bookmarkStart w:id="18" w:name="_Toc15377204"/>
      <w:r>
        <w:rPr>
          <w:rFonts w:ascii="黑体" w:eastAsia="黑体" w:hint="eastAsia"/>
          <w:b w:val="0"/>
        </w:rPr>
        <w:t>第二部分 202</w:t>
      </w:r>
      <w:r>
        <w:rPr>
          <w:rFonts w:ascii="黑体" w:eastAsia="黑体" w:hint="eastAsia"/>
          <w:b w:val="0"/>
          <w:lang w:val="en-US" w:eastAsia="zh-CN"/>
        </w:rPr>
        <w:t>2</w:t>
      </w:r>
      <w:r>
        <w:rPr>
          <w:rFonts w:ascii="黑体" w:eastAsia="黑体" w:hint="eastAsia"/>
          <w:b w:val="0"/>
        </w:rPr>
        <w:t>年度</w:t>
      </w:r>
      <w:r>
        <w:rPr>
          <w:rStyle w:val="1Char"/>
          <w:rFonts w:ascii="黑体" w:eastAsia="黑体" w:hint="eastAsia"/>
          <w:b w:val="0"/>
          <w:bCs/>
        </w:rPr>
        <w:t>单位决算情况说明</w:t>
      </w:r>
      <w:bookmarkEnd w:id="17"/>
      <w:bookmarkEnd w:id="18"/>
    </w:p>
    <w:p>
      <w:pPr>
        <w:pStyle w:val="28"/>
        <w:numPr>
          <w:ilvl w:val="0"/>
          <w:numId w:val="2"/>
        </w:numPr>
        <w:spacing w:line="600" w:lineRule="exact"/>
        <w:ind w:firstLineChars="0"/>
        <w:outlineLvl w:val="1"/>
        <w:rPr>
          <w:rStyle w:val="2Char"/>
          <w:rFonts w:ascii="黑体" w:eastAsia="黑体"/>
          <w:b w:val="0"/>
        </w:rPr>
      </w:pPr>
      <w:bookmarkStart w:id="19" w:name="_Toc15396603"/>
      <w:bookmarkStart w:id="20" w:name="_Toc15377205"/>
      <w:r>
        <w:rPr>
          <w:rFonts w:ascii="黑体" w:eastAsia="黑体" w:hint="eastAsia"/>
          <w:sz w:val="32"/>
          <w:szCs w:val="32"/>
        </w:rPr>
        <w:t>收</w:t>
      </w:r>
      <w:r>
        <w:rPr>
          <w:rStyle w:val="2Char"/>
          <w:rFonts w:ascii="黑体" w:eastAsia="黑体" w:hint="eastAsia"/>
          <w:b w:val="0"/>
        </w:rPr>
        <w:t>入支出决算总体情况说明</w:t>
      </w:r>
      <w:bookmarkEnd w:id="19"/>
      <w:bookmarkEnd w:id="20"/>
    </w:p>
    <w:p>
      <w:pPr>
        <w:spacing w:line="600" w:lineRule="exact"/>
        <w:ind w:firstLineChars="200" w:firstLine="640"/>
        <w:rPr>
          <w:rFonts w:ascii="仿宋" w:eastAsia="仿宋" w:hint="eastAsia"/>
          <w:color w:val="000000"/>
          <w:sz w:val="32"/>
          <w:szCs w:val="32"/>
          <w14:textFill>
            <w14:solidFill>
              <w14:srgbClr w14:val="000000"/>
            </w14:solidFill>
          </w14:textFill>
        </w:rPr>
      </w:pPr>
      <w:r>
        <w:rPr>
          <w:rFonts w:ascii="仿宋" w:eastAsia="仿宋" w:hint="eastAsia"/>
          <w:sz w:val="32"/>
          <w:szCs w:val="32"/>
        </w:rPr>
        <w:t>202</w:t>
      </w:r>
      <w:r>
        <w:rPr>
          <w:rFonts w:ascii="仿宋" w:eastAsia="仿宋" w:hint="eastAsia"/>
          <w:sz w:val="32"/>
          <w:szCs w:val="32"/>
          <w:lang w:val="en-US" w:eastAsia="zh-CN"/>
        </w:rPr>
        <w:t>2</w:t>
      </w:r>
      <w:r>
        <w:rPr>
          <w:rFonts w:ascii="仿宋" w:eastAsia="仿宋" w:hint="eastAsia"/>
          <w:sz w:val="32"/>
          <w:szCs w:val="32"/>
        </w:rPr>
        <w:t>年</w:t>
      </w:r>
      <w:r>
        <w:rPr>
          <w:rFonts w:ascii="仿宋" w:eastAsia="仿宋" w:hint="eastAsia"/>
          <w:sz w:val="32"/>
          <w:szCs w:val="32"/>
          <w:lang w:val="en-US" w:eastAsia="zh-CN"/>
        </w:rPr>
        <w:t>1463.28万元</w:t>
      </w:r>
      <w:r>
        <w:rPr>
          <w:rFonts w:ascii="仿宋" w:eastAsia="仿宋" w:hint="eastAsia"/>
          <w:sz w:val="32"/>
          <w:szCs w:val="32"/>
        </w:rPr>
        <w:t>、支总计</w:t>
      </w:r>
      <w:r>
        <w:rPr>
          <w:rFonts w:ascii="仿宋" w:eastAsia="仿宋" w:hint="eastAsia"/>
          <w:sz w:val="32"/>
          <w:szCs w:val="32"/>
          <w:lang w:val="en-US" w:eastAsia="zh-CN"/>
        </w:rPr>
        <w:t>1463.90</w:t>
      </w:r>
      <w:r>
        <w:rPr>
          <w:rFonts w:ascii="仿宋" w:eastAsia="仿宋" w:hint="eastAsia"/>
          <w:sz w:val="32"/>
          <w:szCs w:val="32"/>
        </w:rPr>
        <w:t>万元。与202</w:t>
      </w:r>
      <w:r>
        <w:rPr>
          <w:rFonts w:ascii="仿宋" w:eastAsia="仿宋" w:hint="eastAsia"/>
          <w:sz w:val="32"/>
          <w:szCs w:val="32"/>
          <w:lang w:val="en-US" w:eastAsia="zh-CN"/>
        </w:rPr>
        <w:t>1</w:t>
      </w:r>
      <w:r>
        <w:rPr>
          <w:rFonts w:ascii="仿宋" w:eastAsia="仿宋" w:hint="eastAsia"/>
          <w:sz w:val="32"/>
          <w:szCs w:val="32"/>
        </w:rPr>
        <w:t>年相比</w:t>
      </w:r>
      <w:r>
        <w:rPr>
          <w:rFonts w:ascii="仿宋" w:eastAsia="仿宋" w:hint="eastAsia"/>
          <w:sz w:val="32"/>
          <w:szCs w:val="32"/>
          <w:lang w:eastAsia="zh-CN"/>
        </w:rPr>
        <w:t>收</w:t>
      </w:r>
      <w:r>
        <w:rPr>
          <w:rFonts w:ascii="仿宋" w:eastAsia="仿宋" w:hint="eastAsia"/>
          <w:sz w:val="32"/>
          <w:szCs w:val="32"/>
          <w:lang w:val="en-US" w:eastAsia="zh-CN"/>
        </w:rPr>
        <w:t>1389.10万元和支1404.51万元</w:t>
      </w:r>
      <w:r>
        <w:rPr>
          <w:rFonts w:ascii="仿宋" w:eastAsia="仿宋" w:hint="eastAsia"/>
          <w:sz w:val="32"/>
          <w:szCs w:val="32"/>
        </w:rPr>
        <w:t>，收</w:t>
      </w:r>
      <w:r>
        <w:rPr>
          <w:rFonts w:ascii="仿宋" w:eastAsia="仿宋" w:hint="eastAsia"/>
          <w:sz w:val="32"/>
          <w:szCs w:val="32"/>
          <w:lang w:eastAsia="zh-CN"/>
        </w:rPr>
        <w:t>增加</w:t>
      </w:r>
      <w:r>
        <w:rPr>
          <w:rFonts w:ascii="仿宋" w:eastAsia="仿宋" w:hint="eastAsia"/>
          <w:sz w:val="32"/>
          <w:szCs w:val="32"/>
          <w:lang w:val="en-US" w:eastAsia="zh-CN"/>
        </w:rPr>
        <w:t>72.26万元</w:t>
      </w:r>
      <w:r>
        <w:rPr>
          <w:rFonts w:ascii="仿宋" w:eastAsia="仿宋" w:hint="eastAsia"/>
          <w:sz w:val="32"/>
          <w:szCs w:val="32"/>
        </w:rPr>
        <w:t>支</w:t>
      </w:r>
      <w:r>
        <w:rPr>
          <w:rFonts w:ascii="仿宋" w:eastAsia="仿宋" w:hint="eastAsia"/>
          <w:sz w:val="32"/>
          <w:szCs w:val="32"/>
          <w:lang w:eastAsia="zh-CN"/>
        </w:rPr>
        <w:t>增加</w:t>
      </w:r>
      <w:r>
        <w:rPr>
          <w:rFonts w:ascii="仿宋" w:eastAsia="仿宋" w:hint="eastAsia"/>
          <w:sz w:val="32"/>
          <w:szCs w:val="32"/>
          <w:lang w:val="en-US" w:eastAsia="zh-CN"/>
        </w:rPr>
        <w:t>59.39万元</w:t>
      </w:r>
      <w:r>
        <w:rPr>
          <w:rFonts w:ascii="仿宋" w:eastAsia="仿宋" w:hint="eastAsia"/>
          <w:sz w:val="32"/>
          <w:szCs w:val="32"/>
        </w:rPr>
        <w:t>，</w:t>
      </w:r>
      <w:r>
        <w:rPr>
          <w:rFonts w:ascii="仿宋" w:eastAsia="仿宋" w:hint="eastAsia"/>
          <w:sz w:val="32"/>
          <w:szCs w:val="32"/>
          <w:lang w:eastAsia="zh-CN"/>
        </w:rPr>
        <w:t>收</w:t>
      </w:r>
      <w:r>
        <w:rPr>
          <w:rFonts w:ascii="仿宋" w:eastAsia="仿宋" w:hint="eastAsia"/>
          <w:sz w:val="32"/>
          <w:szCs w:val="32"/>
        </w:rPr>
        <w:t>增长</w:t>
      </w:r>
      <w:r>
        <w:rPr>
          <w:rFonts w:ascii="仿宋" w:eastAsia="仿宋" w:hint="eastAsia"/>
          <w:sz w:val="32"/>
          <w:szCs w:val="32"/>
          <w:lang w:val="en-US" w:eastAsia="zh-CN"/>
        </w:rPr>
        <w:t>5.20</w:t>
      </w:r>
      <w:r>
        <w:rPr>
          <w:rFonts w:ascii="仿宋" w:eastAsia="仿宋"/>
          <w:sz w:val="32"/>
          <w:szCs w:val="32"/>
        </w:rPr>
        <w:t>%</w:t>
      </w:r>
      <w:r>
        <w:rPr>
          <w:rFonts w:ascii="仿宋" w:eastAsia="仿宋" w:hint="eastAsia"/>
          <w:sz w:val="32"/>
          <w:szCs w:val="32"/>
          <w:lang w:eastAsia="zh-CN"/>
        </w:rPr>
        <w:t>支增长</w:t>
      </w:r>
      <w:r>
        <w:rPr>
          <w:rFonts w:ascii="仿宋" w:eastAsia="仿宋" w:hint="eastAsia"/>
          <w:sz w:val="32"/>
          <w:szCs w:val="32"/>
          <w:lang w:val="en-US" w:eastAsia="zh-CN"/>
        </w:rPr>
        <w:t>4.23%</w:t>
      </w:r>
      <w:r>
        <w:rPr>
          <w:rFonts w:ascii="仿宋" w:eastAsia="仿宋" w:hint="eastAsia"/>
          <w:sz w:val="32"/>
          <w:szCs w:val="32"/>
        </w:rPr>
        <w:t>。主要变动原因是</w:t>
      </w:r>
      <w:r>
        <w:rPr>
          <w:rFonts w:ascii="仿宋" w:eastAsia="仿宋"/>
          <w:sz w:val="32"/>
          <w:szCs w:val="32"/>
        </w:rPr>
        <w:t>本年教职工人数及学生人数增加，人均工资有所增长，年度考核奖随工资发放，各类保险基数增加，人员敬爱相应增加，学校生均公用经费及寄宿制学生生活费等学生人头经费收支也相应增加。</w:t>
      </w:r>
    </w:p>
    <w:p>
      <w:pPr>
        <w:pStyle w:val="15"/>
        <w:rPr>
          <w:rFonts w:ascii="仿宋" w:eastAsia="仿宋" w:hint="eastAsia"/>
          <w:sz w:val="32"/>
          <w:szCs w:val="32"/>
        </w:rPr>
      </w:pPr>
      <w:r>
        <w:drawing>
          <wp:inline distT="0" distB="0" distL="114300" distR="114300">
            <wp:extent cx="5271134" cy="2394585"/>
            <wp:effectExtent l="0" t="0" r="0" b="0"/>
            <wp:docPr id="1" name="图表 2"/>
            <wp:cNvGraphicFramePr>
              <a:graphicFrameLocks noChangeAspect="0"/>
            </wp:cNvGraphicFramePr>
            <a:graphic>
              <a:graphicData uri="http://schemas.openxmlformats.org/drawingml/2006/chart">
                <c:chart xmlns:c="http://schemas.openxmlformats.org/drawingml/2006/chart" r:id="rId4"/>
              </a:graphicData>
            </a:graphic>
          </wp:inline>
        </w:drawing>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pStyle w:val="28"/>
        <w:numPr>
          <w:ilvl w:val="0"/>
          <w:numId w:val="2"/>
        </w:numPr>
        <w:spacing w:line="600" w:lineRule="exact"/>
        <w:ind w:firstLineChars="0"/>
        <w:outlineLvl w:val="1"/>
        <w:rPr>
          <w:rStyle w:val="2Char"/>
          <w:rFonts w:ascii="黑体" w:eastAsia="黑体"/>
          <w:b w:val="0"/>
        </w:rPr>
      </w:pPr>
      <w:bookmarkStart w:id="21" w:name="_Toc15396604"/>
      <w:bookmarkStart w:id="22" w:name="_Toc15377206"/>
      <w:r>
        <w:rPr>
          <w:rFonts w:ascii="黑体" w:eastAsia="黑体" w:hint="eastAsia"/>
          <w:sz w:val="32"/>
          <w:szCs w:val="32"/>
        </w:rPr>
        <w:t>收</w:t>
      </w:r>
      <w:r>
        <w:rPr>
          <w:rStyle w:val="2Char"/>
          <w:rFonts w:ascii="黑体" w:eastAsia="黑体" w:hint="eastAsia"/>
          <w:b w:val="0"/>
        </w:rPr>
        <w:t>入决算情况说明</w:t>
      </w:r>
      <w:bookmarkEnd w:id="21"/>
      <w:bookmarkEnd w:id="22"/>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年本年收入合计</w:t>
      </w:r>
      <w:r>
        <w:rPr>
          <w:rFonts w:ascii="仿宋" w:eastAsia="仿宋" w:hint="eastAsia"/>
          <w:sz w:val="32"/>
          <w:szCs w:val="32"/>
          <w:lang w:val="en-US" w:eastAsia="zh-CN"/>
        </w:rPr>
        <w:t>1463.28</w:t>
      </w:r>
      <w:r>
        <w:rPr>
          <w:rFonts w:ascii="仿宋" w:eastAsia="仿宋" w:hint="eastAsia"/>
          <w:sz w:val="32"/>
          <w:szCs w:val="32"/>
        </w:rPr>
        <w:t>万元，其中：一般公共预算财政拨款收入</w:t>
      </w:r>
      <w:r>
        <w:rPr>
          <w:rFonts w:ascii="仿宋" w:eastAsia="仿宋" w:hint="eastAsia"/>
          <w:sz w:val="32"/>
          <w:szCs w:val="32"/>
          <w:lang w:val="en-US" w:eastAsia="zh-CN"/>
        </w:rPr>
        <w:t>1461.36</w:t>
      </w:r>
      <w:r>
        <w:rPr>
          <w:rFonts w:ascii="仿宋" w:eastAsia="仿宋" w:hint="eastAsia"/>
          <w:sz w:val="32"/>
          <w:szCs w:val="32"/>
        </w:rPr>
        <w:t>万元，占</w:t>
      </w:r>
      <w:r>
        <w:rPr>
          <w:rFonts w:ascii="仿宋" w:eastAsia="仿宋" w:hint="eastAsia"/>
          <w:sz w:val="32"/>
          <w:szCs w:val="32"/>
          <w:lang w:val="en-US" w:eastAsia="zh-CN"/>
        </w:rPr>
        <w:t>99.87</w:t>
      </w:r>
      <w:r>
        <w:rPr>
          <w:rFonts w:ascii="仿宋" w:eastAsia="仿宋"/>
          <w:sz w:val="32"/>
          <w:szCs w:val="32"/>
        </w:rPr>
        <w:t>%</w:t>
      </w:r>
      <w:r>
        <w:rPr>
          <w:rFonts w:ascii="仿宋" w:eastAsia="仿宋" w:hint="eastAsia"/>
          <w:sz w:val="32"/>
          <w:szCs w:val="32"/>
        </w:rPr>
        <w:t>；政府性基金预算财政拨款收入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；国有资本经营预算财政拨款收入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；上级补助收入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；事业收入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；经营收入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；附属单位上缴收入</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；其他收入</w:t>
      </w:r>
      <w:r>
        <w:rPr>
          <w:rFonts w:ascii="仿宋" w:eastAsia="仿宋" w:hint="eastAsia"/>
          <w:sz w:val="32"/>
          <w:szCs w:val="32"/>
          <w:lang w:val="en-US" w:eastAsia="zh-CN"/>
        </w:rPr>
        <w:t>1.92</w:t>
      </w:r>
      <w:r>
        <w:rPr>
          <w:rFonts w:ascii="仿宋" w:eastAsia="仿宋" w:hint="eastAsia"/>
          <w:sz w:val="32"/>
          <w:szCs w:val="32"/>
        </w:rPr>
        <w:t>万元，占</w:t>
      </w:r>
      <w:r>
        <w:rPr>
          <w:rFonts w:ascii="仿宋" w:eastAsia="仿宋" w:hint="eastAsia"/>
          <w:sz w:val="32"/>
          <w:szCs w:val="32"/>
          <w:lang w:val="en-US" w:eastAsia="zh-CN"/>
        </w:rPr>
        <w:t>0.13</w:t>
      </w:r>
      <w:r>
        <w:rPr>
          <w:rFonts w:ascii="仿宋" w:eastAsia="仿宋"/>
          <w:sz w:val="32"/>
          <w:szCs w:val="32"/>
        </w:rPr>
        <w:t>%</w:t>
      </w:r>
      <w:r>
        <w:rPr>
          <w:rFonts w:ascii="仿宋" w:eastAsia="仿宋" w:hint="eastAsia"/>
          <w:sz w:val="32"/>
          <w:szCs w:val="32"/>
        </w:rPr>
        <w:t>。</w:t>
      </w:r>
    </w:p>
    <w:p>
      <w:pPr>
        <w:spacing w:line="600" w:lineRule="exact"/>
        <w:ind w:left="0"/>
        <w:outlineLvl w:val="1"/>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01表</w:t>
      </w:r>
      <w:r>
        <w:rPr>
          <w:rFonts w:ascii="仿宋" w:eastAsia="仿宋" w:hint="eastAsia"/>
          <w:b/>
          <w:sz w:val="32"/>
          <w:szCs w:val="32"/>
        </w:rPr>
        <w:t>，仅罗列本单位涉及的收入。</w:t>
      </w:r>
      <w:r>
        <w:rPr>
          <w:rFonts w:ascii="仿宋" w:eastAsia="仿宋"/>
          <w:b/>
          <w:sz w:val="32"/>
          <w:szCs w:val="32"/>
        </w:rPr>
        <w:t>）</w:t>
      </w:r>
    </w:p>
    <w:p>
      <w:pPr>
        <w:pStyle w:val="15"/>
        <w:rPr>
          <w:rFonts w:ascii="仿宋" w:eastAsia="仿宋"/>
          <w:sz w:val="32"/>
          <w:szCs w:val="32"/>
        </w:rPr>
      </w:pPr>
      <w:r>
        <w:rPr>
          <w:rFonts w:ascii="仿宋" w:eastAsia="仿宋"/>
          <w:sz w:val="32"/>
          <w:szCs w:val="32"/>
        </w:rPr>
        <w:drawing>
          <wp:inline distT="0" distB="0" distL="114300" distR="114300">
            <wp:extent cx="5172074" cy="2572646"/>
            <wp:effectExtent l="0" t="0" r="0" b="0"/>
            <wp:docPr id="2" name="图表 5"/>
            <wp:cNvGraphicFramePr>
              <a:graphicFrameLocks noChangeAspect="0"/>
            </wp:cNvGraphicFramePr>
            <a:graphic>
              <a:graphicData uri="http://schemas.openxmlformats.org/drawingml/2006/chart">
                <c:chart xmlns:c="http://schemas.openxmlformats.org/drawingml/2006/chart" r:id="rId5"/>
              </a:graphicData>
            </a:graphic>
          </wp:inline>
        </w:drawing>
      </w:r>
    </w:p>
    <w:p>
      <w:pPr>
        <w:spacing w:line="600" w:lineRule="exact"/>
        <w:ind w:left="0" w:firstLineChars="250" w:firstLine="800"/>
        <w:rPr>
          <w:rFonts w:ascii="仿宋" w:eastAsia="仿宋"/>
          <w:sz w:val="32"/>
          <w:szCs w:val="32"/>
        </w:rPr>
      </w:pPr>
      <w:r>
        <w:rPr>
          <w:rFonts w:ascii="仿宋" w:eastAsia="仿宋" w:hint="eastAsia"/>
          <w:sz w:val="32"/>
          <w:szCs w:val="32"/>
        </w:rPr>
        <w:t>（图2：收入决算结构图）（饼状图）</w:t>
      </w:r>
    </w:p>
    <w:p>
      <w:pPr>
        <w:pStyle w:val="28"/>
        <w:numPr>
          <w:ilvl w:val="0"/>
          <w:numId w:val="2"/>
        </w:numPr>
        <w:spacing w:line="600" w:lineRule="exact"/>
        <w:ind w:firstLineChars="0"/>
        <w:outlineLvl w:val="1"/>
        <w:rPr>
          <w:rStyle w:val="2Char"/>
          <w:rFonts w:ascii="黑体" w:eastAsia="黑体"/>
          <w:b w:val="0"/>
        </w:rPr>
      </w:pPr>
      <w:bookmarkStart w:id="23" w:name="_Toc15377207"/>
      <w:bookmarkStart w:id="24" w:name="_Toc15396605"/>
      <w:r>
        <w:rPr>
          <w:rFonts w:ascii="黑体" w:eastAsia="黑体" w:hint="eastAsia"/>
          <w:sz w:val="32"/>
          <w:szCs w:val="32"/>
        </w:rPr>
        <w:t>支</w:t>
      </w:r>
      <w:r>
        <w:rPr>
          <w:rStyle w:val="2Char"/>
          <w:rFonts w:ascii="黑体" w:eastAsia="黑体" w:hint="eastAsia"/>
          <w:b w:val="0"/>
        </w:rPr>
        <w:t>出决算情况说明</w:t>
      </w:r>
      <w:bookmarkEnd w:id="23"/>
      <w:bookmarkEnd w:id="24"/>
    </w:p>
    <w:p>
      <w:pPr>
        <w:spacing w:line="600" w:lineRule="exact"/>
        <w:ind w:firstLineChars="200" w:firstLine="640"/>
        <w:outlineLvl w:val="1"/>
        <w:rPr>
          <w:rFonts w:ascii="仿宋" w:eastAsia="仿宋" w:hint="eastAsia"/>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年本年支出合计</w:t>
      </w:r>
      <w:r>
        <w:rPr>
          <w:rFonts w:ascii="仿宋" w:eastAsia="仿宋" w:hint="eastAsia"/>
          <w:sz w:val="32"/>
          <w:szCs w:val="32"/>
          <w:lang w:val="en-US" w:eastAsia="zh-CN"/>
        </w:rPr>
        <w:t>1463.90</w:t>
      </w:r>
      <w:r>
        <w:rPr>
          <w:rFonts w:ascii="仿宋" w:eastAsia="仿宋" w:hint="eastAsia"/>
          <w:sz w:val="32"/>
          <w:szCs w:val="32"/>
        </w:rPr>
        <w:t>万元，其中：基本支出</w:t>
      </w:r>
      <w:r>
        <w:rPr>
          <w:rFonts w:ascii="仿宋" w:eastAsia="仿宋" w:hint="eastAsia"/>
          <w:sz w:val="32"/>
          <w:szCs w:val="32"/>
          <w:lang w:val="en-US" w:eastAsia="zh-CN"/>
        </w:rPr>
        <w:t>1215.41</w:t>
      </w:r>
      <w:r>
        <w:rPr>
          <w:rFonts w:ascii="仿宋" w:eastAsia="仿宋" w:hint="eastAsia"/>
          <w:sz w:val="32"/>
          <w:szCs w:val="32"/>
        </w:rPr>
        <w:t>万元，占</w:t>
      </w:r>
      <w:r>
        <w:rPr>
          <w:rFonts w:ascii="仿宋" w:eastAsia="仿宋" w:hint="eastAsia"/>
          <w:sz w:val="32"/>
          <w:szCs w:val="32"/>
          <w:lang w:val="en-US" w:eastAsia="zh-CN"/>
        </w:rPr>
        <w:t>83.03</w:t>
      </w:r>
      <w:r>
        <w:rPr>
          <w:rFonts w:ascii="仿宋" w:eastAsia="仿宋"/>
          <w:sz w:val="32"/>
          <w:szCs w:val="32"/>
        </w:rPr>
        <w:t>%</w:t>
      </w:r>
      <w:r>
        <w:rPr>
          <w:rFonts w:ascii="仿宋" w:eastAsia="仿宋" w:hint="eastAsia"/>
          <w:sz w:val="32"/>
          <w:szCs w:val="32"/>
        </w:rPr>
        <w:t>；项目支出</w:t>
      </w:r>
      <w:r>
        <w:rPr>
          <w:rFonts w:ascii="仿宋" w:eastAsia="仿宋" w:hint="eastAsia"/>
          <w:sz w:val="32"/>
          <w:szCs w:val="32"/>
          <w:lang w:val="en-US" w:eastAsia="zh-CN"/>
        </w:rPr>
        <w:t>248.49</w:t>
      </w:r>
      <w:r>
        <w:rPr>
          <w:rFonts w:ascii="仿宋" w:eastAsia="仿宋" w:hint="eastAsia"/>
          <w:sz w:val="32"/>
          <w:szCs w:val="32"/>
        </w:rPr>
        <w:t>万元，占</w:t>
      </w:r>
      <w:r>
        <w:rPr>
          <w:rFonts w:ascii="仿宋" w:eastAsia="仿宋" w:hint="eastAsia"/>
          <w:sz w:val="32"/>
          <w:szCs w:val="32"/>
          <w:lang w:val="en-US" w:eastAsia="zh-CN"/>
        </w:rPr>
        <w:t>16.97</w:t>
      </w:r>
      <w:r>
        <w:rPr>
          <w:rFonts w:ascii="仿宋" w:eastAsia="仿宋"/>
          <w:sz w:val="32"/>
          <w:szCs w:val="32"/>
        </w:rPr>
        <w:t>%</w:t>
      </w:r>
      <w:r>
        <w:rPr>
          <w:rFonts w:ascii="仿宋" w:eastAsia="仿宋" w:hint="eastAsia"/>
          <w:sz w:val="32"/>
          <w:szCs w:val="32"/>
        </w:rPr>
        <w:t>；上缴上级支出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；经营支出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；对附属单位补助支出</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w:t>
      </w:r>
    </w:p>
    <w:p>
      <w:pPr>
        <w:spacing w:line="600" w:lineRule="exact"/>
        <w:ind w:left="0"/>
        <w:outlineLvl w:val="1"/>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04</w:t>
      </w:r>
      <w:r>
        <w:rPr>
          <w:rFonts w:ascii="仿宋" w:eastAsia="仿宋" w:hint="eastAsia"/>
          <w:b/>
          <w:sz w:val="32"/>
          <w:szCs w:val="32"/>
        </w:rPr>
        <w:t>表，仅罗列本单位涉及的支出。）</w:t>
      </w:r>
    </w:p>
    <w:p>
      <w:pPr>
        <w:pStyle w:val="15"/>
        <w:rPr>
          <w:rFonts w:ascii="仿宋" w:eastAsia="仿宋"/>
          <w:sz w:val="32"/>
          <w:szCs w:val="32"/>
          <w:shd w:val="pct10" w:color="auto" w:fill="FFFFFF"/>
        </w:rPr>
      </w:pPr>
      <w:r>
        <w:drawing>
          <wp:inline distT="0" distB="0" distL="114300" distR="114300">
            <wp:extent cx="5272404" cy="2394585"/>
            <wp:effectExtent l="0" t="0" r="0" b="0"/>
            <wp:docPr id="3" name="图表 6"/>
            <wp:cNvGraphicFramePr>
              <a:graphicFrameLocks noChangeAspect="0"/>
            </wp:cNvGraphicFramePr>
            <a:graphic>
              <a:graphicData uri="http://schemas.openxmlformats.org/drawingml/2006/chart">
                <c:chart xmlns:c="http://schemas.openxmlformats.org/drawingml/2006/chart" r:id="rId6"/>
              </a:graphicData>
            </a:graphic>
          </wp:inline>
        </w:drawing>
      </w:r>
    </w:p>
    <w:p>
      <w:pPr>
        <w:spacing w:line="600" w:lineRule="exact"/>
        <w:ind w:firstLineChars="200" w:firstLine="640"/>
        <w:rPr>
          <w:rFonts w:ascii="仿宋" w:eastAsia="仿宋"/>
          <w:sz w:val="32"/>
          <w:szCs w:val="32"/>
        </w:rPr>
      </w:pPr>
      <w:r>
        <w:rPr>
          <w:rFonts w:ascii="仿宋" w:eastAsia="仿宋" w:hint="eastAsia"/>
          <w:sz w:val="32"/>
          <w:szCs w:val="32"/>
        </w:rPr>
        <w:t>（图3：支出决算结构图）（饼状图）</w:t>
      </w:r>
    </w:p>
    <w:p>
      <w:pPr>
        <w:spacing w:line="600" w:lineRule="exact"/>
        <w:ind w:firstLineChars="200" w:firstLine="640"/>
        <w:outlineLvl w:val="1"/>
        <w:rPr>
          <w:rStyle w:val="2Char"/>
          <w:rFonts w:ascii="黑体" w:eastAsia="黑体"/>
          <w:b w:val="0"/>
        </w:rPr>
      </w:pPr>
      <w:bookmarkStart w:id="25" w:name="_Toc15377208"/>
      <w:bookmarkStart w:id="26"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5"/>
      <w:bookmarkEnd w:id="26"/>
    </w:p>
    <w:p>
      <w:pPr>
        <w:spacing w:line="600" w:lineRule="exact"/>
        <w:ind w:firstLine="640"/>
        <w:rPr>
          <w:rFonts w:ascii="仿宋" w:eastAsia="仿宋"/>
          <w:color w:val="000000"/>
          <w:sz w:val="32"/>
          <w:szCs w:val="32"/>
          <w14:textFill>
            <w14:solidFill>
              <w14:srgbClr w14:val="000000"/>
            </w14:solidFill>
          </w14:textFill>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年财政拨款收</w:t>
      </w:r>
      <w:r>
        <w:rPr>
          <w:rFonts w:ascii="仿宋" w:eastAsia="仿宋" w:hint="eastAsia"/>
          <w:sz w:val="32"/>
          <w:szCs w:val="32"/>
          <w:lang w:val="en-US" w:eastAsia="zh-CN"/>
        </w:rPr>
        <w:t>1461.36万元</w:t>
      </w:r>
      <w:r>
        <w:rPr>
          <w:rFonts w:ascii="仿宋" w:eastAsia="仿宋" w:hint="eastAsia"/>
          <w:sz w:val="32"/>
          <w:szCs w:val="32"/>
        </w:rPr>
        <w:t>、支总计</w:t>
      </w:r>
      <w:r>
        <w:rPr>
          <w:rFonts w:ascii="仿宋" w:eastAsia="仿宋" w:hint="eastAsia"/>
          <w:sz w:val="32"/>
          <w:szCs w:val="32"/>
          <w:lang w:val="en-US" w:eastAsia="zh-CN"/>
        </w:rPr>
        <w:t>1461.36</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1</w:t>
      </w:r>
      <w:r>
        <w:rPr>
          <w:rFonts w:ascii="仿宋" w:eastAsia="仿宋" w:hint="eastAsia"/>
          <w:sz w:val="32"/>
          <w:szCs w:val="32"/>
        </w:rPr>
        <w:t>年相比，财政拨款收</w:t>
      </w:r>
      <w:r>
        <w:rPr>
          <w:rFonts w:ascii="仿宋" w:eastAsia="仿宋" w:hint="eastAsia"/>
          <w:sz w:val="32"/>
          <w:szCs w:val="32"/>
          <w:lang w:val="en-US" w:eastAsia="zh-CN"/>
        </w:rPr>
        <w:t>1352.03</w:t>
      </w:r>
      <w:r>
        <w:rPr>
          <w:rFonts w:ascii="仿宋" w:eastAsia="仿宋" w:hint="eastAsia"/>
          <w:sz w:val="32"/>
          <w:szCs w:val="32"/>
        </w:rPr>
        <w:t>、支总计</w:t>
      </w:r>
      <w:r>
        <w:rPr>
          <w:rFonts w:ascii="仿宋" w:eastAsia="仿宋" w:hint="eastAsia"/>
          <w:sz w:val="32"/>
          <w:szCs w:val="32"/>
          <w:lang w:val="en-US" w:eastAsia="zh-CN"/>
        </w:rPr>
        <w:t>1358.11万元</w:t>
      </w:r>
      <w:r>
        <w:rPr>
          <w:rFonts w:ascii="仿宋" w:eastAsia="仿宋" w:hint="eastAsia"/>
          <w:sz w:val="32"/>
          <w:szCs w:val="32"/>
        </w:rPr>
        <w:t>各增加</w:t>
      </w:r>
      <w:r>
        <w:rPr>
          <w:rFonts w:ascii="仿宋" w:eastAsia="仿宋" w:hint="eastAsia"/>
          <w:sz w:val="32"/>
          <w:szCs w:val="32"/>
          <w:lang w:eastAsia="zh-CN"/>
        </w:rPr>
        <w:t>收</w:t>
      </w:r>
      <w:r>
        <w:rPr>
          <w:rFonts w:ascii="仿宋" w:eastAsia="仿宋" w:hint="eastAsia"/>
          <w:sz w:val="32"/>
          <w:szCs w:val="32"/>
          <w:lang w:val="en-US" w:eastAsia="zh-CN"/>
        </w:rPr>
        <w:t>109.33</w:t>
      </w:r>
      <w:r>
        <w:rPr>
          <w:rFonts w:ascii="仿宋" w:eastAsia="仿宋" w:hint="eastAsia"/>
          <w:sz w:val="32"/>
          <w:szCs w:val="32"/>
        </w:rPr>
        <w:t>万元</w:t>
      </w:r>
      <w:r>
        <w:rPr>
          <w:rFonts w:ascii="仿宋" w:eastAsia="仿宋" w:hint="eastAsia"/>
          <w:sz w:val="32"/>
          <w:szCs w:val="32"/>
          <w:lang w:eastAsia="zh-CN"/>
        </w:rPr>
        <w:t>和支</w:t>
      </w:r>
      <w:r>
        <w:rPr>
          <w:rFonts w:ascii="仿宋" w:eastAsia="仿宋" w:hint="eastAsia"/>
          <w:sz w:val="32"/>
          <w:szCs w:val="32"/>
          <w:lang w:val="en-US" w:eastAsia="zh-CN"/>
        </w:rPr>
        <w:t>103.25</w:t>
      </w:r>
      <w:r>
        <w:rPr>
          <w:rFonts w:ascii="仿宋" w:eastAsia="仿宋" w:hint="eastAsia"/>
          <w:sz w:val="32"/>
          <w:szCs w:val="32"/>
          <w:lang w:eastAsia="zh-CN"/>
        </w:rPr>
        <w:t>万元</w:t>
      </w:r>
      <w:r>
        <w:rPr>
          <w:rFonts w:ascii="仿宋" w:eastAsia="仿宋" w:hint="eastAsia"/>
          <w:sz w:val="32"/>
          <w:szCs w:val="32"/>
        </w:rPr>
        <w:t>，增长</w:t>
      </w:r>
      <w:r>
        <w:rPr>
          <w:rFonts w:ascii="仿宋" w:eastAsia="仿宋" w:hint="eastAsia"/>
          <w:sz w:val="32"/>
          <w:szCs w:val="32"/>
          <w:lang w:val="en-US" w:eastAsia="zh-CN"/>
        </w:rPr>
        <w:t>8.09</w:t>
      </w:r>
      <w:r>
        <w:rPr>
          <w:rFonts w:ascii="仿宋" w:eastAsia="仿宋"/>
          <w:sz w:val="32"/>
          <w:szCs w:val="32"/>
        </w:rPr>
        <w:t>%</w:t>
      </w:r>
      <w:r>
        <w:rPr>
          <w:rFonts w:ascii="仿宋" w:eastAsia="仿宋" w:hint="eastAsia"/>
          <w:sz w:val="32"/>
          <w:szCs w:val="32"/>
          <w:lang w:eastAsia="zh-CN"/>
        </w:rPr>
        <w:t>和</w:t>
      </w:r>
      <w:r>
        <w:rPr>
          <w:rFonts w:ascii="仿宋" w:eastAsia="仿宋" w:hint="eastAsia"/>
          <w:sz w:val="32"/>
          <w:szCs w:val="32"/>
          <w:lang w:val="en-US" w:eastAsia="zh-CN"/>
        </w:rPr>
        <w:t>7.60</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本年教职工人数及学生人数增加，人均工资有所增长，年度考核奖随工资发放，各类保险基数增加，人员敬爱相应增加，学校生均公用经费及寄宿制学生生活费等学生人头经费收支也相应增加</w:t>
      </w:r>
      <w:r>
        <w:rPr>
          <w:rFonts w:ascii="仿宋" w:eastAsia="仿宋"/>
          <w:color w:val="000000"/>
          <w:sz w:val="30"/>
          <w:szCs w:val="30"/>
          <w14:textFill>
            <w14:solidFill>
              <w14:srgbClr w14:val="000000"/>
            </w14:solidFill>
          </w14:textFill>
        </w:rPr>
        <w:t>。</w:t>
      </w:r>
    </w:p>
    <w:p>
      <w:pPr>
        <w:pStyle w:val="15"/>
        <w:rPr>
          <w:rFonts w:ascii="仿宋" w:eastAsia="仿宋"/>
          <w:sz w:val="32"/>
          <w:szCs w:val="32"/>
        </w:rPr>
      </w:pPr>
      <w:r>
        <w:drawing>
          <wp:inline distT="0" distB="0" distL="114300" distR="114300">
            <wp:extent cx="5286374" cy="2788285"/>
            <wp:effectExtent l="0" t="0" r="0" b="0"/>
            <wp:docPr id="4" name="图表 1"/>
            <wp:cNvGraphicFramePr>
              <a:graphicFrameLocks noChangeAspect="0"/>
            </wp:cNvGraphicFramePr>
            <a:graphic>
              <a:graphicData uri="http://schemas.openxmlformats.org/drawingml/2006/chart">
                <c:chart xmlns:c="http://schemas.openxmlformats.org/drawingml/2006/chart" r:id="rId7"/>
              </a:graphicData>
            </a:graphic>
          </wp:inline>
        </w:drawing>
      </w:r>
    </w:p>
    <w:p>
      <w:pPr>
        <w:spacing w:line="600" w:lineRule="exact"/>
        <w:ind w:firstLineChars="200" w:firstLine="640"/>
        <w:rPr>
          <w:rFonts w:ascii="仿宋" w:eastAsia="仿宋"/>
          <w:sz w:val="32"/>
          <w:szCs w:val="32"/>
        </w:rPr>
      </w:pPr>
      <w:r>
        <w:rPr>
          <w:rFonts w:ascii="仿宋" w:eastAsia="仿宋" w:hint="eastAsia"/>
          <w:sz w:val="32"/>
          <w:szCs w:val="32"/>
        </w:rPr>
        <w:t>（图4：财政拨款收、支决算总计变动情况）（柱状图）</w:t>
      </w:r>
    </w:p>
    <w:p>
      <w:pPr>
        <w:spacing w:line="600" w:lineRule="exact"/>
        <w:ind w:firstLineChars="200" w:firstLine="640"/>
        <w:outlineLvl w:val="1"/>
        <w:rPr>
          <w:rStyle w:val="2Char"/>
          <w:rFonts w:ascii="黑体" w:eastAsia="黑体"/>
          <w:b w:val="0"/>
        </w:rPr>
      </w:pPr>
      <w:bookmarkStart w:id="27" w:name="_Toc15396607"/>
      <w:bookmarkStart w:id="28"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pPr>
        <w:spacing w:line="600" w:lineRule="exact"/>
        <w:ind w:firstLineChars="200" w:firstLine="640"/>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pPr>
        <w:spacing w:line="600" w:lineRule="exact"/>
        <w:ind w:firstLine="640"/>
        <w:rPr>
          <w:rFonts w:ascii="仿宋" w:eastAsia="仿宋" w:hint="eastAsia"/>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年一般公共预算财政拨款支出</w:t>
      </w:r>
      <w:r>
        <w:rPr>
          <w:rFonts w:ascii="仿宋" w:eastAsia="仿宋" w:hint="eastAsia"/>
          <w:sz w:val="32"/>
          <w:szCs w:val="32"/>
          <w:lang w:val="en-US" w:eastAsia="zh-CN"/>
        </w:rPr>
        <w:t>1461.36</w:t>
      </w:r>
      <w:r>
        <w:rPr>
          <w:rFonts w:ascii="仿宋" w:eastAsia="仿宋" w:hint="eastAsia"/>
          <w:sz w:val="32"/>
          <w:szCs w:val="32"/>
        </w:rPr>
        <w:t>万元，占本年支出合计的</w:t>
      </w:r>
      <w:r>
        <w:rPr>
          <w:rFonts w:ascii="仿宋" w:eastAsia="仿宋" w:hint="eastAsia"/>
          <w:sz w:val="32"/>
          <w:szCs w:val="32"/>
          <w:lang w:val="en-US" w:eastAsia="zh-CN"/>
        </w:rPr>
        <w:t>99.83</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1</w:t>
      </w:r>
      <w:r>
        <w:rPr>
          <w:rFonts w:ascii="仿宋" w:eastAsia="仿宋" w:hint="eastAsia"/>
          <w:sz w:val="32"/>
          <w:szCs w:val="32"/>
        </w:rPr>
        <w:t>年相比，一般公共预算财政拨款支出增加</w:t>
      </w:r>
      <w:r>
        <w:rPr>
          <w:rFonts w:ascii="仿宋" w:eastAsia="仿宋" w:hint="eastAsia"/>
          <w:sz w:val="32"/>
          <w:szCs w:val="32"/>
          <w:lang w:val="en-US" w:eastAsia="zh-CN"/>
        </w:rPr>
        <w:t>103.25</w:t>
      </w:r>
      <w:r>
        <w:rPr>
          <w:rFonts w:ascii="仿宋" w:eastAsia="仿宋" w:hint="eastAsia"/>
          <w:sz w:val="32"/>
          <w:szCs w:val="32"/>
        </w:rPr>
        <w:t>万元，增长</w:t>
      </w:r>
      <w:r>
        <w:rPr>
          <w:rFonts w:ascii="仿宋" w:eastAsia="仿宋" w:hint="eastAsia"/>
          <w:sz w:val="32"/>
          <w:szCs w:val="32"/>
          <w:lang w:val="en-US" w:eastAsia="zh-CN"/>
        </w:rPr>
        <w:t>7.60</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本年教职工人数及学生人数增加，人均工资有所增长，年度考核奖随工资发放，各类保险基数增加，人员敬爱相应增加，学校生均公用经费及寄宿制学生生活费等学生人头经费收支也相应增加。</w:t>
      </w:r>
    </w:p>
    <w:p>
      <w:pPr>
        <w:pStyle w:val="15"/>
        <w:rPr>
          <w:rFonts w:ascii="仿宋" w:eastAsia="仿宋"/>
          <w:sz w:val="32"/>
          <w:szCs w:val="32"/>
        </w:rPr>
      </w:pPr>
      <w:r>
        <w:drawing>
          <wp:inline distT="0" distB="0" distL="114300" distR="114300">
            <wp:extent cx="5248909" cy="1855645"/>
            <wp:effectExtent l="0" t="0" r="0" b="0"/>
            <wp:docPr id="5" name="图表 8"/>
            <wp:cNvGraphicFramePr>
              <a:graphicFrameLocks noChangeAspect="0"/>
            </wp:cNvGraphicFramePr>
            <a:graphic>
              <a:graphicData uri="http://schemas.openxmlformats.org/drawingml/2006/chart">
                <c:chart xmlns:c="http://schemas.openxmlformats.org/drawingml/2006/chart" r:id="rId8"/>
              </a:graphicData>
            </a:graphic>
          </wp:inline>
        </w:drawing>
      </w:r>
    </w:p>
    <w:p>
      <w:pPr>
        <w:spacing w:line="600" w:lineRule="exact"/>
        <w:ind w:left="0"/>
        <w:rPr>
          <w:rFonts w:ascii="仿宋" w:eastAsia="仿宋"/>
          <w:sz w:val="32"/>
          <w:szCs w:val="32"/>
        </w:rPr>
      </w:pPr>
      <w:r>
        <w:rPr>
          <w:rFonts w:ascii="仿宋" w:eastAsia="仿宋" w:hint="eastAsia"/>
          <w:sz w:val="32"/>
          <w:szCs w:val="32"/>
        </w:rPr>
        <w:t>（图5：一般公共预算财政拨款支出决算变动情况）（柱状图）</w:t>
      </w:r>
      <w:bookmarkStart w:id="30" w:name="_GoBack"/>
      <w:bookmarkEnd w:id="30"/>
    </w:p>
    <w:p>
      <w:pPr>
        <w:spacing w:line="600" w:lineRule="exact"/>
        <w:ind w:firstLineChars="200" w:firstLine="640"/>
        <w:outlineLvl w:val="2"/>
        <w:rPr>
          <w:rFonts w:ascii="仿宋" w:eastAsia="仿宋"/>
          <w:b/>
          <w:sz w:val="32"/>
          <w:szCs w:val="32"/>
        </w:rPr>
      </w:pPr>
      <w:bookmarkStart w:id="31" w:name="_Toc15377211"/>
      <w:r>
        <w:rPr>
          <w:rFonts w:ascii="仿宋" w:eastAsia="仿宋" w:hint="eastAsia"/>
          <w:b/>
          <w:sz w:val="32"/>
          <w:szCs w:val="32"/>
        </w:rPr>
        <w:t>（二）一般公共预算财政拨款支出决算结构情况</w:t>
      </w:r>
      <w:bookmarkEnd w:id="31"/>
    </w:p>
    <w:p>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年一般公共预算财政拨款支出</w:t>
      </w:r>
      <w:r>
        <w:rPr>
          <w:rFonts w:ascii="仿宋" w:eastAsia="仿宋" w:hint="eastAsia"/>
          <w:sz w:val="32"/>
          <w:szCs w:val="32"/>
          <w:lang w:val="en-US" w:eastAsia="zh-CN"/>
        </w:rPr>
        <w:t>1461.36</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教育支出（</w:t>
      </w:r>
      <w:r>
        <w:rPr>
          <w:rFonts w:ascii="仿宋" w:eastAsia="仿宋" w:hint="eastAsia"/>
          <w:b/>
          <w:sz w:val="32"/>
          <w:szCs w:val="32"/>
          <w:lang w:val="en-US" w:eastAsia="zh-CN"/>
        </w:rPr>
        <w:t>2050202</w:t>
      </w:r>
      <w:r>
        <w:rPr>
          <w:rFonts w:ascii="仿宋" w:eastAsia="仿宋" w:hint="eastAsia"/>
          <w:b/>
          <w:sz w:val="32"/>
          <w:szCs w:val="32"/>
        </w:rPr>
        <w:t>）</w:t>
      </w:r>
      <w:r>
        <w:rPr>
          <w:rFonts w:ascii="仿宋" w:eastAsia="仿宋" w:hint="eastAsia"/>
          <w:b/>
          <w:sz w:val="32"/>
          <w:szCs w:val="32"/>
          <w:lang w:val="en-US" w:eastAsia="zh-CN"/>
        </w:rPr>
        <w:t>1163.06</w:t>
      </w:r>
      <w:r>
        <w:rPr>
          <w:rFonts w:ascii="仿宋" w:eastAsia="仿宋" w:hint="eastAsia"/>
          <w:sz w:val="32"/>
          <w:szCs w:val="32"/>
        </w:rPr>
        <w:t>万元，占</w:t>
      </w:r>
      <w:r>
        <w:rPr>
          <w:rFonts w:ascii="仿宋" w:eastAsia="仿宋" w:hint="eastAsia"/>
          <w:sz w:val="32"/>
          <w:szCs w:val="32"/>
          <w:lang w:val="en-US" w:eastAsia="zh-CN"/>
        </w:rPr>
        <w:t>79.59</w:t>
      </w:r>
      <w:r>
        <w:rPr>
          <w:rFonts w:ascii="仿宋" w:eastAsia="仿宋"/>
          <w:sz w:val="32"/>
          <w:szCs w:val="32"/>
        </w:rPr>
        <w:t>%</w:t>
      </w:r>
      <w:r>
        <w:rPr>
          <w:rFonts w:ascii="仿宋" w:eastAsia="仿宋" w:hint="eastAsia"/>
          <w:sz w:val="32"/>
          <w:szCs w:val="32"/>
        </w:rPr>
        <w:t>；</w:t>
      </w:r>
      <w:r>
        <w:rPr>
          <w:rFonts w:ascii="仿宋" w:eastAsia="仿宋" w:hint="eastAsia"/>
          <w:b/>
          <w:sz w:val="32"/>
          <w:szCs w:val="32"/>
        </w:rPr>
        <w:t>社会保障和就业（</w:t>
      </w:r>
      <w:r>
        <w:rPr>
          <w:rStyle w:val="31"/>
          <w:rFonts w:ascii="仿宋" w:eastAsia="仿宋"/>
          <w:color w:val="000000"/>
          <w:sz w:val="32"/>
          <w:szCs w:val="32"/>
        </w:rPr>
        <w:t>2080505</w:t>
      </w:r>
      <w:r>
        <w:rPr>
          <w:rFonts w:ascii="仿宋" w:eastAsia="仿宋" w:hint="eastAsia"/>
          <w:b/>
          <w:sz w:val="32"/>
          <w:szCs w:val="32"/>
        </w:rPr>
        <w:t>）</w:t>
      </w:r>
      <w:r>
        <w:rPr>
          <w:rFonts w:ascii="仿宋" w:eastAsia="仿宋" w:hint="eastAsia"/>
          <w:sz w:val="32"/>
          <w:szCs w:val="32"/>
        </w:rPr>
        <w:t>支出</w:t>
      </w:r>
      <w:r>
        <w:rPr>
          <w:rFonts w:ascii="仿宋" w:eastAsia="仿宋" w:hint="eastAsia"/>
          <w:sz w:val="32"/>
          <w:szCs w:val="32"/>
          <w:lang w:val="en-US" w:eastAsia="zh-CN"/>
        </w:rPr>
        <w:t>147.18</w:t>
      </w:r>
      <w:r>
        <w:rPr>
          <w:rFonts w:ascii="仿宋" w:eastAsia="仿宋" w:hint="eastAsia"/>
          <w:sz w:val="32"/>
          <w:szCs w:val="32"/>
        </w:rPr>
        <w:t>万元，占</w:t>
      </w:r>
      <w:r>
        <w:rPr>
          <w:rFonts w:ascii="仿宋" w:eastAsia="仿宋" w:hint="eastAsia"/>
          <w:sz w:val="32"/>
          <w:szCs w:val="32"/>
          <w:lang w:val="en-US" w:eastAsia="zh-CN"/>
        </w:rPr>
        <w:t>10.07</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卫生健康支出</w:t>
      </w:r>
      <w:r>
        <w:rPr>
          <w:rFonts w:ascii="仿宋" w:eastAsia="仿宋" w:hint="eastAsia"/>
          <w:b/>
          <w:bCs/>
          <w:sz w:val="32"/>
          <w:szCs w:val="32"/>
          <w:lang w:eastAsia="zh-CN"/>
        </w:rPr>
        <w:t>（</w:t>
      </w:r>
      <w:r>
        <w:rPr>
          <w:rStyle w:val="31"/>
          <w:rFonts w:ascii="仿宋" w:eastAsia="仿宋"/>
          <w:color w:val="000000"/>
          <w:sz w:val="32"/>
          <w:szCs w:val="32"/>
        </w:rPr>
        <w:t>2101102</w:t>
      </w:r>
      <w:r>
        <w:rPr>
          <w:rFonts w:ascii="仿宋" w:eastAsia="仿宋" w:hint="eastAsia"/>
          <w:b/>
          <w:bCs/>
          <w:sz w:val="32"/>
          <w:szCs w:val="32"/>
          <w:lang w:eastAsia="zh-CN"/>
        </w:rPr>
        <w:t>）</w:t>
      </w:r>
      <w:r>
        <w:rPr>
          <w:rFonts w:ascii="仿宋" w:eastAsia="仿宋" w:hint="eastAsia"/>
          <w:b/>
          <w:bCs/>
          <w:sz w:val="32"/>
          <w:szCs w:val="32"/>
          <w:lang w:val="en-US" w:eastAsia="zh-CN"/>
        </w:rPr>
        <w:t>64.06</w:t>
      </w:r>
      <w:r>
        <w:rPr>
          <w:rFonts w:ascii="仿宋" w:eastAsia="仿宋" w:hint="eastAsia"/>
          <w:sz w:val="32"/>
          <w:szCs w:val="32"/>
        </w:rPr>
        <w:t>万元，占</w:t>
      </w:r>
      <w:r>
        <w:rPr>
          <w:rFonts w:ascii="仿宋" w:eastAsia="仿宋" w:hint="eastAsia"/>
          <w:sz w:val="32"/>
          <w:szCs w:val="32"/>
          <w:lang w:val="en-US" w:eastAsia="zh-CN"/>
        </w:rPr>
        <w:t>34.38</w:t>
      </w:r>
      <w:r>
        <w:rPr>
          <w:rFonts w:ascii="仿宋" w:eastAsia="仿宋"/>
          <w:sz w:val="32"/>
          <w:szCs w:val="32"/>
        </w:rPr>
        <w:t>%</w:t>
      </w:r>
      <w:r>
        <w:rPr>
          <w:rFonts w:ascii="仿宋" w:eastAsia="仿宋" w:hint="eastAsia"/>
          <w:sz w:val="32"/>
          <w:szCs w:val="32"/>
        </w:rPr>
        <w:t>；</w:t>
      </w:r>
      <w:r>
        <w:rPr>
          <w:rFonts w:ascii="仿宋" w:eastAsia="仿宋" w:cs="Times New Roman" w:hint="eastAsia"/>
          <w:b/>
          <w:bCs/>
          <w:sz w:val="32"/>
          <w:szCs w:val="32"/>
        </w:rPr>
        <w:t>住房保障支出</w:t>
      </w:r>
      <w:r>
        <w:rPr>
          <w:rFonts w:ascii="仿宋" w:eastAsia="仿宋" w:cs="Times New Roman" w:hint="eastAsia"/>
          <w:b/>
          <w:bCs/>
          <w:sz w:val="32"/>
          <w:szCs w:val="32"/>
          <w:lang w:eastAsia="zh-CN"/>
        </w:rPr>
        <w:t>（</w:t>
      </w:r>
      <w:r>
        <w:rPr>
          <w:rStyle w:val="31"/>
          <w:rFonts w:ascii="仿宋" w:eastAsia="仿宋"/>
          <w:color w:val="000000"/>
          <w:sz w:val="32"/>
          <w:szCs w:val="32"/>
        </w:rPr>
        <w:t>2210201</w:t>
      </w:r>
      <w:r>
        <w:rPr>
          <w:rFonts w:ascii="仿宋" w:eastAsia="仿宋" w:cs="Times New Roman" w:hint="eastAsia"/>
          <w:b/>
          <w:bCs/>
          <w:sz w:val="32"/>
          <w:szCs w:val="32"/>
          <w:lang w:eastAsia="zh-CN"/>
        </w:rPr>
        <w:t>）</w:t>
      </w:r>
      <w:r>
        <w:rPr>
          <w:rFonts w:ascii="仿宋" w:eastAsia="仿宋" w:cs="Times New Roman" w:hint="eastAsia"/>
          <w:b/>
          <w:bCs/>
          <w:sz w:val="32"/>
          <w:szCs w:val="32"/>
          <w:lang w:val="en-US" w:eastAsia="zh-CN"/>
        </w:rPr>
        <w:t>87.06</w:t>
      </w:r>
      <w:r>
        <w:rPr>
          <w:rFonts w:ascii="仿宋" w:eastAsia="仿宋" w:hint="eastAsia"/>
          <w:sz w:val="32"/>
          <w:szCs w:val="32"/>
        </w:rPr>
        <w:t>万元，占</w:t>
      </w:r>
      <w:r>
        <w:rPr>
          <w:rFonts w:ascii="仿宋" w:eastAsia="仿宋" w:hint="eastAsia"/>
          <w:sz w:val="32"/>
          <w:szCs w:val="32"/>
          <w:lang w:val="en-US" w:eastAsia="zh-CN"/>
        </w:rPr>
        <w:t>5.96</w:t>
      </w:r>
      <w:r>
        <w:rPr>
          <w:rFonts w:ascii="仿宋" w:eastAsia="仿宋"/>
          <w:sz w:val="32"/>
          <w:szCs w:val="32"/>
        </w:rPr>
        <w:t>%</w:t>
      </w:r>
      <w:r>
        <w:rPr>
          <w:rFonts w:ascii="仿宋" w:eastAsia="仿宋" w:hint="eastAsia"/>
          <w:sz w:val="32"/>
          <w:szCs w:val="32"/>
        </w:rPr>
        <w:t>；</w:t>
      </w:r>
      <w:r>
        <w:rPr>
          <w:rFonts w:ascii="仿宋" w:eastAsia="仿宋"/>
          <w:sz w:val="32"/>
          <w:szCs w:val="32"/>
        </w:rPr>
        <w:t>…</w:t>
      </w:r>
      <w:r>
        <w:rPr>
          <w:rFonts w:ascii="仿宋" w:eastAsia="仿宋" w:hint="eastAsia"/>
          <w:sz w:val="32"/>
          <w:szCs w:val="32"/>
        </w:rPr>
        <w:t>。</w:t>
      </w:r>
    </w:p>
    <w:p>
      <w:pPr>
        <w:spacing w:line="600" w:lineRule="exact"/>
        <w:ind w:firstLine="640"/>
        <w:rPr>
          <w:rFonts w:ascii="仿宋" w:eastAsia="仿宋"/>
          <w:sz w:val="32"/>
          <w:szCs w:val="32"/>
        </w:rPr>
      </w:pPr>
      <w:r>
        <w:rPr>
          <w:rFonts w:ascii="仿宋" w:eastAsia="仿宋" w:hint="eastAsia"/>
          <w:b/>
          <w:sz w:val="32"/>
          <w:szCs w:val="32"/>
        </w:rPr>
        <w:t>（注：数据来源于财决01-1表，仅罗列本单位涉及的全部功能分类科目，至类级。）</w:t>
      </w:r>
    </w:p>
    <w:p>
      <w:pPr>
        <w:spacing w:line="600" w:lineRule="exact"/>
        <w:ind w:firstLineChars="200" w:firstLine="420"/>
        <w:rPr>
          <w:rFonts w:ascii="仿宋" w:eastAsia="仿宋"/>
          <w:sz w:val="32"/>
          <w:szCs w:val="32"/>
        </w:rPr>
      </w:pPr>
      <w:r>
        <w:drawing>
          <wp:anchor distT="0" distB="0" distL="114300" distR="114300" simplePos="0" relativeHeight="27" behindDoc="0" locked="0" layoutInCell="1" hidden="0" allowOverlap="1">
            <wp:simplePos x="0" y="0"/>
            <wp:positionH relativeFrom="column">
              <wp:posOffset>78740</wp:posOffset>
            </wp:positionH>
            <wp:positionV relativeFrom="paragraph">
              <wp:posOffset>19050</wp:posOffset>
            </wp:positionV>
            <wp:extent cx="5003799" cy="2902585"/>
            <wp:effectExtent l="0" t="0" r="12" b="19"/>
            <wp:wrapSquare wrapText="bothSides"/>
            <wp:docPr id="6" name="图表 11"/>
            <wp:cNvGraphicFramePr>
              <a:graphicFrameLocks noChangeAspect="0"/>
            </wp:cNvGraphicFramePr>
            <a:graphic>
              <a:graphicData uri="http://schemas.openxmlformats.org/drawingml/2006/chart">
                <c:chart xmlns:c="http://schemas.openxmlformats.org/drawingml/2006/chart" r:id="rId9"/>
              </a:graphicData>
            </a:graphic>
          </wp:anchor>
        </w:drawing>
      </w:r>
      <w:r>
        <w:rPr>
          <w:rFonts w:ascii="仿宋" w:eastAsia="仿宋" w:hint="eastAsia"/>
          <w:sz w:val="32"/>
          <w:szCs w:val="32"/>
        </w:rPr>
        <w:t>（图6：一般公共预算财政拨款支出决算结构）（饼状图）</w:t>
      </w:r>
    </w:p>
    <w:p>
      <w:pPr>
        <w:spacing w:line="600" w:lineRule="exact"/>
        <w:ind w:firstLineChars="200" w:firstLine="640"/>
        <w:rPr>
          <w:rFonts w:ascii="仿宋" w:eastAsia="仿宋"/>
          <w:sz w:val="32"/>
          <w:szCs w:val="32"/>
        </w:rPr>
      </w:pPr>
    </w:p>
    <w:p>
      <w:pPr>
        <w:spacing w:line="600" w:lineRule="exact"/>
        <w:ind w:firstLineChars="200" w:firstLine="640"/>
        <w:outlineLvl w:val="2"/>
        <w:rPr>
          <w:rFonts w:ascii="仿宋" w:eastAsia="仿宋"/>
          <w:b/>
          <w:sz w:val="32"/>
          <w:szCs w:val="32"/>
        </w:rPr>
      </w:pPr>
      <w:bookmarkStart w:id="32" w:name="_Toc15377212"/>
      <w:r>
        <w:rPr>
          <w:rFonts w:ascii="仿宋" w:eastAsia="仿宋" w:hint="eastAsia"/>
          <w:b/>
          <w:sz w:val="32"/>
          <w:szCs w:val="32"/>
        </w:rPr>
        <w:t>（三）一般公共预算财政拨款支出决算具体情况</w:t>
      </w:r>
      <w:bookmarkEnd w:id="32"/>
    </w:p>
    <w:p>
      <w:pPr>
        <w:spacing w:line="600" w:lineRule="exact"/>
        <w:ind w:firstLineChars="200" w:firstLine="640"/>
        <w:outlineLvl w:val="2"/>
        <w:rPr>
          <w:rFonts w:ascii="仿宋" w:eastAsia="仿宋"/>
          <w:sz w:val="32"/>
          <w:szCs w:val="32"/>
        </w:rPr>
      </w:pPr>
      <w:bookmarkStart w:id="33" w:name="_Toc15377213"/>
      <w:bookmarkStart w:id="34" w:name="_Toc15377444"/>
      <w:bookmarkStart w:id="35" w:name="_Toc15378460"/>
      <w:r>
        <w:rPr>
          <w:rFonts w:ascii="仿宋" w:eastAsia="仿宋" w:hint="eastAsia"/>
          <w:b/>
          <w:sz w:val="32"/>
          <w:szCs w:val="32"/>
        </w:rPr>
        <w:t>2021年一般公共预算支出决算数为</w:t>
      </w:r>
      <w:r>
        <w:rPr>
          <w:rFonts w:ascii="仿宋" w:eastAsia="仿宋" w:hint="eastAsia"/>
          <w:b/>
          <w:sz w:val="32"/>
          <w:szCs w:val="32"/>
          <w:lang w:val="en-US" w:eastAsia="zh-CN"/>
        </w:rPr>
        <w:t>0</w:t>
      </w:r>
      <w:r>
        <w:rPr>
          <w:rFonts w:ascii="仿宋" w:eastAsia="仿宋" w:hint="eastAsia"/>
          <w:sz w:val="32"/>
          <w:szCs w:val="32"/>
        </w:rPr>
        <w:t>，</w:t>
      </w:r>
      <w:r>
        <w:rPr>
          <w:rStyle w:val="22"/>
          <w:rFonts w:ascii="仿宋" w:eastAsia="仿宋" w:hint="eastAsia"/>
          <w:bCs/>
          <w:sz w:val="32"/>
          <w:szCs w:val="32"/>
        </w:rPr>
        <w:t>完成预算</w:t>
      </w:r>
      <w:r>
        <w:rPr>
          <w:rStyle w:val="22"/>
          <w:rFonts w:ascii="仿宋" w:eastAsia="仿宋" w:hint="eastAsia"/>
          <w:bCs/>
          <w:sz w:val="32"/>
          <w:szCs w:val="32"/>
          <w:lang w:val="en-US" w:eastAsia="zh-CN"/>
        </w:rPr>
        <w:t>0</w:t>
      </w:r>
      <w:r>
        <w:rPr>
          <w:rStyle w:val="22"/>
          <w:rFonts w:ascii="仿宋" w:eastAsia="仿宋"/>
          <w:bCs/>
          <w:sz w:val="32"/>
          <w:szCs w:val="32"/>
        </w:rPr>
        <w:t>%</w:t>
      </w:r>
      <w:r>
        <w:rPr>
          <w:rStyle w:val="22"/>
          <w:rFonts w:ascii="仿宋" w:eastAsia="仿宋" w:hint="eastAsia"/>
          <w:bCs/>
          <w:sz w:val="32"/>
          <w:szCs w:val="32"/>
        </w:rPr>
        <w:t>。其中：</w:t>
      </w:r>
      <w:bookmarkEnd w:id="33"/>
      <w:bookmarkEnd w:id="34"/>
      <w:bookmarkEnd w:id="35"/>
    </w:p>
    <w:p>
      <w:pPr>
        <w:spacing w:line="600" w:lineRule="exact"/>
        <w:ind w:firstLineChars="200" w:firstLine="640"/>
        <w:rPr>
          <w:rFonts w:ascii="仿宋" w:eastAsia="仿宋"/>
          <w:b/>
          <w:sz w:val="32"/>
          <w:szCs w:val="32"/>
        </w:rPr>
      </w:pPr>
      <w:r>
        <w:rPr>
          <w:rStyle w:val="22"/>
          <w:rFonts w:ascii="仿宋" w:eastAsia="仿宋"/>
          <w:bCs/>
          <w:sz w:val="32"/>
          <w:szCs w:val="32"/>
        </w:rPr>
        <w:t>1.</w:t>
      </w:r>
      <w:r>
        <w:rPr>
          <w:rStyle w:val="22"/>
          <w:rFonts w:ascii="仿宋" w:eastAsia="仿宋" w:hint="eastAsia"/>
          <w:bCs/>
          <w:sz w:val="32"/>
          <w:szCs w:val="32"/>
        </w:rPr>
        <w:t>教育</w:t>
      </w:r>
      <w:r>
        <w:rPr>
          <w:rFonts w:ascii="仿宋" w:eastAsia="仿宋" w:hint="eastAsia"/>
          <w:b/>
          <w:sz w:val="32"/>
          <w:szCs w:val="32"/>
          <w:lang w:val="en-US" w:eastAsia="zh-CN"/>
        </w:rPr>
        <w:t>2050202</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1163.06</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r>
        <w:rPr>
          <w:rStyle w:val="22"/>
          <w:rFonts w:ascii="仿宋" w:eastAsia="仿宋" w:hint="eastAsia"/>
          <w:b w:val="0"/>
          <w:bCs/>
          <w:sz w:val="32"/>
          <w:szCs w:val="32"/>
        </w:rPr>
        <w:t>，决算数小于</w:t>
      </w:r>
      <w:r>
        <w:rPr>
          <w:rStyle w:val="22"/>
          <w:rFonts w:ascii="仿宋" w:eastAsia="仿宋"/>
          <w:b w:val="0"/>
          <w:bCs/>
          <w:sz w:val="32"/>
          <w:szCs w:val="32"/>
        </w:rPr>
        <w:t>/</w:t>
      </w:r>
      <w:r>
        <w:rPr>
          <w:rStyle w:val="22"/>
          <w:rFonts w:ascii="仿宋" w:eastAsia="仿宋" w:hint="eastAsia"/>
          <w:b w:val="0"/>
          <w:bCs/>
          <w:sz w:val="32"/>
          <w:szCs w:val="32"/>
        </w:rPr>
        <w:t>等于预算数的主要原因是…。</w:t>
      </w:r>
    </w:p>
    <w:p>
      <w:pPr>
        <w:spacing w:line="600" w:lineRule="exact"/>
        <w:ind w:firstLineChars="200" w:firstLine="640"/>
        <w:rPr>
          <w:rFonts w:ascii="仿宋" w:eastAsia="仿宋"/>
          <w:b/>
          <w:sz w:val="32"/>
          <w:szCs w:val="32"/>
        </w:rPr>
      </w:pPr>
      <w:r>
        <w:rPr>
          <w:rStyle w:val="22"/>
          <w:rFonts w:ascii="仿宋" w:eastAsia="仿宋" w:hint="eastAsia"/>
          <w:bCs/>
          <w:sz w:val="32"/>
          <w:szCs w:val="32"/>
          <w:lang w:val="en-US" w:eastAsia="zh-CN"/>
        </w:rPr>
        <w:t>2</w:t>
      </w:r>
      <w:r>
        <w:rPr>
          <w:rStyle w:val="22"/>
          <w:rFonts w:ascii="仿宋" w:eastAsia="仿宋"/>
          <w:bCs/>
          <w:sz w:val="32"/>
          <w:szCs w:val="32"/>
        </w:rPr>
        <w:t>.</w:t>
      </w:r>
      <w:r>
        <w:rPr>
          <w:rStyle w:val="22"/>
          <w:rFonts w:ascii="仿宋" w:eastAsia="仿宋" w:hint="eastAsia"/>
          <w:bCs/>
          <w:sz w:val="32"/>
          <w:szCs w:val="32"/>
        </w:rPr>
        <w:t>社会保障和就业</w:t>
      </w:r>
      <w:r>
        <w:rPr>
          <w:rStyle w:val="31"/>
          <w:rFonts w:ascii="仿宋" w:eastAsia="仿宋"/>
          <w:color w:val="000000"/>
          <w:sz w:val="32"/>
          <w:szCs w:val="32"/>
        </w:rPr>
        <w:t>2080505</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147.18</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r>
        <w:rPr>
          <w:rStyle w:val="22"/>
          <w:rFonts w:ascii="仿宋" w:eastAsia="仿宋" w:hint="eastAsia"/>
          <w:b w:val="0"/>
          <w:bCs/>
          <w:sz w:val="32"/>
          <w:szCs w:val="32"/>
        </w:rPr>
        <w:t>，决算数小于</w:t>
      </w:r>
      <w:r>
        <w:rPr>
          <w:rStyle w:val="22"/>
          <w:rFonts w:ascii="仿宋" w:eastAsia="仿宋"/>
          <w:b w:val="0"/>
          <w:bCs/>
          <w:sz w:val="32"/>
          <w:szCs w:val="32"/>
        </w:rPr>
        <w:t>/</w:t>
      </w:r>
      <w:r>
        <w:rPr>
          <w:rStyle w:val="22"/>
          <w:rFonts w:ascii="仿宋" w:eastAsia="仿宋" w:hint="eastAsia"/>
          <w:b w:val="0"/>
          <w:bCs/>
          <w:sz w:val="32"/>
          <w:szCs w:val="32"/>
        </w:rPr>
        <w:t>等于预算数的主要原因是…。</w:t>
      </w:r>
    </w:p>
    <w:p>
      <w:pPr>
        <w:spacing w:line="600" w:lineRule="exact"/>
        <w:ind w:firstLineChars="200" w:firstLine="640"/>
        <w:rPr>
          <w:rStyle w:val="22"/>
          <w:rFonts w:ascii="仿宋" w:eastAsia="仿宋" w:hint="eastAsia"/>
          <w:b w:val="0"/>
          <w:bCs/>
          <w:sz w:val="32"/>
          <w:szCs w:val="32"/>
        </w:rPr>
      </w:pPr>
      <w:r>
        <w:rPr>
          <w:rStyle w:val="22"/>
          <w:rFonts w:ascii="仿宋" w:eastAsia="仿宋" w:hint="eastAsia"/>
          <w:bCs/>
          <w:sz w:val="32"/>
          <w:szCs w:val="32"/>
          <w:lang w:val="en-US" w:eastAsia="zh-CN"/>
        </w:rPr>
        <w:t>3</w:t>
      </w:r>
      <w:r>
        <w:rPr>
          <w:rStyle w:val="22"/>
          <w:rFonts w:ascii="仿宋" w:eastAsia="仿宋"/>
          <w:bCs/>
          <w:sz w:val="32"/>
          <w:szCs w:val="32"/>
        </w:rPr>
        <w:t>.</w:t>
      </w:r>
      <w:r>
        <w:rPr>
          <w:rFonts w:ascii="仿宋" w:eastAsia="仿宋" w:hint="eastAsia"/>
          <w:b/>
          <w:bCs/>
          <w:sz w:val="32"/>
          <w:szCs w:val="32"/>
        </w:rPr>
        <w:t>卫生健康</w:t>
      </w:r>
      <w:r>
        <w:rPr>
          <w:rStyle w:val="31"/>
          <w:rFonts w:ascii="仿宋" w:eastAsia="仿宋"/>
          <w:color w:val="000000"/>
          <w:sz w:val="32"/>
          <w:szCs w:val="32"/>
        </w:rPr>
        <w:t>2101102</w:t>
      </w:r>
      <w:r>
        <w:rPr>
          <w:rStyle w:val="22"/>
          <w:rFonts w:ascii="仿宋" w:eastAsia="仿宋"/>
          <w:bCs/>
          <w:sz w:val="32"/>
          <w:szCs w:val="32"/>
        </w:rPr>
        <w:t>:</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64.06</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r>
        <w:rPr>
          <w:rStyle w:val="22"/>
          <w:rFonts w:ascii="仿宋" w:eastAsia="仿宋" w:hint="eastAsia"/>
          <w:b w:val="0"/>
          <w:bCs/>
          <w:sz w:val="32"/>
          <w:szCs w:val="32"/>
        </w:rPr>
        <w:t>，决算数小于</w:t>
      </w:r>
      <w:r>
        <w:rPr>
          <w:rStyle w:val="22"/>
          <w:rFonts w:ascii="仿宋" w:eastAsia="仿宋"/>
          <w:b w:val="0"/>
          <w:bCs/>
          <w:sz w:val="32"/>
          <w:szCs w:val="32"/>
        </w:rPr>
        <w:t>/</w:t>
      </w:r>
      <w:r>
        <w:rPr>
          <w:rStyle w:val="22"/>
          <w:rFonts w:ascii="仿宋" w:eastAsia="仿宋" w:hint="eastAsia"/>
          <w:b w:val="0"/>
          <w:bCs/>
          <w:sz w:val="32"/>
          <w:szCs w:val="32"/>
        </w:rPr>
        <w:t>等于预算数的主要原因是…。</w:t>
      </w:r>
    </w:p>
    <w:p>
      <w:pPr>
        <w:spacing w:line="600" w:lineRule="exact"/>
        <w:ind w:firstLineChars="200" w:firstLine="640"/>
      </w:pPr>
      <w:r>
        <w:rPr>
          <w:rFonts w:ascii="仿宋" w:eastAsia="仿宋" w:cs="Times New Roman" w:hint="eastAsia"/>
          <w:b/>
          <w:bCs/>
          <w:sz w:val="32"/>
          <w:szCs w:val="32"/>
          <w:lang w:val="en-US" w:eastAsia="zh-CN"/>
        </w:rPr>
        <w:t>4.</w:t>
      </w:r>
      <w:r>
        <w:rPr>
          <w:rFonts w:ascii="仿宋" w:eastAsia="仿宋" w:cs="Times New Roman" w:hint="eastAsia"/>
          <w:b/>
          <w:bCs/>
          <w:sz w:val="32"/>
          <w:szCs w:val="32"/>
        </w:rPr>
        <w:t>住房保障支出</w:t>
      </w:r>
      <w:r>
        <w:rPr>
          <w:rFonts w:ascii="仿宋" w:eastAsia="仿宋" w:cs="Times New Roman" w:hint="eastAsia"/>
          <w:b/>
          <w:bCs/>
          <w:sz w:val="32"/>
          <w:szCs w:val="32"/>
          <w:lang w:eastAsia="zh-CN"/>
        </w:rPr>
        <w:t>（</w:t>
      </w:r>
      <w:r>
        <w:rPr>
          <w:rStyle w:val="31"/>
          <w:rFonts w:ascii="仿宋" w:eastAsia="仿宋"/>
          <w:color w:val="000000"/>
          <w:sz w:val="32"/>
          <w:szCs w:val="32"/>
        </w:rPr>
        <w:t>2210201</w:t>
      </w:r>
      <w:r>
        <w:rPr>
          <w:rFonts w:ascii="仿宋" w:eastAsia="仿宋" w:cs="Times New Roman" w:hint="eastAsia"/>
          <w:b/>
          <w:bCs/>
          <w:sz w:val="32"/>
          <w:szCs w:val="32"/>
          <w:lang w:eastAsia="zh-CN"/>
        </w:rPr>
        <w:t>）</w:t>
      </w:r>
      <w:r>
        <w:rPr>
          <w:rStyle w:val="22"/>
          <w:rFonts w:ascii="仿宋" w:eastAsia="仿宋"/>
          <w:bCs/>
          <w:sz w:val="32"/>
          <w:szCs w:val="32"/>
        </w:rPr>
        <w:t>:</w:t>
      </w:r>
      <w:r>
        <w:rPr>
          <w:rStyle w:val="22"/>
          <w:rFonts w:ascii="仿宋" w:eastAsia="仿宋" w:hint="eastAsia"/>
          <w:b w:val="0"/>
          <w:bCs/>
          <w:sz w:val="32"/>
          <w:szCs w:val="32"/>
        </w:rPr>
        <w:t>支出决算为</w:t>
      </w:r>
      <w:r>
        <w:rPr>
          <w:rStyle w:val="22"/>
          <w:rFonts w:ascii="仿宋" w:eastAsia="仿宋" w:hint="eastAsia"/>
          <w:b w:val="0"/>
          <w:bCs/>
          <w:sz w:val="32"/>
          <w:szCs w:val="32"/>
          <w:lang w:val="en-US" w:eastAsia="zh-CN"/>
        </w:rPr>
        <w:t>87.06</w:t>
      </w:r>
      <w:r>
        <w:rPr>
          <w:rStyle w:val="22"/>
          <w:rFonts w:ascii="仿宋" w:eastAsia="仿宋" w:hint="eastAsia"/>
          <w:b w:val="0"/>
          <w:bCs/>
          <w:sz w:val="32"/>
          <w:szCs w:val="32"/>
        </w:rPr>
        <w:t>万元，完成预算</w:t>
      </w:r>
      <w:r>
        <w:rPr>
          <w:rStyle w:val="22"/>
          <w:rFonts w:ascii="仿宋" w:eastAsia="仿宋" w:hint="eastAsia"/>
          <w:b w:val="0"/>
          <w:bCs/>
          <w:sz w:val="32"/>
          <w:szCs w:val="32"/>
          <w:lang w:val="en-US" w:eastAsia="zh-CN"/>
        </w:rPr>
        <w:t>100</w:t>
      </w:r>
      <w:r>
        <w:rPr>
          <w:rStyle w:val="22"/>
          <w:rFonts w:ascii="仿宋" w:eastAsia="仿宋"/>
          <w:b w:val="0"/>
          <w:bCs/>
          <w:sz w:val="32"/>
          <w:szCs w:val="32"/>
        </w:rPr>
        <w:t>%</w:t>
      </w:r>
      <w:r>
        <w:rPr>
          <w:rStyle w:val="22"/>
          <w:rFonts w:ascii="仿宋" w:eastAsia="仿宋" w:hint="eastAsia"/>
          <w:b w:val="0"/>
          <w:bCs/>
          <w:sz w:val="32"/>
          <w:szCs w:val="32"/>
        </w:rPr>
        <w:t>，决算数小于</w:t>
      </w:r>
      <w:r>
        <w:rPr>
          <w:rStyle w:val="22"/>
          <w:rFonts w:ascii="仿宋" w:eastAsia="仿宋"/>
          <w:b w:val="0"/>
          <w:bCs/>
          <w:sz w:val="32"/>
          <w:szCs w:val="32"/>
        </w:rPr>
        <w:t>/</w:t>
      </w:r>
      <w:r>
        <w:rPr>
          <w:rStyle w:val="22"/>
          <w:rFonts w:ascii="仿宋" w:eastAsia="仿宋" w:hint="eastAsia"/>
          <w:b w:val="0"/>
          <w:bCs/>
          <w:sz w:val="32"/>
          <w:szCs w:val="32"/>
        </w:rPr>
        <w:t>等于预算数的主要原因是…。</w:t>
      </w:r>
    </w:p>
    <w:p>
      <w:pPr>
        <w:spacing w:line="600" w:lineRule="exact"/>
        <w:ind w:firstLineChars="200" w:firstLine="640"/>
        <w:rPr>
          <w:rFonts w:ascii="仿宋" w:eastAsia="仿宋"/>
          <w:sz w:val="32"/>
          <w:szCs w:val="32"/>
        </w:rPr>
      </w:pPr>
      <w:r>
        <w:rPr>
          <w:rFonts w:ascii="仿宋" w:eastAsia="仿宋" w:hint="eastAsia"/>
          <w:sz w:val="32"/>
          <w:szCs w:val="32"/>
        </w:rPr>
        <w:t>……</w:t>
      </w:r>
    </w:p>
    <w:p>
      <w:pPr>
        <w:spacing w:line="600" w:lineRule="exact"/>
        <w:ind w:firstLineChars="200" w:firstLine="640"/>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w:t>
      </w:r>
      <w:r>
        <w:rPr>
          <w:rFonts w:ascii="仿宋" w:eastAsia="仿宋" w:hint="eastAsia"/>
          <w:b/>
          <w:sz w:val="32"/>
          <w:szCs w:val="32"/>
        </w:rPr>
        <w:t>1-1表和财决08表，仅罗列本单位涉及的全部功能分类科目，至项级。上述“预算”口径为调整预算数。增减变动原因为决算数</w:t>
      </w:r>
      <w:r>
        <w:rPr>
          <w:rFonts w:ascii="仿宋" w:eastAsia="仿宋"/>
          <w:b/>
          <w:sz w:val="32"/>
          <w:szCs w:val="32"/>
        </w:rPr>
        <w:t>&lt;</w:t>
      </w:r>
      <w:r>
        <w:rPr>
          <w:rFonts w:ascii="仿宋" w:eastAsia="仿宋" w:hint="eastAsia"/>
          <w:b/>
          <w:sz w:val="32"/>
          <w:szCs w:val="32"/>
        </w:rPr>
        <w:t>项级</w:t>
      </w:r>
      <w:r>
        <w:rPr>
          <w:rFonts w:ascii="仿宋" w:eastAsia="仿宋"/>
          <w:b/>
          <w:sz w:val="32"/>
          <w:szCs w:val="32"/>
        </w:rPr>
        <w:t>&gt;</w:t>
      </w:r>
      <w:r>
        <w:rPr>
          <w:rFonts w:ascii="仿宋" w:eastAsia="仿宋" w:hint="eastAsia"/>
          <w:b/>
          <w:sz w:val="32"/>
          <w:szCs w:val="32"/>
        </w:rPr>
        <w:t>和调整预算数</w:t>
      </w:r>
      <w:r>
        <w:rPr>
          <w:rFonts w:ascii="仿宋" w:eastAsia="仿宋"/>
          <w:b/>
          <w:sz w:val="32"/>
          <w:szCs w:val="32"/>
        </w:rPr>
        <w:t>&lt;</w:t>
      </w:r>
      <w:r>
        <w:rPr>
          <w:rFonts w:ascii="仿宋" w:eastAsia="仿宋" w:hint="eastAsia"/>
          <w:b/>
          <w:sz w:val="32"/>
          <w:szCs w:val="32"/>
        </w:rPr>
        <w:t>项级</w:t>
      </w:r>
      <w:r>
        <w:rPr>
          <w:rFonts w:ascii="仿宋" w:eastAsia="仿宋"/>
          <w:b/>
          <w:sz w:val="32"/>
          <w:szCs w:val="32"/>
        </w:rPr>
        <w:t>&gt;</w:t>
      </w:r>
      <w:r>
        <w:rPr>
          <w:rFonts w:ascii="仿宋" w:eastAsia="仿宋" w:hint="eastAsia"/>
          <w:b/>
          <w:sz w:val="32"/>
          <w:szCs w:val="32"/>
        </w:rPr>
        <w:t>比较，与预算数持平可以不写原因。）</w:t>
      </w:r>
    </w:p>
    <w:p>
      <w:pPr>
        <w:spacing w:line="600" w:lineRule="exact"/>
        <w:ind w:firstLine="640"/>
        <w:rPr>
          <w:rFonts w:ascii="仿宋" w:eastAsia="仿宋"/>
          <w:b/>
          <w:sz w:val="32"/>
          <w:szCs w:val="32"/>
        </w:rPr>
      </w:pPr>
    </w:p>
    <w:p>
      <w:pPr>
        <w:tabs>
          <w:tab w:val="right" w:pos="8306"/>
        </w:tabs>
        <w:spacing w:line="600" w:lineRule="exact"/>
        <w:ind w:firstLine="640"/>
        <w:outlineLvl w:val="1"/>
        <w:rPr>
          <w:rStyle w:val="2Char"/>
        </w:rPr>
      </w:pPr>
      <w:bookmarkStart w:id="36" w:name="_Toc15396608"/>
      <w:bookmarkStart w:id="37"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6"/>
      <w:bookmarkEnd w:id="37"/>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年一般公共预算财政拨款基本支出</w:t>
      </w:r>
      <w:r>
        <w:rPr>
          <w:rFonts w:ascii="仿宋" w:eastAsia="仿宋" w:hint="eastAsia"/>
          <w:sz w:val="32"/>
          <w:szCs w:val="32"/>
          <w:lang w:val="en-US" w:eastAsia="zh-CN"/>
        </w:rPr>
        <w:t>1461.36</w:t>
      </w:r>
      <w:r>
        <w:rPr>
          <w:rFonts w:ascii="仿宋" w:eastAsia="仿宋" w:hint="eastAsia"/>
          <w:sz w:val="32"/>
          <w:szCs w:val="32"/>
        </w:rPr>
        <w:t>万元，其中：</w:t>
      </w:r>
    </w:p>
    <w:p>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hint="eastAsia"/>
          <w:sz w:val="32"/>
          <w:szCs w:val="32"/>
          <w:lang w:val="en-US" w:eastAsia="zh-CN"/>
        </w:rPr>
        <w:t>1200.50</w:t>
      </w:r>
      <w:r>
        <w:rPr>
          <w:rFonts w:ascii="仿宋" w:eastAsia="仿宋" w:hint="eastAsia"/>
          <w:sz w:val="32"/>
          <w:szCs w:val="32"/>
        </w:rPr>
        <w:t>万元，主要包括：基本工资</w:t>
      </w:r>
      <w:r>
        <w:rPr>
          <w:rFonts w:ascii="仿宋" w:eastAsia="仿宋" w:hint="eastAsia"/>
          <w:sz w:val="32"/>
          <w:szCs w:val="32"/>
          <w:lang w:val="en-US" w:eastAsia="zh-CN"/>
        </w:rPr>
        <w:t>206.61万元</w:t>
      </w:r>
      <w:r>
        <w:rPr>
          <w:rFonts w:ascii="仿宋" w:eastAsia="仿宋" w:hint="eastAsia"/>
          <w:sz w:val="32"/>
          <w:szCs w:val="32"/>
        </w:rPr>
        <w:t>、津贴补贴</w:t>
      </w:r>
      <w:r>
        <w:rPr>
          <w:rFonts w:ascii="仿宋" w:eastAsia="仿宋" w:hint="eastAsia"/>
          <w:sz w:val="32"/>
          <w:szCs w:val="32"/>
          <w:lang w:val="en-US" w:eastAsia="zh-CN"/>
        </w:rPr>
        <w:t>478.27万元</w:t>
      </w:r>
      <w:r>
        <w:rPr>
          <w:rFonts w:ascii="仿宋" w:eastAsia="仿宋" w:hint="eastAsia"/>
          <w:sz w:val="32"/>
          <w:szCs w:val="32"/>
        </w:rPr>
        <w:t>、奖金</w:t>
      </w:r>
      <w:r>
        <w:rPr>
          <w:rFonts w:ascii="仿宋" w:eastAsia="仿宋" w:hint="eastAsia"/>
          <w:sz w:val="32"/>
          <w:szCs w:val="32"/>
          <w:lang w:val="en-US" w:eastAsia="zh-CN"/>
        </w:rPr>
        <w:t>18.96万元</w:t>
      </w:r>
      <w:r>
        <w:rPr>
          <w:rFonts w:ascii="仿宋" w:eastAsia="仿宋" w:hint="eastAsia"/>
          <w:sz w:val="32"/>
          <w:szCs w:val="32"/>
        </w:rPr>
        <w:t>、伙食补助费</w:t>
      </w:r>
      <w:r>
        <w:rPr>
          <w:rFonts w:ascii="仿宋" w:eastAsia="仿宋" w:hint="eastAsia"/>
          <w:sz w:val="32"/>
          <w:szCs w:val="32"/>
          <w:lang w:val="en-US" w:eastAsia="zh-CN"/>
        </w:rPr>
        <w:t>0万元</w:t>
      </w:r>
      <w:r>
        <w:rPr>
          <w:rFonts w:ascii="仿宋" w:eastAsia="仿宋" w:hint="eastAsia"/>
          <w:sz w:val="32"/>
          <w:szCs w:val="32"/>
        </w:rPr>
        <w:t>、绩效工资</w:t>
      </w:r>
      <w:r>
        <w:rPr>
          <w:rFonts w:ascii="仿宋" w:eastAsia="仿宋" w:hint="eastAsia"/>
          <w:sz w:val="32"/>
          <w:szCs w:val="32"/>
          <w:lang w:val="en-US" w:eastAsia="zh-CN"/>
        </w:rPr>
        <w:t>182.62万元</w:t>
      </w:r>
      <w:r>
        <w:rPr>
          <w:rFonts w:ascii="仿宋" w:eastAsia="仿宋" w:hint="eastAsia"/>
          <w:sz w:val="32"/>
          <w:szCs w:val="32"/>
        </w:rPr>
        <w:t>、机关事业单位基本养老保险缴费</w:t>
      </w:r>
      <w:r>
        <w:rPr>
          <w:rFonts w:ascii="仿宋" w:eastAsia="仿宋" w:hint="eastAsia"/>
          <w:sz w:val="32"/>
          <w:szCs w:val="32"/>
          <w:lang w:val="en-US" w:eastAsia="zh-CN"/>
        </w:rPr>
        <w:t>98.12万元</w:t>
      </w:r>
      <w:r>
        <w:rPr>
          <w:rFonts w:ascii="仿宋" w:eastAsia="仿宋" w:hint="eastAsia"/>
          <w:sz w:val="32"/>
          <w:szCs w:val="32"/>
        </w:rPr>
        <w:t>、职业年金缴费</w:t>
      </w:r>
      <w:r>
        <w:rPr>
          <w:rFonts w:ascii="仿宋" w:eastAsia="仿宋" w:hint="eastAsia"/>
          <w:sz w:val="32"/>
          <w:szCs w:val="32"/>
          <w:lang w:val="en-US" w:eastAsia="zh-CN"/>
        </w:rPr>
        <w:t>49.06万元</w:t>
      </w:r>
      <w:r>
        <w:rPr>
          <w:rFonts w:ascii="仿宋" w:eastAsia="仿宋" w:hint="eastAsia"/>
          <w:sz w:val="32"/>
          <w:szCs w:val="32"/>
        </w:rPr>
        <w:t>、其他社会保障缴费</w:t>
      </w:r>
      <w:r>
        <w:rPr>
          <w:rFonts w:ascii="仿宋" w:eastAsia="仿宋" w:hint="eastAsia"/>
          <w:sz w:val="32"/>
          <w:szCs w:val="32"/>
          <w:lang w:val="en-US" w:eastAsia="zh-CN"/>
        </w:rPr>
        <w:t>15.75万元</w:t>
      </w:r>
      <w:r>
        <w:rPr>
          <w:rFonts w:ascii="仿宋" w:eastAsia="仿宋" w:hint="eastAsia"/>
          <w:sz w:val="32"/>
          <w:szCs w:val="32"/>
        </w:rPr>
        <w:t>、其他工资福利支出</w:t>
      </w:r>
      <w:r>
        <w:rPr>
          <w:rFonts w:ascii="仿宋" w:eastAsia="仿宋" w:hint="eastAsia"/>
          <w:sz w:val="32"/>
          <w:szCs w:val="32"/>
          <w:lang w:val="en-US" w:eastAsia="zh-CN"/>
        </w:rPr>
        <w:t>0万元</w:t>
      </w:r>
      <w:r>
        <w:rPr>
          <w:rFonts w:ascii="仿宋" w:eastAsia="仿宋" w:hint="eastAsia"/>
          <w:sz w:val="32"/>
          <w:szCs w:val="32"/>
        </w:rPr>
        <w:t>、离休费</w:t>
      </w:r>
      <w:r>
        <w:rPr>
          <w:rFonts w:ascii="仿宋" w:eastAsia="仿宋" w:hint="eastAsia"/>
          <w:sz w:val="32"/>
          <w:szCs w:val="32"/>
          <w:lang w:val="en-US" w:eastAsia="zh-CN"/>
        </w:rPr>
        <w:t>0万元</w:t>
      </w:r>
      <w:r>
        <w:rPr>
          <w:rFonts w:ascii="仿宋" w:eastAsia="仿宋" w:hint="eastAsia"/>
          <w:sz w:val="32"/>
          <w:szCs w:val="32"/>
        </w:rPr>
        <w:t>、退休费</w:t>
      </w:r>
      <w:r>
        <w:rPr>
          <w:rFonts w:ascii="仿宋" w:eastAsia="仿宋" w:hint="eastAsia"/>
          <w:sz w:val="32"/>
          <w:szCs w:val="32"/>
          <w:lang w:val="en-US" w:eastAsia="zh-CN"/>
        </w:rPr>
        <w:t>0万元</w:t>
      </w:r>
      <w:r>
        <w:rPr>
          <w:rFonts w:ascii="仿宋" w:eastAsia="仿宋" w:hint="eastAsia"/>
          <w:sz w:val="32"/>
          <w:szCs w:val="32"/>
        </w:rPr>
        <w:t>、公务员医疗补助缴费</w:t>
      </w:r>
      <w:r>
        <w:rPr>
          <w:rFonts w:ascii="仿宋" w:eastAsia="仿宋" w:hint="eastAsia"/>
          <w:sz w:val="32"/>
          <w:szCs w:val="32"/>
          <w:lang w:val="en-US" w:eastAsia="zh-CN"/>
        </w:rPr>
        <w:t>9.52</w:t>
      </w:r>
      <w:r>
        <w:rPr>
          <w:rFonts w:ascii="仿宋" w:eastAsia="仿宋" w:hint="eastAsia"/>
          <w:sz w:val="32"/>
          <w:szCs w:val="32"/>
          <w:lang w:eastAsia="zh-CN"/>
        </w:rPr>
        <w:t>万元、</w:t>
      </w:r>
      <w:r>
        <w:rPr>
          <w:rFonts w:ascii="仿宋" w:eastAsia="仿宋" w:hint="eastAsia"/>
          <w:sz w:val="32"/>
          <w:szCs w:val="32"/>
        </w:rPr>
        <w:t>抚恤金</w:t>
      </w:r>
      <w:r>
        <w:rPr>
          <w:rFonts w:ascii="仿宋" w:eastAsia="仿宋" w:hint="eastAsia"/>
          <w:sz w:val="32"/>
          <w:szCs w:val="32"/>
          <w:lang w:val="en-US" w:eastAsia="zh-CN"/>
        </w:rPr>
        <w:t>0万元</w:t>
      </w:r>
      <w:r>
        <w:rPr>
          <w:rFonts w:ascii="仿宋" w:eastAsia="仿宋" w:hint="eastAsia"/>
          <w:sz w:val="32"/>
          <w:szCs w:val="32"/>
        </w:rPr>
        <w:t>、</w:t>
      </w:r>
      <w:r>
        <w:rPr>
          <w:rFonts w:ascii="仿宋" w:eastAsia="仿宋" w:hint="eastAsia"/>
          <w:sz w:val="32"/>
          <w:szCs w:val="32"/>
          <w:lang w:eastAsia="zh-CN"/>
        </w:rPr>
        <w:t>医疗费</w:t>
      </w:r>
      <w:r>
        <w:rPr>
          <w:rFonts w:ascii="仿宋" w:eastAsia="仿宋" w:hint="eastAsia"/>
          <w:sz w:val="32"/>
          <w:szCs w:val="32"/>
          <w:lang w:val="en-US" w:eastAsia="zh-CN"/>
        </w:rPr>
        <w:t>0万元、</w:t>
      </w:r>
      <w:r>
        <w:rPr>
          <w:rFonts w:ascii="仿宋" w:eastAsia="仿宋" w:hint="eastAsia"/>
          <w:sz w:val="32"/>
          <w:szCs w:val="32"/>
        </w:rPr>
        <w:t>生活补助</w:t>
      </w:r>
      <w:r>
        <w:rPr>
          <w:rFonts w:ascii="仿宋" w:eastAsia="仿宋" w:hint="eastAsia"/>
          <w:sz w:val="32"/>
          <w:szCs w:val="32"/>
          <w:lang w:val="en-US" w:eastAsia="zh-CN"/>
        </w:rPr>
        <w:t>0万元</w:t>
      </w:r>
      <w:r>
        <w:rPr>
          <w:rFonts w:ascii="仿宋" w:eastAsia="仿宋" w:hint="eastAsia"/>
          <w:sz w:val="32"/>
          <w:szCs w:val="32"/>
        </w:rPr>
        <w:t>、医疗费补助</w:t>
      </w:r>
      <w:r>
        <w:rPr>
          <w:rFonts w:ascii="仿宋" w:eastAsia="仿宋" w:hint="eastAsia"/>
          <w:sz w:val="32"/>
          <w:szCs w:val="32"/>
          <w:lang w:val="en-US" w:eastAsia="zh-CN"/>
        </w:rPr>
        <w:t>54.55万元</w:t>
      </w:r>
      <w:r>
        <w:rPr>
          <w:rFonts w:ascii="仿宋" w:eastAsia="仿宋" w:hint="eastAsia"/>
          <w:sz w:val="32"/>
          <w:szCs w:val="32"/>
        </w:rPr>
        <w:t>、奖励金</w:t>
      </w:r>
      <w:r>
        <w:rPr>
          <w:rFonts w:ascii="仿宋" w:eastAsia="仿宋" w:hint="eastAsia"/>
          <w:sz w:val="32"/>
          <w:szCs w:val="32"/>
          <w:lang w:val="en-US" w:eastAsia="zh-CN"/>
        </w:rPr>
        <w:t>18.96万元</w:t>
      </w:r>
      <w:r>
        <w:rPr>
          <w:rFonts w:ascii="仿宋" w:eastAsia="仿宋" w:hint="eastAsia"/>
          <w:sz w:val="32"/>
          <w:szCs w:val="32"/>
        </w:rPr>
        <w:t>、住房公积金</w:t>
      </w:r>
      <w:r>
        <w:rPr>
          <w:rFonts w:ascii="仿宋" w:eastAsia="仿宋" w:hint="eastAsia"/>
          <w:sz w:val="32"/>
          <w:szCs w:val="32"/>
          <w:lang w:val="en-US" w:eastAsia="zh-CN"/>
        </w:rPr>
        <w:t>87.06万元</w:t>
      </w:r>
      <w:r>
        <w:rPr>
          <w:rFonts w:ascii="仿宋" w:eastAsia="仿宋" w:hint="eastAsia"/>
          <w:sz w:val="32"/>
          <w:szCs w:val="32"/>
        </w:rPr>
        <w:t>、其他对个人和家庭的补助支</w:t>
      </w:r>
      <w:r>
        <w:rPr>
          <w:rFonts w:ascii="仿宋" w:eastAsia="仿宋" w:hint="eastAsia"/>
          <w:sz w:val="32"/>
          <w:szCs w:val="32"/>
          <w:lang w:val="en-US" w:eastAsia="zh-CN"/>
        </w:rPr>
        <w:t>0.0072万元</w:t>
      </w:r>
      <w:r>
        <w:rPr>
          <w:rFonts w:ascii="仿宋" w:eastAsia="仿宋" w:hint="eastAsia"/>
          <w:sz w:val="32"/>
          <w:szCs w:val="32"/>
        </w:rPr>
        <w:t>出等。</w:t>
      </w:r>
      <w:r>
        <w:rPr>
          <w:rFonts w:ascii="仿宋" w:eastAsia="仿宋"/>
          <w:sz w:val="32"/>
          <w:szCs w:val="32"/>
        </w:rPr>
        <w:br/>
      </w:r>
      <w:r>
        <w:rPr>
          <w:rFonts w:ascii="仿宋" w:eastAsia="仿宋" w:hint="eastAsia"/>
          <w:sz w:val="32"/>
          <w:szCs w:val="32"/>
        </w:rPr>
        <w:t>　　公用经费</w:t>
      </w:r>
      <w:r>
        <w:rPr>
          <w:rFonts w:ascii="仿宋" w:eastAsia="仿宋" w:hint="eastAsia"/>
          <w:sz w:val="32"/>
          <w:szCs w:val="32"/>
          <w:lang w:val="en-US" w:eastAsia="zh-CN"/>
        </w:rPr>
        <w:t>12.36</w:t>
      </w:r>
      <w:r>
        <w:rPr>
          <w:rFonts w:ascii="仿宋" w:eastAsia="仿宋" w:hint="eastAsia"/>
          <w:sz w:val="32"/>
          <w:szCs w:val="32"/>
        </w:rPr>
        <w:t>万元，主要包括：办公费</w:t>
      </w:r>
      <w:r>
        <w:rPr>
          <w:rFonts w:ascii="仿宋" w:eastAsia="仿宋" w:hint="eastAsia"/>
          <w:sz w:val="32"/>
          <w:szCs w:val="32"/>
          <w:lang w:val="en-US" w:eastAsia="zh-CN"/>
        </w:rPr>
        <w:t>12.36万元</w:t>
      </w:r>
      <w:r>
        <w:rPr>
          <w:rFonts w:ascii="仿宋" w:eastAsia="仿宋" w:hint="eastAsia"/>
          <w:sz w:val="32"/>
          <w:szCs w:val="32"/>
        </w:rPr>
        <w:t>、印刷费</w:t>
      </w:r>
      <w:r>
        <w:rPr>
          <w:rFonts w:ascii="仿宋" w:eastAsia="仿宋" w:hint="eastAsia"/>
          <w:sz w:val="32"/>
          <w:szCs w:val="32"/>
          <w:lang w:val="en-US" w:eastAsia="zh-CN"/>
        </w:rPr>
        <w:t>万元</w:t>
      </w:r>
      <w:r>
        <w:rPr>
          <w:rFonts w:ascii="仿宋" w:eastAsia="仿宋" w:hint="eastAsia"/>
          <w:sz w:val="32"/>
          <w:szCs w:val="32"/>
        </w:rPr>
        <w:t>、咨询费、手续费、水费</w:t>
      </w:r>
      <w:r>
        <w:rPr>
          <w:rFonts w:ascii="仿宋" w:eastAsia="仿宋" w:hint="eastAsia"/>
          <w:sz w:val="32"/>
          <w:szCs w:val="32"/>
          <w:lang w:val="en-US" w:eastAsia="zh-CN"/>
        </w:rPr>
        <w:t>万元</w:t>
      </w:r>
      <w:r>
        <w:rPr>
          <w:rFonts w:ascii="仿宋" w:eastAsia="仿宋" w:hint="eastAsia"/>
          <w:sz w:val="32"/>
          <w:szCs w:val="32"/>
        </w:rPr>
        <w:t>、电费</w:t>
      </w:r>
      <w:r>
        <w:rPr>
          <w:rFonts w:ascii="仿宋" w:eastAsia="仿宋" w:hint="eastAsia"/>
          <w:sz w:val="32"/>
          <w:szCs w:val="32"/>
          <w:lang w:val="en-US" w:eastAsia="zh-CN"/>
        </w:rPr>
        <w:t>万元</w:t>
      </w:r>
      <w:r>
        <w:rPr>
          <w:rFonts w:ascii="仿宋" w:eastAsia="仿宋" w:hint="eastAsia"/>
          <w:sz w:val="32"/>
          <w:szCs w:val="32"/>
        </w:rPr>
        <w:t>、邮电费</w:t>
      </w:r>
      <w:r>
        <w:rPr>
          <w:rFonts w:ascii="仿宋" w:eastAsia="仿宋" w:hint="eastAsia"/>
          <w:sz w:val="32"/>
          <w:szCs w:val="32"/>
          <w:lang w:val="en-US" w:eastAsia="zh-CN"/>
        </w:rPr>
        <w:t>万元</w:t>
      </w:r>
      <w:r>
        <w:rPr>
          <w:rFonts w:ascii="仿宋" w:eastAsia="仿宋" w:hint="eastAsia"/>
          <w:sz w:val="32"/>
          <w:szCs w:val="32"/>
        </w:rPr>
        <w:t>、取暖费</w:t>
      </w:r>
      <w:r>
        <w:rPr>
          <w:rFonts w:ascii="仿宋" w:eastAsia="仿宋" w:hint="eastAsia"/>
          <w:sz w:val="32"/>
          <w:szCs w:val="32"/>
          <w:lang w:val="en-US" w:eastAsia="zh-CN"/>
        </w:rPr>
        <w:t>万元</w:t>
      </w:r>
      <w:r>
        <w:rPr>
          <w:rFonts w:ascii="仿宋" w:eastAsia="仿宋" w:hint="eastAsia"/>
          <w:sz w:val="32"/>
          <w:szCs w:val="32"/>
        </w:rPr>
        <w:t>、物业管理费、差旅费</w:t>
      </w:r>
      <w:r>
        <w:rPr>
          <w:rFonts w:ascii="仿宋" w:eastAsia="仿宋" w:hint="eastAsia"/>
          <w:sz w:val="32"/>
          <w:szCs w:val="32"/>
          <w:lang w:val="en-US" w:eastAsia="zh-CN"/>
        </w:rPr>
        <w:t>万元</w:t>
      </w:r>
      <w:r>
        <w:rPr>
          <w:rFonts w:ascii="仿宋" w:eastAsia="仿宋" w:hint="eastAsia"/>
          <w:sz w:val="32"/>
          <w:szCs w:val="32"/>
        </w:rPr>
        <w:t>、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eastAsia="仿宋"/>
          <w:b/>
          <w:sz w:val="32"/>
          <w:szCs w:val="32"/>
        </w:rPr>
      </w:pPr>
      <w:r>
        <w:rPr>
          <w:rFonts w:ascii="仿宋" w:eastAsia="仿宋" w:hint="eastAsia"/>
          <w:b/>
          <w:sz w:val="32"/>
          <w:szCs w:val="32"/>
        </w:rPr>
        <w:t>（注：数据来源于财决</w:t>
      </w:r>
      <w:r>
        <w:rPr>
          <w:rFonts w:ascii="仿宋" w:eastAsia="仿宋"/>
          <w:b/>
          <w:sz w:val="32"/>
          <w:szCs w:val="32"/>
        </w:rPr>
        <w:t>0</w:t>
      </w:r>
      <w:r>
        <w:rPr>
          <w:rFonts w:ascii="仿宋" w:eastAsia="仿宋" w:hint="eastAsia"/>
          <w:b/>
          <w:sz w:val="32"/>
          <w:szCs w:val="32"/>
        </w:rPr>
        <w:t>7表和财决08-1表，仅罗列本单位实际支出涉及的经济分类科目。）</w:t>
      </w:r>
    </w:p>
    <w:p>
      <w:pPr>
        <w:spacing w:line="600" w:lineRule="exact"/>
        <w:ind w:firstLine="640"/>
        <w:rPr>
          <w:rFonts w:ascii="仿宋" w:eastAsia="仿宋"/>
          <w:b/>
          <w:sz w:val="32"/>
          <w:szCs w:val="32"/>
        </w:rPr>
      </w:pPr>
    </w:p>
    <w:p>
      <w:pPr>
        <w:spacing w:line="600" w:lineRule="exact"/>
        <w:ind w:firstLine="640"/>
        <w:outlineLvl w:val="1"/>
        <w:rPr>
          <w:rStyle w:val="2Char"/>
          <w:rFonts w:ascii="黑体" w:eastAsia="黑体"/>
          <w:b w:val="0"/>
        </w:rPr>
      </w:pPr>
      <w:bookmarkStart w:id="38" w:name="_Toc15377215"/>
      <w:bookmarkStart w:id="39" w:name="_Toc15396609"/>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8"/>
      <w:bookmarkEnd w:id="39"/>
    </w:p>
    <w:p>
      <w:pPr>
        <w:spacing w:line="600" w:lineRule="exact"/>
        <w:ind w:firstLine="640"/>
        <w:outlineLvl w:val="2"/>
        <w:rPr>
          <w:rFonts w:ascii="仿宋" w:eastAsia="仿宋"/>
          <w:b/>
          <w:sz w:val="32"/>
          <w:szCs w:val="32"/>
        </w:rPr>
      </w:pPr>
      <w:bookmarkStart w:id="40" w:name="_Toc15377216"/>
      <w:r>
        <w:rPr>
          <w:rFonts w:ascii="仿宋" w:eastAsia="仿宋" w:hint="eastAsia"/>
          <w:b/>
          <w:sz w:val="32"/>
          <w:szCs w:val="32"/>
        </w:rPr>
        <w:t>（一）“三公”经费财政拨款支出决算总体情况说明</w:t>
      </w:r>
      <w:bookmarkEnd w:id="40"/>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年“三公”经费财政拨款支出决算为</w:t>
      </w:r>
      <w:r>
        <w:rPr>
          <w:rFonts w:ascii="仿宋" w:eastAsia="仿宋" w:hint="eastAsia"/>
          <w:sz w:val="32"/>
          <w:szCs w:val="32"/>
          <w:lang w:val="en-US" w:eastAsia="zh-CN"/>
        </w:rPr>
        <w:t>0</w:t>
      </w:r>
      <w:r>
        <w:rPr>
          <w:rFonts w:ascii="仿宋" w:eastAsia="仿宋" w:hint="eastAsia"/>
          <w:sz w:val="32"/>
          <w:szCs w:val="32"/>
        </w:rPr>
        <w:t>万元，完成预算</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，决算数小于预算数（或与预算数持平）的主要原因是……。</w:t>
      </w:r>
    </w:p>
    <w:p>
      <w:pPr>
        <w:spacing w:line="600" w:lineRule="exact"/>
        <w:ind w:firstLine="640"/>
        <w:rPr>
          <w:rFonts w:ascii="仿宋" w:eastAsia="仿宋"/>
          <w:b/>
          <w:sz w:val="32"/>
          <w:szCs w:val="32"/>
        </w:rPr>
      </w:pPr>
      <w:r>
        <w:rPr>
          <w:rFonts w:ascii="仿宋" w:eastAsia="仿宋" w:hint="eastAsia"/>
          <w:b/>
          <w:sz w:val="32"/>
          <w:szCs w:val="32"/>
        </w:rPr>
        <w:t>（注：上述“预算”口径为调整预算数，包括一般公共预算和政府性基金预算财政拨款支出决算情况。）</w:t>
      </w:r>
    </w:p>
    <w:p>
      <w:pPr>
        <w:spacing w:line="600" w:lineRule="exact"/>
        <w:ind w:firstLine="640"/>
        <w:outlineLvl w:val="2"/>
        <w:rPr>
          <w:rFonts w:ascii="仿宋" w:eastAsia="仿宋"/>
          <w:b/>
          <w:sz w:val="32"/>
          <w:szCs w:val="32"/>
        </w:rPr>
      </w:pPr>
      <w:bookmarkStart w:id="41" w:name="_Toc15377217"/>
      <w:r>
        <w:rPr>
          <w:rFonts w:ascii="仿宋" w:eastAsia="仿宋" w:hint="eastAsia"/>
          <w:b/>
          <w:sz w:val="32"/>
          <w:szCs w:val="32"/>
        </w:rPr>
        <w:t>（二）“三公”经费财政拨款支出决算具体情况说明</w:t>
      </w:r>
      <w:bookmarkEnd w:id="41"/>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w:t>
      </w:r>
      <w:r>
        <w:rPr>
          <w:rFonts w:ascii="仿宋" w:eastAsia="仿宋" w:hint="eastAsia"/>
          <w:sz w:val="32"/>
          <w:szCs w:val="32"/>
          <w:lang w:val="en-US" w:eastAsia="zh-CN"/>
        </w:rPr>
        <w:t>2</w:t>
      </w:r>
      <w:r>
        <w:rPr>
          <w:rFonts w:ascii="仿宋" w:eastAsia="仿宋" w:hint="eastAsia"/>
          <w:sz w:val="32"/>
          <w:szCs w:val="32"/>
        </w:rPr>
        <w:t>年“三公”经费财政拨款支出决算中，因公出国（境）费支出决算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lang w:val="en-US" w:eastAsia="zh-CN"/>
        </w:rPr>
        <w:t>0</w:t>
      </w:r>
      <w:r>
        <w:rPr>
          <w:rFonts w:ascii="仿宋" w:eastAsia="仿宋" w:hint="eastAsia"/>
          <w:sz w:val="32"/>
          <w:szCs w:val="32"/>
        </w:rPr>
        <w:t>万元，占</w:t>
      </w:r>
      <w:r>
        <w:rPr>
          <w:rFonts w:ascii="仿宋" w:eastAsia="仿宋" w:hint="eastAsia"/>
          <w:sz w:val="32"/>
          <w:szCs w:val="32"/>
          <w:lang w:val="en-US" w:eastAsia="zh-CN"/>
        </w:rPr>
        <w:t>0</w:t>
      </w:r>
      <w:r>
        <w:rPr>
          <w:rFonts w:ascii="仿宋" w:eastAsia="仿宋"/>
          <w:sz w:val="32"/>
          <w:szCs w:val="32"/>
        </w:rPr>
        <w:t>%</w:t>
      </w:r>
      <w:r>
        <w:rPr>
          <w:rFonts w:ascii="仿宋" w:eastAsia="仿宋" w:hint="eastAsia"/>
          <w:sz w:val="32"/>
          <w:szCs w:val="32"/>
        </w:rPr>
        <w:t>。具体情况如下：</w:t>
      </w:r>
    </w:p>
    <w:p>
      <w:pPr>
        <w:spacing w:line="600" w:lineRule="exact"/>
        <w:ind w:firstLine="640"/>
        <w:rPr>
          <w:rFonts w:ascii="仿宋" w:eastAsia="仿宋"/>
          <w:sz w:val="32"/>
          <w:szCs w:val="32"/>
        </w:rPr>
      </w:pPr>
      <w:r>
        <w:rPr>
          <w:rFonts w:ascii="仿宋" w:eastAsia="仿宋" w:hint="eastAsia"/>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lang w:val="en-US" w:eastAsia="zh-CN"/>
        </w:rPr>
        <w:t>0</w:t>
      </w:r>
      <w:r>
        <w:rPr>
          <w:rFonts w:ascii="仿宋_GB2312" w:eastAsia="仿宋_GB2312" w:hint="eastAsia"/>
          <w:sz w:val="32"/>
          <w:szCs w:val="32"/>
        </w:rPr>
        <w:t>次，出国（境）</w:t>
      </w:r>
      <w:r>
        <w:rPr>
          <w:rFonts w:ascii="仿宋_GB2312" w:eastAsia="仿宋_GB2312" w:hint="eastAsia"/>
          <w:sz w:val="32"/>
          <w:szCs w:val="32"/>
          <w:lang w:val="en-US" w:eastAsia="zh-CN"/>
        </w:rPr>
        <w:t>0</w:t>
      </w:r>
      <w:r>
        <w:rPr>
          <w:rFonts w:ascii="仿宋_GB2312" w:eastAsia="仿宋_GB2312" w:hint="eastAsia"/>
          <w:sz w:val="32"/>
          <w:szCs w:val="32"/>
        </w:rPr>
        <w:t>人。因公出国（境）支出决算比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w:t>
      </w:r>
    </w:p>
    <w:p>
      <w:pPr>
        <w:spacing w:line="600" w:lineRule="exact"/>
        <w:ind w:firstLine="640"/>
        <w:rPr>
          <w:rFonts w:ascii="仿宋_GB2312" w:eastAsia="仿宋_GB2312"/>
          <w:sz w:val="32"/>
          <w:szCs w:val="32"/>
        </w:rPr>
      </w:pPr>
      <w:r>
        <w:rPr>
          <w:rFonts w:ascii="仿宋_GB2312" w:eastAsia="仿宋_GB2312" w:hint="eastAsia"/>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lang w:val="en-US" w:eastAsia="zh-CN"/>
        </w:rPr>
        <w:t>0</w:t>
      </w:r>
      <w:r>
        <w:rPr>
          <w:rFonts w:ascii="仿宋_GB2312" w:eastAsia="仿宋_GB2312" w:hint="eastAsia"/>
          <w:sz w:val="32"/>
          <w:szCs w:val="32"/>
        </w:rPr>
        <w:t>万元。全年按规定更新购置公务用车</w:t>
      </w:r>
      <w:r>
        <w:rPr>
          <w:rFonts w:ascii="仿宋_GB2312" w:eastAsia="仿宋_GB2312" w:hint="eastAsia"/>
          <w:sz w:val="32"/>
          <w:szCs w:val="32"/>
          <w:lang w:val="en-US" w:eastAsia="zh-CN"/>
        </w:rPr>
        <w:t>0</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万元，越野车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万元，载客汽车</w:t>
      </w:r>
      <w:r>
        <w:rPr>
          <w:rFonts w:ascii="仿宋_GB2312" w:eastAsia="仿宋_GB2312" w:hint="eastAsia"/>
          <w:sz w:val="32"/>
          <w:szCs w:val="32"/>
          <w:lang w:val="en-US" w:eastAsia="zh-CN"/>
        </w:rPr>
        <w:t>0</w:t>
      </w:r>
      <w:r>
        <w:rPr>
          <w:rFonts w:ascii="仿宋_GB2312" w:eastAsia="仿宋_GB2312" w:hint="eastAsia"/>
          <w:sz w:val="32"/>
          <w:szCs w:val="32"/>
        </w:rPr>
        <w:t>辆、金额</w:t>
      </w:r>
      <w:r>
        <w:rPr>
          <w:rFonts w:ascii="仿宋_GB2312" w:eastAsia="仿宋_GB2312" w:hint="eastAsia"/>
          <w:sz w:val="32"/>
          <w:szCs w:val="32"/>
          <w:lang w:val="en-US" w:eastAsia="zh-CN"/>
        </w:rPr>
        <w:t>0</w:t>
      </w:r>
      <w:r>
        <w:rPr>
          <w:rFonts w:ascii="仿宋_GB2312" w:eastAsia="仿宋_GB2312" w:hint="eastAsia"/>
          <w:sz w:val="32"/>
          <w:szCs w:val="32"/>
        </w:rPr>
        <w:t>万元，主要用于…。截至</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lang w:val="en-US" w:eastAsia="zh-CN"/>
        </w:rPr>
        <w:t>0</w:t>
      </w:r>
      <w:r>
        <w:rPr>
          <w:rFonts w:ascii="仿宋_GB2312" w:eastAsia="仿宋_GB2312" w:hint="eastAsia"/>
          <w:sz w:val="32"/>
          <w:szCs w:val="32"/>
        </w:rPr>
        <w:t>辆，其中：轿车</w:t>
      </w:r>
      <w:r>
        <w:rPr>
          <w:rFonts w:ascii="仿宋_GB2312" w:eastAsia="仿宋_GB2312" w:hint="eastAsia"/>
          <w:sz w:val="32"/>
          <w:szCs w:val="32"/>
          <w:lang w:val="en-US" w:eastAsia="zh-CN"/>
        </w:rPr>
        <w:t>0</w:t>
      </w:r>
      <w:r>
        <w:rPr>
          <w:rFonts w:ascii="仿宋_GB2312" w:eastAsia="仿宋_GB2312" w:hint="eastAsia"/>
          <w:sz w:val="32"/>
          <w:szCs w:val="32"/>
        </w:rPr>
        <w:t>辆、越野车</w:t>
      </w:r>
      <w:r>
        <w:rPr>
          <w:rFonts w:ascii="仿宋_GB2312" w:eastAsia="仿宋_GB2312" w:hint="eastAsia"/>
          <w:sz w:val="32"/>
          <w:szCs w:val="32"/>
          <w:lang w:val="en-US" w:eastAsia="zh-CN"/>
        </w:rPr>
        <w:t>0</w:t>
      </w:r>
      <w:r>
        <w:rPr>
          <w:rFonts w:ascii="仿宋_GB2312" w:eastAsia="仿宋_GB2312" w:hint="eastAsia"/>
          <w:sz w:val="32"/>
          <w:szCs w:val="32"/>
        </w:rPr>
        <w:t>辆、载客汽车</w:t>
      </w:r>
      <w:r>
        <w:rPr>
          <w:rFonts w:ascii="仿宋_GB2312" w:eastAsia="仿宋_GB2312" w:hint="eastAsia"/>
          <w:sz w:val="32"/>
          <w:szCs w:val="32"/>
          <w:lang w:val="en-US" w:eastAsia="zh-CN"/>
        </w:rPr>
        <w:t>0</w:t>
      </w:r>
      <w:r>
        <w:rPr>
          <w:rFonts w:ascii="仿宋_GB2312" w:eastAsia="仿宋_GB2312" w:hint="eastAsia"/>
          <w:sz w:val="32"/>
          <w:szCs w:val="32"/>
        </w:rPr>
        <w:t>辆。</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b/>
          <w:sz w:val="32"/>
          <w:szCs w:val="32"/>
          <w:lang w:val="en-US" w:eastAsia="zh-CN"/>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lang w:val="en-US" w:eastAsia="zh-CN"/>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hint="eastAsia"/>
          <w:b w:val="0"/>
          <w:bCs/>
          <w:sz w:val="32"/>
          <w:szCs w:val="32"/>
          <w:lang w:val="en-US" w:eastAsia="zh-CN"/>
        </w:rPr>
        <w:t>0</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。主要原因是……。其中：</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b/>
          <w:sz w:val="32"/>
          <w:szCs w:val="32"/>
          <w:lang w:val="en-US" w:eastAsia="zh-CN"/>
        </w:rPr>
        <w:t>0</w:t>
      </w:r>
      <w:r>
        <w:rPr>
          <w:rFonts w:ascii="仿宋_GB2312" w:eastAsia="仿宋_GB2312" w:hint="eastAsia"/>
          <w:sz w:val="32"/>
          <w:szCs w:val="32"/>
        </w:rPr>
        <w:t>万元，主要用于……(执行公务、开展业务活动开支的交通费、住宿费、用餐费等)。国内公务接待</w:t>
      </w:r>
      <w:r>
        <w:rPr>
          <w:rFonts w:ascii="仿宋_GB2312" w:eastAsia="仿宋_GB2312" w:hint="eastAsia"/>
          <w:sz w:val="32"/>
          <w:szCs w:val="32"/>
          <w:lang w:val="en-US" w:eastAsia="zh-CN"/>
        </w:rPr>
        <w:t>0</w:t>
      </w:r>
      <w:r>
        <w:rPr>
          <w:rFonts w:ascii="仿宋_GB2312" w:eastAsia="仿宋_GB2312" w:hint="eastAsia"/>
          <w:sz w:val="32"/>
          <w:szCs w:val="32"/>
        </w:rPr>
        <w:t>批次，</w:t>
      </w:r>
      <w:r>
        <w:rPr>
          <w:rFonts w:ascii="仿宋_GB2312" w:eastAsia="仿宋_GB2312" w:hint="eastAsia"/>
          <w:sz w:val="32"/>
          <w:szCs w:val="32"/>
          <w:lang w:val="en-US" w:eastAsia="zh-CN"/>
        </w:rPr>
        <w:t>0</w:t>
      </w:r>
      <w:r>
        <w:rPr>
          <w:rFonts w:ascii="仿宋_GB2312" w:eastAsia="仿宋_GB2312" w:hint="eastAsia"/>
          <w:sz w:val="32"/>
          <w:szCs w:val="32"/>
        </w:rPr>
        <w:t>人次（不包括陪同人员），共计支出</w:t>
      </w:r>
      <w:r>
        <w:rPr>
          <w:rFonts w:ascii="仿宋_GB2312" w:eastAsia="仿宋_GB2312" w:hint="eastAsia"/>
          <w:sz w:val="32"/>
          <w:szCs w:val="32"/>
          <w:lang w:val="en-US" w:eastAsia="zh-CN"/>
        </w:rPr>
        <w:t>0</w:t>
      </w:r>
      <w:r>
        <w:rPr>
          <w:rFonts w:ascii="仿宋_GB2312" w:eastAsia="仿宋_GB2312" w:hint="eastAsia"/>
          <w:sz w:val="32"/>
          <w:szCs w:val="32"/>
        </w:rPr>
        <w:t>万元，具体内容包括：…（接待具体项目、金额）。</w:t>
      </w:r>
    </w:p>
    <w:p>
      <w:pPr>
        <w:spacing w:line="60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hint="eastAsia"/>
          <w:b/>
          <w:sz w:val="32"/>
          <w:szCs w:val="32"/>
          <w:lang w:val="en-US" w:eastAsia="zh-CN"/>
        </w:rPr>
        <w:t>0</w:t>
      </w:r>
      <w:r>
        <w:rPr>
          <w:rFonts w:ascii="仿宋_GB2312" w:eastAsia="仿宋_GB2312" w:hint="eastAsia"/>
          <w:sz w:val="32"/>
          <w:szCs w:val="32"/>
        </w:rPr>
        <w:t>万元，外事接待</w:t>
      </w:r>
      <w:r>
        <w:rPr>
          <w:rFonts w:ascii="仿宋_GB2312" w:eastAsia="仿宋_GB2312" w:hint="eastAsia"/>
          <w:sz w:val="32"/>
          <w:szCs w:val="32"/>
          <w:lang w:val="en-US" w:eastAsia="zh-CN"/>
        </w:rPr>
        <w:t>0</w:t>
      </w:r>
      <w:r>
        <w:rPr>
          <w:rFonts w:ascii="仿宋_GB2312" w:eastAsia="仿宋_GB2312" w:hint="eastAsia"/>
          <w:sz w:val="32"/>
          <w:szCs w:val="32"/>
        </w:rPr>
        <w:t>批次，</w:t>
      </w:r>
      <w:r>
        <w:rPr>
          <w:rFonts w:ascii="仿宋_GB2312" w:eastAsia="仿宋_GB2312" w:hint="eastAsia"/>
          <w:sz w:val="32"/>
          <w:szCs w:val="32"/>
          <w:lang w:val="en-US" w:eastAsia="zh-CN"/>
        </w:rPr>
        <w:t>0</w:t>
      </w:r>
      <w:r>
        <w:rPr>
          <w:rFonts w:ascii="仿宋_GB2312" w:eastAsia="仿宋_GB2312" w:hint="eastAsia"/>
          <w:sz w:val="32"/>
          <w:szCs w:val="32"/>
        </w:rPr>
        <w:t>人，共计支出</w:t>
      </w:r>
      <w:r>
        <w:rPr>
          <w:rFonts w:ascii="仿宋_GB2312" w:eastAsia="仿宋_GB2312" w:hint="eastAsia"/>
          <w:sz w:val="32"/>
          <w:szCs w:val="32"/>
          <w:lang w:val="en-US" w:eastAsia="zh-CN"/>
        </w:rPr>
        <w:t>0</w:t>
      </w:r>
      <w:r>
        <w:rPr>
          <w:rFonts w:ascii="仿宋_GB2312" w:eastAsia="仿宋_GB2312" w:hint="eastAsia"/>
          <w:sz w:val="32"/>
          <w:szCs w:val="32"/>
        </w:rPr>
        <w:t>万元，主要用于接待</w:t>
      </w:r>
      <w:r>
        <w:rPr>
          <w:rFonts w:ascii="仿宋_GB2312" w:eastAsia="仿宋_GB2312"/>
          <w:sz w:val="32"/>
          <w:szCs w:val="32"/>
        </w:rPr>
        <w:t>…</w:t>
      </w:r>
      <w:r>
        <w:rPr>
          <w:rFonts w:ascii="仿宋_GB2312" w:eastAsia="仿宋_GB2312" w:hint="eastAsia"/>
          <w:sz w:val="32"/>
          <w:szCs w:val="32"/>
        </w:rPr>
        <w:t>（具体项目）。主要用于……</w:t>
      </w:r>
    </w:p>
    <w:p>
      <w:pPr>
        <w:spacing w:line="600" w:lineRule="exact"/>
        <w:ind w:firstLine="640"/>
        <w:outlineLvl w:val="1"/>
        <w:rPr>
          <w:rFonts w:ascii="黑体" w:eastAsia="黑体"/>
          <w:sz w:val="32"/>
          <w:szCs w:val="32"/>
        </w:rPr>
      </w:pPr>
      <w:bookmarkStart w:id="42" w:name="_Toc15396610"/>
      <w:bookmarkStart w:id="43" w:name="_Toc15377218"/>
    </w:p>
    <w:p>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年政府性基金预算财政拨款支出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left="0" w:firstLine="640"/>
        <w:outlineLvl w:val="1"/>
        <w:rPr>
          <w:rStyle w:val="2Char"/>
          <w:rFonts w:ascii="黑体" w:eastAsia="黑体"/>
          <w:b w:val="0"/>
        </w:rPr>
      </w:pPr>
      <w:bookmarkStart w:id="44" w:name="_Toc15396611"/>
      <w:bookmarkStart w:id="45" w:name="_Toc15377219"/>
      <w:r>
        <w:rPr>
          <w:rStyle w:val="2Char"/>
          <w:rFonts w:ascii="黑体" w:eastAsia="黑体" w:hint="eastAsia"/>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年国有资本经营预算财政拨款支出</w:t>
      </w:r>
      <w:r>
        <w:rPr>
          <w:rFonts w:ascii="仿宋_GB2312" w:eastAsia="仿宋_GB2312" w:hint="eastAsia"/>
          <w:sz w:val="32"/>
          <w:szCs w:val="32"/>
          <w:lang w:val="en-US" w:eastAsia="zh-CN"/>
        </w:rPr>
        <w:t>0</w:t>
      </w:r>
      <w:r>
        <w:rPr>
          <w:rFonts w:ascii="仿宋_GB2312" w:eastAsia="仿宋_GB2312" w:hint="eastAsia"/>
          <w:sz w:val="32"/>
          <w:szCs w:val="32"/>
        </w:rPr>
        <w:t>万元。</w:t>
      </w:r>
    </w:p>
    <w:p>
      <w:pPr>
        <w:spacing w:line="580" w:lineRule="exact"/>
        <w:jc w:val="center"/>
        <w:rPr>
          <w:rFonts w:ascii="方正小标宋简体" w:eastAsia="方正小标宋简体" w:cs="方正小标宋简体"/>
          <w:sz w:val="44"/>
          <w:szCs w:val="44"/>
        </w:rPr>
      </w:pPr>
    </w:p>
    <w:p>
      <w:pPr>
        <w:numPr>
          <w:ilvl w:val="0"/>
          <w:numId w:val="3"/>
        </w:numPr>
        <w:spacing w:line="600" w:lineRule="exact"/>
        <w:ind w:left="0" w:firstLine="640"/>
        <w:outlineLvl w:val="1"/>
        <w:rPr>
          <w:rStyle w:val="2Char"/>
          <w:rFonts w:ascii="黑体" w:eastAsia="黑体"/>
          <w:b w:val="0"/>
        </w:rPr>
      </w:pPr>
      <w:bookmarkStart w:id="46" w:name="_Toc15377221"/>
      <w:bookmarkStart w:id="47" w:name="_Toc15396612"/>
      <w:r>
        <w:rPr>
          <w:rStyle w:val="2Char"/>
          <w:rFonts w:ascii="黑体" w:eastAsia="黑体" w:hint="eastAsia"/>
          <w:b w:val="0"/>
        </w:rPr>
        <w:t>其他重要事项的情况说明</w:t>
      </w:r>
      <w:bookmarkEnd w:id="46"/>
      <w:bookmarkEnd w:id="47"/>
    </w:p>
    <w:p>
      <w:pPr>
        <w:spacing w:line="600" w:lineRule="exact"/>
        <w:ind w:firstLineChars="200" w:firstLine="640"/>
        <w:outlineLvl w:val="2"/>
        <w:rPr>
          <w:rFonts w:ascii="仿宋" w:eastAsia="仿宋"/>
          <w:sz w:val="32"/>
          <w:szCs w:val="32"/>
        </w:rPr>
      </w:pPr>
      <w:bookmarkStart w:id="48" w:name="_Toc15377222"/>
      <w:r>
        <w:rPr>
          <w:rFonts w:ascii="仿宋" w:eastAsia="仿宋" w:hint="eastAsia"/>
          <w:b/>
          <w:sz w:val="32"/>
          <w:szCs w:val="32"/>
        </w:rPr>
        <w:t>（一）机关运行经费支出情况</w:t>
      </w:r>
      <w:bookmarkEnd w:id="48"/>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年，机关运行经费支出</w:t>
      </w:r>
      <w:r>
        <w:rPr>
          <w:rFonts w:ascii="仿宋_GB2312" w:eastAsia="仿宋_GB2312" w:hint="eastAsia"/>
          <w:sz w:val="32"/>
          <w:szCs w:val="32"/>
          <w:lang w:val="en-US" w:eastAsia="zh-CN"/>
        </w:rPr>
        <w:t>0</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年增加</w:t>
      </w:r>
      <w:r>
        <w:rPr>
          <w:rFonts w:ascii="仿宋_GB2312" w:eastAsia="仿宋_GB2312"/>
          <w:sz w:val="32"/>
          <w:szCs w:val="32"/>
        </w:rPr>
        <w:t>/</w:t>
      </w:r>
      <w:r>
        <w:rPr>
          <w:rFonts w:ascii="仿宋_GB2312" w:eastAsia="仿宋_GB2312" w:hint="eastAsia"/>
          <w:sz w:val="32"/>
          <w:szCs w:val="32"/>
        </w:rPr>
        <w:t>减少</w:t>
      </w:r>
      <w:r>
        <w:rPr>
          <w:rFonts w:ascii="仿宋_GB2312" w:eastAsia="仿宋_GB2312" w:hint="eastAsia"/>
          <w:sz w:val="32"/>
          <w:szCs w:val="32"/>
          <w:lang w:val="en-US" w:eastAsia="zh-CN"/>
        </w:rPr>
        <w:t>0</w:t>
      </w:r>
      <w:r>
        <w:rPr>
          <w:rFonts w:ascii="仿宋_GB2312" w:eastAsia="仿宋_GB2312" w:hint="eastAsia"/>
          <w:sz w:val="32"/>
          <w:szCs w:val="32"/>
        </w:rPr>
        <w:t>万元，增长</w:t>
      </w:r>
      <w:r>
        <w:rPr>
          <w:rFonts w:ascii="仿宋_GB2312" w:eastAsia="仿宋_GB2312"/>
          <w:sz w:val="32"/>
          <w:szCs w:val="32"/>
        </w:rPr>
        <w:t>/</w:t>
      </w:r>
      <w:r>
        <w:rPr>
          <w:rFonts w:ascii="仿宋_GB2312" w:eastAsia="仿宋_GB2312" w:hint="eastAsia"/>
          <w:sz w:val="32"/>
          <w:szCs w:val="32"/>
        </w:rPr>
        <w:t>下降</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（或与</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1</w:t>
      </w:r>
      <w:r>
        <w:rPr>
          <w:rFonts w:ascii="仿宋_GB2312" w:eastAsia="仿宋_GB2312" w:hint="eastAsia"/>
          <w:sz w:val="32"/>
          <w:szCs w:val="32"/>
        </w:rPr>
        <w:t>年决算数持平）。主要原因是……</w:t>
      </w:r>
    </w:p>
    <w:p>
      <w:pPr>
        <w:spacing w:line="600" w:lineRule="exact"/>
        <w:ind w:firstLineChars="200" w:firstLine="640"/>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pPr>
        <w:autoSpaceDE w:val="0"/>
        <w:autoSpaceDN w:val="0"/>
        <w:adjustRightInd w:val="0"/>
        <w:spacing w:line="600" w:lineRule="exact"/>
        <w:ind w:firstLineChars="200" w:firstLine="640"/>
        <w:jc w:val="left"/>
        <w:outlineLvl w:val="2"/>
        <w:rPr>
          <w:rFonts w:ascii="仿宋" w:eastAsia="仿宋"/>
          <w:b/>
          <w:sz w:val="32"/>
          <w:szCs w:val="32"/>
        </w:rPr>
      </w:pPr>
      <w:bookmarkStart w:id="49" w:name="_Toc15377223"/>
      <w:r>
        <w:rPr>
          <w:rFonts w:ascii="仿宋" w:eastAsia="仿宋" w:hint="eastAsia"/>
          <w:b/>
          <w:sz w:val="32"/>
          <w:szCs w:val="32"/>
        </w:rPr>
        <w:t>（二）政府采购支出情况</w:t>
      </w:r>
      <w:bookmarkEnd w:id="49"/>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年，政府采购支出总额</w:t>
      </w:r>
      <w:r>
        <w:rPr>
          <w:rFonts w:ascii="仿宋_GB2312" w:eastAsia="仿宋_GB2312" w:hint="eastAsia"/>
          <w:sz w:val="32"/>
          <w:szCs w:val="32"/>
          <w:lang w:val="en-US" w:eastAsia="zh-CN"/>
        </w:rPr>
        <w:t>0</w:t>
      </w:r>
      <w:r>
        <w:rPr>
          <w:rFonts w:ascii="仿宋_GB2312" w:eastAsia="仿宋_GB2312" w:hint="eastAsia"/>
          <w:sz w:val="32"/>
          <w:szCs w:val="32"/>
        </w:rPr>
        <w:t>万元，其中：政府采购货物支出</w:t>
      </w:r>
      <w:r>
        <w:rPr>
          <w:rFonts w:ascii="仿宋_GB2312" w:eastAsia="仿宋_GB2312" w:hint="eastAsia"/>
          <w:sz w:val="32"/>
          <w:szCs w:val="32"/>
          <w:lang w:val="en-US" w:eastAsia="zh-CN"/>
        </w:rPr>
        <w:t>0</w:t>
      </w:r>
      <w:r>
        <w:rPr>
          <w:rFonts w:ascii="仿宋_GB2312" w:eastAsia="仿宋_GB2312" w:hint="eastAsia"/>
          <w:sz w:val="32"/>
          <w:szCs w:val="32"/>
        </w:rPr>
        <w:t>万元、政府采购工程支出</w:t>
      </w:r>
      <w:r>
        <w:rPr>
          <w:rFonts w:ascii="仿宋_GB2312" w:eastAsia="仿宋_GB2312" w:hint="eastAsia"/>
          <w:sz w:val="32"/>
          <w:szCs w:val="32"/>
          <w:lang w:val="en-US" w:eastAsia="zh-CN"/>
        </w:rPr>
        <w:t>0</w:t>
      </w:r>
      <w:r>
        <w:rPr>
          <w:rFonts w:ascii="仿宋_GB2312" w:eastAsia="仿宋_GB2312" w:hint="eastAsia"/>
          <w:sz w:val="32"/>
          <w:szCs w:val="32"/>
        </w:rPr>
        <w:t>万元、政府采购服务支出</w:t>
      </w:r>
      <w:r>
        <w:rPr>
          <w:rFonts w:ascii="仿宋_GB2312" w:eastAsia="仿宋_GB2312" w:hint="eastAsia"/>
          <w:sz w:val="32"/>
          <w:szCs w:val="32"/>
          <w:lang w:val="en-US" w:eastAsia="zh-CN"/>
        </w:rPr>
        <w:t>0</w:t>
      </w:r>
      <w:r>
        <w:rPr>
          <w:rFonts w:ascii="仿宋_GB2312" w:eastAsia="仿宋_GB2312" w:hint="eastAsia"/>
          <w:sz w:val="32"/>
          <w:szCs w:val="32"/>
        </w:rPr>
        <w:t>万元。主要用于</w:t>
      </w:r>
      <w:r>
        <w:rPr>
          <w:rFonts w:ascii="仿宋_GB2312" w:eastAsia="仿宋_GB2312"/>
          <w:sz w:val="32"/>
          <w:szCs w:val="32"/>
        </w:rPr>
        <w:t>…</w:t>
      </w:r>
      <w:r>
        <w:rPr>
          <w:rFonts w:ascii="仿宋_GB2312" w:eastAsia="仿宋_GB2312" w:hint="eastAsia"/>
          <w:sz w:val="32"/>
          <w:szCs w:val="32"/>
        </w:rPr>
        <w:t>（具体工作）。授予中小企业合同金额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lang w:val="en-US" w:eastAsia="zh-CN"/>
        </w:rPr>
        <w:t>0</w:t>
      </w:r>
      <w:r>
        <w:rPr>
          <w:rFonts w:ascii="仿宋_GB2312" w:eastAsia="仿宋_GB2312" w:hint="eastAsia"/>
          <w:sz w:val="32"/>
          <w:szCs w:val="32"/>
        </w:rPr>
        <w:t>万元，占政府采购支出总额的</w:t>
      </w:r>
      <w:r>
        <w:rPr>
          <w:rFonts w:ascii="仿宋_GB2312" w:eastAsia="仿宋_GB2312" w:hint="eastAsia"/>
          <w:sz w:val="32"/>
          <w:szCs w:val="32"/>
          <w:lang w:val="en-US" w:eastAsia="zh-CN"/>
        </w:rPr>
        <w:t>0</w:t>
      </w:r>
      <w:r>
        <w:rPr>
          <w:rFonts w:ascii="仿宋_GB2312" w:eastAsia="仿宋_GB2312"/>
          <w:sz w:val="32"/>
          <w:szCs w:val="32"/>
        </w:rPr>
        <w:t>%</w:t>
      </w:r>
      <w:r>
        <w:rPr>
          <w:rFonts w:ascii="仿宋_GB2312" w:eastAsia="仿宋_GB2312" w:hint="eastAsia"/>
          <w:sz w:val="32"/>
          <w:szCs w:val="32"/>
        </w:rPr>
        <w:t>。</w:t>
      </w:r>
    </w:p>
    <w:p>
      <w:pPr>
        <w:spacing w:line="600" w:lineRule="exact"/>
        <w:ind w:firstLineChars="200" w:firstLine="640"/>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w:t>
      </w:r>
    </w:p>
    <w:p>
      <w:pPr>
        <w:autoSpaceDE w:val="0"/>
        <w:autoSpaceDN w:val="0"/>
        <w:adjustRightInd w:val="0"/>
        <w:spacing w:line="600" w:lineRule="exact"/>
        <w:ind w:firstLineChars="200" w:firstLine="640"/>
        <w:jc w:val="left"/>
        <w:outlineLvl w:val="2"/>
        <w:rPr>
          <w:rFonts w:ascii="仿宋" w:eastAsia="仿宋"/>
          <w:b/>
          <w:sz w:val="32"/>
          <w:szCs w:val="32"/>
        </w:rPr>
      </w:pPr>
      <w:bookmarkStart w:id="50" w:name="_Toc15377224"/>
      <w:r>
        <w:rPr>
          <w:rFonts w:ascii="仿宋" w:eastAsia="仿宋" w:hint="eastAsia"/>
          <w:b/>
          <w:sz w:val="32"/>
          <w:szCs w:val="32"/>
        </w:rPr>
        <w:t>（三）国有资产占有使用情况</w:t>
      </w:r>
      <w:bookmarkEnd w:id="50"/>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lang w:val="en-US" w:eastAsia="zh-CN"/>
        </w:rPr>
        <w:t>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日，共有车辆</w:t>
      </w:r>
      <w:r>
        <w:rPr>
          <w:rFonts w:ascii="仿宋_GB2312" w:eastAsia="仿宋_GB2312" w:hint="eastAsia"/>
          <w:sz w:val="32"/>
          <w:szCs w:val="32"/>
          <w:lang w:val="en-US" w:eastAsia="zh-CN"/>
        </w:rPr>
        <w:t>0</w:t>
      </w:r>
      <w:r>
        <w:rPr>
          <w:rFonts w:ascii="仿宋_GB2312" w:eastAsia="仿宋_GB2312" w:hint="eastAsia"/>
          <w:sz w:val="32"/>
          <w:szCs w:val="32"/>
        </w:rPr>
        <w:t>辆，其中：主要领导干部用车</w:t>
      </w:r>
      <w:r>
        <w:rPr>
          <w:rFonts w:ascii="仿宋_GB2312" w:eastAsia="仿宋_GB2312" w:hint="eastAsia"/>
          <w:sz w:val="32"/>
          <w:szCs w:val="32"/>
          <w:lang w:val="en-US" w:eastAsia="zh-CN"/>
        </w:rPr>
        <w:t>0</w:t>
      </w:r>
      <w:r>
        <w:rPr>
          <w:rFonts w:ascii="仿宋_GB2312" w:eastAsia="仿宋_GB2312" w:hint="eastAsia"/>
          <w:sz w:val="32"/>
          <w:szCs w:val="32"/>
        </w:rPr>
        <w:t>辆、机要通信用车</w:t>
      </w:r>
      <w:r>
        <w:rPr>
          <w:rFonts w:ascii="仿宋_GB2312" w:eastAsia="仿宋_GB2312" w:hint="eastAsia"/>
          <w:sz w:val="32"/>
          <w:szCs w:val="32"/>
          <w:lang w:val="en-US" w:eastAsia="zh-CN"/>
        </w:rPr>
        <w:t>0</w:t>
      </w:r>
      <w:r>
        <w:rPr>
          <w:rFonts w:ascii="仿宋_GB2312" w:eastAsia="仿宋_GB2312" w:hint="eastAsia"/>
          <w:sz w:val="32"/>
          <w:szCs w:val="32"/>
        </w:rPr>
        <w:t>辆、应急保障用车</w:t>
      </w:r>
      <w:r>
        <w:rPr>
          <w:rFonts w:ascii="仿宋_GB2312" w:eastAsia="仿宋_GB2312" w:hint="eastAsia"/>
          <w:sz w:val="32"/>
          <w:szCs w:val="32"/>
          <w:lang w:val="en-US" w:eastAsia="zh-CN"/>
        </w:rPr>
        <w:t>0</w:t>
      </w:r>
      <w:r>
        <w:rPr>
          <w:rFonts w:ascii="仿宋_GB2312" w:eastAsia="仿宋_GB2312" w:hint="eastAsia"/>
          <w:sz w:val="32"/>
          <w:szCs w:val="32"/>
        </w:rPr>
        <w:t>辆、其他用车</w:t>
      </w:r>
      <w:r>
        <w:rPr>
          <w:rFonts w:ascii="仿宋_GB2312" w:eastAsia="仿宋_GB2312" w:hint="eastAsia"/>
          <w:sz w:val="32"/>
          <w:szCs w:val="32"/>
          <w:lang w:val="en-US" w:eastAsia="zh-CN"/>
        </w:rPr>
        <w:t>0</w:t>
      </w:r>
      <w:r>
        <w:rPr>
          <w:rFonts w:ascii="仿宋_GB2312" w:eastAsia="仿宋_GB2312" w:hint="eastAsia"/>
          <w:sz w:val="32"/>
          <w:szCs w:val="32"/>
        </w:rPr>
        <w:t>辆……其他用车主要是用于……单价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lang w:val="en-US" w:eastAsia="zh-CN"/>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lang w:val="en-US" w:eastAsia="zh-CN"/>
        </w:rPr>
        <w:t>0</w:t>
      </w:r>
      <w:r>
        <w:rPr>
          <w:rFonts w:ascii="仿宋_GB2312" w:eastAsia="仿宋_GB2312" w:hint="eastAsia"/>
          <w:sz w:val="32"/>
          <w:szCs w:val="32"/>
        </w:rPr>
        <w:t>台（套）。</w:t>
      </w:r>
    </w:p>
    <w:p>
      <w:pPr>
        <w:autoSpaceDE w:val="0"/>
        <w:autoSpaceDN w:val="0"/>
        <w:adjustRightInd w:val="0"/>
        <w:spacing w:line="600" w:lineRule="exact"/>
        <w:ind w:firstLineChars="200" w:firstLine="640"/>
        <w:jc w:val="left"/>
        <w:rPr>
          <w:rFonts w:ascii="仿宋" w:eastAsia="仿宋"/>
          <w:b/>
          <w:sz w:val="32"/>
          <w:szCs w:val="32"/>
        </w:rPr>
      </w:pPr>
      <w:r>
        <w:rPr>
          <w:rFonts w:ascii="仿宋" w:eastAsia="仿宋" w:hint="eastAsia"/>
          <w:b/>
          <w:sz w:val="32"/>
          <w:szCs w:val="32"/>
        </w:rPr>
        <w:t>（注：数据来源于财决附</w:t>
      </w:r>
      <w:r>
        <w:rPr>
          <w:rFonts w:ascii="仿宋" w:eastAsia="仿宋"/>
          <w:b/>
          <w:sz w:val="32"/>
          <w:szCs w:val="32"/>
        </w:rPr>
        <w:t>03</w:t>
      </w:r>
      <w:r>
        <w:rPr>
          <w:rFonts w:ascii="仿宋" w:eastAsia="仿宋" w:hint="eastAsia"/>
          <w:b/>
          <w:sz w:val="32"/>
          <w:szCs w:val="32"/>
        </w:rPr>
        <w:t>表，按单位决算报表填报数据罗列车辆情况。）</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600" w:lineRule="exact"/>
        <w:ind w:left="0" w:firstLine="42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根据预算绩效管理要求，本单位在年初预算编制阶段，由学校领导牵头召开会议，制定学校规章制度，通过会议明确各处职责，学校开展考勤制度，确保执行，强化绩效，公开透明的公开化，管好用好财政资金更好的使用绩效。绩效考核作为资金管理与分配的核心依据，根据</w:t>
      </w:r>
      <w:r>
        <w:rPr>
          <w:rFonts w:ascii="仿宋_GB2312" w:eastAsia="仿宋_GB2312" w:cs="仿宋" w:hint="eastAsia"/>
          <w:color w:val="000000"/>
          <w:kern w:val="0"/>
          <w:sz w:val="32"/>
          <w:szCs w:val="32"/>
          <w:lang w:val="zh-CN" w:eastAsia="zh-CN" w:bidi="ar-SA"/>
        </w:rPr>
        <w:t>工作规划和重点工作</w:t>
      </w:r>
      <w:r>
        <w:rPr>
          <w:rFonts w:ascii="仿宋_GB2312" w:eastAsia="仿宋_GB2312" w:cs="仿宋" w:hint="eastAsia"/>
          <w:color w:val="000000"/>
          <w:kern w:val="0"/>
          <w:sz w:val="32"/>
          <w:szCs w:val="32"/>
          <w:lang w:val="en-US" w:eastAsia="zh-CN" w:bidi="ar-SA"/>
        </w:rPr>
        <w:t>规划</w:t>
      </w:r>
      <w:r>
        <w:rPr>
          <w:rFonts w:ascii="仿宋_GB2312" w:eastAsia="仿宋_GB2312" w:cs="仿宋" w:hint="eastAsia"/>
          <w:color w:val="000000"/>
          <w:kern w:val="0"/>
          <w:sz w:val="32"/>
          <w:szCs w:val="32"/>
          <w:lang w:val="zh-CN" w:eastAsia="zh-CN" w:bidi="ar-SA"/>
        </w:rPr>
        <w:t>，积极履行职责，强化本单位预算管理，</w:t>
      </w:r>
      <w:r>
        <w:rPr>
          <w:rFonts w:ascii="仿宋_GB2312" w:eastAsia="仿宋_GB2312" w:cs="仿宋" w:hint="eastAsia"/>
          <w:color w:val="000000"/>
          <w:kern w:val="0"/>
          <w:sz w:val="32"/>
          <w:szCs w:val="32"/>
          <w:lang w:val="en-US" w:eastAsia="zh-CN" w:bidi="ar-SA"/>
        </w:rPr>
        <w:t>单位进一步提高预算绩效管理认识，学校建立内部绩效评价工作考核制度，年终对有关业务的绩效评价工作开展情况进行考核，作为年终工作目标量化考核内容之一。强化以“绩效为中心、对支出结果负责、对社会公众负责”的理念，在绩效目标编制方面，数量目标和质量目标量化不细，效益目标编制不完整等方面加以了改善。加强预算绩效动态监控管理，加强相关人员的业务培训，进一步提高预算绩效评价质量。</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在绩效目标编制方面，加强预算绩效动态监控管理，加强相关人员的业务培训，进一步提高预算绩效评价质量。积极履行职责，强化本单位预算管理，较好地完成年初绩效工作。</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绩效管理机制工作不断推进，学校绩效目标编制方面，针对绩效目标设置指向不清、预算和目标匹配不足，目标编制不完整等方面加以了改善。目前单位绩效评价结果还停留在反映情况、找问题、提建议层面，评价结果和预算安排有机结合的机制尚未真正建立，还在逐步搭建，要进一步提高预算绩效管理认识，更好的实施绩效管理工作。</w:t>
      </w:r>
    </w:p>
    <w:p>
      <w:pPr>
        <w:spacing w:line="600" w:lineRule="exact"/>
        <w:ind w:firstLineChars="200" w:firstLine="640"/>
        <w:rPr>
          <w:rFonts w:ascii="仿宋_GB2312" w:eastAsia="仿宋_GB2312" w:cs="仿宋" w:hint="eastAsia"/>
          <w:color w:val="000000"/>
          <w:kern w:val="0"/>
          <w:sz w:val="32"/>
          <w:szCs w:val="32"/>
          <w:lang w:val="en-US" w:eastAsia="zh-CN" w:bidi="ar-SA"/>
        </w:rPr>
      </w:pPr>
      <w:r>
        <w:rPr>
          <w:rFonts w:ascii="仿宋_GB2312" w:eastAsia="仿宋_GB2312" w:cs="仿宋" w:hint="eastAsia"/>
          <w:color w:val="000000"/>
          <w:kern w:val="0"/>
          <w:sz w:val="32"/>
          <w:szCs w:val="32"/>
          <w:lang w:val="en-US" w:eastAsia="zh-CN" w:bidi="ar-SA"/>
        </w:rPr>
        <w:t>本部门按要求对2022年部门整体支出绩效评价情况开展自评，《红原县查尔玛小学2022年部门整体支出绩效评价报告》见附件1</w:t>
      </w:r>
    </w:p>
    <w:p>
      <w:pPr>
        <w:autoSpaceDE w:val="0"/>
        <w:autoSpaceDN w:val="0"/>
        <w:adjustRightInd w:val="0"/>
        <w:spacing w:line="600" w:lineRule="exact"/>
        <w:ind w:firstLineChars="200" w:firstLine="640"/>
        <w:rPr>
          <w:rFonts w:ascii="仿宋" w:eastAsia="仿宋"/>
          <w:b/>
          <w:sz w:val="32"/>
          <w:szCs w:val="32"/>
        </w:rPr>
      </w:pPr>
      <w:r>
        <w:rPr>
          <w:rFonts w:ascii="仿宋" w:eastAsia="仿宋" w:hint="eastAsia"/>
          <w:b/>
          <w:sz w:val="32"/>
          <w:szCs w:val="32"/>
        </w:rPr>
        <w:t>（注：单位</w:t>
      </w:r>
      <w:r>
        <w:rPr>
          <w:rFonts w:ascii="仿宋_GB2312" w:eastAsia="仿宋_GB2312" w:cs="仿宋_GB2312" w:hint="eastAsia"/>
          <w:b/>
          <w:sz w:val="32"/>
          <w:szCs w:val="32"/>
        </w:rPr>
        <w:t>202</w:t>
      </w:r>
      <w:r>
        <w:rPr>
          <w:rFonts w:ascii="仿宋_GB2312" w:eastAsia="仿宋_GB2312" w:cs="仿宋_GB2312" w:hint="eastAsia"/>
          <w:b/>
          <w:sz w:val="32"/>
          <w:szCs w:val="32"/>
          <w:lang w:val="en-US" w:eastAsia="zh-CN"/>
        </w:rPr>
        <w:t>2</w:t>
      </w:r>
      <w:r>
        <w:rPr>
          <w:rFonts w:ascii="仿宋_GB2312" w:eastAsia="仿宋_GB2312" w:cs="仿宋_GB2312" w:hint="eastAsia"/>
          <w:b/>
          <w:sz w:val="32"/>
          <w:szCs w:val="32"/>
        </w:rPr>
        <w:t>年特定目标类部门预算项目绩效目标自评表为本部门202</w:t>
      </w:r>
      <w:r>
        <w:rPr>
          <w:rFonts w:ascii="仿宋_GB2312" w:eastAsia="仿宋_GB2312" w:cs="仿宋_GB2312" w:hint="eastAsia"/>
          <w:b/>
          <w:sz w:val="32"/>
          <w:szCs w:val="32"/>
          <w:lang w:val="en-US" w:eastAsia="zh-CN"/>
        </w:rPr>
        <w:t>2</w:t>
      </w:r>
      <w:r>
        <w:rPr>
          <w:rFonts w:ascii="仿宋_GB2312" w:eastAsia="仿宋_GB2312" w:cs="仿宋_GB2312" w:hint="eastAsia"/>
          <w:b/>
          <w:sz w:val="32"/>
          <w:szCs w:val="32"/>
        </w:rPr>
        <w:t>年部门整体支出绩效评价报告中涉及本单位的附表</w:t>
      </w:r>
      <w:r>
        <w:rPr>
          <w:rFonts w:ascii="仿宋" w:eastAsia="仿宋" w:hint="eastAsia"/>
          <w:b/>
          <w:sz w:val="32"/>
          <w:szCs w:val="32"/>
        </w:rPr>
        <w:t>）</w:t>
      </w:r>
    </w:p>
    <w:p>
      <w:pPr>
        <w:pStyle w:val="15"/>
        <w:spacing w:beforeLines="0"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1" w:name="_Toc15396613"/>
      <w:bookmarkStart w:id="52" w:name="_Toc15377225"/>
      <w:r>
        <w:rPr>
          <w:rFonts w:ascii="黑体" w:eastAsia="黑体" w:hint="eastAsia"/>
          <w:sz w:val="44"/>
          <w:szCs w:val="44"/>
        </w:rPr>
        <w:t>名</w:t>
      </w:r>
      <w:r>
        <w:rPr>
          <w:rStyle w:val="1Char"/>
          <w:rFonts w:ascii="黑体" w:eastAsia="黑体" w:hint="eastAsia"/>
          <w:b w:val="0"/>
        </w:rPr>
        <w:t>词解释</w:t>
      </w:r>
      <w:bookmarkEnd w:id="51"/>
      <w:bookmarkEnd w:id="52"/>
    </w:p>
    <w:p>
      <w:pPr>
        <w:spacing w:line="600" w:lineRule="exact"/>
        <w:jc w:val="left"/>
        <w:rPr>
          <w:rFonts w:ascii="宋体"/>
          <w:b/>
          <w:sz w:val="44"/>
          <w:szCs w:val="44"/>
        </w:rPr>
      </w:pP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9.教育</w:t>
      </w:r>
      <w:r>
        <w:rPr>
          <w:rFonts w:ascii="仿宋_GB2312" w:eastAsia="仿宋_GB2312"/>
          <w:color w:val="000000"/>
          <w:sz w:val="32"/>
          <w:szCs w:val="32"/>
          <w14:textFill>
            <w14:solidFill>
              <w14:srgbClr w14:val="000000"/>
            </w14:solidFill>
          </w14:textFill>
        </w:rPr>
        <w:t>2050201：制学前教育收入；2050202</w:t>
      </w:r>
      <w:r>
        <w:rPr>
          <w:rFonts w:ascii="仿宋_GB2312" w:eastAsia="仿宋_GB2312" w:hint="eastAsia"/>
          <w:color w:val="000000"/>
          <w:sz w:val="32"/>
          <w:szCs w:val="32"/>
          <w14:textFill>
            <w14:solidFill>
              <w14:srgbClr w14:val="000000"/>
            </w14:solidFill>
          </w14:textFill>
        </w:rPr>
        <w:t>：指小学教育收入；</w:t>
      </w:r>
      <w:r>
        <w:rPr>
          <w:rFonts w:ascii="仿宋_GB2312" w:eastAsia="仿宋_GB2312"/>
          <w:color w:val="000000"/>
          <w:sz w:val="32"/>
          <w:szCs w:val="32"/>
          <w14:textFill>
            <w14:solidFill>
              <w14:srgbClr w14:val="000000"/>
            </w14:solidFill>
          </w14:textFill>
        </w:rPr>
        <w:t>2050299</w:t>
      </w:r>
      <w:r>
        <w:rPr>
          <w:rFonts w:ascii="仿宋_GB2312" w:eastAsia="仿宋_GB2312" w:hint="eastAsia"/>
          <w:color w:val="000000"/>
          <w:sz w:val="32"/>
          <w:szCs w:val="32"/>
          <w14:textFill>
            <w14:solidFill>
              <w14:srgbClr w14:val="000000"/>
            </w14:solidFill>
          </w14:textFill>
        </w:rPr>
        <w:t>：指其他普通教育支出</w:t>
      </w:r>
      <w:r>
        <w:rPr>
          <w:rFonts w:ascii="仿宋_GB2312" w:eastAsia="仿宋_GB2312"/>
          <w:color w:val="000000"/>
          <w:sz w:val="32"/>
          <w:szCs w:val="32"/>
          <w14:textFill>
            <w14:solidFill>
              <w14:srgbClr w14:val="000000"/>
            </w14:solidFill>
          </w14:textFill>
        </w:rPr>
        <w:t>；</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10</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社会保障和就业</w:t>
      </w:r>
      <w:r>
        <w:rPr>
          <w:rFonts w:ascii="仿宋_GB2312" w:eastAsia="仿宋_GB2312"/>
          <w:color w:val="000000"/>
          <w:sz w:val="32"/>
          <w:szCs w:val="32"/>
          <w14:textFill>
            <w14:solidFill>
              <w14:srgbClr w14:val="000000"/>
            </w14:solidFill>
          </w14:textFill>
        </w:rPr>
        <w:t>2080505</w:t>
      </w:r>
      <w:r>
        <w:rPr>
          <w:rFonts w:ascii="仿宋_GB2312" w:eastAsia="仿宋_GB2312" w:hint="eastAsia"/>
          <w:color w:val="000000"/>
          <w:sz w:val="32"/>
          <w:szCs w:val="32"/>
          <w14:textFill>
            <w14:solidFill>
              <w14:srgbClr w14:val="000000"/>
            </w14:solidFill>
          </w14:textFill>
        </w:rPr>
        <w:t>：</w:t>
      </w:r>
      <w:r>
        <w:rPr>
          <w:rFonts w:ascii="仿宋_GB2312" w:eastAsia="仿宋_GB2312"/>
          <w:color w:val="000000"/>
          <w:sz w:val="32"/>
          <w:szCs w:val="32"/>
          <w14:textFill>
            <w14:solidFill>
              <w14:srgbClr w14:val="000000"/>
            </w14:solidFill>
          </w14:textFill>
        </w:rPr>
        <w:t xml:space="preserve"> </w:t>
      </w:r>
      <w:r>
        <w:rPr>
          <w:rFonts w:ascii="仿宋_GB2312" w:eastAsia="仿宋_GB2312" w:hint="eastAsia"/>
          <w:color w:val="000000"/>
          <w:sz w:val="32"/>
          <w:szCs w:val="32"/>
          <w14:textFill>
            <w14:solidFill>
              <w14:srgbClr w14:val="000000"/>
            </w14:solidFill>
          </w14:textFill>
        </w:rPr>
        <w:t>指机关事业单位基本养老保险；</w:t>
      </w:r>
      <w:r>
        <w:rPr>
          <w:rFonts w:ascii="仿宋_GB2312" w:eastAsia="仿宋_GB2312"/>
          <w:color w:val="000000"/>
          <w:sz w:val="32"/>
          <w:szCs w:val="32"/>
          <w14:textFill>
            <w14:solidFill>
              <w14:srgbClr w14:val="000000"/>
            </w14:solidFill>
          </w14:textFill>
        </w:rPr>
        <w:t>2080506</w:t>
      </w:r>
      <w:r>
        <w:rPr>
          <w:rFonts w:ascii="仿宋_GB2312" w:eastAsia="仿宋_GB2312" w:hint="eastAsia"/>
          <w:color w:val="000000"/>
          <w:sz w:val="32"/>
          <w:szCs w:val="32"/>
          <w14:textFill>
            <w14:solidFill>
              <w14:srgbClr w14:val="000000"/>
            </w14:solidFill>
          </w14:textFill>
        </w:rPr>
        <w:t>：指机关事业单位职业年金缴费支出。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11</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医疗卫生与计划生育</w:t>
      </w:r>
      <w:r>
        <w:rPr>
          <w:rFonts w:ascii="仿宋_GB2312" w:eastAsia="仿宋_GB2312"/>
          <w:color w:val="000000"/>
          <w:sz w:val="32"/>
          <w:szCs w:val="32"/>
          <w14:textFill>
            <w14:solidFill>
              <w14:srgbClr w14:val="000000"/>
            </w14:solidFill>
          </w14:textFill>
        </w:rPr>
        <w:t>2101102</w:t>
      </w:r>
      <w:r>
        <w:rPr>
          <w:rFonts w:ascii="仿宋_GB2312" w:eastAsia="仿宋_GB2312" w:hint="eastAsia"/>
          <w:color w:val="000000"/>
          <w:sz w:val="32"/>
          <w:szCs w:val="32"/>
          <w14:textFill>
            <w14:solidFill>
              <w14:srgbClr w14:val="000000"/>
            </w14:solidFill>
          </w14:textFill>
        </w:rPr>
        <w:t>：指事业单位医疗；</w:t>
      </w:r>
      <w:r>
        <w:rPr>
          <w:rFonts w:ascii="仿宋_GB2312" w:eastAsia="仿宋_GB2312"/>
          <w:color w:val="000000"/>
          <w:sz w:val="32"/>
          <w:szCs w:val="32"/>
          <w14:textFill>
            <w14:solidFill>
              <w14:srgbClr w14:val="000000"/>
            </w14:solidFill>
          </w14:textFill>
        </w:rPr>
        <w:t>2101199;</w:t>
      </w:r>
      <w:r>
        <w:rPr>
          <w:rFonts w:ascii="仿宋_GB2312" w:eastAsia="仿宋_GB2312" w:hint="eastAsia"/>
          <w:color w:val="000000"/>
          <w:sz w:val="32"/>
          <w:szCs w:val="32"/>
          <w14:textFill>
            <w14:solidFill>
              <w14:srgbClr w14:val="000000"/>
            </w14:solidFill>
          </w14:textFill>
        </w:rPr>
        <w:t>指其他行政事业单位医疗支出。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hint="eastAsia"/>
          <w:color w:val="000000"/>
          <w:sz w:val="32"/>
          <w:szCs w:val="32"/>
          <w14:textFill>
            <w14:solidFill>
              <w14:srgbClr w14:val="000000"/>
            </w14:solidFill>
          </w14:textFill>
        </w:rPr>
        <w:t>12</w:t>
      </w:r>
      <w:r>
        <w:rPr>
          <w:rFonts w:ascii="仿宋_GB2312" w:eastAsia="仿宋_GB2312"/>
          <w:color w:val="000000"/>
          <w:sz w:val="32"/>
          <w:szCs w:val="32"/>
          <w14:textFill>
            <w14:solidFill>
              <w14:srgbClr w14:val="000000"/>
            </w14:solidFill>
          </w14:textFill>
        </w:rPr>
        <w:t>.</w:t>
      </w:r>
      <w:r>
        <w:rPr>
          <w:rFonts w:ascii="仿宋_GB2312" w:eastAsia="仿宋_GB2312" w:hint="eastAsia"/>
          <w:color w:val="000000"/>
          <w:sz w:val="32"/>
          <w:szCs w:val="32"/>
          <w14:textFill>
            <w14:solidFill>
              <w14:srgbClr w14:val="000000"/>
            </w14:solidFill>
          </w14:textFill>
        </w:rPr>
        <w:t>住房保障</w:t>
      </w:r>
      <w:r>
        <w:rPr>
          <w:rFonts w:ascii="仿宋_GB2312" w:eastAsia="仿宋_GB2312"/>
          <w:color w:val="000000"/>
          <w:sz w:val="32"/>
          <w:szCs w:val="32"/>
          <w14:textFill>
            <w14:solidFill>
              <w14:srgbClr w14:val="000000"/>
            </w14:solidFill>
          </w14:textFill>
        </w:rPr>
        <w:t>2210201</w:t>
      </w:r>
      <w:r>
        <w:rPr>
          <w:rFonts w:ascii="仿宋_GB2312" w:eastAsia="仿宋_GB2312" w:hint="eastAsia"/>
          <w:color w:val="000000"/>
          <w:sz w:val="32"/>
          <w:szCs w:val="32"/>
          <w14:textFill>
            <w14:solidFill>
              <w14:srgbClr w14:val="000000"/>
            </w14:solidFill>
          </w14:textFill>
        </w:rPr>
        <w:t>：指住房公积金。</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13.</w:t>
      </w:r>
      <w:r>
        <w:rPr>
          <w:rFonts w:ascii="仿宋_GB2312" w:eastAsia="仿宋_GB2312" w:hint="eastAsia"/>
          <w:color w:val="000000"/>
          <w:sz w:val="32"/>
          <w:szCs w:val="32"/>
          <w14:textFill>
            <w14:solidFill>
              <w14:srgbClr w14:val="000000"/>
            </w14:solidFill>
          </w14:textFill>
        </w:rPr>
        <w:t>基本支出：指为保障机构正常运转、完成日常工作任务而发生的人员支出和公用支出。</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14.</w:t>
      </w:r>
      <w:r>
        <w:rPr>
          <w:rFonts w:ascii="仿宋_GB2312" w:eastAsia="仿宋_GB2312" w:hint="eastAsia"/>
          <w:color w:val="000000"/>
          <w:sz w:val="32"/>
          <w:szCs w:val="32"/>
          <w14:textFill>
            <w14:solidFill>
              <w14:srgbClr w14:val="000000"/>
            </w14:solidFill>
          </w14:textFill>
        </w:rPr>
        <w:t>项目支出：指在基本支出之外为完成特定行政任务和事业发展目标所发生的支出。</w:t>
      </w:r>
      <w:r>
        <w:rPr>
          <w:rFonts w:ascii="仿宋_GB2312" w:eastAsia="仿宋_GB2312"/>
          <w:color w:val="000000"/>
          <w:sz w:val="32"/>
          <w:szCs w:val="32"/>
          <w14:textFill>
            <w14:solidFill>
              <w14:srgbClr w14:val="000000"/>
            </w14:solidFill>
          </w14:textFill>
        </w:rPr>
        <w:t xml:space="preserve"> </w:t>
      </w:r>
    </w:p>
    <w:p>
      <w:pPr>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15.</w:t>
      </w:r>
      <w:r>
        <w:rPr>
          <w:rFonts w:ascii="仿宋_GB2312" w:eastAsia="仿宋_GB2312" w:hint="eastAsia"/>
          <w:color w:val="000000"/>
          <w:sz w:val="32"/>
          <w:szCs w:val="32"/>
          <w14:textFill>
            <w14:solidFill>
              <w14:srgbClr w14:val="000000"/>
            </w14:solidFill>
          </w14:textFill>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16.</w:t>
      </w:r>
      <w:r>
        <w:rPr>
          <w:rFonts w:ascii="仿宋_GB2312" w:eastAsia="仿宋_GB2312" w:hint="eastAsia"/>
          <w:color w:val="000000"/>
          <w:sz w:val="32"/>
          <w:szCs w:val="32"/>
          <w14:textFill>
            <w14:solidFill>
              <w14:srgbClr w14:val="000000"/>
            </w14:solidFill>
          </w14:textFill>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color w:val="000000"/>
          <w:sz w:val="32"/>
          <w:szCs w:val="32"/>
          <w14:textFill>
            <w14:solidFill>
              <w14:srgbClr w14:val="000000"/>
            </w14:solidFill>
          </w14:textFill>
        </w:rPr>
      </w:pPr>
      <w:r>
        <w:rPr>
          <w:rFonts w:ascii="仿宋_GB2312" w:eastAsia="仿宋_GB2312"/>
          <w:color w:val="000000"/>
          <w:sz w:val="32"/>
          <w:szCs w:val="32"/>
          <w14:textFill>
            <w14:solidFill>
              <w14:srgbClr w14:val="000000"/>
            </w14:solidFill>
          </w14:textFill>
        </w:rPr>
        <w:t>17.</w:t>
      </w:r>
      <w:r>
        <w:rPr>
          <w:rFonts w:ascii="仿宋_GB2312" w:eastAsia="仿宋_GB2312" w:hint="eastAsia"/>
          <w:color w:val="000000"/>
          <w:sz w:val="32"/>
          <w:szCs w:val="32"/>
          <w14:textFill>
            <w14:solidFill>
              <w14:srgbClr w14:val="000000"/>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rFonts w:ascii="仿宋_GB2312" w:eastAsia="仿宋_GB2312" w:cs="黑体"/>
          <w:color w:val="auto"/>
          <w:sz w:val="32"/>
          <w:szCs w:val="32"/>
        </w:rPr>
      </w:pPr>
    </w:p>
    <w:p>
      <w:pPr>
        <w:spacing w:line="600" w:lineRule="exact"/>
        <w:jc w:val="center"/>
        <w:outlineLvl w:val="0"/>
        <w:rPr>
          <w:rFonts w:ascii="黑体" w:eastAsia="黑体"/>
          <w:sz w:val="44"/>
          <w:szCs w:val="44"/>
        </w:rPr>
      </w:pPr>
      <w:bookmarkStart w:id="53" w:name="_Toc15377226"/>
      <w:r>
        <w:rPr>
          <w:rFonts w:ascii="宋体"/>
          <w:b/>
          <w:sz w:val="44"/>
          <w:szCs w:val="44"/>
        </w:rPr>
        <w:br w:type="page"/>
      </w:r>
      <w:bookmarkStart w:id="54" w:name="_Toc15396618"/>
    </w:p>
    <w:p>
      <w:pPr>
        <w:spacing w:line="600" w:lineRule="exact"/>
        <w:jc w:val="center"/>
        <w:outlineLvl w:val="0"/>
        <w:rPr>
          <w:rFonts w:ascii="仿宋" w:eastAsia="仿宋"/>
        </w:rPr>
      </w:pPr>
      <w:r>
        <w:rPr>
          <w:rFonts w:ascii="黑体" w:eastAsia="黑体" w:hint="eastAsia"/>
          <w:sz w:val="44"/>
          <w:szCs w:val="44"/>
        </w:rPr>
        <w:t>第</w:t>
      </w:r>
      <w:r>
        <w:rPr>
          <w:rStyle w:val="1Char"/>
          <w:rFonts w:ascii="黑体" w:eastAsia="黑体" w:hint="eastAsia"/>
          <w:b w:val="0"/>
        </w:rPr>
        <w:t>五部分 附表</w:t>
      </w:r>
      <w:bookmarkStart w:id="55" w:name="_Toc15396619"/>
      <w:bookmarkEnd w:id="53"/>
      <w:bookmarkEnd w:id="54"/>
    </w:p>
    <w:p>
      <w:pPr>
        <w:pStyle w:val="2"/>
        <w:rPr>
          <w:rFonts w:ascii="仿宋" w:eastAsia="仿宋"/>
        </w:rPr>
      </w:pPr>
      <w:r>
        <w:rPr>
          <w:rFonts w:ascii="仿宋" w:eastAsia="仿宋" w:hint="eastAsia"/>
          <w:b w:val="0"/>
        </w:rPr>
        <w:t>一、收</w:t>
      </w:r>
      <w:r>
        <w:rPr>
          <w:rStyle w:val="2Char"/>
          <w:rFonts w:ascii="仿宋" w:eastAsia="仿宋" w:hint="eastAsia"/>
          <w:b w:val="0"/>
          <w:bCs w:val="0"/>
        </w:rPr>
        <w:t>入支出决算总表</w:t>
      </w:r>
      <w:bookmarkEnd w:id="55"/>
    </w:p>
    <w:p>
      <w:pPr>
        <w:pStyle w:val="2"/>
        <w:rPr>
          <w:rFonts w:ascii="仿宋" w:eastAsia="仿宋"/>
        </w:rPr>
      </w:pPr>
      <w:bookmarkStart w:id="56" w:name="_Toc15396620"/>
      <w:r>
        <w:rPr>
          <w:rFonts w:ascii="仿宋" w:eastAsia="仿宋" w:hint="eastAsia"/>
          <w:b w:val="0"/>
        </w:rPr>
        <w:t>二、收</w:t>
      </w:r>
      <w:r>
        <w:rPr>
          <w:rStyle w:val="2Char"/>
          <w:rFonts w:ascii="仿宋" w:eastAsia="仿宋" w:hint="eastAsia"/>
          <w:b w:val="0"/>
          <w:bCs w:val="0"/>
        </w:rPr>
        <w:t>入决算表</w:t>
      </w:r>
      <w:bookmarkEnd w:id="56"/>
    </w:p>
    <w:p>
      <w:pPr>
        <w:pStyle w:val="2"/>
        <w:rPr>
          <w:rFonts w:ascii="仿宋" w:eastAsia="仿宋"/>
        </w:rPr>
      </w:pPr>
      <w:bookmarkStart w:id="57" w:name="_Toc15396621"/>
      <w:r>
        <w:rPr>
          <w:rStyle w:val="2Char"/>
          <w:rFonts w:ascii="仿宋" w:eastAsia="仿宋" w:hint="eastAsia"/>
          <w:b w:val="0"/>
          <w:bCs w:val="0"/>
        </w:rPr>
        <w:t>三、</w:t>
      </w:r>
      <w:r>
        <w:rPr>
          <w:rFonts w:ascii="仿宋" w:eastAsia="仿宋" w:hint="eastAsia"/>
          <w:b w:val="0"/>
        </w:rPr>
        <w:t>支</w:t>
      </w:r>
      <w:r>
        <w:rPr>
          <w:rStyle w:val="2Char"/>
          <w:rFonts w:ascii="仿宋" w:eastAsia="仿宋" w:hint="eastAsia"/>
          <w:b w:val="0"/>
          <w:bCs w:val="0"/>
        </w:rPr>
        <w:t>出决算表</w:t>
      </w:r>
      <w:bookmarkEnd w:id="57"/>
    </w:p>
    <w:p>
      <w:pPr>
        <w:pStyle w:val="2"/>
        <w:rPr>
          <w:rFonts w:ascii="仿宋" w:eastAsia="仿宋"/>
          <w:b w:val="0"/>
        </w:rPr>
      </w:pPr>
      <w:bookmarkStart w:id="58" w:name="_Toc15396622"/>
      <w:r>
        <w:rPr>
          <w:rStyle w:val="2Char"/>
          <w:rFonts w:ascii="仿宋" w:eastAsia="仿宋" w:hint="eastAsia"/>
          <w:b w:val="0"/>
          <w:bCs w:val="0"/>
        </w:rPr>
        <w:t>四、</w:t>
      </w:r>
      <w:r>
        <w:rPr>
          <w:rFonts w:ascii="仿宋" w:eastAsia="仿宋" w:hint="eastAsia"/>
          <w:b w:val="0"/>
        </w:rPr>
        <w:t>财</w:t>
      </w:r>
      <w:r>
        <w:rPr>
          <w:rStyle w:val="2Char"/>
          <w:rFonts w:ascii="仿宋" w:eastAsia="仿宋" w:hint="eastAsia"/>
          <w:b w:val="0"/>
          <w:bCs w:val="0"/>
        </w:rPr>
        <w:t>政拨款收入支出决算总表</w:t>
      </w:r>
      <w:bookmarkEnd w:id="58"/>
    </w:p>
    <w:p>
      <w:pPr>
        <w:pStyle w:val="2"/>
        <w:rPr>
          <w:rStyle w:val="2Char"/>
          <w:rFonts w:ascii="仿宋" w:eastAsia="仿宋"/>
          <w:b w:val="0"/>
          <w:bCs w:val="0"/>
        </w:rPr>
      </w:pPr>
      <w:bookmarkStart w:id="59" w:name="_Toc15396623"/>
      <w:r>
        <w:rPr>
          <w:rStyle w:val="2Char"/>
          <w:rFonts w:ascii="仿宋" w:eastAsia="仿宋" w:hint="eastAsia"/>
          <w:b w:val="0"/>
          <w:bCs w:val="0"/>
        </w:rPr>
        <w:t>五、</w:t>
      </w:r>
      <w:r>
        <w:rPr>
          <w:rFonts w:ascii="仿宋" w:eastAsia="仿宋" w:hint="eastAsia"/>
          <w:b w:val="0"/>
        </w:rPr>
        <w:t>财</w:t>
      </w:r>
      <w:r>
        <w:rPr>
          <w:rStyle w:val="2Char"/>
          <w:rFonts w:ascii="仿宋" w:eastAsia="仿宋" w:hint="eastAsia"/>
          <w:b w:val="0"/>
          <w:bCs w:val="0"/>
        </w:rPr>
        <w:t>政拨款支出决算明细表</w:t>
      </w:r>
      <w:bookmarkStart w:id="60" w:name="_Toc15396624"/>
      <w:bookmarkEnd w:id="59"/>
    </w:p>
    <w:p>
      <w:pPr>
        <w:pStyle w:val="2"/>
        <w:rPr>
          <w:rFonts w:ascii="仿宋" w:eastAsia="仿宋"/>
        </w:rPr>
      </w:pPr>
      <w:r>
        <w:rPr>
          <w:rStyle w:val="2Char"/>
          <w:rFonts w:ascii="仿宋" w:eastAsia="仿宋" w:hint="eastAsia"/>
          <w:b w:val="0"/>
          <w:bCs w:val="0"/>
        </w:rPr>
        <w:t>六、</w:t>
      </w:r>
      <w:r>
        <w:rPr>
          <w:rFonts w:ascii="仿宋" w:eastAsia="仿宋" w:hint="eastAsia"/>
          <w:b w:val="0"/>
        </w:rPr>
        <w:t>一</w:t>
      </w:r>
      <w:r>
        <w:rPr>
          <w:rStyle w:val="2Char"/>
          <w:rFonts w:ascii="仿宋" w:eastAsia="仿宋" w:hint="eastAsia"/>
          <w:b w:val="0"/>
          <w:bCs w:val="0"/>
        </w:rPr>
        <w:t>般公共预算财政拨款支出决算表</w:t>
      </w:r>
      <w:bookmarkEnd w:id="60"/>
    </w:p>
    <w:p>
      <w:pPr>
        <w:pStyle w:val="2"/>
        <w:rPr>
          <w:rFonts w:ascii="仿宋" w:eastAsia="仿宋"/>
        </w:rPr>
      </w:pPr>
      <w:bookmarkStart w:id="61" w:name="_Toc15396625"/>
      <w:r>
        <w:rPr>
          <w:rStyle w:val="2Char"/>
          <w:rFonts w:ascii="仿宋" w:eastAsia="仿宋" w:hint="eastAsia"/>
          <w:b w:val="0"/>
          <w:bCs w:val="0"/>
        </w:rPr>
        <w:t>七、</w:t>
      </w:r>
      <w:r>
        <w:rPr>
          <w:rFonts w:ascii="仿宋" w:eastAsia="仿宋" w:hint="eastAsia"/>
          <w:b w:val="0"/>
        </w:rPr>
        <w:t>一</w:t>
      </w:r>
      <w:r>
        <w:rPr>
          <w:rStyle w:val="2Char"/>
          <w:rFonts w:ascii="仿宋" w:eastAsia="仿宋" w:hint="eastAsia"/>
          <w:b w:val="0"/>
          <w:bCs w:val="0"/>
        </w:rPr>
        <w:t>般公共预算财政拨款支出决算明细表</w:t>
      </w:r>
      <w:bookmarkEnd w:id="61"/>
    </w:p>
    <w:p>
      <w:pPr>
        <w:pStyle w:val="2"/>
        <w:rPr>
          <w:rFonts w:ascii="仿宋" w:eastAsia="仿宋"/>
        </w:rPr>
      </w:pPr>
      <w:bookmarkStart w:id="62" w:name="_Toc15396626"/>
      <w:r>
        <w:rPr>
          <w:rStyle w:val="2Char"/>
          <w:rFonts w:ascii="仿宋" w:eastAsia="仿宋" w:hint="eastAsia"/>
          <w:b w:val="0"/>
          <w:bCs w:val="0"/>
        </w:rPr>
        <w:t>八、</w:t>
      </w:r>
      <w:r>
        <w:rPr>
          <w:rFonts w:ascii="仿宋" w:eastAsia="仿宋" w:hint="eastAsia"/>
          <w:b w:val="0"/>
        </w:rPr>
        <w:t>一</w:t>
      </w:r>
      <w:r>
        <w:rPr>
          <w:rStyle w:val="2Char"/>
          <w:rFonts w:ascii="仿宋" w:eastAsia="仿宋" w:hint="eastAsia"/>
          <w:b w:val="0"/>
          <w:bCs w:val="0"/>
        </w:rPr>
        <w:t>般公共预算财政拨款基本支出决算表</w:t>
      </w:r>
      <w:bookmarkEnd w:id="62"/>
    </w:p>
    <w:p>
      <w:pPr>
        <w:pStyle w:val="2"/>
        <w:rPr>
          <w:rFonts w:ascii="仿宋" w:eastAsia="仿宋"/>
        </w:rPr>
      </w:pPr>
      <w:bookmarkStart w:id="63" w:name="_Toc15396627"/>
      <w:r>
        <w:rPr>
          <w:rStyle w:val="2Char"/>
          <w:rFonts w:ascii="仿宋" w:eastAsia="仿宋" w:hint="eastAsia"/>
          <w:b w:val="0"/>
          <w:bCs w:val="0"/>
        </w:rPr>
        <w:t>九、</w:t>
      </w:r>
      <w:r>
        <w:rPr>
          <w:rFonts w:ascii="仿宋" w:eastAsia="仿宋" w:hint="eastAsia"/>
          <w:b w:val="0"/>
        </w:rPr>
        <w:t>一</w:t>
      </w:r>
      <w:r>
        <w:rPr>
          <w:rStyle w:val="2Char"/>
          <w:rFonts w:ascii="仿宋" w:eastAsia="仿宋" w:hint="eastAsia"/>
          <w:b w:val="0"/>
          <w:bCs w:val="0"/>
        </w:rPr>
        <w:t>般公共预算财政拨款项目支出决算表</w:t>
      </w:r>
      <w:bookmarkEnd w:id="63"/>
    </w:p>
    <w:p>
      <w:pPr>
        <w:pStyle w:val="2"/>
        <w:rPr>
          <w:rFonts w:ascii="仿宋" w:eastAsia="仿宋"/>
        </w:rPr>
      </w:pPr>
      <w:bookmarkStart w:id="64" w:name="_Toc15396628"/>
      <w:r>
        <w:rPr>
          <w:rStyle w:val="2Char"/>
          <w:rFonts w:ascii="仿宋" w:eastAsia="仿宋" w:hint="eastAsia"/>
          <w:b w:val="0"/>
          <w:bCs w:val="0"/>
        </w:rPr>
        <w:t>十、</w:t>
      </w:r>
      <w:r>
        <w:rPr>
          <w:rFonts w:ascii="仿宋" w:eastAsia="仿宋" w:hint="eastAsia"/>
          <w:b w:val="0"/>
        </w:rPr>
        <w:t>一</w:t>
      </w:r>
      <w:r>
        <w:rPr>
          <w:rStyle w:val="2Char"/>
          <w:rFonts w:ascii="仿宋" w:eastAsia="仿宋" w:hint="eastAsia"/>
          <w:b w:val="0"/>
          <w:bCs w:val="0"/>
        </w:rPr>
        <w:t>般公共预算财政拨款“三公”经费支出决算表</w:t>
      </w:r>
      <w:bookmarkEnd w:id="64"/>
    </w:p>
    <w:p>
      <w:pPr>
        <w:pStyle w:val="2"/>
        <w:rPr>
          <w:rFonts w:ascii="仿宋" w:eastAsia="仿宋"/>
        </w:rPr>
      </w:pPr>
      <w:bookmarkStart w:id="65" w:name="_Toc15396629"/>
      <w:r>
        <w:rPr>
          <w:rStyle w:val="2Char"/>
          <w:rFonts w:ascii="仿宋" w:eastAsia="仿宋" w:hint="eastAsia"/>
          <w:b w:val="0"/>
          <w:bCs w:val="0"/>
        </w:rPr>
        <w:t>十一、</w:t>
      </w:r>
      <w:r>
        <w:rPr>
          <w:rFonts w:ascii="仿宋" w:eastAsia="仿宋" w:hint="eastAsia"/>
          <w:b w:val="0"/>
        </w:rPr>
        <w:t>政</w:t>
      </w:r>
      <w:r>
        <w:rPr>
          <w:rStyle w:val="2Char"/>
          <w:rFonts w:ascii="仿宋" w:eastAsia="仿宋" w:hint="eastAsia"/>
          <w:b w:val="0"/>
          <w:bCs w:val="0"/>
        </w:rPr>
        <w:t>府性基金预算财政拨款收入支出决算表</w:t>
      </w:r>
      <w:bookmarkEnd w:id="65"/>
    </w:p>
    <w:p>
      <w:pPr>
        <w:pStyle w:val="2"/>
        <w:rPr>
          <w:rFonts w:ascii="仿宋" w:eastAsia="仿宋"/>
        </w:rPr>
      </w:pPr>
      <w:bookmarkStart w:id="66" w:name="_Toc15396630"/>
      <w:r>
        <w:rPr>
          <w:rStyle w:val="2Char"/>
          <w:rFonts w:ascii="仿宋" w:eastAsia="仿宋" w:hint="eastAsia"/>
          <w:b w:val="0"/>
          <w:bCs w:val="0"/>
        </w:rPr>
        <w:t>十二、</w:t>
      </w:r>
      <w:r>
        <w:rPr>
          <w:rFonts w:ascii="仿宋" w:eastAsia="仿宋" w:hint="eastAsia"/>
          <w:b w:val="0"/>
        </w:rPr>
        <w:t>政</w:t>
      </w:r>
      <w:r>
        <w:rPr>
          <w:rStyle w:val="2Char"/>
          <w:rFonts w:ascii="仿宋" w:eastAsia="仿宋" w:hint="eastAsia"/>
          <w:b w:val="0"/>
          <w:bCs w:val="0"/>
        </w:rPr>
        <w:t>府性基金预算财政拨款“三公”经费支出决算表</w:t>
      </w:r>
      <w:bookmarkEnd w:id="66"/>
    </w:p>
    <w:p>
      <w:pPr>
        <w:pStyle w:val="2"/>
        <w:rPr>
          <w:rStyle w:val="2Char"/>
          <w:rFonts w:ascii="仿宋" w:eastAsia="仿宋"/>
          <w:b w:val="0"/>
          <w:bCs w:val="0"/>
        </w:rPr>
      </w:pPr>
      <w:bookmarkStart w:id="67" w:name="_Toc15396631"/>
      <w:r>
        <w:rPr>
          <w:rStyle w:val="2Char"/>
          <w:rFonts w:ascii="仿宋" w:eastAsia="仿宋" w:hint="eastAsia"/>
          <w:b w:val="0"/>
          <w:bCs w:val="0"/>
        </w:rPr>
        <w:t>十三、</w:t>
      </w:r>
      <w:r>
        <w:rPr>
          <w:rFonts w:ascii="仿宋" w:eastAsia="仿宋" w:hint="eastAsia"/>
          <w:b w:val="0"/>
        </w:rPr>
        <w:t>国</w:t>
      </w:r>
      <w:r>
        <w:rPr>
          <w:rStyle w:val="2Char"/>
          <w:rFonts w:ascii="仿宋" w:eastAsia="仿宋" w:hint="eastAsia"/>
          <w:b w:val="0"/>
          <w:bCs w:val="0"/>
        </w:rPr>
        <w:t>有资本经营预算财政拨款收入支出决算表</w:t>
      </w:r>
      <w:bookmarkEnd w:id="67"/>
    </w:p>
    <w:p>
      <w:pPr>
        <w:rPr>
          <w:rFonts w:eastAsia="仿宋"/>
        </w:rPr>
      </w:pPr>
      <w:r>
        <w:rPr>
          <w:rStyle w:val="2Char"/>
          <w:rFonts w:ascii="仿宋" w:eastAsia="仿宋" w:hint="eastAsia"/>
          <w:b w:val="0"/>
          <w:bCs w:val="0"/>
        </w:rPr>
        <w:t>十四、国有资本经营预算财政拨款支出决算表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3000509000000000000"/>
    <w:charset w:val="86"/>
    <w:family w:val="script"/>
    <w:pitch w:val="variable"/>
    <w:sig w:usb0="00000001" w:usb1="080E0000" w:usb2="00000000" w:usb3="00000000" w:csb0="00040000" w:csb1="00000000"/>
  </w:font>
  <w:font w:name="仿宋_GB2312">
    <w:altName w:val="仿宋"/>
    <w:panose1 w:val="02010609030101010101"/>
    <w:charset w:val="86"/>
    <w:family w:val="modern"/>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1"/>
    <w:family w:val="auto"/>
    <w:pitch w:val="variable"/>
    <w:sig w:usb0="E0002AFF" w:usb1="C0007841" w:usb2="00000009" w:usb3="00000000" w:csb0="400001FF" w:csb1="FFFF0000"/>
  </w:font>
  <w:font w:name="Cambria">
    <w:panose1 w:val="02040503050406030204"/>
    <w:charset w:val="00"/>
    <w:family w:val="roman"/>
    <w:pitch w:val="variable"/>
    <w:sig w:usb0="E00002FF" w:usb1="400004FF" w:usb2="00000000" w:usb3="00000000" w:csb0="2000019F"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527881442"/>
    </w:sdtPr>
    <w:sdtContent>
      <w:p>
        <w:pPr>
          <w:pStyle w:val="18"/>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A48C403"/>
    <w:multiLevelType w:val="singleLevel"/>
    <w:tmpl w:val="BA48C403"/>
    <w:lvl w:ilvl="0">
      <w:start w:val="1"/>
      <w:numFmt w:val="chineseCounting"/>
      <w:lvlRestart w:val="0"/>
      <w:suff w:val="nothing"/>
      <w:lvlText w:val="%1、"/>
      <w:lvlJc w:val="left"/>
      <w:pPr>
        <w:ind w:left="0" w:hanging="0"/>
      </w:pPr>
      <w:rPr>
        <w:rFonts w:hint="eastAsia"/>
      </w:r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Yzc1YTE4M2JmZGZjOWQ1ZWUzYjQ4ZGViNTQ3OGY5Nj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hAnsi="Cambria"/>
      <w:color w:val="376092"/>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hAnsi="Cambria"/>
      <w:color w:val="376092"/>
      <w:kern w:val="0"/>
      <w:sz w:val="28"/>
      <w:szCs w:val="28"/>
    </w:rPr>
  </w:style>
  <w:style w:type="character" w:customStyle="1" w:styleId="31">
    <w:name w:val="15"/>
    <w:basedOn w:val="10"/>
    <w:rPr>
      <w:rFonts w:ascii="Times New Roman" w:cs="Times New Roman" w:hAnsi="Times New Roman"/>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收、支决算总计变动情况图</a:t>
            </a:r>
          </a:p>
        </c:rich>
      </c:tx>
      <c:layout/>
      <c:overlay val="0"/>
      <c:spPr>
        <a:ln>
          <a:noFill/>
        </a:ln>
      </c:spPr>
    </c:title>
    <c:autoTitleDeleted val="1"/>
    <c:plotArea>
      <c:layout>
        <c:manualLayout>
          <c:layoutTarget val="inner"/>
          <c:xMode val="edge"/>
          <c:yMode val="edge"/>
          <c:x val="0.15079872"/>
          <c:y val="0.19907407"/>
          <c:w val="0.83531046"/>
          <c:h val="0.595"/>
        </c:manualLayout>
      </c:layout>
      <c:barChart>
        <c:barDir val="col"/>
        <c:grouping val="clustered"/>
        <c:varyColors val="0"/>
        <c:ser>
          <c:idx val="0"/>
          <c:order val="0"/>
          <c:tx>
            <c:v>      本年收入合计</c:v>
          </c:tx>
          <c:spPr>
            <a:solidFill>
              <a:srgbClr val="5B9BD5"/>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1389.1</c:v>
                </c:pt>
                <c:pt idx="1">
                  <c:v>1463.28</c:v>
                </c:pt>
              </c:numCache>
            </c:numRef>
          </c:val>
        </c:ser>
        <c:ser>
          <c:idx val="1"/>
          <c:order val="1"/>
          <c:tx>
            <c:v>      本年支出合计</c:v>
          </c:tx>
          <c:spPr>
            <a:solidFill>
              <a:srgbClr val="70AD47"/>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1404.51</c:v>
                </c:pt>
                <c:pt idx="1">
                  <c:v>1463.9</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收入决算结构图</a:t>
            </a:r>
          </a:p>
        </c:rich>
      </c:tx>
      <c:layout/>
      <c:overlay val="0"/>
      <c:spPr>
        <a:ln>
          <a:noFill/>
        </a:ln>
      </c:spPr>
    </c:title>
    <c:autoTitleDeleted val="1"/>
    <c:plotArea>
      <c:layout/>
      <c:pieChart>
        <c:varyColors val="1"/>
        <c:ser>
          <c:idx val="0"/>
          <c:order val="0"/>
          <c:spPr>
            <a:ln>
              <a:noFill/>
            </a:ln>
          </c:spPr>
          <c:dPt>
            <c:idx val="0"/>
            <c:bubble3D val="0"/>
            <c:explosion val="0"/>
            <c:spPr>
              <a:solidFill>
                <a:srgbClr val="5B9BD5"/>
              </a:solidFill>
              <a:ln w="19050">
                <a:solidFill>
                  <a:srgbClr val="FFFFFF"/>
                </a:solidFill>
                <a:prstDash val="solid"/>
              </a:ln>
            </c:spPr>
          </c:dPt>
          <c:dPt>
            <c:idx val="1"/>
            <c:bubble3D val="0"/>
            <c:explosion val="0"/>
            <c:spPr>
              <a:solidFill>
                <a:srgbClr val="70AD47">
                  <a:alpha val="50000"/>
                </a:srgbClr>
              </a:solidFill>
              <a:ln w="19050">
                <a:solidFill>
                  <a:srgbClr val="FFFFFF"/>
                </a:solidFill>
                <a:prstDash val="solid"/>
              </a:ln>
            </c:spPr>
          </c:dPt>
          <c:dPt>
            <c:idx val="2"/>
            <c:bubble3D val="0"/>
            <c:explosion val="0"/>
            <c:spPr>
              <a:solidFill>
                <a:srgbClr val="FFC000">
                  <a:alpha val="50000"/>
                </a:srgbClr>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dLbl>
              <c:idx val="0"/>
              <c:layout>
                <c:manualLayout>
                  <c:x val="0.008787691"/>
                  <c:y val="-0.12878896"/>
                </c:manualLayout>
              </c:layout>
              <c:numFmt formatCode="General" sourceLinked="0"/>
              <c:spPr>
                <a:no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1"/>
              <c:layout>
                <c:manualLayout>
                  <c:x val="0.043253567"/>
                  <c:y val="0.004946958"/>
                </c:manualLayout>
              </c:layout>
              <c:numFmt formatCode="General" sourceLinked="0"/>
              <c:spPr>
                <a:solidFill>
                  <a:srgbClr val="70AD47"/>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2"/>
              <c:layout>
                <c:manualLayout>
                  <c:x val="-0.049726244"/>
                  <c:y val="0.008484954"/>
                </c:manualLayout>
              </c:layout>
              <c:numFmt formatCode="General" sourceLinked="0"/>
              <c:spPr>
                <a:solidFill>
                  <a:srgbClr val="FFC000"/>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1"/>
          </c:dLbls>
          <c:cat>
            <c:strLit>
              <c:ptCount val="2"/>
              <c:pt idx="0">
                <c:v>一般公共预算财政拨款收入</c:v>
              </c:pt>
              <c:pt idx="1">
                <c:v>其他收入</c:v>
              </c:pt>
            </c:strLit>
          </c:cat>
          <c:val>
            <c:numRef>
              <c:f/>
              <c:numCache>
                <c:formatCode>General</c:formatCode>
                <c:ptCount val="3"/>
                <c:pt idx="0">
                  <c:v>1461.36</c:v>
                </c:pt>
                <c:pt idx="1">
                  <c:v>1.92</c:v>
                </c:pt>
                <c:pt idx="2">
                  <c:v>0.0</c:v>
                </c:pt>
              </c:numCache>
            </c:numRef>
          </c:val>
        </c:ser>
        <c:firstSliceAng val="0"/>
      </c:pieChart>
      <c:spPr>
        <a:noFill/>
        <a:ln>
          <a:noFill/>
        </a:ln>
      </c:spPr>
    </c:plotArea>
    <c:legend>
      <c:legendPos val="r"/>
      <c:layout>
        <c:manualLayout>
          <c:xMode val="edge"/>
          <c:yMode val="edge"/>
          <c:x val="0.6479167"/>
          <c:y val="0.43969926"/>
          <c:w val="0.3375"/>
          <c:h val="0.20425"/>
        </c:manualLayout>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支出决算结构图</a:t>
            </a:r>
          </a:p>
        </c:rich>
      </c:tx>
      <c:layout/>
      <c:overlay val="0"/>
      <c:spPr>
        <a:ln>
          <a:noFill/>
        </a:ln>
      </c:spPr>
    </c:title>
    <c:autoTitleDeleted val="1"/>
    <c:plotArea>
      <c:layout/>
      <c:pieChart>
        <c:varyColors val="1"/>
        <c:ser>
          <c:idx val="0"/>
          <c:order val="0"/>
          <c:spPr>
            <a:solidFill>
              <a:srgbClr val="70AD47"/>
            </a:solidFill>
            <a:ln>
              <a:noFill/>
            </a:ln>
          </c:spPr>
          <c:dPt>
            <c:idx val="0"/>
            <c:bubble3D val="0"/>
            <c:explosion val="0"/>
            <c:spPr>
              <a:solidFill>
                <a:srgbClr val="70AD47"/>
              </a:solidFill>
              <a:ln w="19050">
                <a:solidFill>
                  <a:srgbClr val="FFFFFF"/>
                </a:solidFill>
                <a:prstDash val="solid"/>
              </a:ln>
            </c:spPr>
          </c:dPt>
          <c:dPt>
            <c:idx val="1"/>
            <c:bubble3D val="0"/>
            <c:explosion val="0"/>
            <c:spPr>
              <a:solidFill>
                <a:srgbClr val="5B9BD5"/>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showLegendKey val="0"/>
            <c:showVal val="1"/>
            <c:showCatName val="0"/>
            <c:showSerName val="0"/>
            <c:showPercent val="0"/>
            <c:showBubbleSize val="0"/>
            <c:showLeaderLines val="1"/>
          </c:dLbls>
          <c:cat>
            <c:strLit>
              <c:ptCount val="2"/>
              <c:pt idx="0">
                <c:v>基本支出</c:v>
              </c:pt>
              <c:pt idx="1">
                <c:v>项目支出</c:v>
              </c:pt>
            </c:strLit>
          </c:cat>
          <c:val>
            <c:numRef>
              <c:f/>
              <c:numCache>
                <c:formatCode>General</c:formatCode>
                <c:ptCount val="2"/>
                <c:pt idx="0">
                  <c:v>1215.41</c:v>
                </c:pt>
                <c:pt idx="1">
                  <c:v>248.49</c:v>
                </c:pt>
              </c:numCache>
            </c:numRef>
          </c:val>
        </c:ser>
        <c:firstSliceAng val="0"/>
      </c:pieChart>
      <c:spPr>
        <a:noFill/>
        <a:ln>
          <a:noFill/>
        </a:ln>
      </c:spPr>
    </c:plotArea>
    <c:legend>
      <c:legendPos val="r"/>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财政拨款收、支决算总计变动情况</a:t>
            </a:r>
          </a:p>
        </c:rich>
      </c:tx>
      <c:layout>
        <c:manualLayout>
          <c:xMode val="edge"/>
          <c:yMode val="edge"/>
          <c:x val="0.20055556"/>
          <c:y val="0.024305556"/>
        </c:manualLayout>
      </c:layout>
      <c:overlay val="0"/>
      <c:spPr>
        <a:ln>
          <a:noFill/>
        </a:ln>
      </c:spPr>
    </c:title>
    <c:autoTitleDeleted val="1"/>
    <c:plotArea>
      <c:layout/>
      <c:barChart>
        <c:barDir val="col"/>
        <c:grouping val="clustered"/>
        <c:varyColors val="0"/>
        <c:ser>
          <c:idx val="0"/>
          <c:order val="0"/>
          <c:tx>
            <c:v>      本年财政拨款收入合计</c:v>
          </c:tx>
          <c:spPr>
            <a:solidFill>
              <a:srgbClr val="5B9BD5"/>
            </a:solidFill>
            <a:ln>
              <a:noFill/>
            </a:ln>
          </c:spPr>
          <c:invertIfNegative val="0"/>
          <c:dLbls>
            <c:spPr>
              <a:noFill/>
              <a:ln>
                <a:noFill/>
              </a:ln>
            </c:spPr>
            <c:txPr>
              <a:bodyPr vert="horz"/>
              <a:lstStyle/>
              <a:p>
                <a:pPr>
                  <a:defRPr sz="900" b="0" i="0" u="none" strike="noStrike" baseline="0">
                    <a:solidFill>
                      <a:srgbClr val="000000"/>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1352.03</c:v>
                </c:pt>
                <c:pt idx="1">
                  <c:v>1461.36</c:v>
                </c:pt>
              </c:numCache>
            </c:numRef>
          </c:val>
        </c:ser>
        <c:ser>
          <c:idx val="1"/>
          <c:order val="1"/>
          <c:tx>
            <c:v>      本年财政拨款支出合计</c:v>
          </c:tx>
          <c:spPr>
            <a:solidFill>
              <a:srgbClr val="70AD47"/>
            </a:solidFill>
            <a:ln>
              <a:noFill/>
            </a:ln>
          </c:spPr>
          <c:invertIfNegative val="0"/>
          <c:dLbls>
            <c:spPr>
              <a:noFill/>
              <a:ln>
                <a:noFill/>
              </a:ln>
            </c:spPr>
            <c:txPr>
              <a:bodyPr vert="horz"/>
              <a:lstStyle/>
              <a:p>
                <a:pPr>
                  <a:defRPr sz="900" b="0" i="0" u="none" strike="noStrike" baseline="0">
                    <a:solidFill>
                      <a:srgbClr val="000000"/>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1358.11</c:v>
                </c:pt>
                <c:pt idx="1">
                  <c:v>1461.36</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微软雅黑"/>
                <a:ea typeface="微软雅黑"/>
                <a:cs typeface="Arial"/>
              </a:defRPr>
            </a:pPr>
            <a:r>
              <a:rPr lang="zh-CN"/>
              <a:t>一般公共预算财政拨款支出决算变动情况</a:t>
            </a:r>
          </a:p>
        </c:rich>
      </c:tx>
      <c:layout/>
      <c:overlay val="0"/>
      <c:spPr>
        <a:ln>
          <a:noFill/>
        </a:ln>
      </c:spPr>
    </c:title>
    <c:autoTitleDeleted val="1"/>
    <c:plotArea>
      <c:layout/>
      <c:barChart>
        <c:barDir val="col"/>
        <c:grouping val="clustered"/>
        <c:varyColors val="0"/>
        <c:ser>
          <c:idx val="0"/>
          <c:order val="0"/>
          <c:tx>
            <c:v>一般公共预算财政拨款支出</c:v>
          </c:tx>
          <c:spPr>
            <a:solidFill>
              <a:srgbClr val="5B9BD5"/>
            </a:solidFill>
            <a:ln>
              <a:noFill/>
            </a:ln>
          </c:spPr>
          <c:invertIfNegative val="0"/>
          <c:dLbls>
            <c:spPr>
              <a:noFill/>
              <a:ln>
                <a:noFill/>
              </a:ln>
            </c:spPr>
            <c:txPr>
              <a:bodyPr vert="horz"/>
              <a:lstStyle/>
              <a:p>
                <a:pPr>
                  <a:defRPr sz="900" b="0" i="0" u="none" strike="noStrike" baseline="0">
                    <a:solidFill>
                      <a:srgbClr val="FFFFFF"/>
                    </a:solidFill>
                    <a:latin typeface="宋体"/>
                    <a:ea typeface="宋体"/>
                    <a:cs typeface="Arial"/>
                  </a:defRPr>
                </a:pPr>
                <a:endParaRPr lang="zh-CN"/>
              </a:p>
            </c:txPr>
            <c:numFmt formatCode="General" sourceLinked="0"/>
            <c:dLblPos val="inEnd"/>
            <c:showLegendKey val="0"/>
            <c:showVal val="1"/>
            <c:showCatName val="0"/>
            <c:showSerName val="0"/>
            <c:showPercent val="0"/>
            <c:showBubbleSize val="0"/>
            <c:showLeaderLines val="0"/>
          </c:dLbls>
          <c:cat>
            <c:strLit>
              <c:ptCount val="2"/>
              <c:pt idx="0">
                <c:v>2021年</c:v>
              </c:pt>
              <c:pt idx="1">
                <c:v>2022年</c:v>
              </c:pt>
            </c:strLit>
          </c:cat>
          <c:val>
            <c:numRef>
              <c:f/>
              <c:numCache>
                <c:formatCode>#,##0.00</c:formatCode>
                <c:ptCount val="2"/>
                <c:pt idx="0">
                  <c:v>1358.11</c:v>
                </c:pt>
                <c:pt idx="1">
                  <c:v>1461.36</c:v>
                </c:pt>
              </c:numCache>
            </c:numRef>
          </c:val>
        </c:ser>
        <c:overlap val="-10"/>
        <c:gapWidth val="219"/>
        <c:axId val="0"/>
        <c:axId val="1"/>
      </c:barChart>
      <c:catAx>
        <c:axId val="0"/>
        <c:scaling>
          <c:orientation val="minMax"/>
        </c:scaling>
        <c:delete val="0"/>
        <c:axPos val="b"/>
        <c:numFmt formatCode="General" sourceLinked="1"/>
        <c:majorTickMark val="none"/>
        <c:minorTickMark val="none"/>
        <c:tickLblPos val="nextTo"/>
        <c:spPr>
          <a:ln w="6350">
            <a:solidFill>
              <a:srgbClr val="F2F2F2"/>
            </a:solidFill>
            <a:prstDash val="solid"/>
          </a:ln>
        </c:spPr>
        <c:txPr>
          <a:bodyPr rot="0" vert="horz" anchor="t" anchorCtr="0"/>
          <a:lstStyle/>
          <a:p>
            <a:pPr>
              <a:defRPr sz="900" b="0" i="0" u="none" strike="noStrike" baseline="0">
                <a:solidFill>
                  <a:srgbClr val="333333"/>
                </a:solidFill>
                <a:latin typeface="微软雅黑"/>
                <a:ea typeface="微软雅黑"/>
                <a:cs typeface="Arial"/>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0.00" sourceLinked="1"/>
        <c:majorTickMark val="none"/>
        <c:minorTickMark val="none"/>
        <c:tickLblPos val="nextTo"/>
        <c:spPr>
          <a:ln>
            <a:noFill/>
          </a:ln>
        </c:spPr>
        <c:txPr>
          <a:bodyPr rot="0" vert="horz" anchor="t" anchorCtr="0"/>
          <a:lstStyle/>
          <a:p>
            <a:pPr>
              <a:defRPr sz="900" b="0" i="0" u="none" strike="noStrike" baseline="0">
                <a:solidFill>
                  <a:srgbClr val="333333"/>
                </a:solidFill>
                <a:latin typeface="宋体"/>
                <a:ea typeface="宋体"/>
                <a:cs typeface="Arial"/>
              </a:defRPr>
            </a:pPr>
            <a:endParaRPr lang="zh-CN"/>
          </a:p>
        </c:txPr>
        <c:crossesAt val="1.0"/>
        <c:crossBetween val="between"/>
        <c:crossAx val="0"/>
      </c:valAx>
      <c:spPr>
        <a:noFill/>
        <a:ln>
          <a:noFill/>
        </a:ln>
      </c:spPr>
    </c:plotArea>
    <c:legend>
      <c:legendPos val="b"/>
      <c:layout/>
      <c:overlay val="0"/>
      <c:spPr>
        <a:noFill/>
        <a:ln>
          <a:noFill/>
        </a:ln>
      </c:spPr>
      <c:txPr>
        <a:bodyPr/>
        <a:lstStyle/>
        <a:p>
          <a:pPr>
            <a:defRPr sz="850" b="0" i="0" u="none" strike="noStrike" baseline="0">
              <a:solidFill>
                <a:srgbClr val="333333"/>
              </a:solidFill>
              <a:latin typeface="微软雅黑"/>
              <a:ea typeface="微软雅黑"/>
              <a:cs typeface="Arial"/>
            </a:defRPr>
          </a:pPr>
          <a:endParaRPr lang="zh-CN"/>
        </a:p>
      </c:txPr>
    </c:legend>
    <c:plotVisOnly val="1"/>
    <c:dispBlanksAs val="gap"/>
    <c:showDLblsOverMax val="0"/>
  </c:chart>
  <c:spPr>
    <a:solidFill>
      <a:srgbClr val="FFFFFF"/>
    </a:solidFill>
    <a:ln w="6350">
      <a:solidFill>
        <a:srgbClr val="F2F2F2"/>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808080"/>
                </a:solidFill>
                <a:latin typeface="宋体"/>
                <a:ea typeface="宋体"/>
                <a:cs typeface="Arial"/>
              </a:defRPr>
            </a:pPr>
            <a:r>
              <a:rPr lang="zh-CN"/>
              <a:t>一般公共预算财政拨款支出决算结构</a:t>
            </a:r>
          </a:p>
        </c:rich>
      </c:tx>
      <c:layout>
        <c:manualLayout>
          <c:xMode val="edge"/>
          <c:yMode val="edge"/>
          <c:x val="0.18097222"/>
          <c:y val="0.90185183"/>
        </c:manualLayout>
      </c:layout>
      <c:overlay val="0"/>
      <c:spPr>
        <a:ln>
          <a:noFill/>
        </a:ln>
      </c:spPr>
    </c:title>
    <c:autoTitleDeleted val="1"/>
    <c:plotArea>
      <c:layout/>
      <c:pieChart>
        <c:varyColors val="1"/>
        <c:ser>
          <c:idx val="0"/>
          <c:order val="0"/>
          <c:spPr>
            <a:ln>
              <a:noFill/>
            </a:ln>
          </c:spPr>
          <c:dPt>
            <c:idx val="0"/>
            <c:bubble3D val="0"/>
            <c:explosion val="0"/>
            <c:spPr>
              <a:solidFill>
                <a:srgbClr val="70AD47"/>
              </a:solidFill>
              <a:ln w="19050">
                <a:solidFill>
                  <a:srgbClr val="FFFFFF"/>
                </a:solidFill>
                <a:prstDash val="solid"/>
              </a:ln>
            </c:spPr>
          </c:dPt>
          <c:dPt>
            <c:idx val="1"/>
            <c:bubble3D val="0"/>
            <c:explosion val="0"/>
            <c:spPr>
              <a:solidFill>
                <a:srgbClr val="5B9BD5"/>
              </a:solidFill>
              <a:ln w="19050">
                <a:solidFill>
                  <a:srgbClr val="FFFFFF"/>
                </a:solidFill>
                <a:prstDash val="solid"/>
              </a:ln>
            </c:spPr>
          </c:dPt>
          <c:dPt>
            <c:idx val="2"/>
            <c:bubble3D val="0"/>
            <c:explosion val="0"/>
            <c:spPr>
              <a:solidFill>
                <a:srgbClr val="FFC000"/>
              </a:solidFill>
              <a:ln w="19050">
                <a:solidFill>
                  <a:srgbClr val="FFFFFF"/>
                </a:solidFill>
                <a:prstDash val="solid"/>
              </a:ln>
            </c:spPr>
          </c:dPt>
          <c:dPt>
            <c:idx val="3"/>
            <c:bubble3D val="0"/>
            <c:explosion val="0"/>
            <c:spPr>
              <a:solidFill>
                <a:srgbClr val="ED7D31"/>
              </a:solidFill>
              <a:ln w="19050">
                <a:solidFill>
                  <a:srgbClr val="FFFFFF"/>
                </a:solidFill>
                <a:prstDash val="solid"/>
              </a:ln>
            </c:spPr>
          </c:dPt>
          <c:dLbls>
            <c:spPr>
              <a:noFill/>
              <a:ln>
                <a:noFill/>
              </a:ln>
            </c:spPr>
            <c:txPr>
              <a:bodyPr vert="horz"/>
              <a:lstStyle/>
              <a:p>
                <a:pPr>
                  <a:defRPr sz="900" b="0" i="0" u="none" strike="noStrike" baseline="0">
                    <a:solidFill>
                      <a:srgbClr val="333333"/>
                    </a:solidFill>
                    <a:latin typeface="宋体"/>
                    <a:ea typeface="宋体"/>
                    <a:cs typeface="Arial"/>
                  </a:defRPr>
                </a:pPr>
                <a:endParaRPr lang="zh-CN"/>
              </a:p>
            </c:txPr>
            <c:numFmt formatCode="General" sourceLinked="0"/>
            <c:dLbl>
              <c:idx val="0"/>
              <c:layout>
                <c:manualLayout>
                  <c:x val="0.037693854"/>
                  <c:y val="-0.047136288"/>
                </c:manualLayout>
              </c:layout>
              <c:numFmt formatCode="General" sourceLinked="0"/>
              <c:spPr>
                <a:solidFill>
                  <a:srgbClr val="70AD47"/>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2"/>
              <c:layout>
                <c:manualLayout>
                  <c:x val="-0.082578585"/>
                  <c:y val="0.029251724"/>
                </c:manualLayout>
              </c:layout>
              <c:numFmt formatCode="General" sourceLinked="0"/>
              <c:spPr>
                <a:solidFill>
                  <a:srgbClr val="FFC000"/>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dLbl>
              <c:idx val="3"/>
              <c:layout>
                <c:manualLayout>
                  <c:x val="-0.033662364"/>
                  <c:y val="-0.047076132"/>
                </c:manualLayout>
              </c:layout>
              <c:numFmt formatCode="General" sourceLinked="0"/>
              <c:spPr>
                <a:solidFill>
                  <a:srgbClr val="ED7D31">
                    <a:alpha val="50000"/>
                  </a:srgbClr>
                </a:solidFill>
                <a:ln>
                  <a:noFill/>
                </a:ln>
              </c:spPr>
              <c:txPr>
                <a:bodyPr vert="horz"/>
                <a:lstStyle/>
                <a:p>
                  <a:pPr>
                    <a:defRPr sz="900" b="0" i="0" u="none" strike="noStrike" baseline="0">
                      <a:solidFill>
                        <a:srgbClr val="333333"/>
                      </a:solidFill>
                      <a:latin typeface="宋体"/>
                      <a:ea typeface="宋体"/>
                      <a:cs typeface="Arial"/>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1"/>
          </c:dLbls>
          <c:cat>
            <c:strLit>
              <c:ptCount val="4"/>
              <c:pt idx="0">
                <c:v>教育支出</c:v>
              </c:pt>
              <c:pt idx="1">
                <c:v>社会保障和就业支出</c:v>
              </c:pt>
              <c:pt idx="2">
                <c:v>医疗卫生与计划生育支出</c:v>
              </c:pt>
              <c:pt idx="3">
                <c:v>住房保障支出</c:v>
              </c:pt>
            </c:strLit>
          </c:cat>
          <c:val>
            <c:numRef>
              <c:f/>
              <c:numCache>
                <c:formatCode>General</c:formatCode>
                <c:ptCount val="4"/>
                <c:pt idx="0">
                  <c:v>1163.06</c:v>
                </c:pt>
                <c:pt idx="1">
                  <c:v>147.18</c:v>
                </c:pt>
                <c:pt idx="2">
                  <c:v>64.06</c:v>
                </c:pt>
                <c:pt idx="3">
                  <c:v>87.06</c:v>
                </c:pt>
              </c:numCache>
            </c:numRef>
          </c:val>
        </c:ser>
        <c:firstSliceAng val="0"/>
      </c:pieChart>
      <c:spPr>
        <a:noFill/>
        <a:ln>
          <a:noFill/>
        </a:ln>
      </c:spPr>
    </c:plotArea>
    <c:legend>
      <c:legendPos val="r"/>
      <c:layout/>
      <c:overlay val="0"/>
      <c:spPr>
        <a:solidFill>
          <a:srgbClr val="FFFFFF">
            <a:alpha val="50000"/>
          </a:srgbClr>
        </a:solidFill>
        <a:ln>
          <a:noFill/>
        </a:ln>
      </c:spPr>
      <c:txPr>
        <a:bodyPr/>
        <a:lstStyle/>
        <a:p>
          <a:pPr>
            <a:defRPr sz="850" b="0" i="0" u="none" strike="noStrike" baseline="0">
              <a:solidFill>
                <a:srgbClr val="333333"/>
              </a:solidFill>
              <a:latin typeface="宋体"/>
              <a:ea typeface="宋体"/>
              <a:cs typeface="Arial"/>
            </a:defRPr>
          </a:pPr>
          <a:endParaRPr lang="zh-CN"/>
        </a:p>
      </c:txPr>
    </c:legend>
    <c:plotVisOnly val="1"/>
    <c:dispBlanksAs val="gap"/>
    <c:showDLblsOverMax val="0"/>
  </c:chart>
  <c:spPr>
    <a:pattFill prst="dkDnDiag">
      <a:fgClr>
        <a:srgbClr val="FFFFFF"/>
      </a:fgClr>
      <a:bgClr>
        <a:srgbClr val="FFFFFF"/>
      </a:bgClr>
    </a:pattFill>
    <a:ln w="6350">
      <a:solidFill>
        <a:srgbClr val="D9D9D9"/>
      </a:solidFill>
      <a:prstDash val="solid"/>
    </a:ln>
  </c:spPr>
  <c:txPr>
    <a:bodyPr/>
    <a:lstStyle/>
    <a:p>
      <a:pPr>
        <a:defRPr sz="1000" b="0" i="0" u="none" strike="noStrike" baseline="0">
          <a:solidFill>
            <a:srgbClr val="000000"/>
          </a:solidFill>
          <a:latin typeface="宋体"/>
          <a:ea typeface="宋体"/>
          <a:cs typeface="Arial"/>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27</TotalTime>
  <Application>Yozo_Office27021597764231179</Application>
  <Pages>17</Pages>
  <Words>5678</Words>
  <Characters>6257</Characters>
  <Lines>323</Lines>
  <Paragraphs>145</Paragraphs>
  <CharactersWithSpaces>6280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2023-11-01T07:16:26Z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2052-12.1.0.15712</vt:lpwstr>
  </property>
  <property fmtid="{D5CDD505-2E9C-101B-9397-08002B2CF9AE}" pid="3" name="ICV">
    <vt:lpwstr>3EB603FB68944F0DAF7EB9DA3960E696_13</vt:lpwstr>
  </property>
</Properties>
</file>