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adjustRightInd w:val="0"/>
        <w:snapToGrid w:val="0"/>
        <w:spacing w:line="560" w:lineRule="exact"/>
        <w:jc w:val="center"/>
        <w:outlineLvl w:val="0"/>
        <w:rPr>
          <w:rFonts w:ascii="方正小标宋简体" w:eastAsia="方正小标宋简体"/>
          <w:sz w:val="72"/>
          <w:szCs w:val="72"/>
        </w:rPr>
      </w:pPr>
      <w:bookmarkStart w:id="0" w:name="_Toc15306267"/>
    </w:p>
    <w:p>
      <w:pPr>
        <w:pageBreakBefore w:val="0"/>
        <w:kinsoku/>
        <w:wordWrap/>
        <w:overflowPunct/>
        <w:topLinePunct w:val="0"/>
        <w:bidi w:val="0"/>
        <w:adjustRightInd w:val="0"/>
        <w:snapToGrid w:val="0"/>
        <w:spacing w:line="560" w:lineRule="exact"/>
        <w:jc w:val="center"/>
        <w:outlineLvl w:val="0"/>
        <w:rPr>
          <w:rFonts w:ascii="方正小标宋简体" w:eastAsia="方正小标宋简体"/>
          <w:sz w:val="72"/>
          <w:szCs w:val="72"/>
        </w:rPr>
      </w:pPr>
    </w:p>
    <w:p>
      <w:pPr>
        <w:pageBreakBefore w:val="0"/>
        <w:kinsoku/>
        <w:wordWrap/>
        <w:overflowPunct/>
        <w:topLinePunct w:val="0"/>
        <w:bidi w:val="0"/>
        <w:adjustRightInd w:val="0"/>
        <w:snapToGrid w:val="0"/>
        <w:spacing w:line="560" w:lineRule="exact"/>
        <w:jc w:val="center"/>
        <w:outlineLvl w:val="0"/>
        <w:rPr>
          <w:rFonts w:ascii="方正小标宋简体" w:eastAsia="方正小标宋简体"/>
          <w:sz w:val="72"/>
          <w:szCs w:val="72"/>
        </w:rPr>
      </w:pPr>
    </w:p>
    <w:p>
      <w:pPr>
        <w:jc w:val="center"/>
        <w:rPr>
          <w:rFonts w:hint="eastAsia" w:ascii="方正小标宋简体" w:hAnsi="Times New Roman" w:eastAsia="方正小标宋简体" w:cs="Times New Roman"/>
          <w:sz w:val="72"/>
          <w:szCs w:val="72"/>
        </w:rPr>
      </w:pPr>
    </w:p>
    <w:p>
      <w:pPr>
        <w:jc w:val="center"/>
        <w:rPr>
          <w:rFonts w:hint="eastAsia" w:ascii="方正小标宋简体" w:hAnsi="Times New Roman" w:eastAsia="方正小标宋简体" w:cs="Times New Roman"/>
          <w:sz w:val="72"/>
          <w:szCs w:val="72"/>
          <w:lang w:eastAsia="zh-CN"/>
        </w:rPr>
      </w:pPr>
      <w:bookmarkStart w:id="1" w:name="_Toc15378441"/>
      <w:bookmarkStart w:id="2" w:name="_Toc15396475"/>
      <w:bookmarkStart w:id="3" w:name="_Toc15377193"/>
      <w:bookmarkStart w:id="4" w:name="_Toc15396597"/>
      <w:bookmarkStart w:id="5" w:name="_Toc15377425"/>
      <w:r>
        <w:rPr>
          <w:rFonts w:hint="eastAsia" w:ascii="方正小标宋简体" w:hAnsi="Times New Roman" w:eastAsia="方正小标宋简体" w:cs="Times New Roman"/>
          <w:sz w:val="72"/>
          <w:szCs w:val="72"/>
          <w:lang w:eastAsia="zh-CN"/>
        </w:rPr>
        <w:t>2021年度</w:t>
      </w:r>
      <w:bookmarkEnd w:id="1"/>
      <w:bookmarkEnd w:id="2"/>
      <w:bookmarkEnd w:id="3"/>
      <w:bookmarkEnd w:id="4"/>
      <w:bookmarkEnd w:id="5"/>
    </w:p>
    <w:p>
      <w:pPr>
        <w:jc w:val="center"/>
        <w:rPr>
          <w:rFonts w:hint="eastAsia" w:ascii="方正小标宋简体" w:hAnsi="Times New Roman" w:eastAsia="方正小标宋简体" w:cs="Times New Roman"/>
          <w:sz w:val="72"/>
          <w:szCs w:val="72"/>
          <w:lang w:eastAsia="zh-CN"/>
        </w:rPr>
      </w:pPr>
      <w:bookmarkStart w:id="6" w:name="_Toc15377426"/>
      <w:bookmarkStart w:id="7" w:name="_Toc15396598"/>
      <w:bookmarkStart w:id="8" w:name="_Toc15377194"/>
      <w:bookmarkStart w:id="9" w:name="_Toc15396476"/>
      <w:bookmarkStart w:id="10" w:name="_Toc15378442"/>
      <w:r>
        <w:rPr>
          <w:rFonts w:hint="eastAsia" w:ascii="方正小标宋简体" w:hAnsi="Times New Roman" w:eastAsia="方正小标宋简体" w:cs="Times New Roman"/>
          <w:sz w:val="72"/>
          <w:szCs w:val="72"/>
          <w:lang w:eastAsia="zh-CN"/>
        </w:rPr>
        <w:t>阿坝州</w:t>
      </w:r>
      <w:bookmarkEnd w:id="0"/>
      <w:bookmarkStart w:id="11" w:name="_Toc15306268"/>
      <w:r>
        <w:rPr>
          <w:rFonts w:hint="eastAsia" w:ascii="方正小标宋简体" w:hAnsi="Times New Roman" w:eastAsia="方正小标宋简体" w:cs="Times New Roman"/>
          <w:sz w:val="72"/>
          <w:szCs w:val="72"/>
          <w:lang w:eastAsia="zh-CN"/>
        </w:rPr>
        <w:t>红原县公安局</w:t>
      </w:r>
    </w:p>
    <w:p>
      <w:pPr>
        <w:jc w:val="center"/>
        <w:rPr>
          <w:rFonts w:hint="eastAsia" w:ascii="方正小标宋简体" w:hAnsi="Times New Roman" w:eastAsia="方正小标宋简体" w:cs="Times New Roman"/>
          <w:sz w:val="72"/>
          <w:szCs w:val="72"/>
          <w:lang w:eastAsia="zh-CN"/>
        </w:rPr>
      </w:pPr>
      <w:r>
        <w:rPr>
          <w:rFonts w:hint="eastAsia" w:ascii="方正小标宋简体" w:hAnsi="Times New Roman" w:eastAsia="方正小标宋简体" w:cs="Times New Roman"/>
          <w:sz w:val="72"/>
          <w:szCs w:val="72"/>
          <w:lang w:eastAsia="zh-CN"/>
        </w:rPr>
        <w:t>单位决算</w:t>
      </w:r>
      <w:bookmarkEnd w:id="6"/>
      <w:bookmarkEnd w:id="7"/>
      <w:bookmarkEnd w:id="8"/>
      <w:bookmarkEnd w:id="9"/>
      <w:bookmarkEnd w:id="10"/>
      <w:bookmarkEnd w:id="11"/>
    </w:p>
    <w:p>
      <w:pPr>
        <w:pStyle w:val="5"/>
        <w:pageBreakBefore w:val="0"/>
        <w:kinsoku/>
        <w:wordWrap/>
        <w:overflowPunct/>
        <w:topLinePunct w:val="0"/>
        <w:bidi w:val="0"/>
        <w:adjustRightInd w:val="0"/>
        <w:snapToGrid w:val="0"/>
        <w:spacing w:before="93" w:line="560" w:lineRule="exact"/>
      </w:pPr>
    </w:p>
    <w:p>
      <w:pPr>
        <w:pStyle w:val="5"/>
        <w:pageBreakBefore w:val="0"/>
        <w:kinsoku/>
        <w:wordWrap/>
        <w:overflowPunct/>
        <w:topLinePunct w:val="0"/>
        <w:bidi w:val="0"/>
        <w:adjustRightInd w:val="0"/>
        <w:snapToGrid w:val="0"/>
        <w:spacing w:before="93" w:line="560" w:lineRule="exact"/>
      </w:pPr>
    </w:p>
    <w:p>
      <w:pPr>
        <w:pStyle w:val="5"/>
        <w:pageBreakBefore w:val="0"/>
        <w:kinsoku/>
        <w:wordWrap/>
        <w:overflowPunct/>
        <w:topLinePunct w:val="0"/>
        <w:bidi w:val="0"/>
        <w:adjustRightInd w:val="0"/>
        <w:snapToGrid w:val="0"/>
        <w:spacing w:before="93" w:line="560" w:lineRule="exact"/>
      </w:pPr>
    </w:p>
    <w:p>
      <w:pPr>
        <w:pStyle w:val="5"/>
        <w:pageBreakBefore w:val="0"/>
        <w:kinsoku/>
        <w:wordWrap/>
        <w:overflowPunct/>
        <w:topLinePunct w:val="0"/>
        <w:bidi w:val="0"/>
        <w:adjustRightInd w:val="0"/>
        <w:snapToGrid w:val="0"/>
        <w:spacing w:before="93" w:line="560" w:lineRule="exact"/>
      </w:pPr>
    </w:p>
    <w:p>
      <w:pPr>
        <w:pStyle w:val="5"/>
        <w:pageBreakBefore w:val="0"/>
        <w:kinsoku/>
        <w:wordWrap/>
        <w:overflowPunct/>
        <w:topLinePunct w:val="0"/>
        <w:bidi w:val="0"/>
        <w:adjustRightInd w:val="0"/>
        <w:snapToGrid w:val="0"/>
        <w:spacing w:before="93" w:line="560" w:lineRule="exact"/>
      </w:pPr>
    </w:p>
    <w:p>
      <w:pPr>
        <w:pStyle w:val="5"/>
        <w:pageBreakBefore w:val="0"/>
        <w:kinsoku/>
        <w:wordWrap/>
        <w:overflowPunct/>
        <w:topLinePunct w:val="0"/>
        <w:bidi w:val="0"/>
        <w:adjustRightInd w:val="0"/>
        <w:snapToGrid w:val="0"/>
        <w:spacing w:before="93" w:line="560" w:lineRule="exact"/>
      </w:pPr>
    </w:p>
    <w:p>
      <w:pPr>
        <w:pStyle w:val="5"/>
        <w:pageBreakBefore w:val="0"/>
        <w:kinsoku/>
        <w:wordWrap/>
        <w:overflowPunct/>
        <w:topLinePunct w:val="0"/>
        <w:bidi w:val="0"/>
        <w:adjustRightInd w:val="0"/>
        <w:snapToGrid w:val="0"/>
        <w:spacing w:before="93" w:line="560" w:lineRule="exact"/>
      </w:pPr>
    </w:p>
    <w:p>
      <w:pPr>
        <w:pageBreakBefore w:val="0"/>
        <w:kinsoku/>
        <w:wordWrap/>
        <w:overflowPunct/>
        <w:topLinePunct w:val="0"/>
        <w:autoSpaceDE w:val="0"/>
        <w:autoSpaceDN w:val="0"/>
        <w:bidi w:val="0"/>
        <w:adjustRightInd w:val="0"/>
        <w:snapToGrid w:val="0"/>
        <w:spacing w:line="560" w:lineRule="exact"/>
        <w:ind w:left="420" w:leftChars="200"/>
        <w:jc w:val="center"/>
        <w:rPr>
          <w:rFonts w:hint="eastAsia" w:ascii="宋体" w:hAnsi="宋体" w:cs="仿宋_GB2312"/>
          <w:sz w:val="32"/>
          <w:szCs w:val="32"/>
          <w:lang w:eastAsia="zh-CN"/>
        </w:rPr>
      </w:pPr>
      <w:bookmarkStart w:id="12" w:name="_Hlk113547609"/>
      <w:r>
        <w:rPr>
          <w:rFonts w:hint="eastAsia" w:ascii="宋体" w:hAnsi="宋体" w:cs="仿宋_GB2312"/>
          <w:sz w:val="32"/>
          <w:szCs w:val="32"/>
          <w:lang w:eastAsia="zh-CN"/>
        </w:rPr>
        <w:t>已经保密审查、内容审定，同意对外公开</w:t>
      </w:r>
      <w:bookmarkEnd w:id="12"/>
    </w:p>
    <w:p>
      <w:pPr>
        <w:pageBreakBefore w:val="0"/>
        <w:kinsoku/>
        <w:wordWrap/>
        <w:overflowPunct/>
        <w:topLinePunct w:val="0"/>
        <w:autoSpaceDE w:val="0"/>
        <w:autoSpaceDN w:val="0"/>
        <w:bidi w:val="0"/>
        <w:adjustRightInd w:val="0"/>
        <w:snapToGrid w:val="0"/>
        <w:spacing w:line="560" w:lineRule="exact"/>
        <w:ind w:left="420" w:leftChars="200"/>
        <w:jc w:val="center"/>
        <w:rPr>
          <w:rFonts w:hint="eastAsia" w:ascii="宋体" w:hAnsi="宋体" w:cs="仿宋_GB2312"/>
          <w:sz w:val="32"/>
          <w:szCs w:val="32"/>
          <w:lang w:eastAsia="zh-CN"/>
        </w:rPr>
      </w:pPr>
      <w:r>
        <w:rPr>
          <w:rFonts w:hint="eastAsia" w:ascii="宋体" w:hAnsi="宋体" w:cs="仿宋_GB2312"/>
          <w:sz w:val="32"/>
          <w:szCs w:val="32"/>
          <w:lang w:eastAsia="zh-CN"/>
        </w:rPr>
        <w:t>公开时间：2022年</w:t>
      </w:r>
      <w:r>
        <w:rPr>
          <w:rFonts w:hint="eastAsia" w:ascii="宋体" w:hAnsi="宋体" w:cs="仿宋_GB2312"/>
          <w:sz w:val="32"/>
          <w:szCs w:val="32"/>
          <w:lang w:val="en-US" w:eastAsia="zh-CN"/>
        </w:rPr>
        <w:t>12</w:t>
      </w:r>
      <w:r>
        <w:rPr>
          <w:rFonts w:hint="eastAsia" w:ascii="宋体" w:hAnsi="宋体" w:cs="仿宋_GB2312"/>
          <w:sz w:val="32"/>
          <w:szCs w:val="32"/>
          <w:lang w:eastAsia="zh-CN"/>
        </w:rPr>
        <w:t>月</w:t>
      </w:r>
      <w:r>
        <w:rPr>
          <w:rFonts w:hint="eastAsia" w:ascii="宋体" w:hAnsi="宋体" w:cs="仿宋_GB2312"/>
          <w:sz w:val="32"/>
          <w:szCs w:val="32"/>
          <w:lang w:val="en-US" w:eastAsia="zh-CN"/>
        </w:rPr>
        <w:t>12</w:t>
      </w:r>
      <w:r>
        <w:rPr>
          <w:rFonts w:hint="eastAsia" w:ascii="宋体" w:hAnsi="宋体" w:cs="仿宋_GB2312"/>
          <w:sz w:val="32"/>
          <w:szCs w:val="32"/>
          <w:lang w:eastAsia="zh-CN"/>
        </w:rPr>
        <w:t>日</w:t>
      </w:r>
    </w:p>
    <w:p>
      <w:pPr>
        <w:pageBreakBefore w:val="0"/>
        <w:widowControl/>
        <w:kinsoku/>
        <w:wordWrap/>
        <w:overflowPunct/>
        <w:topLinePunct w:val="0"/>
        <w:bidi w:val="0"/>
        <w:adjustRightInd w:val="0"/>
        <w:snapToGrid w:val="0"/>
        <w:spacing w:line="560" w:lineRule="exact"/>
        <w:jc w:val="left"/>
        <w:rPr>
          <w:rFonts w:ascii="仿宋" w:eastAsia="仿宋"/>
          <w:bCs/>
          <w:kern w:val="44"/>
          <w:sz w:val="24"/>
        </w:rPr>
      </w:pPr>
      <w:r>
        <w:rPr>
          <w:rFonts w:hint="eastAsia" w:ascii="宋体" w:hAnsi="宋体" w:cs="仿宋_GB2312"/>
          <w:sz w:val="32"/>
          <w:szCs w:val="32"/>
          <w:lang w:eastAsia="zh-CN"/>
        </w:rPr>
        <w:br w:type="page"/>
      </w:r>
      <w:bookmarkStart w:id="13" w:name="_Toc15377196"/>
      <w:bookmarkStart w:id="14" w:name="_Toc15396599"/>
    </w:p>
    <w:p>
      <w:pPr>
        <w:pStyle w:val="10"/>
        <w:tabs>
          <w:tab w:val="right" w:leader="dot" w:pos="8306"/>
          <w:tab w:val="clear" w:pos="8296"/>
        </w:tabs>
      </w:pPr>
      <w:bookmarkStart w:id="104" w:name="_GoBack"/>
      <w:bookmarkEnd w:id="104"/>
      <w:r>
        <w:rPr>
          <w:rFonts w:hint="eastAsia" w:ascii="黑体" w:hAnsi="黑体" w:eastAsia="黑体" w:cs="Times New Roman"/>
          <w:b w:val="0"/>
        </w:rPr>
        <w:fldChar w:fldCharType="begin"/>
      </w:r>
      <w:r>
        <w:rPr>
          <w:rFonts w:hint="eastAsia" w:ascii="黑体" w:hAnsi="黑体" w:eastAsia="黑体" w:cs="Times New Roman"/>
          <w:b w:val="0"/>
        </w:rPr>
        <w:instrText xml:space="preserve">TOC \o "1-2" \h \u </w:instrText>
      </w:r>
      <w:r>
        <w:rPr>
          <w:rFonts w:hint="eastAsia" w:ascii="黑体" w:hAnsi="黑体" w:eastAsia="黑体" w:cs="Times New Roman"/>
          <w:b w:val="0"/>
        </w:rPr>
        <w:fldChar w:fldCharType="separate"/>
      </w:r>
      <w:r>
        <w:rPr>
          <w:rFonts w:hint="eastAsia" w:ascii="黑体" w:hAnsi="黑体" w:eastAsia="黑体" w:cs="Times New Roman"/>
        </w:rPr>
        <w:fldChar w:fldCharType="begin"/>
      </w:r>
      <w:r>
        <w:rPr>
          <w:rFonts w:hint="eastAsia" w:ascii="黑体" w:hAnsi="黑体" w:eastAsia="黑体" w:cs="Times New Roman"/>
        </w:rPr>
        <w:instrText xml:space="preserve"> HYPERLINK \l _Toc4490 </w:instrText>
      </w:r>
      <w:r>
        <w:rPr>
          <w:rFonts w:hint="eastAsia" w:ascii="黑体" w:hAnsi="黑体" w:eastAsia="黑体" w:cs="Times New Roman"/>
        </w:rPr>
        <w:fldChar w:fldCharType="separate"/>
      </w:r>
      <w:r>
        <w:rPr>
          <w:rFonts w:hint="eastAsia" w:ascii="黑体" w:hAnsi="黑体" w:eastAsia="黑体" w:cs="Times New Roman"/>
        </w:rPr>
        <w:t>第一部分 单位概况</w:t>
      </w:r>
      <w:r>
        <w:tab/>
      </w:r>
      <w:r>
        <w:fldChar w:fldCharType="begin"/>
      </w:r>
      <w:r>
        <w:instrText xml:space="preserve"> PAGEREF _Toc4490 </w:instrText>
      </w:r>
      <w:r>
        <w:fldChar w:fldCharType="separate"/>
      </w:r>
      <w:r>
        <w:t>3</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_Toc2780 </w:instrText>
      </w:r>
      <w:r>
        <w:rPr>
          <w:rFonts w:hint="eastAsia" w:ascii="黑体" w:hAnsi="黑体" w:eastAsia="黑体" w:cs="Times New Roman"/>
        </w:rPr>
        <w:fldChar w:fldCharType="separate"/>
      </w:r>
      <w:r>
        <w:rPr>
          <w:rFonts w:hint="eastAsia" w:ascii="黑体" w:hAnsi="黑体" w:eastAsia="黑体" w:cs="Times New Roman"/>
          <w:bCs w:val="0"/>
        </w:rPr>
        <w:t>一、 职能简介</w:t>
      </w:r>
      <w:r>
        <w:tab/>
      </w:r>
      <w:r>
        <w:fldChar w:fldCharType="begin"/>
      </w:r>
      <w:r>
        <w:instrText xml:space="preserve"> PAGEREF _Toc2780 </w:instrText>
      </w:r>
      <w:r>
        <w:fldChar w:fldCharType="separate"/>
      </w:r>
      <w:r>
        <w:t>3</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_Toc815 </w:instrText>
      </w:r>
      <w:r>
        <w:rPr>
          <w:rFonts w:hint="eastAsia" w:ascii="黑体" w:hAnsi="黑体" w:eastAsia="黑体" w:cs="Times New Roman"/>
        </w:rPr>
        <w:fldChar w:fldCharType="separate"/>
      </w:r>
      <w:r>
        <w:rPr>
          <w:rFonts w:hint="eastAsia" w:ascii="黑体" w:hAnsi="黑体" w:eastAsia="黑体" w:cs="Times New Roman"/>
          <w:bCs w:val="0"/>
        </w:rPr>
        <w:t>二、2021年重点工作完成情况</w:t>
      </w:r>
      <w:r>
        <w:tab/>
      </w:r>
      <w:r>
        <w:fldChar w:fldCharType="begin"/>
      </w:r>
      <w:r>
        <w:instrText xml:space="preserve"> PAGEREF _Toc815 </w:instrText>
      </w:r>
      <w:r>
        <w:fldChar w:fldCharType="separate"/>
      </w:r>
      <w:r>
        <w:t>6</w:t>
      </w:r>
      <w:r>
        <w:fldChar w:fldCharType="end"/>
      </w:r>
      <w:r>
        <w:rPr>
          <w:rFonts w:hint="eastAsia" w:ascii="黑体" w:hAnsi="黑体" w:eastAsia="黑体" w:cs="Times New Roman"/>
        </w:rPr>
        <w:fldChar w:fldCharType="end"/>
      </w:r>
    </w:p>
    <w:p>
      <w:pPr>
        <w:pStyle w:val="10"/>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_Toc2765 </w:instrText>
      </w:r>
      <w:r>
        <w:rPr>
          <w:rFonts w:hint="eastAsia" w:ascii="黑体" w:hAnsi="黑体" w:eastAsia="黑体" w:cs="Times New Roman"/>
        </w:rPr>
        <w:fldChar w:fldCharType="separate"/>
      </w:r>
      <w:r>
        <w:rPr>
          <w:rFonts w:hint="eastAsia" w:ascii="黑体" w:hAnsi="黑体" w:eastAsia="黑体" w:cs="Times New Roman"/>
          <w:bCs w:val="0"/>
        </w:rPr>
        <w:t>第二部分 2021年度单位决算情况说明</w:t>
      </w:r>
      <w:r>
        <w:tab/>
      </w:r>
      <w:r>
        <w:fldChar w:fldCharType="begin"/>
      </w:r>
      <w:r>
        <w:instrText xml:space="preserve"> PAGEREF _Toc2765 </w:instrText>
      </w:r>
      <w:r>
        <w:fldChar w:fldCharType="separate"/>
      </w:r>
      <w:r>
        <w:t>7</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_Toc2530 </w:instrText>
      </w:r>
      <w:r>
        <w:rPr>
          <w:rFonts w:hint="eastAsia" w:ascii="黑体" w:hAnsi="黑体" w:eastAsia="黑体" w:cs="Times New Roman"/>
        </w:rPr>
        <w:fldChar w:fldCharType="separate"/>
      </w:r>
      <w:r>
        <w:rPr>
          <w:rFonts w:hint="eastAsia" w:ascii="黑体" w:hAnsi="黑体" w:eastAsia="黑体" w:cs="Times New Roman"/>
        </w:rPr>
        <w:t>一、收入支出决算总体情况说明</w:t>
      </w:r>
      <w:r>
        <w:tab/>
      </w:r>
      <w:r>
        <w:fldChar w:fldCharType="begin"/>
      </w:r>
      <w:r>
        <w:instrText xml:space="preserve"> PAGEREF _Toc2530 </w:instrText>
      </w:r>
      <w:r>
        <w:fldChar w:fldCharType="separate"/>
      </w:r>
      <w:r>
        <w:t>7</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_Toc21449 </w:instrText>
      </w:r>
      <w:r>
        <w:rPr>
          <w:rFonts w:hint="eastAsia" w:ascii="黑体" w:hAnsi="黑体" w:eastAsia="黑体" w:cs="Times New Roman"/>
        </w:rPr>
        <w:fldChar w:fldCharType="separate"/>
      </w:r>
      <w:r>
        <w:rPr>
          <w:rFonts w:hint="eastAsia" w:ascii="黑体" w:hAnsi="黑体" w:eastAsia="黑体" w:cs="Times New Roman"/>
        </w:rPr>
        <w:t>二、收入决算情况说明</w:t>
      </w:r>
      <w:r>
        <w:tab/>
      </w:r>
      <w:r>
        <w:fldChar w:fldCharType="begin"/>
      </w:r>
      <w:r>
        <w:instrText xml:space="preserve"> PAGEREF _Toc21449 </w:instrText>
      </w:r>
      <w:r>
        <w:fldChar w:fldCharType="separate"/>
      </w:r>
      <w:r>
        <w:t>7</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_Toc17871 </w:instrText>
      </w:r>
      <w:r>
        <w:rPr>
          <w:rFonts w:hint="eastAsia" w:ascii="黑体" w:hAnsi="黑体" w:eastAsia="黑体" w:cs="Times New Roman"/>
        </w:rPr>
        <w:fldChar w:fldCharType="separate"/>
      </w:r>
      <w:r>
        <w:rPr>
          <w:rFonts w:hint="eastAsia" w:ascii="黑体" w:hAnsi="黑体" w:eastAsia="黑体" w:cs="Times New Roman"/>
        </w:rPr>
        <w:t>三、支出决算情况说明</w:t>
      </w:r>
      <w:r>
        <w:tab/>
      </w:r>
      <w:r>
        <w:fldChar w:fldCharType="begin"/>
      </w:r>
      <w:r>
        <w:instrText xml:space="preserve"> PAGEREF _Toc17871 </w:instrText>
      </w:r>
      <w:r>
        <w:fldChar w:fldCharType="separate"/>
      </w:r>
      <w:r>
        <w:t>8</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_Toc20737 </w:instrText>
      </w:r>
      <w:r>
        <w:rPr>
          <w:rFonts w:hint="eastAsia" w:ascii="黑体" w:hAnsi="黑体" w:eastAsia="黑体" w:cs="Times New Roman"/>
        </w:rPr>
        <w:fldChar w:fldCharType="separate"/>
      </w:r>
      <w:r>
        <w:rPr>
          <w:rFonts w:hint="eastAsia" w:ascii="黑体" w:hAnsi="黑体" w:eastAsia="黑体" w:cs="Times New Roman"/>
        </w:rPr>
        <w:t>四、财政拨款收入支出决算总体情况说明</w:t>
      </w:r>
      <w:r>
        <w:tab/>
      </w:r>
      <w:r>
        <w:fldChar w:fldCharType="begin"/>
      </w:r>
      <w:r>
        <w:instrText xml:space="preserve"> PAGEREF _Toc20737 </w:instrText>
      </w:r>
      <w:r>
        <w:fldChar w:fldCharType="separate"/>
      </w:r>
      <w:r>
        <w:t>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_Toc23118 </w:instrText>
      </w:r>
      <w:r>
        <w:rPr>
          <w:rFonts w:hint="eastAsia" w:ascii="黑体" w:hAnsi="黑体" w:eastAsia="黑体" w:cs="Times New Roman"/>
        </w:rPr>
        <w:fldChar w:fldCharType="separate"/>
      </w:r>
      <w:r>
        <w:rPr>
          <w:rFonts w:hint="eastAsia" w:ascii="黑体" w:hAnsi="黑体" w:eastAsia="黑体" w:cs="Times New Roman"/>
        </w:rPr>
        <w:t>五、一般公共预算财政拨款支出决算情况说明</w:t>
      </w:r>
      <w:r>
        <w:tab/>
      </w:r>
      <w:r>
        <w:fldChar w:fldCharType="begin"/>
      </w:r>
      <w:r>
        <w:instrText xml:space="preserve"> PAGEREF _Toc23118 </w:instrText>
      </w:r>
      <w:r>
        <w:fldChar w:fldCharType="separate"/>
      </w:r>
      <w:r>
        <w:t>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_Toc4523 </w:instrText>
      </w:r>
      <w:r>
        <w:rPr>
          <w:rFonts w:hint="eastAsia" w:ascii="黑体" w:hAnsi="黑体" w:eastAsia="黑体" w:cs="Times New Roman"/>
        </w:rPr>
        <w:fldChar w:fldCharType="separate"/>
      </w:r>
      <w:r>
        <w:rPr>
          <w:rFonts w:hint="eastAsia" w:ascii="黑体" w:hAnsi="黑体" w:eastAsia="黑体" w:cs="Times New Roman"/>
        </w:rPr>
        <w:t>六、一般公共预算财政拨款基本支出决算情况说明</w:t>
      </w:r>
      <w:r>
        <w:tab/>
      </w:r>
      <w:r>
        <w:fldChar w:fldCharType="begin"/>
      </w:r>
      <w:r>
        <w:instrText xml:space="preserve"> PAGEREF _Toc4523 </w:instrText>
      </w:r>
      <w:r>
        <w:fldChar w:fldCharType="separate"/>
      </w:r>
      <w:r>
        <w:t>12</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_Toc13816 </w:instrText>
      </w:r>
      <w:r>
        <w:rPr>
          <w:rFonts w:hint="eastAsia" w:ascii="黑体" w:hAnsi="黑体" w:eastAsia="黑体" w:cs="Times New Roman"/>
        </w:rPr>
        <w:fldChar w:fldCharType="separate"/>
      </w:r>
      <w:r>
        <w:rPr>
          <w:rFonts w:hint="eastAsia" w:ascii="黑体" w:hAnsi="黑体" w:eastAsia="黑体" w:cs="Times New Roman"/>
        </w:rPr>
        <w:t>七、“三公”经费财政拨款支出决算情况说明</w:t>
      </w:r>
      <w:r>
        <w:tab/>
      </w:r>
      <w:r>
        <w:fldChar w:fldCharType="begin"/>
      </w:r>
      <w:r>
        <w:instrText xml:space="preserve"> PAGEREF _Toc13816 </w:instrText>
      </w:r>
      <w:r>
        <w:fldChar w:fldCharType="separate"/>
      </w:r>
      <w:r>
        <w:t>13</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_Toc23888 </w:instrText>
      </w:r>
      <w:r>
        <w:rPr>
          <w:rFonts w:hint="eastAsia" w:ascii="黑体" w:hAnsi="黑体" w:eastAsia="黑体" w:cs="Times New Roman"/>
        </w:rPr>
        <w:fldChar w:fldCharType="separate"/>
      </w:r>
      <w:r>
        <w:rPr>
          <w:rFonts w:hint="eastAsia" w:ascii="黑体" w:hAnsi="Times New Roman" w:eastAsia="黑体" w:cs="Times New Roman"/>
          <w:szCs w:val="32"/>
        </w:rPr>
        <w:t>八、政府性基金预算支出决算情况说明</w:t>
      </w:r>
      <w:r>
        <w:tab/>
      </w:r>
      <w:r>
        <w:fldChar w:fldCharType="begin"/>
      </w:r>
      <w:r>
        <w:instrText xml:space="preserve"> PAGEREF _Toc23888 </w:instrText>
      </w:r>
      <w:r>
        <w:fldChar w:fldCharType="separate"/>
      </w:r>
      <w:r>
        <w:t>14</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_Toc4160 </w:instrText>
      </w:r>
      <w:r>
        <w:rPr>
          <w:rFonts w:hint="eastAsia" w:ascii="黑体" w:hAnsi="黑体" w:eastAsia="黑体" w:cs="Times New Roman"/>
        </w:rPr>
        <w:fldChar w:fldCharType="separate"/>
      </w:r>
      <w:r>
        <w:rPr>
          <w:rFonts w:hint="eastAsia" w:ascii="黑体" w:hAnsi="黑体" w:eastAsia="黑体" w:cs="Times New Roman"/>
        </w:rPr>
        <w:t>九、国有资本经营预算支出决算情况说明</w:t>
      </w:r>
      <w:r>
        <w:tab/>
      </w:r>
      <w:r>
        <w:fldChar w:fldCharType="begin"/>
      </w:r>
      <w:r>
        <w:instrText xml:space="preserve"> PAGEREF _Toc4160 </w:instrText>
      </w:r>
      <w:r>
        <w:fldChar w:fldCharType="separate"/>
      </w:r>
      <w:r>
        <w:t>14</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_Toc2938 </w:instrText>
      </w:r>
      <w:r>
        <w:rPr>
          <w:rFonts w:hint="eastAsia" w:ascii="黑体" w:hAnsi="黑体" w:eastAsia="黑体" w:cs="Times New Roman"/>
        </w:rPr>
        <w:fldChar w:fldCharType="separate"/>
      </w:r>
      <w:r>
        <w:rPr>
          <w:rFonts w:hint="eastAsia" w:ascii="黑体" w:hAnsi="黑体" w:eastAsia="黑体" w:cs="Times New Roman"/>
        </w:rPr>
        <w:t>十、其他重要事项的情况说明</w:t>
      </w:r>
      <w:r>
        <w:tab/>
      </w:r>
      <w:r>
        <w:fldChar w:fldCharType="begin"/>
      </w:r>
      <w:r>
        <w:instrText xml:space="preserve"> PAGEREF _Toc2938 </w:instrText>
      </w:r>
      <w:r>
        <w:fldChar w:fldCharType="separate"/>
      </w:r>
      <w:r>
        <w:t>14</w:t>
      </w:r>
      <w:r>
        <w:fldChar w:fldCharType="end"/>
      </w:r>
      <w:r>
        <w:rPr>
          <w:rFonts w:hint="eastAsia" w:ascii="黑体" w:hAnsi="黑体" w:eastAsia="黑体" w:cs="Times New Roman"/>
        </w:rPr>
        <w:fldChar w:fldCharType="end"/>
      </w:r>
    </w:p>
    <w:p>
      <w:pPr>
        <w:pStyle w:val="10"/>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_Toc28892 </w:instrText>
      </w:r>
      <w:r>
        <w:rPr>
          <w:rFonts w:hint="eastAsia" w:ascii="黑体" w:hAnsi="黑体" w:eastAsia="黑体" w:cs="Times New Roman"/>
        </w:rPr>
        <w:fldChar w:fldCharType="separate"/>
      </w:r>
      <w:r>
        <w:rPr>
          <w:rFonts w:hint="eastAsia" w:ascii="黑体" w:hAnsi="黑体" w:eastAsia="黑体" w:cs="Times New Roman"/>
          <w:lang w:eastAsia="zh-CN"/>
        </w:rPr>
        <w:t>第三部分</w:t>
      </w:r>
      <w:r>
        <w:rPr>
          <w:rFonts w:hint="eastAsia" w:ascii="黑体" w:hAnsi="黑体" w:eastAsia="黑体" w:cs="Times New Roman"/>
          <w:lang w:val="en-US" w:eastAsia="zh-CN"/>
        </w:rPr>
        <w:t xml:space="preserve">  </w:t>
      </w:r>
      <w:r>
        <w:rPr>
          <w:rFonts w:hint="eastAsia" w:ascii="黑体" w:hAnsi="黑体" w:eastAsia="黑体" w:cs="Times New Roman"/>
        </w:rPr>
        <w:t>名词解释</w:t>
      </w:r>
      <w:r>
        <w:tab/>
      </w:r>
      <w:r>
        <w:fldChar w:fldCharType="begin"/>
      </w:r>
      <w:r>
        <w:instrText xml:space="preserve"> PAGEREF _Toc28892 </w:instrText>
      </w:r>
      <w:r>
        <w:fldChar w:fldCharType="separate"/>
      </w:r>
      <w:r>
        <w:t>17</w:t>
      </w:r>
      <w:r>
        <w:fldChar w:fldCharType="end"/>
      </w:r>
      <w:r>
        <w:rPr>
          <w:rFonts w:hint="eastAsia" w:ascii="黑体" w:hAnsi="黑体" w:eastAsia="黑体" w:cs="Times New Roman"/>
        </w:rPr>
        <w:fldChar w:fldCharType="end"/>
      </w:r>
    </w:p>
    <w:p>
      <w:pPr>
        <w:pStyle w:val="10"/>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_Toc16887 </w:instrText>
      </w:r>
      <w:r>
        <w:rPr>
          <w:rFonts w:hint="eastAsia" w:ascii="黑体" w:hAnsi="黑体" w:eastAsia="黑体" w:cs="Times New Roman"/>
        </w:rPr>
        <w:fldChar w:fldCharType="separate"/>
      </w:r>
      <w:r>
        <w:rPr>
          <w:rFonts w:hint="eastAsia" w:ascii="黑体" w:hAnsi="黑体" w:eastAsia="黑体" w:cs="Times New Roman"/>
          <w:lang w:val="en-US" w:eastAsia="zh-CN"/>
        </w:rPr>
        <w:t>第四部分 附件</w:t>
      </w:r>
      <w:r>
        <w:tab/>
      </w:r>
      <w:r>
        <w:fldChar w:fldCharType="begin"/>
      </w:r>
      <w:r>
        <w:instrText xml:space="preserve"> PAGEREF _Toc16887 </w:instrText>
      </w:r>
      <w:r>
        <w:fldChar w:fldCharType="separate"/>
      </w:r>
      <w:r>
        <w:t>20</w:t>
      </w:r>
      <w:r>
        <w:fldChar w:fldCharType="end"/>
      </w:r>
      <w:r>
        <w:rPr>
          <w:rFonts w:hint="eastAsia" w:ascii="黑体" w:hAnsi="黑体" w:eastAsia="黑体" w:cs="Times New Roman"/>
        </w:rPr>
        <w:fldChar w:fldCharType="end"/>
      </w:r>
    </w:p>
    <w:p>
      <w:pPr>
        <w:pStyle w:val="10"/>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_Toc30604 </w:instrText>
      </w:r>
      <w:r>
        <w:rPr>
          <w:rFonts w:hint="eastAsia" w:ascii="黑体" w:hAnsi="黑体" w:eastAsia="黑体" w:cs="Times New Roman"/>
        </w:rPr>
        <w:fldChar w:fldCharType="separate"/>
      </w:r>
      <w:r>
        <w:rPr>
          <w:rFonts w:hint="eastAsia" w:ascii="黑体" w:hAnsi="黑体" w:eastAsia="黑体" w:cs="Times New Roman"/>
          <w:lang w:val="en-US" w:eastAsia="zh-CN"/>
        </w:rPr>
        <w:t>第五部分 附表</w:t>
      </w:r>
      <w:r>
        <w:tab/>
      </w:r>
      <w:r>
        <w:fldChar w:fldCharType="begin"/>
      </w:r>
      <w:r>
        <w:instrText xml:space="preserve"> PAGEREF _Toc30604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_Toc5646 </w:instrText>
      </w:r>
      <w:r>
        <w:rPr>
          <w:rFonts w:hint="eastAsia" w:ascii="黑体" w:hAnsi="黑体" w:eastAsia="黑体" w:cs="Times New Roman"/>
        </w:rPr>
        <w:fldChar w:fldCharType="separate"/>
      </w:r>
      <w:r>
        <w:rPr>
          <w:rFonts w:hint="eastAsia" w:ascii="仿宋" w:hAnsi="仿宋" w:eastAsia="仿宋" w:cs="Times New Roman"/>
          <w:bCs w:val="0"/>
        </w:rPr>
        <w:t>一、收入支出决算总表</w:t>
      </w:r>
      <w:r>
        <w:tab/>
      </w:r>
      <w:r>
        <w:fldChar w:fldCharType="begin"/>
      </w:r>
      <w:r>
        <w:instrText xml:space="preserve"> PAGEREF _Toc5646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_Toc3835 </w:instrText>
      </w:r>
      <w:r>
        <w:rPr>
          <w:rFonts w:hint="eastAsia" w:ascii="黑体" w:hAnsi="黑体" w:eastAsia="黑体" w:cs="Times New Roman"/>
        </w:rPr>
        <w:fldChar w:fldCharType="separate"/>
      </w:r>
      <w:r>
        <w:rPr>
          <w:rFonts w:hint="eastAsia" w:ascii="仿宋" w:hAnsi="仿宋" w:eastAsia="仿宋" w:cs="Times New Roman"/>
          <w:bCs w:val="0"/>
        </w:rPr>
        <w:t>二、收入决算表</w:t>
      </w:r>
      <w:r>
        <w:tab/>
      </w:r>
      <w:r>
        <w:fldChar w:fldCharType="begin"/>
      </w:r>
      <w:r>
        <w:instrText xml:space="preserve"> PAGEREF _Toc3835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_Toc12359 </w:instrText>
      </w:r>
      <w:r>
        <w:rPr>
          <w:rFonts w:hint="eastAsia" w:ascii="黑体" w:hAnsi="黑体" w:eastAsia="黑体" w:cs="Times New Roman"/>
        </w:rPr>
        <w:fldChar w:fldCharType="separate"/>
      </w:r>
      <w:r>
        <w:rPr>
          <w:rFonts w:hint="eastAsia" w:ascii="仿宋" w:hAnsi="仿宋" w:eastAsia="仿宋" w:cs="Times New Roman"/>
          <w:bCs w:val="0"/>
        </w:rPr>
        <w:t>三、支出决算表</w:t>
      </w:r>
      <w:r>
        <w:tab/>
      </w:r>
      <w:r>
        <w:fldChar w:fldCharType="begin"/>
      </w:r>
      <w:r>
        <w:instrText xml:space="preserve"> PAGEREF _Toc12359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_Toc19412 </w:instrText>
      </w:r>
      <w:r>
        <w:rPr>
          <w:rFonts w:hint="eastAsia" w:ascii="黑体" w:hAnsi="黑体" w:eastAsia="黑体" w:cs="Times New Roman"/>
        </w:rPr>
        <w:fldChar w:fldCharType="separate"/>
      </w:r>
      <w:r>
        <w:rPr>
          <w:rFonts w:hint="eastAsia" w:ascii="仿宋" w:hAnsi="仿宋" w:eastAsia="仿宋" w:cs="Times New Roman"/>
          <w:bCs w:val="0"/>
        </w:rPr>
        <w:t>四、财政拨款收入支出决算总表</w:t>
      </w:r>
      <w:r>
        <w:tab/>
      </w:r>
      <w:r>
        <w:fldChar w:fldCharType="begin"/>
      </w:r>
      <w:r>
        <w:instrText xml:space="preserve"> PAGEREF _Toc19412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_Toc20428 </w:instrText>
      </w:r>
      <w:r>
        <w:rPr>
          <w:rFonts w:hint="eastAsia" w:ascii="黑体" w:hAnsi="黑体" w:eastAsia="黑体" w:cs="Times New Roman"/>
        </w:rPr>
        <w:fldChar w:fldCharType="separate"/>
      </w:r>
      <w:r>
        <w:rPr>
          <w:rFonts w:hint="eastAsia" w:ascii="仿宋" w:hAnsi="仿宋" w:eastAsia="仿宋" w:cs="Times New Roman"/>
          <w:bCs w:val="0"/>
        </w:rPr>
        <w:t>五、财政拨款支出决算明细表</w:t>
      </w:r>
      <w:r>
        <w:tab/>
      </w:r>
      <w:r>
        <w:fldChar w:fldCharType="begin"/>
      </w:r>
      <w:r>
        <w:instrText xml:space="preserve"> PAGEREF _Toc20428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_Toc314 </w:instrText>
      </w:r>
      <w:r>
        <w:rPr>
          <w:rFonts w:hint="eastAsia" w:ascii="黑体" w:hAnsi="黑体" w:eastAsia="黑体" w:cs="Times New Roman"/>
        </w:rPr>
        <w:fldChar w:fldCharType="separate"/>
      </w:r>
      <w:r>
        <w:rPr>
          <w:rFonts w:hint="eastAsia" w:ascii="仿宋" w:hAnsi="仿宋" w:eastAsia="仿宋" w:cs="Times New Roman"/>
          <w:bCs w:val="0"/>
        </w:rPr>
        <w:t>六、一般公共预算财政拨款支出决算表</w:t>
      </w:r>
      <w:r>
        <w:tab/>
      </w:r>
      <w:r>
        <w:fldChar w:fldCharType="begin"/>
      </w:r>
      <w:r>
        <w:instrText xml:space="preserve"> PAGEREF _Toc314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_Toc12641 </w:instrText>
      </w:r>
      <w:r>
        <w:rPr>
          <w:rFonts w:hint="eastAsia" w:ascii="黑体" w:hAnsi="黑体" w:eastAsia="黑体" w:cs="Times New Roman"/>
        </w:rPr>
        <w:fldChar w:fldCharType="separate"/>
      </w:r>
      <w:r>
        <w:rPr>
          <w:rFonts w:hint="eastAsia" w:ascii="仿宋" w:hAnsi="仿宋" w:eastAsia="仿宋" w:cs="Times New Roman"/>
          <w:bCs w:val="0"/>
        </w:rPr>
        <w:t>七、一般公共预算财政拨款支出决算明细表</w:t>
      </w:r>
      <w:r>
        <w:tab/>
      </w:r>
      <w:r>
        <w:fldChar w:fldCharType="begin"/>
      </w:r>
      <w:r>
        <w:instrText xml:space="preserve"> PAGEREF _Toc12641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_Toc7748 </w:instrText>
      </w:r>
      <w:r>
        <w:rPr>
          <w:rFonts w:hint="eastAsia" w:ascii="黑体" w:hAnsi="黑体" w:eastAsia="黑体" w:cs="Times New Roman"/>
        </w:rPr>
        <w:fldChar w:fldCharType="separate"/>
      </w:r>
      <w:r>
        <w:rPr>
          <w:rFonts w:hint="eastAsia" w:ascii="仿宋" w:hAnsi="仿宋" w:eastAsia="仿宋" w:cs="Times New Roman"/>
          <w:bCs w:val="0"/>
        </w:rPr>
        <w:t>八、一般公共预算财政拨款基本支出决算表</w:t>
      </w:r>
      <w:r>
        <w:tab/>
      </w:r>
      <w:r>
        <w:fldChar w:fldCharType="begin"/>
      </w:r>
      <w:r>
        <w:instrText xml:space="preserve"> PAGEREF _Toc7748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_Toc16260 </w:instrText>
      </w:r>
      <w:r>
        <w:rPr>
          <w:rFonts w:hint="eastAsia" w:ascii="黑体" w:hAnsi="黑体" w:eastAsia="黑体" w:cs="Times New Roman"/>
        </w:rPr>
        <w:fldChar w:fldCharType="separate"/>
      </w:r>
      <w:r>
        <w:rPr>
          <w:rFonts w:hint="eastAsia" w:ascii="仿宋" w:hAnsi="仿宋" w:eastAsia="仿宋" w:cs="Times New Roman"/>
          <w:bCs w:val="0"/>
        </w:rPr>
        <w:t>九、一般公共预算财政拨款项目支出决算表</w:t>
      </w:r>
      <w:r>
        <w:tab/>
      </w:r>
      <w:r>
        <w:fldChar w:fldCharType="begin"/>
      </w:r>
      <w:r>
        <w:instrText xml:space="preserve"> PAGEREF _Toc16260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_Toc17462 </w:instrText>
      </w:r>
      <w:r>
        <w:rPr>
          <w:rFonts w:hint="eastAsia" w:ascii="黑体" w:hAnsi="黑体" w:eastAsia="黑体" w:cs="Times New Roman"/>
        </w:rPr>
        <w:fldChar w:fldCharType="separate"/>
      </w:r>
      <w:r>
        <w:rPr>
          <w:rFonts w:hint="eastAsia" w:ascii="仿宋" w:hAnsi="仿宋" w:eastAsia="仿宋" w:cs="Times New Roman"/>
          <w:bCs w:val="0"/>
        </w:rPr>
        <w:t>十、一般公共预算财政拨款“三公”经费支出决算表</w:t>
      </w:r>
      <w:r>
        <w:tab/>
      </w:r>
      <w:r>
        <w:fldChar w:fldCharType="begin"/>
      </w:r>
      <w:r>
        <w:instrText xml:space="preserve"> PAGEREF _Toc17462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_Toc23614 </w:instrText>
      </w:r>
      <w:r>
        <w:rPr>
          <w:rFonts w:hint="eastAsia" w:ascii="黑体" w:hAnsi="黑体" w:eastAsia="黑体" w:cs="Times New Roman"/>
        </w:rPr>
        <w:fldChar w:fldCharType="separate"/>
      </w:r>
      <w:r>
        <w:rPr>
          <w:rFonts w:hint="eastAsia" w:ascii="仿宋" w:hAnsi="仿宋" w:eastAsia="仿宋" w:cs="Times New Roman"/>
          <w:bCs w:val="0"/>
        </w:rPr>
        <w:t>十一、政府性基金预算财政拨款收入支出决算表</w:t>
      </w:r>
      <w:r>
        <w:tab/>
      </w:r>
      <w:r>
        <w:fldChar w:fldCharType="begin"/>
      </w:r>
      <w:r>
        <w:instrText xml:space="preserve"> PAGEREF _Toc23614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_Toc17280 </w:instrText>
      </w:r>
      <w:r>
        <w:rPr>
          <w:rFonts w:hint="eastAsia" w:ascii="黑体" w:hAnsi="黑体" w:eastAsia="黑体" w:cs="Times New Roman"/>
        </w:rPr>
        <w:fldChar w:fldCharType="separate"/>
      </w:r>
      <w:r>
        <w:rPr>
          <w:rFonts w:hint="eastAsia" w:ascii="仿宋" w:hAnsi="仿宋" w:eastAsia="仿宋" w:cs="Times New Roman"/>
          <w:bCs w:val="0"/>
        </w:rPr>
        <w:t>十二、政府性基金预算财政拨款“三公”经费支出决算表</w:t>
      </w:r>
      <w:r>
        <w:tab/>
      </w:r>
      <w:r>
        <w:fldChar w:fldCharType="begin"/>
      </w:r>
      <w:r>
        <w:instrText xml:space="preserve"> PAGEREF _Toc17280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_Toc23194 </w:instrText>
      </w:r>
      <w:r>
        <w:rPr>
          <w:rFonts w:hint="eastAsia" w:ascii="黑体" w:hAnsi="黑体" w:eastAsia="黑体" w:cs="Times New Roman"/>
        </w:rPr>
        <w:fldChar w:fldCharType="separate"/>
      </w:r>
      <w:r>
        <w:rPr>
          <w:rFonts w:hint="eastAsia" w:ascii="仿宋" w:hAnsi="仿宋" w:eastAsia="仿宋" w:cs="Times New Roman"/>
          <w:bCs w:val="0"/>
        </w:rPr>
        <w:t>十三、国有资本经营预算财政拨款收入支出决算表</w:t>
      </w:r>
      <w:r>
        <w:tab/>
      </w:r>
      <w:r>
        <w:fldChar w:fldCharType="begin"/>
      </w:r>
      <w:r>
        <w:instrText xml:space="preserve"> PAGEREF _Toc23194 </w:instrText>
      </w:r>
      <w:r>
        <w:fldChar w:fldCharType="separate"/>
      </w:r>
      <w:r>
        <w:t>29</w:t>
      </w:r>
      <w:r>
        <w:fldChar w:fldCharType="end"/>
      </w:r>
      <w:r>
        <w:rPr>
          <w:rFonts w:hint="eastAsia" w:ascii="黑体" w:hAnsi="黑体" w:eastAsia="黑体" w:cs="Times New Roman"/>
        </w:rPr>
        <w:fldChar w:fldCharType="end"/>
      </w:r>
    </w:p>
    <w:p>
      <w:pPr>
        <w:pStyle w:val="11"/>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_Toc24023 </w:instrText>
      </w:r>
      <w:r>
        <w:rPr>
          <w:rFonts w:hint="eastAsia" w:ascii="黑体" w:hAnsi="黑体" w:eastAsia="黑体" w:cs="Times New Roman"/>
        </w:rPr>
        <w:fldChar w:fldCharType="separate"/>
      </w:r>
      <w:r>
        <w:rPr>
          <w:rFonts w:hint="eastAsia" w:ascii="仿宋" w:hAnsi="仿宋" w:eastAsia="仿宋" w:cs="Times New Roman"/>
          <w:bCs w:val="0"/>
        </w:rPr>
        <w:t>十四、国有资本经营预算财政拨款支出决算表</w:t>
      </w:r>
      <w:r>
        <w:tab/>
      </w:r>
      <w:r>
        <w:fldChar w:fldCharType="begin"/>
      </w:r>
      <w:r>
        <w:instrText xml:space="preserve"> PAGEREF _Toc24023 </w:instrText>
      </w:r>
      <w:r>
        <w:fldChar w:fldCharType="separate"/>
      </w:r>
      <w:r>
        <w:t>29</w:t>
      </w:r>
      <w:r>
        <w:fldChar w:fldCharType="end"/>
      </w:r>
      <w:r>
        <w:rPr>
          <w:rFonts w:hint="eastAsia" w:ascii="黑体" w:hAnsi="黑体" w:eastAsia="黑体" w:cs="Times New Roman"/>
        </w:rPr>
        <w:fldChar w:fldCharType="end"/>
      </w:r>
    </w:p>
    <w:p>
      <w:pPr>
        <w:pStyle w:val="3"/>
        <w:pageBreakBefore w:val="0"/>
        <w:kinsoku/>
        <w:wordWrap/>
        <w:overflowPunct/>
        <w:topLinePunct w:val="0"/>
        <w:bidi w:val="0"/>
        <w:adjustRightInd w:val="0"/>
        <w:snapToGrid w:val="0"/>
        <w:spacing w:line="560" w:lineRule="exact"/>
        <w:jc w:val="center"/>
        <w:rPr>
          <w:rFonts w:hint="eastAsia" w:ascii="黑体" w:hAnsi="黑体" w:eastAsia="黑体" w:cs="Times New Roman"/>
        </w:rPr>
      </w:pPr>
      <w:r>
        <w:rPr>
          <w:rFonts w:hint="eastAsia" w:ascii="黑体" w:hAnsi="黑体" w:eastAsia="黑体" w:cs="Times New Roman"/>
        </w:rPr>
        <w:fldChar w:fldCharType="end"/>
      </w:r>
    </w:p>
    <w:p>
      <w:pPr>
        <w:rPr>
          <w:rFonts w:hint="eastAsia" w:ascii="黑体" w:hAnsi="黑体" w:eastAsia="黑体" w:cs="Times New Roman"/>
        </w:rPr>
      </w:pPr>
    </w:p>
    <w:p>
      <w:pPr>
        <w:rPr>
          <w:rFonts w:hint="eastAsia" w:ascii="黑体" w:hAnsi="黑体" w:eastAsia="黑体" w:cs="Times New Roman"/>
        </w:rPr>
      </w:pPr>
    </w:p>
    <w:p>
      <w:pPr>
        <w:rPr>
          <w:rFonts w:hint="eastAsia"/>
        </w:rPr>
      </w:pPr>
    </w:p>
    <w:p>
      <w:pPr>
        <w:pStyle w:val="3"/>
        <w:pageBreakBefore w:val="0"/>
        <w:kinsoku/>
        <w:wordWrap/>
        <w:overflowPunct/>
        <w:topLinePunct w:val="0"/>
        <w:bidi w:val="0"/>
        <w:adjustRightInd w:val="0"/>
        <w:snapToGrid w:val="0"/>
        <w:spacing w:line="560" w:lineRule="exact"/>
        <w:jc w:val="center"/>
        <w:rPr>
          <w:rFonts w:ascii="黑体" w:eastAsia="黑体"/>
          <w:sz w:val="32"/>
          <w:szCs w:val="32"/>
        </w:rPr>
      </w:pPr>
      <w:bookmarkStart w:id="15" w:name="_Toc4490"/>
      <w:r>
        <w:rPr>
          <w:rFonts w:hint="eastAsia" w:ascii="黑体" w:hAnsi="黑体" w:eastAsia="黑体" w:cs="Times New Roman"/>
          <w:b w:val="0"/>
        </w:rPr>
        <w:t>第一部分 单位概况</w:t>
      </w:r>
      <w:bookmarkEnd w:id="13"/>
      <w:bookmarkEnd w:id="14"/>
      <w:bookmarkEnd w:id="15"/>
    </w:p>
    <w:p>
      <w:pPr>
        <w:pStyle w:val="2"/>
        <w:pageBreakBefore w:val="0"/>
        <w:numPr>
          <w:ilvl w:val="0"/>
          <w:numId w:val="1"/>
        </w:numPr>
        <w:kinsoku/>
        <w:wordWrap/>
        <w:overflowPunct/>
        <w:topLinePunct w:val="0"/>
        <w:bidi w:val="0"/>
        <w:adjustRightInd w:val="0"/>
        <w:snapToGrid w:val="0"/>
        <w:spacing w:line="560" w:lineRule="exact"/>
        <w:outlineLvl w:val="1"/>
        <w:rPr>
          <w:rStyle w:val="17"/>
          <w:rFonts w:hint="eastAsia" w:ascii="黑体" w:hAnsi="黑体" w:eastAsia="黑体" w:cs="Times New Roman"/>
          <w:b w:val="0"/>
          <w:bCs w:val="0"/>
        </w:rPr>
      </w:pPr>
      <w:bookmarkStart w:id="16" w:name="_Toc2780"/>
      <w:bookmarkStart w:id="17" w:name="_Toc15377197"/>
      <w:bookmarkStart w:id="18" w:name="_Toc15396600"/>
      <w:r>
        <w:rPr>
          <w:rStyle w:val="17"/>
          <w:rFonts w:hint="eastAsia" w:ascii="黑体" w:hAnsi="黑体" w:eastAsia="黑体" w:cs="Times New Roman"/>
          <w:b w:val="0"/>
          <w:bCs w:val="0"/>
        </w:rPr>
        <w:t>职能简介</w:t>
      </w:r>
      <w:bookmarkEnd w:id="16"/>
    </w:p>
    <w:p>
      <w:pPr>
        <w:pStyle w:val="5"/>
        <w:pageBreakBefore w:val="0"/>
        <w:kinsoku/>
        <w:wordWrap/>
        <w:overflowPunct/>
        <w:topLinePunct w:val="0"/>
        <w:bidi w:val="0"/>
        <w:adjustRightInd w:val="0"/>
        <w:snapToGrid w:val="0"/>
        <w:spacing w:before="93" w:line="560" w:lineRule="exact"/>
        <w:ind w:firstLine="672" w:firstLineChars="210"/>
        <w:outlineLvl w:val="2"/>
        <w:rPr>
          <w:rFonts w:ascii="仿宋" w:hAnsi="仿宋" w:eastAsia="仿宋"/>
          <w:bCs/>
          <w:color w:val="000000"/>
          <w:sz w:val="32"/>
          <w:szCs w:val="32"/>
        </w:rPr>
      </w:pPr>
      <w:bookmarkStart w:id="19" w:name="_Toc28644"/>
      <w:bookmarkStart w:id="20" w:name="_Toc79163603"/>
      <w:bookmarkStart w:id="21" w:name="_Toc15377198"/>
      <w:bookmarkStart w:id="22" w:name="_Toc15378445"/>
      <w:r>
        <w:rPr>
          <w:rFonts w:hint="eastAsia" w:ascii="仿宋" w:hAnsi="仿宋" w:eastAsia="仿宋"/>
          <w:bCs/>
          <w:color w:val="000000"/>
          <w:sz w:val="32"/>
          <w:szCs w:val="32"/>
        </w:rPr>
        <w:t>（一）主要职能</w:t>
      </w:r>
      <w:bookmarkEnd w:id="19"/>
      <w:bookmarkEnd w:id="20"/>
    </w:p>
    <w:bookmarkEnd w:id="21"/>
    <w:bookmarkEnd w:id="22"/>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1.贯彻执行国家公安工作的方针、政策和法律、法规、规章，起草地方性公安法规、规章草案，部署、指导、监督、检查全县公安工作；负责全县辖区公安机关依法行政工作，落实行政执法责任制。</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2.指导、协调全县公安机关应急管理、抢险救援工作和社会公共突发事件的处置工作。</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3.收集影响社会稳定、危害国家安全和社会治安的情况，全面掌握社情民意，分析研判情报信息和治安形势，制定对策。</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4.组织、实施、指导全县公安法制建设，按管辖办理行政诉讼、行政复议案件。依法实施行政许可、行政审批事项。</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5.组织指导全县公安侦查工作；协调、指挥、侦破、处理公安机关管辖的刑事案件，处置治安灾害事故、骚乱和群体性突发事件；组织实施重大活动的安全保卫工作。</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7.负责全县道路交通安全管理工作并承担相应责任。指导监督全县公安机关维护道路交通安全、交通秩序；组织、协调、处置交通事故；依法管理机动车辆（不含拖拉机）和驾驶人员。</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8.负责全县消防工作并承担相应责任。指导、监督、协调全县消防监督、火灾预防、火灾扑救工作和公安应急抢险救援工作。</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9.指导全县公安警卫业务工作，组织实施对党和国家领导以及重要人物在县内的安全警卫工作并承担相应责任。组织、实施全县要害目标的安全保卫。</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10.指导、监督全县公安机关对公共信息网络的安全保护工作，负责信息安全等级保卫工作的监督、检查、指导。</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11.依法管理国籍、出境入境和外国人在红原县境内居留、旅行等有关工作。</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12.组织、指导、协调对恐怖活动的情报、防范、侦察和应急处置工作。</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13.指导、监督全县公安机关依法承担的执行刑罚和监督、考察工作。依法管理县看守所、拘留所。办理收容教养和劳动教养案件。</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14.组织实施全县公安科学技术工作，组织、指导、规划全县公安机关的指挥系统、信息技术、刑事技术建设。</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15.制定全县公安机关装备和经费等警务保障计划和管理制度，组织协调全县公安机关履行职责的警务保障工作。</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17.指导县森林公安机关的业务工作。</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18.组织协调武警内卫部队执行公安任务。</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19.承担县政府禁毒委员会、劳动教养管理委员会、收容教养委员会、反恐怖工作协调小组日常工作。</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20.承担县政府公布的有关行政审批事项。</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21.承办县委、县政府和上级公安机关交办的其他工作和法律、法规规定的其他职责。</w:t>
      </w:r>
    </w:p>
    <w:p>
      <w:pPr>
        <w:pStyle w:val="5"/>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9"/>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二、机构设置</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lang w:eastAsia="zh-CN"/>
        </w:rPr>
      </w:pPr>
      <w:r>
        <w:rPr>
          <w:rFonts w:hint="eastAsia" w:ascii="仿宋" w:hAnsi="仿宋" w:eastAsia="仿宋"/>
          <w:bCs/>
          <w:color w:val="000000"/>
          <w:sz w:val="32"/>
          <w:szCs w:val="32"/>
          <w:lang w:val="en-US" w:eastAsia="zh-CN"/>
        </w:rPr>
        <w:t>我单位为独立核算全额拨款行政单位，</w:t>
      </w:r>
      <w:r>
        <w:rPr>
          <w:rFonts w:hint="eastAsia"/>
          <w:sz w:val="32"/>
          <w:szCs w:val="32"/>
          <w:lang w:eastAsia="zh-CN"/>
        </w:rPr>
        <w:t>下设股室</w:t>
      </w:r>
      <w:r>
        <w:rPr>
          <w:rFonts w:hint="eastAsia"/>
          <w:sz w:val="32"/>
          <w:szCs w:val="32"/>
          <w:lang w:val="en-US" w:eastAsia="zh-CN"/>
        </w:rPr>
        <w:t>29</w:t>
      </w:r>
      <w:r>
        <w:rPr>
          <w:rFonts w:hint="eastAsia"/>
          <w:sz w:val="32"/>
          <w:szCs w:val="32"/>
        </w:rPr>
        <w:t>个</w:t>
      </w:r>
      <w:r>
        <w:rPr>
          <w:rFonts w:hint="eastAsia"/>
          <w:sz w:val="32"/>
          <w:szCs w:val="32"/>
          <w:lang w:eastAsia="zh-CN"/>
        </w:rPr>
        <w:t>，分别是：指挥中心、政工室、法制大队、政治安全保卫大队、刑事侦查大队、交通管理大队、看守所、治安拘留所、治安管理大队、森林警察大队、草原骑警大队、公共信息网络安全监察大队、警务保障室、纪检监察室、出入境管理大队、邛溪派出所、刷经寺派出所、龙日派出所、瓦切派出所、麦洼派出所、江茸派出所、色地派出所、安曲派出所、壤口派出所、查尔玛派出所、阿木派出所、麦洼寺派出所、康玛寺派出所、茸塔寺派出所。</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 w:hAnsi="仿宋" w:eastAsia="仿宋"/>
          <w:bCs/>
          <w:color w:val="000000"/>
          <w:sz w:val="32"/>
          <w:szCs w:val="32"/>
          <w:lang w:val="en-US" w:eastAsia="zh-CN"/>
        </w:rPr>
      </w:pPr>
      <w:r>
        <w:rPr>
          <w:rFonts w:hint="eastAsia"/>
          <w:sz w:val="32"/>
          <w:szCs w:val="32"/>
          <w:lang w:eastAsia="zh-CN"/>
        </w:rPr>
        <w:t>截止</w:t>
      </w:r>
      <w:r>
        <w:rPr>
          <w:rFonts w:hint="eastAsia"/>
          <w:sz w:val="32"/>
          <w:szCs w:val="32"/>
          <w:lang w:val="en-US" w:eastAsia="zh-CN"/>
        </w:rPr>
        <w:t>2021年底我单位共有编制181个，其中公务员编制172个，机关工勤编制9个，年底在职182人，公务员171人，行政工勤11人。2021年度部门编制范围1个，为红原县公安局。</w:t>
      </w:r>
    </w:p>
    <w:p>
      <w:pPr>
        <w:pStyle w:val="2"/>
        <w:pageBreakBefore w:val="0"/>
        <w:kinsoku/>
        <w:wordWrap/>
        <w:overflowPunct/>
        <w:topLinePunct w:val="0"/>
        <w:bidi w:val="0"/>
        <w:adjustRightInd w:val="0"/>
        <w:snapToGrid w:val="0"/>
        <w:spacing w:line="560" w:lineRule="exact"/>
        <w:outlineLvl w:val="1"/>
        <w:rPr>
          <w:rStyle w:val="17"/>
          <w:rFonts w:hint="eastAsia" w:ascii="黑体" w:hAnsi="黑体" w:eastAsia="黑体" w:cs="Times New Roman"/>
          <w:b w:val="0"/>
          <w:bCs w:val="0"/>
        </w:rPr>
      </w:pPr>
      <w:bookmarkStart w:id="23" w:name="_Toc815"/>
      <w:r>
        <w:rPr>
          <w:rStyle w:val="17"/>
          <w:rFonts w:hint="eastAsia" w:ascii="黑体" w:hAnsi="黑体" w:eastAsia="黑体" w:cs="Times New Roman"/>
          <w:b w:val="0"/>
          <w:bCs w:val="0"/>
        </w:rPr>
        <w:t>二、2021年重点工作</w:t>
      </w:r>
      <w:bookmarkEnd w:id="17"/>
      <w:bookmarkEnd w:id="18"/>
      <w:r>
        <w:rPr>
          <w:rStyle w:val="17"/>
          <w:rFonts w:hint="eastAsia" w:ascii="黑体" w:hAnsi="黑体" w:eastAsia="黑体" w:cs="Times New Roman"/>
          <w:b w:val="0"/>
          <w:bCs w:val="0"/>
        </w:rPr>
        <w:t>完成情况</w:t>
      </w:r>
      <w:bookmarkEnd w:id="23"/>
    </w:p>
    <w:p>
      <w:pPr>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（一）担使命，更加积极维护社会稳定</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Times New Roman"/>
          <w:bCs/>
          <w:color w:val="000000"/>
          <w:kern w:val="0"/>
          <w:sz w:val="32"/>
          <w:szCs w:val="32"/>
          <w:lang w:val="en-US" w:eastAsia="zh-CN" w:bidi="ar-SA"/>
        </w:rPr>
        <w:t>2021年守住了打击犯罪“零容忍”底线。</w:t>
      </w:r>
      <w:r>
        <w:rPr>
          <w:rFonts w:hint="eastAsia" w:ascii="仿宋_GB2312" w:hAnsi="仿宋_GB2312" w:eastAsia="仿宋_GB2312" w:cs="仿宋_GB2312"/>
          <w:sz w:val="32"/>
          <w:szCs w:val="32"/>
          <w:lang w:val="en-US" w:eastAsia="zh-CN"/>
        </w:rPr>
        <w:t>共立各类刑事案件90起，破67起，破案率为74.4%；抓获犯罪嫌疑人63人；抓获网逃10人，为群众换回经济损失约216万元。</w:t>
      </w:r>
      <w:r>
        <w:rPr>
          <w:rFonts w:hint="eastAsia" w:ascii="仿宋" w:hAnsi="仿宋" w:eastAsia="仿宋" w:cs="Times New Roman"/>
          <w:bCs/>
          <w:color w:val="000000"/>
          <w:kern w:val="0"/>
          <w:sz w:val="32"/>
          <w:szCs w:val="32"/>
          <w:lang w:val="en-US" w:eastAsia="zh-CN" w:bidi="ar-SA"/>
        </w:rPr>
        <w:t>守住了安全防范“零死角”底线。共办理行政案</w:t>
      </w:r>
      <w:r>
        <w:rPr>
          <w:rFonts w:hint="eastAsia" w:ascii="仿宋_GB2312" w:hAnsi="仿宋_GB2312" w:eastAsia="仿宋_GB2312" w:cs="仿宋_GB2312"/>
          <w:sz w:val="32"/>
          <w:szCs w:val="32"/>
          <w:lang w:val="en-US" w:eastAsia="zh-CN"/>
        </w:rPr>
        <w:t>件147起，行政拘留153人。</w:t>
      </w:r>
    </w:p>
    <w:p>
      <w:pPr>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（二）守初心，更加主动服务人民群众。</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r>
        <w:rPr>
          <w:rFonts w:hint="eastAsia" w:ascii="仿宋_GB2312" w:hAnsi="仿宋_GB2312" w:eastAsia="仿宋_GB2312" w:cs="仿宋_GB2312"/>
          <w:sz w:val="32"/>
          <w:szCs w:val="32"/>
          <w:lang w:val="en-US" w:eastAsia="zh-CN"/>
        </w:rPr>
        <w:t>2021年破获4起诈骗案件，抓获犯罪嫌疑人2名；通过反诈预警平台及时阻止723起涉嫌电信诈骗案件，为群众挽回经济损失160.3万元；查处野外违规用火案件7起，拘留10人。挡获被盗机动车55辆，为群众挽回经济损失145万元。与去年同期相比，挡获被盗车辆同比上升11.5%。继续加强天网建设，增设130个天网监控，增加人脸识别30个，统一安装GPS屏蔽、图码联侦等。安全监管不断提升。共查处各类交通违法行为12,368起，执勤卡点共挡获被盗抢机动车15台，扣押报废车104台；县看守所在阿坝县驻地办公，今年共关押犯罪嫌疑人61人、关押行政拘留人员131人，无监所安全事故。</w:t>
      </w:r>
    </w:p>
    <w:p>
      <w:pPr>
        <w:pStyle w:val="3"/>
        <w:pageBreakBefore w:val="0"/>
        <w:kinsoku/>
        <w:wordWrap/>
        <w:overflowPunct/>
        <w:topLinePunct w:val="0"/>
        <w:bidi w:val="0"/>
        <w:adjustRightInd w:val="0"/>
        <w:snapToGrid w:val="0"/>
        <w:spacing w:line="560" w:lineRule="exact"/>
        <w:ind w:right="440"/>
        <w:jc w:val="right"/>
        <w:outlineLvl w:val="0"/>
      </w:pPr>
      <w:bookmarkStart w:id="24" w:name="_Toc15377204"/>
      <w:bookmarkStart w:id="25" w:name="_Toc15396602"/>
      <w:bookmarkStart w:id="26" w:name="_Toc2765"/>
      <w:r>
        <w:rPr>
          <w:rStyle w:val="16"/>
          <w:rFonts w:hint="eastAsia" w:ascii="黑体" w:hAnsi="黑体" w:eastAsia="黑体" w:cs="Times New Roman"/>
          <w:b w:val="0"/>
          <w:bCs w:val="0"/>
        </w:rPr>
        <w:t>第二部分 2021年度单位决算情况说明</w:t>
      </w:r>
      <w:bookmarkEnd w:id="24"/>
      <w:bookmarkEnd w:id="25"/>
      <w:bookmarkEnd w:id="26"/>
    </w:p>
    <w:p>
      <w:pPr>
        <w:pStyle w:val="25"/>
        <w:pageBreakBefore w:val="0"/>
        <w:numPr>
          <w:ilvl w:val="0"/>
          <w:numId w:val="0"/>
        </w:numPr>
        <w:kinsoku/>
        <w:wordWrap/>
        <w:overflowPunct/>
        <w:topLinePunct w:val="0"/>
        <w:bidi w:val="0"/>
        <w:adjustRightInd w:val="0"/>
        <w:snapToGrid w:val="0"/>
        <w:spacing w:line="560" w:lineRule="exact"/>
        <w:ind w:left="640" w:leftChars="0"/>
        <w:outlineLvl w:val="1"/>
        <w:rPr>
          <w:rStyle w:val="17"/>
          <w:rFonts w:hint="eastAsia" w:ascii="黑体" w:hAnsi="黑体" w:eastAsia="黑体" w:cs="Times New Roman"/>
          <w:b w:val="0"/>
        </w:rPr>
      </w:pPr>
      <w:bookmarkStart w:id="27" w:name="_Toc15377205"/>
      <w:bookmarkStart w:id="28" w:name="_Toc15396603"/>
      <w:bookmarkStart w:id="29" w:name="_Toc2530"/>
      <w:r>
        <w:rPr>
          <w:rStyle w:val="17"/>
          <w:rFonts w:hint="eastAsia" w:ascii="黑体" w:hAnsi="黑体" w:eastAsia="黑体" w:cs="Times New Roman"/>
          <w:b w:val="0"/>
        </w:rPr>
        <w:t>一、收入支出决算总体情况说明</w:t>
      </w:r>
      <w:bookmarkEnd w:id="27"/>
      <w:bookmarkEnd w:id="28"/>
      <w:bookmarkEnd w:id="29"/>
    </w:p>
    <w:p>
      <w:pPr>
        <w:pStyle w:val="5"/>
        <w:pageBreakBefore w:val="0"/>
        <w:kinsoku/>
        <w:wordWrap/>
        <w:overflowPunct/>
        <w:topLinePunct w:val="0"/>
        <w:bidi w:val="0"/>
        <w:adjustRightInd w:val="0"/>
        <w:snapToGrid w:val="0"/>
        <w:spacing w:before="93" w:line="560" w:lineRule="exact"/>
        <w:ind w:firstLine="672" w:firstLineChars="210"/>
        <w:outlineLvl w:val="9"/>
        <w:rPr>
          <w:rFonts w:hint="default"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2021年度收、支总计7,952.8万元。与2020年相比，收、支总计各增加308.5万元，增长4.04%。主要变动原因是有我单位在职人员较2020年有所增加，工资、保险等较上年有所上涨，项目支出进度加快。</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676910</wp:posOffset>
            </wp:positionH>
            <wp:positionV relativeFrom="paragraph">
              <wp:posOffset>262255</wp:posOffset>
            </wp:positionV>
            <wp:extent cx="3706495" cy="2322830"/>
            <wp:effectExtent l="4445" t="4445" r="22860" b="1587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988" w:firstLineChars="309"/>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（图1：收、支决算总计变动情况图）</w:t>
      </w:r>
    </w:p>
    <w:p>
      <w:pPr>
        <w:pStyle w:val="25"/>
        <w:pageBreakBefore w:val="0"/>
        <w:numPr>
          <w:ilvl w:val="0"/>
          <w:numId w:val="0"/>
        </w:numPr>
        <w:kinsoku/>
        <w:wordWrap/>
        <w:overflowPunct/>
        <w:topLinePunct w:val="0"/>
        <w:bidi w:val="0"/>
        <w:adjustRightInd w:val="0"/>
        <w:snapToGrid w:val="0"/>
        <w:spacing w:line="560" w:lineRule="exact"/>
        <w:ind w:left="640" w:leftChars="0"/>
        <w:outlineLvl w:val="1"/>
        <w:rPr>
          <w:rStyle w:val="17"/>
          <w:rFonts w:hint="eastAsia" w:ascii="黑体" w:hAnsi="黑体" w:eastAsia="黑体" w:cs="Times New Roman"/>
          <w:b w:val="0"/>
        </w:rPr>
      </w:pPr>
      <w:bookmarkStart w:id="30" w:name="_Toc15377206"/>
      <w:bookmarkStart w:id="31" w:name="_Toc15396604"/>
      <w:bookmarkStart w:id="32" w:name="_Toc21449"/>
      <w:r>
        <w:rPr>
          <w:rStyle w:val="17"/>
          <w:rFonts w:hint="eastAsia" w:ascii="黑体" w:hAnsi="黑体" w:eastAsia="黑体" w:cs="Times New Roman"/>
          <w:b w:val="0"/>
        </w:rPr>
        <w:t>二、收入决算情况说明</w:t>
      </w:r>
      <w:bookmarkEnd w:id="30"/>
      <w:bookmarkEnd w:id="31"/>
      <w:bookmarkEnd w:id="32"/>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本年收入合计6,837.88万元，其中：一般公共预算财政拨款收入6,837.88万元，占100%；政府性基金预算财政拨款收入0万元，占0%；国有资本经营预算财政拨款收入0万元，占0%；上级补助收入0万元，占0%；事业收入0万元，占0%；经营收入0万元，占0%；附属单位上缴收入0万元，占0%；其他收入0万元，占0%。</w:t>
      </w:r>
    </w:p>
    <w:p>
      <w:pPr>
        <w:pStyle w:val="5"/>
        <w:pageBreakBefore w:val="0"/>
        <w:kinsoku/>
        <w:wordWrap/>
        <w:overflowPunct/>
        <w:topLinePunct w:val="0"/>
        <w:bidi w:val="0"/>
        <w:adjustRightInd w:val="0"/>
        <w:snapToGrid w:val="0"/>
        <w:spacing w:before="93" w:line="560" w:lineRule="exact"/>
        <w:ind w:firstLine="1827" w:firstLineChars="609"/>
        <w:outlineLvl w:val="9"/>
        <w:rPr>
          <w:rFonts w:ascii="仿宋_GB2312" w:eastAsia="仿宋_GB2312"/>
          <w:sz w:val="32"/>
          <w:szCs w:val="32"/>
        </w:rPr>
      </w:pPr>
      <w:r>
        <w:rPr>
          <w:rFonts w:hint="eastAsia" w:eastAsia="仿宋_GB2312"/>
          <w:lang w:eastAsia="zh-CN"/>
        </w:rPr>
        <w:drawing>
          <wp:anchor distT="0" distB="0" distL="114300" distR="114300" simplePos="0" relativeHeight="251660288" behindDoc="0" locked="0" layoutInCell="1" allowOverlap="1">
            <wp:simplePos x="0" y="0"/>
            <wp:positionH relativeFrom="column">
              <wp:posOffset>205740</wp:posOffset>
            </wp:positionH>
            <wp:positionV relativeFrom="paragraph">
              <wp:posOffset>294005</wp:posOffset>
            </wp:positionV>
            <wp:extent cx="4274820" cy="2848610"/>
            <wp:effectExtent l="4445" t="4445" r="6985" b="2349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s="Times New Roman"/>
          <w:bCs/>
          <w:color w:val="000000"/>
          <w:sz w:val="32"/>
          <w:szCs w:val="32"/>
          <w:lang w:val="en-US" w:eastAsia="zh-CN"/>
        </w:rPr>
        <w:t xml:space="preserve">（图2：收入决算结构图） </w:t>
      </w:r>
    </w:p>
    <w:p>
      <w:pPr>
        <w:pStyle w:val="25"/>
        <w:pageBreakBefore w:val="0"/>
        <w:numPr>
          <w:ilvl w:val="0"/>
          <w:numId w:val="0"/>
        </w:numPr>
        <w:kinsoku/>
        <w:wordWrap/>
        <w:overflowPunct/>
        <w:topLinePunct w:val="0"/>
        <w:bidi w:val="0"/>
        <w:adjustRightInd w:val="0"/>
        <w:snapToGrid w:val="0"/>
        <w:spacing w:line="560" w:lineRule="exact"/>
        <w:ind w:left="640" w:leftChars="0"/>
        <w:outlineLvl w:val="1"/>
        <w:rPr>
          <w:rStyle w:val="17"/>
          <w:rFonts w:hint="eastAsia" w:ascii="黑体" w:hAnsi="黑体" w:eastAsia="黑体" w:cs="Times New Roman"/>
          <w:b w:val="0"/>
        </w:rPr>
      </w:pPr>
      <w:bookmarkStart w:id="33" w:name="_Toc15396605"/>
      <w:bookmarkStart w:id="34" w:name="_Toc15377207"/>
      <w:bookmarkStart w:id="35" w:name="_Toc17871"/>
      <w:r>
        <w:rPr>
          <w:rStyle w:val="17"/>
          <w:rFonts w:hint="eastAsia" w:ascii="黑体" w:hAnsi="黑体" w:eastAsia="黑体" w:cs="Times New Roman"/>
          <w:b w:val="0"/>
        </w:rPr>
        <w:t>三、支出决算情况说明</w:t>
      </w:r>
      <w:bookmarkEnd w:id="33"/>
      <w:bookmarkEnd w:id="34"/>
      <w:bookmarkEnd w:id="35"/>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2021年本年支出合计7,952.8万元，其中：基本支出</w:t>
      </w:r>
    </w:p>
    <w:p>
      <w:pPr>
        <w:pStyle w:val="5"/>
        <w:pageBreakBefore w:val="0"/>
        <w:kinsoku/>
        <w:wordWrap/>
        <w:overflowPunct/>
        <w:topLinePunct w:val="0"/>
        <w:bidi w:val="0"/>
        <w:adjustRightInd w:val="0"/>
        <w:snapToGrid w:val="0"/>
        <w:spacing w:before="93" w:line="560" w:lineRule="exact"/>
        <w:jc w:val="both"/>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5,231.42万元，占65.78%；项目支出2,721.38万元，占34.22%；上缴上级支出0万元，占0%；经营支出0万元，占0%；对附属单位补助支出0万元，占0%。</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2100" w:firstLineChars="700"/>
        <w:jc w:val="both"/>
        <w:outlineLvl w:val="9"/>
        <w:rPr>
          <w:rFonts w:hint="eastAsia" w:ascii="仿宋" w:hAnsi="仿宋" w:eastAsia="仿宋" w:cs="Times New Roman"/>
          <w:bCs/>
          <w:color w:val="000000"/>
          <w:sz w:val="32"/>
          <w:szCs w:val="32"/>
          <w:lang w:val="en-US" w:eastAsia="zh-CN"/>
        </w:rPr>
      </w:pPr>
      <w:r>
        <w:rPr>
          <w:rFonts w:hint="eastAsia"/>
          <w:lang w:eastAsia="zh-CN"/>
        </w:rPr>
        <w:drawing>
          <wp:anchor distT="0" distB="0" distL="114300" distR="114300" simplePos="0" relativeHeight="251661312" behindDoc="0" locked="0" layoutInCell="1" allowOverlap="1">
            <wp:simplePos x="0" y="0"/>
            <wp:positionH relativeFrom="column">
              <wp:posOffset>727075</wp:posOffset>
            </wp:positionH>
            <wp:positionV relativeFrom="paragraph">
              <wp:posOffset>63500</wp:posOffset>
            </wp:positionV>
            <wp:extent cx="3695065" cy="2406650"/>
            <wp:effectExtent l="5080" t="4445" r="14605" b="825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s="Times New Roman"/>
          <w:bCs/>
          <w:color w:val="000000"/>
          <w:sz w:val="32"/>
          <w:szCs w:val="32"/>
          <w:lang w:val="en-US" w:eastAsia="zh-CN"/>
        </w:rPr>
        <w:t>（图3：支出决算结构图）</w:t>
      </w:r>
    </w:p>
    <w:p>
      <w:pPr>
        <w:pageBreakBefore w:val="0"/>
        <w:kinsoku/>
        <w:wordWrap/>
        <w:overflowPunct/>
        <w:topLinePunct w:val="0"/>
        <w:bidi w:val="0"/>
        <w:adjustRightInd w:val="0"/>
        <w:snapToGrid w:val="0"/>
        <w:spacing w:line="560" w:lineRule="exact"/>
        <w:ind w:firstLine="640" w:firstLineChars="200"/>
        <w:rPr>
          <w:rFonts w:ascii="仿宋_GB2312" w:eastAsia="仿宋_GB2312"/>
          <w:sz w:val="32"/>
          <w:szCs w:val="32"/>
        </w:rPr>
      </w:pPr>
    </w:p>
    <w:p>
      <w:pPr>
        <w:pageBreakBefore w:val="0"/>
        <w:kinsoku/>
        <w:wordWrap/>
        <w:overflowPunct/>
        <w:topLinePunct w:val="0"/>
        <w:bidi w:val="0"/>
        <w:adjustRightInd w:val="0"/>
        <w:snapToGrid w:val="0"/>
        <w:spacing w:line="560" w:lineRule="exact"/>
        <w:ind w:firstLine="640" w:firstLineChars="200"/>
        <w:outlineLvl w:val="1"/>
        <w:rPr>
          <w:rStyle w:val="17"/>
          <w:rFonts w:hint="eastAsia" w:ascii="黑体" w:hAnsi="黑体" w:eastAsia="黑体" w:cs="Times New Roman"/>
          <w:b w:val="0"/>
        </w:rPr>
      </w:pPr>
      <w:bookmarkStart w:id="36" w:name="_Toc15396606"/>
      <w:bookmarkStart w:id="37" w:name="_Toc15377208"/>
      <w:bookmarkStart w:id="38" w:name="_Toc20737"/>
      <w:r>
        <w:rPr>
          <w:rStyle w:val="17"/>
          <w:rFonts w:hint="eastAsia" w:ascii="黑体" w:hAnsi="黑体" w:eastAsia="黑体" w:cs="Times New Roman"/>
          <w:b w:val="0"/>
        </w:rPr>
        <w:t>四、财政拨款收入支出决算总体情况说明</w:t>
      </w:r>
      <w:bookmarkEnd w:id="36"/>
      <w:bookmarkEnd w:id="37"/>
      <w:bookmarkEnd w:id="38"/>
    </w:p>
    <w:p>
      <w:pPr>
        <w:pStyle w:val="5"/>
        <w:pageBreakBefore w:val="0"/>
        <w:kinsoku/>
        <w:wordWrap/>
        <w:overflowPunct/>
        <w:topLinePunct w:val="0"/>
        <w:bidi w:val="0"/>
        <w:adjustRightInd w:val="0"/>
        <w:snapToGrid w:val="0"/>
        <w:spacing w:before="93" w:line="560" w:lineRule="exact"/>
        <w:ind w:firstLine="672" w:firstLineChars="210"/>
        <w:outlineLvl w:val="9"/>
        <w:rPr>
          <w:rFonts w:hint="default"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2021年财政拨款收、支总计7,952.8万元。与2020年相比，财政拨款收、支总计各增加308.5万元，增长4.04%。主要变动原因是我单位在职人员较2020年有所增加，工资、保险等较上年有所上涨，项目支出进度加快。</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800735</wp:posOffset>
            </wp:positionH>
            <wp:positionV relativeFrom="paragraph">
              <wp:posOffset>287020</wp:posOffset>
            </wp:positionV>
            <wp:extent cx="3706495" cy="2322830"/>
            <wp:effectExtent l="4445" t="4445" r="22860" b="1587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（图4：财政拨款收、支决算总计变动情况）</w:t>
      </w:r>
    </w:p>
    <w:p>
      <w:pPr>
        <w:pageBreakBefore w:val="0"/>
        <w:kinsoku/>
        <w:wordWrap/>
        <w:overflowPunct/>
        <w:topLinePunct w:val="0"/>
        <w:bidi w:val="0"/>
        <w:adjustRightInd w:val="0"/>
        <w:snapToGrid w:val="0"/>
        <w:spacing w:line="560" w:lineRule="exact"/>
        <w:ind w:firstLine="640" w:firstLineChars="200"/>
        <w:outlineLvl w:val="1"/>
        <w:rPr>
          <w:rStyle w:val="17"/>
          <w:rFonts w:hint="eastAsia" w:ascii="黑体" w:hAnsi="黑体" w:eastAsia="黑体" w:cs="Times New Roman"/>
          <w:b w:val="0"/>
        </w:rPr>
      </w:pPr>
      <w:bookmarkStart w:id="39" w:name="_Toc15377209"/>
      <w:bookmarkStart w:id="40" w:name="_Toc15396607"/>
      <w:bookmarkStart w:id="41" w:name="_Toc23118"/>
      <w:r>
        <w:rPr>
          <w:rStyle w:val="17"/>
          <w:rFonts w:hint="eastAsia" w:ascii="黑体" w:hAnsi="黑体" w:eastAsia="黑体" w:cs="Times New Roman"/>
          <w:b w:val="0"/>
        </w:rPr>
        <w:t>五、一般公共预算财政拨款支出决算情况说明</w:t>
      </w:r>
      <w:bookmarkEnd w:id="39"/>
      <w:bookmarkEnd w:id="40"/>
      <w:bookmarkEnd w:id="41"/>
    </w:p>
    <w:p>
      <w:pPr>
        <w:pageBreakBefore w:val="0"/>
        <w:kinsoku/>
        <w:wordWrap/>
        <w:overflowPunct/>
        <w:topLinePunct w:val="0"/>
        <w:bidi w:val="0"/>
        <w:adjustRightInd w:val="0"/>
        <w:snapToGrid w:val="0"/>
        <w:spacing w:line="560" w:lineRule="exact"/>
        <w:ind w:firstLine="643" w:firstLineChars="200"/>
        <w:outlineLvl w:val="2"/>
        <w:rPr>
          <w:rFonts w:ascii="仿宋" w:eastAsia="仿宋"/>
          <w:b/>
          <w:sz w:val="32"/>
          <w:szCs w:val="32"/>
        </w:rPr>
      </w:pPr>
      <w:bookmarkStart w:id="42" w:name="_Toc15377210"/>
      <w:r>
        <w:rPr>
          <w:rFonts w:hint="eastAsia" w:ascii="仿宋" w:eastAsia="仿宋"/>
          <w:b/>
          <w:sz w:val="32"/>
          <w:szCs w:val="32"/>
        </w:rPr>
        <w:t>（一）一般公共预算财政拨款支出决算总体情况</w:t>
      </w:r>
      <w:bookmarkEnd w:id="42"/>
    </w:p>
    <w:p>
      <w:pPr>
        <w:pStyle w:val="5"/>
        <w:pageBreakBefore w:val="0"/>
        <w:kinsoku/>
        <w:wordWrap/>
        <w:overflowPunct/>
        <w:topLinePunct w:val="0"/>
        <w:bidi w:val="0"/>
        <w:adjustRightInd w:val="0"/>
        <w:snapToGrid w:val="0"/>
        <w:spacing w:before="93" w:line="560" w:lineRule="exact"/>
        <w:ind w:firstLine="672" w:firstLineChars="210"/>
        <w:outlineLvl w:val="9"/>
        <w:rPr>
          <w:rFonts w:hint="default"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一般公共预算财政拨款支出7,952.8万元，占本年支出合计的100%。与2020年相比，一般公共预算财政拨款支出增加1,722.73万元，增长27.65%。主要变动原因是21年较20年人数增加22人，工资、保险等标准有所上涨，项目支付进度加快。</w:t>
      </w:r>
    </w:p>
    <w:p>
      <w:pPr>
        <w:pStyle w:val="5"/>
        <w:pageBreakBefore w:val="0"/>
        <w:kinsoku/>
        <w:wordWrap/>
        <w:overflowPunct/>
        <w:topLinePunct w:val="0"/>
        <w:bidi w:val="0"/>
        <w:adjustRightInd w:val="0"/>
        <w:snapToGrid w:val="0"/>
        <w:spacing w:before="93" w:line="560" w:lineRule="exact"/>
        <w:ind w:firstLine="630" w:firstLineChars="210"/>
        <w:outlineLvl w:val="9"/>
        <w:rPr>
          <w:rFonts w:hint="eastAsia" w:ascii="仿宋" w:hAnsi="仿宋" w:eastAsia="仿宋" w:cs="Times New Roman"/>
          <w:bCs/>
          <w:color w:val="000000"/>
          <w:sz w:val="32"/>
          <w:szCs w:val="32"/>
          <w:lang w:val="en-US" w:eastAsia="zh-CN"/>
        </w:rPr>
      </w:pPr>
      <w:r>
        <w:rPr>
          <w:rFonts w:hint="eastAsia" w:eastAsia="宋体"/>
          <w:lang w:eastAsia="zh-CN"/>
        </w:rPr>
        <w:drawing>
          <wp:anchor distT="0" distB="0" distL="114300" distR="114300" simplePos="0" relativeHeight="251663360" behindDoc="0" locked="0" layoutInCell="1" allowOverlap="1">
            <wp:simplePos x="0" y="0"/>
            <wp:positionH relativeFrom="column">
              <wp:posOffset>254000</wp:posOffset>
            </wp:positionH>
            <wp:positionV relativeFrom="paragraph">
              <wp:posOffset>151130</wp:posOffset>
            </wp:positionV>
            <wp:extent cx="3944620" cy="2788920"/>
            <wp:effectExtent l="4445" t="5080" r="13335" b="635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ascii="仿宋" w:eastAsia="仿宋"/>
          <w:sz w:val="32"/>
          <w:szCs w:val="32"/>
        </w:rPr>
      </w:pPr>
      <w:r>
        <w:rPr>
          <w:rFonts w:hint="eastAsia" w:ascii="仿宋" w:hAnsi="仿宋" w:eastAsia="仿宋" w:cs="Times New Roman"/>
          <w:bCs/>
          <w:color w:val="000000"/>
          <w:sz w:val="32"/>
          <w:szCs w:val="32"/>
          <w:lang w:val="en-US" w:eastAsia="zh-CN"/>
        </w:rPr>
        <w:t>（图5：一般公共预算财政拨款支出决算变动情况）</w:t>
      </w:r>
    </w:p>
    <w:p>
      <w:pPr>
        <w:pageBreakBefore w:val="0"/>
        <w:kinsoku/>
        <w:wordWrap/>
        <w:overflowPunct/>
        <w:topLinePunct w:val="0"/>
        <w:bidi w:val="0"/>
        <w:adjustRightInd w:val="0"/>
        <w:snapToGrid w:val="0"/>
        <w:spacing w:line="560" w:lineRule="exact"/>
        <w:ind w:firstLine="643" w:firstLineChars="200"/>
        <w:jc w:val="left"/>
        <w:outlineLvl w:val="2"/>
        <w:rPr>
          <w:rFonts w:hint="eastAsia" w:ascii="仿宋" w:eastAsia="仿宋"/>
          <w:b/>
          <w:sz w:val="32"/>
          <w:szCs w:val="32"/>
          <w:lang w:val="en-US" w:eastAsia="zh-CN"/>
        </w:rPr>
      </w:pPr>
      <w:bookmarkStart w:id="43" w:name="_Toc15377211"/>
      <w:r>
        <w:rPr>
          <w:rFonts w:hint="eastAsia" w:ascii="仿宋" w:eastAsia="仿宋"/>
          <w:b/>
          <w:sz w:val="32"/>
          <w:szCs w:val="32"/>
          <w:lang w:val="en-US" w:eastAsia="zh-CN"/>
        </w:rPr>
        <w:t>（二）一般公共预算财政拨款支出决算结构情况</w:t>
      </w:r>
      <w:bookmarkEnd w:id="43"/>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一般公共预算财政拨款支出7,952.8万元，主要用于以下方面:公共安全（204）支出6,917.68万元，占86.98%；社会保障和就业（208）支出494.81万元，占6.22%；卫生健康支出（210）182.82万元，占2.3%；住房保障支出（221）357.49万元，占4.5%。</w:t>
      </w:r>
    </w:p>
    <w:p>
      <w:pPr>
        <w:pStyle w:val="5"/>
        <w:pageBreakBefore w:val="0"/>
        <w:kinsoku/>
        <w:wordWrap/>
        <w:overflowPunct/>
        <w:topLinePunct w:val="0"/>
        <w:bidi w:val="0"/>
        <w:adjustRightInd w:val="0"/>
        <w:snapToGrid w:val="0"/>
        <w:spacing w:before="93" w:line="560" w:lineRule="exact"/>
        <w:ind w:firstLine="630" w:firstLineChars="210"/>
        <w:outlineLvl w:val="9"/>
        <w:rPr>
          <w:rFonts w:hint="eastAsia" w:ascii="仿宋" w:hAnsi="仿宋" w:eastAsia="仿宋" w:cs="Times New Roman"/>
          <w:bCs/>
          <w:color w:val="000000"/>
          <w:sz w:val="32"/>
          <w:szCs w:val="32"/>
          <w:lang w:val="en-US" w:eastAsia="zh-CN"/>
        </w:rPr>
      </w:pPr>
      <w:r>
        <w:drawing>
          <wp:anchor distT="0" distB="0" distL="114300" distR="114300" simplePos="0" relativeHeight="251664384" behindDoc="0" locked="0" layoutInCell="1" allowOverlap="1">
            <wp:simplePos x="0" y="0"/>
            <wp:positionH relativeFrom="column">
              <wp:posOffset>431165</wp:posOffset>
            </wp:positionH>
            <wp:positionV relativeFrom="paragraph">
              <wp:posOffset>235585</wp:posOffset>
            </wp:positionV>
            <wp:extent cx="4104640" cy="3215005"/>
            <wp:effectExtent l="4445" t="4445" r="5715" b="1905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（图6：一般公共预算财政拨款支出决算结构）</w:t>
      </w:r>
    </w:p>
    <w:p>
      <w:pPr>
        <w:pageBreakBefore w:val="0"/>
        <w:kinsoku/>
        <w:wordWrap/>
        <w:overflowPunct/>
        <w:topLinePunct w:val="0"/>
        <w:bidi w:val="0"/>
        <w:adjustRightInd w:val="0"/>
        <w:snapToGrid w:val="0"/>
        <w:spacing w:line="560" w:lineRule="exact"/>
        <w:ind w:firstLine="643" w:firstLineChars="200"/>
        <w:jc w:val="left"/>
        <w:outlineLvl w:val="2"/>
        <w:rPr>
          <w:rFonts w:hint="eastAsia" w:ascii="仿宋" w:eastAsia="仿宋"/>
          <w:b/>
          <w:sz w:val="32"/>
          <w:szCs w:val="32"/>
          <w:lang w:val="en-US" w:eastAsia="zh-CN"/>
        </w:rPr>
      </w:pPr>
      <w:bookmarkStart w:id="44" w:name="_Toc15377212"/>
      <w:r>
        <w:rPr>
          <w:rFonts w:hint="eastAsia" w:ascii="仿宋" w:eastAsia="仿宋"/>
          <w:b/>
          <w:sz w:val="32"/>
          <w:szCs w:val="32"/>
          <w:lang w:val="en-US" w:eastAsia="zh-CN"/>
        </w:rPr>
        <w:t>（三）一般公共预算财政拨款支出决算具体情况</w:t>
      </w:r>
      <w:bookmarkEnd w:id="44"/>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bookmarkStart w:id="45" w:name="_Toc15377213"/>
      <w:bookmarkStart w:id="46" w:name="_Toc15378460"/>
      <w:bookmarkStart w:id="47" w:name="_Toc15377444"/>
      <w:r>
        <w:rPr>
          <w:rFonts w:hint="eastAsia" w:ascii="仿宋" w:hAnsi="仿宋" w:eastAsia="仿宋" w:cs="Times New Roman"/>
          <w:bCs/>
          <w:color w:val="000000"/>
          <w:sz w:val="32"/>
          <w:szCs w:val="32"/>
          <w:lang w:val="en-US" w:eastAsia="zh-CN"/>
        </w:rPr>
        <w:t>2021年一般公共预算支出决算数为7,952.8万元，完成预算100%。其中：</w:t>
      </w:r>
      <w:bookmarkEnd w:id="45"/>
      <w:bookmarkEnd w:id="46"/>
      <w:bookmarkEnd w:id="47"/>
    </w:p>
    <w:p>
      <w:pPr>
        <w:spacing w:line="600" w:lineRule="exact"/>
        <w:ind w:firstLine="643" w:firstLineChars="200"/>
        <w:outlineLvl w:val="9"/>
        <w:rPr>
          <w:rStyle w:val="14"/>
          <w:rFonts w:hint="eastAsia" w:ascii="仿宋" w:hAnsi="仿宋" w:eastAsia="仿宋"/>
          <w:bCs/>
          <w:color w:val="000000"/>
          <w:sz w:val="32"/>
          <w:szCs w:val="32"/>
          <w:lang w:val="en-US" w:eastAsia="zh-CN"/>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公共安全支出（</w:t>
      </w:r>
      <w:r>
        <w:rPr>
          <w:rStyle w:val="14"/>
          <w:rFonts w:hint="eastAsia" w:ascii="仿宋" w:hAnsi="仿宋" w:eastAsia="仿宋"/>
          <w:bCs/>
          <w:color w:val="000000"/>
          <w:sz w:val="32"/>
          <w:szCs w:val="32"/>
          <w:lang w:val="en-US" w:eastAsia="zh-CN"/>
        </w:rPr>
        <w:t>204</w:t>
      </w:r>
      <w:r>
        <w:rPr>
          <w:rStyle w:val="14"/>
          <w:rFonts w:hint="eastAsia" w:ascii="仿宋" w:hAnsi="仿宋" w:eastAsia="仿宋"/>
          <w:bCs/>
          <w:color w:val="000000"/>
          <w:sz w:val="32"/>
          <w:szCs w:val="32"/>
        </w:rPr>
        <w:t>）公安（</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）行政运行（</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支出决算为4</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rPr>
        <w:t>196.66万元，完成预算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val="en-US" w:eastAsia="zh-CN"/>
        </w:rPr>
        <w:tab/>
      </w:r>
    </w:p>
    <w:p>
      <w:pPr>
        <w:spacing w:line="600" w:lineRule="exact"/>
        <w:ind w:firstLine="643" w:firstLineChars="200"/>
        <w:outlineLvl w:val="9"/>
        <w:rPr>
          <w:rStyle w:val="14"/>
          <w:rFonts w:hint="eastAsia" w:ascii="仿宋" w:hAnsi="仿宋" w:eastAsia="仿宋"/>
          <w:b w:val="0"/>
          <w:bCs/>
          <w:color w:val="000000"/>
          <w:sz w:val="32"/>
          <w:szCs w:val="32"/>
        </w:rPr>
      </w:pPr>
      <w:r>
        <w:rPr>
          <w:rFonts w:hint="eastAsia" w:ascii="仿宋" w:hAnsi="仿宋" w:eastAsia="仿宋"/>
          <w:b/>
          <w:color w:val="000000"/>
          <w:sz w:val="32"/>
          <w:szCs w:val="32"/>
          <w:lang w:val="en-US" w:eastAsia="zh-CN"/>
        </w:rPr>
        <w:t>2.</w:t>
      </w:r>
      <w:r>
        <w:rPr>
          <w:rStyle w:val="14"/>
          <w:rFonts w:hint="eastAsia" w:ascii="仿宋" w:hAnsi="仿宋" w:eastAsia="仿宋"/>
          <w:bCs/>
          <w:color w:val="000000"/>
          <w:sz w:val="32"/>
          <w:szCs w:val="32"/>
        </w:rPr>
        <w:t>公共安全支出（</w:t>
      </w:r>
      <w:r>
        <w:rPr>
          <w:rStyle w:val="14"/>
          <w:rFonts w:hint="eastAsia" w:ascii="仿宋" w:hAnsi="仿宋" w:eastAsia="仿宋"/>
          <w:bCs/>
          <w:color w:val="000000"/>
          <w:sz w:val="32"/>
          <w:szCs w:val="32"/>
          <w:lang w:val="en-US" w:eastAsia="zh-CN"/>
        </w:rPr>
        <w:t>204</w:t>
      </w:r>
      <w:r>
        <w:rPr>
          <w:rStyle w:val="14"/>
          <w:rFonts w:hint="eastAsia" w:ascii="仿宋" w:hAnsi="仿宋" w:eastAsia="仿宋"/>
          <w:bCs/>
          <w:color w:val="000000"/>
          <w:sz w:val="32"/>
          <w:szCs w:val="32"/>
        </w:rPr>
        <w:t>）公安（</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）一般行政管理事务（</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2,263.96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outlineLvl w:val="9"/>
        <w:rPr>
          <w:rFonts w:ascii="仿宋" w:hAnsi="仿宋" w:eastAsia="仿宋"/>
          <w:b/>
          <w:color w:val="000000"/>
          <w:sz w:val="32"/>
          <w:szCs w:val="32"/>
        </w:rPr>
      </w:pPr>
      <w:r>
        <w:rPr>
          <w:rFonts w:hint="eastAsia" w:ascii="仿宋" w:hAnsi="仿宋" w:eastAsia="仿宋"/>
          <w:b/>
          <w:color w:val="000000"/>
          <w:sz w:val="32"/>
          <w:szCs w:val="32"/>
          <w:lang w:val="en-US" w:eastAsia="zh-CN"/>
        </w:rPr>
        <w:t>3.</w:t>
      </w:r>
      <w:r>
        <w:rPr>
          <w:rStyle w:val="14"/>
          <w:rFonts w:hint="eastAsia" w:ascii="仿宋" w:hAnsi="仿宋" w:eastAsia="仿宋"/>
          <w:bCs/>
          <w:color w:val="000000"/>
          <w:sz w:val="32"/>
          <w:szCs w:val="32"/>
        </w:rPr>
        <w:t>公共安全支出（</w:t>
      </w:r>
      <w:r>
        <w:rPr>
          <w:rStyle w:val="14"/>
          <w:rFonts w:hint="eastAsia" w:ascii="仿宋" w:hAnsi="仿宋" w:eastAsia="仿宋"/>
          <w:bCs/>
          <w:color w:val="000000"/>
          <w:sz w:val="32"/>
          <w:szCs w:val="32"/>
          <w:lang w:val="en-US" w:eastAsia="zh-CN"/>
        </w:rPr>
        <w:t>204</w:t>
      </w:r>
      <w:r>
        <w:rPr>
          <w:rStyle w:val="14"/>
          <w:rFonts w:hint="eastAsia" w:ascii="仿宋" w:hAnsi="仿宋" w:eastAsia="仿宋"/>
          <w:bCs/>
          <w:color w:val="000000"/>
          <w:sz w:val="32"/>
          <w:szCs w:val="32"/>
        </w:rPr>
        <w:t>）公安（</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）执法办案</w:t>
      </w:r>
      <w:r>
        <w:rPr>
          <w:rStyle w:val="14"/>
          <w:rFonts w:hint="eastAsia" w:ascii="仿宋" w:hAnsi="仿宋" w:eastAsia="仿宋"/>
          <w:bCs/>
          <w:color w:val="000000"/>
          <w:sz w:val="32"/>
          <w:szCs w:val="32"/>
          <w:lang w:val="en-US" w:eastAsia="zh-CN"/>
        </w:rPr>
        <w:t>(20):</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81.58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outlineLvl w:val="9"/>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4.</w:t>
      </w:r>
      <w:r>
        <w:rPr>
          <w:rStyle w:val="14"/>
          <w:rFonts w:hint="eastAsia" w:ascii="仿宋" w:hAnsi="仿宋" w:eastAsia="仿宋"/>
          <w:bCs/>
          <w:color w:val="000000"/>
          <w:sz w:val="32"/>
          <w:szCs w:val="32"/>
        </w:rPr>
        <w:t>公共安全支出（</w:t>
      </w:r>
      <w:r>
        <w:rPr>
          <w:rStyle w:val="14"/>
          <w:rFonts w:hint="eastAsia" w:ascii="仿宋" w:hAnsi="仿宋" w:eastAsia="仿宋"/>
          <w:bCs/>
          <w:color w:val="000000"/>
          <w:sz w:val="32"/>
          <w:szCs w:val="32"/>
          <w:lang w:val="en-US" w:eastAsia="zh-CN"/>
        </w:rPr>
        <w:t>204</w:t>
      </w:r>
      <w:r>
        <w:rPr>
          <w:rStyle w:val="14"/>
          <w:rFonts w:hint="eastAsia" w:ascii="仿宋" w:hAnsi="仿宋" w:eastAsia="仿宋"/>
          <w:bCs/>
          <w:color w:val="000000"/>
          <w:sz w:val="32"/>
          <w:szCs w:val="32"/>
        </w:rPr>
        <w:t>）公安（</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）其他公安支出</w:t>
      </w:r>
      <w:r>
        <w:rPr>
          <w:rStyle w:val="14"/>
          <w:rFonts w:hint="eastAsia" w:ascii="仿宋" w:hAnsi="仿宋" w:eastAsia="仿宋"/>
          <w:bCs/>
          <w:color w:val="000000"/>
          <w:sz w:val="32"/>
          <w:szCs w:val="32"/>
          <w:lang w:val="en-US" w:eastAsia="zh-CN"/>
        </w:rPr>
        <w:t>(99):</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363.66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outlineLvl w:val="9"/>
        <w:rPr>
          <w:rFonts w:hint="eastAsia" w:eastAsia="仿宋"/>
          <w:lang w:val="en-US" w:eastAsia="zh-CN"/>
        </w:rPr>
      </w:pPr>
      <w:r>
        <w:rPr>
          <w:rStyle w:val="14"/>
          <w:rFonts w:hint="eastAsia" w:ascii="仿宋" w:hAnsi="仿宋" w:eastAsia="仿宋"/>
          <w:bCs/>
          <w:color w:val="000000"/>
          <w:sz w:val="32"/>
          <w:szCs w:val="32"/>
          <w:lang w:val="en-US" w:eastAsia="zh-CN"/>
        </w:rPr>
        <w:t>5.</w:t>
      </w:r>
      <w:r>
        <w:rPr>
          <w:rStyle w:val="14"/>
          <w:rFonts w:hint="eastAsia" w:ascii="仿宋" w:hAnsi="仿宋" w:eastAsia="仿宋"/>
          <w:bCs/>
          <w:color w:val="000000"/>
          <w:sz w:val="32"/>
          <w:szCs w:val="32"/>
        </w:rPr>
        <w:t>公共安全支出（</w:t>
      </w:r>
      <w:r>
        <w:rPr>
          <w:rStyle w:val="14"/>
          <w:rFonts w:hint="eastAsia" w:ascii="仿宋" w:hAnsi="仿宋" w:eastAsia="仿宋"/>
          <w:bCs/>
          <w:color w:val="000000"/>
          <w:sz w:val="32"/>
          <w:szCs w:val="32"/>
          <w:lang w:val="en-US" w:eastAsia="zh-CN"/>
        </w:rPr>
        <w:t>204</w:t>
      </w:r>
      <w:r>
        <w:rPr>
          <w:rStyle w:val="14"/>
          <w:rFonts w:hint="eastAsia" w:ascii="仿宋" w:hAnsi="仿宋" w:eastAsia="仿宋"/>
          <w:bCs/>
          <w:color w:val="000000"/>
          <w:sz w:val="32"/>
          <w:szCs w:val="32"/>
        </w:rPr>
        <w:t>）其他公共安全支出</w:t>
      </w:r>
      <w:r>
        <w:rPr>
          <w:rStyle w:val="14"/>
          <w:rFonts w:hint="eastAsia" w:ascii="仿宋" w:hAnsi="仿宋" w:eastAsia="仿宋"/>
          <w:bCs/>
          <w:color w:val="000000"/>
          <w:sz w:val="32"/>
          <w:szCs w:val="32"/>
          <w:lang w:val="en-US" w:eastAsia="zh-CN"/>
        </w:rPr>
        <w:t>(99)其他公共安全支出(99);</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11.82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hint="eastAsia" w:ascii="仿宋" w:hAnsi="仿宋" w:eastAsia="仿宋"/>
          <w:b w:val="0"/>
          <w:bCs/>
          <w:color w:val="000000"/>
          <w:sz w:val="32"/>
          <w:szCs w:val="32"/>
          <w:lang w:eastAsia="zh-CN"/>
        </w:rPr>
        <w:t>。</w:t>
      </w:r>
    </w:p>
    <w:p>
      <w:pPr>
        <w:spacing w:line="600" w:lineRule="exact"/>
        <w:ind w:firstLine="643" w:firstLineChars="200"/>
        <w:outlineLvl w:val="9"/>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6.</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）行政事业单位养老支出（</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）机关事业单位基本养老保险缴费支出（</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支出决算为330.05万元，完成预算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keepNext/>
        <w:keepLines/>
        <w:pageBreakBefore w:val="0"/>
        <w:widowControl w:val="0"/>
        <w:kinsoku/>
        <w:wordWrap/>
        <w:overflowPunct/>
        <w:topLinePunct w:val="0"/>
        <w:autoSpaceDE/>
        <w:autoSpaceDN/>
        <w:bidi w:val="0"/>
        <w:adjustRightInd/>
        <w:snapToGrid/>
        <w:spacing w:line="416" w:lineRule="auto"/>
        <w:ind w:firstLine="643" w:firstLineChars="200"/>
        <w:textAlignment w:val="auto"/>
        <w:outlineLvl w:val="9"/>
        <w:rPr>
          <w:rStyle w:val="14"/>
          <w:rFonts w:hint="eastAsia" w:ascii="仿宋" w:hAnsi="仿宋" w:eastAsia="仿宋"/>
          <w:b w:val="0"/>
          <w:bCs/>
          <w:color w:val="000000"/>
          <w:sz w:val="32"/>
          <w:szCs w:val="32"/>
        </w:rPr>
      </w:pPr>
      <w:r>
        <w:rPr>
          <w:rStyle w:val="14"/>
          <w:rFonts w:hint="eastAsia" w:ascii="仿宋" w:hAnsi="仿宋" w:eastAsia="仿宋"/>
          <w:b/>
          <w:bCs/>
          <w:color w:val="000000"/>
          <w:sz w:val="32"/>
          <w:szCs w:val="32"/>
          <w:lang w:val="en-US" w:eastAsia="zh-CN"/>
        </w:rPr>
        <w:t>7.</w:t>
      </w:r>
      <w:r>
        <w:rPr>
          <w:rStyle w:val="14"/>
          <w:rFonts w:hint="eastAsia" w:ascii="仿宋" w:hAnsi="仿宋" w:eastAsia="仿宋"/>
          <w:b/>
          <w:bCs/>
          <w:color w:val="000000"/>
          <w:sz w:val="32"/>
          <w:szCs w:val="32"/>
        </w:rPr>
        <w:t>社会保障和就业（</w:t>
      </w:r>
      <w:r>
        <w:rPr>
          <w:rStyle w:val="14"/>
          <w:rFonts w:hint="eastAsia" w:ascii="仿宋" w:hAnsi="仿宋" w:eastAsia="仿宋"/>
          <w:b/>
          <w:bCs/>
          <w:color w:val="000000"/>
          <w:sz w:val="32"/>
          <w:szCs w:val="32"/>
          <w:lang w:val="en-US" w:eastAsia="zh-CN"/>
        </w:rPr>
        <w:t>208</w:t>
      </w:r>
      <w:r>
        <w:rPr>
          <w:rStyle w:val="14"/>
          <w:rFonts w:hint="eastAsia" w:ascii="仿宋" w:hAnsi="仿宋" w:eastAsia="仿宋"/>
          <w:b/>
          <w:bCs/>
          <w:color w:val="000000"/>
          <w:sz w:val="32"/>
          <w:szCs w:val="32"/>
        </w:rPr>
        <w:t>）行政事业单位养老支出（</w:t>
      </w:r>
      <w:r>
        <w:rPr>
          <w:rStyle w:val="14"/>
          <w:rFonts w:hint="eastAsia" w:ascii="仿宋" w:hAnsi="仿宋" w:eastAsia="仿宋"/>
          <w:b/>
          <w:bCs/>
          <w:color w:val="000000"/>
          <w:sz w:val="32"/>
          <w:szCs w:val="32"/>
          <w:lang w:val="en-US" w:eastAsia="zh-CN"/>
        </w:rPr>
        <w:t>05</w:t>
      </w:r>
      <w:r>
        <w:rPr>
          <w:rStyle w:val="14"/>
          <w:rFonts w:hint="eastAsia" w:ascii="仿宋" w:hAnsi="仿宋" w:eastAsia="仿宋"/>
          <w:b/>
          <w:bCs/>
          <w:color w:val="000000"/>
          <w:sz w:val="32"/>
          <w:szCs w:val="32"/>
        </w:rPr>
        <w:t>）机关事业单位职业年金缴费支出（</w:t>
      </w:r>
      <w:r>
        <w:rPr>
          <w:rStyle w:val="14"/>
          <w:rFonts w:hint="eastAsia" w:ascii="仿宋" w:hAnsi="仿宋" w:eastAsia="仿宋"/>
          <w:b/>
          <w:bCs/>
          <w:color w:val="000000"/>
          <w:sz w:val="32"/>
          <w:szCs w:val="32"/>
          <w:lang w:val="en-US" w:eastAsia="zh-CN"/>
        </w:rPr>
        <w:t>06</w:t>
      </w:r>
      <w:r>
        <w:rPr>
          <w:rStyle w:val="14"/>
          <w:rFonts w:hint="eastAsia" w:ascii="仿宋" w:hAnsi="仿宋" w:eastAsia="仿宋"/>
          <w:b/>
          <w:bCs/>
          <w:color w:val="000000"/>
          <w:sz w:val="32"/>
          <w:szCs w:val="32"/>
        </w:rPr>
        <w:t>）</w:t>
      </w:r>
      <w:r>
        <w:rPr>
          <w:rStyle w:val="14"/>
          <w:rFonts w:ascii="仿宋" w:hAnsi="仿宋" w:eastAsia="仿宋"/>
          <w:b/>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支出决算为164.76万元，完成预算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keepNext/>
        <w:keepLines/>
        <w:pageBreakBefore w:val="0"/>
        <w:widowControl w:val="0"/>
        <w:kinsoku/>
        <w:wordWrap/>
        <w:overflowPunct/>
        <w:topLinePunct w:val="0"/>
        <w:autoSpaceDE/>
        <w:autoSpaceDN/>
        <w:bidi w:val="0"/>
        <w:adjustRightInd/>
        <w:snapToGrid/>
        <w:spacing w:line="416" w:lineRule="auto"/>
        <w:ind w:firstLine="643" w:firstLineChars="200"/>
        <w:textAlignment w:val="auto"/>
        <w:outlineLvl w:val="9"/>
        <w:rPr>
          <w:rFonts w:hint="eastAsia" w:ascii="仿宋" w:hAnsi="仿宋" w:eastAsia="仿宋"/>
          <w:b/>
          <w:color w:val="000000"/>
          <w:sz w:val="32"/>
          <w:szCs w:val="32"/>
          <w:lang w:eastAsia="zh-CN"/>
        </w:rPr>
      </w:pPr>
      <w:r>
        <w:rPr>
          <w:rStyle w:val="14"/>
          <w:rFonts w:hint="eastAsia" w:ascii="仿宋" w:hAnsi="仿宋" w:eastAsia="仿宋"/>
          <w:bCs/>
          <w:color w:val="000000"/>
          <w:sz w:val="32"/>
          <w:szCs w:val="32"/>
          <w:lang w:val="en-US" w:eastAsia="zh-CN"/>
        </w:rPr>
        <w:t>8</w:t>
      </w:r>
      <w:r>
        <w:rPr>
          <w:rStyle w:val="14"/>
          <w:rFonts w:ascii="仿宋" w:hAnsi="仿宋" w:eastAsia="仿宋"/>
          <w:bCs/>
          <w:color w:val="000000"/>
          <w:sz w:val="32"/>
          <w:szCs w:val="32"/>
        </w:rPr>
        <w:t>.</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）公共卫生（</w:t>
      </w:r>
      <w:r>
        <w:rPr>
          <w:rStyle w:val="14"/>
          <w:rFonts w:hint="eastAsia" w:ascii="仿宋" w:hAnsi="仿宋" w:eastAsia="仿宋"/>
          <w:bCs/>
          <w:color w:val="000000"/>
          <w:sz w:val="32"/>
          <w:szCs w:val="32"/>
          <w:lang w:val="en-US" w:eastAsia="zh-CN"/>
        </w:rPr>
        <w:t>04</w:t>
      </w:r>
      <w:r>
        <w:rPr>
          <w:rStyle w:val="14"/>
          <w:rFonts w:hint="eastAsia" w:ascii="仿宋" w:hAnsi="仿宋" w:eastAsia="仿宋"/>
          <w:bCs/>
          <w:color w:val="000000"/>
          <w:sz w:val="32"/>
          <w:szCs w:val="32"/>
        </w:rPr>
        <w:t>）重大公共卫生服务（</w:t>
      </w:r>
      <w:r>
        <w:rPr>
          <w:rStyle w:val="14"/>
          <w:rFonts w:hint="eastAsia" w:ascii="仿宋" w:hAnsi="仿宋" w:eastAsia="仿宋"/>
          <w:bCs/>
          <w:color w:val="000000"/>
          <w:sz w:val="32"/>
          <w:szCs w:val="32"/>
          <w:lang w:val="en-US" w:eastAsia="zh-CN"/>
        </w:rPr>
        <w:t>09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支出决算为0.35万元，完成预算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spacing w:line="600" w:lineRule="exact"/>
        <w:ind w:firstLine="640" w:firstLineChars="200"/>
        <w:outlineLvl w:val="9"/>
        <w:rPr>
          <w:rStyle w:val="14"/>
          <w:rFonts w:hint="eastAsia" w:ascii="仿宋" w:hAnsi="仿宋" w:eastAsia="仿宋"/>
          <w:b w:val="0"/>
          <w:bCs/>
          <w:color w:val="000000"/>
          <w:sz w:val="32"/>
          <w:szCs w:val="32"/>
        </w:rPr>
      </w:pPr>
      <w:r>
        <w:rPr>
          <w:rFonts w:hint="eastAsia" w:ascii="仿宋" w:hAnsi="仿宋" w:eastAsia="仿宋"/>
          <w:color w:val="000000"/>
          <w:sz w:val="32"/>
          <w:szCs w:val="32"/>
          <w:lang w:val="en-US" w:eastAsia="zh-CN"/>
        </w:rPr>
        <w:t>9.</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）行政事业单位医疗（</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）行政单位医疗（</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w:t>
      </w:r>
      <w:r>
        <w:rPr>
          <w:rStyle w:val="14"/>
          <w:rFonts w:hint="eastAsia" w:ascii="仿宋" w:hAnsi="仿宋" w:eastAsia="仿宋"/>
          <w:b w:val="0"/>
          <w:bCs/>
          <w:color w:val="000000"/>
          <w:sz w:val="32"/>
          <w:szCs w:val="32"/>
        </w:rPr>
        <w:t>支出决算为144.18万元，完成预算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outlineLvl w:val="9"/>
        <w:rPr>
          <w:rStyle w:val="14"/>
          <w:rFonts w:hint="eastAsia" w:ascii="仿宋" w:hAnsi="仿宋" w:eastAsia="仿宋"/>
          <w:bCs/>
          <w:color w:val="000000"/>
          <w:sz w:val="32"/>
          <w:szCs w:val="32"/>
          <w:lang w:val="en-US" w:eastAsia="zh-CN"/>
        </w:rPr>
      </w:pPr>
      <w:r>
        <w:rPr>
          <w:rStyle w:val="14"/>
          <w:rFonts w:hint="eastAsia" w:ascii="仿宋" w:hAnsi="仿宋" w:eastAsia="仿宋"/>
          <w:bCs/>
          <w:color w:val="000000"/>
          <w:sz w:val="32"/>
          <w:szCs w:val="32"/>
          <w:lang w:val="en-US" w:eastAsia="zh-CN"/>
        </w:rPr>
        <w:t>10.卫生健康支出(210)行政事业单位医疗(11)公务员医疗补助(03):</w:t>
      </w:r>
      <w:r>
        <w:rPr>
          <w:rStyle w:val="14"/>
          <w:rFonts w:hint="eastAsia" w:ascii="仿宋" w:hAnsi="仿宋" w:eastAsia="仿宋"/>
          <w:b w:val="0"/>
          <w:bCs/>
          <w:color w:val="000000"/>
          <w:sz w:val="32"/>
          <w:szCs w:val="32"/>
        </w:rPr>
        <w:t>支出决算为38.29万元，完成预算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pStyle w:val="5"/>
        <w:pageBreakBefore w:val="0"/>
        <w:kinsoku/>
        <w:wordWrap/>
        <w:overflowPunct/>
        <w:topLinePunct w:val="0"/>
        <w:bidi w:val="0"/>
        <w:adjustRightInd w:val="0"/>
        <w:snapToGrid w:val="0"/>
        <w:spacing w:before="93" w:line="560" w:lineRule="exact"/>
        <w:ind w:firstLine="675" w:firstLineChars="210"/>
        <w:outlineLvl w:val="9"/>
        <w:rPr>
          <w:rFonts w:ascii="仿宋" w:eastAsia="仿宋"/>
          <w:b/>
          <w:sz w:val="32"/>
          <w:szCs w:val="32"/>
        </w:rPr>
      </w:pPr>
      <w:r>
        <w:rPr>
          <w:rStyle w:val="14"/>
          <w:rFonts w:hint="eastAsia" w:ascii="仿宋" w:hAnsi="仿宋" w:eastAsia="仿宋"/>
          <w:bCs/>
          <w:color w:val="000000"/>
          <w:sz w:val="32"/>
          <w:szCs w:val="32"/>
          <w:lang w:val="en-US" w:eastAsia="zh-CN"/>
        </w:rPr>
        <w:t>11.住房保障支出(221)住房改革支出(02)住房公积金(01):</w:t>
      </w:r>
      <w:r>
        <w:rPr>
          <w:rStyle w:val="14"/>
          <w:rFonts w:hint="eastAsia" w:ascii="仿宋" w:hAnsi="仿宋" w:eastAsia="仿宋"/>
          <w:b w:val="0"/>
          <w:bCs/>
          <w:color w:val="000000"/>
          <w:sz w:val="32"/>
          <w:szCs w:val="32"/>
        </w:rPr>
        <w:t>支出决算为357.49万元，完成预算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pageBreakBefore w:val="0"/>
        <w:tabs>
          <w:tab w:val="right" w:pos="8306"/>
        </w:tabs>
        <w:kinsoku/>
        <w:wordWrap/>
        <w:overflowPunct/>
        <w:topLinePunct w:val="0"/>
        <w:bidi w:val="0"/>
        <w:adjustRightInd w:val="0"/>
        <w:snapToGrid w:val="0"/>
        <w:spacing w:line="560" w:lineRule="exact"/>
        <w:ind w:firstLine="640"/>
        <w:outlineLvl w:val="1"/>
        <w:rPr>
          <w:rStyle w:val="17"/>
        </w:rPr>
      </w:pPr>
      <w:bookmarkStart w:id="48" w:name="_Toc15377214"/>
      <w:bookmarkStart w:id="49" w:name="_Toc15396608"/>
      <w:bookmarkStart w:id="50" w:name="_Toc4523"/>
      <w:r>
        <w:rPr>
          <w:rStyle w:val="17"/>
          <w:rFonts w:hint="eastAsia" w:ascii="黑体" w:hAnsi="黑体" w:eastAsia="黑体" w:cs="Times New Roman"/>
          <w:b w:val="0"/>
        </w:rPr>
        <w:t>六、一般公共预算财政拨款基本支出决算情况说明</w:t>
      </w:r>
      <w:bookmarkEnd w:id="48"/>
      <w:bookmarkEnd w:id="49"/>
      <w:bookmarkEnd w:id="50"/>
      <w:r>
        <w:rPr>
          <w:rStyle w:val="17"/>
          <w:rFonts w:ascii="黑体" w:eastAsia="黑体"/>
          <w:b w:val="0"/>
        </w:rPr>
        <w:tab/>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2021年一般公共预算财政拨款基本支出5，231.42万元，其中：</w:t>
      </w:r>
    </w:p>
    <w:p>
      <w:pPr>
        <w:pStyle w:val="5"/>
        <w:pageBreakBefore w:val="0"/>
        <w:kinsoku/>
        <w:wordWrap/>
        <w:overflowPunct/>
        <w:topLinePunct w:val="0"/>
        <w:bidi w:val="0"/>
        <w:adjustRightInd w:val="0"/>
        <w:snapToGrid w:val="0"/>
        <w:spacing w:before="93" w:line="560" w:lineRule="exact"/>
        <w:ind w:firstLine="672" w:firstLineChars="210"/>
        <w:outlineLvl w:val="9"/>
        <w:rPr>
          <w:rFonts w:ascii="仿宋" w:eastAsia="仿宋"/>
          <w:b/>
          <w:sz w:val="32"/>
          <w:szCs w:val="32"/>
        </w:rPr>
      </w:pPr>
      <w:r>
        <w:rPr>
          <w:rFonts w:hint="eastAsia" w:ascii="仿宋" w:hAnsi="仿宋" w:eastAsia="仿宋" w:cs="Times New Roman"/>
          <w:bCs/>
          <w:color w:val="000000"/>
          <w:sz w:val="32"/>
          <w:szCs w:val="32"/>
          <w:lang w:val="en-US" w:eastAsia="zh-CN"/>
        </w:rPr>
        <w:t>人员经费4,830.08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 w:hAnsi="仿宋" w:eastAsia="仿宋" w:cs="Times New Roman"/>
          <w:bCs/>
          <w:color w:val="000000"/>
          <w:sz w:val="32"/>
          <w:szCs w:val="32"/>
          <w:lang w:val="en-US" w:eastAsia="zh-CN"/>
        </w:rPr>
        <w:br w:type="textWrapping"/>
      </w:r>
      <w:r>
        <w:rPr>
          <w:rFonts w:hint="eastAsia" w:ascii="仿宋" w:hAnsi="仿宋" w:eastAsia="仿宋" w:cs="Times New Roman"/>
          <w:bCs/>
          <w:color w:val="000000"/>
          <w:sz w:val="32"/>
          <w:szCs w:val="32"/>
          <w:lang w:val="en-US" w:eastAsia="zh-CN"/>
        </w:rPr>
        <w:t>　　公用经费401.35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adjustRightInd w:val="0"/>
        <w:snapToGrid w:val="0"/>
        <w:spacing w:line="560" w:lineRule="exact"/>
        <w:ind w:firstLine="640"/>
        <w:outlineLvl w:val="1"/>
        <w:rPr>
          <w:rStyle w:val="17"/>
          <w:rFonts w:hint="eastAsia" w:ascii="黑体" w:hAnsi="黑体" w:eastAsia="黑体" w:cs="Times New Roman"/>
          <w:b w:val="0"/>
        </w:rPr>
      </w:pPr>
      <w:bookmarkStart w:id="51" w:name="_Toc15396609"/>
      <w:bookmarkStart w:id="52" w:name="_Toc15377215"/>
      <w:bookmarkStart w:id="53" w:name="_Toc13816"/>
      <w:r>
        <w:rPr>
          <w:rStyle w:val="17"/>
          <w:rFonts w:hint="eastAsia" w:ascii="黑体" w:hAnsi="黑体" w:eastAsia="黑体" w:cs="Times New Roman"/>
          <w:b w:val="0"/>
        </w:rPr>
        <w:t>七、“三公”经费财政拨款支出决算情况说明</w:t>
      </w:r>
      <w:bookmarkEnd w:id="51"/>
      <w:bookmarkEnd w:id="52"/>
      <w:bookmarkEnd w:id="53"/>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bookmarkStart w:id="54" w:name="_Toc15377216"/>
      <w:r>
        <w:rPr>
          <w:rFonts w:hint="eastAsia" w:ascii="仿宋" w:hAnsi="仿宋" w:eastAsia="仿宋" w:cs="Times New Roman"/>
          <w:bCs/>
          <w:color w:val="000000"/>
          <w:sz w:val="32"/>
          <w:szCs w:val="32"/>
          <w:lang w:val="en-US" w:eastAsia="zh-CN"/>
        </w:rPr>
        <w:t>（一）“三公”经费财政拨款支出决算总体情况说明</w:t>
      </w:r>
      <w:bookmarkEnd w:id="54"/>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2021年“三公”经费财政拨款支出决算为144.34万元，完成预算100%。</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bookmarkStart w:id="55" w:name="_Toc15377217"/>
      <w:r>
        <w:rPr>
          <w:rFonts w:hint="eastAsia" w:ascii="仿宋" w:hAnsi="仿宋" w:eastAsia="仿宋" w:cs="Times New Roman"/>
          <w:bCs/>
          <w:color w:val="000000"/>
          <w:sz w:val="32"/>
          <w:szCs w:val="32"/>
          <w:lang w:val="en-US" w:eastAsia="zh-CN"/>
        </w:rPr>
        <w:t>（二）“三公”经费财政拨款支出决算具体情况说明</w:t>
      </w:r>
      <w:bookmarkEnd w:id="55"/>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2021年“三公”经费财政拨款支出决算中，因公出国（境）费支出决算0万元，占0%；公务用车购置及运行维护费支出决算143.97万元，占99.74%；公务接待费支出决算0.37万元，占0.26%。具体情况如下：</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488315</wp:posOffset>
            </wp:positionH>
            <wp:positionV relativeFrom="paragraph">
              <wp:posOffset>111760</wp:posOffset>
            </wp:positionV>
            <wp:extent cx="3691255" cy="2286000"/>
            <wp:effectExtent l="4445" t="4445" r="19050" b="1460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outlineLvl w:val="9"/>
        <w:rPr>
          <w:rFonts w:hint="eastAsia" w:ascii="仿宋" w:hAnsi="仿宋" w:eastAsia="仿宋" w:cs="Times New Roman"/>
          <w:bCs/>
          <w:color w:val="000000"/>
          <w:sz w:val="32"/>
          <w:szCs w:val="32"/>
          <w:lang w:val="en-US" w:eastAsia="zh-CN"/>
        </w:rPr>
      </w:pP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（图7：“三公”经费财政拨款支出结构）</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1.因公出国（境）经费支出0万元，完成预算0%。</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2.公务用车购置及运行维护费支出143.97万元,完成预算100%。公务用车购置及运行维护费支出决算比2020年减少88.87万元，下降38.17%。主要原因是节能减排。</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其中：公务用车购置支出0万元。全年按规定更新购置公务用车0辆，其中：轿车0辆、金额0万元，越野车0辆、金额0万元，载客汽车0辆、金额0万元。截至2021年12月底，单位共有公务用车51辆，其中：轿车51辆、越野车0辆、载客汽车0辆。</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公务用车运行维护费支出143.97万元。主要用于执勤等所需的公务用车燃料费、维修费、过路过桥费、保险费等支出。</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3.公务接待费支出0.37万元，完成预算100%。公务接待费支出决算比2020年减少7.8万元，下降95.47%。主要原因是公务接待减少。其中：</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国内公务接待支出0.37万元，主要用于执行公务、开展业务活动开支用餐费。国内公务接待3批次，24人次（不包括陪同人员），共计支出0.37万元，具体内容包括：接待用餐0.37万元。</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外事接待支出0万元，外事接待0批次，0人，共计支出0万元。</w:t>
      </w:r>
      <w:bookmarkStart w:id="56" w:name="_Toc15377218"/>
      <w:bookmarkStart w:id="57" w:name="_Toc15396610"/>
    </w:p>
    <w:p>
      <w:pPr>
        <w:pageBreakBefore w:val="0"/>
        <w:kinsoku/>
        <w:wordWrap/>
        <w:overflowPunct/>
        <w:topLinePunct w:val="0"/>
        <w:bidi w:val="0"/>
        <w:adjustRightInd w:val="0"/>
        <w:snapToGrid w:val="0"/>
        <w:spacing w:line="560" w:lineRule="exact"/>
        <w:ind w:firstLine="640"/>
        <w:outlineLvl w:val="1"/>
        <w:rPr>
          <w:rFonts w:hint="eastAsia" w:ascii="黑体" w:hAnsi="Times New Roman" w:eastAsia="黑体" w:cs="Times New Roman"/>
          <w:color w:val="000000"/>
          <w:sz w:val="32"/>
          <w:szCs w:val="32"/>
        </w:rPr>
      </w:pPr>
      <w:bookmarkStart w:id="58" w:name="_Toc23888"/>
      <w:r>
        <w:rPr>
          <w:rFonts w:hint="eastAsia" w:ascii="黑体" w:hAnsi="Times New Roman" w:eastAsia="黑体" w:cs="Times New Roman"/>
          <w:color w:val="000000"/>
          <w:sz w:val="32"/>
          <w:szCs w:val="32"/>
        </w:rPr>
        <w:t>八、政府性基金预算支出决算情况说明</w:t>
      </w:r>
      <w:bookmarkEnd w:id="56"/>
      <w:bookmarkEnd w:id="57"/>
      <w:bookmarkEnd w:id="58"/>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2021年政府性基金预算财政拨款支出0万元。</w:t>
      </w:r>
    </w:p>
    <w:p>
      <w:pPr>
        <w:pageBreakBefore w:val="0"/>
        <w:numPr>
          <w:ilvl w:val="0"/>
          <w:numId w:val="0"/>
        </w:numPr>
        <w:kinsoku/>
        <w:wordWrap/>
        <w:overflowPunct/>
        <w:topLinePunct w:val="0"/>
        <w:bidi w:val="0"/>
        <w:adjustRightInd w:val="0"/>
        <w:snapToGrid w:val="0"/>
        <w:spacing w:line="560" w:lineRule="exact"/>
        <w:ind w:firstLine="320" w:firstLineChars="100"/>
        <w:outlineLvl w:val="1"/>
        <w:rPr>
          <w:rStyle w:val="17"/>
          <w:rFonts w:hint="eastAsia" w:ascii="黑体" w:hAnsi="黑体" w:eastAsia="黑体" w:cs="Times New Roman"/>
          <w:b w:val="0"/>
        </w:rPr>
      </w:pPr>
      <w:bookmarkStart w:id="59" w:name="_Toc15396611"/>
      <w:bookmarkStart w:id="60" w:name="_Toc15377219"/>
      <w:bookmarkStart w:id="61" w:name="_Toc4160"/>
      <w:r>
        <w:rPr>
          <w:rStyle w:val="17"/>
          <w:rFonts w:hint="eastAsia" w:ascii="黑体" w:hAnsi="黑体" w:eastAsia="黑体" w:cs="Times New Roman"/>
          <w:b w:val="0"/>
        </w:rPr>
        <w:t>九、国有资本经营预算支出决算情况说明</w:t>
      </w:r>
      <w:bookmarkEnd w:id="59"/>
      <w:bookmarkEnd w:id="60"/>
      <w:bookmarkEnd w:id="61"/>
    </w:p>
    <w:p>
      <w:pPr>
        <w:pStyle w:val="5"/>
        <w:pageBreakBefore w:val="0"/>
        <w:kinsoku/>
        <w:wordWrap/>
        <w:overflowPunct/>
        <w:topLinePunct w:val="0"/>
        <w:bidi w:val="0"/>
        <w:adjustRightInd w:val="0"/>
        <w:snapToGrid w:val="0"/>
        <w:spacing w:before="93" w:line="560" w:lineRule="exact"/>
        <w:ind w:firstLine="672" w:firstLineChars="210"/>
        <w:outlineLvl w:val="9"/>
        <w:rPr>
          <w:rFonts w:ascii="方正小标宋简体" w:eastAsia="方正小标宋简体" w:cs="方正小标宋简体"/>
          <w:sz w:val="44"/>
          <w:szCs w:val="44"/>
        </w:rPr>
      </w:pPr>
      <w:r>
        <w:rPr>
          <w:rFonts w:hint="eastAsia" w:ascii="仿宋" w:hAnsi="仿宋" w:eastAsia="仿宋" w:cs="Times New Roman"/>
          <w:bCs/>
          <w:color w:val="000000"/>
          <w:sz w:val="32"/>
          <w:szCs w:val="32"/>
          <w:lang w:val="en-US" w:eastAsia="zh-CN"/>
        </w:rPr>
        <w:t>2021年国有资本经营预算财政拨款支出0万元。</w:t>
      </w:r>
    </w:p>
    <w:p>
      <w:pPr>
        <w:pageBreakBefore w:val="0"/>
        <w:kinsoku/>
        <w:wordWrap/>
        <w:overflowPunct/>
        <w:topLinePunct w:val="0"/>
        <w:bidi w:val="0"/>
        <w:adjustRightInd w:val="0"/>
        <w:snapToGrid w:val="0"/>
        <w:spacing w:line="560" w:lineRule="exact"/>
        <w:ind w:firstLine="640" w:firstLineChars="200"/>
        <w:outlineLvl w:val="1"/>
        <w:rPr>
          <w:rStyle w:val="17"/>
          <w:rFonts w:hint="eastAsia" w:ascii="黑体" w:hAnsi="黑体" w:eastAsia="黑体" w:cs="Times New Roman"/>
          <w:b w:val="0"/>
        </w:rPr>
      </w:pPr>
      <w:bookmarkStart w:id="62" w:name="_Toc15377221"/>
      <w:bookmarkStart w:id="63" w:name="_Toc15396612"/>
      <w:bookmarkStart w:id="64" w:name="_Toc2938"/>
      <w:r>
        <w:rPr>
          <w:rStyle w:val="17"/>
          <w:rFonts w:hint="eastAsia" w:ascii="黑体" w:hAnsi="黑体" w:eastAsia="黑体" w:cs="Times New Roman"/>
          <w:b w:val="0"/>
        </w:rPr>
        <w:t>十、其他重要事项的情况说明</w:t>
      </w:r>
      <w:bookmarkEnd w:id="62"/>
      <w:bookmarkEnd w:id="63"/>
      <w:bookmarkEnd w:id="64"/>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bookmarkStart w:id="65" w:name="_Toc15377222"/>
      <w:r>
        <w:rPr>
          <w:rFonts w:hint="eastAsia" w:ascii="仿宋" w:hAnsi="仿宋" w:eastAsia="仿宋" w:cs="Times New Roman"/>
          <w:bCs/>
          <w:color w:val="000000"/>
          <w:sz w:val="32"/>
          <w:szCs w:val="32"/>
          <w:lang w:val="en-US" w:eastAsia="zh-CN"/>
        </w:rPr>
        <w:t>（一）机关运行经费支出情况</w:t>
      </w:r>
      <w:bookmarkEnd w:id="65"/>
    </w:p>
    <w:p>
      <w:pPr>
        <w:pStyle w:val="5"/>
        <w:pageBreakBefore w:val="0"/>
        <w:kinsoku/>
        <w:wordWrap/>
        <w:overflowPunct/>
        <w:topLinePunct w:val="0"/>
        <w:bidi w:val="0"/>
        <w:adjustRightInd w:val="0"/>
        <w:snapToGrid w:val="0"/>
        <w:spacing w:before="93" w:line="560" w:lineRule="exact"/>
        <w:ind w:firstLine="672" w:firstLineChars="210"/>
        <w:outlineLvl w:val="9"/>
        <w:rPr>
          <w:rFonts w:hint="default"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2021年，我单位机关运行经费支出401.35万元，比2020年减少12.18万元，下降2.95%。主要原因是我单位机关运行经费根据预算填报时在职人数进行定额预算，2021年填报预算时我单位较2020年填报预算时人数少。</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bookmarkStart w:id="66" w:name="_Toc15377223"/>
      <w:r>
        <w:rPr>
          <w:rFonts w:hint="eastAsia" w:ascii="仿宋" w:hAnsi="仿宋" w:eastAsia="仿宋" w:cs="Times New Roman"/>
          <w:bCs/>
          <w:color w:val="000000"/>
          <w:sz w:val="32"/>
          <w:szCs w:val="32"/>
          <w:lang w:val="en-US" w:eastAsia="zh-CN"/>
        </w:rPr>
        <w:t>（二）政府采购支出情况</w:t>
      </w:r>
      <w:bookmarkEnd w:id="66"/>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2021年，我单位政府采购支出总额1,297.32万元，其中：政府采购货物支出1,297.32万元、政府采购工程支出0万元、政府采购服务支出0万元。主要用于公安业务工作技术支持以及设备更新。授予中小企业合同金额1,114.92万元，占政府采购支出总额的85.94%，其中：授予小微企业合同金额0万元，占政府采购支出总额的0%。</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bookmarkStart w:id="67" w:name="_Toc15377224"/>
      <w:r>
        <w:rPr>
          <w:rFonts w:hint="eastAsia" w:ascii="仿宋" w:hAnsi="仿宋" w:eastAsia="仿宋" w:cs="Times New Roman"/>
          <w:bCs/>
          <w:color w:val="000000"/>
          <w:sz w:val="32"/>
          <w:szCs w:val="32"/>
          <w:lang w:val="en-US" w:eastAsia="zh-CN"/>
        </w:rPr>
        <w:t>（三）国有资产占有使用情况</w:t>
      </w:r>
      <w:bookmarkEnd w:id="67"/>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截至2021年12月31日，我单位共有车辆51辆，其中：主要领导干部用车0辆、机要通信用车0辆、应急保障用车0辆、其他用车51辆，其他用车主要是用于公安执勤，单价50万元以上通用设备0台（套），单价100万元以上专用设备0台（套）。</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（四）预算绩效管理情况</w:t>
      </w:r>
    </w:p>
    <w:p>
      <w:pPr>
        <w:pStyle w:val="5"/>
        <w:pageBreakBefore w:val="0"/>
        <w:kinsoku/>
        <w:wordWrap/>
        <w:overflowPunct/>
        <w:topLinePunct w:val="0"/>
        <w:bidi w:val="0"/>
        <w:adjustRightInd w:val="0"/>
        <w:snapToGrid w:val="0"/>
        <w:spacing w:before="93" w:line="560" w:lineRule="exact"/>
        <w:ind w:firstLine="672" w:firstLineChars="210"/>
        <w:outlineLvl w:val="9"/>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根据预算绩效管理要求，本单位在2021年度预算编制阶段，组织对2021年转移支付资金项目等项目开展了预算事前绩效评估，对1个项目编制了绩效目标，预算执行过程中，选取1个项目开展绩效监控，年终执行完毕后，对1个项目开展了绩效自评，2021年特定目标类部门预算项目绩效目标自评表见附件（第四部分）。</w:t>
      </w: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Style w:val="5"/>
        <w:pageBreakBefore w:val="0"/>
        <w:kinsoku/>
        <w:wordWrap/>
        <w:overflowPunct/>
        <w:topLinePunct w:val="0"/>
        <w:bidi w:val="0"/>
        <w:adjustRightInd w:val="0"/>
        <w:snapToGrid w:val="0"/>
        <w:spacing w:before="93" w:line="560" w:lineRule="exact"/>
        <w:rPr>
          <w:highlight w:val="yellow"/>
        </w:rPr>
      </w:pPr>
    </w:p>
    <w:p>
      <w:pPr>
        <w:pageBreakBefore w:val="0"/>
        <w:widowControl/>
        <w:kinsoku/>
        <w:wordWrap/>
        <w:overflowPunct/>
        <w:topLinePunct w:val="0"/>
        <w:bidi w:val="0"/>
        <w:adjustRightInd w:val="0"/>
        <w:snapToGrid w:val="0"/>
        <w:spacing w:line="560" w:lineRule="exact"/>
        <w:jc w:val="center"/>
        <w:rPr>
          <w:rFonts w:hint="eastAsia" w:ascii="黑体" w:hAnsi="黑体" w:eastAsia="黑体" w:cs="Times New Roman"/>
          <w:color w:val="000000"/>
          <w:sz w:val="44"/>
          <w:szCs w:val="44"/>
        </w:rPr>
      </w:pPr>
      <w:bookmarkStart w:id="68" w:name="_Toc15377225"/>
      <w:bookmarkStart w:id="69" w:name="_Toc15396613"/>
      <w:bookmarkStart w:id="70" w:name="_Toc28892"/>
      <w:r>
        <w:rPr>
          <w:rStyle w:val="16"/>
          <w:rFonts w:hint="eastAsia" w:ascii="黑体" w:hAnsi="黑体" w:eastAsia="黑体" w:cs="Times New Roman"/>
          <w:b w:val="0"/>
          <w:lang w:eastAsia="zh-CN"/>
        </w:rPr>
        <w:t>第三部分</w:t>
      </w:r>
      <w:r>
        <w:rPr>
          <w:rStyle w:val="16"/>
          <w:rFonts w:hint="eastAsia" w:ascii="黑体" w:hAnsi="黑体" w:eastAsia="黑体" w:cs="Times New Roman"/>
          <w:b w:val="0"/>
          <w:lang w:val="en-US" w:eastAsia="zh-CN"/>
        </w:rPr>
        <w:t xml:space="preserve">  </w:t>
      </w:r>
      <w:r>
        <w:rPr>
          <w:rStyle w:val="16"/>
          <w:rFonts w:hint="eastAsia" w:ascii="黑体" w:hAnsi="黑体" w:eastAsia="黑体" w:cs="Times New Roman"/>
          <w:b w:val="0"/>
        </w:rPr>
        <w:t>名词解释</w:t>
      </w:r>
      <w:bookmarkEnd w:id="68"/>
      <w:bookmarkEnd w:id="69"/>
      <w:bookmarkEnd w:id="70"/>
    </w:p>
    <w:p>
      <w:pPr>
        <w:pageBreakBefore w:val="0"/>
        <w:kinsoku/>
        <w:wordWrap/>
        <w:overflowPunct/>
        <w:topLinePunct w:val="0"/>
        <w:bidi w:val="0"/>
        <w:adjustRightInd w:val="0"/>
        <w:snapToGrid w:val="0"/>
        <w:spacing w:line="560" w:lineRule="exact"/>
        <w:jc w:val="left"/>
        <w:rPr>
          <w:rFonts w:ascii="宋体"/>
          <w:b/>
          <w:sz w:val="44"/>
          <w:szCs w:val="44"/>
        </w:rPr>
      </w:pPr>
    </w:p>
    <w:p>
      <w:pPr>
        <w:pStyle w:val="21"/>
        <w:spacing w:line="560" w:lineRule="exact"/>
        <w:ind w:firstLine="640" w:firstLineChars="200"/>
        <w:outlineLvl w:val="9"/>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）行政运行（</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 ：指</w:t>
      </w:r>
      <w:r>
        <w:rPr>
          <w:rFonts w:hint="eastAsia" w:ascii="仿宋_GB2312" w:eastAsia="仿宋_GB2312"/>
          <w:color w:val="000000"/>
          <w:sz w:val="32"/>
          <w:szCs w:val="32"/>
          <w:lang w:val="en-US" w:eastAsia="zh-CN"/>
        </w:rPr>
        <w:t>反映行政单位（包括实行公务员管理的事业单位）的基本支出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）一般行政管理事务（</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反映行政单位（包括实行公务员管理的事业单位）未单独设置项级科目的其他项目支出</w:t>
      </w:r>
      <w:r>
        <w:rPr>
          <w:rFonts w:hint="eastAsia" w:ascii="仿宋_GB2312" w:eastAsia="仿宋_GB2312"/>
          <w:color w:val="000000"/>
          <w:sz w:val="32"/>
          <w:szCs w:val="32"/>
        </w:rPr>
        <w:t>。</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）执法办案（</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 指</w:t>
      </w:r>
      <w:r>
        <w:rPr>
          <w:rFonts w:hint="eastAsia" w:ascii="仿宋_GB2312" w:eastAsia="仿宋_GB2312"/>
          <w:color w:val="000000"/>
          <w:sz w:val="32"/>
          <w:szCs w:val="32"/>
          <w:lang w:val="en-US" w:eastAsia="zh-CN"/>
        </w:rPr>
        <w:t>反映公安机关从事行政执法、刑事司法及侦查办案等相关活动的支出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）公安（</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）其他公安支出（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反映上述项目以外其他用于公安方面的支出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其他公共安全支出（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）其他公共安全支出（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反映除上述项目以外其他用于公共安全方面的支出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反映机关事业单位实施养老保险制度由单位缴纳的基本养老保险费支出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反映机关事业单位实施养老保险制度由单位实际缴纳的职业年金支出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公共卫生（</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）重大公共卫生专项（</w:t>
      </w:r>
      <w:r>
        <w:rPr>
          <w:rFonts w:hint="eastAsia" w:ascii="仿宋_GB2312" w:eastAsia="仿宋_GB2312"/>
          <w:color w:val="000000"/>
          <w:sz w:val="32"/>
          <w:szCs w:val="32"/>
          <w:lang w:val="en-US" w:eastAsia="zh-CN"/>
        </w:rPr>
        <w:t>09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反映重大疾病、重大传染病预防控制等重大公共卫生服务项目支出</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）行政单位医疗（</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反映财政部门安排的行政单位（包括实行公务员管理的事业单位）基本医疗保险缴费经费，未参加医疗保险的行政单位的公费医疗经费，按国家规定享受离休人员、红军老战士待遇人员的医疗经费</w:t>
      </w:r>
      <w:r>
        <w:rPr>
          <w:rFonts w:hint="eastAsia" w:ascii="仿宋_GB2312" w:eastAsia="仿宋_GB2312"/>
          <w:color w:val="000000"/>
          <w:sz w:val="32"/>
          <w:szCs w:val="32"/>
        </w:rPr>
        <w:t>。</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ab/>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反映财政部门安排的公务员医疗补助经费</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反映财政部门安排的公务员医疗补助经费</w:t>
      </w:r>
      <w:r>
        <w:rPr>
          <w:rFonts w:hint="eastAsia" w:ascii="仿宋_GB2312" w:eastAsia="仿宋_GB2312"/>
          <w:color w:val="000000"/>
          <w:sz w:val="32"/>
          <w:szCs w:val="32"/>
        </w:rPr>
        <w:t>。</w:t>
      </w:r>
    </w:p>
    <w:p>
      <w:pPr>
        <w:ind w:firstLine="640" w:firstLineChars="200"/>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outlineLvl w:val="9"/>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5"/>
        <w:pageBreakBefore w:val="0"/>
        <w:kinsoku/>
        <w:wordWrap/>
        <w:overflowPunct/>
        <w:topLinePunct w:val="0"/>
        <w:bidi w:val="0"/>
        <w:adjustRightInd w:val="0"/>
        <w:snapToGrid w:val="0"/>
        <w:spacing w:before="93" w:line="560" w:lineRule="exact"/>
        <w:ind w:firstLine="924" w:firstLineChars="210"/>
        <w:jc w:val="center"/>
        <w:outlineLvl w:val="9"/>
        <w:rPr>
          <w:rStyle w:val="16"/>
          <w:rFonts w:hint="eastAsia" w:ascii="黑体" w:hAnsi="黑体" w:eastAsia="黑体" w:cs="Times New Roman"/>
          <w:b w:val="0"/>
          <w:lang w:val="en-US" w:eastAsia="zh-CN"/>
        </w:rPr>
      </w:pPr>
      <w:bookmarkStart w:id="71" w:name="_Toc15396614"/>
      <w:bookmarkStart w:id="72" w:name="_Toc15377226"/>
    </w:p>
    <w:p>
      <w:pPr>
        <w:pStyle w:val="5"/>
        <w:pageBreakBefore w:val="0"/>
        <w:kinsoku/>
        <w:wordWrap/>
        <w:overflowPunct/>
        <w:topLinePunct w:val="0"/>
        <w:bidi w:val="0"/>
        <w:adjustRightInd w:val="0"/>
        <w:snapToGrid w:val="0"/>
        <w:spacing w:before="93" w:line="560" w:lineRule="exact"/>
        <w:ind w:firstLine="924" w:firstLineChars="210"/>
        <w:jc w:val="center"/>
        <w:outlineLvl w:val="9"/>
        <w:rPr>
          <w:rStyle w:val="16"/>
          <w:rFonts w:hint="eastAsia" w:ascii="黑体" w:hAnsi="黑体" w:eastAsia="黑体" w:cs="Times New Roman"/>
          <w:b w:val="0"/>
          <w:lang w:val="en-US" w:eastAsia="zh-CN"/>
        </w:rPr>
      </w:pPr>
    </w:p>
    <w:p>
      <w:pPr>
        <w:pStyle w:val="5"/>
        <w:pageBreakBefore w:val="0"/>
        <w:kinsoku/>
        <w:wordWrap/>
        <w:overflowPunct/>
        <w:topLinePunct w:val="0"/>
        <w:bidi w:val="0"/>
        <w:adjustRightInd w:val="0"/>
        <w:snapToGrid w:val="0"/>
        <w:spacing w:before="93" w:line="560" w:lineRule="exact"/>
        <w:ind w:firstLine="924" w:firstLineChars="210"/>
        <w:jc w:val="center"/>
        <w:outlineLvl w:val="9"/>
        <w:rPr>
          <w:rStyle w:val="16"/>
          <w:rFonts w:hint="eastAsia" w:ascii="黑体" w:hAnsi="黑体" w:eastAsia="黑体" w:cs="Times New Roman"/>
          <w:b w:val="0"/>
          <w:lang w:val="en-US" w:eastAsia="zh-CN"/>
        </w:rPr>
      </w:pPr>
    </w:p>
    <w:p>
      <w:pPr>
        <w:pStyle w:val="5"/>
        <w:pageBreakBefore w:val="0"/>
        <w:kinsoku/>
        <w:wordWrap/>
        <w:overflowPunct/>
        <w:topLinePunct w:val="0"/>
        <w:bidi w:val="0"/>
        <w:adjustRightInd w:val="0"/>
        <w:snapToGrid w:val="0"/>
        <w:spacing w:before="93" w:line="560" w:lineRule="exact"/>
        <w:ind w:firstLine="924" w:firstLineChars="210"/>
        <w:jc w:val="center"/>
        <w:outlineLvl w:val="9"/>
        <w:rPr>
          <w:rStyle w:val="16"/>
          <w:rFonts w:hint="eastAsia" w:ascii="黑体" w:hAnsi="黑体" w:eastAsia="黑体" w:cs="Times New Roman"/>
          <w:b w:val="0"/>
          <w:lang w:val="en-US" w:eastAsia="zh-CN"/>
        </w:rPr>
      </w:pPr>
    </w:p>
    <w:p>
      <w:pPr>
        <w:pStyle w:val="5"/>
        <w:pageBreakBefore w:val="0"/>
        <w:kinsoku/>
        <w:wordWrap/>
        <w:overflowPunct/>
        <w:topLinePunct w:val="0"/>
        <w:bidi w:val="0"/>
        <w:adjustRightInd w:val="0"/>
        <w:snapToGrid w:val="0"/>
        <w:spacing w:before="93" w:line="560" w:lineRule="exact"/>
        <w:ind w:firstLine="924" w:firstLineChars="210"/>
        <w:jc w:val="center"/>
        <w:outlineLvl w:val="9"/>
        <w:rPr>
          <w:rStyle w:val="16"/>
          <w:rFonts w:hint="eastAsia" w:ascii="黑体" w:hAnsi="黑体" w:eastAsia="黑体" w:cs="Times New Roman"/>
          <w:b w:val="0"/>
          <w:lang w:val="en-US" w:eastAsia="zh-CN"/>
        </w:rPr>
      </w:pPr>
    </w:p>
    <w:p>
      <w:pPr>
        <w:pStyle w:val="5"/>
        <w:pageBreakBefore w:val="0"/>
        <w:kinsoku/>
        <w:wordWrap/>
        <w:overflowPunct/>
        <w:topLinePunct w:val="0"/>
        <w:bidi w:val="0"/>
        <w:adjustRightInd w:val="0"/>
        <w:snapToGrid w:val="0"/>
        <w:spacing w:before="93" w:line="560" w:lineRule="exact"/>
        <w:ind w:firstLine="924" w:firstLineChars="210"/>
        <w:jc w:val="center"/>
        <w:outlineLvl w:val="9"/>
        <w:rPr>
          <w:rStyle w:val="16"/>
          <w:rFonts w:hint="eastAsia" w:ascii="黑体" w:hAnsi="黑体" w:eastAsia="黑体" w:cs="Times New Roman"/>
          <w:b w:val="0"/>
          <w:lang w:val="en-US" w:eastAsia="zh-CN"/>
        </w:rPr>
      </w:pPr>
    </w:p>
    <w:p>
      <w:pPr>
        <w:pStyle w:val="5"/>
        <w:pageBreakBefore w:val="0"/>
        <w:kinsoku/>
        <w:wordWrap/>
        <w:overflowPunct/>
        <w:topLinePunct w:val="0"/>
        <w:bidi w:val="0"/>
        <w:adjustRightInd w:val="0"/>
        <w:snapToGrid w:val="0"/>
        <w:spacing w:before="93" w:line="560" w:lineRule="exact"/>
        <w:ind w:firstLine="924" w:firstLineChars="210"/>
        <w:jc w:val="center"/>
        <w:outlineLvl w:val="9"/>
        <w:rPr>
          <w:rStyle w:val="16"/>
          <w:rFonts w:hint="eastAsia" w:ascii="黑体" w:hAnsi="黑体" w:eastAsia="黑体" w:cs="Times New Roman"/>
          <w:b w:val="0"/>
          <w:lang w:val="en-US" w:eastAsia="zh-CN"/>
        </w:rPr>
      </w:pPr>
    </w:p>
    <w:p>
      <w:pPr>
        <w:pStyle w:val="5"/>
        <w:pageBreakBefore w:val="0"/>
        <w:kinsoku/>
        <w:wordWrap/>
        <w:overflowPunct/>
        <w:topLinePunct w:val="0"/>
        <w:bidi w:val="0"/>
        <w:adjustRightInd w:val="0"/>
        <w:snapToGrid w:val="0"/>
        <w:spacing w:before="93" w:line="560" w:lineRule="exact"/>
        <w:ind w:firstLine="924" w:firstLineChars="210"/>
        <w:jc w:val="center"/>
        <w:outlineLvl w:val="9"/>
        <w:rPr>
          <w:rStyle w:val="16"/>
          <w:rFonts w:hint="eastAsia" w:ascii="黑体" w:hAnsi="黑体" w:eastAsia="黑体" w:cs="Times New Roman"/>
          <w:b w:val="0"/>
          <w:lang w:val="en-US" w:eastAsia="zh-CN"/>
        </w:rPr>
      </w:pPr>
    </w:p>
    <w:p>
      <w:pPr>
        <w:pStyle w:val="5"/>
        <w:pageBreakBefore w:val="0"/>
        <w:kinsoku/>
        <w:wordWrap/>
        <w:overflowPunct/>
        <w:topLinePunct w:val="0"/>
        <w:bidi w:val="0"/>
        <w:adjustRightInd w:val="0"/>
        <w:snapToGrid w:val="0"/>
        <w:spacing w:before="93" w:line="560" w:lineRule="exact"/>
        <w:ind w:firstLine="924" w:firstLineChars="210"/>
        <w:jc w:val="center"/>
        <w:outlineLvl w:val="9"/>
        <w:rPr>
          <w:rStyle w:val="16"/>
          <w:rFonts w:ascii="黑体" w:eastAsia="黑体"/>
          <w:b w:val="0"/>
        </w:rPr>
      </w:pPr>
      <w:bookmarkStart w:id="73" w:name="_Toc16887"/>
      <w:r>
        <w:rPr>
          <w:rStyle w:val="16"/>
          <w:rFonts w:hint="eastAsia" w:ascii="黑体" w:hAnsi="黑体" w:eastAsia="黑体" w:cs="Times New Roman"/>
          <w:b w:val="0"/>
          <w:lang w:val="en-US" w:eastAsia="zh-CN"/>
        </w:rPr>
        <w:t>第四部分 附件</w:t>
      </w:r>
      <w:bookmarkEnd w:id="71"/>
    </w:p>
    <w:bookmarkEnd w:id="73"/>
    <w:p>
      <w:pPr>
        <w:spacing w:line="560" w:lineRule="exact"/>
        <w:contextualSpacing/>
        <w:rPr>
          <w:rFonts w:hint="eastAsia" w:ascii="仿宋_GB2312" w:hAnsi="仿宋_GB2312" w:eastAsia="仿宋_GB2312" w:cs="仿宋_GB2312"/>
          <w:sz w:val="32"/>
          <w:szCs w:val="32"/>
          <w:lang w:val="en-US" w:eastAsia="zh-CN"/>
        </w:rPr>
      </w:pPr>
      <w:bookmarkStart w:id="74" w:name="_Toc15396618"/>
      <w:r>
        <w:rPr>
          <w:rFonts w:hint="eastAsia" w:ascii="仿宋_GB2312" w:hAnsi="仿宋_GB2312" w:eastAsia="仿宋_GB2312" w:cs="仿宋_GB2312"/>
          <w:sz w:val="32"/>
          <w:szCs w:val="32"/>
          <w:lang w:val="en-US" w:eastAsia="zh-CN"/>
        </w:rPr>
        <w:t>附件1</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eastAsia="zh-CN"/>
        </w:rPr>
        <w:t>红原县公安局</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021</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pPr>
        <w:widowControl/>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部门（单位）概况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outlineLvl w:val="9"/>
        <w:rPr>
          <w:rFonts w:hint="eastAsia" w:ascii="仿宋_GB2312" w:hAnsi="仿宋_GB2312" w:eastAsia="仿宋_GB2312" w:cs="仿宋_GB2312"/>
          <w:bCs/>
          <w:color w:val="000000"/>
          <w:kern w:val="0"/>
          <w:sz w:val="32"/>
          <w:szCs w:val="32"/>
          <w:lang w:val="zh-CN" w:eastAsia="zh-CN" w:bidi="ar-SA"/>
        </w:rPr>
      </w:pPr>
      <w:r>
        <w:rPr>
          <w:rFonts w:hint="eastAsia" w:ascii="仿宋_GB2312" w:hAnsi="仿宋_GB2312" w:eastAsia="仿宋_GB2312" w:cs="仿宋_GB2312"/>
          <w:bCs/>
          <w:color w:val="000000"/>
          <w:kern w:val="0"/>
          <w:sz w:val="32"/>
          <w:szCs w:val="32"/>
          <w:lang w:val="en-US" w:eastAsia="zh-CN" w:bidi="ar-SA"/>
        </w:rPr>
        <w:t>我局共设置28个内设机构，分别是：指挥中心、国内安全保卫大队、治安管理大队、出入境管理大队、刑事侦查大队、交通管理大队、公共信息网络安全监察大队、法制大队、纪检监察大队、政工室、警务保障室、草原骑警大队、红原县看守所、红原县拘留所、红原县公安局刷经寺派出所、红原县公安局安曲派出所、红原县公安局邛溪派出所、红原县公安局瓦切派出所、红原县公安局色地派出所、红原县公安局麦洼派出所、红原县公安局阿木派出所、红原县公安局龙日派出所、红原县公安局江茸派出所、红原县公安局查尔玛派出所、红原县公安局壤口派出所、红原县公安局麦洼寺派出所、红原县公安局康玛尔寺派出所、红原县公安局茸塔寺派出所。</w:t>
      </w:r>
    </w:p>
    <w:p>
      <w:pPr>
        <w:widowControl/>
        <w:numPr>
          <w:ilvl w:val="0"/>
          <w:numId w:val="2"/>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1.贯彻执行国家公安工作的方针、政策和法律、法规、规章，起草地方性公安法规、规章草案，部署、指导、监督、检查全县公安工作；负责全县辖区公安机关依法行政工作，落实行政执法责任制。</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2.指导、协调全县公安机关应急管理、抢险救援工作和社会公共突发事件的处置工作。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3.收集影响社会稳定、危害国家安全和社会治安的情况，全面掌握社情民意，分析研判情报信息和治安形势，制定对策。</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4.组织、实施、指导全县公安法制建设，按管辖办理行政诉讼、行政复议案件。依法实施行政许可、行政审批事项。</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5.组织指导全县公安侦查工作；协调、指挥、侦破、处理公安机关管辖的刑事案件，处置治安灾害事故、骚乱和群体性突发事件；组织实施重大活动的安全保卫工作。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7.负责全县道路交通安全管理工作并承担相应责任。指导监督全县公安机关维护道路交通安全、交通秩序；组织、协调、处置交通事故；依法管理机动车辆（不含拖拉机）和驾驶人员。</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8.负责全县消防工作并承担相应责任。指导、监督、协调全县消防监督、火灾预防、火灾扑救工作和公安应急抢险救援工作。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9.指导全县公安警卫业务工作，组织实施对党和国家领导以及重要人物在县内的安全警卫工作并承担相应责任。组织、实施全县要害目标的安全保卫。</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10.指导、监督全县公安机关对公共信息网络的安全保护工作，负责信息安全等级保卫工作的监督、检查、指导。</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11.依法管理国籍、出境入境和外国人在红原县境内居留、旅行等有关工作。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12.组织、指导、协调对恐怖活动的情报、防范、侦察和应急处置工作。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13.指导、监督全县公安机关依法承担的执行刑罚和监督、考察工作。依法管理县看守所、拘留所。办理收容教养和劳动教养案件。</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14.组织实施全县公安科学技术工作，组织、指导、规划全县公安机关的指挥系统、信息技术、刑事技术建设。</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15.制定全县公安机关装备和经费等警务保障计划和管理制度，组织协调全县公安机关履行职责的警务保障工作。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17.指导县森林公安机关的业务工作。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18.组织协调武警内卫部队执行公安任务。</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19.承担县政府禁毒委员会、劳动教养管理委员会、收容教养委员会、反恐怖工作协调小组日常工作。</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20.承担县政府公布的有关行政审批事项。</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color w:val="000000"/>
          <w:kern w:val="0"/>
          <w:sz w:val="32"/>
          <w:szCs w:val="32"/>
          <w:shd w:val="clear" w:color="auto" w:fill="FFFFFF"/>
          <w:lang w:val="en-US" w:eastAsia="zh-CN"/>
        </w:rPr>
        <w:t>21.承办县委、县政府和上级公安机关交办的其他工作和法律、法规规定的其他职责。</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（三）人员概况</w:t>
      </w:r>
    </w:p>
    <w:p>
      <w:pPr>
        <w:pStyle w:val="5"/>
        <w:adjustRightInd w:val="0"/>
        <w:snapToGrid w:val="0"/>
        <w:spacing w:before="93" w:line="600" w:lineRule="exact"/>
        <w:ind w:firstLine="672" w:firstLineChars="210"/>
        <w:outlineLvl w:val="9"/>
        <w:rPr>
          <w:rFonts w:hint="eastAsia" w:ascii="仿宋_GB2312" w:hAnsi="仿宋_GB2312" w:eastAsia="仿宋_GB2312" w:cs="仿宋_GB2312"/>
          <w:bCs/>
          <w:color w:val="000000"/>
          <w:sz w:val="32"/>
          <w:szCs w:val="32"/>
          <w:lang w:val="zh-CN" w:eastAsia="zh-CN"/>
        </w:rPr>
      </w:pPr>
      <w:r>
        <w:rPr>
          <w:rFonts w:hint="eastAsia" w:ascii="仿宋_GB2312" w:hAnsi="仿宋_GB2312" w:eastAsia="仿宋_GB2312" w:cs="仿宋_GB2312"/>
          <w:bCs/>
          <w:color w:val="000000"/>
          <w:sz w:val="32"/>
          <w:szCs w:val="32"/>
          <w:lang w:val="en-US" w:eastAsia="zh-CN"/>
        </w:rPr>
        <w:t>我单位为独立核算全额拨款行政单位。截止2021年底我单位共有编制181个，其中公务员编制172个，行政工勤编制9个，在职182人，其中公务员171人，行政工勤11人。</w:t>
      </w:r>
    </w:p>
    <w:p>
      <w:pPr>
        <w:widowControl/>
        <w:numPr>
          <w:ilvl w:val="0"/>
          <w:numId w:val="3"/>
        </w:numPr>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部门财政资金收支情况</w:t>
      </w:r>
    </w:p>
    <w:p>
      <w:pPr>
        <w:widowControl/>
        <w:numPr>
          <w:ilvl w:val="0"/>
          <w:numId w:val="4"/>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eastAsia="zh-CN"/>
        </w:rPr>
        <w:t>部门</w:t>
      </w:r>
      <w:r>
        <w:rPr>
          <w:rFonts w:hint="eastAsia" w:ascii="仿宋_GB2312" w:hAnsi="仿宋_GB2312" w:eastAsia="仿宋_GB2312" w:cs="仿宋_GB2312"/>
          <w:color w:val="000000"/>
          <w:kern w:val="0"/>
          <w:sz w:val="32"/>
          <w:szCs w:val="32"/>
          <w:shd w:val="clear" w:color="auto" w:fill="FFFFFF"/>
          <w:lang w:val="en-US" w:eastAsia="zh-CN"/>
        </w:rPr>
        <w:t>财政拨款结转和结余情况</w:t>
      </w:r>
    </w:p>
    <w:p>
      <w:pPr>
        <w:widowControl/>
        <w:adjustRightInd w:val="0"/>
        <w:snapToGrid w:val="0"/>
        <w:spacing w:line="580" w:lineRule="exact"/>
        <w:ind w:firstLine="640" w:firstLineChars="200"/>
        <w:contextualSpacing/>
        <w:jc w:val="left"/>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2021年年初财政拨款结转和结余1,114.92万元；年末财政拨款结转和结余0万元。</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（二）部门财政资金收入情况</w:t>
      </w:r>
    </w:p>
    <w:p>
      <w:pPr>
        <w:widowControl/>
        <w:adjustRightInd w:val="0"/>
        <w:snapToGrid w:val="0"/>
        <w:spacing w:line="580" w:lineRule="exact"/>
        <w:ind w:firstLine="640" w:firstLineChars="200"/>
        <w:contextualSpacing/>
        <w:jc w:val="left"/>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shd w:val="clear" w:color="auto" w:fill="FFFFFF"/>
          <w:lang w:val="en-US" w:eastAsia="zh-CN"/>
        </w:rPr>
        <w:t>2021年财政资金收入共计6,837.88万元,其中一般公共预算财政拨款6,837.88万元，占比100%；政府性基金预算财政拨款0万元，占比0%；国有资本经营预算财政拨款0万元，占比0%。</w:t>
      </w:r>
    </w:p>
    <w:p>
      <w:pPr>
        <w:widowControl/>
        <w:numPr>
          <w:ilvl w:val="0"/>
          <w:numId w:val="2"/>
        </w:numPr>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部门财政资金支出情况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2021年财政资金支出共计7,952.80万元，其中：公共安全支出6,917.69万元，占比86.98%；社会保障和就业支出494.80万元，占比6.22%；卫生健康支出182.82万元，占比2.3%；住房保障支出357.49万元，占比4.5%。其中年初财政拨款结转和结余安排1,114.92万元；当年收入安排6,837.88万元。</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三、部门整体预算绩效管理情况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（一）部门预算管理</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1、部门绩效目标制定及完成情况</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2021年我单位绩效目标为在2020年各项任务完成的基础之上进一步维护辖区社会治安平稳有序、严厉打击各项犯罪，为经济、社会平稳发展做出应有贡献，继续在维护国家安全，维护社会治安秩序，保护公民人身安全、人身自由、合法财产，保护公共财产，预防、制止、惩治违法犯罪道路上开启新征程。截止2021年底我单位共</w:t>
      </w:r>
      <w:r>
        <w:rPr>
          <w:rFonts w:hint="eastAsia" w:ascii="仿宋_GB2312" w:hAnsi="仿宋_GB2312" w:eastAsia="仿宋_GB2312" w:cs="仿宋_GB2312"/>
          <w:sz w:val="32"/>
          <w:szCs w:val="32"/>
          <w:lang w:val="en-US" w:eastAsia="zh-CN"/>
        </w:rPr>
        <w:t>办理行政案件147起，行政拘留153人次；共立各类刑事案件90起，破67起，破案率为74.4%；抓获犯罪嫌疑人63人；抓获网逃10人，为群众换回经济损失约216万元，外籍人员遣返1人，网逃人员抓获10人次，天网监控点新增130个，人脸识别点新增30个，查处交通违法12368起，实战训练10次，看守所关押犯罪嫌疑人61人次，拘留所行政拘留131人次，反诈骗预警劝阻723人次，基本完成2021年绩效目标设定。</w:t>
      </w:r>
    </w:p>
    <w:p>
      <w:pPr>
        <w:widowControl/>
        <w:numPr>
          <w:ilvl w:val="0"/>
          <w:numId w:val="5"/>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预算编制、调整、执行及完成情况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2021我单位财政拨款结转和结余年初预算为1,414.24万元，调整预算数为1,114.92万元，决算数为1,114.92万元，完成率100%，2021年一般公共预算财政拨款年初预算数3,930.01万元，调整预算数为6,837.88万元，决算数为6,837.88万元，完成了100%，2021年当年支出年初预算为5,344.24万元，调整预算数为7,952.80万元，决算数为7,952.80万元，完成率100%。</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3.违规记录</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无</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2021年我单位部门绩效评价质量良好，单位整体风险在可控范围内，2021我单位绩效目标公开和自评公开将在2021年决算公开时一同公开。</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2021年我局整体部门支出良好,部门整体风险在可控范围之内。</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（二）存在问题</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1.费用审批流程、采购流程、预算管理流程还需进一步完善</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2.单位财政资金、自有资金监管还需进一步加强</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3.采购管理、合同管理、单位资产管理还需进一步强化</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（三）改进建议</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1.对于采购计划除紧急采购外均应年前确定包括采购品牌、数量、价格范围、技术参数等方面，采购流程根据单位实际情况进一步完善，以达到降低单位整体风险的目的。</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2.资产至少每两年现场盘点一次以确保单位资产家数清、底数明，对盘盈、盘亏资产、外借资产、调拨资产等及时进行处理资产管理系统、账务处理。</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3.完善费用流程审批、采购流程审批、预算编制及执行流程审批，以降低单位整体风险，特别是贪污、腐败风险。</w:t>
      </w:r>
    </w:p>
    <w:p>
      <w:pPr>
        <w:pageBreakBefore w:val="0"/>
        <w:kinsoku/>
        <w:wordWrap/>
        <w:overflowPunct/>
        <w:topLinePunct w:val="0"/>
        <w:bidi w:val="0"/>
        <w:adjustRightInd w:val="0"/>
        <w:snapToGrid w:val="0"/>
        <w:spacing w:line="560" w:lineRule="exact"/>
        <w:jc w:val="center"/>
        <w:outlineLvl w:val="0"/>
        <w:rPr>
          <w:rFonts w:hint="eastAsia" w:ascii="仿宋_GB2312" w:hAnsi="仿宋_GB2312" w:eastAsia="仿宋_GB2312" w:cs="仿宋_GB2312"/>
          <w:sz w:val="32"/>
          <w:szCs w:val="32"/>
        </w:rPr>
      </w:pPr>
    </w:p>
    <w:p>
      <w:pPr>
        <w:pageBreakBefore w:val="0"/>
        <w:kinsoku/>
        <w:wordWrap/>
        <w:overflowPunct/>
        <w:topLinePunct w:val="0"/>
        <w:bidi w:val="0"/>
        <w:adjustRightInd w:val="0"/>
        <w:snapToGrid w:val="0"/>
        <w:spacing w:line="560" w:lineRule="exact"/>
        <w:jc w:val="center"/>
        <w:outlineLvl w:val="0"/>
        <w:rPr>
          <w:rFonts w:hint="eastAsia" w:ascii="仿宋_GB2312" w:hAnsi="仿宋_GB2312" w:eastAsia="仿宋_GB2312" w:cs="仿宋_GB2312"/>
          <w:sz w:val="32"/>
          <w:szCs w:val="32"/>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pPr>
    </w:p>
    <w:p>
      <w:pPr>
        <w:pStyle w:val="2"/>
        <w:rPr>
          <w:rFonts w:ascii="黑体" w:eastAsia="黑体"/>
          <w:sz w:val="44"/>
          <w:szCs w:val="44"/>
        </w:rPr>
      </w:pPr>
    </w:p>
    <w:p/>
    <w:tbl>
      <w:tblPr>
        <w:tblStyle w:val="12"/>
        <w:tblpPr w:leftFromText="180" w:rightFromText="180" w:vertAnchor="text" w:horzAnchor="page" w:tblpX="834" w:tblpY="1115"/>
        <w:tblOverlap w:val="never"/>
        <w:tblW w:w="107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591"/>
        <w:gridCol w:w="1034"/>
        <w:gridCol w:w="1979"/>
        <w:gridCol w:w="1829"/>
        <w:gridCol w:w="1394"/>
        <w:gridCol w:w="1110"/>
        <w:gridCol w:w="22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10725" w:type="dxa"/>
            <w:gridSpan w:val="8"/>
            <w:tcBorders>
              <w:top w:val="nil"/>
              <w:left w:val="nil"/>
              <w:bottom w:val="nil"/>
              <w:right w:val="nil"/>
            </w:tcBorders>
            <w:shd w:val="clear" w:color="auto" w:fill="auto"/>
            <w:vAlign w:val="center"/>
          </w:tcPr>
          <w:p>
            <w:pPr>
              <w:bidi w:val="0"/>
              <w:rPr>
                <w:rFonts w:hint="eastAsia" w:ascii="仿宋_GB2312" w:hAnsi="仿宋_GB2312" w:eastAsia="仿宋_GB2312" w:cs="仿宋_GB2312"/>
                <w:sz w:val="32"/>
                <w:szCs w:val="32"/>
                <w:lang w:val="en-US" w:eastAsia="zh-CN"/>
              </w:rPr>
            </w:pPr>
            <w:bookmarkStart w:id="75" w:name="_Toc2349"/>
            <w:r>
              <w:rPr>
                <w:rFonts w:hint="eastAsia" w:ascii="仿宋_GB2312" w:hAnsi="仿宋_GB2312" w:eastAsia="仿宋_GB2312" w:cs="仿宋_GB2312"/>
                <w:sz w:val="32"/>
                <w:szCs w:val="32"/>
                <w:lang w:val="en-US" w:eastAsia="zh-CN"/>
              </w:rPr>
              <w:t>附件2</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bCs/>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44"/>
                <w:szCs w:val="44"/>
                <w:u w:val="none"/>
                <w:lang w:val="en-US" w:eastAsia="zh-CN" w:bidi="ar"/>
              </w:rPr>
              <w:t>四川省红原县转移支付区域（项目）绩效目标自评表</w:t>
            </w:r>
            <w:r>
              <w:rPr>
                <w:rStyle w:val="26"/>
                <w:rFonts w:hint="eastAsia" w:ascii="仿宋_GB2312" w:hAnsi="仿宋_GB2312" w:eastAsia="仿宋_GB2312" w:cs="仿宋_GB2312"/>
                <w:sz w:val="18"/>
                <w:szCs w:val="18"/>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725" w:type="dxa"/>
            <w:gridSpan w:val="8"/>
            <w:tcBorders>
              <w:top w:val="nil"/>
              <w:left w:val="nil"/>
              <w:bottom w:val="single" w:color="000000" w:sz="4" w:space="0"/>
              <w:right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转移支付（项目）名称</w:t>
            </w:r>
          </w:p>
        </w:tc>
        <w:tc>
          <w:tcPr>
            <w:tcW w:w="85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2021年红原县公安转移支付资金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中央主管部门</w:t>
            </w:r>
          </w:p>
        </w:tc>
        <w:tc>
          <w:tcPr>
            <w:tcW w:w="85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公安部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地方主管部门</w:t>
            </w: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阿坝藏族羌族自治州公安局</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资金使用单位</w:t>
            </w:r>
          </w:p>
        </w:tc>
        <w:tc>
          <w:tcPr>
            <w:tcW w:w="33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红原县公安局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1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项目资金</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（万元）</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rPr>
                <w:rFonts w:hint="eastAsia" w:ascii="仿宋_GB2312" w:hAnsi="仿宋_GB2312" w:eastAsia="仿宋_GB2312" w:cs="仿宋_GB2312"/>
                <w:i w:val="0"/>
                <w:iCs w:val="0"/>
                <w:color w:val="000000"/>
                <w:sz w:val="18"/>
                <w:szCs w:val="18"/>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全年预算数（A）</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全年执行数（B）</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预算执行率（B/A)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21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年度资金总额：</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1249</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1033.51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1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w:t>
            </w:r>
            <w:r>
              <w:rPr>
                <w:rStyle w:val="27"/>
                <w:rFonts w:hint="eastAsia" w:ascii="仿宋_GB2312" w:hAnsi="仿宋_GB2312" w:eastAsia="仿宋_GB2312" w:cs="仿宋_GB2312"/>
                <w:sz w:val="18"/>
                <w:szCs w:val="18"/>
                <w:lang w:val="en-US" w:eastAsia="zh-CN" w:bidi="ar"/>
              </w:rPr>
              <w:t>其中：中央补助</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1249</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1033.51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21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w:t>
            </w:r>
            <w:r>
              <w:rPr>
                <w:rStyle w:val="27"/>
                <w:rFonts w:hint="eastAsia" w:ascii="仿宋_GB2312" w:hAnsi="仿宋_GB2312" w:eastAsia="仿宋_GB2312" w:cs="仿宋_GB2312"/>
                <w:sz w:val="18"/>
                <w:szCs w:val="18"/>
                <w:lang w:val="en-US" w:eastAsia="zh-CN" w:bidi="ar"/>
              </w:rPr>
              <w:t xml:space="preserve">      地方资金</w:t>
            </w:r>
          </w:p>
        </w:tc>
        <w:tc>
          <w:tcPr>
            <w:tcW w:w="182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1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w:t>
            </w:r>
            <w:r>
              <w:rPr>
                <w:rStyle w:val="27"/>
                <w:rFonts w:hint="eastAsia" w:ascii="仿宋_GB2312" w:hAnsi="仿宋_GB2312" w:eastAsia="仿宋_GB2312" w:cs="仿宋_GB2312"/>
                <w:sz w:val="18"/>
                <w:szCs w:val="18"/>
                <w:lang w:val="en-US" w:eastAsia="zh-CN" w:bidi="ar"/>
              </w:rPr>
              <w:t xml:space="preserve">  其他资金</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总体目标完成情况</w:t>
            </w:r>
          </w:p>
        </w:tc>
        <w:tc>
          <w:tcPr>
            <w:tcW w:w="5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总体目标</w:t>
            </w:r>
          </w:p>
        </w:tc>
        <w:tc>
          <w:tcPr>
            <w:tcW w:w="47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充分发挥公安机关在维护国家安全、维护社会治安秩序、保护公民人身安全、人身自由、合法财产，保护公共财产，预防、制止、惩治违法犯罪中的积极作用；确保全县的社会政治持续稳定和治安大局平稳可控;更好的发挥职能职责，服务辖区人民群众；解决办案经费不足的实际困难。</w:t>
            </w:r>
          </w:p>
        </w:tc>
        <w:tc>
          <w:tcPr>
            <w:tcW w:w="47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根据我县公安工作发展规划和目标，按照统筹兼顾、突出重点的原则组织实施，2021年政法纪检监察转移支付资金（办案经费）绩效目标基本实现，解决了办案经费不足的实际困难，充分发挥我县公安机关在确保全县治安稳定方面的积极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绩效指标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一级</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指标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二级指标</w:t>
            </w: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三级指标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指标值</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全年实际完成值</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未完成原因和改进措施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产</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出</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指</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标</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数量指标</w:t>
            </w: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支持市县（区）公安机关数量</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行政拘留人次</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153</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刑事拘留人次</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逮捕犯罪嫌疑人人次</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63</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刑事案件立案数量</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行政案件办理数量</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147</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侦查终结刑事案件数量</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67</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结案行政案件数量</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147</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外籍人员遣送</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网逃人员抓获人次</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天网监控点</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人脸识别点</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查处交通违法（起）</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11000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12368</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实战训练次数</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下一步将加大实战训练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看守所关押犯罪嫌疑人次</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拘留所行政拘留人次</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反诈骗预警劝阻次数</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660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723</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质量指标</w:t>
            </w: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公安民警培训合格率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装备配备达标率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购置装备验收合格率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时效指标</w:t>
            </w: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受理案件及时性</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案件结案及时性</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装备（设备）采购及时性</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装备（设备）维修维护及时性</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实战训练开展及时性</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社会效益</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指标</w:t>
            </w: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破案率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74.40%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收缴杀伤性武器同比增长率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35%以上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35.30%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挡获盗抢机动车同比增长率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11.50%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新增装备使用率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95%以上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95%</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促进社会治安稳定情况</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人民群众生命财产安全保障情况</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执法规范化水平有效提升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85%以上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可持续影响指标</w:t>
            </w: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部门联动机制是否建立健全</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是</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社会治安防控体系健全性</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应急管理体系健全性</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经济效益</w:t>
            </w: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电信诈骗挽回经济损失金额</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150万以上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160.3万</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挡获盗抢机动车挽回经济损失金额</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120万以上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145万</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罚没资金追缴金额</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15万以上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16万</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满意度指标</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服务对象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满意度指标</w:t>
            </w: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公众安全感指数</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90%以上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95%</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公安执法满意度</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85%以上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88%</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c>
          <w:tcPr>
            <w:tcW w:w="38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办案人员满意度</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90%以上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92%</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18"/>
                <w:szCs w:val="18"/>
                <w:u w:val="none"/>
              </w:rPr>
            </w:pPr>
          </w:p>
        </w:tc>
      </w:tr>
      <w:bookmarkEnd w:id="75"/>
    </w:tbl>
    <w:p>
      <w:pPr>
        <w:pageBreakBefore w:val="0"/>
        <w:kinsoku/>
        <w:wordWrap/>
        <w:overflowPunct/>
        <w:topLinePunct w:val="0"/>
        <w:bidi w:val="0"/>
        <w:adjustRightInd w:val="0"/>
        <w:snapToGrid w:val="0"/>
        <w:spacing w:line="560" w:lineRule="exact"/>
        <w:jc w:val="center"/>
        <w:outlineLvl w:val="0"/>
        <w:rPr>
          <w:rStyle w:val="16"/>
          <w:rFonts w:hint="eastAsia" w:ascii="仿宋_GB2312" w:hAnsi="仿宋_GB2312" w:eastAsia="仿宋_GB2312" w:cs="仿宋_GB2312"/>
          <w:b w:val="0"/>
          <w:sz w:val="18"/>
          <w:szCs w:val="18"/>
          <w:lang w:val="en-US" w:eastAsia="zh-CN"/>
        </w:rPr>
      </w:pPr>
    </w:p>
    <w:p>
      <w:pPr>
        <w:pageBreakBefore w:val="0"/>
        <w:kinsoku/>
        <w:wordWrap/>
        <w:overflowPunct/>
        <w:topLinePunct w:val="0"/>
        <w:bidi w:val="0"/>
        <w:adjustRightInd w:val="0"/>
        <w:snapToGrid w:val="0"/>
        <w:spacing w:line="560" w:lineRule="exact"/>
        <w:jc w:val="center"/>
        <w:outlineLvl w:val="0"/>
        <w:rPr>
          <w:rStyle w:val="16"/>
          <w:rFonts w:hint="eastAsia" w:ascii="仿宋_GB2312" w:hAnsi="仿宋_GB2312" w:eastAsia="仿宋_GB2312" w:cs="仿宋_GB2312"/>
          <w:b w:val="0"/>
          <w:sz w:val="18"/>
          <w:szCs w:val="18"/>
          <w:lang w:val="en-US" w:eastAsia="zh-CN"/>
        </w:rPr>
      </w:pPr>
    </w:p>
    <w:p>
      <w:pPr>
        <w:pageBreakBefore w:val="0"/>
        <w:kinsoku/>
        <w:wordWrap/>
        <w:overflowPunct/>
        <w:topLinePunct w:val="0"/>
        <w:bidi w:val="0"/>
        <w:adjustRightInd w:val="0"/>
        <w:snapToGrid w:val="0"/>
        <w:spacing w:line="560" w:lineRule="exact"/>
        <w:jc w:val="center"/>
        <w:outlineLvl w:val="0"/>
        <w:rPr>
          <w:rStyle w:val="16"/>
          <w:rFonts w:hint="eastAsia" w:ascii="仿宋_GB2312" w:hAnsi="仿宋_GB2312" w:eastAsia="仿宋_GB2312" w:cs="仿宋_GB2312"/>
          <w:b w:val="0"/>
          <w:sz w:val="18"/>
          <w:szCs w:val="18"/>
          <w:lang w:val="en-US" w:eastAsia="zh-CN"/>
        </w:rPr>
      </w:pPr>
    </w:p>
    <w:p>
      <w:pPr>
        <w:pageBreakBefore w:val="0"/>
        <w:kinsoku/>
        <w:wordWrap/>
        <w:overflowPunct/>
        <w:topLinePunct w:val="0"/>
        <w:bidi w:val="0"/>
        <w:adjustRightInd w:val="0"/>
        <w:snapToGrid w:val="0"/>
        <w:spacing w:line="560" w:lineRule="exact"/>
        <w:jc w:val="center"/>
        <w:outlineLvl w:val="0"/>
        <w:rPr>
          <w:rStyle w:val="16"/>
          <w:rFonts w:hint="eastAsia" w:ascii="仿宋_GB2312" w:hAnsi="仿宋_GB2312" w:eastAsia="仿宋_GB2312" w:cs="仿宋_GB2312"/>
          <w:b w:val="0"/>
          <w:sz w:val="18"/>
          <w:szCs w:val="18"/>
          <w:lang w:val="en-US" w:eastAsia="zh-CN"/>
        </w:rPr>
      </w:pPr>
    </w:p>
    <w:p>
      <w:pPr>
        <w:pageBreakBefore w:val="0"/>
        <w:kinsoku/>
        <w:wordWrap/>
        <w:overflowPunct/>
        <w:topLinePunct w:val="0"/>
        <w:bidi w:val="0"/>
        <w:adjustRightInd w:val="0"/>
        <w:snapToGrid w:val="0"/>
        <w:spacing w:line="560" w:lineRule="exact"/>
        <w:jc w:val="center"/>
        <w:outlineLvl w:val="0"/>
        <w:rPr>
          <w:rStyle w:val="16"/>
          <w:rFonts w:hint="eastAsia" w:ascii="仿宋_GB2312" w:hAnsi="仿宋_GB2312" w:eastAsia="仿宋_GB2312" w:cs="仿宋_GB2312"/>
          <w:b w:val="0"/>
          <w:sz w:val="18"/>
          <w:szCs w:val="18"/>
          <w:lang w:val="en-US" w:eastAsia="zh-CN"/>
        </w:rPr>
      </w:pPr>
    </w:p>
    <w:p>
      <w:pPr>
        <w:pageBreakBefore w:val="0"/>
        <w:kinsoku/>
        <w:wordWrap/>
        <w:overflowPunct/>
        <w:topLinePunct w:val="0"/>
        <w:bidi w:val="0"/>
        <w:adjustRightInd w:val="0"/>
        <w:snapToGrid w:val="0"/>
        <w:spacing w:line="560" w:lineRule="exact"/>
        <w:jc w:val="both"/>
        <w:outlineLvl w:val="0"/>
        <w:rPr>
          <w:rStyle w:val="16"/>
          <w:rFonts w:hint="eastAsia" w:ascii="仿宋_GB2312" w:hAnsi="仿宋_GB2312" w:eastAsia="仿宋_GB2312" w:cs="仿宋_GB2312"/>
          <w:b w:val="0"/>
          <w:sz w:val="18"/>
          <w:szCs w:val="18"/>
          <w:lang w:val="en-US" w:eastAsia="zh-CN"/>
        </w:rPr>
      </w:pPr>
    </w:p>
    <w:p>
      <w:pPr>
        <w:pStyle w:val="2"/>
        <w:rPr>
          <w:rStyle w:val="16"/>
          <w:rFonts w:hint="eastAsia" w:ascii="仿宋_GB2312" w:hAnsi="仿宋_GB2312" w:eastAsia="仿宋_GB2312" w:cs="仿宋_GB2312"/>
          <w:b w:val="0"/>
          <w:bCs/>
          <w:sz w:val="18"/>
          <w:szCs w:val="18"/>
          <w:lang w:val="en-US" w:eastAsia="zh-CN"/>
        </w:rPr>
      </w:pPr>
    </w:p>
    <w:p>
      <w:pPr>
        <w:rPr>
          <w:rStyle w:val="16"/>
          <w:rFonts w:hint="eastAsia" w:ascii="仿宋_GB2312" w:hAnsi="仿宋_GB2312" w:eastAsia="仿宋_GB2312" w:cs="仿宋_GB2312"/>
          <w:b w:val="0"/>
          <w:sz w:val="18"/>
          <w:szCs w:val="18"/>
          <w:lang w:val="en-US" w:eastAsia="zh-CN"/>
        </w:rPr>
      </w:pPr>
    </w:p>
    <w:p>
      <w:pPr>
        <w:pageBreakBefore w:val="0"/>
        <w:kinsoku/>
        <w:wordWrap/>
        <w:overflowPunct/>
        <w:topLinePunct w:val="0"/>
        <w:bidi w:val="0"/>
        <w:adjustRightInd w:val="0"/>
        <w:snapToGrid w:val="0"/>
        <w:spacing w:line="560" w:lineRule="exact"/>
        <w:jc w:val="center"/>
        <w:outlineLvl w:val="0"/>
        <w:rPr>
          <w:rStyle w:val="16"/>
          <w:rFonts w:hint="eastAsia" w:ascii="黑体" w:hAnsi="黑体" w:eastAsia="黑体" w:cs="Times New Roman"/>
          <w:b w:val="0"/>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ageBreakBefore w:val="0"/>
        <w:kinsoku/>
        <w:wordWrap/>
        <w:overflowPunct/>
        <w:topLinePunct w:val="0"/>
        <w:bidi w:val="0"/>
        <w:adjustRightInd w:val="0"/>
        <w:snapToGrid w:val="0"/>
        <w:spacing w:line="560" w:lineRule="exact"/>
        <w:jc w:val="center"/>
        <w:outlineLvl w:val="0"/>
        <w:rPr>
          <w:rStyle w:val="16"/>
          <w:rFonts w:hint="eastAsia" w:ascii="黑体" w:hAnsi="黑体" w:eastAsia="黑体" w:cs="Times New Roman"/>
          <w:b w:val="0"/>
          <w:lang w:val="en-US" w:eastAsia="zh-CN"/>
        </w:rPr>
      </w:pPr>
      <w:bookmarkStart w:id="76" w:name="_Toc30604"/>
      <w:r>
        <w:rPr>
          <w:rStyle w:val="16"/>
          <w:rFonts w:hint="eastAsia" w:ascii="黑体" w:hAnsi="黑体" w:eastAsia="黑体" w:cs="Times New Roman"/>
          <w:b w:val="0"/>
          <w:lang w:val="en-US" w:eastAsia="zh-CN"/>
        </w:rPr>
        <w:t>第五部分 附表</w:t>
      </w:r>
      <w:bookmarkEnd w:id="72"/>
      <w:bookmarkEnd w:id="74"/>
      <w:bookmarkEnd w:id="76"/>
      <w:bookmarkStart w:id="77" w:name="_Toc15396619"/>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78" w:name="_Toc5646"/>
      <w:r>
        <w:rPr>
          <w:rStyle w:val="17"/>
          <w:rFonts w:hint="eastAsia" w:ascii="仿宋" w:hAnsi="仿宋" w:eastAsia="仿宋" w:cs="Times New Roman"/>
          <w:b w:val="0"/>
          <w:bCs w:val="0"/>
        </w:rPr>
        <w:t>一、收入支出决算总表</w:t>
      </w:r>
      <w:bookmarkEnd w:id="77"/>
      <w:bookmarkEnd w:id="78"/>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79" w:name="_Toc15396620"/>
      <w:bookmarkStart w:id="80" w:name="_Toc3835"/>
      <w:r>
        <w:rPr>
          <w:rStyle w:val="17"/>
          <w:rFonts w:hint="eastAsia" w:ascii="仿宋" w:hAnsi="仿宋" w:eastAsia="仿宋" w:cs="Times New Roman"/>
          <w:b w:val="0"/>
          <w:bCs w:val="0"/>
        </w:rPr>
        <w:t>二、收入决算表</w:t>
      </w:r>
      <w:bookmarkEnd w:id="79"/>
      <w:bookmarkEnd w:id="80"/>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81" w:name="_Toc15396621"/>
      <w:bookmarkStart w:id="82" w:name="_Toc12359"/>
      <w:r>
        <w:rPr>
          <w:rStyle w:val="17"/>
          <w:rFonts w:hint="eastAsia" w:ascii="仿宋" w:hAnsi="仿宋" w:eastAsia="仿宋" w:cs="Times New Roman"/>
          <w:b w:val="0"/>
          <w:bCs w:val="0"/>
        </w:rPr>
        <w:t>三、支出决算表</w:t>
      </w:r>
      <w:bookmarkEnd w:id="81"/>
      <w:bookmarkEnd w:id="82"/>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83" w:name="_Toc15396622"/>
      <w:bookmarkStart w:id="84" w:name="_Toc19412"/>
      <w:r>
        <w:rPr>
          <w:rStyle w:val="17"/>
          <w:rFonts w:hint="eastAsia" w:ascii="仿宋" w:hAnsi="仿宋" w:eastAsia="仿宋" w:cs="Times New Roman"/>
          <w:b w:val="0"/>
          <w:bCs w:val="0"/>
        </w:rPr>
        <w:t>四、财政拨款收入支出决算总表</w:t>
      </w:r>
      <w:bookmarkEnd w:id="83"/>
      <w:bookmarkEnd w:id="84"/>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85" w:name="_Toc15396623"/>
      <w:bookmarkStart w:id="86" w:name="_Toc20428"/>
      <w:r>
        <w:rPr>
          <w:rStyle w:val="17"/>
          <w:rFonts w:hint="eastAsia" w:ascii="仿宋" w:hAnsi="仿宋" w:eastAsia="仿宋" w:cs="Times New Roman"/>
          <w:b w:val="0"/>
          <w:bCs w:val="0"/>
        </w:rPr>
        <w:t>五、财政拨款支出决算明细表</w:t>
      </w:r>
      <w:bookmarkEnd w:id="85"/>
      <w:bookmarkEnd w:id="86"/>
      <w:bookmarkStart w:id="87" w:name="_Toc15396624"/>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88" w:name="_Toc314"/>
      <w:r>
        <w:rPr>
          <w:rStyle w:val="17"/>
          <w:rFonts w:hint="eastAsia" w:ascii="仿宋" w:hAnsi="仿宋" w:eastAsia="仿宋" w:cs="Times New Roman"/>
          <w:b w:val="0"/>
          <w:bCs w:val="0"/>
        </w:rPr>
        <w:t>六、一般公共预算财政拨款支出决算表</w:t>
      </w:r>
      <w:bookmarkEnd w:id="87"/>
      <w:bookmarkEnd w:id="88"/>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89" w:name="_Toc15396625"/>
      <w:bookmarkStart w:id="90" w:name="_Toc12641"/>
      <w:r>
        <w:rPr>
          <w:rStyle w:val="17"/>
          <w:rFonts w:hint="eastAsia" w:ascii="仿宋" w:hAnsi="仿宋" w:eastAsia="仿宋" w:cs="Times New Roman"/>
          <w:b w:val="0"/>
          <w:bCs w:val="0"/>
        </w:rPr>
        <w:t>七、一般公共预算财政拨款支出决算明细表</w:t>
      </w:r>
      <w:bookmarkEnd w:id="89"/>
      <w:bookmarkEnd w:id="90"/>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91" w:name="_Toc15396626"/>
      <w:bookmarkStart w:id="92" w:name="_Toc7748"/>
      <w:r>
        <w:rPr>
          <w:rStyle w:val="17"/>
          <w:rFonts w:hint="eastAsia" w:ascii="仿宋" w:hAnsi="仿宋" w:eastAsia="仿宋" w:cs="Times New Roman"/>
          <w:b w:val="0"/>
          <w:bCs w:val="0"/>
        </w:rPr>
        <w:t>八、一般公共预算财政拨款基本支出决算表</w:t>
      </w:r>
      <w:bookmarkEnd w:id="91"/>
      <w:bookmarkEnd w:id="92"/>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93" w:name="_Toc15396627"/>
      <w:bookmarkStart w:id="94" w:name="_Toc16260"/>
      <w:r>
        <w:rPr>
          <w:rStyle w:val="17"/>
          <w:rFonts w:hint="eastAsia" w:ascii="仿宋" w:hAnsi="仿宋" w:eastAsia="仿宋" w:cs="Times New Roman"/>
          <w:b w:val="0"/>
          <w:bCs w:val="0"/>
        </w:rPr>
        <w:t>九、一般公共预算财政拨款项目支出决算表</w:t>
      </w:r>
      <w:bookmarkEnd w:id="93"/>
      <w:bookmarkEnd w:id="94"/>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95" w:name="_Toc15396628"/>
      <w:bookmarkStart w:id="96" w:name="_Toc17462"/>
      <w:r>
        <w:rPr>
          <w:rStyle w:val="17"/>
          <w:rFonts w:hint="eastAsia" w:ascii="仿宋" w:hAnsi="仿宋" w:eastAsia="仿宋" w:cs="Times New Roman"/>
          <w:b w:val="0"/>
          <w:bCs w:val="0"/>
        </w:rPr>
        <w:t>十、一般公共预算财政拨款“三公”经费支出决算表</w:t>
      </w:r>
      <w:bookmarkEnd w:id="95"/>
      <w:bookmarkEnd w:id="96"/>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97" w:name="_Toc15396629"/>
      <w:bookmarkStart w:id="98" w:name="_Toc23614"/>
      <w:r>
        <w:rPr>
          <w:rStyle w:val="17"/>
          <w:rFonts w:hint="eastAsia" w:ascii="仿宋" w:hAnsi="仿宋" w:eastAsia="仿宋" w:cs="Times New Roman"/>
          <w:b w:val="0"/>
          <w:bCs w:val="0"/>
        </w:rPr>
        <w:t>十一、政府性基金预算财政拨款收入支出决算表</w:t>
      </w:r>
      <w:bookmarkEnd w:id="97"/>
      <w:bookmarkEnd w:id="98"/>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99" w:name="_Toc15396630"/>
      <w:bookmarkStart w:id="100" w:name="_Toc17280"/>
      <w:r>
        <w:rPr>
          <w:rStyle w:val="17"/>
          <w:rFonts w:hint="eastAsia" w:ascii="仿宋" w:hAnsi="仿宋" w:eastAsia="仿宋" w:cs="Times New Roman"/>
          <w:b w:val="0"/>
          <w:bCs w:val="0"/>
        </w:rPr>
        <w:t>十二、政府性基金预算财政拨款“三公”经费支出决算表</w:t>
      </w:r>
      <w:bookmarkEnd w:id="99"/>
      <w:bookmarkEnd w:id="100"/>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101" w:name="_Toc15396631"/>
      <w:bookmarkStart w:id="102" w:name="_Toc23194"/>
      <w:r>
        <w:rPr>
          <w:rStyle w:val="17"/>
          <w:rFonts w:hint="eastAsia" w:ascii="仿宋" w:hAnsi="仿宋" w:eastAsia="仿宋" w:cs="Times New Roman"/>
          <w:b w:val="0"/>
          <w:bCs w:val="0"/>
        </w:rPr>
        <w:t>十三、国有资本经营预算财政拨款收入支出决算表</w:t>
      </w:r>
      <w:bookmarkEnd w:id="101"/>
      <w:bookmarkEnd w:id="102"/>
    </w:p>
    <w:p>
      <w:pPr>
        <w:pStyle w:val="2"/>
        <w:pageBreakBefore w:val="0"/>
        <w:kinsoku/>
        <w:wordWrap/>
        <w:overflowPunct/>
        <w:topLinePunct w:val="0"/>
        <w:bidi w:val="0"/>
        <w:adjustRightInd w:val="0"/>
        <w:snapToGrid w:val="0"/>
        <w:spacing w:line="560" w:lineRule="exact"/>
        <w:rPr>
          <w:rStyle w:val="17"/>
          <w:rFonts w:hint="eastAsia" w:ascii="仿宋" w:hAnsi="仿宋" w:eastAsia="仿宋" w:cs="Times New Roman"/>
          <w:b w:val="0"/>
          <w:bCs w:val="0"/>
        </w:rPr>
      </w:pPr>
      <w:bookmarkStart w:id="103" w:name="_Toc24023"/>
      <w:r>
        <w:rPr>
          <w:rStyle w:val="17"/>
          <w:rFonts w:hint="eastAsia" w:ascii="仿宋" w:hAnsi="仿宋" w:eastAsia="仿宋" w:cs="Times New Roman"/>
          <w:b w:val="0"/>
          <w:bCs w:val="0"/>
        </w:rPr>
        <w:t>十四、国有资本经营预算财政拨款支出决算表</w:t>
      </w:r>
      <w:bookmarkEnd w:id="10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1887915"/>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35316D"/>
    <w:multiLevelType w:val="singleLevel"/>
    <w:tmpl w:val="A035316D"/>
    <w:lvl w:ilvl="0" w:tentative="0">
      <w:start w:val="2"/>
      <w:numFmt w:val="chineseCounting"/>
      <w:suff w:val="nothing"/>
      <w:lvlText w:val="（%1）"/>
      <w:lvlJc w:val="left"/>
      <w:rPr>
        <w:rFonts w:hint="eastAsia"/>
      </w:rPr>
    </w:lvl>
  </w:abstractNum>
  <w:abstractNum w:abstractNumId="1">
    <w:nsid w:val="AC35B868"/>
    <w:multiLevelType w:val="singleLevel"/>
    <w:tmpl w:val="AC35B868"/>
    <w:lvl w:ilvl="0" w:tentative="0">
      <w:start w:val="1"/>
      <w:numFmt w:val="chineseCounting"/>
      <w:suff w:val="nothing"/>
      <w:lvlText w:val="（%1）"/>
      <w:lvlJc w:val="left"/>
      <w:rPr>
        <w:rFonts w:hint="eastAsia"/>
      </w:rPr>
    </w:lvl>
  </w:abstractNum>
  <w:abstractNum w:abstractNumId="2">
    <w:nsid w:val="2E80D1AE"/>
    <w:multiLevelType w:val="singleLevel"/>
    <w:tmpl w:val="2E80D1AE"/>
    <w:lvl w:ilvl="0" w:tentative="0">
      <w:start w:val="2"/>
      <w:numFmt w:val="decimal"/>
      <w:suff w:val="nothing"/>
      <w:lvlText w:val="%1、"/>
      <w:lvlJc w:val="left"/>
    </w:lvl>
  </w:abstractNum>
  <w:abstractNum w:abstractNumId="3">
    <w:nsid w:val="3E303C1A"/>
    <w:multiLevelType w:val="singleLevel"/>
    <w:tmpl w:val="3E303C1A"/>
    <w:lvl w:ilvl="0" w:tentative="0">
      <w:start w:val="1"/>
      <w:numFmt w:val="chineseCounting"/>
      <w:suff w:val="nothing"/>
      <w:lvlText w:val="%1、"/>
      <w:lvlJc w:val="left"/>
      <w:rPr>
        <w:rFonts w:hint="eastAsia"/>
      </w:rPr>
    </w:lvl>
  </w:abstractNum>
  <w:abstractNum w:abstractNumId="4">
    <w:nsid w:val="7E27BC87"/>
    <w:multiLevelType w:val="singleLevel"/>
    <w:tmpl w:val="7E27BC87"/>
    <w:lvl w:ilvl="0" w:tentative="0">
      <w:start w:val="2"/>
      <w:numFmt w:val="chineseCounting"/>
      <w:suff w:val="nothing"/>
      <w:lvlText w:val="%1、"/>
      <w:lvlJc w:val="left"/>
      <w:rPr>
        <w:rFonts w:hint="eastAsia"/>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2I5M2I4MWU0MzA1OTViMzQ3M2Q2N2U5ZWQ0MWJmYzgifQ=="/>
  </w:docVars>
  <w:rsids>
    <w:rsidRoot w:val="008C6A67"/>
    <w:rsid w:val="00190606"/>
    <w:rsid w:val="004F482C"/>
    <w:rsid w:val="00503EE5"/>
    <w:rsid w:val="00634BF0"/>
    <w:rsid w:val="008C6A67"/>
    <w:rsid w:val="00E13486"/>
    <w:rsid w:val="01145609"/>
    <w:rsid w:val="0128518F"/>
    <w:rsid w:val="024E5935"/>
    <w:rsid w:val="026C4FD1"/>
    <w:rsid w:val="03101E00"/>
    <w:rsid w:val="03786CEC"/>
    <w:rsid w:val="03BE419A"/>
    <w:rsid w:val="0461636B"/>
    <w:rsid w:val="04640655"/>
    <w:rsid w:val="04F416E4"/>
    <w:rsid w:val="05DF6ACD"/>
    <w:rsid w:val="05F204A8"/>
    <w:rsid w:val="06C947C1"/>
    <w:rsid w:val="07683E60"/>
    <w:rsid w:val="084247CE"/>
    <w:rsid w:val="087C0139"/>
    <w:rsid w:val="08836985"/>
    <w:rsid w:val="08864AEE"/>
    <w:rsid w:val="089D7312"/>
    <w:rsid w:val="08C97C47"/>
    <w:rsid w:val="09305657"/>
    <w:rsid w:val="094A20F6"/>
    <w:rsid w:val="0A0B30E5"/>
    <w:rsid w:val="0A363446"/>
    <w:rsid w:val="0C584FD6"/>
    <w:rsid w:val="0C636ECE"/>
    <w:rsid w:val="0E1A5AD0"/>
    <w:rsid w:val="0E240A2C"/>
    <w:rsid w:val="0EFF09D3"/>
    <w:rsid w:val="0F121E91"/>
    <w:rsid w:val="0F4C41C0"/>
    <w:rsid w:val="0FD90DEE"/>
    <w:rsid w:val="11171E05"/>
    <w:rsid w:val="11D77751"/>
    <w:rsid w:val="12BA397C"/>
    <w:rsid w:val="12E05F13"/>
    <w:rsid w:val="13386418"/>
    <w:rsid w:val="148A1E10"/>
    <w:rsid w:val="152022C3"/>
    <w:rsid w:val="15AC7FDF"/>
    <w:rsid w:val="16393BDB"/>
    <w:rsid w:val="188C5ACD"/>
    <w:rsid w:val="18C94C7E"/>
    <w:rsid w:val="1A103C1D"/>
    <w:rsid w:val="1A22317F"/>
    <w:rsid w:val="1A4941FF"/>
    <w:rsid w:val="1F3B6F92"/>
    <w:rsid w:val="20881053"/>
    <w:rsid w:val="20F91349"/>
    <w:rsid w:val="217915F9"/>
    <w:rsid w:val="217F3E90"/>
    <w:rsid w:val="21A63C04"/>
    <w:rsid w:val="22247636"/>
    <w:rsid w:val="23DB6AD3"/>
    <w:rsid w:val="24424F22"/>
    <w:rsid w:val="24AD30C7"/>
    <w:rsid w:val="2570115F"/>
    <w:rsid w:val="25D96AD4"/>
    <w:rsid w:val="26773354"/>
    <w:rsid w:val="269D7FD6"/>
    <w:rsid w:val="26E97190"/>
    <w:rsid w:val="284C701F"/>
    <w:rsid w:val="28702938"/>
    <w:rsid w:val="28F82400"/>
    <w:rsid w:val="29345AB2"/>
    <w:rsid w:val="29373393"/>
    <w:rsid w:val="29902A01"/>
    <w:rsid w:val="2A3C6106"/>
    <w:rsid w:val="2AA37148"/>
    <w:rsid w:val="2BF6656D"/>
    <w:rsid w:val="2C527F1B"/>
    <w:rsid w:val="2CD827F5"/>
    <w:rsid w:val="2D834DF9"/>
    <w:rsid w:val="2DCF2C20"/>
    <w:rsid w:val="2DFD68A4"/>
    <w:rsid w:val="2E6E5AA9"/>
    <w:rsid w:val="2ED8577B"/>
    <w:rsid w:val="2F3A257A"/>
    <w:rsid w:val="2F46680B"/>
    <w:rsid w:val="302763F7"/>
    <w:rsid w:val="303D5733"/>
    <w:rsid w:val="308D4EAC"/>
    <w:rsid w:val="320D1173"/>
    <w:rsid w:val="32503CD3"/>
    <w:rsid w:val="32AD09E6"/>
    <w:rsid w:val="330112EC"/>
    <w:rsid w:val="35CE4CB0"/>
    <w:rsid w:val="363C34A7"/>
    <w:rsid w:val="37505C3B"/>
    <w:rsid w:val="37C92C33"/>
    <w:rsid w:val="38970C5E"/>
    <w:rsid w:val="38A92785"/>
    <w:rsid w:val="393F36C5"/>
    <w:rsid w:val="39921A71"/>
    <w:rsid w:val="39A80165"/>
    <w:rsid w:val="3A284D32"/>
    <w:rsid w:val="3A5827A2"/>
    <w:rsid w:val="3B5D77B8"/>
    <w:rsid w:val="3C5539D0"/>
    <w:rsid w:val="3CF3094E"/>
    <w:rsid w:val="3D226D60"/>
    <w:rsid w:val="3D925FD8"/>
    <w:rsid w:val="3F53704F"/>
    <w:rsid w:val="3F7A52D9"/>
    <w:rsid w:val="3FD12086"/>
    <w:rsid w:val="40C02391"/>
    <w:rsid w:val="40DB5220"/>
    <w:rsid w:val="420F08E9"/>
    <w:rsid w:val="42DE7FE8"/>
    <w:rsid w:val="43086B20"/>
    <w:rsid w:val="43B11650"/>
    <w:rsid w:val="43C14C38"/>
    <w:rsid w:val="43FF3C91"/>
    <w:rsid w:val="441239F2"/>
    <w:rsid w:val="460E0AF2"/>
    <w:rsid w:val="47C9565F"/>
    <w:rsid w:val="48B94DF7"/>
    <w:rsid w:val="49BA717D"/>
    <w:rsid w:val="4A2B76F1"/>
    <w:rsid w:val="4A8634EA"/>
    <w:rsid w:val="4B953D2F"/>
    <w:rsid w:val="4CAB28FF"/>
    <w:rsid w:val="4CC006FA"/>
    <w:rsid w:val="4CC46AC1"/>
    <w:rsid w:val="4FD028FF"/>
    <w:rsid w:val="5180012B"/>
    <w:rsid w:val="51A92080"/>
    <w:rsid w:val="51D96AB2"/>
    <w:rsid w:val="533E5903"/>
    <w:rsid w:val="53BB2C38"/>
    <w:rsid w:val="540957A8"/>
    <w:rsid w:val="54EA09DB"/>
    <w:rsid w:val="563F040D"/>
    <w:rsid w:val="56D80C75"/>
    <w:rsid w:val="57620768"/>
    <w:rsid w:val="57E5652D"/>
    <w:rsid w:val="5818583A"/>
    <w:rsid w:val="59776E01"/>
    <w:rsid w:val="5A045B42"/>
    <w:rsid w:val="5C5510C9"/>
    <w:rsid w:val="5CB941C4"/>
    <w:rsid w:val="5DE22168"/>
    <w:rsid w:val="5E6C7D30"/>
    <w:rsid w:val="5ED7628F"/>
    <w:rsid w:val="619F1626"/>
    <w:rsid w:val="62950B81"/>
    <w:rsid w:val="62D4234E"/>
    <w:rsid w:val="62F71E9D"/>
    <w:rsid w:val="636D249B"/>
    <w:rsid w:val="63D21358"/>
    <w:rsid w:val="6400584D"/>
    <w:rsid w:val="660065E3"/>
    <w:rsid w:val="66252032"/>
    <w:rsid w:val="66E174BB"/>
    <w:rsid w:val="68480CB8"/>
    <w:rsid w:val="684C4348"/>
    <w:rsid w:val="69024B11"/>
    <w:rsid w:val="69815C65"/>
    <w:rsid w:val="69DA57C5"/>
    <w:rsid w:val="6A220F1A"/>
    <w:rsid w:val="6B4A12CC"/>
    <w:rsid w:val="6BAE515B"/>
    <w:rsid w:val="6C25560F"/>
    <w:rsid w:val="6CCD3CD3"/>
    <w:rsid w:val="6D2F6A5A"/>
    <w:rsid w:val="6E0272C6"/>
    <w:rsid w:val="6E484E09"/>
    <w:rsid w:val="6F0137F4"/>
    <w:rsid w:val="6FE32745"/>
    <w:rsid w:val="70B0717B"/>
    <w:rsid w:val="70E24A86"/>
    <w:rsid w:val="71390017"/>
    <w:rsid w:val="72DB43BD"/>
    <w:rsid w:val="72DF67AA"/>
    <w:rsid w:val="73F93E61"/>
    <w:rsid w:val="7518048A"/>
    <w:rsid w:val="7597473F"/>
    <w:rsid w:val="75CA5D24"/>
    <w:rsid w:val="778819A5"/>
    <w:rsid w:val="782642CC"/>
    <w:rsid w:val="788A03B6"/>
    <w:rsid w:val="79B002F1"/>
    <w:rsid w:val="7A0C38A2"/>
    <w:rsid w:val="7A1B3962"/>
    <w:rsid w:val="7AB955A3"/>
    <w:rsid w:val="7B081044"/>
    <w:rsid w:val="7C4535FC"/>
    <w:rsid w:val="7C5C3105"/>
    <w:rsid w:val="7CD01563"/>
    <w:rsid w:val="7D8D4521"/>
    <w:rsid w:val="7D9B0ACB"/>
    <w:rsid w:val="7DED1EB2"/>
    <w:rsid w:val="7E9B406E"/>
    <w:rsid w:val="7EB37FFD"/>
    <w:rsid w:val="7F67693B"/>
    <w:rsid w:val="7F6C6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17"/>
    <w:unhideWhenUsed/>
    <w:qFormat/>
    <w:uiPriority w:val="9"/>
    <w:pPr>
      <w:keepNext/>
      <w:keepLines/>
      <w:spacing w:before="260" w:after="260" w:line="415" w:lineRule="auto"/>
      <w:outlineLvl w:val="1"/>
    </w:pPr>
    <w:rPr>
      <w:rFonts w:ascii="Cambria" w:hAnsi="Cambria"/>
      <w:b/>
      <w:bCs/>
      <w:sz w:val="32"/>
      <w:szCs w:val="32"/>
    </w:rPr>
  </w:style>
  <w:style w:type="paragraph" w:styleId="4">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字符"/>
    <w:basedOn w:val="13"/>
    <w:link w:val="3"/>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字符"/>
    <w:basedOn w:val="13"/>
    <w:link w:val="2"/>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列表段落1"/>
    <w:basedOn w:val="1"/>
    <w:qFormat/>
    <w:uiPriority w:val="34"/>
    <w:pPr>
      <w:ind w:firstLine="420" w:firstLineChars="200"/>
    </w:pPr>
  </w:style>
  <w:style w:type="character" w:customStyle="1" w:styleId="26">
    <w:name w:val="font51"/>
    <w:basedOn w:val="13"/>
    <w:qFormat/>
    <w:uiPriority w:val="0"/>
    <w:rPr>
      <w:rFonts w:hint="eastAsia" w:ascii="宋体" w:hAnsi="宋体" w:eastAsia="宋体" w:cs="宋体"/>
      <w:color w:val="000000"/>
      <w:sz w:val="32"/>
      <w:szCs w:val="32"/>
      <w:u w:val="none"/>
    </w:rPr>
  </w:style>
  <w:style w:type="character" w:customStyle="1" w:styleId="27">
    <w:name w:val="font10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收、支决算总计变动情况图</a:t>
            </a:r>
            <a:endParaRPr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Sheet1!$B$2</c:f>
              <c:numCache>
                <c:formatCode>General</c:formatCode>
                <c:ptCount val="1"/>
                <c:pt idx="0">
                  <c:v>7644.3</c:v>
                </c:pt>
              </c:numCache>
            </c:numRef>
          </c:val>
        </c:ser>
        <c:ser>
          <c:idx val="1"/>
          <c:order val="1"/>
          <c:tx>
            <c:strRef>
              <c:f>Sheet1!$C$1</c:f>
              <c:strCache>
                <c:ptCount val="1"/>
                <c:pt idx="0">
                  <c:v>2021年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Sheet1!$C$2</c:f>
              <c:numCache>
                <c:formatCode>General</c:formatCode>
                <c:ptCount val="1"/>
                <c:pt idx="0">
                  <c:v>7952.8</c:v>
                </c:pt>
              </c:numCache>
            </c:numRef>
          </c:val>
        </c:ser>
        <c:dLbls>
          <c:showLegendKey val="0"/>
          <c:showVal val="0"/>
          <c:showCatName val="0"/>
          <c:showSerName val="0"/>
          <c:showPercent val="0"/>
          <c:showBubbleSize val="0"/>
        </c:dLbls>
        <c:gapWidth val="219"/>
        <c:overlap val="-27"/>
        <c:axId val="257288829"/>
        <c:axId val="206567643"/>
      </c:barChart>
      <c:catAx>
        <c:axId val="2572888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567643"/>
        <c:crosses val="autoZero"/>
        <c:auto val="1"/>
        <c:lblAlgn val="ctr"/>
        <c:lblOffset val="100"/>
        <c:noMultiLvlLbl val="0"/>
      </c:catAx>
      <c:valAx>
        <c:axId val="2065676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72888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layout>
                <c:manualLayout>
                  <c:x val="0.186423054070113"/>
                  <c:y val="0.02117699509585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913234381403"/>
                  <c:y val="-0.014566874719860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586749851455734"/>
                  <c:y val="-0.02429781542576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690732414503792"/>
                  <c:y val="-0.038864690145629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23588829471182"/>
                  <c:y val="-0.03655818100757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02763081022572"/>
                  <c:y val="0.0005913954540138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上级补助收入</c:v>
                </c:pt>
                <c:pt idx="2">
                  <c:v>经营收入</c:v>
                </c:pt>
                <c:pt idx="3">
                  <c:v>其他收入</c:v>
                </c:pt>
                <c:pt idx="4">
                  <c:v>政府性基金预算财政拨款收入</c:v>
                </c:pt>
                <c:pt idx="5">
                  <c:v>事业收入</c:v>
                </c:pt>
                <c:pt idx="6">
                  <c:v>附属单位上缴收入</c:v>
                </c:pt>
              </c:strCache>
            </c:strRef>
          </c:cat>
          <c:val>
            <c:numRef>
              <c:f>Sheet1!$B$2:$B$8</c:f>
              <c:numCache>
                <c:formatCode>0%</c:formatCode>
                <c:ptCount val="7"/>
                <c:pt idx="0">
                  <c:v>1</c:v>
                </c:pt>
                <c:pt idx="1" c:formatCode="General">
                  <c:v>0</c:v>
                </c:pt>
                <c:pt idx="2" c:formatCode="General">
                  <c:v>0</c:v>
                </c:pt>
                <c:pt idx="3" c:formatCode="General">
                  <c:v>0</c:v>
                </c:pt>
                <c:pt idx="4" c:formatCode="General">
                  <c:v>0</c:v>
                </c:pt>
                <c:pt idx="5" c:formatCode="General">
                  <c:v>0</c:v>
                </c:pt>
                <c:pt idx="6"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2"/>
              <c:layout>
                <c:manualLayout>
                  <c:x val="0.154665750128888"/>
                  <c:y val="-0.046701846965699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201752583997114"/>
                  <c:y val="0.018549076518629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99175115999313"/>
                  <c:y val="0.014511873350923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0.6578</c:v>
                </c:pt>
                <c:pt idx="1">
                  <c:v>0.3422</c:v>
                </c:pt>
                <c:pt idx="2" c:formatCode="0%">
                  <c:v>0</c:v>
                </c:pt>
                <c:pt idx="3" c:formatCode="0%">
                  <c:v>0</c:v>
                </c:pt>
                <c:pt idx="4" c:formatCode="0%">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收、支决算总计变动情况图</a:t>
            </a:r>
            <a:endParaRPr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Sheet1!$B$2</c:f>
              <c:numCache>
                <c:formatCode>General</c:formatCode>
                <c:ptCount val="1"/>
                <c:pt idx="0">
                  <c:v>7644.3</c:v>
                </c:pt>
              </c:numCache>
            </c:numRef>
          </c:val>
        </c:ser>
        <c:ser>
          <c:idx val="1"/>
          <c:order val="1"/>
          <c:tx>
            <c:strRef>
              <c:f>Sheet1!$C$1</c:f>
              <c:strCache>
                <c:ptCount val="1"/>
                <c:pt idx="0">
                  <c:v>2021年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收、支决算总计</c:v>
                </c:pt>
              </c:strCache>
            </c:strRef>
          </c:cat>
          <c:val>
            <c:numRef>
              <c:f>Sheet1!$C$2</c:f>
              <c:numCache>
                <c:formatCode>General</c:formatCode>
                <c:ptCount val="1"/>
                <c:pt idx="0">
                  <c:v>7952.8</c:v>
                </c:pt>
              </c:numCache>
            </c:numRef>
          </c:val>
        </c:ser>
        <c:dLbls>
          <c:showLegendKey val="0"/>
          <c:showVal val="0"/>
          <c:showCatName val="0"/>
          <c:showSerName val="0"/>
          <c:showPercent val="0"/>
          <c:showBubbleSize val="0"/>
        </c:dLbls>
        <c:gapWidth val="219"/>
        <c:overlap val="-27"/>
        <c:axId val="257288829"/>
        <c:axId val="206567643"/>
      </c:barChart>
      <c:catAx>
        <c:axId val="2572888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567643"/>
        <c:crosses val="autoZero"/>
        <c:auto val="1"/>
        <c:lblAlgn val="ctr"/>
        <c:lblOffset val="100"/>
        <c:noMultiLvlLbl val="0"/>
      </c:catAx>
      <c:valAx>
        <c:axId val="2065676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72888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lvl="1" defTabSz="914400">
              <a:defRPr lang="zh-CN" sz="1400" b="0" i="0" u="none" strike="noStrike" kern="1200" spc="0" baseline="0">
                <a:solidFill>
                  <a:schemeClr val="tx1">
                    <a:lumMod val="65000"/>
                    <a:lumOff val="35000"/>
                  </a:schemeClr>
                </a:solidFill>
                <a:latin typeface="+mn-lt"/>
                <a:ea typeface="+mn-ea"/>
                <a:cs typeface="+mn-cs"/>
              </a:defRPr>
            </a:pPr>
            <a:r>
              <a:rPr lang="zh-CN" altLang="en-US">
                <a:ea typeface="宋体" panose="02010600030101010101" charset="-122"/>
              </a:rPr>
              <a:t>一般公共预算财政拨款支出决算</a:t>
            </a:r>
            <a:endParaRPr lang="zh-CN" altLang="en-US">
              <a:ea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一般公共预算财政拨款支出决算</c:v>
                </c:pt>
              </c:strCache>
            </c:strRef>
          </c:cat>
          <c:val>
            <c:numRef>
              <c:f>Sheet1!$B$2</c:f>
              <c:numCache>
                <c:formatCode>General</c:formatCode>
                <c:ptCount val="1"/>
                <c:pt idx="0">
                  <c:v>6230.07</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一般公共预算财政拨款支出决算</c:v>
                </c:pt>
              </c:strCache>
            </c:strRef>
          </c:cat>
          <c:val>
            <c:numRef>
              <c:f>Sheet1!$C$2</c:f>
              <c:numCache>
                <c:formatCode>General</c:formatCode>
                <c:ptCount val="1"/>
                <c:pt idx="0">
                  <c:v>7952.8</c:v>
                </c:pt>
              </c:numCache>
            </c:numRef>
          </c:val>
        </c:ser>
        <c:dLbls>
          <c:showLegendKey val="0"/>
          <c:showVal val="0"/>
          <c:showCatName val="0"/>
          <c:showSerName val="0"/>
          <c:showPercent val="0"/>
          <c:showBubbleSize val="0"/>
        </c:dLbls>
        <c:gapWidth val="219"/>
        <c:overlap val="-27"/>
        <c:axId val="426073916"/>
        <c:axId val="999414381"/>
      </c:barChart>
      <c:catAx>
        <c:axId val="4260739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9414381"/>
        <c:crosses val="autoZero"/>
        <c:auto val="1"/>
        <c:lblAlgn val="ctr"/>
        <c:lblOffset val="100"/>
        <c:noMultiLvlLbl val="0"/>
      </c:catAx>
      <c:valAx>
        <c:axId val="99941438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60739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190796933103494"/>
                  <c:y val="0.01071697113014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c:v>
                </c:pt>
                <c:pt idx="1">
                  <c:v>卫生健康支出</c:v>
                </c:pt>
                <c:pt idx="2">
                  <c:v>住房保障支出</c:v>
                </c:pt>
                <c:pt idx="3">
                  <c:v>公共安全支出</c:v>
                </c:pt>
              </c:strCache>
            </c:strRef>
          </c:cat>
          <c:val>
            <c:numRef>
              <c:f>Sheet1!$B$2:$B$5</c:f>
              <c:numCache>
                <c:formatCode>0.00%</c:formatCode>
                <c:ptCount val="4"/>
                <c:pt idx="0">
                  <c:v>0.0622</c:v>
                </c:pt>
                <c:pt idx="1">
                  <c:v>0.023</c:v>
                </c:pt>
                <c:pt idx="2">
                  <c:v>0.045</c:v>
                </c:pt>
                <c:pt idx="3">
                  <c:v>0.8698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a:t>
            </a:r>
            <a:endParaRPr altLang="en-US"/>
          </a:p>
        </c:rich>
      </c:tx>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82125"/>
                  <c:y val="-0.0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57172666170845"/>
                  <c:y val="0.00057650168650089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0%</c:formatCode>
                <c:ptCount val="3"/>
                <c:pt idx="0">
                  <c:v>0</c:v>
                </c:pt>
                <c:pt idx="1" c:formatCode="0.00%">
                  <c:v>0.9974</c:v>
                </c:pt>
                <c:pt idx="2" c:formatCode="0.00%">
                  <c:v>0.0026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10232</Words>
  <Characters>11478</Characters>
  <Lines>44</Lines>
  <Paragraphs>12</Paragraphs>
  <TotalTime>0</TotalTime>
  <ScaleCrop>false</ScaleCrop>
  <LinksUpToDate>false</LinksUpToDate>
  <CharactersWithSpaces>12022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2022-12-09T12:39:00Z</cp:lastPrinted>
  <dcterms:modified xsi:type="dcterms:W3CDTF">2023-10-24T06:38:01Z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3924FEA9EA524CF3A82DCFDD390F122B</vt:lpwstr>
  </property>
</Properties>
</file>