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jc w:val="center"/>
        <w:rPr>
          <w:rFonts w:hint="eastAsia" w:ascii="方正小标宋简体" w:eastAsia="方正小标宋简体"/>
          <w:sz w:val="72"/>
          <w:szCs w:val="72"/>
        </w:rPr>
      </w:pPr>
    </w:p>
    <w:p>
      <w:pPr>
        <w:jc w:val="center"/>
        <w:rPr>
          <w:rFonts w:hint="eastAsia" w:ascii="方正小标宋简体" w:eastAsia="方正小标宋简体"/>
          <w:sz w:val="72"/>
          <w:szCs w:val="72"/>
        </w:rPr>
      </w:pPr>
      <w:bookmarkStart w:id="1" w:name="_Toc15396475"/>
      <w:bookmarkStart w:id="2" w:name="_Toc15378441"/>
      <w:bookmarkStart w:id="3" w:name="_Toc15377193"/>
      <w:bookmarkStart w:id="4" w:name="_Toc15377425"/>
      <w:bookmarkStart w:id="5" w:name="_Toc15396597"/>
      <w:r>
        <w:rPr>
          <w:rFonts w:hint="eastAsia" w:ascii="方正小标宋简体" w:eastAsia="方正小标宋简体"/>
          <w:sz w:val="72"/>
          <w:szCs w:val="72"/>
        </w:rPr>
        <w:t>2020年度</w:t>
      </w:r>
      <w:bookmarkEnd w:id="1"/>
      <w:bookmarkEnd w:id="2"/>
      <w:bookmarkEnd w:id="3"/>
      <w:bookmarkEnd w:id="4"/>
      <w:bookmarkEnd w:id="5"/>
    </w:p>
    <w:p>
      <w:pPr>
        <w:jc w:val="center"/>
        <w:rPr>
          <w:rFonts w:hint="eastAsia" w:ascii="方正小标宋简体" w:eastAsia="方正小标宋简体"/>
          <w:sz w:val="72"/>
          <w:szCs w:val="72"/>
          <w:lang w:eastAsia="zh-CN"/>
        </w:rPr>
      </w:pPr>
      <w:bookmarkStart w:id="6" w:name="_Toc15396598"/>
      <w:bookmarkStart w:id="7" w:name="_Toc15377426"/>
      <w:bookmarkStart w:id="8" w:name="_Toc15378442"/>
      <w:bookmarkStart w:id="9" w:name="_Toc15377194"/>
      <w:bookmarkStart w:id="10" w:name="_Toc15396476"/>
      <w:r>
        <w:rPr>
          <w:rFonts w:hint="eastAsia" w:ascii="方正小标宋简体" w:eastAsia="方正小标宋简体"/>
          <w:sz w:val="72"/>
          <w:szCs w:val="72"/>
        </w:rPr>
        <w:t>四川省阿坝州</w:t>
      </w:r>
      <w:bookmarkEnd w:id="0"/>
      <w:bookmarkStart w:id="11" w:name="_Toc15306268"/>
      <w:r>
        <w:rPr>
          <w:rFonts w:hint="eastAsia" w:ascii="方正小标宋简体" w:eastAsia="方正小标宋简体"/>
          <w:sz w:val="72"/>
          <w:szCs w:val="72"/>
          <w:lang w:eastAsia="zh-CN"/>
        </w:rPr>
        <w:t>红原县公安局</w:t>
      </w:r>
      <w:r>
        <w:rPr>
          <w:rFonts w:hint="eastAsia" w:ascii="方正小标宋简体" w:eastAsia="方正小标宋简体"/>
          <w:sz w:val="72"/>
          <w:szCs w:val="72"/>
        </w:rPr>
        <w:t>决算</w:t>
      </w:r>
      <w:bookmarkEnd w:id="6"/>
      <w:bookmarkEnd w:id="7"/>
      <w:bookmarkEnd w:id="8"/>
      <w:bookmarkEnd w:id="9"/>
      <w:bookmarkEnd w:id="10"/>
      <w:bookmarkEnd w:id="11"/>
      <w:r>
        <w:rPr>
          <w:rFonts w:hint="eastAsia" w:ascii="方正小标宋简体" w:eastAsia="方正小标宋简体"/>
          <w:sz w:val="72"/>
          <w:szCs w:val="72"/>
          <w:lang w:eastAsia="zh-CN"/>
        </w:rPr>
        <w:t>编制说明</w:t>
      </w:r>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hint="eastAsia" w:ascii="宋体" w:hAnsi="宋体" w:eastAsia="宋体" w:cs="仿宋_GB2312"/>
          <w:sz w:val="32"/>
          <w:szCs w:val="32"/>
          <w:lang w:eastAsia="zh-CN"/>
        </w:rPr>
      </w:pPr>
      <w:r>
        <w:rPr>
          <w:rFonts w:hint="eastAsia" w:ascii="宋体" w:hAnsi="宋体" w:cs="仿宋_GB2312"/>
          <w:sz w:val="32"/>
          <w:szCs w:val="32"/>
        </w:rPr>
        <w:t>保密审查情况：</w:t>
      </w:r>
      <w:r>
        <w:rPr>
          <w:rFonts w:hint="eastAsia" w:ascii="宋体" w:hAnsi="宋体" w:cs="仿宋_GB2312"/>
          <w:sz w:val="32"/>
          <w:szCs w:val="32"/>
          <w:lang w:eastAsia="zh-CN"/>
        </w:rPr>
        <w:t>已审查，内容审定</w:t>
      </w:r>
    </w:p>
    <w:p>
      <w:pPr>
        <w:autoSpaceDE w:val="0"/>
        <w:autoSpaceDN w:val="0"/>
        <w:adjustRightInd w:val="0"/>
        <w:ind w:left="420" w:leftChars="200"/>
        <w:jc w:val="left"/>
        <w:rPr>
          <w:rFonts w:hint="eastAsia" w:ascii="宋体" w:hAnsi="宋体" w:eastAsia="宋体"/>
          <w:sz w:val="32"/>
          <w:szCs w:val="32"/>
          <w:lang w:eastAsia="zh-CN"/>
        </w:rPr>
      </w:pPr>
      <w:r>
        <w:rPr>
          <w:rFonts w:hint="eastAsia" w:ascii="宋体" w:hAnsi="宋体" w:cs="仿宋_GB2312"/>
          <w:sz w:val="32"/>
          <w:szCs w:val="32"/>
        </w:rPr>
        <w:t>部门主要负责人审签情况：</w:t>
      </w:r>
      <w:r>
        <w:rPr>
          <w:rFonts w:hint="eastAsia" w:ascii="宋体" w:hAnsi="宋体" w:cs="仿宋_GB2312"/>
          <w:sz w:val="32"/>
          <w:szCs w:val="32"/>
          <w:lang w:eastAsia="zh-CN"/>
        </w:rPr>
        <w:t>已审签，同意对外公开</w:t>
      </w:r>
    </w:p>
    <w:p>
      <w:pPr>
        <w:autoSpaceDE w:val="0"/>
        <w:autoSpaceDN w:val="0"/>
        <w:adjustRightInd w:val="0"/>
        <w:ind w:left="420" w:leftChars="200"/>
        <w:jc w:val="center"/>
        <w:rPr>
          <w:rFonts w:hint="eastAsia" w:ascii="宋体" w:hAnsi="宋体" w:cs="仿宋_GB2312"/>
          <w:sz w:val="32"/>
          <w:szCs w:val="32"/>
        </w:rPr>
      </w:pPr>
      <w:r>
        <w:rPr>
          <w:rFonts w:hint="eastAsia" w:ascii="宋体" w:hAnsi="宋体" w:cs="仿宋_GB2312"/>
          <w:sz w:val="32"/>
          <w:szCs w:val="32"/>
        </w:rPr>
        <w:t>公开时间：2021年</w:t>
      </w:r>
      <w:r>
        <w:rPr>
          <w:rFonts w:hint="eastAsia" w:ascii="宋体" w:hAnsi="宋体" w:cs="仿宋_GB2312"/>
          <w:sz w:val="32"/>
          <w:szCs w:val="32"/>
          <w:lang w:val="en-US" w:eastAsia="zh-CN"/>
        </w:rPr>
        <w:t>12</w:t>
      </w:r>
      <w:r>
        <w:rPr>
          <w:rFonts w:hint="eastAsia" w:ascii="宋体" w:hAnsi="宋体" w:cs="仿宋_GB2312"/>
          <w:sz w:val="32"/>
          <w:szCs w:val="32"/>
        </w:rPr>
        <w:t>月</w:t>
      </w:r>
      <w:r>
        <w:rPr>
          <w:rFonts w:hint="eastAsia" w:ascii="宋体" w:hAnsi="宋体" w:cs="仿宋_GB2312"/>
          <w:sz w:val="32"/>
          <w:szCs w:val="32"/>
          <w:lang w:val="en-US" w:eastAsia="zh-CN"/>
        </w:rPr>
        <w:t>01</w:t>
      </w:r>
      <w:r>
        <w:rPr>
          <w:rFonts w:hint="eastAsia" w:ascii="宋体" w:hAnsi="宋体" w:cs="仿宋_GB2312"/>
          <w:sz w:val="32"/>
          <w:szCs w:val="32"/>
        </w:rPr>
        <w:t>日</w:t>
      </w: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4"/>
        <w:tabs>
          <w:tab w:val="right" w:leader="dot" w:pos="8732"/>
        </w:tabs>
      </w:pPr>
      <w:r>
        <w:rPr>
          <w:b w:val="0"/>
          <w:bCs w:val="0"/>
          <w:caps w:val="0"/>
        </w:rPr>
        <w:fldChar w:fldCharType="begin"/>
      </w:r>
      <w:r>
        <w:rPr>
          <w:b w:val="0"/>
          <w:bCs w:val="0"/>
          <w:caps w:val="0"/>
        </w:rPr>
        <w:instrText xml:space="preserve"> TOC \o \u </w:instrText>
      </w:r>
      <w:r>
        <w:rPr>
          <w:b w:val="0"/>
          <w:bCs w:val="0"/>
          <w:caps w:val="0"/>
        </w:rPr>
        <w:fldChar w:fldCharType="separate"/>
      </w:r>
      <w:r>
        <w:rPr>
          <w:rFonts w:hint="eastAsia" w:ascii="黑体" w:hAnsi="黑体" w:eastAsia="黑体"/>
        </w:rPr>
        <w:t>第一部分</w:t>
      </w:r>
      <w:r>
        <w:rPr>
          <w:rFonts w:ascii="黑体" w:hAnsi="黑体" w:eastAsia="黑体"/>
        </w:rPr>
        <w:t xml:space="preserve"> </w:t>
      </w:r>
      <w:r>
        <w:rPr>
          <w:rFonts w:hint="eastAsia" w:ascii="黑体" w:hAnsi="黑体" w:eastAsia="黑体"/>
          <w:bCs w:val="0"/>
        </w:rPr>
        <w:t>部门概况</w:t>
      </w:r>
      <w:r>
        <w:tab/>
      </w:r>
      <w:r>
        <w:fldChar w:fldCharType="begin"/>
      </w:r>
      <w:r>
        <w:instrText xml:space="preserve"> PAGEREF _Toc3943 </w:instrText>
      </w:r>
      <w:r>
        <w:fldChar w:fldCharType="separate"/>
      </w:r>
      <w:r>
        <w:t>4</w:t>
      </w:r>
      <w:r>
        <w:fldChar w:fldCharType="end"/>
      </w:r>
    </w:p>
    <w:p>
      <w:pPr>
        <w:pStyle w:val="17"/>
        <w:tabs>
          <w:tab w:val="right" w:leader="dot" w:pos="8732"/>
        </w:tabs>
      </w:pPr>
      <w:r>
        <w:rPr>
          <w:rFonts w:hint="eastAsia" w:ascii="黑体" w:hAnsi="黑体" w:eastAsia="黑体"/>
          <w:color w:val="000000"/>
        </w:rPr>
        <w:t>一、基</w:t>
      </w:r>
      <w:r>
        <w:rPr>
          <w:rFonts w:hint="eastAsia" w:ascii="黑体" w:hAnsi="黑体" w:eastAsia="黑体"/>
          <w:bCs w:val="0"/>
        </w:rPr>
        <w:t>本职能及主要工作</w:t>
      </w:r>
      <w:r>
        <w:tab/>
      </w:r>
      <w:r>
        <w:fldChar w:fldCharType="begin"/>
      </w:r>
      <w:r>
        <w:instrText xml:space="preserve"> PAGEREF _Toc22468 </w:instrText>
      </w:r>
      <w:r>
        <w:fldChar w:fldCharType="separate"/>
      </w:r>
      <w:r>
        <w:t>4</w:t>
      </w:r>
      <w:r>
        <w:fldChar w:fldCharType="end"/>
      </w:r>
    </w:p>
    <w:p>
      <w:pPr>
        <w:pStyle w:val="8"/>
        <w:tabs>
          <w:tab w:val="right" w:leader="dot" w:pos="8732"/>
        </w:tabs>
      </w:pPr>
      <w:r>
        <w:rPr>
          <w:rFonts w:hint="eastAsia" w:ascii="仿宋" w:hAnsi="仿宋" w:eastAsia="仿宋"/>
          <w:bCs/>
          <w:color w:val="000000"/>
          <w:szCs w:val="32"/>
        </w:rPr>
        <w:t>（一）主要职能</w:t>
      </w:r>
      <w:r>
        <w:tab/>
      </w:r>
      <w:r>
        <w:fldChar w:fldCharType="begin"/>
      </w:r>
      <w:r>
        <w:instrText xml:space="preserve"> PAGEREF _Toc28644 </w:instrText>
      </w:r>
      <w:r>
        <w:fldChar w:fldCharType="separate"/>
      </w:r>
      <w:r>
        <w:t>4</w:t>
      </w:r>
      <w:r>
        <w:fldChar w:fldCharType="end"/>
      </w:r>
    </w:p>
    <w:p>
      <w:pPr>
        <w:pStyle w:val="8"/>
        <w:tabs>
          <w:tab w:val="right" w:leader="dot" w:pos="8732"/>
        </w:tabs>
      </w:pPr>
      <w:r>
        <w:rPr>
          <w:rFonts w:hint="eastAsia" w:ascii="仿宋" w:hAnsi="仿宋" w:eastAsia="仿宋"/>
          <w:bCs/>
          <w:color w:val="000000"/>
          <w:szCs w:val="32"/>
        </w:rPr>
        <w:t>（二）</w:t>
      </w:r>
      <w:r>
        <w:rPr>
          <w:rFonts w:ascii="仿宋" w:hAnsi="仿宋" w:eastAsia="仿宋"/>
          <w:bCs/>
          <w:color w:val="000000"/>
          <w:szCs w:val="32"/>
        </w:rPr>
        <w:t>2020</w:t>
      </w:r>
      <w:r>
        <w:rPr>
          <w:rFonts w:hint="eastAsia" w:ascii="仿宋" w:hAnsi="仿宋" w:eastAsia="仿宋"/>
          <w:bCs/>
          <w:color w:val="000000"/>
          <w:szCs w:val="32"/>
        </w:rPr>
        <w:t>年重点工作完成情况</w:t>
      </w:r>
      <w:r>
        <w:tab/>
      </w:r>
      <w:r>
        <w:fldChar w:fldCharType="begin"/>
      </w:r>
      <w:r>
        <w:instrText xml:space="preserve"> PAGEREF _Toc21964 </w:instrText>
      </w:r>
      <w:r>
        <w:fldChar w:fldCharType="separate"/>
      </w:r>
      <w:r>
        <w:t>6</w:t>
      </w:r>
      <w:r>
        <w:fldChar w:fldCharType="end"/>
      </w:r>
    </w:p>
    <w:p>
      <w:pPr>
        <w:pStyle w:val="17"/>
        <w:tabs>
          <w:tab w:val="right" w:leader="dot" w:pos="8732"/>
        </w:tabs>
      </w:pPr>
      <w:r>
        <w:rPr>
          <w:rFonts w:hint="eastAsia" w:ascii="黑体" w:hAnsi="黑体" w:eastAsia="黑体"/>
          <w:bCs w:val="0"/>
        </w:rPr>
        <w:t>二、机构设置</w:t>
      </w:r>
      <w:r>
        <w:tab/>
      </w:r>
      <w:r>
        <w:fldChar w:fldCharType="begin"/>
      </w:r>
      <w:r>
        <w:instrText xml:space="preserve"> PAGEREF _Toc21355 </w:instrText>
      </w:r>
      <w:r>
        <w:fldChar w:fldCharType="separate"/>
      </w:r>
      <w:r>
        <w:t>7</w:t>
      </w:r>
      <w:r>
        <w:fldChar w:fldCharType="end"/>
      </w:r>
    </w:p>
    <w:p>
      <w:pPr>
        <w:pStyle w:val="14"/>
        <w:tabs>
          <w:tab w:val="right" w:leader="dot" w:pos="8732"/>
        </w:tabs>
      </w:pPr>
      <w:r>
        <w:rPr>
          <w:rFonts w:hint="eastAsia" w:ascii="黑体" w:hAnsi="黑体" w:eastAsia="黑体"/>
          <w:color w:val="000000"/>
        </w:rPr>
        <w:t>第二部分</w:t>
      </w:r>
      <w:r>
        <w:rPr>
          <w:rFonts w:ascii="黑体" w:hAnsi="黑体" w:eastAsia="黑体"/>
          <w:color w:val="000000"/>
        </w:rPr>
        <w:t xml:space="preserve"> </w:t>
      </w:r>
      <w:r>
        <w:rPr>
          <w:rFonts w:ascii="黑体" w:hAnsi="黑体" w:eastAsia="黑体"/>
          <w:bCs w:val="0"/>
        </w:rPr>
        <w:t>2020</w:t>
      </w:r>
      <w:r>
        <w:rPr>
          <w:rFonts w:hint="eastAsia" w:ascii="黑体" w:hAnsi="黑体" w:eastAsia="黑体"/>
          <w:bCs w:val="0"/>
        </w:rPr>
        <w:t>年度部门决算情况说明</w:t>
      </w:r>
      <w:r>
        <w:tab/>
      </w:r>
      <w:r>
        <w:fldChar w:fldCharType="begin"/>
      </w:r>
      <w:r>
        <w:instrText xml:space="preserve"> PAGEREF _Toc24059 </w:instrText>
      </w:r>
      <w:r>
        <w:fldChar w:fldCharType="separate"/>
      </w:r>
      <w:r>
        <w:t>8</w:t>
      </w:r>
      <w:r>
        <w:fldChar w:fldCharType="end"/>
      </w:r>
    </w:p>
    <w:p>
      <w:pPr>
        <w:pStyle w:val="17"/>
        <w:tabs>
          <w:tab w:val="right" w:leader="dot" w:pos="8732"/>
        </w:tabs>
      </w:pPr>
      <w:r>
        <w:rPr>
          <w:rFonts w:hint="default" w:ascii="黑体" w:hAnsi="黑体" w:eastAsia="黑体" w:cs="Times New Roman"/>
        </w:rPr>
        <w:t xml:space="preserve">一、 </w:t>
      </w:r>
      <w:r>
        <w:rPr>
          <w:rFonts w:hint="eastAsia" w:ascii="黑体" w:hAnsi="黑体" w:eastAsia="黑体"/>
          <w:color w:val="000000"/>
          <w:szCs w:val="32"/>
        </w:rPr>
        <w:t>收</w:t>
      </w:r>
      <w:r>
        <w:rPr>
          <w:rFonts w:hint="eastAsia" w:ascii="黑体" w:hAnsi="黑体" w:eastAsia="黑体"/>
        </w:rPr>
        <w:t>入支出决算总体情况说明</w:t>
      </w:r>
      <w:r>
        <w:tab/>
      </w:r>
      <w:r>
        <w:fldChar w:fldCharType="begin"/>
      </w:r>
      <w:r>
        <w:instrText xml:space="preserve"> PAGEREF _Toc16303 </w:instrText>
      </w:r>
      <w:r>
        <w:fldChar w:fldCharType="separate"/>
      </w:r>
      <w:r>
        <w:t>8</w:t>
      </w:r>
      <w:r>
        <w:fldChar w:fldCharType="end"/>
      </w:r>
    </w:p>
    <w:p>
      <w:pPr>
        <w:pStyle w:val="17"/>
        <w:tabs>
          <w:tab w:val="right" w:leader="dot" w:pos="8732"/>
        </w:tabs>
      </w:pPr>
      <w:r>
        <w:rPr>
          <w:rFonts w:hint="default" w:ascii="黑体" w:hAnsi="黑体" w:eastAsia="黑体" w:cs="Times New Roman"/>
        </w:rPr>
        <w:t xml:space="preserve">二、 </w:t>
      </w:r>
      <w:r>
        <w:rPr>
          <w:rFonts w:hint="eastAsia" w:ascii="黑体" w:hAnsi="黑体" w:eastAsia="黑体"/>
          <w:color w:val="000000"/>
          <w:szCs w:val="32"/>
        </w:rPr>
        <w:t>收</w:t>
      </w:r>
      <w:r>
        <w:rPr>
          <w:rFonts w:hint="eastAsia" w:ascii="黑体" w:hAnsi="黑体" w:eastAsia="黑体"/>
        </w:rPr>
        <w:t>入决算情况说明</w:t>
      </w:r>
      <w:r>
        <w:tab/>
      </w:r>
      <w:r>
        <w:fldChar w:fldCharType="begin"/>
      </w:r>
      <w:r>
        <w:instrText xml:space="preserve"> PAGEREF _Toc13148 </w:instrText>
      </w:r>
      <w:r>
        <w:fldChar w:fldCharType="separate"/>
      </w:r>
      <w:r>
        <w:t>8</w:t>
      </w:r>
      <w:r>
        <w:fldChar w:fldCharType="end"/>
      </w:r>
    </w:p>
    <w:p>
      <w:pPr>
        <w:pStyle w:val="17"/>
        <w:tabs>
          <w:tab w:val="right" w:leader="dot" w:pos="8732"/>
        </w:tabs>
      </w:pPr>
      <w:r>
        <w:rPr>
          <w:rFonts w:hint="default" w:ascii="黑体" w:hAnsi="黑体" w:eastAsia="黑体" w:cs="Times New Roman"/>
        </w:rPr>
        <w:t xml:space="preserve">三、 </w:t>
      </w:r>
      <w:r>
        <w:rPr>
          <w:rFonts w:hint="eastAsia" w:ascii="黑体" w:hAnsi="黑体" w:eastAsia="黑体"/>
          <w:color w:val="000000"/>
          <w:szCs w:val="32"/>
        </w:rPr>
        <w:t>支</w:t>
      </w:r>
      <w:r>
        <w:rPr>
          <w:rFonts w:hint="eastAsia" w:ascii="黑体" w:hAnsi="黑体" w:eastAsia="黑体"/>
        </w:rPr>
        <w:t>出决算情况说明</w:t>
      </w:r>
      <w:r>
        <w:tab/>
      </w:r>
      <w:r>
        <w:fldChar w:fldCharType="begin"/>
      </w:r>
      <w:r>
        <w:instrText xml:space="preserve"> PAGEREF _Toc30506 </w:instrText>
      </w:r>
      <w:r>
        <w:fldChar w:fldCharType="separate"/>
      </w:r>
      <w:r>
        <w:t>9</w:t>
      </w:r>
      <w:r>
        <w:fldChar w:fldCharType="end"/>
      </w:r>
    </w:p>
    <w:p>
      <w:pPr>
        <w:pStyle w:val="17"/>
        <w:tabs>
          <w:tab w:val="right" w:leader="dot" w:pos="8732"/>
        </w:tabs>
      </w:pPr>
      <w:r>
        <w:rPr>
          <w:rFonts w:hint="eastAsia" w:ascii="黑体" w:hAnsi="黑体" w:eastAsia="黑体"/>
          <w:color w:val="000000"/>
          <w:szCs w:val="32"/>
        </w:rPr>
        <w:t>四、财</w:t>
      </w:r>
      <w:r>
        <w:rPr>
          <w:rFonts w:hint="eastAsia" w:ascii="黑体" w:hAnsi="黑体" w:eastAsia="黑体"/>
        </w:rPr>
        <w:t>政拨款收入支出决算总体情况说明</w:t>
      </w:r>
      <w:r>
        <w:tab/>
      </w:r>
      <w:r>
        <w:fldChar w:fldCharType="begin"/>
      </w:r>
      <w:r>
        <w:instrText xml:space="preserve"> PAGEREF _Toc21422 </w:instrText>
      </w:r>
      <w:r>
        <w:fldChar w:fldCharType="separate"/>
      </w:r>
      <w:r>
        <w:t>10</w:t>
      </w:r>
      <w:r>
        <w:fldChar w:fldCharType="end"/>
      </w:r>
    </w:p>
    <w:p>
      <w:pPr>
        <w:pStyle w:val="17"/>
        <w:tabs>
          <w:tab w:val="right" w:leader="dot" w:pos="8732"/>
        </w:tabs>
      </w:pPr>
      <w:r>
        <w:rPr>
          <w:rFonts w:hint="eastAsia" w:ascii="黑体" w:hAnsi="黑体" w:eastAsia="黑体"/>
          <w:color w:val="000000"/>
          <w:szCs w:val="32"/>
        </w:rPr>
        <w:t>五、一</w:t>
      </w:r>
      <w:r>
        <w:rPr>
          <w:rFonts w:hint="eastAsia" w:ascii="黑体" w:hAnsi="黑体" w:eastAsia="黑体"/>
        </w:rPr>
        <w:t>般公共预算财政拨款支出决算情况说明</w:t>
      </w:r>
      <w:r>
        <w:tab/>
      </w:r>
      <w:r>
        <w:fldChar w:fldCharType="begin"/>
      </w:r>
      <w:r>
        <w:instrText xml:space="preserve"> PAGEREF _Toc30985 </w:instrText>
      </w:r>
      <w:r>
        <w:fldChar w:fldCharType="separate"/>
      </w:r>
      <w:r>
        <w:t>10</w:t>
      </w:r>
      <w:r>
        <w:fldChar w:fldCharType="end"/>
      </w:r>
    </w:p>
    <w:p>
      <w:pPr>
        <w:pStyle w:val="8"/>
        <w:tabs>
          <w:tab w:val="right" w:leader="dot" w:pos="8732"/>
        </w:tabs>
      </w:pPr>
      <w:r>
        <w:rPr>
          <w:rFonts w:hint="eastAsia" w:ascii="仿宋" w:hAnsi="仿宋" w:eastAsia="仿宋"/>
          <w:color w:val="000000"/>
          <w:szCs w:val="32"/>
        </w:rPr>
        <w:t>（一）一般公共预算财政拨款支出决算总体情况</w:t>
      </w:r>
      <w:r>
        <w:tab/>
      </w:r>
      <w:r>
        <w:fldChar w:fldCharType="begin"/>
      </w:r>
      <w:r>
        <w:instrText xml:space="preserve"> PAGEREF _Toc45 </w:instrText>
      </w:r>
      <w:r>
        <w:fldChar w:fldCharType="separate"/>
      </w:r>
      <w:r>
        <w:t>10</w:t>
      </w:r>
      <w:r>
        <w:fldChar w:fldCharType="end"/>
      </w:r>
    </w:p>
    <w:p>
      <w:pPr>
        <w:pStyle w:val="8"/>
        <w:tabs>
          <w:tab w:val="right" w:leader="dot" w:pos="8732"/>
        </w:tabs>
      </w:pPr>
      <w:r>
        <w:rPr>
          <w:rFonts w:hint="eastAsia" w:ascii="仿宋" w:hAnsi="仿宋" w:eastAsia="仿宋"/>
          <w:color w:val="000000"/>
          <w:szCs w:val="32"/>
        </w:rPr>
        <w:t>（二）一般公共预算财政拨款支出决算结构情况</w:t>
      </w:r>
      <w:r>
        <w:tab/>
      </w:r>
      <w:r>
        <w:fldChar w:fldCharType="begin"/>
      </w:r>
      <w:r>
        <w:instrText xml:space="preserve"> PAGEREF _Toc19796 </w:instrText>
      </w:r>
      <w:r>
        <w:fldChar w:fldCharType="separate"/>
      </w:r>
      <w:r>
        <w:t>11</w:t>
      </w:r>
      <w:r>
        <w:fldChar w:fldCharType="end"/>
      </w:r>
    </w:p>
    <w:p>
      <w:pPr>
        <w:pStyle w:val="8"/>
        <w:tabs>
          <w:tab w:val="right" w:leader="dot" w:pos="8732"/>
        </w:tabs>
      </w:pPr>
      <w:r>
        <w:rPr>
          <w:rFonts w:hint="eastAsia" w:ascii="仿宋" w:hAnsi="仿宋" w:eastAsia="仿宋"/>
          <w:color w:val="000000"/>
          <w:szCs w:val="32"/>
        </w:rPr>
        <w:t>（三）一般公共预算财政拨款支出决算具体情况</w:t>
      </w:r>
      <w:r>
        <w:tab/>
      </w:r>
      <w:r>
        <w:fldChar w:fldCharType="begin"/>
      </w:r>
      <w:r>
        <w:instrText xml:space="preserve"> PAGEREF _Toc9621 </w:instrText>
      </w:r>
      <w:r>
        <w:fldChar w:fldCharType="separate"/>
      </w:r>
      <w:r>
        <w:t>12</w:t>
      </w:r>
      <w:r>
        <w:fldChar w:fldCharType="end"/>
      </w:r>
    </w:p>
    <w:p>
      <w:pPr>
        <w:pStyle w:val="17"/>
        <w:tabs>
          <w:tab w:val="right" w:leader="dot" w:pos="8732"/>
        </w:tabs>
      </w:pPr>
      <w:r>
        <w:rPr>
          <w:rFonts w:hint="eastAsia" w:ascii="黑体" w:eastAsia="黑体"/>
          <w:color w:val="000000"/>
          <w:szCs w:val="32"/>
        </w:rPr>
        <w:t>六、</w:t>
      </w:r>
      <w:r>
        <w:rPr>
          <w:rFonts w:hint="eastAsia" w:ascii="黑体" w:hAnsi="黑体" w:eastAsia="黑体"/>
          <w:color w:val="000000"/>
          <w:szCs w:val="32"/>
        </w:rPr>
        <w:t>一</w:t>
      </w:r>
      <w:r>
        <w:rPr>
          <w:rFonts w:hint="eastAsia" w:ascii="黑体" w:hAnsi="黑体" w:eastAsia="黑体"/>
        </w:rPr>
        <w:t>般公共预算财政拨款基本支出决算情况说明</w:t>
      </w:r>
      <w:r>
        <w:tab/>
      </w:r>
      <w:r>
        <w:fldChar w:fldCharType="begin"/>
      </w:r>
      <w:r>
        <w:instrText xml:space="preserve"> PAGEREF _Toc26463 </w:instrText>
      </w:r>
      <w:r>
        <w:fldChar w:fldCharType="separate"/>
      </w:r>
      <w:r>
        <w:t>13</w:t>
      </w:r>
      <w:r>
        <w:fldChar w:fldCharType="end"/>
      </w:r>
    </w:p>
    <w:p>
      <w:pPr>
        <w:pStyle w:val="17"/>
        <w:tabs>
          <w:tab w:val="right" w:leader="dot" w:pos="8732"/>
        </w:tabs>
      </w:pPr>
      <w:r>
        <w:rPr>
          <w:rFonts w:hint="eastAsia" w:ascii="黑体" w:eastAsia="黑体"/>
          <w:color w:val="000000"/>
          <w:szCs w:val="32"/>
        </w:rPr>
        <w:t>七、</w:t>
      </w:r>
      <w:r>
        <w:rPr>
          <w:rFonts w:hint="eastAsia" w:ascii="黑体" w:hAnsi="黑体" w:eastAsia="黑体"/>
        </w:rPr>
        <w:t>“三公”经费财政拨款支出决算情况说明</w:t>
      </w:r>
      <w:r>
        <w:tab/>
      </w:r>
      <w:r>
        <w:fldChar w:fldCharType="begin"/>
      </w:r>
      <w:r>
        <w:instrText xml:space="preserve"> PAGEREF _Toc25935 </w:instrText>
      </w:r>
      <w:r>
        <w:fldChar w:fldCharType="separate"/>
      </w:r>
      <w:r>
        <w:t>14</w:t>
      </w:r>
      <w:r>
        <w:fldChar w:fldCharType="end"/>
      </w:r>
    </w:p>
    <w:p>
      <w:pPr>
        <w:pStyle w:val="8"/>
        <w:tabs>
          <w:tab w:val="right" w:leader="dot" w:pos="8732"/>
        </w:tabs>
      </w:pPr>
      <w:r>
        <w:rPr>
          <w:rFonts w:hint="eastAsia" w:ascii="仿宋" w:hAnsi="仿宋" w:eastAsia="仿宋"/>
          <w:color w:val="000000"/>
          <w:szCs w:val="32"/>
        </w:rPr>
        <w:t>（一）“三公”经费财政拨款支出决算总体情况说明</w:t>
      </w:r>
      <w:r>
        <w:tab/>
      </w:r>
      <w:r>
        <w:fldChar w:fldCharType="begin"/>
      </w:r>
      <w:r>
        <w:instrText xml:space="preserve"> PAGEREF _Toc30923 </w:instrText>
      </w:r>
      <w:r>
        <w:fldChar w:fldCharType="separate"/>
      </w:r>
      <w:r>
        <w:t>14</w:t>
      </w:r>
      <w:r>
        <w:fldChar w:fldCharType="end"/>
      </w:r>
    </w:p>
    <w:p>
      <w:pPr>
        <w:pStyle w:val="8"/>
        <w:tabs>
          <w:tab w:val="right" w:leader="dot" w:pos="8732"/>
        </w:tabs>
      </w:pPr>
      <w:r>
        <w:rPr>
          <w:rFonts w:hint="eastAsia" w:ascii="仿宋" w:hAnsi="仿宋" w:eastAsia="仿宋"/>
          <w:color w:val="000000"/>
          <w:szCs w:val="32"/>
        </w:rPr>
        <w:t>（二）“三公”经费财政拨款支出决算具体情况说明</w:t>
      </w:r>
      <w:r>
        <w:tab/>
      </w:r>
      <w:r>
        <w:fldChar w:fldCharType="begin"/>
      </w:r>
      <w:r>
        <w:instrText xml:space="preserve"> PAGEREF _Toc20706 </w:instrText>
      </w:r>
      <w:r>
        <w:fldChar w:fldCharType="separate"/>
      </w:r>
      <w:r>
        <w:t>14</w:t>
      </w:r>
      <w:r>
        <w:fldChar w:fldCharType="end"/>
      </w:r>
    </w:p>
    <w:p>
      <w:pPr>
        <w:pStyle w:val="17"/>
        <w:tabs>
          <w:tab w:val="right" w:leader="dot" w:pos="8732"/>
        </w:tabs>
      </w:pPr>
      <w:r>
        <w:rPr>
          <w:rFonts w:hint="eastAsia" w:ascii="黑体" w:eastAsia="黑体"/>
          <w:color w:val="000000"/>
          <w:szCs w:val="32"/>
        </w:rPr>
        <w:t>八、</w:t>
      </w:r>
      <w:r>
        <w:rPr>
          <w:rFonts w:hint="eastAsia" w:ascii="黑体" w:hAnsi="黑体" w:eastAsia="黑体"/>
        </w:rPr>
        <w:t>政府性基金预算支出决算情况说明</w:t>
      </w:r>
      <w:r>
        <w:tab/>
      </w:r>
      <w:r>
        <w:fldChar w:fldCharType="begin"/>
      </w:r>
      <w:r>
        <w:instrText xml:space="preserve"> PAGEREF _Toc8616 </w:instrText>
      </w:r>
      <w:r>
        <w:fldChar w:fldCharType="separate"/>
      </w:r>
      <w:r>
        <w:t>16</w:t>
      </w:r>
      <w:r>
        <w:fldChar w:fldCharType="end"/>
      </w:r>
    </w:p>
    <w:p>
      <w:pPr>
        <w:pStyle w:val="17"/>
        <w:tabs>
          <w:tab w:val="right" w:leader="dot" w:pos="8732"/>
        </w:tabs>
      </w:pPr>
      <w:r>
        <w:rPr>
          <w:rFonts w:hint="eastAsia" w:ascii="黑体" w:hAnsi="黑体" w:eastAsia="黑体" w:cs="Times New Roman"/>
        </w:rPr>
        <w:t xml:space="preserve">九、 </w:t>
      </w:r>
      <w:r>
        <w:rPr>
          <w:rFonts w:hint="eastAsia" w:ascii="黑体" w:hAnsi="黑体" w:eastAsia="黑体"/>
        </w:rPr>
        <w:t>国有资本经营预算支出决算情况说明</w:t>
      </w:r>
      <w:r>
        <w:tab/>
      </w:r>
      <w:r>
        <w:fldChar w:fldCharType="begin"/>
      </w:r>
      <w:r>
        <w:instrText xml:space="preserve"> PAGEREF _Toc12838 </w:instrText>
      </w:r>
      <w:r>
        <w:fldChar w:fldCharType="separate"/>
      </w:r>
      <w:r>
        <w:t>16</w:t>
      </w:r>
      <w:r>
        <w:fldChar w:fldCharType="end"/>
      </w:r>
    </w:p>
    <w:p>
      <w:pPr>
        <w:pStyle w:val="17"/>
        <w:tabs>
          <w:tab w:val="right" w:leader="dot" w:pos="8732"/>
        </w:tabs>
      </w:pPr>
      <w:r>
        <w:rPr>
          <w:rFonts w:hint="eastAsia" w:ascii="黑体" w:hAnsi="黑体" w:eastAsia="黑体"/>
          <w:color w:val="000000"/>
          <w:szCs w:val="32"/>
        </w:rPr>
        <w:t>十</w:t>
      </w:r>
      <w:r>
        <w:rPr>
          <w:rFonts w:hint="eastAsia" w:ascii="黑体" w:hAnsi="黑体" w:eastAsia="黑体"/>
        </w:rPr>
        <w:t>、其他重要事项的情况说明</w:t>
      </w:r>
      <w:r>
        <w:tab/>
      </w:r>
      <w:r>
        <w:fldChar w:fldCharType="begin"/>
      </w:r>
      <w:r>
        <w:instrText xml:space="preserve"> PAGEREF _Toc3693 </w:instrText>
      </w:r>
      <w:r>
        <w:fldChar w:fldCharType="separate"/>
      </w:r>
      <w:r>
        <w:t>16</w:t>
      </w:r>
      <w:r>
        <w:fldChar w:fldCharType="end"/>
      </w:r>
    </w:p>
    <w:p>
      <w:pPr>
        <w:pStyle w:val="14"/>
        <w:tabs>
          <w:tab w:val="right" w:leader="dot" w:pos="8732"/>
        </w:tabs>
      </w:pPr>
      <w:r>
        <w:rPr>
          <w:rFonts w:hint="eastAsia" w:ascii="黑体" w:hAnsi="黑体" w:eastAsia="黑体" w:cs="Times New Roman"/>
        </w:rPr>
        <w:t xml:space="preserve">第三部分 </w:t>
      </w:r>
      <w:r>
        <w:rPr>
          <w:rFonts w:hint="eastAsia" w:ascii="黑体" w:hAnsi="黑体" w:eastAsia="黑体"/>
          <w:color w:val="000000"/>
          <w:szCs w:val="44"/>
        </w:rPr>
        <w:t>名</w:t>
      </w:r>
      <w:r>
        <w:rPr>
          <w:rFonts w:hint="eastAsia" w:ascii="黑体" w:hAnsi="黑体" w:eastAsia="黑体"/>
        </w:rPr>
        <w:t>词解释</w:t>
      </w:r>
      <w:r>
        <w:tab/>
      </w:r>
      <w:r>
        <w:fldChar w:fldCharType="begin"/>
      </w:r>
      <w:r>
        <w:instrText xml:space="preserve"> PAGEREF _Toc19910 </w:instrText>
      </w:r>
      <w:r>
        <w:fldChar w:fldCharType="separate"/>
      </w:r>
      <w:r>
        <w:t>20</w:t>
      </w:r>
      <w:r>
        <w:fldChar w:fldCharType="end"/>
      </w:r>
    </w:p>
    <w:p>
      <w:pPr>
        <w:pStyle w:val="14"/>
        <w:tabs>
          <w:tab w:val="right" w:leader="dot" w:pos="8732"/>
        </w:tabs>
      </w:pPr>
      <w:r>
        <w:rPr>
          <w:rFonts w:hint="eastAsia" w:ascii="黑体" w:hAnsi="黑体" w:eastAsia="黑体"/>
          <w:color w:val="000000"/>
          <w:szCs w:val="44"/>
        </w:rPr>
        <w:t>第</w:t>
      </w:r>
      <w:r>
        <w:rPr>
          <w:rFonts w:hint="eastAsia" w:ascii="黑体" w:hAnsi="黑体" w:eastAsia="黑体"/>
        </w:rPr>
        <w:t>四部分</w:t>
      </w:r>
      <w:r>
        <w:rPr>
          <w:rFonts w:ascii="黑体" w:hAnsi="黑体" w:eastAsia="黑体"/>
        </w:rPr>
        <w:t xml:space="preserve"> </w:t>
      </w:r>
      <w:r>
        <w:rPr>
          <w:rFonts w:hint="eastAsia" w:ascii="黑体" w:hAnsi="黑体" w:eastAsia="黑体"/>
        </w:rPr>
        <w:t>附件</w:t>
      </w:r>
      <w:r>
        <w:tab/>
      </w:r>
      <w:r>
        <w:fldChar w:fldCharType="begin"/>
      </w:r>
      <w:r>
        <w:instrText xml:space="preserve"> PAGEREF _Toc23264 </w:instrText>
      </w:r>
      <w:r>
        <w:fldChar w:fldCharType="separate"/>
      </w:r>
      <w:r>
        <w:t>24</w:t>
      </w:r>
      <w:r>
        <w:fldChar w:fldCharType="end"/>
      </w:r>
    </w:p>
    <w:p>
      <w:pPr>
        <w:pStyle w:val="17"/>
        <w:tabs>
          <w:tab w:val="right" w:leader="dot" w:pos="8732"/>
        </w:tabs>
      </w:pPr>
      <w:r>
        <w:rPr>
          <w:rFonts w:hint="eastAsia" w:ascii="方正小标宋简体" w:hAnsi="黑体" w:eastAsia="方正小标宋简体" w:cs="黑体"/>
          <w:szCs w:val="44"/>
          <w:lang w:val="en-US" w:eastAsia="zh-CN"/>
        </w:rPr>
        <w:t>附件1</w:t>
      </w:r>
      <w:r>
        <w:tab/>
      </w:r>
      <w:r>
        <w:fldChar w:fldCharType="begin"/>
      </w:r>
      <w:r>
        <w:instrText xml:space="preserve"> PAGEREF _Toc15122 </w:instrText>
      </w:r>
      <w:r>
        <w:fldChar w:fldCharType="separate"/>
      </w:r>
      <w:r>
        <w:t>24</w:t>
      </w:r>
      <w:r>
        <w:fldChar w:fldCharType="end"/>
      </w:r>
    </w:p>
    <w:p>
      <w:pPr>
        <w:pStyle w:val="17"/>
        <w:tabs>
          <w:tab w:val="right" w:leader="dot" w:pos="8732"/>
        </w:tabs>
      </w:pPr>
      <w:r>
        <w:rPr>
          <w:rFonts w:hint="eastAsia" w:ascii="方正小标宋简体" w:hAnsi="黑体" w:eastAsia="方正小标宋简体" w:cs="黑体"/>
          <w:szCs w:val="44"/>
        </w:rPr>
        <w:t>附件2</w:t>
      </w:r>
      <w:r>
        <w:tab/>
      </w:r>
      <w:r>
        <w:fldChar w:fldCharType="begin"/>
      </w:r>
      <w:r>
        <w:instrText xml:space="preserve"> PAGEREF _Toc2349 </w:instrText>
      </w:r>
      <w:r>
        <w:fldChar w:fldCharType="separate"/>
      </w:r>
      <w:r>
        <w:t>30</w:t>
      </w:r>
      <w:r>
        <w:fldChar w:fldCharType="end"/>
      </w:r>
    </w:p>
    <w:p>
      <w:pPr>
        <w:pStyle w:val="14"/>
        <w:tabs>
          <w:tab w:val="right" w:leader="dot" w:pos="8732"/>
        </w:tabs>
      </w:pPr>
      <w:r>
        <w:rPr>
          <w:rFonts w:hint="eastAsia" w:ascii="黑体" w:hAnsi="黑体" w:eastAsia="黑体"/>
          <w:color w:val="000000"/>
          <w:szCs w:val="44"/>
        </w:rPr>
        <w:t>第</w:t>
      </w:r>
      <w:r>
        <w:rPr>
          <w:rFonts w:hint="eastAsia" w:ascii="黑体" w:hAnsi="黑体" w:eastAsia="黑体"/>
        </w:rPr>
        <w:t>五部分</w:t>
      </w:r>
      <w:r>
        <w:rPr>
          <w:rFonts w:ascii="黑体" w:hAnsi="黑体" w:eastAsia="黑体"/>
        </w:rPr>
        <w:t xml:space="preserve"> </w:t>
      </w:r>
      <w:r>
        <w:rPr>
          <w:rFonts w:hint="eastAsia" w:ascii="黑体" w:hAnsi="黑体" w:eastAsia="黑体"/>
        </w:rPr>
        <w:t>附表</w:t>
      </w:r>
      <w:r>
        <w:tab/>
      </w:r>
      <w:r>
        <w:fldChar w:fldCharType="begin"/>
      </w:r>
      <w:r>
        <w:instrText xml:space="preserve"> PAGEREF _Toc822 </w:instrText>
      </w:r>
      <w:r>
        <w:fldChar w:fldCharType="separate"/>
      </w:r>
      <w:r>
        <w:t>34</w:t>
      </w:r>
      <w:r>
        <w:fldChar w:fldCharType="end"/>
      </w:r>
    </w:p>
    <w:p>
      <w:pPr>
        <w:pStyle w:val="17"/>
        <w:tabs>
          <w:tab w:val="right" w:leader="dot" w:pos="8732"/>
        </w:tabs>
      </w:pPr>
      <w:r>
        <w:rPr>
          <w:rFonts w:hint="eastAsia" w:ascii="仿宋" w:hAnsi="仿宋" w:eastAsia="仿宋"/>
          <w:color w:val="000000"/>
        </w:rPr>
        <w:t>一、收</w:t>
      </w:r>
      <w:r>
        <w:rPr>
          <w:rFonts w:hint="eastAsia" w:ascii="仿宋" w:hAnsi="仿宋" w:eastAsia="仿宋"/>
          <w:bCs w:val="0"/>
        </w:rPr>
        <w:t>入支出决算总表</w:t>
      </w:r>
      <w:r>
        <w:tab/>
      </w:r>
      <w:r>
        <w:fldChar w:fldCharType="begin"/>
      </w:r>
      <w:r>
        <w:instrText xml:space="preserve"> PAGEREF _Toc5816 </w:instrText>
      </w:r>
      <w:r>
        <w:fldChar w:fldCharType="separate"/>
      </w:r>
      <w:r>
        <w:t>34</w:t>
      </w:r>
      <w:r>
        <w:fldChar w:fldCharType="end"/>
      </w:r>
    </w:p>
    <w:p>
      <w:pPr>
        <w:pStyle w:val="17"/>
        <w:tabs>
          <w:tab w:val="right" w:leader="dot" w:pos="8732"/>
        </w:tabs>
      </w:pPr>
      <w:r>
        <w:rPr>
          <w:rFonts w:hint="eastAsia" w:ascii="仿宋" w:hAnsi="仿宋" w:eastAsia="仿宋"/>
          <w:color w:val="000000"/>
        </w:rPr>
        <w:t>二、收</w:t>
      </w:r>
      <w:r>
        <w:rPr>
          <w:rFonts w:hint="eastAsia" w:ascii="仿宋" w:hAnsi="仿宋" w:eastAsia="仿宋"/>
          <w:bCs w:val="0"/>
        </w:rPr>
        <w:t>入决算表</w:t>
      </w:r>
      <w:r>
        <w:tab/>
      </w:r>
      <w:r>
        <w:fldChar w:fldCharType="begin"/>
      </w:r>
      <w:r>
        <w:instrText xml:space="preserve"> PAGEREF _Toc2894 </w:instrText>
      </w:r>
      <w:r>
        <w:fldChar w:fldCharType="separate"/>
      </w:r>
      <w:r>
        <w:t>34</w:t>
      </w:r>
      <w:r>
        <w:fldChar w:fldCharType="end"/>
      </w:r>
    </w:p>
    <w:p>
      <w:pPr>
        <w:pStyle w:val="17"/>
        <w:tabs>
          <w:tab w:val="right" w:leader="dot" w:pos="8732"/>
        </w:tabs>
      </w:pPr>
      <w:r>
        <w:rPr>
          <w:rFonts w:hint="eastAsia" w:ascii="仿宋" w:hAnsi="仿宋" w:eastAsia="仿宋"/>
          <w:bCs w:val="0"/>
        </w:rPr>
        <w:t>三、</w:t>
      </w:r>
      <w:r>
        <w:rPr>
          <w:rFonts w:hint="eastAsia" w:ascii="仿宋" w:hAnsi="仿宋" w:eastAsia="仿宋"/>
          <w:color w:val="000000"/>
        </w:rPr>
        <w:t>支</w:t>
      </w:r>
      <w:r>
        <w:rPr>
          <w:rFonts w:hint="eastAsia" w:ascii="仿宋" w:hAnsi="仿宋" w:eastAsia="仿宋"/>
          <w:bCs w:val="0"/>
        </w:rPr>
        <w:t>出决算表</w:t>
      </w:r>
      <w:r>
        <w:tab/>
      </w:r>
      <w:r>
        <w:fldChar w:fldCharType="begin"/>
      </w:r>
      <w:r>
        <w:instrText xml:space="preserve"> PAGEREF _Toc17513 </w:instrText>
      </w:r>
      <w:r>
        <w:fldChar w:fldCharType="separate"/>
      </w:r>
      <w:r>
        <w:t>34</w:t>
      </w:r>
      <w:r>
        <w:fldChar w:fldCharType="end"/>
      </w:r>
    </w:p>
    <w:p>
      <w:pPr>
        <w:pStyle w:val="17"/>
        <w:tabs>
          <w:tab w:val="right" w:leader="dot" w:pos="8732"/>
        </w:tabs>
      </w:pPr>
      <w:r>
        <w:rPr>
          <w:rFonts w:hint="eastAsia" w:ascii="仿宋" w:hAnsi="仿宋" w:eastAsia="仿宋"/>
          <w:bCs w:val="0"/>
        </w:rPr>
        <w:t>四、</w:t>
      </w:r>
      <w:r>
        <w:rPr>
          <w:rFonts w:hint="eastAsia" w:ascii="仿宋" w:hAnsi="仿宋" w:eastAsia="仿宋"/>
          <w:color w:val="000000"/>
        </w:rPr>
        <w:t>财</w:t>
      </w:r>
      <w:r>
        <w:rPr>
          <w:rFonts w:hint="eastAsia" w:ascii="仿宋" w:hAnsi="仿宋" w:eastAsia="仿宋"/>
          <w:bCs w:val="0"/>
        </w:rPr>
        <w:t>政拨款收入支出决算总表</w:t>
      </w:r>
      <w:r>
        <w:tab/>
      </w:r>
      <w:r>
        <w:fldChar w:fldCharType="begin"/>
      </w:r>
      <w:r>
        <w:instrText xml:space="preserve"> PAGEREF _Toc10223 </w:instrText>
      </w:r>
      <w:r>
        <w:fldChar w:fldCharType="separate"/>
      </w:r>
      <w:r>
        <w:t>34</w:t>
      </w:r>
      <w:r>
        <w:fldChar w:fldCharType="end"/>
      </w:r>
    </w:p>
    <w:p>
      <w:pPr>
        <w:pStyle w:val="17"/>
        <w:tabs>
          <w:tab w:val="right" w:leader="dot" w:pos="8732"/>
        </w:tabs>
      </w:pPr>
      <w:r>
        <w:rPr>
          <w:rFonts w:hint="eastAsia" w:ascii="仿宋" w:hAnsi="仿宋" w:eastAsia="仿宋"/>
          <w:bCs w:val="0"/>
        </w:rPr>
        <w:t>五、</w:t>
      </w:r>
      <w:r>
        <w:rPr>
          <w:rFonts w:hint="eastAsia" w:ascii="仿宋" w:hAnsi="仿宋" w:eastAsia="仿宋"/>
          <w:color w:val="000000"/>
        </w:rPr>
        <w:t>财</w:t>
      </w:r>
      <w:r>
        <w:rPr>
          <w:rFonts w:hint="eastAsia" w:ascii="仿宋" w:hAnsi="仿宋" w:eastAsia="仿宋"/>
          <w:bCs w:val="0"/>
        </w:rPr>
        <w:t>政拨款支出决算明细表</w:t>
      </w:r>
      <w:r>
        <w:tab/>
      </w:r>
      <w:r>
        <w:fldChar w:fldCharType="begin"/>
      </w:r>
      <w:r>
        <w:instrText xml:space="preserve"> PAGEREF _Toc5772 </w:instrText>
      </w:r>
      <w:r>
        <w:fldChar w:fldCharType="separate"/>
      </w:r>
      <w:r>
        <w:t>34</w:t>
      </w:r>
      <w:r>
        <w:fldChar w:fldCharType="end"/>
      </w:r>
    </w:p>
    <w:p>
      <w:pPr>
        <w:pStyle w:val="17"/>
        <w:tabs>
          <w:tab w:val="right" w:leader="dot" w:pos="8732"/>
        </w:tabs>
      </w:pPr>
      <w:r>
        <w:rPr>
          <w:rFonts w:hint="eastAsia" w:ascii="仿宋" w:hAnsi="仿宋" w:eastAsia="仿宋"/>
          <w:bCs w:val="0"/>
        </w:rPr>
        <w:t>六、</w:t>
      </w:r>
      <w:r>
        <w:rPr>
          <w:rFonts w:hint="eastAsia" w:ascii="仿宋" w:hAnsi="仿宋" w:eastAsia="仿宋"/>
          <w:color w:val="000000"/>
        </w:rPr>
        <w:t>一</w:t>
      </w:r>
      <w:r>
        <w:rPr>
          <w:rFonts w:hint="eastAsia" w:ascii="仿宋" w:hAnsi="仿宋" w:eastAsia="仿宋"/>
          <w:bCs w:val="0"/>
        </w:rPr>
        <w:t>般公共预算财政拨款支出决算表</w:t>
      </w:r>
      <w:r>
        <w:tab/>
      </w:r>
      <w:r>
        <w:fldChar w:fldCharType="begin"/>
      </w:r>
      <w:r>
        <w:instrText xml:space="preserve"> PAGEREF _Toc28185 </w:instrText>
      </w:r>
      <w:r>
        <w:fldChar w:fldCharType="separate"/>
      </w:r>
      <w:r>
        <w:t>34</w:t>
      </w:r>
      <w:r>
        <w:fldChar w:fldCharType="end"/>
      </w:r>
    </w:p>
    <w:p>
      <w:pPr>
        <w:pStyle w:val="17"/>
        <w:tabs>
          <w:tab w:val="right" w:leader="dot" w:pos="8732"/>
        </w:tabs>
      </w:pPr>
      <w:r>
        <w:rPr>
          <w:rFonts w:hint="eastAsia" w:ascii="仿宋" w:hAnsi="仿宋" w:eastAsia="仿宋"/>
          <w:bCs w:val="0"/>
        </w:rPr>
        <w:t>七、</w:t>
      </w:r>
      <w:r>
        <w:rPr>
          <w:rFonts w:hint="eastAsia" w:ascii="仿宋" w:hAnsi="仿宋" w:eastAsia="仿宋"/>
          <w:color w:val="000000"/>
        </w:rPr>
        <w:t>一</w:t>
      </w:r>
      <w:r>
        <w:rPr>
          <w:rFonts w:hint="eastAsia" w:ascii="仿宋" w:hAnsi="仿宋" w:eastAsia="仿宋"/>
          <w:bCs w:val="0"/>
        </w:rPr>
        <w:t>般公共预算财政拨款支出决算明细表</w:t>
      </w:r>
      <w:r>
        <w:tab/>
      </w:r>
      <w:r>
        <w:fldChar w:fldCharType="begin"/>
      </w:r>
      <w:r>
        <w:instrText xml:space="preserve"> PAGEREF _Toc28792 </w:instrText>
      </w:r>
      <w:r>
        <w:fldChar w:fldCharType="separate"/>
      </w:r>
      <w:r>
        <w:t>34</w:t>
      </w:r>
      <w:r>
        <w:fldChar w:fldCharType="end"/>
      </w:r>
    </w:p>
    <w:p>
      <w:pPr>
        <w:pStyle w:val="17"/>
        <w:tabs>
          <w:tab w:val="right" w:leader="dot" w:pos="8732"/>
        </w:tabs>
      </w:pPr>
      <w:r>
        <w:rPr>
          <w:rFonts w:hint="eastAsia" w:ascii="仿宋" w:hAnsi="仿宋" w:eastAsia="仿宋"/>
          <w:bCs w:val="0"/>
        </w:rPr>
        <w:t>八、</w:t>
      </w:r>
      <w:r>
        <w:rPr>
          <w:rFonts w:hint="eastAsia" w:ascii="仿宋" w:hAnsi="仿宋" w:eastAsia="仿宋"/>
          <w:color w:val="000000"/>
        </w:rPr>
        <w:t>一</w:t>
      </w:r>
      <w:r>
        <w:rPr>
          <w:rFonts w:hint="eastAsia" w:ascii="仿宋" w:hAnsi="仿宋" w:eastAsia="仿宋"/>
          <w:bCs w:val="0"/>
        </w:rPr>
        <w:t>般公共预算财政拨款基本支出决算表</w:t>
      </w:r>
      <w:r>
        <w:tab/>
      </w:r>
      <w:r>
        <w:fldChar w:fldCharType="begin"/>
      </w:r>
      <w:r>
        <w:instrText xml:space="preserve"> PAGEREF _Toc13496 </w:instrText>
      </w:r>
      <w:r>
        <w:fldChar w:fldCharType="separate"/>
      </w:r>
      <w:r>
        <w:t>34</w:t>
      </w:r>
      <w:r>
        <w:fldChar w:fldCharType="end"/>
      </w:r>
    </w:p>
    <w:p>
      <w:pPr>
        <w:pStyle w:val="17"/>
        <w:tabs>
          <w:tab w:val="right" w:leader="dot" w:pos="8732"/>
        </w:tabs>
      </w:pPr>
      <w:r>
        <w:rPr>
          <w:rFonts w:hint="eastAsia" w:ascii="仿宋" w:hAnsi="仿宋" w:eastAsia="仿宋"/>
          <w:bCs w:val="0"/>
        </w:rPr>
        <w:t>九、</w:t>
      </w:r>
      <w:r>
        <w:rPr>
          <w:rFonts w:hint="eastAsia" w:ascii="仿宋" w:hAnsi="仿宋" w:eastAsia="仿宋"/>
          <w:color w:val="000000"/>
        </w:rPr>
        <w:t>一</w:t>
      </w:r>
      <w:r>
        <w:rPr>
          <w:rFonts w:hint="eastAsia" w:ascii="仿宋" w:hAnsi="仿宋" w:eastAsia="仿宋"/>
          <w:bCs w:val="0"/>
        </w:rPr>
        <w:t>般公共预算财政拨款项目支出决算表</w:t>
      </w:r>
      <w:r>
        <w:tab/>
      </w:r>
      <w:r>
        <w:fldChar w:fldCharType="begin"/>
      </w:r>
      <w:r>
        <w:instrText xml:space="preserve"> PAGEREF _Toc4757 </w:instrText>
      </w:r>
      <w:r>
        <w:fldChar w:fldCharType="separate"/>
      </w:r>
      <w:r>
        <w:t>34</w:t>
      </w:r>
      <w:r>
        <w:fldChar w:fldCharType="end"/>
      </w:r>
    </w:p>
    <w:p>
      <w:pPr>
        <w:pStyle w:val="17"/>
        <w:tabs>
          <w:tab w:val="right" w:leader="dot" w:pos="8732"/>
        </w:tabs>
      </w:pPr>
      <w:r>
        <w:rPr>
          <w:rFonts w:hint="eastAsia" w:ascii="仿宋" w:hAnsi="仿宋" w:eastAsia="仿宋"/>
          <w:bCs w:val="0"/>
        </w:rPr>
        <w:t>十、</w:t>
      </w:r>
      <w:r>
        <w:rPr>
          <w:rFonts w:hint="eastAsia" w:ascii="仿宋" w:hAnsi="仿宋" w:eastAsia="仿宋"/>
          <w:color w:val="000000"/>
        </w:rPr>
        <w:t>一</w:t>
      </w:r>
      <w:r>
        <w:rPr>
          <w:rFonts w:hint="eastAsia" w:ascii="仿宋" w:hAnsi="仿宋" w:eastAsia="仿宋"/>
          <w:bCs w:val="0"/>
        </w:rPr>
        <w:t>般公共预算财政拨款“三公”经费支出决算表</w:t>
      </w:r>
      <w:r>
        <w:tab/>
      </w:r>
      <w:r>
        <w:fldChar w:fldCharType="begin"/>
      </w:r>
      <w:r>
        <w:instrText xml:space="preserve"> PAGEREF _Toc4884 </w:instrText>
      </w:r>
      <w:r>
        <w:fldChar w:fldCharType="separate"/>
      </w:r>
      <w:r>
        <w:t>34</w:t>
      </w:r>
      <w:r>
        <w:fldChar w:fldCharType="end"/>
      </w:r>
    </w:p>
    <w:p>
      <w:pPr>
        <w:pStyle w:val="17"/>
        <w:tabs>
          <w:tab w:val="right" w:leader="dot" w:pos="8732"/>
        </w:tabs>
      </w:pPr>
      <w:r>
        <w:rPr>
          <w:rFonts w:hint="eastAsia" w:ascii="仿宋" w:hAnsi="仿宋" w:eastAsia="仿宋"/>
          <w:bCs w:val="0"/>
        </w:rPr>
        <w:t>十一、</w:t>
      </w:r>
      <w:r>
        <w:rPr>
          <w:rFonts w:hint="eastAsia" w:ascii="仿宋" w:hAnsi="仿宋" w:eastAsia="仿宋"/>
          <w:color w:val="000000"/>
        </w:rPr>
        <w:t>政</w:t>
      </w:r>
      <w:r>
        <w:rPr>
          <w:rFonts w:hint="eastAsia" w:ascii="仿宋" w:hAnsi="仿宋" w:eastAsia="仿宋"/>
          <w:bCs w:val="0"/>
        </w:rPr>
        <w:t>府性基金预算财政拨款收入支出决算表</w:t>
      </w:r>
      <w:r>
        <w:tab/>
      </w:r>
      <w:r>
        <w:fldChar w:fldCharType="begin"/>
      </w:r>
      <w:r>
        <w:instrText xml:space="preserve"> PAGEREF _Toc13698 </w:instrText>
      </w:r>
      <w:r>
        <w:fldChar w:fldCharType="separate"/>
      </w:r>
      <w:r>
        <w:t>34</w:t>
      </w:r>
      <w:r>
        <w:fldChar w:fldCharType="end"/>
      </w:r>
    </w:p>
    <w:p>
      <w:pPr>
        <w:pStyle w:val="17"/>
        <w:tabs>
          <w:tab w:val="right" w:leader="dot" w:pos="8732"/>
        </w:tabs>
      </w:pPr>
      <w:r>
        <w:rPr>
          <w:rFonts w:hint="eastAsia" w:ascii="仿宋" w:hAnsi="仿宋" w:eastAsia="仿宋"/>
          <w:bCs w:val="0"/>
        </w:rPr>
        <w:t>十二、</w:t>
      </w:r>
      <w:r>
        <w:rPr>
          <w:rFonts w:hint="eastAsia" w:ascii="仿宋" w:hAnsi="仿宋" w:eastAsia="仿宋"/>
          <w:color w:val="000000"/>
        </w:rPr>
        <w:t>政</w:t>
      </w:r>
      <w:r>
        <w:rPr>
          <w:rFonts w:hint="eastAsia" w:ascii="仿宋" w:hAnsi="仿宋" w:eastAsia="仿宋"/>
          <w:bCs w:val="0"/>
        </w:rPr>
        <w:t>府性基金预算财政拨款“三公”经费支出决算表</w:t>
      </w:r>
      <w:r>
        <w:tab/>
      </w:r>
      <w:r>
        <w:fldChar w:fldCharType="begin"/>
      </w:r>
      <w:r>
        <w:instrText xml:space="preserve"> PAGEREF _Toc19431 </w:instrText>
      </w:r>
      <w:r>
        <w:fldChar w:fldCharType="separate"/>
      </w:r>
      <w:r>
        <w:t>34</w:t>
      </w:r>
      <w:r>
        <w:fldChar w:fldCharType="end"/>
      </w:r>
    </w:p>
    <w:p>
      <w:pPr>
        <w:pStyle w:val="17"/>
        <w:tabs>
          <w:tab w:val="right" w:leader="dot" w:pos="8732"/>
        </w:tabs>
      </w:pPr>
      <w:r>
        <w:rPr>
          <w:rFonts w:hint="eastAsia" w:ascii="仿宋" w:hAnsi="仿宋" w:eastAsia="仿宋"/>
          <w:bCs w:val="0"/>
        </w:rPr>
        <w:t>十三、</w:t>
      </w:r>
      <w:r>
        <w:rPr>
          <w:rFonts w:hint="eastAsia" w:ascii="仿宋" w:hAnsi="仿宋" w:eastAsia="仿宋"/>
          <w:color w:val="000000"/>
        </w:rPr>
        <w:t>国</w:t>
      </w:r>
      <w:r>
        <w:rPr>
          <w:rFonts w:hint="eastAsia" w:ascii="仿宋" w:hAnsi="仿宋" w:eastAsia="仿宋"/>
          <w:bCs w:val="0"/>
        </w:rPr>
        <w:t>有资本经营预算财政拨款支出决算表</w:t>
      </w:r>
      <w:r>
        <w:tab/>
      </w:r>
      <w:r>
        <w:fldChar w:fldCharType="begin"/>
      </w:r>
      <w:r>
        <w:instrText xml:space="preserve"> PAGEREF _Toc4960 </w:instrText>
      </w:r>
      <w:r>
        <w:fldChar w:fldCharType="separate"/>
      </w:r>
      <w:r>
        <w:t>34</w:t>
      </w:r>
      <w:r>
        <w:fldChar w:fldCharType="end"/>
      </w:r>
    </w:p>
    <w:p>
      <w:pPr>
        <w:pStyle w:val="17"/>
        <w:tabs>
          <w:tab w:val="right" w:leader="dot" w:pos="8732"/>
        </w:tabs>
      </w:pPr>
      <w:r>
        <w:rPr>
          <w:rFonts w:hint="eastAsia" w:ascii="仿宋" w:hAnsi="仿宋" w:eastAsia="仿宋"/>
          <w:bCs w:val="0"/>
        </w:rPr>
        <w:t>十四、国有资本经营预算财政拨款支出决算表</w:t>
      </w:r>
      <w:r>
        <w:tab/>
      </w:r>
      <w:r>
        <w:fldChar w:fldCharType="begin"/>
      </w:r>
      <w:r>
        <w:instrText xml:space="preserve"> PAGEREF _Toc20972 </w:instrText>
      </w:r>
      <w:r>
        <w:fldChar w:fldCharType="separate"/>
      </w:r>
      <w:r>
        <w:t>34</w:t>
      </w:r>
      <w:r>
        <w:fldChar w:fldCharType="end"/>
      </w:r>
    </w:p>
    <w:p>
      <w:r>
        <w:rPr>
          <w:rFonts w:asciiTheme="minorHAnsi" w:eastAsiaTheme="minorHAnsi"/>
          <w:bCs/>
          <w:caps/>
          <w:szCs w:val="20"/>
        </w:rPr>
        <w:fldChar w:fldCharType="end"/>
      </w:r>
    </w:p>
    <w:p>
      <w:pPr>
        <w:widowControl/>
        <w:adjustRightInd w:val="0"/>
        <w:snapToGrid w:val="0"/>
        <w:spacing w:line="440" w:lineRule="exact"/>
        <w:ind w:firstLine="1320" w:firstLineChars="550"/>
        <w:jc w:val="left"/>
        <w:rPr>
          <w:rFonts w:ascii="仿宋" w:hAnsi="仿宋" w:eastAsia="仿宋"/>
          <w:color w:val="FF0000"/>
          <w:sz w:val="24"/>
        </w:rPr>
      </w:pP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3"/>
        <w:jc w:val="center"/>
        <w:outlineLvl w:val="0"/>
        <w:rPr>
          <w:rStyle w:val="24"/>
          <w:rFonts w:ascii="黑体" w:hAnsi="黑体" w:eastAsia="黑体"/>
          <w:b/>
          <w:bCs w:val="0"/>
        </w:rPr>
      </w:pPr>
      <w:bookmarkStart w:id="14" w:name="_Toc3943"/>
      <w:bookmarkStart w:id="15" w:name="_Toc79163601"/>
      <w:r>
        <w:rPr>
          <w:rFonts w:hint="eastAsia" w:ascii="黑体" w:hAnsi="黑体" w:eastAsia="黑体"/>
          <w:b w:val="0"/>
        </w:rPr>
        <w:t>第一部分</w:t>
      </w:r>
      <w:r>
        <w:rPr>
          <w:rFonts w:ascii="黑体" w:hAnsi="黑体" w:eastAsia="黑体"/>
          <w:b w:val="0"/>
        </w:rPr>
        <w:t xml:space="preserve"> </w:t>
      </w:r>
      <w:r>
        <w:rPr>
          <w:rStyle w:val="24"/>
          <w:rFonts w:hint="eastAsia" w:ascii="黑体" w:hAns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2"/>
        <w:outlineLvl w:val="1"/>
        <w:rPr>
          <w:rStyle w:val="25"/>
          <w:rFonts w:ascii="仿宋" w:hAnsi="仿宋" w:eastAsia="仿宋"/>
          <w:b w:val="0"/>
          <w:bCs w:val="0"/>
        </w:rPr>
      </w:pPr>
      <w:bookmarkStart w:id="16" w:name="_Toc15396600"/>
      <w:bookmarkStart w:id="17" w:name="_Toc22468"/>
      <w:bookmarkStart w:id="18" w:name="_Toc15377197"/>
      <w:bookmarkStart w:id="19" w:name="_Toc79163602"/>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6"/>
      <w:bookmarkEnd w:id="17"/>
      <w:bookmarkEnd w:id="18"/>
      <w:bookmarkEnd w:id="19"/>
    </w:p>
    <w:p>
      <w:pPr>
        <w:pStyle w:val="6"/>
        <w:adjustRightInd w:val="0"/>
        <w:snapToGrid w:val="0"/>
        <w:spacing w:before="93" w:line="600" w:lineRule="exact"/>
        <w:ind w:firstLine="672" w:firstLineChars="210"/>
        <w:outlineLvl w:val="2"/>
        <w:rPr>
          <w:rFonts w:ascii="仿宋" w:hAnsi="仿宋" w:eastAsia="仿宋"/>
          <w:bCs/>
          <w:color w:val="000000"/>
          <w:sz w:val="32"/>
          <w:szCs w:val="32"/>
        </w:rPr>
      </w:pPr>
      <w:bookmarkStart w:id="20" w:name="_Toc79163603"/>
      <w:bookmarkStart w:id="21" w:name="_Toc28644"/>
      <w:bookmarkStart w:id="22" w:name="_Toc15378445"/>
      <w:bookmarkStart w:id="23" w:name="_Toc15377198"/>
      <w:r>
        <w:rPr>
          <w:rFonts w:hint="eastAsia" w:ascii="仿宋" w:hAnsi="仿宋" w:eastAsia="仿宋"/>
          <w:bCs/>
          <w:color w:val="000000"/>
          <w:sz w:val="32"/>
          <w:szCs w:val="32"/>
        </w:rPr>
        <w:t>（一）主要职能</w:t>
      </w:r>
      <w:bookmarkEnd w:id="20"/>
      <w:bookmarkEnd w:id="21"/>
    </w:p>
    <w:bookmarkEnd w:id="22"/>
    <w:bookmarkEnd w:id="23"/>
    <w:p>
      <w:pPr>
        <w:pStyle w:val="6"/>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1.贯彻执行国家公安工作的方针、政策和法律、法规、规章，起草地方性公安法规、规章草案，部署、指导、监督、检查全县公安工作；负责全县辖区公安机关依法行政工作，落实行政执法责任制。</w:t>
      </w:r>
    </w:p>
    <w:p>
      <w:pPr>
        <w:pStyle w:val="6"/>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2.指导、协调全县公安机关应急管理、抢险救援工作和社会公共突发事件的处置工作。</w:t>
      </w:r>
    </w:p>
    <w:p>
      <w:pPr>
        <w:pStyle w:val="6"/>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3.收集影响社会稳定、危害国家安全和社会治安的情况，全面掌握社情民意，分析研判情报信息和治安形势，制定对策。</w:t>
      </w:r>
    </w:p>
    <w:p>
      <w:pPr>
        <w:pStyle w:val="6"/>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4.组织、实施、指导全县公安法制建设，按管辖办理行政诉讼、行政复议案件。依法实施行政许可、行政审批事项。</w:t>
      </w:r>
    </w:p>
    <w:p>
      <w:pPr>
        <w:pStyle w:val="6"/>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5.组织指导全县公安侦查工作；协调、指挥、侦破、处理公安机关管辖的刑事案件，处置治安灾害事故、骚乱和群体性突发事件；组织实施重大活动的安全保卫工作。</w:t>
      </w:r>
    </w:p>
    <w:p>
      <w:pPr>
        <w:pStyle w:val="6"/>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6.履行社会治安管理职能，指导、监督全县公安机关查处危害社会治安秩序行为；依法管理户口、居民身份证、枪支弹药、危险物品、特种行业等工作；依法管理集会、游行、示威活动；加强推进以便民和公共服务为重点的治安行政管理改革工作。</w:t>
      </w:r>
    </w:p>
    <w:p>
      <w:pPr>
        <w:pStyle w:val="6"/>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7.负责全县道路交通安全管理工作并承担相应责任。指导监督全县公安机关维护道路交通安全、交通秩序；组织、协调、处置交通事故；依法管理机动车辆（不含拖拉机）和驾驶人员。</w:t>
      </w:r>
    </w:p>
    <w:p>
      <w:pPr>
        <w:pStyle w:val="6"/>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8.负责全县消防工作并承担相应责任。指导、监督、协调全县消防监督、火灾预防、火灾扑救工作和公安应急抢险救援工作。</w:t>
      </w:r>
    </w:p>
    <w:p>
      <w:pPr>
        <w:pStyle w:val="6"/>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9.指导全县公安警卫业务工作，组织实施对党和国家领导以及重要人物在县内的安全警卫工作并承担相应责任。组织、实施全县要害目标的安全保卫。</w:t>
      </w:r>
    </w:p>
    <w:p>
      <w:pPr>
        <w:pStyle w:val="6"/>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10.指导、监督全县公安机关对公共信息网络的安全保护工作，负责信息安全等级保卫工作的监督、检查、指导。</w:t>
      </w:r>
    </w:p>
    <w:p>
      <w:pPr>
        <w:pStyle w:val="6"/>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11.依法管理国籍、出境入境和外国人在红原县境内居留、旅行等有关工作。</w:t>
      </w:r>
    </w:p>
    <w:p>
      <w:pPr>
        <w:pStyle w:val="6"/>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12.组织、指导、协调对恐怖活动的情报、防范、侦察和应急处置工作。</w:t>
      </w:r>
    </w:p>
    <w:p>
      <w:pPr>
        <w:pStyle w:val="6"/>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13.指导、监督全县公安机关依法承担的执行刑罚和监督、考察工作。依法管理县看守所、拘留所。办理收容教养和劳动教养案件。</w:t>
      </w:r>
    </w:p>
    <w:p>
      <w:pPr>
        <w:pStyle w:val="6"/>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14.组织实施全县公安科学技术工作，组织、指导、规划全县公安机关的指挥系统、信息技术、刑事技术建设。</w:t>
      </w:r>
    </w:p>
    <w:p>
      <w:pPr>
        <w:pStyle w:val="6"/>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15.制定全县公安机关装备和经费等警务保障计划和管理制度，组织协调全县公安机关履行职责的警务保障工作。</w:t>
      </w:r>
    </w:p>
    <w:p>
      <w:pPr>
        <w:pStyle w:val="6"/>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16.指导全县公安队伍建设和公安机关的党风廉政建设，组织、指导全县公安机关组织人事管理、民警教育训练及宣传和涉警舆论引导等工作，按规定权限管理干部，拟定全县公安队伍监督管理工作规章制度，组织、指导全县公安机关督察、审计、信访工作，指导、监督全县公安机关及人民警察的执法活动，按规定权限实施对干部的监督，查处或督办全县公安队伍中发生的违纪案件。</w:t>
      </w:r>
    </w:p>
    <w:p>
      <w:pPr>
        <w:pStyle w:val="6"/>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17.指导县森林公安机关的业务工作。</w:t>
      </w:r>
    </w:p>
    <w:p>
      <w:pPr>
        <w:pStyle w:val="6"/>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18.组织协调武警内卫部队执行公安任务。</w:t>
      </w:r>
    </w:p>
    <w:p>
      <w:pPr>
        <w:pStyle w:val="6"/>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19.承担县政府禁毒委员会、劳动教养管理委员会、收容教养委员会、反恐怖工作协调小组日常工作。</w:t>
      </w:r>
    </w:p>
    <w:p>
      <w:pPr>
        <w:pStyle w:val="6"/>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20.承担县政府公布的有关行政审批事项。</w:t>
      </w:r>
    </w:p>
    <w:p>
      <w:pPr>
        <w:pStyle w:val="6"/>
        <w:adjustRightInd w:val="0"/>
        <w:snapToGrid w:val="0"/>
        <w:spacing w:before="93" w:line="600" w:lineRule="exact"/>
        <w:ind w:firstLine="672" w:firstLineChars="210"/>
        <w:outlineLvl w:val="9"/>
        <w:rPr>
          <w:rFonts w:ascii="仿宋" w:hAnsi="仿宋" w:eastAsia="仿宋"/>
          <w:sz w:val="32"/>
          <w:szCs w:val="32"/>
        </w:rPr>
      </w:pPr>
      <w:r>
        <w:rPr>
          <w:rFonts w:hint="eastAsia" w:ascii="仿宋" w:hAnsi="仿宋" w:eastAsia="仿宋"/>
          <w:bCs/>
          <w:color w:val="000000"/>
          <w:sz w:val="32"/>
          <w:szCs w:val="32"/>
          <w:lang w:val="en-US" w:eastAsia="zh-CN"/>
        </w:rPr>
        <w:t>21.承办县委、县政府和上级公安机关交办的其他工作和法律、法规规定的其他职责。</w:t>
      </w:r>
    </w:p>
    <w:p>
      <w:pPr>
        <w:pStyle w:val="6"/>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24" w:name="_Toc15378446"/>
      <w:bookmarkStart w:id="25" w:name="_Toc79163604"/>
      <w:bookmarkStart w:id="26" w:name="_Toc15377199"/>
      <w:bookmarkStart w:id="27" w:name="_Toc21964"/>
      <w:r>
        <w:rPr>
          <w:rFonts w:hint="eastAsia" w:ascii="仿宋" w:hAnsi="仿宋" w:eastAsia="仿宋"/>
          <w:bCs/>
          <w:color w:val="000000"/>
          <w:sz w:val="32"/>
          <w:szCs w:val="32"/>
        </w:rPr>
        <w:t>（二）</w:t>
      </w:r>
      <w:r>
        <w:rPr>
          <w:rFonts w:ascii="仿宋" w:hAnsi="仿宋" w:eastAsia="仿宋"/>
          <w:bCs/>
          <w:color w:val="000000"/>
          <w:sz w:val="32"/>
          <w:szCs w:val="32"/>
        </w:rPr>
        <w:t>2020</w:t>
      </w:r>
      <w:r>
        <w:rPr>
          <w:rFonts w:hint="eastAsia" w:ascii="仿宋" w:hAnsi="仿宋" w:eastAsia="仿宋"/>
          <w:bCs/>
          <w:color w:val="000000"/>
          <w:sz w:val="32"/>
          <w:szCs w:val="32"/>
        </w:rPr>
        <w:t>年重点工作完成情况</w:t>
      </w:r>
      <w:bookmarkEnd w:id="24"/>
      <w:bookmarkEnd w:id="25"/>
      <w:bookmarkEnd w:id="26"/>
      <w:bookmarkEnd w:id="27"/>
    </w:p>
    <w:p>
      <w:pPr>
        <w:pStyle w:val="6"/>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9"/>
        <w:rPr>
          <w:rFonts w:hint="eastAsia" w:ascii="仿宋" w:hAnsi="仿宋" w:eastAsia="仿宋" w:cs="Times New Roman"/>
          <w:bCs/>
          <w:color w:val="000000"/>
          <w:sz w:val="32"/>
          <w:szCs w:val="32"/>
          <w:lang w:val="en-US" w:eastAsia="zh-CN"/>
        </w:rPr>
      </w:pPr>
      <w:r>
        <w:rPr>
          <w:rFonts w:hint="eastAsia" w:ascii="仿宋" w:hAnsi="仿宋" w:eastAsia="仿宋" w:cs="Times New Roman"/>
          <w:bCs/>
          <w:color w:val="000000"/>
          <w:sz w:val="32"/>
          <w:szCs w:val="32"/>
          <w:lang w:val="en-US" w:eastAsia="zh-CN"/>
        </w:rPr>
        <w:t>“四干”发力助推“奋进系列”向纵深发展。一是以社会安全为“主阵地”，巧干按下“快捷键”；二是以打击犯罪为“主引擎”，实干跑出“加速度”；三是以安全防控为“主渠道”，苦干轰出“推背感”；四是以教育整顿为“主干线”，争干推出“成就感”，经过不懈努力我县有10项指标排名在全州前三。</w:t>
      </w:r>
    </w:p>
    <w:p>
      <w:pPr>
        <w:pStyle w:val="2"/>
        <w:outlineLvl w:val="1"/>
        <w:rPr>
          <w:rStyle w:val="25"/>
          <w:rFonts w:hint="eastAsia" w:ascii="黑体" w:hAnsi="黑体" w:eastAsia="黑体"/>
          <w:b w:val="0"/>
          <w:bCs w:val="0"/>
        </w:rPr>
      </w:pPr>
      <w:bookmarkStart w:id="28" w:name="_Toc15396601"/>
      <w:bookmarkStart w:id="29" w:name="_Toc15377200"/>
      <w:bookmarkStart w:id="30" w:name="_Toc21355"/>
      <w:bookmarkStart w:id="31" w:name="_Toc79163605"/>
      <w:r>
        <w:rPr>
          <w:rStyle w:val="25"/>
          <w:rFonts w:hint="eastAsia" w:ascii="黑体" w:hAnsi="黑体" w:eastAsia="黑体"/>
          <w:b w:val="0"/>
          <w:bCs w:val="0"/>
        </w:rPr>
        <w:t>二、机构设置</w:t>
      </w:r>
      <w:bookmarkEnd w:id="28"/>
      <w:bookmarkEnd w:id="29"/>
      <w:bookmarkEnd w:id="30"/>
      <w:bookmarkEnd w:id="31"/>
    </w:p>
    <w:p>
      <w:pPr>
        <w:ind w:firstLine="800" w:firstLineChars="250"/>
        <w:outlineLvl w:val="9"/>
        <w:rPr>
          <w:rFonts w:ascii="仿宋" w:hAnsi="仿宋" w:eastAsia="仿宋"/>
          <w:color w:val="000000"/>
          <w:kern w:val="0"/>
          <w:sz w:val="32"/>
          <w:szCs w:val="32"/>
        </w:rPr>
      </w:pPr>
      <w:r>
        <w:rPr>
          <w:rFonts w:hint="eastAsia" w:ascii="仿宋" w:hAnsi="仿宋" w:eastAsia="仿宋"/>
          <w:sz w:val="32"/>
          <w:szCs w:val="32"/>
          <w:lang w:eastAsia="zh-CN"/>
        </w:rPr>
        <w:t>红原县公安局</w:t>
      </w:r>
      <w:r>
        <w:rPr>
          <w:rFonts w:hint="eastAsia" w:ascii="仿宋" w:hAnsi="仿宋" w:eastAsia="仿宋"/>
          <w:sz w:val="32"/>
          <w:szCs w:val="32"/>
        </w:rPr>
        <w:t>下属二级单位</w:t>
      </w:r>
      <w:r>
        <w:rPr>
          <w:rFonts w:hint="eastAsia" w:ascii="仿宋" w:hAnsi="仿宋" w:eastAsia="仿宋"/>
          <w:sz w:val="32"/>
          <w:szCs w:val="32"/>
          <w:lang w:val="en-US" w:eastAsia="zh-CN"/>
        </w:rPr>
        <w:t>0</w:t>
      </w:r>
      <w:r>
        <w:rPr>
          <w:rFonts w:hint="eastAsia" w:ascii="仿宋" w:hAnsi="仿宋" w:eastAsia="仿宋"/>
          <w:sz w:val="32"/>
          <w:szCs w:val="32"/>
        </w:rPr>
        <w:t>个，其中行政单位</w:t>
      </w:r>
      <w:r>
        <w:rPr>
          <w:rFonts w:hint="eastAsia" w:ascii="仿宋" w:hAnsi="仿宋" w:eastAsia="仿宋"/>
          <w:sz w:val="32"/>
          <w:szCs w:val="32"/>
          <w:lang w:val="en-US" w:eastAsia="zh-CN"/>
        </w:rPr>
        <w:t>0</w:t>
      </w:r>
      <w:r>
        <w:rPr>
          <w:rFonts w:hint="eastAsia" w:ascii="仿宋" w:hAnsi="仿宋" w:eastAsia="仿宋"/>
          <w:sz w:val="32"/>
          <w:szCs w:val="32"/>
        </w:rPr>
        <w:t>个，参照公务员法管理的事业单位</w:t>
      </w:r>
      <w:r>
        <w:rPr>
          <w:rFonts w:hint="eastAsia" w:ascii="仿宋" w:hAnsi="仿宋" w:eastAsia="仿宋"/>
          <w:bCs/>
          <w:sz w:val="32"/>
          <w:szCs w:val="32"/>
          <w:lang w:val="en-US" w:eastAsia="zh-CN"/>
        </w:rPr>
        <w:t>0</w:t>
      </w:r>
      <w:r>
        <w:rPr>
          <w:rFonts w:hint="eastAsia" w:ascii="仿宋" w:hAnsi="仿宋" w:eastAsia="仿宋"/>
          <w:sz w:val="32"/>
          <w:szCs w:val="32"/>
        </w:rPr>
        <w:t>个，其他事业单位</w:t>
      </w:r>
      <w:r>
        <w:rPr>
          <w:rFonts w:hint="eastAsia" w:ascii="仿宋" w:hAnsi="仿宋" w:eastAsia="仿宋"/>
          <w:sz w:val="32"/>
          <w:szCs w:val="32"/>
          <w:lang w:val="en-US" w:eastAsia="zh-CN"/>
        </w:rPr>
        <w:t>0</w:t>
      </w:r>
      <w:r>
        <w:rPr>
          <w:rFonts w:hint="eastAsia" w:ascii="仿宋" w:hAnsi="仿宋" w:eastAsia="仿宋"/>
          <w:sz w:val="32"/>
          <w:szCs w:val="32"/>
        </w:rPr>
        <w:t>个。</w:t>
      </w:r>
      <w:r>
        <w:rPr>
          <w:rFonts w:ascii="仿宋" w:hAnsi="仿宋" w:eastAsia="仿宋"/>
          <w:color w:val="000000"/>
          <w:sz w:val="32"/>
          <w:szCs w:val="32"/>
        </w:rPr>
        <w:br w:type="page"/>
      </w:r>
    </w:p>
    <w:p>
      <w:pPr>
        <w:pStyle w:val="3"/>
        <w:ind w:right="440"/>
        <w:jc w:val="right"/>
        <w:outlineLvl w:val="0"/>
      </w:pPr>
      <w:bookmarkStart w:id="32" w:name="_Toc79163609"/>
      <w:bookmarkStart w:id="33" w:name="_Toc15377204"/>
      <w:bookmarkStart w:id="34" w:name="_Toc24059"/>
      <w:bookmarkStart w:id="35" w:name="_Toc15396602"/>
      <w:r>
        <w:rPr>
          <w:rFonts w:hint="eastAsia" w:ascii="黑体" w:hAnsi="黑体" w:eastAsia="黑体"/>
          <w:b w:val="0"/>
          <w:color w:val="000000"/>
        </w:rPr>
        <w:t>第二部分</w:t>
      </w:r>
      <w:r>
        <w:rPr>
          <w:rFonts w:ascii="黑体" w:hAnsi="黑体" w:eastAsia="黑体"/>
          <w:color w:val="000000"/>
        </w:rPr>
        <w:t xml:space="preserve"> </w:t>
      </w:r>
      <w:r>
        <w:rPr>
          <w:rStyle w:val="24"/>
          <w:rFonts w:ascii="黑体" w:hAnsi="黑体" w:eastAsia="黑体"/>
          <w:b w:val="0"/>
          <w:bCs w:val="0"/>
        </w:rPr>
        <w:t>2020</w:t>
      </w:r>
      <w:r>
        <w:rPr>
          <w:rStyle w:val="24"/>
          <w:rFonts w:hint="eastAsia" w:ascii="黑体" w:hAnsi="黑体" w:eastAsia="黑体"/>
          <w:b w:val="0"/>
          <w:bCs w:val="0"/>
        </w:rPr>
        <w:t>年度部门决算情况说明</w:t>
      </w:r>
      <w:bookmarkEnd w:id="32"/>
      <w:bookmarkEnd w:id="33"/>
      <w:bookmarkEnd w:id="34"/>
      <w:bookmarkEnd w:id="35"/>
    </w:p>
    <w:p>
      <w:pPr>
        <w:pStyle w:val="35"/>
        <w:numPr>
          <w:ilvl w:val="0"/>
          <w:numId w:val="1"/>
        </w:numPr>
        <w:spacing w:line="600" w:lineRule="exact"/>
        <w:ind w:firstLineChars="0"/>
        <w:outlineLvl w:val="1"/>
        <w:rPr>
          <w:rStyle w:val="25"/>
          <w:rFonts w:ascii="黑体" w:hAnsi="黑体" w:eastAsia="黑体"/>
          <w:b w:val="0"/>
        </w:rPr>
      </w:pPr>
      <w:bookmarkStart w:id="36" w:name="_Toc15396603"/>
      <w:bookmarkStart w:id="37" w:name="_Toc15377205"/>
      <w:bookmarkStart w:id="38" w:name="_Toc16303"/>
      <w:bookmarkStart w:id="39" w:name="_Toc79163610"/>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36"/>
      <w:bookmarkEnd w:id="37"/>
      <w:bookmarkEnd w:id="38"/>
      <w:bookmarkEnd w:id="39"/>
    </w:p>
    <w:p>
      <w:pPr>
        <w:spacing w:line="600" w:lineRule="exact"/>
        <w:ind w:firstLine="640" w:firstLineChars="200"/>
        <w:outlineLvl w:val="9"/>
        <w:rPr>
          <w:rFonts w:hint="default" w:ascii="仿宋" w:hAnsi="仿宋" w:eastAsia="仿宋"/>
          <w:color w:val="000000"/>
          <w:sz w:val="32"/>
          <w:szCs w:val="32"/>
          <w:lang w:val="en-US" w:eastAsia="zh-CN"/>
        </w:rPr>
      </w:pPr>
      <w:r>
        <w:rPr>
          <w:rFonts w:ascii="仿宋" w:hAnsi="仿宋" w:eastAsia="仿宋"/>
          <w:color w:val="000000"/>
          <w:sz w:val="32"/>
          <w:szCs w:val="32"/>
        </w:rPr>
        <w:t>2020</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7,644.3</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年相比，收、支总计各增加</w:t>
      </w:r>
      <w:r>
        <w:rPr>
          <w:rFonts w:hint="eastAsia" w:ascii="仿宋" w:hAnsi="仿宋" w:eastAsia="仿宋"/>
          <w:color w:val="000000"/>
          <w:sz w:val="32"/>
          <w:szCs w:val="32"/>
          <w:lang w:val="en-US" w:eastAsia="zh-CN"/>
        </w:rPr>
        <w:t>891.95</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13.21</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机构改革合并</w:t>
      </w:r>
      <w:r>
        <w:rPr>
          <w:rFonts w:hint="eastAsia" w:ascii="仿宋" w:hAnsi="仿宋" w:eastAsia="仿宋"/>
          <w:color w:val="000000"/>
          <w:sz w:val="32"/>
          <w:szCs w:val="32"/>
          <w:lang w:val="en-US" w:eastAsia="zh-CN"/>
        </w:rPr>
        <w:t>2020年度收支包括原森林公安局2020年收支，另我单位当年项目资金支出较上年增长。</w:t>
      </w:r>
    </w:p>
    <w:p>
      <w:pPr>
        <w:jc w:val="center"/>
        <w:outlineLvl w:val="9"/>
        <w:rPr>
          <w:rFonts w:ascii="仿宋_GB2312" w:eastAsia="仿宋_GB2312"/>
          <w:color w:val="000000"/>
          <w:sz w:val="32"/>
          <w:szCs w:val="32"/>
        </w:rPr>
      </w:pPr>
      <w:r>
        <w:rPr>
          <w:rFonts w:hint="eastAsia" w:ascii="仿宋" w:hAns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875030</wp:posOffset>
            </wp:positionH>
            <wp:positionV relativeFrom="paragraph">
              <wp:posOffset>280670</wp:posOffset>
            </wp:positionV>
            <wp:extent cx="3815715" cy="2555240"/>
            <wp:effectExtent l="4445" t="5080" r="8890" b="11430"/>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pPr>
        <w:pStyle w:val="35"/>
        <w:numPr>
          <w:ilvl w:val="0"/>
          <w:numId w:val="1"/>
        </w:numPr>
        <w:spacing w:line="600" w:lineRule="exact"/>
        <w:ind w:firstLineChars="0"/>
        <w:outlineLvl w:val="1"/>
        <w:rPr>
          <w:rStyle w:val="25"/>
          <w:rFonts w:ascii="黑体" w:hAnsi="黑体" w:eastAsia="黑体"/>
          <w:b w:val="0"/>
        </w:rPr>
      </w:pPr>
      <w:bookmarkStart w:id="40" w:name="_Toc15377206"/>
      <w:bookmarkStart w:id="41" w:name="_Toc13148"/>
      <w:bookmarkStart w:id="42" w:name="_Toc15396604"/>
      <w:bookmarkStart w:id="43" w:name="_Toc79163611"/>
      <w:r>
        <w:rPr>
          <w:rFonts w:hint="eastAsia" w:ascii="黑体" w:hAnsi="黑体" w:eastAsia="黑体"/>
          <w:color w:val="000000"/>
          <w:sz w:val="32"/>
          <w:szCs w:val="32"/>
        </w:rPr>
        <w:t>收</w:t>
      </w:r>
      <w:r>
        <w:rPr>
          <w:rStyle w:val="25"/>
          <w:rFonts w:hint="eastAsia" w:ascii="黑体" w:hAnsi="黑体" w:eastAsia="黑体"/>
          <w:b w:val="0"/>
        </w:rPr>
        <w:t>入决算情况说明</w:t>
      </w:r>
      <w:bookmarkEnd w:id="40"/>
      <w:bookmarkEnd w:id="41"/>
      <w:bookmarkEnd w:id="42"/>
      <w:bookmarkEnd w:id="43"/>
    </w:p>
    <w:p>
      <w:pPr>
        <w:spacing w:line="600" w:lineRule="exact"/>
        <w:ind w:firstLine="640" w:firstLineChars="200"/>
        <w:outlineLvl w:val="9"/>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6,416.95</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6,416.95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14:textFill>
            <w14:solidFill>
              <w14:schemeClr w14:val="tx1"/>
            </w14:solidFill>
          </w14:textFill>
        </w:rPr>
        <w:t>上级补助收入</w:t>
      </w:r>
      <w:r>
        <w:rPr>
          <w:rFonts w:hint="eastAsia" w:ascii="仿宋" w:hAnsi="仿宋" w:eastAsia="仿宋"/>
          <w:color w:val="000000" w:themeColor="text1"/>
          <w:sz w:val="32"/>
          <w:szCs w:val="32"/>
          <w:lang w:val="en-US" w:eastAsia="zh-CN"/>
          <w14:textFill>
            <w14:solidFill>
              <w14:schemeClr w14:val="tx1"/>
            </w14:solidFill>
          </w14:textFill>
        </w:rPr>
        <w:t>00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outlineLvl w:val="9"/>
        <w:rPr>
          <w:rFonts w:ascii="仿宋_GB2312" w:eastAsia="仿宋_GB2312"/>
          <w:color w:val="FF0000"/>
          <w:sz w:val="32"/>
          <w:szCs w:val="32"/>
        </w:rPr>
      </w:pPr>
    </w:p>
    <w:p>
      <w:pPr>
        <w:jc w:val="center"/>
        <w:outlineLvl w:val="9"/>
        <w:rPr>
          <w:rFonts w:hint="eastAsia" w:eastAsia="仿宋_GB2312"/>
          <w:lang w:eastAsia="zh-CN"/>
        </w:rPr>
      </w:pPr>
      <w:r>
        <w:rPr>
          <w:rFonts w:hint="eastAsia" w:eastAsia="仿宋_GB2312"/>
          <w:lang w:eastAsia="zh-CN"/>
        </w:rPr>
        <w:drawing>
          <wp:inline distT="0" distB="0" distL="114300" distR="114300">
            <wp:extent cx="4274820" cy="2848610"/>
            <wp:effectExtent l="4445" t="4445" r="6985" b="2349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ind w:firstLine="640" w:firstLineChars="200"/>
        <w:jc w:val="center"/>
        <w:outlineLvl w:val="9"/>
        <w:rPr>
          <w:rFonts w:ascii="仿宋_GB2312" w:eastAsia="仿宋_GB2312"/>
          <w:color w:val="FF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pStyle w:val="35"/>
        <w:numPr>
          <w:ilvl w:val="0"/>
          <w:numId w:val="1"/>
        </w:numPr>
        <w:spacing w:line="600" w:lineRule="exact"/>
        <w:ind w:firstLineChars="0"/>
        <w:outlineLvl w:val="1"/>
        <w:rPr>
          <w:rStyle w:val="25"/>
          <w:rFonts w:ascii="黑体" w:hAnsi="黑体" w:eastAsia="黑体"/>
          <w:b w:val="0"/>
        </w:rPr>
      </w:pPr>
      <w:bookmarkStart w:id="44" w:name="_Toc15377207"/>
      <w:bookmarkStart w:id="45" w:name="_Toc15396605"/>
      <w:bookmarkStart w:id="46" w:name="_Toc30506"/>
      <w:bookmarkStart w:id="47" w:name="_Toc79163612"/>
      <w:r>
        <w:rPr>
          <w:rFonts w:hint="eastAsia" w:ascii="黑体" w:hAnsi="黑体" w:eastAsia="黑体"/>
          <w:color w:val="000000"/>
          <w:sz w:val="32"/>
          <w:szCs w:val="32"/>
        </w:rPr>
        <w:t>支</w:t>
      </w:r>
      <w:r>
        <w:rPr>
          <w:rStyle w:val="25"/>
          <w:rFonts w:hint="eastAsia" w:ascii="黑体" w:hAnsi="黑体" w:eastAsia="黑体"/>
          <w:b w:val="0"/>
        </w:rPr>
        <w:t>出决算情况说明</w:t>
      </w:r>
      <w:bookmarkEnd w:id="44"/>
      <w:bookmarkEnd w:id="45"/>
      <w:bookmarkEnd w:id="46"/>
      <w:bookmarkEnd w:id="47"/>
    </w:p>
    <w:p>
      <w:pPr>
        <w:spacing w:line="600" w:lineRule="exact"/>
        <w:ind w:firstLine="640" w:firstLineChars="200"/>
        <w:outlineLvl w:val="9"/>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年本年支出合计6</w:t>
      </w:r>
      <w:r>
        <w:rPr>
          <w:rFonts w:hint="eastAsia" w:ascii="仿宋_GB2312" w:eastAsia="仿宋_GB2312"/>
          <w:sz w:val="32"/>
          <w:szCs w:val="32"/>
          <w:lang w:val="en-US" w:eastAsia="zh-CN"/>
        </w:rPr>
        <w:t>,</w:t>
      </w:r>
      <w:r>
        <w:rPr>
          <w:rFonts w:hint="eastAsia" w:ascii="仿宋_GB2312" w:eastAsia="仿宋_GB2312"/>
          <w:sz w:val="32"/>
          <w:szCs w:val="32"/>
        </w:rPr>
        <w:t>230.07万元，其中：基本支出4156.26万元，占</w:t>
      </w:r>
      <w:r>
        <w:rPr>
          <w:rFonts w:hint="eastAsia" w:ascii="仿宋_GB2312" w:eastAsia="仿宋_GB2312"/>
          <w:sz w:val="32"/>
          <w:szCs w:val="32"/>
          <w:lang w:val="en-US" w:eastAsia="zh-CN"/>
        </w:rPr>
        <w:t>66.71</w:t>
      </w:r>
      <w:r>
        <w:rPr>
          <w:rFonts w:ascii="仿宋_GB2312" w:eastAsia="仿宋_GB2312"/>
          <w:sz w:val="32"/>
          <w:szCs w:val="32"/>
        </w:rPr>
        <w:t>%</w:t>
      </w:r>
      <w:r>
        <w:rPr>
          <w:rFonts w:hint="eastAsia" w:ascii="仿宋_GB2312" w:eastAsia="仿宋_GB2312"/>
          <w:sz w:val="32"/>
          <w:szCs w:val="32"/>
        </w:rPr>
        <w:t>；项目支出2</w:t>
      </w:r>
      <w:r>
        <w:rPr>
          <w:rFonts w:hint="eastAsia" w:ascii="仿宋_GB2312" w:eastAsia="仿宋_GB2312"/>
          <w:sz w:val="32"/>
          <w:szCs w:val="32"/>
          <w:lang w:val="en-US" w:eastAsia="zh-CN"/>
        </w:rPr>
        <w:t>,</w:t>
      </w:r>
      <w:r>
        <w:rPr>
          <w:rFonts w:hint="eastAsia" w:ascii="仿宋_GB2312" w:eastAsia="仿宋_GB2312"/>
          <w:sz w:val="32"/>
          <w:szCs w:val="32"/>
        </w:rPr>
        <w:t>073.8</w:t>
      </w:r>
      <w:r>
        <w:rPr>
          <w:rFonts w:hint="eastAsia" w:ascii="仿宋_GB2312" w:eastAsia="仿宋_GB2312"/>
          <w:sz w:val="32"/>
          <w:szCs w:val="32"/>
          <w:lang w:val="en-US" w:eastAsia="zh-CN"/>
        </w:rPr>
        <w:t>1</w:t>
      </w:r>
      <w:r>
        <w:rPr>
          <w:rFonts w:hint="eastAsia" w:ascii="仿宋_GB2312" w:eastAsia="仿宋_GB2312"/>
          <w:sz w:val="32"/>
          <w:szCs w:val="32"/>
        </w:rPr>
        <w:t>万元，占</w:t>
      </w:r>
      <w:r>
        <w:rPr>
          <w:rFonts w:hint="eastAsia" w:ascii="仿宋_GB2312" w:eastAsia="仿宋_GB2312"/>
          <w:sz w:val="32"/>
          <w:szCs w:val="32"/>
          <w:lang w:val="en-US" w:eastAsia="zh-CN"/>
        </w:rPr>
        <w:t>33.29</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jc w:val="center"/>
        <w:outlineLvl w:val="9"/>
        <w:rPr>
          <w:rFonts w:hint="eastAsia"/>
          <w:lang w:eastAsia="zh-CN"/>
        </w:rPr>
      </w:pPr>
      <w:r>
        <w:rPr>
          <w:rFonts w:hint="eastAsia"/>
          <w:lang w:eastAsia="zh-CN"/>
        </w:rPr>
        <w:drawing>
          <wp:inline distT="0" distB="0" distL="114300" distR="114300">
            <wp:extent cx="3695065" cy="2406650"/>
            <wp:effectExtent l="5080" t="4445" r="14605" b="825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jc w:val="center"/>
        <w:outlineLvl w:val="9"/>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5"/>
          <w:rFonts w:ascii="黑体" w:hAnsi="黑体" w:eastAsia="黑体"/>
          <w:b w:val="0"/>
        </w:rPr>
      </w:pPr>
      <w:bookmarkStart w:id="48" w:name="_Toc15396606"/>
      <w:bookmarkStart w:id="49" w:name="_Toc15377208"/>
      <w:bookmarkStart w:id="50" w:name="_Toc21422"/>
      <w:bookmarkStart w:id="51" w:name="_Toc79163613"/>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48"/>
      <w:bookmarkEnd w:id="49"/>
      <w:bookmarkEnd w:id="50"/>
      <w:bookmarkEnd w:id="51"/>
    </w:p>
    <w:p>
      <w:pPr>
        <w:spacing w:line="600" w:lineRule="exact"/>
        <w:ind w:firstLine="640" w:firstLineChars="200"/>
        <w:outlineLvl w:val="9"/>
        <w:rPr>
          <w:rFonts w:hint="default" w:ascii="仿宋" w:hAnsi="仿宋" w:eastAsia="仿宋"/>
          <w:color w:val="000000"/>
          <w:sz w:val="32"/>
          <w:szCs w:val="32"/>
          <w:lang w:val="en-US" w:eastAsia="zh-CN"/>
        </w:rPr>
      </w:pPr>
      <w:r>
        <w:rPr>
          <w:rFonts w:hint="eastAsia" w:ascii="仿宋" w:hAnsi="仿宋" w:eastAsia="仿宋"/>
          <w:color w:val="000000"/>
          <w:sz w:val="32"/>
          <w:szCs w:val="32"/>
          <w:lang w:eastAsia="zh-CN"/>
        </w:rPr>
        <w:drawing>
          <wp:anchor distT="0" distB="0" distL="114300" distR="114300" simplePos="0" relativeHeight="251660288" behindDoc="0" locked="0" layoutInCell="1" allowOverlap="1">
            <wp:simplePos x="0" y="0"/>
            <wp:positionH relativeFrom="column">
              <wp:posOffset>762000</wp:posOffset>
            </wp:positionH>
            <wp:positionV relativeFrom="paragraph">
              <wp:posOffset>1630045</wp:posOffset>
            </wp:positionV>
            <wp:extent cx="3833495" cy="2477135"/>
            <wp:effectExtent l="4445" t="4445" r="10160" b="13970"/>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ascii="仿宋" w:hAnsi="仿宋" w:eastAsia="仿宋"/>
          <w:color w:val="000000"/>
          <w:sz w:val="32"/>
          <w:szCs w:val="32"/>
        </w:rPr>
        <w:t>2020</w:t>
      </w:r>
      <w:r>
        <w:rPr>
          <w:rFonts w:hint="eastAsia" w:ascii="仿宋" w:hAnsi="仿宋" w:eastAsia="仿宋"/>
          <w:color w:val="000000"/>
          <w:sz w:val="32"/>
          <w:szCs w:val="32"/>
        </w:rPr>
        <w:t>年财政拨款收、支总计7</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644.3万元。与</w:t>
      </w:r>
      <w:r>
        <w:rPr>
          <w:rFonts w:ascii="仿宋" w:hAnsi="仿宋" w:eastAsia="仿宋"/>
          <w:color w:val="000000"/>
          <w:sz w:val="32"/>
          <w:szCs w:val="32"/>
        </w:rPr>
        <w:t>2019</w:t>
      </w:r>
      <w:r>
        <w:rPr>
          <w:rFonts w:hint="eastAsia" w:ascii="仿宋" w:hAnsi="仿宋" w:eastAsia="仿宋"/>
          <w:color w:val="000000"/>
          <w:sz w:val="32"/>
          <w:szCs w:val="32"/>
        </w:rPr>
        <w:t>年相比，财政拨款收、支总计各增加</w:t>
      </w:r>
      <w:r>
        <w:rPr>
          <w:rFonts w:hint="eastAsia" w:ascii="仿宋" w:hAnsi="仿宋" w:eastAsia="仿宋"/>
          <w:color w:val="000000"/>
          <w:sz w:val="32"/>
          <w:szCs w:val="32"/>
          <w:lang w:val="en-US" w:eastAsia="zh-CN"/>
        </w:rPr>
        <w:t>891.95</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13.21</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机构改革合并</w:t>
      </w:r>
      <w:r>
        <w:rPr>
          <w:rFonts w:hint="eastAsia" w:ascii="仿宋" w:hAnsi="仿宋" w:eastAsia="仿宋"/>
          <w:color w:val="000000"/>
          <w:sz w:val="32"/>
          <w:szCs w:val="32"/>
          <w:lang w:val="en-US" w:eastAsia="zh-CN"/>
        </w:rPr>
        <w:t>2020年度收支包括原森林公安局2020年收支，另我单位当年项目资金支出较上年多。</w:t>
      </w:r>
    </w:p>
    <w:p>
      <w:pPr>
        <w:spacing w:line="600" w:lineRule="exact"/>
        <w:ind w:firstLine="640" w:firstLineChars="200"/>
        <w:outlineLvl w:val="9"/>
        <w:rPr>
          <w:rFonts w:ascii="仿宋" w:hAnsi="仿宋" w:eastAsia="仿宋"/>
          <w:b/>
          <w:color w:val="00B05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spacing w:line="600" w:lineRule="exact"/>
        <w:ind w:firstLine="640" w:firstLineChars="200"/>
        <w:outlineLvl w:val="1"/>
        <w:rPr>
          <w:rStyle w:val="25"/>
          <w:rFonts w:ascii="黑体" w:hAnsi="黑体" w:eastAsia="黑体"/>
          <w:b w:val="0"/>
        </w:rPr>
      </w:pPr>
      <w:bookmarkStart w:id="52" w:name="_Toc30985"/>
      <w:bookmarkStart w:id="53" w:name="_Toc79163614"/>
      <w:bookmarkStart w:id="54" w:name="_Toc15396607"/>
      <w:bookmarkStart w:id="55"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52"/>
      <w:bookmarkEnd w:id="53"/>
      <w:bookmarkEnd w:id="54"/>
      <w:bookmarkEnd w:id="55"/>
    </w:p>
    <w:p>
      <w:pPr>
        <w:spacing w:line="600" w:lineRule="exact"/>
        <w:ind w:firstLine="642" w:firstLineChars="200"/>
        <w:outlineLvl w:val="2"/>
        <w:rPr>
          <w:rFonts w:ascii="仿宋" w:hAnsi="仿宋" w:eastAsia="仿宋"/>
          <w:b/>
          <w:color w:val="000000"/>
          <w:sz w:val="32"/>
          <w:szCs w:val="32"/>
        </w:rPr>
      </w:pPr>
      <w:bookmarkStart w:id="56" w:name="_Toc45"/>
      <w:bookmarkStart w:id="57" w:name="_Toc15377210"/>
      <w:bookmarkStart w:id="58" w:name="_Toc79163615"/>
      <w:r>
        <w:rPr>
          <w:rFonts w:hint="eastAsia" w:ascii="仿宋" w:hAnsi="仿宋" w:eastAsia="仿宋"/>
          <w:b/>
          <w:color w:val="000000"/>
          <w:sz w:val="32"/>
          <w:szCs w:val="32"/>
        </w:rPr>
        <w:t>（一）一般公共预算财政拨款支出决算总体情况</w:t>
      </w:r>
      <w:bookmarkEnd w:id="56"/>
      <w:bookmarkEnd w:id="57"/>
      <w:bookmarkEnd w:id="58"/>
    </w:p>
    <w:p>
      <w:pPr>
        <w:spacing w:line="600" w:lineRule="exact"/>
        <w:ind w:firstLine="640" w:firstLineChars="200"/>
        <w:outlineLvl w:val="9"/>
        <w:rPr>
          <w:rFonts w:hint="eastAsia" w:ascii="仿宋" w:hAnsi="仿宋" w:eastAsia="仿宋"/>
          <w:color w:val="000000"/>
          <w:sz w:val="32"/>
          <w:szCs w:val="32"/>
          <w:lang w:val="en-US" w:eastAsia="zh-CN"/>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年一般公共预算财政拨款支出6</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230.07万元，占本年支出合计的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年相比，一般公共预算财政拨款增加</w:t>
      </w:r>
      <w:r>
        <w:rPr>
          <w:rFonts w:hint="eastAsia" w:ascii="仿宋" w:hAnsi="仿宋" w:eastAsia="仿宋"/>
          <w:color w:val="000000"/>
          <w:sz w:val="32"/>
          <w:szCs w:val="32"/>
          <w:lang w:val="en-US" w:eastAsia="zh-CN"/>
        </w:rPr>
        <w:t>437.82</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7.56</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机构改革合并</w:t>
      </w:r>
      <w:r>
        <w:rPr>
          <w:rFonts w:hint="eastAsia" w:ascii="仿宋" w:hAnsi="仿宋" w:eastAsia="仿宋"/>
          <w:color w:val="000000"/>
          <w:sz w:val="32"/>
          <w:szCs w:val="32"/>
          <w:lang w:val="en-US" w:eastAsia="zh-CN"/>
        </w:rPr>
        <w:t>2020年度收支包括原森林公安局2020年收支，另我单位当年项目资金支出较上年多。</w:t>
      </w:r>
    </w:p>
    <w:p>
      <w:pPr>
        <w:outlineLvl w:val="9"/>
      </w:pPr>
    </w:p>
    <w:p>
      <w:pPr>
        <w:outlineLvl w:val="9"/>
      </w:pPr>
    </w:p>
    <w:p>
      <w:pPr>
        <w:jc w:val="center"/>
        <w:outlineLvl w:val="9"/>
        <w:rPr>
          <w:rFonts w:hint="eastAsia" w:eastAsia="宋体"/>
          <w:lang w:eastAsia="zh-CN"/>
        </w:rPr>
      </w:pPr>
      <w:r>
        <w:rPr>
          <w:rFonts w:hint="eastAsia" w:eastAsia="宋体"/>
          <w:lang w:eastAsia="zh-CN"/>
        </w:rPr>
        <w:drawing>
          <wp:inline distT="0" distB="0" distL="114300" distR="114300">
            <wp:extent cx="5080000" cy="3810000"/>
            <wp:effectExtent l="4445" t="4445" r="20955" b="1460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jc w:val="center"/>
        <w:outlineLvl w:val="9"/>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pPr>
        <w:spacing w:line="600" w:lineRule="exact"/>
        <w:ind w:firstLine="642" w:firstLineChars="200"/>
        <w:outlineLvl w:val="2"/>
        <w:rPr>
          <w:rFonts w:ascii="仿宋" w:hAnsi="仿宋" w:eastAsia="仿宋"/>
          <w:b/>
          <w:color w:val="000000"/>
          <w:sz w:val="32"/>
          <w:szCs w:val="32"/>
        </w:rPr>
      </w:pPr>
      <w:bookmarkStart w:id="59" w:name="_Toc19796"/>
      <w:bookmarkStart w:id="60" w:name="_Toc79163616"/>
      <w:bookmarkStart w:id="61" w:name="_Toc15377211"/>
      <w:r>
        <w:rPr>
          <w:rFonts w:hint="eastAsia" w:ascii="仿宋" w:hAnsi="仿宋" w:eastAsia="仿宋"/>
          <w:b/>
          <w:color w:val="000000"/>
          <w:sz w:val="32"/>
          <w:szCs w:val="32"/>
        </w:rPr>
        <w:t>（二）一般公共预算财政拨款支出决算结构情况</w:t>
      </w:r>
      <w:bookmarkEnd w:id="59"/>
      <w:bookmarkEnd w:id="60"/>
      <w:bookmarkEnd w:id="61"/>
    </w:p>
    <w:p>
      <w:pPr>
        <w:spacing w:line="600" w:lineRule="exact"/>
        <w:ind w:firstLine="640"/>
        <w:outlineLvl w:val="9"/>
        <w:rPr>
          <w:rFonts w:hint="eastAsia" w:ascii="仿宋" w:hAnsi="仿宋" w:eastAsia="仿宋"/>
          <w:color w:val="000000"/>
          <w:sz w:val="32"/>
          <w:szCs w:val="32"/>
          <w:lang w:val="en-US" w:eastAsia="zh-CN"/>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年一般公共预算财政拨款支出6</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230.07万元，主要用于以下方面</w:t>
      </w:r>
      <w:r>
        <w:rPr>
          <w:rFonts w:ascii="仿宋" w:hAnsi="仿宋" w:eastAsia="仿宋"/>
          <w:color w:val="000000"/>
          <w:sz w:val="32"/>
          <w:szCs w:val="32"/>
        </w:rPr>
        <w:t>:</w:t>
      </w:r>
      <w:r>
        <w:rPr>
          <w:rFonts w:hint="eastAsia" w:ascii="仿宋" w:hAnsi="仿宋" w:eastAsia="仿宋"/>
          <w:b/>
          <w:color w:val="000000"/>
          <w:sz w:val="32"/>
          <w:szCs w:val="32"/>
        </w:rPr>
        <w:t>社会保障和就业（</w:t>
      </w:r>
      <w:r>
        <w:rPr>
          <w:rFonts w:hint="eastAsia" w:ascii="仿宋" w:hAnsi="仿宋" w:eastAsia="仿宋"/>
          <w:b/>
          <w:color w:val="000000"/>
          <w:sz w:val="32"/>
          <w:szCs w:val="32"/>
          <w:lang w:val="en-US" w:eastAsia="zh-CN"/>
        </w:rPr>
        <w:t>208</w:t>
      </w:r>
      <w:r>
        <w:rPr>
          <w:rFonts w:hint="eastAsia" w:ascii="仿宋" w:hAnsi="仿宋" w:eastAsia="仿宋"/>
          <w:b/>
          <w:color w:val="000000"/>
          <w:sz w:val="32"/>
          <w:szCs w:val="32"/>
        </w:rPr>
        <w:t>）</w:t>
      </w:r>
      <w:r>
        <w:rPr>
          <w:rFonts w:hint="eastAsia" w:ascii="仿宋" w:hAnsi="仿宋" w:eastAsia="仿宋"/>
          <w:color w:val="000000"/>
          <w:sz w:val="32"/>
          <w:szCs w:val="32"/>
        </w:rPr>
        <w:t>支出445.79万元，占</w:t>
      </w:r>
      <w:r>
        <w:rPr>
          <w:rFonts w:hint="eastAsia" w:ascii="仿宋" w:hAnsi="仿宋" w:eastAsia="仿宋"/>
          <w:color w:val="000000"/>
          <w:sz w:val="32"/>
          <w:szCs w:val="32"/>
          <w:lang w:val="en-US" w:eastAsia="zh-CN"/>
        </w:rPr>
        <w:t>7.16</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b/>
          <w:bCs/>
          <w:color w:val="000000"/>
          <w:sz w:val="32"/>
          <w:szCs w:val="32"/>
          <w:lang w:eastAsia="zh-CN"/>
        </w:rPr>
        <w:t>（</w:t>
      </w:r>
      <w:r>
        <w:rPr>
          <w:rFonts w:hint="eastAsia" w:ascii="仿宋" w:hAnsi="仿宋" w:eastAsia="仿宋"/>
          <w:b/>
          <w:bCs/>
          <w:color w:val="000000"/>
          <w:sz w:val="32"/>
          <w:szCs w:val="32"/>
          <w:lang w:val="en-US" w:eastAsia="zh-CN"/>
        </w:rPr>
        <w:t>210</w:t>
      </w:r>
      <w:r>
        <w:rPr>
          <w:rFonts w:hint="eastAsia" w:ascii="仿宋" w:hAnsi="仿宋" w:eastAsia="仿宋"/>
          <w:b/>
          <w:bCs/>
          <w:color w:val="000000"/>
          <w:sz w:val="32"/>
          <w:szCs w:val="32"/>
          <w:lang w:eastAsia="zh-CN"/>
        </w:rPr>
        <w:t>）</w:t>
      </w:r>
      <w:r>
        <w:rPr>
          <w:rFonts w:hint="eastAsia" w:ascii="仿宋" w:hAnsi="仿宋" w:eastAsia="仿宋"/>
          <w:color w:val="000000"/>
          <w:sz w:val="32"/>
          <w:szCs w:val="32"/>
        </w:rPr>
        <w:t>170.83万元，占</w:t>
      </w:r>
      <w:r>
        <w:rPr>
          <w:rFonts w:hint="eastAsia" w:ascii="仿宋" w:hAnsi="仿宋" w:eastAsia="仿宋"/>
          <w:color w:val="000000"/>
          <w:sz w:val="32"/>
          <w:szCs w:val="32"/>
          <w:lang w:val="en-US" w:eastAsia="zh-CN"/>
        </w:rPr>
        <w:t>2.74</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lang w:eastAsia="zh-CN"/>
        </w:rPr>
        <w:t>住房保障支出</w:t>
      </w:r>
      <w:r>
        <w:rPr>
          <w:rFonts w:hint="eastAsia" w:ascii="仿宋" w:hAnsi="仿宋" w:eastAsia="仿宋"/>
          <w:b/>
          <w:color w:val="000000"/>
          <w:sz w:val="32"/>
          <w:szCs w:val="32"/>
        </w:rPr>
        <w:t>（</w:t>
      </w:r>
      <w:r>
        <w:rPr>
          <w:rFonts w:hint="eastAsia" w:ascii="仿宋" w:hAnsi="仿宋" w:eastAsia="仿宋"/>
          <w:b/>
          <w:color w:val="000000"/>
          <w:sz w:val="32"/>
          <w:szCs w:val="32"/>
          <w:lang w:val="en-US" w:eastAsia="zh-CN"/>
        </w:rPr>
        <w:t>221</w:t>
      </w:r>
      <w:r>
        <w:rPr>
          <w:rFonts w:hint="eastAsia" w:ascii="仿宋" w:hAnsi="仿宋" w:eastAsia="仿宋"/>
          <w:b/>
          <w:color w:val="000000"/>
          <w:sz w:val="32"/>
          <w:szCs w:val="32"/>
        </w:rPr>
        <w:t>）</w:t>
      </w:r>
      <w:r>
        <w:rPr>
          <w:rFonts w:hint="eastAsia" w:ascii="仿宋" w:hAnsi="仿宋" w:eastAsia="仿宋"/>
          <w:b/>
          <w:color w:val="000000"/>
          <w:sz w:val="32"/>
          <w:szCs w:val="32"/>
          <w:lang w:eastAsia="zh-CN"/>
        </w:rPr>
        <w:t>：</w:t>
      </w:r>
      <w:r>
        <w:rPr>
          <w:rFonts w:hint="eastAsia" w:ascii="仿宋" w:hAnsi="仿宋" w:eastAsia="仿宋"/>
          <w:color w:val="000000"/>
          <w:sz w:val="32"/>
          <w:szCs w:val="32"/>
        </w:rPr>
        <w:t>313.12万元，占</w:t>
      </w:r>
      <w:r>
        <w:rPr>
          <w:rFonts w:hint="eastAsia" w:ascii="仿宋" w:hAnsi="仿宋" w:eastAsia="仿宋"/>
          <w:color w:val="000000"/>
          <w:sz w:val="32"/>
          <w:szCs w:val="32"/>
          <w:lang w:val="en-US" w:eastAsia="zh-CN"/>
        </w:rPr>
        <w:t>5.03</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lang w:eastAsia="zh-CN"/>
        </w:rPr>
        <w:t>公共安全支出（</w:t>
      </w:r>
      <w:r>
        <w:rPr>
          <w:rFonts w:hint="eastAsia" w:ascii="仿宋" w:hAnsi="仿宋" w:eastAsia="仿宋"/>
          <w:b/>
          <w:color w:val="000000"/>
          <w:sz w:val="32"/>
          <w:szCs w:val="32"/>
          <w:lang w:val="en-US" w:eastAsia="zh-CN"/>
        </w:rPr>
        <w:t>204</w:t>
      </w:r>
      <w:r>
        <w:rPr>
          <w:rFonts w:hint="eastAsia" w:ascii="仿宋" w:hAnsi="仿宋" w:eastAsia="仿宋"/>
          <w:b/>
          <w:color w:val="000000"/>
          <w:sz w:val="32"/>
          <w:szCs w:val="32"/>
          <w:lang w:eastAsia="zh-CN"/>
        </w:rPr>
        <w:t>）支出</w:t>
      </w:r>
      <w:r>
        <w:rPr>
          <w:rFonts w:hint="eastAsia" w:ascii="仿宋" w:hAnsi="仿宋" w:eastAsia="仿宋"/>
          <w:color w:val="000000"/>
          <w:sz w:val="32"/>
          <w:szCs w:val="32"/>
          <w:lang w:eastAsia="zh-CN"/>
        </w:rPr>
        <w:t>5299.84元，占</w:t>
      </w:r>
      <w:r>
        <w:rPr>
          <w:rFonts w:hint="eastAsia" w:ascii="仿宋" w:hAnsi="仿宋" w:eastAsia="仿宋"/>
          <w:color w:val="000000"/>
          <w:sz w:val="32"/>
          <w:szCs w:val="32"/>
          <w:lang w:val="en-US" w:eastAsia="zh-CN"/>
        </w:rPr>
        <w:t>85.07%；</w:t>
      </w:r>
      <w:r>
        <w:rPr>
          <w:rFonts w:hint="eastAsia" w:ascii="仿宋" w:hAnsi="仿宋" w:eastAsia="仿宋"/>
          <w:b/>
          <w:color w:val="000000"/>
          <w:sz w:val="32"/>
          <w:szCs w:val="32"/>
          <w:lang w:eastAsia="zh-CN"/>
        </w:rPr>
        <w:t>其他支出（</w:t>
      </w:r>
      <w:r>
        <w:rPr>
          <w:rFonts w:hint="eastAsia" w:ascii="仿宋" w:hAnsi="仿宋" w:eastAsia="仿宋"/>
          <w:b/>
          <w:color w:val="000000"/>
          <w:sz w:val="32"/>
          <w:szCs w:val="32"/>
          <w:lang w:val="en-US" w:eastAsia="zh-CN"/>
        </w:rPr>
        <w:t>299</w:t>
      </w:r>
      <w:r>
        <w:rPr>
          <w:rFonts w:hint="eastAsia" w:ascii="仿宋" w:hAnsi="仿宋" w:eastAsia="仿宋"/>
          <w:b/>
          <w:color w:val="000000"/>
          <w:sz w:val="32"/>
          <w:szCs w:val="32"/>
          <w:lang w:eastAsia="zh-CN"/>
        </w:rPr>
        <w:t>）</w:t>
      </w:r>
      <w:r>
        <w:rPr>
          <w:rFonts w:hint="eastAsia" w:ascii="仿宋" w:hAnsi="仿宋" w:eastAsia="仿宋"/>
          <w:color w:val="000000"/>
          <w:sz w:val="32"/>
          <w:szCs w:val="32"/>
          <w:lang w:val="en-US" w:eastAsia="zh-CN"/>
        </w:rPr>
        <w:t>0.49万元，占比0%。</w:t>
      </w:r>
    </w:p>
    <w:p>
      <w:pPr>
        <w:jc w:val="center"/>
        <w:outlineLvl w:val="9"/>
      </w:pPr>
      <w:r>
        <w:drawing>
          <wp:inline distT="0" distB="0" distL="114300" distR="114300">
            <wp:extent cx="4104640" cy="3215005"/>
            <wp:effectExtent l="4445" t="4445" r="5715" b="19050"/>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outlineLvl w:val="9"/>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spacing w:line="600" w:lineRule="exact"/>
        <w:ind w:firstLine="642" w:firstLineChars="200"/>
        <w:outlineLvl w:val="2"/>
        <w:rPr>
          <w:rFonts w:ascii="仿宋" w:hAnsi="仿宋" w:eastAsia="仿宋"/>
          <w:b/>
          <w:color w:val="000000"/>
          <w:sz w:val="32"/>
          <w:szCs w:val="32"/>
        </w:rPr>
      </w:pPr>
      <w:bookmarkStart w:id="62" w:name="_Toc9621"/>
      <w:bookmarkStart w:id="63" w:name="_Toc79163617"/>
      <w:bookmarkStart w:id="64" w:name="_Toc15377212"/>
      <w:r>
        <w:rPr>
          <w:rFonts w:hint="eastAsia" w:ascii="仿宋" w:hAnsi="仿宋" w:eastAsia="仿宋"/>
          <w:b/>
          <w:color w:val="000000"/>
          <w:sz w:val="32"/>
          <w:szCs w:val="32"/>
        </w:rPr>
        <w:t>（三）一般公共预算财政拨款支出决算具体情况</w:t>
      </w:r>
      <w:bookmarkEnd w:id="62"/>
      <w:bookmarkEnd w:id="63"/>
      <w:bookmarkEnd w:id="64"/>
    </w:p>
    <w:p>
      <w:pPr>
        <w:spacing w:line="600" w:lineRule="exact"/>
        <w:ind w:firstLine="642" w:firstLineChars="200"/>
        <w:outlineLvl w:val="9"/>
        <w:rPr>
          <w:rFonts w:ascii="仿宋_GB2312" w:eastAsia="仿宋_GB2312"/>
          <w:b/>
          <w:bCs/>
          <w:sz w:val="32"/>
          <w:szCs w:val="32"/>
        </w:rPr>
      </w:pPr>
      <w:bookmarkStart w:id="65" w:name="_Toc15377444"/>
      <w:bookmarkStart w:id="66" w:name="_Toc15378460"/>
      <w:bookmarkStart w:id="67" w:name="_Toc15377213"/>
      <w:r>
        <w:rPr>
          <w:rFonts w:ascii="仿宋_GB2312" w:eastAsia="仿宋_GB2312"/>
          <w:b/>
          <w:bCs/>
          <w:sz w:val="32"/>
          <w:szCs w:val="32"/>
        </w:rPr>
        <w:t>2020</w:t>
      </w:r>
      <w:r>
        <w:rPr>
          <w:rFonts w:hint="eastAsia" w:ascii="仿宋_GB2312" w:eastAsia="仿宋_GB2312"/>
          <w:b/>
          <w:bCs/>
          <w:sz w:val="32"/>
          <w:szCs w:val="32"/>
        </w:rPr>
        <w:t>年一般公共预算支出决算数为6230.07</w:t>
      </w:r>
      <w:r>
        <w:rPr>
          <w:rFonts w:hint="eastAsia" w:ascii="仿宋_GB2312" w:eastAsia="仿宋_GB2312"/>
          <w:b/>
          <w:bCs/>
          <w:sz w:val="32"/>
          <w:szCs w:val="32"/>
          <w:lang w:eastAsia="zh-CN"/>
        </w:rPr>
        <w:t>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84.50%</w:t>
      </w:r>
      <w:r>
        <w:rPr>
          <w:rFonts w:hint="eastAsia" w:ascii="仿宋_GB2312" w:eastAsia="仿宋_GB2312"/>
          <w:b/>
          <w:bCs/>
          <w:sz w:val="32"/>
          <w:szCs w:val="32"/>
        </w:rPr>
        <w:t>。其中：</w:t>
      </w:r>
      <w:bookmarkEnd w:id="65"/>
      <w:bookmarkEnd w:id="66"/>
      <w:bookmarkEnd w:id="67"/>
    </w:p>
    <w:p>
      <w:pPr>
        <w:spacing w:line="600" w:lineRule="exact"/>
        <w:ind w:firstLine="642" w:firstLineChars="200"/>
        <w:outlineLvl w:val="9"/>
        <w:rPr>
          <w:rStyle w:val="22"/>
          <w:rFonts w:hint="eastAsia" w:ascii="仿宋" w:hAnsi="仿宋" w:eastAsia="仿宋"/>
          <w:bCs/>
          <w:color w:val="000000"/>
          <w:sz w:val="32"/>
          <w:szCs w:val="32"/>
          <w:lang w:val="en-US" w:eastAsia="zh-CN"/>
        </w:rPr>
      </w:pPr>
      <w:r>
        <w:rPr>
          <w:rStyle w:val="22"/>
          <w:rFonts w:ascii="仿宋" w:hAnsi="仿宋" w:eastAsia="仿宋"/>
          <w:bCs/>
          <w:color w:val="000000"/>
          <w:sz w:val="32"/>
          <w:szCs w:val="32"/>
        </w:rPr>
        <w:t>1.</w:t>
      </w:r>
      <w:r>
        <w:rPr>
          <w:rStyle w:val="22"/>
          <w:rFonts w:hint="eastAsia" w:ascii="仿宋" w:hAnsi="仿宋" w:eastAsia="仿宋"/>
          <w:bCs/>
          <w:color w:val="000000"/>
          <w:sz w:val="32"/>
          <w:szCs w:val="32"/>
        </w:rPr>
        <w:t>公共安全支出（</w:t>
      </w:r>
      <w:r>
        <w:rPr>
          <w:rStyle w:val="22"/>
          <w:rFonts w:hint="eastAsia" w:ascii="仿宋" w:hAnsi="仿宋" w:eastAsia="仿宋"/>
          <w:bCs/>
          <w:color w:val="000000"/>
          <w:sz w:val="32"/>
          <w:szCs w:val="32"/>
          <w:lang w:val="en-US" w:eastAsia="zh-CN"/>
        </w:rPr>
        <w:t>204</w:t>
      </w:r>
      <w:r>
        <w:rPr>
          <w:rStyle w:val="22"/>
          <w:rFonts w:hint="eastAsia" w:ascii="仿宋" w:hAnsi="仿宋" w:eastAsia="仿宋"/>
          <w:bCs/>
          <w:color w:val="000000"/>
          <w:sz w:val="32"/>
          <w:szCs w:val="32"/>
        </w:rPr>
        <w:t>）公安（</w:t>
      </w:r>
      <w:r>
        <w:rPr>
          <w:rStyle w:val="22"/>
          <w:rFonts w:hint="eastAsia" w:ascii="仿宋" w:hAnsi="仿宋" w:eastAsia="仿宋"/>
          <w:bCs/>
          <w:color w:val="000000"/>
          <w:sz w:val="32"/>
          <w:szCs w:val="32"/>
          <w:lang w:val="en-US" w:eastAsia="zh-CN"/>
        </w:rPr>
        <w:t>02</w:t>
      </w:r>
      <w:r>
        <w:rPr>
          <w:rStyle w:val="22"/>
          <w:rFonts w:hint="eastAsia" w:ascii="仿宋" w:hAnsi="仿宋" w:eastAsia="仿宋"/>
          <w:bCs/>
          <w:color w:val="000000"/>
          <w:sz w:val="32"/>
          <w:szCs w:val="32"/>
        </w:rPr>
        <w:t>）行政运行（</w:t>
      </w:r>
      <w:r>
        <w:rPr>
          <w:rStyle w:val="22"/>
          <w:rFonts w:hint="eastAsia" w:ascii="仿宋" w:hAnsi="仿宋" w:eastAsia="仿宋"/>
          <w:bCs/>
          <w:color w:val="000000"/>
          <w:sz w:val="32"/>
          <w:szCs w:val="32"/>
          <w:lang w:val="en-US" w:eastAsia="zh-CN"/>
        </w:rPr>
        <w:t>01</w:t>
      </w:r>
      <w:r>
        <w:rPr>
          <w:rStyle w:val="22"/>
          <w:rFonts w:hint="eastAsia" w:ascii="仿宋" w:hAnsi="仿宋" w:eastAsia="仿宋"/>
          <w:bCs/>
          <w:color w:val="000000"/>
          <w:sz w:val="32"/>
          <w:szCs w:val="32"/>
        </w:rPr>
        <w:t>）</w:t>
      </w:r>
      <w:r>
        <w:rPr>
          <w:rStyle w:val="22"/>
          <w:rFonts w:ascii="仿宋" w:hAnsi="仿宋" w:eastAsia="仿宋"/>
          <w:bCs/>
          <w:color w:val="000000"/>
          <w:sz w:val="32"/>
          <w:szCs w:val="32"/>
        </w:rPr>
        <w:t>:</w:t>
      </w:r>
      <w:r>
        <w:rPr>
          <w:rStyle w:val="22"/>
          <w:rFonts w:ascii="仿宋" w:hAnsi="仿宋" w:eastAsia="仿宋"/>
          <w:b w:val="0"/>
          <w:bCs/>
          <w:color w:val="000000"/>
          <w:sz w:val="32"/>
          <w:szCs w:val="32"/>
        </w:rPr>
        <w:t xml:space="preserve"> </w:t>
      </w:r>
      <w:r>
        <w:rPr>
          <w:rStyle w:val="22"/>
          <w:rFonts w:hint="eastAsia" w:ascii="仿宋" w:hAnsi="仿宋" w:eastAsia="仿宋"/>
          <w:b w:val="0"/>
          <w:bCs/>
          <w:color w:val="000000"/>
          <w:sz w:val="32"/>
          <w:szCs w:val="32"/>
        </w:rPr>
        <w:t>支出决算为3</w:t>
      </w:r>
      <w:r>
        <w:rPr>
          <w:rStyle w:val="22"/>
          <w:rFonts w:hint="eastAsia" w:ascii="仿宋" w:hAnsi="仿宋" w:eastAsia="仿宋"/>
          <w:b w:val="0"/>
          <w:bCs/>
          <w:color w:val="000000"/>
          <w:sz w:val="32"/>
          <w:szCs w:val="32"/>
          <w:lang w:val="en-US" w:eastAsia="zh-CN"/>
        </w:rPr>
        <w:t>,</w:t>
      </w:r>
      <w:r>
        <w:rPr>
          <w:rStyle w:val="22"/>
          <w:rFonts w:hint="eastAsia" w:ascii="仿宋" w:hAnsi="仿宋" w:eastAsia="仿宋"/>
          <w:b w:val="0"/>
          <w:bCs/>
          <w:color w:val="000000"/>
          <w:sz w:val="32"/>
          <w:szCs w:val="32"/>
        </w:rPr>
        <w:t>232.17万元，完成预算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r>
        <w:rPr>
          <w:rStyle w:val="22"/>
          <w:rFonts w:hint="eastAsia" w:ascii="仿宋" w:hAnsi="仿宋" w:eastAsia="仿宋"/>
          <w:b w:val="0"/>
          <w:bCs/>
          <w:color w:val="000000"/>
          <w:sz w:val="32"/>
          <w:szCs w:val="32"/>
          <w:lang w:val="en-US" w:eastAsia="zh-CN"/>
        </w:rPr>
        <w:tab/>
      </w:r>
    </w:p>
    <w:p>
      <w:pPr>
        <w:spacing w:line="600" w:lineRule="exact"/>
        <w:ind w:firstLine="642" w:firstLineChars="200"/>
        <w:outlineLvl w:val="9"/>
        <w:rPr>
          <w:rFonts w:hint="eastAsia" w:ascii="仿宋" w:hAnsi="仿宋" w:eastAsia="仿宋"/>
          <w:b/>
          <w:color w:val="000000"/>
          <w:sz w:val="32"/>
          <w:szCs w:val="32"/>
          <w:lang w:eastAsia="zh-CN"/>
        </w:rPr>
      </w:pPr>
      <w:r>
        <w:rPr>
          <w:rFonts w:hint="eastAsia" w:ascii="仿宋" w:hAnsi="仿宋" w:eastAsia="仿宋"/>
          <w:b/>
          <w:color w:val="000000"/>
          <w:sz w:val="32"/>
          <w:szCs w:val="32"/>
          <w:lang w:val="en-US" w:eastAsia="zh-CN"/>
        </w:rPr>
        <w:t>2.</w:t>
      </w:r>
      <w:r>
        <w:rPr>
          <w:rStyle w:val="22"/>
          <w:rFonts w:hint="eastAsia" w:ascii="仿宋" w:hAnsi="仿宋" w:eastAsia="仿宋"/>
          <w:bCs/>
          <w:color w:val="000000"/>
          <w:sz w:val="32"/>
          <w:szCs w:val="32"/>
        </w:rPr>
        <w:t>公共安全支出（</w:t>
      </w:r>
      <w:r>
        <w:rPr>
          <w:rStyle w:val="22"/>
          <w:rFonts w:hint="eastAsia" w:ascii="仿宋" w:hAnsi="仿宋" w:eastAsia="仿宋"/>
          <w:bCs/>
          <w:color w:val="000000"/>
          <w:sz w:val="32"/>
          <w:szCs w:val="32"/>
          <w:lang w:val="en-US" w:eastAsia="zh-CN"/>
        </w:rPr>
        <w:t>204</w:t>
      </w:r>
      <w:r>
        <w:rPr>
          <w:rStyle w:val="22"/>
          <w:rFonts w:hint="eastAsia" w:ascii="仿宋" w:hAnsi="仿宋" w:eastAsia="仿宋"/>
          <w:bCs/>
          <w:color w:val="000000"/>
          <w:sz w:val="32"/>
          <w:szCs w:val="32"/>
        </w:rPr>
        <w:t>）公安（</w:t>
      </w:r>
      <w:r>
        <w:rPr>
          <w:rStyle w:val="22"/>
          <w:rFonts w:hint="eastAsia" w:ascii="仿宋" w:hAnsi="仿宋" w:eastAsia="仿宋"/>
          <w:bCs/>
          <w:color w:val="000000"/>
          <w:sz w:val="32"/>
          <w:szCs w:val="32"/>
          <w:lang w:val="en-US" w:eastAsia="zh-CN"/>
        </w:rPr>
        <w:t>02</w:t>
      </w:r>
      <w:r>
        <w:rPr>
          <w:rStyle w:val="22"/>
          <w:rFonts w:hint="eastAsia" w:ascii="仿宋" w:hAnsi="仿宋" w:eastAsia="仿宋"/>
          <w:bCs/>
          <w:color w:val="000000"/>
          <w:sz w:val="32"/>
          <w:szCs w:val="32"/>
        </w:rPr>
        <w:t>）一般行政管理事务（</w:t>
      </w:r>
      <w:r>
        <w:rPr>
          <w:rStyle w:val="22"/>
          <w:rFonts w:hint="eastAsia" w:ascii="仿宋" w:hAnsi="仿宋" w:eastAsia="仿宋"/>
          <w:bCs/>
          <w:color w:val="000000"/>
          <w:sz w:val="32"/>
          <w:szCs w:val="32"/>
          <w:lang w:val="en-US" w:eastAsia="zh-CN"/>
        </w:rPr>
        <w:t>02</w:t>
      </w:r>
      <w:r>
        <w:rPr>
          <w:rStyle w:val="22"/>
          <w:rFonts w:hint="eastAsia" w:ascii="仿宋" w:hAnsi="仿宋" w:eastAsia="仿宋"/>
          <w:bCs/>
          <w:color w:val="000000"/>
          <w:sz w:val="32"/>
          <w:szCs w:val="32"/>
        </w:rPr>
        <w:t>）</w:t>
      </w:r>
      <w:r>
        <w:rPr>
          <w:rStyle w:val="22"/>
          <w:rFonts w:ascii="仿宋" w:hAnsi="仿宋" w:eastAsia="仿宋"/>
          <w:bCs/>
          <w:color w:val="000000"/>
          <w:sz w:val="32"/>
          <w:szCs w:val="32"/>
        </w:rPr>
        <w:t>:</w:t>
      </w:r>
      <w:r>
        <w:rPr>
          <w:rStyle w:val="22"/>
          <w:rFonts w:ascii="仿宋" w:hAnsi="仿宋" w:eastAsia="仿宋"/>
          <w:b w:val="0"/>
          <w:bCs/>
          <w:color w:val="000000"/>
          <w:sz w:val="32"/>
          <w:szCs w:val="32"/>
        </w:rPr>
        <w:t xml:space="preserve"> </w:t>
      </w:r>
      <w:r>
        <w:rPr>
          <w:rStyle w:val="22"/>
          <w:rFonts w:hint="eastAsia" w:ascii="仿宋" w:hAnsi="仿宋" w:eastAsia="仿宋"/>
          <w:b w:val="0"/>
          <w:bCs/>
          <w:color w:val="000000"/>
          <w:sz w:val="32"/>
          <w:szCs w:val="32"/>
        </w:rPr>
        <w:t>支出决算为</w:t>
      </w:r>
      <w:r>
        <w:rPr>
          <w:rStyle w:val="22"/>
          <w:rFonts w:hint="eastAsia" w:ascii="仿宋" w:hAnsi="仿宋" w:eastAsia="仿宋"/>
          <w:b w:val="0"/>
          <w:bCs/>
          <w:color w:val="000000"/>
          <w:sz w:val="32"/>
          <w:szCs w:val="32"/>
          <w:lang w:val="en-US" w:eastAsia="zh-CN"/>
        </w:rPr>
        <w:t>778.85</w:t>
      </w:r>
      <w:r>
        <w:rPr>
          <w:rStyle w:val="22"/>
          <w:rFonts w:hint="eastAsia" w:ascii="仿宋" w:hAnsi="仿宋" w:eastAsia="仿宋"/>
          <w:b w:val="0"/>
          <w:bCs/>
          <w:color w:val="000000"/>
          <w:sz w:val="32"/>
          <w:szCs w:val="32"/>
        </w:rPr>
        <w:t>万元，完成预算</w:t>
      </w:r>
      <w:r>
        <w:rPr>
          <w:rStyle w:val="22"/>
          <w:rFonts w:hint="eastAsia" w:ascii="仿宋" w:hAnsi="仿宋" w:eastAsia="仿宋"/>
          <w:b w:val="0"/>
          <w:bCs/>
          <w:color w:val="000000"/>
          <w:sz w:val="32"/>
          <w:szCs w:val="32"/>
          <w:lang w:val="en-US" w:eastAsia="zh-CN"/>
        </w:rPr>
        <w:t>37.43</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。决算数小于预算数的主要原因</w:t>
      </w:r>
      <w:r>
        <w:rPr>
          <w:rStyle w:val="22"/>
          <w:rFonts w:hint="eastAsia" w:ascii="仿宋" w:hAnsi="仿宋" w:eastAsia="仿宋"/>
          <w:b w:val="0"/>
          <w:bCs/>
          <w:color w:val="000000"/>
          <w:sz w:val="32"/>
          <w:szCs w:val="32"/>
          <w:lang w:eastAsia="zh-CN"/>
        </w:rPr>
        <w:t>当年项目资金预算执行较慢。</w:t>
      </w:r>
    </w:p>
    <w:p>
      <w:pPr>
        <w:spacing w:line="600" w:lineRule="exact"/>
        <w:ind w:firstLine="642" w:firstLineChars="200"/>
        <w:outlineLvl w:val="9"/>
        <w:rPr>
          <w:rFonts w:ascii="仿宋" w:hAnsi="仿宋" w:eastAsia="仿宋"/>
          <w:b/>
          <w:color w:val="000000"/>
          <w:sz w:val="32"/>
          <w:szCs w:val="32"/>
        </w:rPr>
      </w:pPr>
      <w:r>
        <w:rPr>
          <w:rFonts w:hint="eastAsia" w:ascii="仿宋" w:hAnsi="仿宋" w:eastAsia="仿宋"/>
          <w:b/>
          <w:color w:val="000000"/>
          <w:sz w:val="32"/>
          <w:szCs w:val="32"/>
          <w:lang w:val="en-US" w:eastAsia="zh-CN"/>
        </w:rPr>
        <w:t>3.</w:t>
      </w:r>
      <w:r>
        <w:rPr>
          <w:rStyle w:val="22"/>
          <w:rFonts w:hint="eastAsia" w:ascii="仿宋" w:hAnsi="仿宋" w:eastAsia="仿宋"/>
          <w:bCs/>
          <w:color w:val="000000"/>
          <w:sz w:val="32"/>
          <w:szCs w:val="32"/>
        </w:rPr>
        <w:t>公共安全支出（</w:t>
      </w:r>
      <w:r>
        <w:rPr>
          <w:rStyle w:val="22"/>
          <w:rFonts w:hint="eastAsia" w:ascii="仿宋" w:hAnsi="仿宋" w:eastAsia="仿宋"/>
          <w:bCs/>
          <w:color w:val="000000"/>
          <w:sz w:val="32"/>
          <w:szCs w:val="32"/>
          <w:lang w:val="en-US" w:eastAsia="zh-CN"/>
        </w:rPr>
        <w:t>204</w:t>
      </w:r>
      <w:r>
        <w:rPr>
          <w:rStyle w:val="22"/>
          <w:rFonts w:hint="eastAsia" w:ascii="仿宋" w:hAnsi="仿宋" w:eastAsia="仿宋"/>
          <w:bCs/>
          <w:color w:val="000000"/>
          <w:sz w:val="32"/>
          <w:szCs w:val="32"/>
        </w:rPr>
        <w:t>）公安（</w:t>
      </w:r>
      <w:r>
        <w:rPr>
          <w:rStyle w:val="22"/>
          <w:rFonts w:hint="eastAsia" w:ascii="仿宋" w:hAnsi="仿宋" w:eastAsia="仿宋"/>
          <w:bCs/>
          <w:color w:val="000000"/>
          <w:sz w:val="32"/>
          <w:szCs w:val="32"/>
          <w:lang w:val="en-US" w:eastAsia="zh-CN"/>
        </w:rPr>
        <w:t>02</w:t>
      </w:r>
      <w:r>
        <w:rPr>
          <w:rStyle w:val="22"/>
          <w:rFonts w:hint="eastAsia" w:ascii="仿宋" w:hAnsi="仿宋" w:eastAsia="仿宋"/>
          <w:bCs/>
          <w:color w:val="000000"/>
          <w:sz w:val="32"/>
          <w:szCs w:val="32"/>
        </w:rPr>
        <w:t>）执法办案</w:t>
      </w:r>
      <w:r>
        <w:rPr>
          <w:rStyle w:val="22"/>
          <w:rFonts w:hint="eastAsia" w:ascii="仿宋" w:hAnsi="仿宋" w:eastAsia="仿宋"/>
          <w:bCs/>
          <w:color w:val="000000"/>
          <w:sz w:val="32"/>
          <w:szCs w:val="32"/>
          <w:lang w:val="en-US" w:eastAsia="zh-CN"/>
        </w:rPr>
        <w:t>(20):</w:t>
      </w:r>
      <w:r>
        <w:rPr>
          <w:rStyle w:val="22"/>
          <w:rFonts w:hint="eastAsia" w:ascii="仿宋" w:hAnsi="仿宋" w:eastAsia="仿宋"/>
          <w:b w:val="0"/>
          <w:bCs/>
          <w:color w:val="000000"/>
          <w:sz w:val="32"/>
          <w:szCs w:val="32"/>
        </w:rPr>
        <w:t>支出决算为</w:t>
      </w:r>
      <w:r>
        <w:rPr>
          <w:rStyle w:val="22"/>
          <w:rFonts w:hint="eastAsia" w:ascii="仿宋" w:hAnsi="仿宋" w:eastAsia="仿宋"/>
          <w:b w:val="0"/>
          <w:bCs/>
          <w:color w:val="000000"/>
          <w:sz w:val="32"/>
          <w:szCs w:val="32"/>
          <w:lang w:val="en-US" w:eastAsia="zh-CN"/>
        </w:rPr>
        <w:t>258.2</w:t>
      </w:r>
      <w:r>
        <w:rPr>
          <w:rStyle w:val="22"/>
          <w:rFonts w:hint="eastAsia" w:ascii="仿宋" w:hAnsi="仿宋" w:eastAsia="仿宋"/>
          <w:b w:val="0"/>
          <w:bCs/>
          <w:color w:val="000000"/>
          <w:sz w:val="32"/>
          <w:szCs w:val="32"/>
        </w:rPr>
        <w:t>万元，完成预算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p>
    <w:p>
      <w:pPr>
        <w:spacing w:line="600" w:lineRule="exact"/>
        <w:ind w:firstLine="642" w:firstLineChars="200"/>
        <w:outlineLvl w:val="9"/>
        <w:rPr>
          <w:rStyle w:val="22"/>
          <w:rFonts w:hint="default" w:ascii="仿宋" w:hAnsi="仿宋" w:eastAsia="仿宋"/>
          <w:bCs/>
          <w:color w:val="000000"/>
          <w:sz w:val="32"/>
          <w:szCs w:val="32"/>
          <w:lang w:val="en-US" w:eastAsia="zh-CN"/>
        </w:rPr>
      </w:pPr>
      <w:r>
        <w:rPr>
          <w:rStyle w:val="22"/>
          <w:rFonts w:hint="eastAsia" w:ascii="仿宋" w:hAnsi="仿宋" w:eastAsia="仿宋"/>
          <w:bCs/>
          <w:color w:val="000000"/>
          <w:sz w:val="32"/>
          <w:szCs w:val="32"/>
          <w:lang w:val="en-US" w:eastAsia="zh-CN"/>
        </w:rPr>
        <w:t>4.</w:t>
      </w:r>
      <w:r>
        <w:rPr>
          <w:rStyle w:val="22"/>
          <w:rFonts w:hint="eastAsia" w:ascii="仿宋" w:hAnsi="仿宋" w:eastAsia="仿宋"/>
          <w:bCs/>
          <w:color w:val="000000"/>
          <w:sz w:val="32"/>
          <w:szCs w:val="32"/>
        </w:rPr>
        <w:t>公共安全支出（</w:t>
      </w:r>
      <w:r>
        <w:rPr>
          <w:rStyle w:val="22"/>
          <w:rFonts w:hint="eastAsia" w:ascii="仿宋" w:hAnsi="仿宋" w:eastAsia="仿宋"/>
          <w:bCs/>
          <w:color w:val="000000"/>
          <w:sz w:val="32"/>
          <w:szCs w:val="32"/>
          <w:lang w:val="en-US" w:eastAsia="zh-CN"/>
        </w:rPr>
        <w:t>204</w:t>
      </w:r>
      <w:r>
        <w:rPr>
          <w:rStyle w:val="22"/>
          <w:rFonts w:hint="eastAsia" w:ascii="仿宋" w:hAnsi="仿宋" w:eastAsia="仿宋"/>
          <w:bCs/>
          <w:color w:val="000000"/>
          <w:sz w:val="32"/>
          <w:szCs w:val="32"/>
        </w:rPr>
        <w:t>）公安（</w:t>
      </w:r>
      <w:r>
        <w:rPr>
          <w:rStyle w:val="22"/>
          <w:rFonts w:hint="eastAsia" w:ascii="仿宋" w:hAnsi="仿宋" w:eastAsia="仿宋"/>
          <w:bCs/>
          <w:color w:val="000000"/>
          <w:sz w:val="32"/>
          <w:szCs w:val="32"/>
          <w:lang w:val="en-US" w:eastAsia="zh-CN"/>
        </w:rPr>
        <w:t>02</w:t>
      </w:r>
      <w:r>
        <w:rPr>
          <w:rStyle w:val="22"/>
          <w:rFonts w:hint="eastAsia" w:ascii="仿宋" w:hAnsi="仿宋" w:eastAsia="仿宋"/>
          <w:bCs/>
          <w:color w:val="000000"/>
          <w:sz w:val="32"/>
          <w:szCs w:val="32"/>
        </w:rPr>
        <w:t>）其他公安支出</w:t>
      </w:r>
      <w:r>
        <w:rPr>
          <w:rStyle w:val="22"/>
          <w:rFonts w:hint="eastAsia" w:ascii="仿宋" w:hAnsi="仿宋" w:eastAsia="仿宋"/>
          <w:bCs/>
          <w:color w:val="000000"/>
          <w:sz w:val="32"/>
          <w:szCs w:val="32"/>
          <w:lang w:val="en-US" w:eastAsia="zh-CN"/>
        </w:rPr>
        <w:t>(99):</w:t>
      </w:r>
      <w:r>
        <w:rPr>
          <w:rStyle w:val="22"/>
          <w:rFonts w:hint="eastAsia" w:ascii="仿宋" w:hAnsi="仿宋" w:eastAsia="仿宋"/>
          <w:b w:val="0"/>
          <w:bCs/>
          <w:color w:val="000000"/>
          <w:sz w:val="32"/>
          <w:szCs w:val="32"/>
        </w:rPr>
        <w:t>支出决算为</w:t>
      </w:r>
      <w:r>
        <w:rPr>
          <w:rStyle w:val="22"/>
          <w:rFonts w:hint="eastAsia" w:ascii="仿宋" w:hAnsi="仿宋" w:eastAsia="仿宋"/>
          <w:b w:val="0"/>
          <w:bCs/>
          <w:color w:val="000000"/>
          <w:sz w:val="32"/>
          <w:szCs w:val="32"/>
          <w:lang w:val="en-US" w:eastAsia="zh-CN"/>
        </w:rPr>
        <w:t>283.56</w:t>
      </w:r>
      <w:r>
        <w:rPr>
          <w:rStyle w:val="22"/>
          <w:rFonts w:hint="eastAsia" w:ascii="仿宋" w:hAnsi="仿宋" w:eastAsia="仿宋"/>
          <w:b w:val="0"/>
          <w:bCs/>
          <w:color w:val="000000"/>
          <w:sz w:val="32"/>
          <w:szCs w:val="32"/>
        </w:rPr>
        <w:t>万元，完成预算</w:t>
      </w:r>
      <w:r>
        <w:rPr>
          <w:rStyle w:val="22"/>
          <w:rFonts w:hint="eastAsia" w:ascii="仿宋" w:hAnsi="仿宋" w:eastAsia="仿宋"/>
          <w:b w:val="0"/>
          <w:bCs/>
          <w:color w:val="000000"/>
          <w:sz w:val="32"/>
          <w:szCs w:val="32"/>
          <w:lang w:val="en-US" w:eastAsia="zh-CN"/>
        </w:rPr>
        <w:t>87.85</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。决算数小于预算数的主要原因</w:t>
      </w:r>
      <w:r>
        <w:rPr>
          <w:rStyle w:val="22"/>
          <w:rFonts w:hint="eastAsia" w:ascii="仿宋" w:hAnsi="仿宋" w:eastAsia="仿宋"/>
          <w:b w:val="0"/>
          <w:bCs/>
          <w:color w:val="000000"/>
          <w:sz w:val="32"/>
          <w:szCs w:val="32"/>
          <w:lang w:eastAsia="zh-CN"/>
        </w:rPr>
        <w:t>当年项目资金预算执行较慢。</w:t>
      </w:r>
    </w:p>
    <w:p>
      <w:pPr>
        <w:spacing w:line="600" w:lineRule="exact"/>
        <w:ind w:firstLine="642" w:firstLineChars="200"/>
        <w:outlineLvl w:val="9"/>
        <w:rPr>
          <w:rFonts w:hint="eastAsia" w:eastAsia="仿宋"/>
          <w:lang w:val="en-US" w:eastAsia="zh-CN"/>
        </w:rPr>
      </w:pPr>
      <w:r>
        <w:rPr>
          <w:rStyle w:val="22"/>
          <w:rFonts w:hint="eastAsia" w:ascii="仿宋" w:hAnsi="仿宋" w:eastAsia="仿宋"/>
          <w:bCs/>
          <w:color w:val="000000"/>
          <w:sz w:val="32"/>
          <w:szCs w:val="32"/>
          <w:lang w:val="en-US" w:eastAsia="zh-CN"/>
        </w:rPr>
        <w:t>5.</w:t>
      </w:r>
      <w:r>
        <w:rPr>
          <w:rStyle w:val="22"/>
          <w:rFonts w:hint="eastAsia" w:ascii="仿宋" w:hAnsi="仿宋" w:eastAsia="仿宋"/>
          <w:bCs/>
          <w:color w:val="000000"/>
          <w:sz w:val="32"/>
          <w:szCs w:val="32"/>
        </w:rPr>
        <w:t>公共安全支出（</w:t>
      </w:r>
      <w:r>
        <w:rPr>
          <w:rStyle w:val="22"/>
          <w:rFonts w:hint="eastAsia" w:ascii="仿宋" w:hAnsi="仿宋" w:eastAsia="仿宋"/>
          <w:bCs/>
          <w:color w:val="000000"/>
          <w:sz w:val="32"/>
          <w:szCs w:val="32"/>
          <w:lang w:val="en-US" w:eastAsia="zh-CN"/>
        </w:rPr>
        <w:t>204</w:t>
      </w:r>
      <w:r>
        <w:rPr>
          <w:rStyle w:val="22"/>
          <w:rFonts w:hint="eastAsia" w:ascii="仿宋" w:hAnsi="仿宋" w:eastAsia="仿宋"/>
          <w:bCs/>
          <w:color w:val="000000"/>
          <w:sz w:val="32"/>
          <w:szCs w:val="32"/>
        </w:rPr>
        <w:t>）其他公共安全支出</w:t>
      </w:r>
      <w:r>
        <w:rPr>
          <w:rStyle w:val="22"/>
          <w:rFonts w:hint="eastAsia" w:ascii="仿宋" w:hAnsi="仿宋" w:eastAsia="仿宋"/>
          <w:bCs/>
          <w:color w:val="000000"/>
          <w:sz w:val="32"/>
          <w:szCs w:val="32"/>
          <w:lang w:val="en-US" w:eastAsia="zh-CN"/>
        </w:rPr>
        <w:t>(99)其他公共安全支出(01);</w:t>
      </w:r>
      <w:r>
        <w:rPr>
          <w:rStyle w:val="22"/>
          <w:rFonts w:hint="eastAsia" w:ascii="仿宋" w:hAnsi="仿宋" w:eastAsia="仿宋"/>
          <w:b w:val="0"/>
          <w:bCs/>
          <w:color w:val="000000"/>
          <w:sz w:val="32"/>
          <w:szCs w:val="32"/>
        </w:rPr>
        <w:t>支出决算为</w:t>
      </w:r>
      <w:r>
        <w:rPr>
          <w:rStyle w:val="22"/>
          <w:rFonts w:hint="eastAsia" w:ascii="仿宋" w:hAnsi="仿宋" w:eastAsia="仿宋"/>
          <w:b w:val="0"/>
          <w:bCs/>
          <w:color w:val="000000"/>
          <w:sz w:val="32"/>
          <w:szCs w:val="32"/>
          <w:lang w:val="en-US" w:eastAsia="zh-CN"/>
        </w:rPr>
        <w:t>747.06</w:t>
      </w:r>
      <w:r>
        <w:rPr>
          <w:rStyle w:val="22"/>
          <w:rFonts w:hint="eastAsia" w:ascii="仿宋" w:hAnsi="仿宋" w:eastAsia="仿宋"/>
          <w:b w:val="0"/>
          <w:bCs/>
          <w:color w:val="000000"/>
          <w:sz w:val="32"/>
          <w:szCs w:val="32"/>
        </w:rPr>
        <w:t>万元，完成预算</w:t>
      </w:r>
      <w:r>
        <w:rPr>
          <w:rStyle w:val="22"/>
          <w:rFonts w:hint="eastAsia" w:ascii="仿宋" w:hAnsi="仿宋" w:eastAsia="仿宋"/>
          <w:b w:val="0"/>
          <w:bCs/>
          <w:color w:val="000000"/>
          <w:sz w:val="32"/>
          <w:szCs w:val="32"/>
          <w:lang w:val="en-US" w:eastAsia="zh-CN"/>
        </w:rPr>
        <w:t>91.12%</w:t>
      </w:r>
      <w:r>
        <w:rPr>
          <w:rStyle w:val="22"/>
          <w:rFonts w:hint="eastAsia" w:ascii="仿宋" w:hAnsi="仿宋" w:eastAsia="仿宋"/>
          <w:b w:val="0"/>
          <w:bCs/>
          <w:color w:val="000000"/>
          <w:sz w:val="32"/>
          <w:szCs w:val="32"/>
        </w:rPr>
        <w:t>。</w:t>
      </w:r>
      <w:r>
        <w:rPr>
          <w:rStyle w:val="22"/>
          <w:rFonts w:hint="eastAsia" w:ascii="仿宋" w:hAnsi="仿宋" w:eastAsia="仿宋"/>
          <w:b w:val="0"/>
          <w:bCs/>
          <w:color w:val="000000"/>
          <w:sz w:val="32"/>
          <w:szCs w:val="32"/>
          <w:lang w:eastAsia="zh-CN"/>
        </w:rPr>
        <w:t>当年项目资金执行较较慢。</w:t>
      </w:r>
    </w:p>
    <w:p>
      <w:pPr>
        <w:spacing w:line="600" w:lineRule="exact"/>
        <w:ind w:firstLine="642" w:firstLineChars="200"/>
        <w:outlineLvl w:val="9"/>
        <w:rPr>
          <w:rStyle w:val="22"/>
          <w:rFonts w:hint="eastAsia" w:ascii="仿宋" w:hAnsi="仿宋" w:eastAsia="仿宋"/>
          <w:b w:val="0"/>
          <w:bCs/>
          <w:color w:val="000000"/>
          <w:sz w:val="32"/>
          <w:szCs w:val="32"/>
        </w:rPr>
      </w:pPr>
      <w:r>
        <w:rPr>
          <w:rStyle w:val="22"/>
          <w:rFonts w:hint="eastAsia" w:ascii="仿宋" w:hAnsi="仿宋" w:eastAsia="仿宋"/>
          <w:bCs/>
          <w:color w:val="000000"/>
          <w:sz w:val="32"/>
          <w:szCs w:val="32"/>
          <w:lang w:val="en-US" w:eastAsia="zh-CN"/>
        </w:rPr>
        <w:t>6.</w:t>
      </w:r>
      <w:r>
        <w:rPr>
          <w:rStyle w:val="22"/>
          <w:rFonts w:hint="eastAsia" w:ascii="仿宋" w:hAnsi="仿宋" w:eastAsia="仿宋"/>
          <w:bCs/>
          <w:color w:val="000000"/>
          <w:sz w:val="32"/>
          <w:szCs w:val="32"/>
        </w:rPr>
        <w:t>社会保障和就业（</w:t>
      </w:r>
      <w:r>
        <w:rPr>
          <w:rStyle w:val="22"/>
          <w:rFonts w:hint="eastAsia" w:ascii="仿宋" w:hAnsi="仿宋" w:eastAsia="仿宋"/>
          <w:bCs/>
          <w:color w:val="000000"/>
          <w:sz w:val="32"/>
          <w:szCs w:val="32"/>
          <w:lang w:val="en-US" w:eastAsia="zh-CN"/>
        </w:rPr>
        <w:t>208</w:t>
      </w:r>
      <w:r>
        <w:rPr>
          <w:rStyle w:val="22"/>
          <w:rFonts w:hint="eastAsia" w:ascii="仿宋" w:hAnsi="仿宋" w:eastAsia="仿宋"/>
          <w:bCs/>
          <w:color w:val="000000"/>
          <w:sz w:val="32"/>
          <w:szCs w:val="32"/>
        </w:rPr>
        <w:t>）行政事业单位养老支出（</w:t>
      </w:r>
      <w:r>
        <w:rPr>
          <w:rStyle w:val="22"/>
          <w:rFonts w:hint="eastAsia" w:ascii="仿宋" w:hAnsi="仿宋" w:eastAsia="仿宋"/>
          <w:bCs/>
          <w:color w:val="000000"/>
          <w:sz w:val="32"/>
          <w:szCs w:val="32"/>
          <w:lang w:val="en-US" w:eastAsia="zh-CN"/>
        </w:rPr>
        <w:t>05</w:t>
      </w:r>
      <w:r>
        <w:rPr>
          <w:rStyle w:val="22"/>
          <w:rFonts w:hint="eastAsia" w:ascii="仿宋" w:hAnsi="仿宋" w:eastAsia="仿宋"/>
          <w:bCs/>
          <w:color w:val="000000"/>
          <w:sz w:val="32"/>
          <w:szCs w:val="32"/>
        </w:rPr>
        <w:t>）机关事业单位基本养老保险缴费支出（</w:t>
      </w:r>
      <w:r>
        <w:rPr>
          <w:rStyle w:val="22"/>
          <w:rFonts w:hint="eastAsia" w:ascii="仿宋" w:hAnsi="仿宋" w:eastAsia="仿宋"/>
          <w:bCs/>
          <w:color w:val="000000"/>
          <w:sz w:val="32"/>
          <w:szCs w:val="32"/>
          <w:lang w:val="en-US" w:eastAsia="zh-CN"/>
        </w:rPr>
        <w:t>05</w:t>
      </w:r>
      <w:r>
        <w:rPr>
          <w:rStyle w:val="22"/>
          <w:rFonts w:hint="eastAsia" w:ascii="仿宋" w:hAnsi="仿宋" w:eastAsia="仿宋"/>
          <w:bCs/>
          <w:color w:val="000000"/>
          <w:sz w:val="32"/>
          <w:szCs w:val="32"/>
        </w:rPr>
        <w:t>）</w:t>
      </w:r>
      <w:r>
        <w:rPr>
          <w:rStyle w:val="22"/>
          <w:rFonts w:ascii="仿宋" w:hAnsi="仿宋" w:eastAsia="仿宋"/>
          <w:bCs/>
          <w:color w:val="000000"/>
          <w:sz w:val="32"/>
          <w:szCs w:val="32"/>
        </w:rPr>
        <w:t>:</w:t>
      </w:r>
      <w:r>
        <w:rPr>
          <w:rStyle w:val="22"/>
          <w:rFonts w:ascii="仿宋" w:hAnsi="仿宋" w:eastAsia="仿宋"/>
          <w:b w:val="0"/>
          <w:bCs/>
          <w:color w:val="000000"/>
          <w:sz w:val="32"/>
          <w:szCs w:val="32"/>
        </w:rPr>
        <w:t xml:space="preserve"> </w:t>
      </w:r>
      <w:r>
        <w:rPr>
          <w:rStyle w:val="22"/>
          <w:rFonts w:hint="eastAsia" w:ascii="仿宋" w:hAnsi="仿宋" w:eastAsia="仿宋"/>
          <w:b w:val="0"/>
          <w:bCs/>
          <w:color w:val="000000"/>
          <w:sz w:val="32"/>
          <w:szCs w:val="32"/>
        </w:rPr>
        <w:t>支出决算为297.07万元，完成预算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p>
    <w:p>
      <w:pPr>
        <w:keepNext/>
        <w:keepLines/>
        <w:pageBreakBefore w:val="0"/>
        <w:widowControl w:val="0"/>
        <w:kinsoku/>
        <w:wordWrap/>
        <w:overflowPunct/>
        <w:topLinePunct w:val="0"/>
        <w:autoSpaceDE/>
        <w:autoSpaceDN/>
        <w:bidi w:val="0"/>
        <w:adjustRightInd/>
        <w:snapToGrid/>
        <w:spacing w:line="416" w:lineRule="auto"/>
        <w:ind w:firstLine="642" w:firstLineChars="200"/>
        <w:textAlignment w:val="auto"/>
        <w:outlineLvl w:val="9"/>
        <w:rPr>
          <w:rStyle w:val="22"/>
          <w:rFonts w:hint="eastAsia" w:ascii="仿宋" w:hAnsi="仿宋" w:eastAsia="仿宋"/>
          <w:b w:val="0"/>
          <w:bCs/>
          <w:color w:val="000000"/>
          <w:sz w:val="32"/>
          <w:szCs w:val="32"/>
        </w:rPr>
      </w:pPr>
      <w:r>
        <w:rPr>
          <w:rStyle w:val="22"/>
          <w:rFonts w:hint="eastAsia" w:ascii="仿宋" w:hAnsi="仿宋" w:eastAsia="仿宋"/>
          <w:b/>
          <w:bCs/>
          <w:color w:val="000000"/>
          <w:sz w:val="32"/>
          <w:szCs w:val="32"/>
          <w:lang w:val="en-US" w:eastAsia="zh-CN"/>
        </w:rPr>
        <w:t>7.</w:t>
      </w:r>
      <w:r>
        <w:rPr>
          <w:rStyle w:val="22"/>
          <w:rFonts w:hint="eastAsia" w:ascii="仿宋" w:hAnsi="仿宋" w:eastAsia="仿宋"/>
          <w:b/>
          <w:bCs/>
          <w:color w:val="000000"/>
          <w:sz w:val="32"/>
          <w:szCs w:val="32"/>
        </w:rPr>
        <w:t>社会保障和就业（</w:t>
      </w:r>
      <w:r>
        <w:rPr>
          <w:rStyle w:val="22"/>
          <w:rFonts w:hint="eastAsia" w:ascii="仿宋" w:hAnsi="仿宋" w:eastAsia="仿宋"/>
          <w:b/>
          <w:bCs/>
          <w:color w:val="000000"/>
          <w:sz w:val="32"/>
          <w:szCs w:val="32"/>
          <w:lang w:val="en-US" w:eastAsia="zh-CN"/>
        </w:rPr>
        <w:t>208</w:t>
      </w:r>
      <w:r>
        <w:rPr>
          <w:rStyle w:val="22"/>
          <w:rFonts w:hint="eastAsia" w:ascii="仿宋" w:hAnsi="仿宋" w:eastAsia="仿宋"/>
          <w:b/>
          <w:bCs/>
          <w:color w:val="000000"/>
          <w:sz w:val="32"/>
          <w:szCs w:val="32"/>
        </w:rPr>
        <w:t>）行政事业单位养老支出（</w:t>
      </w:r>
      <w:r>
        <w:rPr>
          <w:rStyle w:val="22"/>
          <w:rFonts w:hint="eastAsia" w:ascii="仿宋" w:hAnsi="仿宋" w:eastAsia="仿宋"/>
          <w:b/>
          <w:bCs/>
          <w:color w:val="000000"/>
          <w:sz w:val="32"/>
          <w:szCs w:val="32"/>
          <w:lang w:val="en-US" w:eastAsia="zh-CN"/>
        </w:rPr>
        <w:t>05</w:t>
      </w:r>
      <w:r>
        <w:rPr>
          <w:rStyle w:val="22"/>
          <w:rFonts w:hint="eastAsia" w:ascii="仿宋" w:hAnsi="仿宋" w:eastAsia="仿宋"/>
          <w:b/>
          <w:bCs/>
          <w:color w:val="000000"/>
          <w:sz w:val="32"/>
          <w:szCs w:val="32"/>
        </w:rPr>
        <w:t>）机关事业单位职业年金缴费支出（</w:t>
      </w:r>
      <w:r>
        <w:rPr>
          <w:rStyle w:val="22"/>
          <w:rFonts w:hint="eastAsia" w:ascii="仿宋" w:hAnsi="仿宋" w:eastAsia="仿宋"/>
          <w:b/>
          <w:bCs/>
          <w:color w:val="000000"/>
          <w:sz w:val="32"/>
          <w:szCs w:val="32"/>
          <w:lang w:val="en-US" w:eastAsia="zh-CN"/>
        </w:rPr>
        <w:t>06</w:t>
      </w:r>
      <w:r>
        <w:rPr>
          <w:rStyle w:val="22"/>
          <w:rFonts w:hint="eastAsia" w:ascii="仿宋" w:hAnsi="仿宋" w:eastAsia="仿宋"/>
          <w:b/>
          <w:bCs/>
          <w:color w:val="000000"/>
          <w:sz w:val="32"/>
          <w:szCs w:val="32"/>
        </w:rPr>
        <w:t>）</w:t>
      </w:r>
      <w:r>
        <w:rPr>
          <w:rStyle w:val="22"/>
          <w:rFonts w:ascii="仿宋" w:hAnsi="仿宋" w:eastAsia="仿宋"/>
          <w:b/>
          <w:bCs/>
          <w:color w:val="000000"/>
          <w:sz w:val="32"/>
          <w:szCs w:val="32"/>
        </w:rPr>
        <w:t>:</w:t>
      </w:r>
      <w:r>
        <w:rPr>
          <w:rStyle w:val="22"/>
          <w:rFonts w:ascii="仿宋" w:hAnsi="仿宋" w:eastAsia="仿宋"/>
          <w:b w:val="0"/>
          <w:bCs/>
          <w:color w:val="000000"/>
          <w:sz w:val="32"/>
          <w:szCs w:val="32"/>
        </w:rPr>
        <w:t xml:space="preserve"> </w:t>
      </w:r>
      <w:r>
        <w:rPr>
          <w:rStyle w:val="22"/>
          <w:rFonts w:hint="eastAsia" w:ascii="仿宋" w:hAnsi="仿宋" w:eastAsia="仿宋"/>
          <w:b w:val="0"/>
          <w:bCs/>
          <w:color w:val="000000"/>
          <w:sz w:val="32"/>
          <w:szCs w:val="32"/>
        </w:rPr>
        <w:t>支出决算为148.72万元，完成预算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p>
    <w:p>
      <w:pPr>
        <w:keepNext/>
        <w:keepLines/>
        <w:pageBreakBefore w:val="0"/>
        <w:widowControl w:val="0"/>
        <w:kinsoku/>
        <w:wordWrap/>
        <w:overflowPunct/>
        <w:topLinePunct w:val="0"/>
        <w:autoSpaceDE/>
        <w:autoSpaceDN/>
        <w:bidi w:val="0"/>
        <w:adjustRightInd/>
        <w:snapToGrid/>
        <w:spacing w:line="416" w:lineRule="auto"/>
        <w:ind w:firstLine="642" w:firstLineChars="200"/>
        <w:textAlignment w:val="auto"/>
        <w:outlineLvl w:val="9"/>
        <w:rPr>
          <w:rFonts w:hint="eastAsia" w:ascii="仿宋" w:hAnsi="仿宋" w:eastAsia="仿宋"/>
          <w:b/>
          <w:color w:val="000000"/>
          <w:sz w:val="32"/>
          <w:szCs w:val="32"/>
          <w:lang w:eastAsia="zh-CN"/>
        </w:rPr>
      </w:pPr>
      <w:r>
        <w:rPr>
          <w:rStyle w:val="22"/>
          <w:rFonts w:hint="eastAsia" w:ascii="仿宋" w:hAnsi="仿宋" w:eastAsia="仿宋"/>
          <w:bCs/>
          <w:color w:val="000000"/>
          <w:sz w:val="32"/>
          <w:szCs w:val="32"/>
          <w:lang w:val="en-US" w:eastAsia="zh-CN"/>
        </w:rPr>
        <w:t>8</w:t>
      </w:r>
      <w:r>
        <w:rPr>
          <w:rStyle w:val="22"/>
          <w:rFonts w:ascii="仿宋" w:hAnsi="仿宋" w:eastAsia="仿宋"/>
          <w:bCs/>
          <w:color w:val="000000"/>
          <w:sz w:val="32"/>
          <w:szCs w:val="32"/>
        </w:rPr>
        <w:t>.</w:t>
      </w:r>
      <w:r>
        <w:rPr>
          <w:rFonts w:hint="eastAsia" w:ascii="仿宋" w:hAnsi="仿宋" w:eastAsia="仿宋"/>
          <w:b/>
          <w:bCs/>
          <w:color w:val="000000"/>
          <w:sz w:val="32"/>
          <w:szCs w:val="32"/>
        </w:rPr>
        <w:t>卫生健康</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val="en-US" w:eastAsia="zh-CN"/>
        </w:rPr>
        <w:t>210</w:t>
      </w:r>
      <w:r>
        <w:rPr>
          <w:rStyle w:val="22"/>
          <w:rFonts w:hint="eastAsia" w:ascii="仿宋" w:hAnsi="仿宋" w:eastAsia="仿宋"/>
          <w:bCs/>
          <w:color w:val="000000"/>
          <w:sz w:val="32"/>
          <w:szCs w:val="32"/>
        </w:rPr>
        <w:t>）公共卫生（</w:t>
      </w:r>
      <w:r>
        <w:rPr>
          <w:rStyle w:val="22"/>
          <w:rFonts w:hint="eastAsia" w:ascii="仿宋" w:hAnsi="仿宋" w:eastAsia="仿宋"/>
          <w:bCs/>
          <w:color w:val="000000"/>
          <w:sz w:val="32"/>
          <w:szCs w:val="32"/>
          <w:lang w:val="en-US" w:eastAsia="zh-CN"/>
        </w:rPr>
        <w:t>04</w:t>
      </w:r>
      <w:r>
        <w:rPr>
          <w:rStyle w:val="22"/>
          <w:rFonts w:hint="eastAsia" w:ascii="仿宋" w:hAnsi="仿宋" w:eastAsia="仿宋"/>
          <w:bCs/>
          <w:color w:val="000000"/>
          <w:sz w:val="32"/>
          <w:szCs w:val="32"/>
        </w:rPr>
        <w:t>）重大公共卫生服务（</w:t>
      </w:r>
      <w:r>
        <w:rPr>
          <w:rStyle w:val="22"/>
          <w:rFonts w:hint="eastAsia" w:ascii="仿宋" w:hAnsi="仿宋" w:eastAsia="仿宋"/>
          <w:bCs/>
          <w:color w:val="000000"/>
          <w:sz w:val="32"/>
          <w:szCs w:val="32"/>
          <w:lang w:val="en-US" w:eastAsia="zh-CN"/>
        </w:rPr>
        <w:t>09</w:t>
      </w:r>
      <w:r>
        <w:rPr>
          <w:rStyle w:val="22"/>
          <w:rFonts w:hint="eastAsia" w:ascii="仿宋" w:hAnsi="仿宋" w:eastAsia="仿宋"/>
          <w:bCs/>
          <w:color w:val="000000"/>
          <w:sz w:val="32"/>
          <w:szCs w:val="32"/>
        </w:rPr>
        <w:t>）</w:t>
      </w:r>
      <w:r>
        <w:rPr>
          <w:rStyle w:val="22"/>
          <w:rFonts w:ascii="仿宋" w:hAnsi="仿宋" w:eastAsia="仿宋"/>
          <w:bCs/>
          <w:color w:val="000000"/>
          <w:sz w:val="32"/>
          <w:szCs w:val="32"/>
        </w:rPr>
        <w:t>:</w:t>
      </w:r>
      <w:r>
        <w:rPr>
          <w:rStyle w:val="22"/>
          <w:rFonts w:hint="eastAsia" w:ascii="仿宋" w:hAnsi="仿宋" w:eastAsia="仿宋"/>
          <w:b w:val="0"/>
          <w:bCs/>
          <w:color w:val="000000"/>
          <w:sz w:val="32"/>
          <w:szCs w:val="32"/>
        </w:rPr>
        <w:t>支出决算为5.65万元，完成预算</w:t>
      </w:r>
      <w:r>
        <w:rPr>
          <w:rStyle w:val="22"/>
          <w:rFonts w:hint="eastAsia" w:ascii="仿宋" w:hAnsi="仿宋" w:eastAsia="仿宋"/>
          <w:b w:val="0"/>
          <w:bCs/>
          <w:color w:val="000000"/>
          <w:sz w:val="32"/>
          <w:szCs w:val="32"/>
          <w:lang w:val="en-US" w:eastAsia="zh-CN"/>
        </w:rPr>
        <w:t>94.17</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，决算数小于预算数的主要原因</w:t>
      </w:r>
      <w:r>
        <w:rPr>
          <w:rStyle w:val="22"/>
          <w:rFonts w:hint="eastAsia" w:ascii="仿宋" w:hAnsi="仿宋" w:eastAsia="仿宋"/>
          <w:b w:val="0"/>
          <w:bCs/>
          <w:color w:val="000000"/>
          <w:sz w:val="32"/>
          <w:szCs w:val="32"/>
          <w:lang w:eastAsia="zh-CN"/>
        </w:rPr>
        <w:t>当年项目资金预算执行较慢。</w:t>
      </w:r>
    </w:p>
    <w:p>
      <w:pPr>
        <w:spacing w:line="600" w:lineRule="exact"/>
        <w:ind w:firstLine="640" w:firstLineChars="200"/>
        <w:outlineLvl w:val="9"/>
        <w:rPr>
          <w:rStyle w:val="22"/>
          <w:rFonts w:hint="eastAsia" w:ascii="仿宋" w:hAnsi="仿宋" w:eastAsia="仿宋"/>
          <w:b w:val="0"/>
          <w:bCs/>
          <w:color w:val="000000"/>
          <w:sz w:val="32"/>
          <w:szCs w:val="32"/>
        </w:rPr>
      </w:pPr>
      <w:r>
        <w:rPr>
          <w:rFonts w:hint="eastAsia" w:ascii="仿宋" w:hAnsi="仿宋" w:eastAsia="仿宋"/>
          <w:color w:val="000000"/>
          <w:sz w:val="32"/>
          <w:szCs w:val="32"/>
          <w:lang w:val="en-US" w:eastAsia="zh-CN"/>
        </w:rPr>
        <w:t>9.</w:t>
      </w:r>
      <w:r>
        <w:rPr>
          <w:rFonts w:hint="eastAsia" w:ascii="仿宋" w:hAnsi="仿宋" w:eastAsia="仿宋"/>
          <w:b/>
          <w:bCs/>
          <w:color w:val="000000"/>
          <w:sz w:val="32"/>
          <w:szCs w:val="32"/>
        </w:rPr>
        <w:t>卫生健康</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val="en-US" w:eastAsia="zh-CN"/>
        </w:rPr>
        <w:t>210</w:t>
      </w:r>
      <w:r>
        <w:rPr>
          <w:rStyle w:val="22"/>
          <w:rFonts w:hint="eastAsia" w:ascii="仿宋" w:hAnsi="仿宋" w:eastAsia="仿宋"/>
          <w:bCs/>
          <w:color w:val="000000"/>
          <w:sz w:val="32"/>
          <w:szCs w:val="32"/>
        </w:rPr>
        <w:t>）行政事业单位医疗（</w:t>
      </w:r>
      <w:r>
        <w:rPr>
          <w:rStyle w:val="22"/>
          <w:rFonts w:hint="eastAsia" w:ascii="仿宋" w:hAnsi="仿宋" w:eastAsia="仿宋"/>
          <w:bCs/>
          <w:color w:val="000000"/>
          <w:sz w:val="32"/>
          <w:szCs w:val="32"/>
          <w:lang w:val="en-US" w:eastAsia="zh-CN"/>
        </w:rPr>
        <w:t>11</w:t>
      </w:r>
      <w:r>
        <w:rPr>
          <w:rStyle w:val="22"/>
          <w:rFonts w:hint="eastAsia" w:ascii="仿宋" w:hAnsi="仿宋" w:eastAsia="仿宋"/>
          <w:bCs/>
          <w:color w:val="000000"/>
          <w:sz w:val="32"/>
          <w:szCs w:val="32"/>
        </w:rPr>
        <w:t>）行政单位医疗（</w:t>
      </w:r>
      <w:r>
        <w:rPr>
          <w:rStyle w:val="22"/>
          <w:rFonts w:hint="eastAsia" w:ascii="仿宋" w:hAnsi="仿宋" w:eastAsia="仿宋"/>
          <w:bCs/>
          <w:color w:val="000000"/>
          <w:sz w:val="32"/>
          <w:szCs w:val="32"/>
          <w:lang w:val="en-US" w:eastAsia="zh-CN"/>
        </w:rPr>
        <w:t>01</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val="en-US" w:eastAsia="zh-CN"/>
        </w:rPr>
        <w:t>:</w:t>
      </w:r>
      <w:r>
        <w:rPr>
          <w:rStyle w:val="22"/>
          <w:rFonts w:hint="eastAsia" w:ascii="仿宋" w:hAnsi="仿宋" w:eastAsia="仿宋"/>
          <w:b w:val="0"/>
          <w:bCs/>
          <w:color w:val="000000"/>
          <w:sz w:val="32"/>
          <w:szCs w:val="32"/>
        </w:rPr>
        <w:t>支出决算为132.19万元，完成预算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p>
    <w:p>
      <w:pPr>
        <w:spacing w:line="600" w:lineRule="exact"/>
        <w:ind w:firstLine="642" w:firstLineChars="200"/>
        <w:outlineLvl w:val="9"/>
        <w:rPr>
          <w:rStyle w:val="22"/>
          <w:rFonts w:hint="eastAsia" w:ascii="仿宋" w:hAnsi="仿宋" w:eastAsia="仿宋"/>
          <w:bCs/>
          <w:color w:val="000000"/>
          <w:sz w:val="32"/>
          <w:szCs w:val="32"/>
          <w:lang w:val="en-US" w:eastAsia="zh-CN"/>
        </w:rPr>
      </w:pPr>
      <w:r>
        <w:rPr>
          <w:rStyle w:val="22"/>
          <w:rFonts w:hint="eastAsia" w:ascii="仿宋" w:hAnsi="仿宋" w:eastAsia="仿宋"/>
          <w:bCs/>
          <w:color w:val="000000"/>
          <w:sz w:val="32"/>
          <w:szCs w:val="32"/>
          <w:lang w:val="en-US" w:eastAsia="zh-CN"/>
        </w:rPr>
        <w:t>10.卫生健康支出(210)行政事业单位医疗(11)公务员医疗补助(03):</w:t>
      </w:r>
      <w:r>
        <w:rPr>
          <w:rStyle w:val="22"/>
          <w:rFonts w:hint="eastAsia" w:ascii="仿宋" w:hAnsi="仿宋" w:eastAsia="仿宋"/>
          <w:b w:val="0"/>
          <w:bCs/>
          <w:color w:val="000000"/>
          <w:sz w:val="32"/>
          <w:szCs w:val="32"/>
        </w:rPr>
        <w:t>支出决算为32.99万元，完成预算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p>
    <w:p>
      <w:pPr>
        <w:spacing w:line="600" w:lineRule="exact"/>
        <w:ind w:firstLine="642" w:firstLineChars="200"/>
        <w:outlineLvl w:val="9"/>
        <w:rPr>
          <w:rStyle w:val="22"/>
          <w:rFonts w:hint="eastAsia" w:ascii="仿宋" w:hAnsi="仿宋" w:eastAsia="仿宋"/>
          <w:bCs/>
          <w:color w:val="000000"/>
          <w:sz w:val="32"/>
          <w:szCs w:val="32"/>
          <w:lang w:val="en-US" w:eastAsia="zh-CN"/>
        </w:rPr>
      </w:pPr>
      <w:r>
        <w:rPr>
          <w:rStyle w:val="22"/>
          <w:rFonts w:hint="eastAsia" w:ascii="仿宋" w:hAnsi="仿宋" w:eastAsia="仿宋"/>
          <w:bCs/>
          <w:color w:val="000000"/>
          <w:sz w:val="32"/>
          <w:szCs w:val="32"/>
          <w:lang w:val="en-US" w:eastAsia="zh-CN"/>
        </w:rPr>
        <w:t>10.住房保障支出(221)住房改革支出(02)住房公积金(01):</w:t>
      </w:r>
      <w:r>
        <w:rPr>
          <w:rStyle w:val="22"/>
          <w:rFonts w:hint="eastAsia" w:ascii="仿宋" w:hAnsi="仿宋" w:eastAsia="仿宋"/>
          <w:b w:val="0"/>
          <w:bCs/>
          <w:color w:val="000000"/>
          <w:sz w:val="32"/>
          <w:szCs w:val="32"/>
        </w:rPr>
        <w:t>支出决算为313.12万元，完成预算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lang w:eastAsia="zh-CN"/>
        </w:rPr>
        <w:t>。</w:t>
      </w:r>
    </w:p>
    <w:p>
      <w:pPr>
        <w:spacing w:line="600" w:lineRule="exact"/>
        <w:ind w:firstLine="642" w:firstLineChars="200"/>
        <w:outlineLvl w:val="9"/>
        <w:rPr>
          <w:rFonts w:ascii="仿宋" w:hAnsi="仿宋" w:eastAsia="仿宋"/>
          <w:b/>
          <w:color w:val="000000"/>
          <w:sz w:val="32"/>
          <w:szCs w:val="32"/>
        </w:rPr>
      </w:pPr>
      <w:r>
        <w:rPr>
          <w:rStyle w:val="22"/>
          <w:rFonts w:hint="eastAsia" w:ascii="仿宋" w:hAnsi="仿宋" w:eastAsia="仿宋"/>
          <w:bCs/>
          <w:color w:val="000000"/>
          <w:sz w:val="32"/>
          <w:szCs w:val="32"/>
          <w:lang w:val="en-US" w:eastAsia="zh-CN"/>
        </w:rPr>
        <w:t>11:其他支出(229)其他支出(99)其他支出(01):</w:t>
      </w:r>
      <w:r>
        <w:rPr>
          <w:rStyle w:val="22"/>
          <w:rFonts w:hint="eastAsia" w:ascii="仿宋" w:hAnsi="仿宋" w:eastAsia="仿宋"/>
          <w:b w:val="0"/>
          <w:bCs/>
          <w:color w:val="000000"/>
          <w:sz w:val="32"/>
          <w:szCs w:val="32"/>
        </w:rPr>
        <w:t>支出决算为0.49万元，完成预算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p>
    <w:p>
      <w:pPr>
        <w:tabs>
          <w:tab w:val="right" w:pos="8306"/>
        </w:tabs>
        <w:spacing w:line="600" w:lineRule="exact"/>
        <w:ind w:firstLine="640"/>
        <w:outlineLvl w:val="1"/>
        <w:rPr>
          <w:rStyle w:val="25"/>
        </w:rPr>
      </w:pPr>
      <w:bookmarkStart w:id="68" w:name="_Toc15396608"/>
      <w:bookmarkStart w:id="69" w:name="_Toc15377214"/>
      <w:bookmarkStart w:id="70" w:name="_Toc79163618"/>
      <w:bookmarkStart w:id="71" w:name="_Toc26463"/>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68"/>
      <w:bookmarkEnd w:id="69"/>
      <w:bookmarkEnd w:id="70"/>
      <w:bookmarkEnd w:id="71"/>
      <w:r>
        <w:rPr>
          <w:rStyle w:val="25"/>
          <w:rFonts w:ascii="黑体" w:hAnsi="黑体" w:eastAsia="黑体"/>
          <w:b w:val="0"/>
        </w:rPr>
        <w:tab/>
      </w:r>
    </w:p>
    <w:p>
      <w:pPr>
        <w:spacing w:line="600" w:lineRule="exact"/>
        <w:ind w:firstLine="645"/>
        <w:outlineLvl w:val="9"/>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年一般公共预算财政拨款基本支出4</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156.26万元，其中：</w:t>
      </w:r>
    </w:p>
    <w:p>
      <w:pPr>
        <w:spacing w:line="600" w:lineRule="exact"/>
        <w:ind w:firstLine="645"/>
        <w:outlineLvl w:val="9"/>
        <w:rPr>
          <w:rFonts w:ascii="仿宋" w:hAnsi="仿宋" w:eastAsia="仿宋"/>
          <w:b/>
          <w:color w:val="FF0000"/>
          <w:sz w:val="32"/>
          <w:szCs w:val="32"/>
        </w:rPr>
      </w:pPr>
      <w:r>
        <w:rPr>
          <w:rFonts w:hint="eastAsia" w:ascii="仿宋" w:hAnsi="仿宋" w:eastAsia="仿宋"/>
          <w:color w:val="000000"/>
          <w:sz w:val="32"/>
          <w:szCs w:val="32"/>
        </w:rPr>
        <w:t>人员经费3</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742.74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日常公用经费413.5</w:t>
      </w:r>
      <w:r>
        <w:rPr>
          <w:rFonts w:hint="eastAsia" w:ascii="仿宋" w:hAnsi="仿宋" w:eastAsia="仿宋"/>
          <w:color w:val="000000"/>
          <w:sz w:val="32"/>
          <w:szCs w:val="32"/>
          <w:lang w:val="en-US" w:eastAsia="zh-CN"/>
        </w:rPr>
        <w:t>4</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5"/>
          <w:rFonts w:ascii="黑体" w:hAnsi="黑体" w:eastAsia="黑体"/>
          <w:b w:val="0"/>
        </w:rPr>
      </w:pPr>
      <w:bookmarkStart w:id="72" w:name="_Toc79163619"/>
      <w:bookmarkStart w:id="73" w:name="_Toc15396609"/>
      <w:bookmarkStart w:id="74" w:name="_Toc15377215"/>
      <w:bookmarkStart w:id="75" w:name="_Toc25935"/>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72"/>
      <w:bookmarkEnd w:id="73"/>
      <w:bookmarkEnd w:id="74"/>
      <w:bookmarkEnd w:id="75"/>
    </w:p>
    <w:p>
      <w:pPr>
        <w:spacing w:line="600" w:lineRule="exact"/>
        <w:ind w:firstLine="640"/>
        <w:outlineLvl w:val="2"/>
        <w:rPr>
          <w:rFonts w:ascii="仿宋" w:hAnsi="仿宋" w:eastAsia="仿宋"/>
          <w:b/>
          <w:color w:val="000000"/>
          <w:sz w:val="32"/>
          <w:szCs w:val="32"/>
        </w:rPr>
      </w:pPr>
      <w:bookmarkStart w:id="76" w:name="_Toc79163620"/>
      <w:bookmarkStart w:id="77" w:name="_Toc15377216"/>
      <w:bookmarkStart w:id="78" w:name="_Toc30923"/>
      <w:r>
        <w:rPr>
          <w:rFonts w:hint="eastAsia" w:ascii="仿宋" w:hAnsi="仿宋" w:eastAsia="仿宋"/>
          <w:b/>
          <w:color w:val="000000"/>
          <w:sz w:val="32"/>
          <w:szCs w:val="32"/>
        </w:rPr>
        <w:t>（一）“三公”经费财政拨款支出决算总体情况说明</w:t>
      </w:r>
      <w:bookmarkEnd w:id="76"/>
      <w:bookmarkEnd w:id="77"/>
      <w:bookmarkEnd w:id="78"/>
    </w:p>
    <w:p>
      <w:pPr>
        <w:spacing w:line="600" w:lineRule="exact"/>
        <w:ind w:firstLine="640"/>
        <w:rPr>
          <w:rFonts w:ascii="仿宋" w:hAnsi="仿宋" w:eastAsia="仿宋"/>
          <w:b/>
          <w:color w:val="FF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年“三公”经费财政拨款支出决算为241万元，完成预算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79" w:name="_Toc79163621"/>
      <w:bookmarkStart w:id="80" w:name="_Toc15377217"/>
      <w:bookmarkStart w:id="81" w:name="_Toc20706"/>
      <w:r>
        <w:rPr>
          <w:rFonts w:hint="eastAsia" w:ascii="仿宋" w:hAnsi="仿宋" w:eastAsia="仿宋"/>
          <w:b/>
          <w:color w:val="000000"/>
          <w:sz w:val="32"/>
          <w:szCs w:val="32"/>
        </w:rPr>
        <w:t>（二）“三公”经费财政拨款支出决算具体情况说明</w:t>
      </w:r>
      <w:bookmarkEnd w:id="79"/>
      <w:bookmarkEnd w:id="80"/>
      <w:bookmarkEnd w:id="81"/>
    </w:p>
    <w:p>
      <w:pPr>
        <w:spacing w:line="600" w:lineRule="exact"/>
        <w:ind w:firstLine="640"/>
        <w:outlineLvl w:val="9"/>
        <w:rPr>
          <w:rFonts w:hint="eastAsia" w:ascii="仿宋" w:hAnsi="仿宋" w:eastAsia="仿宋"/>
          <w:color w:val="000000"/>
          <w:sz w:val="32"/>
          <w:szCs w:val="32"/>
          <w:lang w:eastAsia="zh-CN"/>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；公务用车购置及运行维护费支出决算232.83万元，占</w:t>
      </w:r>
      <w:r>
        <w:rPr>
          <w:rFonts w:hint="eastAsia" w:ascii="仿宋" w:hAnsi="仿宋" w:eastAsia="仿宋"/>
          <w:color w:val="000000"/>
          <w:sz w:val="32"/>
          <w:szCs w:val="32"/>
          <w:lang w:val="en-US" w:eastAsia="zh-CN"/>
        </w:rPr>
        <w:t>96.61</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8.17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3.39</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outlineLvl w:val="9"/>
        <w:rPr>
          <w:rFonts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61312" behindDoc="0" locked="0" layoutInCell="1" allowOverlap="1">
            <wp:simplePos x="0" y="0"/>
            <wp:positionH relativeFrom="column">
              <wp:posOffset>432435</wp:posOffset>
            </wp:positionH>
            <wp:positionV relativeFrom="paragraph">
              <wp:posOffset>31115</wp:posOffset>
            </wp:positionV>
            <wp:extent cx="5080000" cy="3810000"/>
            <wp:effectExtent l="4445" t="4445" r="20955" b="14605"/>
            <wp:wrapTopAndBottom/>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仿宋" w:hAnsi="仿宋" w:eastAsia="仿宋"/>
          <w:color w:val="000000"/>
          <w:sz w:val="32"/>
          <w:szCs w:val="32"/>
        </w:rPr>
        <w:t>（图7：“三公”经费财政拨款支出结构）（饼状图）</w:t>
      </w:r>
    </w:p>
    <w:p>
      <w:pPr>
        <w:spacing w:line="600" w:lineRule="exact"/>
        <w:ind w:firstLine="640"/>
        <w:outlineLvl w:val="9"/>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2"/>
          <w:rFonts w:hint="eastAsia" w:ascii="仿宋" w:hAnsi="仿宋" w:eastAsia="仿宋"/>
          <w:b w:val="0"/>
          <w:bCs/>
          <w:color w:val="000000"/>
          <w:sz w:val="32"/>
          <w:szCs w:val="32"/>
        </w:rPr>
        <w:t>完成预算</w:t>
      </w:r>
      <w:r>
        <w:rPr>
          <w:rStyle w:val="22"/>
          <w:rFonts w:hint="eastAsia" w:ascii="仿宋" w:hAnsi="仿宋" w:eastAsia="仿宋"/>
          <w:b w:val="0"/>
          <w:bCs/>
          <w:color w:val="000000"/>
          <w:sz w:val="32"/>
          <w:szCs w:val="32"/>
          <w:lang w:val="en-US" w:eastAsia="zh-CN"/>
        </w:rPr>
        <w:t>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p>
    <w:p>
      <w:pPr>
        <w:spacing w:line="600" w:lineRule="exact"/>
        <w:ind w:firstLine="640"/>
        <w:outlineLvl w:val="9"/>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 w:hAnsi="仿宋" w:eastAsia="仿宋"/>
          <w:color w:val="000000"/>
          <w:sz w:val="32"/>
          <w:szCs w:val="32"/>
        </w:rPr>
        <w:t>232.83</w:t>
      </w:r>
      <w:r>
        <w:rPr>
          <w:rFonts w:hint="eastAsia" w:ascii="仿宋_GB2312" w:eastAsia="仿宋_GB2312"/>
          <w:color w:val="000000"/>
          <w:sz w:val="32"/>
          <w:szCs w:val="32"/>
        </w:rPr>
        <w:t>万元</w:t>
      </w:r>
      <w:r>
        <w:rPr>
          <w:rFonts w:ascii="仿宋_GB2312" w:eastAsia="仿宋_GB2312"/>
          <w:color w:val="000000"/>
          <w:sz w:val="32"/>
          <w:szCs w:val="32"/>
        </w:rPr>
        <w:t>,</w:t>
      </w:r>
      <w:r>
        <w:rPr>
          <w:rStyle w:val="22"/>
          <w:rFonts w:hint="eastAsia" w:ascii="仿宋" w:hAnsi="仿宋" w:eastAsia="仿宋"/>
          <w:b w:val="0"/>
          <w:bCs/>
          <w:color w:val="000000"/>
          <w:sz w:val="32"/>
          <w:szCs w:val="32"/>
        </w:rPr>
        <w:t>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hint="eastAsia" w:ascii="仿宋_GB2312" w:eastAsia="仿宋_GB2312"/>
          <w:color w:val="000000"/>
          <w:sz w:val="32"/>
          <w:szCs w:val="32"/>
          <w:lang w:val="en-US" w:eastAsia="zh-CN"/>
        </w:rPr>
        <w:t>2019</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46.08</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24.67</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我单位执法勤务车辆老旧，车辆维修较多及巡逻执法、办案等车辆耗油较多</w:t>
      </w:r>
      <w:r>
        <w:rPr>
          <w:rFonts w:hint="eastAsia" w:ascii="仿宋_GB2312" w:eastAsia="仿宋_GB2312"/>
          <w:color w:val="000000"/>
          <w:sz w:val="32"/>
          <w:szCs w:val="32"/>
        </w:rPr>
        <w:t>。</w:t>
      </w:r>
    </w:p>
    <w:p>
      <w:pPr>
        <w:spacing w:line="600" w:lineRule="exact"/>
        <w:ind w:firstLine="640" w:firstLineChars="200"/>
        <w:outlineLvl w:val="9"/>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51.95万元。全年按规定更新购置公务用车</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35.14</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16.81</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执法勤务</w:t>
      </w:r>
      <w:r>
        <w:rPr>
          <w:rFonts w:hint="eastAsia" w:ascii="仿宋_GB2312" w:eastAsia="仿宋_GB2312"/>
          <w:color w:val="000000"/>
          <w:sz w:val="32"/>
          <w:szCs w:val="32"/>
        </w:rPr>
        <w:t>。</w:t>
      </w:r>
    </w:p>
    <w:p>
      <w:pPr>
        <w:spacing w:line="600" w:lineRule="exact"/>
        <w:ind w:firstLine="640"/>
        <w:outlineLvl w:val="9"/>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180.88万元。主要用于</w:t>
      </w:r>
      <w:r>
        <w:rPr>
          <w:rFonts w:hint="eastAsia" w:ascii="仿宋_GB2312" w:eastAsia="仿宋_GB2312"/>
          <w:color w:val="000000"/>
          <w:sz w:val="32"/>
          <w:szCs w:val="32"/>
          <w:lang w:val="en-US" w:eastAsia="zh-CN"/>
        </w:rPr>
        <w:t>执法车辆</w:t>
      </w:r>
      <w:r>
        <w:rPr>
          <w:rFonts w:hint="eastAsia" w:ascii="仿宋_GB2312" w:eastAsia="仿宋_GB2312"/>
          <w:color w:val="000000"/>
          <w:sz w:val="32"/>
          <w:szCs w:val="32"/>
        </w:rPr>
        <w:t>等所需的公务用车燃料费、维修费、</w:t>
      </w:r>
      <w:r>
        <w:rPr>
          <w:rFonts w:hint="eastAsia" w:ascii="仿宋_GB2312" w:eastAsia="仿宋_GB2312"/>
          <w:color w:val="000000"/>
          <w:sz w:val="32"/>
          <w:szCs w:val="32"/>
          <w:lang w:eastAsia="zh-CN"/>
        </w:rPr>
        <w:t>洗车费、安全奖励、</w:t>
      </w:r>
      <w:r>
        <w:rPr>
          <w:rFonts w:hint="eastAsia" w:ascii="仿宋_GB2312" w:eastAsia="仿宋_GB2312"/>
          <w:color w:val="000000"/>
          <w:sz w:val="32"/>
          <w:szCs w:val="32"/>
        </w:rPr>
        <w:t>过路过桥费、保险费等支出。</w:t>
      </w:r>
    </w:p>
    <w:p>
      <w:pPr>
        <w:spacing w:line="600" w:lineRule="exact"/>
        <w:ind w:firstLine="640"/>
        <w:outlineLvl w:val="9"/>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8.17</w:t>
      </w:r>
      <w:r>
        <w:rPr>
          <w:rFonts w:hint="eastAsia" w:ascii="仿宋_GB2312" w:eastAsia="仿宋_GB2312"/>
          <w:color w:val="000000"/>
          <w:sz w:val="32"/>
          <w:szCs w:val="32"/>
        </w:rPr>
        <w:t>万元，</w:t>
      </w:r>
      <w:r>
        <w:rPr>
          <w:rStyle w:val="22"/>
          <w:rFonts w:hint="eastAsia" w:ascii="仿宋" w:hAnsi="仿宋" w:eastAsia="仿宋"/>
          <w:b w:val="0"/>
          <w:bCs/>
          <w:color w:val="000000"/>
          <w:sz w:val="32"/>
          <w:szCs w:val="32"/>
        </w:rPr>
        <w:t>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2019</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5.87</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255.22</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我单位由于机构改革等原因人数增加，公务接待为定额办公用费的</w:t>
      </w:r>
      <w:r>
        <w:rPr>
          <w:rFonts w:hint="eastAsia" w:ascii="仿宋_GB2312" w:eastAsia="仿宋_GB2312"/>
          <w:color w:val="000000"/>
          <w:sz w:val="32"/>
          <w:szCs w:val="32"/>
          <w:lang w:val="en-US" w:eastAsia="zh-CN"/>
        </w:rPr>
        <w:t>2%故预算有所增加，且当年接待较多较频繁</w:t>
      </w:r>
      <w:r>
        <w:rPr>
          <w:rFonts w:hint="eastAsia" w:ascii="仿宋_GB2312" w:eastAsia="仿宋_GB2312"/>
          <w:color w:val="000000"/>
          <w:sz w:val="32"/>
          <w:szCs w:val="32"/>
        </w:rPr>
        <w:t>。</w:t>
      </w:r>
    </w:p>
    <w:p>
      <w:pPr>
        <w:spacing w:line="600" w:lineRule="exact"/>
        <w:ind w:firstLine="640"/>
        <w:outlineLvl w:val="9"/>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8.17</w:t>
      </w:r>
      <w:r>
        <w:rPr>
          <w:rFonts w:hint="eastAsia" w:ascii="仿宋_GB2312" w:eastAsia="仿宋_GB2312"/>
          <w:color w:val="000000"/>
          <w:sz w:val="32"/>
          <w:szCs w:val="32"/>
        </w:rPr>
        <w:t>万元，主要用于执行公务、开展业务活动开支的交通费、住宿费、用餐费等。国内公务接待</w:t>
      </w: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216</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8.17</w:t>
      </w:r>
      <w:r>
        <w:rPr>
          <w:rFonts w:hint="eastAsia" w:ascii="仿宋_GB2312" w:eastAsia="仿宋_GB2312"/>
          <w:color w:val="000000"/>
          <w:sz w:val="32"/>
          <w:szCs w:val="32"/>
        </w:rPr>
        <w:t>万元。</w:t>
      </w:r>
    </w:p>
    <w:p>
      <w:pPr>
        <w:spacing w:line="600" w:lineRule="exact"/>
        <w:ind w:firstLine="640"/>
        <w:outlineLvl w:val="1"/>
        <w:rPr>
          <w:rStyle w:val="25"/>
          <w:rFonts w:ascii="黑体" w:hAnsi="黑体" w:eastAsia="黑体"/>
        </w:rPr>
      </w:pPr>
      <w:bookmarkStart w:id="82" w:name="_Toc15396610"/>
      <w:bookmarkStart w:id="83" w:name="_Toc15377218"/>
      <w:bookmarkStart w:id="84" w:name="_Toc79163622"/>
      <w:bookmarkStart w:id="85" w:name="_Toc8616"/>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82"/>
      <w:bookmarkEnd w:id="83"/>
      <w:bookmarkEnd w:id="84"/>
      <w:bookmarkEnd w:id="85"/>
    </w:p>
    <w:p>
      <w:pPr>
        <w:spacing w:line="600" w:lineRule="exact"/>
        <w:ind w:firstLine="640"/>
        <w:outlineLvl w:val="9"/>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2"/>
        </w:numPr>
        <w:spacing w:line="600" w:lineRule="exact"/>
        <w:ind w:firstLine="640"/>
        <w:outlineLvl w:val="1"/>
        <w:rPr>
          <w:rStyle w:val="25"/>
          <w:rFonts w:ascii="黑体" w:hAnsi="黑体" w:eastAsia="黑体"/>
          <w:b w:val="0"/>
        </w:rPr>
      </w:pPr>
      <w:bookmarkStart w:id="86" w:name="_Toc15377219"/>
      <w:bookmarkStart w:id="87" w:name="_Toc15396611"/>
      <w:bookmarkStart w:id="88" w:name="_Toc79163623"/>
      <w:bookmarkStart w:id="89" w:name="_Toc12838"/>
      <w:r>
        <w:rPr>
          <w:rStyle w:val="25"/>
          <w:rFonts w:hint="eastAsia" w:ascii="黑体" w:hAnsi="黑体" w:eastAsia="黑体"/>
          <w:b w:val="0"/>
        </w:rPr>
        <w:t>国有资本经营预算支出决算情况说明</w:t>
      </w:r>
      <w:bookmarkEnd w:id="86"/>
      <w:bookmarkEnd w:id="87"/>
      <w:bookmarkEnd w:id="88"/>
      <w:bookmarkEnd w:id="89"/>
    </w:p>
    <w:p>
      <w:pPr>
        <w:spacing w:line="600" w:lineRule="exact"/>
        <w:ind w:firstLine="640"/>
        <w:outlineLvl w:val="9"/>
        <w:rPr>
          <w:rFonts w:ascii="方正小标宋简体" w:hAnsi="方正小标宋简体" w:eastAsia="方正小标宋简体" w:cs="方正小标宋简体"/>
          <w:sz w:val="44"/>
          <w:szCs w:val="44"/>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firstLineChars="200"/>
        <w:outlineLvl w:val="1"/>
        <w:rPr>
          <w:rStyle w:val="25"/>
          <w:rFonts w:ascii="黑体" w:hAnsi="黑体" w:eastAsia="黑体"/>
        </w:rPr>
      </w:pPr>
      <w:bookmarkStart w:id="90" w:name="_Toc79163624"/>
      <w:bookmarkStart w:id="91" w:name="_Toc15377221"/>
      <w:bookmarkStart w:id="92" w:name="_Toc15396612"/>
      <w:bookmarkStart w:id="93" w:name="_Toc3693"/>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90"/>
      <w:bookmarkEnd w:id="91"/>
      <w:bookmarkEnd w:id="92"/>
      <w:bookmarkEnd w:id="93"/>
    </w:p>
    <w:p>
      <w:pPr>
        <w:spacing w:line="600" w:lineRule="exact"/>
        <w:ind w:firstLine="642" w:firstLineChars="200"/>
        <w:outlineLvl w:val="9"/>
        <w:rPr>
          <w:rFonts w:ascii="仿宋" w:hAnsi="仿宋" w:eastAsia="仿宋"/>
          <w:color w:val="000000"/>
          <w:sz w:val="32"/>
          <w:szCs w:val="32"/>
        </w:rPr>
      </w:pPr>
      <w:bookmarkStart w:id="94" w:name="_Toc79163625"/>
      <w:bookmarkStart w:id="95" w:name="_Toc15377222"/>
      <w:r>
        <w:rPr>
          <w:rFonts w:hint="eastAsia" w:ascii="仿宋" w:hAnsi="仿宋" w:eastAsia="仿宋"/>
          <w:b/>
          <w:color w:val="000000"/>
          <w:sz w:val="32"/>
          <w:szCs w:val="32"/>
        </w:rPr>
        <w:t>（一）机关运行经费支出情况</w:t>
      </w:r>
      <w:bookmarkEnd w:id="94"/>
      <w:bookmarkEnd w:id="95"/>
    </w:p>
    <w:p>
      <w:pPr>
        <w:spacing w:line="600" w:lineRule="exact"/>
        <w:ind w:firstLine="640" w:firstLineChars="200"/>
        <w:outlineLvl w:val="9"/>
        <w:rPr>
          <w:rFonts w:hint="default" w:ascii="仿宋_GB2312" w:eastAsia="仿宋_GB2312"/>
          <w:color w:val="000000"/>
          <w:sz w:val="32"/>
          <w:szCs w:val="32"/>
          <w:lang w:val="en-US" w:eastAsia="zh-CN"/>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红原县公安局</w:t>
      </w:r>
      <w:r>
        <w:rPr>
          <w:rFonts w:hint="eastAsia" w:ascii="仿宋_GB2312" w:eastAsia="仿宋_GB2312"/>
          <w:color w:val="000000"/>
          <w:sz w:val="32"/>
          <w:szCs w:val="32"/>
        </w:rPr>
        <w:t>机关运行经费支出413.5</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万元，比</w:t>
      </w:r>
      <w:r>
        <w:rPr>
          <w:rFonts w:ascii="仿宋_GB2312" w:eastAsia="仿宋_GB2312"/>
          <w:color w:val="000000"/>
          <w:sz w:val="32"/>
          <w:szCs w:val="32"/>
        </w:rPr>
        <w:t>2019</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307.57</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42.65</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2019年乡镇派出所基建款统计至机关运行经费支出中。</w:t>
      </w:r>
    </w:p>
    <w:p>
      <w:pPr>
        <w:autoSpaceDE w:val="0"/>
        <w:autoSpaceDN w:val="0"/>
        <w:adjustRightInd w:val="0"/>
        <w:spacing w:line="600" w:lineRule="exact"/>
        <w:ind w:firstLine="642" w:firstLineChars="200"/>
        <w:jc w:val="left"/>
        <w:outlineLvl w:val="9"/>
        <w:rPr>
          <w:rFonts w:ascii="仿宋" w:hAnsi="仿宋" w:eastAsia="仿宋"/>
          <w:b/>
          <w:color w:val="000000"/>
          <w:sz w:val="32"/>
          <w:szCs w:val="32"/>
        </w:rPr>
      </w:pPr>
      <w:bookmarkStart w:id="96" w:name="_Toc79163626"/>
      <w:bookmarkStart w:id="97" w:name="_Toc15377223"/>
      <w:r>
        <w:rPr>
          <w:rFonts w:hint="eastAsia" w:ascii="仿宋" w:hAnsi="仿宋" w:eastAsia="仿宋"/>
          <w:b/>
          <w:color w:val="000000"/>
          <w:sz w:val="32"/>
          <w:szCs w:val="32"/>
        </w:rPr>
        <w:t>（二）政府采购支出情况</w:t>
      </w:r>
      <w:bookmarkEnd w:id="96"/>
      <w:bookmarkEnd w:id="97"/>
    </w:p>
    <w:p>
      <w:pPr>
        <w:spacing w:line="600" w:lineRule="exact"/>
        <w:ind w:firstLine="640" w:firstLineChars="200"/>
        <w:outlineLvl w:val="9"/>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红原县公安局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556.34</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377.04</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179.3</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我局业务装备购买等</w:t>
      </w:r>
      <w:r>
        <w:rPr>
          <w:rFonts w:hint="eastAsia" w:ascii="仿宋_GB2312" w:eastAsia="仿宋_GB2312"/>
          <w:color w:val="000000"/>
          <w:sz w:val="32"/>
          <w:szCs w:val="32"/>
        </w:rPr>
        <w:t>。授予中小企业合同金额</w:t>
      </w:r>
      <w:r>
        <w:rPr>
          <w:rFonts w:hint="eastAsia" w:ascii="仿宋_GB2312" w:eastAsia="仿宋_GB2312"/>
          <w:color w:val="000000"/>
          <w:sz w:val="32"/>
          <w:szCs w:val="32"/>
          <w:lang w:val="en-US" w:eastAsia="zh-CN"/>
        </w:rPr>
        <w:t>556.34</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2" w:firstLineChars="200"/>
        <w:jc w:val="left"/>
        <w:outlineLvl w:val="9"/>
        <w:rPr>
          <w:rFonts w:ascii="仿宋" w:hAnsi="仿宋" w:eastAsia="仿宋"/>
          <w:b/>
          <w:color w:val="000000"/>
          <w:sz w:val="32"/>
          <w:szCs w:val="32"/>
        </w:rPr>
      </w:pPr>
      <w:bookmarkStart w:id="98" w:name="_Toc15377224"/>
      <w:bookmarkStart w:id="99" w:name="_Toc79163627"/>
      <w:r>
        <w:rPr>
          <w:rFonts w:hint="eastAsia" w:ascii="仿宋" w:hAnsi="仿宋" w:eastAsia="仿宋"/>
          <w:b/>
          <w:color w:val="000000"/>
          <w:sz w:val="32"/>
          <w:szCs w:val="32"/>
        </w:rPr>
        <w:t>（三）国有资产占有使用情况</w:t>
      </w:r>
      <w:bookmarkEnd w:id="98"/>
      <w:bookmarkEnd w:id="99"/>
    </w:p>
    <w:p>
      <w:pPr>
        <w:autoSpaceDE w:val="0"/>
        <w:autoSpaceDN w:val="0"/>
        <w:adjustRightInd w:val="0"/>
        <w:spacing w:line="600" w:lineRule="exact"/>
        <w:ind w:firstLine="640" w:firstLineChars="200"/>
        <w:jc w:val="left"/>
        <w:outlineLvl w:val="9"/>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红原县公安局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48</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辆、执法执勤用车</w:t>
      </w:r>
      <w:r>
        <w:rPr>
          <w:rFonts w:hint="eastAsia" w:ascii="仿宋_GB2312" w:eastAsia="仿宋_GB2312"/>
          <w:color w:val="000000"/>
          <w:sz w:val="32"/>
          <w:szCs w:val="32"/>
          <w:lang w:val="en-US" w:eastAsia="zh-CN"/>
        </w:rPr>
        <w:t>48</w:t>
      </w:r>
      <w:r>
        <w:rPr>
          <w:rFonts w:hint="eastAsia" w:ascii="仿宋_GB2312" w:eastAsia="仿宋_GB2312"/>
          <w:color w:val="000000"/>
          <w:sz w:val="32"/>
          <w:szCs w:val="32"/>
        </w:rPr>
        <w:t>辆。</w:t>
      </w:r>
    </w:p>
    <w:p>
      <w:pPr>
        <w:autoSpaceDE w:val="0"/>
        <w:autoSpaceDN w:val="0"/>
        <w:adjustRightInd w:val="0"/>
        <w:spacing w:line="600" w:lineRule="exact"/>
        <w:ind w:firstLine="642" w:firstLineChars="200"/>
        <w:jc w:val="left"/>
        <w:outlineLvl w:val="9"/>
        <w:rPr>
          <w:rFonts w:ascii="仿宋" w:hAnsi="仿宋" w:eastAsia="仿宋"/>
          <w:b/>
          <w:color w:val="000000"/>
          <w:sz w:val="32"/>
          <w:szCs w:val="32"/>
        </w:rPr>
      </w:pPr>
      <w:bookmarkStart w:id="100" w:name="_Toc79163628"/>
      <w:r>
        <w:rPr>
          <w:rFonts w:hint="eastAsia" w:ascii="仿宋" w:hAnsi="仿宋" w:eastAsia="仿宋"/>
          <w:b/>
          <w:color w:val="000000"/>
          <w:sz w:val="32"/>
          <w:szCs w:val="32"/>
        </w:rPr>
        <w:t>（四）预算绩效管理情况。</w:t>
      </w:r>
      <w:bookmarkEnd w:id="100"/>
    </w:p>
    <w:p>
      <w:pPr>
        <w:spacing w:line="580" w:lineRule="exact"/>
        <w:ind w:firstLine="640" w:firstLineChars="200"/>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根据预算绩效管理要求，本部门在年初预算编制阶段，组织对</w:t>
      </w:r>
      <w:r>
        <w:rPr>
          <w:rFonts w:hint="eastAsia" w:ascii="仿宋_GB2312" w:hAnsi="仿宋_GB2312" w:eastAsia="仿宋_GB2312" w:cs="仿宋_GB2312"/>
          <w:sz w:val="32"/>
          <w:szCs w:val="32"/>
          <w:lang w:eastAsia="zh-CN"/>
        </w:rPr>
        <w:t>红原县</w:t>
      </w:r>
      <w:r>
        <w:rPr>
          <w:rFonts w:hint="eastAsia" w:ascii="仿宋_GB2312" w:hAnsi="仿宋_GB2312" w:eastAsia="仿宋_GB2312" w:cs="仿宋_GB2312"/>
          <w:sz w:val="32"/>
          <w:szCs w:val="32"/>
        </w:rPr>
        <w:t>看守所工作相关经费项目开展了预算事前绩效评估，对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sz w:val="32"/>
          <w:szCs w:val="32"/>
          <w:lang w:val="en-US" w:eastAsia="zh-CN"/>
        </w:rPr>
        <w:t>财经制度执行合规，整体支出绩效良好</w:t>
      </w:r>
      <w:r>
        <w:rPr>
          <w:rFonts w:hint="eastAsia" w:ascii="仿宋_GB2312" w:hAnsi="仿宋_GB2312" w:eastAsia="仿宋_GB2312" w:cs="仿宋_GB2312"/>
          <w:sz w:val="32"/>
          <w:szCs w:val="32"/>
        </w:rPr>
        <w:t>。本部门还自行组织了</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个项目支出绩效评价，从评价情况来看</w:t>
      </w:r>
      <w:r>
        <w:rPr>
          <w:rFonts w:hint="eastAsia" w:ascii="仿宋_GB2312" w:hAnsi="仿宋_GB2312" w:eastAsia="仿宋_GB2312" w:cs="仿宋_GB2312"/>
          <w:sz w:val="32"/>
          <w:szCs w:val="32"/>
          <w:lang w:eastAsia="zh-CN"/>
        </w:rPr>
        <w:t>项目有序进行并且基本符合相关财务规定。</w:t>
      </w:r>
    </w:p>
    <w:p>
      <w:pPr>
        <w:numPr>
          <w:ilvl w:val="0"/>
          <w:numId w:val="3"/>
        </w:numPr>
        <w:spacing w:line="580" w:lineRule="exact"/>
        <w:ind w:firstLine="640" w:firstLineChars="200"/>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项目绩效目标完成情况。</w:t>
      </w:r>
      <w:r>
        <w:rPr>
          <w:rFonts w:ascii="楷体_GB2312" w:hAnsi="楷体_GB2312" w:eastAsia="楷体_GB2312" w:cs="楷体_GB2312"/>
          <w:sz w:val="32"/>
          <w:szCs w:val="32"/>
        </w:rPr>
        <w:br w:type="textWrapping"/>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eastAsia="zh-CN"/>
        </w:rPr>
        <w:t>红原县</w:t>
      </w:r>
      <w:r>
        <w:rPr>
          <w:rFonts w:hint="eastAsia" w:ascii="仿宋_GB2312" w:hAnsi="仿宋_GB2312" w:eastAsia="仿宋_GB2312" w:cs="仿宋_GB2312"/>
          <w:sz w:val="32"/>
          <w:szCs w:val="32"/>
        </w:rPr>
        <w:t>看守所工作相关经费</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个项目绩效目标实际完成情况。</w:t>
      </w:r>
    </w:p>
    <w:p>
      <w:pPr>
        <w:numPr>
          <w:ilvl w:val="0"/>
          <w:numId w:val="0"/>
        </w:numPr>
        <w:spacing w:line="580" w:lineRule="exact"/>
        <w:ind w:firstLine="640" w:firstLineChars="200"/>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红原县</w:t>
      </w:r>
      <w:r>
        <w:rPr>
          <w:rFonts w:hint="eastAsia" w:ascii="仿宋_GB2312" w:hAnsi="仿宋_GB2312" w:eastAsia="仿宋_GB2312" w:cs="仿宋_GB2312"/>
          <w:sz w:val="32"/>
          <w:szCs w:val="32"/>
        </w:rPr>
        <w:t>看守所工作相关经费项目绩效目标完成情况综述。项目全年预算数</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。通过项目实施，保障了</w:t>
      </w:r>
      <w:r>
        <w:rPr>
          <w:rFonts w:hint="eastAsia" w:ascii="仿宋_GB2312" w:hAnsi="仿宋_GB2312" w:eastAsia="仿宋_GB2312" w:cs="仿宋_GB2312"/>
          <w:sz w:val="32"/>
          <w:szCs w:val="32"/>
          <w:lang w:eastAsia="zh-CN"/>
        </w:rPr>
        <w:t>在押人员</w:t>
      </w:r>
      <w:r>
        <w:rPr>
          <w:rFonts w:hint="eastAsia" w:ascii="仿宋_GB2312" w:hAnsi="仿宋_GB2312" w:eastAsia="仿宋_GB2312" w:cs="仿宋_GB2312"/>
          <w:sz w:val="32"/>
          <w:szCs w:val="32"/>
        </w:rPr>
        <w:t>生活的正常运行，进一步改善</w:t>
      </w:r>
      <w:r>
        <w:rPr>
          <w:rFonts w:hint="eastAsia" w:ascii="仿宋_GB2312" w:hAnsi="仿宋_GB2312" w:eastAsia="仿宋_GB2312" w:cs="仿宋_GB2312"/>
          <w:sz w:val="32"/>
          <w:szCs w:val="32"/>
          <w:lang w:eastAsia="zh-CN"/>
        </w:rPr>
        <w:t>在押人员</w:t>
      </w:r>
      <w:r>
        <w:rPr>
          <w:rFonts w:hint="eastAsia" w:ascii="仿宋_GB2312" w:hAnsi="仿宋_GB2312" w:eastAsia="仿宋_GB2312" w:cs="仿宋_GB2312"/>
          <w:sz w:val="32"/>
          <w:szCs w:val="32"/>
        </w:rPr>
        <w:t>的改造环境，维持</w:t>
      </w:r>
      <w:r>
        <w:rPr>
          <w:rFonts w:hint="eastAsia" w:ascii="仿宋_GB2312" w:hAnsi="仿宋_GB2312" w:eastAsia="仿宋_GB2312" w:cs="仿宋_GB2312"/>
          <w:sz w:val="32"/>
          <w:szCs w:val="32"/>
          <w:lang w:eastAsia="zh-CN"/>
        </w:rPr>
        <w:t>在押人员</w:t>
      </w:r>
      <w:r>
        <w:rPr>
          <w:rFonts w:hint="eastAsia" w:ascii="仿宋_GB2312" w:hAnsi="仿宋_GB2312" w:eastAsia="仿宋_GB2312" w:cs="仿宋_GB2312"/>
          <w:sz w:val="32"/>
          <w:szCs w:val="32"/>
        </w:rPr>
        <w:t>改造的日常开支，进一步保障监狱的安全持续稳定。</w:t>
      </w:r>
    </w:p>
    <w:p>
      <w:pPr>
        <w:numPr>
          <w:ilvl w:val="0"/>
          <w:numId w:val="0"/>
        </w:numPr>
        <w:spacing w:line="580" w:lineRule="exact"/>
        <w:ind w:firstLine="640" w:firstLineChars="200"/>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对看守所工作相关经费项目绩效评价还进一步完善和项目绩效考评指标还需进一步落实</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eastAsia="zh-CN"/>
        </w:rPr>
        <w:t>定期对项目实施情况、进度进行跟进，项目指标进一步完善和量化。</w:t>
      </w:r>
    </w:p>
    <w:tbl>
      <w:tblPr>
        <w:tblStyle w:val="19"/>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95"/>
        <w:gridCol w:w="232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outlineLvl w:val="9"/>
              <w:rPr>
                <w:rFonts w:ascii="宋体" w:cs="宋体"/>
                <w:color w:val="000000"/>
                <w:sz w:val="36"/>
                <w:szCs w:val="36"/>
              </w:rPr>
            </w:pPr>
            <w:r>
              <w:rPr>
                <w:rFonts w:hint="eastAsia" w:ascii="宋体" w:hAnsi="宋体" w:cs="宋体"/>
                <w:b/>
                <w:bCs/>
                <w:color w:val="000000"/>
                <w:kern w:val="0"/>
                <w:sz w:val="36"/>
                <w:szCs w:val="36"/>
                <w:lang w:bidi="ar"/>
              </w:rPr>
              <w:t>项目绩效目标完成情况表</w:t>
            </w:r>
            <w:r>
              <w:rPr>
                <w:rFonts w:ascii="宋体" w:cs="宋体"/>
                <w:b/>
                <w:bCs/>
                <w:color w:val="000000"/>
                <w:kern w:val="0"/>
                <w:sz w:val="36"/>
                <w:szCs w:val="36"/>
                <w:lang w:bidi="ar"/>
              </w:rPr>
              <w:br w:type="textWrapping"/>
            </w:r>
            <w:r>
              <w:rPr>
                <w:rFonts w:ascii="宋体" w:hAnsi="宋体" w:cs="宋体"/>
                <w:color w:val="000000"/>
                <w:kern w:val="0"/>
                <w:sz w:val="36"/>
                <w:szCs w:val="36"/>
                <w:lang w:bidi="ar"/>
              </w:rPr>
              <w:t>(2020</w:t>
            </w:r>
            <w:r>
              <w:rPr>
                <w:rFonts w:hint="eastAsia" w:ascii="宋体" w:hAnsi="宋体" w:cs="宋体"/>
                <w:color w:val="000000"/>
                <w:kern w:val="0"/>
                <w:sz w:val="36"/>
                <w:szCs w:val="36"/>
                <w:lang w:bidi="ar"/>
              </w:rPr>
              <w:t>年度</w:t>
            </w:r>
            <w:r>
              <w:rPr>
                <w:rFonts w:ascii="宋体" w:hAnsi="宋体" w:cs="宋体"/>
                <w:color w:val="000000"/>
                <w:kern w:val="0"/>
                <w:sz w:val="36"/>
                <w:szCs w:val="36"/>
                <w:lang w:bidi="ar"/>
              </w:rPr>
              <w:t>)</w:t>
            </w:r>
          </w:p>
        </w:tc>
      </w:tr>
      <w:tr>
        <w:tblPrEx>
          <w:tblCellMar>
            <w:top w:w="0" w:type="dxa"/>
            <w:left w:w="0" w:type="dxa"/>
            <w:bottom w:w="0" w:type="dxa"/>
            <w:right w:w="0" w:type="dxa"/>
          </w:tblCellMar>
        </w:tblPrEx>
        <w:trPr>
          <w:trHeight w:val="276" w:hRule="atLeast"/>
          <w:jc w:val="center"/>
        </w:trPr>
        <w:tc>
          <w:tcPr>
            <w:tcW w:w="285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r>
              <w:rPr>
                <w:rFonts w:hint="eastAsia" w:ascii="宋体" w:hAnsi="宋体" w:cs="宋体"/>
                <w:color w:val="000000"/>
                <w:kern w:val="0"/>
                <w:sz w:val="24"/>
                <w:lang w:bidi="ar"/>
              </w:rPr>
              <w:t>项目名称</w:t>
            </w:r>
          </w:p>
        </w:tc>
        <w:tc>
          <w:tcPr>
            <w:tcW w:w="710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r>
              <w:rPr>
                <w:rFonts w:hint="eastAsia" w:ascii="宋体" w:cs="宋体"/>
                <w:color w:val="000000"/>
                <w:sz w:val="24"/>
                <w:lang w:eastAsia="zh-CN"/>
              </w:rPr>
              <w:t>红原县</w:t>
            </w:r>
            <w:r>
              <w:rPr>
                <w:rFonts w:hint="eastAsia" w:ascii="宋体" w:cs="宋体"/>
                <w:color w:val="000000"/>
                <w:sz w:val="24"/>
              </w:rPr>
              <w:t>看守所工作相关经费</w:t>
            </w:r>
          </w:p>
        </w:tc>
      </w:tr>
      <w:tr>
        <w:tblPrEx>
          <w:tblCellMar>
            <w:top w:w="0" w:type="dxa"/>
            <w:left w:w="0" w:type="dxa"/>
            <w:bottom w:w="0" w:type="dxa"/>
            <w:right w:w="0" w:type="dxa"/>
          </w:tblCellMar>
        </w:tblPrEx>
        <w:trPr>
          <w:trHeight w:val="276" w:hRule="atLeast"/>
          <w:jc w:val="center"/>
        </w:trPr>
        <w:tc>
          <w:tcPr>
            <w:tcW w:w="285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r>
              <w:rPr>
                <w:rFonts w:hint="eastAsia" w:ascii="宋体" w:hAnsi="宋体" w:cs="宋体"/>
                <w:color w:val="000000"/>
                <w:kern w:val="0"/>
                <w:sz w:val="24"/>
                <w:lang w:bidi="ar"/>
              </w:rPr>
              <w:t>预算单位</w:t>
            </w:r>
          </w:p>
        </w:tc>
        <w:tc>
          <w:tcPr>
            <w:tcW w:w="710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eastAsia" w:ascii="宋体" w:eastAsia="宋体" w:cs="宋体"/>
                <w:color w:val="000000"/>
                <w:sz w:val="24"/>
                <w:lang w:eastAsia="zh-CN"/>
              </w:rPr>
            </w:pPr>
            <w:r>
              <w:rPr>
                <w:rFonts w:hint="eastAsia" w:ascii="宋体" w:cs="宋体"/>
                <w:color w:val="000000"/>
                <w:sz w:val="24"/>
                <w:lang w:eastAsia="zh-CN"/>
              </w:rPr>
              <w:t>红原县公安局</w:t>
            </w:r>
          </w:p>
        </w:tc>
      </w:tr>
      <w:tr>
        <w:tblPrEx>
          <w:tblCellMar>
            <w:top w:w="0" w:type="dxa"/>
            <w:left w:w="0" w:type="dxa"/>
            <w:bottom w:w="0" w:type="dxa"/>
            <w:right w:w="0" w:type="dxa"/>
          </w:tblCellMar>
        </w:tblPrEx>
        <w:trPr>
          <w:trHeight w:val="298"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r>
              <w:rPr>
                <w:rFonts w:hint="eastAsia" w:ascii="宋体" w:hAnsi="宋体" w:cs="宋体"/>
                <w:color w:val="000000"/>
                <w:kern w:val="0"/>
                <w:sz w:val="24"/>
                <w:lang w:bidi="ar"/>
              </w:rPr>
              <w:t>预算执行情况</w:t>
            </w:r>
            <w:r>
              <w:rPr>
                <w:rFonts w:ascii="宋体" w:hAnsi="宋体" w:cs="宋体"/>
                <w:color w:val="000000"/>
                <w:kern w:val="0"/>
                <w:sz w:val="24"/>
                <w:lang w:bidi="ar"/>
              </w:rPr>
              <w:t>(</w:t>
            </w:r>
            <w:r>
              <w:rPr>
                <w:rFonts w:hint="eastAsia" w:ascii="宋体" w:hAnsi="宋体" w:cs="宋体"/>
                <w:color w:val="000000"/>
                <w:kern w:val="0"/>
                <w:sz w:val="24"/>
                <w:lang w:bidi="ar"/>
              </w:rPr>
              <w:t>万元</w:t>
            </w:r>
            <w:r>
              <w:rPr>
                <w:rFonts w:ascii="宋体" w:hAnsi="宋体" w:cs="宋体"/>
                <w:color w:val="000000"/>
                <w:kern w:val="0"/>
                <w:sz w:val="24"/>
                <w:lang w:bidi="ar"/>
              </w:rPr>
              <w:t>)</w:t>
            </w:r>
          </w:p>
        </w:tc>
        <w:tc>
          <w:tcPr>
            <w:tcW w:w="246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r>
              <w:rPr>
                <w:rFonts w:hint="eastAsia" w:ascii="宋体" w:hAnsi="宋体" w:cs="宋体"/>
                <w:color w:val="000000"/>
                <w:kern w:val="0"/>
                <w:sz w:val="24"/>
                <w:lang w:bidi="ar"/>
              </w:rPr>
              <w:t>预算数</w:t>
            </w:r>
            <w:r>
              <w:rPr>
                <w:rFonts w:ascii="宋体" w:hAnsi="宋体" w:cs="宋体"/>
                <w:color w:val="000000"/>
                <w:kern w:val="0"/>
                <w:sz w:val="24"/>
                <w:lang w:bidi="ar"/>
              </w:rPr>
              <w:t>:</w:t>
            </w:r>
          </w:p>
        </w:tc>
        <w:tc>
          <w:tcPr>
            <w:tcW w:w="23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default" w:ascii="宋体" w:eastAsia="宋体" w:cs="宋体"/>
                <w:color w:val="000000"/>
                <w:sz w:val="24"/>
                <w:lang w:val="en-US" w:eastAsia="zh-CN"/>
              </w:rPr>
            </w:pPr>
            <w:r>
              <w:rPr>
                <w:rFonts w:hint="eastAsia" w:ascii="宋体" w:cs="宋体"/>
                <w:color w:val="000000"/>
                <w:sz w:val="24"/>
                <w:lang w:val="en-US" w:eastAsia="zh-CN"/>
              </w:rPr>
              <w:t>20万元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r>
              <w:rPr>
                <w:rFonts w:hint="eastAsia" w:ascii="宋体" w:hAnsi="宋体" w:cs="宋体"/>
                <w:color w:val="000000"/>
                <w:kern w:val="0"/>
                <w:sz w:val="24"/>
                <w:lang w:bidi="ar"/>
              </w:rPr>
              <w:t>执行数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default" w:ascii="宋体" w:eastAsia="宋体" w:cs="宋体"/>
                <w:color w:val="000000"/>
                <w:sz w:val="24"/>
                <w:lang w:val="en-US" w:eastAsia="zh-CN"/>
              </w:rPr>
            </w:pPr>
            <w:r>
              <w:rPr>
                <w:rFonts w:hint="eastAsia" w:ascii="宋体" w:cs="宋体"/>
                <w:color w:val="000000"/>
                <w:sz w:val="24"/>
                <w:lang w:val="en-US" w:eastAsia="zh-CN"/>
              </w:rPr>
              <w:t>20万元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outlineLvl w:val="9"/>
              <w:rPr>
                <w:rFonts w:ascii="宋体" w:cs="宋体"/>
                <w:color w:val="000000"/>
                <w:sz w:val="24"/>
              </w:rPr>
            </w:pPr>
          </w:p>
        </w:tc>
        <w:tc>
          <w:tcPr>
            <w:tcW w:w="246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default" w:ascii="宋体" w:eastAsia="宋体" w:cs="宋体"/>
                <w:color w:val="000000"/>
                <w:sz w:val="24"/>
                <w:lang w:val="en-US" w:eastAsia="zh-CN"/>
              </w:rPr>
            </w:pPr>
            <w:r>
              <w:rPr>
                <w:rFonts w:hint="eastAsia" w:ascii="宋体" w:cs="宋体"/>
                <w:color w:val="000000"/>
                <w:sz w:val="24"/>
                <w:lang w:val="en-US" w:eastAsia="zh-CN"/>
              </w:rPr>
              <w:t>20万元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default" w:ascii="宋体" w:eastAsia="宋体" w:cs="宋体"/>
                <w:color w:val="000000"/>
                <w:sz w:val="24"/>
                <w:lang w:val="en-US" w:eastAsia="zh-CN"/>
              </w:rPr>
            </w:pPr>
            <w:r>
              <w:rPr>
                <w:rFonts w:hint="eastAsia" w:ascii="宋体" w:cs="宋体"/>
                <w:color w:val="000000"/>
                <w:sz w:val="24"/>
                <w:lang w:val="en-US" w:eastAsia="zh-CN"/>
              </w:rPr>
              <w:t>20万元</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outlineLvl w:val="9"/>
              <w:rPr>
                <w:rFonts w:ascii="宋体" w:cs="宋体"/>
                <w:color w:val="000000"/>
                <w:sz w:val="24"/>
              </w:rPr>
            </w:pPr>
          </w:p>
        </w:tc>
        <w:tc>
          <w:tcPr>
            <w:tcW w:w="246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eastAsia" w:ascii="宋体" w:eastAsia="宋体" w:cs="宋体"/>
                <w:color w:val="000000"/>
                <w:sz w:val="24"/>
                <w:lang w:val="en-US" w:eastAsia="zh-CN"/>
              </w:rPr>
            </w:pPr>
            <w:r>
              <w:rPr>
                <w:rFonts w:hint="eastAsia" w:ascii="宋体" w:cs="宋体"/>
                <w:color w:val="000000"/>
                <w:sz w:val="24"/>
                <w:lang w:val="en-US" w:eastAsia="zh-CN"/>
              </w:rPr>
              <w:t>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outlineLvl w:val="9"/>
              <w:rPr>
                <w:rFonts w:hint="eastAsia" w:ascii="宋体" w:eastAsia="宋体" w:cs="宋体"/>
                <w:color w:val="000000"/>
                <w:sz w:val="24"/>
                <w:lang w:val="en-US" w:eastAsia="zh-CN"/>
              </w:rPr>
            </w:pPr>
            <w:r>
              <w:rPr>
                <w:rFonts w:hint="eastAsia" w:ascii="宋体" w:cs="宋体"/>
                <w:color w:val="000000"/>
                <w:sz w:val="24"/>
                <w:lang w:val="en-US" w:eastAsia="zh-CN"/>
              </w:rPr>
              <w:t>0万元</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r>
              <w:rPr>
                <w:rFonts w:hint="eastAsia" w:ascii="宋体" w:cs="宋体"/>
                <w:color w:val="00000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r>
              <w:rPr>
                <w:rFonts w:hint="eastAsia" w:ascii="宋体" w:cs="宋体"/>
                <w:color w:val="00000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eastAsia" w:ascii="宋体" w:cs="宋体"/>
                <w:color w:val="000000"/>
                <w:sz w:val="24"/>
              </w:rPr>
            </w:pPr>
            <w:r>
              <w:rPr>
                <w:rFonts w:hint="eastAsia" w:ascii="宋体" w:cs="宋体"/>
                <w:color w:val="000000"/>
                <w:sz w:val="24"/>
              </w:rPr>
              <w:t>保障</w:t>
            </w:r>
            <w:r>
              <w:rPr>
                <w:rFonts w:hint="eastAsia" w:ascii="宋体" w:cs="宋体"/>
                <w:color w:val="000000"/>
                <w:sz w:val="24"/>
                <w:lang w:eastAsia="zh-CN"/>
              </w:rPr>
              <w:t>在押人员</w:t>
            </w:r>
            <w:r>
              <w:rPr>
                <w:rFonts w:hint="eastAsia" w:ascii="宋体" w:cs="宋体"/>
                <w:color w:val="000000"/>
                <w:sz w:val="24"/>
              </w:rPr>
              <w:t>生活的正常运行，进一步改善</w:t>
            </w:r>
            <w:r>
              <w:rPr>
                <w:rFonts w:hint="eastAsia" w:ascii="宋体" w:cs="宋体"/>
                <w:color w:val="000000"/>
                <w:sz w:val="24"/>
                <w:lang w:eastAsia="zh-CN"/>
              </w:rPr>
              <w:t>在押人员</w:t>
            </w:r>
            <w:r>
              <w:rPr>
                <w:rFonts w:hint="eastAsia" w:ascii="宋体" w:cs="宋体"/>
                <w:color w:val="000000"/>
                <w:sz w:val="24"/>
              </w:rPr>
              <w:t>的改造环境，维持</w:t>
            </w:r>
            <w:r>
              <w:rPr>
                <w:rFonts w:hint="eastAsia" w:ascii="宋体" w:cs="宋体"/>
                <w:color w:val="000000"/>
                <w:sz w:val="24"/>
                <w:lang w:eastAsia="zh-CN"/>
              </w:rPr>
              <w:t>在押人员</w:t>
            </w:r>
            <w:r>
              <w:rPr>
                <w:rFonts w:hint="eastAsia" w:ascii="宋体" w:cs="宋体"/>
                <w:color w:val="000000"/>
                <w:sz w:val="24"/>
              </w:rPr>
              <w:t>改造的日常开支，进一步保障监狱的安全持续稳定。</w:t>
            </w:r>
          </w:p>
          <w:p>
            <w:pPr>
              <w:widowControl/>
              <w:jc w:val="center"/>
              <w:textAlignment w:val="center"/>
              <w:outlineLvl w:val="9"/>
              <w:rPr>
                <w:rFonts w:ascii="宋体"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eastAsia" w:ascii="宋体" w:cs="宋体"/>
                <w:color w:val="000000"/>
                <w:sz w:val="24"/>
              </w:rPr>
            </w:pPr>
            <w:r>
              <w:rPr>
                <w:rFonts w:hint="eastAsia" w:ascii="宋体" w:cs="宋体"/>
                <w:color w:val="000000"/>
                <w:sz w:val="24"/>
              </w:rPr>
              <w:t>保障</w:t>
            </w:r>
            <w:r>
              <w:rPr>
                <w:rFonts w:hint="eastAsia" w:ascii="宋体" w:cs="宋体"/>
                <w:color w:val="000000"/>
                <w:sz w:val="24"/>
                <w:lang w:eastAsia="zh-CN"/>
              </w:rPr>
              <w:t>在押人员</w:t>
            </w:r>
            <w:r>
              <w:rPr>
                <w:rFonts w:hint="eastAsia" w:ascii="宋体" w:cs="宋体"/>
                <w:color w:val="000000"/>
                <w:sz w:val="24"/>
              </w:rPr>
              <w:t>生活的正常运行，进一步改善</w:t>
            </w:r>
            <w:r>
              <w:rPr>
                <w:rFonts w:hint="eastAsia" w:ascii="宋体" w:cs="宋体"/>
                <w:color w:val="000000"/>
                <w:sz w:val="24"/>
                <w:lang w:eastAsia="zh-CN"/>
              </w:rPr>
              <w:t>在押人员</w:t>
            </w:r>
            <w:r>
              <w:rPr>
                <w:rFonts w:hint="eastAsia" w:ascii="宋体" w:cs="宋体"/>
                <w:color w:val="000000"/>
                <w:sz w:val="24"/>
              </w:rPr>
              <w:t>的改造环境，维持</w:t>
            </w:r>
            <w:r>
              <w:rPr>
                <w:rFonts w:hint="eastAsia" w:ascii="宋体" w:cs="宋体"/>
                <w:color w:val="000000"/>
                <w:sz w:val="24"/>
                <w:lang w:eastAsia="zh-CN"/>
              </w:rPr>
              <w:t>在押人员</w:t>
            </w:r>
            <w:r>
              <w:rPr>
                <w:rFonts w:hint="eastAsia" w:ascii="宋体" w:cs="宋体"/>
                <w:color w:val="000000"/>
                <w:sz w:val="24"/>
              </w:rPr>
              <w:t>改造的日常开支，进一步保障监狱的安全持续稳定。</w:t>
            </w:r>
          </w:p>
          <w:p>
            <w:pPr>
              <w:widowControl/>
              <w:jc w:val="center"/>
              <w:textAlignment w:val="center"/>
              <w:outlineLvl w:val="9"/>
              <w:rPr>
                <w:rFonts w:asci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r>
              <w:rPr>
                <w:rFonts w:hint="eastAsia" w:ascii="宋体" w:hAnsi="宋体" w:cs="宋体"/>
                <w:color w:val="000000"/>
                <w:kern w:val="0"/>
                <w:sz w:val="24"/>
                <w:lang w:bidi="ar"/>
              </w:rPr>
              <w:t>一级指标</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r>
              <w:rPr>
                <w:rFonts w:hint="eastAsia" w:ascii="宋体" w:hAnsi="宋体" w:cs="宋体"/>
                <w:color w:val="000000"/>
                <w:kern w:val="0"/>
                <w:sz w:val="24"/>
                <w:lang w:bidi="ar"/>
              </w:rPr>
              <w:t>二级指标</w:t>
            </w:r>
          </w:p>
        </w:tc>
        <w:tc>
          <w:tcPr>
            <w:tcW w:w="23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r>
              <w:rPr>
                <w:rFonts w:hint="eastAsia" w:ascii="宋体" w:hAnsi="宋体" w:cs="宋体"/>
                <w:color w:val="000000"/>
                <w:kern w:val="0"/>
                <w:sz w:val="24"/>
                <w:lang w:bidi="ar"/>
              </w:rPr>
              <w:t>预期指标值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r>
              <w:rPr>
                <w:rFonts w:hint="eastAsia" w:ascii="宋体" w:hAnsi="宋体" w:cs="宋体"/>
                <w:color w:val="000000"/>
                <w:kern w:val="0"/>
                <w:sz w:val="24"/>
                <w:lang w:bidi="ar"/>
              </w:rPr>
              <w:t>实际完成指标值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r>
              <w:rPr>
                <w:rFonts w:hint="eastAsia" w:ascii="宋体" w:hAnsi="宋体" w:cs="宋体"/>
                <w:color w:val="000000"/>
                <w:kern w:val="0"/>
                <w:sz w:val="24"/>
                <w:lang w:bidi="ar"/>
              </w:rPr>
              <w:t>项目完成指标</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eastAsia" w:ascii="宋体" w:hAnsi="宋体" w:cs="宋体"/>
                <w:color w:val="000000"/>
                <w:kern w:val="0"/>
                <w:sz w:val="24"/>
                <w:lang w:bidi="ar"/>
              </w:rPr>
            </w:pPr>
            <w:r>
              <w:rPr>
                <w:rFonts w:hint="eastAsia" w:ascii="宋体" w:hAnsi="宋体" w:cs="宋体"/>
                <w:color w:val="000000"/>
                <w:kern w:val="0"/>
                <w:sz w:val="24"/>
                <w:lang w:bidi="ar"/>
              </w:rPr>
              <w:t>数量指标</w:t>
            </w:r>
          </w:p>
        </w:tc>
        <w:tc>
          <w:tcPr>
            <w:tcW w:w="23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eastAsia" w:ascii="宋体" w:hAnsi="宋体" w:cs="宋体"/>
                <w:color w:val="000000"/>
                <w:kern w:val="0"/>
                <w:sz w:val="24"/>
                <w:lang w:bidi="ar"/>
              </w:rPr>
            </w:pPr>
            <w:r>
              <w:rPr>
                <w:rFonts w:hint="eastAsia" w:ascii="宋体" w:hAnsi="宋体" w:cs="宋体"/>
                <w:color w:val="000000"/>
                <w:kern w:val="0"/>
                <w:sz w:val="24"/>
                <w:lang w:bidi="ar"/>
              </w:rPr>
              <w:t>预算编制准确率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default" w:ascii="宋体" w:eastAsia="宋体" w:cs="宋体"/>
                <w:color w:val="000000"/>
                <w:sz w:val="24"/>
                <w:lang w:val="en-US" w:eastAsia="zh-CN"/>
              </w:rPr>
            </w:pPr>
            <w:r>
              <w:rPr>
                <w:rFonts w:hint="eastAsia" w:ascii="宋体" w:hAnsi="宋体" w:cs="宋体"/>
                <w:color w:val="000000"/>
                <w:kern w:val="0"/>
                <w:sz w:val="24"/>
                <w:lang w:bidi="ar"/>
              </w:rPr>
              <w:t>预算编制准确率</w:t>
            </w:r>
            <w:r>
              <w:rPr>
                <w:rFonts w:hint="eastAsia" w:ascii="宋体" w:hAnsi="宋体" w:cs="宋体"/>
                <w:color w:val="000000"/>
                <w:kern w:val="0"/>
                <w:sz w:val="24"/>
                <w:lang w:val="en-US" w:eastAsia="zh-CN" w:bidi="ar"/>
              </w:rPr>
              <w:t>=</w:t>
            </w:r>
            <w:r>
              <w:rPr>
                <w:rFonts w:hint="eastAsia" w:ascii="宋体" w:cs="宋体"/>
                <w:color w:val="000000"/>
                <w:sz w:val="24"/>
                <w:lang w:eastAsia="zh-CN"/>
              </w:rPr>
              <w:t>决算数</w:t>
            </w:r>
            <w:r>
              <w:rPr>
                <w:rFonts w:hint="eastAsia" w:ascii="宋体" w:cs="宋体"/>
                <w:color w:val="000000"/>
                <w:sz w:val="24"/>
                <w:lang w:val="en-US" w:eastAsia="zh-CN"/>
              </w:rPr>
              <w:t>/预算数*100%(该项总分12.5分；</w:t>
            </w:r>
            <w:r>
              <w:rPr>
                <w:rFonts w:hint="default" w:ascii="Arial" w:hAnsi="Arial" w:cs="Arial"/>
                <w:color w:val="000000"/>
                <w:sz w:val="24"/>
                <w:lang w:val="en-US" w:eastAsia="zh-CN"/>
              </w:rPr>
              <w:t>≥</w:t>
            </w:r>
            <w:r>
              <w:rPr>
                <w:rFonts w:hint="eastAsia" w:ascii="宋体" w:cs="宋体"/>
                <w:color w:val="000000"/>
                <w:sz w:val="24"/>
                <w:lang w:val="en-US" w:eastAsia="zh-CN"/>
              </w:rPr>
              <w:t>95%权重为100%；85%-94%权重为85%；75%-84%权重为70%；</w:t>
            </w:r>
            <w:r>
              <w:rPr>
                <w:rFonts w:hint="default" w:ascii="Arial" w:hAnsi="Arial" w:cs="Arial"/>
                <w:color w:val="000000"/>
                <w:sz w:val="24"/>
                <w:lang w:val="en-US" w:eastAsia="zh-CN"/>
              </w:rPr>
              <w:t>≤</w:t>
            </w:r>
            <w:r>
              <w:rPr>
                <w:rFonts w:hint="eastAsia" w:ascii="宋体" w:cs="宋体"/>
                <w:color w:val="000000"/>
                <w:sz w:val="24"/>
                <w:lang w:val="en-US" w:eastAsia="zh-CN"/>
              </w:rPr>
              <w:t>74%则不得分)</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default" w:ascii="宋体" w:eastAsia="宋体" w:cs="宋体"/>
                <w:color w:val="000000"/>
                <w:sz w:val="24"/>
                <w:lang w:val="en-US" w:eastAsia="zh-CN"/>
              </w:rPr>
            </w:pPr>
            <w:r>
              <w:rPr>
                <w:rFonts w:hint="eastAsia" w:ascii="宋体" w:cs="宋体"/>
                <w:color w:val="000000"/>
                <w:sz w:val="24"/>
                <w:lang w:val="en-US" w:eastAsia="zh-CN"/>
              </w:rPr>
              <w:t>12.5分</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r>
              <w:rPr>
                <w:rFonts w:hint="eastAsia" w:ascii="宋体" w:hAnsi="宋体" w:cs="宋体"/>
                <w:color w:val="000000"/>
                <w:kern w:val="0"/>
                <w:sz w:val="24"/>
                <w:lang w:bidi="ar"/>
              </w:rPr>
              <w:t>项目完成指标</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eastAsia" w:ascii="宋体" w:hAnsi="宋体" w:cs="宋体"/>
                <w:color w:val="000000"/>
                <w:kern w:val="0"/>
                <w:sz w:val="24"/>
                <w:lang w:bidi="ar"/>
              </w:rPr>
            </w:pPr>
            <w:r>
              <w:rPr>
                <w:rFonts w:hint="eastAsia" w:ascii="宋体" w:hAnsi="宋体" w:cs="宋体"/>
                <w:color w:val="000000"/>
                <w:kern w:val="0"/>
                <w:sz w:val="24"/>
                <w:lang w:bidi="ar"/>
              </w:rPr>
              <w:t>数量指标</w:t>
            </w:r>
          </w:p>
        </w:tc>
        <w:tc>
          <w:tcPr>
            <w:tcW w:w="23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eastAsia" w:ascii="宋体" w:hAnsi="宋体" w:cs="宋体"/>
                <w:color w:val="000000"/>
                <w:kern w:val="0"/>
                <w:sz w:val="24"/>
                <w:lang w:bidi="ar"/>
              </w:rPr>
            </w:pPr>
            <w:r>
              <w:rPr>
                <w:rFonts w:hint="eastAsia" w:ascii="宋体" w:hAnsi="宋体" w:cs="宋体"/>
                <w:color w:val="000000"/>
                <w:kern w:val="0"/>
                <w:sz w:val="24"/>
                <w:lang w:bidi="ar"/>
              </w:rPr>
              <w:t>在押犯人数量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eastAsia" w:ascii="宋体" w:eastAsia="宋体" w:cs="宋体"/>
                <w:color w:val="000000"/>
                <w:sz w:val="24"/>
                <w:lang w:val="en-US" w:eastAsia="zh-CN"/>
              </w:rPr>
            </w:pPr>
            <w:r>
              <w:rPr>
                <w:rFonts w:hint="eastAsia" w:ascii="宋体" w:hAnsi="宋体" w:cs="宋体"/>
                <w:color w:val="000000"/>
                <w:kern w:val="0"/>
                <w:sz w:val="24"/>
                <w:lang w:bidi="ar"/>
              </w:rPr>
              <w:t>在押犯人数量</w:t>
            </w:r>
            <w:r>
              <w:rPr>
                <w:rFonts w:hint="eastAsia" w:ascii="宋体" w:hAnsi="宋体" w:cs="宋体"/>
                <w:color w:val="000000"/>
                <w:kern w:val="0"/>
                <w:sz w:val="24"/>
                <w:lang w:eastAsia="zh-CN" w:bidi="ar"/>
              </w:rPr>
              <w:t>（</w:t>
            </w:r>
            <w:r>
              <w:rPr>
                <w:rFonts w:hint="eastAsia" w:ascii="宋体" w:cs="宋体"/>
                <w:color w:val="000000"/>
                <w:sz w:val="24"/>
                <w:lang w:val="en-US" w:eastAsia="zh-CN"/>
              </w:rPr>
              <w:t>该项总分12.5分；</w:t>
            </w:r>
            <w:r>
              <w:rPr>
                <w:rFonts w:hint="eastAsia" w:ascii="宋体" w:hAnsi="宋体" w:cs="宋体"/>
                <w:color w:val="000000"/>
                <w:kern w:val="0"/>
                <w:sz w:val="24"/>
                <w:lang w:eastAsia="zh-CN" w:bidi="ar"/>
              </w:rPr>
              <w:t>在押人数</w:t>
            </w:r>
            <w:r>
              <w:rPr>
                <w:rFonts w:hint="default" w:ascii="Arial" w:hAnsi="Arial" w:cs="Arial"/>
                <w:color w:val="000000"/>
                <w:kern w:val="0"/>
                <w:sz w:val="24"/>
                <w:lang w:eastAsia="zh-CN" w:bidi="ar"/>
              </w:rPr>
              <w:t>≥</w:t>
            </w:r>
            <w:r>
              <w:rPr>
                <w:rFonts w:hint="eastAsia" w:ascii="宋体" w:hAnsi="宋体" w:cs="宋体"/>
                <w:color w:val="000000"/>
                <w:kern w:val="0"/>
                <w:sz w:val="24"/>
                <w:lang w:val="en-US" w:eastAsia="zh-CN" w:bidi="ar"/>
              </w:rPr>
              <w:t>30人/月，权重100%分；25人/月-29人/月，权重85%，20人/月-24人/月权重70%，</w:t>
            </w:r>
            <w:r>
              <w:rPr>
                <w:rFonts w:hint="default" w:ascii="宋体" w:hAnsi="宋体" w:cs="宋体"/>
                <w:color w:val="000000"/>
                <w:kern w:val="0"/>
                <w:sz w:val="24"/>
                <w:lang w:val="en-US" w:eastAsia="zh-CN" w:bidi="ar"/>
              </w:rPr>
              <w:t>≤</w:t>
            </w:r>
            <w:r>
              <w:rPr>
                <w:rFonts w:hint="eastAsia" w:ascii="宋体" w:hAnsi="宋体" w:cs="宋体"/>
                <w:color w:val="000000"/>
                <w:kern w:val="0"/>
                <w:sz w:val="24"/>
                <w:lang w:val="en-US" w:eastAsia="zh-CN" w:bidi="ar"/>
              </w:rPr>
              <w:t>19人/月权重60%</w:t>
            </w:r>
            <w:r>
              <w:rPr>
                <w:rFonts w:hint="eastAsia" w:ascii="宋体" w:hAnsi="宋体" w:cs="宋体"/>
                <w:color w:val="000000"/>
                <w:kern w:val="0"/>
                <w:sz w:val="24"/>
                <w:lang w:eastAsia="zh-CN"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default" w:ascii="宋体" w:eastAsia="宋体" w:cs="宋体"/>
                <w:color w:val="000000"/>
                <w:sz w:val="24"/>
                <w:lang w:val="en-US" w:eastAsia="zh-CN"/>
              </w:rPr>
            </w:pPr>
            <w:r>
              <w:rPr>
                <w:rFonts w:hint="eastAsia" w:ascii="宋体" w:cs="宋体"/>
                <w:color w:val="000000"/>
                <w:sz w:val="24"/>
                <w:lang w:val="en-US" w:eastAsia="zh-CN"/>
              </w:rPr>
              <w:t>10.625分</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r>
              <w:rPr>
                <w:rFonts w:hint="eastAsia" w:ascii="宋体" w:hAnsi="宋体" w:cs="宋体"/>
                <w:color w:val="000000"/>
                <w:kern w:val="0"/>
                <w:sz w:val="24"/>
                <w:lang w:bidi="ar"/>
              </w:rPr>
              <w:t>项目完成指标</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eastAsia" w:ascii="宋体" w:hAnsi="宋体" w:cs="宋体"/>
                <w:color w:val="000000"/>
                <w:kern w:val="0"/>
                <w:sz w:val="24"/>
                <w:lang w:bidi="ar"/>
              </w:rPr>
            </w:pPr>
            <w:r>
              <w:rPr>
                <w:rFonts w:hint="eastAsia" w:ascii="宋体" w:hAnsi="宋体" w:cs="宋体"/>
                <w:color w:val="000000"/>
                <w:kern w:val="0"/>
                <w:sz w:val="24"/>
                <w:lang w:bidi="ar"/>
              </w:rPr>
              <w:t>数量指标</w:t>
            </w:r>
          </w:p>
        </w:tc>
        <w:tc>
          <w:tcPr>
            <w:tcW w:w="23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eastAsia" w:ascii="宋体" w:hAnsi="宋体" w:cs="宋体"/>
                <w:color w:val="000000"/>
                <w:kern w:val="0"/>
                <w:sz w:val="24"/>
                <w:lang w:bidi="ar"/>
              </w:rPr>
            </w:pPr>
            <w:r>
              <w:rPr>
                <w:rFonts w:hint="eastAsia" w:ascii="宋体" w:hAnsi="宋体" w:cs="宋体"/>
                <w:color w:val="000000"/>
                <w:kern w:val="0"/>
                <w:sz w:val="24"/>
                <w:lang w:bidi="ar"/>
              </w:rPr>
              <w:t>在押人员伙食标准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default" w:ascii="宋体" w:eastAsia="宋体" w:cs="宋体"/>
                <w:color w:val="000000"/>
                <w:sz w:val="24"/>
                <w:lang w:val="en-US" w:eastAsia="zh-CN"/>
              </w:rPr>
            </w:pPr>
            <w:r>
              <w:rPr>
                <w:rFonts w:hint="eastAsia" w:ascii="宋体" w:hAnsi="宋体" w:cs="宋体"/>
                <w:color w:val="000000"/>
                <w:kern w:val="0"/>
                <w:sz w:val="24"/>
                <w:lang w:bidi="ar"/>
              </w:rPr>
              <w:t>在押人员伙食标准</w:t>
            </w:r>
            <w:r>
              <w:rPr>
                <w:rFonts w:hint="eastAsia" w:ascii="宋体" w:hAnsi="宋体" w:cs="宋体"/>
                <w:color w:val="000000"/>
                <w:kern w:val="0"/>
                <w:sz w:val="24"/>
                <w:lang w:val="en-US" w:eastAsia="zh-CN" w:bidi="ar"/>
              </w:rPr>
              <w:t>=伙食总支出/在押总人数（</w:t>
            </w:r>
            <w:r>
              <w:rPr>
                <w:rFonts w:hint="eastAsia" w:ascii="宋体" w:cs="宋体"/>
                <w:color w:val="000000"/>
                <w:sz w:val="24"/>
                <w:lang w:val="en-US" w:eastAsia="zh-CN"/>
              </w:rPr>
              <w:t>该项总分12.5分</w:t>
            </w:r>
            <w:r>
              <w:rPr>
                <w:rFonts w:hint="eastAsia" w:ascii="宋体" w:hAnsi="宋体" w:cs="宋体"/>
                <w:color w:val="000000"/>
                <w:kern w:val="0"/>
                <w:sz w:val="24"/>
                <w:lang w:val="en-US" w:eastAsia="zh-CN" w:bidi="ar"/>
              </w:rPr>
              <w:t>；伙食标准</w:t>
            </w:r>
            <w:r>
              <w:rPr>
                <w:rFonts w:hint="default" w:ascii="Arial" w:hAnsi="Arial" w:cs="Arial"/>
                <w:color w:val="000000"/>
                <w:kern w:val="0"/>
                <w:sz w:val="24"/>
                <w:lang w:val="en-US" w:eastAsia="zh-CN" w:bidi="ar"/>
              </w:rPr>
              <w:t>≥</w:t>
            </w:r>
            <w:r>
              <w:rPr>
                <w:rFonts w:hint="eastAsia" w:ascii="宋体" w:hAnsi="宋体" w:cs="宋体"/>
                <w:color w:val="000000"/>
                <w:kern w:val="0"/>
                <w:sz w:val="24"/>
                <w:lang w:val="en-US" w:eastAsia="zh-CN" w:bidi="ar"/>
              </w:rPr>
              <w:t>16.6/人/天权重100%，反之则0%）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default" w:ascii="宋体" w:eastAsia="宋体" w:cs="宋体"/>
                <w:color w:val="000000"/>
                <w:sz w:val="24"/>
                <w:lang w:val="en-US" w:eastAsia="zh-CN"/>
              </w:rPr>
            </w:pPr>
            <w:r>
              <w:rPr>
                <w:rFonts w:hint="eastAsia" w:ascii="宋体" w:cs="宋体"/>
                <w:color w:val="000000"/>
                <w:sz w:val="24"/>
                <w:lang w:val="en-US" w:eastAsia="zh-CN"/>
              </w:rPr>
              <w:t>12.5分</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kern w:val="0"/>
                <w:sz w:val="24"/>
                <w:lang w:bidi="ar"/>
              </w:rPr>
            </w:pPr>
            <w:r>
              <w:rPr>
                <w:rFonts w:hint="eastAsia" w:ascii="宋体" w:hAnsi="宋体" w:cs="宋体"/>
                <w:color w:val="000000"/>
                <w:kern w:val="0"/>
                <w:sz w:val="24"/>
                <w:lang w:bidi="ar"/>
              </w:rPr>
              <w:t>项目完成指标</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eastAsia" w:ascii="宋体" w:hAnsi="宋体" w:cs="宋体"/>
                <w:color w:val="000000"/>
                <w:kern w:val="0"/>
                <w:sz w:val="24"/>
                <w:lang w:bidi="ar"/>
              </w:rPr>
            </w:pPr>
            <w:r>
              <w:rPr>
                <w:rFonts w:hint="eastAsia" w:ascii="宋体" w:hAnsi="宋体" w:cs="宋体"/>
                <w:color w:val="000000"/>
                <w:kern w:val="0"/>
                <w:sz w:val="24"/>
                <w:lang w:bidi="ar"/>
              </w:rPr>
              <w:t>安全指标</w:t>
            </w:r>
          </w:p>
        </w:tc>
        <w:tc>
          <w:tcPr>
            <w:tcW w:w="23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eastAsia" w:ascii="宋体" w:hAnsi="宋体" w:cs="宋体"/>
                <w:color w:val="000000"/>
                <w:kern w:val="0"/>
                <w:sz w:val="24"/>
                <w:lang w:bidi="ar"/>
              </w:rPr>
            </w:pPr>
            <w:r>
              <w:rPr>
                <w:rFonts w:hint="eastAsia" w:ascii="宋体" w:hAnsi="宋体" w:cs="宋体"/>
                <w:color w:val="000000"/>
                <w:kern w:val="0"/>
                <w:sz w:val="24"/>
                <w:lang w:bidi="ar"/>
              </w:rPr>
              <w:t>食品安全事故</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eastAsia" w:ascii="宋体" w:eastAsia="宋体" w:cs="宋体"/>
                <w:color w:val="000000"/>
                <w:sz w:val="24"/>
                <w:lang w:val="en-US" w:eastAsia="zh-CN"/>
              </w:rPr>
            </w:pPr>
            <w:r>
              <w:rPr>
                <w:rFonts w:hint="eastAsia" w:ascii="宋体" w:cs="宋体"/>
                <w:color w:val="000000"/>
                <w:sz w:val="24"/>
                <w:lang w:eastAsia="zh-CN"/>
              </w:rPr>
              <w:t>事故</w:t>
            </w:r>
            <w:r>
              <w:rPr>
                <w:rFonts w:hint="default" w:ascii="Arial" w:hAnsi="Arial" w:cs="Arial"/>
                <w:color w:val="000000"/>
                <w:sz w:val="24"/>
                <w:lang w:eastAsia="zh-CN"/>
              </w:rPr>
              <w:t>≥</w:t>
            </w:r>
            <w:r>
              <w:rPr>
                <w:rFonts w:hint="eastAsia" w:ascii="宋体" w:cs="宋体"/>
                <w:color w:val="000000"/>
                <w:sz w:val="24"/>
                <w:lang w:val="en-US" w:eastAsia="zh-CN"/>
              </w:rPr>
              <w:t>1则得分0分；次数=0则得分12.5分</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default" w:ascii="宋体" w:eastAsia="宋体" w:cs="宋体"/>
                <w:color w:val="000000"/>
                <w:sz w:val="24"/>
                <w:lang w:val="en-US" w:eastAsia="zh-CN"/>
              </w:rPr>
            </w:pPr>
            <w:r>
              <w:rPr>
                <w:rFonts w:hint="eastAsia" w:ascii="宋体" w:cs="宋体"/>
                <w:color w:val="000000"/>
                <w:sz w:val="24"/>
                <w:lang w:val="en-US" w:eastAsia="zh-CN"/>
              </w:rPr>
              <w:t>12.5分</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eastAsia" w:ascii="宋体" w:hAnsi="宋体" w:cs="宋体"/>
                <w:color w:val="000000"/>
                <w:kern w:val="0"/>
                <w:sz w:val="24"/>
                <w:lang w:bidi="ar"/>
              </w:rPr>
            </w:pPr>
            <w:r>
              <w:rPr>
                <w:rFonts w:hint="eastAsia" w:ascii="宋体" w:hAnsi="宋体" w:cs="宋体"/>
                <w:color w:val="000000"/>
                <w:kern w:val="0"/>
                <w:sz w:val="24"/>
                <w:lang w:bidi="ar"/>
              </w:rPr>
              <w:t>项目完成指标</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eastAsia" w:ascii="宋体" w:hAnsi="宋体" w:cs="宋体"/>
                <w:color w:val="000000"/>
                <w:kern w:val="0"/>
                <w:sz w:val="24"/>
                <w:lang w:bidi="ar"/>
              </w:rPr>
            </w:pPr>
            <w:r>
              <w:rPr>
                <w:rFonts w:hint="eastAsia" w:ascii="宋体" w:hAnsi="宋体" w:cs="宋体"/>
                <w:color w:val="000000"/>
                <w:kern w:val="0"/>
                <w:sz w:val="24"/>
                <w:lang w:bidi="ar"/>
              </w:rPr>
              <w:t>时效指标</w:t>
            </w:r>
          </w:p>
        </w:tc>
        <w:tc>
          <w:tcPr>
            <w:tcW w:w="23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eastAsia" w:ascii="宋体" w:hAnsi="宋体" w:cs="宋体"/>
                <w:color w:val="000000"/>
                <w:kern w:val="0"/>
                <w:sz w:val="24"/>
                <w:lang w:bidi="ar"/>
              </w:rPr>
            </w:pPr>
            <w:r>
              <w:rPr>
                <w:rFonts w:hint="eastAsia" w:ascii="宋体" w:hAnsi="宋体" w:cs="宋体"/>
                <w:color w:val="000000"/>
                <w:kern w:val="0"/>
                <w:sz w:val="24"/>
                <w:lang w:bidi="ar"/>
              </w:rPr>
              <w:t>资金到位率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default" w:ascii="宋体" w:eastAsia="宋体" w:cs="宋体"/>
                <w:color w:val="000000"/>
                <w:sz w:val="24"/>
                <w:lang w:val="en-US" w:eastAsia="zh-CN"/>
              </w:rPr>
            </w:pPr>
            <w:r>
              <w:rPr>
                <w:rFonts w:hint="eastAsia" w:ascii="宋体" w:hAnsi="宋体" w:cs="宋体"/>
                <w:color w:val="000000"/>
                <w:kern w:val="0"/>
                <w:sz w:val="24"/>
                <w:lang w:bidi="ar"/>
              </w:rPr>
              <w:t>资金到位率</w:t>
            </w:r>
            <w:r>
              <w:rPr>
                <w:rFonts w:hint="eastAsia" w:ascii="宋体" w:hAnsi="宋体" w:cs="宋体"/>
                <w:color w:val="000000"/>
                <w:kern w:val="0"/>
                <w:sz w:val="24"/>
                <w:lang w:val="en-US" w:eastAsia="zh-CN" w:bidi="ar"/>
              </w:rPr>
              <w:t>=预算下达数/年初预算数*100%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default" w:ascii="宋体" w:eastAsia="宋体" w:cs="宋体"/>
                <w:color w:val="000000"/>
                <w:sz w:val="24"/>
                <w:lang w:val="en-US" w:eastAsia="zh-CN"/>
              </w:rPr>
            </w:pPr>
            <w:r>
              <w:rPr>
                <w:rFonts w:hint="eastAsia" w:ascii="宋体" w:cs="宋体"/>
                <w:color w:val="000000"/>
                <w:sz w:val="24"/>
                <w:lang w:val="en-US" w:eastAsia="zh-CN"/>
              </w:rPr>
              <w:t>12.5分</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eastAsia" w:ascii="宋体" w:hAnsi="宋体" w:cs="宋体"/>
                <w:color w:val="000000"/>
                <w:kern w:val="0"/>
                <w:sz w:val="24"/>
                <w:lang w:bidi="ar"/>
              </w:rPr>
            </w:pPr>
            <w:r>
              <w:rPr>
                <w:rFonts w:hint="eastAsia" w:ascii="宋体" w:hAnsi="宋体" w:cs="宋体"/>
                <w:color w:val="000000"/>
                <w:kern w:val="0"/>
                <w:sz w:val="24"/>
                <w:lang w:bidi="ar"/>
              </w:rPr>
              <w:t>项目完成指标</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eastAsia" w:ascii="宋体" w:hAnsi="宋体" w:cs="宋体"/>
                <w:color w:val="000000"/>
                <w:kern w:val="0"/>
                <w:sz w:val="24"/>
                <w:lang w:bidi="ar"/>
              </w:rPr>
            </w:pPr>
            <w:r>
              <w:rPr>
                <w:rFonts w:hint="eastAsia" w:ascii="宋体" w:hAnsi="宋体" w:cs="宋体"/>
                <w:color w:val="000000"/>
                <w:kern w:val="0"/>
                <w:sz w:val="24"/>
                <w:lang w:bidi="ar"/>
              </w:rPr>
              <w:t>安全指标</w:t>
            </w:r>
          </w:p>
        </w:tc>
        <w:tc>
          <w:tcPr>
            <w:tcW w:w="23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eastAsia" w:ascii="宋体" w:hAnsi="宋体" w:cs="宋体"/>
                <w:color w:val="000000"/>
                <w:kern w:val="0"/>
                <w:sz w:val="24"/>
                <w:lang w:bidi="ar"/>
              </w:rPr>
            </w:pPr>
            <w:r>
              <w:rPr>
                <w:rFonts w:hint="eastAsia" w:ascii="宋体" w:hAnsi="宋体" w:cs="宋体"/>
                <w:color w:val="000000"/>
                <w:kern w:val="0"/>
                <w:sz w:val="24"/>
                <w:lang w:bidi="ar"/>
              </w:rPr>
              <w:t>在押人员出逃等非食品安全事故</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default" w:ascii="宋体" w:eastAsia="宋体" w:cs="宋体"/>
                <w:color w:val="000000"/>
                <w:sz w:val="24"/>
                <w:lang w:val="en-US" w:eastAsia="zh-CN"/>
              </w:rPr>
            </w:pPr>
            <w:r>
              <w:rPr>
                <w:rFonts w:hint="eastAsia" w:ascii="宋体" w:cs="宋体"/>
                <w:color w:val="000000"/>
                <w:sz w:val="24"/>
                <w:lang w:eastAsia="zh-CN"/>
              </w:rPr>
              <w:t>事故</w:t>
            </w:r>
            <w:r>
              <w:rPr>
                <w:rFonts w:hint="default" w:ascii="Arial" w:hAnsi="Arial" w:cs="Arial"/>
                <w:color w:val="000000"/>
                <w:sz w:val="24"/>
                <w:lang w:eastAsia="zh-CN"/>
              </w:rPr>
              <w:t>≥</w:t>
            </w:r>
            <w:r>
              <w:rPr>
                <w:rFonts w:hint="eastAsia" w:ascii="宋体" w:cs="宋体"/>
                <w:color w:val="000000"/>
                <w:sz w:val="24"/>
                <w:lang w:val="en-US" w:eastAsia="zh-CN"/>
              </w:rPr>
              <w:t>1则得分0分；次数=0则得分12.5分</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default" w:ascii="宋体" w:eastAsia="宋体" w:cs="宋体"/>
                <w:color w:val="000000"/>
                <w:sz w:val="24"/>
                <w:lang w:val="en-US" w:eastAsia="zh-CN"/>
              </w:rPr>
            </w:pPr>
            <w:r>
              <w:rPr>
                <w:rFonts w:hint="eastAsia" w:ascii="宋体" w:cs="宋体"/>
                <w:color w:val="000000"/>
                <w:sz w:val="24"/>
                <w:lang w:val="en-US" w:eastAsia="zh-CN"/>
              </w:rPr>
              <w:t>12.5分</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eastAsia" w:ascii="宋体" w:hAnsi="宋体" w:cs="宋体"/>
                <w:color w:val="000000"/>
                <w:kern w:val="0"/>
                <w:sz w:val="24"/>
                <w:lang w:bidi="ar"/>
              </w:rPr>
            </w:pPr>
            <w:r>
              <w:rPr>
                <w:rFonts w:hint="eastAsia" w:ascii="宋体" w:hAnsi="宋体" w:cs="宋体"/>
                <w:color w:val="000000"/>
                <w:kern w:val="0"/>
                <w:sz w:val="24"/>
                <w:lang w:bidi="ar"/>
              </w:rPr>
              <w:t>效益指标</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eastAsia" w:ascii="宋体" w:hAnsi="宋体" w:cs="宋体"/>
                <w:color w:val="000000"/>
                <w:kern w:val="0"/>
                <w:sz w:val="24"/>
                <w:lang w:bidi="ar"/>
              </w:rPr>
            </w:pPr>
            <w:r>
              <w:rPr>
                <w:rFonts w:hint="eastAsia" w:ascii="宋体" w:hAnsi="宋体" w:cs="宋体"/>
                <w:color w:val="000000"/>
                <w:kern w:val="0"/>
                <w:sz w:val="24"/>
                <w:lang w:bidi="ar"/>
              </w:rPr>
              <w:t>社会效益指标</w:t>
            </w:r>
          </w:p>
        </w:tc>
        <w:tc>
          <w:tcPr>
            <w:tcW w:w="23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eastAsia" w:ascii="宋体" w:hAnsi="宋体" w:cs="宋体"/>
                <w:color w:val="000000"/>
                <w:kern w:val="0"/>
                <w:sz w:val="24"/>
                <w:lang w:bidi="ar"/>
              </w:rPr>
            </w:pPr>
            <w:r>
              <w:rPr>
                <w:rFonts w:hint="eastAsia" w:ascii="宋体" w:hAnsi="宋体" w:cs="宋体"/>
                <w:color w:val="000000"/>
                <w:kern w:val="0"/>
                <w:sz w:val="24"/>
                <w:lang w:bidi="ar"/>
              </w:rPr>
              <w:t>在押人员入狱次数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default" w:ascii="宋体" w:hAnsi="宋体" w:eastAsia="宋体" w:cs="宋体"/>
                <w:color w:val="000000"/>
                <w:sz w:val="24"/>
                <w:lang w:val="en-US" w:eastAsia="zh-CN"/>
              </w:rPr>
            </w:pPr>
            <w:r>
              <w:rPr>
                <w:rFonts w:hint="eastAsia" w:ascii="宋体" w:cs="宋体"/>
                <w:color w:val="000000"/>
                <w:sz w:val="24"/>
                <w:lang w:val="en-US" w:eastAsia="zh-CN"/>
              </w:rPr>
              <w:t>次数</w:t>
            </w:r>
            <w:r>
              <w:rPr>
                <w:rFonts w:hint="default" w:ascii="Arial" w:hAnsi="Arial" w:cs="Arial"/>
                <w:color w:val="000000"/>
                <w:sz w:val="24"/>
                <w:lang w:val="en-US" w:eastAsia="zh-CN"/>
              </w:rPr>
              <w:t>≥</w:t>
            </w:r>
            <w:r>
              <w:rPr>
                <w:rFonts w:hint="eastAsia" w:ascii="宋体" w:cs="宋体"/>
                <w:color w:val="000000"/>
                <w:sz w:val="24"/>
                <w:lang w:val="en-US" w:eastAsia="zh-CN"/>
              </w:rPr>
              <w:t>1则得分0分；次数</w:t>
            </w:r>
            <w:r>
              <w:rPr>
                <w:rFonts w:hint="eastAsia" w:ascii="宋体" w:hAnsi="宋体" w:eastAsia="宋体" w:cs="宋体"/>
                <w:color w:val="000000"/>
                <w:sz w:val="24"/>
                <w:lang w:val="en-US" w:eastAsia="zh-CN"/>
              </w:rPr>
              <w:t>=</w:t>
            </w:r>
            <w:r>
              <w:rPr>
                <w:rFonts w:hint="eastAsia" w:ascii="宋体" w:hAnsi="宋体" w:cs="宋体"/>
                <w:color w:val="000000"/>
                <w:sz w:val="24"/>
                <w:lang w:val="en-US" w:eastAsia="zh-CN"/>
              </w:rPr>
              <w:t>0则得分12.5分</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default" w:ascii="宋体" w:eastAsia="宋体" w:cs="宋体"/>
                <w:color w:val="000000"/>
                <w:sz w:val="24"/>
                <w:lang w:val="en-US" w:eastAsia="zh-CN"/>
              </w:rPr>
            </w:pPr>
            <w:r>
              <w:rPr>
                <w:rFonts w:hint="eastAsia" w:ascii="宋体" w:cs="宋体"/>
                <w:color w:val="000000"/>
                <w:sz w:val="24"/>
                <w:lang w:val="en-US" w:eastAsia="zh-CN"/>
              </w:rPr>
              <w:t>12.5分</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eastAsia" w:ascii="宋体" w:hAnsi="宋体" w:cs="宋体"/>
                <w:color w:val="000000"/>
                <w:kern w:val="0"/>
                <w:sz w:val="24"/>
                <w:lang w:bidi="ar"/>
              </w:rPr>
            </w:pPr>
            <w:r>
              <w:rPr>
                <w:rFonts w:hint="eastAsia" w:ascii="宋体" w:hAnsi="宋体" w:cs="宋体"/>
                <w:color w:val="000000"/>
                <w:kern w:val="0"/>
                <w:sz w:val="24"/>
                <w:lang w:bidi="ar"/>
              </w:rPr>
              <w:t>满意度指标</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eastAsia" w:ascii="宋体" w:hAnsi="宋体" w:cs="宋体"/>
                <w:color w:val="000000"/>
                <w:kern w:val="0"/>
                <w:sz w:val="24"/>
                <w:lang w:bidi="ar"/>
              </w:rPr>
            </w:pPr>
            <w:r>
              <w:rPr>
                <w:rFonts w:hint="eastAsia" w:ascii="宋体" w:hAnsi="宋体" w:cs="宋体"/>
                <w:color w:val="000000"/>
                <w:kern w:val="0"/>
                <w:sz w:val="24"/>
                <w:lang w:bidi="ar"/>
              </w:rPr>
              <w:t>服务对象满意度指标</w:t>
            </w:r>
          </w:p>
        </w:tc>
        <w:tc>
          <w:tcPr>
            <w:tcW w:w="23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eastAsia" w:ascii="宋体" w:hAnsi="宋体" w:cs="宋体"/>
                <w:color w:val="000000"/>
                <w:kern w:val="0"/>
                <w:sz w:val="24"/>
                <w:lang w:bidi="ar"/>
              </w:rPr>
            </w:pPr>
            <w:r>
              <w:rPr>
                <w:rFonts w:hint="eastAsia" w:ascii="宋体" w:hAnsi="宋体" w:cs="宋体"/>
                <w:color w:val="000000"/>
                <w:kern w:val="0"/>
                <w:sz w:val="24"/>
                <w:lang w:bidi="ar"/>
              </w:rPr>
              <w:t>在押人员满意度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default" w:ascii="宋体" w:eastAsia="宋体" w:cs="宋体"/>
                <w:color w:val="000000"/>
                <w:sz w:val="24"/>
                <w:lang w:val="en-US" w:eastAsia="zh-CN"/>
              </w:rPr>
            </w:pPr>
            <w:r>
              <w:rPr>
                <w:rFonts w:hint="eastAsia" w:ascii="宋体" w:hAnsi="宋体" w:cs="宋体"/>
                <w:color w:val="000000"/>
                <w:kern w:val="0"/>
                <w:sz w:val="24"/>
                <w:lang w:bidi="ar"/>
              </w:rPr>
              <w:t>在押人员满意度</w:t>
            </w:r>
            <w:r>
              <w:rPr>
                <w:rFonts w:hint="eastAsia" w:ascii="宋体" w:hAnsi="宋体" w:cs="宋体"/>
                <w:color w:val="000000"/>
                <w:kern w:val="0"/>
                <w:sz w:val="24"/>
                <w:lang w:val="en-US" w:eastAsia="zh-CN" w:bidi="ar"/>
              </w:rPr>
              <w:t>=（总人数-投诉人数）/总人数*100%（该项总分12.5分；</w:t>
            </w:r>
            <w:r>
              <w:rPr>
                <w:rFonts w:hint="default" w:ascii="Arial" w:hAnsi="Arial" w:cs="Arial"/>
                <w:color w:val="000000"/>
                <w:kern w:val="0"/>
                <w:sz w:val="24"/>
                <w:lang w:val="en-US" w:eastAsia="zh-CN" w:bidi="ar"/>
              </w:rPr>
              <w:t>≥</w:t>
            </w:r>
            <w:r>
              <w:rPr>
                <w:rFonts w:hint="eastAsia" w:ascii="宋体" w:hAnsi="宋体" w:cs="宋体"/>
                <w:color w:val="000000"/>
                <w:kern w:val="0"/>
                <w:sz w:val="24"/>
                <w:lang w:val="en-US" w:eastAsia="zh-CN" w:bidi="ar"/>
              </w:rPr>
              <w:t>95%权重100%；</w:t>
            </w:r>
            <w:r>
              <w:rPr>
                <w:rFonts w:hint="eastAsia" w:ascii="宋体" w:cs="宋体"/>
                <w:color w:val="000000"/>
                <w:sz w:val="24"/>
                <w:lang w:val="en-US" w:eastAsia="zh-CN"/>
              </w:rPr>
              <w:t>85%-94%权重为80%；75%-84%权重为60%；</w:t>
            </w:r>
            <w:r>
              <w:rPr>
                <w:rFonts w:hint="default" w:ascii="Arial" w:hAnsi="Arial" w:cs="Arial"/>
                <w:color w:val="000000"/>
                <w:sz w:val="24"/>
                <w:lang w:val="en-US" w:eastAsia="zh-CN"/>
              </w:rPr>
              <w:t>≤</w:t>
            </w:r>
            <w:r>
              <w:rPr>
                <w:rFonts w:hint="eastAsia" w:ascii="宋体" w:cs="宋体"/>
                <w:color w:val="000000"/>
                <w:sz w:val="24"/>
                <w:lang w:val="en-US" w:eastAsia="zh-CN"/>
              </w:rPr>
              <w:t>74%则不得分</w:t>
            </w:r>
            <w:r>
              <w:rPr>
                <w:rFonts w:hint="eastAsia" w:ascii="宋体" w:hAnsi="宋体" w:cs="宋体"/>
                <w:color w:val="000000"/>
                <w:kern w:val="0"/>
                <w:sz w:val="24"/>
                <w:lang w:val="en-US" w:eastAsia="zh-CN"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outlineLvl w:val="9"/>
              <w:rPr>
                <w:rFonts w:hint="default" w:ascii="宋体" w:eastAsia="宋体" w:cs="宋体"/>
                <w:color w:val="000000"/>
                <w:sz w:val="24"/>
                <w:lang w:val="en-US" w:eastAsia="zh-CN"/>
              </w:rPr>
            </w:pPr>
            <w:r>
              <w:rPr>
                <w:rFonts w:hint="eastAsia" w:ascii="宋体" w:cs="宋体"/>
                <w:color w:val="000000"/>
                <w:sz w:val="24"/>
                <w:lang w:val="en-US" w:eastAsia="zh-CN"/>
              </w:rPr>
              <w:t>12.5分</w:t>
            </w:r>
          </w:p>
        </w:tc>
      </w:tr>
    </w:tbl>
    <w:p>
      <w:pPr>
        <w:spacing w:line="580" w:lineRule="exact"/>
        <w:outlineLvl w:val="9"/>
        <w:rPr>
          <w:rFonts w:ascii="仿宋_GB2312" w:hAnsi="仿宋_GB2312" w:eastAsia="仿宋_GB2312" w:cs="仿宋_GB2312"/>
          <w:sz w:val="32"/>
          <w:szCs w:val="32"/>
        </w:rPr>
      </w:pPr>
    </w:p>
    <w:p>
      <w:pPr>
        <w:spacing w:line="580" w:lineRule="exact"/>
        <w:ind w:left="630"/>
        <w:outlineLvl w:val="9"/>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红原县公安局</w:t>
      </w:r>
      <w:r>
        <w:rPr>
          <w:rFonts w:hint="eastAsia" w:ascii="仿宋_GB2312" w:hAnsi="仿宋_GB2312" w:eastAsia="仿宋_GB2312" w:cs="仿宋_GB2312"/>
          <w:sz w:val="32"/>
          <w:szCs w:val="32"/>
        </w:rPr>
        <w:t>部门</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spacing w:line="580" w:lineRule="exact"/>
        <w:ind w:firstLine="640" w:firstLineChars="200"/>
        <w:outlineLvl w:val="9"/>
        <w:rPr>
          <w:rFonts w:ascii="仿宋_GB2312" w:eastAsia="仿宋_GB2312"/>
          <w:b/>
          <w:color w:val="000000"/>
          <w:sz w:val="32"/>
          <w:szCs w:val="32"/>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eastAsia="zh-CN"/>
        </w:rPr>
        <w:t>红原县</w:t>
      </w:r>
      <w:r>
        <w:rPr>
          <w:rFonts w:hint="eastAsia" w:ascii="仿宋_GB2312" w:hAnsi="仿宋_GB2312" w:eastAsia="仿宋_GB2312" w:cs="仿宋_GB2312"/>
          <w:sz w:val="32"/>
          <w:szCs w:val="32"/>
        </w:rPr>
        <w:t>看守所工作相关经费项目，《</w:t>
      </w:r>
      <w:r>
        <w:rPr>
          <w:rFonts w:hint="eastAsia" w:ascii="仿宋_GB2312" w:hAnsi="仿宋_GB2312" w:eastAsia="仿宋_GB2312" w:cs="仿宋_GB2312"/>
          <w:sz w:val="32"/>
          <w:szCs w:val="32"/>
          <w:lang w:eastAsia="zh-CN"/>
        </w:rPr>
        <w:t>红原县看守所工作相关经费</w:t>
      </w:r>
      <w:r>
        <w:rPr>
          <w:rFonts w:hint="eastAsia" w:ascii="仿宋_GB2312" w:hAnsi="仿宋_GB2312" w:eastAsia="仿宋_GB2312" w:cs="仿宋_GB2312"/>
          <w:sz w:val="32"/>
          <w:szCs w:val="32"/>
        </w:rPr>
        <w:t>项目</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年绩效评价报告》见附件（附件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p>
    <w:p>
      <w:pPr>
        <w:widowControl/>
        <w:jc w:val="left"/>
        <w:outlineLvl w:val="9"/>
        <w:rPr>
          <w:rFonts w:ascii="仿宋_GB2312" w:eastAsia="仿宋_GB2312"/>
          <w:b/>
          <w:color w:val="000000"/>
          <w:sz w:val="32"/>
          <w:szCs w:val="32"/>
        </w:rPr>
      </w:pPr>
      <w:r>
        <w:rPr>
          <w:rFonts w:ascii="仿宋_GB2312" w:eastAsia="仿宋_GB2312"/>
          <w:b/>
          <w:color w:val="000000"/>
          <w:sz w:val="32"/>
          <w:szCs w:val="32"/>
        </w:rPr>
        <w:br w:type="page"/>
      </w:r>
    </w:p>
    <w:p>
      <w:pPr>
        <w:numPr>
          <w:ilvl w:val="0"/>
          <w:numId w:val="4"/>
        </w:numPr>
        <w:spacing w:line="600" w:lineRule="exact"/>
        <w:ind w:firstLine="660" w:firstLineChars="150"/>
        <w:jc w:val="center"/>
        <w:outlineLvl w:val="0"/>
        <w:rPr>
          <w:rStyle w:val="24"/>
          <w:rFonts w:ascii="黑体" w:hAnsi="黑体" w:eastAsia="黑体"/>
          <w:b w:val="0"/>
        </w:rPr>
      </w:pPr>
      <w:bookmarkStart w:id="101" w:name="_Toc19910"/>
      <w:bookmarkStart w:id="102" w:name="_Toc15396613"/>
      <w:bookmarkStart w:id="103" w:name="_Toc79163629"/>
      <w:bookmarkStart w:id="104" w:name="_Toc15377225"/>
      <w:r>
        <w:rPr>
          <w:rFonts w:hint="eastAsia" w:ascii="黑体" w:hAnsi="黑体" w:eastAsia="黑体"/>
          <w:color w:val="000000"/>
          <w:sz w:val="44"/>
          <w:szCs w:val="44"/>
        </w:rPr>
        <w:t>名</w:t>
      </w:r>
      <w:r>
        <w:rPr>
          <w:rStyle w:val="24"/>
          <w:rFonts w:hint="eastAsia" w:ascii="黑体" w:hAnsi="黑体" w:eastAsia="黑体"/>
          <w:b w:val="0"/>
        </w:rPr>
        <w:t>词解释</w:t>
      </w:r>
      <w:bookmarkEnd w:id="101"/>
      <w:bookmarkEnd w:id="102"/>
      <w:bookmarkEnd w:id="103"/>
      <w:bookmarkEnd w:id="104"/>
    </w:p>
    <w:p>
      <w:pPr>
        <w:spacing w:line="600" w:lineRule="exact"/>
        <w:jc w:val="left"/>
        <w:rPr>
          <w:rFonts w:ascii="宋体"/>
          <w:b/>
          <w:color w:val="000000"/>
          <w:sz w:val="44"/>
          <w:szCs w:val="44"/>
        </w:rPr>
      </w:pPr>
    </w:p>
    <w:p>
      <w:pPr>
        <w:pStyle w:val="34"/>
        <w:spacing w:line="560" w:lineRule="exact"/>
        <w:ind w:firstLine="640" w:firstLineChars="200"/>
        <w:outlineLvl w:val="9"/>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4"/>
        <w:spacing w:line="560" w:lineRule="exact"/>
        <w:ind w:firstLine="640" w:firstLineChars="200"/>
        <w:outlineLvl w:val="9"/>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4"/>
        <w:spacing w:line="560" w:lineRule="exact"/>
        <w:ind w:firstLine="640" w:firstLineChars="200"/>
        <w:outlineLvl w:val="9"/>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4"/>
        <w:spacing w:line="560" w:lineRule="exact"/>
        <w:ind w:firstLine="640" w:firstLineChars="200"/>
        <w:outlineLvl w:val="9"/>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34"/>
        <w:spacing w:line="560" w:lineRule="exact"/>
        <w:ind w:firstLine="640" w:firstLineChars="200"/>
        <w:outlineLvl w:val="9"/>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4"/>
        <w:spacing w:line="560" w:lineRule="exact"/>
        <w:ind w:firstLine="640" w:firstLineChars="200"/>
        <w:outlineLvl w:val="9"/>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4"/>
        <w:spacing w:line="560" w:lineRule="exact"/>
        <w:ind w:firstLine="640" w:firstLineChars="200"/>
        <w:outlineLvl w:val="9"/>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34"/>
        <w:spacing w:line="560" w:lineRule="exact"/>
        <w:ind w:firstLine="640" w:firstLineChars="200"/>
        <w:outlineLvl w:val="9"/>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outlineLvl w:val="9"/>
        <w:rPr>
          <w:rFonts w:hint="eastAsia" w:ascii="仿宋_GB2312" w:hAnsi="Calibri" w:eastAsia="仿宋_GB2312" w:cs="仿宋"/>
          <w:color w:val="000000"/>
          <w:kern w:val="0"/>
          <w:sz w:val="32"/>
          <w:szCs w:val="32"/>
          <w:lang w:val="en-US" w:eastAsia="zh-CN" w:bidi="ar-SA"/>
        </w:rPr>
      </w:pPr>
      <w:r>
        <w:rPr>
          <w:rFonts w:ascii="仿宋_GB2312" w:eastAsia="仿宋_GB2312"/>
          <w:color w:val="000000"/>
          <w:sz w:val="32"/>
          <w:szCs w:val="32"/>
        </w:rPr>
        <w:t>9.</w:t>
      </w:r>
      <w:r>
        <w:rPr>
          <w:rFonts w:hint="eastAsia" w:ascii="仿宋_GB2312" w:hAnsi="Calibri" w:eastAsia="仿宋_GB2312" w:cs="仿宋"/>
          <w:color w:val="000000"/>
          <w:kern w:val="0"/>
          <w:sz w:val="32"/>
          <w:szCs w:val="32"/>
          <w:lang w:val="en-US" w:eastAsia="zh-CN" w:bidi="ar-SA"/>
        </w:rPr>
        <w:t>一般公共服务（201）其他一般公共服务支出（99）其他一般公共服务支出（99）：指除上述项目未包括的一般公共服务支出。</w:t>
      </w:r>
    </w:p>
    <w:p>
      <w:pPr>
        <w:ind w:firstLine="640" w:firstLineChars="200"/>
        <w:outlineLvl w:val="9"/>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公共安全支出（</w:t>
      </w:r>
      <w:r>
        <w:rPr>
          <w:rFonts w:hint="eastAsia" w:ascii="仿宋_GB2312" w:eastAsia="仿宋_GB2312"/>
          <w:color w:val="000000"/>
          <w:sz w:val="32"/>
          <w:szCs w:val="32"/>
          <w:lang w:val="en-US" w:eastAsia="zh-CN"/>
        </w:rPr>
        <w:t>204</w:t>
      </w:r>
      <w:r>
        <w:rPr>
          <w:rFonts w:hint="eastAsia" w:ascii="仿宋_GB2312" w:eastAsia="仿宋_GB2312"/>
          <w:color w:val="000000"/>
          <w:sz w:val="32"/>
          <w:szCs w:val="32"/>
        </w:rPr>
        <w:t>）公安（</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）行政运行（</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 ：指</w:t>
      </w:r>
      <w:r>
        <w:rPr>
          <w:rFonts w:hint="eastAsia" w:ascii="仿宋_GB2312" w:eastAsia="仿宋_GB2312"/>
          <w:color w:val="000000"/>
          <w:sz w:val="32"/>
          <w:szCs w:val="32"/>
          <w:lang w:val="en-US" w:eastAsia="zh-CN"/>
        </w:rPr>
        <w:t>反映行政单位（包括实行公务员管理的事业单位）的基本支出</w:t>
      </w:r>
      <w:r>
        <w:rPr>
          <w:rFonts w:hint="eastAsia" w:ascii="仿宋_GB2312" w:eastAsia="仿宋_GB2312"/>
          <w:color w:val="000000"/>
          <w:sz w:val="32"/>
          <w:szCs w:val="32"/>
        </w:rPr>
        <w:t>。</w:t>
      </w:r>
    </w:p>
    <w:p>
      <w:pPr>
        <w:ind w:firstLine="640" w:firstLineChars="200"/>
        <w:outlineLvl w:val="9"/>
        <w:rPr>
          <w:rFonts w:hint="eastAsia"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公共安全支出（</w:t>
      </w:r>
      <w:r>
        <w:rPr>
          <w:rFonts w:hint="eastAsia" w:ascii="仿宋_GB2312" w:eastAsia="仿宋_GB2312"/>
          <w:color w:val="000000"/>
          <w:sz w:val="32"/>
          <w:szCs w:val="32"/>
          <w:lang w:val="en-US" w:eastAsia="zh-CN"/>
        </w:rPr>
        <w:t>204</w:t>
      </w:r>
      <w:r>
        <w:rPr>
          <w:rFonts w:hint="eastAsia" w:ascii="仿宋_GB2312" w:eastAsia="仿宋_GB2312"/>
          <w:color w:val="000000"/>
          <w:sz w:val="32"/>
          <w:szCs w:val="32"/>
        </w:rPr>
        <w:t>）公安（</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）一般行政管理事务（</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反映行政单位（包括实行公务员管理的事业单位）未单独设置项级科目的其他项目支出</w:t>
      </w:r>
      <w:r>
        <w:rPr>
          <w:rFonts w:hint="eastAsia" w:ascii="仿宋_GB2312" w:eastAsia="仿宋_GB2312"/>
          <w:color w:val="000000"/>
          <w:sz w:val="32"/>
          <w:szCs w:val="32"/>
        </w:rPr>
        <w:t>。</w:t>
      </w:r>
    </w:p>
    <w:p>
      <w:pPr>
        <w:ind w:firstLine="640" w:firstLineChars="200"/>
        <w:outlineLvl w:val="9"/>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公共安全支出（</w:t>
      </w:r>
      <w:r>
        <w:rPr>
          <w:rFonts w:hint="eastAsia" w:ascii="仿宋_GB2312" w:eastAsia="仿宋_GB2312"/>
          <w:color w:val="000000"/>
          <w:sz w:val="32"/>
          <w:szCs w:val="32"/>
          <w:lang w:val="en-US" w:eastAsia="zh-CN"/>
        </w:rPr>
        <w:t>204</w:t>
      </w:r>
      <w:r>
        <w:rPr>
          <w:rFonts w:hint="eastAsia" w:ascii="仿宋_GB2312" w:eastAsia="仿宋_GB2312"/>
          <w:color w:val="000000"/>
          <w:sz w:val="32"/>
          <w:szCs w:val="32"/>
        </w:rPr>
        <w:t>）公安（</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）执法办案（</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 指</w:t>
      </w:r>
      <w:r>
        <w:rPr>
          <w:rFonts w:hint="eastAsia" w:ascii="仿宋_GB2312" w:eastAsia="仿宋_GB2312"/>
          <w:color w:val="000000"/>
          <w:sz w:val="32"/>
          <w:szCs w:val="32"/>
          <w:lang w:val="en-US" w:eastAsia="zh-CN"/>
        </w:rPr>
        <w:t>反映公安机关从事行政执法、刑事司法及侦查办案等相关活动的支出</w:t>
      </w:r>
      <w:r>
        <w:rPr>
          <w:rFonts w:hint="eastAsia" w:ascii="仿宋_GB2312" w:eastAsia="仿宋_GB2312"/>
          <w:color w:val="000000"/>
          <w:sz w:val="32"/>
          <w:szCs w:val="32"/>
        </w:rPr>
        <w:t>。</w:t>
      </w:r>
    </w:p>
    <w:p>
      <w:pPr>
        <w:ind w:firstLine="640" w:firstLineChars="200"/>
        <w:outlineLvl w:val="9"/>
        <w:rPr>
          <w:rFonts w:hint="eastAsia"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公共安全支出（</w:t>
      </w:r>
      <w:r>
        <w:rPr>
          <w:rFonts w:hint="eastAsia" w:ascii="仿宋_GB2312" w:eastAsia="仿宋_GB2312"/>
          <w:color w:val="000000"/>
          <w:sz w:val="32"/>
          <w:szCs w:val="32"/>
          <w:lang w:val="en-US" w:eastAsia="zh-CN"/>
        </w:rPr>
        <w:t>204</w:t>
      </w:r>
      <w:r>
        <w:rPr>
          <w:rFonts w:hint="eastAsia" w:ascii="仿宋_GB2312" w:eastAsia="仿宋_GB2312"/>
          <w:color w:val="000000"/>
          <w:sz w:val="32"/>
          <w:szCs w:val="32"/>
        </w:rPr>
        <w:t>）公安（</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）其他公安支出（</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反映上述项目以外其他用于公安方面的支出</w:t>
      </w:r>
      <w:r>
        <w:rPr>
          <w:rFonts w:hint="eastAsia" w:ascii="仿宋_GB2312" w:eastAsia="仿宋_GB2312"/>
          <w:color w:val="000000"/>
          <w:sz w:val="32"/>
          <w:szCs w:val="32"/>
        </w:rPr>
        <w:t>。</w:t>
      </w:r>
    </w:p>
    <w:p>
      <w:pPr>
        <w:ind w:firstLine="640" w:firstLineChars="200"/>
        <w:outlineLvl w:val="9"/>
        <w:rPr>
          <w:rFonts w:hint="eastAsia" w:ascii="仿宋_GB2312" w:eastAsia="仿宋_GB2312"/>
          <w:color w:val="000000"/>
          <w:sz w:val="32"/>
          <w:szCs w:val="32"/>
        </w:rPr>
      </w:pPr>
      <w:r>
        <w:rPr>
          <w:rFonts w:hint="eastAsia" w:ascii="仿宋_GB2312" w:eastAsia="仿宋_GB2312"/>
          <w:color w:val="000000"/>
          <w:sz w:val="32"/>
          <w:szCs w:val="32"/>
        </w:rPr>
        <w:t>14.公共安全支出（</w:t>
      </w:r>
      <w:r>
        <w:rPr>
          <w:rFonts w:hint="eastAsia" w:ascii="仿宋_GB2312" w:eastAsia="仿宋_GB2312"/>
          <w:color w:val="000000"/>
          <w:sz w:val="32"/>
          <w:szCs w:val="32"/>
          <w:lang w:val="en-US" w:eastAsia="zh-CN"/>
        </w:rPr>
        <w:t>204)</w:t>
      </w:r>
      <w:r>
        <w:rPr>
          <w:rFonts w:hint="eastAsia" w:ascii="仿宋_GB2312" w:eastAsia="仿宋_GB2312"/>
          <w:color w:val="000000"/>
          <w:sz w:val="32"/>
          <w:szCs w:val="32"/>
        </w:rPr>
        <w:t>其他公共安全支出（</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）其他公共安全支出（</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反映除上述项目以外其他用于公共安全方面的支出</w:t>
      </w:r>
      <w:r>
        <w:rPr>
          <w:rFonts w:hint="eastAsia" w:ascii="仿宋_GB2312" w:eastAsia="仿宋_GB2312"/>
          <w:color w:val="000000"/>
          <w:sz w:val="32"/>
          <w:szCs w:val="32"/>
        </w:rPr>
        <w:t>。</w:t>
      </w:r>
    </w:p>
    <w:p>
      <w:pPr>
        <w:ind w:firstLine="640" w:firstLineChars="200"/>
        <w:outlineLvl w:val="9"/>
        <w:rPr>
          <w:rFonts w:hint="eastAsia" w:ascii="仿宋_GB2312" w:eastAsia="仿宋_GB2312"/>
          <w:color w:val="000000"/>
          <w:sz w:val="32"/>
          <w:szCs w:val="32"/>
        </w:rPr>
      </w:pPr>
      <w:r>
        <w:rPr>
          <w:rFonts w:hint="eastAsia" w:ascii="仿宋_GB2312" w:eastAsia="仿宋_GB2312"/>
          <w:color w:val="000000"/>
          <w:sz w:val="32"/>
          <w:szCs w:val="32"/>
        </w:rPr>
        <w:t>15.社会保障和就业支出（</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行政事业单位离退休（</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）机关事业单位基本养老保险缴费支出（</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反映机关事业单位实施养老保险制度由单位缴纳的基本养老保险费支出</w:t>
      </w:r>
      <w:r>
        <w:rPr>
          <w:rFonts w:hint="eastAsia" w:ascii="仿宋_GB2312" w:eastAsia="仿宋_GB2312"/>
          <w:color w:val="000000"/>
          <w:sz w:val="32"/>
          <w:szCs w:val="32"/>
        </w:rPr>
        <w:t>。</w:t>
      </w:r>
    </w:p>
    <w:p>
      <w:pPr>
        <w:ind w:firstLine="640" w:firstLineChars="200"/>
        <w:outlineLvl w:val="9"/>
        <w:rPr>
          <w:rFonts w:hint="eastAsia" w:ascii="仿宋_GB2312" w:eastAsia="仿宋_GB2312"/>
          <w:color w:val="000000"/>
          <w:sz w:val="32"/>
          <w:szCs w:val="32"/>
        </w:rPr>
      </w:pPr>
      <w:r>
        <w:rPr>
          <w:rFonts w:hint="eastAsia" w:ascii="仿宋_GB2312" w:eastAsia="仿宋_GB2312"/>
          <w:color w:val="000000"/>
          <w:sz w:val="32"/>
          <w:szCs w:val="32"/>
        </w:rPr>
        <w:t>16.社会保障和就业支出（</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行政事业单位离退休（</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）机关事业单位职业年金缴费支出（</w:t>
      </w:r>
      <w:r>
        <w:rPr>
          <w:rFonts w:hint="eastAsia" w:ascii="仿宋_GB2312" w:eastAsia="仿宋_GB2312"/>
          <w:color w:val="000000"/>
          <w:sz w:val="32"/>
          <w:szCs w:val="32"/>
          <w:lang w:val="en-US" w:eastAsia="zh-CN"/>
        </w:rPr>
        <w:t>06</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反映机关事业单位实施养老保险制度由单位实际缴纳的职业年金支出</w:t>
      </w:r>
      <w:r>
        <w:rPr>
          <w:rFonts w:hint="eastAsia" w:ascii="仿宋_GB2312" w:eastAsia="仿宋_GB2312"/>
          <w:color w:val="000000"/>
          <w:sz w:val="32"/>
          <w:szCs w:val="32"/>
        </w:rPr>
        <w:t>。</w:t>
      </w:r>
    </w:p>
    <w:p>
      <w:pPr>
        <w:ind w:firstLine="640" w:firstLineChars="200"/>
        <w:outlineLvl w:val="9"/>
        <w:rPr>
          <w:rFonts w:hint="eastAsia" w:ascii="仿宋_GB2312" w:eastAsia="仿宋_GB2312"/>
          <w:color w:val="000000"/>
          <w:sz w:val="32"/>
          <w:szCs w:val="32"/>
        </w:rPr>
      </w:pPr>
      <w:r>
        <w:rPr>
          <w:rFonts w:hint="eastAsia" w:ascii="仿宋_GB2312" w:eastAsia="仿宋_GB2312"/>
          <w:color w:val="000000"/>
          <w:sz w:val="32"/>
          <w:szCs w:val="32"/>
        </w:rPr>
        <w:t>17.卫生健康支出（</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卫生健康管理事务（</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）其他卫生健康管理事务支出（</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反映除上述项目以外其他用于卫生健康管理事务方面的支出</w:t>
      </w:r>
      <w:r>
        <w:rPr>
          <w:rFonts w:hint="eastAsia" w:ascii="仿宋_GB2312" w:eastAsia="仿宋_GB2312"/>
          <w:color w:val="000000"/>
          <w:sz w:val="32"/>
          <w:szCs w:val="32"/>
        </w:rPr>
        <w:t>。</w:t>
      </w:r>
    </w:p>
    <w:p>
      <w:pPr>
        <w:ind w:firstLine="640" w:firstLineChars="200"/>
        <w:outlineLvl w:val="9"/>
        <w:rPr>
          <w:rFonts w:hint="eastAsia" w:ascii="仿宋_GB2312" w:eastAsia="仿宋_GB2312"/>
          <w:color w:val="000000"/>
          <w:sz w:val="32"/>
          <w:szCs w:val="32"/>
        </w:rPr>
      </w:pPr>
      <w:r>
        <w:rPr>
          <w:rFonts w:hint="eastAsia" w:ascii="仿宋_GB2312" w:eastAsia="仿宋_GB2312"/>
          <w:color w:val="000000"/>
          <w:sz w:val="32"/>
          <w:szCs w:val="32"/>
        </w:rPr>
        <w:t>18.卫生健康支出（</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公共卫生（</w:t>
      </w:r>
      <w:r>
        <w:rPr>
          <w:rFonts w:hint="eastAsia" w:ascii="仿宋_GB2312" w:eastAsia="仿宋_GB2312"/>
          <w:color w:val="000000"/>
          <w:sz w:val="32"/>
          <w:szCs w:val="32"/>
          <w:lang w:val="en-US" w:eastAsia="zh-CN"/>
        </w:rPr>
        <w:t>04</w:t>
      </w:r>
      <w:r>
        <w:rPr>
          <w:rFonts w:hint="eastAsia" w:ascii="仿宋_GB2312" w:eastAsia="仿宋_GB2312"/>
          <w:color w:val="000000"/>
          <w:sz w:val="32"/>
          <w:szCs w:val="32"/>
        </w:rPr>
        <w:t>）重大公共卫生专项（</w:t>
      </w:r>
      <w:r>
        <w:rPr>
          <w:rFonts w:hint="eastAsia" w:ascii="仿宋_GB2312" w:eastAsia="仿宋_GB2312"/>
          <w:color w:val="000000"/>
          <w:sz w:val="32"/>
          <w:szCs w:val="32"/>
          <w:lang w:val="en-US" w:eastAsia="zh-CN"/>
        </w:rPr>
        <w:t>09</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反映重大疾病、重大传染病预防控制等重大公共卫生服务项目支出</w:t>
      </w:r>
      <w:r>
        <w:rPr>
          <w:rFonts w:hint="eastAsia" w:ascii="仿宋_GB2312" w:eastAsia="仿宋_GB2312"/>
          <w:color w:val="000000"/>
          <w:sz w:val="32"/>
          <w:szCs w:val="32"/>
        </w:rPr>
        <w:t>。</w:t>
      </w:r>
    </w:p>
    <w:p>
      <w:pPr>
        <w:ind w:firstLine="640" w:firstLineChars="200"/>
        <w:outlineLvl w:val="9"/>
        <w:rPr>
          <w:rFonts w:hint="eastAsia" w:ascii="仿宋_GB2312" w:eastAsia="仿宋_GB2312"/>
          <w:color w:val="000000"/>
          <w:sz w:val="32"/>
          <w:szCs w:val="32"/>
        </w:rPr>
      </w:pPr>
      <w:r>
        <w:rPr>
          <w:rFonts w:hint="eastAsia" w:ascii="仿宋_GB2312" w:eastAsia="仿宋_GB2312"/>
          <w:color w:val="000000"/>
          <w:sz w:val="32"/>
          <w:szCs w:val="32"/>
        </w:rPr>
        <w:t>19.卫生健康支出（</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行政事业单位医疗（</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）行政单位医疗（</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反映财政部门安排的行政单位（包括实行公务员管理的事业单位）基本医疗保险缴费经费，未参加医疗保险的行政单位的公费医疗经费，按国家规定享受离休人员、红军老战士待遇人员的医疗经费</w:t>
      </w:r>
      <w:r>
        <w:rPr>
          <w:rFonts w:hint="eastAsia" w:ascii="仿宋_GB2312" w:eastAsia="仿宋_GB2312"/>
          <w:color w:val="000000"/>
          <w:sz w:val="32"/>
          <w:szCs w:val="32"/>
        </w:rPr>
        <w:t>。</w:t>
      </w:r>
    </w:p>
    <w:p>
      <w:pPr>
        <w:ind w:firstLine="640" w:firstLineChars="200"/>
        <w:outlineLvl w:val="9"/>
        <w:rPr>
          <w:rFonts w:ascii="仿宋_GB2312" w:eastAsia="仿宋_GB2312"/>
          <w:color w:val="000000"/>
          <w:sz w:val="32"/>
          <w:szCs w:val="32"/>
        </w:rPr>
      </w:pPr>
      <w:r>
        <w:rPr>
          <w:rFonts w:hint="eastAsia" w:ascii="仿宋_GB2312" w:eastAsia="仿宋_GB2312"/>
          <w:color w:val="000000"/>
          <w:sz w:val="32"/>
          <w:szCs w:val="32"/>
        </w:rPr>
        <w:t>20.卫生健康支出（</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行政事业单位医疗（</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）公务员医疗补助（</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ab/>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反映财政部门安排的公务员医疗补助经费</w:t>
      </w:r>
      <w:r>
        <w:rPr>
          <w:rFonts w:hint="eastAsia" w:ascii="仿宋_GB2312" w:eastAsia="仿宋_GB2312"/>
          <w:color w:val="000000"/>
          <w:sz w:val="32"/>
          <w:szCs w:val="32"/>
        </w:rPr>
        <w:t>。</w:t>
      </w:r>
    </w:p>
    <w:p>
      <w:pPr>
        <w:ind w:firstLine="640" w:firstLineChars="200"/>
        <w:outlineLvl w:val="9"/>
        <w:rPr>
          <w:rFonts w:hint="eastAsia" w:ascii="仿宋_GB2312" w:eastAsia="仿宋_GB2312"/>
          <w:color w:val="000000"/>
          <w:sz w:val="32"/>
          <w:szCs w:val="32"/>
        </w:rPr>
      </w:pPr>
      <w:r>
        <w:rPr>
          <w:rFonts w:hint="eastAsia" w:ascii="仿宋_GB2312" w:eastAsia="仿宋_GB2312"/>
          <w:color w:val="000000"/>
          <w:sz w:val="32"/>
          <w:szCs w:val="32"/>
        </w:rPr>
        <w:t>21.住房保障支出（</w:t>
      </w:r>
      <w:r>
        <w:rPr>
          <w:rFonts w:hint="eastAsia" w:ascii="仿宋_GB2312" w:eastAsia="仿宋_GB2312"/>
          <w:color w:val="000000"/>
          <w:sz w:val="32"/>
          <w:szCs w:val="32"/>
          <w:lang w:val="en-US" w:eastAsia="zh-CN"/>
        </w:rPr>
        <w:t>221)</w:t>
      </w:r>
      <w:r>
        <w:rPr>
          <w:rFonts w:hint="eastAsia" w:ascii="仿宋_GB2312" w:eastAsia="仿宋_GB2312"/>
          <w:color w:val="000000"/>
          <w:sz w:val="32"/>
          <w:szCs w:val="32"/>
        </w:rPr>
        <w:t>住房改革支出（</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）住房公积金（</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反映财政部门安排的公务员医疗补助经费</w:t>
      </w:r>
      <w:r>
        <w:rPr>
          <w:rFonts w:hint="eastAsia" w:ascii="仿宋_GB2312" w:eastAsia="仿宋_GB2312"/>
          <w:color w:val="000000"/>
          <w:sz w:val="32"/>
          <w:szCs w:val="32"/>
        </w:rPr>
        <w:t>。</w:t>
      </w:r>
    </w:p>
    <w:p>
      <w:pPr>
        <w:ind w:firstLine="640" w:firstLineChars="200"/>
        <w:outlineLvl w:val="9"/>
        <w:rPr>
          <w:rFonts w:hint="eastAsia" w:ascii="仿宋_GB2312" w:eastAsia="仿宋_GB2312"/>
          <w:color w:val="000000"/>
          <w:sz w:val="32"/>
          <w:szCs w:val="32"/>
        </w:rPr>
      </w:pPr>
      <w:r>
        <w:rPr>
          <w:rFonts w:hint="eastAsia" w:ascii="仿宋_GB2312" w:eastAsia="仿宋_GB2312"/>
          <w:color w:val="000000"/>
          <w:sz w:val="32"/>
          <w:szCs w:val="32"/>
        </w:rPr>
        <w:t>22.其他支出（</w:t>
      </w:r>
      <w:r>
        <w:rPr>
          <w:rFonts w:hint="eastAsia" w:ascii="仿宋_GB2312" w:eastAsia="仿宋_GB2312"/>
          <w:color w:val="000000"/>
          <w:sz w:val="32"/>
          <w:szCs w:val="32"/>
          <w:lang w:val="en-US" w:eastAsia="zh-CN"/>
        </w:rPr>
        <w:t>229)</w:t>
      </w:r>
      <w:r>
        <w:rPr>
          <w:rFonts w:hint="eastAsia" w:ascii="仿宋_GB2312" w:eastAsia="仿宋_GB2312"/>
          <w:color w:val="000000"/>
          <w:sz w:val="32"/>
          <w:szCs w:val="32"/>
        </w:rPr>
        <w:t>其他支出（</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）其他支出（</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除上述项目以外其他不能划分到具体功能科目中的支出项目</w:t>
      </w:r>
      <w:r>
        <w:rPr>
          <w:rFonts w:hint="eastAsia" w:ascii="仿宋_GB2312" w:eastAsia="仿宋_GB2312"/>
          <w:color w:val="000000"/>
          <w:sz w:val="32"/>
          <w:szCs w:val="32"/>
        </w:rPr>
        <w:t>。</w:t>
      </w:r>
    </w:p>
    <w:p>
      <w:pPr>
        <w:ind w:firstLine="640" w:firstLineChars="200"/>
        <w:outlineLvl w:val="9"/>
        <w:rPr>
          <w:rFonts w:hint="eastAsia" w:ascii="仿宋_GB2312" w:eastAsia="仿宋_GB2312"/>
          <w:color w:val="000000"/>
          <w:sz w:val="32"/>
          <w:szCs w:val="32"/>
        </w:rPr>
      </w:pPr>
      <w:r>
        <w:rPr>
          <w:rFonts w:hint="eastAsia" w:ascii="仿宋_GB2312" w:eastAsia="仿宋_GB2312"/>
          <w:color w:val="000000"/>
          <w:sz w:val="32"/>
          <w:szCs w:val="32"/>
          <w:lang w:val="en-US" w:eastAsia="zh-CN"/>
        </w:rPr>
        <w:t>23</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outlineLvl w:val="9"/>
        <w:rPr>
          <w:rFonts w:ascii="仿宋_GB2312" w:eastAsia="仿宋_GB2312"/>
          <w:color w:val="000000"/>
          <w:sz w:val="32"/>
          <w:szCs w:val="32"/>
        </w:rPr>
      </w:pP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outlineLvl w:val="9"/>
        <w:rPr>
          <w:rFonts w:ascii="仿宋_GB2312" w:eastAsia="仿宋_GB2312"/>
          <w:color w:val="000000"/>
          <w:sz w:val="32"/>
          <w:szCs w:val="32"/>
        </w:rPr>
      </w:pPr>
      <w:r>
        <w:rPr>
          <w:rFonts w:hint="eastAsia" w:ascii="仿宋_GB2312" w:eastAsia="仿宋_GB2312"/>
          <w:color w:val="000000"/>
          <w:sz w:val="32"/>
          <w:szCs w:val="32"/>
          <w:lang w:val="en-US" w:eastAsia="zh-CN"/>
        </w:rPr>
        <w:t>25</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34"/>
        <w:spacing w:line="560" w:lineRule="exact"/>
        <w:ind w:firstLine="640" w:firstLineChars="200"/>
        <w:outlineLvl w:val="9"/>
        <w:rPr>
          <w:rFonts w:ascii="仿宋_GB2312" w:eastAsia="仿宋_GB2312"/>
          <w:sz w:val="32"/>
          <w:szCs w:val="32"/>
        </w:rPr>
      </w:pPr>
      <w:r>
        <w:rPr>
          <w:rFonts w:hint="eastAsia" w:ascii="仿宋_GB2312" w:eastAsia="仿宋_GB2312"/>
          <w:sz w:val="32"/>
          <w:szCs w:val="32"/>
          <w:lang w:val="en-US" w:eastAsia="zh-CN"/>
        </w:rPr>
        <w:t>26</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4"/>
        <w:spacing w:line="560" w:lineRule="exact"/>
        <w:ind w:firstLine="640" w:firstLineChars="200"/>
        <w:outlineLvl w:val="9"/>
        <w:rPr>
          <w:rFonts w:ascii="仿宋_GB2312" w:eastAsia="仿宋_GB2312"/>
          <w:sz w:val="32"/>
          <w:szCs w:val="32"/>
        </w:rPr>
      </w:pPr>
      <w:r>
        <w:rPr>
          <w:rFonts w:hint="eastAsia" w:ascii="仿宋_GB2312" w:eastAsia="仿宋_GB2312"/>
          <w:sz w:val="32"/>
          <w:szCs w:val="32"/>
          <w:lang w:val="en-US" w:eastAsia="zh-CN"/>
        </w:rPr>
        <w:t>27</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outlineLvl w:val="9"/>
        <w:rPr>
          <w:rFonts w:ascii="仿宋_GB2312" w:eastAsia="仿宋_GB2312"/>
          <w:color w:val="000000"/>
          <w:sz w:val="32"/>
          <w:szCs w:val="32"/>
        </w:rPr>
      </w:pPr>
      <w:r>
        <w:rPr>
          <w:rFonts w:ascii="仿宋_GB2312" w:eastAsia="仿宋_GB2312"/>
          <w:color w:val="000000"/>
          <w:sz w:val="32"/>
          <w:szCs w:val="32"/>
        </w:rPr>
        <w:t>27.</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outlineLvl w:val="9"/>
        <w:rPr>
          <w:rFonts w:ascii="仿宋_GB2312" w:eastAsia="仿宋_GB2312"/>
          <w:color w:val="000000"/>
          <w:sz w:val="32"/>
          <w:szCs w:val="32"/>
        </w:rPr>
      </w:pPr>
      <w:r>
        <w:rPr>
          <w:rFonts w:ascii="仿宋_GB2312" w:eastAsia="仿宋_GB2312"/>
          <w:color w:val="000000"/>
          <w:sz w:val="32"/>
          <w:szCs w:val="32"/>
        </w:rPr>
        <w:t>28.</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outlineLvl w:val="9"/>
        <w:rPr>
          <w:rFonts w:ascii="仿宋_GB2312" w:eastAsia="仿宋_GB2312"/>
          <w:color w:val="000000"/>
          <w:sz w:val="32"/>
          <w:szCs w:val="32"/>
        </w:rPr>
      </w:pPr>
      <w:r>
        <w:rPr>
          <w:rFonts w:ascii="仿宋_GB2312" w:eastAsia="仿宋_GB2312"/>
          <w:color w:val="000000"/>
          <w:sz w:val="32"/>
          <w:szCs w:val="32"/>
        </w:rPr>
        <w:t>29.</w:t>
      </w:r>
      <w:r>
        <w:rPr>
          <w:rFonts w:hint="eastAsia" w:ascii="仿宋_GB2312" w:eastAsia="仿宋_GB2312"/>
          <w:color w:val="000000"/>
          <w:sz w:val="32"/>
          <w:szCs w:val="32"/>
        </w:rPr>
        <w:t>经营支出：指事业单位在专业业务活动及其辅助活动之外开展非独立核算经营活动发生的支出。</w:t>
      </w:r>
    </w:p>
    <w:p>
      <w:pPr>
        <w:pStyle w:val="34"/>
        <w:spacing w:line="560" w:lineRule="exact"/>
        <w:ind w:firstLine="640" w:firstLineChars="200"/>
        <w:outlineLvl w:val="9"/>
        <w:rPr>
          <w:rFonts w:ascii="仿宋_GB2312" w:eastAsia="仿宋_GB2312"/>
          <w:sz w:val="32"/>
          <w:szCs w:val="32"/>
        </w:rPr>
      </w:pPr>
      <w:r>
        <w:rPr>
          <w:rFonts w:ascii="仿宋_GB2312" w:eastAsia="仿宋_GB2312"/>
          <w:sz w:val="32"/>
          <w:szCs w:val="32"/>
        </w:rPr>
        <w:t>30.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4"/>
        <w:spacing w:line="560" w:lineRule="exact"/>
        <w:ind w:firstLine="640" w:firstLineChars="200"/>
        <w:outlineLvl w:val="9"/>
        <w:rPr>
          <w:rFonts w:ascii="仿宋_GB2312" w:eastAsia="仿宋_GB2312"/>
          <w:sz w:val="32"/>
          <w:szCs w:val="32"/>
        </w:rPr>
      </w:pPr>
      <w:r>
        <w:rPr>
          <w:rFonts w:hint="eastAsia" w:ascii="仿宋_GB2312" w:eastAsia="仿宋_GB2312"/>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4"/>
        <w:spacing w:line="560" w:lineRule="exact"/>
        <w:ind w:firstLine="640" w:firstLineChars="200"/>
        <w:rPr>
          <w:rFonts w:ascii="仿宋_GB2312" w:eastAsia="仿宋_GB2312" w:cs="黑体"/>
          <w:sz w:val="32"/>
          <w:szCs w:val="32"/>
        </w:rPr>
      </w:pPr>
    </w:p>
    <w:p>
      <w:pPr>
        <w:spacing w:line="600" w:lineRule="exact"/>
        <w:jc w:val="center"/>
        <w:outlineLvl w:val="0"/>
        <w:rPr>
          <w:rStyle w:val="24"/>
          <w:rFonts w:ascii="黑体" w:hAnsi="黑体" w:eastAsia="黑体"/>
          <w:b w:val="0"/>
        </w:rPr>
      </w:pPr>
      <w:bookmarkStart w:id="105" w:name="_Toc15377226"/>
      <w:r>
        <w:rPr>
          <w:rFonts w:ascii="宋体"/>
          <w:b/>
          <w:color w:val="000000"/>
          <w:sz w:val="44"/>
          <w:szCs w:val="44"/>
        </w:rPr>
        <w:br w:type="page"/>
      </w:r>
      <w:bookmarkStart w:id="106" w:name="_Toc15396614"/>
      <w:bookmarkStart w:id="107" w:name="_Toc79163630"/>
      <w:bookmarkStart w:id="108" w:name="_Toc23264"/>
      <w:r>
        <w:rPr>
          <w:rFonts w:hint="eastAsia" w:ascii="黑体" w:hAnsi="黑体" w:eastAsia="黑体"/>
          <w:color w:val="000000"/>
          <w:sz w:val="44"/>
          <w:szCs w:val="44"/>
        </w:rPr>
        <w:t>第</w:t>
      </w:r>
      <w:r>
        <w:rPr>
          <w:rStyle w:val="24"/>
          <w:rFonts w:hint="eastAsia" w:ascii="黑体" w:hAnsi="黑体" w:eastAsia="黑体"/>
          <w:b w:val="0"/>
        </w:rPr>
        <w:t>四部分</w:t>
      </w:r>
      <w:r>
        <w:rPr>
          <w:rStyle w:val="24"/>
          <w:rFonts w:ascii="黑体" w:hAnsi="黑体" w:eastAsia="黑体"/>
          <w:b w:val="0"/>
        </w:rPr>
        <w:t xml:space="preserve"> </w:t>
      </w:r>
      <w:r>
        <w:rPr>
          <w:rStyle w:val="24"/>
          <w:rFonts w:hint="eastAsia" w:ascii="黑体" w:hAnsi="黑体" w:eastAsia="黑体"/>
          <w:b w:val="0"/>
        </w:rPr>
        <w:t>附件</w:t>
      </w:r>
      <w:bookmarkEnd w:id="106"/>
      <w:bookmarkEnd w:id="107"/>
      <w:bookmarkEnd w:id="108"/>
    </w:p>
    <w:p>
      <w:pPr>
        <w:widowControl/>
        <w:adjustRightInd w:val="0"/>
        <w:snapToGrid w:val="0"/>
        <w:spacing w:line="580" w:lineRule="exact"/>
        <w:contextualSpacing/>
        <w:jc w:val="left"/>
        <w:outlineLvl w:val="1"/>
        <w:rPr>
          <w:rFonts w:hint="eastAsia" w:ascii="方正小标宋简体" w:hAnsi="黑体" w:eastAsia="方正小标宋简体" w:cs="黑体"/>
          <w:sz w:val="44"/>
          <w:szCs w:val="44"/>
          <w:lang w:val="en-US" w:eastAsia="zh-CN"/>
        </w:rPr>
      </w:pPr>
      <w:bookmarkStart w:id="109" w:name="_Toc15122"/>
      <w:bookmarkStart w:id="110" w:name="_Toc79163631"/>
      <w:r>
        <w:rPr>
          <w:rFonts w:hint="eastAsia" w:ascii="方正小标宋简体" w:hAnsi="黑体" w:eastAsia="方正小标宋简体" w:cs="黑体"/>
          <w:sz w:val="44"/>
          <w:szCs w:val="44"/>
          <w:lang w:val="en-US" w:eastAsia="zh-CN"/>
        </w:rPr>
        <w:t>附件1</w:t>
      </w:r>
      <w:bookmarkEnd w:id="109"/>
      <w:bookmarkEnd w:id="110"/>
      <w:bookmarkStart w:id="111" w:name="_Toc79163632"/>
    </w:p>
    <w:p>
      <w:pPr>
        <w:widowControl/>
        <w:adjustRightInd w:val="0"/>
        <w:snapToGrid w:val="0"/>
        <w:spacing w:line="580" w:lineRule="exact"/>
        <w:contextualSpacing/>
        <w:jc w:val="center"/>
        <w:outlineLvl w:val="9"/>
        <w:rPr>
          <w:rFonts w:hint="eastAsia" w:ascii="方正小标宋简体" w:hAnsi="黑体" w:eastAsia="方正小标宋简体" w:cs="黑体"/>
          <w:sz w:val="44"/>
          <w:szCs w:val="44"/>
        </w:rPr>
      </w:pPr>
      <w:r>
        <w:rPr>
          <w:rFonts w:ascii="方正小标宋简体" w:hAnsi="黑体" w:eastAsia="方正小标宋简体" w:cs="黑体"/>
          <w:sz w:val="44"/>
          <w:szCs w:val="44"/>
        </w:rPr>
        <w:t>2020</w:t>
      </w:r>
      <w:r>
        <w:rPr>
          <w:rFonts w:hint="eastAsia" w:ascii="方正小标宋简体" w:hAnsi="黑体" w:eastAsia="方正小标宋简体" w:cs="黑体"/>
          <w:sz w:val="44"/>
          <w:szCs w:val="44"/>
        </w:rPr>
        <w:t>年</w:t>
      </w:r>
      <w:r>
        <w:rPr>
          <w:rFonts w:hint="eastAsia" w:ascii="方正小标宋简体" w:hAnsi="黑体" w:eastAsia="方正小标宋简体" w:cs="黑体"/>
          <w:sz w:val="44"/>
          <w:szCs w:val="44"/>
          <w:lang w:eastAsia="zh-CN"/>
        </w:rPr>
        <w:t>红原县公安局</w:t>
      </w:r>
      <w:r>
        <w:rPr>
          <w:rFonts w:hint="eastAsia" w:ascii="方正小标宋简体" w:hAnsi="黑体" w:eastAsia="方正小标宋简体" w:cs="黑体"/>
          <w:sz w:val="44"/>
          <w:szCs w:val="44"/>
        </w:rPr>
        <w:t>部门整体支出</w:t>
      </w:r>
    </w:p>
    <w:p>
      <w:pPr>
        <w:spacing w:line="600" w:lineRule="exact"/>
        <w:jc w:val="center"/>
        <w:outlineLvl w:val="9"/>
        <w:rPr>
          <w:rFonts w:ascii="方正小标宋简体" w:hAnsi="黑体" w:eastAsia="方正小标宋简体" w:cs="黑体"/>
          <w:sz w:val="44"/>
          <w:szCs w:val="44"/>
        </w:rPr>
      </w:pPr>
      <w:r>
        <w:rPr>
          <w:rFonts w:hint="eastAsia" w:ascii="方正小标宋简体" w:hAnsi="黑体" w:eastAsia="方正小标宋简体" w:cs="黑体"/>
          <w:sz w:val="44"/>
          <w:szCs w:val="44"/>
        </w:rPr>
        <w:t>绩效评价报告</w:t>
      </w:r>
      <w:bookmarkEnd w:id="111"/>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outlineLvl w:val="9"/>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outlineLvl w:val="9"/>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pPr>
        <w:widowControl/>
        <w:adjustRightInd w:val="0"/>
        <w:snapToGrid w:val="0"/>
        <w:spacing w:line="580" w:lineRule="exact"/>
        <w:ind w:firstLine="640" w:firstLineChars="200"/>
        <w:contextualSpacing/>
        <w:jc w:val="left"/>
        <w:outlineLvl w:val="9"/>
        <w:rPr>
          <w:lang w:val="zh-CN"/>
        </w:rPr>
      </w:pPr>
      <w:r>
        <w:rPr>
          <w:rFonts w:hint="eastAsia" w:ascii="仿宋_GB2312" w:hAnsi="宋体" w:eastAsia="仿宋_GB2312" w:cs="宋体"/>
          <w:color w:val="000000"/>
          <w:kern w:val="0"/>
          <w:sz w:val="32"/>
          <w:szCs w:val="32"/>
          <w:shd w:val="clear" w:color="auto" w:fill="FFFFFF"/>
          <w:lang w:val="en-US" w:eastAsia="zh-CN"/>
        </w:rPr>
        <w:t>我局共设置28个内设机构，分别是：指挥中心、国内安全保卫大队、治安管理大队、出入境管理大队、刑事侦查大队、交通管理大队、公共信息网络安全监察大队、法制大队、纪检监察大队、政工室、警务保障室、草原骑警大队、红原县看守所、红原县拘留所、红原县公安局刷经寺派出所、红原县公安局安曲派出所、红原县公安局邛溪派出所、红原县公安局瓦切派出所、红原县公安局色地派出所、红原县公安局麦洼派出所、红原县公安局阿木派出所、红原县公安局龙日派出所、红原县公安局江茸派出所、红原县公安局查尔玛派出所、红原县公安局壤口派出所、红原县公安局麦洼寺派出所、红原县公安局康玛尔寺派出所、红原县公安局茸塔寺派出所。</w:t>
      </w:r>
    </w:p>
    <w:p>
      <w:pPr>
        <w:widowControl/>
        <w:numPr>
          <w:ilvl w:val="0"/>
          <w:numId w:val="5"/>
        </w:numPr>
        <w:adjustRightInd w:val="0"/>
        <w:snapToGrid w:val="0"/>
        <w:spacing w:line="580" w:lineRule="exact"/>
        <w:ind w:firstLine="640" w:firstLineChars="200"/>
        <w:contextualSpacing/>
        <w:jc w:val="left"/>
        <w:outlineLvl w:val="9"/>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机构职能。</w:t>
      </w:r>
    </w:p>
    <w:p>
      <w:pPr>
        <w:pStyle w:val="6"/>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1.贯彻执行国家公安工作的方针、政策和法律、法规、规章，起草地方性公安法规、规章草案，部署、指导、监督、检查全县公安工作；负责全县辖区公安机关依法行政工作，落实行政执法责任制。</w:t>
      </w:r>
    </w:p>
    <w:p>
      <w:pPr>
        <w:pStyle w:val="6"/>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2.指导、协调全县公安机关应急管理、抢险救援工作和社会公共突发事件的处置工作。</w:t>
      </w:r>
    </w:p>
    <w:p>
      <w:pPr>
        <w:pStyle w:val="6"/>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3.收集影响社会稳定、危害国家安全和社会治安的情况，全面掌握社情民意，分析研判情报信息和治安形势，制定对策。</w:t>
      </w:r>
    </w:p>
    <w:p>
      <w:pPr>
        <w:pStyle w:val="6"/>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4.组织、实施、指导全县公安法制建设，按管辖办理行政诉讼、行政复议案件。依法实施行政许可、行政审批事项。</w:t>
      </w:r>
    </w:p>
    <w:p>
      <w:pPr>
        <w:pStyle w:val="6"/>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5.组织指导全县公安侦查工作；协调、指挥、侦破、处理公安机关管辖的刑事案件，处置治安灾害事故、骚乱和群体性突发事件；组织实施重大活动的安全保卫工作。</w:t>
      </w:r>
    </w:p>
    <w:p>
      <w:pPr>
        <w:pStyle w:val="6"/>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6.履行社会治安管理职能，指导、监督全县公安机关查处危害社会治安秩序行为；依法管理户口、居民身份证、枪支弹药、危险物品、特种行业等工作；依法管理集会、游行、示威活动；加强推进以便民和公共服务为重点的治安行政管理改革工作。</w:t>
      </w:r>
    </w:p>
    <w:p>
      <w:pPr>
        <w:pStyle w:val="6"/>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7.负责全县道路交通安全管理工作并承担相应责任。指导监督全县公安机关维护道路交通安全、交通秩序；组织、协调、处置交通事故；依法管理机动车辆（不含拖拉机）和驾驶人员。</w:t>
      </w:r>
    </w:p>
    <w:p>
      <w:pPr>
        <w:pStyle w:val="6"/>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8.负责全县消防工作并承担相应责任。指导、监督、协调全县消防监督、火灾预防、火灾扑救工作和公安应急抢险救援工作。</w:t>
      </w:r>
    </w:p>
    <w:p>
      <w:pPr>
        <w:pStyle w:val="6"/>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9.指导全县公安警卫业务工作，组织实施对党和国家领导以及重要人物在县内的安全警卫工作并承担相应责任。组织、实施全县要害目标的安全保卫。</w:t>
      </w:r>
    </w:p>
    <w:p>
      <w:pPr>
        <w:pStyle w:val="6"/>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10.指导、监督全县公安机关对公共信息网络的安全保护工作，负责信息安全等级保卫工作的监督、检查、指导。</w:t>
      </w:r>
    </w:p>
    <w:p>
      <w:pPr>
        <w:pStyle w:val="6"/>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11.依法管理国籍、出境入境和外国人在红原县境内居留、旅行等有关工作。</w:t>
      </w:r>
    </w:p>
    <w:p>
      <w:pPr>
        <w:pStyle w:val="6"/>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12.组织、指导、协调对恐怖活动的情报、防范、侦察和应急处置工作。</w:t>
      </w:r>
    </w:p>
    <w:p>
      <w:pPr>
        <w:pStyle w:val="6"/>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13.指导、监督全县公安机关依法承担的执行刑罚和监督、考察工作。依法管理县看守所、拘留所。办理收容教养和劳动教养案件。</w:t>
      </w:r>
    </w:p>
    <w:p>
      <w:pPr>
        <w:pStyle w:val="6"/>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14.组织实施全县公安科学技术工作，组织、指导、规划全县公安机关的指挥系统、信息技术、刑事技术建设。</w:t>
      </w:r>
    </w:p>
    <w:p>
      <w:pPr>
        <w:pStyle w:val="6"/>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15.制定全县公安机关装备和经费等警务保障计划和管理制度，组织协调全县公安机关履行职责的警务保障工作。</w:t>
      </w:r>
    </w:p>
    <w:p>
      <w:pPr>
        <w:pStyle w:val="6"/>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16.指导全县公安队伍建设和公安机关的党风廉政建设，组织、指导全县公安机关组织人事管理、民警教育训练及宣传和涉警舆论引导等工作，按规定权限管理干部，拟定全县公安队伍监督管理工作规章制度，组织、指导全县公安机关督察、审计、信访工作，指导、监督全县公安机关及人民警察的执法活动，按规定权限实施对干部的监督，查处或督办全县公安队伍中发生的违纪案件。</w:t>
      </w:r>
    </w:p>
    <w:p>
      <w:pPr>
        <w:pStyle w:val="6"/>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17.指导县森林公安机关的业务工作。</w:t>
      </w:r>
    </w:p>
    <w:p>
      <w:pPr>
        <w:pStyle w:val="6"/>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18.组织协调武警内卫部队执行公安任务。</w:t>
      </w:r>
    </w:p>
    <w:p>
      <w:pPr>
        <w:pStyle w:val="6"/>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19.承担县政府禁毒委员会、劳动教养管理委员会、收容教养委员会、反恐怖工作协调小组日常工作。</w:t>
      </w:r>
    </w:p>
    <w:p>
      <w:pPr>
        <w:pStyle w:val="6"/>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20.承担县政府公布的有关行政审批事项。</w:t>
      </w:r>
    </w:p>
    <w:p>
      <w:pPr>
        <w:pStyle w:val="6"/>
        <w:adjustRightInd w:val="0"/>
        <w:snapToGrid w:val="0"/>
        <w:spacing w:before="93" w:line="600" w:lineRule="exact"/>
        <w:ind w:firstLine="672" w:firstLineChars="210"/>
        <w:outlineLvl w:val="9"/>
        <w:rPr>
          <w:rFonts w:hint="eastAsia" w:ascii="仿宋" w:hAnsi="仿宋" w:eastAsia="仿宋"/>
          <w:bCs/>
          <w:color w:val="000000"/>
          <w:sz w:val="32"/>
          <w:szCs w:val="32"/>
          <w:lang w:val="zh-CN" w:eastAsia="zh-CN"/>
        </w:rPr>
      </w:pPr>
      <w:r>
        <w:rPr>
          <w:rFonts w:hint="eastAsia" w:ascii="仿宋" w:hAnsi="仿宋" w:eastAsia="仿宋"/>
          <w:bCs/>
          <w:color w:val="000000"/>
          <w:sz w:val="32"/>
          <w:szCs w:val="32"/>
          <w:lang w:val="en-US" w:eastAsia="zh-CN"/>
        </w:rPr>
        <w:t>21.承办县委、县政府和上级公安机关交办的其他工作和法律、法规规定的其他职责。</w:t>
      </w:r>
    </w:p>
    <w:p>
      <w:pPr>
        <w:widowControl/>
        <w:adjustRightInd w:val="0"/>
        <w:snapToGrid w:val="0"/>
        <w:spacing w:line="580" w:lineRule="exact"/>
        <w:ind w:firstLine="640" w:firstLineChars="200"/>
        <w:contextualSpacing/>
        <w:jc w:val="left"/>
        <w:outlineLvl w:val="9"/>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（三）人员概况。</w:t>
      </w:r>
    </w:p>
    <w:p>
      <w:pPr>
        <w:pStyle w:val="6"/>
        <w:adjustRightInd w:val="0"/>
        <w:snapToGrid w:val="0"/>
        <w:spacing w:before="93" w:line="600" w:lineRule="exact"/>
        <w:ind w:firstLine="672" w:firstLineChars="210"/>
        <w:outlineLvl w:val="9"/>
        <w:rPr>
          <w:lang w:val="zh-CN"/>
        </w:rPr>
      </w:pPr>
      <w:r>
        <w:rPr>
          <w:rFonts w:hint="eastAsia" w:ascii="仿宋" w:hAnsi="仿宋" w:eastAsia="仿宋"/>
          <w:bCs/>
          <w:color w:val="000000"/>
          <w:sz w:val="32"/>
          <w:szCs w:val="32"/>
          <w:lang w:val="en-US" w:eastAsia="zh-CN"/>
        </w:rPr>
        <w:t>我单位为独立核算全额拨款行政单位。截止2020年底我单位共有编制181个，其中公务员编制172个，行政工勤编制9个，在职160人，其中公务员148人，行政工勤12人。</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（一）</w:t>
      </w:r>
      <w:r>
        <w:rPr>
          <w:rFonts w:hint="eastAsia" w:ascii="仿宋_GB2312" w:hAnsi="宋体" w:eastAsia="仿宋_GB2312" w:cs="宋体"/>
          <w:color w:val="000000"/>
          <w:kern w:val="0"/>
          <w:sz w:val="32"/>
          <w:szCs w:val="32"/>
          <w:shd w:val="clear" w:color="auto" w:fill="FFFFFF"/>
          <w:lang w:val="zh-CN"/>
        </w:rPr>
        <w:t>部门财政资金收入情况。</w:t>
      </w:r>
    </w:p>
    <w:p>
      <w:pPr>
        <w:widowControl/>
        <w:adjustRightInd w:val="0"/>
        <w:snapToGrid w:val="0"/>
        <w:spacing w:line="580" w:lineRule="exact"/>
        <w:ind w:firstLine="640" w:firstLineChars="200"/>
        <w:contextualSpacing/>
        <w:jc w:val="left"/>
        <w:outlineLvl w:val="9"/>
        <w:rPr>
          <w:lang w:val="zh-CN"/>
        </w:rPr>
      </w:pPr>
      <w:r>
        <w:rPr>
          <w:rFonts w:hint="eastAsia" w:ascii="仿宋_GB2312" w:hAnsi="宋体" w:eastAsia="仿宋_GB2312" w:cs="宋体"/>
          <w:color w:val="000000"/>
          <w:kern w:val="0"/>
          <w:sz w:val="32"/>
          <w:szCs w:val="32"/>
          <w:shd w:val="clear" w:color="auto" w:fill="FFFFFF"/>
          <w:lang w:val="en-US" w:eastAsia="zh-CN"/>
        </w:rPr>
        <w:t>2020年财政资金收入共计6,416.95万元,其中一般公共预算财政拨款6,416.95万元，占比100%；政府性基金预算财政拨款0万元，占比0%；国有资本经营预算财政拨款0万元，占比0%。</w:t>
      </w:r>
    </w:p>
    <w:p>
      <w:pPr>
        <w:widowControl/>
        <w:numPr>
          <w:ilvl w:val="0"/>
          <w:numId w:val="0"/>
        </w:numPr>
        <w:adjustRightInd w:val="0"/>
        <w:snapToGrid w:val="0"/>
        <w:spacing w:line="580" w:lineRule="exact"/>
        <w:ind w:firstLine="640" w:firstLineChars="200"/>
        <w:contextualSpacing/>
        <w:jc w:val="left"/>
        <w:outlineLvl w:val="9"/>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（二）部门财政资金支出情况。</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outlineLvl w:val="9"/>
        <w:rPr>
          <w:rFonts w:hint="default"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2020年财政资金支出共计</w:t>
      </w:r>
      <w:r>
        <w:rPr>
          <w:rFonts w:hint="eastAsia" w:ascii="仿宋" w:hAnsi="仿宋" w:eastAsia="仿宋"/>
          <w:color w:val="000000"/>
          <w:sz w:val="32"/>
          <w:szCs w:val="32"/>
        </w:rPr>
        <w:t>6</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230.07</w:t>
      </w:r>
      <w:r>
        <w:rPr>
          <w:rFonts w:hint="eastAsia" w:ascii="仿宋_GB2312" w:hAnsi="宋体" w:eastAsia="仿宋_GB2312" w:cs="宋体"/>
          <w:color w:val="000000"/>
          <w:kern w:val="0"/>
          <w:sz w:val="32"/>
          <w:szCs w:val="32"/>
          <w:shd w:val="clear" w:color="auto" w:fill="FFFFFF"/>
          <w:lang w:val="en-US" w:eastAsia="zh-CN"/>
        </w:rPr>
        <w:t>万元，其中：社会保障和就业支出445.79万元，占7.16%；卫生健康支出170.83万元，占2.74%；住房保障支出313.12万元，占5.03%；公共安全支出支出5299.84元，占85.07%；其他支出0.49万元，占比0%。占比0.01%。年初财政拨款结转和结余1227.35万元；年末财政拨款结转和结余1414.24万元。</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jc w:val="left"/>
        <w:outlineLvl w:val="9"/>
        <w:rPr>
          <w:rFonts w:hint="eastAsia"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2020年我局致力于在2019年的基础上进一步优化支出结构，完善支出审批程序。贯彻执行量入为出，节约为主的支出原则，做好业务办案、装备购买、办公经费等保障。根据2020年预算实际执行来看，2020年我局人员经费、日常公用经费、业务办案、装备购买、办公经费基本得到保障，支出结构、支出审批程序也得到进一步优化。</w:t>
      </w:r>
    </w:p>
    <w:p>
      <w:pPr>
        <w:widowControl/>
        <w:adjustRightInd w:val="0"/>
        <w:snapToGrid w:val="0"/>
        <w:spacing w:line="580" w:lineRule="exact"/>
        <w:ind w:firstLine="640" w:firstLineChars="200"/>
        <w:contextualSpacing/>
        <w:jc w:val="left"/>
        <w:outlineLvl w:val="9"/>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widowControl/>
        <w:adjustRightInd w:val="0"/>
        <w:snapToGrid w:val="0"/>
        <w:spacing w:line="580" w:lineRule="exact"/>
        <w:ind w:firstLine="640" w:firstLineChars="200"/>
        <w:contextualSpacing/>
        <w:jc w:val="left"/>
        <w:outlineLvl w:val="9"/>
        <w:rPr>
          <w:rFonts w:hint="default"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我局根据2020年部门自评情况进行公开，并且针对我局2020年出现未合理预计人员经费支出、项目支出控制有待进一步提高的情况，进行反思和总结，计划于2021年开始将严格把控人员经费增减计划，做到合理申请预算调整，实实在在用多少，计划多少，对项目预算、执行、绩效评价将进一步加强。</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widowControl/>
        <w:adjustRightInd w:val="0"/>
        <w:snapToGrid w:val="0"/>
        <w:spacing w:line="580" w:lineRule="exact"/>
        <w:ind w:firstLine="640" w:firstLineChars="200"/>
        <w:contextualSpacing/>
        <w:jc w:val="left"/>
        <w:outlineLvl w:val="9"/>
        <w:rPr>
          <w:lang w:val="zh-CN"/>
        </w:rPr>
      </w:pPr>
      <w:r>
        <w:rPr>
          <w:rFonts w:hint="eastAsia" w:ascii="仿宋_GB2312" w:hAnsi="宋体" w:eastAsia="仿宋_GB2312" w:cs="宋体"/>
          <w:color w:val="000000"/>
          <w:kern w:val="0"/>
          <w:sz w:val="32"/>
          <w:szCs w:val="32"/>
          <w:shd w:val="clear" w:color="auto" w:fill="FFFFFF"/>
          <w:lang w:val="en-US" w:eastAsia="zh-CN"/>
        </w:rPr>
        <w:t>2020年我局整体部门支出良好，但是还存在项目执行不到位的情况，我局将在2021年严格执行实施预算管理，对实际情况进行预算调整、把控、执行。</w:t>
      </w:r>
    </w:p>
    <w:p>
      <w:pPr>
        <w:widowControl/>
        <w:numPr>
          <w:ilvl w:val="0"/>
          <w:numId w:val="6"/>
        </w:numPr>
        <w:adjustRightInd w:val="0"/>
        <w:snapToGrid w:val="0"/>
        <w:spacing w:line="580" w:lineRule="exact"/>
        <w:ind w:firstLine="640" w:firstLineChars="200"/>
        <w:contextualSpacing/>
        <w:jc w:val="left"/>
        <w:outlineLvl w:val="9"/>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存在问题。</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outlineLvl w:val="9"/>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预算管理水平还需提高，费用报销审批流程还需加强完善，实实在在的做到监管有效。</w:t>
      </w:r>
    </w:p>
    <w:p>
      <w:pPr>
        <w:widowControl/>
        <w:adjustRightInd w:val="0"/>
        <w:snapToGrid w:val="0"/>
        <w:spacing w:line="580" w:lineRule="exact"/>
        <w:ind w:firstLine="640" w:firstLineChars="200"/>
        <w:contextualSpacing/>
        <w:jc w:val="left"/>
        <w:outlineLvl w:val="9"/>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（三）改进建议。</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outlineLvl w:val="9"/>
        <w:rPr>
          <w:rFonts w:hint="default"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提高业务知识水平，加强业务知识学习，完善内部控制制度。以提升预算、费用报销等管理。</w:t>
      </w:r>
    </w:p>
    <w:p>
      <w:pPr>
        <w:spacing w:line="580" w:lineRule="exact"/>
        <w:ind w:firstLine="640" w:firstLineChars="200"/>
        <w:outlineLvl w:val="9"/>
        <w:rPr>
          <w:rFonts w:ascii="仿宋_GB2312" w:hAnsi="仿宋_GB2312" w:eastAsia="仿宋_GB2312" w:cs="仿宋_GB2312"/>
          <w:sz w:val="32"/>
          <w:szCs w:val="32"/>
        </w:rPr>
      </w:pPr>
    </w:p>
    <w:p>
      <w:pPr>
        <w:outlineLvl w:val="9"/>
        <w:rPr>
          <w:rFonts w:ascii="仿宋_GB2312" w:hAnsi="仿宋_GB2312" w:eastAsia="仿宋_GB2312" w:cs="仿宋_GB2312"/>
          <w:sz w:val="32"/>
          <w:szCs w:val="32"/>
        </w:rPr>
      </w:pPr>
    </w:p>
    <w:p>
      <w:pPr>
        <w:outlineLvl w:val="9"/>
        <w:rPr>
          <w:rFonts w:ascii="仿宋_GB2312" w:hAnsi="仿宋_GB2312" w:eastAsia="仿宋_GB2312" w:cs="仿宋_GB2312"/>
          <w:sz w:val="32"/>
          <w:szCs w:val="32"/>
        </w:rPr>
      </w:pPr>
    </w:p>
    <w:p>
      <w:pPr>
        <w:outlineLvl w:val="9"/>
        <w:rPr>
          <w:rFonts w:ascii="仿宋_GB2312" w:hAnsi="仿宋_GB2312" w:eastAsia="仿宋_GB2312" w:cs="仿宋_GB2312"/>
          <w:sz w:val="32"/>
          <w:szCs w:val="32"/>
        </w:rPr>
      </w:pPr>
    </w:p>
    <w:p>
      <w:pPr>
        <w:outlineLvl w:val="9"/>
        <w:rPr>
          <w:rFonts w:ascii="仿宋_GB2312" w:hAnsi="仿宋_GB2312" w:eastAsia="仿宋_GB2312" w:cs="仿宋_GB2312"/>
          <w:sz w:val="32"/>
          <w:szCs w:val="32"/>
        </w:rPr>
      </w:pPr>
    </w:p>
    <w:p>
      <w:pPr>
        <w:outlineLvl w:val="9"/>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spacing w:line="600" w:lineRule="exact"/>
        <w:jc w:val="left"/>
        <w:outlineLvl w:val="9"/>
        <w:rPr>
          <w:rFonts w:hint="eastAsia" w:ascii="方正小标宋简体" w:hAnsi="黑体" w:eastAsia="方正小标宋简体" w:cs="黑体"/>
          <w:sz w:val="44"/>
          <w:szCs w:val="44"/>
        </w:rPr>
      </w:pPr>
      <w:bookmarkStart w:id="112" w:name="_Toc79163633"/>
    </w:p>
    <w:p>
      <w:pPr>
        <w:spacing w:line="600" w:lineRule="exact"/>
        <w:jc w:val="left"/>
        <w:outlineLvl w:val="1"/>
        <w:rPr>
          <w:rFonts w:hint="eastAsia" w:ascii="方正小标宋简体" w:hAnsi="黑体" w:eastAsia="方正小标宋简体" w:cs="黑体"/>
          <w:sz w:val="44"/>
          <w:szCs w:val="44"/>
          <w:lang w:eastAsia="zh-CN"/>
        </w:rPr>
      </w:pPr>
      <w:bookmarkStart w:id="113" w:name="_Toc2349"/>
      <w:r>
        <w:rPr>
          <w:rFonts w:hint="eastAsia" w:ascii="方正小标宋简体" w:hAnsi="黑体" w:eastAsia="方正小标宋简体" w:cs="黑体"/>
          <w:sz w:val="44"/>
          <w:szCs w:val="44"/>
        </w:rPr>
        <w:t>附件2</w:t>
      </w:r>
      <w:bookmarkEnd w:id="112"/>
      <w:bookmarkEnd w:id="113"/>
      <w:bookmarkStart w:id="114" w:name="_Toc79163634"/>
    </w:p>
    <w:p>
      <w:pPr>
        <w:spacing w:line="600" w:lineRule="exact"/>
        <w:jc w:val="center"/>
        <w:outlineLvl w:val="9"/>
        <w:rPr>
          <w:rFonts w:hint="eastAsia" w:ascii="方正小标宋简体" w:hAnsi="黑体" w:eastAsia="方正小标宋简体" w:cs="黑体"/>
          <w:sz w:val="44"/>
          <w:szCs w:val="44"/>
        </w:rPr>
      </w:pPr>
      <w:r>
        <w:rPr>
          <w:rFonts w:hint="eastAsia" w:ascii="方正小标宋简体" w:hAnsi="黑体" w:eastAsia="方正小标宋简体" w:cs="黑体"/>
          <w:sz w:val="44"/>
          <w:szCs w:val="44"/>
        </w:rPr>
        <w:t>2020年</w:t>
      </w:r>
      <w:r>
        <w:rPr>
          <w:rFonts w:hint="eastAsia" w:ascii="方正小标宋简体" w:hAnsi="黑体" w:eastAsia="方正小标宋简体" w:cs="黑体"/>
          <w:sz w:val="44"/>
          <w:szCs w:val="44"/>
          <w:lang w:eastAsia="zh-CN"/>
        </w:rPr>
        <w:t>红原县</w:t>
      </w:r>
      <w:r>
        <w:rPr>
          <w:rFonts w:hint="eastAsia" w:ascii="方正小标宋简体" w:hAnsi="黑体" w:eastAsia="方正小标宋简体" w:cs="黑体"/>
          <w:sz w:val="44"/>
          <w:szCs w:val="44"/>
        </w:rPr>
        <w:t>看守所工作相关经费</w:t>
      </w:r>
    </w:p>
    <w:p>
      <w:pPr>
        <w:spacing w:line="600" w:lineRule="exact"/>
        <w:jc w:val="center"/>
        <w:outlineLvl w:val="9"/>
        <w:rPr>
          <w:rFonts w:ascii="方正小标宋简体" w:hAnsi="黑体" w:eastAsia="方正小标宋简体" w:cs="黑体"/>
          <w:sz w:val="44"/>
          <w:szCs w:val="44"/>
        </w:rPr>
      </w:pPr>
      <w:r>
        <w:rPr>
          <w:rFonts w:hint="eastAsia" w:ascii="方正小标宋简体" w:hAnsi="黑体" w:eastAsia="方正小标宋简体" w:cs="黑体"/>
          <w:sz w:val="44"/>
          <w:szCs w:val="44"/>
        </w:rPr>
        <w:t>项目绩效评价报告</w:t>
      </w:r>
      <w:bookmarkEnd w:id="114"/>
    </w:p>
    <w:p>
      <w:pPr>
        <w:spacing w:line="600" w:lineRule="exact"/>
        <w:rPr>
          <w:rFonts w:asci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outlineLvl w:val="9"/>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1．我局主要对在押人员、服刑人员进行教育、挽救和改造工作，管理在押人员、服刑人员的生活和卫生。</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outlineLvl w:val="9"/>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en-US" w:eastAsia="zh-CN"/>
        </w:rPr>
        <w:t>2.</w:t>
      </w:r>
      <w:r>
        <w:rPr>
          <w:rFonts w:hint="eastAsia" w:ascii="仿宋_GB2312" w:hAnsi="宋体" w:eastAsia="仿宋_GB2312" w:cs="宋体"/>
          <w:color w:val="000000"/>
          <w:kern w:val="0"/>
          <w:sz w:val="32"/>
          <w:szCs w:val="32"/>
          <w:shd w:val="clear" w:color="auto" w:fill="FFFFFF"/>
          <w:lang w:val="zh-CN" w:eastAsia="zh-CN"/>
        </w:rPr>
        <w:t>项目立项依据为《中</w:t>
      </w:r>
      <w:r>
        <w:rPr>
          <w:rFonts w:hint="default" w:ascii="仿宋_GB2312" w:hAnsi="宋体" w:eastAsia="仿宋_GB2312" w:cs="宋体"/>
          <w:color w:val="000000"/>
          <w:kern w:val="0"/>
          <w:sz w:val="32"/>
          <w:szCs w:val="32"/>
          <w:shd w:val="clear" w:color="auto" w:fill="FFFFFF"/>
          <w:lang w:eastAsia="zh-CN"/>
        </w:rPr>
        <w:t>华</w:t>
      </w:r>
      <w:bookmarkStart w:id="159" w:name="_GoBack"/>
      <w:bookmarkEnd w:id="159"/>
      <w:r>
        <w:rPr>
          <w:rFonts w:hint="eastAsia" w:ascii="仿宋_GB2312" w:hAnsi="宋体" w:eastAsia="仿宋_GB2312" w:cs="宋体"/>
          <w:color w:val="000000"/>
          <w:kern w:val="0"/>
          <w:sz w:val="32"/>
          <w:szCs w:val="32"/>
          <w:shd w:val="clear" w:color="auto" w:fill="FFFFFF"/>
          <w:lang w:val="zh-CN" w:eastAsia="zh-CN"/>
        </w:rPr>
        <w:t>人民共和国看守所条例》、《中华人民共和国看守所条例实施办法（试行）》、《看守所经费开支范围和管理规定的规定》、《财政部</w:t>
      </w:r>
      <w:r>
        <w:rPr>
          <w:rFonts w:hint="eastAsia" w:ascii="仿宋_GB2312" w:hAnsi="宋体" w:eastAsia="仿宋_GB2312" w:cs="宋体"/>
          <w:color w:val="000000"/>
          <w:kern w:val="0"/>
          <w:sz w:val="32"/>
          <w:szCs w:val="32"/>
          <w:shd w:val="clear" w:color="auto" w:fill="FFFFFF"/>
          <w:lang w:val="en-US" w:eastAsia="zh-CN"/>
        </w:rPr>
        <w:t xml:space="preserve"> 公安部关于调整看守所在押人员伙食实物量标准的通知</w:t>
      </w:r>
      <w:r>
        <w:rPr>
          <w:rFonts w:hint="eastAsia" w:ascii="仿宋_GB2312" w:hAnsi="宋体" w:eastAsia="仿宋_GB2312" w:cs="宋体"/>
          <w:color w:val="000000"/>
          <w:kern w:val="0"/>
          <w:sz w:val="32"/>
          <w:szCs w:val="32"/>
          <w:shd w:val="clear" w:color="auto" w:fill="FFFFFF"/>
          <w:lang w:val="zh-CN" w:eastAsia="zh-CN"/>
        </w:rPr>
        <w:t>》（财行</w:t>
      </w:r>
      <w:r>
        <w:rPr>
          <w:rFonts w:hint="eastAsia" w:ascii="仿宋_GB2312" w:hAnsi="仿宋_GB2312" w:eastAsia="仿宋_GB2312" w:cs="仿宋_GB2312"/>
          <w:color w:val="000000"/>
          <w:kern w:val="0"/>
          <w:sz w:val="32"/>
          <w:szCs w:val="32"/>
          <w:shd w:val="clear" w:color="auto" w:fill="FFFFFF"/>
          <w:lang w:val="zh-CN" w:eastAsia="zh-CN"/>
        </w:rPr>
        <w:t>〔</w:t>
      </w:r>
      <w:r>
        <w:rPr>
          <w:rFonts w:hint="eastAsia" w:ascii="仿宋_GB2312" w:hAnsi="仿宋_GB2312" w:eastAsia="仿宋_GB2312" w:cs="仿宋_GB2312"/>
          <w:color w:val="000000"/>
          <w:kern w:val="0"/>
          <w:sz w:val="32"/>
          <w:szCs w:val="32"/>
          <w:shd w:val="clear" w:color="auto" w:fill="FFFFFF"/>
          <w:lang w:val="en-US" w:eastAsia="zh-CN"/>
        </w:rPr>
        <w:t>2016</w:t>
      </w:r>
      <w:r>
        <w:rPr>
          <w:rFonts w:hint="eastAsia" w:ascii="仿宋_GB2312" w:hAnsi="仿宋_GB2312" w:eastAsia="仿宋_GB2312" w:cs="仿宋_GB2312"/>
          <w:color w:val="000000"/>
          <w:kern w:val="0"/>
          <w:sz w:val="32"/>
          <w:szCs w:val="32"/>
          <w:shd w:val="clear" w:color="auto" w:fill="FFFFFF"/>
          <w:lang w:val="zh-CN" w:eastAsia="zh-CN"/>
        </w:rPr>
        <w:t>〕</w:t>
      </w:r>
      <w:r>
        <w:rPr>
          <w:rFonts w:hint="eastAsia" w:ascii="仿宋_GB2312" w:hAnsi="仿宋_GB2312" w:eastAsia="仿宋_GB2312" w:cs="仿宋_GB2312"/>
          <w:color w:val="000000"/>
          <w:kern w:val="0"/>
          <w:sz w:val="32"/>
          <w:szCs w:val="32"/>
          <w:shd w:val="clear" w:color="auto" w:fill="FFFFFF"/>
          <w:lang w:val="en-US" w:eastAsia="zh-CN"/>
        </w:rPr>
        <w:t>430号</w:t>
      </w:r>
      <w:r>
        <w:rPr>
          <w:rFonts w:hint="eastAsia" w:ascii="仿宋_GB2312" w:hAnsi="宋体" w:eastAsia="仿宋_GB2312" w:cs="宋体"/>
          <w:color w:val="000000"/>
          <w:kern w:val="0"/>
          <w:sz w:val="32"/>
          <w:szCs w:val="32"/>
          <w:shd w:val="clear" w:color="auto" w:fill="FFFFFF"/>
          <w:lang w:val="zh-CN" w:eastAsia="zh-CN"/>
        </w:rPr>
        <w:t>）</w:t>
      </w:r>
    </w:p>
    <w:p>
      <w:pPr>
        <w:adjustRightInd w:val="0"/>
        <w:snapToGrid w:val="0"/>
        <w:spacing w:line="600" w:lineRule="exact"/>
        <w:ind w:firstLine="720"/>
        <w:outlineLvl w:val="9"/>
        <w:rPr>
          <w:rFonts w:hint="eastAsia" w:ascii="仿宋_GB2312" w:hAnsi="宋体" w:eastAsia="仿宋_GB2312"/>
          <w:sz w:val="32"/>
          <w:szCs w:val="32"/>
          <w:lang w:val="zh-CN" w:eastAsia="zh-CN"/>
        </w:rPr>
      </w:pPr>
      <w:r>
        <w:rPr>
          <w:rFonts w:hint="eastAsia" w:ascii="仿宋_GB2312" w:hAnsi="宋体" w:eastAsia="仿宋_GB2312"/>
          <w:sz w:val="32"/>
          <w:szCs w:val="32"/>
          <w:lang w:val="en-US" w:eastAsia="zh-CN"/>
        </w:rPr>
        <w:t>3.</w:t>
      </w:r>
      <w:r>
        <w:rPr>
          <w:rFonts w:hint="eastAsia" w:ascii="仿宋_GB2312" w:hAnsi="宋体" w:eastAsia="仿宋_GB2312"/>
          <w:sz w:val="32"/>
          <w:szCs w:val="32"/>
          <w:lang w:val="zh-CN" w:eastAsia="zh-CN"/>
        </w:rPr>
        <w:t>《看守所经费开支范围和管理办法的规定》为现有资金管理办法，资金范围为在押人员给养费、医疗卫生费、监管业务费、装备购置费、装备运维消耗费、修缮费及其他费用，支持方式为同级财政部分根据看守所工作实际，按照现行财政体制，安排好年度经费预算，确保经费需求。</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hint="eastAsia" w:ascii="仿宋_GB2312" w:hAnsi="宋体" w:eastAsia="仿宋_GB2312"/>
          <w:sz w:val="32"/>
          <w:szCs w:val="32"/>
          <w:lang w:val="zh-CN"/>
        </w:rPr>
      </w:pPr>
      <w:r>
        <w:rPr>
          <w:rFonts w:ascii="仿宋_GB2312" w:hAnsi="宋体" w:eastAsia="仿宋_GB2312"/>
          <w:sz w:val="32"/>
          <w:szCs w:val="32"/>
          <w:lang w:val="zh-CN"/>
        </w:rPr>
        <w:t>1</w:t>
      </w:r>
      <w:r>
        <w:rPr>
          <w:rFonts w:hint="eastAsia" w:ascii="仿宋_GB2312" w:hAnsi="宋体" w:eastAsia="仿宋_GB2312"/>
          <w:sz w:val="32"/>
          <w:szCs w:val="32"/>
          <w:lang w:val="zh-CN"/>
        </w:rPr>
        <w:t>．项目主要内容。</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项目的主要内容为通过保障在押人员生活的正常运行，进一步改善在押人员的改造环境，维持在押人员改造的日常开支，进一步保障监狱的安全持续稳定。</w:t>
      </w:r>
    </w:p>
    <w:p>
      <w:pPr>
        <w:numPr>
          <w:ilvl w:val="0"/>
          <w:numId w:val="7"/>
        </w:num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项目应实现的具体绩效目标，包括目标的量化、细化情况以及项目实施进度计划等。</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top"/>
          </w:tcPr>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0" w:firstLineChars="0"/>
              <w:textAlignment w:val="auto"/>
              <w:rPr>
                <w:rFonts w:hint="eastAsia" w:ascii="仿宋_GB2312" w:hAnsi="宋体" w:eastAsia="仿宋_GB2312"/>
                <w:sz w:val="32"/>
                <w:szCs w:val="32"/>
                <w:vertAlign w:val="baseline"/>
                <w:lang w:eastAsia="zh-CN"/>
              </w:rPr>
            </w:pPr>
            <w:r>
              <w:rPr>
                <w:rFonts w:hint="eastAsia" w:ascii="宋体" w:hAnsi="宋体" w:cs="宋体"/>
                <w:color w:val="000000"/>
                <w:kern w:val="0"/>
                <w:sz w:val="24"/>
                <w:lang w:eastAsia="zh-CN" w:bidi="ar"/>
              </w:rPr>
              <w:t>一级指标</w:t>
            </w:r>
          </w:p>
        </w:tc>
        <w:tc>
          <w:tcPr>
            <w:tcW w:w="2130" w:type="dxa"/>
            <w:noWrap w:val="0"/>
            <w:vAlign w:val="top"/>
          </w:tcPr>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0" w:firstLineChars="0"/>
              <w:textAlignment w:val="auto"/>
              <w:rPr>
                <w:rFonts w:hint="eastAsia" w:ascii="仿宋_GB2312" w:hAnsi="宋体" w:eastAsia="仿宋_GB2312"/>
                <w:sz w:val="32"/>
                <w:szCs w:val="32"/>
                <w:vertAlign w:val="baseline"/>
                <w:lang w:eastAsia="zh-CN"/>
              </w:rPr>
            </w:pPr>
            <w:r>
              <w:rPr>
                <w:rFonts w:hint="eastAsia" w:ascii="宋体" w:hAnsi="宋体" w:cs="宋体"/>
                <w:color w:val="000000"/>
                <w:kern w:val="0"/>
                <w:sz w:val="24"/>
                <w:lang w:eastAsia="zh-CN" w:bidi="ar"/>
              </w:rPr>
              <w:t>二级指标</w:t>
            </w:r>
          </w:p>
        </w:tc>
        <w:tc>
          <w:tcPr>
            <w:tcW w:w="2131" w:type="dxa"/>
            <w:noWrap w:val="0"/>
            <w:vAlign w:val="top"/>
          </w:tcPr>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0" w:firstLineChars="0"/>
              <w:textAlignment w:val="auto"/>
              <w:rPr>
                <w:rFonts w:hint="eastAsia" w:ascii="仿宋_GB2312" w:hAnsi="宋体" w:eastAsia="仿宋_GB2312"/>
                <w:sz w:val="32"/>
                <w:szCs w:val="32"/>
                <w:vertAlign w:val="baseline"/>
                <w:lang w:eastAsia="zh-CN"/>
              </w:rPr>
            </w:pPr>
            <w:r>
              <w:rPr>
                <w:rFonts w:hint="eastAsia" w:ascii="宋体" w:hAnsi="宋体" w:cs="宋体"/>
                <w:color w:val="000000"/>
                <w:kern w:val="0"/>
                <w:sz w:val="24"/>
                <w:lang w:eastAsia="zh-CN" w:bidi="ar"/>
              </w:rPr>
              <w:t>三级指标</w:t>
            </w:r>
          </w:p>
        </w:tc>
        <w:tc>
          <w:tcPr>
            <w:tcW w:w="2131" w:type="dxa"/>
            <w:noWrap w:val="0"/>
            <w:vAlign w:val="top"/>
          </w:tcPr>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0" w:firstLineChars="0"/>
              <w:textAlignment w:val="auto"/>
              <w:rPr>
                <w:rFonts w:hint="eastAsia" w:ascii="仿宋_GB2312" w:hAnsi="宋体" w:eastAsia="仿宋_GB2312"/>
                <w:sz w:val="32"/>
                <w:szCs w:val="32"/>
                <w:vertAlign w:val="baseline"/>
                <w:lang w:eastAsia="zh-CN"/>
              </w:rPr>
            </w:pPr>
            <w:r>
              <w:rPr>
                <w:rFonts w:hint="eastAsia" w:ascii="宋体" w:hAnsi="宋体" w:cs="宋体"/>
                <w:color w:val="000000"/>
                <w:kern w:val="0"/>
                <w:sz w:val="24"/>
                <w:lang w:eastAsia="zh-CN" w:bidi="ar"/>
              </w:rPr>
              <w:t>指标值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center"/>
          </w:tcPr>
          <w:p>
            <w:pPr>
              <w:widowControl/>
              <w:jc w:val="center"/>
              <w:textAlignment w:val="center"/>
              <w:outlineLvl w:val="9"/>
              <w:rPr>
                <w:rFonts w:hint="eastAsia"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项目完成指标</w:t>
            </w:r>
          </w:p>
        </w:tc>
        <w:tc>
          <w:tcPr>
            <w:tcW w:w="2130" w:type="dxa"/>
            <w:noWrap w:val="0"/>
            <w:vAlign w:val="center"/>
          </w:tcPr>
          <w:p>
            <w:pPr>
              <w:widowControl/>
              <w:jc w:val="center"/>
              <w:textAlignment w:val="center"/>
              <w:outlineLvl w:val="9"/>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lang w:bidi="ar"/>
              </w:rPr>
              <w:t>数量指标</w:t>
            </w:r>
          </w:p>
        </w:tc>
        <w:tc>
          <w:tcPr>
            <w:tcW w:w="2131" w:type="dxa"/>
            <w:noWrap w:val="0"/>
            <w:vAlign w:val="center"/>
          </w:tcPr>
          <w:p>
            <w:pPr>
              <w:widowControl/>
              <w:jc w:val="center"/>
              <w:textAlignment w:val="center"/>
              <w:outlineLvl w:val="9"/>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lang w:bidi="ar"/>
              </w:rPr>
              <w:t>预算编制准确率</w:t>
            </w:r>
          </w:p>
        </w:tc>
        <w:tc>
          <w:tcPr>
            <w:tcW w:w="2131" w:type="dxa"/>
            <w:noWrap w:val="0"/>
            <w:vAlign w:val="center"/>
          </w:tcPr>
          <w:p>
            <w:pPr>
              <w:widowControl/>
              <w:jc w:val="center"/>
              <w:textAlignment w:val="center"/>
              <w:outlineLvl w:val="9"/>
              <w:rPr>
                <w:rFonts w:hint="eastAsia"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预算编制准确率</w:t>
            </w:r>
            <w:r>
              <w:rPr>
                <w:rFonts w:hint="eastAsia" w:ascii="宋体" w:hAnsi="宋体" w:cs="宋体"/>
                <w:color w:val="000000"/>
                <w:kern w:val="0"/>
                <w:sz w:val="24"/>
                <w:lang w:val="en-US" w:eastAsia="zh-CN" w:bidi="ar"/>
              </w:rPr>
              <w:t>=</w:t>
            </w:r>
            <w:r>
              <w:rPr>
                <w:rFonts w:hint="eastAsia" w:ascii="宋体" w:cs="宋体"/>
                <w:color w:val="000000"/>
                <w:sz w:val="24"/>
                <w:lang w:eastAsia="zh-CN"/>
              </w:rPr>
              <w:t>决算数</w:t>
            </w:r>
            <w:r>
              <w:rPr>
                <w:rFonts w:hint="eastAsia" w:ascii="宋体" w:cs="宋体"/>
                <w:color w:val="000000"/>
                <w:sz w:val="24"/>
                <w:lang w:val="en-US" w:eastAsia="zh-CN"/>
              </w:rPr>
              <w:t>/预算数*100%(该项总分12.5分；</w:t>
            </w:r>
            <w:r>
              <w:rPr>
                <w:rFonts w:hint="default" w:ascii="Arial" w:hAnsi="Arial" w:cs="Arial"/>
                <w:color w:val="000000"/>
                <w:sz w:val="24"/>
                <w:lang w:val="en-US" w:eastAsia="zh-CN"/>
              </w:rPr>
              <w:t>≥</w:t>
            </w:r>
            <w:r>
              <w:rPr>
                <w:rFonts w:hint="eastAsia" w:ascii="宋体" w:cs="宋体"/>
                <w:color w:val="000000"/>
                <w:sz w:val="24"/>
                <w:lang w:val="en-US" w:eastAsia="zh-CN"/>
              </w:rPr>
              <w:t>95%权重为100%；85%-94%权重为85%；75%-84%权重为70%；</w:t>
            </w:r>
            <w:r>
              <w:rPr>
                <w:rFonts w:hint="default" w:ascii="Arial" w:hAnsi="Arial" w:cs="Arial"/>
                <w:color w:val="000000"/>
                <w:sz w:val="24"/>
                <w:lang w:val="en-US" w:eastAsia="zh-CN"/>
              </w:rPr>
              <w:t>≤</w:t>
            </w:r>
            <w:r>
              <w:rPr>
                <w:rFonts w:hint="eastAsia" w:ascii="宋体" w:cs="宋体"/>
                <w:color w:val="000000"/>
                <w:sz w:val="24"/>
                <w:lang w:val="en-US" w:eastAsia="zh-CN"/>
              </w:rPr>
              <w:t>74%则不得分)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130" w:type="dxa"/>
            <w:noWrap w:val="0"/>
            <w:vAlign w:val="center"/>
          </w:tcPr>
          <w:p>
            <w:pPr>
              <w:widowControl/>
              <w:jc w:val="center"/>
              <w:textAlignment w:val="center"/>
              <w:outlineLvl w:val="9"/>
              <w:rPr>
                <w:rFonts w:hint="eastAsia"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项目完成指标</w:t>
            </w:r>
          </w:p>
        </w:tc>
        <w:tc>
          <w:tcPr>
            <w:tcW w:w="2130" w:type="dxa"/>
            <w:noWrap w:val="0"/>
            <w:vAlign w:val="center"/>
          </w:tcPr>
          <w:p>
            <w:pPr>
              <w:widowControl/>
              <w:jc w:val="center"/>
              <w:textAlignment w:val="center"/>
              <w:outlineLvl w:val="9"/>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lang w:bidi="ar"/>
              </w:rPr>
              <w:t>数量指标</w:t>
            </w:r>
          </w:p>
        </w:tc>
        <w:tc>
          <w:tcPr>
            <w:tcW w:w="2131" w:type="dxa"/>
            <w:noWrap w:val="0"/>
            <w:vAlign w:val="center"/>
          </w:tcPr>
          <w:p>
            <w:pPr>
              <w:widowControl/>
              <w:jc w:val="center"/>
              <w:textAlignment w:val="center"/>
              <w:outlineLvl w:val="9"/>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lang w:bidi="ar"/>
              </w:rPr>
              <w:t>在押犯人数量</w:t>
            </w:r>
          </w:p>
        </w:tc>
        <w:tc>
          <w:tcPr>
            <w:tcW w:w="2131" w:type="dxa"/>
            <w:noWrap w:val="0"/>
            <w:vAlign w:val="center"/>
          </w:tcPr>
          <w:p>
            <w:pPr>
              <w:widowControl/>
              <w:jc w:val="center"/>
              <w:textAlignment w:val="center"/>
              <w:outlineLvl w:val="9"/>
              <w:rPr>
                <w:rFonts w:hint="default"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在押犯人数量</w:t>
            </w:r>
            <w:r>
              <w:rPr>
                <w:rFonts w:hint="eastAsia" w:ascii="宋体" w:hAnsi="宋体" w:cs="宋体"/>
                <w:color w:val="000000"/>
                <w:kern w:val="0"/>
                <w:sz w:val="24"/>
                <w:lang w:eastAsia="zh-CN" w:bidi="ar"/>
              </w:rPr>
              <w:t>（</w:t>
            </w:r>
            <w:r>
              <w:rPr>
                <w:rFonts w:hint="eastAsia" w:ascii="宋体" w:cs="宋体"/>
                <w:color w:val="000000"/>
                <w:sz w:val="24"/>
                <w:lang w:val="en-US" w:eastAsia="zh-CN"/>
              </w:rPr>
              <w:t>该项总分12.5分；</w:t>
            </w:r>
            <w:r>
              <w:rPr>
                <w:rFonts w:hint="eastAsia" w:ascii="宋体" w:hAnsi="宋体" w:cs="宋体"/>
                <w:color w:val="000000"/>
                <w:kern w:val="0"/>
                <w:sz w:val="24"/>
                <w:lang w:eastAsia="zh-CN" w:bidi="ar"/>
              </w:rPr>
              <w:t>在押人数</w:t>
            </w:r>
            <w:r>
              <w:rPr>
                <w:rFonts w:hint="default" w:ascii="Arial" w:hAnsi="Arial" w:cs="Arial"/>
                <w:color w:val="000000"/>
                <w:kern w:val="0"/>
                <w:sz w:val="24"/>
                <w:lang w:eastAsia="zh-CN" w:bidi="ar"/>
              </w:rPr>
              <w:t>≥</w:t>
            </w:r>
            <w:r>
              <w:rPr>
                <w:rFonts w:hint="eastAsia" w:ascii="宋体" w:hAnsi="宋体" w:cs="宋体"/>
                <w:color w:val="000000"/>
                <w:kern w:val="0"/>
                <w:sz w:val="24"/>
                <w:lang w:val="en-US" w:eastAsia="zh-CN" w:bidi="ar"/>
              </w:rPr>
              <w:t>30人/月，权重100%分；25人/月-29人/月，权重85%，20人/月-24人/月权重70%，</w:t>
            </w:r>
            <w:r>
              <w:rPr>
                <w:rFonts w:hint="default" w:ascii="宋体" w:hAnsi="宋体" w:cs="宋体"/>
                <w:color w:val="000000"/>
                <w:kern w:val="0"/>
                <w:sz w:val="24"/>
                <w:lang w:val="en-US" w:eastAsia="zh-CN" w:bidi="ar"/>
              </w:rPr>
              <w:t>≤</w:t>
            </w:r>
            <w:r>
              <w:rPr>
                <w:rFonts w:hint="eastAsia" w:ascii="宋体" w:hAnsi="宋体" w:cs="宋体"/>
                <w:color w:val="000000"/>
                <w:kern w:val="0"/>
                <w:sz w:val="24"/>
                <w:lang w:val="en-US" w:eastAsia="zh-CN" w:bidi="ar"/>
              </w:rPr>
              <w:t>19人/月权重60%</w:t>
            </w:r>
            <w:r>
              <w:rPr>
                <w:rFonts w:hint="eastAsia" w:ascii="宋体" w:hAnsi="宋体" w:cs="宋体"/>
                <w:color w:val="000000"/>
                <w:kern w:val="0"/>
                <w:sz w:val="24"/>
                <w:lang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center"/>
          </w:tcPr>
          <w:p>
            <w:pPr>
              <w:widowControl/>
              <w:jc w:val="center"/>
              <w:textAlignment w:val="center"/>
              <w:outlineLvl w:val="9"/>
              <w:rPr>
                <w:rFonts w:hint="eastAsia"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项目完成指标</w:t>
            </w:r>
          </w:p>
        </w:tc>
        <w:tc>
          <w:tcPr>
            <w:tcW w:w="2130" w:type="dxa"/>
            <w:noWrap w:val="0"/>
            <w:vAlign w:val="center"/>
          </w:tcPr>
          <w:p>
            <w:pPr>
              <w:widowControl/>
              <w:jc w:val="center"/>
              <w:textAlignment w:val="center"/>
              <w:outlineLvl w:val="9"/>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lang w:bidi="ar"/>
              </w:rPr>
              <w:t>数量指标</w:t>
            </w:r>
          </w:p>
        </w:tc>
        <w:tc>
          <w:tcPr>
            <w:tcW w:w="2131" w:type="dxa"/>
            <w:noWrap w:val="0"/>
            <w:vAlign w:val="center"/>
          </w:tcPr>
          <w:p>
            <w:pPr>
              <w:widowControl/>
              <w:jc w:val="center"/>
              <w:textAlignment w:val="center"/>
              <w:outlineLvl w:val="9"/>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lang w:bidi="ar"/>
              </w:rPr>
              <w:t>在押人员伙食标准</w:t>
            </w:r>
          </w:p>
        </w:tc>
        <w:tc>
          <w:tcPr>
            <w:tcW w:w="2131" w:type="dxa"/>
            <w:noWrap w:val="0"/>
            <w:vAlign w:val="center"/>
          </w:tcPr>
          <w:p>
            <w:pPr>
              <w:widowControl/>
              <w:jc w:val="center"/>
              <w:textAlignment w:val="center"/>
              <w:outlineLvl w:val="9"/>
              <w:rPr>
                <w:rFonts w:hint="default"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在押人员伙食标准</w:t>
            </w:r>
            <w:r>
              <w:rPr>
                <w:rFonts w:hint="eastAsia" w:ascii="宋体" w:hAnsi="宋体" w:cs="宋体"/>
                <w:color w:val="000000"/>
                <w:kern w:val="0"/>
                <w:sz w:val="24"/>
                <w:lang w:val="en-US" w:eastAsia="zh-CN" w:bidi="ar"/>
              </w:rPr>
              <w:t>=伙食总支出/在押总人数（</w:t>
            </w:r>
            <w:r>
              <w:rPr>
                <w:rFonts w:hint="eastAsia" w:ascii="宋体" w:cs="宋体"/>
                <w:color w:val="000000"/>
                <w:sz w:val="24"/>
                <w:lang w:val="en-US" w:eastAsia="zh-CN"/>
              </w:rPr>
              <w:t>该项总分12.5分</w:t>
            </w:r>
            <w:r>
              <w:rPr>
                <w:rFonts w:hint="eastAsia" w:ascii="宋体" w:hAnsi="宋体" w:cs="宋体"/>
                <w:color w:val="000000"/>
                <w:kern w:val="0"/>
                <w:sz w:val="24"/>
                <w:lang w:val="en-US" w:eastAsia="zh-CN" w:bidi="ar"/>
              </w:rPr>
              <w:t>；伙食标准</w:t>
            </w:r>
            <w:r>
              <w:rPr>
                <w:rFonts w:hint="default" w:ascii="Arial" w:hAnsi="Arial" w:cs="Arial"/>
                <w:color w:val="000000"/>
                <w:kern w:val="0"/>
                <w:sz w:val="24"/>
                <w:lang w:val="en-US" w:eastAsia="zh-CN" w:bidi="ar"/>
              </w:rPr>
              <w:t>≥</w:t>
            </w:r>
            <w:r>
              <w:rPr>
                <w:rFonts w:hint="eastAsia" w:ascii="宋体" w:hAnsi="宋体" w:cs="宋体"/>
                <w:color w:val="000000"/>
                <w:kern w:val="0"/>
                <w:sz w:val="24"/>
                <w:lang w:val="en-US" w:eastAsia="zh-CN" w:bidi="ar"/>
              </w:rPr>
              <w:t>16.6/人/天权重100%，反之则0%）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center"/>
          </w:tcPr>
          <w:p>
            <w:pPr>
              <w:widowControl/>
              <w:jc w:val="center"/>
              <w:textAlignment w:val="center"/>
              <w:outlineLvl w:val="9"/>
              <w:rPr>
                <w:rFonts w:hint="eastAsia" w:ascii="宋体" w:hAnsi="Times New Roman" w:eastAsia="宋体" w:cs="宋体"/>
                <w:color w:val="000000"/>
                <w:kern w:val="0"/>
                <w:sz w:val="24"/>
                <w:szCs w:val="24"/>
                <w:lang w:val="en-US" w:eastAsia="zh-CN" w:bidi="ar"/>
              </w:rPr>
            </w:pPr>
            <w:r>
              <w:rPr>
                <w:rFonts w:hint="eastAsia" w:ascii="宋体" w:hAnsi="宋体" w:cs="宋体"/>
                <w:color w:val="000000"/>
                <w:kern w:val="0"/>
                <w:sz w:val="24"/>
                <w:lang w:bidi="ar"/>
              </w:rPr>
              <w:t>项目完成指标</w:t>
            </w:r>
          </w:p>
        </w:tc>
        <w:tc>
          <w:tcPr>
            <w:tcW w:w="2130" w:type="dxa"/>
            <w:noWrap w:val="0"/>
            <w:vAlign w:val="center"/>
          </w:tcPr>
          <w:p>
            <w:pPr>
              <w:widowControl/>
              <w:jc w:val="center"/>
              <w:textAlignment w:val="center"/>
              <w:outlineLvl w:val="9"/>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lang w:bidi="ar"/>
              </w:rPr>
              <w:t>安全指标</w:t>
            </w:r>
          </w:p>
        </w:tc>
        <w:tc>
          <w:tcPr>
            <w:tcW w:w="2131" w:type="dxa"/>
            <w:noWrap w:val="0"/>
            <w:vAlign w:val="center"/>
          </w:tcPr>
          <w:p>
            <w:pPr>
              <w:widowControl/>
              <w:jc w:val="center"/>
              <w:textAlignment w:val="center"/>
              <w:outlineLvl w:val="9"/>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lang w:bidi="ar"/>
              </w:rPr>
              <w:t>食品安全事故</w:t>
            </w:r>
          </w:p>
        </w:tc>
        <w:tc>
          <w:tcPr>
            <w:tcW w:w="2131" w:type="dxa"/>
            <w:noWrap w:val="0"/>
            <w:vAlign w:val="center"/>
          </w:tcPr>
          <w:p>
            <w:pPr>
              <w:widowControl/>
              <w:jc w:val="center"/>
              <w:textAlignment w:val="center"/>
              <w:outlineLvl w:val="9"/>
              <w:rPr>
                <w:rFonts w:hint="eastAsia" w:ascii="宋体" w:hAnsi="Times New Roman" w:eastAsia="宋体" w:cs="宋体"/>
                <w:color w:val="000000"/>
                <w:kern w:val="2"/>
                <w:sz w:val="24"/>
                <w:szCs w:val="24"/>
                <w:lang w:val="en-US" w:eastAsia="zh-CN" w:bidi="ar-SA"/>
              </w:rPr>
            </w:pPr>
            <w:r>
              <w:rPr>
                <w:rFonts w:hint="eastAsia" w:ascii="宋体" w:cs="宋体"/>
                <w:color w:val="000000"/>
                <w:sz w:val="24"/>
                <w:lang w:eastAsia="zh-CN"/>
              </w:rPr>
              <w:t>事故</w:t>
            </w:r>
            <w:r>
              <w:rPr>
                <w:rFonts w:hint="default" w:ascii="Arial" w:hAnsi="Arial" w:cs="Arial"/>
                <w:color w:val="000000"/>
                <w:sz w:val="24"/>
                <w:lang w:eastAsia="zh-CN"/>
              </w:rPr>
              <w:t>≥</w:t>
            </w:r>
            <w:r>
              <w:rPr>
                <w:rFonts w:hint="eastAsia" w:ascii="宋体" w:cs="宋体"/>
                <w:color w:val="000000"/>
                <w:sz w:val="24"/>
                <w:lang w:val="en-US" w:eastAsia="zh-CN"/>
              </w:rPr>
              <w:t>1则得分0分；次数=0则得分12.5分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center"/>
          </w:tcPr>
          <w:p>
            <w:pPr>
              <w:widowControl/>
              <w:jc w:val="center"/>
              <w:textAlignment w:val="center"/>
              <w:outlineLvl w:val="9"/>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lang w:bidi="ar"/>
              </w:rPr>
              <w:t>项目完成指标</w:t>
            </w:r>
          </w:p>
        </w:tc>
        <w:tc>
          <w:tcPr>
            <w:tcW w:w="2130" w:type="dxa"/>
            <w:noWrap w:val="0"/>
            <w:vAlign w:val="center"/>
          </w:tcPr>
          <w:p>
            <w:pPr>
              <w:widowControl/>
              <w:jc w:val="center"/>
              <w:textAlignment w:val="center"/>
              <w:outlineLvl w:val="9"/>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lang w:bidi="ar"/>
              </w:rPr>
              <w:t>时效指标</w:t>
            </w:r>
          </w:p>
        </w:tc>
        <w:tc>
          <w:tcPr>
            <w:tcW w:w="2131" w:type="dxa"/>
            <w:noWrap w:val="0"/>
            <w:vAlign w:val="center"/>
          </w:tcPr>
          <w:p>
            <w:pPr>
              <w:widowControl/>
              <w:jc w:val="center"/>
              <w:textAlignment w:val="center"/>
              <w:outlineLvl w:val="9"/>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lang w:bidi="ar"/>
              </w:rPr>
              <w:t>资金到位率</w:t>
            </w:r>
          </w:p>
        </w:tc>
        <w:tc>
          <w:tcPr>
            <w:tcW w:w="2131" w:type="dxa"/>
            <w:noWrap w:val="0"/>
            <w:vAlign w:val="center"/>
          </w:tcPr>
          <w:p>
            <w:pPr>
              <w:widowControl/>
              <w:jc w:val="center"/>
              <w:textAlignment w:val="center"/>
              <w:outlineLvl w:val="9"/>
              <w:rPr>
                <w:rFonts w:hint="default"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资金到位率</w:t>
            </w:r>
            <w:r>
              <w:rPr>
                <w:rFonts w:hint="eastAsia" w:ascii="宋体" w:hAnsi="宋体" w:cs="宋体"/>
                <w:color w:val="000000"/>
                <w:kern w:val="0"/>
                <w:sz w:val="24"/>
                <w:lang w:val="en-US" w:eastAsia="zh-CN" w:bidi="ar"/>
              </w:rPr>
              <w:t>=预算下达数/年初预算数*100%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center"/>
          </w:tcPr>
          <w:p>
            <w:pPr>
              <w:widowControl/>
              <w:jc w:val="center"/>
              <w:textAlignment w:val="center"/>
              <w:outlineLvl w:val="9"/>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lang w:bidi="ar"/>
              </w:rPr>
              <w:t>项目完成指标</w:t>
            </w:r>
          </w:p>
        </w:tc>
        <w:tc>
          <w:tcPr>
            <w:tcW w:w="2130" w:type="dxa"/>
            <w:noWrap w:val="0"/>
            <w:vAlign w:val="center"/>
          </w:tcPr>
          <w:p>
            <w:pPr>
              <w:widowControl/>
              <w:jc w:val="center"/>
              <w:textAlignment w:val="center"/>
              <w:outlineLvl w:val="9"/>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lang w:bidi="ar"/>
              </w:rPr>
              <w:t>安全指标</w:t>
            </w:r>
          </w:p>
        </w:tc>
        <w:tc>
          <w:tcPr>
            <w:tcW w:w="2131" w:type="dxa"/>
            <w:noWrap w:val="0"/>
            <w:vAlign w:val="center"/>
          </w:tcPr>
          <w:p>
            <w:pPr>
              <w:widowControl/>
              <w:jc w:val="center"/>
              <w:textAlignment w:val="center"/>
              <w:outlineLvl w:val="9"/>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lang w:bidi="ar"/>
              </w:rPr>
              <w:t>在押人员出逃等非食品安全事故</w:t>
            </w:r>
          </w:p>
        </w:tc>
        <w:tc>
          <w:tcPr>
            <w:tcW w:w="2131" w:type="dxa"/>
            <w:noWrap w:val="0"/>
            <w:vAlign w:val="center"/>
          </w:tcPr>
          <w:p>
            <w:pPr>
              <w:widowControl/>
              <w:jc w:val="center"/>
              <w:textAlignment w:val="center"/>
              <w:outlineLvl w:val="9"/>
              <w:rPr>
                <w:rFonts w:hint="eastAsia" w:ascii="宋体" w:hAnsi="Times New Roman" w:eastAsia="宋体" w:cs="宋体"/>
                <w:color w:val="000000"/>
                <w:kern w:val="2"/>
                <w:sz w:val="24"/>
                <w:szCs w:val="24"/>
                <w:lang w:val="en-US" w:eastAsia="zh-CN" w:bidi="ar-SA"/>
              </w:rPr>
            </w:pPr>
            <w:r>
              <w:rPr>
                <w:rFonts w:hint="eastAsia" w:ascii="宋体" w:cs="宋体"/>
                <w:color w:val="000000"/>
                <w:sz w:val="24"/>
                <w:lang w:eastAsia="zh-CN"/>
              </w:rPr>
              <w:t>事故</w:t>
            </w:r>
            <w:r>
              <w:rPr>
                <w:rFonts w:hint="default" w:ascii="Arial" w:hAnsi="Arial" w:cs="Arial"/>
                <w:color w:val="000000"/>
                <w:sz w:val="24"/>
                <w:lang w:eastAsia="zh-CN"/>
              </w:rPr>
              <w:t>≥</w:t>
            </w:r>
            <w:r>
              <w:rPr>
                <w:rFonts w:hint="eastAsia" w:ascii="宋体" w:cs="宋体"/>
                <w:color w:val="000000"/>
                <w:sz w:val="24"/>
                <w:lang w:val="en-US" w:eastAsia="zh-CN"/>
              </w:rPr>
              <w:t>1则得分0分；次数=0则得分12.5分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center"/>
          </w:tcPr>
          <w:p>
            <w:pPr>
              <w:widowControl/>
              <w:jc w:val="center"/>
              <w:textAlignment w:val="center"/>
              <w:outlineLvl w:val="9"/>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lang w:bidi="ar"/>
              </w:rPr>
              <w:t>效益指标</w:t>
            </w:r>
          </w:p>
        </w:tc>
        <w:tc>
          <w:tcPr>
            <w:tcW w:w="2130" w:type="dxa"/>
            <w:noWrap w:val="0"/>
            <w:vAlign w:val="center"/>
          </w:tcPr>
          <w:p>
            <w:pPr>
              <w:widowControl/>
              <w:jc w:val="center"/>
              <w:textAlignment w:val="center"/>
              <w:outlineLvl w:val="9"/>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lang w:bidi="ar"/>
              </w:rPr>
              <w:t>社会效益指标</w:t>
            </w:r>
          </w:p>
        </w:tc>
        <w:tc>
          <w:tcPr>
            <w:tcW w:w="2131" w:type="dxa"/>
            <w:noWrap w:val="0"/>
            <w:vAlign w:val="center"/>
          </w:tcPr>
          <w:p>
            <w:pPr>
              <w:widowControl/>
              <w:jc w:val="center"/>
              <w:textAlignment w:val="center"/>
              <w:outlineLvl w:val="9"/>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lang w:bidi="ar"/>
              </w:rPr>
              <w:t>在押人员入狱次数</w:t>
            </w:r>
          </w:p>
        </w:tc>
        <w:tc>
          <w:tcPr>
            <w:tcW w:w="2131" w:type="dxa"/>
            <w:noWrap w:val="0"/>
            <w:vAlign w:val="center"/>
          </w:tcPr>
          <w:p>
            <w:pPr>
              <w:widowControl/>
              <w:jc w:val="center"/>
              <w:textAlignment w:val="center"/>
              <w:outlineLvl w:val="9"/>
              <w:rPr>
                <w:rFonts w:hint="eastAsia" w:ascii="宋体" w:hAnsi="宋体" w:eastAsia="宋体" w:cs="宋体"/>
                <w:color w:val="000000"/>
                <w:kern w:val="2"/>
                <w:sz w:val="24"/>
                <w:szCs w:val="24"/>
                <w:lang w:val="en-US" w:eastAsia="zh-CN" w:bidi="ar-SA"/>
              </w:rPr>
            </w:pPr>
            <w:r>
              <w:rPr>
                <w:rFonts w:hint="eastAsia" w:ascii="宋体" w:cs="宋体"/>
                <w:color w:val="000000"/>
                <w:sz w:val="24"/>
                <w:lang w:val="en-US" w:eastAsia="zh-CN"/>
              </w:rPr>
              <w:t>次数</w:t>
            </w:r>
            <w:r>
              <w:rPr>
                <w:rFonts w:hint="default" w:ascii="Arial" w:hAnsi="Arial" w:cs="Arial"/>
                <w:color w:val="000000"/>
                <w:sz w:val="24"/>
                <w:lang w:val="en-US" w:eastAsia="zh-CN"/>
              </w:rPr>
              <w:t>≥</w:t>
            </w:r>
            <w:r>
              <w:rPr>
                <w:rFonts w:hint="eastAsia" w:ascii="宋体" w:cs="宋体"/>
                <w:color w:val="000000"/>
                <w:sz w:val="24"/>
                <w:lang w:val="en-US" w:eastAsia="zh-CN"/>
              </w:rPr>
              <w:t>1则得分0分；次数</w:t>
            </w:r>
            <w:r>
              <w:rPr>
                <w:rFonts w:hint="eastAsia" w:ascii="宋体" w:hAnsi="宋体" w:eastAsia="宋体" w:cs="宋体"/>
                <w:color w:val="000000"/>
                <w:sz w:val="24"/>
                <w:lang w:val="en-US" w:eastAsia="zh-CN"/>
              </w:rPr>
              <w:t>=</w:t>
            </w:r>
            <w:r>
              <w:rPr>
                <w:rFonts w:hint="eastAsia" w:ascii="宋体" w:hAnsi="宋体" w:cs="宋体"/>
                <w:color w:val="000000"/>
                <w:sz w:val="24"/>
                <w:lang w:val="en-US" w:eastAsia="zh-CN"/>
              </w:rPr>
              <w:t>0则得分12.5分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center"/>
          </w:tcPr>
          <w:p>
            <w:pPr>
              <w:widowControl/>
              <w:jc w:val="center"/>
              <w:textAlignment w:val="center"/>
              <w:outlineLvl w:val="9"/>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lang w:bidi="ar"/>
              </w:rPr>
              <w:t>满意度指标</w:t>
            </w:r>
          </w:p>
        </w:tc>
        <w:tc>
          <w:tcPr>
            <w:tcW w:w="2130" w:type="dxa"/>
            <w:noWrap w:val="0"/>
            <w:vAlign w:val="center"/>
          </w:tcPr>
          <w:p>
            <w:pPr>
              <w:widowControl/>
              <w:jc w:val="center"/>
              <w:textAlignment w:val="center"/>
              <w:outlineLvl w:val="9"/>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lang w:bidi="ar"/>
              </w:rPr>
              <w:t>服务对象满意度指标</w:t>
            </w:r>
          </w:p>
        </w:tc>
        <w:tc>
          <w:tcPr>
            <w:tcW w:w="2131" w:type="dxa"/>
            <w:noWrap w:val="0"/>
            <w:vAlign w:val="center"/>
          </w:tcPr>
          <w:p>
            <w:pPr>
              <w:widowControl/>
              <w:jc w:val="center"/>
              <w:textAlignment w:val="center"/>
              <w:outlineLvl w:val="9"/>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lang w:bidi="ar"/>
              </w:rPr>
              <w:t>在押人员满意度</w:t>
            </w:r>
          </w:p>
        </w:tc>
        <w:tc>
          <w:tcPr>
            <w:tcW w:w="2131" w:type="dxa"/>
            <w:noWrap w:val="0"/>
            <w:vAlign w:val="center"/>
          </w:tcPr>
          <w:p>
            <w:pPr>
              <w:widowControl/>
              <w:jc w:val="center"/>
              <w:textAlignment w:val="center"/>
              <w:outlineLvl w:val="9"/>
              <w:rPr>
                <w:rFonts w:hint="default"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在押人员满意度</w:t>
            </w:r>
            <w:r>
              <w:rPr>
                <w:rFonts w:hint="eastAsia" w:ascii="宋体" w:hAnsi="宋体" w:cs="宋体"/>
                <w:color w:val="000000"/>
                <w:kern w:val="0"/>
                <w:sz w:val="24"/>
                <w:lang w:val="en-US" w:eastAsia="zh-CN" w:bidi="ar"/>
              </w:rPr>
              <w:t>=（总人数-投诉人数）/总人数*100%（该项总分12.5分；</w:t>
            </w:r>
            <w:r>
              <w:rPr>
                <w:rFonts w:hint="default" w:ascii="Arial" w:hAnsi="Arial" w:cs="Arial"/>
                <w:color w:val="000000"/>
                <w:kern w:val="0"/>
                <w:sz w:val="24"/>
                <w:lang w:val="en-US" w:eastAsia="zh-CN" w:bidi="ar"/>
              </w:rPr>
              <w:t>≥</w:t>
            </w:r>
            <w:r>
              <w:rPr>
                <w:rFonts w:hint="eastAsia" w:ascii="宋体" w:hAnsi="宋体" w:cs="宋体"/>
                <w:color w:val="000000"/>
                <w:kern w:val="0"/>
                <w:sz w:val="24"/>
                <w:lang w:val="en-US" w:eastAsia="zh-CN" w:bidi="ar"/>
              </w:rPr>
              <w:t>95%权重100%；</w:t>
            </w:r>
            <w:r>
              <w:rPr>
                <w:rFonts w:hint="eastAsia" w:ascii="宋体" w:cs="宋体"/>
                <w:color w:val="000000"/>
                <w:sz w:val="24"/>
                <w:lang w:val="en-US" w:eastAsia="zh-CN"/>
              </w:rPr>
              <w:t>85%-94%权重为80%；75%-84%权重为60%；</w:t>
            </w:r>
            <w:r>
              <w:rPr>
                <w:rFonts w:hint="default" w:ascii="Arial" w:hAnsi="Arial" w:cs="Arial"/>
                <w:color w:val="000000"/>
                <w:sz w:val="24"/>
                <w:lang w:val="en-US" w:eastAsia="zh-CN"/>
              </w:rPr>
              <w:t>≤</w:t>
            </w:r>
            <w:r>
              <w:rPr>
                <w:rFonts w:hint="eastAsia" w:ascii="宋体" w:cs="宋体"/>
                <w:color w:val="000000"/>
                <w:sz w:val="24"/>
                <w:lang w:val="en-US" w:eastAsia="zh-CN"/>
              </w:rPr>
              <w:t>74%则不得分</w:t>
            </w:r>
            <w:r>
              <w:rPr>
                <w:rFonts w:hint="eastAsia" w:ascii="宋体" w:hAnsi="宋体" w:cs="宋体"/>
                <w:color w:val="000000"/>
                <w:kern w:val="0"/>
                <w:sz w:val="24"/>
                <w:lang w:val="en-US" w:eastAsia="zh-CN" w:bidi="ar"/>
              </w:rPr>
              <w:t>）</w:t>
            </w:r>
          </w:p>
        </w:tc>
      </w:tr>
    </w:tbl>
    <w:p>
      <w:pPr>
        <w:pStyle w:val="2"/>
        <w:numPr>
          <w:ilvl w:val="0"/>
          <w:numId w:val="0"/>
        </w:numPr>
        <w:rPr>
          <w:lang w:val="zh-CN"/>
        </w:rPr>
      </w:pPr>
    </w:p>
    <w:p>
      <w:pPr>
        <w:adjustRightInd w:val="0"/>
        <w:snapToGrid w:val="0"/>
        <w:spacing w:line="600" w:lineRule="exact"/>
        <w:ind w:firstLine="720"/>
        <w:rPr>
          <w:rFonts w:hint="eastAsia" w:ascii="仿宋_GB2312" w:hAnsi="宋体" w:eastAsia="仿宋_GB2312"/>
          <w:sz w:val="32"/>
          <w:szCs w:val="32"/>
          <w:lang w:val="zh-CN"/>
        </w:rPr>
      </w:pPr>
      <w:r>
        <w:rPr>
          <w:rFonts w:ascii="仿宋_GB2312" w:hAnsi="宋体" w:eastAsia="仿宋_GB2312"/>
          <w:sz w:val="32"/>
          <w:szCs w:val="32"/>
          <w:lang w:val="zh-CN"/>
        </w:rPr>
        <w:t>3</w:t>
      </w:r>
      <w:r>
        <w:rPr>
          <w:rFonts w:hint="eastAsia" w:ascii="仿宋_GB2312" w:hAnsi="宋体" w:eastAsia="仿宋_GB2312"/>
          <w:sz w:val="32"/>
          <w:szCs w:val="32"/>
          <w:lang w:val="zh-CN"/>
        </w:rPr>
        <w:t>．分析评价申报内容是否与实际相符，申报目标是否合理可行。</w:t>
      </w:r>
    </w:p>
    <w:p>
      <w:pPr>
        <w:outlineLvl w:val="9"/>
        <w:rPr>
          <w:rFonts w:hint="default" w:eastAsia="宋体"/>
          <w:b w:val="0"/>
          <w:bCs w:val="0"/>
          <w:lang w:val="en-US" w:eastAsia="zh-CN"/>
        </w:rPr>
      </w:pPr>
      <w:r>
        <w:rPr>
          <w:rFonts w:hint="eastAsia"/>
          <w:b w:val="0"/>
          <w:bCs w:val="0"/>
          <w:lang w:val="en-US" w:eastAsia="zh-CN"/>
        </w:rPr>
        <w:t xml:space="preserve">   </w:t>
      </w:r>
      <w:r>
        <w:rPr>
          <w:rFonts w:hint="eastAsia" w:ascii="仿宋_GB2312" w:hAnsi="宋体" w:eastAsia="仿宋_GB2312" w:cs="Times New Roman"/>
          <w:b w:val="0"/>
          <w:bCs w:val="0"/>
          <w:kern w:val="2"/>
          <w:sz w:val="32"/>
          <w:szCs w:val="32"/>
          <w:lang w:val="en-US" w:eastAsia="zh-CN" w:bidi="ar-SA"/>
        </w:rPr>
        <w:t xml:space="preserve"> 项目评价申报内容与实际相符，且申报目标合理可行。</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lang w:val="zh-CN"/>
        </w:rPr>
      </w:pPr>
      <w:r>
        <w:rPr>
          <w:rFonts w:hint="eastAsia" w:ascii="仿宋_GB2312" w:hAnsi="宋体" w:eastAsia="仿宋_GB2312"/>
          <w:sz w:val="32"/>
          <w:szCs w:val="32"/>
          <w:lang w:val="zh-CN" w:eastAsia="zh-CN"/>
        </w:rPr>
        <w:t>红原县</w:t>
      </w:r>
      <w:r>
        <w:rPr>
          <w:rFonts w:hint="eastAsia" w:ascii="仿宋_GB2312" w:hAnsi="宋体" w:eastAsia="仿宋_GB2312"/>
          <w:sz w:val="32"/>
          <w:szCs w:val="32"/>
          <w:lang w:val="zh-CN"/>
        </w:rPr>
        <w:t>看守所工作相关经费项目资金申报为</w:t>
      </w:r>
      <w:r>
        <w:rPr>
          <w:rFonts w:hint="eastAsia" w:ascii="仿宋_GB2312" w:hAnsi="宋体" w:eastAsia="仿宋_GB2312"/>
          <w:sz w:val="32"/>
          <w:szCs w:val="32"/>
          <w:lang w:val="en-US" w:eastAsia="zh-CN"/>
        </w:rPr>
        <w:t>20万元，县财政局项目资金批复20万元，无预算调整。</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w:t>
      </w:r>
    </w:p>
    <w:p>
      <w:pPr>
        <w:numPr>
          <w:ilvl w:val="0"/>
          <w:numId w:val="0"/>
        </w:numPr>
        <w:adjustRightInd w:val="0"/>
        <w:snapToGrid w:val="0"/>
        <w:spacing w:line="600" w:lineRule="exact"/>
        <w:ind w:firstLine="640" w:firstLineChars="200"/>
        <w:jc w:val="left"/>
        <w:rPr>
          <w:rFonts w:hint="eastAsia" w:ascii="楷体_GB2312" w:hAnsi="宋体" w:eastAsia="楷体_GB2312"/>
          <w:sz w:val="32"/>
          <w:szCs w:val="32"/>
          <w:lang w:val="zh-CN"/>
        </w:rPr>
      </w:pPr>
      <w:r>
        <w:rPr>
          <w:rFonts w:ascii="楷体_GB2312" w:hAnsi="宋体" w:eastAsia="楷体_GB2312"/>
          <w:sz w:val="32"/>
          <w:szCs w:val="32"/>
          <w:lang w:val="zh-CN"/>
        </w:rPr>
        <w:t>1</w:t>
      </w:r>
      <w:r>
        <w:rPr>
          <w:rFonts w:hint="eastAsia" w:ascii="楷体_GB2312" w:hAnsi="宋体" w:eastAsia="楷体_GB2312"/>
          <w:sz w:val="32"/>
          <w:szCs w:val="32"/>
          <w:lang w:val="zh-CN"/>
        </w:rPr>
        <w:t>．资金计划。</w:t>
      </w:r>
    </w:p>
    <w:p>
      <w:pPr>
        <w:numPr>
          <w:ilvl w:val="0"/>
          <w:numId w:val="0"/>
        </w:numPr>
        <w:adjustRightInd w:val="0"/>
        <w:snapToGrid w:val="0"/>
        <w:spacing w:line="600" w:lineRule="exact"/>
        <w:ind w:firstLine="1280" w:firstLineChars="400"/>
        <w:jc w:val="center"/>
        <w:rPr>
          <w:rFonts w:hint="eastAsia" w:ascii="楷体_GB2312" w:hAnsi="宋体" w:eastAsia="楷体_GB2312"/>
          <w:sz w:val="32"/>
          <w:szCs w:val="32"/>
          <w:lang w:val="zh-CN"/>
        </w:rPr>
      </w:pPr>
      <w:r>
        <w:rPr>
          <w:rFonts w:hint="eastAsia" w:ascii="楷体_GB2312" w:hAnsi="宋体" w:eastAsia="楷体_GB2312"/>
          <w:sz w:val="32"/>
          <w:szCs w:val="32"/>
          <w:lang w:val="zh-CN"/>
        </w:rPr>
        <w:t>资金计划情况表</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1"/>
        <w:gridCol w:w="1687"/>
        <w:gridCol w:w="1557"/>
        <w:gridCol w:w="2287"/>
        <w:gridCol w:w="1406"/>
        <w:gridCol w:w="9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1" w:type="dxa"/>
          </w:tcPr>
          <w:p>
            <w:pPr>
              <w:rPr>
                <w:rFonts w:hint="eastAsia"/>
                <w:vertAlign w:val="baseline"/>
                <w:lang w:val="zh-CN"/>
              </w:rPr>
            </w:pPr>
            <w:r>
              <w:rPr>
                <w:rFonts w:hint="eastAsia"/>
                <w:vertAlign w:val="baseline"/>
                <w:lang w:val="zh-CN"/>
              </w:rPr>
              <w:t>中央财政资金</w:t>
            </w:r>
          </w:p>
        </w:tc>
        <w:tc>
          <w:tcPr>
            <w:tcW w:w="1687" w:type="dxa"/>
          </w:tcPr>
          <w:p>
            <w:pPr>
              <w:rPr>
                <w:rFonts w:hint="eastAsia"/>
                <w:vertAlign w:val="baseline"/>
                <w:lang w:val="zh-CN"/>
              </w:rPr>
            </w:pPr>
            <w:r>
              <w:rPr>
                <w:rFonts w:hint="eastAsia"/>
                <w:vertAlign w:val="baseline"/>
                <w:lang w:val="zh-CN"/>
              </w:rPr>
              <w:t>省级财政资金</w:t>
            </w:r>
          </w:p>
        </w:tc>
        <w:tc>
          <w:tcPr>
            <w:tcW w:w="1557" w:type="dxa"/>
          </w:tcPr>
          <w:p>
            <w:pPr>
              <w:rPr>
                <w:rFonts w:hint="eastAsia"/>
                <w:vertAlign w:val="baseline"/>
                <w:lang w:val="zh-CN"/>
              </w:rPr>
            </w:pPr>
            <w:r>
              <w:rPr>
                <w:rFonts w:hint="eastAsia"/>
                <w:vertAlign w:val="baseline"/>
                <w:lang w:val="zh-CN"/>
              </w:rPr>
              <w:t>市（州）财政资金</w:t>
            </w:r>
          </w:p>
        </w:tc>
        <w:tc>
          <w:tcPr>
            <w:tcW w:w="2287" w:type="dxa"/>
          </w:tcPr>
          <w:p>
            <w:pPr>
              <w:rPr>
                <w:rFonts w:hint="eastAsia"/>
                <w:vertAlign w:val="baseline"/>
                <w:lang w:val="zh-CN"/>
              </w:rPr>
            </w:pPr>
            <w:r>
              <w:rPr>
                <w:rFonts w:hint="eastAsia"/>
                <w:vertAlign w:val="baseline"/>
                <w:lang w:val="zh-CN"/>
              </w:rPr>
              <w:t>县（市、区）财政资金</w:t>
            </w:r>
          </w:p>
        </w:tc>
        <w:tc>
          <w:tcPr>
            <w:tcW w:w="1406" w:type="dxa"/>
          </w:tcPr>
          <w:p>
            <w:pPr>
              <w:rPr>
                <w:rFonts w:hint="eastAsia"/>
                <w:vertAlign w:val="baseline"/>
                <w:lang w:val="zh-CN"/>
              </w:rPr>
            </w:pPr>
            <w:r>
              <w:rPr>
                <w:rFonts w:hint="eastAsia"/>
                <w:vertAlign w:val="baseline"/>
                <w:lang w:val="zh-CN"/>
              </w:rPr>
              <w:t>自筹资金</w:t>
            </w:r>
          </w:p>
        </w:tc>
        <w:tc>
          <w:tcPr>
            <w:tcW w:w="940" w:type="dxa"/>
          </w:tcPr>
          <w:p>
            <w:pPr>
              <w:rPr>
                <w:rFonts w:hint="eastAsia"/>
                <w:vertAlign w:val="baseline"/>
                <w:lang w:val="zh-CN"/>
              </w:rPr>
            </w:pPr>
            <w:r>
              <w:rPr>
                <w:rFonts w:hint="eastAsia"/>
                <w:vertAlign w:val="baseline"/>
                <w:lang w:val="zh-CN"/>
              </w:rPr>
              <w:t>其他渠道资金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1" w:type="dxa"/>
          </w:tcPr>
          <w:p>
            <w:pPr>
              <w:jc w:val="center"/>
              <w:rPr>
                <w:rFonts w:hint="eastAsia" w:eastAsia="宋体"/>
                <w:vertAlign w:val="baseline"/>
                <w:lang w:val="en-US" w:eastAsia="zh-CN"/>
              </w:rPr>
            </w:pPr>
            <w:r>
              <w:rPr>
                <w:rFonts w:hint="eastAsia"/>
                <w:vertAlign w:val="baseline"/>
                <w:lang w:val="en-US" w:eastAsia="zh-CN"/>
              </w:rPr>
              <w:t>0万元</w:t>
            </w:r>
          </w:p>
        </w:tc>
        <w:tc>
          <w:tcPr>
            <w:tcW w:w="1687" w:type="dxa"/>
          </w:tcPr>
          <w:p>
            <w:pPr>
              <w:jc w:val="center"/>
              <w:rPr>
                <w:rFonts w:hint="eastAsia" w:eastAsia="宋体"/>
                <w:vertAlign w:val="baseline"/>
                <w:lang w:val="en-US" w:eastAsia="zh-CN"/>
              </w:rPr>
            </w:pPr>
            <w:r>
              <w:rPr>
                <w:rFonts w:hint="eastAsia"/>
                <w:vertAlign w:val="baseline"/>
                <w:lang w:val="en-US" w:eastAsia="zh-CN"/>
              </w:rPr>
              <w:t>0万元</w:t>
            </w:r>
          </w:p>
        </w:tc>
        <w:tc>
          <w:tcPr>
            <w:tcW w:w="1557" w:type="dxa"/>
          </w:tcPr>
          <w:p>
            <w:pPr>
              <w:jc w:val="center"/>
              <w:rPr>
                <w:rFonts w:hint="eastAsia" w:eastAsia="宋体"/>
                <w:vertAlign w:val="baseline"/>
                <w:lang w:val="en-US" w:eastAsia="zh-CN"/>
              </w:rPr>
            </w:pPr>
            <w:r>
              <w:rPr>
                <w:rFonts w:hint="eastAsia"/>
                <w:vertAlign w:val="baseline"/>
                <w:lang w:val="en-US" w:eastAsia="zh-CN"/>
              </w:rPr>
              <w:t>0万元</w:t>
            </w:r>
          </w:p>
        </w:tc>
        <w:tc>
          <w:tcPr>
            <w:tcW w:w="2287" w:type="dxa"/>
          </w:tcPr>
          <w:p>
            <w:pPr>
              <w:jc w:val="center"/>
              <w:rPr>
                <w:rFonts w:hint="eastAsia" w:eastAsia="宋体"/>
                <w:vertAlign w:val="baseline"/>
                <w:lang w:val="en-US" w:eastAsia="zh-CN"/>
              </w:rPr>
            </w:pPr>
            <w:r>
              <w:rPr>
                <w:rFonts w:hint="eastAsia"/>
                <w:vertAlign w:val="baseline"/>
                <w:lang w:val="en-US" w:eastAsia="zh-CN"/>
              </w:rPr>
              <w:t>20万元</w:t>
            </w:r>
          </w:p>
        </w:tc>
        <w:tc>
          <w:tcPr>
            <w:tcW w:w="1406" w:type="dxa"/>
          </w:tcPr>
          <w:p>
            <w:pPr>
              <w:jc w:val="center"/>
              <w:rPr>
                <w:rFonts w:hint="eastAsia" w:eastAsia="宋体"/>
                <w:vertAlign w:val="baseline"/>
                <w:lang w:val="en-US" w:eastAsia="zh-CN"/>
              </w:rPr>
            </w:pPr>
            <w:r>
              <w:rPr>
                <w:rFonts w:hint="eastAsia"/>
                <w:vertAlign w:val="baseline"/>
                <w:lang w:val="en-US" w:eastAsia="zh-CN"/>
              </w:rPr>
              <w:t>0万元</w:t>
            </w:r>
          </w:p>
        </w:tc>
        <w:tc>
          <w:tcPr>
            <w:tcW w:w="940" w:type="dxa"/>
          </w:tcPr>
          <w:p>
            <w:pPr>
              <w:jc w:val="center"/>
              <w:rPr>
                <w:rFonts w:hint="eastAsia" w:eastAsia="宋体"/>
                <w:vertAlign w:val="baseline"/>
                <w:lang w:val="en-US" w:eastAsia="zh-CN"/>
              </w:rPr>
            </w:pPr>
            <w:r>
              <w:rPr>
                <w:rFonts w:hint="eastAsia"/>
                <w:vertAlign w:val="baseline"/>
                <w:lang w:val="en-US" w:eastAsia="zh-CN"/>
              </w:rPr>
              <w:t>0万元</w:t>
            </w:r>
          </w:p>
        </w:tc>
      </w:tr>
    </w:tbl>
    <w:p>
      <w:pPr>
        <w:rPr>
          <w:lang w:val="zh-CN"/>
        </w:rPr>
      </w:pPr>
    </w:p>
    <w:p>
      <w:pPr>
        <w:numPr>
          <w:ilvl w:val="0"/>
          <w:numId w:val="8"/>
        </w:numPr>
        <w:adjustRightInd w:val="0"/>
        <w:snapToGrid w:val="0"/>
        <w:spacing w:line="600" w:lineRule="exact"/>
        <w:ind w:firstLine="720"/>
        <w:rPr>
          <w:rFonts w:hint="eastAsia"/>
          <w:lang w:val="zh-CN"/>
        </w:rPr>
      </w:pPr>
      <w:r>
        <w:rPr>
          <w:rFonts w:hint="eastAsia" w:ascii="楷体_GB2312" w:hAnsi="宋体" w:eastAsia="楷体_GB2312"/>
          <w:sz w:val="32"/>
          <w:szCs w:val="32"/>
          <w:lang w:val="zh-CN"/>
        </w:rPr>
        <w:t>资金到位。</w:t>
      </w:r>
    </w:p>
    <w:p>
      <w:pPr>
        <w:numPr>
          <w:ilvl w:val="0"/>
          <w:numId w:val="0"/>
        </w:numPr>
        <w:adjustRightInd w:val="0"/>
        <w:snapToGrid w:val="0"/>
        <w:spacing w:line="600" w:lineRule="exact"/>
        <w:ind w:firstLine="1280" w:firstLineChars="400"/>
        <w:jc w:val="center"/>
        <w:rPr>
          <w:rFonts w:hint="eastAsia" w:ascii="楷体_GB2312" w:hAnsi="宋体" w:eastAsia="楷体_GB2312"/>
          <w:sz w:val="32"/>
          <w:szCs w:val="32"/>
          <w:lang w:val="zh-CN"/>
        </w:rPr>
      </w:pPr>
      <w:r>
        <w:rPr>
          <w:rFonts w:hint="eastAsia" w:ascii="楷体_GB2312" w:hAnsi="宋体" w:eastAsia="楷体_GB2312"/>
          <w:sz w:val="32"/>
          <w:szCs w:val="32"/>
          <w:lang w:val="zh-CN"/>
        </w:rPr>
        <w:t>资金到位情况表</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1"/>
        <w:gridCol w:w="1687"/>
        <w:gridCol w:w="1557"/>
        <w:gridCol w:w="2287"/>
        <w:gridCol w:w="1406"/>
        <w:gridCol w:w="9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1" w:type="dxa"/>
          </w:tcPr>
          <w:p>
            <w:pPr>
              <w:rPr>
                <w:rFonts w:hint="eastAsia"/>
                <w:vertAlign w:val="baseline"/>
                <w:lang w:val="zh-CN"/>
              </w:rPr>
            </w:pPr>
            <w:r>
              <w:rPr>
                <w:rFonts w:hint="eastAsia"/>
                <w:vertAlign w:val="baseline"/>
                <w:lang w:val="zh-CN"/>
              </w:rPr>
              <w:t>中央财政资金</w:t>
            </w:r>
          </w:p>
        </w:tc>
        <w:tc>
          <w:tcPr>
            <w:tcW w:w="1687" w:type="dxa"/>
          </w:tcPr>
          <w:p>
            <w:pPr>
              <w:rPr>
                <w:rFonts w:hint="eastAsia"/>
                <w:vertAlign w:val="baseline"/>
                <w:lang w:val="zh-CN"/>
              </w:rPr>
            </w:pPr>
            <w:r>
              <w:rPr>
                <w:rFonts w:hint="eastAsia"/>
                <w:vertAlign w:val="baseline"/>
                <w:lang w:val="zh-CN"/>
              </w:rPr>
              <w:t>省级财政资金</w:t>
            </w:r>
          </w:p>
        </w:tc>
        <w:tc>
          <w:tcPr>
            <w:tcW w:w="1557" w:type="dxa"/>
          </w:tcPr>
          <w:p>
            <w:pPr>
              <w:rPr>
                <w:rFonts w:hint="eastAsia"/>
                <w:vertAlign w:val="baseline"/>
                <w:lang w:val="zh-CN"/>
              </w:rPr>
            </w:pPr>
            <w:r>
              <w:rPr>
                <w:rFonts w:hint="eastAsia"/>
                <w:vertAlign w:val="baseline"/>
                <w:lang w:val="zh-CN"/>
              </w:rPr>
              <w:t>市（州）财政资金</w:t>
            </w:r>
          </w:p>
        </w:tc>
        <w:tc>
          <w:tcPr>
            <w:tcW w:w="2287" w:type="dxa"/>
          </w:tcPr>
          <w:p>
            <w:pPr>
              <w:rPr>
                <w:rFonts w:hint="eastAsia"/>
                <w:vertAlign w:val="baseline"/>
                <w:lang w:val="zh-CN"/>
              </w:rPr>
            </w:pPr>
            <w:r>
              <w:rPr>
                <w:rFonts w:hint="eastAsia"/>
                <w:vertAlign w:val="baseline"/>
                <w:lang w:val="zh-CN"/>
              </w:rPr>
              <w:t>县（市、区）财政资金</w:t>
            </w:r>
          </w:p>
        </w:tc>
        <w:tc>
          <w:tcPr>
            <w:tcW w:w="1406" w:type="dxa"/>
          </w:tcPr>
          <w:p>
            <w:pPr>
              <w:rPr>
                <w:rFonts w:hint="eastAsia"/>
                <w:vertAlign w:val="baseline"/>
                <w:lang w:val="zh-CN"/>
              </w:rPr>
            </w:pPr>
            <w:r>
              <w:rPr>
                <w:rFonts w:hint="eastAsia"/>
                <w:vertAlign w:val="baseline"/>
                <w:lang w:val="zh-CN"/>
              </w:rPr>
              <w:t>自筹资金</w:t>
            </w:r>
          </w:p>
        </w:tc>
        <w:tc>
          <w:tcPr>
            <w:tcW w:w="940" w:type="dxa"/>
          </w:tcPr>
          <w:p>
            <w:pPr>
              <w:rPr>
                <w:rFonts w:hint="eastAsia"/>
                <w:vertAlign w:val="baseline"/>
                <w:lang w:val="zh-CN"/>
              </w:rPr>
            </w:pPr>
            <w:r>
              <w:rPr>
                <w:rFonts w:hint="eastAsia"/>
                <w:vertAlign w:val="baseline"/>
                <w:lang w:val="zh-CN"/>
              </w:rPr>
              <w:t>其他渠道资金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1" w:type="dxa"/>
          </w:tcPr>
          <w:p>
            <w:pPr>
              <w:jc w:val="center"/>
              <w:rPr>
                <w:rFonts w:hint="eastAsia" w:eastAsia="宋体"/>
                <w:vertAlign w:val="baseline"/>
                <w:lang w:val="en-US" w:eastAsia="zh-CN"/>
              </w:rPr>
            </w:pPr>
            <w:r>
              <w:rPr>
                <w:rFonts w:hint="eastAsia"/>
                <w:vertAlign w:val="baseline"/>
                <w:lang w:val="en-US" w:eastAsia="zh-CN"/>
              </w:rPr>
              <w:t>0万元</w:t>
            </w:r>
          </w:p>
        </w:tc>
        <w:tc>
          <w:tcPr>
            <w:tcW w:w="1687" w:type="dxa"/>
          </w:tcPr>
          <w:p>
            <w:pPr>
              <w:jc w:val="center"/>
              <w:rPr>
                <w:rFonts w:hint="eastAsia" w:eastAsia="宋体"/>
                <w:vertAlign w:val="baseline"/>
                <w:lang w:val="en-US" w:eastAsia="zh-CN"/>
              </w:rPr>
            </w:pPr>
            <w:r>
              <w:rPr>
                <w:rFonts w:hint="eastAsia"/>
                <w:vertAlign w:val="baseline"/>
                <w:lang w:val="en-US" w:eastAsia="zh-CN"/>
              </w:rPr>
              <w:t>0万元</w:t>
            </w:r>
          </w:p>
        </w:tc>
        <w:tc>
          <w:tcPr>
            <w:tcW w:w="1557" w:type="dxa"/>
          </w:tcPr>
          <w:p>
            <w:pPr>
              <w:jc w:val="center"/>
              <w:rPr>
                <w:rFonts w:hint="eastAsia" w:eastAsia="宋体"/>
                <w:vertAlign w:val="baseline"/>
                <w:lang w:val="en-US" w:eastAsia="zh-CN"/>
              </w:rPr>
            </w:pPr>
            <w:r>
              <w:rPr>
                <w:rFonts w:hint="eastAsia"/>
                <w:vertAlign w:val="baseline"/>
                <w:lang w:val="en-US" w:eastAsia="zh-CN"/>
              </w:rPr>
              <w:t>0万元</w:t>
            </w:r>
          </w:p>
        </w:tc>
        <w:tc>
          <w:tcPr>
            <w:tcW w:w="2287" w:type="dxa"/>
          </w:tcPr>
          <w:p>
            <w:pPr>
              <w:jc w:val="center"/>
              <w:rPr>
                <w:rFonts w:hint="eastAsia" w:eastAsia="宋体"/>
                <w:vertAlign w:val="baseline"/>
                <w:lang w:val="en-US" w:eastAsia="zh-CN"/>
              </w:rPr>
            </w:pPr>
            <w:r>
              <w:rPr>
                <w:rFonts w:hint="eastAsia"/>
                <w:vertAlign w:val="baseline"/>
                <w:lang w:val="en-US" w:eastAsia="zh-CN"/>
              </w:rPr>
              <w:t>20万元</w:t>
            </w:r>
          </w:p>
        </w:tc>
        <w:tc>
          <w:tcPr>
            <w:tcW w:w="1406" w:type="dxa"/>
          </w:tcPr>
          <w:p>
            <w:pPr>
              <w:jc w:val="center"/>
              <w:rPr>
                <w:rFonts w:hint="eastAsia" w:eastAsia="宋体"/>
                <w:vertAlign w:val="baseline"/>
                <w:lang w:val="en-US" w:eastAsia="zh-CN"/>
              </w:rPr>
            </w:pPr>
            <w:r>
              <w:rPr>
                <w:rFonts w:hint="eastAsia"/>
                <w:vertAlign w:val="baseline"/>
                <w:lang w:val="en-US" w:eastAsia="zh-CN"/>
              </w:rPr>
              <w:t>0万元</w:t>
            </w:r>
          </w:p>
        </w:tc>
        <w:tc>
          <w:tcPr>
            <w:tcW w:w="940" w:type="dxa"/>
          </w:tcPr>
          <w:p>
            <w:pPr>
              <w:jc w:val="center"/>
              <w:rPr>
                <w:rFonts w:hint="eastAsia" w:eastAsia="宋体"/>
                <w:vertAlign w:val="baseline"/>
                <w:lang w:val="en-US" w:eastAsia="zh-CN"/>
              </w:rPr>
            </w:pPr>
            <w:r>
              <w:rPr>
                <w:rFonts w:hint="eastAsia"/>
                <w:vertAlign w:val="baseline"/>
                <w:lang w:val="en-US" w:eastAsia="zh-CN"/>
              </w:rPr>
              <w:t>0万元</w:t>
            </w:r>
          </w:p>
        </w:tc>
      </w:tr>
    </w:tbl>
    <w:p>
      <w:pPr>
        <w:adjustRightInd w:val="0"/>
        <w:snapToGrid w:val="0"/>
        <w:spacing w:line="600" w:lineRule="exact"/>
        <w:ind w:firstLine="720"/>
        <w:rPr>
          <w:rFonts w:hint="default" w:ascii="仿宋_GB2312" w:hAnsi="宋体" w:eastAsia="仿宋_GB2312"/>
          <w:sz w:val="32"/>
          <w:szCs w:val="32"/>
          <w:lang w:val="en-US" w:eastAsia="zh-CN"/>
        </w:rPr>
      </w:pPr>
      <w:r>
        <w:rPr>
          <w:rFonts w:hint="eastAsia" w:ascii="仿宋_GB2312" w:hAnsi="宋体" w:eastAsia="仿宋_GB2312"/>
          <w:sz w:val="32"/>
          <w:szCs w:val="32"/>
          <w:lang w:val="zh-CN"/>
        </w:rPr>
        <w:t>以上为该项目资金到位情况，该项目资金到位率</w:t>
      </w:r>
      <w:r>
        <w:rPr>
          <w:rFonts w:hint="eastAsia" w:ascii="仿宋_GB2312" w:hAnsi="宋体" w:eastAsia="仿宋_GB2312"/>
          <w:sz w:val="32"/>
          <w:szCs w:val="32"/>
          <w:lang w:val="en-US" w:eastAsia="zh-CN"/>
        </w:rPr>
        <w:t>100%，与资金计划对比不存在资金未到位情况。</w:t>
      </w:r>
    </w:p>
    <w:p>
      <w:pPr>
        <w:numPr>
          <w:ilvl w:val="0"/>
          <w:numId w:val="8"/>
        </w:numPr>
        <w:adjustRightInd w:val="0"/>
        <w:snapToGrid w:val="0"/>
        <w:spacing w:line="600" w:lineRule="exact"/>
        <w:ind w:left="0" w:leftChars="0" w:firstLine="720" w:firstLineChars="0"/>
        <w:rPr>
          <w:rFonts w:hint="eastAsia" w:ascii="楷体_GB2312" w:hAnsi="宋体" w:eastAsia="楷体_GB2312"/>
          <w:sz w:val="32"/>
          <w:szCs w:val="32"/>
          <w:lang w:val="zh-CN"/>
        </w:rPr>
      </w:pPr>
      <w:r>
        <w:rPr>
          <w:rFonts w:hint="eastAsia" w:ascii="楷体_GB2312" w:hAnsi="宋体" w:eastAsia="楷体_GB2312"/>
          <w:sz w:val="32"/>
          <w:szCs w:val="32"/>
          <w:lang w:val="zh-CN"/>
        </w:rPr>
        <w:t>资金使用。</w:t>
      </w:r>
    </w:p>
    <w:p>
      <w:pPr>
        <w:numPr>
          <w:ilvl w:val="0"/>
          <w:numId w:val="0"/>
        </w:numPr>
        <w:adjustRightInd w:val="0"/>
        <w:snapToGrid w:val="0"/>
        <w:spacing w:line="600" w:lineRule="exact"/>
        <w:ind w:left="720" w:leftChars="0"/>
        <w:jc w:val="center"/>
        <w:rPr>
          <w:rFonts w:hint="eastAsia" w:ascii="仿宋_GB2312" w:hAnsi="宋体" w:eastAsia="仿宋_GB2312"/>
          <w:sz w:val="32"/>
          <w:szCs w:val="32"/>
          <w:lang w:val="zh-CN"/>
        </w:rPr>
      </w:pPr>
      <w:r>
        <w:rPr>
          <w:rFonts w:hint="eastAsia" w:ascii="仿宋_GB2312" w:hAnsi="宋体" w:eastAsia="仿宋_GB2312"/>
          <w:sz w:val="32"/>
          <w:szCs w:val="32"/>
          <w:lang w:val="zh-CN"/>
        </w:rPr>
        <w:t>资金使用情况表</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1"/>
        <w:gridCol w:w="1687"/>
        <w:gridCol w:w="1557"/>
        <w:gridCol w:w="2287"/>
        <w:gridCol w:w="1406"/>
        <w:gridCol w:w="9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1" w:type="dxa"/>
          </w:tcPr>
          <w:p>
            <w:pPr>
              <w:rPr>
                <w:rFonts w:hint="eastAsia"/>
                <w:vertAlign w:val="baseline"/>
                <w:lang w:val="zh-CN"/>
              </w:rPr>
            </w:pPr>
            <w:r>
              <w:rPr>
                <w:rFonts w:hint="eastAsia"/>
                <w:vertAlign w:val="baseline"/>
                <w:lang w:val="zh-CN"/>
              </w:rPr>
              <w:t>中央财政资金</w:t>
            </w:r>
          </w:p>
        </w:tc>
        <w:tc>
          <w:tcPr>
            <w:tcW w:w="1687" w:type="dxa"/>
          </w:tcPr>
          <w:p>
            <w:pPr>
              <w:rPr>
                <w:rFonts w:hint="eastAsia"/>
                <w:vertAlign w:val="baseline"/>
                <w:lang w:val="zh-CN"/>
              </w:rPr>
            </w:pPr>
            <w:r>
              <w:rPr>
                <w:rFonts w:hint="eastAsia"/>
                <w:vertAlign w:val="baseline"/>
                <w:lang w:val="zh-CN"/>
              </w:rPr>
              <w:t>省级财政资金</w:t>
            </w:r>
          </w:p>
        </w:tc>
        <w:tc>
          <w:tcPr>
            <w:tcW w:w="1557" w:type="dxa"/>
          </w:tcPr>
          <w:p>
            <w:pPr>
              <w:rPr>
                <w:rFonts w:hint="eastAsia"/>
                <w:vertAlign w:val="baseline"/>
                <w:lang w:val="zh-CN"/>
              </w:rPr>
            </w:pPr>
            <w:r>
              <w:rPr>
                <w:rFonts w:hint="eastAsia"/>
                <w:vertAlign w:val="baseline"/>
                <w:lang w:val="zh-CN"/>
              </w:rPr>
              <w:t>市（州）财政资金</w:t>
            </w:r>
          </w:p>
        </w:tc>
        <w:tc>
          <w:tcPr>
            <w:tcW w:w="2287" w:type="dxa"/>
          </w:tcPr>
          <w:p>
            <w:pPr>
              <w:rPr>
                <w:rFonts w:hint="eastAsia"/>
                <w:vertAlign w:val="baseline"/>
                <w:lang w:val="zh-CN"/>
              </w:rPr>
            </w:pPr>
            <w:r>
              <w:rPr>
                <w:rFonts w:hint="eastAsia"/>
                <w:vertAlign w:val="baseline"/>
                <w:lang w:val="zh-CN"/>
              </w:rPr>
              <w:t>县（市、区）财政资金</w:t>
            </w:r>
          </w:p>
        </w:tc>
        <w:tc>
          <w:tcPr>
            <w:tcW w:w="1406" w:type="dxa"/>
          </w:tcPr>
          <w:p>
            <w:pPr>
              <w:rPr>
                <w:rFonts w:hint="eastAsia"/>
                <w:vertAlign w:val="baseline"/>
                <w:lang w:val="zh-CN"/>
              </w:rPr>
            </w:pPr>
            <w:r>
              <w:rPr>
                <w:rFonts w:hint="eastAsia"/>
                <w:vertAlign w:val="baseline"/>
                <w:lang w:val="zh-CN"/>
              </w:rPr>
              <w:t>自筹资金</w:t>
            </w:r>
          </w:p>
        </w:tc>
        <w:tc>
          <w:tcPr>
            <w:tcW w:w="940" w:type="dxa"/>
          </w:tcPr>
          <w:p>
            <w:pPr>
              <w:rPr>
                <w:rFonts w:hint="eastAsia"/>
                <w:vertAlign w:val="baseline"/>
                <w:lang w:val="zh-CN"/>
              </w:rPr>
            </w:pPr>
            <w:r>
              <w:rPr>
                <w:rFonts w:hint="eastAsia"/>
                <w:vertAlign w:val="baseline"/>
                <w:lang w:val="zh-CN"/>
              </w:rPr>
              <w:t>其他渠道资金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1" w:type="dxa"/>
          </w:tcPr>
          <w:p>
            <w:pPr>
              <w:jc w:val="center"/>
              <w:rPr>
                <w:rFonts w:hint="eastAsia" w:eastAsia="宋体"/>
                <w:vertAlign w:val="baseline"/>
                <w:lang w:val="en-US" w:eastAsia="zh-CN"/>
              </w:rPr>
            </w:pPr>
            <w:r>
              <w:rPr>
                <w:rFonts w:hint="eastAsia"/>
                <w:vertAlign w:val="baseline"/>
                <w:lang w:val="en-US" w:eastAsia="zh-CN"/>
              </w:rPr>
              <w:t>0万元</w:t>
            </w:r>
          </w:p>
        </w:tc>
        <w:tc>
          <w:tcPr>
            <w:tcW w:w="1687" w:type="dxa"/>
          </w:tcPr>
          <w:p>
            <w:pPr>
              <w:jc w:val="center"/>
              <w:rPr>
                <w:rFonts w:hint="eastAsia" w:eastAsia="宋体"/>
                <w:vertAlign w:val="baseline"/>
                <w:lang w:val="en-US" w:eastAsia="zh-CN"/>
              </w:rPr>
            </w:pPr>
            <w:r>
              <w:rPr>
                <w:rFonts w:hint="eastAsia"/>
                <w:vertAlign w:val="baseline"/>
                <w:lang w:val="en-US" w:eastAsia="zh-CN"/>
              </w:rPr>
              <w:t>0万元</w:t>
            </w:r>
          </w:p>
        </w:tc>
        <w:tc>
          <w:tcPr>
            <w:tcW w:w="1557" w:type="dxa"/>
          </w:tcPr>
          <w:p>
            <w:pPr>
              <w:jc w:val="center"/>
              <w:rPr>
                <w:rFonts w:hint="eastAsia" w:eastAsia="宋体"/>
                <w:vertAlign w:val="baseline"/>
                <w:lang w:val="en-US" w:eastAsia="zh-CN"/>
              </w:rPr>
            </w:pPr>
            <w:r>
              <w:rPr>
                <w:rFonts w:hint="eastAsia"/>
                <w:vertAlign w:val="baseline"/>
                <w:lang w:val="en-US" w:eastAsia="zh-CN"/>
              </w:rPr>
              <w:t>0万元</w:t>
            </w:r>
          </w:p>
        </w:tc>
        <w:tc>
          <w:tcPr>
            <w:tcW w:w="2287" w:type="dxa"/>
          </w:tcPr>
          <w:p>
            <w:pPr>
              <w:jc w:val="center"/>
              <w:rPr>
                <w:rFonts w:hint="eastAsia" w:eastAsia="宋体"/>
                <w:vertAlign w:val="baseline"/>
                <w:lang w:val="en-US" w:eastAsia="zh-CN"/>
              </w:rPr>
            </w:pPr>
            <w:r>
              <w:rPr>
                <w:rFonts w:hint="eastAsia"/>
                <w:vertAlign w:val="baseline"/>
                <w:lang w:val="en-US" w:eastAsia="zh-CN"/>
              </w:rPr>
              <w:t>20万元</w:t>
            </w:r>
          </w:p>
        </w:tc>
        <w:tc>
          <w:tcPr>
            <w:tcW w:w="1406" w:type="dxa"/>
          </w:tcPr>
          <w:p>
            <w:pPr>
              <w:jc w:val="center"/>
              <w:rPr>
                <w:rFonts w:hint="eastAsia" w:eastAsia="宋体"/>
                <w:vertAlign w:val="baseline"/>
                <w:lang w:val="en-US" w:eastAsia="zh-CN"/>
              </w:rPr>
            </w:pPr>
            <w:r>
              <w:rPr>
                <w:rFonts w:hint="eastAsia"/>
                <w:vertAlign w:val="baseline"/>
                <w:lang w:val="en-US" w:eastAsia="zh-CN"/>
              </w:rPr>
              <w:t>0万元</w:t>
            </w:r>
          </w:p>
        </w:tc>
        <w:tc>
          <w:tcPr>
            <w:tcW w:w="940" w:type="dxa"/>
          </w:tcPr>
          <w:p>
            <w:pPr>
              <w:jc w:val="center"/>
              <w:rPr>
                <w:rFonts w:hint="eastAsia" w:eastAsia="宋体"/>
                <w:vertAlign w:val="baseline"/>
                <w:lang w:val="en-US" w:eastAsia="zh-CN"/>
              </w:rPr>
            </w:pPr>
            <w:r>
              <w:rPr>
                <w:rFonts w:hint="eastAsia"/>
                <w:vertAlign w:val="baseline"/>
                <w:lang w:val="en-US" w:eastAsia="zh-CN"/>
              </w:rPr>
              <w:t>0万元</w:t>
            </w:r>
          </w:p>
        </w:tc>
      </w:tr>
    </w:tbl>
    <w:p>
      <w:pPr>
        <w:adjustRightInd w:val="0"/>
        <w:snapToGrid w:val="0"/>
        <w:spacing w:line="600" w:lineRule="exact"/>
        <w:ind w:firstLine="720"/>
        <w:rPr>
          <w:rFonts w:hint="default" w:ascii="仿宋_GB2312" w:hAnsi="宋体" w:eastAsia="仿宋_GB2312"/>
          <w:sz w:val="32"/>
          <w:szCs w:val="32"/>
          <w:lang w:val="en-US" w:eastAsia="zh-CN"/>
        </w:rPr>
      </w:pPr>
      <w:r>
        <w:rPr>
          <w:rFonts w:hint="eastAsia" w:ascii="仿宋_GB2312" w:hAnsi="宋体" w:eastAsia="仿宋_GB2312"/>
          <w:sz w:val="32"/>
          <w:szCs w:val="32"/>
          <w:lang w:val="zh-CN" w:eastAsia="zh-CN"/>
        </w:rPr>
        <w:t>该项目资金在支出时，我局严格按照项目审批流程，严格把控审批过程中存在的风险。按照《看守所经费开支范围和管理办法的规定》支出项目资金，做到专款专用，截止</w:t>
      </w:r>
      <w:r>
        <w:rPr>
          <w:rFonts w:hint="eastAsia" w:ascii="仿宋_GB2312" w:hAnsi="宋体" w:eastAsia="仿宋_GB2312"/>
          <w:sz w:val="32"/>
          <w:szCs w:val="32"/>
          <w:lang w:val="en-US" w:eastAsia="zh-CN"/>
        </w:rPr>
        <w:t>2020年12月31日我单位项目资金支付进度为100%，支付依据合法合规，与预算相符，并未在自评过程中发现任何问题。</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我单位财务管理制度健全，在支出过程中严格按照财务管理制度规定，基本做到财务处理及时，会计核算规范。</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lang w:eastAsia="zh-CN"/>
        </w:rPr>
        <w:t>三</w:t>
      </w:r>
      <w:r>
        <w:rPr>
          <w:rFonts w:hint="eastAsia" w:ascii="黑体" w:hAnsi="宋体" w:eastAsia="黑体"/>
          <w:sz w:val="32"/>
          <w:szCs w:val="32"/>
        </w:rPr>
        <w:t>、评价结论及建议</w:t>
      </w:r>
    </w:p>
    <w:p>
      <w:pPr>
        <w:keepNext w:val="0"/>
        <w:keepLines w:val="0"/>
        <w:pageBreakBefore w:val="0"/>
        <w:widowControl/>
        <w:kinsoku/>
        <w:wordWrap/>
        <w:overflowPunct/>
        <w:topLinePunct w:val="0"/>
        <w:autoSpaceDE/>
        <w:autoSpaceDN/>
        <w:bidi w:val="0"/>
        <w:adjustRightInd/>
        <w:snapToGrid/>
        <w:ind w:firstLine="640" w:firstLineChars="200"/>
        <w:jc w:val="left"/>
        <w:textAlignment w:val="center"/>
        <w:rPr>
          <w:rFonts w:hint="eastAsia" w:ascii="仿宋_GB2312" w:hAnsi="宋体" w:eastAsia="仿宋_GB2312"/>
          <w:sz w:val="32"/>
          <w:szCs w:val="32"/>
          <w:lang w:val="zh-CN"/>
        </w:rPr>
      </w:pPr>
      <w:r>
        <w:rPr>
          <w:rFonts w:hint="eastAsia" w:ascii="仿宋_GB2312" w:hAnsi="宋体" w:eastAsia="仿宋_GB2312"/>
          <w:sz w:val="32"/>
          <w:szCs w:val="32"/>
          <w:lang w:val="zh-CN"/>
        </w:rPr>
        <w:t>项目总评评价良好，基本做到根据看守所工作实际需要，保障在押人员生活，进一步改善在押人员的改造环境，保障监狱的安全持续稳定。</w:t>
      </w:r>
    </w:p>
    <w:p>
      <w:pPr>
        <w:spacing w:line="580" w:lineRule="exact"/>
        <w:ind w:firstLine="640"/>
        <w:rPr>
          <w:rFonts w:ascii="仿宋_GB2312" w:hAnsi="仿宋_GB2312" w:eastAsia="仿宋_GB2312" w:cs="仿宋_GB2312"/>
          <w:sz w:val="32"/>
          <w:szCs w:val="32"/>
        </w:rPr>
      </w:pPr>
    </w:p>
    <w:p>
      <w:pPr>
        <w:widowControl/>
        <w:jc w:val="left"/>
        <w:rPr>
          <w:rStyle w:val="24"/>
          <w:rFonts w:ascii="黑体" w:hAnsi="黑体" w:eastAsia="黑体"/>
          <w:b w:val="0"/>
        </w:rPr>
      </w:pPr>
    </w:p>
    <w:p>
      <w:pPr>
        <w:widowControl/>
        <w:jc w:val="left"/>
        <w:rPr>
          <w:rStyle w:val="24"/>
          <w:rFonts w:ascii="黑体" w:hAnsi="黑体" w:eastAsia="黑体"/>
          <w:b w:val="0"/>
        </w:rPr>
      </w:pPr>
      <w:r>
        <w:rPr>
          <w:rStyle w:val="24"/>
          <w:rFonts w:ascii="黑体" w:hAnsi="黑体" w:eastAsia="黑体"/>
          <w:b w:val="0"/>
        </w:rPr>
        <w:br w:type="page"/>
      </w:r>
    </w:p>
    <w:p>
      <w:pPr>
        <w:spacing w:line="600" w:lineRule="exact"/>
        <w:jc w:val="center"/>
        <w:outlineLvl w:val="0"/>
        <w:rPr>
          <w:rStyle w:val="24"/>
          <w:rFonts w:ascii="黑体" w:hAnsi="黑体" w:eastAsia="黑体"/>
          <w:b w:val="0"/>
        </w:rPr>
      </w:pPr>
      <w:bookmarkStart w:id="115" w:name="_Toc15396618"/>
      <w:bookmarkStart w:id="116" w:name="_Toc79163635"/>
      <w:bookmarkStart w:id="117" w:name="_Toc822"/>
      <w:r>
        <w:rPr>
          <w:rFonts w:hint="eastAsia" w:ascii="黑体" w:hAnsi="黑体" w:eastAsia="黑体"/>
          <w:color w:val="000000"/>
          <w:sz w:val="44"/>
          <w:szCs w:val="44"/>
        </w:rPr>
        <w:t>第</w:t>
      </w:r>
      <w:r>
        <w:rPr>
          <w:rStyle w:val="24"/>
          <w:rFonts w:hint="eastAsia" w:ascii="黑体" w:hAnsi="黑体" w:eastAsia="黑体"/>
          <w:b w:val="0"/>
        </w:rPr>
        <w:t>五部分</w:t>
      </w:r>
      <w:r>
        <w:rPr>
          <w:rStyle w:val="24"/>
          <w:rFonts w:ascii="黑体" w:hAnsi="黑体" w:eastAsia="黑体"/>
          <w:b w:val="0"/>
        </w:rPr>
        <w:t xml:space="preserve"> </w:t>
      </w:r>
      <w:r>
        <w:rPr>
          <w:rStyle w:val="24"/>
          <w:rFonts w:hint="eastAsia" w:ascii="黑体" w:hAnsi="黑体" w:eastAsia="黑体"/>
          <w:b w:val="0"/>
        </w:rPr>
        <w:t>附表</w:t>
      </w:r>
      <w:bookmarkEnd w:id="105"/>
      <w:bookmarkEnd w:id="115"/>
      <w:bookmarkEnd w:id="116"/>
      <w:bookmarkEnd w:id="117"/>
    </w:p>
    <w:p>
      <w:pPr>
        <w:pStyle w:val="2"/>
        <w:rPr>
          <w:rFonts w:ascii="仿宋" w:hAnsi="仿宋" w:eastAsia="仿宋"/>
          <w:color w:val="000000"/>
        </w:rPr>
      </w:pPr>
      <w:bookmarkStart w:id="118" w:name="_Toc15396619"/>
      <w:bookmarkStart w:id="119" w:name="_Toc79163636"/>
      <w:bookmarkStart w:id="120" w:name="_Toc5816"/>
      <w:r>
        <w:rPr>
          <w:rFonts w:hint="eastAsia" w:ascii="仿宋" w:hAnsi="仿宋" w:eastAsia="仿宋"/>
          <w:b w:val="0"/>
          <w:color w:val="000000"/>
        </w:rPr>
        <w:t>一、收</w:t>
      </w:r>
      <w:r>
        <w:rPr>
          <w:rStyle w:val="25"/>
          <w:rFonts w:hint="eastAsia" w:ascii="仿宋" w:hAnsi="仿宋" w:eastAsia="仿宋"/>
          <w:b w:val="0"/>
          <w:bCs w:val="0"/>
        </w:rPr>
        <w:t>入支出决算总表</w:t>
      </w:r>
      <w:bookmarkEnd w:id="118"/>
      <w:bookmarkEnd w:id="119"/>
      <w:bookmarkEnd w:id="120"/>
    </w:p>
    <w:p>
      <w:pPr>
        <w:pStyle w:val="2"/>
        <w:rPr>
          <w:rFonts w:ascii="仿宋" w:hAnsi="仿宋" w:eastAsia="仿宋"/>
          <w:color w:val="000000"/>
        </w:rPr>
      </w:pPr>
      <w:bookmarkStart w:id="121" w:name="_Toc2894"/>
      <w:bookmarkStart w:id="122" w:name="_Toc15396620"/>
      <w:bookmarkStart w:id="123" w:name="_Toc79163637"/>
      <w:r>
        <w:rPr>
          <w:rFonts w:hint="eastAsia" w:ascii="仿宋" w:hAnsi="仿宋" w:eastAsia="仿宋"/>
          <w:b w:val="0"/>
          <w:color w:val="000000"/>
        </w:rPr>
        <w:t>二、收</w:t>
      </w:r>
      <w:r>
        <w:rPr>
          <w:rStyle w:val="25"/>
          <w:rFonts w:hint="eastAsia" w:ascii="仿宋" w:hAnsi="仿宋" w:eastAsia="仿宋"/>
          <w:b w:val="0"/>
          <w:bCs w:val="0"/>
        </w:rPr>
        <w:t>入决算表</w:t>
      </w:r>
      <w:bookmarkEnd w:id="121"/>
      <w:bookmarkEnd w:id="122"/>
      <w:bookmarkEnd w:id="123"/>
    </w:p>
    <w:p>
      <w:pPr>
        <w:pStyle w:val="2"/>
        <w:rPr>
          <w:rFonts w:ascii="仿宋" w:hAnsi="仿宋" w:eastAsia="仿宋"/>
          <w:color w:val="000000"/>
        </w:rPr>
      </w:pPr>
      <w:bookmarkStart w:id="124" w:name="_Toc79163638"/>
      <w:bookmarkStart w:id="125" w:name="_Toc17513"/>
      <w:bookmarkStart w:id="126" w:name="_Toc15396621"/>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出决算表</w:t>
      </w:r>
      <w:bookmarkEnd w:id="124"/>
      <w:bookmarkEnd w:id="125"/>
      <w:bookmarkEnd w:id="126"/>
    </w:p>
    <w:p>
      <w:pPr>
        <w:pStyle w:val="2"/>
        <w:rPr>
          <w:rFonts w:ascii="仿宋" w:hAnsi="仿宋" w:eastAsia="仿宋"/>
          <w:b w:val="0"/>
          <w:color w:val="000000"/>
        </w:rPr>
      </w:pPr>
      <w:bookmarkStart w:id="127" w:name="_Toc79163639"/>
      <w:bookmarkStart w:id="128" w:name="_Toc10223"/>
      <w:bookmarkStart w:id="129" w:name="_Toc15396622"/>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127"/>
      <w:bookmarkEnd w:id="128"/>
      <w:bookmarkEnd w:id="129"/>
    </w:p>
    <w:p>
      <w:pPr>
        <w:pStyle w:val="2"/>
        <w:rPr>
          <w:rStyle w:val="25"/>
          <w:rFonts w:ascii="仿宋" w:hAnsi="仿宋" w:eastAsia="仿宋"/>
          <w:b w:val="0"/>
          <w:bCs w:val="0"/>
        </w:rPr>
      </w:pPr>
      <w:bookmarkStart w:id="130" w:name="_Toc5772"/>
      <w:bookmarkStart w:id="131" w:name="_Toc79163640"/>
      <w:bookmarkStart w:id="132" w:name="_Toc15396623"/>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w:t>
      </w:r>
      <w:bookmarkEnd w:id="130"/>
      <w:bookmarkEnd w:id="131"/>
      <w:bookmarkEnd w:id="132"/>
      <w:bookmarkStart w:id="133" w:name="_Toc15396624"/>
    </w:p>
    <w:p>
      <w:pPr>
        <w:pStyle w:val="2"/>
        <w:rPr>
          <w:rFonts w:ascii="仿宋" w:hAnsi="仿宋" w:eastAsia="仿宋"/>
          <w:color w:val="000000"/>
        </w:rPr>
      </w:pPr>
      <w:bookmarkStart w:id="134" w:name="_Toc28185"/>
      <w:bookmarkStart w:id="135" w:name="_Toc79163641"/>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133"/>
      <w:bookmarkEnd w:id="134"/>
      <w:bookmarkEnd w:id="135"/>
    </w:p>
    <w:p>
      <w:pPr>
        <w:pStyle w:val="2"/>
        <w:rPr>
          <w:rFonts w:ascii="仿宋" w:hAnsi="仿宋" w:eastAsia="仿宋"/>
          <w:color w:val="000000"/>
        </w:rPr>
      </w:pPr>
      <w:bookmarkStart w:id="136" w:name="_Toc28792"/>
      <w:bookmarkStart w:id="137" w:name="_Toc79163642"/>
      <w:bookmarkStart w:id="138" w:name="_Toc15396625"/>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136"/>
      <w:bookmarkEnd w:id="137"/>
      <w:bookmarkEnd w:id="138"/>
    </w:p>
    <w:p>
      <w:pPr>
        <w:pStyle w:val="2"/>
        <w:rPr>
          <w:rFonts w:ascii="仿宋" w:hAnsi="仿宋" w:eastAsia="仿宋"/>
          <w:color w:val="000000"/>
        </w:rPr>
      </w:pPr>
      <w:bookmarkStart w:id="139" w:name="_Toc15396626"/>
      <w:bookmarkStart w:id="140" w:name="_Toc79163643"/>
      <w:bookmarkStart w:id="141" w:name="_Toc13496"/>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139"/>
      <w:bookmarkEnd w:id="140"/>
      <w:bookmarkEnd w:id="141"/>
    </w:p>
    <w:p>
      <w:pPr>
        <w:pStyle w:val="2"/>
        <w:rPr>
          <w:rFonts w:ascii="仿宋" w:hAnsi="仿宋" w:eastAsia="仿宋"/>
          <w:color w:val="000000"/>
        </w:rPr>
      </w:pPr>
      <w:bookmarkStart w:id="142" w:name="_Toc15396627"/>
      <w:bookmarkStart w:id="143" w:name="_Toc79163644"/>
      <w:bookmarkStart w:id="144" w:name="_Toc4757"/>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142"/>
      <w:bookmarkEnd w:id="143"/>
      <w:bookmarkEnd w:id="144"/>
    </w:p>
    <w:p>
      <w:pPr>
        <w:pStyle w:val="2"/>
        <w:rPr>
          <w:rFonts w:ascii="仿宋" w:hAnsi="仿宋" w:eastAsia="仿宋"/>
          <w:color w:val="000000"/>
        </w:rPr>
      </w:pPr>
      <w:bookmarkStart w:id="145" w:name="_Toc15396628"/>
      <w:bookmarkStart w:id="146" w:name="_Toc79163645"/>
      <w:bookmarkStart w:id="147" w:name="_Toc4884"/>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145"/>
      <w:bookmarkEnd w:id="146"/>
      <w:bookmarkEnd w:id="147"/>
    </w:p>
    <w:p>
      <w:pPr>
        <w:pStyle w:val="2"/>
        <w:rPr>
          <w:rFonts w:ascii="仿宋" w:hAnsi="仿宋" w:eastAsia="仿宋"/>
          <w:color w:val="000000"/>
        </w:rPr>
      </w:pPr>
      <w:bookmarkStart w:id="148" w:name="_Toc15396629"/>
      <w:bookmarkStart w:id="149" w:name="_Toc79163646"/>
      <w:bookmarkStart w:id="150" w:name="_Toc13698"/>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148"/>
      <w:bookmarkEnd w:id="149"/>
      <w:bookmarkEnd w:id="150"/>
    </w:p>
    <w:p>
      <w:pPr>
        <w:pStyle w:val="2"/>
        <w:rPr>
          <w:rFonts w:ascii="仿宋" w:hAnsi="仿宋" w:eastAsia="仿宋"/>
          <w:color w:val="000000"/>
        </w:rPr>
      </w:pPr>
      <w:bookmarkStart w:id="151" w:name="_Toc19431"/>
      <w:bookmarkStart w:id="152" w:name="_Toc79163647"/>
      <w:bookmarkStart w:id="153" w:name="_Toc15396630"/>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151"/>
      <w:bookmarkEnd w:id="152"/>
      <w:bookmarkEnd w:id="153"/>
    </w:p>
    <w:p>
      <w:pPr>
        <w:pStyle w:val="2"/>
        <w:rPr>
          <w:rStyle w:val="25"/>
          <w:rFonts w:ascii="仿宋" w:hAnsi="仿宋" w:eastAsia="仿宋"/>
          <w:b w:val="0"/>
          <w:bCs w:val="0"/>
        </w:rPr>
      </w:pPr>
      <w:bookmarkStart w:id="154" w:name="_Toc15396631"/>
      <w:bookmarkStart w:id="155" w:name="_Toc79163648"/>
      <w:bookmarkStart w:id="156" w:name="_Toc4960"/>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有资本经营预算财政拨款支出决算表</w:t>
      </w:r>
      <w:bookmarkEnd w:id="154"/>
      <w:bookmarkEnd w:id="155"/>
      <w:bookmarkEnd w:id="156"/>
    </w:p>
    <w:p>
      <w:pPr>
        <w:pStyle w:val="2"/>
        <w:rPr>
          <w:rStyle w:val="25"/>
          <w:rFonts w:ascii="仿宋" w:hAnsi="仿宋" w:eastAsia="仿宋"/>
          <w:b w:val="0"/>
          <w:bCs w:val="0"/>
        </w:rPr>
      </w:pPr>
      <w:bookmarkStart w:id="157" w:name="_Toc20972"/>
      <w:bookmarkStart w:id="158" w:name="_Toc79163649"/>
      <w:r>
        <w:rPr>
          <w:rStyle w:val="25"/>
          <w:rFonts w:hint="eastAsia" w:ascii="仿宋" w:hAnsi="仿宋" w:eastAsia="仿宋"/>
          <w:b w:val="0"/>
          <w:bCs w:val="0"/>
        </w:rPr>
        <w:t>十四、国有资本经营预算财政拨款支出决算表</w:t>
      </w:r>
      <w:bookmarkEnd w:id="157"/>
      <w:bookmarkEnd w:id="158"/>
    </w:p>
    <w:sectPr>
      <w:headerReference r:id="rId3" w:type="default"/>
      <w:footerReference r:id="rId4" w:type="default"/>
      <w:pgSz w:w="11906" w:h="16838"/>
      <w:pgMar w:top="1440" w:right="1587" w:bottom="1440" w:left="1587"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PAGE   \* MERGEFORMAT</w:instrText>
    </w:r>
    <w:r>
      <w:fldChar w:fldCharType="separate"/>
    </w:r>
    <w:r>
      <w:rPr>
        <w:lang w:val="zh-CN"/>
      </w:rPr>
      <w:t>3</w:t>
    </w:r>
    <w:r>
      <w:fldChar w:fldCharType="end"/>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DFEB04"/>
    <w:multiLevelType w:val="singleLevel"/>
    <w:tmpl w:val="A1DFEB04"/>
    <w:lvl w:ilvl="0" w:tentative="0">
      <w:start w:val="2"/>
      <w:numFmt w:val="chineseCounting"/>
      <w:suff w:val="nothing"/>
      <w:lvlText w:val="（%1）"/>
      <w:lvlJc w:val="left"/>
      <w:rPr>
        <w:rFonts w:hint="eastAsia"/>
      </w:rPr>
    </w:lvl>
  </w:abstractNum>
  <w:abstractNum w:abstractNumId="1">
    <w:nsid w:val="BABE474B"/>
    <w:multiLevelType w:val="singleLevel"/>
    <w:tmpl w:val="BABE474B"/>
    <w:lvl w:ilvl="0" w:tentative="0">
      <w:start w:val="2"/>
      <w:numFmt w:val="decimal"/>
      <w:suff w:val="nothing"/>
      <w:lvlText w:val="%1．"/>
      <w:lvlJc w:val="left"/>
    </w:lvl>
  </w:abstractNum>
  <w:abstractNum w:abstractNumId="2">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3">
    <w:nsid w:val="E2409C4B"/>
    <w:multiLevelType w:val="singleLevel"/>
    <w:tmpl w:val="E2409C4B"/>
    <w:lvl w:ilvl="0" w:tentative="0">
      <w:start w:val="2"/>
      <w:numFmt w:val="chineseCounting"/>
      <w:suff w:val="nothing"/>
      <w:lvlText w:val="（%1）"/>
      <w:lvlJc w:val="left"/>
      <w:rPr>
        <w:rFonts w:hint="eastAsia"/>
      </w:rPr>
    </w:lvl>
  </w:abstractNum>
  <w:abstractNum w:abstractNumId="4">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5">
    <w:nsid w:val="0F97F904"/>
    <w:multiLevelType w:val="singleLevel"/>
    <w:tmpl w:val="0F97F904"/>
    <w:lvl w:ilvl="0" w:tentative="0">
      <w:start w:val="2"/>
      <w:numFmt w:val="decimal"/>
      <w:suff w:val="nothing"/>
      <w:lvlText w:val="%1．"/>
      <w:lvlJc w:val="left"/>
    </w:lvl>
  </w:abstractNum>
  <w:abstractNum w:abstractNumId="6">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7">
    <w:nsid w:val="34A9014C"/>
    <w:multiLevelType w:val="singleLevel"/>
    <w:tmpl w:val="34A9014C"/>
    <w:lvl w:ilvl="0" w:tentative="0">
      <w:start w:val="1"/>
      <w:numFmt w:val="decimal"/>
      <w:lvlText w:val="%1."/>
      <w:lvlJc w:val="left"/>
      <w:pPr>
        <w:tabs>
          <w:tab w:val="left" w:pos="312"/>
        </w:tabs>
      </w:pPr>
    </w:lvl>
  </w:abstractNum>
  <w:num w:numId="1">
    <w:abstractNumId w:val="6"/>
  </w:num>
  <w:num w:numId="2">
    <w:abstractNumId w:val="2"/>
  </w:num>
  <w:num w:numId="3">
    <w:abstractNumId w:val="7"/>
  </w:num>
  <w:num w:numId="4">
    <w:abstractNumId w:val="4"/>
  </w:num>
  <w:num w:numId="5">
    <w:abstractNumId w:val="0"/>
  </w:num>
  <w:num w:numId="6">
    <w:abstractNumId w:val="3"/>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61C"/>
    <w:rsid w:val="000222C6"/>
    <w:rsid w:val="0002549F"/>
    <w:rsid w:val="000468DB"/>
    <w:rsid w:val="0006487A"/>
    <w:rsid w:val="00065F8F"/>
    <w:rsid w:val="00070A43"/>
    <w:rsid w:val="000768F2"/>
    <w:rsid w:val="00086556"/>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B2FF7"/>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420CD"/>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C4D72"/>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2865"/>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74987"/>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67211"/>
    <w:rsid w:val="00F754A1"/>
    <w:rsid w:val="00F81FD9"/>
    <w:rsid w:val="00F841AA"/>
    <w:rsid w:val="00F84A94"/>
    <w:rsid w:val="00F87E96"/>
    <w:rsid w:val="00F90312"/>
    <w:rsid w:val="00FA23E8"/>
    <w:rsid w:val="00FD3CC1"/>
    <w:rsid w:val="00FF1E02"/>
    <w:rsid w:val="00FF30B4"/>
    <w:rsid w:val="011F689B"/>
    <w:rsid w:val="012544EA"/>
    <w:rsid w:val="01710178"/>
    <w:rsid w:val="0269402E"/>
    <w:rsid w:val="02EB6C0A"/>
    <w:rsid w:val="03113A59"/>
    <w:rsid w:val="03A579E8"/>
    <w:rsid w:val="03D43721"/>
    <w:rsid w:val="03ED434C"/>
    <w:rsid w:val="04165EA6"/>
    <w:rsid w:val="04D815DC"/>
    <w:rsid w:val="053802DC"/>
    <w:rsid w:val="05C86AEB"/>
    <w:rsid w:val="063C3EC8"/>
    <w:rsid w:val="063F44C8"/>
    <w:rsid w:val="0673248D"/>
    <w:rsid w:val="069B658D"/>
    <w:rsid w:val="06A90ED8"/>
    <w:rsid w:val="07172A3F"/>
    <w:rsid w:val="073C2083"/>
    <w:rsid w:val="074224A8"/>
    <w:rsid w:val="07BD5F43"/>
    <w:rsid w:val="07EC652F"/>
    <w:rsid w:val="0824168B"/>
    <w:rsid w:val="08482389"/>
    <w:rsid w:val="085E7ABA"/>
    <w:rsid w:val="086330BE"/>
    <w:rsid w:val="088F5614"/>
    <w:rsid w:val="089F11D9"/>
    <w:rsid w:val="091E3AFA"/>
    <w:rsid w:val="093A7EF8"/>
    <w:rsid w:val="099A46C8"/>
    <w:rsid w:val="09DA58D5"/>
    <w:rsid w:val="0A2032A3"/>
    <w:rsid w:val="0A3A3C9B"/>
    <w:rsid w:val="0A935BEB"/>
    <w:rsid w:val="0B202EF5"/>
    <w:rsid w:val="0B2620C6"/>
    <w:rsid w:val="0C624D42"/>
    <w:rsid w:val="0C710DFD"/>
    <w:rsid w:val="0C8245A3"/>
    <w:rsid w:val="0CDA557E"/>
    <w:rsid w:val="0D371D7C"/>
    <w:rsid w:val="0DA07A35"/>
    <w:rsid w:val="0E1C23F5"/>
    <w:rsid w:val="0E2559D8"/>
    <w:rsid w:val="0F0E373B"/>
    <w:rsid w:val="100D418B"/>
    <w:rsid w:val="10171686"/>
    <w:rsid w:val="1057214E"/>
    <w:rsid w:val="10C055FF"/>
    <w:rsid w:val="118107EC"/>
    <w:rsid w:val="126121CA"/>
    <w:rsid w:val="12982A34"/>
    <w:rsid w:val="129B39D1"/>
    <w:rsid w:val="12C30B63"/>
    <w:rsid w:val="12DE2406"/>
    <w:rsid w:val="12E02947"/>
    <w:rsid w:val="13D43511"/>
    <w:rsid w:val="13FE7D7D"/>
    <w:rsid w:val="140D2C67"/>
    <w:rsid w:val="142B1324"/>
    <w:rsid w:val="14335CD0"/>
    <w:rsid w:val="147178B8"/>
    <w:rsid w:val="14F40C12"/>
    <w:rsid w:val="151A65C3"/>
    <w:rsid w:val="1528766D"/>
    <w:rsid w:val="15924AC8"/>
    <w:rsid w:val="16BB723D"/>
    <w:rsid w:val="17E778E7"/>
    <w:rsid w:val="1841028A"/>
    <w:rsid w:val="18760BE9"/>
    <w:rsid w:val="18D51E0E"/>
    <w:rsid w:val="18DD7F6C"/>
    <w:rsid w:val="19F16C17"/>
    <w:rsid w:val="1A2620E1"/>
    <w:rsid w:val="1A356D0A"/>
    <w:rsid w:val="1A5968BF"/>
    <w:rsid w:val="1AA11C20"/>
    <w:rsid w:val="1AFF2589"/>
    <w:rsid w:val="1B03680C"/>
    <w:rsid w:val="1B404389"/>
    <w:rsid w:val="1BE34B55"/>
    <w:rsid w:val="1BFB4DD4"/>
    <w:rsid w:val="1C126311"/>
    <w:rsid w:val="1C7D54C8"/>
    <w:rsid w:val="1CB97826"/>
    <w:rsid w:val="1CD54D9F"/>
    <w:rsid w:val="1D0E097B"/>
    <w:rsid w:val="1D155CEE"/>
    <w:rsid w:val="1D404D98"/>
    <w:rsid w:val="1DD16DDB"/>
    <w:rsid w:val="1DE7428F"/>
    <w:rsid w:val="1DE856B3"/>
    <w:rsid w:val="1E6F39A0"/>
    <w:rsid w:val="1EC677F3"/>
    <w:rsid w:val="1ECE7212"/>
    <w:rsid w:val="1F404126"/>
    <w:rsid w:val="1F8B3386"/>
    <w:rsid w:val="1FE15695"/>
    <w:rsid w:val="204D7E04"/>
    <w:rsid w:val="206031DC"/>
    <w:rsid w:val="20891561"/>
    <w:rsid w:val="20DF26DB"/>
    <w:rsid w:val="215E7D01"/>
    <w:rsid w:val="218050C7"/>
    <w:rsid w:val="21845E9F"/>
    <w:rsid w:val="220D1CA8"/>
    <w:rsid w:val="22A7758F"/>
    <w:rsid w:val="233A192C"/>
    <w:rsid w:val="237F43D1"/>
    <w:rsid w:val="240371BF"/>
    <w:rsid w:val="24050FFB"/>
    <w:rsid w:val="24DB0809"/>
    <w:rsid w:val="2532321A"/>
    <w:rsid w:val="25680D75"/>
    <w:rsid w:val="25DA1597"/>
    <w:rsid w:val="25DA197E"/>
    <w:rsid w:val="26350F4B"/>
    <w:rsid w:val="267311E6"/>
    <w:rsid w:val="267D6179"/>
    <w:rsid w:val="271B0BC3"/>
    <w:rsid w:val="27416377"/>
    <w:rsid w:val="277B6E7B"/>
    <w:rsid w:val="279B763F"/>
    <w:rsid w:val="27C47C29"/>
    <w:rsid w:val="28526BF8"/>
    <w:rsid w:val="287E68D2"/>
    <w:rsid w:val="28A14DAB"/>
    <w:rsid w:val="292E7718"/>
    <w:rsid w:val="294D7E3D"/>
    <w:rsid w:val="29882D87"/>
    <w:rsid w:val="29C50EA7"/>
    <w:rsid w:val="29FD04D3"/>
    <w:rsid w:val="29FF4AAE"/>
    <w:rsid w:val="2A993ADC"/>
    <w:rsid w:val="2AD52AE6"/>
    <w:rsid w:val="2ADD2C96"/>
    <w:rsid w:val="2B982624"/>
    <w:rsid w:val="2B994538"/>
    <w:rsid w:val="2BAF1406"/>
    <w:rsid w:val="2BBE0A4D"/>
    <w:rsid w:val="2BD7267A"/>
    <w:rsid w:val="2CC557C3"/>
    <w:rsid w:val="2DFB3C72"/>
    <w:rsid w:val="2E2712E5"/>
    <w:rsid w:val="2E6E2EB8"/>
    <w:rsid w:val="2ECD45A2"/>
    <w:rsid w:val="2F0E705B"/>
    <w:rsid w:val="2F3A0A6F"/>
    <w:rsid w:val="2F4A205C"/>
    <w:rsid w:val="2FCF6E98"/>
    <w:rsid w:val="2FD25857"/>
    <w:rsid w:val="300F6386"/>
    <w:rsid w:val="3025798A"/>
    <w:rsid w:val="30C72AB3"/>
    <w:rsid w:val="319F7F4E"/>
    <w:rsid w:val="31A64821"/>
    <w:rsid w:val="32632D0B"/>
    <w:rsid w:val="327B5D5F"/>
    <w:rsid w:val="328B7FA0"/>
    <w:rsid w:val="32FB6F24"/>
    <w:rsid w:val="33430449"/>
    <w:rsid w:val="33580DC7"/>
    <w:rsid w:val="33825AC3"/>
    <w:rsid w:val="33A576F8"/>
    <w:rsid w:val="33F30416"/>
    <w:rsid w:val="347055E8"/>
    <w:rsid w:val="349F1707"/>
    <w:rsid w:val="34A812AB"/>
    <w:rsid w:val="34E23A35"/>
    <w:rsid w:val="359671EA"/>
    <w:rsid w:val="35EE2628"/>
    <w:rsid w:val="363977DA"/>
    <w:rsid w:val="36474F43"/>
    <w:rsid w:val="368C6E5A"/>
    <w:rsid w:val="36CF5FE9"/>
    <w:rsid w:val="36DC2B8E"/>
    <w:rsid w:val="36F41520"/>
    <w:rsid w:val="37C65B8A"/>
    <w:rsid w:val="38D0301E"/>
    <w:rsid w:val="39B00965"/>
    <w:rsid w:val="3A9C06C9"/>
    <w:rsid w:val="3AB2445D"/>
    <w:rsid w:val="3AEC1FE4"/>
    <w:rsid w:val="3AFE536F"/>
    <w:rsid w:val="3AFF40D1"/>
    <w:rsid w:val="3B8D4A21"/>
    <w:rsid w:val="3C447361"/>
    <w:rsid w:val="3C712604"/>
    <w:rsid w:val="3D165D2D"/>
    <w:rsid w:val="3D177F81"/>
    <w:rsid w:val="3D1E4041"/>
    <w:rsid w:val="3DBC5D20"/>
    <w:rsid w:val="3DCD0C15"/>
    <w:rsid w:val="3DFE0E1C"/>
    <w:rsid w:val="3E3820F0"/>
    <w:rsid w:val="3E762455"/>
    <w:rsid w:val="3E987A92"/>
    <w:rsid w:val="3E9E6D92"/>
    <w:rsid w:val="3EE1290A"/>
    <w:rsid w:val="3EF90A77"/>
    <w:rsid w:val="3F7A1C24"/>
    <w:rsid w:val="3F945C75"/>
    <w:rsid w:val="3FFF5E6B"/>
    <w:rsid w:val="404945E4"/>
    <w:rsid w:val="408D4F70"/>
    <w:rsid w:val="40A2356B"/>
    <w:rsid w:val="41311C6B"/>
    <w:rsid w:val="4194310B"/>
    <w:rsid w:val="420D7B97"/>
    <w:rsid w:val="4251290E"/>
    <w:rsid w:val="426F38D7"/>
    <w:rsid w:val="427B237D"/>
    <w:rsid w:val="427D02E6"/>
    <w:rsid w:val="42A34D65"/>
    <w:rsid w:val="42B003F6"/>
    <w:rsid w:val="42FB5D7B"/>
    <w:rsid w:val="430B2B7D"/>
    <w:rsid w:val="43335C9B"/>
    <w:rsid w:val="43495A0C"/>
    <w:rsid w:val="43B377CD"/>
    <w:rsid w:val="43C969BC"/>
    <w:rsid w:val="44400AF3"/>
    <w:rsid w:val="44522B88"/>
    <w:rsid w:val="44595F12"/>
    <w:rsid w:val="44AE21F9"/>
    <w:rsid w:val="45127628"/>
    <w:rsid w:val="46E97A16"/>
    <w:rsid w:val="47632516"/>
    <w:rsid w:val="47820DA4"/>
    <w:rsid w:val="484B3C9A"/>
    <w:rsid w:val="488E431C"/>
    <w:rsid w:val="48D34D22"/>
    <w:rsid w:val="48E21893"/>
    <w:rsid w:val="491013AB"/>
    <w:rsid w:val="493C3C32"/>
    <w:rsid w:val="49806DE9"/>
    <w:rsid w:val="49A946AA"/>
    <w:rsid w:val="4A4B75EE"/>
    <w:rsid w:val="4AAA31DA"/>
    <w:rsid w:val="4AC92B3C"/>
    <w:rsid w:val="4B2720AC"/>
    <w:rsid w:val="4B5F70CC"/>
    <w:rsid w:val="4B921907"/>
    <w:rsid w:val="4CA15183"/>
    <w:rsid w:val="4CD63B77"/>
    <w:rsid w:val="4DD0583D"/>
    <w:rsid w:val="4DDF7BA2"/>
    <w:rsid w:val="4DF50A7E"/>
    <w:rsid w:val="4E515F97"/>
    <w:rsid w:val="4E8B4FCD"/>
    <w:rsid w:val="4ECE2238"/>
    <w:rsid w:val="4EF007B8"/>
    <w:rsid w:val="4F003662"/>
    <w:rsid w:val="4F0C1F59"/>
    <w:rsid w:val="4F271B7B"/>
    <w:rsid w:val="4FA60256"/>
    <w:rsid w:val="4FE46EFA"/>
    <w:rsid w:val="50DE3787"/>
    <w:rsid w:val="50FA612A"/>
    <w:rsid w:val="51096775"/>
    <w:rsid w:val="5113082A"/>
    <w:rsid w:val="52425FE8"/>
    <w:rsid w:val="52AA2E2A"/>
    <w:rsid w:val="52AD4A0F"/>
    <w:rsid w:val="52BA7881"/>
    <w:rsid w:val="52EF0BB4"/>
    <w:rsid w:val="52FC0C9C"/>
    <w:rsid w:val="53064571"/>
    <w:rsid w:val="5346749A"/>
    <w:rsid w:val="53860658"/>
    <w:rsid w:val="53941F4F"/>
    <w:rsid w:val="53B77A6F"/>
    <w:rsid w:val="54251AFE"/>
    <w:rsid w:val="54756036"/>
    <w:rsid w:val="54A33E7A"/>
    <w:rsid w:val="551D0C12"/>
    <w:rsid w:val="553256B2"/>
    <w:rsid w:val="553B5FDD"/>
    <w:rsid w:val="554F57E5"/>
    <w:rsid w:val="559D4B93"/>
    <w:rsid w:val="55B81F3F"/>
    <w:rsid w:val="5611552B"/>
    <w:rsid w:val="561762EB"/>
    <w:rsid w:val="563E534F"/>
    <w:rsid w:val="571B5FF6"/>
    <w:rsid w:val="57546688"/>
    <w:rsid w:val="57680005"/>
    <w:rsid w:val="576A4A7F"/>
    <w:rsid w:val="579629EE"/>
    <w:rsid w:val="57CE0477"/>
    <w:rsid w:val="58760F0E"/>
    <w:rsid w:val="58DB4B65"/>
    <w:rsid w:val="597033AD"/>
    <w:rsid w:val="597D5BB1"/>
    <w:rsid w:val="59E85958"/>
    <w:rsid w:val="5A394152"/>
    <w:rsid w:val="5ACE432C"/>
    <w:rsid w:val="5AFF7743"/>
    <w:rsid w:val="5B112F91"/>
    <w:rsid w:val="5BA11374"/>
    <w:rsid w:val="5C540036"/>
    <w:rsid w:val="5C624153"/>
    <w:rsid w:val="5C9873DB"/>
    <w:rsid w:val="5CA94971"/>
    <w:rsid w:val="5CD038D8"/>
    <w:rsid w:val="5CFA0878"/>
    <w:rsid w:val="5DD942DE"/>
    <w:rsid w:val="5E72273C"/>
    <w:rsid w:val="5F1E1213"/>
    <w:rsid w:val="5F433975"/>
    <w:rsid w:val="5F6E6065"/>
    <w:rsid w:val="5F805689"/>
    <w:rsid w:val="5F867DA8"/>
    <w:rsid w:val="5F896501"/>
    <w:rsid w:val="5FE036CA"/>
    <w:rsid w:val="60050648"/>
    <w:rsid w:val="60262495"/>
    <w:rsid w:val="6045747F"/>
    <w:rsid w:val="60871DB3"/>
    <w:rsid w:val="613F0661"/>
    <w:rsid w:val="6167478F"/>
    <w:rsid w:val="61F23C0B"/>
    <w:rsid w:val="628E781F"/>
    <w:rsid w:val="62AE47D1"/>
    <w:rsid w:val="63246993"/>
    <w:rsid w:val="636E7975"/>
    <w:rsid w:val="63A441CB"/>
    <w:rsid w:val="63B91CA3"/>
    <w:rsid w:val="63FC4403"/>
    <w:rsid w:val="642C2E04"/>
    <w:rsid w:val="65B57977"/>
    <w:rsid w:val="665E174F"/>
    <w:rsid w:val="6674409A"/>
    <w:rsid w:val="6686061E"/>
    <w:rsid w:val="66DF6BB1"/>
    <w:rsid w:val="66F71F5B"/>
    <w:rsid w:val="66F7710D"/>
    <w:rsid w:val="674343A3"/>
    <w:rsid w:val="67D40F37"/>
    <w:rsid w:val="67DE6F55"/>
    <w:rsid w:val="68002C96"/>
    <w:rsid w:val="680E1820"/>
    <w:rsid w:val="68BC684B"/>
    <w:rsid w:val="690D60B3"/>
    <w:rsid w:val="699F4783"/>
    <w:rsid w:val="69C43768"/>
    <w:rsid w:val="6AAC54F4"/>
    <w:rsid w:val="6B683582"/>
    <w:rsid w:val="6B6B56F6"/>
    <w:rsid w:val="6C024922"/>
    <w:rsid w:val="6C3A0008"/>
    <w:rsid w:val="6C4966FA"/>
    <w:rsid w:val="6C4A05C8"/>
    <w:rsid w:val="6C7313FA"/>
    <w:rsid w:val="6CE370C3"/>
    <w:rsid w:val="6D3D6053"/>
    <w:rsid w:val="6D6D41E4"/>
    <w:rsid w:val="6E640C90"/>
    <w:rsid w:val="6E682073"/>
    <w:rsid w:val="6EF00BFD"/>
    <w:rsid w:val="6EFB096B"/>
    <w:rsid w:val="6F767C20"/>
    <w:rsid w:val="6F847F93"/>
    <w:rsid w:val="6FC324B4"/>
    <w:rsid w:val="70262591"/>
    <w:rsid w:val="703B67CE"/>
    <w:rsid w:val="70426D79"/>
    <w:rsid w:val="70467735"/>
    <w:rsid w:val="70AB1EB0"/>
    <w:rsid w:val="71215D33"/>
    <w:rsid w:val="7139718F"/>
    <w:rsid w:val="718A14BF"/>
    <w:rsid w:val="719C0487"/>
    <w:rsid w:val="71B80BC5"/>
    <w:rsid w:val="72734D90"/>
    <w:rsid w:val="72851F08"/>
    <w:rsid w:val="735E3612"/>
    <w:rsid w:val="737C3AB9"/>
    <w:rsid w:val="74A548AC"/>
    <w:rsid w:val="74DE3F3B"/>
    <w:rsid w:val="74F55975"/>
    <w:rsid w:val="75262B1B"/>
    <w:rsid w:val="752A467B"/>
    <w:rsid w:val="75636ED1"/>
    <w:rsid w:val="75C354E7"/>
    <w:rsid w:val="75D3497E"/>
    <w:rsid w:val="766A60B0"/>
    <w:rsid w:val="76E73D27"/>
    <w:rsid w:val="777B03D9"/>
    <w:rsid w:val="778017FE"/>
    <w:rsid w:val="77EF65F9"/>
    <w:rsid w:val="785B3EDA"/>
    <w:rsid w:val="78E21A9B"/>
    <w:rsid w:val="79140085"/>
    <w:rsid w:val="791D0884"/>
    <w:rsid w:val="792873ED"/>
    <w:rsid w:val="7AF17A7B"/>
    <w:rsid w:val="7AF27565"/>
    <w:rsid w:val="7B07502B"/>
    <w:rsid w:val="7B5044DD"/>
    <w:rsid w:val="7B8B4089"/>
    <w:rsid w:val="7BA7241D"/>
    <w:rsid w:val="7C981301"/>
    <w:rsid w:val="7D695585"/>
    <w:rsid w:val="7D6D2AEE"/>
    <w:rsid w:val="7DFC176C"/>
    <w:rsid w:val="7E251C87"/>
    <w:rsid w:val="7E336950"/>
    <w:rsid w:val="7E54278C"/>
    <w:rsid w:val="7EA7634B"/>
    <w:rsid w:val="7EB53728"/>
    <w:rsid w:val="7EF40ABE"/>
    <w:rsid w:val="7F6C3082"/>
    <w:rsid w:val="7F8C2039"/>
    <w:rsid w:val="7F9E09D2"/>
    <w:rsid w:val="7FB052A5"/>
    <w:rsid w:val="7FD11929"/>
    <w:rsid w:val="7FD429FD"/>
    <w:rsid w:val="FFE0C9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2">
    <w:name w:val="heading 2"/>
    <w:basedOn w:val="1"/>
    <w:next w:val="1"/>
    <w:link w:val="25"/>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6"/>
    <w:qFormat/>
    <w:uiPriority w:val="9"/>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Theme="minorHAnsi" w:eastAsiaTheme="minorHAnsi"/>
      <w:sz w:val="18"/>
      <w:szCs w:val="18"/>
    </w:rPr>
  </w:style>
  <w:style w:type="paragraph" w:styleId="6">
    <w:name w:val="Body Text"/>
    <w:basedOn w:val="1"/>
    <w:link w:val="33"/>
    <w:qFormat/>
    <w:uiPriority w:val="99"/>
    <w:pPr>
      <w:spacing w:beforeLines="30"/>
    </w:pPr>
    <w:rPr>
      <w:rFonts w:ascii="仿宋_GB2312" w:eastAsia="仿宋_GB2312"/>
      <w:kern w:val="0"/>
      <w:sz w:val="24"/>
      <w:szCs w:val="20"/>
      <w:lang w:val="zh-CN" w:eastAsia="zh-CN"/>
    </w:rPr>
  </w:style>
  <w:style w:type="paragraph" w:styleId="7">
    <w:name w:val="toc 5"/>
    <w:basedOn w:val="1"/>
    <w:next w:val="1"/>
    <w:unhideWhenUsed/>
    <w:qFormat/>
    <w:uiPriority w:val="39"/>
    <w:pPr>
      <w:ind w:left="840"/>
      <w:jc w:val="left"/>
    </w:pPr>
    <w:rPr>
      <w:rFonts w:asciiTheme="minorHAnsi" w:eastAsiaTheme="minorHAnsi"/>
      <w:sz w:val="18"/>
      <w:szCs w:val="18"/>
    </w:rPr>
  </w:style>
  <w:style w:type="paragraph" w:styleId="8">
    <w:name w:val="toc 3"/>
    <w:basedOn w:val="1"/>
    <w:next w:val="1"/>
    <w:unhideWhenUsed/>
    <w:qFormat/>
    <w:uiPriority w:val="39"/>
    <w:pPr>
      <w:ind w:left="420"/>
      <w:jc w:val="left"/>
    </w:pPr>
    <w:rPr>
      <w:rFonts w:asciiTheme="minorHAnsi" w:eastAsiaTheme="minorHAnsi"/>
      <w:i/>
      <w:iCs/>
      <w:sz w:val="20"/>
      <w:szCs w:val="20"/>
    </w:rPr>
  </w:style>
  <w:style w:type="paragraph" w:styleId="9">
    <w:name w:val="toc 8"/>
    <w:basedOn w:val="1"/>
    <w:next w:val="1"/>
    <w:unhideWhenUsed/>
    <w:qFormat/>
    <w:uiPriority w:val="39"/>
    <w:pPr>
      <w:ind w:left="1470"/>
      <w:jc w:val="left"/>
    </w:pPr>
    <w:rPr>
      <w:rFonts w:asciiTheme="minorHAnsi" w:eastAsiaTheme="minorHAnsi"/>
      <w:sz w:val="18"/>
      <w:szCs w:val="18"/>
    </w:rPr>
  </w:style>
  <w:style w:type="paragraph" w:styleId="10">
    <w:name w:val="Body Text Indent 2"/>
    <w:basedOn w:val="1"/>
    <w:qFormat/>
    <w:uiPriority w:val="0"/>
    <w:pPr>
      <w:spacing w:line="560" w:lineRule="atLeast"/>
      <w:ind w:firstLine="693" w:firstLineChars="225"/>
    </w:pPr>
    <w:rPr>
      <w:rFonts w:hint="eastAsia" w:ascii="仿宋_GB2312"/>
      <w:szCs w:val="32"/>
    </w:rPr>
  </w:style>
  <w:style w:type="paragraph" w:styleId="11">
    <w:name w:val="Balloon Text"/>
    <w:basedOn w:val="1"/>
    <w:link w:val="28"/>
    <w:semiHidden/>
    <w:unhideWhenUsed/>
    <w:qFormat/>
    <w:uiPriority w:val="99"/>
    <w:rPr>
      <w:sz w:val="18"/>
      <w:szCs w:val="18"/>
    </w:rPr>
  </w:style>
  <w:style w:type="paragraph" w:styleId="12">
    <w:name w:val="footer"/>
    <w:basedOn w:val="1"/>
    <w:link w:val="32"/>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3">
    <w:name w:val="header"/>
    <w:basedOn w:val="1"/>
    <w:link w:val="31"/>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4">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5">
    <w:name w:val="toc 4"/>
    <w:basedOn w:val="1"/>
    <w:next w:val="1"/>
    <w:unhideWhenUsed/>
    <w:qFormat/>
    <w:uiPriority w:val="39"/>
    <w:pPr>
      <w:ind w:left="630"/>
      <w:jc w:val="left"/>
    </w:pPr>
    <w:rPr>
      <w:rFonts w:asciiTheme="minorHAnsi" w:eastAsiaTheme="minorHAnsi"/>
      <w:sz w:val="18"/>
      <w:szCs w:val="18"/>
    </w:rPr>
  </w:style>
  <w:style w:type="paragraph" w:styleId="16">
    <w:name w:val="toc 6"/>
    <w:basedOn w:val="1"/>
    <w:next w:val="1"/>
    <w:unhideWhenUsed/>
    <w:qFormat/>
    <w:uiPriority w:val="39"/>
    <w:pPr>
      <w:ind w:left="1050"/>
      <w:jc w:val="left"/>
    </w:pPr>
    <w:rPr>
      <w:rFonts w:asciiTheme="minorHAnsi" w:eastAsiaTheme="minorHAnsi"/>
      <w:sz w:val="18"/>
      <w:szCs w:val="18"/>
    </w:rPr>
  </w:style>
  <w:style w:type="paragraph" w:styleId="17">
    <w:name w:val="toc 2"/>
    <w:basedOn w:val="1"/>
    <w:next w:val="1"/>
    <w:unhideWhenUsed/>
    <w:qFormat/>
    <w:uiPriority w:val="39"/>
    <w:pPr>
      <w:ind w:left="210"/>
      <w:jc w:val="left"/>
    </w:pPr>
    <w:rPr>
      <w:rFonts w:asciiTheme="minorHAnsi" w:eastAsiaTheme="minorHAnsi"/>
      <w:smallCaps/>
      <w:sz w:val="20"/>
      <w:szCs w:val="20"/>
    </w:rPr>
  </w:style>
  <w:style w:type="paragraph" w:styleId="18">
    <w:name w:val="toc 9"/>
    <w:basedOn w:val="1"/>
    <w:next w:val="1"/>
    <w:unhideWhenUsed/>
    <w:qFormat/>
    <w:uiPriority w:val="39"/>
    <w:pPr>
      <w:ind w:left="1680"/>
      <w:jc w:val="left"/>
    </w:pPr>
    <w:rPr>
      <w:rFonts w:asciiTheme="minorHAnsi" w:eastAsiaTheme="minorHAnsi"/>
      <w:sz w:val="18"/>
      <w:szCs w:val="18"/>
    </w:rPr>
  </w:style>
  <w:style w:type="table" w:styleId="20">
    <w:name w:val="Table Grid"/>
    <w:basedOn w:val="1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99"/>
    <w:rPr>
      <w:rFonts w:cs="Times New Roman"/>
      <w:b/>
    </w:rPr>
  </w:style>
  <w:style w:type="character" w:styleId="23">
    <w:name w:val="Hyperlink"/>
    <w:basedOn w:val="21"/>
    <w:unhideWhenUsed/>
    <w:qFormat/>
    <w:uiPriority w:val="99"/>
    <w:rPr>
      <w:rFonts w:cs="Times New Roman"/>
      <w:color w:val="0000FF"/>
      <w:u w:val="single"/>
    </w:rPr>
  </w:style>
  <w:style w:type="character" w:customStyle="1" w:styleId="24">
    <w:name w:val="标题 1 字符"/>
    <w:basedOn w:val="21"/>
    <w:link w:val="3"/>
    <w:qFormat/>
    <w:locked/>
    <w:uiPriority w:val="9"/>
    <w:rPr>
      <w:rFonts w:ascii="Times New Roman" w:hAnsi="Times New Roman" w:cs="Times New Roman"/>
      <w:b/>
      <w:bCs/>
      <w:kern w:val="44"/>
      <w:sz w:val="44"/>
      <w:szCs w:val="44"/>
    </w:rPr>
  </w:style>
  <w:style w:type="character" w:customStyle="1" w:styleId="25">
    <w:name w:val="标题 2 字符"/>
    <w:basedOn w:val="21"/>
    <w:link w:val="2"/>
    <w:qFormat/>
    <w:locked/>
    <w:uiPriority w:val="9"/>
    <w:rPr>
      <w:rFonts w:ascii="Cambria" w:hAnsi="Cambria" w:eastAsia="宋体" w:cs="Times New Roman"/>
      <w:b/>
      <w:bCs/>
      <w:kern w:val="2"/>
      <w:sz w:val="32"/>
      <w:szCs w:val="32"/>
    </w:rPr>
  </w:style>
  <w:style w:type="character" w:customStyle="1" w:styleId="26">
    <w:name w:val="标题 3 字符"/>
    <w:basedOn w:val="21"/>
    <w:link w:val="4"/>
    <w:qFormat/>
    <w:locked/>
    <w:uiPriority w:val="9"/>
    <w:rPr>
      <w:rFonts w:ascii="Times New Roman" w:hAnsi="Times New Roman" w:cs="Times New Roman"/>
      <w:b/>
      <w:bCs/>
      <w:kern w:val="2"/>
      <w:sz w:val="32"/>
      <w:szCs w:val="32"/>
    </w:rPr>
  </w:style>
  <w:style w:type="character" w:customStyle="1" w:styleId="27">
    <w:name w:val="Body Text Char"/>
    <w:basedOn w:val="21"/>
    <w:semiHidden/>
    <w:qFormat/>
    <w:uiPriority w:val="99"/>
    <w:rPr>
      <w:rFonts w:ascii="Times New Roman" w:hAnsi="Times New Roman" w:cs="Times New Roman"/>
      <w:sz w:val="24"/>
      <w:szCs w:val="24"/>
    </w:rPr>
  </w:style>
  <w:style w:type="character" w:customStyle="1" w:styleId="28">
    <w:name w:val="批注框文本 字符"/>
    <w:basedOn w:val="21"/>
    <w:link w:val="11"/>
    <w:semiHidden/>
    <w:qFormat/>
    <w:locked/>
    <w:uiPriority w:val="99"/>
    <w:rPr>
      <w:rFonts w:ascii="Times New Roman" w:hAnsi="Times New Roman" w:cs="Times New Roman"/>
      <w:kern w:val="2"/>
      <w:sz w:val="18"/>
      <w:szCs w:val="18"/>
    </w:rPr>
  </w:style>
  <w:style w:type="character" w:customStyle="1" w:styleId="29">
    <w:name w:val="Footer Char"/>
    <w:basedOn w:val="21"/>
    <w:semiHidden/>
    <w:qFormat/>
    <w:uiPriority w:val="99"/>
    <w:rPr>
      <w:rFonts w:ascii="Times New Roman" w:hAnsi="Times New Roman" w:cs="Times New Roman"/>
      <w:sz w:val="18"/>
      <w:szCs w:val="18"/>
    </w:rPr>
  </w:style>
  <w:style w:type="character" w:customStyle="1" w:styleId="30">
    <w:name w:val="Header Char"/>
    <w:basedOn w:val="21"/>
    <w:semiHidden/>
    <w:qFormat/>
    <w:uiPriority w:val="99"/>
    <w:rPr>
      <w:rFonts w:ascii="Times New Roman" w:hAnsi="Times New Roman" w:cs="Times New Roman"/>
      <w:sz w:val="18"/>
      <w:szCs w:val="18"/>
    </w:rPr>
  </w:style>
  <w:style w:type="character" w:customStyle="1" w:styleId="31">
    <w:name w:val="页眉 字符"/>
    <w:link w:val="13"/>
    <w:semiHidden/>
    <w:qFormat/>
    <w:locked/>
    <w:uiPriority w:val="99"/>
    <w:rPr>
      <w:sz w:val="18"/>
    </w:rPr>
  </w:style>
  <w:style w:type="character" w:customStyle="1" w:styleId="32">
    <w:name w:val="页脚 字符"/>
    <w:link w:val="12"/>
    <w:qFormat/>
    <w:locked/>
    <w:uiPriority w:val="99"/>
    <w:rPr>
      <w:sz w:val="18"/>
    </w:rPr>
  </w:style>
  <w:style w:type="character" w:customStyle="1" w:styleId="33">
    <w:name w:val="正文文本 字符"/>
    <w:link w:val="6"/>
    <w:qFormat/>
    <w:locked/>
    <w:uiPriority w:val="99"/>
    <w:rPr>
      <w:rFonts w:ascii="仿宋_GB2312" w:hAnsi="Times New Roman" w:eastAsia="仿宋_GB2312"/>
      <w:sz w:val="24"/>
    </w:rPr>
  </w:style>
  <w:style w:type="paragraph" w:customStyle="1" w:styleId="3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5">
    <w:name w:val="列表段落1"/>
    <w:basedOn w:val="1"/>
    <w:qFormat/>
    <w:uiPriority w:val="34"/>
    <w:pPr>
      <w:ind w:firstLine="420" w:firstLineChars="200"/>
    </w:pPr>
  </w:style>
  <w:style w:type="paragraph" w:customStyle="1" w:styleId="36">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7">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8">
    <w:name w:val="TOC Heading"/>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zh-CN"/>
              <a:t>收、支决算总计变动情况图</a:t>
            </a:r>
            <a:endParaRPr altLang="zh-CN"/>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2019年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收、支决算总计</c:v>
                </c:pt>
              </c:strCache>
            </c:strRef>
          </c:cat>
          <c:val>
            <c:numRef>
              <c:f>Sheet1!$B$2</c:f>
              <c:numCache>
                <c:formatCode>General</c:formatCode>
                <c:ptCount val="1"/>
                <c:pt idx="0">
                  <c:v>6752.35</c:v>
                </c:pt>
              </c:numCache>
            </c:numRef>
          </c:val>
        </c:ser>
        <c:ser>
          <c:idx val="1"/>
          <c:order val="1"/>
          <c:tx>
            <c:strRef>
              <c:f>Sheet1!$C$1</c:f>
              <c:strCache>
                <c:ptCount val="1"/>
                <c:pt idx="0">
                  <c:v>2020年</c:v>
                </c:pt>
              </c:strCache>
            </c:strRef>
          </c:tx>
          <c:spPr>
            <a:solidFill>
              <a:schemeClr val="accent2"/>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收、支决算总计</c:v>
                </c:pt>
              </c:strCache>
            </c:strRef>
          </c:cat>
          <c:val>
            <c:numRef>
              <c:f>Sheet1!$C$2</c:f>
              <c:numCache>
                <c:formatCode>General</c:formatCode>
                <c:ptCount val="1"/>
                <c:pt idx="0">
                  <c:v>7644.3</c:v>
                </c:pt>
              </c:numCache>
            </c:numRef>
          </c:val>
        </c:ser>
        <c:dLbls>
          <c:showLegendKey val="0"/>
          <c:showVal val="0"/>
          <c:showCatName val="0"/>
          <c:showSerName val="0"/>
          <c:showPercent val="0"/>
          <c:showBubbleSize val="0"/>
        </c:dLbls>
        <c:gapWidth val="219"/>
        <c:overlap val="-27"/>
        <c:axId val="257288829"/>
        <c:axId val="206567643"/>
      </c:barChart>
      <c:catAx>
        <c:axId val="25728882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6567643"/>
        <c:crosses val="autoZero"/>
        <c:auto val="1"/>
        <c:lblAlgn val="ctr"/>
        <c:lblOffset val="100"/>
        <c:noMultiLvlLbl val="0"/>
      </c:catAx>
      <c:valAx>
        <c:axId val="2065676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728882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dLbl>
              <c:idx val="1"/>
              <c:layout>
                <c:manualLayout>
                  <c:x val="0.186423054070113"/>
                  <c:y val="0.021176995095853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11913234381403"/>
                  <c:y val="-0.014566874719860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586749851455734"/>
                  <c:y val="-0.024297815425769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690732414503792"/>
                  <c:y val="-0.038864690145629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123588829471182"/>
                  <c:y val="-0.036558181007579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202763081022572"/>
                  <c:y val="0.0005913954540138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一般公共预算财政拨款收入</c:v>
                </c:pt>
                <c:pt idx="1">
                  <c:v>上级补助收入</c:v>
                </c:pt>
                <c:pt idx="2">
                  <c:v>经营收入</c:v>
                </c:pt>
                <c:pt idx="3">
                  <c:v>其他收入</c:v>
                </c:pt>
                <c:pt idx="4">
                  <c:v>政府性基金预算财政拨款收入</c:v>
                </c:pt>
                <c:pt idx="5">
                  <c:v>事业收入</c:v>
                </c:pt>
                <c:pt idx="6">
                  <c:v>附属单位上缴收入</c:v>
                </c:pt>
              </c:strCache>
            </c:strRef>
          </c:cat>
          <c:val>
            <c:numRef>
              <c:f>Sheet1!$B$2:$B$8</c:f>
              <c:numCache>
                <c:formatCode>0%</c:formatCode>
                <c:ptCount val="7"/>
                <c:pt idx="0">
                  <c:v>1</c:v>
                </c:pt>
                <c:pt idx="1" c:formatCode="General">
                  <c:v>0</c:v>
                </c:pt>
                <c:pt idx="2" c:formatCode="General">
                  <c:v>0</c:v>
                </c:pt>
                <c:pt idx="3" c:formatCode="General">
                  <c:v>0</c:v>
                </c:pt>
                <c:pt idx="4" c:formatCode="General">
                  <c:v>0</c:v>
                </c:pt>
                <c:pt idx="5" c:formatCode="General">
                  <c:v>0</c:v>
                </c:pt>
                <c:pt idx="6" c:formatCode="General">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2"/>
              <c:layout>
                <c:manualLayout>
                  <c:x val="0.154665750128888"/>
                  <c:y val="-0.046701846965699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201752583997114"/>
                  <c:y val="0.018549076518629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199175115999313"/>
                  <c:y val="0.014511873350923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0.00%</c:formatCode>
                <c:ptCount val="5"/>
                <c:pt idx="0">
                  <c:v>0.6671</c:v>
                </c:pt>
                <c:pt idx="1">
                  <c:v>0.3329</c:v>
                </c:pt>
                <c:pt idx="2" c:formatCode="0%">
                  <c:v>0</c:v>
                </c:pt>
                <c:pt idx="3" c:formatCode="0%">
                  <c:v>0</c:v>
                </c:pt>
                <c:pt idx="4" c:formatCode="0%">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2019年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财政拨款收、支决算总计</c:v>
                </c:pt>
              </c:strCache>
            </c:strRef>
          </c:cat>
          <c:val>
            <c:numRef>
              <c:f>Sheet1!$B$2</c:f>
              <c:numCache>
                <c:formatCode>General</c:formatCode>
                <c:ptCount val="1"/>
                <c:pt idx="0">
                  <c:v>6752.35</c:v>
                </c:pt>
              </c:numCache>
            </c:numRef>
          </c:val>
        </c:ser>
        <c:ser>
          <c:idx val="1"/>
          <c:order val="1"/>
          <c:tx>
            <c:strRef>
              <c:f>Sheet1!$C$1</c:f>
              <c:strCache>
                <c:ptCount val="1"/>
                <c:pt idx="0">
                  <c:v>2020年</c:v>
                </c:pt>
              </c:strCache>
            </c:strRef>
          </c:tx>
          <c:spPr>
            <a:solidFill>
              <a:schemeClr val="accent2"/>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财政拨款收、支决算总计</c:v>
                </c:pt>
              </c:strCache>
            </c:strRef>
          </c:cat>
          <c:val>
            <c:numRef>
              <c:f>Sheet1!$C$2</c:f>
              <c:numCache>
                <c:formatCode>General</c:formatCode>
                <c:ptCount val="1"/>
                <c:pt idx="0">
                  <c:v>7644.3</c:v>
                </c:pt>
              </c:numCache>
            </c:numRef>
          </c:val>
        </c:ser>
        <c:dLbls>
          <c:showLegendKey val="0"/>
          <c:showVal val="0"/>
          <c:showCatName val="0"/>
          <c:showSerName val="0"/>
          <c:showPercent val="0"/>
          <c:showBubbleSize val="0"/>
        </c:dLbls>
        <c:gapWidth val="219"/>
        <c:overlap val="-27"/>
        <c:axId val="175884821"/>
        <c:axId val="538373758"/>
      </c:barChart>
      <c:catAx>
        <c:axId val="17588482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38373758"/>
        <c:crosses val="autoZero"/>
        <c:auto val="1"/>
        <c:lblAlgn val="ctr"/>
        <c:lblOffset val="100"/>
        <c:noMultiLvlLbl val="0"/>
      </c:catAx>
      <c:valAx>
        <c:axId val="53837375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75884821"/>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lvl="1" defTabSz="914400">
              <a:defRPr lang="zh-CN" sz="1400" b="0" i="0" u="none" strike="noStrike" kern="1200" spc="0" baseline="0">
                <a:solidFill>
                  <a:schemeClr val="tx1">
                    <a:lumMod val="65000"/>
                    <a:lumOff val="35000"/>
                  </a:schemeClr>
                </a:solidFill>
                <a:latin typeface="+mn-lt"/>
                <a:ea typeface="+mn-ea"/>
                <a:cs typeface="+mn-cs"/>
              </a:defRPr>
            </a:pPr>
            <a:r>
              <a:rPr lang="zh-CN" altLang="en-US">
                <a:ea typeface="宋体" panose="02010600030101010101" charset="-122"/>
              </a:rPr>
              <a:t>一般公共预算财政拨款支出决算</a:t>
            </a:r>
            <a:endParaRPr lang="zh-CN" altLang="en-US">
              <a:ea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2019年</c:v>
                </c:pt>
              </c:strCache>
            </c:strRef>
          </c:tx>
          <c:spPr>
            <a:solidFill>
              <a:schemeClr val="accent1"/>
            </a:solidFill>
            <a:ln>
              <a:noFill/>
            </a:ln>
            <a:effectLst/>
          </c:spPr>
          <c:invertIfNegative val="0"/>
          <c:dLbls>
            <c:dLbl>
              <c:idx val="0"/>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一般公共预算财政拨款支出决算</c:v>
                </c:pt>
              </c:strCache>
            </c:strRef>
          </c:cat>
          <c:val>
            <c:numRef>
              <c:f>Sheet1!$B$2</c:f>
              <c:numCache>
                <c:formatCode>General</c:formatCode>
                <c:ptCount val="1"/>
                <c:pt idx="0">
                  <c:v>5792.25</c:v>
                </c:pt>
              </c:numCache>
            </c:numRef>
          </c:val>
        </c:ser>
        <c:ser>
          <c:idx val="1"/>
          <c:order val="1"/>
          <c:tx>
            <c:strRef>
              <c:f>Sheet1!$C$1</c:f>
              <c:strCache>
                <c:ptCount val="1"/>
                <c:pt idx="0">
                  <c:v>2020年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一般公共预算财政拨款支出决算</c:v>
                </c:pt>
              </c:strCache>
            </c:strRef>
          </c:cat>
          <c:val>
            <c:numRef>
              <c:f>Sheet1!$C$2</c:f>
              <c:numCache>
                <c:formatCode>General</c:formatCode>
                <c:ptCount val="1"/>
                <c:pt idx="0">
                  <c:v>6230.07</c:v>
                </c:pt>
              </c:numCache>
            </c:numRef>
          </c:val>
        </c:ser>
        <c:dLbls>
          <c:showLegendKey val="0"/>
          <c:showVal val="0"/>
          <c:showCatName val="0"/>
          <c:showSerName val="0"/>
          <c:showPercent val="0"/>
          <c:showBubbleSize val="0"/>
        </c:dLbls>
        <c:gapWidth val="219"/>
        <c:overlap val="-27"/>
        <c:axId val="426073916"/>
        <c:axId val="999414381"/>
      </c:barChart>
      <c:catAx>
        <c:axId val="42607391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99414381"/>
        <c:crosses val="autoZero"/>
        <c:auto val="1"/>
        <c:lblAlgn val="ctr"/>
        <c:lblOffset val="100"/>
        <c:noMultiLvlLbl val="0"/>
      </c:catAx>
      <c:valAx>
        <c:axId val="99941438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2607391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社会保障和就业</c:v>
                </c:pt>
                <c:pt idx="1">
                  <c:v>卫生健康支出</c:v>
                </c:pt>
                <c:pt idx="2">
                  <c:v>住房保障支出</c:v>
                </c:pt>
                <c:pt idx="3">
                  <c:v>公共安全支出</c:v>
                </c:pt>
                <c:pt idx="4">
                  <c:v>其他支出</c:v>
                </c:pt>
              </c:strCache>
            </c:strRef>
          </c:cat>
          <c:val>
            <c:numRef>
              <c:f>Sheet1!$B$2:$B$6</c:f>
              <c:numCache>
                <c:formatCode>0.00%</c:formatCode>
                <c:ptCount val="5"/>
                <c:pt idx="0">
                  <c:v>0.0716</c:v>
                </c:pt>
                <c:pt idx="1">
                  <c:v>0.0274</c:v>
                </c:pt>
                <c:pt idx="2">
                  <c:v>0.0503</c:v>
                </c:pt>
                <c:pt idx="3">
                  <c:v>0.8507</c:v>
                </c:pt>
                <c:pt idx="4" c:formatCode="0%">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a:t>
            </a:r>
            <a:r>
              <a:rPr altLang="en-US"/>
              <a:t>三公</a:t>
            </a:r>
            <a:r>
              <a:rPr lang="en-US" altLang="zh-CN"/>
              <a:t>”</a:t>
            </a:r>
            <a:r>
              <a:rPr altLang="en-US"/>
              <a:t>经费财政拨款支出</a:t>
            </a:r>
            <a:endParaRPr altLang="en-US"/>
          </a:p>
        </c:rich>
      </c:tx>
      <c:layout/>
      <c:overlay val="0"/>
      <c:spPr>
        <a:noFill/>
        <a:ln>
          <a:noFill/>
        </a:ln>
        <a:effectLst/>
      </c:spPr>
    </c:title>
    <c:autoTitleDeleted val="0"/>
    <c:plotArea>
      <c:layout/>
      <c:pieChart>
        <c:varyColors val="1"/>
        <c:ser>
          <c:idx val="0"/>
          <c:order val="0"/>
          <c:tx>
            <c:strRef>
              <c:f>Sheet1!$B$1</c:f>
              <c:strCache>
                <c:ptCount val="1"/>
                <c:pt idx="0">
                  <c:v>“三公”经费财政拨款支出结构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manualLayout>
                  <c:x val="0.082125"/>
                  <c:y val="-0.00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857172666170845"/>
                  <c:y val="0.00057650168650089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因公出国（境）费支出</c:v>
                </c:pt>
                <c:pt idx="1">
                  <c:v>公务用车购置及运行维护费支出</c:v>
                </c:pt>
                <c:pt idx="2">
                  <c:v>公务接待费支出</c:v>
                </c:pt>
              </c:strCache>
            </c:strRef>
          </c:cat>
          <c:val>
            <c:numRef>
              <c:f>Sheet1!$B$2:$B$5</c:f>
              <c:numCache>
                <c:formatCode>0%</c:formatCode>
                <c:ptCount val="4"/>
                <c:pt idx="0">
                  <c:v>0</c:v>
                </c:pt>
                <c:pt idx="1" c:formatCode="0.00%">
                  <c:v>0.9661</c:v>
                </c:pt>
                <c:pt idx="2" c:formatCode="0.00%">
                  <c:v>0.0339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1576</Words>
  <Characters>8984</Characters>
  <Lines>74</Lines>
  <Paragraphs>21</Paragraphs>
  <TotalTime>0</TotalTime>
  <ScaleCrop>false</ScaleCrop>
  <LinksUpToDate>false</LinksUpToDate>
  <CharactersWithSpaces>10539</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user</cp:lastModifiedBy>
  <cp:lastPrinted>2021-07-29T11:56:00Z</cp:lastPrinted>
  <dcterms:modified xsi:type="dcterms:W3CDTF">2022-05-09T18:23:06Z</dcterms:modified>
  <dc:title>阿坝州部门决算说明</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ies>
</file>